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ing for AASB Standard / Interpretations"/>
        <w:tblDescription w:val="Identification that the pronouncement is an AASB Standard or Interpretation, the pronouncement number, month of issue and title"/>
      </w:tblPr>
      <w:tblGrid>
        <w:gridCol w:w="4508"/>
        <w:gridCol w:w="4509"/>
      </w:tblGrid>
      <w:tr w:rsidR="00717E6A" w:rsidRPr="00662611" w14:paraId="7D927164" w14:textId="77777777" w:rsidTr="00945090">
        <w:trPr>
          <w:tblHeader/>
        </w:trPr>
        <w:tc>
          <w:tcPr>
            <w:tcW w:w="4508" w:type="dxa"/>
          </w:tcPr>
          <w:p w14:paraId="7D927161" w14:textId="77777777" w:rsidR="00717E6A" w:rsidRPr="00662611" w:rsidRDefault="00717E6A" w:rsidP="00945090">
            <w:pPr>
              <w:pStyle w:val="AASBStandardCover"/>
            </w:pPr>
            <w:r w:rsidRPr="00662611">
              <w:t xml:space="preserve">AASB </w:t>
            </w:r>
            <w:bookmarkStart w:id="0" w:name="DocType"/>
            <w:r w:rsidRPr="00662611">
              <w:t>Standard</w:t>
            </w:r>
            <w:bookmarkEnd w:id="0"/>
          </w:p>
        </w:tc>
        <w:tc>
          <w:tcPr>
            <w:tcW w:w="4509" w:type="dxa"/>
          </w:tcPr>
          <w:p w14:paraId="7D927162" w14:textId="4816DCCD" w:rsidR="00717E6A" w:rsidRPr="00662611" w:rsidRDefault="00717E6A" w:rsidP="00945090">
            <w:pPr>
              <w:pStyle w:val="AASBStandardNumber"/>
              <w:rPr>
                <w:rFonts w:ascii="HelveticaNeueLT Std" w:hAnsi="HelveticaNeueLT Std"/>
                <w:b/>
              </w:rPr>
            </w:pPr>
            <w:bookmarkStart w:id="1" w:name="DocTypeAbb"/>
            <w:r w:rsidRPr="00662611">
              <w:rPr>
                <w:rFonts w:ascii="HelveticaNeueLT Std" w:hAnsi="HelveticaNeueLT Std"/>
                <w:b/>
              </w:rPr>
              <w:t>AASB</w:t>
            </w:r>
            <w:bookmarkEnd w:id="1"/>
            <w:r w:rsidRPr="00662611">
              <w:rPr>
                <w:rFonts w:ascii="HelveticaNeueLT Std" w:hAnsi="HelveticaNeueLT Std"/>
                <w:b/>
              </w:rPr>
              <w:t xml:space="preserve"> </w:t>
            </w:r>
            <w:r w:rsidR="005F6667">
              <w:rPr>
                <w:rFonts w:ascii="HelveticaNeueLT Std" w:hAnsi="HelveticaNeueLT Std"/>
                <w:b/>
              </w:rPr>
              <w:t>1059</w:t>
            </w:r>
          </w:p>
          <w:p w14:paraId="7D927163" w14:textId="7F05FB3F" w:rsidR="00717E6A" w:rsidRPr="00662611" w:rsidRDefault="00AE5D64" w:rsidP="00AE5D64">
            <w:pPr>
              <w:pStyle w:val="AASBStandardDate"/>
            </w:pPr>
            <w:bookmarkStart w:id="2" w:name="DocDate"/>
            <w:r>
              <w:t>July</w:t>
            </w:r>
            <w:r w:rsidR="00717E6A" w:rsidRPr="00662611">
              <w:t xml:space="preserve"> 201</w:t>
            </w:r>
            <w:bookmarkEnd w:id="2"/>
            <w:r w:rsidR="009545BE" w:rsidRPr="00662611">
              <w:t>7</w:t>
            </w:r>
          </w:p>
        </w:tc>
      </w:tr>
    </w:tbl>
    <w:p w14:paraId="7D927165" w14:textId="77777777" w:rsidR="00717E6A" w:rsidRPr="00662611" w:rsidRDefault="009545BE" w:rsidP="00717E6A">
      <w:pPr>
        <w:pStyle w:val="AASBStandardTitle"/>
        <w:outlineLvl w:val="0"/>
      </w:pPr>
      <w:r w:rsidRPr="00662611">
        <w:t>Service Concession Arrangements: Grantors</w:t>
      </w:r>
    </w:p>
    <w:p w14:paraId="7D927166" w14:textId="77777777" w:rsidR="00717E6A" w:rsidRPr="00662611" w:rsidRDefault="00717E6A" w:rsidP="00717E6A">
      <w:pPr>
        <w:pStyle w:val="AASBBase"/>
      </w:pPr>
      <w:r w:rsidRPr="00662611">
        <w:rPr>
          <w:noProof/>
          <w:lang w:eastAsia="en-AU"/>
        </w:rPr>
        <w:drawing>
          <wp:anchor distT="0" distB="0" distL="114300" distR="114300" simplePos="0" relativeHeight="251658240" behindDoc="0" locked="1" layoutInCell="1" allowOverlap="1" wp14:anchorId="7D927851" wp14:editId="7D927852">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27167" w14:textId="77777777" w:rsidR="00717E6A" w:rsidRPr="00662611" w:rsidRDefault="00717E6A" w:rsidP="00717E6A">
      <w:pPr>
        <w:pStyle w:val="AASBBase"/>
        <w:sectPr w:rsidR="00717E6A" w:rsidRPr="00662611" w:rsidSect="00945090">
          <w:headerReference w:type="default" r:id="rId16"/>
          <w:pgSz w:w="11907" w:h="16839" w:code="9"/>
          <w:pgMar w:top="1440" w:right="1440" w:bottom="1440" w:left="1440" w:header="709" w:footer="709" w:gutter="0"/>
          <w:cols w:space="708"/>
          <w:docGrid w:linePitch="360"/>
        </w:sectPr>
      </w:pPr>
    </w:p>
    <w:p w14:paraId="7D927168" w14:textId="77777777" w:rsidR="00717E6A" w:rsidRPr="00662611" w:rsidRDefault="00717E6A" w:rsidP="00717E6A">
      <w:pPr>
        <w:pStyle w:val="IASBSectionTitle2NonInd"/>
        <w:outlineLvl w:val="0"/>
      </w:pPr>
      <w:r w:rsidRPr="00662611">
        <w:lastRenderedPageBreak/>
        <w:t xml:space="preserve">Obtaining a copy of this Accounting </w:t>
      </w:r>
      <w:r w:rsidR="00006562">
        <w:fldChar w:fldCharType="begin" w:fldLock="1"/>
      </w:r>
      <w:r w:rsidR="00006562">
        <w:instrText xml:space="preserve"> REF DocType </w:instrText>
      </w:r>
      <w:r w:rsidR="00006562">
        <w:fldChar w:fldCharType="separate"/>
      </w:r>
      <w:r w:rsidRPr="00662611">
        <w:t>Standard</w:t>
      </w:r>
      <w:r w:rsidR="00006562">
        <w:fldChar w:fldCharType="end"/>
      </w:r>
    </w:p>
    <w:p w14:paraId="7D927169" w14:textId="77777777" w:rsidR="00717E6A" w:rsidRPr="00662611" w:rsidRDefault="00717E6A" w:rsidP="00717E6A">
      <w:pPr>
        <w:pStyle w:val="AASBPara"/>
      </w:pPr>
      <w:r w:rsidRPr="00662611">
        <w:t xml:space="preserve">This </w:t>
      </w:r>
      <w:r w:rsidR="00006562">
        <w:fldChar w:fldCharType="begin" w:fldLock="1"/>
      </w:r>
      <w:r w:rsidR="00006562">
        <w:instrText xml:space="preserve"> REF DocType </w:instrText>
      </w:r>
      <w:r w:rsidR="00006562">
        <w:fldChar w:fldCharType="separate"/>
      </w:r>
      <w:r w:rsidRPr="00662611">
        <w:t>Standard</w:t>
      </w:r>
      <w:r w:rsidR="00006562">
        <w:fldChar w:fldCharType="end"/>
      </w:r>
      <w:r w:rsidRPr="00662611">
        <w:t xml:space="preserve"> is available on the AASB website: www.aasb.gov.au.</w:t>
      </w:r>
    </w:p>
    <w:p w14:paraId="7D92716A" w14:textId="77777777" w:rsidR="00717E6A" w:rsidRPr="00662611" w:rsidRDefault="00717E6A" w:rsidP="00717E6A">
      <w:pPr>
        <w:pStyle w:val="AASBBase"/>
      </w:pPr>
      <w:r w:rsidRPr="00662611">
        <w:t>Australian Accounting Standards Board</w:t>
      </w:r>
    </w:p>
    <w:p w14:paraId="7D92716B" w14:textId="77777777" w:rsidR="00717E6A" w:rsidRPr="00662611" w:rsidRDefault="00717E6A" w:rsidP="00717E6A">
      <w:pPr>
        <w:pStyle w:val="AASBBase"/>
      </w:pPr>
      <w:r w:rsidRPr="00662611">
        <w:t>PO Box 204</w:t>
      </w:r>
    </w:p>
    <w:p w14:paraId="7D92716C" w14:textId="77777777" w:rsidR="00717E6A" w:rsidRPr="00662611" w:rsidRDefault="00717E6A" w:rsidP="00717E6A">
      <w:pPr>
        <w:pStyle w:val="AASBBase"/>
      </w:pPr>
      <w:r w:rsidRPr="00662611">
        <w:t>Collins Street West</w:t>
      </w:r>
    </w:p>
    <w:p w14:paraId="7D92716D" w14:textId="77777777" w:rsidR="00717E6A" w:rsidRPr="00662611" w:rsidRDefault="00717E6A" w:rsidP="00717E6A">
      <w:pPr>
        <w:pStyle w:val="AASBBase"/>
      </w:pPr>
      <w:r w:rsidRPr="00662611">
        <w:t>Victoria   8007</w:t>
      </w:r>
    </w:p>
    <w:p w14:paraId="7D92716E" w14:textId="77777777" w:rsidR="00717E6A" w:rsidRPr="00662611" w:rsidRDefault="00717E6A" w:rsidP="00717E6A">
      <w:pPr>
        <w:pStyle w:val="AASBPara"/>
      </w:pPr>
      <w:r w:rsidRPr="00662611">
        <w:t>AUSTRALIA</w:t>
      </w:r>
    </w:p>
    <w:p w14:paraId="7D92716F" w14:textId="77777777" w:rsidR="00717E6A" w:rsidRPr="00662611" w:rsidRDefault="00717E6A" w:rsidP="00717E6A">
      <w:pPr>
        <w:pStyle w:val="AASBBase"/>
        <w:tabs>
          <w:tab w:val="left" w:pos="907"/>
        </w:tabs>
      </w:pPr>
      <w:r w:rsidRPr="00662611">
        <w:t>Phone:</w:t>
      </w:r>
      <w:r w:rsidRPr="00662611">
        <w:tab/>
        <w:t>(03) 9617 7600</w:t>
      </w:r>
    </w:p>
    <w:p w14:paraId="7D927170" w14:textId="77777777" w:rsidR="00717E6A" w:rsidRPr="00662611" w:rsidRDefault="00717E6A" w:rsidP="00717E6A">
      <w:pPr>
        <w:pStyle w:val="AASBBase"/>
        <w:tabs>
          <w:tab w:val="left" w:pos="907"/>
        </w:tabs>
      </w:pPr>
      <w:r w:rsidRPr="00662611">
        <w:t>E-mail:</w:t>
      </w:r>
      <w:r w:rsidRPr="00662611">
        <w:tab/>
        <w:t>publications@aasb.gov.au</w:t>
      </w:r>
    </w:p>
    <w:p w14:paraId="7D927171" w14:textId="77777777" w:rsidR="00717E6A" w:rsidRPr="00662611" w:rsidRDefault="00717E6A" w:rsidP="00717E6A">
      <w:pPr>
        <w:pStyle w:val="AASBPara"/>
        <w:tabs>
          <w:tab w:val="left" w:pos="907"/>
        </w:tabs>
      </w:pPr>
      <w:r w:rsidRPr="00662611">
        <w:t>Website:</w:t>
      </w:r>
      <w:r w:rsidRPr="00662611">
        <w:tab/>
        <w:t>www.aasb.gov.au</w:t>
      </w:r>
    </w:p>
    <w:p w14:paraId="7D927172" w14:textId="77777777" w:rsidR="00717E6A" w:rsidRPr="00662611" w:rsidRDefault="00717E6A" w:rsidP="00717E6A">
      <w:pPr>
        <w:pStyle w:val="IASBSectionTitle2NonInd"/>
        <w:outlineLvl w:val="0"/>
      </w:pPr>
      <w:r w:rsidRPr="00662611">
        <w:t>Other enquiries</w:t>
      </w:r>
    </w:p>
    <w:p w14:paraId="7D927173" w14:textId="77777777" w:rsidR="00717E6A" w:rsidRPr="00662611" w:rsidRDefault="00717E6A" w:rsidP="00717E6A">
      <w:pPr>
        <w:pStyle w:val="AASBBase"/>
        <w:tabs>
          <w:tab w:val="left" w:pos="907"/>
        </w:tabs>
      </w:pPr>
      <w:r w:rsidRPr="00662611">
        <w:t>Phone:</w:t>
      </w:r>
      <w:r w:rsidRPr="00662611">
        <w:tab/>
        <w:t>(03) 9617 7600</w:t>
      </w:r>
    </w:p>
    <w:p w14:paraId="7D927174" w14:textId="77777777" w:rsidR="00363C6B" w:rsidRPr="00662611" w:rsidRDefault="00717E6A" w:rsidP="00717E6A">
      <w:pPr>
        <w:pStyle w:val="AASBBase"/>
        <w:tabs>
          <w:tab w:val="left" w:pos="907"/>
        </w:tabs>
      </w:pPr>
      <w:r w:rsidRPr="00662611">
        <w:t>E-mail:</w:t>
      </w:r>
      <w:r w:rsidRPr="00662611">
        <w:tab/>
      </w:r>
      <w:r w:rsidR="00363C6B" w:rsidRPr="00662611">
        <w:t>standard@aasb.gov.au</w:t>
      </w:r>
    </w:p>
    <w:p w14:paraId="7D927175" w14:textId="77777777" w:rsidR="00717E6A" w:rsidRPr="00662611" w:rsidRDefault="00717E6A" w:rsidP="003C4518">
      <w:pPr>
        <w:pStyle w:val="AASBPara"/>
        <w:spacing w:before="5040"/>
      </w:pPr>
      <w:r w:rsidRPr="00662611">
        <w:t>COPYRIGHT</w:t>
      </w:r>
    </w:p>
    <w:p w14:paraId="7D927176" w14:textId="77777777" w:rsidR="00717E6A" w:rsidRPr="00662611" w:rsidRDefault="00717E6A" w:rsidP="00717E6A">
      <w:pPr>
        <w:pStyle w:val="AASBPara"/>
      </w:pPr>
      <w:r w:rsidRPr="00662611">
        <w:t xml:space="preserve">© Commonwealth of Australia </w:t>
      </w:r>
      <w:r w:rsidR="00F04166" w:rsidRPr="00662611">
        <w:t>2017</w:t>
      </w:r>
    </w:p>
    <w:p w14:paraId="7D927177" w14:textId="77777777" w:rsidR="00363C6B" w:rsidRPr="00662611" w:rsidRDefault="00363C6B" w:rsidP="00363C6B">
      <w:pPr>
        <w:pStyle w:val="Default"/>
        <w:spacing w:after="200" w:line="200" w:lineRule="exact"/>
        <w:rPr>
          <w:sz w:val="19"/>
          <w:szCs w:val="19"/>
        </w:rPr>
      </w:pPr>
      <w:r w:rsidRPr="00662611">
        <w:rPr>
          <w:b/>
          <w:bCs/>
          <w:sz w:val="19"/>
          <w:szCs w:val="19"/>
        </w:rPr>
        <w:t xml:space="preserve">Publication based on a Final IFAC Publication </w:t>
      </w:r>
    </w:p>
    <w:p w14:paraId="7D927178" w14:textId="4A41D927" w:rsidR="00363C6B" w:rsidRPr="00662611" w:rsidRDefault="00363C6B" w:rsidP="00490C9F">
      <w:pPr>
        <w:pStyle w:val="Default"/>
        <w:spacing w:after="200" w:line="200" w:lineRule="exact"/>
        <w:jc w:val="both"/>
        <w:rPr>
          <w:sz w:val="19"/>
          <w:szCs w:val="19"/>
        </w:rPr>
      </w:pPr>
      <w:r w:rsidRPr="00662611">
        <w:rPr>
          <w:sz w:val="19"/>
          <w:szCs w:val="19"/>
        </w:rPr>
        <w:t xml:space="preserve">This </w:t>
      </w:r>
      <w:r w:rsidR="007751FD">
        <w:rPr>
          <w:sz w:val="19"/>
          <w:szCs w:val="19"/>
        </w:rPr>
        <w:t xml:space="preserve">AASB Standard </w:t>
      </w:r>
      <w:r w:rsidRPr="00662611">
        <w:rPr>
          <w:sz w:val="19"/>
          <w:szCs w:val="19"/>
        </w:rPr>
        <w:t>is based on International Pub</w:t>
      </w:r>
      <w:r w:rsidR="000D6E87" w:rsidRPr="00662611">
        <w:rPr>
          <w:sz w:val="19"/>
          <w:szCs w:val="19"/>
        </w:rPr>
        <w:t>lic Sector Accounting Standard</w:t>
      </w:r>
      <w:r w:rsidR="00EF2315" w:rsidRPr="00662611">
        <w:rPr>
          <w:sz w:val="19"/>
          <w:szCs w:val="19"/>
        </w:rPr>
        <w:t xml:space="preserve"> IPSAS</w:t>
      </w:r>
      <w:r w:rsidRPr="00662611">
        <w:rPr>
          <w:sz w:val="19"/>
          <w:szCs w:val="19"/>
        </w:rPr>
        <w:t xml:space="preserve"> 32 </w:t>
      </w:r>
      <w:r w:rsidRPr="00662611">
        <w:rPr>
          <w:i/>
          <w:iCs/>
          <w:sz w:val="19"/>
          <w:szCs w:val="19"/>
        </w:rPr>
        <w:t xml:space="preserve">Service Concession Arrangements: Grantor </w:t>
      </w:r>
      <w:r w:rsidRPr="00662611">
        <w:rPr>
          <w:sz w:val="19"/>
          <w:szCs w:val="19"/>
        </w:rPr>
        <w:t>of the International Public Sector Accounting Standards Board (IPSASB), published by the International Federation of Accountants (IFAC) in</w:t>
      </w:r>
      <w:r w:rsidR="007751FD">
        <w:rPr>
          <w:sz w:val="19"/>
          <w:szCs w:val="19"/>
        </w:rPr>
        <w:t xml:space="preserve"> April 2016</w:t>
      </w:r>
      <w:r w:rsidRPr="00662611">
        <w:rPr>
          <w:sz w:val="19"/>
          <w:szCs w:val="19"/>
        </w:rPr>
        <w:t xml:space="preserve">, and is used with permission of IFAC. </w:t>
      </w:r>
    </w:p>
    <w:p w14:paraId="7D927179" w14:textId="77777777" w:rsidR="00363C6B" w:rsidRPr="00662611" w:rsidRDefault="00363C6B" w:rsidP="00490C9F">
      <w:pPr>
        <w:pStyle w:val="Default"/>
        <w:spacing w:after="200" w:line="200" w:lineRule="exact"/>
        <w:jc w:val="both"/>
        <w:rPr>
          <w:sz w:val="19"/>
          <w:szCs w:val="19"/>
        </w:rPr>
      </w:pPr>
      <w:r w:rsidRPr="00662611">
        <w:rPr>
          <w:sz w:val="19"/>
          <w:szCs w:val="19"/>
        </w:rPr>
        <w:t xml:space="preserve">Reproduction within Australia in English in unaltered form (retaining this notice) is permitted for personal and non-commercial use subject to the inclusion of an acknowledgment of the source. Requests and enquiries concerning reproduction and rights for commercial purposes should be addressed to The </w:t>
      </w:r>
      <w:r w:rsidR="008D05B6" w:rsidRPr="00662611">
        <w:rPr>
          <w:sz w:val="19"/>
          <w:szCs w:val="19"/>
        </w:rPr>
        <w:t xml:space="preserve">National </w:t>
      </w:r>
      <w:r w:rsidRPr="00662611">
        <w:rPr>
          <w:sz w:val="19"/>
          <w:szCs w:val="19"/>
        </w:rPr>
        <w:t xml:space="preserve">Director, Australian Accounting Standards Board, PO Box 204, Collins Street West, Victoria 8007, </w:t>
      </w:r>
      <w:proofErr w:type="gramStart"/>
      <w:r w:rsidRPr="00662611">
        <w:rPr>
          <w:sz w:val="19"/>
          <w:szCs w:val="19"/>
        </w:rPr>
        <w:t>Australia</w:t>
      </w:r>
      <w:proofErr w:type="gramEnd"/>
      <w:r w:rsidRPr="00662611">
        <w:rPr>
          <w:sz w:val="19"/>
          <w:szCs w:val="19"/>
        </w:rPr>
        <w:t>. The AASB acknowledges that IFAC is the owner of copyright in the IPSAS incorporated in this Australia</w:t>
      </w:r>
      <w:r w:rsidR="008D05B6" w:rsidRPr="00662611">
        <w:rPr>
          <w:sz w:val="19"/>
          <w:szCs w:val="19"/>
        </w:rPr>
        <w:t>n</w:t>
      </w:r>
      <w:r w:rsidRPr="00662611">
        <w:rPr>
          <w:sz w:val="19"/>
          <w:szCs w:val="19"/>
        </w:rPr>
        <w:t xml:space="preserve"> Standard throughout the world.</w:t>
      </w:r>
    </w:p>
    <w:p w14:paraId="7D92717A" w14:textId="77777777" w:rsidR="00363C6B" w:rsidRPr="00662611" w:rsidRDefault="00363C6B" w:rsidP="00490C9F">
      <w:pPr>
        <w:pStyle w:val="SpaceAfter"/>
        <w:spacing w:after="200"/>
        <w:jc w:val="both"/>
        <w:rPr>
          <w:sz w:val="19"/>
          <w:szCs w:val="19"/>
        </w:rPr>
      </w:pPr>
      <w:r w:rsidRPr="00662611">
        <w:rPr>
          <w:sz w:val="19"/>
          <w:szCs w:val="19"/>
        </w:rPr>
        <w:t>All other existing rights in this material are reserved outside Australia. Further information and requests for authorisation to reproduce for commercial purposes outside Australia should be addressed to the International Federation of Accountants at permissions@ifac.org.</w:t>
      </w:r>
    </w:p>
    <w:p w14:paraId="7D92717B" w14:textId="77777777" w:rsidR="00717E6A" w:rsidRPr="00662611" w:rsidRDefault="00AF4D23" w:rsidP="003C4518">
      <w:pPr>
        <w:pStyle w:val="AASBPara"/>
        <w:rPr>
          <w:szCs w:val="19"/>
        </w:rPr>
      </w:pPr>
      <w:r w:rsidRPr="00662611">
        <w:t>ISSN 1036-4803</w:t>
      </w:r>
    </w:p>
    <w:p w14:paraId="7D92717C" w14:textId="77777777" w:rsidR="00717E6A" w:rsidRPr="00662611" w:rsidRDefault="00717E6A" w:rsidP="00717E6A">
      <w:pPr>
        <w:pStyle w:val="AASBBase"/>
        <w:sectPr w:rsidR="00717E6A" w:rsidRPr="00662611" w:rsidSect="00945090">
          <w:headerReference w:type="even" r:id="rId17"/>
          <w:headerReference w:type="default" r:id="rId18"/>
          <w:footerReference w:type="even" r:id="rId19"/>
          <w:footerReference w:type="default" r:id="rId20"/>
          <w:pgSz w:w="11907" w:h="16839" w:code="9"/>
          <w:pgMar w:top="1440" w:right="1440" w:bottom="1440" w:left="1440" w:header="720" w:footer="720" w:gutter="0"/>
          <w:pgNumType w:start="2"/>
          <w:cols w:space="708"/>
          <w:docGrid w:linePitch="360"/>
        </w:sectPr>
      </w:pPr>
    </w:p>
    <w:p w14:paraId="7D92717D" w14:textId="77777777" w:rsidR="0097235C" w:rsidRPr="00662611" w:rsidRDefault="0097235C" w:rsidP="0097235C">
      <w:pPr>
        <w:pStyle w:val="ConvSectionTitle"/>
      </w:pPr>
      <w:r w:rsidRPr="00662611">
        <w:lastRenderedPageBreak/>
        <w:t>Contents</w:t>
      </w:r>
    </w:p>
    <w:p w14:paraId="7D92717E" w14:textId="77777777" w:rsidR="0097235C" w:rsidRPr="00662611" w:rsidRDefault="0097235C" w:rsidP="0097235C">
      <w:pPr>
        <w:pStyle w:val="AASBPara"/>
        <w:spacing w:before="400"/>
      </w:pPr>
      <w:r w:rsidRPr="00662611">
        <w:t>PREFACE</w:t>
      </w:r>
    </w:p>
    <w:p w14:paraId="7D92717F" w14:textId="77777777" w:rsidR="00444546" w:rsidRPr="00662611" w:rsidRDefault="00444546" w:rsidP="00444546">
      <w:pPr>
        <w:pStyle w:val="AASBPara"/>
      </w:pPr>
      <w:r w:rsidRPr="00662611">
        <w:t>COMPARISON WITH INTERNATIONAL PRONOUNCEMENTS</w:t>
      </w:r>
    </w:p>
    <w:p w14:paraId="7D927180" w14:textId="77777777" w:rsidR="0097235C" w:rsidRPr="00662611" w:rsidRDefault="0097235C" w:rsidP="0097235C">
      <w:pPr>
        <w:pStyle w:val="AASBBase"/>
        <w:rPr>
          <w:b/>
        </w:rPr>
      </w:pPr>
      <w:r w:rsidRPr="00662611">
        <w:rPr>
          <w:b/>
        </w:rPr>
        <w:t>ACCOUNTING STANDARD</w:t>
      </w:r>
    </w:p>
    <w:p w14:paraId="7D927181" w14:textId="0F50DC3D" w:rsidR="0097235C" w:rsidRPr="00662611" w:rsidRDefault="0097235C" w:rsidP="0097235C">
      <w:pPr>
        <w:pStyle w:val="AASBPara"/>
        <w:rPr>
          <w:b/>
          <w:caps/>
        </w:rPr>
      </w:pPr>
      <w:r w:rsidRPr="00662611">
        <w:rPr>
          <w:b/>
          <w:caps/>
        </w:rPr>
        <w:t xml:space="preserve">AASB </w:t>
      </w:r>
      <w:r w:rsidRPr="00662611">
        <w:rPr>
          <w:b/>
          <w:caps/>
        </w:rPr>
        <w:fldChar w:fldCharType="begin" w:fldLock="1"/>
      </w:r>
      <w:r w:rsidRPr="00662611">
        <w:rPr>
          <w:b/>
          <w:caps/>
        </w:rPr>
        <w:instrText xml:space="preserve"> REF \* charformat DocNo  \* MERGEFORMAT </w:instrText>
      </w:r>
      <w:r w:rsidRPr="00662611">
        <w:rPr>
          <w:b/>
          <w:caps/>
        </w:rPr>
        <w:fldChar w:fldCharType="separate"/>
      </w:r>
      <w:r w:rsidR="005F6667">
        <w:rPr>
          <w:b/>
          <w:caps/>
        </w:rPr>
        <w:t>1059</w:t>
      </w:r>
      <w:r w:rsidRPr="00662611">
        <w:rPr>
          <w:b/>
          <w:caps/>
        </w:rPr>
        <w:fldChar w:fldCharType="end"/>
      </w:r>
      <w:r w:rsidRPr="00662611">
        <w:rPr>
          <w:b/>
          <w:caps/>
        </w:rPr>
        <w:t xml:space="preserve"> </w:t>
      </w:r>
      <w:r w:rsidRPr="00662611">
        <w:rPr>
          <w:b/>
          <w:i/>
          <w:caps/>
        </w:rPr>
        <w:t>Service Concession Arrangements: Grantors</w:t>
      </w:r>
    </w:p>
    <w:p w14:paraId="7D927182" w14:textId="77777777" w:rsidR="0097235C" w:rsidRPr="00662611" w:rsidRDefault="0097235C" w:rsidP="0097235C">
      <w:pPr>
        <w:pStyle w:val="ContentsHeading"/>
      </w:pPr>
      <w:proofErr w:type="gramStart"/>
      <w:r w:rsidRPr="00662611">
        <w:t>from</w:t>
      </w:r>
      <w:proofErr w:type="gramEnd"/>
      <w:r w:rsidRPr="00662611">
        <w:t xml:space="preserve"> paragraph</w:t>
      </w:r>
    </w:p>
    <w:p w14:paraId="7D927183" w14:textId="77777777" w:rsidR="0097235C" w:rsidRPr="00662611" w:rsidRDefault="0097235C" w:rsidP="0097235C">
      <w:pPr>
        <w:pStyle w:val="ContentsLevel1"/>
      </w:pPr>
      <w:r w:rsidRPr="00662611">
        <w:t>Objective</w:t>
      </w:r>
      <w:r w:rsidRPr="00662611">
        <w:tab/>
        <w:t>1</w:t>
      </w:r>
    </w:p>
    <w:p w14:paraId="7D927184" w14:textId="77777777" w:rsidR="0097235C" w:rsidRPr="00662611" w:rsidRDefault="003F6CF6" w:rsidP="00717E6A">
      <w:pPr>
        <w:pStyle w:val="ContentsLevel1"/>
      </w:pPr>
      <w:bookmarkStart w:id="3" w:name="TOCRange"/>
      <w:bookmarkStart w:id="4" w:name="TOCBottomStandard"/>
      <w:r w:rsidRPr="00662611">
        <w:t>Scope</w:t>
      </w:r>
      <w:r w:rsidRPr="00662611">
        <w:tab/>
        <w:t>2</w:t>
      </w:r>
    </w:p>
    <w:p w14:paraId="7D927185" w14:textId="77777777" w:rsidR="005B45B2" w:rsidRPr="00662611" w:rsidRDefault="00293470" w:rsidP="00717E6A">
      <w:pPr>
        <w:pStyle w:val="ContentsLevel1"/>
      </w:pPr>
      <w:r w:rsidRPr="00662611">
        <w:t>Recognition and measurement of service concession assets</w:t>
      </w:r>
      <w:r w:rsidRPr="00662611">
        <w:tab/>
      </w:r>
      <w:r w:rsidR="003F6CF6" w:rsidRPr="00662611">
        <w:t>5</w:t>
      </w:r>
    </w:p>
    <w:p w14:paraId="7D927186" w14:textId="56600F3B" w:rsidR="00672B1F" w:rsidRPr="00662611" w:rsidRDefault="00672B1F" w:rsidP="00717E6A">
      <w:pPr>
        <w:pStyle w:val="ContentsLevel1"/>
      </w:pPr>
      <w:r w:rsidRPr="00662611">
        <w:t>Recognition and measurement of liabilities</w:t>
      </w:r>
      <w:r w:rsidRPr="00662611">
        <w:tab/>
      </w:r>
      <w:r w:rsidR="003F6CF6" w:rsidRPr="00662611">
        <w:t>1</w:t>
      </w:r>
      <w:r w:rsidR="004A0799">
        <w:t>1</w:t>
      </w:r>
    </w:p>
    <w:p w14:paraId="7D927187" w14:textId="487F5BDE" w:rsidR="00672B1F" w:rsidRPr="00662611" w:rsidRDefault="00672B1F" w:rsidP="00672B1F">
      <w:pPr>
        <w:pStyle w:val="ContentsLevel2"/>
      </w:pPr>
      <w:r w:rsidRPr="00662611">
        <w:t>Financial liability model</w:t>
      </w:r>
      <w:r w:rsidRPr="00662611">
        <w:tab/>
      </w:r>
      <w:r w:rsidR="003F6CF6" w:rsidRPr="00662611">
        <w:t>1</w:t>
      </w:r>
      <w:r w:rsidR="004A0799">
        <w:t>5</w:t>
      </w:r>
    </w:p>
    <w:p w14:paraId="7D927188" w14:textId="62827EF7" w:rsidR="00672B1F" w:rsidRPr="00662611" w:rsidRDefault="00672B1F" w:rsidP="00672B1F">
      <w:pPr>
        <w:pStyle w:val="ContentsLevel2"/>
      </w:pPr>
      <w:r w:rsidRPr="00662611">
        <w:t xml:space="preserve">Grant of </w:t>
      </w:r>
      <w:r w:rsidR="007F7743" w:rsidRPr="00662611">
        <w:t>a</w:t>
      </w:r>
      <w:r w:rsidRPr="00662611">
        <w:t xml:space="preserve"> right to the operator model</w:t>
      </w:r>
      <w:r w:rsidRPr="00662611">
        <w:tab/>
      </w:r>
      <w:r w:rsidR="004A0799">
        <w:t>21</w:t>
      </w:r>
    </w:p>
    <w:p w14:paraId="7D927189" w14:textId="74DC5A52" w:rsidR="00E9131C" w:rsidRPr="00662611" w:rsidRDefault="00E9131C" w:rsidP="00672B1F">
      <w:pPr>
        <w:pStyle w:val="ContentsLevel2"/>
      </w:pPr>
      <w:r w:rsidRPr="00662611">
        <w:t>Dividing the arrangement</w:t>
      </w:r>
      <w:r w:rsidRPr="00662611">
        <w:tab/>
      </w:r>
      <w:r w:rsidR="004A0799">
        <w:t>24</w:t>
      </w:r>
    </w:p>
    <w:p w14:paraId="7D92718A" w14:textId="5FFD56B7" w:rsidR="00672B1F" w:rsidRPr="00662611" w:rsidRDefault="00923B93" w:rsidP="00923B93">
      <w:pPr>
        <w:pStyle w:val="ContentsLevel1"/>
        <w:jc w:val="left"/>
      </w:pPr>
      <w:r w:rsidRPr="00662611">
        <w:t>OTHER LIABILITIES, COMMITMENTS, CONTINGENT LIABILITIES AND CONTINGENT ASSETS</w:t>
      </w:r>
      <w:r w:rsidRPr="00662611">
        <w:tab/>
      </w:r>
      <w:r w:rsidR="004A0799">
        <w:t>26</w:t>
      </w:r>
    </w:p>
    <w:p w14:paraId="7D92718B" w14:textId="7D347539" w:rsidR="00B0738D" w:rsidRPr="00662611" w:rsidRDefault="00B0738D" w:rsidP="00923B93">
      <w:pPr>
        <w:pStyle w:val="ContentsLevel1"/>
        <w:jc w:val="left"/>
      </w:pPr>
      <w:r w:rsidRPr="00662611">
        <w:t>OTHER REVENUES</w:t>
      </w:r>
      <w:r w:rsidRPr="00662611">
        <w:tab/>
      </w:r>
      <w:r w:rsidR="004A0799">
        <w:t>27</w:t>
      </w:r>
    </w:p>
    <w:p w14:paraId="7D92718C" w14:textId="6471EDA5" w:rsidR="00B0738D" w:rsidRPr="00662611" w:rsidRDefault="00B0738D" w:rsidP="00923B93">
      <w:pPr>
        <w:pStyle w:val="ContentsLevel1"/>
        <w:jc w:val="left"/>
      </w:pPr>
      <w:r w:rsidRPr="00662611">
        <w:t>PRESENTATION AND DISCLOSURE</w:t>
      </w:r>
      <w:r w:rsidRPr="00662611">
        <w:tab/>
      </w:r>
      <w:r w:rsidR="004A0799">
        <w:t>28</w:t>
      </w:r>
    </w:p>
    <w:p w14:paraId="7D92718D" w14:textId="1F1042AA" w:rsidR="00B0738D" w:rsidRPr="00662611" w:rsidRDefault="00B0738D" w:rsidP="00923B93">
      <w:pPr>
        <w:pStyle w:val="ContentsLevel1"/>
        <w:jc w:val="left"/>
      </w:pPr>
      <w:r w:rsidRPr="00662611">
        <w:t>Commencement of the legislative instrument</w:t>
      </w:r>
      <w:r w:rsidRPr="00662611">
        <w:tab/>
      </w:r>
      <w:r w:rsidR="004A0799">
        <w:t>30</w:t>
      </w:r>
    </w:p>
    <w:p w14:paraId="7D92718E" w14:textId="77777777" w:rsidR="00B0738D" w:rsidRPr="00662611" w:rsidRDefault="00B0738D" w:rsidP="00923B93">
      <w:pPr>
        <w:pStyle w:val="ContentsLevel1"/>
        <w:jc w:val="left"/>
      </w:pPr>
    </w:p>
    <w:p w14:paraId="7D92718F" w14:textId="77777777" w:rsidR="004367CB" w:rsidRPr="00662611" w:rsidRDefault="004367CB" w:rsidP="004367CB">
      <w:pPr>
        <w:pStyle w:val="ContentsLevel1"/>
      </w:pPr>
      <w:r w:rsidRPr="00662611">
        <w:t>Appendices</w:t>
      </w:r>
    </w:p>
    <w:p w14:paraId="7D927190" w14:textId="77777777" w:rsidR="004367CB" w:rsidRPr="00662611" w:rsidRDefault="004367CB" w:rsidP="004367CB">
      <w:pPr>
        <w:pStyle w:val="ContentsLevel1"/>
        <w:rPr>
          <w:rFonts w:ascii="Times New Roman Bold" w:hAnsi="Times New Roman Bold"/>
          <w:caps w:val="0"/>
        </w:rPr>
      </w:pPr>
      <w:r w:rsidRPr="00662611">
        <w:rPr>
          <w:rFonts w:ascii="Times New Roman Bold" w:hAnsi="Times New Roman Bold"/>
          <w:caps w:val="0"/>
        </w:rPr>
        <w:t>A Defined terms</w:t>
      </w:r>
    </w:p>
    <w:p w14:paraId="7D927191" w14:textId="77777777" w:rsidR="004367CB" w:rsidRPr="00662611" w:rsidRDefault="004367CB" w:rsidP="004367CB">
      <w:pPr>
        <w:pStyle w:val="ContentsLevel1"/>
        <w:rPr>
          <w:rFonts w:ascii="Times New Roman Bold" w:hAnsi="Times New Roman Bold"/>
          <w:caps w:val="0"/>
        </w:rPr>
      </w:pPr>
      <w:r w:rsidRPr="00662611">
        <w:rPr>
          <w:rFonts w:ascii="Times New Roman Bold" w:hAnsi="Times New Roman Bold"/>
          <w:caps w:val="0"/>
        </w:rPr>
        <w:t>B Application guidance</w:t>
      </w:r>
    </w:p>
    <w:p w14:paraId="7D927192" w14:textId="77777777" w:rsidR="004367CB" w:rsidRPr="00662611" w:rsidRDefault="004367CB" w:rsidP="004367CB">
      <w:pPr>
        <w:pStyle w:val="ContentsLevel1"/>
        <w:rPr>
          <w:rFonts w:ascii="Times New Roman Bold" w:hAnsi="Times New Roman Bold"/>
          <w:caps w:val="0"/>
        </w:rPr>
      </w:pPr>
      <w:r w:rsidRPr="00662611">
        <w:rPr>
          <w:rFonts w:ascii="Times New Roman Bold" w:hAnsi="Times New Roman Bold"/>
          <w:caps w:val="0"/>
        </w:rPr>
        <w:t>C Effective date and transition</w:t>
      </w:r>
    </w:p>
    <w:p w14:paraId="7D927193" w14:textId="77777777" w:rsidR="00237FB1" w:rsidRPr="00662611" w:rsidRDefault="004367CB" w:rsidP="004367CB">
      <w:pPr>
        <w:pStyle w:val="ContentsLevel1"/>
        <w:rPr>
          <w:rFonts w:ascii="Times New Roman Bold" w:hAnsi="Times New Roman Bold"/>
          <w:caps w:val="0"/>
        </w:rPr>
      </w:pPr>
      <w:r w:rsidRPr="00662611">
        <w:rPr>
          <w:rFonts w:ascii="Times New Roman Bold" w:hAnsi="Times New Roman Bold"/>
          <w:caps w:val="0"/>
        </w:rPr>
        <w:t>D Amendments to other Standards</w:t>
      </w:r>
    </w:p>
    <w:p w14:paraId="7D927194" w14:textId="77777777" w:rsidR="00237FB1" w:rsidRPr="00662611" w:rsidRDefault="00237FB1" w:rsidP="004367CB">
      <w:pPr>
        <w:pStyle w:val="ContentsLevel1"/>
        <w:rPr>
          <w:rFonts w:ascii="Times New Roman Bold" w:hAnsi="Times New Roman Bold"/>
          <w:caps w:val="0"/>
        </w:rPr>
      </w:pPr>
    </w:p>
    <w:p w14:paraId="7D927195" w14:textId="77777777" w:rsidR="00F03481" w:rsidRPr="00662611" w:rsidRDefault="00F03481" w:rsidP="004367CB">
      <w:pPr>
        <w:pStyle w:val="ContentsLevel1"/>
        <w:rPr>
          <w:rFonts w:ascii="Times New Roman Bold" w:hAnsi="Times New Roman Bold"/>
          <w:caps w:val="0"/>
        </w:rPr>
      </w:pPr>
      <w:r w:rsidRPr="00662611">
        <w:rPr>
          <w:rFonts w:ascii="Times New Roman Bold" w:hAnsi="Times New Roman Bold"/>
          <w:caps w:val="0"/>
        </w:rPr>
        <w:t>IMPLEMENTATION GUIDANCE</w:t>
      </w:r>
    </w:p>
    <w:p w14:paraId="7D927196" w14:textId="77777777" w:rsidR="00237FB1" w:rsidRPr="00662611" w:rsidRDefault="00237FB1" w:rsidP="004367CB">
      <w:pPr>
        <w:pStyle w:val="ContentsLevel1"/>
        <w:rPr>
          <w:rFonts w:ascii="Times New Roman Bold" w:hAnsi="Times New Roman Bold"/>
          <w:caps w:val="0"/>
        </w:rPr>
      </w:pPr>
      <w:r w:rsidRPr="00662611">
        <w:rPr>
          <w:rFonts w:ascii="Times New Roman Bold" w:hAnsi="Times New Roman Bold"/>
          <w:caps w:val="0"/>
        </w:rPr>
        <w:t>ILLUSTRATIVE EXAMPLES</w:t>
      </w:r>
    </w:p>
    <w:p w14:paraId="7D927197" w14:textId="77777777" w:rsidR="00237FB1" w:rsidRPr="00662611" w:rsidRDefault="00237FB1" w:rsidP="004367CB">
      <w:pPr>
        <w:pStyle w:val="ContentsLevel1"/>
        <w:rPr>
          <w:rFonts w:ascii="Times New Roman Bold" w:hAnsi="Times New Roman Bold"/>
          <w:caps w:val="0"/>
        </w:rPr>
      </w:pPr>
      <w:r w:rsidRPr="00662611">
        <w:rPr>
          <w:rFonts w:ascii="Times New Roman Bold" w:hAnsi="Times New Roman Bold"/>
          <w:caps w:val="0"/>
        </w:rPr>
        <w:t>BASIS FOR CONCLUSIONS</w:t>
      </w:r>
    </w:p>
    <w:p w14:paraId="7D927198" w14:textId="77777777" w:rsidR="004367CB" w:rsidRPr="00662611" w:rsidRDefault="004367CB" w:rsidP="004367CB">
      <w:pPr>
        <w:pStyle w:val="ContentsLevel1"/>
        <w:rPr>
          <w:rFonts w:ascii="Times New Roman Bold" w:hAnsi="Times New Roman Bold"/>
          <w:caps w:val="0"/>
        </w:rPr>
      </w:pPr>
    </w:p>
    <w:bookmarkEnd w:id="3"/>
    <w:p w14:paraId="7D927199" w14:textId="77777777" w:rsidR="00687E6A" w:rsidRPr="00662611" w:rsidRDefault="00687E6A" w:rsidP="00717E6A">
      <w:pPr>
        <w:pStyle w:val="ContentsLevel1"/>
      </w:pPr>
    </w:p>
    <w:p w14:paraId="7D92719A" w14:textId="2E203B44" w:rsidR="00717E6A" w:rsidRPr="00662611" w:rsidRDefault="00717E6A" w:rsidP="00717E6A">
      <w:pPr>
        <w:pStyle w:val="AASBBase"/>
        <w:keepLines/>
        <w:pBdr>
          <w:top w:val="single" w:sz="4" w:space="1" w:color="auto"/>
          <w:left w:val="single" w:sz="4" w:space="4" w:color="auto"/>
          <w:bottom w:val="single" w:sz="4" w:space="1" w:color="auto"/>
          <w:right w:val="single" w:sz="4" w:space="4" w:color="auto"/>
        </w:pBdr>
      </w:pPr>
      <w:r w:rsidRPr="00662611">
        <w:t xml:space="preserve">Australian Accounting Standard </w:t>
      </w:r>
      <w:r w:rsidR="00FC0454" w:rsidRPr="00662611">
        <w:t xml:space="preserve">AASB </w:t>
      </w:r>
      <w:r w:rsidR="005F6667">
        <w:t>1059</w:t>
      </w:r>
      <w:r w:rsidR="00FC0454" w:rsidRPr="00662611">
        <w:t xml:space="preserve"> </w:t>
      </w:r>
      <w:r w:rsidR="00FC0454" w:rsidRPr="00662611">
        <w:rPr>
          <w:i/>
        </w:rPr>
        <w:t>Service Concession Arrangements: Grantors</w:t>
      </w:r>
      <w:r w:rsidR="00FC0454" w:rsidRPr="00662611">
        <w:t xml:space="preserve"> is set out in paragraphs</w:t>
      </w:r>
      <w:r w:rsidR="0094297C">
        <w:t xml:space="preserve"> </w:t>
      </w:r>
      <w:r w:rsidR="00D85CB2" w:rsidRPr="00662611">
        <w:fldChar w:fldCharType="begin"/>
      </w:r>
      <w:r w:rsidR="00D85CB2" w:rsidRPr="00662611">
        <w:instrText xml:space="preserve"> REF _Ref475606785 \r \h </w:instrText>
      </w:r>
      <w:r w:rsidR="00D85CB2" w:rsidRPr="00662611">
        <w:fldChar w:fldCharType="separate"/>
      </w:r>
      <w:r w:rsidR="00C43128">
        <w:t>1</w:t>
      </w:r>
      <w:r w:rsidR="00D85CB2" w:rsidRPr="00662611">
        <w:fldChar w:fldCharType="end"/>
      </w:r>
      <w:r w:rsidR="005C322B">
        <w:t> –</w:t>
      </w:r>
      <w:r w:rsidR="00B82475" w:rsidRPr="00662611">
        <w:fldChar w:fldCharType="begin"/>
      </w:r>
      <w:r w:rsidR="00B82475" w:rsidRPr="00662611">
        <w:instrText xml:space="preserve"> REF _Ref475619416 \r \h </w:instrText>
      </w:r>
      <w:r w:rsidR="00B82475" w:rsidRPr="00662611">
        <w:fldChar w:fldCharType="separate"/>
      </w:r>
      <w:r w:rsidR="00C43128">
        <w:t>30</w:t>
      </w:r>
      <w:r w:rsidR="00B82475" w:rsidRPr="00662611">
        <w:fldChar w:fldCharType="end"/>
      </w:r>
      <w:r w:rsidRPr="00662611">
        <w:t xml:space="preserve"> and Appendices A</w:t>
      </w:r>
      <w:r w:rsidR="00585008" w:rsidRPr="00662611">
        <w:t xml:space="preserve"> </w:t>
      </w:r>
      <w:r w:rsidR="003C7283" w:rsidRPr="00662611">
        <w:t>–</w:t>
      </w:r>
      <w:r w:rsidR="00585008" w:rsidRPr="00662611">
        <w:t xml:space="preserve"> </w:t>
      </w:r>
      <w:r w:rsidRPr="00662611">
        <w:t xml:space="preserve">D.  All the paragraphs have equal authority.  Paragraphs in </w:t>
      </w:r>
      <w:r w:rsidRPr="00662611">
        <w:rPr>
          <w:b/>
        </w:rPr>
        <w:t>bold type</w:t>
      </w:r>
      <w:r w:rsidRPr="00662611">
        <w:t xml:space="preserve"> state the main principles.  Terms defined in Appendix</w:t>
      </w:r>
      <w:r w:rsidR="0094297C">
        <w:t xml:space="preserve"> </w:t>
      </w:r>
      <w:proofErr w:type="gramStart"/>
      <w:r w:rsidRPr="00662611">
        <w:t>A</w:t>
      </w:r>
      <w:proofErr w:type="gramEnd"/>
      <w:r w:rsidRPr="00662611">
        <w:t xml:space="preserve"> are in </w:t>
      </w:r>
      <w:r w:rsidRPr="00662611">
        <w:rPr>
          <w:i/>
        </w:rPr>
        <w:t>italics</w:t>
      </w:r>
      <w:r w:rsidRPr="00662611">
        <w:t xml:space="preserve"> the first time they appear in the Standard. AASB </w:t>
      </w:r>
      <w:r w:rsidR="00006562">
        <w:fldChar w:fldCharType="begin" w:fldLock="1"/>
      </w:r>
      <w:r w:rsidR="00006562">
        <w:instrText xml:space="preserve"> REF \* charformat DocNo </w:instrText>
      </w:r>
      <w:r w:rsidR="00006562">
        <w:fldChar w:fldCharType="separate"/>
      </w:r>
      <w:r w:rsidR="005F6667">
        <w:t>1059</w:t>
      </w:r>
      <w:r w:rsidR="00006562">
        <w:fldChar w:fldCharType="end"/>
      </w:r>
      <w:r w:rsidRPr="00662611">
        <w:t xml:space="preserve"> is to be read in the context of other Australian Accounting Standards, including AASB 1048 </w:t>
      </w:r>
      <w:r w:rsidRPr="00662611">
        <w:rPr>
          <w:i/>
        </w:rPr>
        <w:t>Interpretation of Standards</w:t>
      </w:r>
      <w:r w:rsidRPr="00662611">
        <w:t xml:space="preserve">, which identifies the Australian Accounting Interpretations, and AASB 1057 </w:t>
      </w:r>
      <w:r w:rsidRPr="00662611">
        <w:rPr>
          <w:i/>
        </w:rPr>
        <w:t>Application of Australian Accounting Standards</w:t>
      </w:r>
      <w:r w:rsidR="0020147F" w:rsidRPr="00662611">
        <w:t xml:space="preserve">. </w:t>
      </w:r>
      <w:r w:rsidRPr="00662611">
        <w:t xml:space="preserve">In the absence of explicit guidance, AASB 108 </w:t>
      </w:r>
      <w:r w:rsidRPr="00662611">
        <w:rPr>
          <w:i/>
        </w:rPr>
        <w:t>Accounting Policies, Changes in Accounting Estimates and Errors</w:t>
      </w:r>
      <w:r w:rsidRPr="00662611">
        <w:t xml:space="preserve"> provides a basis for selecting and applying accounting policies.</w:t>
      </w:r>
    </w:p>
    <w:bookmarkEnd w:id="4"/>
    <w:p w14:paraId="7D92719B" w14:textId="77777777" w:rsidR="00717E6A" w:rsidRPr="00662611" w:rsidRDefault="00717E6A" w:rsidP="00717E6A">
      <w:pPr>
        <w:pStyle w:val="AASBBase"/>
        <w:sectPr w:rsidR="00717E6A" w:rsidRPr="00662611" w:rsidSect="00945090">
          <w:headerReference w:type="even" r:id="rId21"/>
          <w:footerReference w:type="even" r:id="rId22"/>
          <w:footerReference w:type="default" r:id="rId23"/>
          <w:pgSz w:w="11907" w:h="16839" w:code="9"/>
          <w:pgMar w:top="1440" w:right="1440" w:bottom="1440" w:left="1440" w:header="720" w:footer="720" w:gutter="0"/>
          <w:cols w:space="708"/>
          <w:docGrid w:linePitch="360"/>
        </w:sectPr>
      </w:pPr>
    </w:p>
    <w:p w14:paraId="7D92719C" w14:textId="77777777" w:rsidR="00DF3E6F" w:rsidRPr="00662611" w:rsidRDefault="00DF3E6F" w:rsidP="00DF3E6F">
      <w:pPr>
        <w:pStyle w:val="ConvSectionTitle"/>
      </w:pPr>
      <w:r w:rsidRPr="00662611">
        <w:lastRenderedPageBreak/>
        <w:t>Preface</w:t>
      </w:r>
    </w:p>
    <w:p w14:paraId="7D92719D" w14:textId="77777777" w:rsidR="00DF3E6F" w:rsidRPr="00662611" w:rsidRDefault="00DF3E6F" w:rsidP="00EE45A4">
      <w:pPr>
        <w:pStyle w:val="IASBSectionTitle1NonInd"/>
        <w:pBdr>
          <w:bottom w:val="single" w:sz="4" w:space="1" w:color="auto"/>
        </w:pBdr>
        <w:outlineLvl w:val="1"/>
      </w:pPr>
      <w:r w:rsidRPr="00662611">
        <w:t>Introduction</w:t>
      </w:r>
    </w:p>
    <w:p w14:paraId="7D92719E" w14:textId="77777777" w:rsidR="00DF3E6F" w:rsidRPr="00662611" w:rsidRDefault="00DF3E6F" w:rsidP="00F054B2">
      <w:pPr>
        <w:pStyle w:val="IASBNormal"/>
        <w:spacing w:before="0"/>
      </w:pPr>
      <w:r w:rsidRPr="00662611">
        <w:t xml:space="preserve">The Australian Accounting Standards Board (AASB) </w:t>
      </w:r>
      <w:proofErr w:type="gramStart"/>
      <w:r w:rsidRPr="00662611">
        <w:t>develops,</w:t>
      </w:r>
      <w:proofErr w:type="gramEnd"/>
      <w:r w:rsidRPr="00662611">
        <w:t xml:space="preserve"> issues and maintains Australian Accounting Standards, including Interpretations. The AASB is a Commonwealth entity under the </w:t>
      </w:r>
      <w:r w:rsidRPr="00662611">
        <w:rPr>
          <w:i/>
        </w:rPr>
        <w:t>Australian Securities and Investments Commission Act 2001</w:t>
      </w:r>
      <w:r w:rsidRPr="00662611">
        <w:t>.</w:t>
      </w:r>
    </w:p>
    <w:p w14:paraId="7D92719F" w14:textId="77777777" w:rsidR="00DF3E6F" w:rsidRPr="00662611" w:rsidRDefault="00DF3E6F" w:rsidP="00F054B2">
      <w:pPr>
        <w:pStyle w:val="IASBNormal"/>
        <w:spacing w:before="0"/>
      </w:pPr>
      <w:r w:rsidRPr="00662611">
        <w:rPr>
          <w:szCs w:val="19"/>
        </w:rPr>
        <w:t xml:space="preserve">AASB 1057 </w:t>
      </w:r>
      <w:r w:rsidRPr="00662611">
        <w:rPr>
          <w:i/>
          <w:szCs w:val="19"/>
        </w:rPr>
        <w:t>Application of</w:t>
      </w:r>
      <w:r w:rsidRPr="00662611">
        <w:rPr>
          <w:szCs w:val="19"/>
        </w:rPr>
        <w:t xml:space="preserve"> </w:t>
      </w:r>
      <w:r w:rsidRPr="00662611">
        <w:rPr>
          <w:i/>
        </w:rPr>
        <w:t>Australian Accounting Standards</w:t>
      </w:r>
      <w:r w:rsidRPr="00662611">
        <w:rPr>
          <w:szCs w:val="19"/>
        </w:rPr>
        <w:t xml:space="preserve"> identifies the application of Standards to entities and financial statements.  </w:t>
      </w:r>
      <w:r w:rsidRPr="00662611">
        <w:t xml:space="preserve">AASB 1053 </w:t>
      </w:r>
      <w:r w:rsidRPr="00662611">
        <w:rPr>
          <w:i/>
        </w:rPr>
        <w:t>Application of Tiers of Australian Accounting Standards</w:t>
      </w:r>
      <w:r w:rsidRPr="00662611">
        <w:t xml:space="preserve"> establishes a differential reporting framework consisting of two tiers of reporting requirements for preparing general purpose financial statements.</w:t>
      </w:r>
    </w:p>
    <w:p w14:paraId="7D9271A0" w14:textId="77777777" w:rsidR="00DF3E6F" w:rsidRPr="00662611" w:rsidRDefault="00DF3E6F" w:rsidP="00EE45A4">
      <w:pPr>
        <w:pStyle w:val="IASBSectionTitle1NonInd"/>
        <w:pBdr>
          <w:bottom w:val="single" w:sz="4" w:space="1" w:color="auto"/>
        </w:pBdr>
        <w:outlineLvl w:val="1"/>
      </w:pPr>
      <w:r w:rsidRPr="00662611">
        <w:t>What this Standard requires</w:t>
      </w:r>
    </w:p>
    <w:p w14:paraId="7D9271A1" w14:textId="61EA21A6" w:rsidR="00A134B0" w:rsidRPr="00662611" w:rsidRDefault="00A134B0" w:rsidP="00F054B2">
      <w:pPr>
        <w:pStyle w:val="IASBNormal"/>
        <w:spacing w:before="0"/>
        <w:rPr>
          <w:szCs w:val="19"/>
        </w:rPr>
      </w:pPr>
      <w:r w:rsidRPr="00662611">
        <w:rPr>
          <w:szCs w:val="19"/>
        </w:rPr>
        <w:t xml:space="preserve">This Standard </w:t>
      </w:r>
      <w:r w:rsidR="00A950D9" w:rsidRPr="00662611">
        <w:rPr>
          <w:szCs w:val="19"/>
        </w:rPr>
        <w:t xml:space="preserve">addresses </w:t>
      </w:r>
      <w:r w:rsidR="005B1456" w:rsidRPr="00662611">
        <w:rPr>
          <w:szCs w:val="19"/>
        </w:rPr>
        <w:t xml:space="preserve">the </w:t>
      </w:r>
      <w:r w:rsidR="00740B90" w:rsidRPr="00662611">
        <w:rPr>
          <w:szCs w:val="19"/>
        </w:rPr>
        <w:t xml:space="preserve">accounting for a service concession arrangement </w:t>
      </w:r>
      <w:r w:rsidR="00275B2C" w:rsidRPr="00662611">
        <w:rPr>
          <w:szCs w:val="19"/>
        </w:rPr>
        <w:t xml:space="preserve">by a grantor that is a public sector entity </w:t>
      </w:r>
      <w:r w:rsidR="005B1456" w:rsidRPr="00662611">
        <w:rPr>
          <w:szCs w:val="19"/>
        </w:rPr>
        <w:t xml:space="preserve">by prescribing the accounting for </w:t>
      </w:r>
      <w:r w:rsidR="00F70B50" w:rsidRPr="00662611">
        <w:rPr>
          <w:szCs w:val="19"/>
        </w:rPr>
        <w:t>the</w:t>
      </w:r>
      <w:r w:rsidR="00275B2C" w:rsidRPr="00662611">
        <w:rPr>
          <w:szCs w:val="19"/>
        </w:rPr>
        <w:t xml:space="preserve"> </w:t>
      </w:r>
      <w:r w:rsidR="005B1456" w:rsidRPr="00662611">
        <w:rPr>
          <w:szCs w:val="19"/>
        </w:rPr>
        <w:t xml:space="preserve">arrangement </w:t>
      </w:r>
      <w:r w:rsidR="00740B90" w:rsidRPr="00662611">
        <w:rPr>
          <w:szCs w:val="19"/>
        </w:rPr>
        <w:t xml:space="preserve">from the </w:t>
      </w:r>
      <w:r w:rsidR="00214985" w:rsidRPr="00662611">
        <w:rPr>
          <w:szCs w:val="19"/>
        </w:rPr>
        <w:t>grantor’s</w:t>
      </w:r>
      <w:r w:rsidR="00740B90" w:rsidRPr="00662611">
        <w:rPr>
          <w:szCs w:val="19"/>
        </w:rPr>
        <w:t xml:space="preserve"> perspective.</w:t>
      </w:r>
      <w:r w:rsidR="00403768" w:rsidRPr="00662611">
        <w:rPr>
          <w:szCs w:val="19"/>
        </w:rPr>
        <w:t xml:space="preserve"> The Standard is </w:t>
      </w:r>
      <w:r w:rsidR="00A950D9" w:rsidRPr="00662611">
        <w:rPr>
          <w:szCs w:val="19"/>
        </w:rPr>
        <w:t xml:space="preserve">based on International Public Sector Accounting Standard IPSAS 32 </w:t>
      </w:r>
      <w:r w:rsidR="00A950D9" w:rsidRPr="00662611">
        <w:rPr>
          <w:i/>
          <w:iCs/>
          <w:szCs w:val="19"/>
        </w:rPr>
        <w:t>Service Concession Arrangements: Grantor</w:t>
      </w:r>
      <w:r w:rsidR="00A950D9" w:rsidRPr="00662611">
        <w:rPr>
          <w:iCs/>
          <w:szCs w:val="19"/>
        </w:rPr>
        <w:t xml:space="preserve"> and is </w:t>
      </w:r>
      <w:r w:rsidR="001A582A" w:rsidRPr="00662611">
        <w:rPr>
          <w:szCs w:val="19"/>
        </w:rPr>
        <w:t>informed by</w:t>
      </w:r>
      <w:r w:rsidR="00403768" w:rsidRPr="00662611">
        <w:rPr>
          <w:szCs w:val="19"/>
        </w:rPr>
        <w:t xml:space="preserve"> AASB Interpretation 12 </w:t>
      </w:r>
      <w:r w:rsidR="008758B4" w:rsidRPr="00662611">
        <w:rPr>
          <w:i/>
          <w:szCs w:val="19"/>
        </w:rPr>
        <w:t>Service Concession Arrangements</w:t>
      </w:r>
      <w:r w:rsidR="00403768" w:rsidRPr="00662611">
        <w:rPr>
          <w:szCs w:val="19"/>
        </w:rPr>
        <w:t>, which sets out the accounting for the operator in a</w:t>
      </w:r>
      <w:r w:rsidR="00210171">
        <w:rPr>
          <w:szCs w:val="19"/>
        </w:rPr>
        <w:t xml:space="preserve"> public-to-private</w:t>
      </w:r>
      <w:r w:rsidR="00403768" w:rsidRPr="00662611">
        <w:rPr>
          <w:szCs w:val="19"/>
        </w:rPr>
        <w:t xml:space="preserve"> service concession arrangement. </w:t>
      </w:r>
      <w:r w:rsidR="00786C8C" w:rsidRPr="00662611">
        <w:rPr>
          <w:szCs w:val="19"/>
        </w:rPr>
        <w:t>For example, t</w:t>
      </w:r>
      <w:r w:rsidR="00403768" w:rsidRPr="00662611">
        <w:rPr>
          <w:szCs w:val="19"/>
        </w:rPr>
        <w:t>he principles for recognition of a</w:t>
      </w:r>
      <w:r w:rsidR="00786C8C" w:rsidRPr="00662611">
        <w:rPr>
          <w:szCs w:val="19"/>
        </w:rPr>
        <w:t xml:space="preserve"> service concession</w:t>
      </w:r>
      <w:r w:rsidR="00403768" w:rsidRPr="00662611">
        <w:rPr>
          <w:szCs w:val="19"/>
        </w:rPr>
        <w:t xml:space="preserve"> asset </w:t>
      </w:r>
      <w:r w:rsidR="00917CE2" w:rsidRPr="00662611">
        <w:rPr>
          <w:szCs w:val="19"/>
        </w:rPr>
        <w:t>are</w:t>
      </w:r>
      <w:r w:rsidR="00403768" w:rsidRPr="00662611">
        <w:rPr>
          <w:szCs w:val="19"/>
        </w:rPr>
        <w:t xml:space="preserve"> </w:t>
      </w:r>
      <w:r w:rsidR="00B917DA">
        <w:rPr>
          <w:szCs w:val="19"/>
        </w:rPr>
        <w:t>broadly</w:t>
      </w:r>
      <w:r w:rsidR="00B917DA" w:rsidRPr="00662611">
        <w:rPr>
          <w:szCs w:val="19"/>
        </w:rPr>
        <w:t xml:space="preserve"> </w:t>
      </w:r>
      <w:r w:rsidR="00403768" w:rsidRPr="00662611">
        <w:rPr>
          <w:szCs w:val="19"/>
        </w:rPr>
        <w:t>consistent with AASB Interpretation 12.</w:t>
      </w:r>
    </w:p>
    <w:p w14:paraId="7D9271A2" w14:textId="6EC4A4B0" w:rsidR="00717E6A" w:rsidRPr="00662611" w:rsidRDefault="000F4AD9" w:rsidP="00F054B2">
      <w:pPr>
        <w:pStyle w:val="IASBNormal"/>
        <w:spacing w:before="0"/>
        <w:rPr>
          <w:szCs w:val="19"/>
        </w:rPr>
      </w:pPr>
      <w:r w:rsidRPr="00662611">
        <w:rPr>
          <w:szCs w:val="19"/>
        </w:rPr>
        <w:t xml:space="preserve">The </w:t>
      </w:r>
      <w:r w:rsidR="00EC7159" w:rsidRPr="00662611">
        <w:rPr>
          <w:szCs w:val="19"/>
        </w:rPr>
        <w:t xml:space="preserve">Standard </w:t>
      </w:r>
      <w:r w:rsidRPr="00662611">
        <w:rPr>
          <w:szCs w:val="19"/>
        </w:rPr>
        <w:t>appli</w:t>
      </w:r>
      <w:r w:rsidR="00EC7159" w:rsidRPr="00662611">
        <w:rPr>
          <w:szCs w:val="19"/>
        </w:rPr>
        <w:t>es</w:t>
      </w:r>
      <w:r w:rsidRPr="00662611">
        <w:rPr>
          <w:szCs w:val="19"/>
        </w:rPr>
        <w:t xml:space="preserve"> to arrangements that involve an operator providing public services related to a service concession asset on behalf of </w:t>
      </w:r>
      <w:r w:rsidR="009B0687" w:rsidRPr="00662611">
        <w:rPr>
          <w:szCs w:val="19"/>
        </w:rPr>
        <w:t>a public sector</w:t>
      </w:r>
      <w:r w:rsidRPr="00662611">
        <w:rPr>
          <w:szCs w:val="19"/>
        </w:rPr>
        <w:t xml:space="preserve"> grantor for a specified period of time</w:t>
      </w:r>
      <w:r w:rsidR="007779D7">
        <w:rPr>
          <w:szCs w:val="19"/>
        </w:rPr>
        <w:t xml:space="preserve"> and managing at least some of those services</w:t>
      </w:r>
      <w:r w:rsidRPr="00662611">
        <w:rPr>
          <w:szCs w:val="19"/>
        </w:rPr>
        <w:t>.</w:t>
      </w:r>
      <w:r w:rsidR="00B917DA">
        <w:rPr>
          <w:szCs w:val="19"/>
        </w:rPr>
        <w:t xml:space="preserve"> An arrangement within the scope of this Standard typically involves an operator constructing the assets used to provide the public service or upgrading the assets (for example, by increasing their capacity) and operating and maintaining the assets for a specified period of time. Such arrangements are often described as build-operate-transfer or rehabilitate-operate-transfer service concession arrangements or public-private partnerships (PPPs).</w:t>
      </w:r>
    </w:p>
    <w:p w14:paraId="7D9271A3" w14:textId="77777777" w:rsidR="000F4AD9" w:rsidRPr="00662611" w:rsidRDefault="000F4AD9" w:rsidP="00F054B2">
      <w:pPr>
        <w:pStyle w:val="NumPlainA"/>
        <w:numPr>
          <w:ilvl w:val="0"/>
          <w:numId w:val="0"/>
        </w:numPr>
        <w:spacing w:after="100" w:line="240" w:lineRule="auto"/>
        <w:jc w:val="both"/>
        <w:outlineLvl w:val="9"/>
        <w:rPr>
          <w:sz w:val="19"/>
          <w:szCs w:val="19"/>
        </w:rPr>
      </w:pPr>
      <w:r w:rsidRPr="00662611">
        <w:rPr>
          <w:sz w:val="19"/>
          <w:szCs w:val="19"/>
        </w:rPr>
        <w:t xml:space="preserve">The </w:t>
      </w:r>
      <w:r w:rsidR="00EC7159" w:rsidRPr="00662611">
        <w:rPr>
          <w:sz w:val="19"/>
          <w:szCs w:val="19"/>
        </w:rPr>
        <w:t>Standard requires</w:t>
      </w:r>
      <w:r w:rsidRPr="00662611">
        <w:rPr>
          <w:sz w:val="19"/>
          <w:szCs w:val="19"/>
        </w:rPr>
        <w:t xml:space="preserve"> the grantor</w:t>
      </w:r>
      <w:r w:rsidR="004F09D3" w:rsidRPr="00662611">
        <w:rPr>
          <w:sz w:val="19"/>
          <w:szCs w:val="19"/>
        </w:rPr>
        <w:t xml:space="preserve"> to</w:t>
      </w:r>
      <w:r w:rsidRPr="00662611">
        <w:rPr>
          <w:sz w:val="19"/>
          <w:szCs w:val="19"/>
        </w:rPr>
        <w:t>:</w:t>
      </w:r>
    </w:p>
    <w:p w14:paraId="7D9271A4" w14:textId="77777777" w:rsidR="000F4AD9" w:rsidRPr="00662611" w:rsidRDefault="000F4AD9" w:rsidP="003102C2">
      <w:pPr>
        <w:pStyle w:val="NumPlainA"/>
        <w:numPr>
          <w:ilvl w:val="0"/>
          <w:numId w:val="31"/>
        </w:numPr>
        <w:spacing w:after="100" w:line="240" w:lineRule="auto"/>
        <w:ind w:left="782" w:hanging="782"/>
        <w:jc w:val="both"/>
        <w:outlineLvl w:val="9"/>
        <w:rPr>
          <w:sz w:val="19"/>
          <w:szCs w:val="19"/>
        </w:rPr>
      </w:pPr>
      <w:proofErr w:type="gramStart"/>
      <w:r w:rsidRPr="00662611">
        <w:rPr>
          <w:sz w:val="19"/>
          <w:szCs w:val="19"/>
        </w:rPr>
        <w:t>recognise</w:t>
      </w:r>
      <w:proofErr w:type="gramEnd"/>
      <w:r w:rsidRPr="00662611">
        <w:rPr>
          <w:sz w:val="19"/>
          <w:szCs w:val="19"/>
        </w:rPr>
        <w:t xml:space="preserve"> a</w:t>
      </w:r>
      <w:r w:rsidR="00214985" w:rsidRPr="00662611">
        <w:rPr>
          <w:sz w:val="19"/>
          <w:szCs w:val="19"/>
        </w:rPr>
        <w:t xml:space="preserve"> service concession</w:t>
      </w:r>
      <w:r w:rsidRPr="00662611">
        <w:rPr>
          <w:sz w:val="19"/>
          <w:szCs w:val="19"/>
        </w:rPr>
        <w:t xml:space="preserve"> asset </w:t>
      </w:r>
      <w:r w:rsidR="00214985" w:rsidRPr="00662611">
        <w:rPr>
          <w:sz w:val="19"/>
          <w:szCs w:val="19"/>
        </w:rPr>
        <w:t>constructed, developed or acquired</w:t>
      </w:r>
      <w:r w:rsidRPr="00662611">
        <w:rPr>
          <w:sz w:val="19"/>
          <w:szCs w:val="19"/>
        </w:rPr>
        <w:t xml:space="preserve"> </w:t>
      </w:r>
      <w:r w:rsidR="00CB2D33" w:rsidRPr="00662611">
        <w:rPr>
          <w:sz w:val="19"/>
          <w:szCs w:val="19"/>
        </w:rPr>
        <w:t xml:space="preserve">from a third party </w:t>
      </w:r>
      <w:r w:rsidRPr="00662611">
        <w:rPr>
          <w:sz w:val="19"/>
          <w:szCs w:val="19"/>
        </w:rPr>
        <w:t xml:space="preserve">by the operator, including an upgrade to an existing asset of the grantor, when the grantor controls the asset. </w:t>
      </w:r>
      <w:r w:rsidR="002D46BF" w:rsidRPr="00662611">
        <w:rPr>
          <w:sz w:val="19"/>
          <w:szCs w:val="19"/>
        </w:rPr>
        <w:t>T</w:t>
      </w:r>
      <w:r w:rsidRPr="00662611">
        <w:rPr>
          <w:sz w:val="19"/>
          <w:szCs w:val="19"/>
        </w:rPr>
        <w:t>he grantor control</w:t>
      </w:r>
      <w:r w:rsidR="002D46BF" w:rsidRPr="00662611">
        <w:rPr>
          <w:sz w:val="19"/>
          <w:szCs w:val="19"/>
        </w:rPr>
        <w:t>s</w:t>
      </w:r>
      <w:r w:rsidRPr="00662611">
        <w:rPr>
          <w:sz w:val="19"/>
          <w:szCs w:val="19"/>
        </w:rPr>
        <w:t xml:space="preserve"> the asset</w:t>
      </w:r>
      <w:r w:rsidR="002D46BF" w:rsidRPr="00662611">
        <w:rPr>
          <w:sz w:val="19"/>
          <w:szCs w:val="19"/>
        </w:rPr>
        <w:t xml:space="preserve"> if the grantor controls or regulates the services the operator must provide with the asset, to whom it must provide them and at what price, and if the grantor controls any significant residual interest in the asset at the end of the term of the arrangement</w:t>
      </w:r>
      <w:r w:rsidRPr="00662611">
        <w:rPr>
          <w:sz w:val="19"/>
          <w:szCs w:val="19"/>
        </w:rPr>
        <w:t>;</w:t>
      </w:r>
    </w:p>
    <w:p w14:paraId="7D9271A5" w14:textId="0A571BF4" w:rsidR="00DF42C3" w:rsidRPr="00662611" w:rsidRDefault="00141458" w:rsidP="003102C2">
      <w:pPr>
        <w:pStyle w:val="NumPlainA"/>
        <w:numPr>
          <w:ilvl w:val="0"/>
          <w:numId w:val="31"/>
        </w:numPr>
        <w:spacing w:after="100" w:line="240" w:lineRule="auto"/>
        <w:ind w:left="782" w:hanging="782"/>
        <w:jc w:val="both"/>
        <w:outlineLvl w:val="9"/>
        <w:rPr>
          <w:sz w:val="19"/>
          <w:szCs w:val="19"/>
        </w:rPr>
      </w:pPr>
      <w:bookmarkStart w:id="5" w:name="_Ref486086931"/>
      <w:r w:rsidRPr="00662611">
        <w:rPr>
          <w:sz w:val="19"/>
          <w:szCs w:val="19"/>
        </w:rPr>
        <w:t xml:space="preserve">reclassify an existing asset </w:t>
      </w:r>
      <w:r w:rsidR="00F60EE4" w:rsidRPr="00662611">
        <w:rPr>
          <w:sz w:val="19"/>
          <w:szCs w:val="19"/>
        </w:rPr>
        <w:t xml:space="preserve">(including </w:t>
      </w:r>
      <w:r w:rsidR="00210171">
        <w:rPr>
          <w:sz w:val="19"/>
          <w:szCs w:val="19"/>
        </w:rPr>
        <w:t xml:space="preserve">recognising </w:t>
      </w:r>
      <w:r w:rsidR="00F60EE4" w:rsidRPr="00662611">
        <w:rPr>
          <w:sz w:val="19"/>
          <w:szCs w:val="19"/>
        </w:rPr>
        <w:t>previously unrecognised identifiable intangible asset</w:t>
      </w:r>
      <w:r w:rsidR="00210171">
        <w:rPr>
          <w:sz w:val="19"/>
          <w:szCs w:val="19"/>
        </w:rPr>
        <w:t>s and land under roads</w:t>
      </w:r>
      <w:r w:rsidR="00F60EE4" w:rsidRPr="00662611">
        <w:rPr>
          <w:sz w:val="19"/>
          <w:szCs w:val="19"/>
        </w:rPr>
        <w:t xml:space="preserve">) </w:t>
      </w:r>
      <w:r w:rsidR="00DC69CB" w:rsidRPr="00662611">
        <w:rPr>
          <w:sz w:val="19"/>
          <w:szCs w:val="19"/>
        </w:rPr>
        <w:t>as</w:t>
      </w:r>
      <w:r w:rsidR="00A77D7E" w:rsidRPr="00662611">
        <w:rPr>
          <w:sz w:val="19"/>
          <w:szCs w:val="19"/>
        </w:rPr>
        <w:t xml:space="preserve"> a service concession asset when it meets the </w:t>
      </w:r>
      <w:r w:rsidR="00DC69CB" w:rsidRPr="00662611">
        <w:rPr>
          <w:sz w:val="19"/>
          <w:szCs w:val="19"/>
        </w:rPr>
        <w:t>criteria</w:t>
      </w:r>
      <w:r w:rsidR="00A77D7E" w:rsidRPr="00662611">
        <w:rPr>
          <w:sz w:val="19"/>
          <w:szCs w:val="19"/>
        </w:rPr>
        <w:t xml:space="preserve"> for recognition as a service concession asset</w:t>
      </w:r>
      <w:r w:rsidR="00674467" w:rsidRPr="00662611">
        <w:rPr>
          <w:sz w:val="19"/>
          <w:szCs w:val="19"/>
        </w:rPr>
        <w:t>;</w:t>
      </w:r>
      <w:bookmarkEnd w:id="5"/>
    </w:p>
    <w:p w14:paraId="7D9271A6" w14:textId="77777777" w:rsidR="000F4AD9" w:rsidRPr="00662611" w:rsidRDefault="000F4AD9" w:rsidP="003102C2">
      <w:pPr>
        <w:pStyle w:val="NumPlainA"/>
        <w:numPr>
          <w:ilvl w:val="0"/>
          <w:numId w:val="31"/>
        </w:numPr>
        <w:spacing w:after="100" w:line="240" w:lineRule="auto"/>
        <w:ind w:left="782" w:hanging="782"/>
        <w:jc w:val="both"/>
        <w:outlineLvl w:val="9"/>
        <w:rPr>
          <w:sz w:val="19"/>
          <w:szCs w:val="19"/>
        </w:rPr>
      </w:pPr>
      <w:proofErr w:type="gramStart"/>
      <w:r w:rsidRPr="00662611">
        <w:rPr>
          <w:sz w:val="19"/>
          <w:szCs w:val="19"/>
        </w:rPr>
        <w:t>initially</w:t>
      </w:r>
      <w:proofErr w:type="gramEnd"/>
      <w:r w:rsidRPr="00662611">
        <w:rPr>
          <w:sz w:val="19"/>
          <w:szCs w:val="19"/>
        </w:rPr>
        <w:t xml:space="preserve"> measure </w:t>
      </w:r>
      <w:r w:rsidR="00DC69CB" w:rsidRPr="00662611">
        <w:rPr>
          <w:sz w:val="19"/>
          <w:szCs w:val="19"/>
        </w:rPr>
        <w:t>a</w:t>
      </w:r>
      <w:r w:rsidRPr="00662611">
        <w:rPr>
          <w:sz w:val="19"/>
          <w:szCs w:val="19"/>
        </w:rPr>
        <w:t xml:space="preserve"> service concession asset </w:t>
      </w:r>
      <w:r w:rsidR="009401B8" w:rsidRPr="00662611">
        <w:rPr>
          <w:sz w:val="19"/>
          <w:szCs w:val="19"/>
        </w:rPr>
        <w:t xml:space="preserve">constructed, developed or acquired </w:t>
      </w:r>
      <w:r w:rsidRPr="00662611">
        <w:rPr>
          <w:sz w:val="19"/>
          <w:szCs w:val="19"/>
        </w:rPr>
        <w:t>by the operator</w:t>
      </w:r>
      <w:r w:rsidR="00DC69CB" w:rsidRPr="00662611">
        <w:rPr>
          <w:sz w:val="19"/>
          <w:szCs w:val="19"/>
        </w:rPr>
        <w:t xml:space="preserve"> or reclassified by the grantor </w:t>
      </w:r>
      <w:r w:rsidRPr="00662611">
        <w:rPr>
          <w:sz w:val="19"/>
          <w:szCs w:val="19"/>
        </w:rPr>
        <w:t xml:space="preserve">at </w:t>
      </w:r>
      <w:r w:rsidR="00AE43C5" w:rsidRPr="00662611">
        <w:rPr>
          <w:sz w:val="19"/>
          <w:szCs w:val="19"/>
        </w:rPr>
        <w:t xml:space="preserve">current replacement cost in accordance with the cost approach to </w:t>
      </w:r>
      <w:r w:rsidRPr="00662611">
        <w:rPr>
          <w:sz w:val="19"/>
          <w:szCs w:val="19"/>
        </w:rPr>
        <w:t>fair value in AASB 13</w:t>
      </w:r>
      <w:r w:rsidR="005E02AB" w:rsidRPr="00662611">
        <w:rPr>
          <w:sz w:val="19"/>
          <w:szCs w:val="19"/>
        </w:rPr>
        <w:t xml:space="preserve"> </w:t>
      </w:r>
      <w:r w:rsidR="005E02AB" w:rsidRPr="00662611">
        <w:rPr>
          <w:i/>
          <w:sz w:val="19"/>
          <w:szCs w:val="19"/>
        </w:rPr>
        <w:t>Fair Value Measurement</w:t>
      </w:r>
      <w:r w:rsidRPr="00662611">
        <w:rPr>
          <w:sz w:val="19"/>
          <w:szCs w:val="19"/>
        </w:rPr>
        <w:t xml:space="preserve">. Subsequent to the initial recognition </w:t>
      </w:r>
      <w:r w:rsidR="00DF42C3" w:rsidRPr="00662611">
        <w:rPr>
          <w:sz w:val="19"/>
          <w:szCs w:val="19"/>
        </w:rPr>
        <w:t xml:space="preserve">or reclassification </w:t>
      </w:r>
      <w:r w:rsidRPr="00662611">
        <w:rPr>
          <w:sz w:val="19"/>
          <w:szCs w:val="19"/>
        </w:rPr>
        <w:t xml:space="preserve">of the asset, the service concession asset is accounted for in accordance with AASB 116 </w:t>
      </w:r>
      <w:r w:rsidRPr="00662611">
        <w:rPr>
          <w:i/>
          <w:sz w:val="19"/>
          <w:szCs w:val="19"/>
        </w:rPr>
        <w:t>Property, Plant and Equipment</w:t>
      </w:r>
      <w:r w:rsidRPr="00662611">
        <w:rPr>
          <w:sz w:val="19"/>
          <w:szCs w:val="19"/>
        </w:rPr>
        <w:t xml:space="preserve"> or AASB 138 </w:t>
      </w:r>
      <w:r w:rsidRPr="00662611">
        <w:rPr>
          <w:i/>
          <w:sz w:val="19"/>
          <w:szCs w:val="19"/>
        </w:rPr>
        <w:t>Intangible Assets</w:t>
      </w:r>
      <w:r w:rsidR="000B1694" w:rsidRPr="00662611">
        <w:rPr>
          <w:sz w:val="19"/>
          <w:szCs w:val="19"/>
        </w:rPr>
        <w:t>, as appropriate</w:t>
      </w:r>
      <w:r w:rsidR="00F60EE4" w:rsidRPr="00662611">
        <w:rPr>
          <w:sz w:val="19"/>
          <w:szCs w:val="19"/>
        </w:rPr>
        <w:t>, except as specified in this Standard</w:t>
      </w:r>
      <w:r w:rsidR="000B1694" w:rsidRPr="00662611">
        <w:rPr>
          <w:sz w:val="19"/>
          <w:szCs w:val="19"/>
        </w:rPr>
        <w:t>;</w:t>
      </w:r>
    </w:p>
    <w:p w14:paraId="7D9271A7" w14:textId="77777777" w:rsidR="000F4AD9" w:rsidRPr="00662611" w:rsidRDefault="000F4AD9" w:rsidP="003102C2">
      <w:pPr>
        <w:pStyle w:val="NumPlainA"/>
        <w:numPr>
          <w:ilvl w:val="0"/>
          <w:numId w:val="31"/>
        </w:numPr>
        <w:spacing w:after="100" w:line="240" w:lineRule="auto"/>
        <w:ind w:left="782" w:hanging="782"/>
        <w:jc w:val="both"/>
        <w:outlineLvl w:val="9"/>
        <w:rPr>
          <w:sz w:val="19"/>
          <w:szCs w:val="19"/>
        </w:rPr>
      </w:pPr>
      <w:proofErr w:type="gramStart"/>
      <w:r w:rsidRPr="00662611">
        <w:rPr>
          <w:sz w:val="19"/>
          <w:szCs w:val="19"/>
        </w:rPr>
        <w:t>recognise</w:t>
      </w:r>
      <w:proofErr w:type="gramEnd"/>
      <w:r w:rsidRPr="00662611">
        <w:rPr>
          <w:sz w:val="19"/>
          <w:szCs w:val="19"/>
        </w:rPr>
        <w:t xml:space="preserve"> a corresponding liability measured </w:t>
      </w:r>
      <w:r w:rsidR="000B1694" w:rsidRPr="00662611">
        <w:rPr>
          <w:sz w:val="19"/>
          <w:szCs w:val="19"/>
        </w:rPr>
        <w:t xml:space="preserve">initially </w:t>
      </w:r>
      <w:r w:rsidRPr="00662611">
        <w:rPr>
          <w:sz w:val="19"/>
          <w:szCs w:val="19"/>
        </w:rPr>
        <w:t xml:space="preserve">at the fair value </w:t>
      </w:r>
      <w:r w:rsidR="00F60EE4" w:rsidRPr="00662611">
        <w:rPr>
          <w:sz w:val="19"/>
          <w:szCs w:val="19"/>
        </w:rPr>
        <w:t xml:space="preserve">(current replacement cost) </w:t>
      </w:r>
      <w:r w:rsidRPr="00662611">
        <w:rPr>
          <w:sz w:val="19"/>
          <w:szCs w:val="19"/>
        </w:rPr>
        <w:t xml:space="preserve">of the service concession asset, adjusted for any other consideration between the grantor and the operator. The liability </w:t>
      </w:r>
      <w:r w:rsidR="009E43A1" w:rsidRPr="00662611">
        <w:rPr>
          <w:sz w:val="19"/>
          <w:szCs w:val="19"/>
        </w:rPr>
        <w:t xml:space="preserve">is </w:t>
      </w:r>
      <w:r w:rsidRPr="00662611">
        <w:rPr>
          <w:sz w:val="19"/>
          <w:szCs w:val="19"/>
        </w:rPr>
        <w:t xml:space="preserve">recognised using either </w:t>
      </w:r>
      <w:r w:rsidR="000B1694" w:rsidRPr="00662611">
        <w:rPr>
          <w:sz w:val="19"/>
          <w:szCs w:val="19"/>
        </w:rPr>
        <w:t xml:space="preserve">or both </w:t>
      </w:r>
      <w:r w:rsidRPr="00662611">
        <w:rPr>
          <w:sz w:val="19"/>
          <w:szCs w:val="19"/>
        </w:rPr>
        <w:t>of the following models:</w:t>
      </w:r>
    </w:p>
    <w:p w14:paraId="7D9271A8" w14:textId="77777777" w:rsidR="000F4AD9" w:rsidRPr="00662611" w:rsidRDefault="00DC69CB" w:rsidP="003102C2">
      <w:pPr>
        <w:pStyle w:val="NumPlainA"/>
        <w:numPr>
          <w:ilvl w:val="1"/>
          <w:numId w:val="31"/>
        </w:numPr>
        <w:spacing w:after="100" w:line="240" w:lineRule="auto"/>
        <w:ind w:left="1564" w:hanging="782"/>
        <w:jc w:val="both"/>
        <w:outlineLvl w:val="9"/>
        <w:rPr>
          <w:sz w:val="19"/>
          <w:szCs w:val="19"/>
        </w:rPr>
      </w:pPr>
      <w:proofErr w:type="gramStart"/>
      <w:r w:rsidRPr="00662611">
        <w:rPr>
          <w:sz w:val="19"/>
          <w:szCs w:val="19"/>
        </w:rPr>
        <w:t>the</w:t>
      </w:r>
      <w:proofErr w:type="gramEnd"/>
      <w:r w:rsidRPr="00662611">
        <w:rPr>
          <w:sz w:val="19"/>
          <w:szCs w:val="19"/>
        </w:rPr>
        <w:t xml:space="preserve"> </w:t>
      </w:r>
      <w:r w:rsidR="00342C98" w:rsidRPr="00662611">
        <w:rPr>
          <w:sz w:val="19"/>
          <w:szCs w:val="19"/>
        </w:rPr>
        <w:t>f</w:t>
      </w:r>
      <w:r w:rsidR="000F4AD9" w:rsidRPr="00662611">
        <w:rPr>
          <w:sz w:val="19"/>
          <w:szCs w:val="19"/>
        </w:rPr>
        <w:t>inancial liability model</w:t>
      </w:r>
      <w:r w:rsidR="001D515C" w:rsidRPr="00662611">
        <w:rPr>
          <w:sz w:val="19"/>
          <w:szCs w:val="19"/>
        </w:rPr>
        <w:t xml:space="preserve"> – </w:t>
      </w:r>
      <w:r w:rsidR="00644AEE" w:rsidRPr="00662611">
        <w:rPr>
          <w:sz w:val="19"/>
          <w:szCs w:val="19"/>
        </w:rPr>
        <w:t>t</w:t>
      </w:r>
      <w:r w:rsidR="001D515C" w:rsidRPr="00662611">
        <w:rPr>
          <w:sz w:val="19"/>
          <w:szCs w:val="19"/>
        </w:rPr>
        <w:t xml:space="preserve">his model applies where the grantor has an obligation to deliver cash or another financial asset to the operator for the delivery of the service concession asset. This model requires the grantor to allocate the payments to the operator under the contract and account for them </w:t>
      </w:r>
      <w:r w:rsidR="00D03446" w:rsidRPr="00662611">
        <w:rPr>
          <w:sz w:val="19"/>
          <w:szCs w:val="19"/>
        </w:rPr>
        <w:t xml:space="preserve">according to their substance as payments relating to </w:t>
      </w:r>
      <w:r w:rsidR="001D515C" w:rsidRPr="00662611">
        <w:rPr>
          <w:sz w:val="19"/>
          <w:szCs w:val="19"/>
        </w:rPr>
        <w:t>the liability recognised</w:t>
      </w:r>
      <w:r w:rsidR="00D03446" w:rsidRPr="00662611">
        <w:rPr>
          <w:sz w:val="19"/>
          <w:szCs w:val="19"/>
        </w:rPr>
        <w:t xml:space="preserve"> or </w:t>
      </w:r>
      <w:r w:rsidR="001D515C" w:rsidRPr="00662611">
        <w:rPr>
          <w:sz w:val="19"/>
          <w:szCs w:val="19"/>
        </w:rPr>
        <w:t>charges for services provided by the operator;</w:t>
      </w:r>
      <w:r w:rsidR="005512AE" w:rsidRPr="00662611">
        <w:rPr>
          <w:sz w:val="19"/>
          <w:szCs w:val="19"/>
        </w:rPr>
        <w:t xml:space="preserve"> </w:t>
      </w:r>
      <w:r w:rsidR="003E4550" w:rsidRPr="00662611">
        <w:rPr>
          <w:sz w:val="19"/>
          <w:szCs w:val="19"/>
        </w:rPr>
        <w:t>and</w:t>
      </w:r>
    </w:p>
    <w:p w14:paraId="7D9271A9" w14:textId="77777777" w:rsidR="000F4AD9" w:rsidRPr="00662611" w:rsidRDefault="00DC69CB" w:rsidP="003102C2">
      <w:pPr>
        <w:pStyle w:val="NumPlainA"/>
        <w:numPr>
          <w:ilvl w:val="1"/>
          <w:numId w:val="31"/>
        </w:numPr>
        <w:spacing w:after="100" w:line="240" w:lineRule="auto"/>
        <w:ind w:left="1564" w:hanging="782"/>
        <w:jc w:val="both"/>
        <w:outlineLvl w:val="9"/>
        <w:rPr>
          <w:sz w:val="19"/>
          <w:szCs w:val="19"/>
        </w:rPr>
      </w:pPr>
      <w:proofErr w:type="gramStart"/>
      <w:r w:rsidRPr="00662611">
        <w:rPr>
          <w:sz w:val="19"/>
          <w:szCs w:val="19"/>
        </w:rPr>
        <w:t>the</w:t>
      </w:r>
      <w:proofErr w:type="gramEnd"/>
      <w:r w:rsidRPr="00662611">
        <w:rPr>
          <w:sz w:val="19"/>
          <w:szCs w:val="19"/>
        </w:rPr>
        <w:t xml:space="preserve"> </w:t>
      </w:r>
      <w:r w:rsidR="00342C98" w:rsidRPr="00662611">
        <w:rPr>
          <w:sz w:val="19"/>
          <w:szCs w:val="19"/>
        </w:rPr>
        <w:t>g</w:t>
      </w:r>
      <w:r w:rsidR="000F4AD9" w:rsidRPr="00662611">
        <w:rPr>
          <w:sz w:val="19"/>
          <w:szCs w:val="19"/>
        </w:rPr>
        <w:t>rant of a right to the operator model</w:t>
      </w:r>
      <w:r w:rsidR="00E911AB" w:rsidRPr="00662611">
        <w:rPr>
          <w:sz w:val="19"/>
          <w:szCs w:val="19"/>
        </w:rPr>
        <w:t xml:space="preserve"> </w:t>
      </w:r>
      <w:r w:rsidR="00644AEE" w:rsidRPr="00662611">
        <w:rPr>
          <w:sz w:val="19"/>
          <w:szCs w:val="19"/>
        </w:rPr>
        <w:t>– this model appl</w:t>
      </w:r>
      <w:r w:rsidR="00744457" w:rsidRPr="00662611">
        <w:rPr>
          <w:sz w:val="19"/>
          <w:szCs w:val="19"/>
        </w:rPr>
        <w:t>ies</w:t>
      </w:r>
      <w:r w:rsidR="00644AEE" w:rsidRPr="00662611">
        <w:rPr>
          <w:sz w:val="19"/>
          <w:szCs w:val="19"/>
        </w:rPr>
        <w:t xml:space="preserve"> where the grantor grants the operator the right to earn revenue from third-party users of the service concession asset. This model requires the grantor to recognise a liability reflecting the unearned portion of the revenue arising from the exchange of the assets between the grantor and the operator. The </w:t>
      </w:r>
      <w:r w:rsidR="00BF4D8B" w:rsidRPr="00662611">
        <w:rPr>
          <w:sz w:val="19"/>
          <w:szCs w:val="19"/>
        </w:rPr>
        <w:t xml:space="preserve">grantor recognises revenue </w:t>
      </w:r>
      <w:r w:rsidR="00D0746C" w:rsidRPr="00662611">
        <w:rPr>
          <w:sz w:val="19"/>
          <w:szCs w:val="19"/>
        </w:rPr>
        <w:t xml:space="preserve">over </w:t>
      </w:r>
      <w:r w:rsidR="006D46B0" w:rsidRPr="00662611">
        <w:rPr>
          <w:sz w:val="19"/>
          <w:szCs w:val="19"/>
        </w:rPr>
        <w:t xml:space="preserve">the period of the </w:t>
      </w:r>
      <w:r w:rsidRPr="00662611">
        <w:rPr>
          <w:sz w:val="19"/>
          <w:szCs w:val="19"/>
        </w:rPr>
        <w:t xml:space="preserve">service concession </w:t>
      </w:r>
      <w:r w:rsidR="006D46B0" w:rsidRPr="00662611">
        <w:rPr>
          <w:sz w:val="19"/>
          <w:szCs w:val="19"/>
        </w:rPr>
        <w:t>arrangement</w:t>
      </w:r>
      <w:r w:rsidR="00D0746C" w:rsidRPr="00662611">
        <w:rPr>
          <w:sz w:val="19"/>
          <w:szCs w:val="19"/>
        </w:rPr>
        <w:t xml:space="preserve"> </w:t>
      </w:r>
      <w:r w:rsidR="00BF4D8B" w:rsidRPr="00662611">
        <w:rPr>
          <w:sz w:val="19"/>
          <w:szCs w:val="19"/>
        </w:rPr>
        <w:t>according to the substance of the arrangement and reduces</w:t>
      </w:r>
      <w:r w:rsidR="00644AEE" w:rsidRPr="00662611">
        <w:rPr>
          <w:sz w:val="19"/>
          <w:szCs w:val="19"/>
        </w:rPr>
        <w:t xml:space="preserve"> the liabili</w:t>
      </w:r>
      <w:r w:rsidR="000B1694" w:rsidRPr="00662611">
        <w:rPr>
          <w:sz w:val="19"/>
          <w:szCs w:val="19"/>
        </w:rPr>
        <w:t>ty as the revenue is recognised; and</w:t>
      </w:r>
    </w:p>
    <w:p w14:paraId="7D9271AA" w14:textId="77777777" w:rsidR="00FB73EE" w:rsidRPr="00662611" w:rsidRDefault="00FB73EE" w:rsidP="003102C2">
      <w:pPr>
        <w:pStyle w:val="NumPlainA"/>
        <w:numPr>
          <w:ilvl w:val="0"/>
          <w:numId w:val="31"/>
        </w:numPr>
        <w:spacing w:after="100" w:line="240" w:lineRule="auto"/>
        <w:ind w:left="782" w:hanging="782"/>
        <w:jc w:val="both"/>
        <w:outlineLvl w:val="9"/>
        <w:rPr>
          <w:sz w:val="19"/>
          <w:szCs w:val="19"/>
        </w:rPr>
      </w:pPr>
      <w:r w:rsidRPr="00662611">
        <w:rPr>
          <w:sz w:val="19"/>
          <w:szCs w:val="19"/>
        </w:rPr>
        <w:lastRenderedPageBreak/>
        <w:t xml:space="preserve">disclose sufficient information to enable users of financial statements to understand the nature, amount, timing and uncertainty of assets, liabilities, revenue and cash flows arising from service concession arrangements, </w:t>
      </w:r>
      <w:r w:rsidR="00391FAE" w:rsidRPr="00662611">
        <w:rPr>
          <w:sz w:val="19"/>
          <w:szCs w:val="19"/>
        </w:rPr>
        <w:t xml:space="preserve">by considering the disclosure of information </w:t>
      </w:r>
      <w:r w:rsidRPr="00662611">
        <w:rPr>
          <w:sz w:val="19"/>
          <w:szCs w:val="19"/>
        </w:rPr>
        <w:t>such as the following:</w:t>
      </w:r>
    </w:p>
    <w:p w14:paraId="7D9271AB" w14:textId="77777777" w:rsidR="000F4AD9" w:rsidRPr="00662611" w:rsidRDefault="000F4AD9" w:rsidP="003102C2">
      <w:pPr>
        <w:pStyle w:val="NumPlainA"/>
        <w:numPr>
          <w:ilvl w:val="1"/>
          <w:numId w:val="31"/>
        </w:numPr>
        <w:spacing w:after="100" w:line="240" w:lineRule="auto"/>
        <w:ind w:left="1564" w:hanging="782"/>
        <w:jc w:val="both"/>
        <w:outlineLvl w:val="9"/>
        <w:rPr>
          <w:sz w:val="19"/>
          <w:szCs w:val="19"/>
        </w:rPr>
      </w:pPr>
      <w:r w:rsidRPr="00662611">
        <w:rPr>
          <w:sz w:val="19"/>
          <w:szCs w:val="19"/>
        </w:rPr>
        <w:t>a description of the arrangement</w:t>
      </w:r>
      <w:r w:rsidR="00544EB2" w:rsidRPr="00662611">
        <w:rPr>
          <w:sz w:val="19"/>
          <w:szCs w:val="19"/>
        </w:rPr>
        <w:t>s</w:t>
      </w:r>
      <w:r w:rsidRPr="00662611">
        <w:rPr>
          <w:sz w:val="19"/>
          <w:szCs w:val="19"/>
        </w:rPr>
        <w:t>;</w:t>
      </w:r>
    </w:p>
    <w:p w14:paraId="7D9271AC" w14:textId="77777777" w:rsidR="000F4AD9" w:rsidRPr="00662611" w:rsidRDefault="000F4AD9" w:rsidP="003102C2">
      <w:pPr>
        <w:pStyle w:val="NumPlainA"/>
        <w:numPr>
          <w:ilvl w:val="1"/>
          <w:numId w:val="31"/>
        </w:numPr>
        <w:spacing w:after="100" w:line="240" w:lineRule="auto"/>
        <w:ind w:left="1564" w:hanging="782"/>
        <w:jc w:val="both"/>
        <w:outlineLvl w:val="9"/>
        <w:rPr>
          <w:sz w:val="19"/>
          <w:szCs w:val="19"/>
        </w:rPr>
      </w:pPr>
      <w:r w:rsidRPr="00662611">
        <w:rPr>
          <w:sz w:val="19"/>
          <w:szCs w:val="19"/>
        </w:rPr>
        <w:t>significant terms of the arrangement</w:t>
      </w:r>
      <w:r w:rsidR="00CF1044" w:rsidRPr="00662611">
        <w:rPr>
          <w:sz w:val="19"/>
          <w:szCs w:val="19"/>
        </w:rPr>
        <w:t>s</w:t>
      </w:r>
      <w:r w:rsidRPr="00662611">
        <w:rPr>
          <w:sz w:val="19"/>
          <w:szCs w:val="19"/>
        </w:rPr>
        <w:t xml:space="preserve"> that may affect the amount, timing and </w:t>
      </w:r>
      <w:r w:rsidR="00CF1044" w:rsidRPr="00662611">
        <w:rPr>
          <w:sz w:val="19"/>
          <w:szCs w:val="19"/>
        </w:rPr>
        <w:t>un</w:t>
      </w:r>
      <w:r w:rsidRPr="00662611">
        <w:rPr>
          <w:sz w:val="19"/>
          <w:szCs w:val="19"/>
        </w:rPr>
        <w:t>certainty of future cash flows;</w:t>
      </w:r>
    </w:p>
    <w:p w14:paraId="7D9271AD" w14:textId="77777777" w:rsidR="00946352" w:rsidRPr="00662611" w:rsidRDefault="00946352" w:rsidP="003102C2">
      <w:pPr>
        <w:pStyle w:val="NumPlainA"/>
        <w:numPr>
          <w:ilvl w:val="1"/>
          <w:numId w:val="31"/>
        </w:numPr>
        <w:spacing w:after="100" w:line="240" w:lineRule="auto"/>
        <w:ind w:left="1564" w:hanging="782"/>
        <w:jc w:val="both"/>
        <w:outlineLvl w:val="9"/>
        <w:rPr>
          <w:sz w:val="19"/>
          <w:szCs w:val="19"/>
        </w:rPr>
      </w:pPr>
      <w:r w:rsidRPr="00662611">
        <w:rPr>
          <w:sz w:val="19"/>
          <w:szCs w:val="19"/>
        </w:rPr>
        <w:t>the nature and extent of the grantor’s rights and obligations (such as right</w:t>
      </w:r>
      <w:r w:rsidR="00CE73EC" w:rsidRPr="00662611">
        <w:rPr>
          <w:sz w:val="19"/>
          <w:szCs w:val="19"/>
        </w:rPr>
        <w:t>s</w:t>
      </w:r>
      <w:r w:rsidRPr="00662611">
        <w:rPr>
          <w:sz w:val="19"/>
          <w:szCs w:val="19"/>
        </w:rPr>
        <w:t xml:space="preserve"> to receive specified services </w:t>
      </w:r>
      <w:r w:rsidR="00CE73EC" w:rsidRPr="00662611">
        <w:rPr>
          <w:sz w:val="19"/>
          <w:szCs w:val="19"/>
        </w:rPr>
        <w:t xml:space="preserve">and assets </w:t>
      </w:r>
      <w:r w:rsidRPr="00662611">
        <w:rPr>
          <w:sz w:val="19"/>
          <w:szCs w:val="19"/>
        </w:rPr>
        <w:t>from the operator, and obligations to provide the operator with access to service concession asset</w:t>
      </w:r>
      <w:r w:rsidR="00A212E7" w:rsidRPr="00662611">
        <w:rPr>
          <w:sz w:val="19"/>
          <w:szCs w:val="19"/>
        </w:rPr>
        <w:t>s</w:t>
      </w:r>
      <w:r w:rsidRPr="00662611">
        <w:rPr>
          <w:sz w:val="19"/>
          <w:szCs w:val="19"/>
        </w:rPr>
        <w:t xml:space="preserve"> or other revenue-generating assets) and renewal and termination options; and</w:t>
      </w:r>
    </w:p>
    <w:p w14:paraId="7D9271AE" w14:textId="77777777" w:rsidR="000F4AD9" w:rsidRPr="00662611" w:rsidRDefault="000F4AD9" w:rsidP="003102C2">
      <w:pPr>
        <w:pStyle w:val="NumPlainA"/>
        <w:numPr>
          <w:ilvl w:val="1"/>
          <w:numId w:val="31"/>
        </w:numPr>
        <w:spacing w:after="100" w:line="240" w:lineRule="auto"/>
        <w:ind w:left="1564" w:hanging="782"/>
        <w:jc w:val="both"/>
        <w:outlineLvl w:val="9"/>
        <w:rPr>
          <w:sz w:val="19"/>
          <w:szCs w:val="19"/>
        </w:rPr>
      </w:pPr>
      <w:proofErr w:type="gramStart"/>
      <w:r w:rsidRPr="00662611">
        <w:rPr>
          <w:sz w:val="19"/>
          <w:szCs w:val="19"/>
        </w:rPr>
        <w:t>changes</w:t>
      </w:r>
      <w:proofErr w:type="gramEnd"/>
      <w:r w:rsidRPr="00662611">
        <w:rPr>
          <w:sz w:val="19"/>
          <w:szCs w:val="19"/>
        </w:rPr>
        <w:t xml:space="preserve"> in arrangement</w:t>
      </w:r>
      <w:r w:rsidR="00DA552C" w:rsidRPr="00662611">
        <w:rPr>
          <w:sz w:val="19"/>
          <w:szCs w:val="19"/>
        </w:rPr>
        <w:t>s</w:t>
      </w:r>
      <w:r w:rsidRPr="00662611">
        <w:rPr>
          <w:sz w:val="19"/>
          <w:szCs w:val="19"/>
        </w:rPr>
        <w:t xml:space="preserve"> during the reporting period.</w:t>
      </w:r>
    </w:p>
    <w:p w14:paraId="7D9271AF" w14:textId="77777777" w:rsidR="00DF3E6F" w:rsidRPr="00662611" w:rsidRDefault="00DF3E6F" w:rsidP="00EE45A4">
      <w:pPr>
        <w:pStyle w:val="IASBSectionTitle2Ind"/>
        <w:outlineLvl w:val="2"/>
      </w:pPr>
      <w:r w:rsidRPr="00662611">
        <w:t>Application date</w:t>
      </w:r>
    </w:p>
    <w:p w14:paraId="7D9271B0" w14:textId="3F2F963B" w:rsidR="00DF3E6F" w:rsidRPr="00662611" w:rsidRDefault="00DF3E6F" w:rsidP="00F054B2">
      <w:pPr>
        <w:pStyle w:val="IASBNormal"/>
        <w:spacing w:before="0"/>
      </w:pPr>
      <w:r w:rsidRPr="00662611">
        <w:t>This Standard applies to annual reporting periods beginning on or after 1</w:t>
      </w:r>
      <w:r w:rsidR="00FB35B6">
        <w:t xml:space="preserve"> </w:t>
      </w:r>
      <w:r w:rsidRPr="00662611">
        <w:t>January</w:t>
      </w:r>
      <w:r w:rsidR="00FB35B6">
        <w:t xml:space="preserve"> </w:t>
      </w:r>
      <w:r w:rsidRPr="00662611">
        <w:t>2019. Earlier application is permitted for periods beginning before 1 January 2019.</w:t>
      </w:r>
    </w:p>
    <w:p w14:paraId="43C24302" w14:textId="77777777" w:rsidR="00757C13" w:rsidRPr="00662611" w:rsidRDefault="00757C13" w:rsidP="00F054B2">
      <w:pPr>
        <w:pStyle w:val="IASBNormal"/>
        <w:spacing w:before="0"/>
      </w:pPr>
    </w:p>
    <w:p w14:paraId="7D9271B1" w14:textId="77777777" w:rsidR="00334CCB" w:rsidRPr="00662611" w:rsidRDefault="00334CCB" w:rsidP="00717E6A">
      <w:pPr>
        <w:pStyle w:val="IASBNormal"/>
        <w:sectPr w:rsidR="00334CCB" w:rsidRPr="00662611" w:rsidSect="00945090">
          <w:footerReference w:type="default" r:id="rId24"/>
          <w:pgSz w:w="11907" w:h="16839" w:code="9"/>
          <w:pgMar w:top="1440" w:right="1440" w:bottom="1440" w:left="1440" w:header="720" w:footer="720" w:gutter="0"/>
          <w:cols w:space="708"/>
          <w:docGrid w:linePitch="360"/>
        </w:sectPr>
      </w:pPr>
    </w:p>
    <w:p w14:paraId="7D9271B2" w14:textId="77777777" w:rsidR="00334CCB" w:rsidRPr="00662611" w:rsidRDefault="00334CCB" w:rsidP="00334CCB">
      <w:pPr>
        <w:pStyle w:val="ConvSectionTitle"/>
      </w:pPr>
      <w:r w:rsidRPr="00662611">
        <w:lastRenderedPageBreak/>
        <w:t xml:space="preserve">Comparison with </w:t>
      </w:r>
      <w:r w:rsidR="00444546" w:rsidRPr="00662611">
        <w:t xml:space="preserve">international </w:t>
      </w:r>
      <w:r w:rsidRPr="00662611">
        <w:t>pronounc</w:t>
      </w:r>
      <w:r w:rsidR="0073633C" w:rsidRPr="00662611">
        <w:t>e</w:t>
      </w:r>
      <w:r w:rsidRPr="00662611">
        <w:t>ments</w:t>
      </w:r>
    </w:p>
    <w:p w14:paraId="7D9271B3" w14:textId="191D0C6E" w:rsidR="001A2075" w:rsidRPr="00662611" w:rsidRDefault="001A2075" w:rsidP="00F054B2">
      <w:pPr>
        <w:pStyle w:val="IASBNormal"/>
        <w:spacing w:before="0"/>
      </w:pPr>
      <w:r w:rsidRPr="00662611">
        <w:t>AASB </w:t>
      </w:r>
      <w:r w:rsidR="005F6667">
        <w:t>1059</w:t>
      </w:r>
      <w:r w:rsidRPr="00662611">
        <w:t xml:space="preserve"> </w:t>
      </w:r>
      <w:r w:rsidR="00E624B1" w:rsidRPr="00662611">
        <w:rPr>
          <w:i/>
        </w:rPr>
        <w:t xml:space="preserve">Service Concession Arrangements: Grantors </w:t>
      </w:r>
      <w:r w:rsidRPr="00662611">
        <w:t xml:space="preserve">applies to all public sector entities irrespective of whether </w:t>
      </w:r>
      <w:r w:rsidR="00D07264" w:rsidRPr="00662611">
        <w:t xml:space="preserve">they </w:t>
      </w:r>
      <w:r w:rsidRPr="00662611">
        <w:t xml:space="preserve">are for-profit </w:t>
      </w:r>
      <w:r w:rsidR="00E624B1" w:rsidRPr="00662611">
        <w:t>or</w:t>
      </w:r>
      <w:r w:rsidRPr="00662611">
        <w:t xml:space="preserve"> not-for-profit entities.</w:t>
      </w:r>
    </w:p>
    <w:p w14:paraId="7D9271B4" w14:textId="6B1C2E2A" w:rsidR="001458EC" w:rsidRPr="00662611" w:rsidRDefault="001458EC" w:rsidP="005E31D7">
      <w:pPr>
        <w:pStyle w:val="IASBSectionTitle2NonInd"/>
      </w:pPr>
      <w:r w:rsidRPr="00662611">
        <w:t xml:space="preserve">AASB </w:t>
      </w:r>
      <w:r w:rsidR="005F6667">
        <w:t>1059</w:t>
      </w:r>
      <w:r w:rsidRPr="00662611">
        <w:t xml:space="preserve"> and IPSASs</w:t>
      </w:r>
    </w:p>
    <w:p w14:paraId="7D9271B5" w14:textId="419F0056" w:rsidR="001458EC" w:rsidRPr="00662611" w:rsidRDefault="001458EC" w:rsidP="00F054B2">
      <w:pPr>
        <w:pStyle w:val="IASBNormal"/>
        <w:spacing w:before="0"/>
      </w:pPr>
      <w:r w:rsidRPr="00662611">
        <w:t xml:space="preserve">AASB </w:t>
      </w:r>
      <w:r w:rsidR="005F6667">
        <w:t>1059</w:t>
      </w:r>
      <w:r w:rsidRPr="00662611">
        <w:t xml:space="preserve"> </w:t>
      </w:r>
      <w:r w:rsidR="005E31D7" w:rsidRPr="00662611">
        <w:t xml:space="preserve">is based on IPSAS 32 </w:t>
      </w:r>
      <w:r w:rsidR="005E31D7" w:rsidRPr="00662611">
        <w:rPr>
          <w:i/>
        </w:rPr>
        <w:t>Service Concession Arrangements: Grantor</w:t>
      </w:r>
      <w:r w:rsidR="005E31D7" w:rsidRPr="00662611">
        <w:t>. However</w:t>
      </w:r>
      <w:proofErr w:type="gramStart"/>
      <w:r w:rsidR="005E31D7" w:rsidRPr="00662611">
        <w:t xml:space="preserve">, </w:t>
      </w:r>
      <w:r w:rsidR="00B917DA">
        <w:t xml:space="preserve"> public</w:t>
      </w:r>
      <w:proofErr w:type="gramEnd"/>
      <w:r w:rsidR="00B917DA">
        <w:t xml:space="preserve"> sector </w:t>
      </w:r>
      <w:r w:rsidR="005E31D7" w:rsidRPr="00662611">
        <w:t xml:space="preserve">entities that comply with AASB </w:t>
      </w:r>
      <w:r w:rsidR="005F6667">
        <w:t>1059</w:t>
      </w:r>
      <w:r w:rsidR="005E31D7" w:rsidRPr="00662611">
        <w:t xml:space="preserve"> may not be in compliance with IPSAS 32 because of differences between the Standards. The more significant differences include</w:t>
      </w:r>
      <w:r w:rsidR="002F715A" w:rsidRPr="00662611">
        <w:t xml:space="preserve"> the following</w:t>
      </w:r>
      <w:r w:rsidR="005E31D7" w:rsidRPr="00662611">
        <w:t>:</w:t>
      </w:r>
    </w:p>
    <w:p w14:paraId="7D9271B6" w14:textId="2EE3BD91" w:rsidR="001458EC" w:rsidRPr="00662611" w:rsidRDefault="002F715A" w:rsidP="00EE45A4">
      <w:pPr>
        <w:pStyle w:val="NumPlainA"/>
        <w:tabs>
          <w:tab w:val="clear" w:pos="510"/>
        </w:tabs>
        <w:spacing w:after="100" w:line="240" w:lineRule="auto"/>
        <w:ind w:left="782" w:hanging="782"/>
        <w:jc w:val="both"/>
        <w:outlineLvl w:val="9"/>
        <w:rPr>
          <w:sz w:val="19"/>
          <w:szCs w:val="19"/>
        </w:rPr>
      </w:pPr>
      <w:r w:rsidRPr="00662611">
        <w:rPr>
          <w:szCs w:val="19"/>
        </w:rPr>
        <w:t xml:space="preserve">AASB </w:t>
      </w:r>
      <w:r w:rsidR="005F6667">
        <w:rPr>
          <w:szCs w:val="19"/>
        </w:rPr>
        <w:t>1059</w:t>
      </w:r>
      <w:r w:rsidRPr="00662611">
        <w:rPr>
          <w:sz w:val="19"/>
          <w:szCs w:val="19"/>
        </w:rPr>
        <w:t xml:space="preserve"> </w:t>
      </w:r>
      <w:r w:rsidR="00890FF7" w:rsidRPr="00662611">
        <w:rPr>
          <w:sz w:val="19"/>
          <w:szCs w:val="19"/>
        </w:rPr>
        <w:t>applies to public sector entit</w:t>
      </w:r>
      <w:r w:rsidR="00076D08" w:rsidRPr="00662611">
        <w:rPr>
          <w:sz w:val="19"/>
          <w:szCs w:val="19"/>
        </w:rPr>
        <w:t>ies in both the for-profit and not-for-profit sectors</w:t>
      </w:r>
      <w:r w:rsidR="006F010D" w:rsidRPr="00662611">
        <w:rPr>
          <w:sz w:val="19"/>
          <w:szCs w:val="19"/>
        </w:rPr>
        <w:t>,</w:t>
      </w:r>
      <w:r w:rsidR="00076D08" w:rsidRPr="00662611">
        <w:rPr>
          <w:sz w:val="19"/>
          <w:szCs w:val="19"/>
        </w:rPr>
        <w:t xml:space="preserve"> </w:t>
      </w:r>
      <w:r w:rsidRPr="00662611">
        <w:rPr>
          <w:sz w:val="19"/>
          <w:szCs w:val="19"/>
        </w:rPr>
        <w:t>whereas</w:t>
      </w:r>
      <w:r w:rsidR="00890FF7" w:rsidRPr="00662611">
        <w:rPr>
          <w:sz w:val="19"/>
          <w:szCs w:val="19"/>
        </w:rPr>
        <w:t xml:space="preserve"> </w:t>
      </w:r>
      <w:r w:rsidRPr="00662611">
        <w:rPr>
          <w:sz w:val="19"/>
          <w:szCs w:val="19"/>
        </w:rPr>
        <w:t>IPSAS </w:t>
      </w:r>
      <w:r w:rsidR="00890FF7" w:rsidRPr="00662611">
        <w:rPr>
          <w:sz w:val="19"/>
          <w:szCs w:val="19"/>
        </w:rPr>
        <w:t xml:space="preserve">32 applies </w:t>
      </w:r>
      <w:r w:rsidRPr="00662611">
        <w:rPr>
          <w:sz w:val="19"/>
          <w:szCs w:val="19"/>
        </w:rPr>
        <w:t xml:space="preserve">only </w:t>
      </w:r>
      <w:r w:rsidR="00890FF7" w:rsidRPr="00662611">
        <w:rPr>
          <w:sz w:val="19"/>
          <w:szCs w:val="19"/>
        </w:rPr>
        <w:t xml:space="preserve">to </w:t>
      </w:r>
      <w:r w:rsidRPr="00662611">
        <w:rPr>
          <w:sz w:val="19"/>
          <w:szCs w:val="19"/>
        </w:rPr>
        <w:t>not-for-profit</w:t>
      </w:r>
      <w:r w:rsidR="00890FF7" w:rsidRPr="00662611">
        <w:rPr>
          <w:sz w:val="19"/>
          <w:szCs w:val="19"/>
        </w:rPr>
        <w:t xml:space="preserve"> public sector entities</w:t>
      </w:r>
      <w:r w:rsidR="00FA424D" w:rsidRPr="00662611">
        <w:rPr>
          <w:sz w:val="19"/>
          <w:szCs w:val="19"/>
        </w:rPr>
        <w:t>;</w:t>
      </w:r>
    </w:p>
    <w:p w14:paraId="7D9271B7" w14:textId="0B40ADD3" w:rsidR="00FA424D" w:rsidRPr="00662611" w:rsidRDefault="001811A0" w:rsidP="00EE45A4">
      <w:pPr>
        <w:pStyle w:val="NumPlainA"/>
        <w:tabs>
          <w:tab w:val="clear" w:pos="510"/>
        </w:tabs>
        <w:spacing w:after="100" w:line="240" w:lineRule="auto"/>
        <w:ind w:left="782" w:hanging="782"/>
        <w:jc w:val="both"/>
        <w:outlineLvl w:val="9"/>
        <w:rPr>
          <w:sz w:val="19"/>
          <w:szCs w:val="19"/>
        </w:rPr>
      </w:pPr>
      <w:r w:rsidRPr="00662611">
        <w:rPr>
          <w:szCs w:val="19"/>
        </w:rPr>
        <w:t xml:space="preserve">AASB </w:t>
      </w:r>
      <w:r w:rsidR="005F6667">
        <w:rPr>
          <w:szCs w:val="19"/>
        </w:rPr>
        <w:t>1059</w:t>
      </w:r>
      <w:r w:rsidRPr="00662611">
        <w:rPr>
          <w:sz w:val="19"/>
          <w:szCs w:val="19"/>
        </w:rPr>
        <w:t xml:space="preserve"> </w:t>
      </w:r>
      <w:r w:rsidR="00FA424D" w:rsidRPr="00662611">
        <w:rPr>
          <w:sz w:val="19"/>
          <w:szCs w:val="19"/>
        </w:rPr>
        <w:t>requires the grantor to initially measure</w:t>
      </w:r>
      <w:r w:rsidRPr="00662611">
        <w:rPr>
          <w:sz w:val="19"/>
          <w:szCs w:val="19"/>
        </w:rPr>
        <w:t xml:space="preserve"> a</w:t>
      </w:r>
      <w:r w:rsidR="00FA424D" w:rsidRPr="00662611">
        <w:rPr>
          <w:sz w:val="19"/>
          <w:szCs w:val="19"/>
        </w:rPr>
        <w:t xml:space="preserve"> service concession asset</w:t>
      </w:r>
      <w:r w:rsidRPr="00662611">
        <w:rPr>
          <w:sz w:val="19"/>
          <w:szCs w:val="19"/>
        </w:rPr>
        <w:t xml:space="preserve"> provided by the operator</w:t>
      </w:r>
      <w:r w:rsidR="00FA424D" w:rsidRPr="00662611">
        <w:rPr>
          <w:sz w:val="19"/>
          <w:szCs w:val="19"/>
        </w:rPr>
        <w:t xml:space="preserve"> at current replacement cost in accordance with the cost approach to fair value in AASB</w:t>
      </w:r>
      <w:r w:rsidR="002A350B" w:rsidRPr="00662611">
        <w:rPr>
          <w:sz w:val="19"/>
          <w:szCs w:val="19"/>
        </w:rPr>
        <w:t> </w:t>
      </w:r>
      <w:r w:rsidR="00FA424D" w:rsidRPr="00662611">
        <w:rPr>
          <w:sz w:val="19"/>
          <w:szCs w:val="19"/>
        </w:rPr>
        <w:t xml:space="preserve">13 </w:t>
      </w:r>
      <w:r w:rsidR="00FA424D" w:rsidRPr="00662611">
        <w:rPr>
          <w:i/>
          <w:sz w:val="19"/>
          <w:szCs w:val="19"/>
        </w:rPr>
        <w:t>Fair Value Measurement</w:t>
      </w:r>
      <w:r w:rsidR="00FA424D" w:rsidRPr="00662611">
        <w:rPr>
          <w:sz w:val="19"/>
          <w:szCs w:val="19"/>
        </w:rPr>
        <w:t xml:space="preserve">. </w:t>
      </w:r>
      <w:r w:rsidR="00CA1646" w:rsidRPr="00662611">
        <w:rPr>
          <w:sz w:val="19"/>
          <w:szCs w:val="19"/>
        </w:rPr>
        <w:t xml:space="preserve">IPSAS 32 </w:t>
      </w:r>
      <w:r w:rsidRPr="00662611">
        <w:rPr>
          <w:sz w:val="19"/>
          <w:szCs w:val="19"/>
        </w:rPr>
        <w:t xml:space="preserve">specifies measurement </w:t>
      </w:r>
      <w:r w:rsidR="006F010D" w:rsidRPr="00662611">
        <w:rPr>
          <w:sz w:val="19"/>
          <w:szCs w:val="19"/>
        </w:rPr>
        <w:t>at</w:t>
      </w:r>
      <w:r w:rsidRPr="00662611">
        <w:rPr>
          <w:sz w:val="19"/>
          <w:szCs w:val="19"/>
        </w:rPr>
        <w:t xml:space="preserve"> fair value generally</w:t>
      </w:r>
      <w:r w:rsidR="00FA424D" w:rsidRPr="00662611">
        <w:rPr>
          <w:sz w:val="19"/>
          <w:szCs w:val="19"/>
        </w:rPr>
        <w:t>;</w:t>
      </w:r>
    </w:p>
    <w:p w14:paraId="7D9271B8" w14:textId="3614EB75" w:rsidR="002A350B" w:rsidRPr="00662611" w:rsidRDefault="002A350B" w:rsidP="00EE45A4">
      <w:pPr>
        <w:pStyle w:val="NumPlainA"/>
        <w:tabs>
          <w:tab w:val="clear" w:pos="510"/>
        </w:tabs>
        <w:spacing w:after="100" w:line="240" w:lineRule="auto"/>
        <w:ind w:left="782" w:hanging="782"/>
        <w:jc w:val="both"/>
        <w:outlineLvl w:val="9"/>
        <w:rPr>
          <w:sz w:val="19"/>
          <w:szCs w:val="19"/>
        </w:rPr>
      </w:pPr>
      <w:proofErr w:type="gramStart"/>
      <w:r w:rsidRPr="00662611">
        <w:rPr>
          <w:sz w:val="19"/>
          <w:szCs w:val="19"/>
        </w:rPr>
        <w:t>an</w:t>
      </w:r>
      <w:proofErr w:type="gramEnd"/>
      <w:r w:rsidRPr="00662611">
        <w:rPr>
          <w:sz w:val="19"/>
          <w:szCs w:val="19"/>
        </w:rPr>
        <w:t xml:space="preserve"> existing asset of the grantor</w:t>
      </w:r>
      <w:r w:rsidR="009E2CFD" w:rsidRPr="00662611">
        <w:rPr>
          <w:sz w:val="19"/>
          <w:szCs w:val="19"/>
        </w:rPr>
        <w:t>, including a previously unrecognised identifiable intangible asset</w:t>
      </w:r>
      <w:r w:rsidR="007E5730">
        <w:rPr>
          <w:sz w:val="19"/>
          <w:szCs w:val="19"/>
        </w:rPr>
        <w:t xml:space="preserve"> or land under roads</w:t>
      </w:r>
      <w:r w:rsidR="009E2CFD" w:rsidRPr="00662611">
        <w:rPr>
          <w:sz w:val="19"/>
          <w:szCs w:val="19"/>
        </w:rPr>
        <w:t>,</w:t>
      </w:r>
      <w:r w:rsidRPr="00662611">
        <w:rPr>
          <w:sz w:val="19"/>
          <w:szCs w:val="19"/>
        </w:rPr>
        <w:t xml:space="preserve"> that is reclassified as a service concession asset is measured at fair value (current replacement cost) at the date of reclassification under AASB </w:t>
      </w:r>
      <w:r w:rsidR="005F6667">
        <w:rPr>
          <w:sz w:val="19"/>
          <w:szCs w:val="19"/>
        </w:rPr>
        <w:t>1059</w:t>
      </w:r>
      <w:r w:rsidRPr="00662611">
        <w:rPr>
          <w:sz w:val="19"/>
          <w:szCs w:val="19"/>
        </w:rPr>
        <w:t xml:space="preserve">. IPSAS 32 does not </w:t>
      </w:r>
      <w:r w:rsidR="007E5730">
        <w:rPr>
          <w:sz w:val="19"/>
          <w:szCs w:val="19"/>
        </w:rPr>
        <w:t xml:space="preserve">permit </w:t>
      </w:r>
      <w:r w:rsidR="009E2CFD" w:rsidRPr="00662611">
        <w:rPr>
          <w:sz w:val="19"/>
          <w:szCs w:val="19"/>
        </w:rPr>
        <w:t xml:space="preserve">such </w:t>
      </w:r>
      <w:r w:rsidRPr="00662611">
        <w:rPr>
          <w:sz w:val="19"/>
          <w:szCs w:val="19"/>
        </w:rPr>
        <w:t>remeasurement</w:t>
      </w:r>
      <w:r w:rsidR="009E2CFD" w:rsidRPr="00662611">
        <w:rPr>
          <w:sz w:val="19"/>
          <w:szCs w:val="19"/>
        </w:rPr>
        <w:t xml:space="preserve"> or </w:t>
      </w:r>
      <w:r w:rsidR="00757C13" w:rsidRPr="00662611">
        <w:rPr>
          <w:sz w:val="19"/>
          <w:szCs w:val="19"/>
        </w:rPr>
        <w:t xml:space="preserve">the </w:t>
      </w:r>
      <w:r w:rsidR="009E2CFD" w:rsidRPr="00662611">
        <w:rPr>
          <w:sz w:val="19"/>
          <w:szCs w:val="19"/>
        </w:rPr>
        <w:t>recognition of previously unrecognised identifiable intangible assets</w:t>
      </w:r>
      <w:r w:rsidR="00B917DA">
        <w:rPr>
          <w:sz w:val="19"/>
          <w:szCs w:val="19"/>
        </w:rPr>
        <w:t xml:space="preserve"> or land under roads</w:t>
      </w:r>
      <w:r w:rsidRPr="00662611">
        <w:rPr>
          <w:sz w:val="19"/>
          <w:szCs w:val="19"/>
        </w:rPr>
        <w:t>;</w:t>
      </w:r>
    </w:p>
    <w:p w14:paraId="7D9271B9" w14:textId="308A8D75" w:rsidR="00FA424D" w:rsidRPr="00662611" w:rsidRDefault="001811A0" w:rsidP="00EE45A4">
      <w:pPr>
        <w:pStyle w:val="NumPlainA"/>
        <w:tabs>
          <w:tab w:val="clear" w:pos="510"/>
        </w:tabs>
        <w:spacing w:after="100" w:line="240" w:lineRule="auto"/>
        <w:ind w:left="782" w:hanging="782"/>
        <w:jc w:val="both"/>
        <w:outlineLvl w:val="9"/>
        <w:rPr>
          <w:sz w:val="19"/>
          <w:szCs w:val="19"/>
        </w:rPr>
      </w:pPr>
      <w:r w:rsidRPr="00662611">
        <w:rPr>
          <w:sz w:val="19"/>
          <w:szCs w:val="19"/>
        </w:rPr>
        <w:t xml:space="preserve">AASB </w:t>
      </w:r>
      <w:r w:rsidR="005F6667">
        <w:rPr>
          <w:sz w:val="19"/>
          <w:szCs w:val="19"/>
        </w:rPr>
        <w:t>1059</w:t>
      </w:r>
      <w:r w:rsidRPr="00662611">
        <w:rPr>
          <w:sz w:val="19"/>
          <w:szCs w:val="19"/>
        </w:rPr>
        <w:t xml:space="preserve"> </w:t>
      </w:r>
      <w:r w:rsidR="00CC4BC5" w:rsidRPr="00662611">
        <w:rPr>
          <w:sz w:val="19"/>
          <w:szCs w:val="19"/>
        </w:rPr>
        <w:t xml:space="preserve">requires the </w:t>
      </w:r>
      <w:r w:rsidR="00FB168B" w:rsidRPr="00662611">
        <w:rPr>
          <w:sz w:val="19"/>
          <w:szCs w:val="19"/>
        </w:rPr>
        <w:t>grantor to recognise a financial liability where the grantor has a contractual obligation to pay cash to the operator for third-party usage of a service concession asset</w:t>
      </w:r>
      <w:r w:rsidR="00014AEB" w:rsidRPr="00662611">
        <w:rPr>
          <w:sz w:val="19"/>
          <w:szCs w:val="19"/>
        </w:rPr>
        <w:t>, with or without guaranteeing a minimum amount to the operator</w:t>
      </w:r>
      <w:r w:rsidR="00FB168B" w:rsidRPr="00662611">
        <w:rPr>
          <w:sz w:val="19"/>
          <w:szCs w:val="19"/>
        </w:rPr>
        <w:t xml:space="preserve">. </w:t>
      </w:r>
      <w:r w:rsidR="00E670B1" w:rsidRPr="00662611">
        <w:rPr>
          <w:sz w:val="19"/>
          <w:szCs w:val="19"/>
        </w:rPr>
        <w:t xml:space="preserve">IPSAS 32 refers </w:t>
      </w:r>
      <w:r w:rsidR="008B0D54" w:rsidRPr="00662611">
        <w:rPr>
          <w:sz w:val="19"/>
          <w:szCs w:val="19"/>
        </w:rPr>
        <w:t xml:space="preserve">to such an </w:t>
      </w:r>
      <w:r w:rsidR="00E670B1" w:rsidRPr="00662611">
        <w:rPr>
          <w:sz w:val="19"/>
          <w:szCs w:val="19"/>
        </w:rPr>
        <w:t xml:space="preserve">arrangement </w:t>
      </w:r>
      <w:r w:rsidR="008B0D54" w:rsidRPr="00662611">
        <w:rPr>
          <w:sz w:val="19"/>
          <w:szCs w:val="19"/>
        </w:rPr>
        <w:t xml:space="preserve">as a </w:t>
      </w:r>
      <w:r w:rsidR="00E670B1" w:rsidRPr="00662611">
        <w:rPr>
          <w:sz w:val="19"/>
          <w:szCs w:val="19"/>
        </w:rPr>
        <w:t xml:space="preserve">‘shadow toll’ </w:t>
      </w:r>
      <w:r w:rsidR="008B0D54" w:rsidRPr="00662611">
        <w:rPr>
          <w:sz w:val="19"/>
          <w:szCs w:val="19"/>
        </w:rPr>
        <w:t xml:space="preserve">arrangement </w:t>
      </w:r>
      <w:r w:rsidR="00E670B1" w:rsidRPr="00662611">
        <w:rPr>
          <w:sz w:val="19"/>
          <w:szCs w:val="19"/>
        </w:rPr>
        <w:t xml:space="preserve">and </w:t>
      </w:r>
      <w:r w:rsidR="008B0D54" w:rsidRPr="00662611">
        <w:rPr>
          <w:sz w:val="19"/>
          <w:szCs w:val="19"/>
        </w:rPr>
        <w:t>requires the grantor to account for the payments as an expense</w:t>
      </w:r>
      <w:r w:rsidR="009E2CFD" w:rsidRPr="00662611">
        <w:rPr>
          <w:sz w:val="19"/>
          <w:szCs w:val="19"/>
        </w:rPr>
        <w:t xml:space="preserve"> when paid</w:t>
      </w:r>
      <w:r w:rsidR="00014AEB" w:rsidRPr="00662611">
        <w:rPr>
          <w:sz w:val="19"/>
          <w:szCs w:val="19"/>
        </w:rPr>
        <w:t xml:space="preserve"> instead of recognising a </w:t>
      </w:r>
      <w:r w:rsidR="009E2CFD" w:rsidRPr="00662611">
        <w:rPr>
          <w:sz w:val="19"/>
          <w:szCs w:val="19"/>
        </w:rPr>
        <w:t xml:space="preserve">financial </w:t>
      </w:r>
      <w:r w:rsidR="00014AEB" w:rsidRPr="00662611">
        <w:rPr>
          <w:sz w:val="19"/>
          <w:szCs w:val="19"/>
        </w:rPr>
        <w:t>liability</w:t>
      </w:r>
      <w:r w:rsidR="009E2CFD" w:rsidRPr="00662611">
        <w:rPr>
          <w:sz w:val="19"/>
          <w:szCs w:val="19"/>
        </w:rPr>
        <w:t xml:space="preserve"> at </w:t>
      </w:r>
      <w:r w:rsidR="00BE48C2" w:rsidRPr="00662611">
        <w:rPr>
          <w:sz w:val="19"/>
          <w:szCs w:val="19"/>
        </w:rPr>
        <w:t xml:space="preserve">the </w:t>
      </w:r>
      <w:r w:rsidR="009E2CFD" w:rsidRPr="00662611">
        <w:rPr>
          <w:sz w:val="19"/>
          <w:szCs w:val="19"/>
        </w:rPr>
        <w:t>commencement of the arrangement</w:t>
      </w:r>
      <w:r w:rsidR="008B0D54" w:rsidRPr="00662611">
        <w:rPr>
          <w:sz w:val="19"/>
          <w:szCs w:val="19"/>
        </w:rPr>
        <w:t>;</w:t>
      </w:r>
    </w:p>
    <w:p w14:paraId="7D9271BA" w14:textId="10D958EC" w:rsidR="003E7F77" w:rsidRPr="00662611" w:rsidRDefault="001811A0" w:rsidP="00EE45A4">
      <w:pPr>
        <w:pStyle w:val="NumPlainA"/>
        <w:tabs>
          <w:tab w:val="clear" w:pos="510"/>
        </w:tabs>
        <w:spacing w:after="100" w:line="240" w:lineRule="auto"/>
        <w:ind w:left="782" w:hanging="782"/>
        <w:jc w:val="both"/>
        <w:outlineLvl w:val="9"/>
        <w:rPr>
          <w:sz w:val="19"/>
          <w:szCs w:val="19"/>
        </w:rPr>
      </w:pPr>
      <w:r w:rsidRPr="00662611">
        <w:rPr>
          <w:szCs w:val="19"/>
        </w:rPr>
        <w:t xml:space="preserve">AASB </w:t>
      </w:r>
      <w:r w:rsidR="005F6667">
        <w:rPr>
          <w:szCs w:val="19"/>
        </w:rPr>
        <w:t>1059</w:t>
      </w:r>
      <w:r w:rsidRPr="00662611">
        <w:rPr>
          <w:sz w:val="19"/>
          <w:szCs w:val="19"/>
        </w:rPr>
        <w:t xml:space="preserve"> </w:t>
      </w:r>
      <w:r w:rsidR="00FA4676" w:rsidRPr="00662611">
        <w:rPr>
          <w:sz w:val="19"/>
          <w:szCs w:val="19"/>
        </w:rPr>
        <w:t>provides more guidance on the term ‘public service’ than IPSAS 32; and</w:t>
      </w:r>
    </w:p>
    <w:p w14:paraId="7D9271BB" w14:textId="77777777" w:rsidR="003F47DF" w:rsidRPr="00662611" w:rsidRDefault="003F47DF" w:rsidP="00EE45A4">
      <w:pPr>
        <w:pStyle w:val="NumPlainA"/>
        <w:tabs>
          <w:tab w:val="clear" w:pos="510"/>
        </w:tabs>
        <w:spacing w:after="100" w:line="240" w:lineRule="auto"/>
        <w:ind w:left="782" w:hanging="782"/>
        <w:jc w:val="both"/>
        <w:outlineLvl w:val="9"/>
        <w:rPr>
          <w:sz w:val="19"/>
          <w:szCs w:val="19"/>
        </w:rPr>
      </w:pPr>
      <w:r w:rsidRPr="00662611">
        <w:rPr>
          <w:sz w:val="19"/>
          <w:szCs w:val="19"/>
        </w:rPr>
        <w:t>IPSAS 32 includes additional application guidance for other revenues. Other revenues relate to compensation by the operator to the grantor for access to the service concession asset by providing the grantor with a series of predetermined inflows of resources such as an upfront payment or a stream of payments (eg rent payments) and revenue-sharing provisions.</w:t>
      </w:r>
    </w:p>
    <w:p w14:paraId="7D9271BC" w14:textId="75E5F757" w:rsidR="001458EC" w:rsidRPr="00662611" w:rsidRDefault="001458EC" w:rsidP="005E31D7">
      <w:pPr>
        <w:pStyle w:val="IASBSectionTitle2NonInd"/>
      </w:pPr>
      <w:r w:rsidRPr="00662611">
        <w:t xml:space="preserve">AASB </w:t>
      </w:r>
      <w:r w:rsidR="005F6667">
        <w:t>1059</w:t>
      </w:r>
      <w:r w:rsidRPr="00662611">
        <w:t xml:space="preserve"> and IFRS</w:t>
      </w:r>
      <w:r w:rsidR="00D07264" w:rsidRPr="00662611">
        <w:t xml:space="preserve"> Standards</w:t>
      </w:r>
    </w:p>
    <w:p w14:paraId="7D9271BD" w14:textId="700CAB89" w:rsidR="00E624B1" w:rsidRPr="00662611" w:rsidRDefault="00B917DA" w:rsidP="00F054B2">
      <w:pPr>
        <w:pStyle w:val="IASBNormal"/>
        <w:spacing w:before="0"/>
      </w:pPr>
      <w:r>
        <w:t>Public sector e</w:t>
      </w:r>
      <w:r w:rsidR="00E624B1" w:rsidRPr="00662611">
        <w:t>ntities</w:t>
      </w:r>
      <w:r w:rsidR="007E5730">
        <w:t xml:space="preserve">, including for-profit </w:t>
      </w:r>
      <w:proofErr w:type="gramStart"/>
      <w:r w:rsidR="007E5730">
        <w:t>entities,</w:t>
      </w:r>
      <w:r w:rsidR="00E624B1" w:rsidRPr="00662611">
        <w:t xml:space="preserve"> that</w:t>
      </w:r>
      <w:proofErr w:type="gramEnd"/>
      <w:r w:rsidR="00E624B1" w:rsidRPr="00662611">
        <w:t xml:space="preserve"> comply with AASB </w:t>
      </w:r>
      <w:r w:rsidR="005F6667">
        <w:t>1059</w:t>
      </w:r>
      <w:r w:rsidR="00E624B1" w:rsidRPr="00662611">
        <w:t xml:space="preserve"> may not be in compliance with International Financial Reporting Standards issued by the International Accounting Standards Board (IASB). The IASB has issued an IFRIC Interpretation addressing the accounting by </w:t>
      </w:r>
      <w:r w:rsidR="001643FA">
        <w:t xml:space="preserve">private sector </w:t>
      </w:r>
      <w:r w:rsidR="00E624B1" w:rsidRPr="00662611">
        <w:t xml:space="preserve">operators </w:t>
      </w:r>
      <w:r w:rsidR="00D32101" w:rsidRPr="00662611">
        <w:t>of</w:t>
      </w:r>
      <w:r w:rsidR="00E624B1" w:rsidRPr="00662611">
        <w:t xml:space="preserve"> service concession arrangements but has not issued a pronouncement regarding the accounting by grantors.</w:t>
      </w:r>
    </w:p>
    <w:p w14:paraId="7D9271BE" w14:textId="3E792796" w:rsidR="00F60EE4" w:rsidRPr="00662611" w:rsidRDefault="00F425B9" w:rsidP="00F054B2">
      <w:pPr>
        <w:pStyle w:val="IASBNormal"/>
        <w:spacing w:before="0"/>
      </w:pPr>
      <w:r w:rsidRPr="00662611">
        <w:t xml:space="preserve">AASB </w:t>
      </w:r>
      <w:r w:rsidR="005F6667">
        <w:t>1059</w:t>
      </w:r>
      <w:r w:rsidRPr="00662611">
        <w:t xml:space="preserve"> </w:t>
      </w:r>
      <w:r w:rsidR="00A83521" w:rsidRPr="00662611">
        <w:t xml:space="preserve">requires a </w:t>
      </w:r>
      <w:r w:rsidR="00E624B1" w:rsidRPr="00662611">
        <w:t xml:space="preserve">grantor to initially measure a </w:t>
      </w:r>
      <w:r w:rsidR="00A83521" w:rsidRPr="00662611">
        <w:t>service concession asset at current replacement cost in accordance with th</w:t>
      </w:r>
      <w:r w:rsidR="00E624B1" w:rsidRPr="00662611">
        <w:t>e cost approach to fair value in</w:t>
      </w:r>
      <w:r w:rsidR="00A83521" w:rsidRPr="00662611">
        <w:t xml:space="preserve"> AASB 13.</w:t>
      </w:r>
      <w:r w:rsidR="001A2075" w:rsidRPr="00662611">
        <w:t xml:space="preserve"> </w:t>
      </w:r>
      <w:r w:rsidR="000C5576" w:rsidRPr="00662611">
        <w:t xml:space="preserve">However, </w:t>
      </w:r>
      <w:r w:rsidR="001A2075" w:rsidRPr="00662611">
        <w:t xml:space="preserve">AASB 13 </w:t>
      </w:r>
      <w:r w:rsidR="00E624B1" w:rsidRPr="00662611">
        <w:t>and the corresponding IFRS 13</w:t>
      </w:r>
      <w:r w:rsidR="000C5576" w:rsidRPr="00662611">
        <w:t xml:space="preserve"> </w:t>
      </w:r>
      <w:r w:rsidR="000C5576" w:rsidRPr="00662611">
        <w:rPr>
          <w:i/>
        </w:rPr>
        <w:t>Fair Value Measurement</w:t>
      </w:r>
      <w:r w:rsidR="004F32BB" w:rsidRPr="00662611">
        <w:t xml:space="preserve"> do not specify which valuation technique to use. Instead IFRS 13 requires the use of valuation techniques that are appropriate in the circumstances and for which sufficient data are available to measure fair value, maximising the use of relevant observable inputs and minimising the use of unobservable inputs. Three widely used valuation techniques </w:t>
      </w:r>
      <w:r w:rsidR="00A07410" w:rsidRPr="00662611">
        <w:t xml:space="preserve">set out </w:t>
      </w:r>
      <w:r w:rsidR="004F32BB" w:rsidRPr="00662611">
        <w:t xml:space="preserve">in IFRS 13 are the market approach, the cost approach and the income approach. The requirement of AASB </w:t>
      </w:r>
      <w:r w:rsidR="005F6667">
        <w:t>1059</w:t>
      </w:r>
      <w:r w:rsidR="004F32BB" w:rsidRPr="00662611">
        <w:t xml:space="preserve"> to initially measure a service concession asset at current replacement cost in accordance with the cost approach may not be compliant with IFRS 13. </w:t>
      </w:r>
    </w:p>
    <w:p w14:paraId="2A60E627" w14:textId="4F48BAEB" w:rsidR="001643FA" w:rsidRPr="00662611" w:rsidRDefault="00F60EE4" w:rsidP="00F60EE4">
      <w:pPr>
        <w:pStyle w:val="IASBNormal"/>
        <w:spacing w:before="0"/>
      </w:pPr>
      <w:r w:rsidRPr="00662611">
        <w:t xml:space="preserve">AASB </w:t>
      </w:r>
      <w:r w:rsidR="005F6667">
        <w:t>1059</w:t>
      </w:r>
      <w:r w:rsidRPr="00662611">
        <w:t xml:space="preserve"> requires a grantor to recognise an identifiable intangible asset as a service concession asset where the grantor controls the asset as set out in paragraph </w:t>
      </w:r>
      <w:r w:rsidR="00B70575">
        <w:fldChar w:fldCharType="begin"/>
      </w:r>
      <w:r w:rsidR="00B70575">
        <w:instrText xml:space="preserve"> REF _Ref475619556 \r \h </w:instrText>
      </w:r>
      <w:r w:rsidR="00B70575">
        <w:fldChar w:fldCharType="separate"/>
      </w:r>
      <w:r w:rsidR="00C43128">
        <w:t>5</w:t>
      </w:r>
      <w:r w:rsidR="00B70575">
        <w:fldChar w:fldCharType="end"/>
      </w:r>
      <w:r w:rsidRPr="00662611">
        <w:t xml:space="preserve"> or </w:t>
      </w:r>
      <w:r w:rsidR="00903DBF">
        <w:fldChar w:fldCharType="begin"/>
      </w:r>
      <w:r w:rsidR="00903DBF">
        <w:instrText xml:space="preserve"> REF _Ref486144882 \r \h </w:instrText>
      </w:r>
      <w:r w:rsidR="00903DBF">
        <w:fldChar w:fldCharType="separate"/>
      </w:r>
      <w:r w:rsidR="00C43128">
        <w:t>6</w:t>
      </w:r>
      <w:r w:rsidR="00903DBF">
        <w:fldChar w:fldCharType="end"/>
      </w:r>
      <w:r w:rsidRPr="00662611">
        <w:t xml:space="preserve">, even if the asset does not qualify for recognition under AASB 138/IAS 38 </w:t>
      </w:r>
      <w:r w:rsidRPr="00662611">
        <w:rPr>
          <w:i/>
        </w:rPr>
        <w:t>Intangible Assets</w:t>
      </w:r>
      <w:r w:rsidRPr="00662611">
        <w:t>.</w:t>
      </w:r>
      <w:r w:rsidR="001643FA">
        <w:t xml:space="preserve"> This Standard also permits revaluation of the asset in the absence of an active market.</w:t>
      </w:r>
    </w:p>
    <w:p w14:paraId="7D9271C0" w14:textId="5693F3BE" w:rsidR="009E2CFD" w:rsidRPr="00662611" w:rsidRDefault="009E2CFD" w:rsidP="00F60EE4">
      <w:pPr>
        <w:pStyle w:val="IASBNormal"/>
        <w:spacing w:before="0"/>
      </w:pPr>
      <w:r w:rsidRPr="00662611">
        <w:t>AASB 15</w:t>
      </w:r>
      <w:r w:rsidR="00FC78D0" w:rsidRPr="00662611">
        <w:t xml:space="preserve"> </w:t>
      </w:r>
      <w:r w:rsidR="00FC78D0" w:rsidRPr="00662611">
        <w:rPr>
          <w:i/>
        </w:rPr>
        <w:t>Revenue from Contracts with Customers</w:t>
      </w:r>
      <w:r w:rsidR="00757C13" w:rsidRPr="00662611">
        <w:t xml:space="preserve"> </w:t>
      </w:r>
      <w:r w:rsidRPr="00662611">
        <w:t>requires a licensor of intellectual property to recognise revenue from granting the licence using either the right</w:t>
      </w:r>
      <w:r w:rsidR="00C0298F" w:rsidRPr="00662611">
        <w:t>-to-</w:t>
      </w:r>
      <w:r w:rsidRPr="00662611">
        <w:t>use or right</w:t>
      </w:r>
      <w:r w:rsidR="00C0298F" w:rsidRPr="00662611">
        <w:t>-to-</w:t>
      </w:r>
      <w:r w:rsidRPr="00662611">
        <w:t>access methods, depending on the speci</w:t>
      </w:r>
      <w:r w:rsidR="00E714B7" w:rsidRPr="00662611">
        <w:t>fic facts and circumstances. Th</w:t>
      </w:r>
      <w:r w:rsidRPr="00662611">
        <w:t xml:space="preserve">e </w:t>
      </w:r>
      <w:r w:rsidR="00C0298F" w:rsidRPr="00662611">
        <w:t xml:space="preserve">general </w:t>
      </w:r>
      <w:r w:rsidRPr="00662611">
        <w:t xml:space="preserve">requirement </w:t>
      </w:r>
      <w:r w:rsidR="00C0298F" w:rsidRPr="00662611">
        <w:t xml:space="preserve">in AASB </w:t>
      </w:r>
      <w:r w:rsidR="005F6667">
        <w:t>1059</w:t>
      </w:r>
      <w:r w:rsidR="00C0298F" w:rsidRPr="00662611">
        <w:t xml:space="preserve"> </w:t>
      </w:r>
      <w:r w:rsidRPr="00662611">
        <w:t xml:space="preserve">to recognise revenue from granting </w:t>
      </w:r>
      <w:r w:rsidR="00C0298F" w:rsidRPr="00662611">
        <w:t xml:space="preserve">a </w:t>
      </w:r>
      <w:r w:rsidRPr="00662611">
        <w:t xml:space="preserve">right to </w:t>
      </w:r>
      <w:r w:rsidR="00C0298F" w:rsidRPr="00662611">
        <w:t xml:space="preserve">the </w:t>
      </w:r>
      <w:r w:rsidRPr="00662611">
        <w:t>operat</w:t>
      </w:r>
      <w:r w:rsidR="00C0298F" w:rsidRPr="00662611">
        <w:t>or</w:t>
      </w:r>
      <w:r w:rsidRPr="00662611">
        <w:t xml:space="preserve"> over the </w:t>
      </w:r>
      <w:r w:rsidR="00C0298F" w:rsidRPr="00662611">
        <w:t xml:space="preserve">term </w:t>
      </w:r>
      <w:r w:rsidRPr="00662611">
        <w:t xml:space="preserve">of the </w:t>
      </w:r>
      <w:r w:rsidR="00C0298F" w:rsidRPr="00662611">
        <w:t xml:space="preserve">service concession </w:t>
      </w:r>
      <w:r w:rsidRPr="00662611">
        <w:t>arrangement on an appropriate basis</w:t>
      </w:r>
      <w:r w:rsidR="00E714B7" w:rsidRPr="00662611">
        <w:t xml:space="preserve"> may not be </w:t>
      </w:r>
      <w:r w:rsidR="00C0298F" w:rsidRPr="00662611">
        <w:t xml:space="preserve">compliant </w:t>
      </w:r>
      <w:r w:rsidR="00E714B7" w:rsidRPr="00662611">
        <w:t>with IFRS</w:t>
      </w:r>
      <w:r w:rsidRPr="00662611">
        <w:t xml:space="preserve"> 15</w:t>
      </w:r>
      <w:r w:rsidR="00FC78D0" w:rsidRPr="00662611">
        <w:t xml:space="preserve"> </w:t>
      </w:r>
      <w:r w:rsidR="00FC78D0" w:rsidRPr="00662611">
        <w:rPr>
          <w:i/>
        </w:rPr>
        <w:t>Revenue from Contracts with Customers</w:t>
      </w:r>
      <w:r w:rsidRPr="00662611">
        <w:t>.</w:t>
      </w:r>
    </w:p>
    <w:p w14:paraId="7D9271C1" w14:textId="26D60DAB" w:rsidR="00497589" w:rsidRPr="00662611" w:rsidRDefault="004F32BB" w:rsidP="00FB35B6">
      <w:pPr>
        <w:pStyle w:val="IASBNormal"/>
        <w:spacing w:before="0" w:after="0"/>
      </w:pPr>
      <w:r w:rsidRPr="00662611">
        <w:t xml:space="preserve">Consequently, a </w:t>
      </w:r>
      <w:r w:rsidR="001643FA">
        <w:t xml:space="preserve">public sector </w:t>
      </w:r>
      <w:r w:rsidRPr="00662611">
        <w:t xml:space="preserve">grantor that is a for-profit entity may not be able to </w:t>
      </w:r>
      <w:r w:rsidR="00F60EE4" w:rsidRPr="00662611">
        <w:t xml:space="preserve">state </w:t>
      </w:r>
      <w:r w:rsidRPr="00662611">
        <w:t>that its financial statements comply with IFRS</w:t>
      </w:r>
      <w:r w:rsidR="00F60EE4" w:rsidRPr="00662611">
        <w:t xml:space="preserve"> Standards</w:t>
      </w:r>
      <w:r w:rsidRPr="00662611">
        <w:t>.</w:t>
      </w:r>
    </w:p>
    <w:p w14:paraId="7D9271C3" w14:textId="7CD725D8" w:rsidR="00717E6A" w:rsidRPr="00662611" w:rsidRDefault="00717E6A" w:rsidP="00FB35B6">
      <w:pPr>
        <w:pStyle w:val="IASBNormal"/>
        <w:spacing w:before="0" w:after="0"/>
        <w:sectPr w:rsidR="00717E6A" w:rsidRPr="00662611" w:rsidSect="00945090">
          <w:footerReference w:type="default" r:id="rId25"/>
          <w:pgSz w:w="11907" w:h="16839" w:code="9"/>
          <w:pgMar w:top="1440" w:right="1440" w:bottom="1440" w:left="1440" w:header="720" w:footer="720" w:gutter="0"/>
          <w:cols w:space="708"/>
          <w:docGrid w:linePitch="360"/>
        </w:sectPr>
      </w:pPr>
    </w:p>
    <w:p w14:paraId="7D9271C4" w14:textId="2031FF53" w:rsidR="00717E6A" w:rsidRPr="00662611" w:rsidRDefault="00717E6A" w:rsidP="00717E6A">
      <w:pPr>
        <w:pStyle w:val="Heading1"/>
        <w:rPr>
          <w:rFonts w:ascii="Arial" w:hAnsi="Arial" w:cs="Arial"/>
          <w:color w:val="000000" w:themeColor="text1"/>
          <w:sz w:val="26"/>
          <w:szCs w:val="26"/>
        </w:rPr>
      </w:pPr>
      <w:r w:rsidRPr="00662611">
        <w:rPr>
          <w:rFonts w:ascii="Arial" w:hAnsi="Arial" w:cs="Arial"/>
          <w:color w:val="000000" w:themeColor="text1"/>
          <w:sz w:val="26"/>
          <w:szCs w:val="26"/>
        </w:rPr>
        <w:lastRenderedPageBreak/>
        <w:t xml:space="preserve">Accounting Standard AASB </w:t>
      </w:r>
      <w:r w:rsidRPr="00662611">
        <w:rPr>
          <w:rFonts w:ascii="Arial" w:hAnsi="Arial" w:cs="Arial"/>
          <w:color w:val="000000" w:themeColor="text1"/>
          <w:sz w:val="26"/>
          <w:szCs w:val="26"/>
        </w:rPr>
        <w:fldChar w:fldCharType="begin" w:fldLock="1"/>
      </w:r>
      <w:r w:rsidRPr="00662611">
        <w:rPr>
          <w:rFonts w:ascii="Arial" w:hAnsi="Arial" w:cs="Arial"/>
          <w:color w:val="000000" w:themeColor="text1"/>
          <w:sz w:val="26"/>
          <w:szCs w:val="26"/>
        </w:rPr>
        <w:instrText xml:space="preserve"> REF \* charformat DocNo </w:instrText>
      </w:r>
      <w:r w:rsidR="006B10E7" w:rsidRPr="00662611">
        <w:rPr>
          <w:rFonts w:ascii="Arial" w:hAnsi="Arial" w:cs="Arial"/>
          <w:color w:val="000000" w:themeColor="text1"/>
          <w:sz w:val="26"/>
          <w:szCs w:val="26"/>
        </w:rPr>
        <w:instrText xml:space="preserve"> \* MERGEFORMAT </w:instrText>
      </w:r>
      <w:r w:rsidRPr="00662611">
        <w:rPr>
          <w:rFonts w:ascii="Arial" w:hAnsi="Arial" w:cs="Arial"/>
          <w:color w:val="000000" w:themeColor="text1"/>
          <w:sz w:val="26"/>
          <w:szCs w:val="26"/>
        </w:rPr>
        <w:fldChar w:fldCharType="separate"/>
      </w:r>
      <w:r w:rsidR="005F6667">
        <w:rPr>
          <w:rFonts w:ascii="Arial" w:hAnsi="Arial" w:cs="Arial"/>
          <w:color w:val="000000" w:themeColor="text1"/>
          <w:sz w:val="26"/>
          <w:szCs w:val="26"/>
        </w:rPr>
        <w:t>1059</w:t>
      </w:r>
      <w:r w:rsidRPr="00662611">
        <w:rPr>
          <w:rFonts w:ascii="Arial" w:hAnsi="Arial" w:cs="Arial"/>
          <w:color w:val="000000" w:themeColor="text1"/>
          <w:sz w:val="26"/>
          <w:szCs w:val="26"/>
        </w:rPr>
        <w:fldChar w:fldCharType="end"/>
      </w:r>
    </w:p>
    <w:p w14:paraId="7D9271C5" w14:textId="242D0FEC" w:rsidR="00717E6A" w:rsidRPr="00662611" w:rsidRDefault="00717E6A" w:rsidP="00717E6A">
      <w:pPr>
        <w:pStyle w:val="IASBNormal"/>
      </w:pPr>
      <w:r w:rsidRPr="00662611">
        <w:t xml:space="preserve">The Australian Accounting Standards Board makes Accounting Standard </w:t>
      </w:r>
      <w:r w:rsidR="0066621E" w:rsidRPr="00662611">
        <w:t xml:space="preserve">AASB </w:t>
      </w:r>
      <w:r w:rsidR="005F6667">
        <w:t>1059</w:t>
      </w:r>
      <w:r w:rsidR="0066621E" w:rsidRPr="00662611">
        <w:t xml:space="preserve"> </w:t>
      </w:r>
      <w:r w:rsidR="0066621E" w:rsidRPr="00662611">
        <w:rPr>
          <w:i/>
        </w:rPr>
        <w:t>Service Concession Arrangements: Grantors</w:t>
      </w:r>
      <w:r w:rsidRPr="00662611">
        <w:t xml:space="preserve"> under section 334 of the </w:t>
      </w:r>
      <w:r w:rsidRPr="00662611">
        <w:rPr>
          <w:i/>
        </w:rPr>
        <w:t>Corporations Act 2001</w:t>
      </w:r>
      <w:r w:rsidRPr="00662611">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717E6A" w:rsidRPr="00662611" w14:paraId="7D9271C8" w14:textId="77777777" w:rsidTr="00945090">
        <w:trPr>
          <w:tblHeader/>
        </w:trPr>
        <w:tc>
          <w:tcPr>
            <w:tcW w:w="4508" w:type="dxa"/>
          </w:tcPr>
          <w:p w14:paraId="7D9271C6" w14:textId="77777777" w:rsidR="00717E6A" w:rsidRPr="00662611" w:rsidRDefault="00717E6A" w:rsidP="00945090">
            <w:pPr>
              <w:pStyle w:val="AASBBase"/>
            </w:pPr>
          </w:p>
        </w:tc>
        <w:tc>
          <w:tcPr>
            <w:tcW w:w="4509" w:type="dxa"/>
          </w:tcPr>
          <w:p w14:paraId="7D9271C7" w14:textId="77777777" w:rsidR="00717E6A" w:rsidRPr="00662611" w:rsidRDefault="00717E6A" w:rsidP="00945090">
            <w:pPr>
              <w:pStyle w:val="AASBBase"/>
              <w:jc w:val="right"/>
            </w:pPr>
            <w:r w:rsidRPr="00662611">
              <w:t>Kris Peach</w:t>
            </w:r>
          </w:p>
        </w:tc>
      </w:tr>
      <w:tr w:rsidR="00717E6A" w:rsidRPr="00662611" w14:paraId="7D9271CB" w14:textId="77777777" w:rsidTr="00945090">
        <w:tc>
          <w:tcPr>
            <w:tcW w:w="4508" w:type="dxa"/>
          </w:tcPr>
          <w:p w14:paraId="7D9271C9" w14:textId="4E3E7C3A" w:rsidR="00717E6A" w:rsidRPr="00662611" w:rsidRDefault="00717E6A" w:rsidP="00AE5D64">
            <w:pPr>
              <w:pStyle w:val="AASBBase"/>
            </w:pPr>
            <w:r w:rsidRPr="00662611">
              <w:t xml:space="preserve">Dated </w:t>
            </w:r>
            <w:r w:rsidR="00AE5D64">
              <w:t>14 July 2017</w:t>
            </w:r>
          </w:p>
        </w:tc>
        <w:tc>
          <w:tcPr>
            <w:tcW w:w="4509" w:type="dxa"/>
          </w:tcPr>
          <w:p w14:paraId="7D9271CA" w14:textId="77777777" w:rsidR="00717E6A" w:rsidRPr="00662611" w:rsidRDefault="00717E6A" w:rsidP="00945090">
            <w:pPr>
              <w:pStyle w:val="AASBBase"/>
              <w:jc w:val="right"/>
            </w:pPr>
            <w:r w:rsidRPr="00662611">
              <w:t>Chair – AASB</w:t>
            </w:r>
          </w:p>
        </w:tc>
      </w:tr>
    </w:tbl>
    <w:p w14:paraId="7D9271CC" w14:textId="641658A3" w:rsidR="00717E6A" w:rsidRPr="00662611" w:rsidRDefault="00717E6A" w:rsidP="00717E6A">
      <w:pPr>
        <w:pStyle w:val="ConvStandardTitle1"/>
      </w:pPr>
      <w:r w:rsidRPr="00662611">
        <w:t xml:space="preserve">Accounting Standard AASB </w:t>
      </w:r>
      <w:r w:rsidR="00006562">
        <w:fldChar w:fldCharType="begin" w:fldLock="1"/>
      </w:r>
      <w:r w:rsidR="00006562">
        <w:instrText xml:space="preserve"> REF \* charformat DocNo </w:instrText>
      </w:r>
      <w:r w:rsidR="00006562">
        <w:fldChar w:fldCharType="separate"/>
      </w:r>
      <w:r w:rsidR="005F6667">
        <w:t>1059</w:t>
      </w:r>
      <w:r w:rsidR="00006562">
        <w:fldChar w:fldCharType="end"/>
      </w:r>
    </w:p>
    <w:p w14:paraId="7D9271CD" w14:textId="77777777" w:rsidR="00717E6A" w:rsidRPr="00662611" w:rsidRDefault="003B275E" w:rsidP="00717E6A">
      <w:pPr>
        <w:pStyle w:val="ConvStandardTitle2"/>
      </w:pPr>
      <w:r w:rsidRPr="00662611">
        <w:t>Service Concession Arrangements: Grantors</w:t>
      </w:r>
    </w:p>
    <w:p w14:paraId="7D9271CE" w14:textId="77777777" w:rsidR="00862556" w:rsidRPr="00662611" w:rsidRDefault="00862556" w:rsidP="00862556">
      <w:pPr>
        <w:pStyle w:val="IASBSectionTitle1NonInd"/>
        <w:outlineLvl w:val="1"/>
      </w:pPr>
      <w:r w:rsidRPr="00662611">
        <w:t>Objective</w:t>
      </w:r>
    </w:p>
    <w:p w14:paraId="7D9271CF" w14:textId="77777777" w:rsidR="00862556" w:rsidRPr="00662611" w:rsidRDefault="00862556" w:rsidP="003102C2">
      <w:pPr>
        <w:pStyle w:val="NumPlain1"/>
        <w:numPr>
          <w:ilvl w:val="0"/>
          <w:numId w:val="35"/>
        </w:numPr>
        <w:jc w:val="both"/>
      </w:pPr>
      <w:bookmarkStart w:id="6" w:name="_Ref475606785"/>
      <w:r w:rsidRPr="00662611">
        <w:t xml:space="preserve">The objective of this Standard is to prescribe the accounting for a </w:t>
      </w:r>
      <w:r w:rsidRPr="00662611">
        <w:rPr>
          <w:i/>
        </w:rPr>
        <w:t>service concession arrangement</w:t>
      </w:r>
      <w:r w:rsidRPr="00662611">
        <w:t xml:space="preserve"> by a </w:t>
      </w:r>
      <w:r w:rsidRPr="00662611">
        <w:rPr>
          <w:i/>
        </w:rPr>
        <w:t>grantor</w:t>
      </w:r>
      <w:r w:rsidRPr="00662611">
        <w:t xml:space="preserve"> that is a public sector entity.</w:t>
      </w:r>
      <w:bookmarkEnd w:id="6"/>
    </w:p>
    <w:p w14:paraId="7D9271D0" w14:textId="43EEEE62" w:rsidR="00862556" w:rsidRPr="00662611" w:rsidRDefault="00862556" w:rsidP="00862556">
      <w:pPr>
        <w:pStyle w:val="IASBSectionTitle1NonInd"/>
        <w:outlineLvl w:val="1"/>
      </w:pPr>
      <w:r w:rsidRPr="00662611">
        <w:t xml:space="preserve">Scope (paragraphs </w:t>
      </w:r>
      <w:r w:rsidRPr="00662611">
        <w:fldChar w:fldCharType="begin"/>
      </w:r>
      <w:r w:rsidRPr="00662611">
        <w:instrText xml:space="preserve"> REF _Ref475619659 \r \h </w:instrText>
      </w:r>
      <w:r w:rsidRPr="00662611">
        <w:fldChar w:fldCharType="separate"/>
      </w:r>
      <w:r w:rsidR="00C43128">
        <w:t>B1</w:t>
      </w:r>
      <w:r w:rsidRPr="00662611">
        <w:fldChar w:fldCharType="end"/>
      </w:r>
      <w:r w:rsidRPr="00662611">
        <w:t>–</w:t>
      </w:r>
      <w:r w:rsidR="00190A74">
        <w:fldChar w:fldCharType="begin"/>
      </w:r>
      <w:r w:rsidR="00190A74">
        <w:instrText xml:space="preserve"> REF _Ref487193199 \r \h </w:instrText>
      </w:r>
      <w:r w:rsidR="00190A74">
        <w:fldChar w:fldCharType="separate"/>
      </w:r>
      <w:r w:rsidR="00C43128">
        <w:t>B3</w:t>
      </w:r>
      <w:r w:rsidR="00190A74">
        <w:fldChar w:fldCharType="end"/>
      </w:r>
      <w:r w:rsidRPr="00662611">
        <w:t>)</w:t>
      </w:r>
    </w:p>
    <w:p w14:paraId="7C9E17EC" w14:textId="1C4F93B8" w:rsidR="00133226" w:rsidRPr="00133226" w:rsidRDefault="00862556" w:rsidP="003102C2">
      <w:pPr>
        <w:pStyle w:val="NumBoldA1"/>
        <w:numPr>
          <w:ilvl w:val="0"/>
          <w:numId w:val="35"/>
        </w:numPr>
      </w:pPr>
      <w:bookmarkStart w:id="7" w:name="_Ref487010405"/>
      <w:bookmarkStart w:id="8" w:name="_Ref475621189"/>
      <w:r w:rsidRPr="00662611">
        <w:t xml:space="preserve">This Standard shall be applied to </w:t>
      </w:r>
      <w:r w:rsidR="00B46FCC">
        <w:t xml:space="preserve">service concession </w:t>
      </w:r>
      <w:r w:rsidRPr="00662611">
        <w:t>arrangements</w:t>
      </w:r>
      <w:r w:rsidR="00B46FCC">
        <w:t>, which</w:t>
      </w:r>
      <w:r w:rsidRPr="00662611">
        <w:t xml:space="preserve"> involve an </w:t>
      </w:r>
      <w:r w:rsidRPr="00662611">
        <w:rPr>
          <w:i/>
        </w:rPr>
        <w:t>operator</w:t>
      </w:r>
      <w:r w:rsidR="0030089B" w:rsidRPr="00C654B1">
        <w:t>:</w:t>
      </w:r>
      <w:bookmarkEnd w:id="7"/>
    </w:p>
    <w:p w14:paraId="63B9A931" w14:textId="1E89A1A3" w:rsidR="00133226" w:rsidRDefault="00862556" w:rsidP="003102C2">
      <w:pPr>
        <w:pStyle w:val="NumBoldA2"/>
        <w:numPr>
          <w:ilvl w:val="1"/>
          <w:numId w:val="35"/>
        </w:numPr>
        <w:ind w:left="1564" w:hanging="782"/>
      </w:pPr>
      <w:r w:rsidRPr="00662611">
        <w:t>providing</w:t>
      </w:r>
      <w:r w:rsidR="001D3E5E">
        <w:t xml:space="preserve"> </w:t>
      </w:r>
      <w:r w:rsidRPr="00662611">
        <w:t>public service</w:t>
      </w:r>
      <w:r w:rsidR="001D3E5E">
        <w:t>s</w:t>
      </w:r>
      <w:r w:rsidRPr="00662611">
        <w:t xml:space="preserve"> related to a </w:t>
      </w:r>
      <w:r w:rsidRPr="00662611">
        <w:rPr>
          <w:i/>
        </w:rPr>
        <w:t>service concession asset</w:t>
      </w:r>
      <w:r w:rsidR="001D3E5E" w:rsidRPr="00133226">
        <w:t xml:space="preserve"> </w:t>
      </w:r>
      <w:r w:rsidR="00133226" w:rsidRPr="00662611">
        <w:t>on behalf of a grantor</w:t>
      </w:r>
      <w:r w:rsidR="00C654B1">
        <w:t>;</w:t>
      </w:r>
      <w:r w:rsidR="00133226">
        <w:t xml:space="preserve"> </w:t>
      </w:r>
      <w:r w:rsidR="001D3E5E" w:rsidRPr="001D3E5E">
        <w:t>and</w:t>
      </w:r>
    </w:p>
    <w:p w14:paraId="7D9271D1" w14:textId="05F7570C" w:rsidR="00862556" w:rsidRPr="00662611" w:rsidRDefault="001D3E5E" w:rsidP="003102C2">
      <w:pPr>
        <w:pStyle w:val="NumBoldA2"/>
        <w:numPr>
          <w:ilvl w:val="1"/>
          <w:numId w:val="35"/>
        </w:numPr>
        <w:ind w:left="1564" w:hanging="782"/>
      </w:pPr>
      <w:proofErr w:type="gramStart"/>
      <w:r>
        <w:t>managing</w:t>
      </w:r>
      <w:proofErr w:type="gramEnd"/>
      <w:r>
        <w:t xml:space="preserve"> at least some of those services under its own discretion, rather than at the direction of the grantor</w:t>
      </w:r>
      <w:r w:rsidR="00862556" w:rsidRPr="001D3E5E">
        <w:t>.</w:t>
      </w:r>
      <w:bookmarkEnd w:id="8"/>
    </w:p>
    <w:p w14:paraId="7D9271D2" w14:textId="33BFCDE4" w:rsidR="00862556" w:rsidRPr="00662611" w:rsidRDefault="00862556" w:rsidP="003102C2">
      <w:pPr>
        <w:pStyle w:val="NumPlain1"/>
        <w:numPr>
          <w:ilvl w:val="0"/>
          <w:numId w:val="35"/>
        </w:numPr>
        <w:jc w:val="both"/>
      </w:pPr>
      <w:bookmarkStart w:id="9" w:name="_Ref475621247"/>
      <w:r w:rsidRPr="00662611">
        <w:t>Arrangements outside the scope of this Standard include those that do not involve the delivery of a public service</w:t>
      </w:r>
      <w:r w:rsidR="00556B57">
        <w:t>, those where the operator manages the public services merely as an agent of the grantor, and those</w:t>
      </w:r>
      <w:r w:rsidRPr="00662611">
        <w:t xml:space="preserve"> that involve service and management components where the asset is not controlled by the grantor as described in paragraph </w:t>
      </w:r>
      <w:r w:rsidRPr="00662611">
        <w:fldChar w:fldCharType="begin"/>
      </w:r>
      <w:r w:rsidRPr="00662611">
        <w:instrText xml:space="preserve"> REF _Ref475619556 \r \h  \* MERGEFORMAT </w:instrText>
      </w:r>
      <w:r w:rsidRPr="00662611">
        <w:fldChar w:fldCharType="separate"/>
      </w:r>
      <w:r w:rsidR="00C43128">
        <w:t>5</w:t>
      </w:r>
      <w:r w:rsidRPr="00662611">
        <w:fldChar w:fldCharType="end"/>
      </w:r>
      <w:r w:rsidRPr="00662611">
        <w:t>, or paragraph </w:t>
      </w:r>
      <w:r w:rsidRPr="00662611">
        <w:fldChar w:fldCharType="begin"/>
      </w:r>
      <w:r w:rsidRPr="00662611">
        <w:instrText xml:space="preserve"> REF _Ref475619569 \r \h  \* MERGEFORMAT </w:instrText>
      </w:r>
      <w:r w:rsidRPr="00662611">
        <w:fldChar w:fldCharType="separate"/>
      </w:r>
      <w:r w:rsidR="00C43128">
        <w:t>6</w:t>
      </w:r>
      <w:r w:rsidRPr="00662611">
        <w:fldChar w:fldCharType="end"/>
      </w:r>
      <w:r w:rsidRPr="00662611">
        <w:t xml:space="preserve"> for a whole-of-life asset.</w:t>
      </w:r>
      <w:bookmarkEnd w:id="9"/>
    </w:p>
    <w:p w14:paraId="7D9271D3" w14:textId="604A6CA8" w:rsidR="00862556" w:rsidRPr="00662611" w:rsidRDefault="00862556" w:rsidP="003102C2">
      <w:pPr>
        <w:pStyle w:val="NumPlain1"/>
        <w:numPr>
          <w:ilvl w:val="0"/>
          <w:numId w:val="35"/>
        </w:numPr>
        <w:jc w:val="both"/>
      </w:pPr>
      <w:bookmarkStart w:id="10" w:name="_Ref475621194"/>
      <w:r w:rsidRPr="00662611">
        <w:t xml:space="preserve">This Standard does not specify the accounting by operators. Guidance on accounting for service concession arrangements by </w:t>
      </w:r>
      <w:r w:rsidR="00B46FCC">
        <w:t xml:space="preserve">private sector </w:t>
      </w:r>
      <w:r w:rsidRPr="00662611">
        <w:t>operator</w:t>
      </w:r>
      <w:r w:rsidR="0058732A">
        <w:t>s</w:t>
      </w:r>
      <w:r w:rsidRPr="00662611">
        <w:t xml:space="preserve"> can be found in AASB Interpretation 12 </w:t>
      </w:r>
      <w:r w:rsidRPr="00662611">
        <w:rPr>
          <w:i/>
        </w:rPr>
        <w:t>Service Concession Arrangements</w:t>
      </w:r>
      <w:r w:rsidRPr="00662611">
        <w:t>.</w:t>
      </w:r>
      <w:bookmarkEnd w:id="10"/>
    </w:p>
    <w:p w14:paraId="7D9271D4" w14:textId="480FE3F8" w:rsidR="00862556" w:rsidRPr="00662611" w:rsidRDefault="00862556" w:rsidP="00862556">
      <w:pPr>
        <w:pStyle w:val="IASBSectionTitle1NonInd"/>
        <w:outlineLvl w:val="1"/>
      </w:pPr>
      <w:r w:rsidRPr="00662611">
        <w:t xml:space="preserve">Recognition and measurement of service concession assets (paragraphs </w:t>
      </w:r>
      <w:r w:rsidR="007D0C9B">
        <w:fldChar w:fldCharType="begin"/>
      </w:r>
      <w:r w:rsidR="007D0C9B">
        <w:instrText xml:space="preserve"> REF _Ref485978162 \r \h </w:instrText>
      </w:r>
      <w:r w:rsidR="007D0C9B">
        <w:fldChar w:fldCharType="separate"/>
      </w:r>
      <w:r w:rsidR="00C43128">
        <w:t>B14</w:t>
      </w:r>
      <w:r w:rsidR="007D0C9B">
        <w:fldChar w:fldCharType="end"/>
      </w:r>
      <w:r w:rsidRPr="00662611">
        <w:t>–</w:t>
      </w:r>
      <w:r w:rsidRPr="00662611">
        <w:fldChar w:fldCharType="begin"/>
      </w:r>
      <w:r w:rsidRPr="00662611">
        <w:instrText xml:space="preserve"> REF _Ref475619701 \r \h </w:instrText>
      </w:r>
      <w:r w:rsidRPr="00662611">
        <w:fldChar w:fldCharType="separate"/>
      </w:r>
      <w:r w:rsidR="00C43128">
        <w:t>B59</w:t>
      </w:r>
      <w:r w:rsidRPr="00662611">
        <w:fldChar w:fldCharType="end"/>
      </w:r>
      <w:r w:rsidRPr="00662611">
        <w:t>)</w:t>
      </w:r>
    </w:p>
    <w:p w14:paraId="7D9271D5" w14:textId="54794483" w:rsidR="00862556" w:rsidRPr="00662611" w:rsidRDefault="00862556" w:rsidP="003102C2">
      <w:pPr>
        <w:pStyle w:val="NumBoldA1"/>
        <w:numPr>
          <w:ilvl w:val="0"/>
          <w:numId w:val="35"/>
        </w:numPr>
      </w:pPr>
      <w:bookmarkStart w:id="11" w:name="_Ref475619556"/>
      <w:r w:rsidRPr="00662611">
        <w:t>The grantor shall recognise an asset provided by the operator and an upgrade to</w:t>
      </w:r>
      <w:r w:rsidR="0026143C">
        <w:t xml:space="preserve"> or a major component replacement for</w:t>
      </w:r>
      <w:r w:rsidRPr="00662611">
        <w:t xml:space="preserve"> an existing asset of the grantor as a service concession asset if the grantor controls the asset. The grantor controls the asset if, and only if:</w:t>
      </w:r>
      <w:bookmarkEnd w:id="11"/>
    </w:p>
    <w:p w14:paraId="7D9271D6" w14:textId="77777777" w:rsidR="00862556" w:rsidRPr="00662611" w:rsidRDefault="00862556" w:rsidP="003102C2">
      <w:pPr>
        <w:pStyle w:val="NumBoldA2"/>
        <w:numPr>
          <w:ilvl w:val="1"/>
          <w:numId w:val="35"/>
        </w:numPr>
        <w:ind w:left="1564" w:hanging="782"/>
      </w:pPr>
      <w:bookmarkStart w:id="12" w:name="_Ref475624505"/>
      <w:r w:rsidRPr="00662611">
        <w:t>the grantor controls or regulates what services the operator must provide with the asset, to whom it must provide them, and at what price; and</w:t>
      </w:r>
      <w:bookmarkEnd w:id="12"/>
    </w:p>
    <w:p w14:paraId="7D9271D7" w14:textId="77777777" w:rsidR="00862556" w:rsidRPr="00662611" w:rsidRDefault="00862556" w:rsidP="003102C2">
      <w:pPr>
        <w:pStyle w:val="NumBoldA2"/>
        <w:numPr>
          <w:ilvl w:val="1"/>
          <w:numId w:val="35"/>
        </w:numPr>
        <w:ind w:left="1564" w:hanging="782"/>
      </w:pPr>
      <w:bookmarkStart w:id="13" w:name="_Ref475624573"/>
      <w:proofErr w:type="gramStart"/>
      <w:r w:rsidRPr="00662611">
        <w:t>the</w:t>
      </w:r>
      <w:proofErr w:type="gramEnd"/>
      <w:r w:rsidRPr="00662611">
        <w:t xml:space="preserve"> grantor controls – through ownership, beneficial entitlement or otherwise – any significant residual interest in the asset at the end of the term of the arrangement.</w:t>
      </w:r>
      <w:bookmarkEnd w:id="13"/>
    </w:p>
    <w:p w14:paraId="7D9271D8" w14:textId="1B71C546" w:rsidR="00862556" w:rsidRPr="00662611" w:rsidRDefault="00862556" w:rsidP="003102C2">
      <w:pPr>
        <w:pStyle w:val="NumBoldA1"/>
        <w:numPr>
          <w:ilvl w:val="0"/>
          <w:numId w:val="35"/>
        </w:numPr>
      </w:pPr>
      <w:bookmarkStart w:id="14" w:name="_Ref475619569"/>
      <w:bookmarkStart w:id="15" w:name="_Ref486144882"/>
      <w:r w:rsidRPr="00662611">
        <w:t>The grantor shall recognise an asset that will be used in a service concession arrangement for its entire economic life (a ‘whole-of-life’ asset) if the conditions in paragraph </w:t>
      </w:r>
      <w:r w:rsidR="009B5874" w:rsidRPr="00662611">
        <w:fldChar w:fldCharType="begin"/>
      </w:r>
      <w:r w:rsidR="009B5874" w:rsidRPr="00662611">
        <w:instrText xml:space="preserve"> REF _Ref475624505 \r \h </w:instrText>
      </w:r>
      <w:r w:rsidR="009B5874" w:rsidRPr="00662611">
        <w:fldChar w:fldCharType="separate"/>
      </w:r>
      <w:r w:rsidR="00C43128">
        <w:t>5(a)</w:t>
      </w:r>
      <w:r w:rsidR="009B5874" w:rsidRPr="00662611">
        <w:fldChar w:fldCharType="end"/>
      </w:r>
      <w:r w:rsidRPr="00662611">
        <w:t xml:space="preserve"> are met.</w:t>
      </w:r>
      <w:bookmarkEnd w:id="14"/>
      <w:r w:rsidR="00B46FCC">
        <w:t xml:space="preserve"> In this case, the </w:t>
      </w:r>
      <w:r w:rsidR="003F4009">
        <w:t xml:space="preserve">condition </w:t>
      </w:r>
      <w:r w:rsidR="00B46FCC">
        <w:t>in paragraph 5(b) is not relevant and therefore the grantor controls the whole-of-life asset if the conditions in paragraph 5(a) are met.</w:t>
      </w:r>
      <w:bookmarkEnd w:id="15"/>
    </w:p>
    <w:p w14:paraId="7D9271D9" w14:textId="1A2FDDE4" w:rsidR="00862556" w:rsidRPr="00662611" w:rsidRDefault="00862556" w:rsidP="003102C2">
      <w:pPr>
        <w:pStyle w:val="NumBoldA1"/>
        <w:numPr>
          <w:ilvl w:val="0"/>
          <w:numId w:val="35"/>
        </w:numPr>
      </w:pPr>
      <w:bookmarkStart w:id="16" w:name="_Ref475627077"/>
      <w:r w:rsidRPr="00662611">
        <w:t>The grantor shall initially measure the service concession asset recognised in accordance with paragraph </w:t>
      </w:r>
      <w:r w:rsidRPr="00662611">
        <w:fldChar w:fldCharType="begin"/>
      </w:r>
      <w:r w:rsidRPr="00662611">
        <w:instrText xml:space="preserve"> REF _Ref475619556 \r \h </w:instrText>
      </w:r>
      <w:r w:rsidRPr="00662611">
        <w:fldChar w:fldCharType="separate"/>
      </w:r>
      <w:r w:rsidR="00C43128">
        <w:t>5</w:t>
      </w:r>
      <w:r w:rsidRPr="00662611">
        <w:fldChar w:fldCharType="end"/>
      </w:r>
      <w:r w:rsidRPr="00662611">
        <w:t xml:space="preserve"> (or paragraph </w:t>
      </w:r>
      <w:r w:rsidRPr="00662611">
        <w:fldChar w:fldCharType="begin"/>
      </w:r>
      <w:r w:rsidRPr="00662611">
        <w:instrText xml:space="preserve"> REF _Ref475619569 \r \h </w:instrText>
      </w:r>
      <w:r w:rsidRPr="00662611">
        <w:fldChar w:fldCharType="separate"/>
      </w:r>
      <w:r w:rsidR="00C43128">
        <w:t>6</w:t>
      </w:r>
      <w:r w:rsidRPr="00662611">
        <w:fldChar w:fldCharType="end"/>
      </w:r>
      <w:r w:rsidRPr="00662611">
        <w:t xml:space="preserve"> for a whole-of-life asset) at current replacement cost in accordance with the cost approach to fair value in AASB 13 </w:t>
      </w:r>
      <w:r w:rsidRPr="00662611">
        <w:rPr>
          <w:i/>
        </w:rPr>
        <w:t>Fair Value Measurement</w:t>
      </w:r>
      <w:r w:rsidRPr="00662611">
        <w:t>.</w:t>
      </w:r>
      <w:bookmarkEnd w:id="16"/>
    </w:p>
    <w:p w14:paraId="7D9271DA" w14:textId="22375827" w:rsidR="00654B52" w:rsidRPr="00662611" w:rsidRDefault="00862556" w:rsidP="003102C2">
      <w:pPr>
        <w:pStyle w:val="NumBoldA1"/>
        <w:numPr>
          <w:ilvl w:val="0"/>
          <w:numId w:val="35"/>
        </w:numPr>
      </w:pPr>
      <w:bookmarkStart w:id="17" w:name="_Ref475620361"/>
      <w:bookmarkStart w:id="18" w:name="_Ref486145413"/>
      <w:r w:rsidRPr="00662611">
        <w:t>Where an existing asset of the grantor meets the conditions specified in paragraph </w:t>
      </w:r>
      <w:r w:rsidRPr="00662611">
        <w:fldChar w:fldCharType="begin"/>
      </w:r>
      <w:r w:rsidRPr="00662611">
        <w:instrText xml:space="preserve"> REF _Ref475619556 \r \h </w:instrText>
      </w:r>
      <w:r w:rsidRPr="00662611">
        <w:fldChar w:fldCharType="separate"/>
      </w:r>
      <w:r w:rsidR="00C43128">
        <w:t>5</w:t>
      </w:r>
      <w:r w:rsidRPr="00662611">
        <w:fldChar w:fldCharType="end"/>
      </w:r>
      <w:r w:rsidRPr="00662611" w:rsidDel="00840F07">
        <w:t xml:space="preserve"> </w:t>
      </w:r>
      <w:r w:rsidRPr="00662611">
        <w:t>(or paragraph </w:t>
      </w:r>
      <w:r w:rsidRPr="00662611">
        <w:fldChar w:fldCharType="begin"/>
      </w:r>
      <w:r w:rsidRPr="00662611">
        <w:instrText xml:space="preserve"> REF _Ref475619569 \r \h </w:instrText>
      </w:r>
      <w:r w:rsidRPr="00662611">
        <w:fldChar w:fldCharType="separate"/>
      </w:r>
      <w:r w:rsidR="00C43128">
        <w:t>6</w:t>
      </w:r>
      <w:r w:rsidRPr="00662611">
        <w:fldChar w:fldCharType="end"/>
      </w:r>
      <w:r w:rsidRPr="00662611">
        <w:t xml:space="preserve"> for a whole-of-life asset), the grantor shall reclassify the existing asset as a service concession asset and shall measure the asset at current replacement cost in accordance with the cost approach to fair value in AASB 13 as at the date of reclassification. </w:t>
      </w:r>
      <w:r w:rsidRPr="00662611">
        <w:rPr>
          <w:szCs w:val="19"/>
        </w:rPr>
        <w:t xml:space="preserve">The grantor shall recognise any difference at that date between the carrying amount of the asset and its fair value (current replacement cost) as if it is a </w:t>
      </w:r>
      <w:r w:rsidRPr="00662611">
        <w:rPr>
          <w:szCs w:val="19"/>
        </w:rPr>
        <w:lastRenderedPageBreak/>
        <w:t>revaluation of the asset.</w:t>
      </w:r>
      <w:bookmarkEnd w:id="17"/>
      <w:r w:rsidR="00745912">
        <w:rPr>
          <w:szCs w:val="19"/>
        </w:rPr>
        <w:t xml:space="preserve"> This approach does not mean that the grantor has adopted the revaluation model.</w:t>
      </w:r>
      <w:bookmarkEnd w:id="18"/>
    </w:p>
    <w:p w14:paraId="7D9271DB" w14:textId="21FF50DD" w:rsidR="00AC604E" w:rsidRPr="00662611" w:rsidRDefault="00862556" w:rsidP="003102C2">
      <w:pPr>
        <w:pStyle w:val="NumBoldA1"/>
        <w:numPr>
          <w:ilvl w:val="0"/>
          <w:numId w:val="35"/>
        </w:numPr>
      </w:pPr>
      <w:bookmarkStart w:id="19" w:name="_Ref486145440"/>
      <w:bookmarkStart w:id="20" w:name="_Ref475621660"/>
      <w:r w:rsidRPr="00662611">
        <w:t>After initial recognition or reclassification</w:t>
      </w:r>
      <w:r w:rsidR="00654B52" w:rsidRPr="00662611">
        <w:t>,</w:t>
      </w:r>
      <w:r w:rsidRPr="00662611">
        <w:t xml:space="preserve"> </w:t>
      </w:r>
      <w:r w:rsidR="00B84CFF">
        <w:t xml:space="preserve">the grantor shall account for </w:t>
      </w:r>
      <w:r w:rsidR="005F6677" w:rsidRPr="00662611">
        <w:t xml:space="preserve">a </w:t>
      </w:r>
      <w:r w:rsidRPr="00662611">
        <w:t>service concession asset</w:t>
      </w:r>
      <w:r w:rsidR="00AC604E" w:rsidRPr="00662611">
        <w:t xml:space="preserve"> </w:t>
      </w:r>
      <w:r w:rsidR="00E77036" w:rsidRPr="00662611">
        <w:t>during the term of the service concession arrangement as follows</w:t>
      </w:r>
      <w:r w:rsidR="006B0DC2" w:rsidRPr="00662611">
        <w:t>:</w:t>
      </w:r>
      <w:bookmarkEnd w:id="19"/>
    </w:p>
    <w:p w14:paraId="7D9271DC" w14:textId="6F8821FA" w:rsidR="00E77036" w:rsidRPr="00662611" w:rsidRDefault="005F6677" w:rsidP="003102C2">
      <w:pPr>
        <w:pStyle w:val="NumBoldA1"/>
        <w:numPr>
          <w:ilvl w:val="1"/>
          <w:numId w:val="35"/>
        </w:numPr>
        <w:ind w:left="1564" w:hanging="782"/>
      </w:pPr>
      <w:r w:rsidRPr="00662611">
        <w:t>depreciate</w:t>
      </w:r>
      <w:r w:rsidR="00E77036" w:rsidRPr="00662611">
        <w:t xml:space="preserve"> or amortise </w:t>
      </w:r>
      <w:r w:rsidRPr="00662611">
        <w:t xml:space="preserve">the depreciable amount of the asset </w:t>
      </w:r>
      <w:r w:rsidR="00E77036" w:rsidRPr="00662611">
        <w:t xml:space="preserve">over the useful life </w:t>
      </w:r>
      <w:r w:rsidR="00F647AE" w:rsidRPr="00662611">
        <w:t xml:space="preserve">in accordance with AASB </w:t>
      </w:r>
      <w:r w:rsidR="00862556" w:rsidRPr="00662611">
        <w:t xml:space="preserve">116 </w:t>
      </w:r>
      <w:r w:rsidR="00862556" w:rsidRPr="00662611">
        <w:rPr>
          <w:i/>
        </w:rPr>
        <w:t>Property, Plant and Equipment</w:t>
      </w:r>
      <w:r w:rsidR="00862556" w:rsidRPr="00662611">
        <w:t xml:space="preserve"> or AASB</w:t>
      </w:r>
      <w:r w:rsidR="00F647AE" w:rsidRPr="00662611">
        <w:t xml:space="preserve"> </w:t>
      </w:r>
      <w:r w:rsidR="00862556" w:rsidRPr="00662611">
        <w:t xml:space="preserve">138 </w:t>
      </w:r>
      <w:r w:rsidR="00862556" w:rsidRPr="00662611">
        <w:rPr>
          <w:i/>
        </w:rPr>
        <w:t>Intangible Assets</w:t>
      </w:r>
      <w:r w:rsidR="00862556" w:rsidRPr="00662611">
        <w:t>, as appropriate</w:t>
      </w:r>
      <w:r w:rsidR="007D0E26">
        <w:t xml:space="preserve">, with any impairment recognised in accordance with AASB 136 </w:t>
      </w:r>
      <w:r w:rsidR="007D0E26" w:rsidRPr="007D0E26">
        <w:rPr>
          <w:i/>
        </w:rPr>
        <w:t>Impairment of Assets</w:t>
      </w:r>
      <w:r w:rsidR="00E77036" w:rsidRPr="00662611">
        <w:t>;</w:t>
      </w:r>
      <w:r w:rsidR="00AC604E" w:rsidRPr="00662611">
        <w:t xml:space="preserve"> </w:t>
      </w:r>
      <w:r w:rsidR="007D0E26">
        <w:t>and</w:t>
      </w:r>
    </w:p>
    <w:p w14:paraId="7D9271DD" w14:textId="5D3D4D40" w:rsidR="00AC604E" w:rsidRPr="00662611" w:rsidRDefault="00E77036" w:rsidP="003102C2">
      <w:pPr>
        <w:pStyle w:val="NumBoldA1"/>
        <w:numPr>
          <w:ilvl w:val="1"/>
          <w:numId w:val="35"/>
        </w:numPr>
        <w:ind w:left="1564" w:hanging="782"/>
      </w:pPr>
      <w:proofErr w:type="gramStart"/>
      <w:r w:rsidRPr="00662611">
        <w:t>references</w:t>
      </w:r>
      <w:proofErr w:type="gramEnd"/>
      <w:r w:rsidRPr="00662611">
        <w:t xml:space="preserve"> </w:t>
      </w:r>
      <w:r w:rsidR="00AC604E" w:rsidRPr="00662611">
        <w:t xml:space="preserve">to fair value in other Standards shall be </w:t>
      </w:r>
      <w:r w:rsidR="0058732A">
        <w:t>read</w:t>
      </w:r>
      <w:r w:rsidR="0058732A" w:rsidRPr="00662611">
        <w:t xml:space="preserve"> </w:t>
      </w:r>
      <w:r w:rsidR="00AC604E" w:rsidRPr="00662611">
        <w:t>as references to current replacement cost for service concession assets.</w:t>
      </w:r>
      <w:r w:rsidRPr="00662611">
        <w:t xml:space="preserve"> </w:t>
      </w:r>
      <w:r w:rsidR="00597FBA">
        <w:t xml:space="preserve">For example, </w:t>
      </w:r>
      <w:r w:rsidR="0058732A">
        <w:t xml:space="preserve">this means that </w:t>
      </w:r>
      <w:r w:rsidRPr="00662611">
        <w:t xml:space="preserve">current replacement cost is the basis for fair value measurement </w:t>
      </w:r>
      <w:r w:rsidR="0058732A">
        <w:t xml:space="preserve">of service concession assets </w:t>
      </w:r>
      <w:r w:rsidRPr="00662611">
        <w:t>under a revaluation model</w:t>
      </w:r>
      <w:r w:rsidR="00597FBA">
        <w:t>.</w:t>
      </w:r>
      <w:r w:rsidRPr="00662611">
        <w:t xml:space="preserve"> </w:t>
      </w:r>
      <w:r w:rsidR="00597FBA">
        <w:t xml:space="preserve">Furthermore, </w:t>
      </w:r>
      <w:r w:rsidRPr="00662611">
        <w:t xml:space="preserve">the active market requirements </w:t>
      </w:r>
      <w:r w:rsidR="005F6677" w:rsidRPr="00662611">
        <w:t xml:space="preserve">in AASB 138 </w:t>
      </w:r>
      <w:r w:rsidRPr="00662611">
        <w:t xml:space="preserve">for the revaluation of an intangible asset </w:t>
      </w:r>
      <w:r w:rsidR="001609E1">
        <w:t>shall</w:t>
      </w:r>
      <w:r w:rsidR="001609E1" w:rsidRPr="00662611">
        <w:t xml:space="preserve"> </w:t>
      </w:r>
      <w:r w:rsidRPr="00662611">
        <w:t>not apply</w:t>
      </w:r>
      <w:r w:rsidR="007D0E26">
        <w:t>.</w:t>
      </w:r>
    </w:p>
    <w:p w14:paraId="63B7BB6C" w14:textId="4079323D" w:rsidR="000B69DA" w:rsidRDefault="00B84CFF" w:rsidP="003102C2">
      <w:pPr>
        <w:pStyle w:val="NumBoldA1"/>
        <w:numPr>
          <w:ilvl w:val="0"/>
          <w:numId w:val="35"/>
        </w:numPr>
      </w:pPr>
      <w:bookmarkStart w:id="21" w:name="_Ref487193431"/>
      <w:r>
        <w:t xml:space="preserve">The grantor shall account for </w:t>
      </w:r>
      <w:r w:rsidRPr="00662611">
        <w:t xml:space="preserve">a </w:t>
      </w:r>
      <w:r w:rsidR="000B69DA" w:rsidRPr="00662611">
        <w:t xml:space="preserve">service concession asset </w:t>
      </w:r>
      <w:r>
        <w:t>a</w:t>
      </w:r>
      <w:r w:rsidR="000B69DA" w:rsidRPr="00662611">
        <w:t xml:space="preserve">fter the end of the </w:t>
      </w:r>
      <w:r>
        <w:t xml:space="preserve">term of the </w:t>
      </w:r>
      <w:r w:rsidR="007D0E26" w:rsidRPr="00662611">
        <w:t xml:space="preserve">service concession </w:t>
      </w:r>
      <w:r w:rsidR="000B69DA" w:rsidRPr="00662611">
        <w:t>arrangement</w:t>
      </w:r>
      <w:r w:rsidR="00133226">
        <w:t xml:space="preserve"> in accordance with other Accounting Standards </w:t>
      </w:r>
      <w:r w:rsidR="001609E1">
        <w:t xml:space="preserve">and </w:t>
      </w:r>
      <w:r w:rsidR="00133226">
        <w:t>as specified below. In particular</w:t>
      </w:r>
      <w:r w:rsidR="000B69DA" w:rsidRPr="00662611">
        <w:t>:</w:t>
      </w:r>
      <w:bookmarkEnd w:id="21"/>
    </w:p>
    <w:p w14:paraId="39D29A66" w14:textId="5D12E4FD" w:rsidR="007D0E26" w:rsidRDefault="00133226" w:rsidP="003102C2">
      <w:pPr>
        <w:pStyle w:val="NumBoldA1"/>
        <w:numPr>
          <w:ilvl w:val="1"/>
          <w:numId w:val="35"/>
        </w:numPr>
        <w:ind w:left="1564" w:hanging="782"/>
      </w:pPr>
      <w:r>
        <w:t xml:space="preserve">the grantor reclassifies </w:t>
      </w:r>
      <w:r w:rsidR="00F15946">
        <w:t>the asset based on its nature or function;</w:t>
      </w:r>
    </w:p>
    <w:p w14:paraId="74BD1CD7" w14:textId="45EA739B" w:rsidR="00F15946" w:rsidRDefault="00B84CFF" w:rsidP="003102C2">
      <w:pPr>
        <w:pStyle w:val="NumBoldA1"/>
        <w:numPr>
          <w:ilvl w:val="1"/>
          <w:numId w:val="35"/>
        </w:numPr>
        <w:ind w:left="1564" w:hanging="782"/>
      </w:pPr>
      <w:proofErr w:type="gramStart"/>
      <w:r w:rsidRPr="00662611">
        <w:t>references</w:t>
      </w:r>
      <w:proofErr w:type="gramEnd"/>
      <w:r w:rsidRPr="00662611">
        <w:t xml:space="preserve"> to fair value in other Standards shall </w:t>
      </w:r>
      <w:r>
        <w:t xml:space="preserve">no longer </w:t>
      </w:r>
      <w:r w:rsidRPr="00662611">
        <w:t xml:space="preserve">be </w:t>
      </w:r>
      <w:r w:rsidR="0058732A">
        <w:t xml:space="preserve">read </w:t>
      </w:r>
      <w:r w:rsidRPr="00662611">
        <w:t>as references to current replacement cost</w:t>
      </w:r>
      <w:r w:rsidR="00B82D82">
        <w:t>.</w:t>
      </w:r>
      <w:r>
        <w:t xml:space="preserve"> </w:t>
      </w:r>
      <w:r w:rsidR="00597FBA">
        <w:t xml:space="preserve">For example, </w:t>
      </w:r>
      <w:r w:rsidR="00B82D82">
        <w:t xml:space="preserve">any of the approaches in AASB 13 to </w:t>
      </w:r>
      <w:r>
        <w:t xml:space="preserve">fair value measurement </w:t>
      </w:r>
      <w:r w:rsidR="00B82D82">
        <w:t xml:space="preserve">may be applied to the asset </w:t>
      </w:r>
      <w:r>
        <w:t>under a revaluation model</w:t>
      </w:r>
      <w:r w:rsidR="00B82D82">
        <w:t>, as appropriate</w:t>
      </w:r>
      <w:r w:rsidR="00597FBA">
        <w:t xml:space="preserve">. </w:t>
      </w:r>
      <w:r w:rsidR="00B5129B">
        <w:t xml:space="preserve">Furthermore, </w:t>
      </w:r>
      <w:r w:rsidR="00B5129B" w:rsidRPr="00662611">
        <w:t xml:space="preserve">the active market requirements in AASB 138 for the revaluation of an intangible asset </w:t>
      </w:r>
      <w:r w:rsidR="0058732A">
        <w:t xml:space="preserve">shall </w:t>
      </w:r>
      <w:r w:rsidR="00B5129B" w:rsidRPr="00662611">
        <w:t>apply</w:t>
      </w:r>
      <w:r>
        <w:t>;</w:t>
      </w:r>
      <w:r w:rsidR="00F15946">
        <w:t xml:space="preserve"> and</w:t>
      </w:r>
    </w:p>
    <w:p w14:paraId="06843A45" w14:textId="46C01CCA" w:rsidR="007D0E26" w:rsidRPr="00662611" w:rsidRDefault="00FD3E60" w:rsidP="003102C2">
      <w:pPr>
        <w:pStyle w:val="NumBoldA1"/>
        <w:numPr>
          <w:ilvl w:val="1"/>
          <w:numId w:val="35"/>
        </w:numPr>
        <w:ind w:left="1564" w:hanging="782"/>
      </w:pPr>
      <w:proofErr w:type="gramStart"/>
      <w:r>
        <w:t>the</w:t>
      </w:r>
      <w:proofErr w:type="gramEnd"/>
      <w:r>
        <w:t xml:space="preserve"> grantor </w:t>
      </w:r>
      <w:r w:rsidR="007D0E26" w:rsidRPr="00662611">
        <w:t>derecognise</w:t>
      </w:r>
      <w:r>
        <w:t>s</w:t>
      </w:r>
      <w:r w:rsidR="007D0E26" w:rsidRPr="00662611">
        <w:t xml:space="preserve"> the asset in accordance with AASB 116 or AASB 138</w:t>
      </w:r>
      <w:r w:rsidR="00E00930">
        <w:t>,</w:t>
      </w:r>
      <w:r w:rsidR="007D0E26" w:rsidRPr="00662611">
        <w:t xml:space="preserve"> as appropriate</w:t>
      </w:r>
      <w:r w:rsidR="00E00930">
        <w:t>,</w:t>
      </w:r>
      <w:r w:rsidR="007D0E26" w:rsidRPr="00662611">
        <w:t xml:space="preserve"> only when the grantor loses control of the asset. For example, internally generated intangible assets </w:t>
      </w:r>
      <w:r w:rsidR="00B84CFF">
        <w:t xml:space="preserve">that were </w:t>
      </w:r>
      <w:r w:rsidR="007D0E26" w:rsidRPr="00662611">
        <w:t xml:space="preserve">recognised as service concession assets </w:t>
      </w:r>
      <w:r w:rsidR="00E00930">
        <w:t xml:space="preserve">(including those </w:t>
      </w:r>
      <w:r w:rsidR="007D0E26" w:rsidRPr="00662611">
        <w:t>that do not qualify for recognition under AASB 138</w:t>
      </w:r>
      <w:r w:rsidR="00E00930">
        <w:t>)</w:t>
      </w:r>
      <w:r w:rsidR="007D0E26" w:rsidRPr="00662611">
        <w:t xml:space="preserve"> are not derecognised at the end of the term of the service concession arrangement, unless the grantor loses control of the asset at that time.</w:t>
      </w:r>
    </w:p>
    <w:bookmarkEnd w:id="20"/>
    <w:p w14:paraId="7D9271DF" w14:textId="22C29E3A" w:rsidR="00862556" w:rsidRPr="00662611" w:rsidRDefault="00862556" w:rsidP="00862556">
      <w:pPr>
        <w:pStyle w:val="IASBSectionTitle1NonInd"/>
        <w:outlineLvl w:val="1"/>
      </w:pPr>
      <w:r w:rsidRPr="00662611">
        <w:t xml:space="preserve">Recognition and measurement of liabilities (paragraphs </w:t>
      </w:r>
      <w:r w:rsidRPr="00662611">
        <w:fldChar w:fldCharType="begin"/>
      </w:r>
      <w:r w:rsidRPr="00662611">
        <w:instrText xml:space="preserve"> REF _Ref475620391 \r \h </w:instrText>
      </w:r>
      <w:r w:rsidRPr="00662611">
        <w:fldChar w:fldCharType="separate"/>
      </w:r>
      <w:r w:rsidR="00C43128">
        <w:t>B60</w:t>
      </w:r>
      <w:r w:rsidRPr="00662611">
        <w:fldChar w:fldCharType="end"/>
      </w:r>
      <w:r w:rsidRPr="00662611">
        <w:t>–</w:t>
      </w:r>
      <w:r w:rsidRPr="00662611">
        <w:fldChar w:fldCharType="begin"/>
      </w:r>
      <w:r w:rsidRPr="00662611">
        <w:instrText xml:space="preserve"> REF _Ref475620400 \r \h </w:instrText>
      </w:r>
      <w:r w:rsidRPr="00662611">
        <w:fldChar w:fldCharType="separate"/>
      </w:r>
      <w:r w:rsidR="00C43128">
        <w:t>B74</w:t>
      </w:r>
      <w:r w:rsidRPr="00662611">
        <w:fldChar w:fldCharType="end"/>
      </w:r>
      <w:r w:rsidRPr="00662611">
        <w:t>)</w:t>
      </w:r>
    </w:p>
    <w:p w14:paraId="7D9271E0" w14:textId="2E1C243E" w:rsidR="00862556" w:rsidRPr="00662611" w:rsidRDefault="00862556" w:rsidP="003102C2">
      <w:pPr>
        <w:pStyle w:val="NumBoldA1"/>
        <w:numPr>
          <w:ilvl w:val="0"/>
          <w:numId w:val="35"/>
        </w:numPr>
      </w:pPr>
      <w:bookmarkStart w:id="22" w:name="_Ref475620374"/>
      <w:r w:rsidRPr="00662611">
        <w:t>Where the grantor recognises a service concession asset in accordance with paragraph </w:t>
      </w:r>
      <w:r w:rsidRPr="00662611">
        <w:fldChar w:fldCharType="begin"/>
      </w:r>
      <w:r w:rsidRPr="00662611">
        <w:instrText xml:space="preserve"> REF _Ref475619556 \r \h </w:instrText>
      </w:r>
      <w:r w:rsidRPr="00662611">
        <w:fldChar w:fldCharType="separate"/>
      </w:r>
      <w:r w:rsidR="00C43128">
        <w:t>5</w:t>
      </w:r>
      <w:r w:rsidRPr="00662611">
        <w:fldChar w:fldCharType="end"/>
      </w:r>
      <w:r w:rsidRPr="00662611">
        <w:t xml:space="preserve"> (or paragraph </w:t>
      </w:r>
      <w:r w:rsidRPr="00662611">
        <w:fldChar w:fldCharType="begin"/>
      </w:r>
      <w:r w:rsidRPr="00662611">
        <w:instrText xml:space="preserve"> REF _Ref475619569 \r \h </w:instrText>
      </w:r>
      <w:r w:rsidRPr="00662611">
        <w:fldChar w:fldCharType="separate"/>
      </w:r>
      <w:r w:rsidR="00C43128">
        <w:t>6</w:t>
      </w:r>
      <w:r w:rsidRPr="00662611">
        <w:fldChar w:fldCharType="end"/>
      </w:r>
      <w:r w:rsidRPr="00662611">
        <w:t xml:space="preserve"> for a whole-of-life asset), the grantor shall also recognise a liability. The grantor shall not recognise a liability when an existing asset of the grantor is reclassified as a service concession asset in accordance with paragraph </w:t>
      </w:r>
      <w:r w:rsidRPr="00662611">
        <w:fldChar w:fldCharType="begin"/>
      </w:r>
      <w:r w:rsidRPr="00662611">
        <w:instrText xml:space="preserve"> REF _Ref475620361 \r \h </w:instrText>
      </w:r>
      <w:r w:rsidRPr="00662611">
        <w:fldChar w:fldCharType="separate"/>
      </w:r>
      <w:r w:rsidR="00C43128">
        <w:t>8</w:t>
      </w:r>
      <w:r w:rsidRPr="00662611">
        <w:fldChar w:fldCharType="end"/>
      </w:r>
      <w:r w:rsidRPr="00662611">
        <w:t>, except in circumstances where additional consideration is provided by the operator, as noted in paragraph </w:t>
      </w:r>
      <w:r w:rsidRPr="00662611">
        <w:fldChar w:fldCharType="begin"/>
      </w:r>
      <w:r w:rsidRPr="00662611">
        <w:instrText xml:space="preserve"> REF _Ref475620367 \r \h </w:instrText>
      </w:r>
      <w:r w:rsidRPr="00662611">
        <w:fldChar w:fldCharType="separate"/>
      </w:r>
      <w:r w:rsidR="00C43128">
        <w:t>12</w:t>
      </w:r>
      <w:r w:rsidRPr="00662611">
        <w:fldChar w:fldCharType="end"/>
      </w:r>
      <w:r w:rsidRPr="00662611">
        <w:t>.</w:t>
      </w:r>
      <w:bookmarkEnd w:id="22"/>
    </w:p>
    <w:p w14:paraId="7D9271E1" w14:textId="7621872A" w:rsidR="00862556" w:rsidRPr="00662611" w:rsidRDefault="00862556" w:rsidP="003102C2">
      <w:pPr>
        <w:pStyle w:val="NumBoldA1"/>
        <w:numPr>
          <w:ilvl w:val="0"/>
          <w:numId w:val="35"/>
        </w:numPr>
      </w:pPr>
      <w:bookmarkStart w:id="23" w:name="_Ref475620367"/>
      <w:bookmarkStart w:id="24" w:name="_Ref475620635"/>
      <w:r w:rsidRPr="00662611">
        <w:t>The liability recognised in accordance with paragraph </w:t>
      </w:r>
      <w:r w:rsidRPr="00662611">
        <w:fldChar w:fldCharType="begin"/>
      </w:r>
      <w:r w:rsidRPr="00662611">
        <w:instrText xml:space="preserve"> REF _Ref475620374 \w \h </w:instrText>
      </w:r>
      <w:r w:rsidRPr="00662611">
        <w:fldChar w:fldCharType="separate"/>
      </w:r>
      <w:r w:rsidR="00C43128">
        <w:t>11</w:t>
      </w:r>
      <w:r w:rsidRPr="00662611">
        <w:fldChar w:fldCharType="end"/>
      </w:r>
      <w:r w:rsidRPr="00662611">
        <w:t xml:space="preserve"> shall be initially measured at the same amount as the service concession asset, adjusted by the amount of any other consideration (eg the transfer of an existing asset) from the grantor to the operator, or from the operator to the grantor.</w:t>
      </w:r>
      <w:bookmarkEnd w:id="23"/>
      <w:bookmarkEnd w:id="24"/>
    </w:p>
    <w:p w14:paraId="7D9271E2" w14:textId="77777777" w:rsidR="00862556" w:rsidRPr="00662611" w:rsidRDefault="00862556" w:rsidP="003102C2">
      <w:pPr>
        <w:pStyle w:val="NumPlain1"/>
        <w:numPr>
          <w:ilvl w:val="0"/>
          <w:numId w:val="35"/>
        </w:numPr>
        <w:jc w:val="both"/>
      </w:pPr>
      <w:bookmarkStart w:id="25" w:name="_Ref486145154"/>
      <w:r w:rsidRPr="00662611">
        <w:t xml:space="preserve">The nature of the liability recognised is based on the nature of the consideration exchanged between the grantor and the operator. The nature of the consideration given by the grantor to the operator is determined by reference to the terms of the </w:t>
      </w:r>
      <w:r w:rsidRPr="00662611">
        <w:rPr>
          <w:i/>
        </w:rPr>
        <w:t>contract</w:t>
      </w:r>
      <w:r w:rsidRPr="00662611">
        <w:t>.</w:t>
      </w:r>
      <w:bookmarkEnd w:id="25"/>
    </w:p>
    <w:p w14:paraId="7D9271E3" w14:textId="0B14CB0E" w:rsidR="00862556" w:rsidRPr="00662611" w:rsidRDefault="00862556" w:rsidP="003102C2">
      <w:pPr>
        <w:pStyle w:val="NumPlain1"/>
        <w:numPr>
          <w:ilvl w:val="0"/>
          <w:numId w:val="35"/>
        </w:numPr>
        <w:jc w:val="both"/>
      </w:pPr>
      <w:bookmarkStart w:id="26" w:name="_Ref475631330"/>
      <w:r w:rsidRPr="00662611">
        <w:t xml:space="preserve">In exchange for the service concession asset, the grantor </w:t>
      </w:r>
      <w:r w:rsidR="004D3D83" w:rsidRPr="00662611">
        <w:t>m</w:t>
      </w:r>
      <w:r w:rsidR="004D3D83">
        <w:t>ight</w:t>
      </w:r>
      <w:r w:rsidR="004D3D83" w:rsidRPr="00662611">
        <w:t xml:space="preserve"> </w:t>
      </w:r>
      <w:r w:rsidRPr="00662611">
        <w:t>compensate the operator for the service concession asset by any combination of:</w:t>
      </w:r>
      <w:bookmarkEnd w:id="26"/>
    </w:p>
    <w:p w14:paraId="7D9271E4" w14:textId="77777777" w:rsidR="00862556" w:rsidRPr="00662611" w:rsidRDefault="00862556" w:rsidP="003102C2">
      <w:pPr>
        <w:pStyle w:val="NumPlain2"/>
        <w:numPr>
          <w:ilvl w:val="1"/>
          <w:numId w:val="35"/>
        </w:numPr>
        <w:ind w:left="1564" w:hanging="782"/>
        <w:jc w:val="both"/>
      </w:pPr>
      <w:r w:rsidRPr="00662611">
        <w:t>making payments to the operator (the ‘financial liability’ model); and</w:t>
      </w:r>
    </w:p>
    <w:p w14:paraId="7D9271E5" w14:textId="77777777" w:rsidR="00862556" w:rsidRPr="00662611" w:rsidRDefault="00862556" w:rsidP="003102C2">
      <w:pPr>
        <w:pStyle w:val="NumPlain2"/>
        <w:numPr>
          <w:ilvl w:val="1"/>
          <w:numId w:val="35"/>
        </w:numPr>
        <w:ind w:left="1564" w:hanging="782"/>
        <w:jc w:val="both"/>
      </w:pPr>
      <w:bookmarkStart w:id="27" w:name="_Ref475631325"/>
      <w:r w:rsidRPr="00662611">
        <w:t>compensating the operator by other means (the ‘grant of a right to the operator’ model), such as granting the operator:</w:t>
      </w:r>
      <w:bookmarkEnd w:id="27"/>
    </w:p>
    <w:p w14:paraId="7D9271E6" w14:textId="77777777" w:rsidR="00862556" w:rsidRPr="00662611" w:rsidRDefault="00862556" w:rsidP="003102C2">
      <w:pPr>
        <w:pStyle w:val="NumPlain3"/>
        <w:numPr>
          <w:ilvl w:val="2"/>
          <w:numId w:val="35"/>
        </w:numPr>
      </w:pPr>
      <w:r w:rsidRPr="00662611">
        <w:t xml:space="preserve">the right to earn revenue from third-party users of the service concession asset; or </w:t>
      </w:r>
    </w:p>
    <w:p w14:paraId="7D9271E7" w14:textId="77777777" w:rsidR="00862556" w:rsidRPr="00662611" w:rsidRDefault="00862556" w:rsidP="003102C2">
      <w:pPr>
        <w:pStyle w:val="NumPlain3"/>
        <w:numPr>
          <w:ilvl w:val="2"/>
          <w:numId w:val="35"/>
        </w:numPr>
      </w:pPr>
      <w:proofErr w:type="gramStart"/>
      <w:r w:rsidRPr="00662611">
        <w:t>access</w:t>
      </w:r>
      <w:proofErr w:type="gramEnd"/>
      <w:r w:rsidRPr="00662611">
        <w:t xml:space="preserve"> to another revenue-generating asset for the operator’s use (eg a private wing of a hospital where the remainder of the hospital is used by the grantor to treat public patients or a private parking facility adjacent to a public facility).</w:t>
      </w:r>
    </w:p>
    <w:p w14:paraId="7D9271E8" w14:textId="77777777" w:rsidR="00862556" w:rsidRPr="00662611" w:rsidRDefault="00862556" w:rsidP="00862556">
      <w:pPr>
        <w:pStyle w:val="IASBSectionTitle2Ind"/>
        <w:outlineLvl w:val="2"/>
      </w:pPr>
      <w:r w:rsidRPr="00662611">
        <w:lastRenderedPageBreak/>
        <w:t>Financial liability model</w:t>
      </w:r>
    </w:p>
    <w:p w14:paraId="7D9271E9" w14:textId="6BEA72F9" w:rsidR="00862556" w:rsidRPr="00662611" w:rsidRDefault="00862556" w:rsidP="003102C2">
      <w:pPr>
        <w:pStyle w:val="NumBoldA1"/>
        <w:numPr>
          <w:ilvl w:val="0"/>
          <w:numId w:val="35"/>
        </w:numPr>
      </w:pPr>
      <w:bookmarkStart w:id="28" w:name="_Ref475620669"/>
      <w:r w:rsidRPr="00662611">
        <w:t>Where the grantor has a contractual obligation to deliver cash or another financial asset to the operator for the construction, development, acquisition or upgrade of a service concession asset, the grantor shall account for the liability recognised in accordance with paragraph </w:t>
      </w:r>
      <w:r w:rsidRPr="00662611">
        <w:fldChar w:fldCharType="begin"/>
      </w:r>
      <w:r w:rsidRPr="00662611">
        <w:instrText xml:space="preserve"> REF _Ref475620374 \r \h </w:instrText>
      </w:r>
      <w:r w:rsidRPr="00662611">
        <w:fldChar w:fldCharType="separate"/>
      </w:r>
      <w:r w:rsidR="00C43128">
        <w:t>11</w:t>
      </w:r>
      <w:r w:rsidRPr="00662611">
        <w:fldChar w:fldCharType="end"/>
      </w:r>
      <w:r w:rsidRPr="00662611">
        <w:t xml:space="preserve"> as a financial liability.</w:t>
      </w:r>
      <w:bookmarkStart w:id="29" w:name="_Ref468376796"/>
      <w:bookmarkEnd w:id="28"/>
    </w:p>
    <w:p w14:paraId="7D9271EA" w14:textId="77777777" w:rsidR="00862556" w:rsidRPr="00662611" w:rsidRDefault="00862556" w:rsidP="003102C2">
      <w:pPr>
        <w:pStyle w:val="NumPlain1"/>
        <w:numPr>
          <w:ilvl w:val="0"/>
          <w:numId w:val="35"/>
        </w:numPr>
        <w:jc w:val="both"/>
      </w:pPr>
      <w:r w:rsidRPr="00662611">
        <w:t>The grantor has a contractual obligation to pay cash if it has agreed to pay the operator</w:t>
      </w:r>
      <w:bookmarkEnd w:id="29"/>
      <w:r w:rsidRPr="00662611">
        <w:t xml:space="preserve"> specified or determinable amounts, such as payments relating to the following:</w:t>
      </w:r>
    </w:p>
    <w:p w14:paraId="7D9271EB" w14:textId="77777777" w:rsidR="00862556" w:rsidRPr="00662611" w:rsidRDefault="00862556" w:rsidP="003102C2">
      <w:pPr>
        <w:pStyle w:val="NumPlain2"/>
        <w:numPr>
          <w:ilvl w:val="1"/>
          <w:numId w:val="35"/>
        </w:numPr>
        <w:ind w:left="1564" w:hanging="782"/>
        <w:jc w:val="both"/>
      </w:pPr>
      <w:bookmarkStart w:id="30" w:name="_Ref484793039"/>
      <w:r w:rsidRPr="00662611">
        <w:t>third-party usage of a service concession asset, with or without guaranteeing a minimum amount to the operator; or</w:t>
      </w:r>
      <w:bookmarkEnd w:id="30"/>
    </w:p>
    <w:p w14:paraId="7D9271EC" w14:textId="77777777" w:rsidR="00862556" w:rsidRPr="00662611" w:rsidRDefault="00862556" w:rsidP="003102C2">
      <w:pPr>
        <w:pStyle w:val="NumPlain2"/>
        <w:numPr>
          <w:ilvl w:val="1"/>
          <w:numId w:val="35"/>
        </w:numPr>
        <w:ind w:left="1564" w:hanging="782"/>
        <w:jc w:val="both"/>
      </w:pPr>
      <w:r w:rsidRPr="00662611">
        <w:t>the shortfall, if any, between amounts received by the operator from users of the service concession asset and any other specified or determinable amounts payable by the grantor, even if the payment is contingent on the operator ensuring that the service concession asset meets specified quality or efficiency requirements.</w:t>
      </w:r>
    </w:p>
    <w:p w14:paraId="7D9271ED" w14:textId="4FB50A8F" w:rsidR="00862556" w:rsidRPr="00662611" w:rsidRDefault="00862556" w:rsidP="003102C2">
      <w:pPr>
        <w:pStyle w:val="NumPlain1"/>
        <w:numPr>
          <w:ilvl w:val="0"/>
          <w:numId w:val="35"/>
        </w:numPr>
        <w:jc w:val="both"/>
      </w:pPr>
      <w:r w:rsidRPr="00662611">
        <w:t xml:space="preserve">AASB 9 </w:t>
      </w:r>
      <w:r w:rsidRPr="00662611">
        <w:rPr>
          <w:i/>
        </w:rPr>
        <w:t>Financial Instruments</w:t>
      </w:r>
      <w:r w:rsidRPr="00662611">
        <w:t xml:space="preserve">, AASB 132 </w:t>
      </w:r>
      <w:r w:rsidRPr="00662611">
        <w:rPr>
          <w:i/>
        </w:rPr>
        <w:t>Financial Instruments: Presentation</w:t>
      </w:r>
      <w:r w:rsidRPr="00662611">
        <w:t xml:space="preserve"> and AASB 7 </w:t>
      </w:r>
      <w:r w:rsidRPr="00662611">
        <w:rPr>
          <w:i/>
        </w:rPr>
        <w:t>Financial Instruments: Disclosures</w:t>
      </w:r>
      <w:r w:rsidRPr="00662611">
        <w:t xml:space="preserve"> apply to the financial liability recognised under paragraph </w:t>
      </w:r>
      <w:r w:rsidRPr="00662611">
        <w:fldChar w:fldCharType="begin"/>
      </w:r>
      <w:r w:rsidRPr="00662611">
        <w:instrText xml:space="preserve"> REF _Ref475620374 \r \h </w:instrText>
      </w:r>
      <w:r w:rsidRPr="00662611">
        <w:fldChar w:fldCharType="separate"/>
      </w:r>
      <w:r w:rsidR="00C43128">
        <w:t>11</w:t>
      </w:r>
      <w:r w:rsidRPr="00662611">
        <w:fldChar w:fldCharType="end"/>
      </w:r>
      <w:r w:rsidRPr="00662611">
        <w:t>, except where this Standard</w:t>
      </w:r>
      <w:r w:rsidR="0094297C">
        <w:t xml:space="preserve"> </w:t>
      </w:r>
      <w:r w:rsidR="004D3D83">
        <w:t>specifies otherwise</w:t>
      </w:r>
      <w:r w:rsidRPr="00662611">
        <w:t>.</w:t>
      </w:r>
    </w:p>
    <w:p w14:paraId="7D9271EE" w14:textId="525724E7" w:rsidR="00862556" w:rsidRPr="00662611" w:rsidRDefault="00862556" w:rsidP="003102C2">
      <w:pPr>
        <w:pStyle w:val="NumBoldA1"/>
        <w:numPr>
          <w:ilvl w:val="0"/>
          <w:numId w:val="35"/>
        </w:numPr>
      </w:pPr>
      <w:bookmarkStart w:id="31" w:name="_Ref475620528"/>
      <w:bookmarkStart w:id="32" w:name="_Ref475692713"/>
      <w:r w:rsidRPr="00662611">
        <w:t>The grantor shall allocate the payments to the operator under the contract and account for them according to their substance as payments relating to the liability recognised in accordance with paragraph </w:t>
      </w:r>
      <w:r w:rsidRPr="00662611">
        <w:fldChar w:fldCharType="begin"/>
      </w:r>
      <w:r w:rsidRPr="00662611">
        <w:instrText xml:space="preserve"> REF _Ref475620374 \r \h </w:instrText>
      </w:r>
      <w:r w:rsidRPr="00662611">
        <w:fldChar w:fldCharType="separate"/>
      </w:r>
      <w:r w:rsidR="00C43128">
        <w:t>11</w:t>
      </w:r>
      <w:r w:rsidRPr="00662611">
        <w:fldChar w:fldCharType="end"/>
      </w:r>
      <w:r w:rsidRPr="00662611">
        <w:t xml:space="preserve"> or charges for services provided by </w:t>
      </w:r>
      <w:r w:rsidR="00093A2F" w:rsidRPr="00662611">
        <w:t xml:space="preserve">or to be provided by </w:t>
      </w:r>
      <w:r w:rsidRPr="00662611">
        <w:t>the operator</w:t>
      </w:r>
      <w:r w:rsidR="0061126C" w:rsidRPr="00662611">
        <w:t xml:space="preserve"> (including </w:t>
      </w:r>
      <w:r w:rsidR="006E195A" w:rsidRPr="00662611">
        <w:t xml:space="preserve">the </w:t>
      </w:r>
      <w:r w:rsidR="0061126C" w:rsidRPr="00662611">
        <w:t>future replacement of components of the service concession asset)</w:t>
      </w:r>
      <w:r w:rsidRPr="00662611">
        <w:t>.</w:t>
      </w:r>
      <w:bookmarkEnd w:id="31"/>
      <w:bookmarkEnd w:id="32"/>
    </w:p>
    <w:p w14:paraId="7D9271EF" w14:textId="742F9E43" w:rsidR="00862556" w:rsidRPr="00662611" w:rsidRDefault="00862556" w:rsidP="003102C2">
      <w:pPr>
        <w:pStyle w:val="NumBoldA1"/>
        <w:numPr>
          <w:ilvl w:val="0"/>
          <w:numId w:val="35"/>
        </w:numPr>
      </w:pPr>
      <w:r w:rsidRPr="00662611">
        <w:t xml:space="preserve">Charges for services provided by the operator </w:t>
      </w:r>
      <w:r w:rsidR="0061126C" w:rsidRPr="00662611">
        <w:t xml:space="preserve">(other than replacement components) </w:t>
      </w:r>
      <w:r w:rsidRPr="00662611">
        <w:t>in a service concession arrangement determined in accordance with paragraph </w:t>
      </w:r>
      <w:r w:rsidRPr="00662611">
        <w:fldChar w:fldCharType="begin"/>
      </w:r>
      <w:r w:rsidRPr="00662611">
        <w:instrText xml:space="preserve"> REF _Ref475692713 \r \h </w:instrText>
      </w:r>
      <w:r w:rsidRPr="00662611">
        <w:fldChar w:fldCharType="separate"/>
      </w:r>
      <w:r w:rsidR="00C43128">
        <w:t>18</w:t>
      </w:r>
      <w:r w:rsidRPr="00662611">
        <w:fldChar w:fldCharType="end"/>
      </w:r>
      <w:r w:rsidRPr="00662611">
        <w:t xml:space="preserve"> shall be accounted for in accordance with other relevant Standards.</w:t>
      </w:r>
    </w:p>
    <w:p w14:paraId="7D9271F0" w14:textId="6F62E391" w:rsidR="00862556" w:rsidRPr="00662611" w:rsidRDefault="00862556" w:rsidP="003102C2">
      <w:pPr>
        <w:pStyle w:val="NumBoldA1"/>
        <w:numPr>
          <w:ilvl w:val="0"/>
          <w:numId w:val="35"/>
        </w:numPr>
      </w:pPr>
      <w:bookmarkStart w:id="33" w:name="_Ref475627123"/>
      <w:r w:rsidRPr="00662611">
        <w:t xml:space="preserve">Where the asset and service components of a service concession arrangement are separately identifiable, the service component of payments from the grantor to the operator shall be allocated accordingly (see paragraph </w:t>
      </w:r>
      <w:r w:rsidRPr="00662611">
        <w:fldChar w:fldCharType="begin"/>
      </w:r>
      <w:r w:rsidRPr="00662611">
        <w:instrText xml:space="preserve"> REF _Ref475620544 \r \h </w:instrText>
      </w:r>
      <w:r w:rsidRPr="00662611">
        <w:fldChar w:fldCharType="separate"/>
      </w:r>
      <w:r w:rsidR="00C43128">
        <w:t>B53</w:t>
      </w:r>
      <w:r w:rsidRPr="00662611">
        <w:fldChar w:fldCharType="end"/>
      </w:r>
      <w:r w:rsidRPr="00662611">
        <w:t xml:space="preserve">). Where the asset and service components are not separately identifiable, the service component of payments from the grantor to the operator shall be determined using estimation techniques (see paragraph </w:t>
      </w:r>
      <w:r w:rsidRPr="00662611">
        <w:fldChar w:fldCharType="begin"/>
      </w:r>
      <w:r w:rsidRPr="00662611">
        <w:instrText xml:space="preserve"> REF _Ref475620551 \r \h </w:instrText>
      </w:r>
      <w:r w:rsidRPr="00662611">
        <w:fldChar w:fldCharType="separate"/>
      </w:r>
      <w:r w:rsidR="00C43128">
        <w:t>B54</w:t>
      </w:r>
      <w:r w:rsidRPr="00662611">
        <w:fldChar w:fldCharType="end"/>
      </w:r>
      <w:r w:rsidRPr="00662611">
        <w:t>).</w:t>
      </w:r>
      <w:bookmarkEnd w:id="33"/>
    </w:p>
    <w:p w14:paraId="7D9271F1" w14:textId="77777777" w:rsidR="00862556" w:rsidRPr="00662611" w:rsidRDefault="00862556" w:rsidP="00862556">
      <w:pPr>
        <w:pStyle w:val="IASBSectionTitle2Ind"/>
        <w:outlineLvl w:val="2"/>
      </w:pPr>
      <w:r w:rsidRPr="00662611">
        <w:t>Grant of a right to the operator model</w:t>
      </w:r>
    </w:p>
    <w:p w14:paraId="7D9271F2" w14:textId="48F1CAA5" w:rsidR="00862556" w:rsidRPr="00662611" w:rsidRDefault="00862556" w:rsidP="003102C2">
      <w:pPr>
        <w:pStyle w:val="NumBoldA1"/>
        <w:numPr>
          <w:ilvl w:val="0"/>
          <w:numId w:val="35"/>
        </w:numPr>
      </w:pPr>
      <w:bookmarkStart w:id="34" w:name="_Ref475620587"/>
      <w:r w:rsidRPr="00662611">
        <w:t xml:space="preserve">Where the grantor does not have a contractual obligation to pay cash or another financial asset to the operator for the construction, development, acquisition, or upgrade of a service concession asset, and instead grants the operator the right to earn revenue from third-party users or </w:t>
      </w:r>
      <w:r w:rsidR="00F1167D">
        <w:t xml:space="preserve">access to </w:t>
      </w:r>
      <w:r w:rsidRPr="00662611">
        <w:t>another revenue-generating asset, the grantor shall account for the liability recognised in accordance with paragraph </w:t>
      </w:r>
      <w:r w:rsidRPr="00662611">
        <w:fldChar w:fldCharType="begin"/>
      </w:r>
      <w:r w:rsidRPr="00662611">
        <w:instrText xml:space="preserve"> REF _Ref475620374 \r \h </w:instrText>
      </w:r>
      <w:r w:rsidRPr="00662611">
        <w:fldChar w:fldCharType="separate"/>
      </w:r>
      <w:r w:rsidR="00C43128">
        <w:t>11</w:t>
      </w:r>
      <w:r w:rsidRPr="00662611">
        <w:fldChar w:fldCharType="end"/>
      </w:r>
      <w:r w:rsidRPr="00662611">
        <w:t xml:space="preserve"> as the unearned portion of the revenue arising from the exchange of assets between the grantor and the operator.</w:t>
      </w:r>
      <w:bookmarkEnd w:id="34"/>
    </w:p>
    <w:p w14:paraId="7D9271F3" w14:textId="6E7325DB" w:rsidR="00862556" w:rsidRPr="00662611" w:rsidRDefault="00862556" w:rsidP="003102C2">
      <w:pPr>
        <w:pStyle w:val="NumBoldA1"/>
        <w:numPr>
          <w:ilvl w:val="0"/>
          <w:numId w:val="35"/>
        </w:numPr>
      </w:pPr>
      <w:bookmarkStart w:id="35" w:name="_Ref475631596"/>
      <w:r w:rsidRPr="00662611">
        <w:t>The grantor shall recognise revenue, and accordingly reduce the liability noted in paragraph </w:t>
      </w:r>
      <w:r w:rsidRPr="00662611">
        <w:fldChar w:fldCharType="begin"/>
      </w:r>
      <w:r w:rsidRPr="00662611">
        <w:instrText xml:space="preserve"> REF _Ref475620587 \r \h </w:instrText>
      </w:r>
      <w:r w:rsidRPr="00662611">
        <w:fldChar w:fldCharType="separate"/>
      </w:r>
      <w:r w:rsidR="00C43128">
        <w:t>21</w:t>
      </w:r>
      <w:r w:rsidRPr="00662611">
        <w:fldChar w:fldCharType="end"/>
      </w:r>
      <w:r w:rsidRPr="00662611">
        <w:t xml:space="preserve">, according to the economic substance of the service concession arrangement (see paragraph </w:t>
      </w:r>
      <w:r w:rsidRPr="00662611">
        <w:fldChar w:fldCharType="begin"/>
      </w:r>
      <w:r w:rsidRPr="00662611">
        <w:instrText xml:space="preserve"> REF _Ref475620604 \r \h </w:instrText>
      </w:r>
      <w:r w:rsidRPr="00662611">
        <w:fldChar w:fldCharType="separate"/>
      </w:r>
      <w:r w:rsidR="00C43128">
        <w:t>B71</w:t>
      </w:r>
      <w:r w:rsidRPr="00662611">
        <w:fldChar w:fldCharType="end"/>
      </w:r>
      <w:r w:rsidRPr="00662611">
        <w:t>).</w:t>
      </w:r>
      <w:bookmarkEnd w:id="35"/>
    </w:p>
    <w:p w14:paraId="7D9271F4" w14:textId="3FC126CA" w:rsidR="00862556" w:rsidRPr="00662611" w:rsidRDefault="00862556" w:rsidP="003102C2">
      <w:pPr>
        <w:pStyle w:val="NumPlain1"/>
        <w:numPr>
          <w:ilvl w:val="0"/>
          <w:numId w:val="35"/>
        </w:numPr>
        <w:jc w:val="both"/>
      </w:pPr>
      <w:bookmarkStart w:id="36" w:name="_Ref475620675"/>
      <w:r w:rsidRPr="00662611">
        <w:t xml:space="preserve">Where the grantor compensates the operator for the service concession asset and the provision of services by granting the operator the right to earn revenue from third-party users of the service concession asset or </w:t>
      </w:r>
      <w:r w:rsidR="00F1167D">
        <w:t>access to</w:t>
      </w:r>
      <w:r w:rsidRPr="00662611">
        <w:t xml:space="preserve"> another revenue-generating asset, the exchange is regarded as a transaction that </w:t>
      </w:r>
      <w:r w:rsidR="006729F7">
        <w:t xml:space="preserve">will </w:t>
      </w:r>
      <w:r w:rsidRPr="00662611">
        <w:t>generate revenue</w:t>
      </w:r>
      <w:r w:rsidR="004D3D83">
        <w:t xml:space="preserve"> for the grantor</w:t>
      </w:r>
      <w:r w:rsidRPr="00662611">
        <w:t>. As the right granted to the operator to access the grantor’s underlying service concession asset is effective for the period of the service concession arrangement, the grantor does not recognise revenue from the exchange immediately. Instead, a liability is recognised for revenue that is not yet earned. The revenue is then recognised according to the economic substance of the service concession arrangement, and the liability is reduced as revenue is recognised.</w:t>
      </w:r>
      <w:bookmarkEnd w:id="36"/>
    </w:p>
    <w:p w14:paraId="7D9271F5" w14:textId="77777777" w:rsidR="00862556" w:rsidRPr="00662611" w:rsidRDefault="00862556" w:rsidP="00862556">
      <w:pPr>
        <w:pStyle w:val="IASBSectionTitle2Ind"/>
        <w:outlineLvl w:val="2"/>
      </w:pPr>
      <w:r w:rsidRPr="00662611">
        <w:t>Dividing the arrangement</w:t>
      </w:r>
    </w:p>
    <w:p w14:paraId="7D9271F6" w14:textId="61847B96" w:rsidR="00862556" w:rsidRPr="00662611" w:rsidRDefault="00862556" w:rsidP="003102C2">
      <w:pPr>
        <w:pStyle w:val="NumBoldA1"/>
        <w:numPr>
          <w:ilvl w:val="0"/>
          <w:numId w:val="35"/>
        </w:numPr>
      </w:pPr>
      <w:bookmarkStart w:id="37" w:name="_Ref475620661"/>
      <w:r w:rsidRPr="00662611">
        <w:t xml:space="preserve">If the grantor </w:t>
      </w:r>
      <w:r w:rsidR="008D5BD6">
        <w:t>compensates the operator</w:t>
      </w:r>
      <w:r w:rsidR="008D5BD6" w:rsidRPr="00662611">
        <w:t xml:space="preserve"> </w:t>
      </w:r>
      <w:r w:rsidRPr="00662611">
        <w:t xml:space="preserve">for the </w:t>
      </w:r>
      <w:r w:rsidR="0026143C">
        <w:t xml:space="preserve">provision </w:t>
      </w:r>
      <w:r w:rsidRPr="00662611">
        <w:t>of a service concession asset partly by incurring a financial liability and partly by the grant of a right to the operator, it is necessary to account separately for each part of the total liability recognised in accordance with paragraph </w:t>
      </w:r>
      <w:r w:rsidRPr="00662611">
        <w:fldChar w:fldCharType="begin"/>
      </w:r>
      <w:r w:rsidRPr="00662611">
        <w:instrText xml:space="preserve"> REF _Ref475620374 \r \h </w:instrText>
      </w:r>
      <w:r w:rsidRPr="00662611">
        <w:fldChar w:fldCharType="separate"/>
      </w:r>
      <w:r w:rsidR="00C43128">
        <w:t>11</w:t>
      </w:r>
      <w:r w:rsidRPr="00662611">
        <w:fldChar w:fldCharType="end"/>
      </w:r>
      <w:r w:rsidRPr="00662611">
        <w:t>. The amount initially recognised for the total liability shall be the same amount as that specified in paragraph </w:t>
      </w:r>
      <w:r w:rsidRPr="00662611">
        <w:fldChar w:fldCharType="begin"/>
      </w:r>
      <w:r w:rsidRPr="00662611">
        <w:instrText xml:space="preserve"> REF _Ref475620635 \r \h </w:instrText>
      </w:r>
      <w:r w:rsidRPr="00662611">
        <w:fldChar w:fldCharType="separate"/>
      </w:r>
      <w:r w:rsidR="00C43128">
        <w:t>12</w:t>
      </w:r>
      <w:r w:rsidRPr="00662611">
        <w:fldChar w:fldCharType="end"/>
      </w:r>
      <w:r w:rsidRPr="00662611">
        <w:t>.</w:t>
      </w:r>
      <w:bookmarkEnd w:id="37"/>
    </w:p>
    <w:p w14:paraId="7D9271F7" w14:textId="1C57928E" w:rsidR="00862556" w:rsidRPr="00662611" w:rsidRDefault="00862556" w:rsidP="003102C2">
      <w:pPr>
        <w:pStyle w:val="NumPlain1"/>
        <w:numPr>
          <w:ilvl w:val="0"/>
          <w:numId w:val="35"/>
        </w:numPr>
        <w:jc w:val="both"/>
      </w:pPr>
      <w:bookmarkStart w:id="38" w:name="_Ref484391788"/>
      <w:r w:rsidRPr="00662611">
        <w:lastRenderedPageBreak/>
        <w:t>The grantor shall account for each part of the liability referred to in paragraph </w:t>
      </w:r>
      <w:r w:rsidRPr="00662611">
        <w:fldChar w:fldCharType="begin"/>
      </w:r>
      <w:r w:rsidRPr="00662611">
        <w:instrText xml:space="preserve"> REF _Ref475620661 \r \h </w:instrText>
      </w:r>
      <w:r w:rsidRPr="00662611">
        <w:fldChar w:fldCharType="separate"/>
      </w:r>
      <w:r w:rsidR="00C43128">
        <w:t>24</w:t>
      </w:r>
      <w:r w:rsidRPr="00662611">
        <w:fldChar w:fldCharType="end"/>
      </w:r>
      <w:r w:rsidRPr="00662611">
        <w:t xml:space="preserve"> in accordance with paragraphs </w:t>
      </w:r>
      <w:r w:rsidRPr="00662611">
        <w:fldChar w:fldCharType="begin"/>
      </w:r>
      <w:r w:rsidRPr="00662611">
        <w:instrText xml:space="preserve"> REF _Ref475620669 \r \h </w:instrText>
      </w:r>
      <w:r w:rsidRPr="00662611">
        <w:fldChar w:fldCharType="separate"/>
      </w:r>
      <w:r w:rsidR="00C43128">
        <w:t>15</w:t>
      </w:r>
      <w:r w:rsidRPr="00662611">
        <w:fldChar w:fldCharType="end"/>
      </w:r>
      <w:r w:rsidRPr="00662611">
        <w:t>–</w:t>
      </w:r>
      <w:r w:rsidRPr="00662611">
        <w:fldChar w:fldCharType="begin"/>
      </w:r>
      <w:r w:rsidRPr="00662611">
        <w:instrText xml:space="preserve"> REF _Ref475620675 \r \h </w:instrText>
      </w:r>
      <w:r w:rsidRPr="00662611">
        <w:fldChar w:fldCharType="separate"/>
      </w:r>
      <w:r w:rsidR="00C43128">
        <w:t>23</w:t>
      </w:r>
      <w:r w:rsidRPr="00662611">
        <w:fldChar w:fldCharType="end"/>
      </w:r>
      <w:r w:rsidRPr="00662611">
        <w:t xml:space="preserve">. The financial liability part shall be measured first, and the remainder of the total liability allocated to the part related to the grant of the right to the operator (see paragraphs </w:t>
      </w:r>
      <w:r w:rsidRPr="00662611">
        <w:fldChar w:fldCharType="begin"/>
      </w:r>
      <w:r w:rsidRPr="00662611">
        <w:instrText xml:space="preserve"> REF _Ref475620699 \r \h </w:instrText>
      </w:r>
      <w:r w:rsidRPr="00662611">
        <w:fldChar w:fldCharType="separate"/>
      </w:r>
      <w:r w:rsidR="00C43128">
        <w:t>B73</w:t>
      </w:r>
      <w:r w:rsidRPr="00662611">
        <w:fldChar w:fldCharType="end"/>
      </w:r>
      <w:r w:rsidRPr="00662611">
        <w:t xml:space="preserve"> and </w:t>
      </w:r>
      <w:r w:rsidRPr="00662611">
        <w:fldChar w:fldCharType="begin"/>
      </w:r>
      <w:r w:rsidRPr="00662611">
        <w:instrText xml:space="preserve"> REF _Ref475620400 \r \h </w:instrText>
      </w:r>
      <w:r w:rsidRPr="00662611">
        <w:fldChar w:fldCharType="separate"/>
      </w:r>
      <w:r w:rsidR="00C43128">
        <w:t>B74</w:t>
      </w:r>
      <w:r w:rsidRPr="00662611">
        <w:fldChar w:fldCharType="end"/>
      </w:r>
      <w:r w:rsidRPr="00662611">
        <w:t>).</w:t>
      </w:r>
      <w:bookmarkEnd w:id="38"/>
    </w:p>
    <w:p w14:paraId="7D9271F8" w14:textId="5BA47566" w:rsidR="00862556" w:rsidRPr="00662611" w:rsidRDefault="00862556" w:rsidP="00862556">
      <w:pPr>
        <w:pStyle w:val="IASBSectionTitle1NonInd"/>
        <w:outlineLvl w:val="1"/>
      </w:pPr>
      <w:r w:rsidRPr="00662611">
        <w:t xml:space="preserve">Other liabilities, commitments, contingent liabilities and contingent assets (paragraphs </w:t>
      </w:r>
      <w:r w:rsidRPr="00662611">
        <w:fldChar w:fldCharType="begin"/>
      </w:r>
      <w:r w:rsidRPr="00662611">
        <w:instrText xml:space="preserve"> REF _Ref475620865 \r \h </w:instrText>
      </w:r>
      <w:r w:rsidRPr="00662611">
        <w:fldChar w:fldCharType="separate"/>
      </w:r>
      <w:r w:rsidR="00C43128">
        <w:t>B75</w:t>
      </w:r>
      <w:r w:rsidRPr="00662611">
        <w:fldChar w:fldCharType="end"/>
      </w:r>
      <w:r w:rsidRPr="00662611">
        <w:t>–</w:t>
      </w:r>
      <w:r w:rsidRPr="00662611">
        <w:fldChar w:fldCharType="begin"/>
      </w:r>
      <w:r w:rsidRPr="00662611">
        <w:instrText xml:space="preserve"> REF _Ref475620873 \r \h </w:instrText>
      </w:r>
      <w:r w:rsidRPr="00662611">
        <w:fldChar w:fldCharType="separate"/>
      </w:r>
      <w:r w:rsidR="00C43128">
        <w:t>B78</w:t>
      </w:r>
      <w:r w:rsidRPr="00662611">
        <w:fldChar w:fldCharType="end"/>
      </w:r>
      <w:r w:rsidRPr="00662611">
        <w:t>)</w:t>
      </w:r>
    </w:p>
    <w:p w14:paraId="7D9271F9" w14:textId="328608E1" w:rsidR="00862556" w:rsidRPr="00662611" w:rsidRDefault="00862556" w:rsidP="003102C2">
      <w:pPr>
        <w:pStyle w:val="NumBoldA1"/>
        <w:numPr>
          <w:ilvl w:val="0"/>
          <w:numId w:val="35"/>
        </w:numPr>
      </w:pPr>
      <w:bookmarkStart w:id="39" w:name="_Ref475631702"/>
      <w:r w:rsidRPr="00662611">
        <w:t xml:space="preserve">The grantor shall account for other liabilities, commitments, contingent liabilities and contingent assets arising from a service concession arrangement in accordance with </w:t>
      </w:r>
      <w:r w:rsidR="008D5BD6" w:rsidRPr="00662611">
        <w:t>AASB</w:t>
      </w:r>
      <w:r w:rsidR="0094297C">
        <w:t xml:space="preserve"> </w:t>
      </w:r>
      <w:r w:rsidR="008D5BD6" w:rsidRPr="00662611">
        <w:t>9,</w:t>
      </w:r>
      <w:r w:rsidR="008D5BD6">
        <w:t xml:space="preserve"> </w:t>
      </w:r>
      <w:r w:rsidRPr="00662611">
        <w:t>AASB 137</w:t>
      </w:r>
      <w:r w:rsidR="00B837B4">
        <w:t xml:space="preserve"> </w:t>
      </w:r>
      <w:r w:rsidRPr="00662611">
        <w:rPr>
          <w:i/>
        </w:rPr>
        <w:t>Provisions, Contingent Liabilities and Contingent Assets</w:t>
      </w:r>
      <w:r w:rsidRPr="00662611">
        <w:t xml:space="preserve">, and </w:t>
      </w:r>
      <w:r w:rsidR="008D5BD6">
        <w:t xml:space="preserve">any </w:t>
      </w:r>
      <w:r w:rsidRPr="00662611">
        <w:t>other relevant Standards.</w:t>
      </w:r>
      <w:bookmarkEnd w:id="39"/>
    </w:p>
    <w:p w14:paraId="7D9271FA" w14:textId="77777777" w:rsidR="00862556" w:rsidRPr="00662611" w:rsidRDefault="00862556" w:rsidP="00862556">
      <w:pPr>
        <w:pStyle w:val="IASBSectionTitle1NonInd"/>
        <w:outlineLvl w:val="1"/>
      </w:pPr>
      <w:r w:rsidRPr="00662611">
        <w:t>Other revenues</w:t>
      </w:r>
    </w:p>
    <w:p w14:paraId="7D9271FB" w14:textId="3483E344" w:rsidR="00862556" w:rsidRPr="00662611" w:rsidRDefault="00862556" w:rsidP="003102C2">
      <w:pPr>
        <w:pStyle w:val="NumBoldA1"/>
        <w:numPr>
          <w:ilvl w:val="0"/>
          <w:numId w:val="35"/>
        </w:numPr>
      </w:pPr>
      <w:bookmarkStart w:id="40" w:name="_Ref475713632"/>
      <w:r w:rsidRPr="00662611">
        <w:t>The grantor shall account for revenues</w:t>
      </w:r>
      <w:r w:rsidR="008D5BD6">
        <w:t xml:space="preserve"> arising</w:t>
      </w:r>
      <w:r w:rsidRPr="00662611">
        <w:t xml:space="preserve"> from a service concession arrangement, other than those specified in paragraphs </w:t>
      </w:r>
      <w:r w:rsidRPr="00662611">
        <w:fldChar w:fldCharType="begin"/>
      </w:r>
      <w:r w:rsidRPr="00662611">
        <w:instrText xml:space="preserve"> REF _Ref475620587 \r \h </w:instrText>
      </w:r>
      <w:r w:rsidRPr="00662611">
        <w:fldChar w:fldCharType="separate"/>
      </w:r>
      <w:r w:rsidR="00C43128">
        <w:t>21</w:t>
      </w:r>
      <w:r w:rsidRPr="00662611">
        <w:fldChar w:fldCharType="end"/>
      </w:r>
      <w:r w:rsidRPr="00662611">
        <w:t>–</w:t>
      </w:r>
      <w:r w:rsidRPr="00662611">
        <w:fldChar w:fldCharType="begin"/>
      </w:r>
      <w:r w:rsidRPr="00662611">
        <w:instrText xml:space="preserve"> REF _Ref475620675 \r \h </w:instrText>
      </w:r>
      <w:r w:rsidRPr="00662611">
        <w:fldChar w:fldCharType="separate"/>
      </w:r>
      <w:r w:rsidR="00C43128">
        <w:t>23</w:t>
      </w:r>
      <w:r w:rsidRPr="00662611">
        <w:fldChar w:fldCharType="end"/>
      </w:r>
      <w:r w:rsidRPr="00662611">
        <w:t xml:space="preserve">, in accordance with </w:t>
      </w:r>
      <w:r w:rsidR="008D5BD6" w:rsidRPr="00662611">
        <w:t xml:space="preserve">AASB 15 </w:t>
      </w:r>
      <w:r w:rsidR="008D5BD6" w:rsidRPr="00662611">
        <w:rPr>
          <w:i/>
        </w:rPr>
        <w:t>Revenue from Contracts with Customers</w:t>
      </w:r>
      <w:r w:rsidR="008D5BD6" w:rsidRPr="00662611">
        <w:t xml:space="preserve"> </w:t>
      </w:r>
      <w:r w:rsidR="00B837B4">
        <w:t xml:space="preserve">or </w:t>
      </w:r>
      <w:r w:rsidRPr="00662611">
        <w:t xml:space="preserve">AASB 1058 </w:t>
      </w:r>
      <w:r w:rsidRPr="00662611">
        <w:rPr>
          <w:i/>
        </w:rPr>
        <w:t>Income of Not-for-Profit Entities</w:t>
      </w:r>
      <w:r w:rsidRPr="00662611">
        <w:t>, as appropriate.</w:t>
      </w:r>
      <w:bookmarkEnd w:id="40"/>
    </w:p>
    <w:p w14:paraId="7D9271FC" w14:textId="6001A391" w:rsidR="00862556" w:rsidRPr="00662611" w:rsidRDefault="00862556" w:rsidP="00862556">
      <w:pPr>
        <w:pStyle w:val="IASBSectionTitle1NonInd"/>
        <w:outlineLvl w:val="1"/>
      </w:pPr>
      <w:r w:rsidRPr="00662611">
        <w:t xml:space="preserve">Presentation and disclosure (paragraphs </w:t>
      </w:r>
      <w:r w:rsidRPr="00662611">
        <w:fldChar w:fldCharType="begin"/>
      </w:r>
      <w:r w:rsidRPr="00662611">
        <w:instrText xml:space="preserve"> REF _Ref475620927 \r \h </w:instrText>
      </w:r>
      <w:r w:rsidRPr="00662611">
        <w:fldChar w:fldCharType="separate"/>
      </w:r>
      <w:r w:rsidR="00C43128">
        <w:t>B79</w:t>
      </w:r>
      <w:r w:rsidRPr="00662611">
        <w:fldChar w:fldCharType="end"/>
      </w:r>
      <w:r w:rsidRPr="00662611">
        <w:t>–</w:t>
      </w:r>
      <w:r w:rsidRPr="00662611">
        <w:fldChar w:fldCharType="begin"/>
      </w:r>
      <w:r w:rsidRPr="00662611">
        <w:instrText xml:space="preserve"> REF _Ref475620934 \r \h </w:instrText>
      </w:r>
      <w:r w:rsidRPr="00662611">
        <w:fldChar w:fldCharType="separate"/>
      </w:r>
      <w:r w:rsidR="00C43128">
        <w:t>B80</w:t>
      </w:r>
      <w:r w:rsidRPr="00662611">
        <w:fldChar w:fldCharType="end"/>
      </w:r>
      <w:r w:rsidRPr="00662611">
        <w:t>)</w:t>
      </w:r>
    </w:p>
    <w:p w14:paraId="7D9271FD" w14:textId="77777777" w:rsidR="00862556" w:rsidRPr="00662611" w:rsidRDefault="00862556" w:rsidP="003102C2">
      <w:pPr>
        <w:pStyle w:val="NumBoldA1"/>
        <w:numPr>
          <w:ilvl w:val="0"/>
          <w:numId w:val="35"/>
        </w:numPr>
      </w:pPr>
      <w:bookmarkStart w:id="41" w:name="_Ref475620960"/>
      <w:r w:rsidRPr="00662611">
        <w:t>The objective of the disclosure requirements is for an entity to disclose sufficient information to enable users of financial statements to understand the nature, amount, timing and uncertainty of assets, liabilities, revenue and cash flows arising from service concession arrangements. To achieve this, an entity shall consider disclosing qualitative and quantitative information about its service concession arrangements, including the following:</w:t>
      </w:r>
      <w:bookmarkEnd w:id="41"/>
    </w:p>
    <w:p w14:paraId="7D9271FE" w14:textId="72593F87" w:rsidR="00862556" w:rsidRPr="00662611" w:rsidRDefault="00862556" w:rsidP="008B664B">
      <w:pPr>
        <w:pStyle w:val="NumBoldA2"/>
        <w:tabs>
          <w:tab w:val="clear" w:pos="1021"/>
        </w:tabs>
        <w:ind w:left="1564" w:hanging="782"/>
      </w:pPr>
      <w:r w:rsidRPr="00662611">
        <w:t>a description of the arrangements;</w:t>
      </w:r>
    </w:p>
    <w:p w14:paraId="7D9271FF" w14:textId="4FEC48E2" w:rsidR="00862556" w:rsidRPr="00662611" w:rsidRDefault="00862556" w:rsidP="008B664B">
      <w:pPr>
        <w:pStyle w:val="NumBoldA2"/>
        <w:tabs>
          <w:tab w:val="clear" w:pos="1021"/>
        </w:tabs>
        <w:ind w:left="1564" w:hanging="782"/>
      </w:pPr>
      <w:r w:rsidRPr="00662611">
        <w:t>significant terms of the arrangements that may affect the amount, timing and uncertainty of future cash flows (eg the period of the arrangement, re-pricing dates and the basis upon which re-pricing or renegotiation is determined);</w:t>
      </w:r>
    </w:p>
    <w:p w14:paraId="7D927200" w14:textId="7AF39183" w:rsidR="00862556" w:rsidRPr="00662611" w:rsidRDefault="00862556" w:rsidP="008B664B">
      <w:pPr>
        <w:pStyle w:val="NumBoldA2"/>
        <w:tabs>
          <w:tab w:val="clear" w:pos="1021"/>
        </w:tabs>
        <w:ind w:left="1564" w:hanging="782"/>
      </w:pPr>
      <w:r w:rsidRPr="00662611">
        <w:t>the nature and extent (eg quantity, time period, or amount, as appropriate) of:</w:t>
      </w:r>
    </w:p>
    <w:p w14:paraId="7D927201" w14:textId="77777777" w:rsidR="00862556" w:rsidRPr="00662611" w:rsidRDefault="00862556" w:rsidP="003102C2">
      <w:pPr>
        <w:pStyle w:val="NumBoldA3"/>
        <w:numPr>
          <w:ilvl w:val="2"/>
          <w:numId w:val="35"/>
        </w:numPr>
        <w:tabs>
          <w:tab w:val="num" w:pos="1134"/>
        </w:tabs>
      </w:pPr>
      <w:r w:rsidRPr="00662611">
        <w:t>rights to receive specified services from the operator;</w:t>
      </w:r>
    </w:p>
    <w:p w14:paraId="7D927202" w14:textId="77777777" w:rsidR="00862556" w:rsidRPr="00662611" w:rsidRDefault="00862556" w:rsidP="003102C2">
      <w:pPr>
        <w:pStyle w:val="NumBoldA3"/>
        <w:numPr>
          <w:ilvl w:val="2"/>
          <w:numId w:val="35"/>
        </w:numPr>
        <w:tabs>
          <w:tab w:val="num" w:pos="1134"/>
        </w:tabs>
      </w:pPr>
      <w:r w:rsidRPr="00662611">
        <w:t xml:space="preserve">the carrying amount of service concession assets as at the end of the reporting period, including </w:t>
      </w:r>
      <w:r w:rsidR="005B3E5D" w:rsidRPr="00662611">
        <w:t>separate disclo</w:t>
      </w:r>
      <w:r w:rsidR="004D15AC" w:rsidRPr="00662611">
        <w:t>s</w:t>
      </w:r>
      <w:r w:rsidR="005B3E5D" w:rsidRPr="00662611">
        <w:t xml:space="preserve">ure </w:t>
      </w:r>
      <w:r w:rsidR="004D15AC" w:rsidRPr="00662611">
        <w:t xml:space="preserve">for </w:t>
      </w:r>
      <w:r w:rsidRPr="00662611">
        <w:t>existing assets of the grantor reclassified as service concession assets</w:t>
      </w:r>
      <w:r w:rsidR="004D15AC" w:rsidRPr="00662611">
        <w:t xml:space="preserve"> during the reporting period</w:t>
      </w:r>
      <w:r w:rsidRPr="00662611">
        <w:t>;</w:t>
      </w:r>
    </w:p>
    <w:p w14:paraId="7D927203" w14:textId="77777777" w:rsidR="00862556" w:rsidRPr="00662611" w:rsidRDefault="00862556" w:rsidP="003102C2">
      <w:pPr>
        <w:pStyle w:val="NumBoldA3"/>
        <w:numPr>
          <w:ilvl w:val="2"/>
          <w:numId w:val="35"/>
        </w:numPr>
        <w:tabs>
          <w:tab w:val="num" w:pos="1134"/>
        </w:tabs>
      </w:pPr>
      <w:r w:rsidRPr="00662611">
        <w:t>rights to receive specified assets at the end of an arrangement;</w:t>
      </w:r>
    </w:p>
    <w:p w14:paraId="7D927204" w14:textId="77777777" w:rsidR="00862556" w:rsidRPr="00662611" w:rsidRDefault="00862556" w:rsidP="003102C2">
      <w:pPr>
        <w:pStyle w:val="NumBoldA3"/>
        <w:numPr>
          <w:ilvl w:val="2"/>
          <w:numId w:val="35"/>
        </w:numPr>
        <w:tabs>
          <w:tab w:val="num" w:pos="1134"/>
        </w:tabs>
      </w:pPr>
      <w:r w:rsidRPr="00662611">
        <w:t>renewal and termination options;</w:t>
      </w:r>
    </w:p>
    <w:p w14:paraId="7D927205" w14:textId="77777777" w:rsidR="00862556" w:rsidRPr="00662611" w:rsidRDefault="00862556" w:rsidP="003102C2">
      <w:pPr>
        <w:pStyle w:val="NumBoldA3"/>
        <w:numPr>
          <w:ilvl w:val="2"/>
          <w:numId w:val="35"/>
        </w:numPr>
        <w:tabs>
          <w:tab w:val="num" w:pos="1134"/>
        </w:tabs>
      </w:pPr>
      <w:r w:rsidRPr="00662611">
        <w:t>other rights and obligations (eg major overhaul of service concession assets); and</w:t>
      </w:r>
    </w:p>
    <w:p w14:paraId="7D927206" w14:textId="77777777" w:rsidR="00862556" w:rsidRPr="00662611" w:rsidRDefault="00862556" w:rsidP="003102C2">
      <w:pPr>
        <w:pStyle w:val="NumBoldA3"/>
        <w:numPr>
          <w:ilvl w:val="2"/>
          <w:numId w:val="35"/>
        </w:numPr>
        <w:tabs>
          <w:tab w:val="num" w:pos="1134"/>
        </w:tabs>
      </w:pPr>
      <w:r w:rsidRPr="00662611">
        <w:t>obligations to provide the operator with access to service concession assets or other revenue-generating assets; and</w:t>
      </w:r>
    </w:p>
    <w:p w14:paraId="7D927207" w14:textId="41E7BA42" w:rsidR="00862556" w:rsidRPr="00662611" w:rsidRDefault="00FA2C8C" w:rsidP="00260CC3">
      <w:pPr>
        <w:pStyle w:val="NumBoldA2"/>
        <w:tabs>
          <w:tab w:val="clear" w:pos="1021"/>
          <w:tab w:val="num" w:pos="1134"/>
        </w:tabs>
        <w:ind w:left="1564" w:hanging="782"/>
      </w:pPr>
      <w:r>
        <w:tab/>
      </w:r>
      <w:proofErr w:type="gramStart"/>
      <w:r w:rsidR="00862556" w:rsidRPr="00662611">
        <w:t>changes</w:t>
      </w:r>
      <w:proofErr w:type="gramEnd"/>
      <w:r w:rsidR="00862556" w:rsidRPr="00662611">
        <w:t xml:space="preserve"> in arrangements occurring during the reporting period.</w:t>
      </w:r>
    </w:p>
    <w:p w14:paraId="7D927208" w14:textId="08C6F6FB" w:rsidR="00862556" w:rsidRPr="00662611" w:rsidRDefault="00862556" w:rsidP="003102C2">
      <w:pPr>
        <w:pStyle w:val="NumPlain1"/>
        <w:numPr>
          <w:ilvl w:val="0"/>
          <w:numId w:val="35"/>
        </w:numPr>
        <w:jc w:val="both"/>
      </w:pPr>
      <w:bookmarkStart w:id="42" w:name="_Ref475631728"/>
      <w:r w:rsidRPr="00662611">
        <w:t>The disclosures provided by an entity in accordance with paragraph </w:t>
      </w:r>
      <w:r w:rsidRPr="00662611">
        <w:fldChar w:fldCharType="begin"/>
      </w:r>
      <w:r w:rsidRPr="00662611">
        <w:instrText xml:space="preserve"> REF _Ref475620960 \r \h </w:instrText>
      </w:r>
      <w:r w:rsidRPr="00662611">
        <w:fldChar w:fldCharType="separate"/>
      </w:r>
      <w:r w:rsidR="00C43128">
        <w:t>28</w:t>
      </w:r>
      <w:r w:rsidRPr="00662611">
        <w:fldChar w:fldCharType="end"/>
      </w:r>
      <w:r w:rsidRPr="00662611">
        <w:t xml:space="preserve"> are provided individually for each material service concession arrangement or in aggregate for service concession arrangements involving services of a similar nature, in addition to disclosures required by AASB 116 and AASB 138. Service concession </w:t>
      </w:r>
      <w:r w:rsidR="008D5BD6">
        <w:t xml:space="preserve">assets </w:t>
      </w:r>
      <w:r w:rsidRPr="00662611">
        <w:t xml:space="preserve">of a similar nature may form a subset of a class of assets disclosed in accordance with AASB 116 or AASB 138 or may be included in more than one class of assets disclosed in accordance with AASB 116 or AASB 138. For example, for the purposes of AASB 116, a toll bridge may be included in the same class as other bridges, and for the purposes of paragraph </w:t>
      </w:r>
      <w:r w:rsidR="0094297C">
        <w:fldChar w:fldCharType="begin"/>
      </w:r>
      <w:r w:rsidR="0094297C">
        <w:instrText xml:space="preserve"> REF _Ref475620960 \r \h </w:instrText>
      </w:r>
      <w:r w:rsidR="0094297C">
        <w:fldChar w:fldCharType="separate"/>
      </w:r>
      <w:r w:rsidR="00C43128">
        <w:t>28</w:t>
      </w:r>
      <w:r w:rsidR="0094297C">
        <w:fldChar w:fldCharType="end"/>
      </w:r>
      <w:r w:rsidR="001A0267">
        <w:t xml:space="preserve"> </w:t>
      </w:r>
      <w:r w:rsidRPr="00662611">
        <w:t xml:space="preserve">may be included with service concession </w:t>
      </w:r>
      <w:r w:rsidR="008D5BD6">
        <w:t xml:space="preserve">assets </w:t>
      </w:r>
      <w:r w:rsidRPr="00662611">
        <w:t>reported in aggregate as toll roads.</w:t>
      </w:r>
      <w:bookmarkEnd w:id="42"/>
    </w:p>
    <w:p w14:paraId="7D927209" w14:textId="77777777" w:rsidR="00862556" w:rsidRPr="00662611" w:rsidRDefault="00862556" w:rsidP="00862556">
      <w:pPr>
        <w:pStyle w:val="IASBSectionTitle1NonInd"/>
        <w:outlineLvl w:val="1"/>
      </w:pPr>
      <w:r w:rsidRPr="00662611">
        <w:t>Commencement of the legislative instrument</w:t>
      </w:r>
    </w:p>
    <w:p w14:paraId="7D92720A" w14:textId="77777777" w:rsidR="00862556" w:rsidRPr="00662611" w:rsidRDefault="00862556" w:rsidP="003102C2">
      <w:pPr>
        <w:pStyle w:val="NumPlain1"/>
        <w:numPr>
          <w:ilvl w:val="0"/>
          <w:numId w:val="35"/>
        </w:numPr>
        <w:jc w:val="both"/>
      </w:pPr>
      <w:bookmarkStart w:id="43" w:name="_Ref475619416"/>
      <w:r w:rsidRPr="00662611">
        <w:t>For legal purposes, this legislative instrument commences on 31 December 2018.</w:t>
      </w:r>
      <w:bookmarkEnd w:id="43"/>
    </w:p>
    <w:p w14:paraId="7D92720B" w14:textId="77777777" w:rsidR="00BD73FC" w:rsidRPr="00662611" w:rsidRDefault="00BD73FC" w:rsidP="00BD73FC">
      <w:pPr>
        <w:widowControl w:val="0"/>
        <w:autoSpaceDE w:val="0"/>
        <w:autoSpaceDN w:val="0"/>
        <w:adjustRightInd w:val="0"/>
        <w:rPr>
          <w:lang w:eastAsia="en-GB"/>
        </w:rPr>
      </w:pPr>
    </w:p>
    <w:p w14:paraId="7D92720C" w14:textId="77777777" w:rsidR="00BD73FC" w:rsidRPr="00662611" w:rsidRDefault="00BD73FC" w:rsidP="00BD73FC">
      <w:pPr>
        <w:pStyle w:val="ListParagraph"/>
        <w:widowControl w:val="0"/>
        <w:autoSpaceDE w:val="0"/>
        <w:autoSpaceDN w:val="0"/>
        <w:adjustRightInd w:val="0"/>
        <w:ind w:left="1502"/>
        <w:rPr>
          <w:lang w:eastAsia="en-GB"/>
        </w:rPr>
        <w:sectPr w:rsidR="00BD73FC" w:rsidRPr="00662611" w:rsidSect="009A0D92">
          <w:footerReference w:type="default" r:id="rId26"/>
          <w:pgSz w:w="11907" w:h="16839"/>
          <w:pgMar w:top="1440" w:right="1440" w:bottom="1440" w:left="1440" w:header="720" w:footer="720" w:gutter="0"/>
          <w:cols w:space="708"/>
          <w:docGrid w:linePitch="360"/>
        </w:sectPr>
      </w:pPr>
    </w:p>
    <w:p w14:paraId="7D92720D" w14:textId="77777777" w:rsidR="003A1EAC" w:rsidRPr="00662611" w:rsidRDefault="001870D4" w:rsidP="003A1EAC">
      <w:pPr>
        <w:pStyle w:val="ConvSectionTitle"/>
        <w:spacing w:after="0"/>
      </w:pPr>
      <w:r w:rsidRPr="00662611">
        <w:lastRenderedPageBreak/>
        <w:t>A</w:t>
      </w:r>
      <w:r w:rsidR="00860505" w:rsidRPr="00662611">
        <w:t>ppendix</w:t>
      </w:r>
      <w:r w:rsidRPr="00662611">
        <w:t xml:space="preserve"> A</w:t>
      </w:r>
    </w:p>
    <w:p w14:paraId="7D92720E" w14:textId="4C2B99EB" w:rsidR="00C30665" w:rsidRPr="00662611" w:rsidRDefault="00860505" w:rsidP="00EE45A4">
      <w:pPr>
        <w:pStyle w:val="ConvSectionTitle"/>
        <w:spacing w:before="0"/>
        <w:outlineLvl w:val="1"/>
      </w:pPr>
      <w:r w:rsidRPr="00662611">
        <w:t>Defined</w:t>
      </w:r>
      <w:r w:rsidR="001870D4" w:rsidRPr="00662611">
        <w:t xml:space="preserve"> </w:t>
      </w:r>
      <w:r w:rsidR="008D12CE" w:rsidRPr="00662611">
        <w:t>t</w:t>
      </w:r>
      <w:r w:rsidRPr="00662611">
        <w:t>erms</w:t>
      </w:r>
      <w:r w:rsidR="00910804" w:rsidRPr="00662611">
        <w:t xml:space="preserve"> (paragraphs </w:t>
      </w:r>
      <w:r w:rsidR="00BD3B07" w:rsidRPr="00662611">
        <w:fldChar w:fldCharType="begin"/>
      </w:r>
      <w:r w:rsidR="00BD3B07" w:rsidRPr="00662611">
        <w:instrText xml:space="preserve"> REF _Ref475621021 \r \h </w:instrText>
      </w:r>
      <w:r w:rsidR="00BD3B07" w:rsidRPr="00662611">
        <w:fldChar w:fldCharType="separate"/>
      </w:r>
      <w:r w:rsidR="00C43128">
        <w:t>B4</w:t>
      </w:r>
      <w:r w:rsidR="00BD3B07" w:rsidRPr="00662611">
        <w:fldChar w:fldCharType="end"/>
      </w:r>
      <w:r w:rsidR="005503C7" w:rsidRPr="00662611">
        <w:t>–</w:t>
      </w:r>
      <w:r w:rsidR="00BD3B07" w:rsidRPr="00662611">
        <w:fldChar w:fldCharType="begin"/>
      </w:r>
      <w:r w:rsidR="00BD3B07" w:rsidRPr="00662611">
        <w:instrText xml:space="preserve"> REF _Ref475621034 \r \h </w:instrText>
      </w:r>
      <w:r w:rsidR="00BD3B07" w:rsidRPr="00662611">
        <w:fldChar w:fldCharType="separate"/>
      </w:r>
      <w:r w:rsidR="00C43128">
        <w:t>B13</w:t>
      </w:r>
      <w:r w:rsidR="00BD3B07" w:rsidRPr="00662611">
        <w:fldChar w:fldCharType="end"/>
      </w:r>
      <w:r w:rsidR="00910804" w:rsidRPr="00662611">
        <w:t>)</w:t>
      </w:r>
    </w:p>
    <w:p w14:paraId="7D92720F" w14:textId="77777777" w:rsidR="0016498C" w:rsidRPr="00662611" w:rsidRDefault="0016498C" w:rsidP="001075BD">
      <w:pPr>
        <w:pStyle w:val="AppendixNote"/>
        <w:tabs>
          <w:tab w:val="center" w:pos="4513"/>
        </w:tabs>
      </w:pPr>
      <w:r w:rsidRPr="00662611">
        <w:t xml:space="preserve">This </w:t>
      </w:r>
      <w:r w:rsidR="00865E87" w:rsidRPr="00662611">
        <w:t>appendix is an integral part of</w:t>
      </w:r>
      <w:r w:rsidR="00394342" w:rsidRPr="00662611">
        <w:t xml:space="preserve"> the Standard</w:t>
      </w:r>
      <w:r w:rsidRPr="00662611">
        <w:t>.</w:t>
      </w:r>
    </w:p>
    <w:tbl>
      <w:tblPr>
        <w:tblW w:w="0" w:type="auto"/>
        <w:tblLook w:val="04A0" w:firstRow="1" w:lastRow="0" w:firstColumn="1" w:lastColumn="0" w:noHBand="0" w:noVBand="1"/>
        <w:tblCaption w:val="Table of defined terms and their definitions"/>
        <w:tblDescription w:val="List of defined terms, usually in alphabetical order, with their definitions.  Columns for the terms and the definitions do not have a heading row."/>
      </w:tblPr>
      <w:tblGrid>
        <w:gridCol w:w="1851"/>
        <w:gridCol w:w="7392"/>
      </w:tblGrid>
      <w:tr w:rsidR="00871194" w:rsidRPr="00662611" w14:paraId="7D927212" w14:textId="77777777" w:rsidTr="0016498C">
        <w:tc>
          <w:tcPr>
            <w:tcW w:w="0" w:type="auto"/>
          </w:tcPr>
          <w:p w14:paraId="7D927210" w14:textId="77777777" w:rsidR="0016498C" w:rsidRPr="00662611" w:rsidRDefault="0016498C" w:rsidP="00DC1D6E">
            <w:pPr>
              <w:pStyle w:val="AppendixText"/>
              <w:rPr>
                <w:b/>
                <w:bCs/>
                <w:sz w:val="19"/>
                <w:szCs w:val="19"/>
              </w:rPr>
            </w:pPr>
            <w:r w:rsidRPr="00662611">
              <w:rPr>
                <w:b/>
                <w:bCs/>
                <w:sz w:val="19"/>
                <w:szCs w:val="19"/>
              </w:rPr>
              <w:t>contract</w:t>
            </w:r>
          </w:p>
        </w:tc>
        <w:tc>
          <w:tcPr>
            <w:tcW w:w="0" w:type="auto"/>
          </w:tcPr>
          <w:p w14:paraId="7D927211" w14:textId="77777777" w:rsidR="0016498C" w:rsidRPr="00662611" w:rsidRDefault="0016498C" w:rsidP="00DC1D6E">
            <w:pPr>
              <w:pStyle w:val="AppendixText"/>
              <w:rPr>
                <w:sz w:val="19"/>
                <w:szCs w:val="19"/>
              </w:rPr>
            </w:pPr>
            <w:r w:rsidRPr="00662611">
              <w:rPr>
                <w:sz w:val="19"/>
                <w:szCs w:val="19"/>
              </w:rPr>
              <w:t>An agreement between two or more parties that creates enforceable rights and obligations.</w:t>
            </w:r>
          </w:p>
        </w:tc>
      </w:tr>
      <w:tr w:rsidR="00871194" w:rsidRPr="00662611" w14:paraId="7D927215" w14:textId="77777777" w:rsidTr="0016498C">
        <w:tc>
          <w:tcPr>
            <w:tcW w:w="0" w:type="auto"/>
          </w:tcPr>
          <w:p w14:paraId="7D927213" w14:textId="77777777" w:rsidR="0016498C" w:rsidRPr="00662611" w:rsidRDefault="0016498C" w:rsidP="00DC1D6E">
            <w:pPr>
              <w:pStyle w:val="AppendixText"/>
              <w:rPr>
                <w:b/>
                <w:sz w:val="19"/>
                <w:szCs w:val="19"/>
              </w:rPr>
            </w:pPr>
            <w:r w:rsidRPr="00662611">
              <w:rPr>
                <w:b/>
                <w:sz w:val="19"/>
                <w:szCs w:val="19"/>
              </w:rPr>
              <w:t>grantor</w:t>
            </w:r>
          </w:p>
        </w:tc>
        <w:tc>
          <w:tcPr>
            <w:tcW w:w="0" w:type="auto"/>
          </w:tcPr>
          <w:p w14:paraId="7D927214" w14:textId="77777777" w:rsidR="0016498C" w:rsidRPr="00662611" w:rsidRDefault="0016498C" w:rsidP="00693439">
            <w:pPr>
              <w:pStyle w:val="AppendixText"/>
              <w:rPr>
                <w:sz w:val="19"/>
                <w:szCs w:val="19"/>
              </w:rPr>
            </w:pPr>
            <w:r w:rsidRPr="00662611">
              <w:rPr>
                <w:sz w:val="19"/>
                <w:szCs w:val="19"/>
              </w:rPr>
              <w:t xml:space="preserve">The entity that grants the right to access the </w:t>
            </w:r>
            <w:r w:rsidRPr="00662611">
              <w:rPr>
                <w:b/>
                <w:sz w:val="19"/>
                <w:szCs w:val="19"/>
              </w:rPr>
              <w:t xml:space="preserve">service concession asset </w:t>
            </w:r>
            <w:r w:rsidRPr="00662611">
              <w:rPr>
                <w:sz w:val="19"/>
                <w:szCs w:val="19"/>
              </w:rPr>
              <w:t xml:space="preserve">to the </w:t>
            </w:r>
            <w:r w:rsidRPr="00662611">
              <w:rPr>
                <w:b/>
                <w:sz w:val="19"/>
                <w:szCs w:val="19"/>
              </w:rPr>
              <w:t>operator</w:t>
            </w:r>
            <w:r w:rsidRPr="00662611">
              <w:rPr>
                <w:sz w:val="19"/>
                <w:szCs w:val="19"/>
              </w:rPr>
              <w:t>.</w:t>
            </w:r>
          </w:p>
        </w:tc>
      </w:tr>
      <w:tr w:rsidR="00871194" w:rsidRPr="00662611" w14:paraId="7D927218" w14:textId="77777777" w:rsidTr="0016498C">
        <w:tc>
          <w:tcPr>
            <w:tcW w:w="0" w:type="auto"/>
          </w:tcPr>
          <w:p w14:paraId="7D927216" w14:textId="77777777" w:rsidR="0016498C" w:rsidRPr="00662611" w:rsidRDefault="0016498C" w:rsidP="00DC1D6E">
            <w:pPr>
              <w:pStyle w:val="AppendixText"/>
              <w:rPr>
                <w:b/>
                <w:sz w:val="19"/>
                <w:szCs w:val="19"/>
              </w:rPr>
            </w:pPr>
            <w:r w:rsidRPr="00662611">
              <w:rPr>
                <w:b/>
                <w:sz w:val="19"/>
                <w:szCs w:val="19"/>
              </w:rPr>
              <w:t>operator</w:t>
            </w:r>
          </w:p>
        </w:tc>
        <w:tc>
          <w:tcPr>
            <w:tcW w:w="0" w:type="auto"/>
          </w:tcPr>
          <w:p w14:paraId="7D927217" w14:textId="77777777" w:rsidR="0016498C" w:rsidRPr="00662611" w:rsidRDefault="0016498C" w:rsidP="004833E2">
            <w:pPr>
              <w:pStyle w:val="AppendixText"/>
              <w:jc w:val="both"/>
              <w:rPr>
                <w:sz w:val="19"/>
                <w:szCs w:val="19"/>
              </w:rPr>
            </w:pPr>
            <w:r w:rsidRPr="00662611">
              <w:rPr>
                <w:sz w:val="19"/>
                <w:szCs w:val="19"/>
              </w:rPr>
              <w:t xml:space="preserve">The entity that has a right of access to the </w:t>
            </w:r>
            <w:r w:rsidRPr="00662611">
              <w:rPr>
                <w:b/>
                <w:sz w:val="19"/>
                <w:szCs w:val="19"/>
              </w:rPr>
              <w:t>service concession asset</w:t>
            </w:r>
            <w:r w:rsidRPr="00662611">
              <w:rPr>
                <w:sz w:val="19"/>
                <w:szCs w:val="19"/>
              </w:rPr>
              <w:t xml:space="preserve"> to provide public services.</w:t>
            </w:r>
          </w:p>
        </w:tc>
      </w:tr>
      <w:tr w:rsidR="00871194" w:rsidRPr="00662611" w14:paraId="7D92721D" w14:textId="77777777" w:rsidTr="0016498C">
        <w:tc>
          <w:tcPr>
            <w:tcW w:w="0" w:type="auto"/>
          </w:tcPr>
          <w:p w14:paraId="7D927219" w14:textId="77777777" w:rsidR="0016498C" w:rsidRPr="00662611" w:rsidRDefault="0016498C" w:rsidP="00DC1D6E">
            <w:pPr>
              <w:pStyle w:val="AppendixText"/>
              <w:rPr>
                <w:b/>
                <w:sz w:val="19"/>
                <w:szCs w:val="19"/>
              </w:rPr>
            </w:pPr>
            <w:r w:rsidRPr="00662611">
              <w:rPr>
                <w:b/>
                <w:sz w:val="19"/>
                <w:szCs w:val="19"/>
              </w:rPr>
              <w:t>service concession arrangement</w:t>
            </w:r>
          </w:p>
        </w:tc>
        <w:tc>
          <w:tcPr>
            <w:tcW w:w="0" w:type="auto"/>
          </w:tcPr>
          <w:p w14:paraId="7D92721A" w14:textId="5AFEA306" w:rsidR="0016498C" w:rsidRPr="00662611" w:rsidRDefault="0016498C" w:rsidP="00DC1D6E">
            <w:pPr>
              <w:pStyle w:val="AppendixText"/>
              <w:rPr>
                <w:sz w:val="19"/>
                <w:szCs w:val="19"/>
              </w:rPr>
            </w:pPr>
            <w:r w:rsidRPr="00662611">
              <w:rPr>
                <w:sz w:val="19"/>
                <w:szCs w:val="19"/>
              </w:rPr>
              <w:t xml:space="preserve">A </w:t>
            </w:r>
            <w:r w:rsidRPr="00662611">
              <w:rPr>
                <w:b/>
                <w:sz w:val="19"/>
                <w:szCs w:val="19"/>
              </w:rPr>
              <w:t>contract</w:t>
            </w:r>
            <w:r w:rsidRPr="00662611">
              <w:rPr>
                <w:sz w:val="19"/>
                <w:szCs w:val="19"/>
              </w:rPr>
              <w:t xml:space="preserve"> </w:t>
            </w:r>
            <w:r w:rsidR="00C655E4">
              <w:rPr>
                <w:sz w:val="19"/>
                <w:szCs w:val="19"/>
              </w:rPr>
              <w:t xml:space="preserve">effective </w:t>
            </w:r>
            <w:r w:rsidR="00871194">
              <w:rPr>
                <w:sz w:val="19"/>
                <w:szCs w:val="19"/>
              </w:rPr>
              <w:t xml:space="preserve">during the reporting period </w:t>
            </w:r>
            <w:r w:rsidRPr="00662611">
              <w:rPr>
                <w:sz w:val="19"/>
                <w:szCs w:val="19"/>
              </w:rPr>
              <w:t xml:space="preserve">between a </w:t>
            </w:r>
            <w:r w:rsidRPr="00662611">
              <w:rPr>
                <w:b/>
                <w:sz w:val="19"/>
                <w:szCs w:val="19"/>
              </w:rPr>
              <w:t>grantor</w:t>
            </w:r>
            <w:r w:rsidRPr="00662611">
              <w:rPr>
                <w:sz w:val="19"/>
                <w:szCs w:val="19"/>
              </w:rPr>
              <w:t xml:space="preserve"> and an </w:t>
            </w:r>
            <w:r w:rsidRPr="00662611">
              <w:rPr>
                <w:b/>
                <w:sz w:val="19"/>
                <w:szCs w:val="19"/>
              </w:rPr>
              <w:t>operator</w:t>
            </w:r>
            <w:r w:rsidRPr="00662611">
              <w:rPr>
                <w:sz w:val="19"/>
                <w:szCs w:val="19"/>
              </w:rPr>
              <w:t xml:space="preserve"> in which:</w:t>
            </w:r>
          </w:p>
          <w:p w14:paraId="7D92721B" w14:textId="6F6EDBC5" w:rsidR="0016498C" w:rsidRPr="00662611" w:rsidRDefault="00F95591" w:rsidP="00501E5B">
            <w:pPr>
              <w:pStyle w:val="NumPlainA"/>
              <w:numPr>
                <w:ilvl w:val="0"/>
                <w:numId w:val="9"/>
              </w:numPr>
              <w:ind w:left="782" w:hanging="782"/>
              <w:jc w:val="both"/>
              <w:rPr>
                <w:sz w:val="19"/>
                <w:szCs w:val="19"/>
              </w:rPr>
            </w:pPr>
            <w:r>
              <w:rPr>
                <w:sz w:val="19"/>
                <w:szCs w:val="19"/>
              </w:rPr>
              <w:tab/>
            </w:r>
            <w:r w:rsidR="0016498C" w:rsidRPr="00662611">
              <w:rPr>
                <w:sz w:val="19"/>
                <w:szCs w:val="19"/>
              </w:rPr>
              <w:t xml:space="preserve">the </w:t>
            </w:r>
            <w:r w:rsidR="0016498C" w:rsidRPr="00662611">
              <w:rPr>
                <w:b/>
                <w:sz w:val="19"/>
                <w:szCs w:val="19"/>
              </w:rPr>
              <w:t>operator</w:t>
            </w:r>
            <w:r w:rsidR="0016498C" w:rsidRPr="00662611">
              <w:rPr>
                <w:sz w:val="19"/>
                <w:szCs w:val="19"/>
              </w:rPr>
              <w:t xml:space="preserve"> has the right of access to the </w:t>
            </w:r>
            <w:r w:rsidR="0016498C" w:rsidRPr="00662611">
              <w:rPr>
                <w:b/>
                <w:sz w:val="19"/>
                <w:szCs w:val="19"/>
              </w:rPr>
              <w:t>service concession asset</w:t>
            </w:r>
            <w:r w:rsidR="00066C22" w:rsidRPr="00662611">
              <w:rPr>
                <w:b/>
                <w:sz w:val="19"/>
                <w:szCs w:val="19"/>
              </w:rPr>
              <w:t xml:space="preserve"> </w:t>
            </w:r>
            <w:r w:rsidR="00361086" w:rsidRPr="00662611">
              <w:rPr>
                <w:sz w:val="19"/>
                <w:szCs w:val="19"/>
              </w:rPr>
              <w:t>(</w:t>
            </w:r>
            <w:r w:rsidR="00066C22" w:rsidRPr="00662611">
              <w:rPr>
                <w:sz w:val="19"/>
                <w:szCs w:val="19"/>
              </w:rPr>
              <w:t>or asset</w:t>
            </w:r>
            <w:r w:rsidR="00361086" w:rsidRPr="00662611">
              <w:rPr>
                <w:sz w:val="19"/>
                <w:szCs w:val="19"/>
              </w:rPr>
              <w:t>s)</w:t>
            </w:r>
            <w:r w:rsidR="0016498C" w:rsidRPr="00662611">
              <w:rPr>
                <w:sz w:val="19"/>
                <w:szCs w:val="19"/>
              </w:rPr>
              <w:t xml:space="preserve"> to provide public service</w:t>
            </w:r>
            <w:r w:rsidR="006D3015" w:rsidRPr="00662611">
              <w:rPr>
                <w:sz w:val="19"/>
                <w:szCs w:val="19"/>
              </w:rPr>
              <w:t>s</w:t>
            </w:r>
            <w:r w:rsidR="0016498C" w:rsidRPr="00662611">
              <w:rPr>
                <w:sz w:val="19"/>
                <w:szCs w:val="19"/>
              </w:rPr>
              <w:t xml:space="preserve"> on behalf of the </w:t>
            </w:r>
            <w:r w:rsidR="0016498C" w:rsidRPr="00662611">
              <w:rPr>
                <w:b/>
                <w:sz w:val="19"/>
                <w:szCs w:val="19"/>
              </w:rPr>
              <w:t>grantor</w:t>
            </w:r>
            <w:r w:rsidR="0016498C" w:rsidRPr="00662611">
              <w:rPr>
                <w:sz w:val="19"/>
                <w:szCs w:val="19"/>
              </w:rPr>
              <w:t xml:space="preserve"> for a specified period of time; </w:t>
            </w:r>
          </w:p>
          <w:p w14:paraId="46D92417" w14:textId="13B47258" w:rsidR="00D31FF3" w:rsidRDefault="00F95591" w:rsidP="00501E5B">
            <w:pPr>
              <w:pStyle w:val="NumPlainA"/>
              <w:numPr>
                <w:ilvl w:val="0"/>
                <w:numId w:val="9"/>
              </w:numPr>
              <w:ind w:left="782" w:hanging="782"/>
              <w:jc w:val="both"/>
              <w:rPr>
                <w:sz w:val="19"/>
                <w:szCs w:val="19"/>
              </w:rPr>
            </w:pPr>
            <w:r>
              <w:rPr>
                <w:sz w:val="19"/>
                <w:szCs w:val="19"/>
              </w:rPr>
              <w:tab/>
            </w:r>
            <w:r w:rsidR="00D31FF3">
              <w:rPr>
                <w:sz w:val="19"/>
                <w:szCs w:val="19"/>
              </w:rPr>
              <w:t xml:space="preserve">the </w:t>
            </w:r>
            <w:r w:rsidR="00D31FF3" w:rsidRPr="00D31FF3">
              <w:rPr>
                <w:b/>
                <w:sz w:val="19"/>
                <w:szCs w:val="19"/>
              </w:rPr>
              <w:t>operator</w:t>
            </w:r>
            <w:r w:rsidR="00D31FF3">
              <w:rPr>
                <w:sz w:val="19"/>
                <w:szCs w:val="19"/>
              </w:rPr>
              <w:t xml:space="preserve"> is responsible for at least some of the management of the </w:t>
            </w:r>
            <w:r w:rsidR="00086D23">
              <w:rPr>
                <w:sz w:val="19"/>
                <w:szCs w:val="19"/>
              </w:rPr>
              <w:t xml:space="preserve">public services provided through the </w:t>
            </w:r>
            <w:r w:rsidR="00D31FF3">
              <w:rPr>
                <w:sz w:val="19"/>
                <w:szCs w:val="19"/>
              </w:rPr>
              <w:t>asset</w:t>
            </w:r>
            <w:r w:rsidR="009A4074">
              <w:rPr>
                <w:sz w:val="19"/>
                <w:szCs w:val="19"/>
              </w:rPr>
              <w:t xml:space="preserve"> and does not act </w:t>
            </w:r>
            <w:r w:rsidR="00C655E4">
              <w:rPr>
                <w:sz w:val="19"/>
                <w:szCs w:val="19"/>
              </w:rPr>
              <w:t xml:space="preserve">merely </w:t>
            </w:r>
            <w:r w:rsidR="009A4074">
              <w:rPr>
                <w:sz w:val="19"/>
                <w:szCs w:val="19"/>
              </w:rPr>
              <w:t>as an agent on behalf of the grantor</w:t>
            </w:r>
            <w:r w:rsidR="00D31FF3">
              <w:rPr>
                <w:sz w:val="19"/>
                <w:szCs w:val="19"/>
              </w:rPr>
              <w:t>; and</w:t>
            </w:r>
          </w:p>
          <w:p w14:paraId="7D92721C" w14:textId="3911B905" w:rsidR="0016498C" w:rsidRPr="00662611" w:rsidRDefault="00F95591" w:rsidP="00501E5B">
            <w:pPr>
              <w:pStyle w:val="NumPlainA"/>
              <w:numPr>
                <w:ilvl w:val="0"/>
                <w:numId w:val="9"/>
              </w:numPr>
              <w:ind w:left="782" w:hanging="782"/>
              <w:jc w:val="both"/>
              <w:rPr>
                <w:sz w:val="19"/>
                <w:szCs w:val="19"/>
              </w:rPr>
            </w:pPr>
            <w:r>
              <w:rPr>
                <w:sz w:val="19"/>
                <w:szCs w:val="19"/>
              </w:rPr>
              <w:tab/>
            </w:r>
            <w:proofErr w:type="gramStart"/>
            <w:r w:rsidR="0016498C" w:rsidRPr="00662611">
              <w:rPr>
                <w:sz w:val="19"/>
                <w:szCs w:val="19"/>
              </w:rPr>
              <w:t>the</w:t>
            </w:r>
            <w:proofErr w:type="gramEnd"/>
            <w:r w:rsidR="0016498C" w:rsidRPr="00662611">
              <w:rPr>
                <w:sz w:val="19"/>
                <w:szCs w:val="19"/>
              </w:rPr>
              <w:t xml:space="preserve"> </w:t>
            </w:r>
            <w:r w:rsidR="0016498C" w:rsidRPr="00662611">
              <w:rPr>
                <w:b/>
                <w:sz w:val="19"/>
                <w:szCs w:val="19"/>
              </w:rPr>
              <w:t>operator</w:t>
            </w:r>
            <w:r w:rsidR="0016498C" w:rsidRPr="00662611">
              <w:rPr>
                <w:sz w:val="19"/>
                <w:szCs w:val="19"/>
              </w:rPr>
              <w:t xml:space="preserve"> is compensated for its services over the period of the </w:t>
            </w:r>
            <w:r w:rsidR="0016498C" w:rsidRPr="00662611">
              <w:rPr>
                <w:b/>
                <w:sz w:val="19"/>
                <w:szCs w:val="19"/>
              </w:rPr>
              <w:t>service concession arrangement</w:t>
            </w:r>
            <w:r w:rsidR="0016498C" w:rsidRPr="00662611">
              <w:rPr>
                <w:sz w:val="19"/>
                <w:szCs w:val="19"/>
              </w:rPr>
              <w:t>.</w:t>
            </w:r>
          </w:p>
        </w:tc>
      </w:tr>
      <w:tr w:rsidR="00871194" w:rsidRPr="00662611" w14:paraId="7D927224" w14:textId="77777777" w:rsidTr="00834D36">
        <w:tc>
          <w:tcPr>
            <w:tcW w:w="0" w:type="auto"/>
          </w:tcPr>
          <w:p w14:paraId="7D92721E" w14:textId="77777777" w:rsidR="00834D36" w:rsidRPr="00662611" w:rsidRDefault="00834D36" w:rsidP="00353CC4">
            <w:pPr>
              <w:pStyle w:val="AppendixText"/>
              <w:rPr>
                <w:b/>
                <w:sz w:val="19"/>
                <w:szCs w:val="19"/>
              </w:rPr>
            </w:pPr>
            <w:r w:rsidRPr="00662611">
              <w:rPr>
                <w:b/>
                <w:sz w:val="19"/>
                <w:szCs w:val="19"/>
              </w:rPr>
              <w:t>service concession asset</w:t>
            </w:r>
          </w:p>
        </w:tc>
        <w:tc>
          <w:tcPr>
            <w:tcW w:w="0" w:type="auto"/>
          </w:tcPr>
          <w:p w14:paraId="7D92721F" w14:textId="66094F1D" w:rsidR="00834D36" w:rsidRPr="00662611" w:rsidRDefault="00834D36" w:rsidP="004833E2">
            <w:pPr>
              <w:pStyle w:val="AppendixText"/>
              <w:jc w:val="both"/>
              <w:rPr>
                <w:sz w:val="19"/>
                <w:szCs w:val="19"/>
              </w:rPr>
            </w:pPr>
            <w:r w:rsidRPr="00662611">
              <w:rPr>
                <w:sz w:val="19"/>
                <w:szCs w:val="19"/>
              </w:rPr>
              <w:t xml:space="preserve">An asset </w:t>
            </w:r>
            <w:r w:rsidR="00470B47" w:rsidRPr="00662611">
              <w:rPr>
                <w:sz w:val="19"/>
                <w:szCs w:val="19"/>
              </w:rPr>
              <w:t xml:space="preserve">(other than goodwill) </w:t>
            </w:r>
            <w:r w:rsidR="00871194">
              <w:rPr>
                <w:sz w:val="19"/>
                <w:szCs w:val="19"/>
              </w:rPr>
              <w:t xml:space="preserve">to which </w:t>
            </w:r>
            <w:r w:rsidR="00BF4775" w:rsidRPr="00662611">
              <w:rPr>
                <w:sz w:val="19"/>
                <w:szCs w:val="19"/>
              </w:rPr>
              <w:t xml:space="preserve">the </w:t>
            </w:r>
            <w:r w:rsidR="00BF4775" w:rsidRPr="00662611">
              <w:rPr>
                <w:b/>
                <w:sz w:val="19"/>
                <w:szCs w:val="19"/>
              </w:rPr>
              <w:t>operator</w:t>
            </w:r>
            <w:r w:rsidRPr="00662611">
              <w:rPr>
                <w:sz w:val="19"/>
                <w:szCs w:val="19"/>
              </w:rPr>
              <w:t xml:space="preserve"> </w:t>
            </w:r>
            <w:r w:rsidR="00871194">
              <w:rPr>
                <w:sz w:val="19"/>
                <w:szCs w:val="19"/>
              </w:rPr>
              <w:t xml:space="preserve">has the right of access </w:t>
            </w:r>
            <w:r w:rsidRPr="00662611">
              <w:rPr>
                <w:sz w:val="19"/>
                <w:szCs w:val="19"/>
              </w:rPr>
              <w:t>to provide public services</w:t>
            </w:r>
            <w:r w:rsidR="00BF4775" w:rsidRPr="00662611">
              <w:rPr>
                <w:sz w:val="19"/>
                <w:szCs w:val="19"/>
              </w:rPr>
              <w:t xml:space="preserve"> on behalf of the </w:t>
            </w:r>
            <w:r w:rsidR="00BF4775" w:rsidRPr="00662611">
              <w:rPr>
                <w:b/>
                <w:sz w:val="19"/>
                <w:szCs w:val="19"/>
              </w:rPr>
              <w:t>grantor</w:t>
            </w:r>
            <w:r w:rsidRPr="00662611">
              <w:rPr>
                <w:sz w:val="19"/>
                <w:szCs w:val="19"/>
              </w:rPr>
              <w:t xml:space="preserve"> in a </w:t>
            </w:r>
            <w:r w:rsidRPr="00662611">
              <w:rPr>
                <w:b/>
                <w:sz w:val="19"/>
                <w:szCs w:val="19"/>
              </w:rPr>
              <w:t>service concession arrangement</w:t>
            </w:r>
            <w:r w:rsidRPr="00662611">
              <w:rPr>
                <w:sz w:val="19"/>
                <w:szCs w:val="19"/>
              </w:rPr>
              <w:t xml:space="preserve"> that:</w:t>
            </w:r>
          </w:p>
          <w:p w14:paraId="7D927220" w14:textId="1D119109" w:rsidR="00E52BD8" w:rsidRPr="00662611" w:rsidRDefault="00F95591" w:rsidP="00F95591">
            <w:pPr>
              <w:pStyle w:val="NumPlainA"/>
              <w:numPr>
                <w:ilvl w:val="0"/>
                <w:numId w:val="10"/>
              </w:numPr>
              <w:ind w:left="782" w:hanging="782"/>
              <w:jc w:val="both"/>
              <w:rPr>
                <w:sz w:val="19"/>
                <w:szCs w:val="19"/>
              </w:rPr>
            </w:pPr>
            <w:r>
              <w:rPr>
                <w:sz w:val="19"/>
                <w:szCs w:val="19"/>
              </w:rPr>
              <w:tab/>
            </w:r>
            <w:r w:rsidR="00E52BD8" w:rsidRPr="00662611">
              <w:rPr>
                <w:sz w:val="19"/>
                <w:szCs w:val="19"/>
              </w:rPr>
              <w:t xml:space="preserve">the </w:t>
            </w:r>
            <w:r w:rsidR="00E52BD8" w:rsidRPr="00662611">
              <w:rPr>
                <w:b/>
                <w:sz w:val="19"/>
                <w:szCs w:val="19"/>
              </w:rPr>
              <w:t>operator</w:t>
            </w:r>
            <w:r w:rsidR="00E52BD8" w:rsidRPr="00662611">
              <w:rPr>
                <w:sz w:val="19"/>
                <w:szCs w:val="19"/>
              </w:rPr>
              <w:t xml:space="preserve"> constructs</w:t>
            </w:r>
            <w:r w:rsidR="009A4074">
              <w:rPr>
                <w:sz w:val="19"/>
                <w:szCs w:val="19"/>
              </w:rPr>
              <w:t>,</w:t>
            </w:r>
            <w:r w:rsidR="00E52BD8" w:rsidRPr="00662611">
              <w:rPr>
                <w:sz w:val="19"/>
                <w:szCs w:val="19"/>
              </w:rPr>
              <w:t xml:space="preserve"> develops, </w:t>
            </w:r>
            <w:r w:rsidR="009A4074">
              <w:rPr>
                <w:sz w:val="19"/>
                <w:szCs w:val="19"/>
              </w:rPr>
              <w:t xml:space="preserve">upgrades </w:t>
            </w:r>
            <w:r w:rsidR="00E52BD8" w:rsidRPr="00662611">
              <w:rPr>
                <w:sz w:val="19"/>
                <w:szCs w:val="19"/>
              </w:rPr>
              <w:t>or</w:t>
            </w:r>
            <w:r w:rsidR="009A4074">
              <w:rPr>
                <w:sz w:val="19"/>
                <w:szCs w:val="19"/>
              </w:rPr>
              <w:t xml:space="preserve"> replaces major components, or</w:t>
            </w:r>
            <w:r w:rsidR="00E52BD8" w:rsidRPr="00662611">
              <w:rPr>
                <w:sz w:val="19"/>
                <w:szCs w:val="19"/>
              </w:rPr>
              <w:t xml:space="preserve"> acquires from a third party or is an existing asset of the </w:t>
            </w:r>
            <w:r w:rsidR="00E52BD8" w:rsidRPr="00662611">
              <w:rPr>
                <w:b/>
                <w:sz w:val="19"/>
                <w:szCs w:val="19"/>
              </w:rPr>
              <w:t>operator</w:t>
            </w:r>
            <w:r w:rsidR="00E52BD8" w:rsidRPr="00662611">
              <w:rPr>
                <w:sz w:val="19"/>
                <w:szCs w:val="19"/>
              </w:rPr>
              <w:t>; or</w:t>
            </w:r>
          </w:p>
          <w:p w14:paraId="7D927223" w14:textId="502741CB" w:rsidR="00834D36" w:rsidRPr="00662611" w:rsidRDefault="00F95591" w:rsidP="00F95591">
            <w:pPr>
              <w:pStyle w:val="NumPlainA"/>
              <w:numPr>
                <w:ilvl w:val="0"/>
                <w:numId w:val="10"/>
              </w:numPr>
              <w:ind w:left="782" w:hanging="782"/>
              <w:jc w:val="both"/>
              <w:rPr>
                <w:sz w:val="19"/>
                <w:szCs w:val="19"/>
              </w:rPr>
            </w:pPr>
            <w:r>
              <w:rPr>
                <w:sz w:val="19"/>
                <w:szCs w:val="19"/>
              </w:rPr>
              <w:tab/>
            </w:r>
            <w:proofErr w:type="gramStart"/>
            <w:r w:rsidR="00E52BD8" w:rsidRPr="00662611">
              <w:rPr>
                <w:sz w:val="19"/>
                <w:szCs w:val="19"/>
              </w:rPr>
              <w:t>is</w:t>
            </w:r>
            <w:proofErr w:type="gramEnd"/>
            <w:r w:rsidR="00E52BD8" w:rsidRPr="00662611">
              <w:rPr>
                <w:sz w:val="19"/>
                <w:szCs w:val="19"/>
              </w:rPr>
              <w:t xml:space="preserve"> an existing asset of the </w:t>
            </w:r>
            <w:r w:rsidR="00E52BD8" w:rsidRPr="00662611">
              <w:rPr>
                <w:b/>
                <w:sz w:val="19"/>
                <w:szCs w:val="19"/>
              </w:rPr>
              <w:t>grantor</w:t>
            </w:r>
            <w:r w:rsidR="00361086" w:rsidRPr="00662611">
              <w:rPr>
                <w:sz w:val="19"/>
                <w:szCs w:val="19"/>
              </w:rPr>
              <w:t>, including a previously unrecognised identifiable intangible asset</w:t>
            </w:r>
            <w:r w:rsidR="00D31FF3">
              <w:rPr>
                <w:sz w:val="19"/>
                <w:szCs w:val="19"/>
              </w:rPr>
              <w:t xml:space="preserve"> and land under roads</w:t>
            </w:r>
            <w:r w:rsidR="00361086" w:rsidRPr="00662611">
              <w:rPr>
                <w:sz w:val="19"/>
                <w:szCs w:val="19"/>
              </w:rPr>
              <w:t>,</w:t>
            </w:r>
            <w:r w:rsidR="00E52BD8" w:rsidRPr="00662611">
              <w:rPr>
                <w:sz w:val="19"/>
                <w:szCs w:val="19"/>
              </w:rPr>
              <w:t xml:space="preserve"> or an upgrade to </w:t>
            </w:r>
            <w:r w:rsidR="009A4074">
              <w:rPr>
                <w:sz w:val="19"/>
                <w:szCs w:val="19"/>
              </w:rPr>
              <w:t xml:space="preserve">or replacement of a major component of </w:t>
            </w:r>
            <w:r w:rsidR="00E52BD8" w:rsidRPr="00662611">
              <w:rPr>
                <w:sz w:val="19"/>
                <w:szCs w:val="19"/>
              </w:rPr>
              <w:t xml:space="preserve">an existing asset of the </w:t>
            </w:r>
            <w:r w:rsidR="00E52BD8" w:rsidRPr="00662611">
              <w:rPr>
                <w:b/>
                <w:sz w:val="19"/>
                <w:szCs w:val="19"/>
              </w:rPr>
              <w:t>grantor</w:t>
            </w:r>
            <w:r w:rsidR="00E52BD8" w:rsidRPr="00662611">
              <w:rPr>
                <w:sz w:val="19"/>
                <w:szCs w:val="19"/>
              </w:rPr>
              <w:t>.</w:t>
            </w:r>
          </w:p>
        </w:tc>
      </w:tr>
    </w:tbl>
    <w:p w14:paraId="7D927225" w14:textId="77777777" w:rsidR="00C30665" w:rsidRPr="00662611" w:rsidRDefault="00C30665">
      <w:pPr>
        <w:widowControl w:val="0"/>
        <w:autoSpaceDE w:val="0"/>
        <w:autoSpaceDN w:val="0"/>
        <w:adjustRightInd w:val="0"/>
        <w:rPr>
          <w:lang w:eastAsia="en-GB"/>
        </w:rPr>
      </w:pPr>
    </w:p>
    <w:p w14:paraId="7D927226" w14:textId="77777777" w:rsidR="0016498C" w:rsidRPr="00662611" w:rsidRDefault="0016498C">
      <w:pPr>
        <w:widowControl w:val="0"/>
        <w:autoSpaceDE w:val="0"/>
        <w:autoSpaceDN w:val="0"/>
        <w:adjustRightInd w:val="0"/>
        <w:rPr>
          <w:lang w:eastAsia="en-GB"/>
        </w:rPr>
        <w:sectPr w:rsidR="0016498C" w:rsidRPr="00662611" w:rsidSect="009A0D92">
          <w:headerReference w:type="even" r:id="rId27"/>
          <w:footerReference w:type="even" r:id="rId28"/>
          <w:footerReference w:type="default" r:id="rId29"/>
          <w:headerReference w:type="first" r:id="rId30"/>
          <w:footerReference w:type="first" r:id="rId31"/>
          <w:pgSz w:w="11907" w:h="16839"/>
          <w:pgMar w:top="1440" w:right="1440" w:bottom="1440" w:left="1440" w:header="720" w:footer="720" w:gutter="0"/>
          <w:cols w:space="708"/>
          <w:docGrid w:linePitch="360"/>
        </w:sectPr>
      </w:pPr>
    </w:p>
    <w:p w14:paraId="7D927227" w14:textId="77777777" w:rsidR="003A1EAC" w:rsidRPr="00662611" w:rsidRDefault="001870D4" w:rsidP="003A1EAC">
      <w:pPr>
        <w:pStyle w:val="ConvSectionTitle"/>
        <w:spacing w:after="0"/>
      </w:pPr>
      <w:r w:rsidRPr="00662611">
        <w:lastRenderedPageBreak/>
        <w:t>A</w:t>
      </w:r>
      <w:r w:rsidR="00860505" w:rsidRPr="00662611">
        <w:t>ppendix</w:t>
      </w:r>
      <w:r w:rsidRPr="00662611">
        <w:t xml:space="preserve"> B</w:t>
      </w:r>
    </w:p>
    <w:p w14:paraId="7D927228" w14:textId="77777777" w:rsidR="00432D58" w:rsidRPr="00662611" w:rsidRDefault="00860505" w:rsidP="00EE45A4">
      <w:pPr>
        <w:pStyle w:val="ConvSectionTitle"/>
        <w:spacing w:before="0"/>
        <w:outlineLvl w:val="9"/>
      </w:pPr>
      <w:r w:rsidRPr="00662611">
        <w:t xml:space="preserve">Application </w:t>
      </w:r>
      <w:r w:rsidR="008D12CE" w:rsidRPr="00662611">
        <w:t>g</w:t>
      </w:r>
      <w:r w:rsidRPr="00662611">
        <w:t>uidance</w:t>
      </w:r>
    </w:p>
    <w:p w14:paraId="7D927229" w14:textId="77777777" w:rsidR="00CF59B7" w:rsidRPr="00662611" w:rsidRDefault="00CF59B7" w:rsidP="00CF59B7">
      <w:pPr>
        <w:pStyle w:val="AppendixNote"/>
        <w:tabs>
          <w:tab w:val="center" w:pos="4513"/>
        </w:tabs>
        <w:rPr>
          <w:sz w:val="19"/>
          <w:szCs w:val="19"/>
        </w:rPr>
      </w:pPr>
      <w:r w:rsidRPr="00662611">
        <w:rPr>
          <w:sz w:val="19"/>
          <w:szCs w:val="19"/>
        </w:rPr>
        <w:t>This appendix is an integral part of the Standard.</w:t>
      </w:r>
    </w:p>
    <w:p w14:paraId="7D92722A" w14:textId="66C2B124" w:rsidR="00A165CA" w:rsidRPr="00662611" w:rsidRDefault="00855D39" w:rsidP="00EE45A4">
      <w:pPr>
        <w:pStyle w:val="IASBSectionTitle1NonInd"/>
        <w:outlineLvl w:val="1"/>
      </w:pPr>
      <w:r w:rsidRPr="00662611">
        <w:t>Scope (paragraphs</w:t>
      </w:r>
      <w:r w:rsidR="003932DA" w:rsidRPr="00662611">
        <w:t xml:space="preserve"> </w:t>
      </w:r>
      <w:r w:rsidR="00BD3B07" w:rsidRPr="00662611">
        <w:fldChar w:fldCharType="begin"/>
      </w:r>
      <w:r w:rsidR="00BD3B07" w:rsidRPr="00662611">
        <w:instrText xml:space="preserve"> REF _Ref475621189 \r \h </w:instrText>
      </w:r>
      <w:r w:rsidR="00BD3B07" w:rsidRPr="00662611">
        <w:fldChar w:fldCharType="separate"/>
      </w:r>
      <w:r w:rsidR="00C43128">
        <w:t>2</w:t>
      </w:r>
      <w:r w:rsidR="00BD3B07" w:rsidRPr="00662611">
        <w:fldChar w:fldCharType="end"/>
      </w:r>
      <w:r w:rsidR="00A91E70" w:rsidRPr="00662611">
        <w:t>–</w:t>
      </w:r>
      <w:r w:rsidR="00BD3B07" w:rsidRPr="00662611">
        <w:fldChar w:fldCharType="begin"/>
      </w:r>
      <w:r w:rsidR="00BD3B07" w:rsidRPr="00662611">
        <w:instrText xml:space="preserve"> REF _Ref475621194 \r \h </w:instrText>
      </w:r>
      <w:r w:rsidR="00BD3B07" w:rsidRPr="00662611">
        <w:fldChar w:fldCharType="separate"/>
      </w:r>
      <w:r w:rsidR="00C43128">
        <w:t>4</w:t>
      </w:r>
      <w:r w:rsidR="00BD3B07" w:rsidRPr="00662611">
        <w:fldChar w:fldCharType="end"/>
      </w:r>
      <w:r w:rsidRPr="00662611">
        <w:t>)</w:t>
      </w:r>
    </w:p>
    <w:p w14:paraId="7D92722B" w14:textId="12E7C40C" w:rsidR="00F271DC" w:rsidRPr="00662611" w:rsidRDefault="00F271DC" w:rsidP="00CF5610">
      <w:pPr>
        <w:pStyle w:val="NumAG1"/>
        <w:ind w:left="784" w:hanging="784"/>
      </w:pPr>
      <w:bookmarkStart w:id="44" w:name="_Ref475619659"/>
      <w:r w:rsidRPr="00662611">
        <w:t xml:space="preserve">This Standard is </w:t>
      </w:r>
      <w:r w:rsidR="008C1C01" w:rsidRPr="00662611">
        <w:t>informed by</w:t>
      </w:r>
      <w:r w:rsidR="00C91FB5" w:rsidRPr="00662611">
        <w:t xml:space="preserve"> </w:t>
      </w:r>
      <w:r w:rsidRPr="00662611">
        <w:t>AASB Interpretation 12, which sets out the accounting requirements for the</w:t>
      </w:r>
      <w:r w:rsidR="00984863">
        <w:t xml:space="preserve"> private sector</w:t>
      </w:r>
      <w:r w:rsidRPr="00662611">
        <w:t xml:space="preserve"> operator in a s</w:t>
      </w:r>
      <w:r w:rsidR="006F010D" w:rsidRPr="00662611">
        <w:t xml:space="preserve">ervice concession arrangement. For example, the </w:t>
      </w:r>
      <w:r w:rsidRPr="00662611">
        <w:t xml:space="preserve">principles for recognition of a </w:t>
      </w:r>
      <w:r w:rsidR="004608CA" w:rsidRPr="00662611">
        <w:t xml:space="preserve">service concession </w:t>
      </w:r>
      <w:r w:rsidRPr="00662611">
        <w:t xml:space="preserve">asset are </w:t>
      </w:r>
      <w:r w:rsidR="002163EF">
        <w:t xml:space="preserve">broadly </w:t>
      </w:r>
      <w:r w:rsidRPr="00662611">
        <w:t xml:space="preserve">consistent with AASB Interpretation 12. However, because this Standard deals with the accounting </w:t>
      </w:r>
      <w:r w:rsidR="00491613" w:rsidRPr="00662611">
        <w:t xml:space="preserve">by </w:t>
      </w:r>
      <w:r w:rsidRPr="00662611">
        <w:t xml:space="preserve">the </w:t>
      </w:r>
      <w:r w:rsidR="00984863">
        <w:t xml:space="preserve">public sector </w:t>
      </w:r>
      <w:r w:rsidRPr="00662611">
        <w:t>grantor, this Standard addresses the issues identified in AASB Interpretation 12 from the grantor’s point of view, as follows:</w:t>
      </w:r>
      <w:bookmarkEnd w:id="44"/>
    </w:p>
    <w:p w14:paraId="7D92722C" w14:textId="2ED95655" w:rsidR="00855D39" w:rsidRPr="00662611" w:rsidRDefault="00F95591" w:rsidP="00F95591">
      <w:pPr>
        <w:pStyle w:val="NumAG2"/>
        <w:ind w:left="1564" w:hanging="782"/>
      </w:pPr>
      <w:r>
        <w:tab/>
      </w:r>
      <w:proofErr w:type="gramStart"/>
      <w:r w:rsidR="00855D39" w:rsidRPr="00662611">
        <w:t>the</w:t>
      </w:r>
      <w:proofErr w:type="gramEnd"/>
      <w:r w:rsidR="00855D39" w:rsidRPr="00662611">
        <w:t xml:space="preserve"> grantor recognises a financial liability when it is obliged to make a </w:t>
      </w:r>
      <w:r w:rsidR="0026143C">
        <w:t xml:space="preserve">payment or </w:t>
      </w:r>
      <w:r w:rsidR="00855D39" w:rsidRPr="00662611">
        <w:t>series of payments to the operator for provision of a service concession asset (ie constructed, developed, acquired or upgraded). Under paragraphs</w:t>
      </w:r>
      <w:r w:rsidR="00EE4937">
        <w:t xml:space="preserve"> 12, 14 and 20</w:t>
      </w:r>
      <w:r w:rsidR="00855D39" w:rsidRPr="00662611">
        <w:t xml:space="preserve"> of AASB Interpretation 12, the operator recognises revenue for the construction, development, acquisition, upgrade and operation services it provides. Under paragraph 16 of AASB Interpretation 12, the operator recognises a financial asset;</w:t>
      </w:r>
    </w:p>
    <w:p w14:paraId="7D92722D" w14:textId="22018548" w:rsidR="00855D39" w:rsidRPr="00662611" w:rsidRDefault="00F95591" w:rsidP="00F95591">
      <w:pPr>
        <w:pStyle w:val="NumAG2"/>
        <w:ind w:left="1564" w:hanging="782"/>
      </w:pPr>
      <w:r>
        <w:tab/>
      </w:r>
      <w:proofErr w:type="gramStart"/>
      <w:r w:rsidR="00855D39" w:rsidRPr="00662611">
        <w:t>the</w:t>
      </w:r>
      <w:proofErr w:type="gramEnd"/>
      <w:r w:rsidR="00855D39" w:rsidRPr="00662611">
        <w:t xml:space="preserve"> grantor recognises a liability when it grants the operator the right to earn revenue from third-party users of the service concession asset or another revenue-generating asset. Under paragraph</w:t>
      </w:r>
      <w:r w:rsidR="00CE455C" w:rsidRPr="00662611">
        <w:t> </w:t>
      </w:r>
      <w:r w:rsidR="00EE4937">
        <w:t>17</w:t>
      </w:r>
      <w:r w:rsidR="00855D39" w:rsidRPr="00662611">
        <w:t xml:space="preserve"> of AASB Interpretation 12, the operator recognises an intangible asset;</w:t>
      </w:r>
      <w:r w:rsidR="00454C0A" w:rsidRPr="00662611">
        <w:t xml:space="preserve"> and</w:t>
      </w:r>
    </w:p>
    <w:p w14:paraId="7D92722E" w14:textId="10839AB8" w:rsidR="00855D39" w:rsidRPr="00662611" w:rsidRDefault="00F95591" w:rsidP="00F95591">
      <w:pPr>
        <w:pStyle w:val="NumAG2"/>
        <w:ind w:left="1564" w:hanging="782"/>
      </w:pPr>
      <w:r>
        <w:tab/>
      </w:r>
      <w:proofErr w:type="gramStart"/>
      <w:r w:rsidR="00855D39" w:rsidRPr="00662611">
        <w:t>the</w:t>
      </w:r>
      <w:proofErr w:type="gramEnd"/>
      <w:r w:rsidR="00855D39" w:rsidRPr="00662611">
        <w:t xml:space="preserve"> grantor derecognises an asset it grants to the operator and over which it no longer has control and reduces the liability recognised under paragraph </w:t>
      </w:r>
      <w:r w:rsidR="00920604">
        <w:fldChar w:fldCharType="begin"/>
      </w:r>
      <w:r w:rsidR="00920604">
        <w:instrText xml:space="preserve"> REF _Ref475620374 \r \h </w:instrText>
      </w:r>
      <w:r w:rsidR="00920604">
        <w:fldChar w:fldCharType="separate"/>
      </w:r>
      <w:r w:rsidR="00C43128">
        <w:t>11</w:t>
      </w:r>
      <w:r w:rsidR="00920604">
        <w:fldChar w:fldCharType="end"/>
      </w:r>
      <w:r w:rsidR="003344C1" w:rsidRPr="00662611">
        <w:t xml:space="preserve"> of this Standard</w:t>
      </w:r>
      <w:r w:rsidR="00855D39" w:rsidRPr="00662611">
        <w:t>. Under paragraph </w:t>
      </w:r>
      <w:r w:rsidR="00EE4937">
        <w:t>27</w:t>
      </w:r>
      <w:r w:rsidR="00855D39" w:rsidRPr="00662611">
        <w:t xml:space="preserve"> of AASB Interpretation 12, the operator</w:t>
      </w:r>
      <w:r w:rsidR="00783192">
        <w:t xml:space="preserve"> accounts for the asset as part of the transaction price if the asset forms part of the consideration payable by the grantor for the services</w:t>
      </w:r>
      <w:r w:rsidR="00855D39" w:rsidRPr="00662611">
        <w:t>.</w:t>
      </w:r>
    </w:p>
    <w:p w14:paraId="2039CCCE" w14:textId="707755B7" w:rsidR="00D20980" w:rsidRPr="003102C2" w:rsidRDefault="008B4EA4" w:rsidP="003102C2">
      <w:pPr>
        <w:pStyle w:val="NumAG1"/>
        <w:ind w:left="784" w:hanging="784"/>
      </w:pPr>
      <w:bookmarkStart w:id="45" w:name="_Ref475619665"/>
      <w:r w:rsidRPr="00662611">
        <w:rPr>
          <w:szCs w:val="19"/>
        </w:rPr>
        <w:t>Paragraph </w:t>
      </w:r>
      <w:r w:rsidRPr="00662611">
        <w:rPr>
          <w:szCs w:val="19"/>
        </w:rPr>
        <w:fldChar w:fldCharType="begin"/>
      </w:r>
      <w:r w:rsidRPr="00662611">
        <w:rPr>
          <w:szCs w:val="19"/>
        </w:rPr>
        <w:instrText xml:space="preserve"> REF _Ref475621189 \r \h </w:instrText>
      </w:r>
      <w:r w:rsidRPr="00662611">
        <w:rPr>
          <w:szCs w:val="19"/>
        </w:rPr>
      </w:r>
      <w:r w:rsidRPr="00662611">
        <w:rPr>
          <w:szCs w:val="19"/>
        </w:rPr>
        <w:fldChar w:fldCharType="separate"/>
      </w:r>
      <w:r w:rsidR="00C43128">
        <w:rPr>
          <w:szCs w:val="19"/>
        </w:rPr>
        <w:t>2</w:t>
      </w:r>
      <w:r w:rsidRPr="00662611">
        <w:rPr>
          <w:szCs w:val="19"/>
        </w:rPr>
        <w:fldChar w:fldCharType="end"/>
      </w:r>
      <w:r w:rsidRPr="00662611">
        <w:rPr>
          <w:szCs w:val="19"/>
        </w:rPr>
        <w:t xml:space="preserve"> of this Standard specifies that an arrangement within the scope of this Standard involves an operator providing a public service related to a service concession asset on behalf of a grantor. </w:t>
      </w:r>
      <w:r w:rsidR="00D20980">
        <w:rPr>
          <w:szCs w:val="19"/>
        </w:rPr>
        <w:t xml:space="preserve">In many jurisdictions, governments have introduced contractual service arrangements to attract private sector participation in the development, financing, operation and maintenance of infrastructure and other assets used to provide public services. The assets may already exist, or may be constructed </w:t>
      </w:r>
      <w:r w:rsidR="004E728C">
        <w:rPr>
          <w:szCs w:val="19"/>
        </w:rPr>
        <w:t xml:space="preserve">or upgraded </w:t>
      </w:r>
      <w:r w:rsidR="00D20980">
        <w:rPr>
          <w:szCs w:val="19"/>
        </w:rPr>
        <w:t>during the period of the service arrangement. An arrangement within the scope of this Standard typically involves an operator constructing the assets used to provide the public service</w:t>
      </w:r>
      <w:r w:rsidR="00920604">
        <w:rPr>
          <w:szCs w:val="19"/>
        </w:rPr>
        <w:t>s</w:t>
      </w:r>
      <w:r w:rsidR="00D20980">
        <w:rPr>
          <w:szCs w:val="19"/>
        </w:rPr>
        <w:t xml:space="preserve"> or upgrading </w:t>
      </w:r>
      <w:r>
        <w:rPr>
          <w:szCs w:val="19"/>
        </w:rPr>
        <w:t>the assets</w:t>
      </w:r>
      <w:r w:rsidR="00D20980">
        <w:rPr>
          <w:szCs w:val="19"/>
        </w:rPr>
        <w:t xml:space="preserve"> (for example, by increasing </w:t>
      </w:r>
      <w:r>
        <w:rPr>
          <w:szCs w:val="19"/>
        </w:rPr>
        <w:t>their</w:t>
      </w:r>
      <w:r w:rsidR="00D20980">
        <w:rPr>
          <w:szCs w:val="19"/>
        </w:rPr>
        <w:t xml:space="preserve"> capacity) </w:t>
      </w:r>
      <w:r>
        <w:rPr>
          <w:szCs w:val="19"/>
        </w:rPr>
        <w:t xml:space="preserve">and operating and maintaining the assets for a specified period of time. </w:t>
      </w:r>
      <w:r w:rsidR="005C161F">
        <w:rPr>
          <w:szCs w:val="19"/>
        </w:rPr>
        <w:t xml:space="preserve">Such arrangements are often described as build-operate-transfer or </w:t>
      </w:r>
      <w:r w:rsidR="005C161F" w:rsidRPr="003102C2">
        <w:t>rehabilitate-operate-transfer service concession arrangements or public-private partnerships (PPPs).</w:t>
      </w:r>
    </w:p>
    <w:p w14:paraId="7D92722F" w14:textId="23230B38" w:rsidR="00E661BD" w:rsidRDefault="006445EF" w:rsidP="003102C2">
      <w:pPr>
        <w:pStyle w:val="NumAG1"/>
        <w:ind w:left="784" w:hanging="784"/>
        <w:rPr>
          <w:szCs w:val="19"/>
        </w:rPr>
      </w:pPr>
      <w:bookmarkStart w:id="46" w:name="_Ref487193199"/>
      <w:r w:rsidRPr="003102C2">
        <w:t xml:space="preserve">Paragraph </w:t>
      </w:r>
      <w:r w:rsidR="00BD3B07" w:rsidRPr="003102C2">
        <w:fldChar w:fldCharType="begin"/>
      </w:r>
      <w:r w:rsidR="00BD3B07" w:rsidRPr="003102C2">
        <w:instrText xml:space="preserve"> REF _Ref475621247 \r \h </w:instrText>
      </w:r>
      <w:r w:rsidR="003102C2">
        <w:instrText xml:space="preserve"> \* MERGEFORMAT </w:instrText>
      </w:r>
      <w:r w:rsidR="00BD3B07" w:rsidRPr="003102C2">
        <w:fldChar w:fldCharType="separate"/>
      </w:r>
      <w:r w:rsidR="00C43128">
        <w:t>3</w:t>
      </w:r>
      <w:r w:rsidR="00BD3B07" w:rsidRPr="003102C2">
        <w:fldChar w:fldCharType="end"/>
      </w:r>
      <w:r w:rsidRPr="003102C2">
        <w:t xml:space="preserve"> of the Standard </w:t>
      </w:r>
      <w:r w:rsidR="006F010D" w:rsidRPr="003102C2">
        <w:t>illustrates</w:t>
      </w:r>
      <w:r w:rsidRPr="003102C2">
        <w:t xml:space="preserve"> the types of arrangements that are outside the scope of this</w:t>
      </w:r>
      <w:r w:rsidRPr="00662611">
        <w:rPr>
          <w:szCs w:val="19"/>
        </w:rPr>
        <w:t xml:space="preserve"> Standard, </w:t>
      </w:r>
      <w:r w:rsidR="00F75C48" w:rsidRPr="00662611">
        <w:rPr>
          <w:szCs w:val="19"/>
        </w:rPr>
        <w:t>such as arrangements</w:t>
      </w:r>
      <w:r w:rsidRPr="00662611">
        <w:rPr>
          <w:szCs w:val="19"/>
        </w:rPr>
        <w:t xml:space="preserve"> that do not deliver </w:t>
      </w:r>
      <w:r w:rsidR="006F010D" w:rsidRPr="00662611">
        <w:rPr>
          <w:szCs w:val="19"/>
        </w:rPr>
        <w:t xml:space="preserve">a </w:t>
      </w:r>
      <w:r w:rsidRPr="00662611">
        <w:rPr>
          <w:szCs w:val="19"/>
        </w:rPr>
        <w:t xml:space="preserve">public service </w:t>
      </w:r>
      <w:r w:rsidR="00A3258D">
        <w:rPr>
          <w:szCs w:val="19"/>
        </w:rPr>
        <w:t>(for example, assets used for commercial purposes), arrangements where the operator does not provide and manage at least some of the public services</w:t>
      </w:r>
      <w:r w:rsidR="00F97212">
        <w:rPr>
          <w:szCs w:val="19"/>
        </w:rPr>
        <w:t xml:space="preserve"> under its own discretion </w:t>
      </w:r>
      <w:r w:rsidR="00A3258D">
        <w:rPr>
          <w:szCs w:val="19"/>
        </w:rPr>
        <w:t xml:space="preserve">(for example, outsourcing service agreements where the public sector entity has control of the asset) </w:t>
      </w:r>
      <w:r w:rsidRPr="00662611">
        <w:rPr>
          <w:szCs w:val="19"/>
        </w:rPr>
        <w:t>and arrangement</w:t>
      </w:r>
      <w:r w:rsidR="00F75C48" w:rsidRPr="00662611">
        <w:rPr>
          <w:szCs w:val="19"/>
        </w:rPr>
        <w:t>s</w:t>
      </w:r>
      <w:r w:rsidRPr="00662611">
        <w:rPr>
          <w:szCs w:val="19"/>
        </w:rPr>
        <w:t xml:space="preserve"> that involve service and management components where the asset is not controlled by the grantor</w:t>
      </w:r>
      <w:r w:rsidR="00F97212">
        <w:rPr>
          <w:szCs w:val="19"/>
        </w:rPr>
        <w:t xml:space="preserve"> (for example, privatised assets that are subject to price regulation)</w:t>
      </w:r>
      <w:r w:rsidRPr="00662611">
        <w:rPr>
          <w:szCs w:val="19"/>
        </w:rPr>
        <w:t>.</w:t>
      </w:r>
      <w:bookmarkEnd w:id="45"/>
      <w:bookmarkEnd w:id="46"/>
    </w:p>
    <w:p w14:paraId="7D927230" w14:textId="77777777" w:rsidR="001870D4" w:rsidRPr="00662611" w:rsidRDefault="001870D4" w:rsidP="00EE45A4">
      <w:pPr>
        <w:pStyle w:val="IASBSectionTitle1NonInd"/>
        <w:outlineLvl w:val="1"/>
      </w:pPr>
      <w:r w:rsidRPr="00662611">
        <w:t>Definitions (Appendix A)</w:t>
      </w:r>
    </w:p>
    <w:p w14:paraId="7D927231" w14:textId="77777777" w:rsidR="009A78DC" w:rsidRPr="00662611" w:rsidRDefault="009A78DC" w:rsidP="00EE45A4">
      <w:pPr>
        <w:pStyle w:val="IASBSectionTitle2Ind"/>
        <w:outlineLvl w:val="2"/>
      </w:pPr>
      <w:r w:rsidRPr="00662611">
        <w:t>Public service</w:t>
      </w:r>
    </w:p>
    <w:p w14:paraId="7D927232" w14:textId="298AF2BA" w:rsidR="001870D4" w:rsidRPr="00662611" w:rsidRDefault="001870D4" w:rsidP="003102C2">
      <w:pPr>
        <w:pStyle w:val="NumAG1"/>
        <w:ind w:left="784" w:hanging="784"/>
        <w:rPr>
          <w:szCs w:val="19"/>
        </w:rPr>
      </w:pPr>
      <w:bookmarkStart w:id="47" w:name="_Ref475621021"/>
      <w:r w:rsidRPr="00662611">
        <w:rPr>
          <w:szCs w:val="19"/>
        </w:rPr>
        <w:t>Appendix A defines a service concession arrangement. A feature of a service concession arrangement is the public service nature of the obligation to be undertaken by the operator in a commercial transaction. The public service</w:t>
      </w:r>
      <w:r w:rsidR="008337FF" w:rsidRPr="00662611">
        <w:rPr>
          <w:szCs w:val="19"/>
        </w:rPr>
        <w:t xml:space="preserve"> nature of the </w:t>
      </w:r>
      <w:r w:rsidR="00222AC9" w:rsidRPr="00662611">
        <w:rPr>
          <w:szCs w:val="19"/>
        </w:rPr>
        <w:t>services</w:t>
      </w:r>
      <w:r w:rsidRPr="00662611">
        <w:rPr>
          <w:szCs w:val="19"/>
        </w:rPr>
        <w:t xml:space="preserve"> to be provided </w:t>
      </w:r>
      <w:r w:rsidR="0065488E" w:rsidRPr="00662611">
        <w:rPr>
          <w:szCs w:val="19"/>
        </w:rPr>
        <w:t xml:space="preserve">using </w:t>
      </w:r>
      <w:r w:rsidRPr="00662611">
        <w:rPr>
          <w:szCs w:val="19"/>
        </w:rPr>
        <w:t xml:space="preserve">the service concession asset is </w:t>
      </w:r>
      <w:r w:rsidR="008873D1" w:rsidRPr="00662611">
        <w:rPr>
          <w:szCs w:val="19"/>
        </w:rPr>
        <w:t xml:space="preserve">assessed </w:t>
      </w:r>
      <w:r w:rsidRPr="00662611">
        <w:rPr>
          <w:szCs w:val="19"/>
        </w:rPr>
        <w:t xml:space="preserve">irrespective of the identity of the party that operates the services. </w:t>
      </w:r>
      <w:r w:rsidR="00A75D9E" w:rsidRPr="00662611">
        <w:rPr>
          <w:szCs w:val="19"/>
        </w:rPr>
        <w:t>A</w:t>
      </w:r>
      <w:r w:rsidR="008873D1" w:rsidRPr="00662611">
        <w:rPr>
          <w:szCs w:val="19"/>
        </w:rPr>
        <w:t xml:space="preserve"> </w:t>
      </w:r>
      <w:r w:rsidRPr="00662611">
        <w:rPr>
          <w:szCs w:val="19"/>
        </w:rPr>
        <w:t xml:space="preserve">service concession arrangement contractually obliges the operator to provide </w:t>
      </w:r>
      <w:r w:rsidR="00A75D9E" w:rsidRPr="00662611">
        <w:rPr>
          <w:szCs w:val="19"/>
        </w:rPr>
        <w:t xml:space="preserve">some, if not all, </w:t>
      </w:r>
      <w:r w:rsidR="008873D1" w:rsidRPr="00662611">
        <w:rPr>
          <w:szCs w:val="19"/>
        </w:rPr>
        <w:t xml:space="preserve">of </w:t>
      </w:r>
      <w:r w:rsidRPr="00662611">
        <w:rPr>
          <w:szCs w:val="19"/>
        </w:rPr>
        <w:t>the services to the public on behalf of the public sector entity. Other common features of a service concession arrangement within the scope of this Standard are:</w:t>
      </w:r>
      <w:bookmarkEnd w:id="47"/>
    </w:p>
    <w:p w14:paraId="7D927233" w14:textId="250E8405" w:rsidR="001870D4" w:rsidRPr="00662611" w:rsidRDefault="00F95591" w:rsidP="00F95591">
      <w:pPr>
        <w:pStyle w:val="NumAG2"/>
        <w:ind w:left="1564" w:hanging="782"/>
      </w:pPr>
      <w:r>
        <w:tab/>
      </w:r>
      <w:r w:rsidR="001870D4" w:rsidRPr="00662611">
        <w:t>the grantor is a public sector entity;</w:t>
      </w:r>
    </w:p>
    <w:p w14:paraId="7D927234" w14:textId="3956CB9A" w:rsidR="001870D4" w:rsidRPr="00662611" w:rsidRDefault="00F95591" w:rsidP="00F95591">
      <w:pPr>
        <w:pStyle w:val="NumAG2"/>
        <w:ind w:left="1564" w:hanging="782"/>
      </w:pPr>
      <w:r>
        <w:lastRenderedPageBreak/>
        <w:tab/>
      </w:r>
      <w:r w:rsidR="001870D4" w:rsidRPr="00662611">
        <w:t xml:space="preserve">the operator is responsible for at least some of the management of the service concession asset and related services and does not merely act as an agent </w:t>
      </w:r>
      <w:r w:rsidR="00380DA8">
        <w:t xml:space="preserve">on behalf </w:t>
      </w:r>
      <w:r w:rsidR="001870D4" w:rsidRPr="00662611">
        <w:t>of the grantor;</w:t>
      </w:r>
    </w:p>
    <w:p w14:paraId="7D927235" w14:textId="06FD2E58" w:rsidR="001870D4" w:rsidRPr="00662611" w:rsidRDefault="00F95591" w:rsidP="00F95591">
      <w:pPr>
        <w:pStyle w:val="NumAG2"/>
        <w:ind w:left="1564" w:hanging="782"/>
      </w:pPr>
      <w:r>
        <w:tab/>
      </w:r>
      <w:r w:rsidR="001870D4" w:rsidRPr="00662611">
        <w:t xml:space="preserve">the arrangement sets </w:t>
      </w:r>
      <w:r w:rsidR="00514689" w:rsidRPr="00662611">
        <w:t xml:space="preserve">or limits </w:t>
      </w:r>
      <w:r w:rsidR="001870D4" w:rsidRPr="00662611">
        <w:t>the initial prices to be levied by the operator and regulates price revisions over the period of the service concession arrangement;</w:t>
      </w:r>
    </w:p>
    <w:p w14:paraId="7D927236" w14:textId="37BF81A0" w:rsidR="001870D4" w:rsidRPr="00662611" w:rsidRDefault="00F95591" w:rsidP="00F95591">
      <w:pPr>
        <w:pStyle w:val="NumAG2"/>
        <w:ind w:left="1564" w:hanging="782"/>
      </w:pPr>
      <w:r>
        <w:tab/>
      </w:r>
      <w:r w:rsidR="001870D4" w:rsidRPr="00662611">
        <w:t>the operator is obliged to hand over the service concession asset to the grantor in a specified condition at the end of the period of the arrangement, for little or no incremental consideration, irrespective of which party initially financed it; and</w:t>
      </w:r>
    </w:p>
    <w:p w14:paraId="7D927237" w14:textId="126EBDEE" w:rsidR="001870D4" w:rsidRPr="00662611" w:rsidRDefault="00F95591" w:rsidP="00F95591">
      <w:pPr>
        <w:pStyle w:val="NumAG2"/>
        <w:ind w:left="1564" w:hanging="782"/>
      </w:pPr>
      <w:r>
        <w:tab/>
      </w:r>
      <w:proofErr w:type="gramStart"/>
      <w:r w:rsidR="001870D4" w:rsidRPr="00662611">
        <w:t>the</w:t>
      </w:r>
      <w:proofErr w:type="gramEnd"/>
      <w:r w:rsidR="001870D4" w:rsidRPr="00662611">
        <w:t xml:space="preserve"> arrangement is governed by a contract that sets out performance standards, mechanisms for adjusting prices, and arrangements for arbitrating disputes.</w:t>
      </w:r>
    </w:p>
    <w:p w14:paraId="7D927238" w14:textId="14674A8D" w:rsidR="000E2681" w:rsidRDefault="00C2799E" w:rsidP="003102C2">
      <w:pPr>
        <w:pStyle w:val="NumAG1"/>
        <w:ind w:left="784" w:hanging="784"/>
        <w:rPr>
          <w:szCs w:val="19"/>
        </w:rPr>
      </w:pPr>
      <w:r w:rsidRPr="00662611">
        <w:rPr>
          <w:szCs w:val="19"/>
        </w:rPr>
        <w:t xml:space="preserve">Appendix A defines a service concession asset. Examples of service concession assets </w:t>
      </w:r>
      <w:r w:rsidR="001432D9" w:rsidRPr="00662611">
        <w:rPr>
          <w:szCs w:val="19"/>
        </w:rPr>
        <w:t>include</w:t>
      </w:r>
      <w:r w:rsidRPr="00662611">
        <w:rPr>
          <w:szCs w:val="19"/>
        </w:rPr>
        <w:t xml:space="preserve"> roads</w:t>
      </w:r>
      <w:r w:rsidR="00984863">
        <w:rPr>
          <w:szCs w:val="19"/>
        </w:rPr>
        <w:t xml:space="preserve"> (and land under roads)</w:t>
      </w:r>
      <w:r w:rsidRPr="00662611">
        <w:rPr>
          <w:szCs w:val="19"/>
        </w:rPr>
        <w:t>, bridges, tunnels, prisons, hospitals, airports, water distribution facilities, energy supply and telecommunication networks, permanent installations for military and other operations,</w:t>
      </w:r>
      <w:r w:rsidR="001B1561" w:rsidRPr="00662611">
        <w:rPr>
          <w:szCs w:val="19"/>
        </w:rPr>
        <w:t xml:space="preserve"> registries and databases,</w:t>
      </w:r>
      <w:r w:rsidRPr="00662611">
        <w:rPr>
          <w:szCs w:val="19"/>
        </w:rPr>
        <w:t xml:space="preserve"> and other tangible or intangible assets that are expected to be used during more than one reporting period in delivering public services.</w:t>
      </w:r>
    </w:p>
    <w:p w14:paraId="4FBD6549" w14:textId="1B7584F6" w:rsidR="007025BE" w:rsidRPr="00662611" w:rsidRDefault="007025BE" w:rsidP="007025BE">
      <w:pPr>
        <w:pStyle w:val="IASBSectionTitle3Ind"/>
        <w:outlineLvl w:val="3"/>
      </w:pPr>
      <w:r>
        <w:t>Asset provides public services</w:t>
      </w:r>
    </w:p>
    <w:p w14:paraId="0443B555" w14:textId="27D5491A" w:rsidR="005F2FCB" w:rsidRDefault="004F29B8" w:rsidP="003102C2">
      <w:pPr>
        <w:pStyle w:val="NumAG1"/>
        <w:ind w:left="784" w:hanging="784"/>
        <w:rPr>
          <w:szCs w:val="19"/>
        </w:rPr>
      </w:pPr>
      <w:bookmarkStart w:id="48" w:name="_Ref486489575"/>
      <w:bookmarkStart w:id="49" w:name="_Ref486597229"/>
      <w:bookmarkStart w:id="50" w:name="_Ref486146042"/>
      <w:bookmarkStart w:id="51" w:name="_Ref484634666"/>
      <w:r w:rsidRPr="00662611">
        <w:rPr>
          <w:szCs w:val="19"/>
        </w:rPr>
        <w:t xml:space="preserve">Assessing whether an </w:t>
      </w:r>
      <w:r w:rsidR="007621DE" w:rsidRPr="00662611">
        <w:rPr>
          <w:szCs w:val="19"/>
        </w:rPr>
        <w:t>asset provide</w:t>
      </w:r>
      <w:r w:rsidR="007025BE">
        <w:rPr>
          <w:szCs w:val="19"/>
        </w:rPr>
        <w:t>s</w:t>
      </w:r>
      <w:r w:rsidR="007621DE" w:rsidRPr="00662611">
        <w:rPr>
          <w:szCs w:val="19"/>
        </w:rPr>
        <w:t xml:space="preserve"> public services </w:t>
      </w:r>
      <w:r w:rsidRPr="00662611">
        <w:rPr>
          <w:szCs w:val="19"/>
        </w:rPr>
        <w:t xml:space="preserve">requires judgement, taking into account the </w:t>
      </w:r>
      <w:r w:rsidR="00EA3919">
        <w:rPr>
          <w:szCs w:val="19"/>
        </w:rPr>
        <w:t xml:space="preserve">nature and </w:t>
      </w:r>
      <w:r w:rsidR="007025BE">
        <w:rPr>
          <w:szCs w:val="19"/>
        </w:rPr>
        <w:t xml:space="preserve">relative </w:t>
      </w:r>
      <w:r w:rsidR="00EA3919">
        <w:rPr>
          <w:szCs w:val="19"/>
        </w:rPr>
        <w:t xml:space="preserve">significance of each component and </w:t>
      </w:r>
      <w:r w:rsidR="007025BE">
        <w:rPr>
          <w:szCs w:val="19"/>
        </w:rPr>
        <w:t>the</w:t>
      </w:r>
      <w:r w:rsidR="00EA3919">
        <w:rPr>
          <w:szCs w:val="19"/>
        </w:rPr>
        <w:t xml:space="preserve"> services </w:t>
      </w:r>
      <w:r w:rsidR="007025BE">
        <w:rPr>
          <w:szCs w:val="19"/>
        </w:rPr>
        <w:t>provided</w:t>
      </w:r>
      <w:r w:rsidRPr="00662611">
        <w:rPr>
          <w:szCs w:val="19"/>
        </w:rPr>
        <w:t>. For example, a courthouse</w:t>
      </w:r>
      <w:r w:rsidR="004D7B56" w:rsidRPr="00662611">
        <w:rPr>
          <w:szCs w:val="19"/>
        </w:rPr>
        <w:t xml:space="preserve"> </w:t>
      </w:r>
      <w:r w:rsidRPr="00662611">
        <w:rPr>
          <w:szCs w:val="19"/>
        </w:rPr>
        <w:t>building</w:t>
      </w:r>
      <w:r w:rsidR="009B16BE">
        <w:rPr>
          <w:szCs w:val="19"/>
        </w:rPr>
        <w:t xml:space="preserve"> </w:t>
      </w:r>
      <w:r w:rsidR="00A25E75">
        <w:rPr>
          <w:szCs w:val="19"/>
        </w:rPr>
        <w:t>provides multiple services, such as</w:t>
      </w:r>
      <w:r w:rsidRPr="00662611">
        <w:rPr>
          <w:szCs w:val="19"/>
        </w:rPr>
        <w:t xml:space="preserve"> </w:t>
      </w:r>
      <w:r w:rsidR="00B926B6">
        <w:rPr>
          <w:szCs w:val="19"/>
        </w:rPr>
        <w:t xml:space="preserve">courts, </w:t>
      </w:r>
      <w:r w:rsidRPr="00662611">
        <w:rPr>
          <w:szCs w:val="19"/>
        </w:rPr>
        <w:t xml:space="preserve">administrative offices </w:t>
      </w:r>
      <w:r w:rsidR="006719EB" w:rsidRPr="00662611">
        <w:rPr>
          <w:szCs w:val="19"/>
        </w:rPr>
        <w:t>and associated services</w:t>
      </w:r>
      <w:r w:rsidR="00EA3919">
        <w:rPr>
          <w:szCs w:val="19"/>
        </w:rPr>
        <w:t>. However, the primary</w:t>
      </w:r>
      <w:r w:rsidR="00EA3919" w:rsidRPr="00662611">
        <w:rPr>
          <w:szCs w:val="19"/>
        </w:rPr>
        <w:t xml:space="preserve"> purpose of the building is to provide court services</w:t>
      </w:r>
      <w:r w:rsidR="00EA3919">
        <w:rPr>
          <w:szCs w:val="19"/>
        </w:rPr>
        <w:t xml:space="preserve">, </w:t>
      </w:r>
      <w:r w:rsidR="00A25E75">
        <w:rPr>
          <w:szCs w:val="19"/>
        </w:rPr>
        <w:t>which are</w:t>
      </w:r>
      <w:r w:rsidR="006719EB" w:rsidRPr="00662611">
        <w:rPr>
          <w:szCs w:val="19"/>
        </w:rPr>
        <w:t xml:space="preserve"> </w:t>
      </w:r>
      <w:r w:rsidRPr="00662611">
        <w:rPr>
          <w:szCs w:val="19"/>
        </w:rPr>
        <w:t xml:space="preserve">considered to </w:t>
      </w:r>
      <w:r w:rsidR="00A25E75">
        <w:rPr>
          <w:szCs w:val="19"/>
        </w:rPr>
        <w:t xml:space="preserve">be </w:t>
      </w:r>
      <w:r w:rsidRPr="00662611">
        <w:rPr>
          <w:szCs w:val="19"/>
        </w:rPr>
        <w:t xml:space="preserve">public services. The court services are necessary or essential to the general public and </w:t>
      </w:r>
      <w:r w:rsidR="004900FF" w:rsidRPr="00662611">
        <w:rPr>
          <w:szCs w:val="19"/>
        </w:rPr>
        <w:t xml:space="preserve">are </w:t>
      </w:r>
      <w:r w:rsidR="0070145F" w:rsidRPr="00662611">
        <w:rPr>
          <w:szCs w:val="19"/>
        </w:rPr>
        <w:t>generally expected to be</w:t>
      </w:r>
      <w:r w:rsidR="004900FF" w:rsidRPr="00662611">
        <w:rPr>
          <w:szCs w:val="19"/>
        </w:rPr>
        <w:t xml:space="preserve"> </w:t>
      </w:r>
      <w:r w:rsidRPr="00662611">
        <w:rPr>
          <w:szCs w:val="19"/>
        </w:rPr>
        <w:t xml:space="preserve">provided by a public sector entity in accordance with government policy or regulation. The court services are accessible to the public, even if it is a subset of the community that uses the services. The services provided by the administrative offices may be </w:t>
      </w:r>
      <w:r w:rsidR="00B926B6">
        <w:rPr>
          <w:szCs w:val="19"/>
        </w:rPr>
        <w:t xml:space="preserve">unrelated to the court services and therefore </w:t>
      </w:r>
      <w:r w:rsidRPr="00662611">
        <w:rPr>
          <w:szCs w:val="19"/>
        </w:rPr>
        <w:t xml:space="preserve">considered ancillary if </w:t>
      </w:r>
      <w:r w:rsidR="00B926B6">
        <w:rPr>
          <w:szCs w:val="19"/>
        </w:rPr>
        <w:t xml:space="preserve">they </w:t>
      </w:r>
      <w:r w:rsidRPr="00662611">
        <w:rPr>
          <w:szCs w:val="19"/>
        </w:rPr>
        <w:t xml:space="preserve">are insignificant to the arrangement as a whole, and </w:t>
      </w:r>
      <w:r w:rsidR="00A330D1" w:rsidRPr="00662611">
        <w:rPr>
          <w:szCs w:val="19"/>
        </w:rPr>
        <w:t xml:space="preserve">in that case </w:t>
      </w:r>
      <w:r w:rsidRPr="00662611">
        <w:rPr>
          <w:szCs w:val="19"/>
        </w:rPr>
        <w:t>would not affect the assessment that the bu</w:t>
      </w:r>
      <w:r w:rsidR="00A330D1" w:rsidRPr="00662611">
        <w:rPr>
          <w:szCs w:val="19"/>
        </w:rPr>
        <w:t xml:space="preserve">ilding provides public services. </w:t>
      </w:r>
      <w:r w:rsidR="00B926B6">
        <w:rPr>
          <w:szCs w:val="19"/>
        </w:rPr>
        <w:t>However, if the unrelated administrative services were significant to the arrangement as a whole, the courthouse building might be assessed as not providing public services.</w:t>
      </w:r>
      <w:bookmarkEnd w:id="48"/>
      <w:r w:rsidR="005A53A6">
        <w:rPr>
          <w:szCs w:val="19"/>
        </w:rPr>
        <w:t xml:space="preserve"> </w:t>
      </w:r>
      <w:bookmarkEnd w:id="49"/>
    </w:p>
    <w:p w14:paraId="7D92723B" w14:textId="54EED261" w:rsidR="00910F7C" w:rsidRDefault="005F2FCB" w:rsidP="003102C2">
      <w:pPr>
        <w:pStyle w:val="NumAG1"/>
        <w:ind w:left="784" w:hanging="784"/>
        <w:rPr>
          <w:szCs w:val="19"/>
        </w:rPr>
      </w:pPr>
      <w:bookmarkStart w:id="52" w:name="_Ref487194304"/>
      <w:bookmarkEnd w:id="50"/>
      <w:bookmarkEnd w:id="51"/>
      <w:r>
        <w:rPr>
          <w:szCs w:val="19"/>
        </w:rPr>
        <w:t>If an arrangement provides public services principally through a primary asset, and a secondary asset is used or is mainly used to complement the primary asset</w:t>
      </w:r>
      <w:r w:rsidR="006719EB" w:rsidRPr="00662611">
        <w:rPr>
          <w:szCs w:val="19"/>
        </w:rPr>
        <w:t xml:space="preserve">, such as student accommodation for a public university, the </w:t>
      </w:r>
      <w:r w:rsidR="000E51AA">
        <w:rPr>
          <w:szCs w:val="19"/>
        </w:rPr>
        <w:t>secondary</w:t>
      </w:r>
      <w:r w:rsidR="000E51AA" w:rsidRPr="00662611">
        <w:rPr>
          <w:szCs w:val="19"/>
        </w:rPr>
        <w:t xml:space="preserve"> </w:t>
      </w:r>
      <w:r w:rsidR="006719EB" w:rsidRPr="00662611">
        <w:rPr>
          <w:szCs w:val="19"/>
        </w:rPr>
        <w:t xml:space="preserve">asset would be regarded as providing public services as well. As another </w:t>
      </w:r>
      <w:r w:rsidR="00910F7C" w:rsidRPr="00662611">
        <w:rPr>
          <w:szCs w:val="19"/>
        </w:rPr>
        <w:t xml:space="preserve">example, a hospital car park constructed by an operator as part of the arrangement to construct </w:t>
      </w:r>
      <w:r w:rsidR="003F68CC" w:rsidRPr="00662611">
        <w:rPr>
          <w:szCs w:val="19"/>
        </w:rPr>
        <w:t>a hospital</w:t>
      </w:r>
      <w:r w:rsidR="00910F7C" w:rsidRPr="00662611">
        <w:rPr>
          <w:szCs w:val="19"/>
        </w:rPr>
        <w:t xml:space="preserve"> </w:t>
      </w:r>
      <w:r w:rsidR="00296E15" w:rsidRPr="00662611">
        <w:rPr>
          <w:szCs w:val="19"/>
        </w:rPr>
        <w:t xml:space="preserve">that </w:t>
      </w:r>
      <w:r w:rsidR="006719EB" w:rsidRPr="00662611">
        <w:rPr>
          <w:szCs w:val="19"/>
        </w:rPr>
        <w:t xml:space="preserve">largely </w:t>
      </w:r>
      <w:r w:rsidR="00296E15" w:rsidRPr="00662611">
        <w:rPr>
          <w:szCs w:val="19"/>
        </w:rPr>
        <w:t xml:space="preserve">provides public services </w:t>
      </w:r>
      <w:r w:rsidR="00910F7C" w:rsidRPr="00662611">
        <w:rPr>
          <w:szCs w:val="19"/>
        </w:rPr>
        <w:t xml:space="preserve">would be considered part of the hospital service concession </w:t>
      </w:r>
      <w:r w:rsidR="007027B4" w:rsidRPr="00662611">
        <w:rPr>
          <w:szCs w:val="19"/>
        </w:rPr>
        <w:t>arrangement</w:t>
      </w:r>
      <w:r w:rsidR="00910F7C" w:rsidRPr="00662611">
        <w:rPr>
          <w:szCs w:val="19"/>
        </w:rPr>
        <w:t xml:space="preserve">. </w:t>
      </w:r>
      <w:r w:rsidR="00363344" w:rsidRPr="00662611">
        <w:rPr>
          <w:szCs w:val="19"/>
        </w:rPr>
        <w:t>T</w:t>
      </w:r>
      <w:r w:rsidR="00910F7C" w:rsidRPr="00662611">
        <w:rPr>
          <w:szCs w:val="19"/>
        </w:rPr>
        <w:t xml:space="preserve">he car park </w:t>
      </w:r>
      <w:r w:rsidR="00D87706" w:rsidRPr="00662611">
        <w:rPr>
          <w:szCs w:val="19"/>
        </w:rPr>
        <w:t xml:space="preserve">may </w:t>
      </w:r>
      <w:r w:rsidR="00071F82" w:rsidRPr="00662611">
        <w:rPr>
          <w:szCs w:val="19"/>
        </w:rPr>
        <w:t xml:space="preserve">provide </w:t>
      </w:r>
      <w:r w:rsidR="006719EB" w:rsidRPr="00662611">
        <w:rPr>
          <w:szCs w:val="19"/>
        </w:rPr>
        <w:t xml:space="preserve">limited </w:t>
      </w:r>
      <w:r w:rsidR="00071F82" w:rsidRPr="00662611">
        <w:rPr>
          <w:szCs w:val="19"/>
        </w:rPr>
        <w:t>ancillary services</w:t>
      </w:r>
      <w:r w:rsidR="006719EB" w:rsidRPr="00662611">
        <w:rPr>
          <w:szCs w:val="19"/>
        </w:rPr>
        <w:t xml:space="preserve"> without affecting the assessment that the car park is used to provide public services</w:t>
      </w:r>
      <w:r w:rsidR="00071F82" w:rsidRPr="00662611">
        <w:rPr>
          <w:szCs w:val="19"/>
        </w:rPr>
        <w:t xml:space="preserve">. However, if the car park was </w:t>
      </w:r>
      <w:r w:rsidR="00285C48" w:rsidRPr="00662611">
        <w:rPr>
          <w:szCs w:val="19"/>
        </w:rPr>
        <w:t xml:space="preserve">not </w:t>
      </w:r>
      <w:r w:rsidR="00071F82" w:rsidRPr="00662611">
        <w:rPr>
          <w:szCs w:val="19"/>
        </w:rPr>
        <w:t xml:space="preserve">constructed </w:t>
      </w:r>
      <w:r w:rsidR="00285C48" w:rsidRPr="00662611">
        <w:rPr>
          <w:szCs w:val="19"/>
        </w:rPr>
        <w:t>as part</w:t>
      </w:r>
      <w:r w:rsidR="00071F82" w:rsidRPr="00662611">
        <w:rPr>
          <w:szCs w:val="19"/>
        </w:rPr>
        <w:t xml:space="preserve"> of the hospital service concession arrangement</w:t>
      </w:r>
      <w:r w:rsidR="0008375F" w:rsidRPr="00662611">
        <w:rPr>
          <w:szCs w:val="19"/>
        </w:rPr>
        <w:t xml:space="preserve"> (eg subsequent to the construction of the hospital or with a different</w:t>
      </w:r>
      <w:r w:rsidR="00973E5A">
        <w:rPr>
          <w:szCs w:val="19"/>
        </w:rPr>
        <w:t xml:space="preserve"> party</w:t>
      </w:r>
      <w:r w:rsidR="0008375F" w:rsidRPr="00662611">
        <w:rPr>
          <w:szCs w:val="19"/>
        </w:rPr>
        <w:t>)</w:t>
      </w:r>
      <w:r w:rsidR="00296E15" w:rsidRPr="00662611">
        <w:rPr>
          <w:szCs w:val="19"/>
        </w:rPr>
        <w:t xml:space="preserve"> and </w:t>
      </w:r>
      <w:r w:rsidR="009249B7" w:rsidRPr="00662611">
        <w:rPr>
          <w:szCs w:val="19"/>
        </w:rPr>
        <w:t>is largely o</w:t>
      </w:r>
      <w:r w:rsidR="00296E15" w:rsidRPr="00662611">
        <w:rPr>
          <w:szCs w:val="19"/>
        </w:rPr>
        <w:t xml:space="preserve">f a commercial nature </w:t>
      </w:r>
      <w:r w:rsidR="009249B7" w:rsidRPr="00662611">
        <w:rPr>
          <w:szCs w:val="19"/>
        </w:rPr>
        <w:t>(</w:t>
      </w:r>
      <w:r w:rsidR="008B7111" w:rsidRPr="00662611">
        <w:rPr>
          <w:szCs w:val="19"/>
        </w:rPr>
        <w:t>eg car park</w:t>
      </w:r>
      <w:r w:rsidR="000338EA" w:rsidRPr="00662611">
        <w:rPr>
          <w:szCs w:val="19"/>
        </w:rPr>
        <w:t>ing is</w:t>
      </w:r>
      <w:r w:rsidR="000C0F54" w:rsidRPr="00662611">
        <w:rPr>
          <w:szCs w:val="19"/>
        </w:rPr>
        <w:t xml:space="preserve"> available to</w:t>
      </w:r>
      <w:r w:rsidR="00973E5A">
        <w:rPr>
          <w:szCs w:val="19"/>
        </w:rPr>
        <w:t xml:space="preserve"> the general public</w:t>
      </w:r>
      <w:r w:rsidR="000338EA" w:rsidRPr="00662611">
        <w:rPr>
          <w:szCs w:val="19"/>
        </w:rPr>
        <w:t>,</w:t>
      </w:r>
      <w:r w:rsidR="008B7111" w:rsidRPr="00662611">
        <w:rPr>
          <w:szCs w:val="19"/>
        </w:rPr>
        <w:t xml:space="preserve"> including hospital patrons)</w:t>
      </w:r>
      <w:r w:rsidR="000338EA" w:rsidRPr="00662611">
        <w:rPr>
          <w:szCs w:val="19"/>
        </w:rPr>
        <w:t xml:space="preserve">, the car park </w:t>
      </w:r>
      <w:r w:rsidR="000733DE" w:rsidRPr="00662611">
        <w:rPr>
          <w:szCs w:val="19"/>
        </w:rPr>
        <w:t xml:space="preserve">would be </w:t>
      </w:r>
      <w:r w:rsidR="000338EA" w:rsidRPr="00662611">
        <w:rPr>
          <w:szCs w:val="19"/>
        </w:rPr>
        <w:t xml:space="preserve">regarded </w:t>
      </w:r>
      <w:r w:rsidR="003A0EAC" w:rsidRPr="00662611">
        <w:rPr>
          <w:szCs w:val="19"/>
        </w:rPr>
        <w:t>as</w:t>
      </w:r>
      <w:r w:rsidR="000733DE" w:rsidRPr="00662611">
        <w:rPr>
          <w:szCs w:val="19"/>
        </w:rPr>
        <w:t xml:space="preserve"> an asset that d</w:t>
      </w:r>
      <w:r w:rsidR="00296E15" w:rsidRPr="00662611">
        <w:rPr>
          <w:szCs w:val="19"/>
        </w:rPr>
        <w:t>oes not provide public service</w:t>
      </w:r>
      <w:r w:rsidR="000733DE" w:rsidRPr="00662611">
        <w:rPr>
          <w:szCs w:val="19"/>
        </w:rPr>
        <w:t>s</w:t>
      </w:r>
      <w:r w:rsidR="000338EA" w:rsidRPr="00662611">
        <w:rPr>
          <w:szCs w:val="19"/>
        </w:rPr>
        <w:t>,</w:t>
      </w:r>
      <w:r w:rsidR="00296E15" w:rsidRPr="00662611">
        <w:rPr>
          <w:szCs w:val="19"/>
        </w:rPr>
        <w:t xml:space="preserve"> </w:t>
      </w:r>
      <w:r w:rsidR="00362493" w:rsidRPr="00662611">
        <w:rPr>
          <w:szCs w:val="19"/>
        </w:rPr>
        <w:t>and therefore outside</w:t>
      </w:r>
      <w:r w:rsidR="00296E15" w:rsidRPr="00662611">
        <w:rPr>
          <w:szCs w:val="19"/>
        </w:rPr>
        <w:t xml:space="preserve"> the scope of </w:t>
      </w:r>
      <w:r w:rsidR="00362493" w:rsidRPr="00662611">
        <w:rPr>
          <w:szCs w:val="19"/>
        </w:rPr>
        <w:t>this Standard</w:t>
      </w:r>
      <w:r w:rsidR="0006676B" w:rsidRPr="00662611">
        <w:rPr>
          <w:szCs w:val="19"/>
        </w:rPr>
        <w:t>.</w:t>
      </w:r>
      <w:bookmarkEnd w:id="52"/>
    </w:p>
    <w:p w14:paraId="47B63634" w14:textId="51970E97" w:rsidR="00BD4489" w:rsidRDefault="00BD4489" w:rsidP="003102C2">
      <w:pPr>
        <w:pStyle w:val="NumAG1"/>
        <w:ind w:left="784" w:hanging="784"/>
        <w:rPr>
          <w:szCs w:val="19"/>
        </w:rPr>
      </w:pPr>
      <w:r>
        <w:rPr>
          <w:szCs w:val="19"/>
        </w:rPr>
        <w:t>W</w:t>
      </w:r>
      <w:r w:rsidRPr="00662611">
        <w:rPr>
          <w:szCs w:val="19"/>
        </w:rPr>
        <w:t xml:space="preserve">here the services provided by </w:t>
      </w:r>
      <w:r>
        <w:rPr>
          <w:szCs w:val="19"/>
        </w:rPr>
        <w:t>an</w:t>
      </w:r>
      <w:r w:rsidRPr="00662611">
        <w:rPr>
          <w:szCs w:val="19"/>
        </w:rPr>
        <w:t xml:space="preserve"> asset are used wholly</w:t>
      </w:r>
      <w:r>
        <w:rPr>
          <w:szCs w:val="19"/>
        </w:rPr>
        <w:t xml:space="preserve"> internally by a public sector </w:t>
      </w:r>
      <w:r w:rsidRPr="00662611">
        <w:rPr>
          <w:szCs w:val="19"/>
        </w:rPr>
        <w:t>entity for the purpose of assisting the public sector</w:t>
      </w:r>
      <w:r>
        <w:rPr>
          <w:szCs w:val="19"/>
        </w:rPr>
        <w:t xml:space="preserve"> entity</w:t>
      </w:r>
      <w:r w:rsidRPr="00662611">
        <w:rPr>
          <w:szCs w:val="19"/>
        </w:rPr>
        <w:t xml:space="preserve"> to deliver </w:t>
      </w:r>
      <w:r>
        <w:rPr>
          <w:szCs w:val="19"/>
        </w:rPr>
        <w:t xml:space="preserve">public </w:t>
      </w:r>
      <w:r w:rsidRPr="00662611">
        <w:rPr>
          <w:szCs w:val="19"/>
        </w:rPr>
        <w:t xml:space="preserve">services, </w:t>
      </w:r>
      <w:r>
        <w:rPr>
          <w:szCs w:val="19"/>
        </w:rPr>
        <w:t xml:space="preserve">but managed by an external party, </w:t>
      </w:r>
      <w:r w:rsidRPr="00662611">
        <w:rPr>
          <w:szCs w:val="19"/>
        </w:rPr>
        <w:t>the arrangement is likely to be an outsourcing arrangement or a lease, rather than a service concession arrangement.</w:t>
      </w:r>
      <w:r>
        <w:rPr>
          <w:szCs w:val="19"/>
        </w:rPr>
        <w:t xml:space="preserve"> For example, the provision of information technology services to a government department providing emergency services to the public is likely to be an outsourcing contract, which may contain a lease of the information technology hardware.</w:t>
      </w:r>
      <w:r w:rsidRPr="00662611">
        <w:rPr>
          <w:szCs w:val="19"/>
        </w:rPr>
        <w:t xml:space="preserve"> The accompanying Implementation Guidance</w:t>
      </w:r>
      <w:r>
        <w:rPr>
          <w:szCs w:val="19"/>
        </w:rPr>
        <w:t xml:space="preserve"> also</w:t>
      </w:r>
      <w:r w:rsidRPr="00662611">
        <w:rPr>
          <w:szCs w:val="19"/>
        </w:rPr>
        <w:t xml:space="preserve"> illustrates common types of arrangements.</w:t>
      </w:r>
    </w:p>
    <w:p w14:paraId="7D92723C" w14:textId="153F4D59" w:rsidR="00B124B4" w:rsidRDefault="00442A76" w:rsidP="003102C2">
      <w:pPr>
        <w:pStyle w:val="NumAG1"/>
        <w:ind w:left="784" w:hanging="784"/>
        <w:rPr>
          <w:szCs w:val="19"/>
        </w:rPr>
      </w:pPr>
      <w:bookmarkStart w:id="53" w:name="_Ref486489611"/>
      <w:r w:rsidRPr="00662611">
        <w:rPr>
          <w:szCs w:val="19"/>
        </w:rPr>
        <w:t xml:space="preserve">For an asset to provide public services, it is not necessary for the public </w:t>
      </w:r>
      <w:r w:rsidR="00336741" w:rsidRPr="00662611">
        <w:rPr>
          <w:szCs w:val="19"/>
        </w:rPr>
        <w:t>to have</w:t>
      </w:r>
      <w:r w:rsidR="00E01E2D" w:rsidRPr="00662611">
        <w:rPr>
          <w:szCs w:val="19"/>
        </w:rPr>
        <w:t xml:space="preserve"> </w:t>
      </w:r>
      <w:r w:rsidRPr="00662611">
        <w:rPr>
          <w:szCs w:val="19"/>
        </w:rPr>
        <w:t xml:space="preserve">physical access to the asset. For example, </w:t>
      </w:r>
      <w:r w:rsidR="005D2504" w:rsidRPr="00662611">
        <w:rPr>
          <w:szCs w:val="19"/>
        </w:rPr>
        <w:t xml:space="preserve">a </w:t>
      </w:r>
      <w:r w:rsidRPr="00662611">
        <w:rPr>
          <w:szCs w:val="19"/>
        </w:rPr>
        <w:t>military base provide</w:t>
      </w:r>
      <w:r w:rsidR="005D2504" w:rsidRPr="00662611">
        <w:rPr>
          <w:szCs w:val="19"/>
        </w:rPr>
        <w:t>s</w:t>
      </w:r>
      <w:r w:rsidRPr="00662611">
        <w:rPr>
          <w:szCs w:val="19"/>
        </w:rPr>
        <w:t xml:space="preserve"> public services</w:t>
      </w:r>
      <w:r w:rsidR="00E01E2D" w:rsidRPr="00662611">
        <w:rPr>
          <w:szCs w:val="19"/>
        </w:rPr>
        <w:t xml:space="preserve"> </w:t>
      </w:r>
      <w:r w:rsidR="00980218">
        <w:rPr>
          <w:szCs w:val="19"/>
        </w:rPr>
        <w:t xml:space="preserve">(defence activities) </w:t>
      </w:r>
      <w:r w:rsidRPr="00662611">
        <w:rPr>
          <w:szCs w:val="19"/>
        </w:rPr>
        <w:t xml:space="preserve">even though the public is unlikely to </w:t>
      </w:r>
      <w:r w:rsidR="005D2504" w:rsidRPr="00662611">
        <w:rPr>
          <w:szCs w:val="19"/>
        </w:rPr>
        <w:t>have physical</w:t>
      </w:r>
      <w:r w:rsidRPr="00662611">
        <w:rPr>
          <w:szCs w:val="19"/>
        </w:rPr>
        <w:t xml:space="preserve"> access</w:t>
      </w:r>
      <w:r w:rsidR="005D2504" w:rsidRPr="00662611">
        <w:rPr>
          <w:szCs w:val="19"/>
        </w:rPr>
        <w:t xml:space="preserve"> to</w:t>
      </w:r>
      <w:r w:rsidRPr="00662611">
        <w:rPr>
          <w:szCs w:val="19"/>
        </w:rPr>
        <w:t xml:space="preserve"> the military base.</w:t>
      </w:r>
      <w:bookmarkEnd w:id="53"/>
    </w:p>
    <w:p w14:paraId="4ED735F7" w14:textId="402E4076" w:rsidR="001C008B" w:rsidRPr="00662611" w:rsidRDefault="001C008B" w:rsidP="001C008B">
      <w:pPr>
        <w:pStyle w:val="IASBSectionTitle3Ind"/>
      </w:pPr>
      <w:r>
        <w:t xml:space="preserve">Operator manages </w:t>
      </w:r>
      <w:r w:rsidR="009344CD">
        <w:t xml:space="preserve">at least some of the </w:t>
      </w:r>
      <w:r>
        <w:t>public services</w:t>
      </w:r>
    </w:p>
    <w:p w14:paraId="3391523F" w14:textId="723FE0F7" w:rsidR="002B787D" w:rsidRPr="001C008B" w:rsidRDefault="002B787D" w:rsidP="003102C2">
      <w:pPr>
        <w:pStyle w:val="NumAG1"/>
        <w:ind w:left="784" w:hanging="784"/>
        <w:rPr>
          <w:szCs w:val="19"/>
        </w:rPr>
      </w:pPr>
      <w:bookmarkStart w:id="54" w:name="_Ref486489833"/>
      <w:bookmarkStart w:id="55" w:name="_Ref486865970"/>
      <w:r w:rsidRPr="00703D4C">
        <w:rPr>
          <w:szCs w:val="19"/>
        </w:rPr>
        <w:t xml:space="preserve">For an arrangement to be within the scope of this Standard, the operator must be responsible for </w:t>
      </w:r>
      <w:r w:rsidR="009344CD">
        <w:rPr>
          <w:szCs w:val="19"/>
        </w:rPr>
        <w:t xml:space="preserve">providing public services through the service concession asset and for managing </w:t>
      </w:r>
      <w:r w:rsidRPr="00703D4C">
        <w:rPr>
          <w:szCs w:val="19"/>
        </w:rPr>
        <w:t xml:space="preserve">at least some of the public services </w:t>
      </w:r>
      <w:r w:rsidR="009344CD">
        <w:rPr>
          <w:szCs w:val="19"/>
        </w:rPr>
        <w:t>and related services,</w:t>
      </w:r>
      <w:r w:rsidRPr="00703D4C">
        <w:rPr>
          <w:szCs w:val="19"/>
        </w:rPr>
        <w:t xml:space="preserve"> and not act </w:t>
      </w:r>
      <w:r w:rsidR="009344CD">
        <w:rPr>
          <w:szCs w:val="19"/>
        </w:rPr>
        <w:t>merely</w:t>
      </w:r>
      <w:r w:rsidRPr="00703D4C">
        <w:rPr>
          <w:szCs w:val="19"/>
        </w:rPr>
        <w:t xml:space="preserve"> as an agent on behalf of the grantor through an outsourcing arrangement. For example, an operator in an arrangement to construct and operate a hospital in accordance with the grantor’s directions would need to provide services more managerial in nature than cleaning, </w:t>
      </w:r>
      <w:r w:rsidR="009775FC">
        <w:rPr>
          <w:szCs w:val="19"/>
        </w:rPr>
        <w:t xml:space="preserve">building </w:t>
      </w:r>
      <w:r w:rsidRPr="00703D4C">
        <w:rPr>
          <w:szCs w:val="19"/>
        </w:rPr>
        <w:t xml:space="preserve">maintenance and security services for the hospital after </w:t>
      </w:r>
      <w:r>
        <w:rPr>
          <w:szCs w:val="19"/>
        </w:rPr>
        <w:t xml:space="preserve">its </w:t>
      </w:r>
      <w:r w:rsidRPr="00703D4C">
        <w:rPr>
          <w:szCs w:val="19"/>
        </w:rPr>
        <w:t xml:space="preserve">construction </w:t>
      </w:r>
      <w:r w:rsidR="00980218">
        <w:rPr>
          <w:szCs w:val="19"/>
        </w:rPr>
        <w:t xml:space="preserve">in order </w:t>
      </w:r>
      <w:r w:rsidRPr="00703D4C">
        <w:rPr>
          <w:szCs w:val="19"/>
        </w:rPr>
        <w:t xml:space="preserve">for the arrangement to be considered a service concession arrangement. </w:t>
      </w:r>
      <w:r w:rsidR="00980218">
        <w:rPr>
          <w:szCs w:val="19"/>
        </w:rPr>
        <w:t>Cleaning</w:t>
      </w:r>
      <w:r>
        <w:rPr>
          <w:szCs w:val="19"/>
        </w:rPr>
        <w:t xml:space="preserve">, </w:t>
      </w:r>
      <w:r w:rsidR="009775FC">
        <w:rPr>
          <w:szCs w:val="19"/>
        </w:rPr>
        <w:t xml:space="preserve">building </w:t>
      </w:r>
      <w:r>
        <w:rPr>
          <w:szCs w:val="19"/>
        </w:rPr>
        <w:t xml:space="preserve">maintenance </w:t>
      </w:r>
      <w:r w:rsidR="00980218">
        <w:rPr>
          <w:szCs w:val="19"/>
        </w:rPr>
        <w:t xml:space="preserve">and security </w:t>
      </w:r>
      <w:r>
        <w:rPr>
          <w:szCs w:val="19"/>
        </w:rPr>
        <w:t xml:space="preserve">services would generally be regarded as relatively insignificant to the public services provided by </w:t>
      </w:r>
      <w:r>
        <w:rPr>
          <w:szCs w:val="19"/>
        </w:rPr>
        <w:lastRenderedPageBreak/>
        <w:t>the hospital</w:t>
      </w:r>
      <w:r w:rsidRPr="00703D4C">
        <w:rPr>
          <w:szCs w:val="19"/>
        </w:rPr>
        <w:t>.</w:t>
      </w:r>
      <w:r>
        <w:rPr>
          <w:szCs w:val="19"/>
        </w:rPr>
        <w:t xml:space="preserve"> Therefore, i</w:t>
      </w:r>
      <w:r w:rsidRPr="00703D4C">
        <w:rPr>
          <w:szCs w:val="19"/>
        </w:rPr>
        <w:t>f the operator is responsible only for con</w:t>
      </w:r>
      <w:r w:rsidR="00791B68">
        <w:rPr>
          <w:szCs w:val="19"/>
        </w:rPr>
        <w:t xml:space="preserve">structing the hospital and then </w:t>
      </w:r>
      <w:r>
        <w:rPr>
          <w:szCs w:val="19"/>
        </w:rPr>
        <w:t>providing</w:t>
      </w:r>
      <w:r w:rsidRPr="00703D4C">
        <w:rPr>
          <w:szCs w:val="19"/>
        </w:rPr>
        <w:t xml:space="preserve"> </w:t>
      </w:r>
      <w:r w:rsidR="00980218">
        <w:rPr>
          <w:szCs w:val="19"/>
        </w:rPr>
        <w:t>all or any of those services</w:t>
      </w:r>
      <w:r w:rsidRPr="00703D4C">
        <w:rPr>
          <w:szCs w:val="19"/>
        </w:rPr>
        <w:t>, the operator is unlikely to be considered to be responsible for some of the management of the public services provided by the hospital</w:t>
      </w:r>
      <w:r w:rsidR="00980218">
        <w:rPr>
          <w:szCs w:val="19"/>
        </w:rPr>
        <w:t>.</w:t>
      </w:r>
      <w:r w:rsidRPr="00703D4C">
        <w:rPr>
          <w:szCs w:val="19"/>
        </w:rPr>
        <w:t xml:space="preserve"> However, if after constructing the hospital the operator also provides scheduling of staff and resources </w:t>
      </w:r>
      <w:r>
        <w:rPr>
          <w:szCs w:val="19"/>
        </w:rPr>
        <w:t>(</w:t>
      </w:r>
      <w:r w:rsidR="00984610">
        <w:rPr>
          <w:szCs w:val="19"/>
        </w:rPr>
        <w:t xml:space="preserve">even if </w:t>
      </w:r>
      <w:r>
        <w:rPr>
          <w:szCs w:val="19"/>
        </w:rPr>
        <w:t>provided by the grantor)</w:t>
      </w:r>
      <w:proofErr w:type="gramStart"/>
      <w:r w:rsidR="00980218">
        <w:rPr>
          <w:szCs w:val="19"/>
        </w:rPr>
        <w:t>,</w:t>
      </w:r>
      <w:proofErr w:type="gramEnd"/>
      <w:r w:rsidRPr="00703D4C">
        <w:rPr>
          <w:szCs w:val="19"/>
        </w:rPr>
        <w:t xml:space="preserve"> the operator is likely to be responsible for some of the management of the hospital </w:t>
      </w:r>
      <w:r w:rsidR="00980218">
        <w:rPr>
          <w:szCs w:val="19"/>
        </w:rPr>
        <w:t xml:space="preserve">public services, </w:t>
      </w:r>
      <w:r w:rsidRPr="00703D4C">
        <w:rPr>
          <w:szCs w:val="19"/>
        </w:rPr>
        <w:t>and not acting like an agent of the grantor.</w:t>
      </w:r>
      <w:r w:rsidR="005C3A2B">
        <w:rPr>
          <w:szCs w:val="19"/>
        </w:rPr>
        <w:t xml:space="preserve"> </w:t>
      </w:r>
      <w:r>
        <w:rPr>
          <w:szCs w:val="19"/>
        </w:rPr>
        <w:t xml:space="preserve">In contrast, if </w:t>
      </w:r>
      <w:r w:rsidR="00D1464F">
        <w:rPr>
          <w:szCs w:val="19"/>
        </w:rPr>
        <w:t xml:space="preserve">the </w:t>
      </w:r>
      <w:r>
        <w:rPr>
          <w:szCs w:val="19"/>
        </w:rPr>
        <w:t>maintenance contributes significantly to the public services provided</w:t>
      </w:r>
      <w:r w:rsidR="00980218">
        <w:rPr>
          <w:szCs w:val="19"/>
        </w:rPr>
        <w:t xml:space="preserve"> by the asset</w:t>
      </w:r>
      <w:r>
        <w:rPr>
          <w:szCs w:val="19"/>
        </w:rPr>
        <w:t xml:space="preserve">, then the operator </w:t>
      </w:r>
      <w:r w:rsidR="00980218">
        <w:rPr>
          <w:szCs w:val="19"/>
        </w:rPr>
        <w:t xml:space="preserve">would be responsible for </w:t>
      </w:r>
      <w:r>
        <w:rPr>
          <w:szCs w:val="19"/>
        </w:rPr>
        <w:t xml:space="preserve">at least some of the management of the public services provided by the asset. For example, </w:t>
      </w:r>
      <w:r w:rsidR="00980218">
        <w:rPr>
          <w:szCs w:val="19"/>
        </w:rPr>
        <w:t xml:space="preserve">this would be the case for </w:t>
      </w:r>
      <w:r>
        <w:rPr>
          <w:szCs w:val="19"/>
        </w:rPr>
        <w:t xml:space="preserve">an arrangement where an operator constructs and maintains </w:t>
      </w:r>
      <w:r w:rsidR="00980218">
        <w:rPr>
          <w:szCs w:val="19"/>
        </w:rPr>
        <w:t xml:space="preserve">(at its discretion) </w:t>
      </w:r>
      <w:r>
        <w:rPr>
          <w:szCs w:val="19"/>
        </w:rPr>
        <w:t xml:space="preserve">a toll road on behalf of the grantor, because maintenance services are a significant component of the </w:t>
      </w:r>
      <w:r w:rsidRPr="00703D4C">
        <w:rPr>
          <w:szCs w:val="19"/>
        </w:rPr>
        <w:t xml:space="preserve">public services provided by the </w:t>
      </w:r>
      <w:r>
        <w:rPr>
          <w:szCs w:val="19"/>
        </w:rPr>
        <w:t>toll road.</w:t>
      </w:r>
      <w:bookmarkEnd w:id="54"/>
      <w:bookmarkEnd w:id="55"/>
      <w:r w:rsidRPr="00703D4C" w:rsidDel="00E82F38">
        <w:rPr>
          <w:szCs w:val="19"/>
        </w:rPr>
        <w:t xml:space="preserve"> </w:t>
      </w:r>
    </w:p>
    <w:p w14:paraId="133BA8E0" w14:textId="1998D96D" w:rsidR="007025BE" w:rsidRPr="00662611" w:rsidRDefault="007025BE" w:rsidP="007025BE">
      <w:pPr>
        <w:pStyle w:val="IASBSectionTitle3Ind"/>
        <w:outlineLvl w:val="3"/>
      </w:pPr>
      <w:r>
        <w:t>Changes in an arrangement</w:t>
      </w:r>
    </w:p>
    <w:p w14:paraId="7D92723D" w14:textId="1EF4817D" w:rsidR="007D0362" w:rsidRPr="00662611" w:rsidRDefault="007D0362" w:rsidP="003102C2">
      <w:pPr>
        <w:pStyle w:val="NumAG1"/>
        <w:ind w:left="784" w:hanging="784"/>
        <w:rPr>
          <w:szCs w:val="19"/>
        </w:rPr>
      </w:pPr>
      <w:r w:rsidRPr="00662611">
        <w:rPr>
          <w:szCs w:val="19"/>
        </w:rPr>
        <w:t>A grantor assesses at the commencement of an arrangement whether an asset provides public services</w:t>
      </w:r>
      <w:r w:rsidR="00D71E5D">
        <w:rPr>
          <w:szCs w:val="19"/>
        </w:rPr>
        <w:t xml:space="preserve"> and </w:t>
      </w:r>
      <w:r w:rsidR="007C0366">
        <w:rPr>
          <w:szCs w:val="19"/>
        </w:rPr>
        <w:t xml:space="preserve">whether </w:t>
      </w:r>
      <w:r w:rsidR="00D71E5D">
        <w:rPr>
          <w:szCs w:val="19"/>
        </w:rPr>
        <w:t xml:space="preserve">the operator is responsible for </w:t>
      </w:r>
      <w:r w:rsidR="007C0366">
        <w:rPr>
          <w:szCs w:val="19"/>
        </w:rPr>
        <w:t xml:space="preserve">providing and managing at least </w:t>
      </w:r>
      <w:r w:rsidR="00D71E5D">
        <w:rPr>
          <w:szCs w:val="19"/>
        </w:rPr>
        <w:t xml:space="preserve">some of the </w:t>
      </w:r>
      <w:r w:rsidR="007C0366">
        <w:rPr>
          <w:szCs w:val="19"/>
        </w:rPr>
        <w:t xml:space="preserve">public services provided through the asset and does not act </w:t>
      </w:r>
      <w:r w:rsidR="000D353F">
        <w:rPr>
          <w:szCs w:val="19"/>
        </w:rPr>
        <w:t xml:space="preserve">merely </w:t>
      </w:r>
      <w:r w:rsidR="007C0366">
        <w:rPr>
          <w:szCs w:val="19"/>
        </w:rPr>
        <w:t>as an agent on behalf of the grantor</w:t>
      </w:r>
      <w:r w:rsidRPr="00662611">
        <w:rPr>
          <w:szCs w:val="19"/>
        </w:rPr>
        <w:t xml:space="preserve">. The </w:t>
      </w:r>
      <w:r w:rsidR="007C0366">
        <w:rPr>
          <w:szCs w:val="19"/>
        </w:rPr>
        <w:t>initial assessment</w:t>
      </w:r>
      <w:r w:rsidR="00BD4489">
        <w:rPr>
          <w:szCs w:val="19"/>
        </w:rPr>
        <w:t xml:space="preserve"> </w:t>
      </w:r>
      <w:r w:rsidRPr="00662611">
        <w:rPr>
          <w:szCs w:val="19"/>
        </w:rPr>
        <w:t>applies for the duration of the service concession</w:t>
      </w:r>
      <w:r w:rsidR="00503E5C" w:rsidRPr="00662611">
        <w:rPr>
          <w:szCs w:val="19"/>
        </w:rPr>
        <w:t xml:space="preserve"> arrangement</w:t>
      </w:r>
      <w:r w:rsidRPr="00662611">
        <w:rPr>
          <w:szCs w:val="19"/>
        </w:rPr>
        <w:t xml:space="preserve">. </w:t>
      </w:r>
      <w:r w:rsidR="00532B5D" w:rsidRPr="00662611">
        <w:rPr>
          <w:szCs w:val="19"/>
        </w:rPr>
        <w:t xml:space="preserve">Where there is a significant modification to the terms and conditions of the arrangement, the </w:t>
      </w:r>
      <w:r w:rsidR="00973E5A">
        <w:rPr>
          <w:szCs w:val="19"/>
        </w:rPr>
        <w:t xml:space="preserve">arrangement </w:t>
      </w:r>
      <w:r w:rsidR="00532B5D" w:rsidRPr="00662611">
        <w:rPr>
          <w:szCs w:val="19"/>
        </w:rPr>
        <w:t xml:space="preserve">should be </w:t>
      </w:r>
      <w:r w:rsidR="00503E5C" w:rsidRPr="00662611">
        <w:rPr>
          <w:szCs w:val="19"/>
        </w:rPr>
        <w:t>re</w:t>
      </w:r>
      <w:r w:rsidR="00532B5D" w:rsidRPr="00662611">
        <w:rPr>
          <w:szCs w:val="19"/>
        </w:rPr>
        <w:t>assessed to determine whether the asset still provides public service</w:t>
      </w:r>
      <w:r w:rsidR="00E00BDD" w:rsidRPr="00662611">
        <w:rPr>
          <w:szCs w:val="19"/>
        </w:rPr>
        <w:t>s</w:t>
      </w:r>
      <w:r w:rsidR="007C0366">
        <w:rPr>
          <w:szCs w:val="19"/>
        </w:rPr>
        <w:t>,</w:t>
      </w:r>
      <w:r w:rsidR="00532B5D" w:rsidRPr="00662611">
        <w:rPr>
          <w:szCs w:val="19"/>
        </w:rPr>
        <w:t xml:space="preserve"> </w:t>
      </w:r>
      <w:r w:rsidR="007C0366">
        <w:rPr>
          <w:szCs w:val="19"/>
        </w:rPr>
        <w:t xml:space="preserve">and whether the operator is responsible for providing and managing at least some of the public services provided through the asset </w:t>
      </w:r>
      <w:r w:rsidR="00E37CC1">
        <w:rPr>
          <w:szCs w:val="19"/>
        </w:rPr>
        <w:t xml:space="preserve">under its own discretion </w:t>
      </w:r>
      <w:r w:rsidR="000D353F">
        <w:rPr>
          <w:szCs w:val="19"/>
        </w:rPr>
        <w:t>–</w:t>
      </w:r>
      <w:r w:rsidR="002F3333">
        <w:rPr>
          <w:szCs w:val="19"/>
        </w:rPr>
        <w:t xml:space="preserve"> </w:t>
      </w:r>
      <w:r w:rsidR="00E37CC1">
        <w:rPr>
          <w:szCs w:val="19"/>
        </w:rPr>
        <w:t xml:space="preserve">and therefore </w:t>
      </w:r>
      <w:r w:rsidR="002F3333">
        <w:rPr>
          <w:szCs w:val="19"/>
        </w:rPr>
        <w:t xml:space="preserve">whether the arrangement is </w:t>
      </w:r>
      <w:r w:rsidR="00E37CC1">
        <w:rPr>
          <w:szCs w:val="19"/>
        </w:rPr>
        <w:t>still</w:t>
      </w:r>
      <w:r w:rsidR="007C0366" w:rsidRPr="00662611">
        <w:rPr>
          <w:szCs w:val="19"/>
        </w:rPr>
        <w:t xml:space="preserve"> </w:t>
      </w:r>
      <w:r w:rsidR="00532B5D" w:rsidRPr="00662611">
        <w:rPr>
          <w:szCs w:val="19"/>
        </w:rPr>
        <w:t xml:space="preserve">within the scope of this Standard. </w:t>
      </w:r>
      <w:r w:rsidR="00BE5A57" w:rsidRPr="00662611">
        <w:rPr>
          <w:szCs w:val="19"/>
        </w:rPr>
        <w:t>If</w:t>
      </w:r>
      <w:r w:rsidR="000D353F">
        <w:rPr>
          <w:szCs w:val="19"/>
        </w:rPr>
        <w:t xml:space="preserve"> </w:t>
      </w:r>
      <w:r w:rsidR="00E37CC1">
        <w:rPr>
          <w:szCs w:val="19"/>
        </w:rPr>
        <w:t>service concession accounting is no longer appropriate</w:t>
      </w:r>
      <w:r w:rsidR="00BE5A57" w:rsidRPr="00662611">
        <w:rPr>
          <w:szCs w:val="19"/>
        </w:rPr>
        <w:t>, the grantor determines whether the</w:t>
      </w:r>
      <w:r w:rsidR="00973E5A">
        <w:rPr>
          <w:szCs w:val="19"/>
        </w:rPr>
        <w:t xml:space="preserve"> service concession</w:t>
      </w:r>
      <w:r w:rsidR="00BE5A57" w:rsidRPr="00662611">
        <w:rPr>
          <w:szCs w:val="19"/>
        </w:rPr>
        <w:t xml:space="preserve"> asset</w:t>
      </w:r>
      <w:r w:rsidR="00973E5A">
        <w:rPr>
          <w:szCs w:val="19"/>
        </w:rPr>
        <w:t xml:space="preserve"> and liabilities</w:t>
      </w:r>
      <w:r w:rsidR="00BE5A57" w:rsidRPr="00662611">
        <w:rPr>
          <w:szCs w:val="19"/>
        </w:rPr>
        <w:t xml:space="preserve"> continue to be recognised and accounted for </w:t>
      </w:r>
      <w:r w:rsidR="00C902AF" w:rsidRPr="00662611">
        <w:rPr>
          <w:szCs w:val="19"/>
        </w:rPr>
        <w:t>under other Accounting Standards or</w:t>
      </w:r>
      <w:r w:rsidR="006A1E86" w:rsidRPr="00662611">
        <w:rPr>
          <w:szCs w:val="19"/>
        </w:rPr>
        <w:t xml:space="preserve"> else</w:t>
      </w:r>
      <w:r w:rsidR="00C902AF" w:rsidRPr="00662611">
        <w:rPr>
          <w:szCs w:val="19"/>
        </w:rPr>
        <w:t xml:space="preserve"> derecognised.</w:t>
      </w:r>
    </w:p>
    <w:p w14:paraId="7D92723E" w14:textId="77777777" w:rsidR="00533E92" w:rsidRPr="00662611" w:rsidRDefault="00533E92" w:rsidP="00EE45A4">
      <w:pPr>
        <w:pStyle w:val="IASBSectionTitle2Ind"/>
        <w:outlineLvl w:val="2"/>
      </w:pPr>
      <w:r w:rsidRPr="00662611">
        <w:t>Contracts</w:t>
      </w:r>
    </w:p>
    <w:p w14:paraId="7D92723F" w14:textId="77777777" w:rsidR="00BF0182" w:rsidRPr="00662611" w:rsidRDefault="00C12CB2" w:rsidP="003102C2">
      <w:pPr>
        <w:pStyle w:val="NumAG1"/>
        <w:ind w:left="784" w:hanging="784"/>
        <w:rPr>
          <w:szCs w:val="19"/>
        </w:rPr>
      </w:pPr>
      <w:r w:rsidRPr="00662611">
        <w:rPr>
          <w:szCs w:val="19"/>
        </w:rPr>
        <w:t>Appendix A also defines a contract.</w:t>
      </w:r>
      <w:r w:rsidR="00357ABF" w:rsidRPr="00662611">
        <w:rPr>
          <w:szCs w:val="19"/>
        </w:rPr>
        <w:t xml:space="preserve"> </w:t>
      </w:r>
      <w:r w:rsidR="00C2799E" w:rsidRPr="00662611">
        <w:rPr>
          <w:szCs w:val="19"/>
        </w:rPr>
        <w:t>The term ‘agreement’ in the definition of a ‘contract’ encompasses an arrangement entered into under the direction of another party (</w:t>
      </w:r>
      <w:r w:rsidR="00EB71D9" w:rsidRPr="00662611">
        <w:rPr>
          <w:szCs w:val="19"/>
        </w:rPr>
        <w:t xml:space="preserve">eg </w:t>
      </w:r>
      <w:r w:rsidR="00C2799E" w:rsidRPr="00662611">
        <w:rPr>
          <w:szCs w:val="19"/>
        </w:rPr>
        <w:t>when assets are transferred to an entity with a directive that they be deployed to provide specified services).</w:t>
      </w:r>
    </w:p>
    <w:p w14:paraId="7D927240" w14:textId="77777777" w:rsidR="001870D4" w:rsidRPr="00662611" w:rsidRDefault="00C2799E" w:rsidP="003102C2">
      <w:pPr>
        <w:pStyle w:val="NumAG1"/>
        <w:ind w:left="784" w:hanging="784"/>
        <w:rPr>
          <w:szCs w:val="19"/>
        </w:rPr>
      </w:pPr>
      <w:bookmarkStart w:id="56" w:name="_Ref475621034"/>
      <w:r w:rsidRPr="00662611">
        <w:rPr>
          <w:szCs w:val="19"/>
        </w:rPr>
        <w:t>Contracts can be written, oral or implied by an entity’s customary practices in performing or conducting its activities.</w:t>
      </w:r>
      <w:bookmarkEnd w:id="56"/>
      <w:r w:rsidR="0065045B" w:rsidRPr="00662611">
        <w:rPr>
          <w:szCs w:val="19"/>
        </w:rPr>
        <w:t xml:space="preserve"> </w:t>
      </w:r>
      <w:r w:rsidR="00307460" w:rsidRPr="00662611">
        <w:rPr>
          <w:szCs w:val="19"/>
        </w:rPr>
        <w:t>For not-for-profit entities, Appendix F to AASB 15 includes guidance regarding when an agreement creates enforceable rights and obligations.</w:t>
      </w:r>
    </w:p>
    <w:p w14:paraId="7D927241" w14:textId="5EBEBF6B" w:rsidR="00C2799E" w:rsidRPr="00662611" w:rsidRDefault="00C2799E" w:rsidP="00EE45A4">
      <w:pPr>
        <w:pStyle w:val="IASBSectionTitle1NonInd"/>
        <w:outlineLvl w:val="1"/>
      </w:pPr>
      <w:r w:rsidRPr="00662611">
        <w:t xml:space="preserve">Recognition and </w:t>
      </w:r>
      <w:r w:rsidR="008D12CE" w:rsidRPr="00662611">
        <w:t>i</w:t>
      </w:r>
      <w:r w:rsidRPr="00662611">
        <w:t xml:space="preserve">nitial </w:t>
      </w:r>
      <w:r w:rsidR="008D12CE" w:rsidRPr="00662611">
        <w:t>m</w:t>
      </w:r>
      <w:r w:rsidRPr="00662611">
        <w:t xml:space="preserve">easurement of </w:t>
      </w:r>
      <w:r w:rsidR="008D12CE" w:rsidRPr="00662611">
        <w:t>s</w:t>
      </w:r>
      <w:r w:rsidRPr="00662611">
        <w:t xml:space="preserve">ervice </w:t>
      </w:r>
      <w:r w:rsidR="008D12CE" w:rsidRPr="00662611">
        <w:t>c</w:t>
      </w:r>
      <w:r w:rsidRPr="00662611">
        <w:t xml:space="preserve">oncession </w:t>
      </w:r>
      <w:r w:rsidR="008D12CE" w:rsidRPr="00662611">
        <w:t>a</w:t>
      </w:r>
      <w:r w:rsidRPr="00662611">
        <w:t>sset</w:t>
      </w:r>
      <w:r w:rsidR="008D12CE" w:rsidRPr="00662611">
        <w:t>s</w:t>
      </w:r>
      <w:r w:rsidR="00EB287D" w:rsidRPr="00662611">
        <w:t xml:space="preserve"> (paragraphs </w:t>
      </w:r>
      <w:r w:rsidR="00BD3B07" w:rsidRPr="00662611">
        <w:fldChar w:fldCharType="begin"/>
      </w:r>
      <w:r w:rsidR="00BD3B07" w:rsidRPr="00662611">
        <w:instrText xml:space="preserve"> REF _Ref475619556 \r \h </w:instrText>
      </w:r>
      <w:r w:rsidR="00BD3B07" w:rsidRPr="00662611">
        <w:fldChar w:fldCharType="separate"/>
      </w:r>
      <w:r w:rsidR="00C43128">
        <w:t>5</w:t>
      </w:r>
      <w:r w:rsidR="00BD3B07" w:rsidRPr="00662611">
        <w:fldChar w:fldCharType="end"/>
      </w:r>
      <w:r w:rsidR="00EB287D" w:rsidRPr="00662611">
        <w:t>–</w:t>
      </w:r>
      <w:r w:rsidR="00574630">
        <w:fldChar w:fldCharType="begin"/>
      </w:r>
      <w:r w:rsidR="00574630">
        <w:instrText xml:space="preserve"> REF _Ref487193431 \r \h </w:instrText>
      </w:r>
      <w:r w:rsidR="00574630">
        <w:fldChar w:fldCharType="separate"/>
      </w:r>
      <w:r w:rsidR="00C43128">
        <w:t>10</w:t>
      </w:r>
      <w:r w:rsidR="00574630">
        <w:fldChar w:fldCharType="end"/>
      </w:r>
      <w:r w:rsidR="009454CE" w:rsidRPr="00662611">
        <w:t>)</w:t>
      </w:r>
    </w:p>
    <w:p w14:paraId="7D927242" w14:textId="77777777" w:rsidR="00C2799E" w:rsidRPr="00662611" w:rsidRDefault="00C2799E" w:rsidP="00EE45A4">
      <w:pPr>
        <w:pStyle w:val="IASBSectionTitle2Ind"/>
        <w:outlineLvl w:val="2"/>
      </w:pPr>
      <w:r w:rsidRPr="00662611">
        <w:t xml:space="preserve">Recognition of </w:t>
      </w:r>
      <w:r w:rsidR="00F76923" w:rsidRPr="00662611">
        <w:t>s</w:t>
      </w:r>
      <w:r w:rsidRPr="00662611">
        <w:t xml:space="preserve">ervice </w:t>
      </w:r>
      <w:r w:rsidR="00F76923" w:rsidRPr="00662611">
        <w:t>c</w:t>
      </w:r>
      <w:r w:rsidRPr="00662611">
        <w:t xml:space="preserve">oncession </w:t>
      </w:r>
      <w:r w:rsidR="00F76923" w:rsidRPr="00662611">
        <w:t>a</w:t>
      </w:r>
      <w:r w:rsidRPr="00662611">
        <w:t>sset</w:t>
      </w:r>
      <w:r w:rsidR="00F76923" w:rsidRPr="00662611">
        <w:t>s</w:t>
      </w:r>
    </w:p>
    <w:p w14:paraId="6B676E41" w14:textId="354899E8" w:rsidR="003439E5" w:rsidRPr="00662611" w:rsidRDefault="003439E5" w:rsidP="003102C2">
      <w:pPr>
        <w:pStyle w:val="NumAG1"/>
        <w:ind w:left="784" w:hanging="784"/>
        <w:rPr>
          <w:szCs w:val="19"/>
        </w:rPr>
      </w:pPr>
      <w:bookmarkStart w:id="57" w:name="_Ref485978162"/>
      <w:r w:rsidRPr="00662611">
        <w:t xml:space="preserve">A service concession arrangement </w:t>
      </w:r>
      <w:r w:rsidR="007334A5" w:rsidRPr="00662611">
        <w:t xml:space="preserve">typically includes many assets, rather than one asset. References in this Standard to a service concession asset apply to all of the assets encompassed by the arrangement. </w:t>
      </w:r>
      <w:r w:rsidRPr="00662611">
        <w:t xml:space="preserve">If a service concession arrangement encompasses a business as </w:t>
      </w:r>
      <w:r w:rsidRPr="003102C2">
        <w:rPr>
          <w:szCs w:val="19"/>
        </w:rPr>
        <w:t>defined</w:t>
      </w:r>
      <w:r w:rsidRPr="00662611">
        <w:t xml:space="preserve"> in AASB 3 </w:t>
      </w:r>
      <w:r w:rsidRPr="00662611">
        <w:rPr>
          <w:i/>
        </w:rPr>
        <w:t>Business Combinations</w:t>
      </w:r>
      <w:r w:rsidRPr="00662611">
        <w:t>, the grantor shall recognise the assets (including any identifiable intangible assets) and liabilities of the business when the conditions in paragraph </w:t>
      </w:r>
      <w:r w:rsidR="00B70575">
        <w:fldChar w:fldCharType="begin"/>
      </w:r>
      <w:r w:rsidR="00B70575">
        <w:instrText xml:space="preserve"> REF _Ref475619556 \r \h </w:instrText>
      </w:r>
      <w:r w:rsidR="00B70575">
        <w:fldChar w:fldCharType="separate"/>
      </w:r>
      <w:r w:rsidR="00C43128">
        <w:t>5</w:t>
      </w:r>
      <w:r w:rsidR="00B70575">
        <w:fldChar w:fldCharType="end"/>
      </w:r>
      <w:r w:rsidRPr="00662611">
        <w:t xml:space="preserve"> or </w:t>
      </w:r>
      <w:r w:rsidR="00903DBF">
        <w:fldChar w:fldCharType="begin"/>
      </w:r>
      <w:r w:rsidR="00903DBF">
        <w:instrText xml:space="preserve"> REF _Ref486144882 \r \h </w:instrText>
      </w:r>
      <w:r w:rsidR="00903DBF">
        <w:fldChar w:fldCharType="separate"/>
      </w:r>
      <w:r w:rsidR="00C43128">
        <w:t>6</w:t>
      </w:r>
      <w:r w:rsidR="00903DBF">
        <w:fldChar w:fldCharType="end"/>
      </w:r>
      <w:r w:rsidRPr="00662611">
        <w:t xml:space="preserve"> are satisfied. </w:t>
      </w:r>
      <w:r w:rsidR="00890D37">
        <w:t>G</w:t>
      </w:r>
      <w:r w:rsidRPr="00662611">
        <w:t>oodwill shall not be recognised by the grantor.</w:t>
      </w:r>
      <w:bookmarkEnd w:id="57"/>
    </w:p>
    <w:p w14:paraId="7D927243" w14:textId="77777777" w:rsidR="00340CD9" w:rsidRPr="00662611" w:rsidRDefault="00340CD9" w:rsidP="00CB7FE2">
      <w:pPr>
        <w:pStyle w:val="IASBSectionTitle3Ind"/>
        <w:outlineLvl w:val="3"/>
      </w:pPr>
      <w:r w:rsidRPr="00662611">
        <w:t>Control</w:t>
      </w:r>
    </w:p>
    <w:p w14:paraId="7D927244" w14:textId="76A96187" w:rsidR="00C2799E" w:rsidRPr="00662611" w:rsidRDefault="007B7E30" w:rsidP="003102C2">
      <w:pPr>
        <w:pStyle w:val="NumAG1"/>
        <w:ind w:left="784" w:hanging="784"/>
        <w:rPr>
          <w:szCs w:val="19"/>
        </w:rPr>
      </w:pPr>
      <w:bookmarkStart w:id="58" w:name="_Ref475619688"/>
      <w:r w:rsidRPr="00662611">
        <w:rPr>
          <w:szCs w:val="19"/>
        </w:rPr>
        <w:t>Paragraph </w:t>
      </w:r>
      <w:r w:rsidR="008747EC" w:rsidRPr="00662611">
        <w:rPr>
          <w:szCs w:val="19"/>
        </w:rPr>
        <w:fldChar w:fldCharType="begin"/>
      </w:r>
      <w:r w:rsidR="008747EC" w:rsidRPr="00662611">
        <w:rPr>
          <w:szCs w:val="19"/>
        </w:rPr>
        <w:instrText xml:space="preserve"> REF _Ref475619556 \r \h </w:instrText>
      </w:r>
      <w:r w:rsidR="008747EC" w:rsidRPr="00662611">
        <w:rPr>
          <w:szCs w:val="19"/>
        </w:rPr>
      </w:r>
      <w:r w:rsidR="008747EC" w:rsidRPr="00662611">
        <w:rPr>
          <w:szCs w:val="19"/>
        </w:rPr>
        <w:fldChar w:fldCharType="separate"/>
      </w:r>
      <w:r w:rsidR="00C43128">
        <w:rPr>
          <w:szCs w:val="19"/>
        </w:rPr>
        <w:t>5</w:t>
      </w:r>
      <w:r w:rsidR="008747EC" w:rsidRPr="00662611">
        <w:rPr>
          <w:szCs w:val="19"/>
        </w:rPr>
        <w:fldChar w:fldCharType="end"/>
      </w:r>
      <w:r w:rsidRPr="00662611">
        <w:rPr>
          <w:szCs w:val="19"/>
        </w:rPr>
        <w:t xml:space="preserve"> of this Standard specifies the conditions under which an asset, other than a whole-of-life asset, is recognised by the grantor. Paragraph </w:t>
      </w:r>
      <w:r w:rsidR="008747EC" w:rsidRPr="00662611">
        <w:rPr>
          <w:szCs w:val="19"/>
        </w:rPr>
        <w:fldChar w:fldCharType="begin"/>
      </w:r>
      <w:r w:rsidR="008747EC" w:rsidRPr="00662611">
        <w:rPr>
          <w:szCs w:val="19"/>
        </w:rPr>
        <w:instrText xml:space="preserve"> REF _Ref475619569 \r \h </w:instrText>
      </w:r>
      <w:r w:rsidR="008747EC" w:rsidRPr="00662611">
        <w:rPr>
          <w:szCs w:val="19"/>
        </w:rPr>
      </w:r>
      <w:r w:rsidR="008747EC" w:rsidRPr="00662611">
        <w:rPr>
          <w:szCs w:val="19"/>
        </w:rPr>
        <w:fldChar w:fldCharType="separate"/>
      </w:r>
      <w:r w:rsidR="00C43128">
        <w:rPr>
          <w:szCs w:val="19"/>
        </w:rPr>
        <w:t>6</w:t>
      </w:r>
      <w:r w:rsidR="008747EC" w:rsidRPr="00662611">
        <w:rPr>
          <w:szCs w:val="19"/>
        </w:rPr>
        <w:fldChar w:fldCharType="end"/>
      </w:r>
      <w:r w:rsidRPr="00662611">
        <w:rPr>
          <w:szCs w:val="19"/>
        </w:rPr>
        <w:t xml:space="preserve"> of the Standard specifies the condition under which a whole-of-life asset is recognised by the grantor. </w:t>
      </w:r>
      <w:r w:rsidR="00C2799E" w:rsidRPr="00662611">
        <w:rPr>
          <w:szCs w:val="19"/>
        </w:rPr>
        <w:t>The assessment of whether a service concession asset should be recognised in accordance with paragraph </w:t>
      </w:r>
      <w:r w:rsidR="008747EC" w:rsidRPr="00662611">
        <w:rPr>
          <w:szCs w:val="19"/>
        </w:rPr>
        <w:fldChar w:fldCharType="begin"/>
      </w:r>
      <w:r w:rsidR="008747EC" w:rsidRPr="00662611">
        <w:rPr>
          <w:szCs w:val="19"/>
        </w:rPr>
        <w:instrText xml:space="preserve"> REF _Ref475619556 \r \h </w:instrText>
      </w:r>
      <w:r w:rsidR="008747EC" w:rsidRPr="00662611">
        <w:rPr>
          <w:szCs w:val="19"/>
        </w:rPr>
      </w:r>
      <w:r w:rsidR="008747EC" w:rsidRPr="00662611">
        <w:rPr>
          <w:szCs w:val="19"/>
        </w:rPr>
        <w:fldChar w:fldCharType="separate"/>
      </w:r>
      <w:r w:rsidR="00C43128">
        <w:rPr>
          <w:szCs w:val="19"/>
        </w:rPr>
        <w:t>5</w:t>
      </w:r>
      <w:r w:rsidR="008747EC" w:rsidRPr="00662611">
        <w:rPr>
          <w:szCs w:val="19"/>
        </w:rPr>
        <w:fldChar w:fldCharType="end"/>
      </w:r>
      <w:r w:rsidR="00C2799E" w:rsidRPr="00662611" w:rsidDel="003212DA">
        <w:rPr>
          <w:szCs w:val="19"/>
        </w:rPr>
        <w:t xml:space="preserve"> </w:t>
      </w:r>
      <w:r w:rsidR="00C2799E" w:rsidRPr="00662611">
        <w:rPr>
          <w:szCs w:val="19"/>
        </w:rPr>
        <w:t>(or paragraph </w:t>
      </w:r>
      <w:r w:rsidR="008747EC" w:rsidRPr="00662611">
        <w:rPr>
          <w:szCs w:val="19"/>
        </w:rPr>
        <w:fldChar w:fldCharType="begin"/>
      </w:r>
      <w:r w:rsidR="008747EC" w:rsidRPr="00662611">
        <w:rPr>
          <w:szCs w:val="19"/>
        </w:rPr>
        <w:instrText xml:space="preserve"> REF _Ref475619569 \r \h </w:instrText>
      </w:r>
      <w:r w:rsidR="008747EC" w:rsidRPr="00662611">
        <w:rPr>
          <w:szCs w:val="19"/>
        </w:rPr>
      </w:r>
      <w:r w:rsidR="008747EC" w:rsidRPr="00662611">
        <w:rPr>
          <w:szCs w:val="19"/>
        </w:rPr>
        <w:fldChar w:fldCharType="separate"/>
      </w:r>
      <w:r w:rsidR="00C43128">
        <w:rPr>
          <w:szCs w:val="19"/>
        </w:rPr>
        <w:t>6</w:t>
      </w:r>
      <w:r w:rsidR="008747EC" w:rsidRPr="00662611">
        <w:rPr>
          <w:szCs w:val="19"/>
        </w:rPr>
        <w:fldChar w:fldCharType="end"/>
      </w:r>
      <w:r w:rsidR="00C2799E" w:rsidRPr="00662611">
        <w:rPr>
          <w:szCs w:val="19"/>
        </w:rPr>
        <w:t xml:space="preserve"> for a whole-of-life asset) is made on the basis of all of the facts and circumstances of the arrangement.</w:t>
      </w:r>
      <w:bookmarkEnd w:id="58"/>
      <w:r w:rsidR="00C2799E" w:rsidRPr="00662611">
        <w:rPr>
          <w:szCs w:val="19"/>
        </w:rPr>
        <w:t xml:space="preserve"> </w:t>
      </w:r>
    </w:p>
    <w:p w14:paraId="7D927245" w14:textId="2A967318" w:rsidR="00CE0ADC" w:rsidRPr="00662611" w:rsidRDefault="00433B64" w:rsidP="003102C2">
      <w:pPr>
        <w:pStyle w:val="NumAG1"/>
        <w:ind w:left="784" w:hanging="784"/>
        <w:rPr>
          <w:szCs w:val="19"/>
        </w:rPr>
      </w:pPr>
      <w:bookmarkStart w:id="59" w:name="_Ref484619573"/>
      <w:r w:rsidRPr="00662611">
        <w:rPr>
          <w:szCs w:val="19"/>
        </w:rPr>
        <w:t>The fundamental principle reflected in paragraphs </w:t>
      </w:r>
      <w:r w:rsidR="008747EC" w:rsidRPr="00662611">
        <w:rPr>
          <w:szCs w:val="19"/>
        </w:rPr>
        <w:fldChar w:fldCharType="begin"/>
      </w:r>
      <w:r w:rsidR="008747EC" w:rsidRPr="00662611">
        <w:rPr>
          <w:szCs w:val="19"/>
        </w:rPr>
        <w:instrText xml:space="preserve"> REF _Ref475619556 \r \h </w:instrText>
      </w:r>
      <w:r w:rsidR="008747EC" w:rsidRPr="00662611">
        <w:rPr>
          <w:szCs w:val="19"/>
        </w:rPr>
      </w:r>
      <w:r w:rsidR="008747EC" w:rsidRPr="00662611">
        <w:rPr>
          <w:szCs w:val="19"/>
        </w:rPr>
        <w:fldChar w:fldCharType="separate"/>
      </w:r>
      <w:r w:rsidR="00C43128">
        <w:rPr>
          <w:szCs w:val="19"/>
        </w:rPr>
        <w:t>5</w:t>
      </w:r>
      <w:r w:rsidR="008747EC" w:rsidRPr="00662611">
        <w:rPr>
          <w:szCs w:val="19"/>
        </w:rPr>
        <w:fldChar w:fldCharType="end"/>
      </w:r>
      <w:r w:rsidRPr="00662611">
        <w:rPr>
          <w:szCs w:val="19"/>
        </w:rPr>
        <w:t xml:space="preserve"> and </w:t>
      </w:r>
      <w:r w:rsidR="008747EC" w:rsidRPr="00662611">
        <w:rPr>
          <w:szCs w:val="19"/>
        </w:rPr>
        <w:fldChar w:fldCharType="begin"/>
      </w:r>
      <w:r w:rsidR="008747EC" w:rsidRPr="00662611">
        <w:rPr>
          <w:szCs w:val="19"/>
        </w:rPr>
        <w:instrText xml:space="preserve"> REF _Ref475619569 \r \h </w:instrText>
      </w:r>
      <w:r w:rsidR="008747EC" w:rsidRPr="00662611">
        <w:rPr>
          <w:szCs w:val="19"/>
        </w:rPr>
      </w:r>
      <w:r w:rsidR="008747EC" w:rsidRPr="00662611">
        <w:rPr>
          <w:szCs w:val="19"/>
        </w:rPr>
        <w:fldChar w:fldCharType="separate"/>
      </w:r>
      <w:r w:rsidR="00C43128">
        <w:rPr>
          <w:szCs w:val="19"/>
        </w:rPr>
        <w:t>6</w:t>
      </w:r>
      <w:r w:rsidR="008747EC" w:rsidRPr="00662611">
        <w:rPr>
          <w:szCs w:val="19"/>
        </w:rPr>
        <w:fldChar w:fldCharType="end"/>
      </w:r>
      <w:r w:rsidRPr="00662611">
        <w:rPr>
          <w:szCs w:val="19"/>
        </w:rPr>
        <w:t xml:space="preserve"> is determining </w:t>
      </w:r>
      <w:r w:rsidR="00890D37">
        <w:rPr>
          <w:szCs w:val="19"/>
        </w:rPr>
        <w:t xml:space="preserve">whether the grantor </w:t>
      </w:r>
      <w:r w:rsidRPr="00662611">
        <w:rPr>
          <w:szCs w:val="19"/>
        </w:rPr>
        <w:t>controls the underlying asset</w:t>
      </w:r>
      <w:r w:rsidR="00F75678" w:rsidRPr="00662611">
        <w:rPr>
          <w:szCs w:val="19"/>
        </w:rPr>
        <w:t xml:space="preserve"> or assets</w:t>
      </w:r>
      <w:r w:rsidRPr="00662611">
        <w:rPr>
          <w:szCs w:val="19"/>
        </w:rPr>
        <w:t xml:space="preserve"> of a service concession arrangement. </w:t>
      </w:r>
      <w:r w:rsidR="00CE0ADC" w:rsidRPr="00662611">
        <w:rPr>
          <w:szCs w:val="19"/>
        </w:rPr>
        <w:t xml:space="preserve">The ability to exclude or regulate the access of others to the benefits of an asset is an essential element of control that distinguishes an entity’s assets from public goods that all entities </w:t>
      </w:r>
      <w:r w:rsidR="008D3E60" w:rsidRPr="00662611">
        <w:rPr>
          <w:szCs w:val="19"/>
        </w:rPr>
        <w:t xml:space="preserve">can </w:t>
      </w:r>
      <w:r w:rsidR="00CE0ADC" w:rsidRPr="00662611">
        <w:rPr>
          <w:szCs w:val="19"/>
        </w:rPr>
        <w:t>access and benefit from. If the service concession arrangement provides for the grantor to control the price</w:t>
      </w:r>
      <w:r w:rsidR="00890D37">
        <w:rPr>
          <w:szCs w:val="19"/>
        </w:rPr>
        <w:t xml:space="preserve"> (f</w:t>
      </w:r>
      <w:r w:rsidR="00890D37" w:rsidRPr="00662611">
        <w:rPr>
          <w:szCs w:val="19"/>
        </w:rPr>
        <w:t>or example, the contract may set the initial prices to be levied by the operator and regulate price revisions over the period of the service concession arrangement</w:t>
      </w:r>
      <w:r w:rsidR="00890D37">
        <w:rPr>
          <w:szCs w:val="19"/>
        </w:rPr>
        <w:t>)</w:t>
      </w:r>
      <w:r w:rsidR="00CE0ADC" w:rsidRPr="00662611">
        <w:rPr>
          <w:szCs w:val="19"/>
        </w:rPr>
        <w:t>, the services to be provided and to whom the services must be provided, then the grantor controls the service concession asset regardless of whether there is any regulation by a third-party regulator.</w:t>
      </w:r>
      <w:r w:rsidR="00442E90" w:rsidRPr="00662611">
        <w:rPr>
          <w:szCs w:val="19"/>
        </w:rPr>
        <w:t xml:space="preserve"> </w:t>
      </w:r>
      <w:bookmarkEnd w:id="59"/>
    </w:p>
    <w:p w14:paraId="7D927246" w14:textId="68CA1CEF" w:rsidR="00CE0ADC" w:rsidRPr="00662611" w:rsidRDefault="00CE0ADC" w:rsidP="003102C2">
      <w:pPr>
        <w:pStyle w:val="NumAG1"/>
        <w:ind w:left="784" w:hanging="784"/>
        <w:rPr>
          <w:szCs w:val="19"/>
        </w:rPr>
      </w:pPr>
      <w:r w:rsidRPr="00662611">
        <w:rPr>
          <w:szCs w:val="19"/>
        </w:rPr>
        <w:lastRenderedPageBreak/>
        <w:t xml:space="preserve">Control should be distinguished from management. If the grantor </w:t>
      </w:r>
      <w:r w:rsidR="00E97E3E">
        <w:rPr>
          <w:szCs w:val="19"/>
        </w:rPr>
        <w:t xml:space="preserve">has </w:t>
      </w:r>
      <w:r w:rsidRPr="00662611">
        <w:rPr>
          <w:szCs w:val="19"/>
        </w:rPr>
        <w:t xml:space="preserve">both the degree of control described in paragraph </w:t>
      </w:r>
      <w:r w:rsidRPr="00662611">
        <w:rPr>
          <w:szCs w:val="19"/>
        </w:rPr>
        <w:fldChar w:fldCharType="begin"/>
      </w:r>
      <w:r w:rsidRPr="00662611">
        <w:rPr>
          <w:szCs w:val="19"/>
        </w:rPr>
        <w:instrText xml:space="preserve"> REF _Ref475624505 \r \h </w:instrText>
      </w:r>
      <w:r w:rsidRPr="00662611">
        <w:rPr>
          <w:szCs w:val="19"/>
        </w:rPr>
      </w:r>
      <w:r w:rsidRPr="00662611">
        <w:rPr>
          <w:szCs w:val="19"/>
        </w:rPr>
        <w:fldChar w:fldCharType="separate"/>
      </w:r>
      <w:r w:rsidR="00C43128">
        <w:rPr>
          <w:szCs w:val="19"/>
        </w:rPr>
        <w:t>5(a)</w:t>
      </w:r>
      <w:r w:rsidRPr="00662611">
        <w:rPr>
          <w:szCs w:val="19"/>
        </w:rPr>
        <w:fldChar w:fldCharType="end"/>
      </w:r>
      <w:r w:rsidRPr="00662611">
        <w:rPr>
          <w:szCs w:val="19"/>
        </w:rPr>
        <w:t xml:space="preserve"> and any significant residual interest in the asset (as noted in paragraph </w:t>
      </w:r>
      <w:r w:rsidRPr="00662611">
        <w:rPr>
          <w:szCs w:val="19"/>
        </w:rPr>
        <w:fldChar w:fldCharType="begin"/>
      </w:r>
      <w:r w:rsidRPr="00662611">
        <w:rPr>
          <w:szCs w:val="19"/>
        </w:rPr>
        <w:instrText xml:space="preserve"> REF _Ref475624573 \r \h </w:instrText>
      </w:r>
      <w:r w:rsidRPr="00662611">
        <w:rPr>
          <w:szCs w:val="19"/>
        </w:rPr>
      </w:r>
      <w:r w:rsidRPr="00662611">
        <w:rPr>
          <w:szCs w:val="19"/>
        </w:rPr>
        <w:fldChar w:fldCharType="separate"/>
      </w:r>
      <w:r w:rsidR="00C43128">
        <w:rPr>
          <w:szCs w:val="19"/>
        </w:rPr>
        <w:t>5(b)</w:t>
      </w:r>
      <w:r w:rsidRPr="00662611">
        <w:rPr>
          <w:szCs w:val="19"/>
        </w:rPr>
        <w:fldChar w:fldCharType="end"/>
      </w:r>
      <w:r w:rsidRPr="00662611">
        <w:rPr>
          <w:szCs w:val="19"/>
        </w:rPr>
        <w:t>), the operator is only managing the asset on the grantor’s behalf – even though, in many cases, it may have wide managerial discretion.</w:t>
      </w:r>
    </w:p>
    <w:p w14:paraId="7D927247" w14:textId="32B42B23" w:rsidR="002A4DAA" w:rsidRPr="00662611" w:rsidRDefault="002A4DAA" w:rsidP="003102C2">
      <w:pPr>
        <w:pStyle w:val="NumAG1"/>
        <w:ind w:left="784" w:hanging="784"/>
        <w:rPr>
          <w:szCs w:val="19"/>
        </w:rPr>
      </w:pPr>
      <w:r w:rsidRPr="00662611">
        <w:rPr>
          <w:szCs w:val="19"/>
        </w:rPr>
        <w:t>The control or regulation referred to in paragraph</w:t>
      </w:r>
      <w:r w:rsidR="00433B64" w:rsidRPr="00662611">
        <w:rPr>
          <w:szCs w:val="19"/>
        </w:rPr>
        <w:t>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Pr="00662611">
        <w:rPr>
          <w:szCs w:val="19"/>
        </w:rPr>
        <w:t xml:space="preserve"> could be by contract, or otherwise. If the contract specifies that the grantor controls or regulates the price, </w:t>
      </w:r>
      <w:r w:rsidR="00913AB3" w:rsidRPr="00662611">
        <w:rPr>
          <w:szCs w:val="19"/>
        </w:rPr>
        <w:t xml:space="preserve">the </w:t>
      </w:r>
      <w:r w:rsidRPr="00662611">
        <w:rPr>
          <w:szCs w:val="19"/>
        </w:rPr>
        <w:t>services</w:t>
      </w:r>
      <w:r w:rsidR="00913AB3" w:rsidRPr="00662611">
        <w:rPr>
          <w:szCs w:val="19"/>
        </w:rPr>
        <w:t xml:space="preserve"> to be provided</w:t>
      </w:r>
      <w:r w:rsidRPr="00662611">
        <w:rPr>
          <w:szCs w:val="19"/>
        </w:rPr>
        <w:t xml:space="preserve"> and to whom the operator must provide the services, the conditions specified in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00E04E28" w:rsidRPr="00662611">
        <w:rPr>
          <w:szCs w:val="19"/>
        </w:rPr>
        <w:t xml:space="preserve"> </w:t>
      </w:r>
      <w:r w:rsidRPr="00662611">
        <w:rPr>
          <w:szCs w:val="19"/>
        </w:rPr>
        <w:t xml:space="preserve">are met. </w:t>
      </w:r>
    </w:p>
    <w:p w14:paraId="7D92724A" w14:textId="7E2A70E2" w:rsidR="002A4DAA" w:rsidRPr="00662611" w:rsidRDefault="002A4DAA" w:rsidP="00A51015">
      <w:pPr>
        <w:pStyle w:val="IASBSectionTitle3Ind"/>
        <w:outlineLvl w:val="3"/>
      </w:pPr>
      <w:r w:rsidRPr="00662611">
        <w:t>Regulation</w:t>
      </w:r>
    </w:p>
    <w:p w14:paraId="7D92724B" w14:textId="2CC4E606" w:rsidR="007F25BA" w:rsidRDefault="00415768" w:rsidP="003102C2">
      <w:pPr>
        <w:pStyle w:val="NumAG1"/>
        <w:ind w:left="784" w:hanging="784"/>
        <w:rPr>
          <w:szCs w:val="19"/>
        </w:rPr>
      </w:pPr>
      <w:r w:rsidRPr="00662611">
        <w:rPr>
          <w:szCs w:val="19"/>
        </w:rPr>
        <w:t xml:space="preserve">If a service concession contract by itself does not result in the grantor having </w:t>
      </w:r>
      <w:r w:rsidR="00585900" w:rsidRPr="00662611">
        <w:rPr>
          <w:szCs w:val="19"/>
        </w:rPr>
        <w:t xml:space="preserve">explicit </w:t>
      </w:r>
      <w:r w:rsidRPr="00662611">
        <w:rPr>
          <w:szCs w:val="19"/>
        </w:rPr>
        <w:t xml:space="preserve">control over the services and/or pricing of the services, the grantor </w:t>
      </w:r>
      <w:r w:rsidR="00E97E3E" w:rsidRPr="00662611">
        <w:rPr>
          <w:szCs w:val="19"/>
        </w:rPr>
        <w:t>m</w:t>
      </w:r>
      <w:r w:rsidR="00E97E3E">
        <w:rPr>
          <w:szCs w:val="19"/>
        </w:rPr>
        <w:t>ight</w:t>
      </w:r>
      <w:r w:rsidR="00E97E3E" w:rsidRPr="00662611">
        <w:rPr>
          <w:szCs w:val="19"/>
        </w:rPr>
        <w:t xml:space="preserve"> </w:t>
      </w:r>
      <w:r w:rsidRPr="00662611">
        <w:rPr>
          <w:szCs w:val="19"/>
        </w:rPr>
        <w:t xml:space="preserve">still have control of the service concession asset as a result of regulation by a third party. </w:t>
      </w:r>
      <w:r w:rsidR="002A4DAA" w:rsidRPr="00662611">
        <w:rPr>
          <w:szCs w:val="19"/>
        </w:rPr>
        <w:t xml:space="preserve">Regulation of what services the operator must provide, to whom it </w:t>
      </w:r>
      <w:r w:rsidR="007F25BA" w:rsidRPr="00662611">
        <w:rPr>
          <w:szCs w:val="19"/>
        </w:rPr>
        <w:t>must provide them, and at what price, in the manner specified in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007F25BA" w:rsidRPr="00662611">
        <w:rPr>
          <w:szCs w:val="19"/>
        </w:rPr>
        <w:t>, is a means by which a grantor can demonstrate control of the substantive benefits of the service concession asset.</w:t>
      </w:r>
      <w:r w:rsidR="00A76545" w:rsidRPr="00662611">
        <w:rPr>
          <w:szCs w:val="19"/>
        </w:rPr>
        <w:t xml:space="preserve"> Grantor control of a service concession asset through regulation does not require the contract to refer to the regulation or the grantor to control or be related to the regulator.</w:t>
      </w:r>
      <w:r w:rsidR="00E45F5B" w:rsidRPr="00662611">
        <w:rPr>
          <w:szCs w:val="19"/>
        </w:rPr>
        <w:t xml:space="preserve"> </w:t>
      </w:r>
      <w:r w:rsidR="00A76545" w:rsidRPr="00662611">
        <w:rPr>
          <w:szCs w:val="19"/>
        </w:rPr>
        <w:t xml:space="preserve">The </w:t>
      </w:r>
      <w:r w:rsidRPr="00662611">
        <w:rPr>
          <w:szCs w:val="19"/>
        </w:rPr>
        <w:t xml:space="preserve">third-party regulator </w:t>
      </w:r>
      <w:r w:rsidR="00A76545" w:rsidRPr="00662611">
        <w:rPr>
          <w:szCs w:val="19"/>
        </w:rPr>
        <w:t>might, for example,</w:t>
      </w:r>
      <w:r w:rsidRPr="00662611">
        <w:rPr>
          <w:szCs w:val="19"/>
        </w:rPr>
        <w:t xml:space="preserve"> regulate other entities that operate in the same industry or sector as the grantor. </w:t>
      </w:r>
      <w:r w:rsidR="00A76545" w:rsidRPr="00662611">
        <w:rPr>
          <w:szCs w:val="19"/>
        </w:rPr>
        <w:t xml:space="preserve">This </w:t>
      </w:r>
      <w:r w:rsidRPr="00662611">
        <w:rPr>
          <w:szCs w:val="19"/>
        </w:rPr>
        <w:t>includes circumstances in which the grantor buys all of the services as well as those in which some or all of the services are bought by other users.</w:t>
      </w:r>
    </w:p>
    <w:p w14:paraId="03A13750" w14:textId="5AD3B414" w:rsidR="00BC5AAE" w:rsidRPr="00662611" w:rsidRDefault="00BC5AAE" w:rsidP="00BC5AAE">
      <w:pPr>
        <w:pStyle w:val="IASBSectionTitle4Ind"/>
      </w:pPr>
      <w:r>
        <w:t>Regulation of pricing</w:t>
      </w:r>
    </w:p>
    <w:p w14:paraId="7D92724C" w14:textId="181565F0" w:rsidR="0082300A" w:rsidRPr="00662611" w:rsidRDefault="00585900" w:rsidP="003102C2">
      <w:pPr>
        <w:pStyle w:val="NumAG1"/>
        <w:ind w:left="784" w:hanging="784"/>
        <w:rPr>
          <w:szCs w:val="19"/>
        </w:rPr>
      </w:pPr>
      <w:bookmarkStart w:id="60" w:name="_Ref484636100"/>
      <w:r w:rsidRPr="00662611">
        <w:rPr>
          <w:szCs w:val="19"/>
        </w:rPr>
        <w:t xml:space="preserve">Control </w:t>
      </w:r>
      <w:r w:rsidR="002736B7" w:rsidRPr="00662611">
        <w:rPr>
          <w:szCs w:val="19"/>
        </w:rPr>
        <w:t xml:space="preserve">or regulation of the pricing of the services is one of the three factors </w:t>
      </w:r>
      <w:r w:rsidRPr="00662611">
        <w:rPr>
          <w:szCs w:val="19"/>
        </w:rPr>
        <w:t xml:space="preserve">set out in paragraph </w:t>
      </w:r>
      <w:r w:rsidR="009E70C1" w:rsidRPr="00662611">
        <w:rPr>
          <w:szCs w:val="19"/>
        </w:rPr>
        <w:fldChar w:fldCharType="begin"/>
      </w:r>
      <w:r w:rsidR="009E70C1" w:rsidRPr="00662611">
        <w:rPr>
          <w:szCs w:val="19"/>
        </w:rPr>
        <w:instrText xml:space="preserve"> REF _Ref475624505 \r \h </w:instrText>
      </w:r>
      <w:r w:rsidR="009E70C1" w:rsidRPr="00662611">
        <w:rPr>
          <w:szCs w:val="19"/>
        </w:rPr>
      </w:r>
      <w:r w:rsidR="009E70C1" w:rsidRPr="00662611">
        <w:rPr>
          <w:szCs w:val="19"/>
        </w:rPr>
        <w:fldChar w:fldCharType="separate"/>
      </w:r>
      <w:r w:rsidR="00C43128">
        <w:rPr>
          <w:szCs w:val="19"/>
        </w:rPr>
        <w:t>5(a)</w:t>
      </w:r>
      <w:r w:rsidR="009E70C1" w:rsidRPr="00662611">
        <w:rPr>
          <w:szCs w:val="19"/>
        </w:rPr>
        <w:fldChar w:fldCharType="end"/>
      </w:r>
      <w:r w:rsidRPr="00662611">
        <w:rPr>
          <w:szCs w:val="19"/>
        </w:rPr>
        <w:t xml:space="preserve"> </w:t>
      </w:r>
      <w:r w:rsidR="002736B7" w:rsidRPr="00662611">
        <w:rPr>
          <w:szCs w:val="19"/>
        </w:rPr>
        <w:t xml:space="preserve">to be considered </w:t>
      </w:r>
      <w:r w:rsidRPr="00662611">
        <w:rPr>
          <w:szCs w:val="19"/>
        </w:rPr>
        <w:t xml:space="preserve">in </w:t>
      </w:r>
      <w:r w:rsidR="002736B7" w:rsidRPr="00662611">
        <w:rPr>
          <w:szCs w:val="19"/>
        </w:rPr>
        <w:t xml:space="preserve">determining </w:t>
      </w:r>
      <w:r w:rsidRPr="00662611">
        <w:rPr>
          <w:szCs w:val="19"/>
        </w:rPr>
        <w:t xml:space="preserve">whether </w:t>
      </w:r>
      <w:r w:rsidR="002736B7" w:rsidRPr="00662611">
        <w:rPr>
          <w:szCs w:val="19"/>
        </w:rPr>
        <w:t>the grantor control</w:t>
      </w:r>
      <w:r w:rsidRPr="00662611">
        <w:rPr>
          <w:szCs w:val="19"/>
        </w:rPr>
        <w:t>s</w:t>
      </w:r>
      <w:r w:rsidR="002736B7" w:rsidRPr="00662611">
        <w:rPr>
          <w:szCs w:val="19"/>
        </w:rPr>
        <w:t xml:space="preserve"> </w:t>
      </w:r>
      <w:r w:rsidRPr="00662611">
        <w:rPr>
          <w:szCs w:val="19"/>
        </w:rPr>
        <w:t xml:space="preserve">an </w:t>
      </w:r>
      <w:r w:rsidR="002736B7" w:rsidRPr="00662611">
        <w:rPr>
          <w:szCs w:val="19"/>
        </w:rPr>
        <w:t xml:space="preserve">asset </w:t>
      </w:r>
      <w:r w:rsidRPr="00662611">
        <w:rPr>
          <w:szCs w:val="19"/>
        </w:rPr>
        <w:t xml:space="preserve">and should recognise it </w:t>
      </w:r>
      <w:r w:rsidR="002736B7" w:rsidRPr="00662611">
        <w:rPr>
          <w:szCs w:val="19"/>
        </w:rPr>
        <w:t>as a service concession asset</w:t>
      </w:r>
      <w:r w:rsidR="009E70C1" w:rsidRPr="00662611">
        <w:rPr>
          <w:szCs w:val="19"/>
        </w:rPr>
        <w:t>.</w:t>
      </w:r>
      <w:r w:rsidR="002736B7" w:rsidRPr="00662611">
        <w:rPr>
          <w:szCs w:val="19"/>
        </w:rPr>
        <w:t xml:space="preserve"> </w:t>
      </w:r>
      <w:r w:rsidR="00890D37">
        <w:rPr>
          <w:szCs w:val="19"/>
        </w:rPr>
        <w:t xml:space="preserve">For example, a </w:t>
      </w:r>
      <w:r w:rsidR="00890D37" w:rsidRPr="00662611">
        <w:rPr>
          <w:szCs w:val="19"/>
        </w:rPr>
        <w:t xml:space="preserve">regulated price includes a specified price, which may be </w:t>
      </w:r>
      <w:proofErr w:type="gramStart"/>
      <w:r w:rsidR="00890D37" w:rsidRPr="00662611">
        <w:rPr>
          <w:szCs w:val="19"/>
        </w:rPr>
        <w:t>zero</w:t>
      </w:r>
      <w:r w:rsidR="00890D37">
        <w:rPr>
          <w:szCs w:val="19"/>
        </w:rPr>
        <w:t xml:space="preserve">, </w:t>
      </w:r>
      <w:r w:rsidR="00890D37" w:rsidRPr="00662611">
        <w:rPr>
          <w:szCs w:val="19"/>
        </w:rPr>
        <w:t>that</w:t>
      </w:r>
      <w:proofErr w:type="gramEnd"/>
      <w:r w:rsidR="00890D37" w:rsidRPr="00662611">
        <w:rPr>
          <w:szCs w:val="19"/>
        </w:rPr>
        <w:t xml:space="preserve"> the operator can charge for the services of the asset.</w:t>
      </w:r>
      <w:r w:rsidR="00890D37">
        <w:rPr>
          <w:szCs w:val="19"/>
        </w:rPr>
        <w:t xml:space="preserve"> </w:t>
      </w:r>
      <w:r w:rsidR="009E70C1" w:rsidRPr="00662611">
        <w:rPr>
          <w:szCs w:val="19"/>
        </w:rPr>
        <w:t xml:space="preserve">The </w:t>
      </w:r>
      <w:r w:rsidR="002736B7" w:rsidRPr="00662611">
        <w:rPr>
          <w:szCs w:val="19"/>
        </w:rPr>
        <w:t xml:space="preserve">grantor </w:t>
      </w:r>
      <w:r w:rsidR="009E70C1" w:rsidRPr="00662611">
        <w:rPr>
          <w:szCs w:val="19"/>
        </w:rPr>
        <w:t xml:space="preserve">would </w:t>
      </w:r>
      <w:r w:rsidR="002736B7" w:rsidRPr="00662611">
        <w:rPr>
          <w:szCs w:val="19"/>
        </w:rPr>
        <w:t xml:space="preserve">also </w:t>
      </w:r>
      <w:r w:rsidR="009E70C1" w:rsidRPr="00662611">
        <w:rPr>
          <w:szCs w:val="19"/>
        </w:rPr>
        <w:t xml:space="preserve">have to </w:t>
      </w:r>
      <w:r w:rsidR="002736B7" w:rsidRPr="00662611">
        <w:rPr>
          <w:szCs w:val="19"/>
        </w:rPr>
        <w:t xml:space="preserve">control the services </w:t>
      </w:r>
      <w:r w:rsidR="009E70C1" w:rsidRPr="00662611">
        <w:rPr>
          <w:szCs w:val="19"/>
        </w:rPr>
        <w:t xml:space="preserve">to be provided </w:t>
      </w:r>
      <w:r w:rsidR="002736B7" w:rsidRPr="00662611">
        <w:rPr>
          <w:szCs w:val="19"/>
        </w:rPr>
        <w:t>and the recipient</w:t>
      </w:r>
      <w:r w:rsidR="009E70C1" w:rsidRPr="00662611">
        <w:rPr>
          <w:szCs w:val="19"/>
        </w:rPr>
        <w:t>s</w:t>
      </w:r>
      <w:r w:rsidR="002736B7" w:rsidRPr="00662611">
        <w:rPr>
          <w:szCs w:val="19"/>
        </w:rPr>
        <w:t xml:space="preserve"> of the services</w:t>
      </w:r>
      <w:r w:rsidR="009E70C1" w:rsidRPr="00662611">
        <w:rPr>
          <w:szCs w:val="19"/>
        </w:rPr>
        <w:t xml:space="preserve"> in order to recognise a service concession asset</w:t>
      </w:r>
      <w:r w:rsidR="002736B7" w:rsidRPr="00662611">
        <w:rPr>
          <w:szCs w:val="19"/>
        </w:rPr>
        <w:t>. This approach is consistent with the fundamental principle in paragraph</w:t>
      </w:r>
      <w:r w:rsidR="009E70C1" w:rsidRPr="00662611">
        <w:rPr>
          <w:szCs w:val="19"/>
        </w:rPr>
        <w:t xml:space="preserve"> </w:t>
      </w:r>
      <w:r w:rsidR="009E70C1" w:rsidRPr="00662611">
        <w:rPr>
          <w:szCs w:val="19"/>
        </w:rPr>
        <w:fldChar w:fldCharType="begin"/>
      </w:r>
      <w:r w:rsidR="009E70C1" w:rsidRPr="00662611">
        <w:rPr>
          <w:szCs w:val="19"/>
        </w:rPr>
        <w:instrText xml:space="preserve"> REF _Ref484619573 \r \h </w:instrText>
      </w:r>
      <w:r w:rsidR="009E70C1" w:rsidRPr="00662611">
        <w:rPr>
          <w:szCs w:val="19"/>
        </w:rPr>
      </w:r>
      <w:r w:rsidR="009E70C1" w:rsidRPr="00662611">
        <w:rPr>
          <w:szCs w:val="19"/>
        </w:rPr>
        <w:fldChar w:fldCharType="separate"/>
      </w:r>
      <w:r w:rsidR="00C43128">
        <w:rPr>
          <w:szCs w:val="19"/>
        </w:rPr>
        <w:t>B16</w:t>
      </w:r>
      <w:r w:rsidR="009E70C1" w:rsidRPr="00662611">
        <w:rPr>
          <w:szCs w:val="19"/>
        </w:rPr>
        <w:fldChar w:fldCharType="end"/>
      </w:r>
      <w:r w:rsidR="009E70C1" w:rsidRPr="00662611">
        <w:rPr>
          <w:szCs w:val="19"/>
        </w:rPr>
        <w:t xml:space="preserve"> </w:t>
      </w:r>
      <w:r w:rsidR="002736B7" w:rsidRPr="00662611">
        <w:rPr>
          <w:szCs w:val="19"/>
        </w:rPr>
        <w:t xml:space="preserve">of an entity controlling </w:t>
      </w:r>
      <w:r w:rsidR="009E70C1" w:rsidRPr="00662611">
        <w:rPr>
          <w:szCs w:val="19"/>
        </w:rPr>
        <w:t xml:space="preserve">an </w:t>
      </w:r>
      <w:r w:rsidR="002736B7" w:rsidRPr="00662611">
        <w:rPr>
          <w:szCs w:val="19"/>
        </w:rPr>
        <w:t xml:space="preserve">asset if it has the ability to exclude or regulate the access of others to the benefits of </w:t>
      </w:r>
      <w:r w:rsidR="009E70C1" w:rsidRPr="00662611">
        <w:rPr>
          <w:szCs w:val="19"/>
        </w:rPr>
        <w:t xml:space="preserve">the </w:t>
      </w:r>
      <w:r w:rsidR="002736B7" w:rsidRPr="00662611">
        <w:rPr>
          <w:szCs w:val="19"/>
        </w:rPr>
        <w:t>asset.</w:t>
      </w:r>
      <w:r w:rsidR="007A75E0" w:rsidRPr="00662611">
        <w:rPr>
          <w:szCs w:val="19"/>
        </w:rPr>
        <w:t xml:space="preserve"> </w:t>
      </w:r>
      <w:r w:rsidR="00C2799E" w:rsidRPr="00662611">
        <w:rPr>
          <w:szCs w:val="19"/>
        </w:rPr>
        <w:t xml:space="preserve">For </w:t>
      </w:r>
      <w:r w:rsidR="007756FA" w:rsidRPr="00662611">
        <w:rPr>
          <w:szCs w:val="19"/>
        </w:rPr>
        <w:t xml:space="preserve">example, for </w:t>
      </w:r>
      <w:r w:rsidR="00C2799E" w:rsidRPr="00662611">
        <w:rPr>
          <w:szCs w:val="19"/>
        </w:rPr>
        <w:t>the purpose of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00C2799E" w:rsidRPr="00662611">
        <w:rPr>
          <w:szCs w:val="19"/>
        </w:rPr>
        <w:t xml:space="preserve">, the grantor does not need to have complete control of the price: it is sufficient for the price to be regulated by the grantor, or </w:t>
      </w:r>
      <w:r w:rsidR="00C679B2" w:rsidRPr="00662611">
        <w:rPr>
          <w:szCs w:val="19"/>
        </w:rPr>
        <w:t xml:space="preserve">by </w:t>
      </w:r>
      <w:r w:rsidR="00C2799E" w:rsidRPr="00662611">
        <w:rPr>
          <w:szCs w:val="19"/>
        </w:rPr>
        <w:t>a third-party regulator (eg by a capping mechanism).</w:t>
      </w:r>
      <w:r w:rsidR="000F092C" w:rsidRPr="00662611">
        <w:rPr>
          <w:szCs w:val="19"/>
        </w:rPr>
        <w:t xml:space="preserve"> Prices are </w:t>
      </w:r>
      <w:r w:rsidR="00476A7A">
        <w:rPr>
          <w:szCs w:val="19"/>
        </w:rPr>
        <w:t>regarded as</w:t>
      </w:r>
      <w:r w:rsidR="000F092C" w:rsidRPr="00662611">
        <w:rPr>
          <w:szCs w:val="19"/>
        </w:rPr>
        <w:t xml:space="preserve"> controlled by the grantor in a regulated environment when a third-party regulator regulates the pricing of the services provided with a service concession asset. </w:t>
      </w:r>
      <w:r w:rsidR="00B52107" w:rsidRPr="00662611">
        <w:rPr>
          <w:szCs w:val="19"/>
        </w:rPr>
        <w:t xml:space="preserve">The regulation </w:t>
      </w:r>
      <w:r w:rsidR="000F092C" w:rsidRPr="00662611">
        <w:rPr>
          <w:szCs w:val="19"/>
        </w:rPr>
        <w:t xml:space="preserve">removes the ability of the operator to </w:t>
      </w:r>
      <w:r w:rsidR="00E97E3E">
        <w:rPr>
          <w:szCs w:val="19"/>
        </w:rPr>
        <w:t xml:space="preserve">determine </w:t>
      </w:r>
      <w:r w:rsidR="000F092C" w:rsidRPr="00662611">
        <w:rPr>
          <w:szCs w:val="19"/>
        </w:rPr>
        <w:t>the price and, for the purpose of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000F092C" w:rsidRPr="00662611">
        <w:rPr>
          <w:szCs w:val="19"/>
        </w:rPr>
        <w:t>, the pricing of the services is considered to be set implicitly by the grantor</w:t>
      </w:r>
      <w:r w:rsidR="00C11C36" w:rsidRPr="00662611">
        <w:rPr>
          <w:szCs w:val="19"/>
        </w:rPr>
        <w:t xml:space="preserve"> </w:t>
      </w:r>
      <w:r w:rsidR="00476A7A">
        <w:rPr>
          <w:szCs w:val="19"/>
        </w:rPr>
        <w:t>as the contract between the grantor and the operator effectively incorporates the price regulation. In some cases,</w:t>
      </w:r>
      <w:r w:rsidR="00476A7A" w:rsidRPr="00662611">
        <w:rPr>
          <w:szCs w:val="19"/>
        </w:rPr>
        <w:t xml:space="preserve"> </w:t>
      </w:r>
      <w:r w:rsidR="00C11C36" w:rsidRPr="00662611">
        <w:rPr>
          <w:szCs w:val="19"/>
        </w:rPr>
        <w:t>the grantor could have specified an alternative pricing regime but has chosen not to</w:t>
      </w:r>
      <w:r w:rsidR="009E70C1" w:rsidRPr="00662611">
        <w:rPr>
          <w:szCs w:val="19"/>
        </w:rPr>
        <w:t xml:space="preserve"> do so</w:t>
      </w:r>
      <w:r w:rsidR="00C11C36" w:rsidRPr="00662611">
        <w:rPr>
          <w:szCs w:val="19"/>
        </w:rPr>
        <w:t xml:space="preserve">, effectively </w:t>
      </w:r>
      <w:r w:rsidR="009E70C1" w:rsidRPr="00662611">
        <w:rPr>
          <w:szCs w:val="19"/>
        </w:rPr>
        <w:t xml:space="preserve">asserting </w:t>
      </w:r>
      <w:r w:rsidR="00C11C36" w:rsidRPr="00662611">
        <w:rPr>
          <w:szCs w:val="19"/>
        </w:rPr>
        <w:t>‘passive’ control</w:t>
      </w:r>
      <w:r w:rsidR="00697586">
        <w:rPr>
          <w:szCs w:val="19"/>
        </w:rPr>
        <w:t xml:space="preserve"> of the pricing</w:t>
      </w:r>
      <w:r w:rsidR="000F092C" w:rsidRPr="00662611">
        <w:rPr>
          <w:szCs w:val="19"/>
        </w:rPr>
        <w:t>.</w:t>
      </w:r>
      <w:r w:rsidR="00C2799E" w:rsidRPr="00662611">
        <w:rPr>
          <w:szCs w:val="19"/>
        </w:rPr>
        <w:t xml:space="preserve"> </w:t>
      </w:r>
      <w:r w:rsidR="007A75E0" w:rsidRPr="00662611">
        <w:rPr>
          <w:szCs w:val="19"/>
        </w:rPr>
        <w:t xml:space="preserve">If the contract specifies the grantor controls the services and the recipients of the services, the third-party regulation of the pricing of the services </w:t>
      </w:r>
      <w:r w:rsidR="00DE6E49" w:rsidRPr="00662611">
        <w:rPr>
          <w:szCs w:val="19"/>
        </w:rPr>
        <w:t>means</w:t>
      </w:r>
      <w:r w:rsidR="007A75E0" w:rsidRPr="00662611">
        <w:rPr>
          <w:szCs w:val="19"/>
        </w:rPr>
        <w:t xml:space="preserve"> </w:t>
      </w:r>
      <w:r w:rsidR="009E70C1" w:rsidRPr="00662611">
        <w:rPr>
          <w:szCs w:val="19"/>
        </w:rPr>
        <w:t xml:space="preserve">that </w:t>
      </w:r>
      <w:r w:rsidR="007A75E0" w:rsidRPr="00662611">
        <w:rPr>
          <w:szCs w:val="19"/>
        </w:rPr>
        <w:t xml:space="preserve">the operator does not control the pricing </w:t>
      </w:r>
      <w:r w:rsidR="00B647BE" w:rsidRPr="00662611">
        <w:rPr>
          <w:szCs w:val="19"/>
        </w:rPr>
        <w:t xml:space="preserve">or </w:t>
      </w:r>
      <w:r w:rsidR="007A75E0" w:rsidRPr="00662611">
        <w:rPr>
          <w:szCs w:val="19"/>
        </w:rPr>
        <w:t xml:space="preserve">the other criteria specified in </w:t>
      </w:r>
      <w:r w:rsidR="00066430" w:rsidRPr="00662611">
        <w:rPr>
          <w:szCs w:val="19"/>
        </w:rPr>
        <w:t xml:space="preserve">paragraph </w:t>
      </w:r>
      <w:r w:rsidR="00066430" w:rsidRPr="00662611">
        <w:rPr>
          <w:szCs w:val="19"/>
        </w:rPr>
        <w:fldChar w:fldCharType="begin"/>
      </w:r>
      <w:r w:rsidR="00066430" w:rsidRPr="00662611">
        <w:rPr>
          <w:szCs w:val="19"/>
        </w:rPr>
        <w:instrText xml:space="preserve"> REF _Ref475624505 \r \h </w:instrText>
      </w:r>
      <w:r w:rsidR="00066430" w:rsidRPr="00662611">
        <w:rPr>
          <w:szCs w:val="19"/>
        </w:rPr>
      </w:r>
      <w:r w:rsidR="00066430" w:rsidRPr="00662611">
        <w:rPr>
          <w:szCs w:val="19"/>
        </w:rPr>
        <w:fldChar w:fldCharType="separate"/>
      </w:r>
      <w:r w:rsidR="00C43128">
        <w:rPr>
          <w:szCs w:val="19"/>
        </w:rPr>
        <w:t>5(a)</w:t>
      </w:r>
      <w:r w:rsidR="00066430" w:rsidRPr="00662611">
        <w:rPr>
          <w:szCs w:val="19"/>
        </w:rPr>
        <w:fldChar w:fldCharType="end"/>
      </w:r>
      <w:r w:rsidR="007A75E0" w:rsidRPr="00662611">
        <w:rPr>
          <w:szCs w:val="19"/>
        </w:rPr>
        <w:t xml:space="preserve">, </w:t>
      </w:r>
      <w:r w:rsidR="00DE6E49" w:rsidRPr="00662611">
        <w:rPr>
          <w:szCs w:val="19"/>
        </w:rPr>
        <w:t xml:space="preserve">and </w:t>
      </w:r>
      <w:r w:rsidR="00126BF1" w:rsidRPr="00662611">
        <w:rPr>
          <w:szCs w:val="19"/>
        </w:rPr>
        <w:t>accordingly</w:t>
      </w:r>
      <w:r w:rsidR="007A75E0" w:rsidRPr="00662611">
        <w:rPr>
          <w:szCs w:val="19"/>
        </w:rPr>
        <w:t xml:space="preserve"> the</w:t>
      </w:r>
      <w:r w:rsidR="00126BF1" w:rsidRPr="00662611">
        <w:rPr>
          <w:szCs w:val="19"/>
        </w:rPr>
        <w:t xml:space="preserve"> grantor</w:t>
      </w:r>
      <w:r w:rsidR="007A75E0" w:rsidRPr="00662611">
        <w:rPr>
          <w:szCs w:val="19"/>
        </w:rPr>
        <w:t xml:space="preserve"> </w:t>
      </w:r>
      <w:r w:rsidR="00DE6E49" w:rsidRPr="00662611">
        <w:rPr>
          <w:szCs w:val="19"/>
        </w:rPr>
        <w:t>control</w:t>
      </w:r>
      <w:r w:rsidR="00126BF1" w:rsidRPr="00662611">
        <w:rPr>
          <w:szCs w:val="19"/>
        </w:rPr>
        <w:t>s</w:t>
      </w:r>
      <w:r w:rsidR="003F68CC" w:rsidRPr="00662611">
        <w:rPr>
          <w:szCs w:val="19"/>
        </w:rPr>
        <w:t xml:space="preserve"> </w:t>
      </w:r>
      <w:r w:rsidR="00DE6E49" w:rsidRPr="00662611">
        <w:rPr>
          <w:szCs w:val="19"/>
        </w:rPr>
        <w:t>the asset.</w:t>
      </w:r>
      <w:r w:rsidR="00126BF1" w:rsidRPr="00662611">
        <w:rPr>
          <w:szCs w:val="19"/>
        </w:rPr>
        <w:t xml:space="preserve"> If the operator is able to determine </w:t>
      </w:r>
      <w:r w:rsidR="00066430" w:rsidRPr="00662611">
        <w:rPr>
          <w:szCs w:val="19"/>
        </w:rPr>
        <w:t xml:space="preserve">to </w:t>
      </w:r>
      <w:r w:rsidR="00126BF1" w:rsidRPr="00662611">
        <w:rPr>
          <w:szCs w:val="19"/>
        </w:rPr>
        <w:t>who</w:t>
      </w:r>
      <w:r w:rsidR="00066430" w:rsidRPr="00662611">
        <w:rPr>
          <w:szCs w:val="19"/>
        </w:rPr>
        <w:t>m</w:t>
      </w:r>
      <w:r w:rsidR="00126BF1" w:rsidRPr="00662611">
        <w:rPr>
          <w:szCs w:val="19"/>
        </w:rPr>
        <w:t xml:space="preserve"> the services are provided, but is subject to </w:t>
      </w:r>
      <w:r w:rsidR="00B647BE" w:rsidRPr="00662611">
        <w:rPr>
          <w:szCs w:val="19"/>
        </w:rPr>
        <w:t xml:space="preserve">grantor </w:t>
      </w:r>
      <w:r w:rsidR="00126BF1" w:rsidRPr="00662611">
        <w:rPr>
          <w:szCs w:val="19"/>
        </w:rPr>
        <w:t>control over what services may be provided and the pricing, the grantor does not control the asset.</w:t>
      </w:r>
      <w:r w:rsidR="00B647BE" w:rsidRPr="00662611">
        <w:rPr>
          <w:szCs w:val="19"/>
        </w:rPr>
        <w:t xml:space="preserve"> The accompanying Implementation Guidance illustrates common types of arrangements where the grantor or the operator might control the various factors.</w:t>
      </w:r>
      <w:bookmarkEnd w:id="60"/>
    </w:p>
    <w:p w14:paraId="7D92724D" w14:textId="2114788E" w:rsidR="00C2799E" w:rsidRPr="00662611" w:rsidRDefault="00C2799E" w:rsidP="003102C2">
      <w:pPr>
        <w:pStyle w:val="NumAG1"/>
        <w:ind w:left="784" w:hanging="784"/>
        <w:rPr>
          <w:szCs w:val="19"/>
        </w:rPr>
      </w:pPr>
      <w:bookmarkStart w:id="61" w:name="_Ref486146828"/>
      <w:r w:rsidRPr="00662611">
        <w:rPr>
          <w:szCs w:val="19"/>
        </w:rPr>
        <w:t xml:space="preserve">Where a third-party regulator regulates the </w:t>
      </w:r>
      <w:r w:rsidR="00C679B2" w:rsidRPr="00662611">
        <w:rPr>
          <w:szCs w:val="19"/>
        </w:rPr>
        <w:t xml:space="preserve">pricing or the </w:t>
      </w:r>
      <w:r w:rsidRPr="00662611">
        <w:rPr>
          <w:szCs w:val="19"/>
        </w:rPr>
        <w:t>services that the asset must provide (as specified in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Pr="00662611">
        <w:rPr>
          <w:szCs w:val="19"/>
        </w:rPr>
        <w:t xml:space="preserve">), it is not essential for the grantor to </w:t>
      </w:r>
      <w:r w:rsidR="009A2029" w:rsidRPr="00662611">
        <w:rPr>
          <w:szCs w:val="19"/>
        </w:rPr>
        <w:t xml:space="preserve">control or </w:t>
      </w:r>
      <w:r w:rsidRPr="00662611">
        <w:rPr>
          <w:szCs w:val="19"/>
        </w:rPr>
        <w:t xml:space="preserve">direct the activities of the third-party regulator for the grantor to have control of the service concession asset. For example, a State grantor in a service concession arrangement might meet the </w:t>
      </w:r>
      <w:r w:rsidR="006855F9">
        <w:rPr>
          <w:szCs w:val="19"/>
        </w:rPr>
        <w:t xml:space="preserve">regulated pricing </w:t>
      </w:r>
      <w:r w:rsidRPr="00662611">
        <w:rPr>
          <w:szCs w:val="19"/>
        </w:rPr>
        <w:t>condition specified in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Pr="00662611">
        <w:rPr>
          <w:szCs w:val="19"/>
        </w:rPr>
        <w:t xml:space="preserve"> even though the relevant regulation is carried out by an independent Commonwealth regulator. Furthermore, it is not necessary for the grantor to refer to the regulator in the contract. The grantor might rely on the regulator exercising its powers within the parameters </w:t>
      </w:r>
      <w:r w:rsidR="002C11DB" w:rsidRPr="00662611">
        <w:rPr>
          <w:szCs w:val="19"/>
        </w:rPr>
        <w:t>applicable to</w:t>
      </w:r>
      <w:r w:rsidR="007756FA" w:rsidRPr="00662611">
        <w:rPr>
          <w:szCs w:val="19"/>
        </w:rPr>
        <w:t xml:space="preserve"> </w:t>
      </w:r>
      <w:r w:rsidRPr="00662611">
        <w:rPr>
          <w:szCs w:val="19"/>
        </w:rPr>
        <w:t xml:space="preserve">the regulator </w:t>
      </w:r>
      <w:r w:rsidR="002C11DB" w:rsidRPr="00662611">
        <w:rPr>
          <w:szCs w:val="19"/>
        </w:rPr>
        <w:t>at the inception of the contract.</w:t>
      </w:r>
      <w:bookmarkEnd w:id="61"/>
      <w:r w:rsidRPr="00662611">
        <w:rPr>
          <w:szCs w:val="19"/>
        </w:rPr>
        <w:t xml:space="preserve"> </w:t>
      </w:r>
    </w:p>
    <w:p w14:paraId="7D92724E" w14:textId="48726C21" w:rsidR="00C2799E" w:rsidRPr="00662611" w:rsidRDefault="00697586" w:rsidP="003102C2">
      <w:pPr>
        <w:pStyle w:val="NumAG1"/>
        <w:ind w:left="784" w:hanging="784"/>
        <w:rPr>
          <w:szCs w:val="19"/>
        </w:rPr>
      </w:pPr>
      <w:bookmarkStart w:id="62" w:name="_Ref484771549"/>
      <w:r>
        <w:rPr>
          <w:szCs w:val="19"/>
        </w:rPr>
        <w:t>G</w:t>
      </w:r>
      <w:r w:rsidR="00C2799E" w:rsidRPr="00662611">
        <w:rPr>
          <w:szCs w:val="19"/>
        </w:rPr>
        <w:t>overnments</w:t>
      </w:r>
      <w:r>
        <w:rPr>
          <w:szCs w:val="19"/>
        </w:rPr>
        <w:t xml:space="preserve"> often</w:t>
      </w:r>
      <w:r w:rsidR="00C2799E" w:rsidRPr="00662611">
        <w:rPr>
          <w:szCs w:val="19"/>
        </w:rPr>
        <w:t xml:space="preserve"> have the power to regulate the behaviour of entities operating in certain sectors of the economy, either directly or through specifically created agencies. For the purpose of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00C2799E" w:rsidRPr="00662611">
        <w:rPr>
          <w:szCs w:val="19"/>
        </w:rPr>
        <w:t xml:space="preserve">, such broad regulatory powers do not constitute control. In this Standard, the term ‘regulate’ is intended to be </w:t>
      </w:r>
      <w:r w:rsidR="009E70C1" w:rsidRPr="00662611">
        <w:rPr>
          <w:szCs w:val="19"/>
        </w:rPr>
        <w:t xml:space="preserve">applied only in the context of the terms and conditions of the service concession arrangement. </w:t>
      </w:r>
      <w:r w:rsidR="009B70BC">
        <w:rPr>
          <w:szCs w:val="19"/>
        </w:rPr>
        <w:t xml:space="preserve">For </w:t>
      </w:r>
      <w:r w:rsidR="009E70C1" w:rsidRPr="00662611">
        <w:rPr>
          <w:szCs w:val="19"/>
        </w:rPr>
        <w:t xml:space="preserve">example, </w:t>
      </w:r>
      <w:r w:rsidR="00C2799E" w:rsidRPr="00662611">
        <w:rPr>
          <w:szCs w:val="19"/>
        </w:rPr>
        <w:t xml:space="preserve">a regulator of rail services may determine rates that apply to the rail industry as a whole. Depending on the legal framework in a jurisdiction, such rates may be implicit in the contract governing a service concession arrangement involving the provision of railway transportation, or they may be specifically referred to therein. However, in both cases, the control of the </w:t>
      </w:r>
      <w:r w:rsidR="00CE500D" w:rsidRPr="00662611">
        <w:rPr>
          <w:szCs w:val="19"/>
        </w:rPr>
        <w:t xml:space="preserve">pricing of the </w:t>
      </w:r>
      <w:r w:rsidR="00C2799E" w:rsidRPr="00662611">
        <w:rPr>
          <w:szCs w:val="19"/>
        </w:rPr>
        <w:t>service concession asset is derived from either the contract or the specific regulation applicable to rail services</w:t>
      </w:r>
      <w:r w:rsidR="001018AE" w:rsidRPr="00662611">
        <w:rPr>
          <w:szCs w:val="19"/>
        </w:rPr>
        <w:t>,</w:t>
      </w:r>
      <w:r w:rsidR="00C2799E" w:rsidRPr="00662611">
        <w:rPr>
          <w:szCs w:val="19"/>
        </w:rPr>
        <w:t xml:space="preserve"> </w:t>
      </w:r>
      <w:r w:rsidR="001018AE" w:rsidRPr="00662611">
        <w:rPr>
          <w:szCs w:val="19"/>
        </w:rPr>
        <w:t xml:space="preserve">without considering whether </w:t>
      </w:r>
      <w:r w:rsidR="00C2799E" w:rsidRPr="00662611">
        <w:rPr>
          <w:szCs w:val="19"/>
        </w:rPr>
        <w:t>the grantor is related to the regulator of rail service</w:t>
      </w:r>
      <w:r w:rsidR="00D56F58" w:rsidRPr="00662611">
        <w:rPr>
          <w:szCs w:val="19"/>
        </w:rPr>
        <w:t>s</w:t>
      </w:r>
      <w:r w:rsidR="00C2799E" w:rsidRPr="00662611">
        <w:rPr>
          <w:szCs w:val="19"/>
        </w:rPr>
        <w:t>.</w:t>
      </w:r>
      <w:bookmarkEnd w:id="62"/>
      <w:r w:rsidR="00C2799E" w:rsidRPr="00662611">
        <w:rPr>
          <w:szCs w:val="19"/>
        </w:rPr>
        <w:t xml:space="preserve"> </w:t>
      </w:r>
    </w:p>
    <w:p w14:paraId="7D92724F" w14:textId="68AB1C35" w:rsidR="00C2799E" w:rsidRPr="00662611" w:rsidRDefault="00C2799E" w:rsidP="003102C2">
      <w:pPr>
        <w:pStyle w:val="NumAG1"/>
        <w:ind w:left="784" w:hanging="784"/>
        <w:rPr>
          <w:szCs w:val="19"/>
        </w:rPr>
      </w:pPr>
      <w:r w:rsidRPr="00662611">
        <w:rPr>
          <w:szCs w:val="19"/>
        </w:rPr>
        <w:lastRenderedPageBreak/>
        <w:t xml:space="preserve">Where a service concession arrangement does not clearly fall within an existing regulatory framework (eg where there is more than one possible source of regulation), the </w:t>
      </w:r>
      <w:r w:rsidR="00697586">
        <w:rPr>
          <w:szCs w:val="19"/>
        </w:rPr>
        <w:t xml:space="preserve">contract </w:t>
      </w:r>
      <w:r w:rsidRPr="00662611">
        <w:rPr>
          <w:szCs w:val="19"/>
        </w:rPr>
        <w:t xml:space="preserve">will need to incorporate the specific regulatory framework that stipulates the </w:t>
      </w:r>
      <w:r w:rsidR="00D56F58" w:rsidRPr="00662611">
        <w:rPr>
          <w:szCs w:val="19"/>
        </w:rPr>
        <w:t>services</w:t>
      </w:r>
      <w:r w:rsidRPr="00662611">
        <w:rPr>
          <w:szCs w:val="19"/>
        </w:rPr>
        <w:t xml:space="preserve">, the users and/or the pricing to be charged for the services in order for the </w:t>
      </w:r>
      <w:r w:rsidR="002A4DAA" w:rsidRPr="00662611">
        <w:rPr>
          <w:szCs w:val="19"/>
        </w:rPr>
        <w:t>requirements of paragraph</w:t>
      </w:r>
      <w:r w:rsidR="00CE495A" w:rsidRPr="00662611">
        <w:rPr>
          <w:szCs w:val="19"/>
        </w:rPr>
        <w:t>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002A4DAA" w:rsidRPr="00662611">
        <w:rPr>
          <w:szCs w:val="19"/>
        </w:rPr>
        <w:t xml:space="preserve"> to be met.</w:t>
      </w:r>
    </w:p>
    <w:p w14:paraId="7D927250" w14:textId="75E860AB" w:rsidR="000F092C" w:rsidRPr="00662611" w:rsidRDefault="00A76545" w:rsidP="003102C2">
      <w:pPr>
        <w:pStyle w:val="NumAG1"/>
        <w:ind w:left="784" w:hanging="784"/>
        <w:rPr>
          <w:szCs w:val="19"/>
        </w:rPr>
      </w:pPr>
      <w:r w:rsidRPr="00662611">
        <w:rPr>
          <w:szCs w:val="19"/>
        </w:rPr>
        <w:t xml:space="preserve">For a grantor to control any of the factors listed </w:t>
      </w:r>
      <w:r w:rsidR="000F092C" w:rsidRPr="00662611">
        <w:rPr>
          <w:szCs w:val="19"/>
        </w:rPr>
        <w:t xml:space="preserve">in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000F092C" w:rsidRPr="00662611">
        <w:rPr>
          <w:szCs w:val="19"/>
        </w:rPr>
        <w:t xml:space="preserve"> </w:t>
      </w:r>
      <w:r w:rsidRPr="00662611">
        <w:rPr>
          <w:szCs w:val="19"/>
        </w:rPr>
        <w:t xml:space="preserve">through third-party regulation, the regulation must be substantive. </w:t>
      </w:r>
      <w:r w:rsidR="000F092C" w:rsidRPr="00662611">
        <w:rPr>
          <w:szCs w:val="19"/>
        </w:rPr>
        <w:t>Non-substantive features, such as a cap that will apply only in remote circumstances, shall be ignored. Conversely, if, for example, an arrangement purports to give the operator freedom to set prices but any excess profit is returned to the grantor, the operator’s return is capped and the price element of the control test is met.</w:t>
      </w:r>
    </w:p>
    <w:p w14:paraId="5D4B1F43" w14:textId="181DA97C" w:rsidR="007D677C" w:rsidRPr="007D677C" w:rsidRDefault="007D677C" w:rsidP="007D677C">
      <w:pPr>
        <w:pStyle w:val="IASBSectionTitle4Ind"/>
      </w:pPr>
      <w:bookmarkStart w:id="63" w:name="_Ref484634828"/>
      <w:r w:rsidRPr="007D677C">
        <w:t>Partly regulated asset</w:t>
      </w:r>
    </w:p>
    <w:p w14:paraId="7D927251" w14:textId="732F84C3" w:rsidR="00C2799E" w:rsidRPr="00662611" w:rsidRDefault="00C2799E" w:rsidP="003102C2">
      <w:pPr>
        <w:pStyle w:val="NumAG1"/>
        <w:ind w:left="784" w:hanging="784"/>
        <w:rPr>
          <w:szCs w:val="19"/>
        </w:rPr>
      </w:pPr>
      <w:r w:rsidRPr="00662611">
        <w:rPr>
          <w:szCs w:val="19"/>
        </w:rPr>
        <w:t>Sometimes the use of a service concession asset is partly regulated in the manner described in paragraph </w:t>
      </w:r>
      <w:r w:rsidR="009B5874" w:rsidRPr="00662611">
        <w:rPr>
          <w:szCs w:val="19"/>
        </w:rPr>
        <w:fldChar w:fldCharType="begin"/>
      </w:r>
      <w:r w:rsidR="009B5874" w:rsidRPr="00662611">
        <w:rPr>
          <w:szCs w:val="19"/>
        </w:rPr>
        <w:instrText xml:space="preserve"> REF _Ref475624505 \r \h </w:instrText>
      </w:r>
      <w:r w:rsidR="009B5874" w:rsidRPr="00662611">
        <w:rPr>
          <w:szCs w:val="19"/>
        </w:rPr>
      </w:r>
      <w:r w:rsidR="009B5874" w:rsidRPr="00662611">
        <w:rPr>
          <w:szCs w:val="19"/>
        </w:rPr>
        <w:fldChar w:fldCharType="separate"/>
      </w:r>
      <w:r w:rsidR="00C43128">
        <w:rPr>
          <w:szCs w:val="19"/>
        </w:rPr>
        <w:t>5(a)</w:t>
      </w:r>
      <w:r w:rsidR="009B5874" w:rsidRPr="00662611">
        <w:rPr>
          <w:szCs w:val="19"/>
        </w:rPr>
        <w:fldChar w:fldCharType="end"/>
      </w:r>
      <w:r w:rsidRPr="00662611">
        <w:rPr>
          <w:szCs w:val="19"/>
        </w:rPr>
        <w:t xml:space="preserve"> and partly unregulated.  </w:t>
      </w:r>
      <w:r w:rsidR="00D56F58" w:rsidRPr="00662611">
        <w:rPr>
          <w:szCs w:val="19"/>
        </w:rPr>
        <w:t>T</w:t>
      </w:r>
      <w:r w:rsidRPr="00662611">
        <w:rPr>
          <w:szCs w:val="19"/>
        </w:rPr>
        <w:t xml:space="preserve">hese arrangements </w:t>
      </w:r>
      <w:r w:rsidR="00D56F58" w:rsidRPr="00662611">
        <w:rPr>
          <w:szCs w:val="19"/>
        </w:rPr>
        <w:t xml:space="preserve">may </w:t>
      </w:r>
      <w:r w:rsidRPr="00662611">
        <w:rPr>
          <w:szCs w:val="19"/>
        </w:rPr>
        <w:t>take a variety of forms</w:t>
      </w:r>
      <w:r w:rsidR="00D56F58" w:rsidRPr="00662611">
        <w:rPr>
          <w:szCs w:val="19"/>
        </w:rPr>
        <w:t>, such as</w:t>
      </w:r>
      <w:r w:rsidRPr="00662611">
        <w:rPr>
          <w:szCs w:val="19"/>
        </w:rPr>
        <w:t>:</w:t>
      </w:r>
      <w:bookmarkEnd w:id="63"/>
      <w:r w:rsidRPr="00662611">
        <w:rPr>
          <w:szCs w:val="19"/>
        </w:rPr>
        <w:t xml:space="preserve"> </w:t>
      </w:r>
    </w:p>
    <w:p w14:paraId="7D927252" w14:textId="7E809887" w:rsidR="00C2799E" w:rsidRPr="00662611" w:rsidRDefault="006172CE" w:rsidP="006172CE">
      <w:pPr>
        <w:pStyle w:val="NumAG2"/>
        <w:ind w:left="1564" w:hanging="782"/>
      </w:pPr>
      <w:bookmarkStart w:id="64" w:name="_Ref475625025"/>
      <w:r>
        <w:tab/>
      </w:r>
      <w:r w:rsidR="00C2799E" w:rsidRPr="00662611">
        <w:t>any asset that is physically separable and capable of being operated independently and meets the definition of a cash-generating unit as defined in AASB 136 is analysed separately to determine whether the condition</w:t>
      </w:r>
      <w:r w:rsidR="00B75006">
        <w:t>s</w:t>
      </w:r>
      <w:r w:rsidR="00C2799E" w:rsidRPr="00662611">
        <w:t xml:space="preserve"> set out in paragraph </w:t>
      </w:r>
      <w:r w:rsidR="009B5874" w:rsidRPr="00662611">
        <w:fldChar w:fldCharType="begin"/>
      </w:r>
      <w:r w:rsidR="009B5874" w:rsidRPr="00662611">
        <w:instrText xml:space="preserve"> REF _Ref475624505 \r \h </w:instrText>
      </w:r>
      <w:r w:rsidR="009B5874" w:rsidRPr="00662611">
        <w:fldChar w:fldCharType="separate"/>
      </w:r>
      <w:r w:rsidR="00C43128">
        <w:t>5(a)</w:t>
      </w:r>
      <w:r w:rsidR="009B5874" w:rsidRPr="00662611">
        <w:fldChar w:fldCharType="end"/>
      </w:r>
      <w:r w:rsidR="00C2799E" w:rsidRPr="00662611">
        <w:t xml:space="preserve"> </w:t>
      </w:r>
      <w:r w:rsidR="00B75006">
        <w:t>are</w:t>
      </w:r>
      <w:r w:rsidR="00B75006" w:rsidRPr="00662611">
        <w:t xml:space="preserve"> </w:t>
      </w:r>
      <w:r w:rsidR="00C2799E" w:rsidRPr="00662611">
        <w:t>met if it is used wholly for unregulated purposes (eg this might apply to a private wing of a hospital, where the remainder of the hospital is used to treat public patients); and</w:t>
      </w:r>
      <w:bookmarkEnd w:id="64"/>
      <w:r w:rsidR="00C2799E" w:rsidRPr="00662611">
        <w:t xml:space="preserve"> </w:t>
      </w:r>
    </w:p>
    <w:p w14:paraId="7D927253" w14:textId="1AFBE2ED" w:rsidR="00C2799E" w:rsidRPr="00662611" w:rsidRDefault="006172CE" w:rsidP="006172CE">
      <w:pPr>
        <w:pStyle w:val="NumAG2"/>
        <w:ind w:left="1564" w:hanging="782"/>
      </w:pPr>
      <w:bookmarkStart w:id="65" w:name="_Ref475625032"/>
      <w:r>
        <w:tab/>
      </w:r>
      <w:r w:rsidR="00C2799E" w:rsidRPr="00662611">
        <w:t>when purely ancillary activities (such as a hospital shop) are unregulated, the control tests shall be applied as if those services did not exist, because in cases in which the grantor controls the services in the manner described in paragraph </w:t>
      </w:r>
      <w:r w:rsidR="009B5874" w:rsidRPr="00662611">
        <w:fldChar w:fldCharType="begin"/>
      </w:r>
      <w:r w:rsidR="009B5874" w:rsidRPr="00662611">
        <w:instrText xml:space="preserve"> REF _Ref475624505 \r \h </w:instrText>
      </w:r>
      <w:r w:rsidR="009B5874" w:rsidRPr="00662611">
        <w:fldChar w:fldCharType="separate"/>
      </w:r>
      <w:r w:rsidR="00C43128">
        <w:t>5(a)</w:t>
      </w:r>
      <w:r w:rsidR="009B5874" w:rsidRPr="00662611">
        <w:fldChar w:fldCharType="end"/>
      </w:r>
      <w:r w:rsidR="00C2799E" w:rsidRPr="00662611">
        <w:t>, the existence of ancillary activities does not detract from the grantor’s control of the service concession asset.</w:t>
      </w:r>
      <w:bookmarkEnd w:id="65"/>
      <w:r w:rsidR="00C2799E" w:rsidRPr="00662611">
        <w:t xml:space="preserve"> </w:t>
      </w:r>
    </w:p>
    <w:p w14:paraId="7D927254" w14:textId="77777777" w:rsidR="00C2799E" w:rsidRPr="00662611" w:rsidRDefault="00C2799E" w:rsidP="003102C2">
      <w:pPr>
        <w:pStyle w:val="NumAG1"/>
        <w:ind w:left="784" w:hanging="784"/>
        <w:rPr>
          <w:szCs w:val="19"/>
        </w:rPr>
      </w:pPr>
      <w:r w:rsidRPr="00662611">
        <w:rPr>
          <w:szCs w:val="19"/>
        </w:rPr>
        <w:t>There may be arrangements that include unregulated services that are neither purely ancillary nor delivered by using a physically separable portion of the total asset. For example, a grantor may control prices charged to children and seniors at a sports facility but the amounts charged to adults are not controlled. The same facilities are being used by all, regardless of the amount they pay. Alternatively, price</w:t>
      </w:r>
      <w:r w:rsidR="00D56F58" w:rsidRPr="00662611">
        <w:rPr>
          <w:szCs w:val="19"/>
        </w:rPr>
        <w:t>s</w:t>
      </w:r>
      <w:r w:rsidRPr="00662611">
        <w:rPr>
          <w:szCs w:val="19"/>
        </w:rPr>
        <w:t xml:space="preserve"> could be </w:t>
      </w:r>
      <w:r w:rsidR="00D56F58" w:rsidRPr="00662611">
        <w:rPr>
          <w:szCs w:val="19"/>
        </w:rPr>
        <w:t xml:space="preserve">regulated </w:t>
      </w:r>
      <w:r w:rsidRPr="00662611">
        <w:rPr>
          <w:szCs w:val="19"/>
        </w:rPr>
        <w:t xml:space="preserve">by the grantor for services provided at certain times of the day rather than </w:t>
      </w:r>
      <w:r w:rsidR="00AD5E71" w:rsidRPr="00662611">
        <w:rPr>
          <w:szCs w:val="19"/>
        </w:rPr>
        <w:t xml:space="preserve">for </w:t>
      </w:r>
      <w:r w:rsidRPr="00662611">
        <w:rPr>
          <w:szCs w:val="19"/>
        </w:rPr>
        <w:t>different classes of user</w:t>
      </w:r>
      <w:r w:rsidR="00AD5E71" w:rsidRPr="00662611">
        <w:rPr>
          <w:szCs w:val="19"/>
        </w:rPr>
        <w:t>s</w:t>
      </w:r>
      <w:r w:rsidRPr="00662611">
        <w:rPr>
          <w:szCs w:val="19"/>
        </w:rPr>
        <w:t>. In such cases, it will be a matter of judgement whether enough of the service is regulated in order to demonstrate that the grantor has control of the asset.</w:t>
      </w:r>
    </w:p>
    <w:p w14:paraId="7D927255" w14:textId="5A0680C1" w:rsidR="00C2799E" w:rsidRPr="00662611" w:rsidRDefault="00C2799E" w:rsidP="003102C2">
      <w:pPr>
        <w:pStyle w:val="NumAG1"/>
        <w:ind w:left="784" w:hanging="784"/>
        <w:rPr>
          <w:szCs w:val="19"/>
        </w:rPr>
      </w:pPr>
      <w:r w:rsidRPr="00662611">
        <w:rPr>
          <w:szCs w:val="19"/>
        </w:rPr>
        <w:t xml:space="preserve">The operator may have a right to use the separable asset described in paragraph </w:t>
      </w:r>
      <w:r w:rsidR="006B6DC9" w:rsidRPr="00662611">
        <w:rPr>
          <w:szCs w:val="19"/>
        </w:rPr>
        <w:fldChar w:fldCharType="begin"/>
      </w:r>
      <w:r w:rsidR="006B6DC9" w:rsidRPr="00662611">
        <w:rPr>
          <w:szCs w:val="19"/>
        </w:rPr>
        <w:instrText xml:space="preserve"> REF _Ref475625025 \r \h </w:instrText>
      </w:r>
      <w:r w:rsidR="006B6DC9" w:rsidRPr="00662611">
        <w:rPr>
          <w:szCs w:val="19"/>
        </w:rPr>
      </w:r>
      <w:r w:rsidR="006B6DC9" w:rsidRPr="00662611">
        <w:rPr>
          <w:szCs w:val="19"/>
        </w:rPr>
        <w:fldChar w:fldCharType="separate"/>
      </w:r>
      <w:proofErr w:type="gramStart"/>
      <w:r w:rsidR="00C43128">
        <w:rPr>
          <w:szCs w:val="19"/>
        </w:rPr>
        <w:t>B25(</w:t>
      </w:r>
      <w:proofErr w:type="gramEnd"/>
      <w:r w:rsidR="00C43128">
        <w:rPr>
          <w:szCs w:val="19"/>
        </w:rPr>
        <w:t>a)</w:t>
      </w:r>
      <w:r w:rsidR="006B6DC9" w:rsidRPr="00662611">
        <w:rPr>
          <w:szCs w:val="19"/>
        </w:rPr>
        <w:fldChar w:fldCharType="end"/>
      </w:r>
      <w:r w:rsidRPr="00662611">
        <w:rPr>
          <w:szCs w:val="19"/>
        </w:rPr>
        <w:t xml:space="preserve">, or the facilities used to provide ancillary unregulated services described in paragraph </w:t>
      </w:r>
      <w:r w:rsidR="006B6DC9" w:rsidRPr="00662611">
        <w:rPr>
          <w:szCs w:val="19"/>
        </w:rPr>
        <w:fldChar w:fldCharType="begin"/>
      </w:r>
      <w:r w:rsidR="006B6DC9" w:rsidRPr="00662611">
        <w:rPr>
          <w:szCs w:val="19"/>
        </w:rPr>
        <w:instrText xml:space="preserve"> REF _Ref475625032 \r \h </w:instrText>
      </w:r>
      <w:r w:rsidR="006B6DC9" w:rsidRPr="00662611">
        <w:rPr>
          <w:szCs w:val="19"/>
        </w:rPr>
      </w:r>
      <w:r w:rsidR="006B6DC9" w:rsidRPr="00662611">
        <w:rPr>
          <w:szCs w:val="19"/>
        </w:rPr>
        <w:fldChar w:fldCharType="separate"/>
      </w:r>
      <w:r w:rsidR="00C43128">
        <w:rPr>
          <w:szCs w:val="19"/>
        </w:rPr>
        <w:t>B25(b)</w:t>
      </w:r>
      <w:r w:rsidR="006B6DC9" w:rsidRPr="00662611">
        <w:rPr>
          <w:szCs w:val="19"/>
        </w:rPr>
        <w:fldChar w:fldCharType="end"/>
      </w:r>
      <w:r w:rsidRPr="00662611">
        <w:rPr>
          <w:szCs w:val="19"/>
        </w:rPr>
        <w:t>. In either case, there may in substance be a lease from the grantor to the operator; if so, it shall be accounted for in accordance with AASB </w:t>
      </w:r>
      <w:r w:rsidR="00AD5E71" w:rsidRPr="00662611">
        <w:rPr>
          <w:szCs w:val="19"/>
        </w:rPr>
        <w:t>16</w:t>
      </w:r>
      <w:r w:rsidRPr="00662611">
        <w:rPr>
          <w:szCs w:val="19"/>
        </w:rPr>
        <w:t xml:space="preserve"> </w:t>
      </w:r>
      <w:r w:rsidRPr="00662611">
        <w:rPr>
          <w:i/>
          <w:szCs w:val="19"/>
        </w:rPr>
        <w:t>Leases</w:t>
      </w:r>
      <w:r w:rsidRPr="00662611">
        <w:rPr>
          <w:szCs w:val="19"/>
        </w:rPr>
        <w:t>.</w:t>
      </w:r>
    </w:p>
    <w:p w14:paraId="7D927256" w14:textId="77777777" w:rsidR="005E7BFD" w:rsidRPr="00662611" w:rsidRDefault="005E7BFD" w:rsidP="00EE45A4">
      <w:pPr>
        <w:pStyle w:val="IASBSectionTitle3Ind"/>
        <w:outlineLvl w:val="3"/>
      </w:pPr>
      <w:r w:rsidRPr="00662611">
        <w:t>Control concept in other Australian Accounting Standards</w:t>
      </w:r>
    </w:p>
    <w:p w14:paraId="7D927257" w14:textId="492DE1EB" w:rsidR="005E7BFD" w:rsidRPr="00662611" w:rsidRDefault="002D1311" w:rsidP="003102C2">
      <w:pPr>
        <w:pStyle w:val="NumAG1"/>
        <w:ind w:left="784" w:hanging="784"/>
        <w:rPr>
          <w:szCs w:val="19"/>
        </w:rPr>
      </w:pPr>
      <w:r w:rsidRPr="00662611">
        <w:rPr>
          <w:szCs w:val="19"/>
        </w:rPr>
        <w:t xml:space="preserve">If </w:t>
      </w:r>
      <w:r w:rsidR="00AD5E71" w:rsidRPr="00662611">
        <w:rPr>
          <w:szCs w:val="19"/>
        </w:rPr>
        <w:t>an</w:t>
      </w:r>
      <w:r w:rsidR="005E7BFD" w:rsidRPr="00662611">
        <w:rPr>
          <w:szCs w:val="19"/>
        </w:rPr>
        <w:t xml:space="preserve"> asset meets the conditions in paragraph </w:t>
      </w:r>
      <w:r w:rsidR="000211B8" w:rsidRPr="00662611">
        <w:rPr>
          <w:szCs w:val="19"/>
        </w:rPr>
        <w:fldChar w:fldCharType="begin"/>
      </w:r>
      <w:r w:rsidR="000211B8" w:rsidRPr="00662611">
        <w:rPr>
          <w:szCs w:val="19"/>
        </w:rPr>
        <w:instrText xml:space="preserve"> REF _Ref475619556 \r \h </w:instrText>
      </w:r>
      <w:r w:rsidR="000211B8" w:rsidRPr="00662611">
        <w:rPr>
          <w:szCs w:val="19"/>
        </w:rPr>
      </w:r>
      <w:r w:rsidR="000211B8" w:rsidRPr="00662611">
        <w:rPr>
          <w:szCs w:val="19"/>
        </w:rPr>
        <w:fldChar w:fldCharType="separate"/>
      </w:r>
      <w:r w:rsidR="00C43128">
        <w:rPr>
          <w:szCs w:val="19"/>
        </w:rPr>
        <w:t>5</w:t>
      </w:r>
      <w:r w:rsidR="000211B8" w:rsidRPr="00662611">
        <w:rPr>
          <w:szCs w:val="19"/>
        </w:rPr>
        <w:fldChar w:fldCharType="end"/>
      </w:r>
      <w:r w:rsidR="005E7BFD" w:rsidRPr="00662611">
        <w:rPr>
          <w:szCs w:val="19"/>
        </w:rPr>
        <w:t xml:space="preserve"> (or paragraph </w:t>
      </w:r>
      <w:r w:rsidR="000211B8" w:rsidRPr="00662611">
        <w:rPr>
          <w:szCs w:val="19"/>
        </w:rPr>
        <w:fldChar w:fldCharType="begin"/>
      </w:r>
      <w:r w:rsidR="000211B8" w:rsidRPr="00662611">
        <w:rPr>
          <w:szCs w:val="19"/>
        </w:rPr>
        <w:instrText xml:space="preserve"> REF _Ref475619569 \r \h </w:instrText>
      </w:r>
      <w:r w:rsidR="000211B8" w:rsidRPr="00662611">
        <w:rPr>
          <w:szCs w:val="19"/>
        </w:rPr>
      </w:r>
      <w:r w:rsidR="000211B8" w:rsidRPr="00662611">
        <w:rPr>
          <w:szCs w:val="19"/>
        </w:rPr>
        <w:fldChar w:fldCharType="separate"/>
      </w:r>
      <w:r w:rsidR="00C43128">
        <w:rPr>
          <w:szCs w:val="19"/>
        </w:rPr>
        <w:t>6</w:t>
      </w:r>
      <w:r w:rsidR="000211B8" w:rsidRPr="00662611">
        <w:rPr>
          <w:szCs w:val="19"/>
        </w:rPr>
        <w:fldChar w:fldCharType="end"/>
      </w:r>
      <w:r w:rsidR="005E7BFD" w:rsidRPr="00662611">
        <w:rPr>
          <w:szCs w:val="19"/>
        </w:rPr>
        <w:t>), the grantor control</w:t>
      </w:r>
      <w:r w:rsidR="00EA4D1F" w:rsidRPr="00662611">
        <w:rPr>
          <w:szCs w:val="19"/>
        </w:rPr>
        <w:t>s</w:t>
      </w:r>
      <w:r w:rsidR="005E7BFD" w:rsidRPr="00662611">
        <w:rPr>
          <w:szCs w:val="19"/>
        </w:rPr>
        <w:t xml:space="preserve"> the use of the asset and therefore recognise</w:t>
      </w:r>
      <w:r w:rsidR="00AD5E71" w:rsidRPr="00662611">
        <w:rPr>
          <w:szCs w:val="19"/>
        </w:rPr>
        <w:t>s</w:t>
      </w:r>
      <w:r w:rsidR="005E7BFD" w:rsidRPr="00662611">
        <w:rPr>
          <w:szCs w:val="19"/>
        </w:rPr>
        <w:t xml:space="preserve"> the asset in accordance with this Standard. An asset that does not meet the control criteria of this Standard</w:t>
      </w:r>
      <w:r w:rsidR="00C414B7" w:rsidRPr="00662611">
        <w:rPr>
          <w:szCs w:val="19"/>
        </w:rPr>
        <w:t xml:space="preserve"> is</w:t>
      </w:r>
      <w:r w:rsidR="005E7BFD" w:rsidRPr="00662611">
        <w:rPr>
          <w:szCs w:val="19"/>
        </w:rPr>
        <w:t xml:space="preserve"> assessed to determine whether it </w:t>
      </w:r>
      <w:r w:rsidR="0015790A" w:rsidRPr="00662611">
        <w:rPr>
          <w:szCs w:val="19"/>
        </w:rPr>
        <w:t xml:space="preserve">is </w:t>
      </w:r>
      <w:r w:rsidR="005E7BFD" w:rsidRPr="00662611">
        <w:rPr>
          <w:szCs w:val="19"/>
        </w:rPr>
        <w:t>recognised under another Accounting Standard,</w:t>
      </w:r>
      <w:r w:rsidR="00AD5E71" w:rsidRPr="00662611">
        <w:rPr>
          <w:szCs w:val="19"/>
        </w:rPr>
        <w:t xml:space="preserve"> such as</w:t>
      </w:r>
      <w:r w:rsidR="00EA4D1F" w:rsidRPr="00662611">
        <w:rPr>
          <w:szCs w:val="19"/>
        </w:rPr>
        <w:t xml:space="preserve"> AASB 16,</w:t>
      </w:r>
      <w:r w:rsidR="005E7BFD" w:rsidRPr="00662611">
        <w:rPr>
          <w:szCs w:val="19"/>
        </w:rPr>
        <w:t xml:space="preserve"> AASB</w:t>
      </w:r>
      <w:r w:rsidR="00EA4D1F" w:rsidRPr="00662611">
        <w:rPr>
          <w:szCs w:val="19"/>
        </w:rPr>
        <w:t xml:space="preserve"> </w:t>
      </w:r>
      <w:r w:rsidR="005E7BFD" w:rsidRPr="00662611">
        <w:rPr>
          <w:szCs w:val="19"/>
        </w:rPr>
        <w:t xml:space="preserve">116 </w:t>
      </w:r>
      <w:r w:rsidR="00EA4D1F" w:rsidRPr="00662611">
        <w:rPr>
          <w:szCs w:val="19"/>
        </w:rPr>
        <w:t xml:space="preserve">or </w:t>
      </w:r>
      <w:r w:rsidR="005E7BFD" w:rsidRPr="00662611">
        <w:rPr>
          <w:szCs w:val="19"/>
        </w:rPr>
        <w:t xml:space="preserve">AASB 138. The Implementation Guidance </w:t>
      </w:r>
      <w:r w:rsidR="001018AE" w:rsidRPr="00662611">
        <w:rPr>
          <w:szCs w:val="19"/>
        </w:rPr>
        <w:t xml:space="preserve">accompanying </w:t>
      </w:r>
      <w:r w:rsidR="005E7BFD" w:rsidRPr="00662611">
        <w:rPr>
          <w:szCs w:val="19"/>
        </w:rPr>
        <w:t>this Standard contains a table that highlights the continuum of typical arrangements and relevant accounting requirements.</w:t>
      </w:r>
    </w:p>
    <w:p w14:paraId="7D927258" w14:textId="77777777" w:rsidR="005E7BFD" w:rsidRPr="00662611" w:rsidRDefault="00AD5E71" w:rsidP="00EE45A4">
      <w:pPr>
        <w:pStyle w:val="IASBSectionTitle3Ind"/>
        <w:outlineLvl w:val="3"/>
      </w:pPr>
      <w:r w:rsidRPr="00662611">
        <w:t>Long-term</w:t>
      </w:r>
      <w:r w:rsidR="005E7BFD" w:rsidRPr="00662611">
        <w:t xml:space="preserve"> leases, outsourcing or privatisation</w:t>
      </w:r>
    </w:p>
    <w:p w14:paraId="7D927259" w14:textId="44C95D6E" w:rsidR="00944BC7" w:rsidRPr="00662611" w:rsidRDefault="00944BC7" w:rsidP="003102C2">
      <w:pPr>
        <w:pStyle w:val="NumAG1"/>
        <w:ind w:left="784" w:hanging="784"/>
        <w:rPr>
          <w:szCs w:val="19"/>
        </w:rPr>
      </w:pPr>
      <w:r w:rsidRPr="00662611">
        <w:rPr>
          <w:szCs w:val="19"/>
        </w:rPr>
        <w:t>Assessment of whether long-term leasing, outsourcing, service and privatisation arrangements are within the scope of this Standard addresses whether the ‘grantor’ entity controls the underlying asset(s) of the arrangement in accordance with the control criteria of paragraph </w:t>
      </w:r>
      <w:r w:rsidR="000211B8" w:rsidRPr="00662611">
        <w:rPr>
          <w:szCs w:val="19"/>
        </w:rPr>
        <w:fldChar w:fldCharType="begin"/>
      </w:r>
      <w:r w:rsidR="000211B8" w:rsidRPr="00662611">
        <w:rPr>
          <w:szCs w:val="19"/>
        </w:rPr>
        <w:instrText xml:space="preserve"> REF _Ref475619556 \r \h </w:instrText>
      </w:r>
      <w:r w:rsidR="000211B8" w:rsidRPr="00662611">
        <w:rPr>
          <w:szCs w:val="19"/>
        </w:rPr>
      </w:r>
      <w:r w:rsidR="000211B8" w:rsidRPr="00662611">
        <w:rPr>
          <w:szCs w:val="19"/>
        </w:rPr>
        <w:fldChar w:fldCharType="separate"/>
      </w:r>
      <w:r w:rsidR="00C43128">
        <w:rPr>
          <w:szCs w:val="19"/>
        </w:rPr>
        <w:t>5</w:t>
      </w:r>
      <w:r w:rsidR="000211B8" w:rsidRPr="00662611">
        <w:rPr>
          <w:szCs w:val="19"/>
        </w:rPr>
        <w:fldChar w:fldCharType="end"/>
      </w:r>
      <w:r w:rsidRPr="00662611">
        <w:rPr>
          <w:szCs w:val="19"/>
        </w:rPr>
        <w:t xml:space="preserve"> (or paragraph </w:t>
      </w:r>
      <w:r w:rsidR="000211B8" w:rsidRPr="00662611">
        <w:rPr>
          <w:szCs w:val="19"/>
        </w:rPr>
        <w:fldChar w:fldCharType="begin"/>
      </w:r>
      <w:r w:rsidR="000211B8" w:rsidRPr="00662611">
        <w:rPr>
          <w:szCs w:val="19"/>
        </w:rPr>
        <w:instrText xml:space="preserve"> REF _Ref475619569 \r \h </w:instrText>
      </w:r>
      <w:r w:rsidR="000211B8" w:rsidRPr="00662611">
        <w:rPr>
          <w:szCs w:val="19"/>
        </w:rPr>
      </w:r>
      <w:r w:rsidR="000211B8" w:rsidRPr="00662611">
        <w:rPr>
          <w:szCs w:val="19"/>
        </w:rPr>
        <w:fldChar w:fldCharType="separate"/>
      </w:r>
      <w:r w:rsidR="00C43128">
        <w:rPr>
          <w:szCs w:val="19"/>
        </w:rPr>
        <w:t>6</w:t>
      </w:r>
      <w:r w:rsidR="000211B8" w:rsidRPr="00662611">
        <w:rPr>
          <w:szCs w:val="19"/>
        </w:rPr>
        <w:fldChar w:fldCharType="end"/>
      </w:r>
      <w:r w:rsidRPr="00662611">
        <w:rPr>
          <w:szCs w:val="19"/>
        </w:rPr>
        <w:t>). For example:</w:t>
      </w:r>
    </w:p>
    <w:p w14:paraId="7D92725A" w14:textId="3F05F1D9" w:rsidR="00944BC7" w:rsidRPr="00662611" w:rsidRDefault="006172CE" w:rsidP="006172CE">
      <w:pPr>
        <w:pStyle w:val="NumAG2"/>
        <w:ind w:left="1564" w:hanging="782"/>
      </w:pPr>
      <w:r>
        <w:tab/>
      </w:r>
      <w:r w:rsidR="00944BC7" w:rsidRPr="00662611">
        <w:t>if the grantor does not retain control of an existing asset under such an arrangement, the grantor considers whether to derecognise the asset as a sale or privatisation; or</w:t>
      </w:r>
    </w:p>
    <w:p w14:paraId="7D92725B" w14:textId="1852FBA5" w:rsidR="00944BC7" w:rsidRPr="00662611" w:rsidRDefault="006172CE" w:rsidP="006172CE">
      <w:pPr>
        <w:pStyle w:val="NumAG2"/>
        <w:ind w:left="1564" w:hanging="782"/>
      </w:pPr>
      <w:bookmarkStart w:id="66" w:name="_Ref484628209"/>
      <w:r>
        <w:tab/>
      </w:r>
      <w:proofErr w:type="gramStart"/>
      <w:r w:rsidR="00944BC7" w:rsidRPr="00662611">
        <w:t>if</w:t>
      </w:r>
      <w:proofErr w:type="gramEnd"/>
      <w:r w:rsidR="00944BC7" w:rsidRPr="00662611">
        <w:t xml:space="preserve"> the grantor retains control of an existing asset and gives the ‘operator’ the right to use the asset</w:t>
      </w:r>
      <w:r w:rsidR="0026299B" w:rsidRPr="00662611">
        <w:t>,</w:t>
      </w:r>
      <w:r w:rsidR="00944BC7" w:rsidRPr="00662611">
        <w:t xml:space="preserve"> or the operator controls </w:t>
      </w:r>
      <w:r w:rsidR="0026299B" w:rsidRPr="00662611">
        <w:t>an</w:t>
      </w:r>
      <w:r w:rsidR="00944BC7" w:rsidRPr="00662611">
        <w:t xml:space="preserve"> asset and gives the grantor the right to use the asset, the grantor considers whether to recognise a lease in relation to the asset as lessor or lessee respectively.</w:t>
      </w:r>
      <w:r w:rsidR="000E32E7" w:rsidRPr="00662611">
        <w:t xml:space="preserve"> This contrasts with a service concession arrangement</w:t>
      </w:r>
      <w:r w:rsidR="00EA4D1F" w:rsidRPr="00662611">
        <w:t>,</w:t>
      </w:r>
      <w:r w:rsidR="000E32E7" w:rsidRPr="00662611">
        <w:t xml:space="preserve"> where the grantor provides the operator with the right to access the service concession asset</w:t>
      </w:r>
      <w:bookmarkEnd w:id="66"/>
      <w:r w:rsidR="00697586">
        <w:t>, rather than a right to use the asset</w:t>
      </w:r>
      <w:r w:rsidR="000E32E7" w:rsidRPr="00662611">
        <w:t>.</w:t>
      </w:r>
    </w:p>
    <w:p w14:paraId="7D92725C" w14:textId="77777777" w:rsidR="005E7BFD" w:rsidRPr="00662611" w:rsidRDefault="005E7BFD" w:rsidP="00EE45A4">
      <w:pPr>
        <w:pStyle w:val="IASBSectionTitle3Ind"/>
        <w:outlineLvl w:val="3"/>
      </w:pPr>
      <w:r w:rsidRPr="00662611">
        <w:lastRenderedPageBreak/>
        <w:t>Changes in control</w:t>
      </w:r>
    </w:p>
    <w:p w14:paraId="7D92725D" w14:textId="77777777" w:rsidR="005E7BFD" w:rsidRPr="00662611" w:rsidRDefault="005E7BFD" w:rsidP="003102C2">
      <w:pPr>
        <w:pStyle w:val="NumAG1"/>
        <w:ind w:left="784" w:hanging="784"/>
        <w:rPr>
          <w:szCs w:val="19"/>
        </w:rPr>
      </w:pPr>
      <w:r w:rsidRPr="00662611">
        <w:rPr>
          <w:szCs w:val="19"/>
        </w:rPr>
        <w:t>The grantor’s control of the service concession asset may change during the term of the service concession arrangement. The change in the grantor’s control of the asset may arise from change</w:t>
      </w:r>
      <w:r w:rsidR="0029307C" w:rsidRPr="00662611">
        <w:rPr>
          <w:szCs w:val="19"/>
        </w:rPr>
        <w:t>s</w:t>
      </w:r>
      <w:r w:rsidR="00BE1514" w:rsidRPr="00662611">
        <w:rPr>
          <w:szCs w:val="19"/>
        </w:rPr>
        <w:t xml:space="preserve"> in the</w:t>
      </w:r>
      <w:r w:rsidRPr="00662611">
        <w:rPr>
          <w:szCs w:val="19"/>
        </w:rPr>
        <w:t xml:space="preserve"> terms of the service concession contract, or change</w:t>
      </w:r>
      <w:r w:rsidR="0029307C" w:rsidRPr="00662611">
        <w:rPr>
          <w:szCs w:val="19"/>
        </w:rPr>
        <w:t>s</w:t>
      </w:r>
      <w:r w:rsidRPr="00662611">
        <w:rPr>
          <w:szCs w:val="19"/>
        </w:rPr>
        <w:t xml:space="preserve"> in third</w:t>
      </w:r>
      <w:r w:rsidR="00A84224" w:rsidRPr="00662611">
        <w:rPr>
          <w:szCs w:val="19"/>
        </w:rPr>
        <w:t>-</w:t>
      </w:r>
      <w:r w:rsidRPr="00662611">
        <w:rPr>
          <w:szCs w:val="19"/>
        </w:rPr>
        <w:t>party regulation of the price and/or service</w:t>
      </w:r>
      <w:r w:rsidR="00756846" w:rsidRPr="00662611">
        <w:rPr>
          <w:szCs w:val="19"/>
        </w:rPr>
        <w:t>s</w:t>
      </w:r>
      <w:r w:rsidRPr="00662611">
        <w:rPr>
          <w:szCs w:val="19"/>
        </w:rPr>
        <w:t xml:space="preserve">. </w:t>
      </w:r>
    </w:p>
    <w:p w14:paraId="7D92725E" w14:textId="5609F8F4" w:rsidR="005E7BFD" w:rsidRPr="00662611" w:rsidRDefault="005E7BFD" w:rsidP="003102C2">
      <w:pPr>
        <w:pStyle w:val="NumAG1"/>
        <w:ind w:left="784" w:hanging="784"/>
        <w:rPr>
          <w:szCs w:val="19"/>
        </w:rPr>
      </w:pPr>
      <w:r w:rsidRPr="00662611">
        <w:rPr>
          <w:szCs w:val="19"/>
        </w:rPr>
        <w:t>Where the</w:t>
      </w:r>
      <w:r w:rsidR="00224B0D" w:rsidRPr="00662611">
        <w:rPr>
          <w:szCs w:val="19"/>
        </w:rPr>
        <w:t>re is a change in facts or circumstances that indicate the</w:t>
      </w:r>
      <w:r w:rsidRPr="00662611">
        <w:rPr>
          <w:szCs w:val="19"/>
        </w:rPr>
        <w:t xml:space="preserve"> grantor’s control of the asset </w:t>
      </w:r>
      <w:r w:rsidR="00224B0D" w:rsidRPr="00662611">
        <w:rPr>
          <w:szCs w:val="19"/>
        </w:rPr>
        <w:t xml:space="preserve">may have </w:t>
      </w:r>
      <w:r w:rsidRPr="00662611">
        <w:rPr>
          <w:szCs w:val="19"/>
        </w:rPr>
        <w:t>change</w:t>
      </w:r>
      <w:r w:rsidR="00224B0D" w:rsidRPr="00662611">
        <w:rPr>
          <w:szCs w:val="19"/>
        </w:rPr>
        <w:t>d</w:t>
      </w:r>
      <w:r w:rsidRPr="00662611">
        <w:rPr>
          <w:szCs w:val="19"/>
        </w:rPr>
        <w:t xml:space="preserve">, the </w:t>
      </w:r>
      <w:r w:rsidR="00FE28B9" w:rsidRPr="00662611">
        <w:rPr>
          <w:szCs w:val="19"/>
        </w:rPr>
        <w:t>grantor assesses</w:t>
      </w:r>
      <w:r w:rsidRPr="00662611">
        <w:rPr>
          <w:szCs w:val="19"/>
        </w:rPr>
        <w:t xml:space="preserve"> whether the asset is still within the scope of this </w:t>
      </w:r>
      <w:r w:rsidR="009A78DC" w:rsidRPr="00662611">
        <w:rPr>
          <w:szCs w:val="19"/>
        </w:rPr>
        <w:t>Standard</w:t>
      </w:r>
      <w:r w:rsidR="008D61D0" w:rsidRPr="00662611">
        <w:rPr>
          <w:szCs w:val="19"/>
        </w:rPr>
        <w:t xml:space="preserve"> or </w:t>
      </w:r>
      <w:r w:rsidR="004C6E9B">
        <w:rPr>
          <w:szCs w:val="19"/>
        </w:rPr>
        <w:t xml:space="preserve">should be reclassified </w:t>
      </w:r>
      <w:r w:rsidR="008D61D0" w:rsidRPr="00662611">
        <w:rPr>
          <w:szCs w:val="19"/>
        </w:rPr>
        <w:t xml:space="preserve">within the scope of </w:t>
      </w:r>
      <w:r w:rsidR="004C6E9B">
        <w:rPr>
          <w:szCs w:val="19"/>
        </w:rPr>
        <w:t xml:space="preserve">another </w:t>
      </w:r>
      <w:r w:rsidR="008D61D0" w:rsidRPr="00662611">
        <w:rPr>
          <w:szCs w:val="19"/>
        </w:rPr>
        <w:t>Standard</w:t>
      </w:r>
      <w:r w:rsidR="00756846" w:rsidRPr="00662611">
        <w:rPr>
          <w:szCs w:val="19"/>
        </w:rPr>
        <w:t>. Where</w:t>
      </w:r>
      <w:r w:rsidRPr="00662611">
        <w:rPr>
          <w:szCs w:val="19"/>
        </w:rPr>
        <w:t xml:space="preserve"> the grantor no longer has control of the asset in accordance with this Standard, the </w:t>
      </w:r>
      <w:r w:rsidR="00FE28B9" w:rsidRPr="00662611">
        <w:rPr>
          <w:szCs w:val="19"/>
        </w:rPr>
        <w:t>grantor</w:t>
      </w:r>
      <w:r w:rsidRPr="00662611">
        <w:rPr>
          <w:szCs w:val="19"/>
        </w:rPr>
        <w:t xml:space="preserve"> determine</w:t>
      </w:r>
      <w:r w:rsidR="00FE28B9" w:rsidRPr="00662611">
        <w:rPr>
          <w:szCs w:val="19"/>
        </w:rPr>
        <w:t>s</w:t>
      </w:r>
      <w:r w:rsidRPr="00662611">
        <w:rPr>
          <w:szCs w:val="19"/>
        </w:rPr>
        <w:t xml:space="preserve"> whether </w:t>
      </w:r>
      <w:r w:rsidR="00205CF6" w:rsidRPr="00662611">
        <w:rPr>
          <w:szCs w:val="19"/>
        </w:rPr>
        <w:t>the asset continues to be</w:t>
      </w:r>
      <w:r w:rsidRPr="00662611">
        <w:rPr>
          <w:szCs w:val="19"/>
        </w:rPr>
        <w:t xml:space="preserve"> recognised </w:t>
      </w:r>
      <w:r w:rsidR="00205CF6" w:rsidRPr="00662611">
        <w:rPr>
          <w:szCs w:val="19"/>
        </w:rPr>
        <w:t xml:space="preserve">and accounted for </w:t>
      </w:r>
      <w:r w:rsidRPr="00662611">
        <w:rPr>
          <w:szCs w:val="19"/>
        </w:rPr>
        <w:t>under other Accounting Standards</w:t>
      </w:r>
      <w:r w:rsidR="00756846" w:rsidRPr="00662611">
        <w:rPr>
          <w:szCs w:val="19"/>
        </w:rPr>
        <w:t xml:space="preserve"> or </w:t>
      </w:r>
      <w:r w:rsidR="00205CF6" w:rsidRPr="00662611">
        <w:rPr>
          <w:szCs w:val="19"/>
        </w:rPr>
        <w:t xml:space="preserve">else </w:t>
      </w:r>
      <w:r w:rsidR="00756846" w:rsidRPr="00662611">
        <w:rPr>
          <w:szCs w:val="19"/>
        </w:rPr>
        <w:t>derecognised</w:t>
      </w:r>
      <w:r w:rsidR="00EA4D1F" w:rsidRPr="00662611">
        <w:rPr>
          <w:szCs w:val="19"/>
        </w:rPr>
        <w:t xml:space="preserve">, except </w:t>
      </w:r>
      <w:r w:rsidR="00503F73" w:rsidRPr="00662611">
        <w:t>internally generated identifiable intangible asset</w:t>
      </w:r>
      <w:r w:rsidR="00F7017C" w:rsidRPr="00662611">
        <w:t>s</w:t>
      </w:r>
      <w:r w:rsidR="00503F73" w:rsidRPr="00662611">
        <w:t xml:space="preserve"> </w:t>
      </w:r>
      <w:r w:rsidR="00EA4D1F" w:rsidRPr="00662611">
        <w:t xml:space="preserve">initially recognised by the grantor under a service concession arrangement </w:t>
      </w:r>
      <w:r w:rsidR="00503F73" w:rsidRPr="00662611">
        <w:t>continue</w:t>
      </w:r>
      <w:r w:rsidR="00F7017C" w:rsidRPr="00662611">
        <w:t xml:space="preserve"> </w:t>
      </w:r>
      <w:r w:rsidR="00503F73" w:rsidRPr="00662611">
        <w:t xml:space="preserve">to be recognised </w:t>
      </w:r>
      <w:r w:rsidR="00EA4D1F" w:rsidRPr="00662611">
        <w:t xml:space="preserve">by the grantor while </w:t>
      </w:r>
      <w:r w:rsidR="00503F73" w:rsidRPr="00662611">
        <w:t>control is retained</w:t>
      </w:r>
      <w:r w:rsidR="000B7A66" w:rsidRPr="00662611">
        <w:t>, rather than derecognised under AASB</w:t>
      </w:r>
      <w:r w:rsidR="00CB6315">
        <w:t> </w:t>
      </w:r>
      <w:r w:rsidR="000B7A66" w:rsidRPr="00662611">
        <w:t>138</w:t>
      </w:r>
      <w:r w:rsidRPr="00662611">
        <w:rPr>
          <w:szCs w:val="19"/>
        </w:rPr>
        <w:t>.</w:t>
      </w:r>
    </w:p>
    <w:p w14:paraId="7D92725F" w14:textId="77777777" w:rsidR="005E7BFD" w:rsidRPr="00662611" w:rsidRDefault="005E7BFD" w:rsidP="00EE45A4">
      <w:pPr>
        <w:pStyle w:val="IASBSectionTitle3Ind"/>
        <w:outlineLvl w:val="3"/>
      </w:pPr>
      <w:r w:rsidRPr="00662611">
        <w:t>Residual interest</w:t>
      </w:r>
    </w:p>
    <w:p w14:paraId="7D927260" w14:textId="5C3A86E8" w:rsidR="005E7BFD" w:rsidRPr="00662611" w:rsidRDefault="005E7BFD" w:rsidP="003102C2">
      <w:pPr>
        <w:pStyle w:val="NumAG1"/>
        <w:ind w:left="784" w:hanging="784"/>
        <w:rPr>
          <w:szCs w:val="19"/>
        </w:rPr>
      </w:pPr>
      <w:bookmarkStart w:id="67" w:name="_Ref484635049"/>
      <w:r w:rsidRPr="00662611">
        <w:rPr>
          <w:szCs w:val="19"/>
        </w:rPr>
        <w:t>The grantor must also control through ownership, beneficial entitlement or otherwise any significant residual interest in the asset at the end of the term of the arrangement</w:t>
      </w:r>
      <w:r w:rsidR="00474D92" w:rsidRPr="00662611">
        <w:rPr>
          <w:szCs w:val="19"/>
        </w:rPr>
        <w:t xml:space="preserve"> </w:t>
      </w:r>
      <w:r w:rsidR="00C24F57" w:rsidRPr="00662611">
        <w:rPr>
          <w:szCs w:val="19"/>
        </w:rPr>
        <w:t>(</w:t>
      </w:r>
      <w:r w:rsidRPr="00662611">
        <w:rPr>
          <w:szCs w:val="19"/>
        </w:rPr>
        <w:t xml:space="preserve">paragraph </w:t>
      </w:r>
      <w:r w:rsidR="000211B8" w:rsidRPr="00662611">
        <w:rPr>
          <w:szCs w:val="19"/>
        </w:rPr>
        <w:fldChar w:fldCharType="begin"/>
      </w:r>
      <w:r w:rsidR="000211B8" w:rsidRPr="00662611">
        <w:rPr>
          <w:szCs w:val="19"/>
        </w:rPr>
        <w:instrText xml:space="preserve"> REF _Ref475624573 \r \h </w:instrText>
      </w:r>
      <w:r w:rsidR="000211B8" w:rsidRPr="00662611">
        <w:rPr>
          <w:szCs w:val="19"/>
        </w:rPr>
      </w:r>
      <w:r w:rsidR="000211B8" w:rsidRPr="00662611">
        <w:rPr>
          <w:szCs w:val="19"/>
        </w:rPr>
        <w:fldChar w:fldCharType="separate"/>
      </w:r>
      <w:r w:rsidR="00C43128">
        <w:rPr>
          <w:szCs w:val="19"/>
        </w:rPr>
        <w:t>5(b)</w:t>
      </w:r>
      <w:r w:rsidR="000211B8" w:rsidRPr="00662611">
        <w:rPr>
          <w:szCs w:val="19"/>
        </w:rPr>
        <w:fldChar w:fldCharType="end"/>
      </w:r>
      <w:r w:rsidR="00C24F57" w:rsidRPr="00662611">
        <w:rPr>
          <w:szCs w:val="19"/>
        </w:rPr>
        <w:t>)</w:t>
      </w:r>
      <w:r w:rsidRPr="00662611">
        <w:rPr>
          <w:szCs w:val="19"/>
        </w:rPr>
        <w:t>.</w:t>
      </w:r>
      <w:bookmarkEnd w:id="67"/>
    </w:p>
    <w:p w14:paraId="7D927261" w14:textId="57A099A2" w:rsidR="005B00AD" w:rsidRPr="00662611" w:rsidRDefault="005E7BFD" w:rsidP="003102C2">
      <w:pPr>
        <w:pStyle w:val="NumAG1"/>
        <w:ind w:left="784" w:hanging="784"/>
        <w:rPr>
          <w:szCs w:val="19"/>
        </w:rPr>
      </w:pPr>
      <w:bookmarkStart w:id="68" w:name="_Ref484635081"/>
      <w:bookmarkStart w:id="69" w:name="_Ref486542613"/>
      <w:r w:rsidRPr="00662611">
        <w:rPr>
          <w:szCs w:val="19"/>
        </w:rPr>
        <w:t xml:space="preserve">For the purpose of paragraph </w:t>
      </w:r>
      <w:r w:rsidR="009B5874" w:rsidRPr="00662611">
        <w:rPr>
          <w:szCs w:val="19"/>
        </w:rPr>
        <w:fldChar w:fldCharType="begin"/>
      </w:r>
      <w:r w:rsidR="009B5874" w:rsidRPr="00662611">
        <w:rPr>
          <w:szCs w:val="19"/>
        </w:rPr>
        <w:instrText xml:space="preserve"> REF _Ref475624573 \r \h </w:instrText>
      </w:r>
      <w:r w:rsidR="009B5874" w:rsidRPr="00662611">
        <w:rPr>
          <w:szCs w:val="19"/>
        </w:rPr>
      </w:r>
      <w:r w:rsidR="009B5874" w:rsidRPr="00662611">
        <w:rPr>
          <w:szCs w:val="19"/>
        </w:rPr>
        <w:fldChar w:fldCharType="separate"/>
      </w:r>
      <w:r w:rsidR="00C43128">
        <w:rPr>
          <w:szCs w:val="19"/>
        </w:rPr>
        <w:t>5(b)</w:t>
      </w:r>
      <w:r w:rsidR="009B5874" w:rsidRPr="00662611">
        <w:rPr>
          <w:szCs w:val="19"/>
        </w:rPr>
        <w:fldChar w:fldCharType="end"/>
      </w:r>
      <w:r w:rsidRPr="00662611">
        <w:rPr>
          <w:szCs w:val="19"/>
        </w:rPr>
        <w:t xml:space="preserve">, the grantor’s control over any significant residual interest </w:t>
      </w:r>
      <w:r w:rsidR="00C90422">
        <w:rPr>
          <w:szCs w:val="19"/>
        </w:rPr>
        <w:t xml:space="preserve">would </w:t>
      </w:r>
      <w:r w:rsidRPr="00662611">
        <w:rPr>
          <w:szCs w:val="19"/>
        </w:rPr>
        <w:t>both restrict the operator’s practical ability to sell or pledge the asset</w:t>
      </w:r>
      <w:r w:rsidR="00F00EC7" w:rsidRPr="00662611">
        <w:rPr>
          <w:szCs w:val="19"/>
        </w:rPr>
        <w:t xml:space="preserve"> (by </w:t>
      </w:r>
      <w:r w:rsidR="000B7A66" w:rsidRPr="00662611">
        <w:rPr>
          <w:szCs w:val="19"/>
        </w:rPr>
        <w:t xml:space="preserve">acknowledging </w:t>
      </w:r>
      <w:r w:rsidR="00F00EC7" w:rsidRPr="00662611">
        <w:rPr>
          <w:szCs w:val="19"/>
        </w:rPr>
        <w:t>the grantor’s residual interest in the asset)</w:t>
      </w:r>
      <w:r w:rsidRPr="00662611">
        <w:rPr>
          <w:szCs w:val="19"/>
        </w:rPr>
        <w:t xml:space="preserve"> and</w:t>
      </w:r>
      <w:r w:rsidR="00F32C05" w:rsidRPr="00662611">
        <w:rPr>
          <w:szCs w:val="19"/>
        </w:rPr>
        <w:t xml:space="preserve"> effectively</w:t>
      </w:r>
      <w:r w:rsidRPr="00662611">
        <w:rPr>
          <w:szCs w:val="19"/>
        </w:rPr>
        <w:t xml:space="preserve"> give the grantor </w:t>
      </w:r>
      <w:r w:rsidR="00E439D0" w:rsidRPr="00662611">
        <w:rPr>
          <w:szCs w:val="19"/>
        </w:rPr>
        <w:t>control of the asset</w:t>
      </w:r>
      <w:r w:rsidRPr="00662611">
        <w:rPr>
          <w:szCs w:val="19"/>
        </w:rPr>
        <w:t xml:space="preserve"> throughout the period of the service concession arrangement. </w:t>
      </w:r>
      <w:r w:rsidR="00F32C05" w:rsidRPr="00662611">
        <w:rPr>
          <w:szCs w:val="19"/>
        </w:rPr>
        <w:t xml:space="preserve">Consequently, where the grantor has </w:t>
      </w:r>
      <w:r w:rsidR="00F7017C" w:rsidRPr="00662611">
        <w:rPr>
          <w:szCs w:val="19"/>
        </w:rPr>
        <w:t>substantive,</w:t>
      </w:r>
      <w:r w:rsidR="00C365E3" w:rsidRPr="00662611">
        <w:rPr>
          <w:szCs w:val="19"/>
        </w:rPr>
        <w:t xml:space="preserve"> rather than </w:t>
      </w:r>
      <w:r w:rsidR="00C90422">
        <w:rPr>
          <w:szCs w:val="19"/>
        </w:rPr>
        <w:t xml:space="preserve">merely </w:t>
      </w:r>
      <w:r w:rsidR="00C365E3" w:rsidRPr="00662611">
        <w:rPr>
          <w:szCs w:val="19"/>
        </w:rPr>
        <w:t>protective</w:t>
      </w:r>
      <w:r w:rsidR="000B7A66" w:rsidRPr="00662611">
        <w:rPr>
          <w:szCs w:val="19"/>
        </w:rPr>
        <w:t>,</w:t>
      </w:r>
      <w:r w:rsidR="00F7017C" w:rsidRPr="00662611">
        <w:rPr>
          <w:szCs w:val="19"/>
        </w:rPr>
        <w:t xml:space="preserve"> rights to prevent </w:t>
      </w:r>
      <w:r w:rsidR="00F32C05" w:rsidRPr="00662611">
        <w:rPr>
          <w:szCs w:val="19"/>
        </w:rPr>
        <w:t>the operator sell</w:t>
      </w:r>
      <w:r w:rsidR="00F7017C" w:rsidRPr="00662611">
        <w:rPr>
          <w:szCs w:val="19"/>
        </w:rPr>
        <w:t>ing</w:t>
      </w:r>
      <w:r w:rsidR="00F32C05" w:rsidRPr="00662611">
        <w:rPr>
          <w:szCs w:val="19"/>
        </w:rPr>
        <w:t xml:space="preserve"> or pledg</w:t>
      </w:r>
      <w:r w:rsidR="00F7017C" w:rsidRPr="00662611">
        <w:rPr>
          <w:szCs w:val="19"/>
        </w:rPr>
        <w:t>ing</w:t>
      </w:r>
      <w:r w:rsidR="00F32C05" w:rsidRPr="00662611">
        <w:rPr>
          <w:szCs w:val="19"/>
        </w:rPr>
        <w:t xml:space="preserve"> the asset during the service concession arrangement</w:t>
      </w:r>
      <w:r w:rsidR="00C365E3" w:rsidRPr="00662611">
        <w:rPr>
          <w:szCs w:val="19"/>
        </w:rPr>
        <w:t xml:space="preserve"> (eg </w:t>
      </w:r>
      <w:r w:rsidR="00FD058C" w:rsidRPr="00662611">
        <w:rPr>
          <w:szCs w:val="19"/>
        </w:rPr>
        <w:t xml:space="preserve">the grantor </w:t>
      </w:r>
      <w:r w:rsidR="00C365E3" w:rsidRPr="00662611">
        <w:rPr>
          <w:szCs w:val="19"/>
        </w:rPr>
        <w:t xml:space="preserve">must formally approve the transferee, rather than </w:t>
      </w:r>
      <w:r w:rsidR="00FD058C" w:rsidRPr="00662611">
        <w:rPr>
          <w:szCs w:val="19"/>
        </w:rPr>
        <w:t xml:space="preserve">being able to </w:t>
      </w:r>
      <w:r w:rsidR="00C365E3" w:rsidRPr="00662611">
        <w:rPr>
          <w:szCs w:val="19"/>
        </w:rPr>
        <w:t xml:space="preserve">refuse </w:t>
      </w:r>
      <w:r w:rsidR="00FD058C" w:rsidRPr="00662611">
        <w:rPr>
          <w:szCs w:val="19"/>
        </w:rPr>
        <w:t xml:space="preserve">merely on the grounds that the </w:t>
      </w:r>
      <w:r w:rsidR="00C365E3" w:rsidRPr="00662611">
        <w:rPr>
          <w:szCs w:val="19"/>
        </w:rPr>
        <w:t>transferee i</w:t>
      </w:r>
      <w:r w:rsidR="00FD058C" w:rsidRPr="00662611">
        <w:rPr>
          <w:szCs w:val="19"/>
        </w:rPr>
        <w:t>s</w:t>
      </w:r>
      <w:r w:rsidR="00C365E3" w:rsidRPr="00662611">
        <w:rPr>
          <w:szCs w:val="19"/>
        </w:rPr>
        <w:t xml:space="preserve"> not fit and proper),</w:t>
      </w:r>
      <w:r w:rsidR="00FD058C" w:rsidRPr="00662611">
        <w:rPr>
          <w:szCs w:val="19"/>
        </w:rPr>
        <w:t xml:space="preserve"> </w:t>
      </w:r>
      <w:r w:rsidR="005B00AD" w:rsidRPr="00662611">
        <w:rPr>
          <w:szCs w:val="19"/>
        </w:rPr>
        <w:t xml:space="preserve">then the grantor </w:t>
      </w:r>
      <w:r w:rsidR="00F7017C" w:rsidRPr="00662611">
        <w:rPr>
          <w:szCs w:val="19"/>
        </w:rPr>
        <w:t>is likely to</w:t>
      </w:r>
      <w:r w:rsidR="005B00AD" w:rsidRPr="00662611">
        <w:rPr>
          <w:szCs w:val="19"/>
        </w:rPr>
        <w:t xml:space="preserve"> have control of </w:t>
      </w:r>
      <w:bookmarkEnd w:id="68"/>
      <w:r w:rsidR="00C90422">
        <w:rPr>
          <w:szCs w:val="19"/>
        </w:rPr>
        <w:t xml:space="preserve">any significant residual interest in </w:t>
      </w:r>
      <w:r w:rsidR="005B00AD" w:rsidRPr="00662611">
        <w:rPr>
          <w:szCs w:val="19"/>
        </w:rPr>
        <w:t>the asset.</w:t>
      </w:r>
      <w:bookmarkEnd w:id="69"/>
    </w:p>
    <w:p w14:paraId="7D927262" w14:textId="77777777" w:rsidR="005E7BFD" w:rsidRPr="00662611" w:rsidRDefault="005E7BFD" w:rsidP="003102C2">
      <w:pPr>
        <w:pStyle w:val="NumAG1"/>
        <w:ind w:left="784" w:hanging="784"/>
        <w:rPr>
          <w:szCs w:val="19"/>
        </w:rPr>
      </w:pPr>
      <w:r w:rsidRPr="00662611">
        <w:rPr>
          <w:szCs w:val="19"/>
        </w:rPr>
        <w:t xml:space="preserve">The residual interest in the asset is the estimated </w:t>
      </w:r>
      <w:r w:rsidR="00383C79" w:rsidRPr="00662611">
        <w:rPr>
          <w:szCs w:val="19"/>
        </w:rPr>
        <w:t>fair value (</w:t>
      </w:r>
      <w:r w:rsidR="003F679B" w:rsidRPr="00662611">
        <w:rPr>
          <w:szCs w:val="19"/>
        </w:rPr>
        <w:t>current replacement cost</w:t>
      </w:r>
      <w:r w:rsidR="00383C79" w:rsidRPr="00662611">
        <w:rPr>
          <w:szCs w:val="19"/>
        </w:rPr>
        <w:t>)</w:t>
      </w:r>
      <w:r w:rsidRPr="00662611">
        <w:rPr>
          <w:szCs w:val="19"/>
        </w:rPr>
        <w:t xml:space="preserve"> of the </w:t>
      </w:r>
      <w:r w:rsidR="00756846" w:rsidRPr="00662611">
        <w:rPr>
          <w:szCs w:val="19"/>
        </w:rPr>
        <w:t>asset, determined</w:t>
      </w:r>
      <w:r w:rsidRPr="00662611">
        <w:rPr>
          <w:szCs w:val="19"/>
        </w:rPr>
        <w:t xml:space="preserve"> at the inception of the arrangement</w:t>
      </w:r>
      <w:r w:rsidR="00756846" w:rsidRPr="00662611">
        <w:rPr>
          <w:szCs w:val="19"/>
        </w:rPr>
        <w:t>,</w:t>
      </w:r>
      <w:r w:rsidRPr="00662611">
        <w:rPr>
          <w:szCs w:val="19"/>
        </w:rPr>
        <w:t xml:space="preserve"> as if it were already of the age and in the condition expected at the end of the service concession arrangement.</w:t>
      </w:r>
    </w:p>
    <w:p w14:paraId="7D927263" w14:textId="35EA6A9D" w:rsidR="005E7BFD" w:rsidRPr="00662611" w:rsidRDefault="005E7BFD" w:rsidP="003102C2">
      <w:pPr>
        <w:pStyle w:val="NumAG1"/>
        <w:ind w:left="784" w:hanging="784"/>
        <w:rPr>
          <w:szCs w:val="19"/>
        </w:rPr>
      </w:pPr>
      <w:r w:rsidRPr="00662611">
        <w:rPr>
          <w:szCs w:val="19"/>
        </w:rPr>
        <w:t xml:space="preserve">Paragraph </w:t>
      </w:r>
      <w:r w:rsidR="000211B8" w:rsidRPr="00662611">
        <w:rPr>
          <w:szCs w:val="19"/>
        </w:rPr>
        <w:fldChar w:fldCharType="begin"/>
      </w:r>
      <w:r w:rsidR="000211B8" w:rsidRPr="00662611">
        <w:rPr>
          <w:szCs w:val="19"/>
        </w:rPr>
        <w:instrText xml:space="preserve"> REF _Ref475619556 \r \h </w:instrText>
      </w:r>
      <w:r w:rsidR="003102C2">
        <w:rPr>
          <w:szCs w:val="19"/>
        </w:rPr>
        <w:instrText xml:space="preserve"> \* MERGEFORMAT </w:instrText>
      </w:r>
      <w:r w:rsidR="000211B8" w:rsidRPr="00662611">
        <w:rPr>
          <w:szCs w:val="19"/>
        </w:rPr>
      </w:r>
      <w:r w:rsidR="000211B8" w:rsidRPr="00662611">
        <w:rPr>
          <w:szCs w:val="19"/>
        </w:rPr>
        <w:fldChar w:fldCharType="separate"/>
      </w:r>
      <w:r w:rsidR="00C43128">
        <w:rPr>
          <w:szCs w:val="19"/>
        </w:rPr>
        <w:t>5</w:t>
      </w:r>
      <w:r w:rsidR="000211B8" w:rsidRPr="00662611">
        <w:rPr>
          <w:szCs w:val="19"/>
        </w:rPr>
        <w:fldChar w:fldCharType="end"/>
      </w:r>
      <w:r w:rsidRPr="00662611">
        <w:rPr>
          <w:szCs w:val="19"/>
        </w:rPr>
        <w:t xml:space="preserve"> identifies </w:t>
      </w:r>
      <w:r w:rsidR="00A84224" w:rsidRPr="00662611">
        <w:rPr>
          <w:szCs w:val="19"/>
        </w:rPr>
        <w:t xml:space="preserve">whether </w:t>
      </w:r>
      <w:r w:rsidRPr="00662611">
        <w:rPr>
          <w:szCs w:val="19"/>
        </w:rPr>
        <w:t>the asset, including any replacements required, is controlled by the grantor for the whole of its economic life</w:t>
      </w:r>
      <w:r w:rsidR="001215D9" w:rsidRPr="00662611">
        <w:rPr>
          <w:szCs w:val="19"/>
        </w:rPr>
        <w:t>, beyond the term of the service concession arrangement</w:t>
      </w:r>
      <w:r w:rsidRPr="00662611">
        <w:rPr>
          <w:szCs w:val="19"/>
        </w:rPr>
        <w:t xml:space="preserve">. For example, if the operator has to replace part of an asset during the period of the arrangement (eg the top layer of a road or the roof of a building), the asset shall be considered as a whole. Thus the condition in paragraph </w:t>
      </w:r>
      <w:r w:rsidR="009B5874" w:rsidRPr="00662611">
        <w:rPr>
          <w:szCs w:val="19"/>
        </w:rPr>
        <w:fldChar w:fldCharType="begin"/>
      </w:r>
      <w:r w:rsidR="009B5874" w:rsidRPr="00662611">
        <w:rPr>
          <w:szCs w:val="19"/>
        </w:rPr>
        <w:instrText xml:space="preserve"> REF _Ref475624573 \r \h </w:instrText>
      </w:r>
      <w:r w:rsidR="009B5874" w:rsidRPr="00662611">
        <w:rPr>
          <w:szCs w:val="19"/>
        </w:rPr>
      </w:r>
      <w:r w:rsidR="009B5874" w:rsidRPr="00662611">
        <w:rPr>
          <w:szCs w:val="19"/>
        </w:rPr>
        <w:fldChar w:fldCharType="separate"/>
      </w:r>
      <w:r w:rsidR="00C43128">
        <w:rPr>
          <w:szCs w:val="19"/>
        </w:rPr>
        <w:t>5(b)</w:t>
      </w:r>
      <w:r w:rsidR="009B5874" w:rsidRPr="00662611">
        <w:rPr>
          <w:szCs w:val="19"/>
        </w:rPr>
        <w:fldChar w:fldCharType="end"/>
      </w:r>
      <w:r w:rsidRPr="00662611">
        <w:rPr>
          <w:szCs w:val="19"/>
        </w:rPr>
        <w:t xml:space="preserve"> is met for the whole of the asset, including the part that is replaced, if the grantor controls any significant residual interest in the final replacement of that part.</w:t>
      </w:r>
      <w:r w:rsidR="009775FC">
        <w:rPr>
          <w:szCs w:val="19"/>
        </w:rPr>
        <w:t xml:space="preserve"> However, replacements of major components are treated as a separate service concession asset (see paragraphs </w:t>
      </w:r>
      <w:r w:rsidR="009775FC">
        <w:rPr>
          <w:szCs w:val="19"/>
        </w:rPr>
        <w:fldChar w:fldCharType="begin"/>
      </w:r>
      <w:r w:rsidR="009775FC">
        <w:rPr>
          <w:szCs w:val="19"/>
        </w:rPr>
        <w:instrText xml:space="preserve"> REF _Ref484736788 \r \h </w:instrText>
      </w:r>
      <w:r w:rsidR="009775FC">
        <w:rPr>
          <w:szCs w:val="19"/>
        </w:rPr>
      </w:r>
      <w:r w:rsidR="009775FC">
        <w:rPr>
          <w:szCs w:val="19"/>
        </w:rPr>
        <w:fldChar w:fldCharType="separate"/>
      </w:r>
      <w:r w:rsidR="00C43128">
        <w:rPr>
          <w:szCs w:val="19"/>
        </w:rPr>
        <w:t>B38</w:t>
      </w:r>
      <w:r w:rsidR="009775FC">
        <w:rPr>
          <w:szCs w:val="19"/>
        </w:rPr>
        <w:fldChar w:fldCharType="end"/>
      </w:r>
      <w:r w:rsidR="009775FC">
        <w:rPr>
          <w:szCs w:val="19"/>
        </w:rPr>
        <w:t xml:space="preserve"> and </w:t>
      </w:r>
      <w:r w:rsidR="009775FC">
        <w:rPr>
          <w:szCs w:val="19"/>
        </w:rPr>
        <w:fldChar w:fldCharType="begin"/>
      </w:r>
      <w:r w:rsidR="009775FC">
        <w:rPr>
          <w:szCs w:val="19"/>
        </w:rPr>
        <w:instrText xml:space="preserve"> REF _Ref486866840 \r \h </w:instrText>
      </w:r>
      <w:r w:rsidR="009775FC">
        <w:rPr>
          <w:szCs w:val="19"/>
        </w:rPr>
      </w:r>
      <w:r w:rsidR="009775FC">
        <w:rPr>
          <w:szCs w:val="19"/>
        </w:rPr>
        <w:fldChar w:fldCharType="separate"/>
      </w:r>
      <w:r w:rsidR="00C43128">
        <w:rPr>
          <w:szCs w:val="19"/>
        </w:rPr>
        <w:t>B48</w:t>
      </w:r>
      <w:r w:rsidR="009775FC">
        <w:rPr>
          <w:szCs w:val="19"/>
        </w:rPr>
        <w:fldChar w:fldCharType="end"/>
      </w:r>
      <w:r w:rsidR="009775FC">
        <w:rPr>
          <w:szCs w:val="19"/>
        </w:rPr>
        <w:t>).</w:t>
      </w:r>
      <w:r w:rsidRPr="00662611">
        <w:rPr>
          <w:szCs w:val="19"/>
        </w:rPr>
        <w:t xml:space="preserve"> </w:t>
      </w:r>
    </w:p>
    <w:p w14:paraId="7D927264" w14:textId="49AC7F06" w:rsidR="005E7BFD" w:rsidRPr="00662611" w:rsidRDefault="005E7BFD" w:rsidP="00EE45A4">
      <w:pPr>
        <w:pStyle w:val="IASBSectionTitle3Ind"/>
        <w:outlineLvl w:val="3"/>
      </w:pPr>
      <w:r w:rsidRPr="00662611">
        <w:t>Whole-of-life asset</w:t>
      </w:r>
      <w:r w:rsidR="00353E21" w:rsidRPr="00662611">
        <w:t>s</w:t>
      </w:r>
    </w:p>
    <w:p w14:paraId="7D927265" w14:textId="7EF29EA9" w:rsidR="005E7BFD" w:rsidRPr="00662611" w:rsidRDefault="005E7BFD" w:rsidP="003102C2">
      <w:pPr>
        <w:pStyle w:val="NumAG1"/>
        <w:ind w:left="784" w:hanging="784"/>
        <w:rPr>
          <w:szCs w:val="19"/>
        </w:rPr>
      </w:pPr>
      <w:r w:rsidRPr="00662611">
        <w:rPr>
          <w:szCs w:val="19"/>
        </w:rPr>
        <w:t xml:space="preserve">For the purpose of paragraph </w:t>
      </w:r>
      <w:r w:rsidR="000211B8" w:rsidRPr="00662611">
        <w:rPr>
          <w:szCs w:val="19"/>
        </w:rPr>
        <w:fldChar w:fldCharType="begin"/>
      </w:r>
      <w:r w:rsidR="000211B8" w:rsidRPr="00662611">
        <w:rPr>
          <w:szCs w:val="19"/>
        </w:rPr>
        <w:instrText xml:space="preserve"> REF _Ref475619569 \r \h </w:instrText>
      </w:r>
      <w:r w:rsidR="000211B8" w:rsidRPr="00662611">
        <w:rPr>
          <w:szCs w:val="19"/>
        </w:rPr>
      </w:r>
      <w:r w:rsidR="000211B8" w:rsidRPr="00662611">
        <w:rPr>
          <w:szCs w:val="19"/>
        </w:rPr>
        <w:fldChar w:fldCharType="separate"/>
      </w:r>
      <w:r w:rsidR="00C43128">
        <w:rPr>
          <w:szCs w:val="19"/>
        </w:rPr>
        <w:t>6</w:t>
      </w:r>
      <w:r w:rsidR="000211B8" w:rsidRPr="00662611">
        <w:rPr>
          <w:szCs w:val="19"/>
        </w:rPr>
        <w:fldChar w:fldCharType="end"/>
      </w:r>
      <w:r w:rsidRPr="00662611">
        <w:rPr>
          <w:szCs w:val="19"/>
        </w:rPr>
        <w:t xml:space="preserve">, </w:t>
      </w:r>
      <w:r w:rsidR="001215D9" w:rsidRPr="00662611">
        <w:rPr>
          <w:szCs w:val="19"/>
        </w:rPr>
        <w:t xml:space="preserve">a </w:t>
      </w:r>
      <w:r w:rsidRPr="00662611">
        <w:rPr>
          <w:szCs w:val="19"/>
        </w:rPr>
        <w:t>whole-of-life asset is</w:t>
      </w:r>
      <w:r w:rsidR="009A78DC" w:rsidRPr="00662611">
        <w:rPr>
          <w:szCs w:val="19"/>
        </w:rPr>
        <w:t xml:space="preserve"> </w:t>
      </w:r>
      <w:r w:rsidR="001215D9" w:rsidRPr="00662611">
        <w:rPr>
          <w:szCs w:val="19"/>
        </w:rPr>
        <w:t>an asset that will be used in a service concession</w:t>
      </w:r>
      <w:r w:rsidRPr="00662611">
        <w:rPr>
          <w:szCs w:val="19"/>
        </w:rPr>
        <w:t xml:space="preserve"> arrangement</w:t>
      </w:r>
      <w:r w:rsidR="009A78DC" w:rsidRPr="00662611">
        <w:rPr>
          <w:szCs w:val="19"/>
        </w:rPr>
        <w:t xml:space="preserve"> </w:t>
      </w:r>
      <w:r w:rsidR="001215D9" w:rsidRPr="00662611">
        <w:rPr>
          <w:szCs w:val="19"/>
        </w:rPr>
        <w:t>for either its</w:t>
      </w:r>
      <w:r w:rsidRPr="00662611">
        <w:rPr>
          <w:szCs w:val="19"/>
        </w:rPr>
        <w:t xml:space="preserve"> entire </w:t>
      </w:r>
      <w:r w:rsidR="00FF1F9E" w:rsidRPr="00662611">
        <w:rPr>
          <w:szCs w:val="19"/>
        </w:rPr>
        <w:t xml:space="preserve">economic </w:t>
      </w:r>
      <w:r w:rsidRPr="00662611">
        <w:rPr>
          <w:szCs w:val="19"/>
        </w:rPr>
        <w:t>life or the major part of</w:t>
      </w:r>
      <w:r w:rsidR="009A78DC" w:rsidRPr="00662611">
        <w:rPr>
          <w:szCs w:val="19"/>
        </w:rPr>
        <w:t xml:space="preserve"> </w:t>
      </w:r>
      <w:r w:rsidR="001215D9" w:rsidRPr="00662611">
        <w:rPr>
          <w:szCs w:val="19"/>
        </w:rPr>
        <w:t>its</w:t>
      </w:r>
      <w:r w:rsidRPr="00662611">
        <w:rPr>
          <w:szCs w:val="19"/>
        </w:rPr>
        <w:t xml:space="preserve"> </w:t>
      </w:r>
      <w:r w:rsidR="00FF1F9E" w:rsidRPr="00662611">
        <w:rPr>
          <w:szCs w:val="19"/>
        </w:rPr>
        <w:t xml:space="preserve">economic </w:t>
      </w:r>
      <w:r w:rsidRPr="00662611">
        <w:rPr>
          <w:szCs w:val="19"/>
        </w:rPr>
        <w:t>life.</w:t>
      </w:r>
      <w:r w:rsidR="001215D9" w:rsidRPr="00662611">
        <w:rPr>
          <w:szCs w:val="19"/>
        </w:rPr>
        <w:t xml:space="preserve"> In both cases, there is no significant residual interest in the asset at the end of the arrangement, so that the </w:t>
      </w:r>
      <w:r w:rsidR="007B6A1F">
        <w:rPr>
          <w:szCs w:val="19"/>
        </w:rPr>
        <w:t xml:space="preserve">condition </w:t>
      </w:r>
      <w:r w:rsidR="001215D9" w:rsidRPr="00662611">
        <w:rPr>
          <w:szCs w:val="19"/>
        </w:rPr>
        <w:t xml:space="preserve">in paragraph </w:t>
      </w:r>
      <w:r w:rsidR="009B5874" w:rsidRPr="00662611">
        <w:rPr>
          <w:szCs w:val="19"/>
        </w:rPr>
        <w:fldChar w:fldCharType="begin"/>
      </w:r>
      <w:r w:rsidR="009B5874" w:rsidRPr="00662611">
        <w:rPr>
          <w:szCs w:val="19"/>
        </w:rPr>
        <w:instrText xml:space="preserve"> REF _Ref475624573 \r \h </w:instrText>
      </w:r>
      <w:r w:rsidR="009B5874" w:rsidRPr="00662611">
        <w:rPr>
          <w:szCs w:val="19"/>
        </w:rPr>
      </w:r>
      <w:r w:rsidR="009B5874" w:rsidRPr="00662611">
        <w:rPr>
          <w:szCs w:val="19"/>
        </w:rPr>
        <w:fldChar w:fldCharType="separate"/>
      </w:r>
      <w:r w:rsidR="00C43128">
        <w:rPr>
          <w:szCs w:val="19"/>
        </w:rPr>
        <w:t>5(b)</w:t>
      </w:r>
      <w:r w:rsidR="009B5874" w:rsidRPr="00662611">
        <w:rPr>
          <w:szCs w:val="19"/>
        </w:rPr>
        <w:fldChar w:fldCharType="end"/>
      </w:r>
      <w:r w:rsidR="001215D9" w:rsidRPr="00662611">
        <w:rPr>
          <w:szCs w:val="19"/>
        </w:rPr>
        <w:t xml:space="preserve"> is not relevant. </w:t>
      </w:r>
    </w:p>
    <w:p w14:paraId="7D927266" w14:textId="5B7B87C1" w:rsidR="008106D3" w:rsidRPr="00662611" w:rsidRDefault="008106D3" w:rsidP="00EE45A4">
      <w:pPr>
        <w:pStyle w:val="IASBSectionTitle3Ind"/>
        <w:outlineLvl w:val="3"/>
      </w:pPr>
      <w:r w:rsidRPr="00662611">
        <w:t xml:space="preserve">Existing </w:t>
      </w:r>
      <w:r w:rsidR="009B5A80" w:rsidRPr="00662611">
        <w:t>a</w:t>
      </w:r>
      <w:r w:rsidRPr="00662611">
        <w:t>sset</w:t>
      </w:r>
      <w:r w:rsidR="00353E21" w:rsidRPr="00662611">
        <w:t>s</w:t>
      </w:r>
      <w:r w:rsidRPr="00662611">
        <w:t xml:space="preserve"> of the </w:t>
      </w:r>
      <w:r w:rsidR="009B5A80" w:rsidRPr="00662611">
        <w:t>g</w:t>
      </w:r>
      <w:r w:rsidR="0007547E">
        <w:t>rantor</w:t>
      </w:r>
    </w:p>
    <w:p w14:paraId="7D927267" w14:textId="77777777" w:rsidR="008106D3" w:rsidRPr="00662611" w:rsidRDefault="008106D3" w:rsidP="003102C2">
      <w:pPr>
        <w:pStyle w:val="NumAG1"/>
        <w:ind w:left="784" w:hanging="784"/>
        <w:rPr>
          <w:szCs w:val="19"/>
        </w:rPr>
      </w:pPr>
      <w:r w:rsidRPr="00662611">
        <w:rPr>
          <w:szCs w:val="19"/>
        </w:rPr>
        <w:t xml:space="preserve">The arrangement may involve an existing asset </w:t>
      </w:r>
      <w:r w:rsidR="00B26AE1" w:rsidRPr="00662611">
        <w:rPr>
          <w:szCs w:val="19"/>
        </w:rPr>
        <w:t xml:space="preserve">(tangible or intangible) </w:t>
      </w:r>
      <w:r w:rsidRPr="00662611">
        <w:rPr>
          <w:szCs w:val="19"/>
        </w:rPr>
        <w:t xml:space="preserve">of the grantor: </w:t>
      </w:r>
    </w:p>
    <w:p w14:paraId="7D927268" w14:textId="0AD47DED" w:rsidR="008106D3" w:rsidRPr="00662611" w:rsidRDefault="006172CE" w:rsidP="006172CE">
      <w:pPr>
        <w:pStyle w:val="NumAG2"/>
        <w:ind w:left="1564" w:hanging="782"/>
      </w:pPr>
      <w:r>
        <w:tab/>
      </w:r>
      <w:r w:rsidR="008106D3" w:rsidRPr="00662611">
        <w:t xml:space="preserve">to which the grantor gives the operator access for the purpose of the service concession arrangement; or </w:t>
      </w:r>
    </w:p>
    <w:p w14:paraId="7D927269" w14:textId="52343E8B" w:rsidR="008106D3" w:rsidRPr="00662611" w:rsidRDefault="006172CE" w:rsidP="006172CE">
      <w:pPr>
        <w:pStyle w:val="NumAG2"/>
        <w:ind w:left="1564" w:hanging="782"/>
      </w:pPr>
      <w:r>
        <w:tab/>
      </w:r>
      <w:proofErr w:type="gramStart"/>
      <w:r w:rsidR="008106D3" w:rsidRPr="00662611">
        <w:t>to</w:t>
      </w:r>
      <w:proofErr w:type="gramEnd"/>
      <w:r w:rsidR="008106D3" w:rsidRPr="00662611">
        <w:t xml:space="preserve"> which the grantor gives the operator access for the purpose of </w:t>
      </w:r>
      <w:r w:rsidR="00E53780">
        <w:t xml:space="preserve">the operator </w:t>
      </w:r>
      <w:r w:rsidR="008106D3" w:rsidRPr="00662611">
        <w:t xml:space="preserve">generating revenues as compensation for the service concession asset. </w:t>
      </w:r>
    </w:p>
    <w:p w14:paraId="7D92726A" w14:textId="5B6ABF56" w:rsidR="00B02352" w:rsidRPr="00662611" w:rsidRDefault="00B02352" w:rsidP="003102C2">
      <w:pPr>
        <w:pStyle w:val="NumAG1"/>
        <w:ind w:left="784" w:hanging="784"/>
        <w:rPr>
          <w:szCs w:val="19"/>
        </w:rPr>
      </w:pPr>
      <w:bookmarkStart w:id="70" w:name="_Ref475975500"/>
      <w:bookmarkStart w:id="71" w:name="_Ref482282274"/>
      <w:bookmarkStart w:id="72" w:name="_Ref484736788"/>
      <w:r w:rsidRPr="00662611">
        <w:rPr>
          <w:szCs w:val="19"/>
        </w:rPr>
        <w:t>Existing assets of the grantor used in the service concession arrangement shall be classified under this Standard</w:t>
      </w:r>
      <w:r w:rsidR="007871FD" w:rsidRPr="00662611">
        <w:rPr>
          <w:szCs w:val="19"/>
        </w:rPr>
        <w:t xml:space="preserve"> </w:t>
      </w:r>
      <w:r w:rsidR="00E26058" w:rsidRPr="00662611">
        <w:rPr>
          <w:szCs w:val="19"/>
        </w:rPr>
        <w:t xml:space="preserve">(paragraph </w:t>
      </w:r>
      <w:r w:rsidR="00903DBF">
        <w:rPr>
          <w:szCs w:val="19"/>
        </w:rPr>
        <w:fldChar w:fldCharType="begin"/>
      </w:r>
      <w:r w:rsidR="00903DBF">
        <w:rPr>
          <w:szCs w:val="19"/>
        </w:rPr>
        <w:instrText xml:space="preserve"> REF _Ref486145413 \r \h </w:instrText>
      </w:r>
      <w:r w:rsidR="00903DBF">
        <w:rPr>
          <w:szCs w:val="19"/>
        </w:rPr>
      </w:r>
      <w:r w:rsidR="00903DBF">
        <w:rPr>
          <w:szCs w:val="19"/>
        </w:rPr>
        <w:fldChar w:fldCharType="separate"/>
      </w:r>
      <w:r w:rsidR="00C43128">
        <w:rPr>
          <w:szCs w:val="19"/>
        </w:rPr>
        <w:t>8</w:t>
      </w:r>
      <w:r w:rsidR="00903DBF">
        <w:rPr>
          <w:szCs w:val="19"/>
        </w:rPr>
        <w:fldChar w:fldCharType="end"/>
      </w:r>
      <w:r w:rsidR="00E26058" w:rsidRPr="00662611">
        <w:rPr>
          <w:szCs w:val="19"/>
        </w:rPr>
        <w:t xml:space="preserve">) </w:t>
      </w:r>
      <w:r w:rsidR="007871FD" w:rsidRPr="00662611">
        <w:rPr>
          <w:szCs w:val="19"/>
        </w:rPr>
        <w:t>as service concession assets</w:t>
      </w:r>
      <w:r w:rsidRPr="00662611">
        <w:rPr>
          <w:szCs w:val="19"/>
        </w:rPr>
        <w:t xml:space="preserve">. </w:t>
      </w:r>
      <w:r w:rsidR="00E26058" w:rsidRPr="00662611">
        <w:rPr>
          <w:szCs w:val="19"/>
        </w:rPr>
        <w:t>This includes</w:t>
      </w:r>
      <w:r w:rsidR="007A488B">
        <w:rPr>
          <w:szCs w:val="19"/>
        </w:rPr>
        <w:t xml:space="preserve"> </w:t>
      </w:r>
      <w:r w:rsidR="0042371B" w:rsidRPr="00662611">
        <w:rPr>
          <w:szCs w:val="19"/>
        </w:rPr>
        <w:t xml:space="preserve">identifiable </w:t>
      </w:r>
      <w:r w:rsidR="00E26058" w:rsidRPr="00662611">
        <w:rPr>
          <w:szCs w:val="19"/>
        </w:rPr>
        <w:t xml:space="preserve">intangible assets </w:t>
      </w:r>
      <w:r w:rsidR="00E53780">
        <w:rPr>
          <w:szCs w:val="19"/>
        </w:rPr>
        <w:t>and land under roads</w:t>
      </w:r>
      <w:r w:rsidR="00E26058" w:rsidRPr="00662611">
        <w:rPr>
          <w:szCs w:val="19"/>
        </w:rPr>
        <w:t xml:space="preserve"> of the grantor that have not been recognised previously by the grantor. </w:t>
      </w:r>
      <w:r w:rsidR="007871FD" w:rsidRPr="00662611">
        <w:rPr>
          <w:szCs w:val="19"/>
        </w:rPr>
        <w:t>T</w:t>
      </w:r>
      <w:r w:rsidR="00002140" w:rsidRPr="00662611">
        <w:rPr>
          <w:szCs w:val="19"/>
        </w:rPr>
        <w:t xml:space="preserve">he grantor </w:t>
      </w:r>
      <w:r w:rsidRPr="00662611">
        <w:rPr>
          <w:szCs w:val="19"/>
        </w:rPr>
        <w:t xml:space="preserve">shall recognise </w:t>
      </w:r>
      <w:r w:rsidR="007871FD" w:rsidRPr="00662611">
        <w:rPr>
          <w:szCs w:val="19"/>
        </w:rPr>
        <w:t xml:space="preserve">the </w:t>
      </w:r>
      <w:r w:rsidR="00E26058" w:rsidRPr="00662611">
        <w:rPr>
          <w:szCs w:val="19"/>
        </w:rPr>
        <w:t xml:space="preserve">upgrade of an existing asset of the grantor (eg an increase in capacity) </w:t>
      </w:r>
      <w:r w:rsidR="00F121FB">
        <w:rPr>
          <w:szCs w:val="19"/>
        </w:rPr>
        <w:t xml:space="preserve">or </w:t>
      </w:r>
      <w:r w:rsidR="00F121FB" w:rsidRPr="00662611">
        <w:rPr>
          <w:szCs w:val="19"/>
        </w:rPr>
        <w:t>the replacement of a major component of a</w:t>
      </w:r>
      <w:r w:rsidR="00DC51E7">
        <w:rPr>
          <w:szCs w:val="19"/>
        </w:rPr>
        <w:t>n</w:t>
      </w:r>
      <w:r w:rsidR="00F121FB" w:rsidRPr="00662611">
        <w:rPr>
          <w:szCs w:val="19"/>
        </w:rPr>
        <w:t xml:space="preserve"> asset</w:t>
      </w:r>
      <w:r w:rsidR="00F121FB">
        <w:rPr>
          <w:szCs w:val="19"/>
        </w:rPr>
        <w:t xml:space="preserve"> </w:t>
      </w:r>
      <w:r w:rsidRPr="00662611">
        <w:rPr>
          <w:szCs w:val="19"/>
        </w:rPr>
        <w:t>as a service concession asset in accordance with paragraph </w:t>
      </w:r>
      <w:r w:rsidR="000211B8" w:rsidRPr="00662611">
        <w:rPr>
          <w:szCs w:val="19"/>
        </w:rPr>
        <w:fldChar w:fldCharType="begin"/>
      </w:r>
      <w:r w:rsidR="000211B8" w:rsidRPr="00662611">
        <w:rPr>
          <w:szCs w:val="19"/>
        </w:rPr>
        <w:instrText xml:space="preserve"> REF _Ref475619556 \r \h </w:instrText>
      </w:r>
      <w:r w:rsidR="000211B8" w:rsidRPr="00662611">
        <w:rPr>
          <w:szCs w:val="19"/>
        </w:rPr>
      </w:r>
      <w:r w:rsidR="000211B8" w:rsidRPr="00662611">
        <w:rPr>
          <w:szCs w:val="19"/>
        </w:rPr>
        <w:fldChar w:fldCharType="separate"/>
      </w:r>
      <w:r w:rsidR="00C43128">
        <w:rPr>
          <w:szCs w:val="19"/>
        </w:rPr>
        <w:t>5</w:t>
      </w:r>
      <w:r w:rsidR="000211B8" w:rsidRPr="00662611">
        <w:rPr>
          <w:szCs w:val="19"/>
        </w:rPr>
        <w:fldChar w:fldCharType="end"/>
      </w:r>
      <w:r w:rsidRPr="00662611">
        <w:rPr>
          <w:szCs w:val="19"/>
        </w:rPr>
        <w:t xml:space="preserve"> (or paragraph </w:t>
      </w:r>
      <w:r w:rsidR="000211B8" w:rsidRPr="00662611">
        <w:rPr>
          <w:szCs w:val="19"/>
        </w:rPr>
        <w:fldChar w:fldCharType="begin"/>
      </w:r>
      <w:r w:rsidR="000211B8" w:rsidRPr="00662611">
        <w:rPr>
          <w:szCs w:val="19"/>
        </w:rPr>
        <w:instrText xml:space="preserve"> REF _Ref475619569 \r \h </w:instrText>
      </w:r>
      <w:r w:rsidR="000211B8" w:rsidRPr="00662611">
        <w:rPr>
          <w:szCs w:val="19"/>
        </w:rPr>
      </w:r>
      <w:r w:rsidR="000211B8" w:rsidRPr="00662611">
        <w:rPr>
          <w:szCs w:val="19"/>
        </w:rPr>
        <w:fldChar w:fldCharType="separate"/>
      </w:r>
      <w:r w:rsidR="00C43128">
        <w:rPr>
          <w:szCs w:val="19"/>
        </w:rPr>
        <w:t>6</w:t>
      </w:r>
      <w:r w:rsidR="000211B8" w:rsidRPr="00662611">
        <w:rPr>
          <w:szCs w:val="19"/>
        </w:rPr>
        <w:fldChar w:fldCharType="end"/>
      </w:r>
      <w:r w:rsidR="00E7779D" w:rsidRPr="00662611">
        <w:rPr>
          <w:szCs w:val="19"/>
        </w:rPr>
        <w:t xml:space="preserve"> for a whole-of-life asset)</w:t>
      </w:r>
      <w:bookmarkEnd w:id="70"/>
      <w:r w:rsidR="0094435D" w:rsidRPr="00662611">
        <w:rPr>
          <w:szCs w:val="19"/>
        </w:rPr>
        <w:t>.</w:t>
      </w:r>
      <w:bookmarkEnd w:id="71"/>
      <w:r w:rsidR="00A5154D" w:rsidRPr="00662611">
        <w:rPr>
          <w:szCs w:val="19"/>
        </w:rPr>
        <w:t xml:space="preserve"> </w:t>
      </w:r>
      <w:r w:rsidR="00DC51E7">
        <w:rPr>
          <w:szCs w:val="19"/>
        </w:rPr>
        <w:t xml:space="preserve">The grantor </w:t>
      </w:r>
      <w:r w:rsidR="00087F48" w:rsidRPr="00662611">
        <w:rPr>
          <w:szCs w:val="19"/>
        </w:rPr>
        <w:t xml:space="preserve">also recognises </w:t>
      </w:r>
      <w:r w:rsidR="00A5154D" w:rsidRPr="00662611">
        <w:rPr>
          <w:szCs w:val="19"/>
        </w:rPr>
        <w:t>a corresponding liability</w:t>
      </w:r>
      <w:r w:rsidR="00087F48" w:rsidRPr="00662611">
        <w:rPr>
          <w:szCs w:val="19"/>
        </w:rPr>
        <w:t>,</w:t>
      </w:r>
      <w:r w:rsidR="00A5154D" w:rsidRPr="00662611">
        <w:rPr>
          <w:szCs w:val="19"/>
        </w:rPr>
        <w:t xml:space="preserve"> when the </w:t>
      </w:r>
      <w:r w:rsidR="00DC51E7">
        <w:rPr>
          <w:szCs w:val="19"/>
        </w:rPr>
        <w:t xml:space="preserve">upgrade or </w:t>
      </w:r>
      <w:r w:rsidR="00A5154D" w:rsidRPr="00662611">
        <w:rPr>
          <w:szCs w:val="19"/>
        </w:rPr>
        <w:t>replacement occurs.</w:t>
      </w:r>
      <w:bookmarkEnd w:id="72"/>
    </w:p>
    <w:p w14:paraId="7D92726B" w14:textId="17C9237C" w:rsidR="009D4280" w:rsidRPr="00662611" w:rsidRDefault="009D4280" w:rsidP="009D4280">
      <w:pPr>
        <w:pStyle w:val="IASBSectionTitle4Ind"/>
        <w:outlineLvl w:val="4"/>
      </w:pPr>
      <w:r w:rsidRPr="00662611">
        <w:lastRenderedPageBreak/>
        <w:t>Intangible assets</w:t>
      </w:r>
      <w:r w:rsidR="00E53780">
        <w:t xml:space="preserve"> and land under roads</w:t>
      </w:r>
    </w:p>
    <w:p w14:paraId="7D92726C" w14:textId="293B3417" w:rsidR="009D4280" w:rsidRPr="00662611" w:rsidRDefault="009D4280" w:rsidP="003102C2">
      <w:pPr>
        <w:pStyle w:val="NumAG1"/>
        <w:ind w:left="784" w:hanging="784"/>
        <w:rPr>
          <w:szCs w:val="19"/>
        </w:rPr>
      </w:pPr>
      <w:bookmarkStart w:id="73" w:name="_Ref484736810"/>
      <w:r w:rsidRPr="00662611">
        <w:rPr>
          <w:szCs w:val="19"/>
        </w:rPr>
        <w:t>In applying paragraph</w:t>
      </w:r>
      <w:r w:rsidR="00AD0205" w:rsidRPr="00662611">
        <w:rPr>
          <w:szCs w:val="19"/>
        </w:rPr>
        <w:t>s</w:t>
      </w:r>
      <w:r w:rsidR="00E04F6B" w:rsidRPr="00662611">
        <w:rPr>
          <w:szCs w:val="19"/>
        </w:rPr>
        <w:t> </w:t>
      </w:r>
      <w:r w:rsidR="00436576">
        <w:rPr>
          <w:szCs w:val="19"/>
        </w:rPr>
        <w:fldChar w:fldCharType="begin"/>
      </w:r>
      <w:r w:rsidR="00436576">
        <w:rPr>
          <w:szCs w:val="19"/>
        </w:rPr>
        <w:instrText xml:space="preserve"> REF _Ref486145413 \r \h </w:instrText>
      </w:r>
      <w:r w:rsidR="00436576">
        <w:rPr>
          <w:szCs w:val="19"/>
        </w:rPr>
      </w:r>
      <w:r w:rsidR="00436576">
        <w:rPr>
          <w:szCs w:val="19"/>
        </w:rPr>
        <w:fldChar w:fldCharType="separate"/>
      </w:r>
      <w:r w:rsidR="00C43128">
        <w:rPr>
          <w:szCs w:val="19"/>
        </w:rPr>
        <w:t>8</w:t>
      </w:r>
      <w:r w:rsidR="00436576">
        <w:rPr>
          <w:szCs w:val="19"/>
        </w:rPr>
        <w:fldChar w:fldCharType="end"/>
      </w:r>
      <w:r w:rsidR="00436576">
        <w:rPr>
          <w:szCs w:val="19"/>
        </w:rPr>
        <w:t>–</w:t>
      </w:r>
      <w:r w:rsidR="00436576">
        <w:rPr>
          <w:szCs w:val="19"/>
        </w:rPr>
        <w:fldChar w:fldCharType="begin"/>
      </w:r>
      <w:r w:rsidR="00436576">
        <w:rPr>
          <w:szCs w:val="19"/>
        </w:rPr>
        <w:instrText xml:space="preserve"> REF _Ref487193431 \r \h </w:instrText>
      </w:r>
      <w:r w:rsidR="00436576">
        <w:rPr>
          <w:szCs w:val="19"/>
        </w:rPr>
      </w:r>
      <w:r w:rsidR="00436576">
        <w:rPr>
          <w:szCs w:val="19"/>
        </w:rPr>
        <w:fldChar w:fldCharType="separate"/>
      </w:r>
      <w:r w:rsidR="00C43128">
        <w:rPr>
          <w:szCs w:val="19"/>
        </w:rPr>
        <w:t>10</w:t>
      </w:r>
      <w:r w:rsidR="00436576">
        <w:rPr>
          <w:szCs w:val="19"/>
        </w:rPr>
        <w:fldChar w:fldCharType="end"/>
      </w:r>
      <w:r w:rsidR="00AD0205" w:rsidRPr="00662611">
        <w:rPr>
          <w:szCs w:val="19"/>
        </w:rPr>
        <w:t xml:space="preserve"> and </w:t>
      </w:r>
      <w:r w:rsidR="00E04F6B" w:rsidRPr="00662611">
        <w:rPr>
          <w:szCs w:val="19"/>
        </w:rPr>
        <w:fldChar w:fldCharType="begin"/>
      </w:r>
      <w:r w:rsidR="00E04F6B" w:rsidRPr="00662611">
        <w:rPr>
          <w:szCs w:val="19"/>
        </w:rPr>
        <w:instrText xml:space="preserve"> REF _Ref482282274 \r \h </w:instrText>
      </w:r>
      <w:r w:rsidR="00E04F6B" w:rsidRPr="00662611">
        <w:rPr>
          <w:szCs w:val="19"/>
        </w:rPr>
      </w:r>
      <w:r w:rsidR="00E04F6B" w:rsidRPr="00662611">
        <w:rPr>
          <w:szCs w:val="19"/>
        </w:rPr>
        <w:fldChar w:fldCharType="separate"/>
      </w:r>
      <w:r w:rsidR="00C43128">
        <w:rPr>
          <w:szCs w:val="19"/>
        </w:rPr>
        <w:t>B38</w:t>
      </w:r>
      <w:r w:rsidR="00E04F6B" w:rsidRPr="00662611">
        <w:rPr>
          <w:szCs w:val="19"/>
        </w:rPr>
        <w:fldChar w:fldCharType="end"/>
      </w:r>
      <w:r w:rsidRPr="00662611">
        <w:rPr>
          <w:szCs w:val="19"/>
        </w:rPr>
        <w:t xml:space="preserve"> to </w:t>
      </w:r>
      <w:r w:rsidRPr="00662611">
        <w:t xml:space="preserve">an </w:t>
      </w:r>
      <w:r w:rsidR="00E04F6B" w:rsidRPr="00662611">
        <w:rPr>
          <w:szCs w:val="19"/>
        </w:rPr>
        <w:t xml:space="preserve">identifiable </w:t>
      </w:r>
      <w:r w:rsidRPr="00662611">
        <w:t xml:space="preserve">intangible asset </w:t>
      </w:r>
      <w:r w:rsidR="00E53780">
        <w:t xml:space="preserve">or land under roads </w:t>
      </w:r>
      <w:r w:rsidRPr="00662611">
        <w:t xml:space="preserve">that has not been recognised </w:t>
      </w:r>
      <w:r w:rsidR="0089143E" w:rsidRPr="00662611">
        <w:t xml:space="preserve">previously </w:t>
      </w:r>
      <w:r w:rsidRPr="00662611">
        <w:t>by the grantor</w:t>
      </w:r>
      <w:r w:rsidRPr="00662611">
        <w:rPr>
          <w:szCs w:val="19"/>
        </w:rPr>
        <w:t>, the grantor shall:</w:t>
      </w:r>
      <w:bookmarkEnd w:id="73"/>
    </w:p>
    <w:p w14:paraId="7D92726D" w14:textId="72B7EA7C" w:rsidR="00ED76A6" w:rsidRPr="00662611" w:rsidRDefault="006172CE" w:rsidP="006172CE">
      <w:pPr>
        <w:pStyle w:val="NumAG2"/>
        <w:ind w:left="1564" w:hanging="782"/>
      </w:pPr>
      <w:bookmarkStart w:id="74" w:name="_Ref482278647"/>
      <w:r>
        <w:tab/>
      </w:r>
      <w:proofErr w:type="gramStart"/>
      <w:r w:rsidR="00ED76A6" w:rsidRPr="00662611">
        <w:t>initially</w:t>
      </w:r>
      <w:proofErr w:type="gramEnd"/>
      <w:r w:rsidR="00ED76A6" w:rsidRPr="00662611">
        <w:t xml:space="preserve"> recognise </w:t>
      </w:r>
      <w:r w:rsidR="00ED76A6" w:rsidRPr="00662611">
        <w:rPr>
          <w:szCs w:val="19"/>
        </w:rPr>
        <w:t xml:space="preserve">the </w:t>
      </w:r>
      <w:r w:rsidR="00ED76A6" w:rsidRPr="00662611">
        <w:t xml:space="preserve">asset </w:t>
      </w:r>
      <w:r w:rsidR="00ED76A6" w:rsidRPr="00662611">
        <w:rPr>
          <w:szCs w:val="19"/>
        </w:rPr>
        <w:t xml:space="preserve">as a service concession </w:t>
      </w:r>
      <w:r w:rsidR="00ED76A6" w:rsidRPr="00662611">
        <w:t>asset</w:t>
      </w:r>
      <w:r w:rsidR="00ED76A6" w:rsidRPr="00662611">
        <w:rPr>
          <w:szCs w:val="19"/>
        </w:rPr>
        <w:t>, measured</w:t>
      </w:r>
      <w:r w:rsidR="00ED76A6" w:rsidRPr="00662611">
        <w:t xml:space="preserve"> at current replacement cost in accordance with the cost approach to fair value in AASB 13. </w:t>
      </w:r>
      <w:r w:rsidR="00ED76A6" w:rsidRPr="00662611">
        <w:rPr>
          <w:szCs w:val="19"/>
        </w:rPr>
        <w:t>In accordance</w:t>
      </w:r>
      <w:r w:rsidR="0089143E" w:rsidRPr="00662611">
        <w:t xml:space="preserve"> with paragraphs </w:t>
      </w:r>
      <w:r w:rsidR="00903DBF">
        <w:fldChar w:fldCharType="begin"/>
      </w:r>
      <w:r w:rsidR="00903DBF">
        <w:instrText xml:space="preserve"> REF _Ref486145413 \r \h </w:instrText>
      </w:r>
      <w:r w:rsidR="00903DBF">
        <w:fldChar w:fldCharType="separate"/>
      </w:r>
      <w:r w:rsidR="00C43128">
        <w:t>8</w:t>
      </w:r>
      <w:r w:rsidR="00903DBF">
        <w:fldChar w:fldCharType="end"/>
      </w:r>
      <w:r w:rsidR="0089143E" w:rsidRPr="00662611">
        <w:t xml:space="preserve"> and </w:t>
      </w:r>
      <w:r w:rsidR="00476DD0">
        <w:fldChar w:fldCharType="begin"/>
      </w:r>
      <w:r w:rsidR="00476DD0">
        <w:instrText xml:space="preserve"> REF _Ref475620374 \r \h </w:instrText>
      </w:r>
      <w:r w:rsidR="00476DD0">
        <w:fldChar w:fldCharType="separate"/>
      </w:r>
      <w:r w:rsidR="00C43128">
        <w:t>11</w:t>
      </w:r>
      <w:r w:rsidR="00476DD0">
        <w:fldChar w:fldCharType="end"/>
      </w:r>
      <w:r w:rsidR="00ED76A6" w:rsidRPr="00662611">
        <w:t xml:space="preserve">, the grantor shall </w:t>
      </w:r>
      <w:r w:rsidR="00ED76A6" w:rsidRPr="00662611">
        <w:rPr>
          <w:szCs w:val="19"/>
        </w:rPr>
        <w:t>account for</w:t>
      </w:r>
      <w:r w:rsidR="00ED76A6" w:rsidRPr="00662611">
        <w:t xml:space="preserve"> the recognition of the asset at </w:t>
      </w:r>
      <w:r w:rsidR="006E5297" w:rsidRPr="00662611">
        <w:t>fair value (</w:t>
      </w:r>
      <w:r w:rsidR="00ED76A6" w:rsidRPr="00662611">
        <w:t>current replacement cost</w:t>
      </w:r>
      <w:r w:rsidR="006E5297" w:rsidRPr="00662611">
        <w:t>)</w:t>
      </w:r>
      <w:r w:rsidR="00ED76A6" w:rsidRPr="00662611">
        <w:t xml:space="preserve"> as if it is a revaluation </w:t>
      </w:r>
      <w:r w:rsidR="00ED76A6" w:rsidRPr="00662611">
        <w:rPr>
          <w:szCs w:val="19"/>
        </w:rPr>
        <w:t xml:space="preserve">of the asset </w:t>
      </w:r>
      <w:r w:rsidR="005A18C8" w:rsidRPr="00662611">
        <w:rPr>
          <w:szCs w:val="19"/>
        </w:rPr>
        <w:t xml:space="preserve">(ie as a revaluation surplus) </w:t>
      </w:r>
      <w:r w:rsidR="00ED76A6" w:rsidRPr="00662611">
        <w:t xml:space="preserve">and </w:t>
      </w:r>
      <w:r w:rsidR="00ED76A6" w:rsidRPr="00662611">
        <w:rPr>
          <w:szCs w:val="19"/>
        </w:rPr>
        <w:t xml:space="preserve">shall </w:t>
      </w:r>
      <w:r w:rsidR="00ED76A6" w:rsidRPr="00662611">
        <w:t>recognise a liability only to the extent of additional consideration provided by the operator</w:t>
      </w:r>
      <w:r w:rsidR="00ED76A6" w:rsidRPr="00662611">
        <w:rPr>
          <w:szCs w:val="19"/>
        </w:rPr>
        <w:t>;</w:t>
      </w:r>
      <w:bookmarkEnd w:id="74"/>
    </w:p>
    <w:p w14:paraId="7D92726E" w14:textId="40EA8304" w:rsidR="00FE17ED" w:rsidRPr="00662611" w:rsidRDefault="006172CE" w:rsidP="006172CE">
      <w:pPr>
        <w:pStyle w:val="NumAG2"/>
        <w:ind w:left="1564" w:hanging="782"/>
      </w:pPr>
      <w:r>
        <w:tab/>
      </w:r>
      <w:r w:rsidR="00A34EAD" w:rsidRPr="00662611">
        <w:t>after initial recognition of the asset</w:t>
      </w:r>
      <w:r w:rsidR="006B1042" w:rsidRPr="00662611">
        <w:t xml:space="preserve"> and while controlled by the grantor</w:t>
      </w:r>
      <w:r w:rsidR="00A34EAD" w:rsidRPr="00662611">
        <w:t>, account for the asset in accordance with AASB</w:t>
      </w:r>
      <w:r w:rsidR="00E53780">
        <w:t xml:space="preserve"> 116 </w:t>
      </w:r>
      <w:r w:rsidR="00741188">
        <w:t xml:space="preserve">or </w:t>
      </w:r>
      <w:r w:rsidR="00A34EAD" w:rsidRPr="00662611">
        <w:t xml:space="preserve">AASB 138, </w:t>
      </w:r>
      <w:r w:rsidR="00741188">
        <w:t>as appropriate</w:t>
      </w:r>
      <w:r w:rsidR="00A34EAD" w:rsidRPr="00662611">
        <w:t xml:space="preserve">, </w:t>
      </w:r>
      <w:r w:rsidR="00024B18" w:rsidRPr="00662611">
        <w:t xml:space="preserve">subject to </w:t>
      </w:r>
      <w:r w:rsidR="00A34EAD" w:rsidRPr="00662611">
        <w:t xml:space="preserve">paragraph </w:t>
      </w:r>
      <w:r w:rsidR="00476DD0">
        <w:fldChar w:fldCharType="begin"/>
      </w:r>
      <w:r w:rsidR="00476DD0">
        <w:instrText xml:space="preserve"> REF _Ref486145440 \r \h </w:instrText>
      </w:r>
      <w:r w:rsidR="00476DD0">
        <w:fldChar w:fldCharType="separate"/>
      </w:r>
      <w:r w:rsidR="00C43128">
        <w:t>9</w:t>
      </w:r>
      <w:r w:rsidR="00476DD0">
        <w:fldChar w:fldCharType="end"/>
      </w:r>
      <w:r w:rsidR="00024B18" w:rsidRPr="00662611">
        <w:t>, as follows</w:t>
      </w:r>
      <w:r w:rsidR="00FE17ED" w:rsidRPr="00662611">
        <w:t>:</w:t>
      </w:r>
    </w:p>
    <w:p w14:paraId="7D92726F" w14:textId="2286DD27" w:rsidR="00087F48" w:rsidRPr="00662611" w:rsidRDefault="006172CE" w:rsidP="006172CE">
      <w:pPr>
        <w:pStyle w:val="NumAG3"/>
        <w:ind w:left="2347" w:hanging="782"/>
      </w:pPr>
      <w:r>
        <w:tab/>
      </w:r>
      <w:r w:rsidR="00741188">
        <w:t xml:space="preserve">depreciate or </w:t>
      </w:r>
      <w:r w:rsidR="00087F48" w:rsidRPr="00662611">
        <w:t>amortise the depreciable amount of the asset over its useful life;</w:t>
      </w:r>
      <w:r w:rsidR="00255583" w:rsidRPr="00662611">
        <w:t xml:space="preserve"> and</w:t>
      </w:r>
    </w:p>
    <w:p w14:paraId="7D927270" w14:textId="3C2AEBD2" w:rsidR="00A34EAD" w:rsidRPr="00662611" w:rsidRDefault="006172CE" w:rsidP="006172CE">
      <w:pPr>
        <w:pStyle w:val="NumAG3"/>
        <w:ind w:left="2347" w:hanging="782"/>
      </w:pPr>
      <w:r>
        <w:tab/>
      </w:r>
      <w:r w:rsidR="00741188">
        <w:t>if</w:t>
      </w:r>
      <w:r w:rsidR="00FE17ED" w:rsidRPr="00662611">
        <w:t xml:space="preserve"> applying the revaluation model to </w:t>
      </w:r>
      <w:r w:rsidR="00255583" w:rsidRPr="00662611">
        <w:t xml:space="preserve">the </w:t>
      </w:r>
      <w:r w:rsidR="00FE17ED" w:rsidRPr="00662611">
        <w:t>asset</w:t>
      </w:r>
      <w:r w:rsidR="00087F48" w:rsidRPr="00662611">
        <w:t>,</w:t>
      </w:r>
      <w:r w:rsidR="00FE17ED" w:rsidRPr="00662611">
        <w:t xml:space="preserve"> </w:t>
      </w:r>
      <w:r w:rsidR="00A34EAD" w:rsidRPr="00662611">
        <w:t xml:space="preserve">current replacement cost continues to be used as </w:t>
      </w:r>
      <w:r w:rsidR="00087F48" w:rsidRPr="00662611">
        <w:t xml:space="preserve">the basis for </w:t>
      </w:r>
      <w:r w:rsidR="00A34EAD" w:rsidRPr="00662611">
        <w:t>fair value measurement without applying</w:t>
      </w:r>
      <w:r w:rsidR="00741188">
        <w:t>, in the case of an intangible asset,</w:t>
      </w:r>
      <w:r w:rsidR="00A34EAD" w:rsidRPr="00662611">
        <w:t xml:space="preserve"> the active market requirements in AASB 138; and</w:t>
      </w:r>
    </w:p>
    <w:p w14:paraId="7D927271" w14:textId="1A31626E" w:rsidR="00CB11BC" w:rsidRPr="00662611" w:rsidRDefault="003A01CF" w:rsidP="003A01CF">
      <w:pPr>
        <w:pStyle w:val="NumAG2"/>
        <w:ind w:left="1564" w:hanging="782"/>
        <w:rPr>
          <w:szCs w:val="24"/>
        </w:rPr>
      </w:pPr>
      <w:bookmarkStart w:id="75" w:name="_Ref484626200"/>
      <w:r>
        <w:tab/>
      </w:r>
      <w:proofErr w:type="gramStart"/>
      <w:r w:rsidR="00255583" w:rsidRPr="00662611">
        <w:t>after</w:t>
      </w:r>
      <w:proofErr w:type="gramEnd"/>
      <w:r w:rsidR="00255583" w:rsidRPr="00662611">
        <w:t xml:space="preserve"> </w:t>
      </w:r>
      <w:r w:rsidR="00A34EAD" w:rsidRPr="00662611">
        <w:t xml:space="preserve">the end of the service concession arrangement, </w:t>
      </w:r>
      <w:r w:rsidR="00084DAC">
        <w:t xml:space="preserve">account for the asset in accordance with other Accounting Standards. This requires the grantor to </w:t>
      </w:r>
      <w:r w:rsidR="007F25AB">
        <w:t>reclassify the asset</w:t>
      </w:r>
      <w:r w:rsidR="0007547E">
        <w:t>,</w:t>
      </w:r>
      <w:r w:rsidR="007F25AB">
        <w:t xml:space="preserve"> </w:t>
      </w:r>
      <w:r w:rsidR="00A34EAD" w:rsidRPr="00662611">
        <w:t xml:space="preserve">continue to recognise the </w:t>
      </w:r>
      <w:r w:rsidR="00A34EAD" w:rsidRPr="00662611" w:rsidDel="004833E2">
        <w:t xml:space="preserve">intangible </w:t>
      </w:r>
      <w:r w:rsidR="00A34EAD" w:rsidRPr="00662611">
        <w:t xml:space="preserve">asset </w:t>
      </w:r>
      <w:r w:rsidR="00255583" w:rsidRPr="00662611">
        <w:t>while controlled by the grantor</w:t>
      </w:r>
      <w:r w:rsidR="00E428AB">
        <w:t>,</w:t>
      </w:r>
      <w:r w:rsidR="00255583" w:rsidRPr="00662611">
        <w:t xml:space="preserve"> </w:t>
      </w:r>
      <w:r w:rsidR="00A34EAD" w:rsidRPr="00662611" w:rsidDel="00E428AB">
        <w:t xml:space="preserve">and </w:t>
      </w:r>
      <w:r w:rsidR="00A34EAD" w:rsidRPr="00662611">
        <w:t xml:space="preserve">account for </w:t>
      </w:r>
      <w:r w:rsidR="00741188">
        <w:t xml:space="preserve">depreciation or </w:t>
      </w:r>
      <w:r w:rsidR="00AA153B" w:rsidRPr="00662611">
        <w:t>amortisation</w:t>
      </w:r>
      <w:r w:rsidR="00255583" w:rsidRPr="00662611">
        <w:t xml:space="preserve"> </w:t>
      </w:r>
      <w:r w:rsidR="00C462D1" w:rsidRPr="00662611">
        <w:t xml:space="preserve">over its useful life </w:t>
      </w:r>
      <w:r w:rsidR="00255583" w:rsidRPr="00662611">
        <w:t>and revaluation</w:t>
      </w:r>
      <w:r w:rsidR="00AA153B" w:rsidRPr="00662611">
        <w:t xml:space="preserve"> </w:t>
      </w:r>
      <w:r w:rsidR="0034412B">
        <w:t>in accordance with the other Standards</w:t>
      </w:r>
      <w:r w:rsidR="00255583" w:rsidRPr="00662611">
        <w:t xml:space="preserve"> </w:t>
      </w:r>
      <w:r w:rsidR="00AA153B" w:rsidRPr="00662611">
        <w:t xml:space="preserve">and </w:t>
      </w:r>
      <w:r w:rsidR="00255583" w:rsidRPr="00662611">
        <w:t xml:space="preserve">derecognise </w:t>
      </w:r>
      <w:r w:rsidR="006B1042" w:rsidRPr="00662611">
        <w:t xml:space="preserve">the asset </w:t>
      </w:r>
      <w:r w:rsidR="00A34EAD" w:rsidRPr="00662611">
        <w:t xml:space="preserve">in accordance with AASB </w:t>
      </w:r>
      <w:r w:rsidR="00741188">
        <w:t xml:space="preserve">116 or </w:t>
      </w:r>
      <w:r w:rsidR="00A34EAD" w:rsidRPr="00662611">
        <w:t>AASB 138</w:t>
      </w:r>
      <w:r w:rsidR="006B1042" w:rsidRPr="00662611">
        <w:t xml:space="preserve"> </w:t>
      </w:r>
      <w:r w:rsidR="004833E2">
        <w:t xml:space="preserve">only </w:t>
      </w:r>
      <w:r w:rsidR="006B1042" w:rsidRPr="00662611">
        <w:t>when control is lost</w:t>
      </w:r>
      <w:r w:rsidR="00084DAC">
        <w:t>. For example, this means that</w:t>
      </w:r>
      <w:r w:rsidR="007F25AB">
        <w:t xml:space="preserve"> an internally generated intangible asset is not derecognised under AASB 138 until control is lost</w:t>
      </w:r>
      <w:bookmarkEnd w:id="75"/>
      <w:r w:rsidR="0007547E">
        <w:t>, even if the asset would not have satisfied the initial recognition criteria in AASB 138</w:t>
      </w:r>
      <w:r w:rsidR="00A34EAD" w:rsidRPr="00662611">
        <w:t>.</w:t>
      </w:r>
    </w:p>
    <w:p w14:paraId="46E39B3D" w14:textId="2B0ACB0F" w:rsidR="00D55D84" w:rsidRPr="00662611" w:rsidRDefault="00D55D84" w:rsidP="00D55D84">
      <w:pPr>
        <w:pStyle w:val="IASBSectionTitle3Ind"/>
        <w:outlineLvl w:val="3"/>
      </w:pPr>
      <w:bookmarkStart w:id="76" w:name="_Ref482278649"/>
      <w:bookmarkEnd w:id="76"/>
      <w:r w:rsidRPr="00662611">
        <w:rPr>
          <w:szCs w:val="19"/>
        </w:rPr>
        <w:t>Impairment and loss of control</w:t>
      </w:r>
    </w:p>
    <w:p w14:paraId="7D927273" w14:textId="4F53DDA3" w:rsidR="00B02352" w:rsidRPr="00662611" w:rsidRDefault="00B02352" w:rsidP="003102C2">
      <w:pPr>
        <w:pStyle w:val="NumAG1"/>
        <w:ind w:left="784" w:hanging="784"/>
        <w:rPr>
          <w:szCs w:val="19"/>
        </w:rPr>
      </w:pPr>
      <w:r w:rsidRPr="00662611">
        <w:rPr>
          <w:szCs w:val="19"/>
        </w:rPr>
        <w:t xml:space="preserve">In applying the impairment tests </w:t>
      </w:r>
      <w:r w:rsidR="004E06C3" w:rsidRPr="00662611">
        <w:rPr>
          <w:szCs w:val="19"/>
        </w:rPr>
        <w:t xml:space="preserve">to </w:t>
      </w:r>
      <w:r w:rsidR="00E24C1F" w:rsidRPr="00662611">
        <w:rPr>
          <w:szCs w:val="19"/>
        </w:rPr>
        <w:t xml:space="preserve">service concession </w:t>
      </w:r>
      <w:r w:rsidR="004E06C3" w:rsidRPr="00662611">
        <w:rPr>
          <w:szCs w:val="19"/>
        </w:rPr>
        <w:t>assets accounted for under</w:t>
      </w:r>
      <w:r w:rsidR="00E24C1F" w:rsidRPr="00662611">
        <w:rPr>
          <w:szCs w:val="19"/>
        </w:rPr>
        <w:t xml:space="preserve"> the cost model</w:t>
      </w:r>
      <w:r w:rsidR="004E06C3" w:rsidRPr="00662611">
        <w:rPr>
          <w:szCs w:val="19"/>
        </w:rPr>
        <w:t xml:space="preserve"> </w:t>
      </w:r>
      <w:r w:rsidRPr="00662611">
        <w:rPr>
          <w:szCs w:val="19"/>
        </w:rPr>
        <w:t xml:space="preserve">in AASB 116 or AASB 138, as appropriate, the grantor does not necessarily consider the granting of the service concession to the operator as a circumstance that causes impairment, unless there has been a change in use of the asset that affects its future economic </w:t>
      </w:r>
      <w:r w:rsidR="00353E21" w:rsidRPr="00662611">
        <w:rPr>
          <w:szCs w:val="19"/>
        </w:rPr>
        <w:t xml:space="preserve">benefits or service potential. </w:t>
      </w:r>
      <w:r w:rsidRPr="00662611">
        <w:rPr>
          <w:szCs w:val="19"/>
        </w:rPr>
        <w:t xml:space="preserve">The grantor shall refer to AASB 136 to determine whether any of the indicators of impairment have been triggered under such circumstances. </w:t>
      </w:r>
      <w:r w:rsidR="005A5D3F" w:rsidRPr="00662611">
        <w:rPr>
          <w:szCs w:val="19"/>
        </w:rPr>
        <w:t xml:space="preserve">AASB 136 does not apply to </w:t>
      </w:r>
      <w:r w:rsidR="00741188">
        <w:rPr>
          <w:szCs w:val="19"/>
        </w:rPr>
        <w:t>primarily non-cash-generating specialised</w:t>
      </w:r>
      <w:r w:rsidR="005A5D3F" w:rsidRPr="00662611">
        <w:rPr>
          <w:szCs w:val="19"/>
        </w:rPr>
        <w:t xml:space="preserve"> </w:t>
      </w:r>
      <w:r w:rsidR="00627441" w:rsidRPr="00662611">
        <w:rPr>
          <w:szCs w:val="19"/>
        </w:rPr>
        <w:t>assets</w:t>
      </w:r>
      <w:r w:rsidR="005A5D3F" w:rsidRPr="00662611">
        <w:rPr>
          <w:szCs w:val="19"/>
        </w:rPr>
        <w:t xml:space="preserve"> </w:t>
      </w:r>
      <w:r w:rsidR="009139F1" w:rsidRPr="00662611">
        <w:rPr>
          <w:szCs w:val="19"/>
        </w:rPr>
        <w:t xml:space="preserve">of not-for-profit entities </w:t>
      </w:r>
      <w:r w:rsidR="005A5D3F" w:rsidRPr="00662611">
        <w:rPr>
          <w:szCs w:val="19"/>
        </w:rPr>
        <w:t xml:space="preserve">that are </w:t>
      </w:r>
      <w:r w:rsidR="007E5657" w:rsidRPr="00662611">
        <w:rPr>
          <w:szCs w:val="19"/>
        </w:rPr>
        <w:t>regularly revalued to fair value</w:t>
      </w:r>
      <w:r w:rsidR="00627441" w:rsidRPr="00662611">
        <w:rPr>
          <w:szCs w:val="19"/>
        </w:rPr>
        <w:t xml:space="preserve"> (current replacement cost)</w:t>
      </w:r>
      <w:r w:rsidR="007E5657" w:rsidRPr="00662611">
        <w:rPr>
          <w:szCs w:val="19"/>
        </w:rPr>
        <w:t xml:space="preserve"> </w:t>
      </w:r>
      <w:r w:rsidR="000A6C8C" w:rsidRPr="00662611">
        <w:rPr>
          <w:szCs w:val="19"/>
        </w:rPr>
        <w:t xml:space="preserve">under the revaluation model in </w:t>
      </w:r>
      <w:r w:rsidR="007E5657" w:rsidRPr="00662611">
        <w:rPr>
          <w:szCs w:val="19"/>
        </w:rPr>
        <w:t>AASB 116 or AASB 138</w:t>
      </w:r>
      <w:r w:rsidR="00E26246" w:rsidRPr="00662611">
        <w:rPr>
          <w:szCs w:val="19"/>
        </w:rPr>
        <w:t>.</w:t>
      </w:r>
    </w:p>
    <w:p w14:paraId="7D927274" w14:textId="6FD837E3" w:rsidR="00B02352" w:rsidRPr="00662611" w:rsidRDefault="001D1463" w:rsidP="003102C2">
      <w:pPr>
        <w:pStyle w:val="NumAG1"/>
        <w:ind w:left="784" w:hanging="784"/>
        <w:rPr>
          <w:szCs w:val="19"/>
        </w:rPr>
      </w:pPr>
      <w:r w:rsidRPr="00662611">
        <w:rPr>
          <w:szCs w:val="19"/>
        </w:rPr>
        <w:t xml:space="preserve">Subject to paragraph </w:t>
      </w:r>
      <w:r w:rsidR="009116BF" w:rsidRPr="00662611">
        <w:rPr>
          <w:szCs w:val="19"/>
        </w:rPr>
        <w:fldChar w:fldCharType="begin"/>
      </w:r>
      <w:r w:rsidR="009116BF" w:rsidRPr="00662611">
        <w:rPr>
          <w:szCs w:val="19"/>
        </w:rPr>
        <w:instrText xml:space="preserve"> REF _Ref484626200 \r \h </w:instrText>
      </w:r>
      <w:r w:rsidR="003102C2">
        <w:rPr>
          <w:szCs w:val="19"/>
        </w:rPr>
        <w:instrText xml:space="preserve"> \* MERGEFORMAT </w:instrText>
      </w:r>
      <w:r w:rsidR="009116BF" w:rsidRPr="00662611">
        <w:rPr>
          <w:szCs w:val="19"/>
        </w:rPr>
      </w:r>
      <w:r w:rsidR="009116BF" w:rsidRPr="00662611">
        <w:rPr>
          <w:szCs w:val="19"/>
        </w:rPr>
        <w:fldChar w:fldCharType="separate"/>
      </w:r>
      <w:r w:rsidR="00C43128">
        <w:rPr>
          <w:szCs w:val="19"/>
        </w:rPr>
        <w:t>B39(c)</w:t>
      </w:r>
      <w:r w:rsidR="009116BF" w:rsidRPr="00662611">
        <w:rPr>
          <w:szCs w:val="19"/>
        </w:rPr>
        <w:fldChar w:fldCharType="end"/>
      </w:r>
      <w:r w:rsidRPr="00662611">
        <w:rPr>
          <w:szCs w:val="19"/>
        </w:rPr>
        <w:t>, if</w:t>
      </w:r>
      <w:r w:rsidR="00B02352" w:rsidRPr="00662611">
        <w:rPr>
          <w:szCs w:val="19"/>
        </w:rPr>
        <w:t xml:space="preserve"> the asset no longer meets the conditions for recognition in paragraph </w:t>
      </w:r>
      <w:r w:rsidR="000211B8" w:rsidRPr="00662611">
        <w:rPr>
          <w:szCs w:val="19"/>
        </w:rPr>
        <w:fldChar w:fldCharType="begin"/>
      </w:r>
      <w:r w:rsidR="000211B8" w:rsidRPr="00662611">
        <w:rPr>
          <w:szCs w:val="19"/>
        </w:rPr>
        <w:instrText xml:space="preserve"> REF _Ref475619556 \r \h </w:instrText>
      </w:r>
      <w:r w:rsidR="003102C2">
        <w:rPr>
          <w:szCs w:val="19"/>
        </w:rPr>
        <w:instrText xml:space="preserve"> \* MERGEFORMAT </w:instrText>
      </w:r>
      <w:r w:rsidR="000211B8" w:rsidRPr="00662611">
        <w:rPr>
          <w:szCs w:val="19"/>
        </w:rPr>
      </w:r>
      <w:r w:rsidR="000211B8" w:rsidRPr="00662611">
        <w:rPr>
          <w:szCs w:val="19"/>
        </w:rPr>
        <w:fldChar w:fldCharType="separate"/>
      </w:r>
      <w:r w:rsidR="00C43128">
        <w:rPr>
          <w:szCs w:val="19"/>
        </w:rPr>
        <w:t>5</w:t>
      </w:r>
      <w:r w:rsidR="000211B8" w:rsidRPr="00662611">
        <w:rPr>
          <w:szCs w:val="19"/>
        </w:rPr>
        <w:fldChar w:fldCharType="end"/>
      </w:r>
      <w:r w:rsidR="00B02352" w:rsidRPr="00662611">
        <w:rPr>
          <w:szCs w:val="19"/>
        </w:rPr>
        <w:t xml:space="preserve"> (or paragraph </w:t>
      </w:r>
      <w:r w:rsidR="000211B8" w:rsidRPr="00662611">
        <w:rPr>
          <w:szCs w:val="19"/>
        </w:rPr>
        <w:fldChar w:fldCharType="begin"/>
      </w:r>
      <w:r w:rsidR="000211B8" w:rsidRPr="00662611">
        <w:rPr>
          <w:szCs w:val="19"/>
        </w:rPr>
        <w:instrText xml:space="preserve"> REF _Ref475619569 \r \h </w:instrText>
      </w:r>
      <w:r w:rsidR="003102C2">
        <w:rPr>
          <w:szCs w:val="19"/>
        </w:rPr>
        <w:instrText xml:space="preserve"> \* MERGEFORMAT </w:instrText>
      </w:r>
      <w:r w:rsidR="000211B8" w:rsidRPr="00662611">
        <w:rPr>
          <w:szCs w:val="19"/>
        </w:rPr>
      </w:r>
      <w:r w:rsidR="000211B8" w:rsidRPr="00662611">
        <w:rPr>
          <w:szCs w:val="19"/>
        </w:rPr>
        <w:fldChar w:fldCharType="separate"/>
      </w:r>
      <w:r w:rsidR="00C43128">
        <w:rPr>
          <w:szCs w:val="19"/>
        </w:rPr>
        <w:t>6</w:t>
      </w:r>
      <w:r w:rsidR="000211B8" w:rsidRPr="00662611">
        <w:rPr>
          <w:szCs w:val="19"/>
        </w:rPr>
        <w:fldChar w:fldCharType="end"/>
      </w:r>
      <w:r w:rsidR="00B02352" w:rsidRPr="00662611">
        <w:rPr>
          <w:szCs w:val="19"/>
        </w:rPr>
        <w:t xml:space="preserve"> for a whole-of-life asset)</w:t>
      </w:r>
      <w:proofErr w:type="gramStart"/>
      <w:r w:rsidR="00B02352" w:rsidRPr="00662611">
        <w:rPr>
          <w:szCs w:val="19"/>
        </w:rPr>
        <w:t>,</w:t>
      </w:r>
      <w:proofErr w:type="gramEnd"/>
      <w:r w:rsidR="00B02352" w:rsidRPr="00662611">
        <w:rPr>
          <w:szCs w:val="19"/>
        </w:rPr>
        <w:t xml:space="preserve"> the grantor shall follow the principles in AASB 116 or AASB 138, as appropriate. For example, if </w:t>
      </w:r>
      <w:r w:rsidR="00EA26A7" w:rsidRPr="00662611">
        <w:rPr>
          <w:szCs w:val="19"/>
        </w:rPr>
        <w:t xml:space="preserve">control of </w:t>
      </w:r>
      <w:r w:rsidR="00B02352" w:rsidRPr="00662611">
        <w:rPr>
          <w:szCs w:val="19"/>
        </w:rPr>
        <w:t xml:space="preserve">the asset is transferred to the operator on a permanent basis, it shall be derecognised. Alternatively, the grantor may be required to derecognise the asset when it or a third-party regulator no longer regulates the pricing, but rather allows the operator to freely set prices for </w:t>
      </w:r>
      <w:r w:rsidR="009116BF" w:rsidRPr="00662611">
        <w:rPr>
          <w:szCs w:val="19"/>
        </w:rPr>
        <w:t xml:space="preserve">the services provided through </w:t>
      </w:r>
      <w:r w:rsidR="00B02352" w:rsidRPr="00662611">
        <w:rPr>
          <w:szCs w:val="19"/>
        </w:rPr>
        <w:t>the service concession asset.</w:t>
      </w:r>
    </w:p>
    <w:p w14:paraId="7D927275" w14:textId="77777777" w:rsidR="00B02352" w:rsidRPr="00662611" w:rsidRDefault="00B02352" w:rsidP="003102C2">
      <w:pPr>
        <w:pStyle w:val="NumAG1"/>
        <w:ind w:left="784" w:hanging="784"/>
        <w:rPr>
          <w:szCs w:val="19"/>
        </w:rPr>
      </w:pPr>
      <w:r w:rsidRPr="00662611">
        <w:rPr>
          <w:szCs w:val="19"/>
        </w:rPr>
        <w:t xml:space="preserve">If </w:t>
      </w:r>
      <w:r w:rsidR="008F107A" w:rsidRPr="00662611">
        <w:rPr>
          <w:szCs w:val="19"/>
        </w:rPr>
        <w:t xml:space="preserve">control of </w:t>
      </w:r>
      <w:r w:rsidRPr="00662611">
        <w:rPr>
          <w:szCs w:val="19"/>
        </w:rPr>
        <w:t>the asset is transferred on a temporary basis, the grantor considers the substance of this term of the service concession arrangement in determining whether the asset should be derecognised.  In such cases, the grantor shall also consider whether the arrangement is a lease transaction or a sale and leaseback transaction that should be accounted for in accordance with AASB </w:t>
      </w:r>
      <w:r w:rsidR="00907F0D" w:rsidRPr="00662611">
        <w:rPr>
          <w:szCs w:val="19"/>
        </w:rPr>
        <w:t>16</w:t>
      </w:r>
      <w:r w:rsidRPr="00662611">
        <w:rPr>
          <w:szCs w:val="19"/>
        </w:rPr>
        <w:t xml:space="preserve">. </w:t>
      </w:r>
    </w:p>
    <w:p w14:paraId="7D927276" w14:textId="4B7565A2" w:rsidR="00B02352" w:rsidRPr="00662611" w:rsidRDefault="00B02352" w:rsidP="00EE45A4">
      <w:pPr>
        <w:pStyle w:val="IASBSectionTitle3Ind"/>
        <w:outlineLvl w:val="3"/>
      </w:pPr>
      <w:r w:rsidRPr="00662611">
        <w:t xml:space="preserve">Existing </w:t>
      </w:r>
      <w:r w:rsidR="009B5A80" w:rsidRPr="00662611">
        <w:t>a</w:t>
      </w:r>
      <w:r w:rsidRPr="00662611">
        <w:t>sset</w:t>
      </w:r>
      <w:r w:rsidR="00741188">
        <w:t>s</w:t>
      </w:r>
      <w:r w:rsidRPr="00662611">
        <w:t xml:space="preserve"> of the </w:t>
      </w:r>
      <w:r w:rsidR="009B5A80" w:rsidRPr="00662611">
        <w:t>o</w:t>
      </w:r>
      <w:r w:rsidRPr="00662611">
        <w:t>perator</w:t>
      </w:r>
    </w:p>
    <w:p w14:paraId="7D927277" w14:textId="008D5468" w:rsidR="00B02352" w:rsidRPr="00662611" w:rsidRDefault="00B02352" w:rsidP="003102C2">
      <w:pPr>
        <w:pStyle w:val="NumAG1"/>
        <w:ind w:left="784" w:hanging="784"/>
        <w:rPr>
          <w:szCs w:val="19"/>
        </w:rPr>
      </w:pPr>
      <w:r w:rsidRPr="00662611">
        <w:rPr>
          <w:szCs w:val="19"/>
        </w:rPr>
        <w:t xml:space="preserve">The operator may provide an asset for use in the service concession arrangement that it has not constructed, developed, or acquired for the purpose of the arrangement. If the arrangement involves an existing asset of the operator </w:t>
      </w:r>
      <w:r w:rsidR="00907F0D" w:rsidRPr="00662611">
        <w:rPr>
          <w:szCs w:val="19"/>
        </w:rPr>
        <w:t xml:space="preserve">that </w:t>
      </w:r>
      <w:r w:rsidRPr="00662611">
        <w:rPr>
          <w:szCs w:val="19"/>
        </w:rPr>
        <w:t>the operator uses for the purpose of the service concession arrangement, the grantor shall determine whether the asset meets the conditions in paragraph </w:t>
      </w:r>
      <w:r w:rsidR="000211B8" w:rsidRPr="00662611">
        <w:rPr>
          <w:szCs w:val="19"/>
        </w:rPr>
        <w:fldChar w:fldCharType="begin"/>
      </w:r>
      <w:r w:rsidR="000211B8" w:rsidRPr="00662611">
        <w:rPr>
          <w:szCs w:val="19"/>
        </w:rPr>
        <w:instrText xml:space="preserve"> REF _Ref475619556 \r \h </w:instrText>
      </w:r>
      <w:r w:rsidR="000211B8" w:rsidRPr="00662611">
        <w:rPr>
          <w:szCs w:val="19"/>
        </w:rPr>
      </w:r>
      <w:r w:rsidR="000211B8" w:rsidRPr="00662611">
        <w:rPr>
          <w:szCs w:val="19"/>
        </w:rPr>
        <w:fldChar w:fldCharType="separate"/>
      </w:r>
      <w:r w:rsidR="00C43128">
        <w:rPr>
          <w:szCs w:val="19"/>
        </w:rPr>
        <w:t>5</w:t>
      </w:r>
      <w:r w:rsidR="000211B8" w:rsidRPr="00662611">
        <w:rPr>
          <w:szCs w:val="19"/>
        </w:rPr>
        <w:fldChar w:fldCharType="end"/>
      </w:r>
      <w:r w:rsidRPr="00662611">
        <w:rPr>
          <w:szCs w:val="19"/>
        </w:rPr>
        <w:t xml:space="preserve"> (or paragraph </w:t>
      </w:r>
      <w:r w:rsidR="000211B8" w:rsidRPr="00662611">
        <w:rPr>
          <w:szCs w:val="19"/>
        </w:rPr>
        <w:fldChar w:fldCharType="begin"/>
      </w:r>
      <w:r w:rsidR="000211B8" w:rsidRPr="00662611">
        <w:rPr>
          <w:szCs w:val="19"/>
        </w:rPr>
        <w:instrText xml:space="preserve"> REF _Ref475619569 \r \h </w:instrText>
      </w:r>
      <w:r w:rsidR="000211B8" w:rsidRPr="00662611">
        <w:rPr>
          <w:szCs w:val="19"/>
        </w:rPr>
      </w:r>
      <w:r w:rsidR="000211B8" w:rsidRPr="00662611">
        <w:rPr>
          <w:szCs w:val="19"/>
        </w:rPr>
        <w:fldChar w:fldCharType="separate"/>
      </w:r>
      <w:r w:rsidR="00C43128">
        <w:rPr>
          <w:szCs w:val="19"/>
        </w:rPr>
        <w:t>6</w:t>
      </w:r>
      <w:r w:rsidR="000211B8" w:rsidRPr="00662611">
        <w:rPr>
          <w:szCs w:val="19"/>
        </w:rPr>
        <w:fldChar w:fldCharType="end"/>
      </w:r>
      <w:r w:rsidRPr="00662611">
        <w:rPr>
          <w:szCs w:val="19"/>
        </w:rPr>
        <w:t xml:space="preserve"> for a whole-of-life asset). If the conditions for recognition are met, the grantor shall recognise the asset as a service concession asset and account for it in accordance with this Standard. </w:t>
      </w:r>
    </w:p>
    <w:p w14:paraId="7D927278" w14:textId="5F96FFB6" w:rsidR="00B02352" w:rsidRPr="00662611" w:rsidRDefault="00B02352" w:rsidP="00EE45A4">
      <w:pPr>
        <w:pStyle w:val="IASBSectionTitle3Ind"/>
        <w:outlineLvl w:val="3"/>
      </w:pPr>
      <w:r w:rsidRPr="00662611">
        <w:t xml:space="preserve">Constructed or </w:t>
      </w:r>
      <w:r w:rsidR="009B5A80" w:rsidRPr="00662611">
        <w:t>d</w:t>
      </w:r>
      <w:r w:rsidRPr="00662611">
        <w:t xml:space="preserve">eveloped </w:t>
      </w:r>
      <w:r w:rsidR="009B5A80" w:rsidRPr="00662611">
        <w:t>a</w:t>
      </w:r>
      <w:r w:rsidRPr="00662611">
        <w:t>sset</w:t>
      </w:r>
      <w:r w:rsidR="00741188">
        <w:t>s</w:t>
      </w:r>
      <w:r w:rsidRPr="00662611">
        <w:t xml:space="preserve"> </w:t>
      </w:r>
    </w:p>
    <w:p w14:paraId="7D927279" w14:textId="535F6306" w:rsidR="00B02352" w:rsidRPr="00662611" w:rsidRDefault="00B44C87" w:rsidP="003102C2">
      <w:pPr>
        <w:pStyle w:val="NumAG1"/>
        <w:ind w:left="784" w:hanging="784"/>
        <w:rPr>
          <w:szCs w:val="19"/>
        </w:rPr>
      </w:pPr>
      <w:r w:rsidRPr="00662611">
        <w:rPr>
          <w:szCs w:val="19"/>
        </w:rPr>
        <w:t xml:space="preserve">When </w:t>
      </w:r>
      <w:r w:rsidR="00B02352" w:rsidRPr="00662611">
        <w:rPr>
          <w:szCs w:val="19"/>
        </w:rPr>
        <w:t>a constructed or developed asset meets the conditions in paragraph </w:t>
      </w:r>
      <w:r w:rsidR="000211B8" w:rsidRPr="00662611">
        <w:rPr>
          <w:szCs w:val="19"/>
        </w:rPr>
        <w:fldChar w:fldCharType="begin"/>
      </w:r>
      <w:r w:rsidR="000211B8" w:rsidRPr="00662611">
        <w:rPr>
          <w:szCs w:val="19"/>
        </w:rPr>
        <w:instrText xml:space="preserve"> REF _Ref475619556 \r \h </w:instrText>
      </w:r>
      <w:r w:rsidR="000211B8" w:rsidRPr="00662611">
        <w:rPr>
          <w:szCs w:val="19"/>
        </w:rPr>
      </w:r>
      <w:r w:rsidR="000211B8" w:rsidRPr="00662611">
        <w:rPr>
          <w:szCs w:val="19"/>
        </w:rPr>
        <w:fldChar w:fldCharType="separate"/>
      </w:r>
      <w:r w:rsidR="00C43128">
        <w:rPr>
          <w:szCs w:val="19"/>
        </w:rPr>
        <w:t>5</w:t>
      </w:r>
      <w:r w:rsidR="000211B8" w:rsidRPr="00662611">
        <w:rPr>
          <w:szCs w:val="19"/>
        </w:rPr>
        <w:fldChar w:fldCharType="end"/>
      </w:r>
      <w:r w:rsidR="00B02352" w:rsidRPr="00662611">
        <w:rPr>
          <w:szCs w:val="19"/>
        </w:rPr>
        <w:t xml:space="preserve"> (or paragraph </w:t>
      </w:r>
      <w:r w:rsidR="000211B8" w:rsidRPr="00662611">
        <w:rPr>
          <w:szCs w:val="19"/>
        </w:rPr>
        <w:fldChar w:fldCharType="begin"/>
      </w:r>
      <w:r w:rsidR="000211B8" w:rsidRPr="00662611">
        <w:rPr>
          <w:szCs w:val="19"/>
        </w:rPr>
        <w:instrText xml:space="preserve"> REF _Ref475619569 \r \h </w:instrText>
      </w:r>
      <w:r w:rsidR="000211B8" w:rsidRPr="00662611">
        <w:rPr>
          <w:szCs w:val="19"/>
        </w:rPr>
      </w:r>
      <w:r w:rsidR="000211B8" w:rsidRPr="00662611">
        <w:rPr>
          <w:szCs w:val="19"/>
        </w:rPr>
        <w:fldChar w:fldCharType="separate"/>
      </w:r>
      <w:r w:rsidR="00C43128">
        <w:rPr>
          <w:szCs w:val="19"/>
        </w:rPr>
        <w:t>6</w:t>
      </w:r>
      <w:r w:rsidR="000211B8" w:rsidRPr="00662611">
        <w:rPr>
          <w:szCs w:val="19"/>
        </w:rPr>
        <w:fldChar w:fldCharType="end"/>
      </w:r>
      <w:r w:rsidR="00B02352" w:rsidRPr="00662611">
        <w:rPr>
          <w:szCs w:val="19"/>
        </w:rPr>
        <w:t xml:space="preserve"> for a whole-of-life asset)</w:t>
      </w:r>
      <w:r w:rsidR="00EC6EED" w:rsidRPr="00662611">
        <w:rPr>
          <w:szCs w:val="19"/>
        </w:rPr>
        <w:t>,</w:t>
      </w:r>
      <w:r w:rsidR="00B02352" w:rsidRPr="00662611">
        <w:rPr>
          <w:szCs w:val="19"/>
        </w:rPr>
        <w:t xml:space="preserve"> the grantor shall recognise and measure the asset in accordance with this Standard. This recognition </w:t>
      </w:r>
      <w:r w:rsidR="00B31EAF" w:rsidRPr="00662611">
        <w:rPr>
          <w:szCs w:val="19"/>
        </w:rPr>
        <w:t>also depends</w:t>
      </w:r>
      <w:r w:rsidR="00B02352" w:rsidRPr="00662611">
        <w:rPr>
          <w:szCs w:val="19"/>
        </w:rPr>
        <w:t xml:space="preserve"> on the asset meeting the recognition criteria in AASB 116 or AASB 138</w:t>
      </w:r>
      <w:r w:rsidR="00907F0D" w:rsidRPr="00662611">
        <w:rPr>
          <w:szCs w:val="19"/>
        </w:rPr>
        <w:t>:</w:t>
      </w:r>
    </w:p>
    <w:p w14:paraId="7D92727A" w14:textId="4D1F887E" w:rsidR="00B02352" w:rsidRPr="00662611" w:rsidRDefault="006172CE" w:rsidP="006172CE">
      <w:pPr>
        <w:pStyle w:val="NumAG2"/>
        <w:ind w:left="1564" w:hanging="782"/>
      </w:pPr>
      <w:r>
        <w:lastRenderedPageBreak/>
        <w:tab/>
      </w:r>
      <w:r w:rsidR="00B02352" w:rsidRPr="00662611">
        <w:t>AASB 116 requires that the cost of an item of property, plant and equipment shall be recognised as an asset if, and only if:</w:t>
      </w:r>
    </w:p>
    <w:p w14:paraId="7D92727B" w14:textId="5440B9C8" w:rsidR="00B02352" w:rsidRPr="00662611" w:rsidRDefault="006172CE" w:rsidP="006172CE">
      <w:pPr>
        <w:pStyle w:val="NumAG3"/>
        <w:ind w:left="2347" w:hanging="782"/>
      </w:pPr>
      <w:r>
        <w:tab/>
      </w:r>
      <w:r w:rsidR="00B02352" w:rsidRPr="00662611">
        <w:t xml:space="preserve">it is probable that future economic benefits associated with the asset will flow to the entity; and </w:t>
      </w:r>
    </w:p>
    <w:p w14:paraId="7D92727C" w14:textId="03D8A366" w:rsidR="00B02352" w:rsidRPr="00662611" w:rsidRDefault="006172CE" w:rsidP="006172CE">
      <w:pPr>
        <w:pStyle w:val="NumAG3"/>
        <w:ind w:left="2347" w:hanging="782"/>
      </w:pPr>
      <w:r>
        <w:tab/>
      </w:r>
      <w:r w:rsidR="00B02352" w:rsidRPr="00662611">
        <w:t>the cost of the item can be measured reliably</w:t>
      </w:r>
      <w:r w:rsidR="003D5157" w:rsidRPr="00662611">
        <w:t>;</w:t>
      </w:r>
    </w:p>
    <w:p w14:paraId="7D92727D" w14:textId="2F6058B8" w:rsidR="00B02352" w:rsidRPr="00662611" w:rsidRDefault="006172CE" w:rsidP="006172CE">
      <w:pPr>
        <w:pStyle w:val="NumAG2"/>
        <w:ind w:left="1564" w:hanging="782"/>
      </w:pPr>
      <w:r>
        <w:tab/>
      </w:r>
      <w:r w:rsidR="00B02352" w:rsidRPr="00662611">
        <w:t>AASB 138 requires that an intangible asset shall be recognised if, and only if:</w:t>
      </w:r>
    </w:p>
    <w:p w14:paraId="7D92727E" w14:textId="56D145E2" w:rsidR="00B02352" w:rsidRPr="00662611" w:rsidRDefault="006172CE" w:rsidP="006172CE">
      <w:pPr>
        <w:pStyle w:val="NumAG3"/>
        <w:ind w:left="2347" w:hanging="782"/>
      </w:pPr>
      <w:r>
        <w:tab/>
      </w:r>
      <w:r w:rsidR="00B02352" w:rsidRPr="00662611">
        <w:t xml:space="preserve">it is probable that the expected future economic benefits that are attributable to the asset will flow to the entity; and </w:t>
      </w:r>
    </w:p>
    <w:p w14:paraId="7D92727F" w14:textId="16196C6F" w:rsidR="00B02352" w:rsidRPr="00662611" w:rsidRDefault="006172CE" w:rsidP="006172CE">
      <w:pPr>
        <w:pStyle w:val="NumAG3"/>
        <w:ind w:left="2347" w:hanging="782"/>
      </w:pPr>
      <w:r>
        <w:tab/>
      </w:r>
      <w:proofErr w:type="gramStart"/>
      <w:r w:rsidR="00B02352" w:rsidRPr="00662611">
        <w:t>the</w:t>
      </w:r>
      <w:proofErr w:type="gramEnd"/>
      <w:r w:rsidR="00B02352" w:rsidRPr="00662611">
        <w:t xml:space="preserve"> cost of the asset can be measured reliably.</w:t>
      </w:r>
    </w:p>
    <w:p w14:paraId="7D927280" w14:textId="14E908FD" w:rsidR="00B02352" w:rsidRPr="00662611" w:rsidRDefault="00B02352" w:rsidP="003102C2">
      <w:pPr>
        <w:pStyle w:val="NumAG1"/>
        <w:ind w:left="784" w:hanging="784"/>
        <w:rPr>
          <w:szCs w:val="19"/>
        </w:rPr>
      </w:pPr>
      <w:r w:rsidRPr="00662611">
        <w:rPr>
          <w:szCs w:val="19"/>
        </w:rPr>
        <w:t xml:space="preserve">Those criteria, together with the terms and conditions of the contract, need to be considered </w:t>
      </w:r>
      <w:r w:rsidR="00C84B8F" w:rsidRPr="00662611">
        <w:rPr>
          <w:szCs w:val="19"/>
        </w:rPr>
        <w:t xml:space="preserve">by the grantor </w:t>
      </w:r>
      <w:r w:rsidRPr="00662611">
        <w:rPr>
          <w:szCs w:val="19"/>
        </w:rPr>
        <w:t>in determining whether to recognise the service concession asset during the period in which the asse</w:t>
      </w:r>
      <w:r w:rsidR="001929B3">
        <w:rPr>
          <w:szCs w:val="19"/>
        </w:rPr>
        <w:t xml:space="preserve">t is constructed or developed. </w:t>
      </w:r>
      <w:r w:rsidRPr="00662611">
        <w:rPr>
          <w:szCs w:val="19"/>
        </w:rPr>
        <w:t xml:space="preserve">For property, plant and equipment and intangible assets, </w:t>
      </w:r>
      <w:r w:rsidR="00EC6EED" w:rsidRPr="00662611">
        <w:rPr>
          <w:szCs w:val="19"/>
        </w:rPr>
        <w:t xml:space="preserve">if </w:t>
      </w:r>
      <w:r w:rsidRPr="00662611">
        <w:rPr>
          <w:szCs w:val="19"/>
        </w:rPr>
        <w:t xml:space="preserve">the recognition criteria </w:t>
      </w:r>
      <w:r w:rsidR="00EC6EED" w:rsidRPr="00662611">
        <w:rPr>
          <w:szCs w:val="19"/>
        </w:rPr>
        <w:t xml:space="preserve">are </w:t>
      </w:r>
      <w:r w:rsidRPr="00662611">
        <w:rPr>
          <w:szCs w:val="19"/>
        </w:rPr>
        <w:t>met during the construction or development period, the grantor recognise</w:t>
      </w:r>
      <w:r w:rsidR="00EC6EED" w:rsidRPr="00662611">
        <w:rPr>
          <w:szCs w:val="19"/>
        </w:rPr>
        <w:t>s</w:t>
      </w:r>
      <w:r w:rsidRPr="00662611">
        <w:rPr>
          <w:szCs w:val="19"/>
        </w:rPr>
        <w:t xml:space="preserve"> the service concession asset </w:t>
      </w:r>
      <w:r w:rsidR="00741188">
        <w:rPr>
          <w:szCs w:val="19"/>
        </w:rPr>
        <w:t xml:space="preserve">to the appropriate extent </w:t>
      </w:r>
      <w:r w:rsidRPr="00662611">
        <w:rPr>
          <w:szCs w:val="19"/>
        </w:rPr>
        <w:t xml:space="preserve">during that period. </w:t>
      </w:r>
    </w:p>
    <w:p w14:paraId="7D927281" w14:textId="4B0A7DE5" w:rsidR="00B02352" w:rsidRPr="00662611" w:rsidRDefault="00B02352" w:rsidP="003102C2">
      <w:pPr>
        <w:pStyle w:val="NumAG1"/>
        <w:ind w:left="784" w:hanging="784"/>
        <w:rPr>
          <w:szCs w:val="19"/>
        </w:rPr>
      </w:pPr>
      <w:r w:rsidRPr="00662611">
        <w:rPr>
          <w:szCs w:val="19"/>
        </w:rPr>
        <w:t xml:space="preserve">The first recognition criterion requires the flow of economic benefits to the grantor. According to the </w:t>
      </w:r>
      <w:r w:rsidRPr="00662611">
        <w:rPr>
          <w:i/>
          <w:szCs w:val="19"/>
        </w:rPr>
        <w:t>Framework for the Preparation and Presentation of Financial Statements</w:t>
      </w:r>
      <w:r w:rsidRPr="00662611">
        <w:rPr>
          <w:szCs w:val="19"/>
        </w:rPr>
        <w:t xml:space="preserve">, as identified in AASB 1048 </w:t>
      </w:r>
      <w:r w:rsidRPr="00662611">
        <w:rPr>
          <w:i/>
          <w:szCs w:val="19"/>
        </w:rPr>
        <w:t>Interpretation of Standards</w:t>
      </w:r>
      <w:r w:rsidRPr="00662611">
        <w:rPr>
          <w:szCs w:val="19"/>
        </w:rPr>
        <w:t xml:space="preserve">, for not-for-profit entities, future economic benefits are synonymous with the notion of service potential. From the grantor’s point of view, the primary purpose of a service concession asset is to provide service potential on behalf of the public sector grantor. Similar to an asset the grantor constructs or develops for its own use, the grantor would assess, at the time the costs of construction or development are incurred, the terms of the contract to determine whether, in addition to retaining control of the land on which the service concession asset is being developed, economic benefits embodied in the service concession asset </w:t>
      </w:r>
      <w:r w:rsidR="00741188">
        <w:rPr>
          <w:szCs w:val="19"/>
        </w:rPr>
        <w:t xml:space="preserve">are controlled by </w:t>
      </w:r>
      <w:r w:rsidRPr="00662611">
        <w:rPr>
          <w:szCs w:val="19"/>
        </w:rPr>
        <w:t xml:space="preserve">the grantor at that time. </w:t>
      </w:r>
    </w:p>
    <w:p w14:paraId="7D927282" w14:textId="6C8C8591" w:rsidR="00AB2F15" w:rsidRPr="00662611" w:rsidRDefault="00EB158C" w:rsidP="003102C2">
      <w:pPr>
        <w:pStyle w:val="NumAG1"/>
        <w:ind w:left="784" w:hanging="784"/>
        <w:rPr>
          <w:szCs w:val="19"/>
        </w:rPr>
      </w:pPr>
      <w:r w:rsidRPr="00662611">
        <w:rPr>
          <w:szCs w:val="19"/>
        </w:rPr>
        <w:t xml:space="preserve">The second recognition criterion requires that the cost of the asset can be measured reliably. Accordingly, to meet the recognition criteria in AASB 116 or AASB 138, as appropriate, the grantor must have reliable information about the cost of the asset during its construction or development. For example, if the service concession arrangement requires the operator to provide the grantor with progress reports during the asset’s construction or development, the costs incurred may be measurable, and would therefore meet the recognition </w:t>
      </w:r>
      <w:r w:rsidR="00741188">
        <w:rPr>
          <w:szCs w:val="19"/>
        </w:rPr>
        <w:t xml:space="preserve">criteria </w:t>
      </w:r>
      <w:r w:rsidRPr="00662611">
        <w:rPr>
          <w:szCs w:val="19"/>
        </w:rPr>
        <w:t xml:space="preserve">in AASB 116 for constructed assets or in AASB 138 for developed </w:t>
      </w:r>
      <w:r w:rsidR="003F4E69" w:rsidRPr="00662611">
        <w:rPr>
          <w:szCs w:val="19"/>
        </w:rPr>
        <w:t xml:space="preserve">intangible </w:t>
      </w:r>
      <w:r w:rsidRPr="00662611">
        <w:rPr>
          <w:szCs w:val="19"/>
        </w:rPr>
        <w:t xml:space="preserve">assets. Also, where the grantor has little ability to avoid accepting an asset constructed or developed to meet the specifications of the </w:t>
      </w:r>
      <w:r w:rsidR="00607F95" w:rsidRPr="00662611">
        <w:rPr>
          <w:szCs w:val="19"/>
        </w:rPr>
        <w:t>service concession arrangement</w:t>
      </w:r>
      <w:r w:rsidRPr="00662611">
        <w:rPr>
          <w:szCs w:val="19"/>
        </w:rPr>
        <w:t>, the costs shall be recognised as progress is made towards completi</w:t>
      </w:r>
      <w:r w:rsidR="00942BBF" w:rsidRPr="00662611">
        <w:rPr>
          <w:szCs w:val="19"/>
        </w:rPr>
        <w:t xml:space="preserve">on of the asset. </w:t>
      </w:r>
      <w:r w:rsidRPr="00662611">
        <w:rPr>
          <w:szCs w:val="19"/>
        </w:rPr>
        <w:t>Thus, the grantor shall recognise a service concession asset and an associated liability.</w:t>
      </w:r>
    </w:p>
    <w:p w14:paraId="39955313" w14:textId="66BA1F61" w:rsidR="00E52849" w:rsidRPr="00E52849" w:rsidRDefault="00E52849" w:rsidP="00E52849">
      <w:pPr>
        <w:pStyle w:val="IASBSectionTitle3Ind"/>
        <w:outlineLvl w:val="3"/>
      </w:pPr>
      <w:r w:rsidRPr="00E52849">
        <w:t>Upgrades</w:t>
      </w:r>
      <w:r>
        <w:t xml:space="preserve"> or replacement of major components</w:t>
      </w:r>
    </w:p>
    <w:p w14:paraId="25D9D295" w14:textId="1AE433FB" w:rsidR="00E52849" w:rsidRDefault="00E52849" w:rsidP="003102C2">
      <w:pPr>
        <w:pStyle w:val="NumAG1"/>
        <w:ind w:left="784" w:hanging="784"/>
        <w:rPr>
          <w:szCs w:val="19"/>
        </w:rPr>
      </w:pPr>
      <w:bookmarkStart w:id="77" w:name="_Ref486866840"/>
      <w:r>
        <w:rPr>
          <w:szCs w:val="19"/>
        </w:rPr>
        <w:t xml:space="preserve">The grantor shall recognise </w:t>
      </w:r>
      <w:r w:rsidR="0068426A">
        <w:rPr>
          <w:szCs w:val="19"/>
        </w:rPr>
        <w:t xml:space="preserve">an </w:t>
      </w:r>
      <w:r>
        <w:rPr>
          <w:szCs w:val="19"/>
        </w:rPr>
        <w:t>upgrade</w:t>
      </w:r>
      <w:r w:rsidR="00DC51E7">
        <w:rPr>
          <w:szCs w:val="19"/>
        </w:rPr>
        <w:t xml:space="preserve">, or </w:t>
      </w:r>
      <w:r w:rsidR="00DC51E7" w:rsidRPr="00662611">
        <w:rPr>
          <w:szCs w:val="19"/>
        </w:rPr>
        <w:t>the replacement of a major component</w:t>
      </w:r>
      <w:r w:rsidR="00DC51E7" w:rsidDel="0068426A">
        <w:rPr>
          <w:szCs w:val="19"/>
        </w:rPr>
        <w:t>,</w:t>
      </w:r>
      <w:r>
        <w:rPr>
          <w:szCs w:val="19"/>
        </w:rPr>
        <w:t xml:space="preserve"> of</w:t>
      </w:r>
      <w:r w:rsidR="0068426A">
        <w:rPr>
          <w:szCs w:val="19"/>
        </w:rPr>
        <w:t xml:space="preserve"> </w:t>
      </w:r>
      <w:r w:rsidR="009A1A37">
        <w:rPr>
          <w:szCs w:val="19"/>
        </w:rPr>
        <w:t xml:space="preserve">(1) </w:t>
      </w:r>
      <w:r>
        <w:rPr>
          <w:szCs w:val="19"/>
        </w:rPr>
        <w:t>an existing asset of the grantor</w:t>
      </w:r>
      <w:r w:rsidR="009A1A37">
        <w:rPr>
          <w:szCs w:val="19"/>
        </w:rPr>
        <w:t>, or (2)</w:t>
      </w:r>
      <w:r>
        <w:rPr>
          <w:szCs w:val="19"/>
        </w:rPr>
        <w:t xml:space="preserve"> </w:t>
      </w:r>
      <w:r w:rsidR="00345ACF">
        <w:rPr>
          <w:szCs w:val="19"/>
        </w:rPr>
        <w:t>a</w:t>
      </w:r>
      <w:r w:rsidR="009A1A37">
        <w:rPr>
          <w:szCs w:val="19"/>
        </w:rPr>
        <w:t>n asset</w:t>
      </w:r>
      <w:r w:rsidR="00345ACF">
        <w:rPr>
          <w:szCs w:val="19"/>
        </w:rPr>
        <w:t xml:space="preserve"> </w:t>
      </w:r>
      <w:r w:rsidR="0068426A">
        <w:rPr>
          <w:szCs w:val="19"/>
        </w:rPr>
        <w:t>constructed</w:t>
      </w:r>
      <w:r w:rsidR="009A1A37">
        <w:rPr>
          <w:szCs w:val="19"/>
        </w:rPr>
        <w:t>,</w:t>
      </w:r>
      <w:r w:rsidR="00B00C5C">
        <w:rPr>
          <w:szCs w:val="19"/>
        </w:rPr>
        <w:t xml:space="preserve"> </w:t>
      </w:r>
      <w:r w:rsidR="0068426A">
        <w:rPr>
          <w:szCs w:val="19"/>
        </w:rPr>
        <w:t>developed</w:t>
      </w:r>
      <w:r w:rsidR="00EA31FE">
        <w:rPr>
          <w:szCs w:val="19"/>
        </w:rPr>
        <w:t>,</w:t>
      </w:r>
      <w:r w:rsidR="0068426A">
        <w:rPr>
          <w:szCs w:val="19"/>
        </w:rPr>
        <w:t xml:space="preserve"> </w:t>
      </w:r>
      <w:r w:rsidR="009A1A37">
        <w:rPr>
          <w:szCs w:val="19"/>
        </w:rPr>
        <w:t xml:space="preserve">acquired or </w:t>
      </w:r>
      <w:r w:rsidR="00EA31FE">
        <w:rPr>
          <w:szCs w:val="19"/>
        </w:rPr>
        <w:t>otherwise provided</w:t>
      </w:r>
      <w:r w:rsidR="009A1A37">
        <w:rPr>
          <w:szCs w:val="19"/>
        </w:rPr>
        <w:t xml:space="preserve"> by the operator</w:t>
      </w:r>
      <w:r w:rsidR="0068426A">
        <w:rPr>
          <w:szCs w:val="19"/>
        </w:rPr>
        <w:t>,</w:t>
      </w:r>
      <w:r w:rsidR="00345ACF">
        <w:rPr>
          <w:szCs w:val="19"/>
        </w:rPr>
        <w:t xml:space="preserve"> </w:t>
      </w:r>
      <w:r>
        <w:rPr>
          <w:szCs w:val="19"/>
        </w:rPr>
        <w:t xml:space="preserve">as a </w:t>
      </w:r>
      <w:r w:rsidR="0068426A">
        <w:rPr>
          <w:szCs w:val="19"/>
        </w:rPr>
        <w:t xml:space="preserve">separate </w:t>
      </w:r>
      <w:r>
        <w:rPr>
          <w:szCs w:val="19"/>
        </w:rPr>
        <w:t xml:space="preserve">service concession asset in accordance with paragraph </w:t>
      </w:r>
      <w:r w:rsidRPr="00662611">
        <w:rPr>
          <w:szCs w:val="19"/>
        </w:rPr>
        <w:fldChar w:fldCharType="begin"/>
      </w:r>
      <w:r w:rsidRPr="00662611">
        <w:rPr>
          <w:szCs w:val="19"/>
        </w:rPr>
        <w:instrText xml:space="preserve"> REF _Ref475619556 \r \h </w:instrText>
      </w:r>
      <w:r w:rsidRPr="00662611">
        <w:rPr>
          <w:szCs w:val="19"/>
        </w:rPr>
      </w:r>
      <w:r w:rsidRPr="00662611">
        <w:rPr>
          <w:szCs w:val="19"/>
        </w:rPr>
        <w:fldChar w:fldCharType="separate"/>
      </w:r>
      <w:r w:rsidR="00C43128">
        <w:rPr>
          <w:szCs w:val="19"/>
        </w:rPr>
        <w:t>5</w:t>
      </w:r>
      <w:r w:rsidRPr="00662611">
        <w:rPr>
          <w:szCs w:val="19"/>
        </w:rPr>
        <w:fldChar w:fldCharType="end"/>
      </w:r>
      <w:r>
        <w:rPr>
          <w:szCs w:val="19"/>
        </w:rPr>
        <w:t xml:space="preserve"> (or paragraph </w:t>
      </w:r>
      <w:r w:rsidRPr="00662611">
        <w:rPr>
          <w:szCs w:val="19"/>
        </w:rPr>
        <w:fldChar w:fldCharType="begin"/>
      </w:r>
      <w:r w:rsidRPr="00662611">
        <w:rPr>
          <w:szCs w:val="19"/>
        </w:rPr>
        <w:instrText xml:space="preserve"> REF _Ref475619569 \r \h </w:instrText>
      </w:r>
      <w:r w:rsidRPr="00662611">
        <w:rPr>
          <w:szCs w:val="19"/>
        </w:rPr>
      </w:r>
      <w:r w:rsidRPr="00662611">
        <w:rPr>
          <w:szCs w:val="19"/>
        </w:rPr>
        <w:fldChar w:fldCharType="separate"/>
      </w:r>
      <w:r w:rsidR="00C43128">
        <w:rPr>
          <w:szCs w:val="19"/>
        </w:rPr>
        <w:t>6</w:t>
      </w:r>
      <w:r w:rsidRPr="00662611">
        <w:rPr>
          <w:szCs w:val="19"/>
        </w:rPr>
        <w:fldChar w:fldCharType="end"/>
      </w:r>
      <w:r>
        <w:rPr>
          <w:szCs w:val="19"/>
        </w:rPr>
        <w:t xml:space="preserve"> for a whole-of-life asset). </w:t>
      </w:r>
      <w:r w:rsidR="00DC51E7">
        <w:rPr>
          <w:szCs w:val="19"/>
        </w:rPr>
        <w:t xml:space="preserve">The </w:t>
      </w:r>
      <w:r w:rsidR="00345ACF">
        <w:rPr>
          <w:szCs w:val="19"/>
        </w:rPr>
        <w:t xml:space="preserve">grantor </w:t>
      </w:r>
      <w:r w:rsidR="00DC51E7">
        <w:rPr>
          <w:szCs w:val="19"/>
        </w:rPr>
        <w:t xml:space="preserve">shall </w:t>
      </w:r>
      <w:r w:rsidR="00345ACF">
        <w:rPr>
          <w:szCs w:val="19"/>
        </w:rPr>
        <w:t xml:space="preserve">also recognise the </w:t>
      </w:r>
      <w:r w:rsidR="009F6541">
        <w:rPr>
          <w:szCs w:val="19"/>
        </w:rPr>
        <w:t xml:space="preserve">related </w:t>
      </w:r>
      <w:r w:rsidR="00345ACF">
        <w:rPr>
          <w:szCs w:val="19"/>
        </w:rPr>
        <w:t xml:space="preserve">liability </w:t>
      </w:r>
      <w:r w:rsidR="009F6541">
        <w:rPr>
          <w:szCs w:val="19"/>
        </w:rPr>
        <w:t xml:space="preserve">in accordance with paragraph </w:t>
      </w:r>
      <w:r w:rsidR="009F6541">
        <w:rPr>
          <w:szCs w:val="19"/>
        </w:rPr>
        <w:fldChar w:fldCharType="begin"/>
      </w:r>
      <w:r w:rsidR="009F6541">
        <w:rPr>
          <w:szCs w:val="19"/>
        </w:rPr>
        <w:instrText xml:space="preserve"> REF _Ref475620374 \r \h </w:instrText>
      </w:r>
      <w:r w:rsidR="009F6541">
        <w:rPr>
          <w:szCs w:val="19"/>
        </w:rPr>
      </w:r>
      <w:r w:rsidR="009F6541">
        <w:rPr>
          <w:szCs w:val="19"/>
        </w:rPr>
        <w:fldChar w:fldCharType="separate"/>
      </w:r>
      <w:r w:rsidR="00C43128">
        <w:rPr>
          <w:szCs w:val="19"/>
        </w:rPr>
        <w:t>11</w:t>
      </w:r>
      <w:r w:rsidR="009F6541">
        <w:rPr>
          <w:szCs w:val="19"/>
        </w:rPr>
        <w:fldChar w:fldCharType="end"/>
      </w:r>
      <w:r w:rsidR="009F6541">
        <w:rPr>
          <w:szCs w:val="19"/>
        </w:rPr>
        <w:t xml:space="preserve"> when the upgrade or replacement occurs</w:t>
      </w:r>
      <w:r w:rsidR="00345ACF">
        <w:rPr>
          <w:szCs w:val="19"/>
        </w:rPr>
        <w:t>.</w:t>
      </w:r>
      <w:bookmarkEnd w:id="77"/>
    </w:p>
    <w:p w14:paraId="7D927283" w14:textId="77777777" w:rsidR="00EB158C" w:rsidRPr="00662611" w:rsidRDefault="00EB158C" w:rsidP="00EE45A4">
      <w:pPr>
        <w:pStyle w:val="IASBSectionTitle2Ind"/>
        <w:outlineLvl w:val="2"/>
      </w:pPr>
      <w:r w:rsidRPr="00662611">
        <w:t xml:space="preserve">Measurement of </w:t>
      </w:r>
      <w:r w:rsidR="009B5A80" w:rsidRPr="00662611">
        <w:t>s</w:t>
      </w:r>
      <w:r w:rsidRPr="00662611">
        <w:t xml:space="preserve">ervice </w:t>
      </w:r>
      <w:r w:rsidR="009B5A80" w:rsidRPr="00662611">
        <w:t>c</w:t>
      </w:r>
      <w:r w:rsidRPr="00662611">
        <w:t xml:space="preserve">oncession </w:t>
      </w:r>
      <w:r w:rsidR="009B5A80" w:rsidRPr="00662611">
        <w:t>assets</w:t>
      </w:r>
    </w:p>
    <w:p w14:paraId="7D927284" w14:textId="354D7297" w:rsidR="00EB158C" w:rsidRPr="00662611" w:rsidRDefault="00EB158C" w:rsidP="003102C2">
      <w:pPr>
        <w:pStyle w:val="NumAG1"/>
        <w:ind w:left="784" w:hanging="784"/>
        <w:rPr>
          <w:szCs w:val="19"/>
        </w:rPr>
      </w:pPr>
      <w:r w:rsidRPr="00662611">
        <w:rPr>
          <w:szCs w:val="19"/>
        </w:rPr>
        <w:t>Paragraph </w:t>
      </w:r>
      <w:r w:rsidR="000211B8" w:rsidRPr="00662611">
        <w:rPr>
          <w:szCs w:val="19"/>
        </w:rPr>
        <w:fldChar w:fldCharType="begin"/>
      </w:r>
      <w:r w:rsidR="000211B8" w:rsidRPr="00662611">
        <w:rPr>
          <w:szCs w:val="19"/>
        </w:rPr>
        <w:instrText xml:space="preserve"> REF _Ref475627077 \r \h </w:instrText>
      </w:r>
      <w:r w:rsidR="000211B8" w:rsidRPr="00662611">
        <w:rPr>
          <w:szCs w:val="19"/>
        </w:rPr>
      </w:r>
      <w:r w:rsidR="000211B8" w:rsidRPr="00662611">
        <w:rPr>
          <w:szCs w:val="19"/>
        </w:rPr>
        <w:fldChar w:fldCharType="separate"/>
      </w:r>
      <w:r w:rsidR="00C43128">
        <w:rPr>
          <w:szCs w:val="19"/>
        </w:rPr>
        <w:t>7</w:t>
      </w:r>
      <w:r w:rsidR="000211B8" w:rsidRPr="00662611">
        <w:rPr>
          <w:szCs w:val="19"/>
        </w:rPr>
        <w:fldChar w:fldCharType="end"/>
      </w:r>
      <w:r w:rsidRPr="00662611">
        <w:rPr>
          <w:szCs w:val="19"/>
        </w:rPr>
        <w:t xml:space="preserve"> requires service concession assets recognised in accordance with paragraph </w:t>
      </w:r>
      <w:r w:rsidR="000211B8" w:rsidRPr="00662611">
        <w:rPr>
          <w:szCs w:val="19"/>
        </w:rPr>
        <w:fldChar w:fldCharType="begin"/>
      </w:r>
      <w:r w:rsidR="000211B8" w:rsidRPr="00662611">
        <w:rPr>
          <w:szCs w:val="19"/>
        </w:rPr>
        <w:instrText xml:space="preserve"> REF _Ref475619556 \r \h </w:instrText>
      </w:r>
      <w:r w:rsidR="000211B8" w:rsidRPr="00662611">
        <w:rPr>
          <w:szCs w:val="19"/>
        </w:rPr>
      </w:r>
      <w:r w:rsidR="000211B8" w:rsidRPr="00662611">
        <w:rPr>
          <w:szCs w:val="19"/>
        </w:rPr>
        <w:fldChar w:fldCharType="separate"/>
      </w:r>
      <w:r w:rsidR="00C43128">
        <w:rPr>
          <w:szCs w:val="19"/>
        </w:rPr>
        <w:t>5</w:t>
      </w:r>
      <w:r w:rsidR="000211B8" w:rsidRPr="00662611">
        <w:rPr>
          <w:szCs w:val="19"/>
        </w:rPr>
        <w:fldChar w:fldCharType="end"/>
      </w:r>
      <w:r w:rsidRPr="00662611">
        <w:rPr>
          <w:szCs w:val="19"/>
        </w:rPr>
        <w:t xml:space="preserve"> (or paragraph </w:t>
      </w:r>
      <w:r w:rsidR="000211B8" w:rsidRPr="00662611">
        <w:rPr>
          <w:szCs w:val="19"/>
        </w:rPr>
        <w:fldChar w:fldCharType="begin"/>
      </w:r>
      <w:r w:rsidR="000211B8" w:rsidRPr="00662611">
        <w:rPr>
          <w:szCs w:val="19"/>
        </w:rPr>
        <w:instrText xml:space="preserve"> REF _Ref475619569 \r \h </w:instrText>
      </w:r>
      <w:r w:rsidR="000211B8" w:rsidRPr="00662611">
        <w:rPr>
          <w:szCs w:val="19"/>
        </w:rPr>
      </w:r>
      <w:r w:rsidR="000211B8" w:rsidRPr="00662611">
        <w:rPr>
          <w:szCs w:val="19"/>
        </w:rPr>
        <w:fldChar w:fldCharType="separate"/>
      </w:r>
      <w:r w:rsidR="00C43128">
        <w:rPr>
          <w:szCs w:val="19"/>
        </w:rPr>
        <w:t>6</w:t>
      </w:r>
      <w:r w:rsidR="000211B8" w:rsidRPr="00662611">
        <w:rPr>
          <w:szCs w:val="19"/>
        </w:rPr>
        <w:fldChar w:fldCharType="end"/>
      </w:r>
      <w:r w:rsidRPr="00662611">
        <w:rPr>
          <w:szCs w:val="19"/>
        </w:rPr>
        <w:t xml:space="preserve"> for a whole-of-life asset) to be measured initially at </w:t>
      </w:r>
      <w:r w:rsidR="00E55454" w:rsidRPr="00662611">
        <w:rPr>
          <w:szCs w:val="19"/>
        </w:rPr>
        <w:t xml:space="preserve">current replacement cost. This is in accordance with the cost approach to </w:t>
      </w:r>
      <w:r w:rsidRPr="00662611">
        <w:rPr>
          <w:szCs w:val="19"/>
        </w:rPr>
        <w:t>fair value</w:t>
      </w:r>
      <w:r w:rsidR="00E55454" w:rsidRPr="00662611">
        <w:rPr>
          <w:szCs w:val="19"/>
        </w:rPr>
        <w:t xml:space="preserve"> in AASB 13</w:t>
      </w:r>
      <w:r w:rsidRPr="00662611">
        <w:rPr>
          <w:szCs w:val="19"/>
        </w:rPr>
        <w:t xml:space="preserve">. In particular, </w:t>
      </w:r>
      <w:r w:rsidR="00A928D8" w:rsidRPr="00662611">
        <w:rPr>
          <w:szCs w:val="19"/>
        </w:rPr>
        <w:t>the cost approach</w:t>
      </w:r>
      <w:r w:rsidRPr="00662611">
        <w:rPr>
          <w:szCs w:val="19"/>
        </w:rPr>
        <w:t xml:space="preserve"> is used to determine the cost of a constructed or developed service concession asset or the cost of any upgrades to existing assets, on initial recognition. The requirement </w:t>
      </w:r>
      <w:r w:rsidR="00017F29" w:rsidRPr="00662611">
        <w:rPr>
          <w:szCs w:val="19"/>
        </w:rPr>
        <w:t xml:space="preserve">to measure the asset </w:t>
      </w:r>
      <w:r w:rsidR="003802A1" w:rsidRPr="00662611">
        <w:rPr>
          <w:szCs w:val="19"/>
        </w:rPr>
        <w:t>at</w:t>
      </w:r>
      <w:r w:rsidR="00017F29" w:rsidRPr="00662611">
        <w:rPr>
          <w:szCs w:val="19"/>
        </w:rPr>
        <w:t xml:space="preserve"> current replacement cost also applies </w:t>
      </w:r>
      <w:r w:rsidRPr="00662611">
        <w:rPr>
          <w:szCs w:val="19"/>
        </w:rPr>
        <w:t>to existing assets</w:t>
      </w:r>
      <w:r w:rsidR="00F9362C" w:rsidRPr="00662611">
        <w:rPr>
          <w:szCs w:val="19"/>
        </w:rPr>
        <w:t>, both tangible and intangible,</w:t>
      </w:r>
      <w:r w:rsidRPr="00662611">
        <w:rPr>
          <w:szCs w:val="19"/>
        </w:rPr>
        <w:t xml:space="preserve"> of the grantor that are reclassified as service concession assets</w:t>
      </w:r>
      <w:r w:rsidR="00E92FFD" w:rsidRPr="00662611">
        <w:rPr>
          <w:szCs w:val="19"/>
        </w:rPr>
        <w:t>,</w:t>
      </w:r>
      <w:r w:rsidRPr="00662611">
        <w:rPr>
          <w:szCs w:val="19"/>
        </w:rPr>
        <w:t xml:space="preserve"> in accordance with paragraph </w:t>
      </w:r>
      <w:r w:rsidR="000211B8" w:rsidRPr="00662611">
        <w:rPr>
          <w:szCs w:val="19"/>
        </w:rPr>
        <w:fldChar w:fldCharType="begin"/>
      </w:r>
      <w:r w:rsidR="000211B8" w:rsidRPr="00662611">
        <w:rPr>
          <w:szCs w:val="19"/>
        </w:rPr>
        <w:instrText xml:space="preserve"> REF _Ref475620361 \r \h </w:instrText>
      </w:r>
      <w:r w:rsidR="000211B8" w:rsidRPr="00662611">
        <w:rPr>
          <w:szCs w:val="19"/>
        </w:rPr>
      </w:r>
      <w:r w:rsidR="000211B8" w:rsidRPr="00662611">
        <w:rPr>
          <w:szCs w:val="19"/>
        </w:rPr>
        <w:fldChar w:fldCharType="separate"/>
      </w:r>
      <w:r w:rsidR="00C43128">
        <w:rPr>
          <w:szCs w:val="19"/>
        </w:rPr>
        <w:t>8</w:t>
      </w:r>
      <w:r w:rsidR="000211B8" w:rsidRPr="00662611">
        <w:rPr>
          <w:szCs w:val="19"/>
        </w:rPr>
        <w:fldChar w:fldCharType="end"/>
      </w:r>
      <w:r w:rsidRPr="00662611">
        <w:rPr>
          <w:szCs w:val="19"/>
        </w:rPr>
        <w:t xml:space="preserve"> of this Standard. The use of fair value</w:t>
      </w:r>
      <w:r w:rsidR="00375DFC" w:rsidRPr="00662611">
        <w:rPr>
          <w:szCs w:val="19"/>
        </w:rPr>
        <w:t xml:space="preserve"> (</w:t>
      </w:r>
      <w:r w:rsidR="003F679B" w:rsidRPr="00662611">
        <w:rPr>
          <w:szCs w:val="19"/>
        </w:rPr>
        <w:t>current replacement cost</w:t>
      </w:r>
      <w:r w:rsidR="00375DFC" w:rsidRPr="00662611">
        <w:rPr>
          <w:szCs w:val="19"/>
        </w:rPr>
        <w:t>)</w:t>
      </w:r>
      <w:r w:rsidRPr="00662611">
        <w:rPr>
          <w:szCs w:val="19"/>
        </w:rPr>
        <w:t xml:space="preserve"> on initial recognition </w:t>
      </w:r>
      <w:r w:rsidR="00CD5C41" w:rsidRPr="00662611">
        <w:rPr>
          <w:szCs w:val="19"/>
        </w:rPr>
        <w:t xml:space="preserve">or reclassification </w:t>
      </w:r>
      <w:r w:rsidR="00EC6EED" w:rsidRPr="00662611">
        <w:rPr>
          <w:szCs w:val="19"/>
        </w:rPr>
        <w:t xml:space="preserve">of a service concession asset </w:t>
      </w:r>
      <w:r w:rsidRPr="00662611">
        <w:rPr>
          <w:szCs w:val="19"/>
        </w:rPr>
        <w:t>does not constitute a revaluation under AASB 116 or AASB 138.</w:t>
      </w:r>
      <w:r w:rsidR="00EC6EED" w:rsidRPr="00662611">
        <w:rPr>
          <w:szCs w:val="19"/>
        </w:rPr>
        <w:t xml:space="preserve"> Therefore, future revaluations of the asset are not required unless the entity adopts the revaluation model under the relevant Standard.</w:t>
      </w:r>
    </w:p>
    <w:p w14:paraId="7D927285" w14:textId="77777777" w:rsidR="00EB158C" w:rsidRPr="00662611" w:rsidRDefault="00EB158C" w:rsidP="00FB21C0">
      <w:pPr>
        <w:pStyle w:val="IASBSectionTitle3Ind"/>
        <w:outlineLvl w:val="3"/>
      </w:pPr>
      <w:r w:rsidRPr="00662611">
        <w:lastRenderedPageBreak/>
        <w:t xml:space="preserve">Types of </w:t>
      </w:r>
      <w:r w:rsidR="002E3262" w:rsidRPr="00662611">
        <w:t>c</w:t>
      </w:r>
      <w:r w:rsidRPr="00662611">
        <w:t>ompensation</w:t>
      </w:r>
    </w:p>
    <w:p w14:paraId="7D927286" w14:textId="77777777" w:rsidR="00EB158C" w:rsidRPr="00662611" w:rsidRDefault="00EB158C" w:rsidP="003102C2">
      <w:pPr>
        <w:pStyle w:val="NumAG1"/>
        <w:ind w:left="784" w:hanging="784"/>
        <w:rPr>
          <w:szCs w:val="19"/>
        </w:rPr>
      </w:pPr>
      <w:r w:rsidRPr="00662611">
        <w:rPr>
          <w:szCs w:val="19"/>
        </w:rPr>
        <w:t>Service concession arrangements are rarely, if ever, the same</w:t>
      </w:r>
      <w:r w:rsidR="00C201D5" w:rsidRPr="00662611">
        <w:rPr>
          <w:szCs w:val="19"/>
        </w:rPr>
        <w:t>:</w:t>
      </w:r>
      <w:r w:rsidRPr="00662611">
        <w:rPr>
          <w:szCs w:val="19"/>
        </w:rPr>
        <w:t xml:space="preserve"> technical requirements vary by sector and by jurisdiction.  Furthermore, the terms of the arrangement may also depend on the specific features of the overall legal framework, including contract law, of the particular jurisdiction.  </w:t>
      </w:r>
    </w:p>
    <w:p w14:paraId="7D927287" w14:textId="77777777" w:rsidR="00EB158C" w:rsidRPr="00662611" w:rsidRDefault="00EB158C" w:rsidP="003102C2">
      <w:pPr>
        <w:pStyle w:val="NumAG1"/>
        <w:ind w:left="784" w:hanging="784"/>
        <w:rPr>
          <w:szCs w:val="19"/>
        </w:rPr>
      </w:pPr>
      <w:bookmarkStart w:id="78" w:name="_Ref484631039"/>
      <w:r w:rsidRPr="00662611">
        <w:rPr>
          <w:szCs w:val="19"/>
        </w:rPr>
        <w:t>Depending on the terms of the service concession arrangement, the grantor may compensate the operator for the service concession asset and service provision by any combination of the following:</w:t>
      </w:r>
      <w:bookmarkEnd w:id="78"/>
    </w:p>
    <w:p w14:paraId="7D927288" w14:textId="322FB17C" w:rsidR="00EB158C" w:rsidRPr="001929B3" w:rsidRDefault="006172CE" w:rsidP="006172CE">
      <w:pPr>
        <w:pStyle w:val="NumAG2"/>
        <w:ind w:left="1564" w:hanging="782"/>
      </w:pPr>
      <w:bookmarkStart w:id="79" w:name="_Ref475631389"/>
      <w:r>
        <w:tab/>
      </w:r>
      <w:r w:rsidR="00EB158C" w:rsidRPr="00662611">
        <w:t>making payme</w:t>
      </w:r>
      <w:r w:rsidR="00EB158C" w:rsidRPr="001929B3">
        <w:t>nts (eg cash) to the operator; and</w:t>
      </w:r>
      <w:bookmarkEnd w:id="79"/>
    </w:p>
    <w:p w14:paraId="7D927289" w14:textId="09E2BE21" w:rsidR="00EB158C" w:rsidRPr="00662611" w:rsidRDefault="006172CE" w:rsidP="006172CE">
      <w:pPr>
        <w:pStyle w:val="NumAG2"/>
        <w:ind w:left="1564" w:hanging="782"/>
      </w:pPr>
      <w:bookmarkStart w:id="80" w:name="_Ref475631401"/>
      <w:r>
        <w:tab/>
      </w:r>
      <w:r w:rsidR="00EB158C" w:rsidRPr="001929B3">
        <w:t>compensating th</w:t>
      </w:r>
      <w:r w:rsidR="00EB158C" w:rsidRPr="00662611">
        <w:t>e operator by other means, such as:</w:t>
      </w:r>
      <w:bookmarkEnd w:id="80"/>
    </w:p>
    <w:p w14:paraId="7D92728A" w14:textId="67DD6013" w:rsidR="00EB158C" w:rsidRPr="00662611" w:rsidRDefault="006172CE" w:rsidP="006172CE">
      <w:pPr>
        <w:pStyle w:val="NumAG3"/>
        <w:ind w:left="2347" w:hanging="782"/>
      </w:pPr>
      <w:r>
        <w:tab/>
      </w:r>
      <w:r w:rsidR="00EB158C" w:rsidRPr="00662611">
        <w:t>granting the operator the right to earn revenue from third-party users of the service concession asset; or</w:t>
      </w:r>
    </w:p>
    <w:p w14:paraId="7D92728B" w14:textId="4E34214E" w:rsidR="00EB158C" w:rsidRPr="00662611" w:rsidRDefault="006172CE" w:rsidP="006172CE">
      <w:pPr>
        <w:pStyle w:val="NumAG3"/>
        <w:ind w:left="2347" w:hanging="782"/>
      </w:pPr>
      <w:r>
        <w:tab/>
      </w:r>
      <w:proofErr w:type="gramStart"/>
      <w:r w:rsidR="00EB158C" w:rsidRPr="00662611">
        <w:t>granting</w:t>
      </w:r>
      <w:proofErr w:type="gramEnd"/>
      <w:r w:rsidR="00EB158C" w:rsidRPr="00662611">
        <w:t xml:space="preserve"> the operator access to another revenue-generating asset for its use.</w:t>
      </w:r>
    </w:p>
    <w:p w14:paraId="7D92728C" w14:textId="5D76250B" w:rsidR="00EB158C" w:rsidRPr="00662611" w:rsidRDefault="00D22595" w:rsidP="003102C2">
      <w:pPr>
        <w:pStyle w:val="NumAG1"/>
        <w:ind w:left="784" w:hanging="784"/>
        <w:rPr>
          <w:szCs w:val="19"/>
        </w:rPr>
      </w:pPr>
      <w:r w:rsidRPr="00662611">
        <w:rPr>
          <w:szCs w:val="19"/>
        </w:rPr>
        <w:t xml:space="preserve">When </w:t>
      </w:r>
      <w:r w:rsidR="00EB158C" w:rsidRPr="00662611">
        <w:rPr>
          <w:szCs w:val="19"/>
        </w:rPr>
        <w:t xml:space="preserve">the grantor compensates the operator for the service concession asset by making payments to the operator, the asset and service components of the payments may be </w:t>
      </w:r>
      <w:r w:rsidR="00005C2D" w:rsidRPr="00662611">
        <w:rPr>
          <w:szCs w:val="19"/>
        </w:rPr>
        <w:t xml:space="preserve">separately identifiable </w:t>
      </w:r>
      <w:r w:rsidR="00EB158C" w:rsidRPr="00662611">
        <w:rPr>
          <w:szCs w:val="19"/>
        </w:rPr>
        <w:t xml:space="preserve">(eg the contract specifies the amount of the predetermined </w:t>
      </w:r>
      <w:r w:rsidR="00FB0E64">
        <w:rPr>
          <w:szCs w:val="19"/>
        </w:rPr>
        <w:t xml:space="preserve">payment or </w:t>
      </w:r>
      <w:r w:rsidR="00EB158C" w:rsidRPr="00662611">
        <w:rPr>
          <w:szCs w:val="19"/>
        </w:rPr>
        <w:t>series of payments to be allocated to the service concession asset).</w:t>
      </w:r>
      <w:r w:rsidR="00D51C71" w:rsidRPr="00662611">
        <w:rPr>
          <w:szCs w:val="19"/>
        </w:rPr>
        <w:t xml:space="preserve"> The asset and service components of </w:t>
      </w:r>
      <w:r w:rsidRPr="00662611">
        <w:rPr>
          <w:szCs w:val="19"/>
        </w:rPr>
        <w:t xml:space="preserve">the </w:t>
      </w:r>
      <w:r w:rsidR="00D51C71" w:rsidRPr="00662611">
        <w:rPr>
          <w:szCs w:val="19"/>
        </w:rPr>
        <w:t>service concession arrangement are accounted for separately, in accordance with paragraph </w:t>
      </w:r>
      <w:r w:rsidR="000211B8" w:rsidRPr="00662611">
        <w:rPr>
          <w:szCs w:val="19"/>
        </w:rPr>
        <w:fldChar w:fldCharType="begin"/>
      </w:r>
      <w:r w:rsidR="000211B8" w:rsidRPr="00662611">
        <w:rPr>
          <w:szCs w:val="19"/>
        </w:rPr>
        <w:instrText xml:space="preserve"> REF _Ref475627123 \r \h </w:instrText>
      </w:r>
      <w:r w:rsidR="000211B8" w:rsidRPr="00662611">
        <w:rPr>
          <w:szCs w:val="19"/>
        </w:rPr>
      </w:r>
      <w:r w:rsidR="000211B8" w:rsidRPr="00662611">
        <w:rPr>
          <w:szCs w:val="19"/>
        </w:rPr>
        <w:fldChar w:fldCharType="separate"/>
      </w:r>
      <w:r w:rsidR="00C43128">
        <w:rPr>
          <w:szCs w:val="19"/>
        </w:rPr>
        <w:t>20</w:t>
      </w:r>
      <w:r w:rsidR="000211B8" w:rsidRPr="00662611">
        <w:rPr>
          <w:szCs w:val="19"/>
        </w:rPr>
        <w:fldChar w:fldCharType="end"/>
      </w:r>
      <w:r w:rsidR="00D51C71" w:rsidRPr="00662611">
        <w:rPr>
          <w:szCs w:val="19"/>
        </w:rPr>
        <w:t>.</w:t>
      </w:r>
    </w:p>
    <w:p w14:paraId="7D92728D" w14:textId="77777777" w:rsidR="00EB158C" w:rsidRPr="00662611" w:rsidRDefault="006B1765" w:rsidP="00FB21C0">
      <w:pPr>
        <w:pStyle w:val="IASBSectionTitle4Ind"/>
        <w:outlineLvl w:val="4"/>
      </w:pPr>
      <w:r w:rsidRPr="00662611">
        <w:t xml:space="preserve">Separately identifiable </w:t>
      </w:r>
      <w:r w:rsidR="002E3262" w:rsidRPr="00662611">
        <w:t>p</w:t>
      </w:r>
      <w:r w:rsidR="00EB158C" w:rsidRPr="00662611">
        <w:t>ayments</w:t>
      </w:r>
    </w:p>
    <w:p w14:paraId="7D92728E" w14:textId="77777777" w:rsidR="00EB158C" w:rsidRPr="00662611" w:rsidRDefault="00EB158C" w:rsidP="003102C2">
      <w:pPr>
        <w:pStyle w:val="NumAG1"/>
        <w:ind w:left="784" w:hanging="784"/>
        <w:rPr>
          <w:szCs w:val="19"/>
        </w:rPr>
      </w:pPr>
      <w:bookmarkStart w:id="81" w:name="_Ref475620544"/>
      <w:r w:rsidRPr="00662611">
        <w:rPr>
          <w:szCs w:val="19"/>
        </w:rPr>
        <w:t xml:space="preserve">A service concession arrangement may have </w:t>
      </w:r>
      <w:r w:rsidR="00AA321A" w:rsidRPr="00662611">
        <w:rPr>
          <w:szCs w:val="19"/>
        </w:rPr>
        <w:t xml:space="preserve">separately identifiable </w:t>
      </w:r>
      <w:r w:rsidR="00C201D5" w:rsidRPr="00662611">
        <w:rPr>
          <w:szCs w:val="19"/>
        </w:rPr>
        <w:t xml:space="preserve">asset </w:t>
      </w:r>
      <w:r w:rsidRPr="00662611">
        <w:rPr>
          <w:szCs w:val="19"/>
        </w:rPr>
        <w:t xml:space="preserve">and </w:t>
      </w:r>
      <w:r w:rsidR="00C201D5" w:rsidRPr="00662611">
        <w:rPr>
          <w:szCs w:val="19"/>
        </w:rPr>
        <w:t xml:space="preserve">service </w:t>
      </w:r>
      <w:r w:rsidRPr="00662611">
        <w:rPr>
          <w:szCs w:val="19"/>
        </w:rPr>
        <w:t>components of the payments in a variety of circumstances, including, but not limited to, the following:</w:t>
      </w:r>
      <w:bookmarkEnd w:id="81"/>
    </w:p>
    <w:p w14:paraId="7D92728F" w14:textId="3496A2F1" w:rsidR="00EB158C" w:rsidRPr="001929B3" w:rsidRDefault="006172CE" w:rsidP="006172CE">
      <w:pPr>
        <w:pStyle w:val="NumAG2"/>
        <w:ind w:left="1564" w:hanging="782"/>
      </w:pPr>
      <w:r>
        <w:tab/>
      </w:r>
      <w:r w:rsidR="00EB158C" w:rsidRPr="00662611">
        <w:t xml:space="preserve">part of a payment stream that varies according to the availability of the service concession asset itself and another part that varies according to usage or performance of certain services </w:t>
      </w:r>
      <w:r w:rsidR="00C201D5" w:rsidRPr="00662611">
        <w:t xml:space="preserve">can be </w:t>
      </w:r>
      <w:r w:rsidR="00EB158C" w:rsidRPr="00662611">
        <w:t>identifie</w:t>
      </w:r>
      <w:r w:rsidR="00EB158C" w:rsidRPr="001929B3">
        <w:t>d;</w:t>
      </w:r>
    </w:p>
    <w:p w14:paraId="7D927290" w14:textId="1AEFAC75" w:rsidR="00EB158C" w:rsidRPr="001929B3" w:rsidRDefault="006172CE" w:rsidP="006172CE">
      <w:pPr>
        <w:pStyle w:val="NumAG2"/>
        <w:ind w:left="1564" w:hanging="782"/>
      </w:pPr>
      <w:r>
        <w:tab/>
      </w:r>
      <w:proofErr w:type="gramStart"/>
      <w:r w:rsidR="00EB158C" w:rsidRPr="001929B3">
        <w:t>different</w:t>
      </w:r>
      <w:proofErr w:type="gramEnd"/>
      <w:r w:rsidR="00EB158C" w:rsidRPr="001929B3">
        <w:t xml:space="preserve"> components of the service concession arrangement run for different periods or can be terminated separately. For example, an individual service component can be terminated without affecting the continuation of the rest of the arrangement; or </w:t>
      </w:r>
    </w:p>
    <w:p w14:paraId="7D927291" w14:textId="680DA74A" w:rsidR="00EB158C" w:rsidRPr="00662611" w:rsidRDefault="006172CE" w:rsidP="006172CE">
      <w:pPr>
        <w:pStyle w:val="NumAG2"/>
        <w:ind w:left="1564" w:hanging="782"/>
      </w:pPr>
      <w:r>
        <w:tab/>
      </w:r>
      <w:proofErr w:type="gramStart"/>
      <w:r w:rsidR="00EB158C" w:rsidRPr="001929B3">
        <w:t>different</w:t>
      </w:r>
      <w:proofErr w:type="gramEnd"/>
      <w:r w:rsidR="00EB158C" w:rsidRPr="001929B3">
        <w:t xml:space="preserve"> components of the service concession arrangement can be renegotiated separately. For example, </w:t>
      </w:r>
      <w:r w:rsidR="00A857C7" w:rsidRPr="00662611">
        <w:t xml:space="preserve">the upgrade or replacement of major components of a service concession asset are addressed separately, or </w:t>
      </w:r>
      <w:r w:rsidR="00EB158C" w:rsidRPr="00662611">
        <w:t>a service component is market tested and some or all of the cost increases or reductions are passed on to the grantor in such a way that the part of the payment by the grantor that relates specifically to that service can be identified.</w:t>
      </w:r>
    </w:p>
    <w:p w14:paraId="7D927292" w14:textId="77777777" w:rsidR="00EB158C" w:rsidRPr="00662611" w:rsidRDefault="00F210E4" w:rsidP="00FB21C0">
      <w:pPr>
        <w:pStyle w:val="IASBSectionTitle4Ind"/>
        <w:outlineLvl w:val="4"/>
      </w:pPr>
      <w:r w:rsidRPr="00662611">
        <w:t>P</w:t>
      </w:r>
      <w:r w:rsidR="00EB158C" w:rsidRPr="00662611">
        <w:t>ayments</w:t>
      </w:r>
      <w:r w:rsidRPr="00662611">
        <w:t xml:space="preserve"> not separately identifiable</w:t>
      </w:r>
    </w:p>
    <w:p w14:paraId="7D927293" w14:textId="77777777" w:rsidR="00EB158C" w:rsidRPr="00662611" w:rsidRDefault="00EB158C" w:rsidP="003102C2">
      <w:pPr>
        <w:pStyle w:val="NumAG1"/>
        <w:ind w:left="784" w:hanging="784"/>
        <w:rPr>
          <w:szCs w:val="19"/>
        </w:rPr>
      </w:pPr>
      <w:bookmarkStart w:id="82" w:name="_Ref475620551"/>
      <w:r w:rsidRPr="00662611">
        <w:rPr>
          <w:szCs w:val="19"/>
        </w:rPr>
        <w:t xml:space="preserve">For the purpose of applying the requirements of this Standard, payments and other consideration required by the arrangement are allocated at the inception of the arrangement or upon a reassessment of the arrangement into those for the service concession asset and those for other components of the service concession arrangement (eg maintenance and operation services) on the basis of their relative fair values.  The fair value </w:t>
      </w:r>
      <w:r w:rsidR="0028696F" w:rsidRPr="00662611">
        <w:rPr>
          <w:szCs w:val="19"/>
        </w:rPr>
        <w:t xml:space="preserve">(current replacement cost) </w:t>
      </w:r>
      <w:r w:rsidRPr="00662611">
        <w:rPr>
          <w:szCs w:val="19"/>
        </w:rPr>
        <w:t xml:space="preserve">of the service concession asset </w:t>
      </w:r>
      <w:r w:rsidR="00BD14F3" w:rsidRPr="00662611">
        <w:rPr>
          <w:szCs w:val="19"/>
        </w:rPr>
        <w:t xml:space="preserve">represents </w:t>
      </w:r>
      <w:r w:rsidRPr="00662611">
        <w:rPr>
          <w:szCs w:val="19"/>
        </w:rPr>
        <w:t xml:space="preserve">amounts related to the asset and excludes other components of the service concession arrangement.  In some cases, </w:t>
      </w:r>
      <w:r w:rsidR="006374D6" w:rsidRPr="00662611">
        <w:rPr>
          <w:szCs w:val="19"/>
        </w:rPr>
        <w:t xml:space="preserve">identifying </w:t>
      </w:r>
      <w:r w:rsidRPr="00662611">
        <w:rPr>
          <w:szCs w:val="19"/>
        </w:rPr>
        <w:t xml:space="preserve">payments for the asset </w:t>
      </w:r>
      <w:r w:rsidR="006374D6" w:rsidRPr="00662611">
        <w:rPr>
          <w:szCs w:val="19"/>
        </w:rPr>
        <w:t xml:space="preserve">and </w:t>
      </w:r>
      <w:r w:rsidRPr="00662611">
        <w:rPr>
          <w:szCs w:val="19"/>
        </w:rPr>
        <w:t>payments for other components of the service concession arrangement will require the grantor to use an estimation technique.  For example, a grantor may estimate the payments related to the asset by reference to the fair value of a comparable asset in an agreement that contains no other components, or by estimating the payments for the other components in the service concession arrangement by reference to comparable arrangements and then deducting these payments from the total payments under the arrangement.</w:t>
      </w:r>
      <w:bookmarkEnd w:id="82"/>
    </w:p>
    <w:p w14:paraId="7D927294" w14:textId="77777777" w:rsidR="00DC1D6E" w:rsidRPr="00662611" w:rsidRDefault="00DC1D6E" w:rsidP="00FB21C0">
      <w:pPr>
        <w:pStyle w:val="IASBSectionTitle4Ind"/>
        <w:outlineLvl w:val="4"/>
      </w:pPr>
      <w:r w:rsidRPr="00662611">
        <w:t xml:space="preserve">Operator </w:t>
      </w:r>
      <w:r w:rsidR="002E3262" w:rsidRPr="00662611">
        <w:t>r</w:t>
      </w:r>
      <w:r w:rsidRPr="00662611">
        <w:t xml:space="preserve">eceives </w:t>
      </w:r>
      <w:r w:rsidR="002E3262" w:rsidRPr="00662611">
        <w:t>o</w:t>
      </w:r>
      <w:r w:rsidRPr="00662611">
        <w:t xml:space="preserve">ther </w:t>
      </w:r>
      <w:r w:rsidR="002E3262" w:rsidRPr="00662611">
        <w:t>f</w:t>
      </w:r>
      <w:r w:rsidRPr="00662611">
        <w:t xml:space="preserve">orms of </w:t>
      </w:r>
      <w:r w:rsidR="002E3262" w:rsidRPr="00662611">
        <w:t>c</w:t>
      </w:r>
      <w:r w:rsidRPr="00662611">
        <w:t>ompensation</w:t>
      </w:r>
    </w:p>
    <w:p w14:paraId="7D927295" w14:textId="01870D67" w:rsidR="00DC1D6E" w:rsidRPr="00662611" w:rsidRDefault="00DC1D6E" w:rsidP="003102C2">
      <w:pPr>
        <w:pStyle w:val="NumAG1"/>
        <w:ind w:left="784" w:hanging="784"/>
        <w:rPr>
          <w:szCs w:val="19"/>
        </w:rPr>
      </w:pPr>
      <w:r w:rsidRPr="00662611">
        <w:rPr>
          <w:szCs w:val="19"/>
        </w:rPr>
        <w:t xml:space="preserve">The types of </w:t>
      </w:r>
      <w:r w:rsidR="000F4767" w:rsidRPr="00662611">
        <w:rPr>
          <w:szCs w:val="19"/>
        </w:rPr>
        <w:t xml:space="preserve">compensation </w:t>
      </w:r>
      <w:r w:rsidRPr="00662611">
        <w:rPr>
          <w:szCs w:val="19"/>
        </w:rPr>
        <w:t>transactions referred to in paragraph </w:t>
      </w:r>
      <w:r w:rsidR="00726BAE" w:rsidRPr="00662611">
        <w:rPr>
          <w:szCs w:val="19"/>
        </w:rPr>
        <w:fldChar w:fldCharType="begin"/>
      </w:r>
      <w:r w:rsidR="00726BAE" w:rsidRPr="00662611">
        <w:rPr>
          <w:szCs w:val="19"/>
        </w:rPr>
        <w:instrText xml:space="preserve"> REF _Ref475631325 \r \h </w:instrText>
      </w:r>
      <w:r w:rsidR="00726BAE" w:rsidRPr="00662611">
        <w:rPr>
          <w:szCs w:val="19"/>
        </w:rPr>
      </w:r>
      <w:r w:rsidR="00726BAE" w:rsidRPr="00662611">
        <w:rPr>
          <w:szCs w:val="19"/>
        </w:rPr>
        <w:fldChar w:fldCharType="separate"/>
      </w:r>
      <w:r w:rsidR="00C43128">
        <w:rPr>
          <w:szCs w:val="19"/>
        </w:rPr>
        <w:t>14(b)</w:t>
      </w:r>
      <w:r w:rsidR="00726BAE" w:rsidRPr="00662611">
        <w:rPr>
          <w:szCs w:val="19"/>
        </w:rPr>
        <w:fldChar w:fldCharType="end"/>
      </w:r>
      <w:r w:rsidRPr="00662611">
        <w:rPr>
          <w:szCs w:val="19"/>
        </w:rPr>
        <w:t xml:space="preserve"> are non-monetary exchange transactions. Paragraph 24 of AASB 116 and paragraph 45 of AASB 138, as appropriate, provide guidance on these circumstances.</w:t>
      </w:r>
    </w:p>
    <w:p w14:paraId="7D927296" w14:textId="4C763C7F" w:rsidR="00DC1D6E" w:rsidRPr="00662611" w:rsidRDefault="00DC1D6E" w:rsidP="003102C2">
      <w:pPr>
        <w:pStyle w:val="NumAG1"/>
        <w:ind w:left="784" w:hanging="784"/>
        <w:rPr>
          <w:szCs w:val="19"/>
        </w:rPr>
      </w:pPr>
      <w:r w:rsidRPr="00662611">
        <w:rPr>
          <w:szCs w:val="19"/>
        </w:rPr>
        <w:t xml:space="preserve">When the operator is granted the right to earn revenue from third-party users of the service concession asset, or </w:t>
      </w:r>
      <w:r w:rsidR="000F4767" w:rsidRPr="00662611">
        <w:rPr>
          <w:szCs w:val="19"/>
        </w:rPr>
        <w:t xml:space="preserve">from </w:t>
      </w:r>
      <w:r w:rsidRPr="00662611">
        <w:rPr>
          <w:szCs w:val="19"/>
        </w:rPr>
        <w:t xml:space="preserve">another revenue-generating asset, or receives non-cash compensation from the grantor, the grantor does not incur a cost directly for acquiring the service concession asset.  These forms of consideration to the operator </w:t>
      </w:r>
      <w:r w:rsidR="00B57340" w:rsidRPr="00662611">
        <w:rPr>
          <w:szCs w:val="19"/>
        </w:rPr>
        <w:t xml:space="preserve">may be </w:t>
      </w:r>
      <w:r w:rsidRPr="00662611">
        <w:rPr>
          <w:szCs w:val="19"/>
        </w:rPr>
        <w:t xml:space="preserve">intended to compensate the operator both for the cost of the service concession asset and </w:t>
      </w:r>
      <w:r w:rsidRPr="00662611">
        <w:rPr>
          <w:szCs w:val="19"/>
        </w:rPr>
        <w:lastRenderedPageBreak/>
        <w:t>for operating it during the term of the service concession arrangement.  The grantor therefore needs to initially measure the asset component in a manner consistent with paragraph </w:t>
      </w:r>
      <w:r w:rsidR="00726BAE" w:rsidRPr="00662611">
        <w:rPr>
          <w:szCs w:val="19"/>
        </w:rPr>
        <w:fldChar w:fldCharType="begin"/>
      </w:r>
      <w:r w:rsidR="00726BAE" w:rsidRPr="00662611">
        <w:rPr>
          <w:szCs w:val="19"/>
        </w:rPr>
        <w:instrText xml:space="preserve"> REF _Ref475627077 \r \h </w:instrText>
      </w:r>
      <w:r w:rsidR="00726BAE" w:rsidRPr="00662611">
        <w:rPr>
          <w:szCs w:val="19"/>
        </w:rPr>
      </w:r>
      <w:r w:rsidR="00726BAE" w:rsidRPr="00662611">
        <w:rPr>
          <w:szCs w:val="19"/>
        </w:rPr>
        <w:fldChar w:fldCharType="separate"/>
      </w:r>
      <w:r w:rsidR="00C43128">
        <w:rPr>
          <w:szCs w:val="19"/>
        </w:rPr>
        <w:t>7</w:t>
      </w:r>
      <w:r w:rsidR="00726BAE" w:rsidRPr="00662611">
        <w:rPr>
          <w:szCs w:val="19"/>
        </w:rPr>
        <w:fldChar w:fldCharType="end"/>
      </w:r>
      <w:r w:rsidRPr="00662611">
        <w:rPr>
          <w:szCs w:val="19"/>
        </w:rPr>
        <w:t>.</w:t>
      </w:r>
    </w:p>
    <w:p w14:paraId="7D927297" w14:textId="77777777" w:rsidR="003413A3" w:rsidRPr="00662611" w:rsidRDefault="003413A3" w:rsidP="00FB21C0">
      <w:pPr>
        <w:pStyle w:val="IASBSectionTitle2Ind"/>
        <w:outlineLvl w:val="2"/>
      </w:pPr>
      <w:r w:rsidRPr="00662611">
        <w:t xml:space="preserve">Fair </w:t>
      </w:r>
      <w:r w:rsidR="002E3262" w:rsidRPr="00662611">
        <w:t>v</w:t>
      </w:r>
      <w:r w:rsidRPr="00662611">
        <w:t>alue</w:t>
      </w:r>
      <w:r w:rsidR="002E3262" w:rsidRPr="00662611">
        <w:t xml:space="preserve"> m</w:t>
      </w:r>
      <w:r w:rsidRPr="00662611">
        <w:t>easurement</w:t>
      </w:r>
    </w:p>
    <w:p w14:paraId="7D927298" w14:textId="2BDABFAC" w:rsidR="000B462C" w:rsidRPr="00662611" w:rsidRDefault="009D5AAC" w:rsidP="003102C2">
      <w:pPr>
        <w:pStyle w:val="NumAG1"/>
        <w:ind w:left="784" w:hanging="784"/>
        <w:rPr>
          <w:szCs w:val="19"/>
        </w:rPr>
      </w:pPr>
      <w:r w:rsidRPr="00662611">
        <w:rPr>
          <w:szCs w:val="19"/>
        </w:rPr>
        <w:t xml:space="preserve">A service concession asset is </w:t>
      </w:r>
      <w:r w:rsidR="006E7A8C">
        <w:rPr>
          <w:szCs w:val="19"/>
        </w:rPr>
        <w:t xml:space="preserve">an </w:t>
      </w:r>
      <w:r w:rsidRPr="00662611">
        <w:rPr>
          <w:szCs w:val="19"/>
        </w:rPr>
        <w:t>asset that is obtained through construction, development</w:t>
      </w:r>
      <w:r w:rsidR="003254A0">
        <w:rPr>
          <w:szCs w:val="19"/>
        </w:rPr>
        <w:t>, upgrade</w:t>
      </w:r>
      <w:r w:rsidR="009F6541">
        <w:rPr>
          <w:szCs w:val="19"/>
        </w:rPr>
        <w:t>, major component replacement</w:t>
      </w:r>
      <w:r w:rsidR="006550FE" w:rsidRPr="00662611">
        <w:rPr>
          <w:szCs w:val="19"/>
        </w:rPr>
        <w:t xml:space="preserve"> or</w:t>
      </w:r>
      <w:r w:rsidRPr="00662611">
        <w:rPr>
          <w:szCs w:val="19"/>
        </w:rPr>
        <w:t xml:space="preserve"> acquisition</w:t>
      </w:r>
      <w:r w:rsidR="008B6319" w:rsidRPr="00662611">
        <w:rPr>
          <w:szCs w:val="19"/>
        </w:rPr>
        <w:t>,</w:t>
      </w:r>
      <w:r w:rsidRPr="00662611">
        <w:rPr>
          <w:szCs w:val="19"/>
        </w:rPr>
        <w:t xml:space="preserve"> </w:t>
      </w:r>
      <w:r w:rsidR="006E7A8C">
        <w:rPr>
          <w:szCs w:val="19"/>
        </w:rPr>
        <w:t xml:space="preserve">an existing asset </w:t>
      </w:r>
      <w:r w:rsidR="00BF3F10">
        <w:rPr>
          <w:szCs w:val="19"/>
        </w:rPr>
        <w:t xml:space="preserve">or </w:t>
      </w:r>
      <w:r w:rsidRPr="00662611">
        <w:rPr>
          <w:szCs w:val="19"/>
        </w:rPr>
        <w:t xml:space="preserve">upgrade </w:t>
      </w:r>
      <w:r w:rsidR="006555BD">
        <w:rPr>
          <w:szCs w:val="19"/>
        </w:rPr>
        <w:t>or major component replacement</w:t>
      </w:r>
      <w:r w:rsidR="006555BD" w:rsidRPr="00662611">
        <w:rPr>
          <w:szCs w:val="19"/>
        </w:rPr>
        <w:t xml:space="preserve"> </w:t>
      </w:r>
      <w:r w:rsidR="00420957" w:rsidRPr="00662611">
        <w:rPr>
          <w:szCs w:val="19"/>
        </w:rPr>
        <w:t>of an existing</w:t>
      </w:r>
      <w:r w:rsidRPr="00662611">
        <w:rPr>
          <w:szCs w:val="19"/>
        </w:rPr>
        <w:t xml:space="preserve"> asset</w:t>
      </w:r>
      <w:r w:rsidR="008B6319" w:rsidRPr="00662611">
        <w:rPr>
          <w:szCs w:val="19"/>
        </w:rPr>
        <w:t>, to provide public services in a service concession arrangement</w:t>
      </w:r>
      <w:r w:rsidRPr="00662611">
        <w:rPr>
          <w:szCs w:val="19"/>
        </w:rPr>
        <w:t xml:space="preserve">. The capacity or service potential </w:t>
      </w:r>
      <w:r w:rsidR="002C180C" w:rsidRPr="00662611">
        <w:rPr>
          <w:szCs w:val="19"/>
        </w:rPr>
        <w:t xml:space="preserve">of the asset </w:t>
      </w:r>
      <w:r w:rsidRPr="00662611">
        <w:rPr>
          <w:szCs w:val="19"/>
        </w:rPr>
        <w:t xml:space="preserve">is used to achieve public service objectives irrespective of whether the cost of the asset will be recovered by the expected cash flows that the asset may generate. The </w:t>
      </w:r>
      <w:r w:rsidR="00C61449" w:rsidRPr="00662611">
        <w:rPr>
          <w:szCs w:val="19"/>
        </w:rPr>
        <w:t xml:space="preserve">asset is </w:t>
      </w:r>
      <w:r w:rsidRPr="00662611">
        <w:rPr>
          <w:szCs w:val="19"/>
        </w:rPr>
        <w:t>initially measure</w:t>
      </w:r>
      <w:r w:rsidR="00C61449" w:rsidRPr="00662611">
        <w:rPr>
          <w:szCs w:val="19"/>
        </w:rPr>
        <w:t>d</w:t>
      </w:r>
      <w:r w:rsidRPr="00662611">
        <w:rPr>
          <w:szCs w:val="19"/>
        </w:rPr>
        <w:t xml:space="preserve"> </w:t>
      </w:r>
      <w:r w:rsidR="00C61449" w:rsidRPr="00662611">
        <w:rPr>
          <w:szCs w:val="19"/>
        </w:rPr>
        <w:t xml:space="preserve">at </w:t>
      </w:r>
      <w:r w:rsidRPr="00662611">
        <w:rPr>
          <w:szCs w:val="19"/>
        </w:rPr>
        <w:t>fair value</w:t>
      </w:r>
      <w:r w:rsidR="00C61449" w:rsidRPr="00662611">
        <w:rPr>
          <w:szCs w:val="19"/>
        </w:rPr>
        <w:t>, which</w:t>
      </w:r>
      <w:r w:rsidRPr="00662611">
        <w:rPr>
          <w:szCs w:val="19"/>
        </w:rPr>
        <w:t xml:space="preserve"> is </w:t>
      </w:r>
      <w:r w:rsidR="00C61449" w:rsidRPr="00662611">
        <w:rPr>
          <w:szCs w:val="19"/>
        </w:rPr>
        <w:t xml:space="preserve">the </w:t>
      </w:r>
      <w:r w:rsidR="00421759" w:rsidRPr="00662611">
        <w:rPr>
          <w:szCs w:val="19"/>
        </w:rPr>
        <w:t>current replacement cost</w:t>
      </w:r>
      <w:r w:rsidR="00156BFE" w:rsidRPr="00662611">
        <w:rPr>
          <w:szCs w:val="19"/>
        </w:rPr>
        <w:t xml:space="preserve"> under the cost approach. The current replacement cost reflects the amount that would be required </w:t>
      </w:r>
      <w:r w:rsidR="000F4767" w:rsidRPr="00662611">
        <w:rPr>
          <w:szCs w:val="19"/>
        </w:rPr>
        <w:t>at the time</w:t>
      </w:r>
      <w:r w:rsidR="00156BFE" w:rsidRPr="00662611">
        <w:rPr>
          <w:szCs w:val="19"/>
        </w:rPr>
        <w:t xml:space="preserve"> to replace the service capacity of an asset</w:t>
      </w:r>
      <w:r w:rsidR="000B462C" w:rsidRPr="00662611">
        <w:rPr>
          <w:szCs w:val="19"/>
        </w:rPr>
        <w:t>.</w:t>
      </w:r>
      <w:r w:rsidR="00CF1C25" w:rsidRPr="00662611">
        <w:rPr>
          <w:szCs w:val="19"/>
        </w:rPr>
        <w:t xml:space="preserve"> The asset is measured at current replacement cost whether the related liability is measured under the financial liability model, the grant of the right to the operator model, or both.</w:t>
      </w:r>
    </w:p>
    <w:p w14:paraId="7D92729A" w14:textId="5B251104" w:rsidR="00DC1D6E" w:rsidRPr="00662611" w:rsidRDefault="00DC1D6E" w:rsidP="00FB21C0">
      <w:pPr>
        <w:pStyle w:val="IASBSectionTitle2Ind"/>
        <w:outlineLvl w:val="2"/>
      </w:pPr>
      <w:r w:rsidRPr="00662611">
        <w:t xml:space="preserve">Subsequent </w:t>
      </w:r>
      <w:r w:rsidR="002E3262" w:rsidRPr="00662611">
        <w:t>m</w:t>
      </w:r>
      <w:r w:rsidRPr="00662611">
        <w:t>easurement</w:t>
      </w:r>
    </w:p>
    <w:p w14:paraId="7D92729B" w14:textId="01F7F698" w:rsidR="009E51A9" w:rsidRPr="00662611" w:rsidRDefault="00DB56E9" w:rsidP="003102C2">
      <w:pPr>
        <w:pStyle w:val="NumAG1"/>
        <w:ind w:left="784" w:hanging="784"/>
        <w:rPr>
          <w:szCs w:val="19"/>
        </w:rPr>
      </w:pPr>
      <w:r w:rsidRPr="00662611">
        <w:rPr>
          <w:szCs w:val="19"/>
        </w:rPr>
        <w:t>For consistency with the approach to the initial measurement of service concession assets recognised in accordance with this Standard, r</w:t>
      </w:r>
      <w:r w:rsidR="009E51A9" w:rsidRPr="00662611">
        <w:rPr>
          <w:szCs w:val="19"/>
        </w:rPr>
        <w:t xml:space="preserve">eferences to fair value in other Standards shall be </w:t>
      </w:r>
      <w:r w:rsidR="006E7A8C">
        <w:rPr>
          <w:szCs w:val="19"/>
        </w:rPr>
        <w:t>read</w:t>
      </w:r>
      <w:r w:rsidR="006E7A8C" w:rsidRPr="00662611">
        <w:rPr>
          <w:szCs w:val="19"/>
        </w:rPr>
        <w:t xml:space="preserve"> </w:t>
      </w:r>
      <w:r w:rsidR="009E51A9" w:rsidRPr="00662611">
        <w:rPr>
          <w:szCs w:val="19"/>
        </w:rPr>
        <w:t>as references to current replacement cost for service concession assets</w:t>
      </w:r>
      <w:r w:rsidR="006E7A8C">
        <w:rPr>
          <w:szCs w:val="19"/>
        </w:rPr>
        <w:t>, during the term of the service concession arrangement</w:t>
      </w:r>
      <w:r w:rsidR="009E51A9" w:rsidRPr="00662611">
        <w:rPr>
          <w:szCs w:val="19"/>
        </w:rPr>
        <w:t>.</w:t>
      </w:r>
      <w:r w:rsidR="006E7A8C">
        <w:rPr>
          <w:szCs w:val="19"/>
        </w:rPr>
        <w:t xml:space="preserve"> If the grantor retains control of the asset after the end of the service concession arrangement, any fair value measurement of the asset is no longer restricted to the cost approach in AASB 13.</w:t>
      </w:r>
    </w:p>
    <w:p w14:paraId="7D92729C" w14:textId="453CD177" w:rsidR="00DC1D6E" w:rsidRPr="00662611" w:rsidRDefault="00DC1D6E" w:rsidP="003102C2">
      <w:pPr>
        <w:pStyle w:val="NumAG1"/>
        <w:ind w:left="784" w:hanging="784"/>
        <w:rPr>
          <w:szCs w:val="19"/>
        </w:rPr>
      </w:pPr>
      <w:bookmarkStart w:id="83" w:name="_Ref475619701"/>
      <w:r w:rsidRPr="00662611">
        <w:rPr>
          <w:szCs w:val="19"/>
        </w:rPr>
        <w:t>After initial recognition, a grantor applies AASB 116 or AASB 138 to the subsequent measurement and derecognition of a service concession asset</w:t>
      </w:r>
      <w:r w:rsidR="004725F8" w:rsidRPr="00662611">
        <w:rPr>
          <w:szCs w:val="19"/>
        </w:rPr>
        <w:t xml:space="preserve"> and </w:t>
      </w:r>
      <w:r w:rsidR="000F4767" w:rsidRPr="00662611">
        <w:rPr>
          <w:szCs w:val="19"/>
        </w:rPr>
        <w:t xml:space="preserve">to </w:t>
      </w:r>
      <w:r w:rsidR="004725F8" w:rsidRPr="00662611">
        <w:rPr>
          <w:szCs w:val="19"/>
        </w:rPr>
        <w:t>subsequent costs incurred</w:t>
      </w:r>
      <w:r w:rsidRPr="00662611">
        <w:rPr>
          <w:szCs w:val="19"/>
        </w:rPr>
        <w:t>. For the purposes of applying AASB 116 or AASB 138, service concession assets</w:t>
      </w:r>
      <w:r w:rsidR="006610EC" w:rsidRPr="00662611">
        <w:rPr>
          <w:szCs w:val="19"/>
        </w:rPr>
        <w:t xml:space="preserve"> of a similar nature may form a subset of a </w:t>
      </w:r>
      <w:r w:rsidRPr="00662611">
        <w:rPr>
          <w:szCs w:val="19"/>
        </w:rPr>
        <w:t>class, or classes, of assets.</w:t>
      </w:r>
      <w:r w:rsidR="00B12289" w:rsidRPr="00662611">
        <w:rPr>
          <w:szCs w:val="19"/>
        </w:rPr>
        <w:t xml:space="preserve"> Subsequent costs include lifecycle costs</w:t>
      </w:r>
      <w:r w:rsidR="001443EB" w:rsidRPr="00662611">
        <w:rPr>
          <w:szCs w:val="19"/>
        </w:rPr>
        <w:t xml:space="preserve"> incurred to maintain the asset during the operating and maintenance phase of the service concession arrangement.</w:t>
      </w:r>
      <w:r w:rsidRPr="00662611">
        <w:rPr>
          <w:szCs w:val="19"/>
        </w:rPr>
        <w:t xml:space="preserve"> </w:t>
      </w:r>
      <w:r w:rsidR="006E0F1D">
        <w:rPr>
          <w:szCs w:val="19"/>
        </w:rPr>
        <w:t xml:space="preserve">However, upgrades or replacements of </w:t>
      </w:r>
      <w:r w:rsidR="006555BD">
        <w:rPr>
          <w:szCs w:val="19"/>
        </w:rPr>
        <w:t xml:space="preserve">major components of </w:t>
      </w:r>
      <w:r w:rsidR="006E0F1D">
        <w:rPr>
          <w:szCs w:val="19"/>
        </w:rPr>
        <w:t xml:space="preserve">service concession assets would be recognised as service concession assets in accordance with paragraph </w:t>
      </w:r>
      <w:r w:rsidR="006E0F1D">
        <w:rPr>
          <w:szCs w:val="19"/>
        </w:rPr>
        <w:fldChar w:fldCharType="begin"/>
      </w:r>
      <w:r w:rsidR="006E0F1D">
        <w:rPr>
          <w:szCs w:val="19"/>
        </w:rPr>
        <w:instrText xml:space="preserve"> REF _Ref486866840 \r \h </w:instrText>
      </w:r>
      <w:r w:rsidR="006E0F1D">
        <w:rPr>
          <w:szCs w:val="19"/>
        </w:rPr>
      </w:r>
      <w:r w:rsidR="006E0F1D">
        <w:rPr>
          <w:szCs w:val="19"/>
        </w:rPr>
        <w:fldChar w:fldCharType="separate"/>
      </w:r>
      <w:r w:rsidR="00C43128">
        <w:rPr>
          <w:szCs w:val="19"/>
        </w:rPr>
        <w:t>B48</w:t>
      </w:r>
      <w:r w:rsidR="006E0F1D">
        <w:rPr>
          <w:szCs w:val="19"/>
        </w:rPr>
        <w:fldChar w:fldCharType="end"/>
      </w:r>
      <w:r w:rsidR="006E0F1D">
        <w:rPr>
          <w:szCs w:val="19"/>
        </w:rPr>
        <w:t xml:space="preserve">. </w:t>
      </w:r>
      <w:r w:rsidRPr="00662611">
        <w:rPr>
          <w:szCs w:val="19"/>
        </w:rPr>
        <w:t xml:space="preserve">AASB 136 is also applied in considering whether there is any indication that a service concession </w:t>
      </w:r>
      <w:r w:rsidR="00BF4D8B" w:rsidRPr="00662611">
        <w:rPr>
          <w:szCs w:val="19"/>
        </w:rPr>
        <w:t xml:space="preserve">asset </w:t>
      </w:r>
      <w:r w:rsidRPr="00662611">
        <w:rPr>
          <w:szCs w:val="19"/>
        </w:rPr>
        <w:t>is impaired.</w:t>
      </w:r>
      <w:r w:rsidR="005039E0" w:rsidRPr="00662611">
        <w:rPr>
          <w:szCs w:val="19"/>
        </w:rPr>
        <w:t xml:space="preserve"> The reference to fair value in AASB 136 for such assets refers to the current replacement cost of the asset.</w:t>
      </w:r>
      <w:bookmarkEnd w:id="83"/>
    </w:p>
    <w:p w14:paraId="7D92729D" w14:textId="766FD148" w:rsidR="00DC1D6E" w:rsidRPr="00662611" w:rsidRDefault="00DC1D6E" w:rsidP="00FB21C0">
      <w:pPr>
        <w:pStyle w:val="IASBSectionTitle1NonInd"/>
        <w:outlineLvl w:val="1"/>
      </w:pPr>
      <w:r w:rsidRPr="00662611">
        <w:t xml:space="preserve">Recognition and </w:t>
      </w:r>
      <w:r w:rsidR="002E3262" w:rsidRPr="00662611">
        <w:t>m</w:t>
      </w:r>
      <w:r w:rsidRPr="00662611">
        <w:t xml:space="preserve">easurement of </w:t>
      </w:r>
      <w:r w:rsidR="002E3262" w:rsidRPr="00662611">
        <w:t>l</w:t>
      </w:r>
      <w:r w:rsidR="005F498C" w:rsidRPr="00662611">
        <w:t>iabilities</w:t>
      </w:r>
      <w:r w:rsidR="0096687E" w:rsidRPr="00662611">
        <w:t xml:space="preserve"> (paragraphs </w:t>
      </w:r>
      <w:r w:rsidR="00476DD0">
        <w:fldChar w:fldCharType="begin"/>
      </w:r>
      <w:r w:rsidR="00476DD0">
        <w:instrText xml:space="preserve"> REF _Ref475620374 \r \h </w:instrText>
      </w:r>
      <w:r w:rsidR="00476DD0">
        <w:fldChar w:fldCharType="separate"/>
      </w:r>
      <w:r w:rsidR="00C43128">
        <w:t>11</w:t>
      </w:r>
      <w:r w:rsidR="00476DD0">
        <w:fldChar w:fldCharType="end"/>
      </w:r>
      <w:r w:rsidR="0096687E" w:rsidRPr="00662611">
        <w:t>–</w:t>
      </w:r>
      <w:r w:rsidR="00476DD0">
        <w:fldChar w:fldCharType="begin"/>
      </w:r>
      <w:r w:rsidR="00476DD0">
        <w:instrText xml:space="preserve"> REF _Ref484391788 \r \h </w:instrText>
      </w:r>
      <w:r w:rsidR="00476DD0">
        <w:fldChar w:fldCharType="separate"/>
      </w:r>
      <w:r w:rsidR="00C43128">
        <w:t>25</w:t>
      </w:r>
      <w:r w:rsidR="00476DD0">
        <w:fldChar w:fldCharType="end"/>
      </w:r>
      <w:r w:rsidR="0096687E" w:rsidRPr="00662611">
        <w:t>)</w:t>
      </w:r>
    </w:p>
    <w:p w14:paraId="7D92729E" w14:textId="1823B793" w:rsidR="00DC1D6E" w:rsidRPr="00662611" w:rsidRDefault="00DC1D6E" w:rsidP="003102C2">
      <w:pPr>
        <w:pStyle w:val="NumAG1"/>
        <w:ind w:left="784" w:hanging="784"/>
        <w:rPr>
          <w:szCs w:val="19"/>
        </w:rPr>
      </w:pPr>
      <w:bookmarkStart w:id="84" w:name="_Ref475620391"/>
      <w:r w:rsidRPr="00662611">
        <w:rPr>
          <w:szCs w:val="19"/>
        </w:rPr>
        <w:t>The grantor recognises a liability in accordance with paragraph </w:t>
      </w:r>
      <w:r w:rsidR="00476DD0">
        <w:rPr>
          <w:szCs w:val="19"/>
        </w:rPr>
        <w:fldChar w:fldCharType="begin"/>
      </w:r>
      <w:r w:rsidR="00476DD0">
        <w:rPr>
          <w:szCs w:val="19"/>
        </w:rPr>
        <w:instrText xml:space="preserve"> REF _Ref475620374 \r \h </w:instrText>
      </w:r>
      <w:r w:rsidR="00476DD0">
        <w:rPr>
          <w:szCs w:val="19"/>
        </w:rPr>
      </w:r>
      <w:r w:rsidR="00476DD0">
        <w:rPr>
          <w:szCs w:val="19"/>
        </w:rPr>
        <w:fldChar w:fldCharType="separate"/>
      </w:r>
      <w:r w:rsidR="00C43128">
        <w:rPr>
          <w:szCs w:val="19"/>
        </w:rPr>
        <w:t>11</w:t>
      </w:r>
      <w:r w:rsidR="00476DD0">
        <w:rPr>
          <w:szCs w:val="19"/>
        </w:rPr>
        <w:fldChar w:fldCharType="end"/>
      </w:r>
      <w:r w:rsidRPr="00662611">
        <w:rPr>
          <w:szCs w:val="19"/>
        </w:rPr>
        <w:t xml:space="preserve"> when a service concession asset is recognised in accordance with paragraph </w:t>
      </w:r>
      <w:r w:rsidR="00726BAE" w:rsidRPr="00662611">
        <w:rPr>
          <w:szCs w:val="19"/>
        </w:rPr>
        <w:fldChar w:fldCharType="begin"/>
      </w:r>
      <w:r w:rsidR="00726BAE" w:rsidRPr="00662611">
        <w:rPr>
          <w:szCs w:val="19"/>
        </w:rPr>
        <w:instrText xml:space="preserve"> REF _Ref475619556 \r \h </w:instrText>
      </w:r>
      <w:r w:rsidR="00726BAE" w:rsidRPr="00662611">
        <w:rPr>
          <w:szCs w:val="19"/>
        </w:rPr>
      </w:r>
      <w:r w:rsidR="00726BAE" w:rsidRPr="00662611">
        <w:rPr>
          <w:szCs w:val="19"/>
        </w:rPr>
        <w:fldChar w:fldCharType="separate"/>
      </w:r>
      <w:r w:rsidR="00C43128">
        <w:rPr>
          <w:szCs w:val="19"/>
        </w:rPr>
        <w:t>5</w:t>
      </w:r>
      <w:r w:rsidR="00726BAE" w:rsidRPr="00662611">
        <w:rPr>
          <w:szCs w:val="19"/>
        </w:rPr>
        <w:fldChar w:fldCharType="end"/>
      </w:r>
      <w:r w:rsidRPr="00662611">
        <w:rPr>
          <w:szCs w:val="19"/>
        </w:rPr>
        <w:t xml:space="preserve"> (or paragraph </w:t>
      </w:r>
      <w:r w:rsidR="00726BAE" w:rsidRPr="00662611">
        <w:rPr>
          <w:szCs w:val="19"/>
        </w:rPr>
        <w:fldChar w:fldCharType="begin"/>
      </w:r>
      <w:r w:rsidR="00726BAE" w:rsidRPr="00662611">
        <w:rPr>
          <w:szCs w:val="19"/>
        </w:rPr>
        <w:instrText xml:space="preserve"> REF _Ref475619569 \r \h </w:instrText>
      </w:r>
      <w:r w:rsidR="00726BAE" w:rsidRPr="00662611">
        <w:rPr>
          <w:szCs w:val="19"/>
        </w:rPr>
      </w:r>
      <w:r w:rsidR="00726BAE" w:rsidRPr="00662611">
        <w:rPr>
          <w:szCs w:val="19"/>
        </w:rPr>
        <w:fldChar w:fldCharType="separate"/>
      </w:r>
      <w:r w:rsidR="00C43128">
        <w:rPr>
          <w:szCs w:val="19"/>
        </w:rPr>
        <w:t>6</w:t>
      </w:r>
      <w:r w:rsidR="00726BAE" w:rsidRPr="00662611">
        <w:rPr>
          <w:szCs w:val="19"/>
        </w:rPr>
        <w:fldChar w:fldCharType="end"/>
      </w:r>
      <w:r w:rsidRPr="00662611">
        <w:rPr>
          <w:szCs w:val="19"/>
        </w:rPr>
        <w:t xml:space="preserve"> for a whole-of-life asset). The nature of the liability recognised in accordance with paragraph </w:t>
      </w:r>
      <w:r w:rsidR="00A4397C" w:rsidRPr="00662611">
        <w:rPr>
          <w:szCs w:val="19"/>
        </w:rPr>
        <w:fldChar w:fldCharType="begin"/>
      </w:r>
      <w:r w:rsidR="00A4397C" w:rsidRPr="00662611">
        <w:rPr>
          <w:szCs w:val="19"/>
        </w:rPr>
        <w:instrText xml:space="preserve"> REF _Ref475620374 \r \h </w:instrText>
      </w:r>
      <w:r w:rsidR="00A4397C" w:rsidRPr="00662611">
        <w:rPr>
          <w:szCs w:val="19"/>
        </w:rPr>
      </w:r>
      <w:r w:rsidR="00A4397C" w:rsidRPr="00662611">
        <w:rPr>
          <w:szCs w:val="19"/>
        </w:rPr>
        <w:fldChar w:fldCharType="separate"/>
      </w:r>
      <w:r w:rsidR="00C43128">
        <w:rPr>
          <w:szCs w:val="19"/>
        </w:rPr>
        <w:t>11</w:t>
      </w:r>
      <w:r w:rsidR="00A4397C" w:rsidRPr="00662611">
        <w:rPr>
          <w:szCs w:val="19"/>
        </w:rPr>
        <w:fldChar w:fldCharType="end"/>
      </w:r>
      <w:r w:rsidRPr="00662611">
        <w:rPr>
          <w:szCs w:val="19"/>
        </w:rPr>
        <w:t xml:space="preserve"> differs in the circumstances described in paragraph</w:t>
      </w:r>
      <w:r w:rsidR="003C5409" w:rsidRPr="00662611">
        <w:rPr>
          <w:szCs w:val="19"/>
        </w:rPr>
        <w:t>s</w:t>
      </w:r>
      <w:r w:rsidRPr="00662611">
        <w:rPr>
          <w:szCs w:val="19"/>
        </w:rPr>
        <w:t> </w:t>
      </w:r>
      <w:r w:rsidR="00726BAE" w:rsidRPr="00662611">
        <w:rPr>
          <w:szCs w:val="19"/>
        </w:rPr>
        <w:fldChar w:fldCharType="begin"/>
      </w:r>
      <w:r w:rsidR="00726BAE" w:rsidRPr="00662611">
        <w:rPr>
          <w:szCs w:val="19"/>
        </w:rPr>
        <w:instrText xml:space="preserve"> REF _Ref475631389 \r \h </w:instrText>
      </w:r>
      <w:r w:rsidR="00726BAE" w:rsidRPr="00662611">
        <w:rPr>
          <w:szCs w:val="19"/>
        </w:rPr>
      </w:r>
      <w:r w:rsidR="00726BAE" w:rsidRPr="00662611">
        <w:rPr>
          <w:szCs w:val="19"/>
        </w:rPr>
        <w:fldChar w:fldCharType="separate"/>
      </w:r>
      <w:proofErr w:type="gramStart"/>
      <w:r w:rsidR="00C43128">
        <w:rPr>
          <w:szCs w:val="19"/>
        </w:rPr>
        <w:t>B51(</w:t>
      </w:r>
      <w:proofErr w:type="gramEnd"/>
      <w:r w:rsidR="00C43128">
        <w:rPr>
          <w:szCs w:val="19"/>
        </w:rPr>
        <w:t>a)</w:t>
      </w:r>
      <w:r w:rsidR="00726BAE" w:rsidRPr="00662611">
        <w:rPr>
          <w:szCs w:val="19"/>
        </w:rPr>
        <w:fldChar w:fldCharType="end"/>
      </w:r>
      <w:r w:rsidR="005C53D8" w:rsidRPr="00662611">
        <w:rPr>
          <w:szCs w:val="19"/>
        </w:rPr>
        <w:t xml:space="preserve"> and </w:t>
      </w:r>
      <w:r w:rsidR="00726BAE" w:rsidRPr="00662611">
        <w:rPr>
          <w:szCs w:val="19"/>
        </w:rPr>
        <w:fldChar w:fldCharType="begin"/>
      </w:r>
      <w:r w:rsidR="00726BAE" w:rsidRPr="00662611">
        <w:rPr>
          <w:szCs w:val="19"/>
        </w:rPr>
        <w:instrText xml:space="preserve"> REF _Ref475631401 \r \h </w:instrText>
      </w:r>
      <w:r w:rsidR="00726BAE" w:rsidRPr="00662611">
        <w:rPr>
          <w:szCs w:val="19"/>
        </w:rPr>
      </w:r>
      <w:r w:rsidR="00726BAE" w:rsidRPr="00662611">
        <w:rPr>
          <w:szCs w:val="19"/>
        </w:rPr>
        <w:fldChar w:fldCharType="separate"/>
      </w:r>
      <w:r w:rsidR="00C43128">
        <w:rPr>
          <w:szCs w:val="19"/>
        </w:rPr>
        <w:t>B51(b)</w:t>
      </w:r>
      <w:r w:rsidR="00726BAE" w:rsidRPr="00662611">
        <w:rPr>
          <w:szCs w:val="19"/>
        </w:rPr>
        <w:fldChar w:fldCharType="end"/>
      </w:r>
      <w:r w:rsidRPr="00662611">
        <w:rPr>
          <w:szCs w:val="19"/>
        </w:rPr>
        <w:t xml:space="preserve"> according to </w:t>
      </w:r>
      <w:r w:rsidR="003C5409" w:rsidRPr="00662611">
        <w:rPr>
          <w:szCs w:val="19"/>
        </w:rPr>
        <w:t xml:space="preserve">their </w:t>
      </w:r>
      <w:r w:rsidRPr="00662611">
        <w:rPr>
          <w:szCs w:val="19"/>
        </w:rPr>
        <w:t xml:space="preserve">substance. </w:t>
      </w:r>
      <w:r w:rsidR="00D24823" w:rsidRPr="00662611">
        <w:rPr>
          <w:szCs w:val="19"/>
        </w:rPr>
        <w:t>However, in each case,</w:t>
      </w:r>
      <w:r w:rsidR="00E83698" w:rsidRPr="00662611">
        <w:rPr>
          <w:szCs w:val="19"/>
        </w:rPr>
        <w:t xml:space="preserve"> </w:t>
      </w:r>
      <w:r w:rsidR="00D24823" w:rsidRPr="00662611">
        <w:rPr>
          <w:szCs w:val="19"/>
        </w:rPr>
        <w:t>t</w:t>
      </w:r>
      <w:r w:rsidR="005B5A15" w:rsidRPr="00662611">
        <w:rPr>
          <w:szCs w:val="19"/>
        </w:rPr>
        <w:t xml:space="preserve">he liability recognised in accordance with paragraph </w:t>
      </w:r>
      <w:r w:rsidR="00726BAE" w:rsidRPr="00662611">
        <w:rPr>
          <w:szCs w:val="19"/>
        </w:rPr>
        <w:fldChar w:fldCharType="begin"/>
      </w:r>
      <w:r w:rsidR="00726BAE" w:rsidRPr="00662611">
        <w:rPr>
          <w:szCs w:val="19"/>
        </w:rPr>
        <w:instrText xml:space="preserve"> REF _Ref475620374 \r \h </w:instrText>
      </w:r>
      <w:r w:rsidR="00726BAE" w:rsidRPr="00662611">
        <w:rPr>
          <w:szCs w:val="19"/>
        </w:rPr>
      </w:r>
      <w:r w:rsidR="00726BAE" w:rsidRPr="00662611">
        <w:rPr>
          <w:szCs w:val="19"/>
        </w:rPr>
        <w:fldChar w:fldCharType="separate"/>
      </w:r>
      <w:r w:rsidR="00C43128">
        <w:rPr>
          <w:szCs w:val="19"/>
        </w:rPr>
        <w:t>11</w:t>
      </w:r>
      <w:r w:rsidR="00726BAE" w:rsidRPr="00662611">
        <w:rPr>
          <w:szCs w:val="19"/>
        </w:rPr>
        <w:fldChar w:fldCharType="end"/>
      </w:r>
      <w:r w:rsidR="005B5A15" w:rsidRPr="00662611">
        <w:rPr>
          <w:szCs w:val="19"/>
        </w:rPr>
        <w:t xml:space="preserve"> shall be initially measured at the same amount as the service concession asset, being the fair value </w:t>
      </w:r>
      <w:r w:rsidR="00D24823" w:rsidRPr="00662611">
        <w:rPr>
          <w:szCs w:val="19"/>
        </w:rPr>
        <w:t xml:space="preserve">(current replacement cost) </w:t>
      </w:r>
      <w:r w:rsidR="005B5A15" w:rsidRPr="00662611">
        <w:rPr>
          <w:szCs w:val="19"/>
        </w:rPr>
        <w:t>of the asset in accordance with AASB 13.</w:t>
      </w:r>
      <w:bookmarkEnd w:id="84"/>
    </w:p>
    <w:p w14:paraId="7D92729F" w14:textId="0E927C98" w:rsidR="00412F26" w:rsidRPr="00662611" w:rsidRDefault="00327A18" w:rsidP="003102C2">
      <w:pPr>
        <w:pStyle w:val="NumAG1"/>
        <w:ind w:left="784" w:hanging="784"/>
        <w:rPr>
          <w:szCs w:val="19"/>
        </w:rPr>
      </w:pPr>
      <w:r w:rsidRPr="00662611">
        <w:rPr>
          <w:szCs w:val="19"/>
        </w:rPr>
        <w:t>The grantor also recognises a liability in accordance with paragraph </w:t>
      </w:r>
      <w:r w:rsidR="001F0831">
        <w:rPr>
          <w:szCs w:val="19"/>
        </w:rPr>
        <w:fldChar w:fldCharType="begin"/>
      </w:r>
      <w:r w:rsidR="001F0831">
        <w:rPr>
          <w:szCs w:val="19"/>
        </w:rPr>
        <w:instrText xml:space="preserve"> REF _Ref475620374 \r \h </w:instrText>
      </w:r>
      <w:r w:rsidR="001F0831">
        <w:rPr>
          <w:szCs w:val="19"/>
        </w:rPr>
      </w:r>
      <w:r w:rsidR="001F0831">
        <w:rPr>
          <w:szCs w:val="19"/>
        </w:rPr>
        <w:fldChar w:fldCharType="separate"/>
      </w:r>
      <w:r w:rsidR="00C43128">
        <w:rPr>
          <w:szCs w:val="19"/>
        </w:rPr>
        <w:t>11</w:t>
      </w:r>
      <w:r w:rsidR="001F0831">
        <w:rPr>
          <w:szCs w:val="19"/>
        </w:rPr>
        <w:fldChar w:fldCharType="end"/>
      </w:r>
      <w:r w:rsidRPr="00662611">
        <w:rPr>
          <w:szCs w:val="19"/>
        </w:rPr>
        <w:t xml:space="preserve"> when an existing asset of the grantor is reclassified as a service concession asset and the operator provides </w:t>
      </w:r>
      <w:r w:rsidR="00412F26" w:rsidRPr="00662611">
        <w:rPr>
          <w:szCs w:val="19"/>
        </w:rPr>
        <w:t xml:space="preserve">additional consideration to the grantor. The </w:t>
      </w:r>
      <w:r w:rsidRPr="00662611">
        <w:rPr>
          <w:szCs w:val="19"/>
        </w:rPr>
        <w:t xml:space="preserve">grantor </w:t>
      </w:r>
      <w:r w:rsidR="00412F26" w:rsidRPr="00662611">
        <w:rPr>
          <w:szCs w:val="19"/>
        </w:rPr>
        <w:t>first recognise</w:t>
      </w:r>
      <w:r w:rsidRPr="00662611">
        <w:rPr>
          <w:szCs w:val="19"/>
        </w:rPr>
        <w:t>s</w:t>
      </w:r>
      <w:r w:rsidR="00412F26" w:rsidRPr="00662611">
        <w:rPr>
          <w:szCs w:val="19"/>
        </w:rPr>
        <w:t xml:space="preserve"> the reclassification of </w:t>
      </w:r>
      <w:r w:rsidRPr="00662611">
        <w:rPr>
          <w:szCs w:val="19"/>
        </w:rPr>
        <w:t>its</w:t>
      </w:r>
      <w:r w:rsidR="00412F26" w:rsidRPr="00662611">
        <w:rPr>
          <w:szCs w:val="19"/>
        </w:rPr>
        <w:t xml:space="preserve"> existing asset </w:t>
      </w:r>
      <w:r w:rsidRPr="00662611">
        <w:rPr>
          <w:szCs w:val="19"/>
        </w:rPr>
        <w:t xml:space="preserve">as </w:t>
      </w:r>
      <w:r w:rsidR="00412F26" w:rsidRPr="00662611">
        <w:rPr>
          <w:szCs w:val="19"/>
        </w:rPr>
        <w:t>a service concession asset in accordance with paragraph </w:t>
      </w:r>
      <w:r w:rsidR="001F0831">
        <w:rPr>
          <w:szCs w:val="19"/>
        </w:rPr>
        <w:fldChar w:fldCharType="begin"/>
      </w:r>
      <w:r w:rsidR="001F0831">
        <w:rPr>
          <w:szCs w:val="19"/>
        </w:rPr>
        <w:instrText xml:space="preserve"> REF _Ref486145413 \r \h </w:instrText>
      </w:r>
      <w:r w:rsidR="001F0831">
        <w:rPr>
          <w:szCs w:val="19"/>
        </w:rPr>
      </w:r>
      <w:r w:rsidR="001F0831">
        <w:rPr>
          <w:szCs w:val="19"/>
        </w:rPr>
        <w:fldChar w:fldCharType="separate"/>
      </w:r>
      <w:r w:rsidR="00C43128">
        <w:rPr>
          <w:szCs w:val="19"/>
        </w:rPr>
        <w:t>8</w:t>
      </w:r>
      <w:r w:rsidR="001F0831">
        <w:rPr>
          <w:szCs w:val="19"/>
        </w:rPr>
        <w:fldChar w:fldCharType="end"/>
      </w:r>
      <w:r w:rsidR="006E7A8C">
        <w:rPr>
          <w:szCs w:val="19"/>
        </w:rPr>
        <w:t>,</w:t>
      </w:r>
      <w:r w:rsidR="00412F26" w:rsidRPr="00662611">
        <w:rPr>
          <w:szCs w:val="19"/>
        </w:rPr>
        <w:t xml:space="preserve"> </w:t>
      </w:r>
      <w:r w:rsidR="006E7A8C">
        <w:rPr>
          <w:szCs w:val="19"/>
        </w:rPr>
        <w:t xml:space="preserve">treating any difference between the </w:t>
      </w:r>
      <w:r w:rsidR="006E7A8C" w:rsidRPr="00662611">
        <w:rPr>
          <w:szCs w:val="19"/>
        </w:rPr>
        <w:t>carrying amount</w:t>
      </w:r>
      <w:r w:rsidR="006E7A8C">
        <w:rPr>
          <w:szCs w:val="19"/>
        </w:rPr>
        <w:t xml:space="preserve"> </w:t>
      </w:r>
      <w:r w:rsidR="006E7A8C" w:rsidRPr="00662611">
        <w:rPr>
          <w:szCs w:val="19"/>
        </w:rPr>
        <w:t xml:space="preserve">of the asset </w:t>
      </w:r>
      <w:r w:rsidR="006E7A8C">
        <w:rPr>
          <w:szCs w:val="19"/>
        </w:rPr>
        <w:t xml:space="preserve">and its fair value </w:t>
      </w:r>
      <w:r w:rsidR="006E7A8C" w:rsidRPr="00662611">
        <w:rPr>
          <w:szCs w:val="19"/>
        </w:rPr>
        <w:t xml:space="preserve">(current replacement cost) </w:t>
      </w:r>
      <w:r w:rsidR="00412F26" w:rsidRPr="00662611">
        <w:rPr>
          <w:szCs w:val="19"/>
        </w:rPr>
        <w:t xml:space="preserve">as </w:t>
      </w:r>
      <w:r w:rsidR="000C58FD">
        <w:rPr>
          <w:szCs w:val="19"/>
        </w:rPr>
        <w:t xml:space="preserve">if it is </w:t>
      </w:r>
      <w:r w:rsidR="00412F26" w:rsidRPr="00662611">
        <w:rPr>
          <w:szCs w:val="19"/>
        </w:rPr>
        <w:t xml:space="preserve">a revaluation of the asset. The second step </w:t>
      </w:r>
      <w:r w:rsidR="00263231" w:rsidRPr="00662611">
        <w:rPr>
          <w:szCs w:val="19"/>
        </w:rPr>
        <w:t xml:space="preserve">for the grantor </w:t>
      </w:r>
      <w:r w:rsidR="00412F26" w:rsidRPr="00662611">
        <w:rPr>
          <w:szCs w:val="19"/>
        </w:rPr>
        <w:t>is to recognise the additio</w:t>
      </w:r>
      <w:r w:rsidR="00B27F8C" w:rsidRPr="00662611">
        <w:rPr>
          <w:szCs w:val="19"/>
        </w:rPr>
        <w:t>n</w:t>
      </w:r>
      <w:r w:rsidR="00412F26" w:rsidRPr="00662611">
        <w:rPr>
          <w:szCs w:val="19"/>
        </w:rPr>
        <w:t>a</w:t>
      </w:r>
      <w:r w:rsidR="00B27F8C" w:rsidRPr="00662611">
        <w:rPr>
          <w:szCs w:val="19"/>
        </w:rPr>
        <w:t xml:space="preserve">l consideration provided </w:t>
      </w:r>
      <w:r w:rsidR="00412F26" w:rsidRPr="00662611">
        <w:rPr>
          <w:szCs w:val="19"/>
        </w:rPr>
        <w:t>b</w:t>
      </w:r>
      <w:r w:rsidR="00B27F8C" w:rsidRPr="00662611">
        <w:rPr>
          <w:szCs w:val="19"/>
        </w:rPr>
        <w:t>y</w:t>
      </w:r>
      <w:r w:rsidR="00412F26" w:rsidRPr="00662611">
        <w:rPr>
          <w:szCs w:val="19"/>
        </w:rPr>
        <w:t xml:space="preserve"> the operator </w:t>
      </w:r>
      <w:r w:rsidR="006E7A8C">
        <w:rPr>
          <w:szCs w:val="19"/>
        </w:rPr>
        <w:t>(</w:t>
      </w:r>
      <w:r w:rsidR="00412F26" w:rsidRPr="00662611">
        <w:rPr>
          <w:szCs w:val="19"/>
        </w:rPr>
        <w:t>cash or other asset</w:t>
      </w:r>
      <w:r w:rsidR="00263231" w:rsidRPr="00662611">
        <w:rPr>
          <w:szCs w:val="19"/>
        </w:rPr>
        <w:t>s</w:t>
      </w:r>
      <w:r w:rsidR="006E7A8C">
        <w:rPr>
          <w:szCs w:val="19"/>
        </w:rPr>
        <w:t>)</w:t>
      </w:r>
      <w:r w:rsidR="00263231" w:rsidRPr="00662611">
        <w:rPr>
          <w:szCs w:val="19"/>
        </w:rPr>
        <w:t>,</w:t>
      </w:r>
      <w:r w:rsidR="00412F26" w:rsidRPr="00662611">
        <w:rPr>
          <w:szCs w:val="19"/>
        </w:rPr>
        <w:t xml:space="preserve"> and a financial liability or </w:t>
      </w:r>
      <w:r w:rsidR="00263231" w:rsidRPr="00662611">
        <w:rPr>
          <w:szCs w:val="19"/>
        </w:rPr>
        <w:t xml:space="preserve">a </w:t>
      </w:r>
      <w:r w:rsidR="00412F26" w:rsidRPr="00662611">
        <w:rPr>
          <w:szCs w:val="19"/>
        </w:rPr>
        <w:t xml:space="preserve">liability under the grant of </w:t>
      </w:r>
      <w:r w:rsidR="004C533D" w:rsidRPr="00662611">
        <w:rPr>
          <w:szCs w:val="19"/>
        </w:rPr>
        <w:t xml:space="preserve">a </w:t>
      </w:r>
      <w:r w:rsidR="00412F26" w:rsidRPr="00662611">
        <w:rPr>
          <w:szCs w:val="19"/>
        </w:rPr>
        <w:t>right to the operator model</w:t>
      </w:r>
      <w:r w:rsidR="00263231" w:rsidRPr="00662611">
        <w:rPr>
          <w:szCs w:val="19"/>
        </w:rPr>
        <w:t xml:space="preserve"> or both, depending on the nature of the </w:t>
      </w:r>
      <w:r w:rsidR="004C533D" w:rsidRPr="00662611">
        <w:rPr>
          <w:szCs w:val="19"/>
        </w:rPr>
        <w:t>service concession arrangement</w:t>
      </w:r>
      <w:r w:rsidR="00412F26" w:rsidRPr="00662611">
        <w:rPr>
          <w:szCs w:val="19"/>
        </w:rPr>
        <w:t>.</w:t>
      </w:r>
    </w:p>
    <w:p w14:paraId="7D9272A0" w14:textId="77777777" w:rsidR="007D49CF" w:rsidRPr="00662611" w:rsidRDefault="00DF1617" w:rsidP="003102C2">
      <w:pPr>
        <w:pStyle w:val="NumAG1"/>
        <w:ind w:left="784" w:hanging="784"/>
        <w:rPr>
          <w:szCs w:val="19"/>
        </w:rPr>
      </w:pPr>
      <w:r w:rsidRPr="00662611">
        <w:rPr>
          <w:szCs w:val="19"/>
        </w:rPr>
        <w:t xml:space="preserve">Payments </w:t>
      </w:r>
      <w:r w:rsidR="007D49CF" w:rsidRPr="00662611">
        <w:rPr>
          <w:szCs w:val="19"/>
        </w:rPr>
        <w:t xml:space="preserve">made by an operator to a grantor </w:t>
      </w:r>
      <w:r w:rsidR="00FD5669" w:rsidRPr="00662611">
        <w:rPr>
          <w:szCs w:val="19"/>
        </w:rPr>
        <w:t xml:space="preserve">that </w:t>
      </w:r>
      <w:r w:rsidRPr="00662611">
        <w:rPr>
          <w:szCs w:val="19"/>
        </w:rPr>
        <w:t xml:space="preserve">are </w:t>
      </w:r>
      <w:r w:rsidR="00FD5669" w:rsidRPr="00662611">
        <w:rPr>
          <w:szCs w:val="19"/>
        </w:rPr>
        <w:t xml:space="preserve">separate from the service concession arrangement </w:t>
      </w:r>
      <w:r w:rsidRPr="00662611">
        <w:rPr>
          <w:szCs w:val="19"/>
        </w:rPr>
        <w:t xml:space="preserve">are </w:t>
      </w:r>
      <w:r w:rsidR="00FD5669" w:rsidRPr="00662611">
        <w:rPr>
          <w:szCs w:val="19"/>
        </w:rPr>
        <w:t xml:space="preserve">accounted </w:t>
      </w:r>
      <w:r w:rsidRPr="00662611">
        <w:rPr>
          <w:szCs w:val="19"/>
        </w:rPr>
        <w:t xml:space="preserve">for </w:t>
      </w:r>
      <w:r w:rsidR="00FD5669" w:rsidRPr="00662611">
        <w:rPr>
          <w:szCs w:val="19"/>
        </w:rPr>
        <w:t xml:space="preserve">based on </w:t>
      </w:r>
      <w:r w:rsidRPr="00662611">
        <w:rPr>
          <w:szCs w:val="19"/>
        </w:rPr>
        <w:t xml:space="preserve">the </w:t>
      </w:r>
      <w:r w:rsidR="00FD5669" w:rsidRPr="00662611">
        <w:rPr>
          <w:szCs w:val="19"/>
        </w:rPr>
        <w:t>nature of the payments</w:t>
      </w:r>
      <w:r w:rsidR="00DE39EA" w:rsidRPr="00662611">
        <w:rPr>
          <w:szCs w:val="19"/>
        </w:rPr>
        <w:t>. I</w:t>
      </w:r>
      <w:r w:rsidR="00FD5669" w:rsidRPr="00662611">
        <w:rPr>
          <w:szCs w:val="19"/>
        </w:rPr>
        <w:t>f the payment</w:t>
      </w:r>
      <w:r w:rsidR="00D549F8" w:rsidRPr="00662611">
        <w:rPr>
          <w:szCs w:val="19"/>
        </w:rPr>
        <w:t>s</w:t>
      </w:r>
      <w:r w:rsidR="00FD5669" w:rsidRPr="00662611">
        <w:rPr>
          <w:szCs w:val="19"/>
        </w:rPr>
        <w:t xml:space="preserve"> </w:t>
      </w:r>
      <w:r w:rsidR="00D549F8" w:rsidRPr="00662611">
        <w:rPr>
          <w:szCs w:val="19"/>
        </w:rPr>
        <w:t>are</w:t>
      </w:r>
      <w:r w:rsidR="009D6EDB" w:rsidRPr="00662611">
        <w:rPr>
          <w:szCs w:val="19"/>
        </w:rPr>
        <w:t>:</w:t>
      </w:r>
    </w:p>
    <w:p w14:paraId="7D9272A1" w14:textId="5140AE69" w:rsidR="009D6EDB" w:rsidRPr="00662611" w:rsidRDefault="006172CE" w:rsidP="006172CE">
      <w:pPr>
        <w:pStyle w:val="NumAG2"/>
        <w:ind w:left="1564" w:hanging="782"/>
      </w:pPr>
      <w:r>
        <w:tab/>
      </w:r>
      <w:r w:rsidR="005339A1" w:rsidRPr="00662611">
        <w:t>for a right to good</w:t>
      </w:r>
      <w:r w:rsidR="00DF1617" w:rsidRPr="00662611">
        <w:t>s</w:t>
      </w:r>
      <w:r w:rsidR="005339A1" w:rsidRPr="00662611">
        <w:t xml:space="preserve"> or service</w:t>
      </w:r>
      <w:r w:rsidR="00DF1617" w:rsidRPr="00662611">
        <w:t>s</w:t>
      </w:r>
      <w:r w:rsidR="005339A1" w:rsidRPr="00662611">
        <w:t xml:space="preserve">, </w:t>
      </w:r>
      <w:r w:rsidR="00DE39EA" w:rsidRPr="00662611">
        <w:t xml:space="preserve">the grantor accounts for the payments as other revenues in accordance with AASB 15 </w:t>
      </w:r>
      <w:r w:rsidR="00DF1617" w:rsidRPr="00662611">
        <w:t xml:space="preserve">or AASB 1058, </w:t>
      </w:r>
      <w:r w:rsidR="00DE39EA" w:rsidRPr="00662611">
        <w:t>as appropriate; or</w:t>
      </w:r>
    </w:p>
    <w:p w14:paraId="7D9272A2" w14:textId="0AFB9EC7" w:rsidR="00FD5669" w:rsidRPr="00662611" w:rsidRDefault="006172CE" w:rsidP="006172CE">
      <w:pPr>
        <w:pStyle w:val="NumAG2"/>
        <w:ind w:left="1564" w:hanging="782"/>
      </w:pPr>
      <w:r>
        <w:tab/>
      </w:r>
      <w:proofErr w:type="gramStart"/>
      <w:r w:rsidR="002E10F5" w:rsidRPr="00662611">
        <w:t>for</w:t>
      </w:r>
      <w:proofErr w:type="gramEnd"/>
      <w:r w:rsidR="002E10F5" w:rsidRPr="00662611">
        <w:t xml:space="preserve"> the right to use an asset, </w:t>
      </w:r>
      <w:r w:rsidR="004B3EE2" w:rsidRPr="00662611">
        <w:t>the grantor assesses whether the arrangement contains a lease. If the arrangement contain</w:t>
      </w:r>
      <w:r w:rsidR="00D549F8" w:rsidRPr="00662611">
        <w:t>s</w:t>
      </w:r>
      <w:r w:rsidR="004B3EE2" w:rsidRPr="00662611">
        <w:t xml:space="preserve"> a lease, the grantor accounts for the payments in accordance with AASB 16 (paragraph </w:t>
      </w:r>
      <w:r w:rsidR="00CB3BEF" w:rsidRPr="00662611">
        <w:fldChar w:fldCharType="begin"/>
      </w:r>
      <w:r w:rsidR="00CB3BEF" w:rsidRPr="00662611">
        <w:instrText xml:space="preserve"> REF _Ref484628209 \r \h </w:instrText>
      </w:r>
      <w:r w:rsidR="00CB3BEF" w:rsidRPr="00662611">
        <w:fldChar w:fldCharType="separate"/>
      </w:r>
      <w:proofErr w:type="gramStart"/>
      <w:r w:rsidR="00C43128">
        <w:t>B29(</w:t>
      </w:r>
      <w:proofErr w:type="gramEnd"/>
      <w:r w:rsidR="00C43128">
        <w:t>b)</w:t>
      </w:r>
      <w:r w:rsidR="00CB3BEF" w:rsidRPr="00662611">
        <w:fldChar w:fldCharType="end"/>
      </w:r>
      <w:r w:rsidR="004B3EE2" w:rsidRPr="00662611">
        <w:t>).</w:t>
      </w:r>
    </w:p>
    <w:p w14:paraId="7D9272A3" w14:textId="77777777" w:rsidR="00DC1D6E" w:rsidRPr="00662611" w:rsidRDefault="00DC1D6E" w:rsidP="00FB21C0">
      <w:pPr>
        <w:pStyle w:val="IASBSectionTitle2Ind"/>
        <w:outlineLvl w:val="2"/>
      </w:pPr>
      <w:r w:rsidRPr="00662611">
        <w:lastRenderedPageBreak/>
        <w:t xml:space="preserve">Financial </w:t>
      </w:r>
      <w:r w:rsidR="002E3262" w:rsidRPr="00662611">
        <w:t>l</w:t>
      </w:r>
      <w:r w:rsidRPr="00662611">
        <w:t xml:space="preserve">iability </w:t>
      </w:r>
      <w:r w:rsidR="002E3262" w:rsidRPr="00662611">
        <w:t>m</w:t>
      </w:r>
      <w:r w:rsidRPr="00662611">
        <w:t>odel</w:t>
      </w:r>
    </w:p>
    <w:p w14:paraId="7D9272A4" w14:textId="77777777" w:rsidR="00DC1D6E" w:rsidRPr="00662611" w:rsidRDefault="00DC1D6E" w:rsidP="003102C2">
      <w:pPr>
        <w:pStyle w:val="NumAG1"/>
        <w:ind w:left="784" w:hanging="784"/>
        <w:rPr>
          <w:szCs w:val="19"/>
        </w:rPr>
      </w:pPr>
      <w:bookmarkStart w:id="85" w:name="_Ref468378758"/>
      <w:r w:rsidRPr="00662611">
        <w:rPr>
          <w:szCs w:val="19"/>
        </w:rPr>
        <w:t>When the grantor has a contractual obligation to make a predetermined series of payments to the operator, the liability is a financial liability as defined in AASB 9. The grantor has a contractual obligation if it has little, if any, discretion to avoid the obligation</w:t>
      </w:r>
      <w:r w:rsidR="00D24823" w:rsidRPr="00662611">
        <w:rPr>
          <w:szCs w:val="19"/>
        </w:rPr>
        <w:t>, which is</w:t>
      </w:r>
      <w:r w:rsidRPr="00662611">
        <w:rPr>
          <w:szCs w:val="19"/>
        </w:rPr>
        <w:t xml:space="preserve"> usually</w:t>
      </w:r>
      <w:r w:rsidR="00D24823" w:rsidRPr="00662611">
        <w:rPr>
          <w:szCs w:val="19"/>
        </w:rPr>
        <w:t xml:space="preserve"> the case</w:t>
      </w:r>
      <w:r w:rsidRPr="00662611">
        <w:rPr>
          <w:szCs w:val="19"/>
        </w:rPr>
        <w:t xml:space="preserve"> because </w:t>
      </w:r>
      <w:r w:rsidR="00D24823" w:rsidRPr="00662611">
        <w:rPr>
          <w:szCs w:val="19"/>
        </w:rPr>
        <w:t xml:space="preserve">a </w:t>
      </w:r>
      <w:r w:rsidRPr="00662611">
        <w:rPr>
          <w:szCs w:val="19"/>
        </w:rPr>
        <w:t xml:space="preserve">contract with </w:t>
      </w:r>
      <w:r w:rsidR="00D24823" w:rsidRPr="00662611">
        <w:rPr>
          <w:szCs w:val="19"/>
        </w:rPr>
        <w:t xml:space="preserve">an </w:t>
      </w:r>
      <w:r w:rsidRPr="00662611">
        <w:rPr>
          <w:szCs w:val="19"/>
        </w:rPr>
        <w:t xml:space="preserve">operator </w:t>
      </w:r>
      <w:r w:rsidR="00E83698" w:rsidRPr="00662611">
        <w:rPr>
          <w:szCs w:val="19"/>
        </w:rPr>
        <w:t xml:space="preserve">normally </w:t>
      </w:r>
      <w:r w:rsidRPr="00662611">
        <w:rPr>
          <w:szCs w:val="19"/>
        </w:rPr>
        <w:t>is enforceable by law.</w:t>
      </w:r>
      <w:bookmarkEnd w:id="85"/>
      <w:r w:rsidR="00516ED8" w:rsidRPr="00662611">
        <w:rPr>
          <w:szCs w:val="19"/>
        </w:rPr>
        <w:t xml:space="preserve"> For example, when an arrangement involves the grantor making payments to the operator for third-party usage of the service concession asset, the grantor accounts for the liability in the arrang</w:t>
      </w:r>
      <w:r w:rsidR="00495E0B" w:rsidRPr="00662611">
        <w:rPr>
          <w:szCs w:val="19"/>
        </w:rPr>
        <w:t>ement as a financial liability</w:t>
      </w:r>
      <w:r w:rsidR="00036DDD" w:rsidRPr="00662611">
        <w:rPr>
          <w:szCs w:val="19"/>
        </w:rPr>
        <w:t>, regardless of whether the grantor has contractually agreed to provide a minimum guaranteed amount to the operator</w:t>
      </w:r>
      <w:r w:rsidR="00495E0B" w:rsidRPr="00662611">
        <w:rPr>
          <w:szCs w:val="19"/>
        </w:rPr>
        <w:t>.</w:t>
      </w:r>
    </w:p>
    <w:p w14:paraId="7D9272A5" w14:textId="77777777" w:rsidR="00D0188B" w:rsidRPr="00662611" w:rsidRDefault="008E1A1B" w:rsidP="009D648F">
      <w:pPr>
        <w:pStyle w:val="IASBSectionTitle3Ind"/>
      </w:pPr>
      <w:r w:rsidRPr="00662611">
        <w:t>Initial measurement</w:t>
      </w:r>
    </w:p>
    <w:p w14:paraId="7D9272A6" w14:textId="56DD740E" w:rsidR="00DC1D6E" w:rsidRPr="00662611" w:rsidRDefault="00DC1D6E" w:rsidP="003102C2">
      <w:pPr>
        <w:pStyle w:val="NumAG1"/>
        <w:ind w:left="784" w:hanging="784"/>
        <w:rPr>
          <w:szCs w:val="19"/>
        </w:rPr>
      </w:pPr>
      <w:bookmarkStart w:id="86" w:name="_Ref475631685"/>
      <w:bookmarkStart w:id="87" w:name="_Ref475630638"/>
      <w:r w:rsidRPr="00662611">
        <w:rPr>
          <w:szCs w:val="19"/>
        </w:rPr>
        <w:t xml:space="preserve">When the grantor provides compensation to the operator for the cost of the service concession asset and service provision in the form of a predetermined </w:t>
      </w:r>
      <w:r w:rsidR="00FB0E64">
        <w:rPr>
          <w:szCs w:val="19"/>
        </w:rPr>
        <w:t xml:space="preserve">payment or </w:t>
      </w:r>
      <w:r w:rsidRPr="00662611">
        <w:rPr>
          <w:szCs w:val="19"/>
        </w:rPr>
        <w:t>series of payments, an amount reflecting the fair value</w:t>
      </w:r>
      <w:r w:rsidR="00864BF2" w:rsidRPr="00662611">
        <w:rPr>
          <w:szCs w:val="19"/>
        </w:rPr>
        <w:t xml:space="preserve"> (current replacement cost)</w:t>
      </w:r>
      <w:r w:rsidRPr="00662611">
        <w:rPr>
          <w:szCs w:val="19"/>
        </w:rPr>
        <w:t xml:space="preserve"> of the service concession asset is recognised as a liability in accordance with paragraph </w:t>
      </w:r>
      <w:r w:rsidR="00726BAE" w:rsidRPr="00662611">
        <w:rPr>
          <w:szCs w:val="19"/>
        </w:rPr>
        <w:fldChar w:fldCharType="begin"/>
      </w:r>
      <w:r w:rsidR="00726BAE" w:rsidRPr="00662611">
        <w:rPr>
          <w:szCs w:val="19"/>
        </w:rPr>
        <w:instrText xml:space="preserve"> REF _Ref475620374 \r \h </w:instrText>
      </w:r>
      <w:r w:rsidR="00726BAE" w:rsidRPr="00662611">
        <w:rPr>
          <w:szCs w:val="19"/>
        </w:rPr>
      </w:r>
      <w:r w:rsidR="00726BAE" w:rsidRPr="00662611">
        <w:rPr>
          <w:szCs w:val="19"/>
        </w:rPr>
        <w:fldChar w:fldCharType="separate"/>
      </w:r>
      <w:r w:rsidR="00C43128">
        <w:rPr>
          <w:szCs w:val="19"/>
        </w:rPr>
        <w:t>11</w:t>
      </w:r>
      <w:r w:rsidR="00726BAE" w:rsidRPr="00662611">
        <w:rPr>
          <w:szCs w:val="19"/>
        </w:rPr>
        <w:fldChar w:fldCharType="end"/>
      </w:r>
      <w:r w:rsidRPr="00662611">
        <w:rPr>
          <w:szCs w:val="19"/>
        </w:rPr>
        <w:t>.</w:t>
      </w:r>
      <w:r w:rsidR="00306B84" w:rsidRPr="00662611">
        <w:rPr>
          <w:szCs w:val="19"/>
        </w:rPr>
        <w:t xml:space="preserve"> </w:t>
      </w:r>
      <w:r w:rsidR="009A18F2" w:rsidRPr="00662611">
        <w:rPr>
          <w:szCs w:val="19"/>
        </w:rPr>
        <w:t xml:space="preserve">The grantor shall use the contractually specified interest rate in the arrangement </w:t>
      </w:r>
      <w:r w:rsidR="009A18F2" w:rsidRPr="00662611" w:rsidDel="00E8647A">
        <w:rPr>
          <w:szCs w:val="19"/>
        </w:rPr>
        <w:t xml:space="preserve">to </w:t>
      </w:r>
      <w:r w:rsidR="009A18F2" w:rsidRPr="00662611">
        <w:t>initially</w:t>
      </w:r>
      <w:r w:rsidR="009A18F2" w:rsidRPr="00662611">
        <w:rPr>
          <w:szCs w:val="19"/>
        </w:rPr>
        <w:t xml:space="preserve"> measur</w:t>
      </w:r>
      <w:r w:rsidR="009A18F2" w:rsidRPr="00662611" w:rsidDel="00E8647A">
        <w:rPr>
          <w:szCs w:val="19"/>
        </w:rPr>
        <w:t>e</w:t>
      </w:r>
      <w:r w:rsidR="009A18F2" w:rsidRPr="00662611">
        <w:rPr>
          <w:szCs w:val="19"/>
        </w:rPr>
        <w:t xml:space="preserve"> the financial liability </w:t>
      </w:r>
      <w:r w:rsidR="00447EDF" w:rsidRPr="00662611">
        <w:rPr>
          <w:szCs w:val="19"/>
        </w:rPr>
        <w:t>component of a hybrid arrangement</w:t>
      </w:r>
      <w:r w:rsidR="009A18F2" w:rsidRPr="00662611">
        <w:rPr>
          <w:szCs w:val="19"/>
        </w:rPr>
        <w:t xml:space="preserve"> in accordance with AASB 9. If it is not practicable to determine </w:t>
      </w:r>
      <w:r w:rsidR="003D2653" w:rsidRPr="00662611">
        <w:rPr>
          <w:szCs w:val="19"/>
        </w:rPr>
        <w:t xml:space="preserve">the contractually specified interest </w:t>
      </w:r>
      <w:r w:rsidR="009A18F2" w:rsidRPr="00662611">
        <w:rPr>
          <w:szCs w:val="19"/>
        </w:rPr>
        <w:t xml:space="preserve">rate, the grantor shall </w:t>
      </w:r>
      <w:r w:rsidR="009A18F2" w:rsidRPr="00662611" w:rsidDel="007660C1">
        <w:rPr>
          <w:szCs w:val="19"/>
        </w:rPr>
        <w:t xml:space="preserve">determine an appropriate rate using </w:t>
      </w:r>
      <w:r w:rsidR="009A18F2" w:rsidRPr="00662611">
        <w:rPr>
          <w:szCs w:val="19"/>
        </w:rPr>
        <w:t xml:space="preserve">the prevailing market rate(s) </w:t>
      </w:r>
      <w:r w:rsidR="009A18F2" w:rsidRPr="00662611" w:rsidDel="007660C1">
        <w:rPr>
          <w:szCs w:val="19"/>
        </w:rPr>
        <w:t xml:space="preserve">of interest </w:t>
      </w:r>
      <w:r w:rsidR="009A18F2" w:rsidRPr="00662611">
        <w:rPr>
          <w:szCs w:val="19"/>
        </w:rPr>
        <w:t xml:space="preserve">for a similar instrument with a similar credit rating. Examples of rates </w:t>
      </w:r>
      <w:r w:rsidR="00447EDF" w:rsidRPr="00662611">
        <w:rPr>
          <w:szCs w:val="19"/>
        </w:rPr>
        <w:t>for a similar instrument</w:t>
      </w:r>
      <w:r w:rsidR="009A18F2" w:rsidRPr="00662611" w:rsidDel="007660C1">
        <w:rPr>
          <w:szCs w:val="19"/>
        </w:rPr>
        <w:t xml:space="preserve"> </w:t>
      </w:r>
      <w:r w:rsidR="009A18F2" w:rsidRPr="00662611">
        <w:rPr>
          <w:szCs w:val="19"/>
        </w:rPr>
        <w:t>include</w:t>
      </w:r>
      <w:r w:rsidR="009A18F2" w:rsidRPr="00662611" w:rsidDel="00903524">
        <w:rPr>
          <w:szCs w:val="19"/>
        </w:rPr>
        <w:t xml:space="preserve"> </w:t>
      </w:r>
      <w:r w:rsidR="009A18F2" w:rsidRPr="00662611">
        <w:rPr>
          <w:szCs w:val="19"/>
        </w:rPr>
        <w:t>the operator’s cost of capital specific to the service concession asset, the grantor’s incremental borrowing rate, or another rate appropriate to the terms and conditions of the arrangement.</w:t>
      </w:r>
      <w:bookmarkEnd w:id="86"/>
      <w:bookmarkEnd w:id="87"/>
    </w:p>
    <w:p w14:paraId="7D9272A7" w14:textId="77777777" w:rsidR="009D648F" w:rsidRPr="00662611" w:rsidRDefault="009D648F" w:rsidP="009D648F">
      <w:pPr>
        <w:pStyle w:val="IASBSectionTitle3Ind"/>
      </w:pPr>
      <w:r w:rsidRPr="00662611">
        <w:t>Subsequent measurement</w:t>
      </w:r>
    </w:p>
    <w:p w14:paraId="7D9272A8" w14:textId="517640D1" w:rsidR="000E7196" w:rsidRPr="00662611" w:rsidRDefault="000E7196" w:rsidP="003102C2">
      <w:pPr>
        <w:pStyle w:val="NumAG1"/>
        <w:ind w:left="784" w:hanging="784"/>
        <w:rPr>
          <w:szCs w:val="19"/>
        </w:rPr>
      </w:pPr>
      <w:r w:rsidRPr="00662611">
        <w:rPr>
          <w:szCs w:val="19"/>
        </w:rPr>
        <w:t>After initial recognition</w:t>
      </w:r>
      <w:r w:rsidR="00941515" w:rsidRPr="00662611">
        <w:rPr>
          <w:szCs w:val="19"/>
        </w:rPr>
        <w:t>, the grantor applies AASB 9 to the subsequent measurement</w:t>
      </w:r>
      <w:r w:rsidR="00374033" w:rsidRPr="00662611">
        <w:rPr>
          <w:szCs w:val="19"/>
        </w:rPr>
        <w:t xml:space="preserve"> of a financial liability</w:t>
      </w:r>
      <w:r w:rsidRPr="00662611">
        <w:rPr>
          <w:szCs w:val="19"/>
        </w:rPr>
        <w:t>.</w:t>
      </w:r>
      <w:r w:rsidR="00E8058D" w:rsidRPr="00662611">
        <w:rPr>
          <w:szCs w:val="19"/>
        </w:rPr>
        <w:t xml:space="preserve"> </w:t>
      </w:r>
      <w:r w:rsidR="00094CA7" w:rsidRPr="00662611">
        <w:rPr>
          <w:szCs w:val="19"/>
        </w:rPr>
        <w:t xml:space="preserve">For example, when the financial liability is measured at amortised cost and </w:t>
      </w:r>
      <w:r w:rsidR="001D7C81" w:rsidRPr="00662611">
        <w:rPr>
          <w:szCs w:val="19"/>
        </w:rPr>
        <w:t>there is a d</w:t>
      </w:r>
      <w:r w:rsidR="00E8058D" w:rsidRPr="00662611">
        <w:rPr>
          <w:szCs w:val="19"/>
        </w:rPr>
        <w:t xml:space="preserve">ifference between the </w:t>
      </w:r>
      <w:r w:rsidR="004A5181" w:rsidRPr="00662611">
        <w:rPr>
          <w:szCs w:val="19"/>
        </w:rPr>
        <w:t xml:space="preserve">expected </w:t>
      </w:r>
      <w:r w:rsidR="00D81F5B" w:rsidRPr="00662611">
        <w:rPr>
          <w:szCs w:val="19"/>
        </w:rPr>
        <w:t xml:space="preserve">payments </w:t>
      </w:r>
      <w:r w:rsidR="00E8058D" w:rsidRPr="00662611">
        <w:rPr>
          <w:szCs w:val="19"/>
        </w:rPr>
        <w:t>and the actual payment</w:t>
      </w:r>
      <w:r w:rsidR="00780C47" w:rsidRPr="00662611">
        <w:rPr>
          <w:szCs w:val="19"/>
        </w:rPr>
        <w:t>s</w:t>
      </w:r>
      <w:r w:rsidR="00E8058D" w:rsidRPr="00662611">
        <w:rPr>
          <w:szCs w:val="19"/>
        </w:rPr>
        <w:t xml:space="preserve"> by the grantor to the </w:t>
      </w:r>
      <w:r w:rsidR="001D7C81" w:rsidRPr="00662611">
        <w:rPr>
          <w:szCs w:val="19"/>
        </w:rPr>
        <w:t xml:space="preserve">operator </w:t>
      </w:r>
      <w:r w:rsidR="00E8058D" w:rsidRPr="00662611">
        <w:rPr>
          <w:szCs w:val="19"/>
        </w:rPr>
        <w:t>based</w:t>
      </w:r>
      <w:r w:rsidR="001D7C81" w:rsidRPr="00662611">
        <w:rPr>
          <w:szCs w:val="19"/>
        </w:rPr>
        <w:t xml:space="preserve"> </w:t>
      </w:r>
      <w:r w:rsidR="00E8058D" w:rsidRPr="00662611">
        <w:rPr>
          <w:szCs w:val="19"/>
        </w:rPr>
        <w:t>on third-party usage</w:t>
      </w:r>
      <w:r w:rsidR="001D7C81" w:rsidRPr="00662611">
        <w:rPr>
          <w:szCs w:val="19"/>
        </w:rPr>
        <w:t xml:space="preserve"> </w:t>
      </w:r>
      <w:r w:rsidR="00E8058D" w:rsidRPr="00662611">
        <w:rPr>
          <w:szCs w:val="19"/>
        </w:rPr>
        <w:t>of</w:t>
      </w:r>
      <w:r w:rsidR="001D7C81" w:rsidRPr="00662611">
        <w:rPr>
          <w:szCs w:val="19"/>
        </w:rPr>
        <w:t xml:space="preserve"> </w:t>
      </w:r>
      <w:r w:rsidR="00E8058D" w:rsidRPr="00662611">
        <w:rPr>
          <w:szCs w:val="19"/>
        </w:rPr>
        <w:t xml:space="preserve">the </w:t>
      </w:r>
      <w:r w:rsidR="00094CA7" w:rsidRPr="00662611">
        <w:rPr>
          <w:szCs w:val="19"/>
        </w:rPr>
        <w:t xml:space="preserve">service concession </w:t>
      </w:r>
      <w:r w:rsidR="00E8058D" w:rsidRPr="00662611">
        <w:rPr>
          <w:szCs w:val="19"/>
        </w:rPr>
        <w:t>asset,</w:t>
      </w:r>
      <w:r w:rsidR="00094CA7" w:rsidRPr="00662611">
        <w:rPr>
          <w:szCs w:val="19"/>
        </w:rPr>
        <w:t xml:space="preserve"> the amortised cost is recalculated based on revised estimated cash flows discounted at the original effective interest rate</w:t>
      </w:r>
      <w:r w:rsidR="00E8058D" w:rsidRPr="00662611">
        <w:rPr>
          <w:szCs w:val="19"/>
        </w:rPr>
        <w:t>.</w:t>
      </w:r>
      <w:r w:rsidR="00094CA7" w:rsidRPr="00662611">
        <w:rPr>
          <w:szCs w:val="19"/>
        </w:rPr>
        <w:t xml:space="preserve"> The adjustment is recognised in profit or loss as income or expense.</w:t>
      </w:r>
    </w:p>
    <w:p w14:paraId="7D9272A9" w14:textId="77777777" w:rsidR="00DC1D6E" w:rsidRPr="00662611" w:rsidRDefault="000F4767" w:rsidP="003102C2">
      <w:pPr>
        <w:pStyle w:val="NumAG1"/>
        <w:ind w:left="784" w:hanging="784"/>
        <w:rPr>
          <w:szCs w:val="19"/>
        </w:rPr>
      </w:pPr>
      <w:r w:rsidRPr="00662611">
        <w:rPr>
          <w:szCs w:val="19"/>
        </w:rPr>
        <w:t xml:space="preserve">When </w:t>
      </w:r>
      <w:r w:rsidR="00DC1D6E" w:rsidRPr="00662611">
        <w:rPr>
          <w:szCs w:val="19"/>
        </w:rPr>
        <w:t>the grantor makes any payments to the operator in advance of the service concession asset being recognised, the grantor accounts for those payments as prepayments.</w:t>
      </w:r>
    </w:p>
    <w:p w14:paraId="7D9272AA" w14:textId="77777777" w:rsidR="00B3735F" w:rsidRPr="00662611" w:rsidRDefault="00A721F9" w:rsidP="003102C2">
      <w:pPr>
        <w:pStyle w:val="NumAG1"/>
        <w:ind w:left="784" w:hanging="784"/>
        <w:rPr>
          <w:szCs w:val="19"/>
        </w:rPr>
      </w:pPr>
      <w:bookmarkStart w:id="88" w:name="_Ref475631766"/>
      <w:r w:rsidRPr="00662611">
        <w:rPr>
          <w:szCs w:val="19"/>
        </w:rPr>
        <w:t xml:space="preserve">When </w:t>
      </w:r>
      <w:r w:rsidR="00085613" w:rsidRPr="00662611">
        <w:rPr>
          <w:szCs w:val="19"/>
        </w:rPr>
        <w:t>the financial liability is subsequently measured at amortised cost</w:t>
      </w:r>
      <w:r w:rsidRPr="00662611">
        <w:rPr>
          <w:szCs w:val="19"/>
        </w:rPr>
        <w:t xml:space="preserve"> in accordance with AASB 9</w:t>
      </w:r>
      <w:r w:rsidR="002E4D36" w:rsidRPr="00662611">
        <w:rPr>
          <w:szCs w:val="19"/>
        </w:rPr>
        <w:t>,</w:t>
      </w:r>
      <w:r w:rsidR="00085613" w:rsidRPr="00662611">
        <w:rPr>
          <w:szCs w:val="19"/>
        </w:rPr>
        <w:t xml:space="preserve"> t</w:t>
      </w:r>
      <w:r w:rsidR="00B3735F" w:rsidRPr="00662611">
        <w:rPr>
          <w:szCs w:val="19"/>
        </w:rPr>
        <w:t xml:space="preserve">he finance charge is determined based on the effective interest method. </w:t>
      </w:r>
      <w:r w:rsidRPr="00662611">
        <w:rPr>
          <w:szCs w:val="19"/>
        </w:rPr>
        <w:t xml:space="preserve">When the </w:t>
      </w:r>
      <w:r w:rsidR="00B3735F" w:rsidRPr="00662611">
        <w:rPr>
          <w:szCs w:val="19"/>
        </w:rPr>
        <w:t xml:space="preserve">financial liability is subsequently measured </w:t>
      </w:r>
      <w:r w:rsidR="009E18E3" w:rsidRPr="00662611">
        <w:rPr>
          <w:szCs w:val="19"/>
        </w:rPr>
        <w:t xml:space="preserve">at </w:t>
      </w:r>
      <w:r w:rsidR="00B3735F" w:rsidRPr="00662611">
        <w:rPr>
          <w:szCs w:val="19"/>
        </w:rPr>
        <w:t>fair value through profit or loss</w:t>
      </w:r>
      <w:r w:rsidRPr="00662611">
        <w:rPr>
          <w:szCs w:val="19"/>
        </w:rPr>
        <w:t>,</w:t>
      </w:r>
      <w:r w:rsidR="003E2E37" w:rsidRPr="00662611">
        <w:rPr>
          <w:szCs w:val="19"/>
        </w:rPr>
        <w:t xml:space="preserve"> </w:t>
      </w:r>
      <w:r w:rsidR="00B3735F" w:rsidRPr="00662611">
        <w:rPr>
          <w:szCs w:val="19"/>
        </w:rPr>
        <w:t xml:space="preserve">AASB 9 requires the </w:t>
      </w:r>
      <w:r w:rsidR="003E2E37" w:rsidRPr="00662611">
        <w:rPr>
          <w:szCs w:val="19"/>
        </w:rPr>
        <w:t xml:space="preserve">fair value movements </w:t>
      </w:r>
      <w:r w:rsidR="00B3735F" w:rsidRPr="00662611">
        <w:rPr>
          <w:szCs w:val="19"/>
        </w:rPr>
        <w:t xml:space="preserve">in the financial liability to be </w:t>
      </w:r>
      <w:r w:rsidR="00312E8E" w:rsidRPr="00662611">
        <w:rPr>
          <w:szCs w:val="19"/>
        </w:rPr>
        <w:t>recognised</w:t>
      </w:r>
      <w:r w:rsidR="00B3735F" w:rsidRPr="00662611">
        <w:rPr>
          <w:szCs w:val="19"/>
        </w:rPr>
        <w:t xml:space="preserve"> as a gain or loss in profit or loss.</w:t>
      </w:r>
      <w:bookmarkEnd w:id="88"/>
    </w:p>
    <w:p w14:paraId="7D9272AB" w14:textId="77777777" w:rsidR="00DC1D6E" w:rsidRPr="00662611" w:rsidRDefault="00DC1D6E" w:rsidP="003102C2">
      <w:pPr>
        <w:pStyle w:val="NumAG1"/>
        <w:ind w:left="784" w:hanging="784"/>
        <w:rPr>
          <w:szCs w:val="19"/>
        </w:rPr>
      </w:pPr>
      <w:r w:rsidRPr="00662611">
        <w:rPr>
          <w:szCs w:val="19"/>
        </w:rPr>
        <w:t xml:space="preserve">The finance charge </w:t>
      </w:r>
      <w:r w:rsidR="00F9468C" w:rsidRPr="00662611">
        <w:rPr>
          <w:szCs w:val="19"/>
        </w:rPr>
        <w:t xml:space="preserve">(if any) </w:t>
      </w:r>
      <w:r w:rsidRPr="00662611">
        <w:rPr>
          <w:szCs w:val="19"/>
        </w:rPr>
        <w:t xml:space="preserve">related to the liability in a service concession arrangement is presented consistently with other finance charges in accordance with AASB 101 </w:t>
      </w:r>
      <w:r w:rsidR="006F010D" w:rsidRPr="00662611">
        <w:rPr>
          <w:i/>
          <w:szCs w:val="19"/>
        </w:rPr>
        <w:t>Presentation of Financial State</w:t>
      </w:r>
      <w:r w:rsidRPr="00662611">
        <w:rPr>
          <w:i/>
          <w:szCs w:val="19"/>
        </w:rPr>
        <w:t>ments</w:t>
      </w:r>
      <w:r w:rsidR="00C508F0" w:rsidRPr="00662611">
        <w:rPr>
          <w:szCs w:val="19"/>
        </w:rPr>
        <w:t>,</w:t>
      </w:r>
      <w:r w:rsidRPr="00662611">
        <w:rPr>
          <w:szCs w:val="19"/>
        </w:rPr>
        <w:t xml:space="preserve"> AASB 123 </w:t>
      </w:r>
      <w:r w:rsidRPr="00662611">
        <w:rPr>
          <w:i/>
          <w:szCs w:val="19"/>
        </w:rPr>
        <w:t>Borrowing Costs</w:t>
      </w:r>
      <w:r w:rsidR="00C508F0" w:rsidRPr="00662611">
        <w:rPr>
          <w:szCs w:val="19"/>
        </w:rPr>
        <w:t xml:space="preserve"> and AASB 7</w:t>
      </w:r>
      <w:r w:rsidR="00C508F0" w:rsidRPr="00662611">
        <w:rPr>
          <w:i/>
          <w:szCs w:val="19"/>
        </w:rPr>
        <w:t xml:space="preserve"> Financial Instruments: Disclosures</w:t>
      </w:r>
      <w:r w:rsidRPr="00662611">
        <w:rPr>
          <w:szCs w:val="19"/>
        </w:rPr>
        <w:t>.</w:t>
      </w:r>
    </w:p>
    <w:p w14:paraId="7D9272AC" w14:textId="42E72CD0" w:rsidR="005671B2" w:rsidRPr="00662611" w:rsidRDefault="001C7887" w:rsidP="003102C2">
      <w:pPr>
        <w:pStyle w:val="NumAG1"/>
        <w:ind w:left="784" w:hanging="784"/>
        <w:rPr>
          <w:szCs w:val="19"/>
        </w:rPr>
      </w:pPr>
      <w:r w:rsidRPr="00662611">
        <w:rPr>
          <w:szCs w:val="19"/>
        </w:rPr>
        <w:t xml:space="preserve">The financial liability does not include the grantor’s payments to the operator for service components </w:t>
      </w:r>
      <w:r w:rsidR="007F2DA7" w:rsidRPr="00662611">
        <w:rPr>
          <w:szCs w:val="19"/>
        </w:rPr>
        <w:t xml:space="preserve">identified </w:t>
      </w:r>
      <w:r w:rsidRPr="00662611">
        <w:rPr>
          <w:szCs w:val="19"/>
        </w:rPr>
        <w:t>in paragraph </w:t>
      </w:r>
      <w:r w:rsidR="00726BAE" w:rsidRPr="00662611">
        <w:rPr>
          <w:szCs w:val="19"/>
        </w:rPr>
        <w:fldChar w:fldCharType="begin"/>
      </w:r>
      <w:r w:rsidR="00726BAE" w:rsidRPr="00662611">
        <w:rPr>
          <w:szCs w:val="19"/>
        </w:rPr>
        <w:instrText xml:space="preserve"> REF _Ref475620528 \r \h </w:instrText>
      </w:r>
      <w:r w:rsidR="00726BAE" w:rsidRPr="00662611">
        <w:rPr>
          <w:szCs w:val="19"/>
        </w:rPr>
      </w:r>
      <w:r w:rsidR="00726BAE" w:rsidRPr="00662611">
        <w:rPr>
          <w:szCs w:val="19"/>
        </w:rPr>
        <w:fldChar w:fldCharType="separate"/>
      </w:r>
      <w:r w:rsidR="00C43128">
        <w:rPr>
          <w:szCs w:val="19"/>
        </w:rPr>
        <w:t>18</w:t>
      </w:r>
      <w:r w:rsidR="00726BAE" w:rsidRPr="00662611">
        <w:rPr>
          <w:szCs w:val="19"/>
        </w:rPr>
        <w:fldChar w:fldCharType="end"/>
      </w:r>
      <w:r w:rsidRPr="00662611">
        <w:rPr>
          <w:szCs w:val="19"/>
        </w:rPr>
        <w:t xml:space="preserve">. </w:t>
      </w:r>
      <w:r w:rsidR="005671B2" w:rsidRPr="00662611">
        <w:rPr>
          <w:szCs w:val="19"/>
        </w:rPr>
        <w:t xml:space="preserve">The service component of payments is </w:t>
      </w:r>
      <w:r w:rsidR="00A721F9" w:rsidRPr="00662611">
        <w:rPr>
          <w:szCs w:val="19"/>
        </w:rPr>
        <w:t>normally</w:t>
      </w:r>
      <w:r w:rsidR="005671B2" w:rsidRPr="00662611">
        <w:rPr>
          <w:szCs w:val="19"/>
        </w:rPr>
        <w:t xml:space="preserve"> recognised as expenses </w:t>
      </w:r>
      <w:r w:rsidR="00E83698" w:rsidRPr="00662611">
        <w:rPr>
          <w:szCs w:val="19"/>
        </w:rPr>
        <w:t>(</w:t>
      </w:r>
      <w:r w:rsidR="005671B2" w:rsidRPr="00662611">
        <w:rPr>
          <w:szCs w:val="19"/>
        </w:rPr>
        <w:t xml:space="preserve">and </w:t>
      </w:r>
      <w:r w:rsidR="00E83698" w:rsidRPr="00662611">
        <w:rPr>
          <w:szCs w:val="19"/>
        </w:rPr>
        <w:t xml:space="preserve">as </w:t>
      </w:r>
      <w:r w:rsidR="005671B2" w:rsidRPr="00662611">
        <w:rPr>
          <w:szCs w:val="19"/>
        </w:rPr>
        <w:t>liabilities</w:t>
      </w:r>
      <w:r w:rsidR="009649AC" w:rsidRPr="00662611">
        <w:rPr>
          <w:szCs w:val="19"/>
        </w:rPr>
        <w:t xml:space="preserve"> prior to payment)</w:t>
      </w:r>
      <w:r w:rsidR="005671B2" w:rsidRPr="00662611">
        <w:rPr>
          <w:szCs w:val="19"/>
        </w:rPr>
        <w:t xml:space="preserve"> as the services are provided.</w:t>
      </w:r>
    </w:p>
    <w:p w14:paraId="7D9272AD" w14:textId="77777777" w:rsidR="005671B2" w:rsidRPr="00662611" w:rsidRDefault="005671B2" w:rsidP="00FB21C0">
      <w:pPr>
        <w:pStyle w:val="IASBSectionTitle2Ind"/>
        <w:outlineLvl w:val="2"/>
      </w:pPr>
      <w:r w:rsidRPr="00662611">
        <w:t xml:space="preserve">Grant of a </w:t>
      </w:r>
      <w:r w:rsidR="002E3262" w:rsidRPr="00662611">
        <w:t>r</w:t>
      </w:r>
      <w:r w:rsidRPr="00662611">
        <w:t xml:space="preserve">ight to the </w:t>
      </w:r>
      <w:r w:rsidR="002E3262" w:rsidRPr="00662611">
        <w:t>o</w:t>
      </w:r>
      <w:r w:rsidRPr="00662611">
        <w:t xml:space="preserve">perator </w:t>
      </w:r>
      <w:r w:rsidR="002E3262" w:rsidRPr="00662611">
        <w:t>m</w:t>
      </w:r>
      <w:r w:rsidRPr="00662611">
        <w:t xml:space="preserve">odel </w:t>
      </w:r>
    </w:p>
    <w:p w14:paraId="7D9272AE" w14:textId="77777777" w:rsidR="005671B2" w:rsidRPr="00662611" w:rsidRDefault="00C62CB0" w:rsidP="003102C2">
      <w:pPr>
        <w:pStyle w:val="NumAG1"/>
        <w:ind w:left="784" w:hanging="784"/>
        <w:rPr>
          <w:szCs w:val="19"/>
        </w:rPr>
      </w:pPr>
      <w:bookmarkStart w:id="89" w:name="_Ref475694362"/>
      <w:r w:rsidRPr="00662611">
        <w:rPr>
          <w:szCs w:val="19"/>
        </w:rPr>
        <w:t xml:space="preserve">Under the grant of </w:t>
      </w:r>
      <w:r w:rsidR="00A42E3C" w:rsidRPr="00662611">
        <w:rPr>
          <w:szCs w:val="19"/>
        </w:rPr>
        <w:t>a</w:t>
      </w:r>
      <w:r w:rsidRPr="00662611">
        <w:rPr>
          <w:szCs w:val="19"/>
        </w:rPr>
        <w:t xml:space="preserve"> right to the operator model, </w:t>
      </w:r>
      <w:r w:rsidR="005671B2" w:rsidRPr="00662611">
        <w:rPr>
          <w:szCs w:val="19"/>
        </w:rPr>
        <w:t>the grantor compensates the operator for the service concession asset and service provision by granting the operator the right to earn revenue from third-party users of the service concession asset.</w:t>
      </w:r>
      <w:bookmarkEnd w:id="89"/>
      <w:r w:rsidR="005671B2" w:rsidRPr="00662611">
        <w:rPr>
          <w:szCs w:val="19"/>
        </w:rPr>
        <w:t xml:space="preserve"> </w:t>
      </w:r>
    </w:p>
    <w:p w14:paraId="7D9272AF" w14:textId="6CC220D9" w:rsidR="005671B2" w:rsidRPr="00662611" w:rsidRDefault="005671B2" w:rsidP="003102C2">
      <w:pPr>
        <w:pStyle w:val="NumAG1"/>
        <w:ind w:left="784" w:hanging="784"/>
        <w:rPr>
          <w:szCs w:val="19"/>
        </w:rPr>
      </w:pPr>
      <w:bookmarkStart w:id="90" w:name="_Ref475620604"/>
      <w:r w:rsidRPr="00662611">
        <w:rPr>
          <w:szCs w:val="19"/>
        </w:rPr>
        <w:t>Revenue is not recognised immediately</w:t>
      </w:r>
      <w:r w:rsidR="009649AC" w:rsidRPr="00662611">
        <w:rPr>
          <w:szCs w:val="19"/>
        </w:rPr>
        <w:t xml:space="preserve"> by the grantor</w:t>
      </w:r>
      <w:r w:rsidR="004D0552" w:rsidRPr="00662611">
        <w:rPr>
          <w:szCs w:val="19"/>
        </w:rPr>
        <w:t xml:space="preserve"> at the inception of the service concession arrangement</w:t>
      </w:r>
      <w:r w:rsidRPr="00662611">
        <w:rPr>
          <w:szCs w:val="19"/>
        </w:rPr>
        <w:t xml:space="preserve">. Instead, a liability is recognised </w:t>
      </w:r>
      <w:r w:rsidR="00251B1A" w:rsidRPr="00662611">
        <w:rPr>
          <w:szCs w:val="19"/>
        </w:rPr>
        <w:t xml:space="preserve">(as noted in paragraph </w:t>
      </w:r>
      <w:r w:rsidR="00726BAE" w:rsidRPr="00662611">
        <w:rPr>
          <w:szCs w:val="19"/>
        </w:rPr>
        <w:fldChar w:fldCharType="begin"/>
      </w:r>
      <w:r w:rsidR="00726BAE" w:rsidRPr="00662611">
        <w:rPr>
          <w:szCs w:val="19"/>
        </w:rPr>
        <w:instrText xml:space="preserve"> REF _Ref475620587 \r \h </w:instrText>
      </w:r>
      <w:r w:rsidR="00726BAE" w:rsidRPr="00662611">
        <w:rPr>
          <w:szCs w:val="19"/>
        </w:rPr>
      </w:r>
      <w:r w:rsidR="00726BAE" w:rsidRPr="00662611">
        <w:rPr>
          <w:szCs w:val="19"/>
        </w:rPr>
        <w:fldChar w:fldCharType="separate"/>
      </w:r>
      <w:r w:rsidR="00C43128">
        <w:rPr>
          <w:szCs w:val="19"/>
        </w:rPr>
        <w:t>21</w:t>
      </w:r>
      <w:r w:rsidR="00726BAE" w:rsidRPr="00662611">
        <w:rPr>
          <w:szCs w:val="19"/>
        </w:rPr>
        <w:fldChar w:fldCharType="end"/>
      </w:r>
      <w:r w:rsidR="00251B1A" w:rsidRPr="00662611">
        <w:rPr>
          <w:szCs w:val="19"/>
        </w:rPr>
        <w:t xml:space="preserve">) </w:t>
      </w:r>
      <w:r w:rsidR="0084482E" w:rsidRPr="00662611">
        <w:rPr>
          <w:szCs w:val="19"/>
        </w:rPr>
        <w:t xml:space="preserve">and </w:t>
      </w:r>
      <w:r w:rsidR="00CE262D" w:rsidRPr="00662611">
        <w:rPr>
          <w:szCs w:val="19"/>
        </w:rPr>
        <w:t xml:space="preserve">subsequently </w:t>
      </w:r>
      <w:r w:rsidR="0084482E" w:rsidRPr="00662611">
        <w:rPr>
          <w:szCs w:val="19"/>
        </w:rPr>
        <w:t>reduced as r</w:t>
      </w:r>
      <w:r w:rsidRPr="00662611">
        <w:rPr>
          <w:szCs w:val="19"/>
        </w:rPr>
        <w:t>evenue is recognised in accordance with paragraph </w:t>
      </w:r>
      <w:r w:rsidR="00726BAE" w:rsidRPr="00662611">
        <w:rPr>
          <w:szCs w:val="19"/>
        </w:rPr>
        <w:fldChar w:fldCharType="begin"/>
      </w:r>
      <w:r w:rsidR="00726BAE" w:rsidRPr="00662611">
        <w:rPr>
          <w:szCs w:val="19"/>
        </w:rPr>
        <w:instrText xml:space="preserve"> REF _Ref475631596 \r \h </w:instrText>
      </w:r>
      <w:r w:rsidR="00726BAE" w:rsidRPr="00662611">
        <w:rPr>
          <w:szCs w:val="19"/>
        </w:rPr>
      </w:r>
      <w:r w:rsidR="00726BAE" w:rsidRPr="00662611">
        <w:rPr>
          <w:szCs w:val="19"/>
        </w:rPr>
        <w:fldChar w:fldCharType="separate"/>
      </w:r>
      <w:r w:rsidR="00C43128">
        <w:rPr>
          <w:szCs w:val="19"/>
        </w:rPr>
        <w:t>22</w:t>
      </w:r>
      <w:r w:rsidR="00726BAE" w:rsidRPr="00662611">
        <w:rPr>
          <w:szCs w:val="19"/>
        </w:rPr>
        <w:fldChar w:fldCharType="end"/>
      </w:r>
      <w:r w:rsidRPr="00662611">
        <w:rPr>
          <w:szCs w:val="19"/>
        </w:rPr>
        <w:t xml:space="preserve"> based on the economic substance of the service concession arrangement</w:t>
      </w:r>
      <w:r w:rsidR="0084482E" w:rsidRPr="00662611">
        <w:rPr>
          <w:szCs w:val="19"/>
        </w:rPr>
        <w:t>.</w:t>
      </w:r>
      <w:r w:rsidRPr="00662611">
        <w:rPr>
          <w:szCs w:val="19"/>
        </w:rPr>
        <w:t xml:space="preserve"> </w:t>
      </w:r>
      <w:r w:rsidR="0084482E" w:rsidRPr="00662611">
        <w:rPr>
          <w:szCs w:val="19"/>
        </w:rPr>
        <w:t xml:space="preserve">Revenue is </w:t>
      </w:r>
      <w:r w:rsidRPr="00662611">
        <w:rPr>
          <w:szCs w:val="19"/>
        </w:rPr>
        <w:t xml:space="preserve">usually </w:t>
      </w:r>
      <w:r w:rsidR="0084482E" w:rsidRPr="00662611">
        <w:rPr>
          <w:szCs w:val="19"/>
        </w:rPr>
        <w:t xml:space="preserve">recognised </w:t>
      </w:r>
      <w:r w:rsidRPr="00662611">
        <w:rPr>
          <w:szCs w:val="19"/>
        </w:rPr>
        <w:t>as access to the service concession asset is provided to the operator over the term of the service concession arrangement. Paragraph</w:t>
      </w:r>
      <w:r w:rsidR="00A20B46" w:rsidRPr="00662611">
        <w:rPr>
          <w:szCs w:val="19"/>
        </w:rPr>
        <w:t xml:space="preserve"> </w:t>
      </w:r>
      <w:r w:rsidR="00A20B46" w:rsidRPr="00662611">
        <w:rPr>
          <w:szCs w:val="19"/>
        </w:rPr>
        <w:fldChar w:fldCharType="begin"/>
      </w:r>
      <w:r w:rsidR="00A20B46" w:rsidRPr="00662611">
        <w:rPr>
          <w:szCs w:val="19"/>
        </w:rPr>
        <w:instrText xml:space="preserve"> REF _Ref484631039 \r \h </w:instrText>
      </w:r>
      <w:r w:rsidR="00A20B46" w:rsidRPr="00662611">
        <w:rPr>
          <w:szCs w:val="19"/>
        </w:rPr>
      </w:r>
      <w:r w:rsidR="00A20B46" w:rsidRPr="00662611">
        <w:rPr>
          <w:szCs w:val="19"/>
        </w:rPr>
        <w:fldChar w:fldCharType="separate"/>
      </w:r>
      <w:r w:rsidR="00C43128">
        <w:rPr>
          <w:szCs w:val="19"/>
        </w:rPr>
        <w:t>B51</w:t>
      </w:r>
      <w:r w:rsidR="00A20B46" w:rsidRPr="00662611">
        <w:rPr>
          <w:szCs w:val="19"/>
        </w:rPr>
        <w:fldChar w:fldCharType="end"/>
      </w:r>
      <w:r w:rsidRPr="00662611">
        <w:rPr>
          <w:szCs w:val="19"/>
        </w:rPr>
        <w:t xml:space="preserve"> states that the grantor may compensate the operator by a combination of payments and granting a right to earn revenue directly from third-party users. In cases where the operator’s right to earn third-party revenues significantly reduces or eliminates the grantor’s predetermined series of payments to the operator,</w:t>
      </w:r>
      <w:r w:rsidR="00A20B46" w:rsidRPr="00662611">
        <w:rPr>
          <w:szCs w:val="19"/>
        </w:rPr>
        <w:t xml:space="preserve"> the liability related to the grant of the right to the operator </w:t>
      </w:r>
      <w:r w:rsidR="00DE357B" w:rsidRPr="00662611">
        <w:rPr>
          <w:szCs w:val="19"/>
        </w:rPr>
        <w:t xml:space="preserve">usually would still </w:t>
      </w:r>
      <w:r w:rsidR="00A20B46" w:rsidRPr="00662611">
        <w:rPr>
          <w:szCs w:val="19"/>
        </w:rPr>
        <w:t>be reduced (and revenue recognised) over the term of the arrangement as access is provided to the operator</w:t>
      </w:r>
      <w:r w:rsidRPr="00662611">
        <w:rPr>
          <w:szCs w:val="19"/>
        </w:rPr>
        <w:t>.</w:t>
      </w:r>
      <w:bookmarkEnd w:id="90"/>
    </w:p>
    <w:p w14:paraId="7D9272B0" w14:textId="05C3FE38" w:rsidR="005671B2" w:rsidRPr="00662611" w:rsidRDefault="005671B2" w:rsidP="003102C2">
      <w:pPr>
        <w:pStyle w:val="NumAG1"/>
        <w:ind w:left="784" w:hanging="784"/>
        <w:rPr>
          <w:szCs w:val="19"/>
        </w:rPr>
      </w:pPr>
      <w:bookmarkStart w:id="91" w:name="_Ref475974061"/>
      <w:r w:rsidRPr="00662611">
        <w:rPr>
          <w:szCs w:val="19"/>
        </w:rPr>
        <w:lastRenderedPageBreak/>
        <w:t>When the grantor compensates the operator for the service concession asset and service</w:t>
      </w:r>
      <w:r w:rsidR="009649AC" w:rsidRPr="00662611">
        <w:rPr>
          <w:szCs w:val="19"/>
        </w:rPr>
        <w:t>s</w:t>
      </w:r>
      <w:r w:rsidRPr="00662611">
        <w:rPr>
          <w:szCs w:val="19"/>
        </w:rPr>
        <w:t xml:space="preserve"> by the provision of a revenue-generating asset, other than the service c</w:t>
      </w:r>
      <w:r w:rsidR="001C1239" w:rsidRPr="00662611">
        <w:rPr>
          <w:szCs w:val="19"/>
        </w:rPr>
        <w:t xml:space="preserve">oncession asset, </w:t>
      </w:r>
      <w:r w:rsidRPr="00662611">
        <w:rPr>
          <w:szCs w:val="19"/>
        </w:rPr>
        <w:t xml:space="preserve">the liability </w:t>
      </w:r>
      <w:r w:rsidR="00DE357B" w:rsidRPr="00662611">
        <w:rPr>
          <w:szCs w:val="19"/>
        </w:rPr>
        <w:t xml:space="preserve">related to the grant of the right to the operator </w:t>
      </w:r>
      <w:r w:rsidRPr="00662611">
        <w:rPr>
          <w:szCs w:val="19"/>
        </w:rPr>
        <w:t xml:space="preserve">is reduced </w:t>
      </w:r>
      <w:r w:rsidR="00AF1E34" w:rsidRPr="00662611">
        <w:rPr>
          <w:szCs w:val="19"/>
        </w:rPr>
        <w:t xml:space="preserve">and revenue </w:t>
      </w:r>
      <w:r w:rsidR="00DE357B" w:rsidRPr="00662611">
        <w:rPr>
          <w:szCs w:val="19"/>
        </w:rPr>
        <w:t xml:space="preserve">relating to the remaining liability is </w:t>
      </w:r>
      <w:r w:rsidR="00AF1E34" w:rsidRPr="00662611">
        <w:rPr>
          <w:szCs w:val="19"/>
        </w:rPr>
        <w:t xml:space="preserve">recognised </w:t>
      </w:r>
      <w:r w:rsidRPr="00662611">
        <w:rPr>
          <w:szCs w:val="19"/>
        </w:rPr>
        <w:t xml:space="preserve">in a manner similar to that described in </w:t>
      </w:r>
      <w:r w:rsidR="00DE357B" w:rsidRPr="00662611">
        <w:rPr>
          <w:szCs w:val="19"/>
        </w:rPr>
        <w:t xml:space="preserve">the previous </w:t>
      </w:r>
      <w:r w:rsidRPr="00662611">
        <w:rPr>
          <w:szCs w:val="19"/>
        </w:rPr>
        <w:t xml:space="preserve">paragraph. In such cases, the grantor also considers </w:t>
      </w:r>
      <w:proofErr w:type="gramStart"/>
      <w:r w:rsidRPr="00662611">
        <w:rPr>
          <w:szCs w:val="19"/>
        </w:rPr>
        <w:t>the derecognition</w:t>
      </w:r>
      <w:proofErr w:type="gramEnd"/>
      <w:r w:rsidRPr="00662611">
        <w:rPr>
          <w:szCs w:val="19"/>
        </w:rPr>
        <w:t xml:space="preserve"> requirements in AASB 116 or AASB 138, as appropriate. </w:t>
      </w:r>
      <w:r w:rsidR="001C1239" w:rsidRPr="00662611">
        <w:rPr>
          <w:szCs w:val="19"/>
        </w:rPr>
        <w:t xml:space="preserve">If the grantor derecognises the revenue-generating asset, </w:t>
      </w:r>
      <w:r w:rsidR="00436283" w:rsidRPr="00662611">
        <w:rPr>
          <w:szCs w:val="19"/>
        </w:rPr>
        <w:t xml:space="preserve">the grantor recognises a gain or loss for the difference between the carrying amount of the asset and its fair value (current replacement cost), and reduces </w:t>
      </w:r>
      <w:r w:rsidR="001C1239" w:rsidRPr="00662611">
        <w:rPr>
          <w:szCs w:val="19"/>
        </w:rPr>
        <w:t>the service concession liability accordingly.</w:t>
      </w:r>
      <w:bookmarkEnd w:id="91"/>
    </w:p>
    <w:p w14:paraId="7D9272B1" w14:textId="77777777" w:rsidR="005671B2" w:rsidRPr="00662611" w:rsidRDefault="00087DDB" w:rsidP="00FB21C0">
      <w:pPr>
        <w:pStyle w:val="IASBSectionTitle2Ind"/>
        <w:outlineLvl w:val="2"/>
      </w:pPr>
      <w:r w:rsidRPr="00662611">
        <w:t xml:space="preserve">Dividing the </w:t>
      </w:r>
      <w:r w:rsidR="002E3262" w:rsidRPr="00662611">
        <w:t>a</w:t>
      </w:r>
      <w:r w:rsidRPr="00662611">
        <w:t>rrangement</w:t>
      </w:r>
    </w:p>
    <w:p w14:paraId="7D9272B2" w14:textId="5828D024" w:rsidR="005671B2" w:rsidRPr="00662611" w:rsidRDefault="005671B2" w:rsidP="003102C2">
      <w:pPr>
        <w:pStyle w:val="NumAG1"/>
        <w:ind w:left="784" w:hanging="784"/>
        <w:rPr>
          <w:szCs w:val="19"/>
        </w:rPr>
      </w:pPr>
      <w:bookmarkStart w:id="92" w:name="_Ref475620699"/>
      <w:r w:rsidRPr="00662611">
        <w:t xml:space="preserve">If the operator is compensated for the service concession asset partly by a </w:t>
      </w:r>
      <w:r w:rsidRPr="00662611">
        <w:rPr>
          <w:szCs w:val="19"/>
        </w:rPr>
        <w:t xml:space="preserve">predetermined </w:t>
      </w:r>
      <w:r w:rsidR="00FB0E64">
        <w:rPr>
          <w:szCs w:val="19"/>
        </w:rPr>
        <w:t xml:space="preserve">payment or </w:t>
      </w:r>
      <w:r w:rsidRPr="00662611">
        <w:rPr>
          <w:szCs w:val="19"/>
        </w:rPr>
        <w:t xml:space="preserve">series of payments and partly by receiving the right to earn revenue from third-party use of either the service concession asset or another revenue-generating asset, it is necessary to account separately for each portion of the </w:t>
      </w:r>
      <w:r w:rsidR="006E7A8C">
        <w:rPr>
          <w:szCs w:val="19"/>
        </w:rPr>
        <w:t xml:space="preserve">total </w:t>
      </w:r>
      <w:r w:rsidRPr="00662611">
        <w:rPr>
          <w:szCs w:val="19"/>
        </w:rPr>
        <w:t>liability related to the grantor’s consideration. In these circumstances, the consideration to the operator is divided into a financial liability portion for the payments and a liability portion for the right granted to the operator to earn revenue from third-party use of the service concession asset or another revenue-generating asset.</w:t>
      </w:r>
      <w:bookmarkEnd w:id="92"/>
      <w:r w:rsidRPr="00662611">
        <w:rPr>
          <w:szCs w:val="19"/>
        </w:rPr>
        <w:t xml:space="preserve"> </w:t>
      </w:r>
    </w:p>
    <w:p w14:paraId="7D9272B3" w14:textId="41732B88" w:rsidR="00BD30C0" w:rsidRPr="00662611" w:rsidRDefault="00CB0902" w:rsidP="003102C2">
      <w:pPr>
        <w:pStyle w:val="NumAG1"/>
        <w:ind w:left="784" w:hanging="784"/>
        <w:rPr>
          <w:szCs w:val="19"/>
        </w:rPr>
      </w:pPr>
      <w:bookmarkStart w:id="93" w:name="_Ref475620400"/>
      <w:r w:rsidRPr="00662611">
        <w:rPr>
          <w:szCs w:val="19"/>
        </w:rPr>
        <w:t>A</w:t>
      </w:r>
      <w:r w:rsidR="000E2712" w:rsidRPr="00662611">
        <w:rPr>
          <w:szCs w:val="19"/>
        </w:rPr>
        <w:t>rrangement</w:t>
      </w:r>
      <w:r w:rsidR="00FC07D0" w:rsidRPr="00662611">
        <w:rPr>
          <w:szCs w:val="19"/>
        </w:rPr>
        <w:t>s described</w:t>
      </w:r>
      <w:r w:rsidR="000E2712" w:rsidRPr="00662611">
        <w:rPr>
          <w:szCs w:val="19"/>
        </w:rPr>
        <w:t xml:space="preserve"> in paragraph </w:t>
      </w:r>
      <w:r w:rsidR="00726BAE" w:rsidRPr="00662611">
        <w:rPr>
          <w:szCs w:val="19"/>
        </w:rPr>
        <w:fldChar w:fldCharType="begin"/>
      </w:r>
      <w:r w:rsidR="00726BAE" w:rsidRPr="00662611">
        <w:rPr>
          <w:szCs w:val="19"/>
        </w:rPr>
        <w:instrText xml:space="preserve"> REF _Ref475620699 \r \h </w:instrText>
      </w:r>
      <w:r w:rsidR="00726BAE" w:rsidRPr="00662611">
        <w:rPr>
          <w:szCs w:val="19"/>
        </w:rPr>
      </w:r>
      <w:r w:rsidR="00726BAE" w:rsidRPr="00662611">
        <w:rPr>
          <w:szCs w:val="19"/>
        </w:rPr>
        <w:fldChar w:fldCharType="separate"/>
      </w:r>
      <w:r w:rsidR="00C43128">
        <w:rPr>
          <w:szCs w:val="19"/>
        </w:rPr>
        <w:t>B73</w:t>
      </w:r>
      <w:r w:rsidR="00726BAE" w:rsidRPr="00662611">
        <w:rPr>
          <w:szCs w:val="19"/>
        </w:rPr>
        <w:fldChar w:fldCharType="end"/>
      </w:r>
      <w:r w:rsidR="00E032E1" w:rsidRPr="00662611">
        <w:rPr>
          <w:szCs w:val="19"/>
        </w:rPr>
        <w:t xml:space="preserve"> </w:t>
      </w:r>
      <w:r w:rsidR="00201855" w:rsidRPr="00662611">
        <w:rPr>
          <w:szCs w:val="19"/>
        </w:rPr>
        <w:t xml:space="preserve">are </w:t>
      </w:r>
      <w:r w:rsidR="007E16DD" w:rsidRPr="00662611">
        <w:rPr>
          <w:szCs w:val="19"/>
        </w:rPr>
        <w:t>commonly</w:t>
      </w:r>
      <w:r w:rsidR="000E2712" w:rsidRPr="00662611">
        <w:rPr>
          <w:szCs w:val="19"/>
        </w:rPr>
        <w:t xml:space="preserve"> referred to as hybrid arrangement</w:t>
      </w:r>
      <w:r w:rsidR="00201855" w:rsidRPr="00662611">
        <w:rPr>
          <w:szCs w:val="19"/>
        </w:rPr>
        <w:t>s</w:t>
      </w:r>
      <w:r w:rsidR="000E2712" w:rsidRPr="00662611">
        <w:rPr>
          <w:szCs w:val="19"/>
        </w:rPr>
        <w:t xml:space="preserve">. </w:t>
      </w:r>
      <w:r w:rsidR="00526DFC" w:rsidRPr="00662611">
        <w:rPr>
          <w:szCs w:val="19"/>
        </w:rPr>
        <w:t xml:space="preserve">Consistent with </w:t>
      </w:r>
      <w:r w:rsidR="001C1EC0" w:rsidRPr="00662611">
        <w:rPr>
          <w:szCs w:val="19"/>
        </w:rPr>
        <w:t xml:space="preserve">paragraph </w:t>
      </w:r>
      <w:r w:rsidR="00726BAE" w:rsidRPr="00662611">
        <w:rPr>
          <w:szCs w:val="19"/>
        </w:rPr>
        <w:fldChar w:fldCharType="begin"/>
      </w:r>
      <w:r w:rsidR="00726BAE" w:rsidRPr="00662611">
        <w:rPr>
          <w:szCs w:val="19"/>
        </w:rPr>
        <w:instrText xml:space="preserve"> REF _Ref475620367 \r \h </w:instrText>
      </w:r>
      <w:r w:rsidR="00726BAE" w:rsidRPr="00662611">
        <w:rPr>
          <w:szCs w:val="19"/>
        </w:rPr>
      </w:r>
      <w:r w:rsidR="00726BAE" w:rsidRPr="00662611">
        <w:rPr>
          <w:szCs w:val="19"/>
        </w:rPr>
        <w:fldChar w:fldCharType="separate"/>
      </w:r>
      <w:r w:rsidR="00C43128">
        <w:rPr>
          <w:szCs w:val="19"/>
        </w:rPr>
        <w:t>12</w:t>
      </w:r>
      <w:r w:rsidR="00726BAE" w:rsidRPr="00662611">
        <w:rPr>
          <w:szCs w:val="19"/>
        </w:rPr>
        <w:fldChar w:fldCharType="end"/>
      </w:r>
      <w:r w:rsidR="007E16DD" w:rsidRPr="00662611">
        <w:rPr>
          <w:szCs w:val="19"/>
        </w:rPr>
        <w:t xml:space="preserve">, the </w:t>
      </w:r>
      <w:r w:rsidR="00211A14">
        <w:rPr>
          <w:szCs w:val="19"/>
        </w:rPr>
        <w:t xml:space="preserve">total </w:t>
      </w:r>
      <w:r w:rsidR="00526DFC" w:rsidRPr="00662611">
        <w:rPr>
          <w:szCs w:val="19"/>
        </w:rPr>
        <w:t xml:space="preserve">liability recognised for </w:t>
      </w:r>
      <w:r w:rsidR="000E2712" w:rsidRPr="00662611">
        <w:rPr>
          <w:szCs w:val="19"/>
        </w:rPr>
        <w:t xml:space="preserve">a hybrid </w:t>
      </w:r>
      <w:r w:rsidR="00526DFC" w:rsidRPr="00662611">
        <w:rPr>
          <w:szCs w:val="19"/>
        </w:rPr>
        <w:t xml:space="preserve">arrangement </w:t>
      </w:r>
      <w:r w:rsidR="00871DB7" w:rsidRPr="00662611">
        <w:rPr>
          <w:szCs w:val="19"/>
        </w:rPr>
        <w:t>is</w:t>
      </w:r>
      <w:r w:rsidR="00526DFC" w:rsidRPr="00662611">
        <w:rPr>
          <w:szCs w:val="19"/>
        </w:rPr>
        <w:t xml:space="preserve"> </w:t>
      </w:r>
      <w:r w:rsidR="00647D2C" w:rsidRPr="00662611">
        <w:rPr>
          <w:szCs w:val="19"/>
        </w:rPr>
        <w:t xml:space="preserve">initially </w:t>
      </w:r>
      <w:r w:rsidR="00526DFC" w:rsidRPr="00662611">
        <w:rPr>
          <w:szCs w:val="19"/>
        </w:rPr>
        <w:t xml:space="preserve">measured at the same amount as the </w:t>
      </w:r>
      <w:r w:rsidR="0012428D" w:rsidRPr="00662611">
        <w:rPr>
          <w:szCs w:val="19"/>
        </w:rPr>
        <w:t>fair value</w:t>
      </w:r>
      <w:r w:rsidR="009D4390" w:rsidRPr="00662611">
        <w:rPr>
          <w:szCs w:val="19"/>
        </w:rPr>
        <w:t xml:space="preserve"> (current replacement cost)</w:t>
      </w:r>
      <w:r w:rsidR="0012428D" w:rsidRPr="00662611">
        <w:rPr>
          <w:szCs w:val="19"/>
        </w:rPr>
        <w:t xml:space="preserve"> of the </w:t>
      </w:r>
      <w:r w:rsidR="00BD30C0" w:rsidRPr="00662611">
        <w:rPr>
          <w:szCs w:val="19"/>
        </w:rPr>
        <w:t xml:space="preserve">service concession asset. </w:t>
      </w:r>
      <w:r w:rsidR="00F914DD" w:rsidRPr="00662611">
        <w:rPr>
          <w:szCs w:val="19"/>
        </w:rPr>
        <w:t>T</w:t>
      </w:r>
      <w:r w:rsidR="003746B5" w:rsidRPr="00662611">
        <w:rPr>
          <w:szCs w:val="19"/>
        </w:rPr>
        <w:t xml:space="preserve">he </w:t>
      </w:r>
      <w:r w:rsidR="00201855" w:rsidRPr="00662611">
        <w:rPr>
          <w:szCs w:val="19"/>
        </w:rPr>
        <w:t xml:space="preserve">financial liability portion of the </w:t>
      </w:r>
      <w:r w:rsidR="00F30711" w:rsidRPr="00662611">
        <w:rPr>
          <w:szCs w:val="19"/>
        </w:rPr>
        <w:t xml:space="preserve">liability under the </w:t>
      </w:r>
      <w:r w:rsidR="003746B5" w:rsidRPr="00662611">
        <w:rPr>
          <w:szCs w:val="19"/>
        </w:rPr>
        <w:t xml:space="preserve">hybrid arrangement is </w:t>
      </w:r>
      <w:r w:rsidR="00F30711" w:rsidRPr="00662611">
        <w:rPr>
          <w:szCs w:val="19"/>
        </w:rPr>
        <w:t>measured</w:t>
      </w:r>
      <w:r w:rsidR="003746B5" w:rsidRPr="00662611">
        <w:rPr>
          <w:szCs w:val="19"/>
        </w:rPr>
        <w:t xml:space="preserve"> </w:t>
      </w:r>
      <w:r w:rsidR="00F30711" w:rsidRPr="00662611">
        <w:rPr>
          <w:szCs w:val="19"/>
        </w:rPr>
        <w:t>first</w:t>
      </w:r>
      <w:r w:rsidR="003746B5" w:rsidRPr="00662611">
        <w:rPr>
          <w:szCs w:val="19"/>
        </w:rPr>
        <w:t xml:space="preserve">, with the remainder of the fair value (current replacement cost) of the service concession asset allocated to the </w:t>
      </w:r>
      <w:r w:rsidR="00201855" w:rsidRPr="00662611">
        <w:rPr>
          <w:szCs w:val="19"/>
        </w:rPr>
        <w:t xml:space="preserve">portion of the </w:t>
      </w:r>
      <w:r w:rsidR="003746B5" w:rsidRPr="00662611">
        <w:rPr>
          <w:szCs w:val="19"/>
        </w:rPr>
        <w:t>liability relating to the grant of the right to the operator model.</w:t>
      </w:r>
      <w:r w:rsidR="00F30711" w:rsidRPr="00662611">
        <w:rPr>
          <w:szCs w:val="19"/>
        </w:rPr>
        <w:t xml:space="preserve"> </w:t>
      </w:r>
      <w:r w:rsidR="00F914DD" w:rsidRPr="00662611">
        <w:rPr>
          <w:szCs w:val="19"/>
        </w:rPr>
        <w:t xml:space="preserve">The financial liability </w:t>
      </w:r>
      <w:r w:rsidR="009D648F" w:rsidRPr="00662611">
        <w:rPr>
          <w:szCs w:val="19"/>
        </w:rPr>
        <w:t xml:space="preserve">portion </w:t>
      </w:r>
      <w:r w:rsidR="00F914DD" w:rsidRPr="00662611">
        <w:rPr>
          <w:szCs w:val="19"/>
        </w:rPr>
        <w:t xml:space="preserve">is </w:t>
      </w:r>
      <w:r w:rsidR="009D648F" w:rsidRPr="00662611">
        <w:rPr>
          <w:szCs w:val="19"/>
        </w:rPr>
        <w:t xml:space="preserve">measured initially </w:t>
      </w:r>
      <w:r w:rsidR="00BD2533" w:rsidRPr="00662611">
        <w:rPr>
          <w:szCs w:val="19"/>
        </w:rPr>
        <w:t xml:space="preserve">in accordance with paragraph </w:t>
      </w:r>
      <w:r w:rsidR="00726BAE" w:rsidRPr="00662611">
        <w:rPr>
          <w:szCs w:val="19"/>
        </w:rPr>
        <w:fldChar w:fldCharType="begin"/>
      </w:r>
      <w:r w:rsidR="00726BAE" w:rsidRPr="00662611">
        <w:rPr>
          <w:szCs w:val="19"/>
        </w:rPr>
        <w:instrText xml:space="preserve"> REF _Ref475631685 \r \h </w:instrText>
      </w:r>
      <w:r w:rsidR="00726BAE" w:rsidRPr="00662611">
        <w:rPr>
          <w:szCs w:val="19"/>
        </w:rPr>
      </w:r>
      <w:r w:rsidR="00726BAE" w:rsidRPr="00662611">
        <w:rPr>
          <w:szCs w:val="19"/>
        </w:rPr>
        <w:fldChar w:fldCharType="separate"/>
      </w:r>
      <w:r w:rsidR="00C43128">
        <w:rPr>
          <w:szCs w:val="19"/>
        </w:rPr>
        <w:t>B64</w:t>
      </w:r>
      <w:r w:rsidR="00726BAE" w:rsidRPr="00662611">
        <w:rPr>
          <w:szCs w:val="19"/>
        </w:rPr>
        <w:fldChar w:fldCharType="end"/>
      </w:r>
      <w:r w:rsidR="00BD2533" w:rsidRPr="00662611">
        <w:rPr>
          <w:szCs w:val="19"/>
        </w:rPr>
        <w:t>.</w:t>
      </w:r>
      <w:bookmarkEnd w:id="93"/>
    </w:p>
    <w:p w14:paraId="7D9272B4" w14:textId="4196B4E1" w:rsidR="005671B2" w:rsidRPr="00662611" w:rsidRDefault="005671B2" w:rsidP="00FB21C0">
      <w:pPr>
        <w:pStyle w:val="IASBSectionTitle1NonInd"/>
        <w:outlineLvl w:val="1"/>
      </w:pPr>
      <w:r w:rsidRPr="00662611">
        <w:t xml:space="preserve">Other </w:t>
      </w:r>
      <w:r w:rsidR="002E3262" w:rsidRPr="00662611">
        <w:t>l</w:t>
      </w:r>
      <w:r w:rsidRPr="00662611">
        <w:t xml:space="preserve">iabilities, </w:t>
      </w:r>
      <w:r w:rsidR="002E3262" w:rsidRPr="00662611">
        <w:t>c</w:t>
      </w:r>
      <w:r w:rsidRPr="00662611">
        <w:t xml:space="preserve">ommitments, </w:t>
      </w:r>
      <w:r w:rsidR="002E3262" w:rsidRPr="00662611">
        <w:t>c</w:t>
      </w:r>
      <w:r w:rsidRPr="00662611">
        <w:t xml:space="preserve">ontingent </w:t>
      </w:r>
      <w:r w:rsidR="002E3262" w:rsidRPr="00662611">
        <w:t>l</w:t>
      </w:r>
      <w:r w:rsidRPr="00662611">
        <w:t xml:space="preserve">iabilities and </w:t>
      </w:r>
      <w:r w:rsidR="002E3262" w:rsidRPr="00662611">
        <w:t>c</w:t>
      </w:r>
      <w:r w:rsidRPr="00662611">
        <w:t xml:space="preserve">ontingent </w:t>
      </w:r>
      <w:r w:rsidR="002E3262" w:rsidRPr="00662611">
        <w:t>a</w:t>
      </w:r>
      <w:r w:rsidRPr="00662611">
        <w:t>ssets</w:t>
      </w:r>
      <w:r w:rsidR="006A7608" w:rsidRPr="00662611">
        <w:t xml:space="preserve"> (paragraph </w:t>
      </w:r>
      <w:r w:rsidR="00726BAE" w:rsidRPr="00662611">
        <w:fldChar w:fldCharType="begin"/>
      </w:r>
      <w:r w:rsidR="00726BAE" w:rsidRPr="00662611">
        <w:instrText xml:space="preserve"> REF _Ref475631702 \r \h </w:instrText>
      </w:r>
      <w:r w:rsidR="00726BAE" w:rsidRPr="00662611">
        <w:fldChar w:fldCharType="separate"/>
      </w:r>
      <w:r w:rsidR="00C43128">
        <w:t>26</w:t>
      </w:r>
      <w:r w:rsidR="00726BAE" w:rsidRPr="00662611">
        <w:fldChar w:fldCharType="end"/>
      </w:r>
      <w:r w:rsidR="006A7608" w:rsidRPr="00662611">
        <w:t>)</w:t>
      </w:r>
    </w:p>
    <w:p w14:paraId="7D9272B5" w14:textId="77777777" w:rsidR="0063655C" w:rsidRPr="00662611" w:rsidRDefault="005671B2" w:rsidP="003102C2">
      <w:pPr>
        <w:pStyle w:val="NumAG1"/>
        <w:ind w:left="784" w:hanging="784"/>
        <w:rPr>
          <w:szCs w:val="19"/>
        </w:rPr>
      </w:pPr>
      <w:bookmarkStart w:id="94" w:name="_Ref475620865"/>
      <w:r w:rsidRPr="00662611">
        <w:rPr>
          <w:szCs w:val="19"/>
        </w:rPr>
        <w:t xml:space="preserve">Service concession arrangements may include various forms of financial guarantees (eg a guarantee, security, or indemnity related to the debt incurred by the operator to finance construction, development, acquisition or upgrade of a service concession asset) or performance guarantees (eg </w:t>
      </w:r>
      <w:r w:rsidR="009649AC" w:rsidRPr="00662611">
        <w:rPr>
          <w:szCs w:val="19"/>
        </w:rPr>
        <w:t xml:space="preserve">a </w:t>
      </w:r>
      <w:r w:rsidRPr="00662611">
        <w:rPr>
          <w:szCs w:val="19"/>
        </w:rPr>
        <w:t>guarantee of minimum revenue streams, including compensation for shortfalls).</w:t>
      </w:r>
      <w:bookmarkEnd w:id="94"/>
    </w:p>
    <w:p w14:paraId="7D9272B6" w14:textId="77777777" w:rsidR="005671B2" w:rsidRPr="00662611" w:rsidRDefault="005671B2" w:rsidP="003102C2">
      <w:pPr>
        <w:pStyle w:val="NumAG1"/>
        <w:ind w:left="784" w:hanging="784"/>
        <w:rPr>
          <w:szCs w:val="19"/>
        </w:rPr>
      </w:pPr>
      <w:r w:rsidRPr="00662611">
        <w:rPr>
          <w:szCs w:val="19"/>
        </w:rPr>
        <w:t xml:space="preserve">The grantor determines whether guarantees </w:t>
      </w:r>
      <w:r w:rsidR="009649AC" w:rsidRPr="00662611">
        <w:rPr>
          <w:szCs w:val="19"/>
        </w:rPr>
        <w:t xml:space="preserve">provided </w:t>
      </w:r>
      <w:r w:rsidRPr="00662611">
        <w:rPr>
          <w:szCs w:val="19"/>
        </w:rPr>
        <w:t>by the grantor as part of a service concession arrangement meet the definition of a financial guarantee contract</w:t>
      </w:r>
      <w:r w:rsidR="009649AC" w:rsidRPr="00662611">
        <w:rPr>
          <w:szCs w:val="19"/>
        </w:rPr>
        <w:t>.</w:t>
      </w:r>
      <w:r w:rsidRPr="00662611">
        <w:rPr>
          <w:szCs w:val="19"/>
        </w:rPr>
        <w:t xml:space="preserve"> </w:t>
      </w:r>
      <w:r w:rsidR="009649AC" w:rsidRPr="00662611">
        <w:rPr>
          <w:szCs w:val="19"/>
        </w:rPr>
        <w:t>If so, the grantor</w:t>
      </w:r>
      <w:r w:rsidRPr="00662611">
        <w:rPr>
          <w:szCs w:val="19"/>
        </w:rPr>
        <w:t xml:space="preserve"> applies AASB 7, AASB 9 and AASB 132 in accounting for the guarantee. Where the guarantee is</w:t>
      </w:r>
      <w:r w:rsidR="00F019B3" w:rsidRPr="00662611">
        <w:rPr>
          <w:szCs w:val="19"/>
        </w:rPr>
        <w:t xml:space="preserve"> regarded as</w:t>
      </w:r>
      <w:r w:rsidRPr="00662611">
        <w:rPr>
          <w:szCs w:val="19"/>
        </w:rPr>
        <w:t xml:space="preserve"> an insurance contract, the grantor can elect to apply AASB 4 </w:t>
      </w:r>
      <w:r w:rsidRPr="00662611">
        <w:rPr>
          <w:i/>
          <w:szCs w:val="19"/>
        </w:rPr>
        <w:t>Insurance Contracts</w:t>
      </w:r>
      <w:r w:rsidRPr="00662611">
        <w:rPr>
          <w:szCs w:val="19"/>
        </w:rPr>
        <w:t xml:space="preserve"> or AASB 1023 </w:t>
      </w:r>
      <w:r w:rsidRPr="00662611">
        <w:rPr>
          <w:i/>
          <w:szCs w:val="19"/>
        </w:rPr>
        <w:t>General Insurance Contracts</w:t>
      </w:r>
      <w:r w:rsidRPr="00662611">
        <w:rPr>
          <w:szCs w:val="19"/>
        </w:rPr>
        <w:t xml:space="preserve"> instead</w:t>
      </w:r>
      <w:r w:rsidR="00766847" w:rsidRPr="00662611">
        <w:rPr>
          <w:szCs w:val="19"/>
        </w:rPr>
        <w:t xml:space="preserve"> if it has previously used accounting applicable to insurance contracts for such guarantees</w:t>
      </w:r>
      <w:r w:rsidRPr="00662611">
        <w:rPr>
          <w:szCs w:val="19"/>
        </w:rPr>
        <w:t>.</w:t>
      </w:r>
    </w:p>
    <w:p w14:paraId="7D9272B7" w14:textId="77777777" w:rsidR="005671B2" w:rsidRPr="00662611" w:rsidRDefault="005671B2" w:rsidP="003102C2">
      <w:pPr>
        <w:pStyle w:val="NumAG1"/>
        <w:ind w:left="784" w:hanging="784"/>
        <w:rPr>
          <w:szCs w:val="19"/>
        </w:rPr>
      </w:pPr>
      <w:r w:rsidRPr="00662611">
        <w:rPr>
          <w:szCs w:val="19"/>
        </w:rPr>
        <w:t xml:space="preserve">Guarantees and commitments that do not meet the requirements in AASB 9 and AASB 132 relating to financial guarantee contracts and are not </w:t>
      </w:r>
      <w:r w:rsidR="00171504" w:rsidRPr="00662611">
        <w:rPr>
          <w:szCs w:val="19"/>
        </w:rPr>
        <w:t xml:space="preserve">accounted for as </w:t>
      </w:r>
      <w:r w:rsidRPr="00662611">
        <w:rPr>
          <w:szCs w:val="19"/>
        </w:rPr>
        <w:t xml:space="preserve">insurance contracts are accounted for in accordance with AASB 137. </w:t>
      </w:r>
    </w:p>
    <w:p w14:paraId="7D9272B8" w14:textId="77777777" w:rsidR="005671B2" w:rsidRPr="00662611" w:rsidRDefault="005671B2" w:rsidP="003102C2">
      <w:pPr>
        <w:pStyle w:val="NumAG1"/>
        <w:ind w:left="784" w:hanging="784"/>
        <w:rPr>
          <w:szCs w:val="19"/>
        </w:rPr>
      </w:pPr>
      <w:bookmarkStart w:id="95" w:name="_Ref475620873"/>
      <w:r w:rsidRPr="00662611">
        <w:rPr>
          <w:szCs w:val="19"/>
        </w:rPr>
        <w:t>Contingent assets or liabilities may arise from disputes over the terms of the service concession arrangement. Such contingencies are accounted for in accordance with AASB 137.</w:t>
      </w:r>
      <w:bookmarkEnd w:id="95"/>
    </w:p>
    <w:p w14:paraId="7D9272B9" w14:textId="728EA327" w:rsidR="005671B2" w:rsidRPr="00662611" w:rsidRDefault="005671B2" w:rsidP="00FB21C0">
      <w:pPr>
        <w:pStyle w:val="IASBSectionTitle1NonInd"/>
        <w:outlineLvl w:val="1"/>
      </w:pPr>
      <w:r w:rsidRPr="00662611">
        <w:t xml:space="preserve">Presentation and </w:t>
      </w:r>
      <w:r w:rsidR="002E3262" w:rsidRPr="00662611">
        <w:t>d</w:t>
      </w:r>
      <w:r w:rsidRPr="00662611">
        <w:t>isclosure</w:t>
      </w:r>
      <w:r w:rsidR="000F128C" w:rsidRPr="00662611">
        <w:t xml:space="preserve"> (paragraph</w:t>
      </w:r>
      <w:r w:rsidR="00512C18" w:rsidRPr="00662611">
        <w:t>s</w:t>
      </w:r>
      <w:r w:rsidR="000F128C" w:rsidRPr="00662611">
        <w:t xml:space="preserve"> </w:t>
      </w:r>
      <w:r w:rsidR="00726BAE" w:rsidRPr="00662611">
        <w:fldChar w:fldCharType="begin"/>
      </w:r>
      <w:r w:rsidR="00726BAE" w:rsidRPr="00662611">
        <w:instrText xml:space="preserve"> REF _Ref475620960 \r \h </w:instrText>
      </w:r>
      <w:r w:rsidR="00726BAE" w:rsidRPr="00662611">
        <w:fldChar w:fldCharType="separate"/>
      </w:r>
      <w:r w:rsidR="00C43128">
        <w:t>28</w:t>
      </w:r>
      <w:r w:rsidR="00726BAE" w:rsidRPr="00662611">
        <w:fldChar w:fldCharType="end"/>
      </w:r>
      <w:r w:rsidR="000F128C" w:rsidRPr="00662611">
        <w:t>–</w:t>
      </w:r>
      <w:r w:rsidR="00726BAE" w:rsidRPr="00662611">
        <w:fldChar w:fldCharType="begin"/>
      </w:r>
      <w:r w:rsidR="00726BAE" w:rsidRPr="00662611">
        <w:instrText xml:space="preserve"> REF _Ref475631728 \r \h </w:instrText>
      </w:r>
      <w:r w:rsidR="00726BAE" w:rsidRPr="00662611">
        <w:fldChar w:fldCharType="separate"/>
      </w:r>
      <w:r w:rsidR="00C43128">
        <w:t>29</w:t>
      </w:r>
      <w:r w:rsidR="00726BAE" w:rsidRPr="00662611">
        <w:fldChar w:fldCharType="end"/>
      </w:r>
      <w:r w:rsidR="00456AA5" w:rsidRPr="00662611">
        <w:t>)</w:t>
      </w:r>
    </w:p>
    <w:p w14:paraId="7D9272BA" w14:textId="30C5E4CC" w:rsidR="005671B2" w:rsidRPr="00662611" w:rsidRDefault="005671B2" w:rsidP="003102C2">
      <w:pPr>
        <w:pStyle w:val="NumAG1"/>
        <w:ind w:left="784" w:hanging="784"/>
      </w:pPr>
      <w:bookmarkStart w:id="96" w:name="_Ref475620927"/>
      <w:r w:rsidRPr="00662611">
        <w:t xml:space="preserve">Disclosures relating to various aspects of service concession arrangements </w:t>
      </w:r>
      <w:r w:rsidRPr="003102C2">
        <w:rPr>
          <w:szCs w:val="19"/>
        </w:rPr>
        <w:t>may</w:t>
      </w:r>
      <w:r w:rsidRPr="00662611">
        <w:t xml:space="preserve"> be address</w:t>
      </w:r>
      <w:r w:rsidR="00DF130D" w:rsidRPr="00662611">
        <w:t xml:space="preserve">ed in </w:t>
      </w:r>
      <w:r w:rsidR="00211A14">
        <w:t>other</w:t>
      </w:r>
      <w:r w:rsidR="00211A14" w:rsidRPr="00662611">
        <w:t xml:space="preserve"> </w:t>
      </w:r>
      <w:r w:rsidR="00DF130D" w:rsidRPr="00662611">
        <w:t>Standards. This</w:t>
      </w:r>
      <w:r w:rsidRPr="00662611">
        <w:t xml:space="preserve"> Standard addresses only the additional disclosures relating to service concession arrangements. Where the accounting for a particular aspect of a service concession arrangement is addressed in another Standard, the grantor follows the </w:t>
      </w:r>
      <w:r w:rsidR="003E75DB">
        <w:t xml:space="preserve">relevant </w:t>
      </w:r>
      <w:r w:rsidRPr="00662611">
        <w:t>disclosure requirements of that Standard in addition to those set out in paragraph</w:t>
      </w:r>
      <w:r w:rsidR="00E74F83" w:rsidRPr="00662611">
        <w:t>s</w:t>
      </w:r>
      <w:r w:rsidRPr="00662611">
        <w:t> </w:t>
      </w:r>
      <w:r w:rsidR="00726BAE" w:rsidRPr="00662611">
        <w:fldChar w:fldCharType="begin"/>
      </w:r>
      <w:r w:rsidR="00726BAE" w:rsidRPr="00662611">
        <w:instrText xml:space="preserve"> REF _Ref475620960 \r \h </w:instrText>
      </w:r>
      <w:r w:rsidR="00726BAE" w:rsidRPr="00662611">
        <w:fldChar w:fldCharType="separate"/>
      </w:r>
      <w:r w:rsidR="00C43128">
        <w:t>28</w:t>
      </w:r>
      <w:r w:rsidR="00726BAE" w:rsidRPr="00662611">
        <w:fldChar w:fldCharType="end"/>
      </w:r>
      <w:r w:rsidR="00393CE4" w:rsidRPr="00662611">
        <w:t xml:space="preserve"> and </w:t>
      </w:r>
      <w:r w:rsidR="00726BAE" w:rsidRPr="00662611">
        <w:fldChar w:fldCharType="begin"/>
      </w:r>
      <w:r w:rsidR="00726BAE" w:rsidRPr="00662611">
        <w:instrText xml:space="preserve"> REF _Ref475631728 \r \h </w:instrText>
      </w:r>
      <w:r w:rsidR="00726BAE" w:rsidRPr="00662611">
        <w:fldChar w:fldCharType="separate"/>
      </w:r>
      <w:r w:rsidR="00C43128">
        <w:t>29</w:t>
      </w:r>
      <w:r w:rsidR="00726BAE" w:rsidRPr="00662611">
        <w:fldChar w:fldCharType="end"/>
      </w:r>
      <w:r w:rsidR="00820B55" w:rsidRPr="00662611">
        <w:t xml:space="preserve">. The grantor </w:t>
      </w:r>
      <w:r w:rsidR="00191ECC" w:rsidRPr="00662611">
        <w:t xml:space="preserve">also </w:t>
      </w:r>
      <w:r w:rsidR="00820B55" w:rsidRPr="00662611">
        <w:t>applies</w:t>
      </w:r>
      <w:r w:rsidR="00140061" w:rsidRPr="00662611">
        <w:t xml:space="preserve"> </w:t>
      </w:r>
      <w:r w:rsidR="00820B55" w:rsidRPr="00662611">
        <w:t xml:space="preserve">the </w:t>
      </w:r>
      <w:r w:rsidR="00140061" w:rsidRPr="00662611">
        <w:t>relevant presentation and disclosure requirements in other Standards as they pertain to assets, liabilities, revenues, and expenses recognised under this Standard</w:t>
      </w:r>
      <w:r w:rsidRPr="00662611">
        <w:t>.</w:t>
      </w:r>
      <w:bookmarkEnd w:id="96"/>
    </w:p>
    <w:p w14:paraId="7D9272BB" w14:textId="041CCD6E" w:rsidR="005671B2" w:rsidRPr="00662611" w:rsidRDefault="005671B2" w:rsidP="003102C2">
      <w:pPr>
        <w:pStyle w:val="NumAG1"/>
        <w:ind w:left="784" w:hanging="784"/>
        <w:rPr>
          <w:szCs w:val="19"/>
        </w:rPr>
      </w:pPr>
      <w:bookmarkStart w:id="97" w:name="_Ref475620934"/>
      <w:r w:rsidRPr="00662611">
        <w:rPr>
          <w:szCs w:val="19"/>
        </w:rPr>
        <w:t>AASB 101 requires finance costs</w:t>
      </w:r>
      <w:r w:rsidR="007B7506" w:rsidRPr="00662611">
        <w:rPr>
          <w:szCs w:val="19"/>
        </w:rPr>
        <w:t xml:space="preserve"> (if any)</w:t>
      </w:r>
      <w:r w:rsidRPr="00662611">
        <w:rPr>
          <w:szCs w:val="19"/>
        </w:rPr>
        <w:t xml:space="preserve"> to </w:t>
      </w:r>
      <w:r w:rsidR="004B454C" w:rsidRPr="00662611">
        <w:rPr>
          <w:szCs w:val="19"/>
        </w:rPr>
        <w:t xml:space="preserve">be presented separately in the </w:t>
      </w:r>
      <w:r w:rsidRPr="00662611">
        <w:rPr>
          <w:szCs w:val="19"/>
        </w:rPr>
        <w:t xml:space="preserve">statement of profit and loss and other comprehensive income. </w:t>
      </w:r>
      <w:r w:rsidR="00291740" w:rsidRPr="00662611">
        <w:rPr>
          <w:szCs w:val="19"/>
        </w:rPr>
        <w:t>F</w:t>
      </w:r>
      <w:r w:rsidRPr="00662611">
        <w:rPr>
          <w:szCs w:val="19"/>
        </w:rPr>
        <w:t>inance charge</w:t>
      </w:r>
      <w:r w:rsidR="00291740" w:rsidRPr="00662611">
        <w:rPr>
          <w:szCs w:val="19"/>
        </w:rPr>
        <w:t>s</w:t>
      </w:r>
      <w:r w:rsidR="007B7506" w:rsidRPr="00662611">
        <w:rPr>
          <w:szCs w:val="19"/>
        </w:rPr>
        <w:t xml:space="preserve"> (if any)</w:t>
      </w:r>
      <w:r w:rsidRPr="00662611">
        <w:rPr>
          <w:szCs w:val="19"/>
        </w:rPr>
        <w:t xml:space="preserve"> determined in accordance with paragraph </w:t>
      </w:r>
      <w:r w:rsidR="00726BAE" w:rsidRPr="00662611">
        <w:rPr>
          <w:szCs w:val="19"/>
        </w:rPr>
        <w:fldChar w:fldCharType="begin"/>
      </w:r>
      <w:r w:rsidR="00726BAE" w:rsidRPr="00662611">
        <w:rPr>
          <w:szCs w:val="19"/>
        </w:rPr>
        <w:instrText xml:space="preserve"> REF _Ref475631766 \r \h </w:instrText>
      </w:r>
      <w:r w:rsidR="00726BAE" w:rsidRPr="00662611">
        <w:rPr>
          <w:szCs w:val="19"/>
        </w:rPr>
      </w:r>
      <w:r w:rsidR="00726BAE" w:rsidRPr="00662611">
        <w:rPr>
          <w:szCs w:val="19"/>
        </w:rPr>
        <w:fldChar w:fldCharType="separate"/>
      </w:r>
      <w:r w:rsidR="00C43128">
        <w:rPr>
          <w:szCs w:val="19"/>
        </w:rPr>
        <w:t>B67</w:t>
      </w:r>
      <w:r w:rsidR="00726BAE" w:rsidRPr="00662611">
        <w:rPr>
          <w:szCs w:val="19"/>
        </w:rPr>
        <w:fldChar w:fldCharType="end"/>
      </w:r>
      <w:r w:rsidRPr="00662611">
        <w:rPr>
          <w:szCs w:val="19"/>
        </w:rPr>
        <w:t xml:space="preserve"> </w:t>
      </w:r>
      <w:r w:rsidR="00291740" w:rsidRPr="00662611">
        <w:rPr>
          <w:szCs w:val="19"/>
        </w:rPr>
        <w:t xml:space="preserve">that are expensed are </w:t>
      </w:r>
      <w:r w:rsidRPr="00662611">
        <w:rPr>
          <w:szCs w:val="19"/>
        </w:rPr>
        <w:t>included in this item.</w:t>
      </w:r>
      <w:bookmarkEnd w:id="97"/>
    </w:p>
    <w:p w14:paraId="7D9272BC" w14:textId="77777777" w:rsidR="00C74B25" w:rsidRPr="00662611" w:rsidRDefault="00C74B25" w:rsidP="00C74B25">
      <w:pPr>
        <w:pStyle w:val="NumAG1"/>
        <w:numPr>
          <w:ilvl w:val="0"/>
          <w:numId w:val="0"/>
        </w:numPr>
        <w:spacing w:before="100" w:after="0"/>
        <w:rPr>
          <w:szCs w:val="19"/>
        </w:rPr>
      </w:pPr>
    </w:p>
    <w:p w14:paraId="7D9272BD" w14:textId="77777777" w:rsidR="001215D9" w:rsidRPr="00662611" w:rsidRDefault="001215D9" w:rsidP="00942FDB">
      <w:pPr>
        <w:pStyle w:val="IASBNormalnparaL1"/>
        <w:numPr>
          <w:ilvl w:val="0"/>
          <w:numId w:val="13"/>
        </w:numPr>
        <w:sectPr w:rsidR="001215D9" w:rsidRPr="00662611" w:rsidSect="009A0D92">
          <w:headerReference w:type="even" r:id="rId32"/>
          <w:footerReference w:type="even" r:id="rId33"/>
          <w:footerReference w:type="default" r:id="rId34"/>
          <w:headerReference w:type="first" r:id="rId35"/>
          <w:footerReference w:type="first" r:id="rId36"/>
          <w:pgSz w:w="11907" w:h="16839"/>
          <w:pgMar w:top="1440" w:right="1440" w:bottom="1440" w:left="1440" w:header="720" w:footer="720" w:gutter="0"/>
          <w:cols w:space="708"/>
          <w:docGrid w:linePitch="360"/>
        </w:sectPr>
      </w:pPr>
    </w:p>
    <w:p w14:paraId="7D9272BE" w14:textId="77777777" w:rsidR="00A44C42" w:rsidRPr="00662611" w:rsidRDefault="00A44C42" w:rsidP="00A44C42">
      <w:pPr>
        <w:pStyle w:val="ConvSectionTitle"/>
      </w:pPr>
      <w:r w:rsidRPr="00662611">
        <w:lastRenderedPageBreak/>
        <w:t>Appendix C</w:t>
      </w:r>
      <w:r w:rsidRPr="00662611">
        <w:br/>
        <w:t>Effective date and transition</w:t>
      </w:r>
    </w:p>
    <w:p w14:paraId="7D9272BF" w14:textId="77777777" w:rsidR="00A44C42" w:rsidRPr="00662611" w:rsidRDefault="00A44C42" w:rsidP="00A44C42">
      <w:pPr>
        <w:pStyle w:val="IASBNote"/>
      </w:pPr>
      <w:r w:rsidRPr="00662611">
        <w:t>This appendix is an integral part of the Standard.</w:t>
      </w:r>
    </w:p>
    <w:p w14:paraId="7D9272C0" w14:textId="77777777" w:rsidR="00A44C42" w:rsidRPr="00662611" w:rsidRDefault="00A44C42" w:rsidP="00A44C42">
      <w:pPr>
        <w:pStyle w:val="IASBSectionTitle1NonInd"/>
        <w:outlineLvl w:val="1"/>
      </w:pPr>
      <w:r w:rsidRPr="00662611">
        <w:t>Effective date</w:t>
      </w:r>
    </w:p>
    <w:p w14:paraId="7D9272C1" w14:textId="651690B6" w:rsidR="005F797B" w:rsidRPr="00662611" w:rsidRDefault="00A44C42" w:rsidP="003102C2">
      <w:pPr>
        <w:pStyle w:val="NumCPlain1"/>
        <w:numPr>
          <w:ilvl w:val="0"/>
          <w:numId w:val="32"/>
        </w:numPr>
        <w:ind w:left="782" w:hanging="782"/>
      </w:pPr>
      <w:bookmarkStart w:id="98" w:name="_Ref462390588"/>
      <w:r w:rsidRPr="00662611">
        <w:t xml:space="preserve">An entity shall apply this Standard for annual reporting periods </w:t>
      </w:r>
      <w:bookmarkStart w:id="99" w:name="ApplyText"/>
      <w:r w:rsidRPr="00662611">
        <w:t>beginning</w:t>
      </w:r>
      <w:bookmarkEnd w:id="99"/>
      <w:r w:rsidRPr="00662611">
        <w:t xml:space="preserve"> on or after </w:t>
      </w:r>
      <w:bookmarkStart w:id="100" w:name="ApplyDate"/>
      <w:r w:rsidRPr="00662611">
        <w:t>1 January 2019</w:t>
      </w:r>
      <w:bookmarkEnd w:id="100"/>
      <w:r w:rsidRPr="00662611">
        <w:t xml:space="preserve">. Earlier application is permitted </w:t>
      </w:r>
      <w:bookmarkEnd w:id="98"/>
      <w:r w:rsidR="005F797B" w:rsidRPr="00662611">
        <w:t>for periods beginning before 1 January 2019. If an entity applies this Standard for an earlier period, it shall disclose that fact.</w:t>
      </w:r>
    </w:p>
    <w:p w14:paraId="7D9272C2" w14:textId="77777777" w:rsidR="00A44C42" w:rsidRPr="00662611" w:rsidRDefault="00A44C42" w:rsidP="00A44C42">
      <w:pPr>
        <w:pStyle w:val="IASBSectionTitle1NonInd"/>
        <w:outlineLvl w:val="1"/>
      </w:pPr>
      <w:r w:rsidRPr="00662611">
        <w:t>Transition</w:t>
      </w:r>
    </w:p>
    <w:p w14:paraId="7D9272C3" w14:textId="77777777" w:rsidR="00507B93" w:rsidRPr="00662611" w:rsidRDefault="00D443DA" w:rsidP="003102C2">
      <w:pPr>
        <w:pStyle w:val="NumCPlain1"/>
        <w:numPr>
          <w:ilvl w:val="0"/>
          <w:numId w:val="32"/>
        </w:numPr>
        <w:ind w:left="782" w:hanging="782"/>
      </w:pPr>
      <w:r w:rsidRPr="00662611">
        <w:t xml:space="preserve">For </w:t>
      </w:r>
      <w:r w:rsidR="00507B93" w:rsidRPr="00662611">
        <w:t>the purposes of the transition requirements, the date of initial application is the beginning of the earliest reporting period for which comparative information is presented in the financial statements.</w:t>
      </w:r>
    </w:p>
    <w:p w14:paraId="7D9272C4" w14:textId="77777777" w:rsidR="00507B93" w:rsidRPr="00662611" w:rsidRDefault="00507B93" w:rsidP="003102C2">
      <w:pPr>
        <w:pStyle w:val="NumCPlain1"/>
        <w:numPr>
          <w:ilvl w:val="0"/>
          <w:numId w:val="32"/>
        </w:numPr>
        <w:ind w:left="782" w:hanging="782"/>
      </w:pPr>
      <w:bookmarkStart w:id="101" w:name="_Ref475631940"/>
      <w:r w:rsidRPr="00662611">
        <w:t>A grantor shall apply this Standard either:</w:t>
      </w:r>
      <w:bookmarkEnd w:id="101"/>
    </w:p>
    <w:p w14:paraId="7D9272C5" w14:textId="77777777" w:rsidR="00507B93" w:rsidRPr="00662611" w:rsidRDefault="00507B93" w:rsidP="00BE598E">
      <w:pPr>
        <w:pStyle w:val="NumCPlain2"/>
      </w:pPr>
      <w:r w:rsidRPr="00662611">
        <w:t>(a)</w:t>
      </w:r>
      <w:r w:rsidRPr="00662611">
        <w:tab/>
        <w:t xml:space="preserve">retrospectively to each prior period presented in accordance with AASB 108 </w:t>
      </w:r>
      <w:r w:rsidRPr="00662611">
        <w:rPr>
          <w:i/>
        </w:rPr>
        <w:t>Accounting Policies, Changes in Accounting Estimates and Errors</w:t>
      </w:r>
      <w:r w:rsidRPr="00662611">
        <w:t>; or</w:t>
      </w:r>
    </w:p>
    <w:p w14:paraId="7D9272C6" w14:textId="77777777" w:rsidR="00507B93" w:rsidRPr="00662611" w:rsidRDefault="00507B93" w:rsidP="00BE598E">
      <w:pPr>
        <w:pStyle w:val="NumCPlain2"/>
      </w:pPr>
      <w:r w:rsidRPr="00662611">
        <w:t>(b)</w:t>
      </w:r>
      <w:r w:rsidRPr="00662611">
        <w:tab/>
      </w:r>
      <w:proofErr w:type="gramStart"/>
      <w:r w:rsidRPr="00662611">
        <w:t>retrospectively</w:t>
      </w:r>
      <w:proofErr w:type="gramEnd"/>
      <w:r w:rsidRPr="00662611">
        <w:t xml:space="preserve"> by recognising and measuring service concession assets and related liabilities at the date of initial application.</w:t>
      </w:r>
    </w:p>
    <w:p w14:paraId="7D9272C7" w14:textId="17F92400" w:rsidR="00507B93" w:rsidRPr="00662611" w:rsidRDefault="00507B93" w:rsidP="003102C2">
      <w:pPr>
        <w:pStyle w:val="NumCPlain1"/>
        <w:numPr>
          <w:ilvl w:val="0"/>
          <w:numId w:val="32"/>
        </w:numPr>
        <w:ind w:left="782" w:hanging="782"/>
      </w:pPr>
      <w:bookmarkStart w:id="102" w:name="_Ref475632049"/>
      <w:r w:rsidRPr="00662611">
        <w:t>If a grantor elects to apply this Standard retrospectively in</w:t>
      </w:r>
      <w:r w:rsidR="003E7B39" w:rsidRPr="00662611">
        <w:t xml:space="preserve"> accordance with paragraph </w:t>
      </w:r>
      <w:r w:rsidR="001F0831">
        <w:fldChar w:fldCharType="begin"/>
      </w:r>
      <w:r w:rsidR="001F0831">
        <w:instrText xml:space="preserve"> REF _Ref475631940 \r \h </w:instrText>
      </w:r>
      <w:r w:rsidR="001F0831">
        <w:fldChar w:fldCharType="separate"/>
      </w:r>
      <w:r w:rsidR="00C43128">
        <w:t>C3</w:t>
      </w:r>
      <w:r w:rsidR="001F0831">
        <w:fldChar w:fldCharType="end"/>
      </w:r>
      <w:r w:rsidR="003E7B39" w:rsidRPr="00662611">
        <w:t>(b</w:t>
      </w:r>
      <w:r w:rsidRPr="00662611">
        <w:t>), the grantor shall:</w:t>
      </w:r>
      <w:bookmarkEnd w:id="102"/>
    </w:p>
    <w:p w14:paraId="7D9272C8" w14:textId="6D431E36" w:rsidR="00507B93" w:rsidRPr="00662611" w:rsidRDefault="00507B93" w:rsidP="007F714A">
      <w:pPr>
        <w:pStyle w:val="IASBNormalnpara"/>
        <w:spacing w:before="0" w:after="100"/>
        <w:ind w:left="1564" w:hanging="782"/>
      </w:pPr>
      <w:r w:rsidRPr="00662611">
        <w:t>(</w:t>
      </w:r>
      <w:proofErr w:type="gramStart"/>
      <w:r w:rsidRPr="00662611">
        <w:t>a</w:t>
      </w:r>
      <w:proofErr w:type="gramEnd"/>
      <w:r w:rsidRPr="00662611">
        <w:t>)</w:t>
      </w:r>
      <w:r w:rsidRPr="00662611">
        <w:tab/>
        <w:t>measure the deemed cost of a service concession asset (including an existing asset of the grantor reclassified as a service concession asset) at fair value (current replacement cost) at the date of initial application;</w:t>
      </w:r>
    </w:p>
    <w:p w14:paraId="7D9272C9" w14:textId="77777777" w:rsidR="00507B93" w:rsidRPr="00662611" w:rsidRDefault="00507B93" w:rsidP="007F714A">
      <w:pPr>
        <w:pStyle w:val="IASBNormalnpara"/>
        <w:spacing w:before="0" w:after="100"/>
        <w:ind w:left="1564" w:hanging="782"/>
      </w:pPr>
      <w:r w:rsidRPr="00662611">
        <w:t>(b)</w:t>
      </w:r>
      <w:r w:rsidRPr="00662611">
        <w:tab/>
      </w:r>
      <w:proofErr w:type="gramStart"/>
      <w:r w:rsidRPr="00662611">
        <w:t>measure</w:t>
      </w:r>
      <w:proofErr w:type="gramEnd"/>
      <w:r w:rsidRPr="00662611">
        <w:t xml:space="preserve"> a financial liability arising under a service concession arrangement </w:t>
      </w:r>
      <w:r w:rsidR="009D7770" w:rsidRPr="00662611">
        <w:t xml:space="preserve">in accordance with this Standard </w:t>
      </w:r>
      <w:r w:rsidRPr="00662611">
        <w:t>at the date of initial application;</w:t>
      </w:r>
    </w:p>
    <w:p w14:paraId="7D9272CA" w14:textId="39293242" w:rsidR="00507B93" w:rsidRPr="00662611" w:rsidRDefault="00507B93" w:rsidP="007F714A">
      <w:pPr>
        <w:pStyle w:val="IASBNormalnpara"/>
        <w:spacing w:before="0" w:after="100"/>
        <w:ind w:left="1564" w:hanging="782"/>
      </w:pPr>
      <w:r w:rsidRPr="00662611">
        <w:t>(c)</w:t>
      </w:r>
      <w:r w:rsidRPr="00662611">
        <w:tab/>
        <w:t xml:space="preserve">measure a liability representing the unearned portion of any revenue arising from the receipt of a service concession asset under the grant of a right to the operator model at the fair value (current replacement cost) of the related service concession asset at the date of initial application, adjusted to reflect the remaining period of the service concession arrangement relative to the remaining </w:t>
      </w:r>
      <w:r w:rsidR="00D50163" w:rsidRPr="00662611">
        <w:t xml:space="preserve">economic </w:t>
      </w:r>
      <w:r w:rsidRPr="00662611">
        <w:t xml:space="preserve">life of the asset, less any related financial liabilities measured in accordance with paragraph </w:t>
      </w:r>
      <w:r w:rsidR="00ED48E4">
        <w:fldChar w:fldCharType="begin"/>
      </w:r>
      <w:r w:rsidR="00ED48E4">
        <w:instrText xml:space="preserve"> REF _Ref486086931 \r \h </w:instrText>
      </w:r>
      <w:r w:rsidR="00ED48E4">
        <w:fldChar w:fldCharType="separate"/>
      </w:r>
      <w:r w:rsidR="00C43128">
        <w:t>(b)</w:t>
      </w:r>
      <w:r w:rsidR="00ED48E4">
        <w:fldChar w:fldCharType="end"/>
      </w:r>
      <w:r w:rsidRPr="00662611">
        <w:t>;</w:t>
      </w:r>
    </w:p>
    <w:p w14:paraId="7D9272CB" w14:textId="77777777" w:rsidR="00507B93" w:rsidRPr="00662611" w:rsidRDefault="00507B93" w:rsidP="007F714A">
      <w:pPr>
        <w:pStyle w:val="IASBNormalnpara"/>
        <w:spacing w:before="0" w:after="100"/>
        <w:ind w:left="1564" w:hanging="782"/>
      </w:pPr>
      <w:r w:rsidRPr="00662611">
        <w:t>(d)</w:t>
      </w:r>
      <w:r w:rsidRPr="00662611">
        <w:tab/>
        <w:t xml:space="preserve">recognise any </w:t>
      </w:r>
      <w:r w:rsidR="0026701C" w:rsidRPr="00662611">
        <w:t xml:space="preserve">net adjustments to </w:t>
      </w:r>
      <w:r w:rsidRPr="00662611">
        <w:t>the amounts of assets and liabilities as an adjustment to the opening balance of accumulated surplus (deficiency) at the date of initial application; and</w:t>
      </w:r>
    </w:p>
    <w:p w14:paraId="7D9272CC" w14:textId="349D40DA" w:rsidR="00A44C42" w:rsidRPr="00662611" w:rsidRDefault="00507B93" w:rsidP="007F714A">
      <w:pPr>
        <w:pStyle w:val="IASBNormalnpara"/>
        <w:spacing w:before="0" w:after="100"/>
        <w:ind w:left="1564" w:hanging="782"/>
      </w:pPr>
      <w:r w:rsidRPr="00662611">
        <w:t>(e)</w:t>
      </w:r>
      <w:r w:rsidRPr="00662611">
        <w:tab/>
      </w:r>
      <w:proofErr w:type="gramStart"/>
      <w:r w:rsidRPr="00662611">
        <w:t>disclose</w:t>
      </w:r>
      <w:proofErr w:type="gramEnd"/>
      <w:r w:rsidRPr="00662611">
        <w:t xml:space="preserve"> that it has applied this transition approach and information relating to the measurement of the assets and liabilities</w:t>
      </w:r>
      <w:r w:rsidR="00746764" w:rsidRPr="00662611">
        <w:t xml:space="preserve"> in support of the disclosure objective in paragraph </w:t>
      </w:r>
      <w:r w:rsidR="00ED48E4">
        <w:fldChar w:fldCharType="begin"/>
      </w:r>
      <w:r w:rsidR="00ED48E4">
        <w:instrText xml:space="preserve"> REF _Ref475620960 \r \h </w:instrText>
      </w:r>
      <w:r w:rsidR="00ED48E4">
        <w:fldChar w:fldCharType="separate"/>
      </w:r>
      <w:r w:rsidR="00C43128">
        <w:t>28</w:t>
      </w:r>
      <w:r w:rsidR="00ED48E4">
        <w:fldChar w:fldCharType="end"/>
      </w:r>
      <w:r w:rsidRPr="00662611">
        <w:t>.</w:t>
      </w:r>
    </w:p>
    <w:p w14:paraId="7D9272CD" w14:textId="32E73948" w:rsidR="006B0C8A" w:rsidRPr="00662611" w:rsidRDefault="00EA17E3" w:rsidP="003102C2">
      <w:pPr>
        <w:pStyle w:val="NumCPlain1"/>
        <w:numPr>
          <w:ilvl w:val="0"/>
          <w:numId w:val="32"/>
        </w:numPr>
        <w:ind w:left="782" w:hanging="782"/>
      </w:pPr>
      <w:r w:rsidRPr="00662611">
        <w:t xml:space="preserve">Retrospective application of this Standard in accordance with either paragraph </w:t>
      </w:r>
      <w:r w:rsidR="00726BAE" w:rsidRPr="00662611">
        <w:fldChar w:fldCharType="begin"/>
      </w:r>
      <w:r w:rsidR="00726BAE" w:rsidRPr="00662611">
        <w:instrText xml:space="preserve"> REF _Ref475631940 \r \h </w:instrText>
      </w:r>
      <w:r w:rsidR="00726BAE" w:rsidRPr="00662611">
        <w:fldChar w:fldCharType="separate"/>
      </w:r>
      <w:r w:rsidR="00C43128">
        <w:t>C3</w:t>
      </w:r>
      <w:r w:rsidR="00726BAE" w:rsidRPr="00662611">
        <w:fldChar w:fldCharType="end"/>
      </w:r>
      <w:r w:rsidR="00726BAE" w:rsidRPr="00662611">
        <w:t>(a)</w:t>
      </w:r>
      <w:r w:rsidRPr="00662611">
        <w:t xml:space="preserve"> or </w:t>
      </w:r>
      <w:r w:rsidR="00726BAE" w:rsidRPr="00662611">
        <w:fldChar w:fldCharType="begin"/>
      </w:r>
      <w:r w:rsidR="00726BAE" w:rsidRPr="00662611">
        <w:instrText xml:space="preserve"> REF _Ref475631940 \r \h </w:instrText>
      </w:r>
      <w:r w:rsidR="00726BAE" w:rsidRPr="00662611">
        <w:fldChar w:fldCharType="separate"/>
      </w:r>
      <w:r w:rsidR="00C43128">
        <w:t>C3</w:t>
      </w:r>
      <w:r w:rsidR="00726BAE" w:rsidRPr="00662611">
        <w:fldChar w:fldCharType="end"/>
      </w:r>
      <w:r w:rsidR="00726BAE" w:rsidRPr="00662611">
        <w:t>(b)</w:t>
      </w:r>
      <w:r w:rsidRPr="00662611">
        <w:t xml:space="preserve"> may </w:t>
      </w:r>
      <w:r w:rsidR="006B0C8A" w:rsidRPr="00662611">
        <w:t>require the derecognition or adjustment of any service concession assets and liabilities recognised under previous accounting policies</w:t>
      </w:r>
      <w:r w:rsidR="003250BC" w:rsidRPr="00662611">
        <w:t xml:space="preserve"> or the initial recognition of service concession assets and liabilities</w:t>
      </w:r>
      <w:r w:rsidR="006B0C8A" w:rsidRPr="00662611">
        <w:t xml:space="preserve">. Any net adjustment on initial application of this Standard is recognised as an adjustment to the opening balance of accumulated surplus (deficiency). If the grantor </w:t>
      </w:r>
      <w:r w:rsidR="00211A14">
        <w:t>applies</w:t>
      </w:r>
      <w:r w:rsidR="00211A14" w:rsidRPr="00662611">
        <w:t xml:space="preserve"> </w:t>
      </w:r>
      <w:r w:rsidR="006B0C8A" w:rsidRPr="00662611">
        <w:t>the revaluation model in AASB 116 or AASB 138 as its accounting policy, the net adjustment is included in accumulated surplus (deficiency) and not revaluation surplus.</w:t>
      </w:r>
    </w:p>
    <w:p w14:paraId="7D9272CE" w14:textId="77777777" w:rsidR="006B0C8A" w:rsidRPr="00662611" w:rsidRDefault="006B0C8A" w:rsidP="003102C2">
      <w:pPr>
        <w:pStyle w:val="NumCPlain1"/>
        <w:numPr>
          <w:ilvl w:val="0"/>
          <w:numId w:val="32"/>
        </w:numPr>
        <w:ind w:left="782" w:hanging="782"/>
      </w:pPr>
      <w:r w:rsidRPr="00662611">
        <w:t xml:space="preserve">The </w:t>
      </w:r>
      <w:r w:rsidR="00EF5FAF" w:rsidRPr="00662611">
        <w:t xml:space="preserve">initial </w:t>
      </w:r>
      <w:r w:rsidRPr="00662611">
        <w:t xml:space="preserve">measurement </w:t>
      </w:r>
      <w:r w:rsidR="0091757C" w:rsidRPr="00662611">
        <w:t xml:space="preserve">of </w:t>
      </w:r>
      <w:r w:rsidRPr="00662611">
        <w:t>service concession assets at fair value (current replacement cost) does not mean that the assets are measured under the revaluation model. Subsequent revaluations are not required unless the grantor applies the revaluation model as its accounting policy.</w:t>
      </w:r>
    </w:p>
    <w:p w14:paraId="7D9272CF" w14:textId="52A1AD15" w:rsidR="006B0C8A" w:rsidRPr="00662611" w:rsidRDefault="00E14681" w:rsidP="003102C2">
      <w:pPr>
        <w:pStyle w:val="NumCPlain1"/>
        <w:numPr>
          <w:ilvl w:val="0"/>
          <w:numId w:val="32"/>
        </w:numPr>
        <w:ind w:left="782" w:hanging="782"/>
      </w:pPr>
      <w:r w:rsidRPr="00662611">
        <w:t xml:space="preserve">If a grantor applies this Standard retrospectively in accordance with paragraph </w:t>
      </w:r>
      <w:r w:rsidR="00726BAE" w:rsidRPr="00662611">
        <w:fldChar w:fldCharType="begin"/>
      </w:r>
      <w:r w:rsidR="00726BAE" w:rsidRPr="00662611">
        <w:instrText xml:space="preserve"> REF _Ref475631940 \r \h </w:instrText>
      </w:r>
      <w:r w:rsidR="00726BAE" w:rsidRPr="00662611">
        <w:fldChar w:fldCharType="separate"/>
      </w:r>
      <w:proofErr w:type="gramStart"/>
      <w:r w:rsidR="00C43128">
        <w:t>C3</w:t>
      </w:r>
      <w:proofErr w:type="gramEnd"/>
      <w:r w:rsidR="00726BAE" w:rsidRPr="00662611">
        <w:fldChar w:fldCharType="end"/>
      </w:r>
      <w:r w:rsidR="00726BAE" w:rsidRPr="00662611">
        <w:t>(b)</w:t>
      </w:r>
      <w:r w:rsidRPr="00662611">
        <w:t>, t</w:t>
      </w:r>
      <w:r w:rsidR="006B0C8A" w:rsidRPr="00662611">
        <w:t>he measurement of liabilities arising under the financial liability model at the date of initial application is addressed in paragraph</w:t>
      </w:r>
      <w:r w:rsidR="001F2340" w:rsidRPr="00662611">
        <w:t> </w:t>
      </w:r>
      <w:r w:rsidR="00726BAE" w:rsidRPr="00662611">
        <w:fldChar w:fldCharType="begin"/>
      </w:r>
      <w:r w:rsidR="00726BAE" w:rsidRPr="00662611">
        <w:instrText xml:space="preserve"> REF _Ref475632049 \r \h </w:instrText>
      </w:r>
      <w:r w:rsidR="00726BAE" w:rsidRPr="00662611">
        <w:fldChar w:fldCharType="separate"/>
      </w:r>
      <w:r w:rsidR="00C43128">
        <w:t>C4</w:t>
      </w:r>
      <w:r w:rsidR="00726BAE" w:rsidRPr="00662611">
        <w:fldChar w:fldCharType="end"/>
      </w:r>
      <w:r w:rsidR="00726BAE" w:rsidRPr="00662611">
        <w:t>(b)</w:t>
      </w:r>
      <w:r w:rsidR="006B0C8A" w:rsidRPr="00662611">
        <w:t xml:space="preserve">. Paragraph </w:t>
      </w:r>
      <w:r w:rsidR="00726BAE" w:rsidRPr="00662611">
        <w:fldChar w:fldCharType="begin"/>
      </w:r>
      <w:r w:rsidR="00726BAE" w:rsidRPr="00662611">
        <w:instrText xml:space="preserve"> REF _Ref475632049 \r \h </w:instrText>
      </w:r>
      <w:r w:rsidR="00726BAE" w:rsidRPr="00662611">
        <w:fldChar w:fldCharType="separate"/>
      </w:r>
      <w:r w:rsidR="00C43128">
        <w:t>C4</w:t>
      </w:r>
      <w:r w:rsidR="00726BAE" w:rsidRPr="00662611">
        <w:fldChar w:fldCharType="end"/>
      </w:r>
      <w:r w:rsidR="00726BAE" w:rsidRPr="00662611">
        <w:t>(c)</w:t>
      </w:r>
      <w:r w:rsidR="006B0C8A" w:rsidRPr="00662611">
        <w:t xml:space="preserve"> addresses liability measurement under both the grant of a right to the operator model and hybrid arrangements, as it requires the measurement of the liability relating to the grant of a right to the operator </w:t>
      </w:r>
      <w:r w:rsidR="00860763" w:rsidRPr="00662611">
        <w:t xml:space="preserve">to exclude </w:t>
      </w:r>
      <w:r w:rsidR="006B0C8A" w:rsidRPr="00662611">
        <w:t>any related financial liabilities.</w:t>
      </w:r>
    </w:p>
    <w:p w14:paraId="7D9272D0" w14:textId="6B8D4A75" w:rsidR="006764FE" w:rsidRPr="00662611" w:rsidRDefault="006764FE" w:rsidP="00FB21C0">
      <w:pPr>
        <w:pStyle w:val="IASBSectionTitle2Ind"/>
        <w:outlineLvl w:val="2"/>
      </w:pPr>
      <w:r w:rsidRPr="00662611">
        <w:lastRenderedPageBreak/>
        <w:t>References to</w:t>
      </w:r>
      <w:r w:rsidR="00C3683F">
        <w:t xml:space="preserve"> superseded Standards</w:t>
      </w:r>
    </w:p>
    <w:p w14:paraId="7D9272D1" w14:textId="2814AED2" w:rsidR="006764FE" w:rsidRDefault="007479B8" w:rsidP="003102C2">
      <w:pPr>
        <w:pStyle w:val="NumCPlain1"/>
        <w:numPr>
          <w:ilvl w:val="0"/>
          <w:numId w:val="32"/>
        </w:numPr>
        <w:ind w:left="782" w:hanging="782"/>
      </w:pPr>
      <w:r w:rsidRPr="00662611">
        <w:t xml:space="preserve">If </w:t>
      </w:r>
      <w:r w:rsidR="00E17293" w:rsidRPr="00662611">
        <w:t>an</w:t>
      </w:r>
      <w:r w:rsidRPr="00662611">
        <w:t xml:space="preserve"> entity </w:t>
      </w:r>
      <w:r w:rsidR="00E17293" w:rsidRPr="00662611">
        <w:t>applies this Standard but does not yet apply</w:t>
      </w:r>
      <w:r w:rsidRPr="00662611">
        <w:t xml:space="preserve"> AASB 9, </w:t>
      </w:r>
      <w:r w:rsidR="00E17293" w:rsidRPr="00662611">
        <w:t>any reference</w:t>
      </w:r>
      <w:r w:rsidRPr="00662611">
        <w:t xml:space="preserve"> in this Standard to AASB 9 </w:t>
      </w:r>
      <w:r w:rsidR="00E17293" w:rsidRPr="00662611">
        <w:t>shall</w:t>
      </w:r>
      <w:r w:rsidRPr="00662611">
        <w:t xml:space="preserve"> be read as </w:t>
      </w:r>
      <w:r w:rsidR="00C3683F">
        <w:t xml:space="preserve">a </w:t>
      </w:r>
      <w:r w:rsidR="00E17293" w:rsidRPr="00662611">
        <w:t xml:space="preserve">reference to </w:t>
      </w:r>
      <w:r w:rsidRPr="00662611">
        <w:t xml:space="preserve">AASB 139 </w:t>
      </w:r>
      <w:r w:rsidRPr="00662611">
        <w:rPr>
          <w:i/>
        </w:rPr>
        <w:t>Financial Instruments: Recognition and Measurement</w:t>
      </w:r>
      <w:r w:rsidRPr="00662611">
        <w:t>.</w:t>
      </w:r>
    </w:p>
    <w:p w14:paraId="7B58A212" w14:textId="0BC4C07B" w:rsidR="00C3683F" w:rsidRDefault="00C3683F" w:rsidP="003102C2">
      <w:pPr>
        <w:pStyle w:val="NumCPlain1"/>
        <w:numPr>
          <w:ilvl w:val="0"/>
          <w:numId w:val="32"/>
        </w:numPr>
        <w:ind w:left="782" w:hanging="782"/>
      </w:pPr>
      <w:r w:rsidRPr="00662611">
        <w:t>If an entity applies this Standard but does not yet apply</w:t>
      </w:r>
      <w:r>
        <w:t xml:space="preserve"> AASB 15 or AASB 1058</w:t>
      </w:r>
      <w:r w:rsidRPr="00662611">
        <w:t xml:space="preserve">, any reference in this Standard to </w:t>
      </w:r>
      <w:r>
        <w:t xml:space="preserve">those Standards </w:t>
      </w:r>
      <w:r w:rsidRPr="00662611">
        <w:t xml:space="preserve">shall be read as </w:t>
      </w:r>
      <w:r>
        <w:t xml:space="preserve">a </w:t>
      </w:r>
      <w:r w:rsidRPr="00662611">
        <w:t>reference to</w:t>
      </w:r>
      <w:r>
        <w:t xml:space="preserve"> AASB 118 </w:t>
      </w:r>
      <w:r w:rsidRPr="00C3683F">
        <w:rPr>
          <w:i/>
        </w:rPr>
        <w:t>Revenue</w:t>
      </w:r>
      <w:r>
        <w:t xml:space="preserve"> or AASB 1004 </w:t>
      </w:r>
      <w:r w:rsidRPr="00C3683F">
        <w:rPr>
          <w:i/>
        </w:rPr>
        <w:t>Contributions</w:t>
      </w:r>
      <w:r w:rsidR="00D9639E">
        <w:t>, as appropriate</w:t>
      </w:r>
      <w:r>
        <w:t>.</w:t>
      </w:r>
    </w:p>
    <w:p w14:paraId="1618D400" w14:textId="4320196B" w:rsidR="00D9639E" w:rsidRDefault="00D9639E" w:rsidP="003102C2">
      <w:pPr>
        <w:pStyle w:val="NumCPlain1"/>
        <w:numPr>
          <w:ilvl w:val="0"/>
          <w:numId w:val="32"/>
        </w:numPr>
        <w:ind w:left="782" w:hanging="782"/>
      </w:pPr>
      <w:r w:rsidRPr="00662611">
        <w:t>If an entity applies this Standard but does not yet apply</w:t>
      </w:r>
      <w:r>
        <w:t xml:space="preserve"> AASB 16</w:t>
      </w:r>
      <w:r w:rsidRPr="00662611">
        <w:t>, any reference in this Standard to AASB </w:t>
      </w:r>
      <w:r>
        <w:t xml:space="preserve">16 </w:t>
      </w:r>
      <w:r w:rsidRPr="00662611">
        <w:t xml:space="preserve">shall be read as </w:t>
      </w:r>
      <w:r>
        <w:t xml:space="preserve">a </w:t>
      </w:r>
      <w:r w:rsidRPr="00662611">
        <w:t>reference to AASB</w:t>
      </w:r>
      <w:r>
        <w:t xml:space="preserve"> 117 </w:t>
      </w:r>
      <w:r w:rsidRPr="00D9639E">
        <w:rPr>
          <w:i/>
        </w:rPr>
        <w:t>Leases</w:t>
      </w:r>
      <w:r>
        <w:t>.</w:t>
      </w:r>
    </w:p>
    <w:p w14:paraId="7D9272D2" w14:textId="77777777" w:rsidR="005B3EE5" w:rsidRPr="00662611" w:rsidRDefault="005B3EE5" w:rsidP="005B3EE5"/>
    <w:p w14:paraId="7D9272D3" w14:textId="77777777" w:rsidR="00E53F8E" w:rsidRPr="00662611" w:rsidRDefault="00E53F8E" w:rsidP="00A44C42">
      <w:pPr>
        <w:widowControl w:val="0"/>
        <w:autoSpaceDE w:val="0"/>
        <w:autoSpaceDN w:val="0"/>
        <w:adjustRightInd w:val="0"/>
        <w:rPr>
          <w:lang w:eastAsia="en-GB"/>
        </w:rPr>
        <w:sectPr w:rsidR="00E53F8E" w:rsidRPr="00662611" w:rsidSect="00223DBB">
          <w:footerReference w:type="default" r:id="rId37"/>
          <w:pgSz w:w="11907" w:h="16839"/>
          <w:pgMar w:top="1440" w:right="1440" w:bottom="1440" w:left="1440" w:header="720" w:footer="720" w:gutter="0"/>
          <w:cols w:space="708"/>
          <w:docGrid w:linePitch="360"/>
        </w:sectPr>
      </w:pPr>
    </w:p>
    <w:p w14:paraId="7D9272D4" w14:textId="77777777" w:rsidR="00E53F8E" w:rsidRPr="00662611" w:rsidRDefault="00E53F8E" w:rsidP="00E53F8E">
      <w:pPr>
        <w:pStyle w:val="ConvSectionTitle"/>
      </w:pPr>
      <w:r w:rsidRPr="00662611">
        <w:lastRenderedPageBreak/>
        <w:t>Appendix D</w:t>
      </w:r>
      <w:r w:rsidRPr="00662611">
        <w:br/>
        <w:t>Amendments to other Standards</w:t>
      </w:r>
    </w:p>
    <w:p w14:paraId="7D9272D5" w14:textId="77777777" w:rsidR="00E53F8E" w:rsidRPr="00662611" w:rsidRDefault="00E53F8E" w:rsidP="00E53F8E">
      <w:pPr>
        <w:pStyle w:val="IASBNote"/>
        <w:rPr>
          <w:i w:val="0"/>
        </w:rPr>
      </w:pPr>
      <w:r w:rsidRPr="00662611">
        <w:t>This appendix sets out the amendments to other Australian Accounting Standards that are a consequence of the AASB issuing this Standard.</w:t>
      </w:r>
    </w:p>
    <w:p w14:paraId="7D9272D6" w14:textId="77777777" w:rsidR="009F17BF" w:rsidRPr="00662611" w:rsidRDefault="009F17BF" w:rsidP="00E53F8E">
      <w:pPr>
        <w:pStyle w:val="IASBNote"/>
        <w:rPr>
          <w:i w:val="0"/>
        </w:rPr>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Table 1"/>
      </w:tblPr>
      <w:tblGrid>
        <w:gridCol w:w="9243"/>
      </w:tblGrid>
      <w:tr w:rsidR="009F17BF" w:rsidRPr="00662611" w14:paraId="7D9272DC" w14:textId="77777777" w:rsidTr="009F17BF">
        <w:trPr>
          <w:tblHeader/>
        </w:trPr>
        <w:tc>
          <w:tcPr>
            <w:tcW w:w="9243" w:type="dxa"/>
          </w:tcPr>
          <w:p w14:paraId="7D9272D7" w14:textId="77777777" w:rsidR="009F17BF" w:rsidRPr="00662611" w:rsidRDefault="009F17BF" w:rsidP="009F17BF">
            <w:pPr>
              <w:pStyle w:val="IASBTableArial"/>
            </w:pPr>
            <w:r w:rsidRPr="00662611">
              <w:t xml:space="preserve">The amendments set out in this appendix apply to entities and financial statements in accordance with the application of the Standards and Interpretations set out in AASB 1057 </w:t>
            </w:r>
            <w:r w:rsidRPr="00662611">
              <w:rPr>
                <w:i/>
              </w:rPr>
              <w:t>Application of Australian Accounting Standards</w:t>
            </w:r>
            <w:r w:rsidRPr="00662611">
              <w:t xml:space="preserve"> (as amended).</w:t>
            </w:r>
          </w:p>
          <w:p w14:paraId="7D9272D8" w14:textId="77777777" w:rsidR="009F17BF" w:rsidRPr="00662611" w:rsidRDefault="009F17BF" w:rsidP="009F17BF">
            <w:pPr>
              <w:pStyle w:val="IASBTableArial"/>
            </w:pPr>
            <w:r w:rsidRPr="00662611">
              <w:t xml:space="preserve">The amendments apply to annual reporting periods beginning on or after 1 January 2019. </w:t>
            </w:r>
          </w:p>
          <w:p w14:paraId="7D9272D9" w14:textId="77777777" w:rsidR="009F17BF" w:rsidRPr="00662611" w:rsidRDefault="009F17BF" w:rsidP="009F17BF">
            <w:pPr>
              <w:pStyle w:val="IASBTableArial"/>
            </w:pPr>
            <w:r w:rsidRPr="00662611">
              <w:t xml:space="preserve">If an entity applies this Standard to an earlier period, it shall also apply these amendments to that earlier period. </w:t>
            </w:r>
          </w:p>
          <w:p w14:paraId="7D9272DA" w14:textId="77777777" w:rsidR="009F17BF" w:rsidRPr="00662611" w:rsidRDefault="009F17BF" w:rsidP="009F17BF">
            <w:pPr>
              <w:pStyle w:val="IASBTableArial"/>
            </w:pPr>
            <w:r w:rsidRPr="00662611">
              <w:t>Amendments are made to the latest principal version of a Standard (or an Interpretation), unless otherwise indicated. The amendments also apply, as far as possible, to earlier principal versions of the amended Standards and Interpretations when this Standard is applied for earlier periods, as necessary.</w:t>
            </w:r>
          </w:p>
          <w:p w14:paraId="7D9272DB" w14:textId="77777777" w:rsidR="009F17BF" w:rsidRPr="00662611" w:rsidRDefault="009F17BF" w:rsidP="009F17BF">
            <w:pPr>
              <w:pStyle w:val="IASBTableArial"/>
            </w:pPr>
            <w:r w:rsidRPr="00662611">
              <w:t>This appendix uses underlining, striking out and other typographical material to identify some of the amendments to a Standard or an Interpretation, in order to make the amendments more understandable. However, the amendments made by this appendix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tc>
      </w:tr>
    </w:tbl>
    <w:p w14:paraId="7D9272DD" w14:textId="77777777" w:rsidR="00E7352D" w:rsidRPr="00662611" w:rsidRDefault="00E7352D" w:rsidP="00E7352D">
      <w:pPr>
        <w:pStyle w:val="IASBSectionTitle1NonIndNoLine"/>
        <w:outlineLvl w:val="1"/>
        <w:rPr>
          <w:i/>
        </w:rPr>
      </w:pPr>
      <w:r w:rsidRPr="00662611">
        <w:t xml:space="preserve">AASB 16 </w:t>
      </w:r>
      <w:r w:rsidRPr="00662611">
        <w:rPr>
          <w:i/>
        </w:rPr>
        <w:t xml:space="preserve">Leases </w:t>
      </w:r>
      <w:r w:rsidRPr="00662611">
        <w:t>(February 2016)</w:t>
      </w:r>
    </w:p>
    <w:p w14:paraId="7D9272DE" w14:textId="77777777" w:rsidR="00E7352D" w:rsidRPr="00662611" w:rsidRDefault="00E7352D" w:rsidP="00E7352D">
      <w:pPr>
        <w:pStyle w:val="AmendmentInstruction"/>
        <w:keepNext w:val="0"/>
      </w:pPr>
      <w:r w:rsidRPr="00662611">
        <w:t>Paragraph Aus3.1 is added.</w:t>
      </w:r>
    </w:p>
    <w:p w14:paraId="7D9272DF" w14:textId="09203391" w:rsidR="00E7352D" w:rsidRPr="00662611" w:rsidRDefault="00E7352D" w:rsidP="00E7352D">
      <w:pPr>
        <w:pStyle w:val="PlainNumHang1"/>
      </w:pPr>
      <w:r w:rsidRPr="00662611">
        <w:t>Aus3.1</w:t>
      </w:r>
      <w:r w:rsidRPr="00662611">
        <w:tab/>
        <w:t xml:space="preserve">This Standard does not apply to service concession assets recognised in accordance with AASB </w:t>
      </w:r>
      <w:r w:rsidR="005F6667">
        <w:t>1059</w:t>
      </w:r>
      <w:r w:rsidRPr="00662611">
        <w:t xml:space="preserve"> </w:t>
      </w:r>
      <w:r w:rsidRPr="00662611">
        <w:rPr>
          <w:i/>
        </w:rPr>
        <w:t>Service Concession Arrangements: Grantors</w:t>
      </w:r>
      <w:r w:rsidRPr="00662611">
        <w:t>.</w:t>
      </w:r>
    </w:p>
    <w:p w14:paraId="7D9272E0" w14:textId="77777777" w:rsidR="009F17BF" w:rsidRPr="00662611" w:rsidRDefault="00E7352D" w:rsidP="009F17BF">
      <w:pPr>
        <w:pStyle w:val="IASBSectionTitle1NonIndNoLine"/>
        <w:outlineLvl w:val="1"/>
        <w:rPr>
          <w:i/>
        </w:rPr>
      </w:pPr>
      <w:r w:rsidRPr="00662611">
        <w:t xml:space="preserve">AASB </w:t>
      </w:r>
      <w:r w:rsidR="009F17BF" w:rsidRPr="00662611">
        <w:t xml:space="preserve">138 </w:t>
      </w:r>
      <w:r w:rsidR="009F17BF" w:rsidRPr="00662611">
        <w:rPr>
          <w:i/>
        </w:rPr>
        <w:t xml:space="preserve">Intangible Assets </w:t>
      </w:r>
      <w:r w:rsidR="009F17BF" w:rsidRPr="00662611">
        <w:t>(August 2015)</w:t>
      </w:r>
    </w:p>
    <w:p w14:paraId="7D9272E1" w14:textId="77777777" w:rsidR="009F17BF" w:rsidRPr="00662611" w:rsidRDefault="00CF00A6" w:rsidP="009F17BF">
      <w:pPr>
        <w:pStyle w:val="AmendmentInstruction"/>
        <w:keepNext w:val="0"/>
      </w:pPr>
      <w:r w:rsidRPr="00662611">
        <w:t>P</w:t>
      </w:r>
      <w:r w:rsidR="009F17BF" w:rsidRPr="00662611">
        <w:t>aragraph Aus</w:t>
      </w:r>
      <w:r w:rsidRPr="00662611">
        <w:t>3.</w:t>
      </w:r>
      <w:r w:rsidR="009F17BF" w:rsidRPr="00662611">
        <w:t xml:space="preserve">1 </w:t>
      </w:r>
      <w:r w:rsidRPr="00662611">
        <w:t xml:space="preserve">is </w:t>
      </w:r>
      <w:r w:rsidR="009F17BF" w:rsidRPr="00662611">
        <w:t>added.</w:t>
      </w:r>
    </w:p>
    <w:p w14:paraId="7D9272E2" w14:textId="10590506" w:rsidR="00CF00A6" w:rsidRPr="00662611" w:rsidRDefault="00CF00A6" w:rsidP="00CF00A6">
      <w:pPr>
        <w:pStyle w:val="PlainNumHang1"/>
        <w:spacing w:after="100"/>
        <w:ind w:left="992" w:hanging="992"/>
      </w:pPr>
      <w:r w:rsidRPr="00662611">
        <w:t>Aus3.1</w:t>
      </w:r>
      <w:r w:rsidRPr="00662611">
        <w:tab/>
        <w:t xml:space="preserve">This Standard does not apply to intangible assets recognised as service concession assets in accordance with AASB </w:t>
      </w:r>
      <w:r w:rsidR="005F6667">
        <w:t>1059</w:t>
      </w:r>
      <w:r w:rsidRPr="00662611">
        <w:t xml:space="preserve"> </w:t>
      </w:r>
      <w:r w:rsidRPr="00662611">
        <w:rPr>
          <w:i/>
        </w:rPr>
        <w:t>Service Concession Arrangements: Grantors</w:t>
      </w:r>
      <w:r w:rsidRPr="00662611">
        <w:t>, except as set out in that Standard.</w:t>
      </w:r>
    </w:p>
    <w:p w14:paraId="2864D26B" w14:textId="4C29D67C" w:rsidR="00A42B03" w:rsidRPr="00662611" w:rsidRDefault="00A42B03" w:rsidP="00A42B03">
      <w:pPr>
        <w:pStyle w:val="IASBSectionTitle1NonIndNoLine"/>
        <w:outlineLvl w:val="1"/>
        <w:rPr>
          <w:i/>
        </w:rPr>
      </w:pPr>
      <w:r w:rsidRPr="00662611">
        <w:t>AASB 1</w:t>
      </w:r>
      <w:r>
        <w:t>051</w:t>
      </w:r>
      <w:r w:rsidRPr="00662611">
        <w:t xml:space="preserve"> </w:t>
      </w:r>
      <w:r>
        <w:rPr>
          <w:i/>
        </w:rPr>
        <w:t xml:space="preserve">Land </w:t>
      </w:r>
      <w:proofErr w:type="gramStart"/>
      <w:r>
        <w:rPr>
          <w:i/>
        </w:rPr>
        <w:t>Under</w:t>
      </w:r>
      <w:proofErr w:type="gramEnd"/>
      <w:r>
        <w:rPr>
          <w:i/>
        </w:rPr>
        <w:t xml:space="preserve"> Roads</w:t>
      </w:r>
      <w:r w:rsidRPr="00662611">
        <w:rPr>
          <w:i/>
        </w:rPr>
        <w:t xml:space="preserve"> </w:t>
      </w:r>
      <w:r w:rsidRPr="00662611">
        <w:t>(</w:t>
      </w:r>
      <w:r>
        <w:t>December</w:t>
      </w:r>
      <w:r w:rsidRPr="00662611">
        <w:t xml:space="preserve"> 20</w:t>
      </w:r>
      <w:r>
        <w:t>07</w:t>
      </w:r>
      <w:r w:rsidRPr="00662611">
        <w:t>)</w:t>
      </w:r>
    </w:p>
    <w:p w14:paraId="3EE90CDE" w14:textId="5C9D79C1" w:rsidR="00A42B03" w:rsidRPr="00662611" w:rsidRDefault="00A42B03" w:rsidP="00A42B03">
      <w:pPr>
        <w:pStyle w:val="AmendmentInstruction"/>
        <w:keepNext w:val="0"/>
      </w:pPr>
      <w:r w:rsidRPr="00662611">
        <w:t>P</w:t>
      </w:r>
      <w:r>
        <w:t>aragraph 7</w:t>
      </w:r>
      <w:r w:rsidRPr="00662611">
        <w:t xml:space="preserve"> is a</w:t>
      </w:r>
      <w:r>
        <w:t>mende</w:t>
      </w:r>
      <w:r w:rsidRPr="00662611">
        <w:t>d.</w:t>
      </w:r>
    </w:p>
    <w:p w14:paraId="0D9F6AC2" w14:textId="3E45967D" w:rsidR="00A42B03" w:rsidRPr="00A42B03" w:rsidRDefault="00A42B03" w:rsidP="00A42B03">
      <w:pPr>
        <w:pStyle w:val="PlainNumHang1"/>
        <w:rPr>
          <w:b/>
        </w:rPr>
      </w:pPr>
      <w:r w:rsidRPr="00A42B03">
        <w:rPr>
          <w:b/>
        </w:rPr>
        <w:t>7</w:t>
      </w:r>
      <w:r w:rsidRPr="00A42B03">
        <w:rPr>
          <w:b/>
        </w:rPr>
        <w:tab/>
        <w:t xml:space="preserve">Other Australian Accounting Standards (including AASB 116 </w:t>
      </w:r>
      <w:r w:rsidRPr="00A42B03">
        <w:rPr>
          <w:b/>
          <w:i/>
        </w:rPr>
        <w:t>Property, Plant and Equipment</w:t>
      </w:r>
      <w:r w:rsidRPr="00A42B03">
        <w:rPr>
          <w:b/>
        </w:rPr>
        <w:t xml:space="preserve">) apply to land under roads, except to the extent that this Standard requires or permits otherwise. </w:t>
      </w:r>
      <w:r w:rsidRPr="00034BB3">
        <w:rPr>
          <w:b/>
          <w:u w:val="single"/>
        </w:rPr>
        <w:t xml:space="preserve">This Standard does not apply to land under roads </w:t>
      </w:r>
      <w:r w:rsidR="00034BB3">
        <w:rPr>
          <w:b/>
          <w:u w:val="single"/>
        </w:rPr>
        <w:t xml:space="preserve">that are </w:t>
      </w:r>
      <w:r w:rsidRPr="00034BB3">
        <w:rPr>
          <w:b/>
          <w:u w:val="single"/>
        </w:rPr>
        <w:t xml:space="preserve">service concession assets in accordance with AASB </w:t>
      </w:r>
      <w:r w:rsidR="005F6667">
        <w:rPr>
          <w:b/>
          <w:u w:val="single"/>
        </w:rPr>
        <w:t>1059</w:t>
      </w:r>
      <w:r w:rsidRPr="00034BB3">
        <w:rPr>
          <w:b/>
          <w:u w:val="single"/>
        </w:rPr>
        <w:t xml:space="preserve"> </w:t>
      </w:r>
      <w:r w:rsidRPr="00034BB3">
        <w:rPr>
          <w:b/>
          <w:i/>
          <w:u w:val="single"/>
        </w:rPr>
        <w:t>Service Concession Arrangements: Grantors</w:t>
      </w:r>
      <w:r w:rsidRPr="00034BB3">
        <w:rPr>
          <w:b/>
          <w:u w:val="single"/>
        </w:rPr>
        <w:t>.</w:t>
      </w:r>
    </w:p>
    <w:p w14:paraId="7D9272E3" w14:textId="77777777" w:rsidR="00CF00A6" w:rsidRPr="00662611" w:rsidRDefault="00CF00A6" w:rsidP="00CF00A6">
      <w:pPr>
        <w:pStyle w:val="IASBSectionTitle1NonIndNoLine"/>
        <w:outlineLvl w:val="1"/>
        <w:rPr>
          <w:i/>
        </w:rPr>
      </w:pPr>
      <w:r w:rsidRPr="00662611">
        <w:lastRenderedPageBreak/>
        <w:t xml:space="preserve">Interpretation 129 </w:t>
      </w:r>
      <w:r w:rsidRPr="00662611">
        <w:rPr>
          <w:i/>
        </w:rPr>
        <w:t>Service Concession Arrangements: Disclosures</w:t>
      </w:r>
      <w:r w:rsidRPr="00662611">
        <w:t xml:space="preserve"> (August 2015)</w:t>
      </w:r>
    </w:p>
    <w:p w14:paraId="7D9272E4" w14:textId="77777777" w:rsidR="00CF00A6" w:rsidRPr="00662611" w:rsidRDefault="00CF00A6" w:rsidP="002904C0">
      <w:pPr>
        <w:pStyle w:val="AmendmentInstruction"/>
      </w:pPr>
      <w:r w:rsidRPr="00662611">
        <w:t>Paragraphs 4 and 6 are amended.</w:t>
      </w:r>
    </w:p>
    <w:p w14:paraId="7D9272E5" w14:textId="77777777" w:rsidR="00E7352D" w:rsidRPr="00662611" w:rsidRDefault="00E7352D" w:rsidP="00E7352D">
      <w:pPr>
        <w:pStyle w:val="PlainNumHang1"/>
      </w:pPr>
      <w:r w:rsidRPr="00662611">
        <w:t>4</w:t>
      </w:r>
      <w:r w:rsidRPr="00662611">
        <w:tab/>
        <w:t>The issue is what information should be disclosed in the notes in financial statements of an operator</w:t>
      </w:r>
      <w:r w:rsidRPr="00662611">
        <w:rPr>
          <w:strike/>
        </w:rPr>
        <w:t xml:space="preserve"> and a grantor</w:t>
      </w:r>
      <w:r w:rsidRPr="00662611">
        <w:t>.</w:t>
      </w:r>
    </w:p>
    <w:p w14:paraId="7D9272E6" w14:textId="77777777" w:rsidR="00E7352D" w:rsidRPr="00662611" w:rsidRDefault="00E7352D" w:rsidP="00E7352D">
      <w:pPr>
        <w:pStyle w:val="PlainNumHang1"/>
        <w:spacing w:after="100"/>
      </w:pPr>
      <w:r w:rsidRPr="00662611">
        <w:t>6</w:t>
      </w:r>
      <w:r w:rsidRPr="00662611">
        <w:tab/>
        <w:t xml:space="preserve">All aspects of a service concession arrangement shall be considered in determining the appropriate disclosures in the notes.  An operator </w:t>
      </w:r>
      <w:r w:rsidRPr="00662611">
        <w:rPr>
          <w:strike/>
        </w:rPr>
        <w:t xml:space="preserve">and a grantor </w:t>
      </w:r>
      <w:r w:rsidRPr="00662611">
        <w:t>shall disclose the following in each period:</w:t>
      </w:r>
    </w:p>
    <w:p w14:paraId="7D9272E7" w14:textId="77777777" w:rsidR="00E7352D" w:rsidRPr="00662611" w:rsidRDefault="00AB5C20" w:rsidP="00AB5C20">
      <w:pPr>
        <w:pStyle w:val="PlainNumHang1"/>
        <w:ind w:left="1564"/>
        <w:rPr>
          <w:sz w:val="20"/>
          <w:szCs w:val="24"/>
        </w:rPr>
      </w:pPr>
      <w:r w:rsidRPr="00662611">
        <w:rPr>
          <w:sz w:val="20"/>
          <w:szCs w:val="24"/>
        </w:rPr>
        <w:t>(a)</w:t>
      </w:r>
      <w:r w:rsidRPr="00662611">
        <w:rPr>
          <w:sz w:val="20"/>
          <w:szCs w:val="24"/>
        </w:rPr>
        <w:tab/>
      </w:r>
      <w:r w:rsidR="00E7352D" w:rsidRPr="00662611">
        <w:rPr>
          <w:sz w:val="20"/>
          <w:szCs w:val="24"/>
        </w:rPr>
        <w:t>…</w:t>
      </w:r>
    </w:p>
    <w:p w14:paraId="7D9272E8" w14:textId="77777777" w:rsidR="00E53F8E" w:rsidRPr="00662611" w:rsidRDefault="00E53F8E" w:rsidP="00B73336">
      <w:pPr>
        <w:pStyle w:val="IASBNormalnpara"/>
      </w:pPr>
    </w:p>
    <w:p w14:paraId="7D9272E9" w14:textId="77777777" w:rsidR="00A44C42" w:rsidRPr="00662611" w:rsidRDefault="00A44C42" w:rsidP="00A44C42">
      <w:pPr>
        <w:widowControl w:val="0"/>
        <w:autoSpaceDE w:val="0"/>
        <w:autoSpaceDN w:val="0"/>
        <w:adjustRightInd w:val="0"/>
        <w:rPr>
          <w:lang w:eastAsia="en-GB"/>
        </w:rPr>
        <w:sectPr w:rsidR="00A44C42" w:rsidRPr="00662611" w:rsidSect="00223DBB">
          <w:footerReference w:type="default" r:id="rId38"/>
          <w:pgSz w:w="11907" w:h="16839"/>
          <w:pgMar w:top="1440" w:right="1440" w:bottom="1440" w:left="1440" w:header="720" w:footer="720" w:gutter="0"/>
          <w:cols w:space="708"/>
          <w:docGrid w:linePitch="360"/>
        </w:sectPr>
      </w:pPr>
    </w:p>
    <w:p w14:paraId="7D9272EA" w14:textId="77777777" w:rsidR="00FF1032" w:rsidRPr="00662611" w:rsidRDefault="00FF1032" w:rsidP="001B091F">
      <w:pPr>
        <w:pStyle w:val="ConvSectionTitle"/>
      </w:pPr>
      <w:r w:rsidRPr="00662611">
        <w:lastRenderedPageBreak/>
        <w:t xml:space="preserve">Implementation </w:t>
      </w:r>
      <w:r w:rsidR="00650CBA" w:rsidRPr="00662611">
        <w:t>g</w:t>
      </w:r>
      <w:r w:rsidRPr="00662611">
        <w:t>uidance</w:t>
      </w:r>
    </w:p>
    <w:p w14:paraId="7D9272EB" w14:textId="513150E6" w:rsidR="00FF1032" w:rsidRPr="00662611" w:rsidRDefault="00FF1032" w:rsidP="00FF1032">
      <w:pPr>
        <w:pStyle w:val="AppendixNote"/>
        <w:rPr>
          <w:sz w:val="19"/>
          <w:szCs w:val="19"/>
        </w:rPr>
      </w:pPr>
      <w:r w:rsidRPr="00662611">
        <w:rPr>
          <w:sz w:val="19"/>
          <w:szCs w:val="19"/>
        </w:rPr>
        <w:t xml:space="preserve">This </w:t>
      </w:r>
      <w:r w:rsidR="009C791E" w:rsidRPr="00662611">
        <w:rPr>
          <w:sz w:val="19"/>
          <w:szCs w:val="19"/>
        </w:rPr>
        <w:t xml:space="preserve">implementation </w:t>
      </w:r>
      <w:r w:rsidRPr="00662611">
        <w:rPr>
          <w:sz w:val="19"/>
          <w:szCs w:val="19"/>
        </w:rPr>
        <w:t xml:space="preserve">guidance accompanies, but is not part of, AASB </w:t>
      </w:r>
      <w:r w:rsidR="005F6667">
        <w:rPr>
          <w:sz w:val="19"/>
          <w:szCs w:val="19"/>
        </w:rPr>
        <w:t>1059</w:t>
      </w:r>
      <w:r w:rsidRPr="00662611">
        <w:rPr>
          <w:sz w:val="19"/>
          <w:szCs w:val="19"/>
        </w:rPr>
        <w:t>.</w:t>
      </w:r>
    </w:p>
    <w:p w14:paraId="7D9272EC" w14:textId="5B4AB825" w:rsidR="006D62BC" w:rsidRPr="00662611" w:rsidRDefault="006D62BC" w:rsidP="00106F8B">
      <w:pPr>
        <w:pStyle w:val="IGpara1"/>
        <w:ind w:left="782" w:hanging="782"/>
      </w:pPr>
      <w:r w:rsidRPr="00662611">
        <w:t>The purpose of this Implementation Guidance is to illustrate certain aspects of the requirements of AASB </w:t>
      </w:r>
      <w:r w:rsidR="005F6667">
        <w:t>1059</w:t>
      </w:r>
      <w:r w:rsidRPr="00662611">
        <w:t>.</w:t>
      </w:r>
      <w:r w:rsidR="00451CE0">
        <w:t xml:space="preserve"> Except in respect of arrangements that are concluded to be service concession arrangements, the implementation guidance identifies the parties to an arrangement as the grantor and the operator for convenience, without reference to the definitions in Appendix A.</w:t>
      </w:r>
    </w:p>
    <w:p w14:paraId="7D9272ED" w14:textId="77777777" w:rsidR="00762A9B" w:rsidRPr="00662611" w:rsidRDefault="00762A9B" w:rsidP="00FB21C0">
      <w:pPr>
        <w:pStyle w:val="IASBSectionTitle1NonInd"/>
        <w:outlineLvl w:val="1"/>
      </w:pPr>
      <w:r w:rsidRPr="00662611">
        <w:t xml:space="preserve">Accounting </w:t>
      </w:r>
      <w:r w:rsidR="007A7133" w:rsidRPr="00662611">
        <w:t>f</w:t>
      </w:r>
      <w:r w:rsidRPr="00662611">
        <w:t xml:space="preserve">ramework for </w:t>
      </w:r>
      <w:r w:rsidR="007A7133" w:rsidRPr="00662611">
        <w:t>s</w:t>
      </w:r>
      <w:r w:rsidRPr="00662611">
        <w:t xml:space="preserve">ervice </w:t>
      </w:r>
      <w:r w:rsidR="007A7133" w:rsidRPr="00662611">
        <w:t>c</w:t>
      </w:r>
      <w:r w:rsidRPr="00662611">
        <w:t xml:space="preserve">oncession </w:t>
      </w:r>
      <w:r w:rsidR="007A7133" w:rsidRPr="00662611">
        <w:t>a</w:t>
      </w:r>
      <w:r w:rsidRPr="00662611">
        <w:t>rrangements</w:t>
      </w:r>
    </w:p>
    <w:p w14:paraId="7D9272EE" w14:textId="4B8601FC" w:rsidR="003B0554" w:rsidRPr="00662611" w:rsidRDefault="003B0554" w:rsidP="00106F8B">
      <w:pPr>
        <w:pStyle w:val="IGpara1"/>
        <w:ind w:left="782" w:hanging="782"/>
      </w:pPr>
      <w:bookmarkStart w:id="103" w:name="_Ref486087038"/>
      <w:r w:rsidRPr="00662611">
        <w:t xml:space="preserve">The diagram below summarises </w:t>
      </w:r>
      <w:r w:rsidR="00451CE0">
        <w:t xml:space="preserve">some of </w:t>
      </w:r>
      <w:r w:rsidRPr="00662611">
        <w:t xml:space="preserve">the key decisions in determining whether an arrangement is a service concession arrangement within the scope of AASB </w:t>
      </w:r>
      <w:r w:rsidR="005F6667">
        <w:t>1059</w:t>
      </w:r>
      <w:r w:rsidRPr="00662611">
        <w:t>.</w:t>
      </w:r>
      <w:bookmarkEnd w:id="103"/>
      <w:r w:rsidR="00451CE0">
        <w:t xml:space="preserve"> It does not address the period of time or operator compensation requirements of the definition of a service concession arrangement.</w:t>
      </w:r>
    </w:p>
    <w:p w14:paraId="7D9272EF" w14:textId="2FB85003" w:rsidR="00D524BC" w:rsidRPr="00662611" w:rsidRDefault="00D524BC" w:rsidP="003618BD">
      <w:pPr>
        <w:pStyle w:val="NumAG1"/>
        <w:numPr>
          <w:ilvl w:val="0"/>
          <w:numId w:val="0"/>
        </w:numPr>
        <w:ind w:left="1553" w:hanging="782"/>
        <w:rPr>
          <w:szCs w:val="19"/>
        </w:rPr>
      </w:pPr>
      <w:r w:rsidRPr="00662611">
        <w:rPr>
          <w:noProof/>
          <w:szCs w:val="19"/>
          <w:lang w:eastAsia="en-AU"/>
        </w:rPr>
        <mc:AlternateContent>
          <mc:Choice Requires="wpc">
            <w:drawing>
              <wp:inline distT="0" distB="0" distL="0" distR="0" wp14:anchorId="7D927855" wp14:editId="734622E0">
                <wp:extent cx="4882101" cy="4055165"/>
                <wp:effectExtent l="0" t="0" r="0" b="0"/>
                <wp:docPr id="94" name="Canvas 94" descr="Flowchart re arrangements within and outside the Standard" title="Accounting framework for service concession arrangement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 name="Rectangle 51"/>
                        <wps:cNvSpPr/>
                        <wps:spPr>
                          <a:xfrm>
                            <a:off x="3" y="180000"/>
                            <a:ext cx="2237105" cy="837040"/>
                          </a:xfrm>
                          <a:prstGeom prst="rect">
                            <a:avLst/>
                          </a:prstGeom>
                          <a:noFill/>
                          <a:ln w="12700" cap="flat" cmpd="sng" algn="ctr">
                            <a:solidFill>
                              <a:sysClr val="windowText" lastClr="000000"/>
                            </a:solidFill>
                            <a:prstDash val="solid"/>
                          </a:ln>
                          <a:effectLst/>
                        </wps:spPr>
                        <wps:txbx>
                          <w:txbxContent>
                            <w:p w14:paraId="7D9278B7" w14:textId="27C78CCE" w:rsidR="006C5212" w:rsidRDefault="006C5212" w:rsidP="00D524BC">
                              <w:pPr>
                                <w:pStyle w:val="NormalWeb"/>
                                <w:spacing w:after="0"/>
                                <w:jc w:val="center"/>
                                <w:rPr>
                                  <w:color w:val="000000"/>
                                  <w:sz w:val="19"/>
                                  <w:szCs w:val="19"/>
                                </w:rPr>
                              </w:pPr>
                              <w:r>
                                <w:rPr>
                                  <w:color w:val="000000"/>
                                  <w:sz w:val="19"/>
                                  <w:szCs w:val="19"/>
                                </w:rPr>
                                <w:t>Does the asset provide public services?</w:t>
                              </w:r>
                            </w:p>
                            <w:p w14:paraId="2D717894" w14:textId="4C4A6C9A" w:rsidR="006C5212" w:rsidRDefault="006C5212" w:rsidP="00D524BC">
                              <w:pPr>
                                <w:pStyle w:val="NormalWeb"/>
                                <w:spacing w:after="0"/>
                                <w:jc w:val="center"/>
                              </w:pPr>
                              <w:r>
                                <w:rPr>
                                  <w:color w:val="000000"/>
                                  <w:sz w:val="19"/>
                                  <w:szCs w:val="19"/>
                                </w:rPr>
                                <w:t>(</w:t>
                              </w:r>
                              <w:proofErr w:type="gramStart"/>
                              <w:r>
                                <w:rPr>
                                  <w:color w:val="000000"/>
                                  <w:sz w:val="19"/>
                                  <w:szCs w:val="19"/>
                                </w:rPr>
                                <w:t>paragraphs</w:t>
                              </w:r>
                              <w:proofErr w:type="gramEnd"/>
                              <w:r>
                                <w:rPr>
                                  <w:color w:val="000000"/>
                                  <w:sz w:val="19"/>
                                  <w:szCs w:val="19"/>
                                </w:rPr>
                                <w:t xml:space="preserve"> </w:t>
                              </w:r>
                              <w:r>
                                <w:rPr>
                                  <w:color w:val="000000"/>
                                  <w:sz w:val="19"/>
                                  <w:szCs w:val="19"/>
                                </w:rPr>
                                <w:fldChar w:fldCharType="begin"/>
                              </w:r>
                              <w:r>
                                <w:rPr>
                                  <w:color w:val="000000"/>
                                  <w:sz w:val="19"/>
                                  <w:szCs w:val="19"/>
                                </w:rPr>
                                <w:instrText xml:space="preserve"> REF _Ref486489575 \r \h </w:instrText>
                              </w:r>
                              <w:r>
                                <w:rPr>
                                  <w:color w:val="000000"/>
                                  <w:sz w:val="19"/>
                                  <w:szCs w:val="19"/>
                                </w:rPr>
                              </w:r>
                              <w:r>
                                <w:rPr>
                                  <w:color w:val="000000"/>
                                  <w:sz w:val="19"/>
                                  <w:szCs w:val="19"/>
                                </w:rPr>
                                <w:fldChar w:fldCharType="separate"/>
                              </w:r>
                              <w:r>
                                <w:rPr>
                                  <w:color w:val="000000"/>
                                  <w:sz w:val="19"/>
                                  <w:szCs w:val="19"/>
                                </w:rPr>
                                <w:t>B6</w:t>
                              </w:r>
                              <w:r>
                                <w:rPr>
                                  <w:color w:val="000000"/>
                                  <w:sz w:val="19"/>
                                  <w:szCs w:val="19"/>
                                </w:rPr>
                                <w:fldChar w:fldCharType="end"/>
                              </w:r>
                              <w:r>
                                <w:rPr>
                                  <w:color w:val="000000"/>
                                  <w:sz w:val="19"/>
                                  <w:szCs w:val="19"/>
                                </w:rPr>
                                <w:t>–</w:t>
                              </w:r>
                              <w:r>
                                <w:rPr>
                                  <w:color w:val="000000"/>
                                  <w:sz w:val="19"/>
                                  <w:szCs w:val="19"/>
                                </w:rPr>
                                <w:fldChar w:fldCharType="begin"/>
                              </w:r>
                              <w:r>
                                <w:rPr>
                                  <w:color w:val="000000"/>
                                  <w:sz w:val="19"/>
                                  <w:szCs w:val="19"/>
                                </w:rPr>
                                <w:instrText xml:space="preserve"> REF _Ref486489611 \r \h </w:instrText>
                              </w:r>
                              <w:r>
                                <w:rPr>
                                  <w:color w:val="000000"/>
                                  <w:sz w:val="19"/>
                                  <w:szCs w:val="19"/>
                                </w:rPr>
                              </w:r>
                              <w:r>
                                <w:rPr>
                                  <w:color w:val="000000"/>
                                  <w:sz w:val="19"/>
                                  <w:szCs w:val="19"/>
                                </w:rPr>
                                <w:fldChar w:fldCharType="separate"/>
                              </w:r>
                              <w:r>
                                <w:rPr>
                                  <w:color w:val="000000"/>
                                  <w:sz w:val="19"/>
                                  <w:szCs w:val="19"/>
                                </w:rPr>
                                <w:t>B9</w:t>
                              </w:r>
                              <w:r>
                                <w:rPr>
                                  <w:color w:val="000000"/>
                                  <w:sz w:val="19"/>
                                  <w:szCs w:val="19"/>
                                </w:rPr>
                                <w:fldChar w:fldCharType="end"/>
                              </w:r>
                              <w:r>
                                <w:rPr>
                                  <w:color w:val="000000"/>
                                  <w:sz w:val="19"/>
                                  <w:szCs w:val="19"/>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flipH="1">
                            <a:off x="1118238" y="1032854"/>
                            <a:ext cx="635" cy="3169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5" name="Rectangle 75"/>
                        <wps:cNvSpPr/>
                        <wps:spPr>
                          <a:xfrm>
                            <a:off x="3" y="1378526"/>
                            <a:ext cx="2237105" cy="1084777"/>
                          </a:xfrm>
                          <a:prstGeom prst="rect">
                            <a:avLst/>
                          </a:prstGeom>
                          <a:noFill/>
                          <a:ln w="12700" cap="flat" cmpd="sng" algn="ctr">
                            <a:solidFill>
                              <a:sysClr val="windowText" lastClr="000000"/>
                            </a:solidFill>
                            <a:prstDash val="solid"/>
                          </a:ln>
                          <a:effectLst/>
                        </wps:spPr>
                        <wps:txbx>
                          <w:txbxContent>
                            <w:p w14:paraId="7D9278B8" w14:textId="6EDBD6AD" w:rsidR="006C5212" w:rsidRDefault="006C5212" w:rsidP="00D524BC">
                              <w:pPr>
                                <w:pStyle w:val="NormalWeb"/>
                                <w:spacing w:after="0"/>
                                <w:jc w:val="center"/>
                                <w:rPr>
                                  <w:color w:val="000000"/>
                                  <w:sz w:val="19"/>
                                </w:rPr>
                              </w:pPr>
                              <w:r>
                                <w:rPr>
                                  <w:color w:val="000000"/>
                                  <w:sz w:val="19"/>
                                  <w:szCs w:val="19"/>
                                </w:rPr>
                                <w:t>Does the operator access the asset to provide public services on behalf of the grantor, and to manage at least some public services?</w:t>
                              </w:r>
                            </w:p>
                            <w:p w14:paraId="7D9278B9" w14:textId="3DFD45DF" w:rsidR="006C5212" w:rsidRDefault="006C5212" w:rsidP="00D524BC">
                              <w:pPr>
                                <w:pStyle w:val="NormalWeb"/>
                                <w:spacing w:after="0"/>
                                <w:jc w:val="center"/>
                              </w:pPr>
                              <w:r>
                                <w:rPr>
                                  <w:color w:val="000000"/>
                                  <w:sz w:val="19"/>
                                  <w:szCs w:val="19"/>
                                </w:rPr>
                                <w:t>(</w:t>
                              </w:r>
                              <w:proofErr w:type="gramStart"/>
                              <w:r>
                                <w:rPr>
                                  <w:color w:val="000000"/>
                                  <w:sz w:val="19"/>
                                  <w:szCs w:val="19"/>
                                </w:rPr>
                                <w:t>paragraph</w:t>
                              </w:r>
                              <w:proofErr w:type="gramEnd"/>
                              <w:r>
                                <w:rPr>
                                  <w:color w:val="000000"/>
                                  <w:sz w:val="19"/>
                                  <w:szCs w:val="19"/>
                                </w:rPr>
                                <w:t xml:space="preserve"> </w:t>
                              </w:r>
                              <w:r>
                                <w:rPr>
                                  <w:color w:val="000000"/>
                                  <w:sz w:val="19"/>
                                  <w:szCs w:val="19"/>
                                </w:rPr>
                                <w:fldChar w:fldCharType="begin"/>
                              </w:r>
                              <w:r>
                                <w:rPr>
                                  <w:color w:val="000000"/>
                                  <w:sz w:val="19"/>
                                  <w:szCs w:val="19"/>
                                </w:rPr>
                                <w:instrText xml:space="preserve"> REF _Ref486489833 \r \h </w:instrText>
                              </w:r>
                              <w:r>
                                <w:rPr>
                                  <w:color w:val="000000"/>
                                  <w:sz w:val="19"/>
                                  <w:szCs w:val="19"/>
                                </w:rPr>
                              </w:r>
                              <w:r>
                                <w:rPr>
                                  <w:color w:val="000000"/>
                                  <w:sz w:val="19"/>
                                  <w:szCs w:val="19"/>
                                </w:rPr>
                                <w:fldChar w:fldCharType="separate"/>
                              </w:r>
                              <w:r>
                                <w:rPr>
                                  <w:color w:val="000000"/>
                                  <w:sz w:val="19"/>
                                  <w:szCs w:val="19"/>
                                </w:rPr>
                                <w:t>B10</w:t>
                              </w:r>
                              <w:r>
                                <w:rPr>
                                  <w:color w:val="000000"/>
                                  <w:sz w:val="19"/>
                                  <w:szCs w:val="19"/>
                                </w:rPr>
                                <w:fldChar w:fldCharType="end"/>
                              </w:r>
                              <w:r>
                                <w:rPr>
                                  <w:color w:val="000000"/>
                                  <w:sz w:val="19"/>
                                  <w:szCs w:val="19"/>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Straight Arrow Connector 76"/>
                        <wps:cNvCnPr/>
                        <wps:spPr>
                          <a:xfrm flipH="1">
                            <a:off x="1118240" y="2484084"/>
                            <a:ext cx="316" cy="40216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7" name="Rectangle 77"/>
                        <wps:cNvSpPr/>
                        <wps:spPr>
                          <a:xfrm>
                            <a:off x="3" y="2913216"/>
                            <a:ext cx="2235200" cy="894715"/>
                          </a:xfrm>
                          <a:prstGeom prst="rect">
                            <a:avLst/>
                          </a:prstGeom>
                          <a:noFill/>
                          <a:ln w="12700" cap="flat" cmpd="sng" algn="ctr">
                            <a:solidFill>
                              <a:sysClr val="windowText" lastClr="000000"/>
                            </a:solidFill>
                            <a:prstDash val="solid"/>
                          </a:ln>
                          <a:effectLst/>
                        </wps:spPr>
                        <wps:txbx>
                          <w:txbxContent>
                            <w:p w14:paraId="7D9278BA" w14:textId="77777777" w:rsidR="006C5212" w:rsidRPr="00610ADA" w:rsidRDefault="006C5212" w:rsidP="00D524BC">
                              <w:pPr>
                                <w:pStyle w:val="NormalWeb"/>
                                <w:spacing w:after="0"/>
                                <w:jc w:val="center"/>
                                <w:rPr>
                                  <w:b/>
                                  <w:sz w:val="19"/>
                                  <w:szCs w:val="19"/>
                                  <w:lang w:val="en-US"/>
                                </w:rPr>
                              </w:pPr>
                              <w:r w:rsidRPr="00610ADA">
                                <w:rPr>
                                  <w:b/>
                                  <w:sz w:val="19"/>
                                  <w:szCs w:val="19"/>
                                  <w:lang w:val="en-US"/>
                                </w:rPr>
                                <w:t xml:space="preserve">SERVICE CONCESSION ARRANGEMENT WITHIN THE SCOPE OF </w:t>
                              </w:r>
                              <w:r w:rsidRPr="00697EED">
                                <w:rPr>
                                  <w:b/>
                                  <w:color w:val="000000"/>
                                  <w:sz w:val="19"/>
                                </w:rPr>
                                <w:t>THE STANDARD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flipV="1">
                            <a:off x="2237743" y="1822397"/>
                            <a:ext cx="671830" cy="0"/>
                          </a:xfrm>
                          <a:prstGeom prst="straightConnector1">
                            <a:avLst/>
                          </a:prstGeom>
                          <a:noFill/>
                          <a:ln w="12700" cap="flat" cmpd="sng" algn="ctr">
                            <a:solidFill>
                              <a:sysClr val="windowText" lastClr="000000"/>
                            </a:solidFill>
                            <a:prstDash val="solid"/>
                            <a:tailEnd type="triangle"/>
                          </a:ln>
                          <a:effectLst/>
                        </wps:spPr>
                        <wps:bodyPr/>
                      </wps:wsp>
                      <wps:wsp>
                        <wps:cNvPr id="82" name="Straight Arrow Connector 82"/>
                        <wps:cNvCnPr/>
                        <wps:spPr>
                          <a:xfrm>
                            <a:off x="3812543" y="2261526"/>
                            <a:ext cx="0" cy="63091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3" name="Text Box 20"/>
                        <wps:cNvSpPr txBox="1"/>
                        <wps:spPr>
                          <a:xfrm>
                            <a:off x="2390778" y="344172"/>
                            <a:ext cx="387985" cy="20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BE" w14:textId="77777777" w:rsidR="006C5212" w:rsidRDefault="006C5212" w:rsidP="00D524BC">
                              <w:pPr>
                                <w:pStyle w:val="NormalWeb"/>
                                <w:spacing w:after="0"/>
                              </w:pPr>
                              <w:r>
                                <w:rPr>
                                  <w:sz w:val="19"/>
                                  <w:szCs w:val="19"/>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Text Box 20"/>
                        <wps:cNvSpPr txBox="1"/>
                        <wps:spPr>
                          <a:xfrm>
                            <a:off x="1118873" y="1100164"/>
                            <a:ext cx="385445"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C2" w14:textId="77777777" w:rsidR="006C5212" w:rsidRDefault="006C5212" w:rsidP="00D524BC">
                              <w:pPr>
                                <w:pStyle w:val="NormalWeb"/>
                                <w:spacing w:after="0"/>
                              </w:pPr>
                              <w:r>
                                <w:rPr>
                                  <w:sz w:val="19"/>
                                  <w:szCs w:val="19"/>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Text Box 20"/>
                        <wps:cNvSpPr txBox="1"/>
                        <wps:spPr>
                          <a:xfrm>
                            <a:off x="1122857" y="2548607"/>
                            <a:ext cx="38481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C3" w14:textId="77777777" w:rsidR="006C5212" w:rsidRDefault="006C5212" w:rsidP="00D524BC">
                              <w:pPr>
                                <w:pStyle w:val="NormalWeb"/>
                                <w:spacing w:after="0"/>
                              </w:pPr>
                              <w:r>
                                <w:rPr>
                                  <w:sz w:val="19"/>
                                  <w:szCs w:val="19"/>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20"/>
                        <wps:cNvSpPr txBox="1"/>
                        <wps:spPr>
                          <a:xfrm>
                            <a:off x="2390778" y="1512446"/>
                            <a:ext cx="387350" cy="208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C4" w14:textId="77777777" w:rsidR="006C5212" w:rsidRDefault="006C5212" w:rsidP="00D524BC">
                              <w:pPr>
                                <w:pStyle w:val="NormalWeb"/>
                                <w:spacing w:after="0"/>
                              </w:pPr>
                              <w:r>
                                <w:rPr>
                                  <w:sz w:val="19"/>
                                  <w:szCs w:val="19"/>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2902417" y="2916384"/>
                            <a:ext cx="1805305" cy="891548"/>
                          </a:xfrm>
                          <a:prstGeom prst="rect">
                            <a:avLst/>
                          </a:prstGeom>
                          <a:noFill/>
                          <a:ln w="12700" cap="flat" cmpd="sng" algn="ctr">
                            <a:solidFill>
                              <a:sysClr val="windowText" lastClr="000000"/>
                            </a:solidFill>
                            <a:prstDash val="solid"/>
                          </a:ln>
                          <a:effectLst/>
                        </wps:spPr>
                        <wps:txbx>
                          <w:txbxContent>
                            <w:p w14:paraId="7D9278C6" w14:textId="2B90DB20" w:rsidR="006C5212" w:rsidRDefault="006C5212" w:rsidP="00D524BC">
                              <w:pPr>
                                <w:pStyle w:val="NormalWeb"/>
                                <w:spacing w:after="0"/>
                                <w:jc w:val="center"/>
                              </w:pPr>
                              <w:r>
                                <w:rPr>
                                  <w:color w:val="000000"/>
                                  <w:sz w:val="19"/>
                                  <w:szCs w:val="19"/>
                                </w:rPr>
                                <w:t>Consider asset recognition under other Standards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2912803" y="1423329"/>
                            <a:ext cx="1804670" cy="838200"/>
                          </a:xfrm>
                          <a:prstGeom prst="rect">
                            <a:avLst/>
                          </a:prstGeom>
                          <a:noFill/>
                          <a:ln w="12700" cap="flat" cmpd="sng" algn="ctr">
                            <a:solidFill>
                              <a:sysClr val="windowText" lastClr="000000"/>
                            </a:solidFill>
                            <a:prstDash val="solid"/>
                          </a:ln>
                          <a:effectLst/>
                        </wps:spPr>
                        <wps:txbx>
                          <w:txbxContent>
                            <w:p w14:paraId="79542667" w14:textId="77777777" w:rsidR="006C5212" w:rsidRDefault="006C5212" w:rsidP="00992F54">
                              <w:pPr>
                                <w:pStyle w:val="NormalWeb"/>
                                <w:spacing w:after="0"/>
                                <w:jc w:val="center"/>
                              </w:pPr>
                              <w:r>
                                <w:rPr>
                                  <w:b/>
                                  <w:bCs/>
                                  <w:color w:val="000000"/>
                                  <w:sz w:val="19"/>
                                  <w:szCs w:val="19"/>
                                </w:rPr>
                                <w:t>NOT A SERVICE CONCESSION ARRANGEMENT</w:t>
                              </w:r>
                              <w:r>
                                <w:rPr>
                                  <w:b/>
                                  <w:bCs/>
                                  <w:color w:val="000000"/>
                                  <w:sz w:val="19"/>
                                  <w:szCs w:val="19"/>
                                </w:rPr>
                                <w:br/>
                                <w:t>AND OUTSIDE THE SCOPE OF THE STANDARD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wps:spPr>
                          <a:xfrm>
                            <a:off x="2237743" y="593507"/>
                            <a:ext cx="1574800" cy="0"/>
                          </a:xfrm>
                          <a:prstGeom prst="straightConnector1">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99" name="Straight Arrow Connector 99"/>
                        <wps:cNvCnPr>
                          <a:endCxn id="96" idx="0"/>
                        </wps:cNvCnPr>
                        <wps:spPr>
                          <a:xfrm>
                            <a:off x="3812543" y="593508"/>
                            <a:ext cx="2595" cy="82982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94" o:spid="_x0000_s1026" editas="canvas" alt="Title: Accounting framework for service concession arrangements - Description: Flowchart re arrangements within and outside the Standard" style="width:384.4pt;height:319.3pt;mso-position-horizontal-relative:char;mso-position-vertical-relative:line" coordsize="48818,4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lowchart re arrangements within and outside the Standard" style="position:absolute;width:48818;height:40551;visibility:visible;mso-wrap-style:square">
                  <v:fill o:detectmouseclick="t"/>
                  <v:path o:connecttype="none"/>
                </v:shape>
                <v:rect id="Rectangle 51" o:spid="_x0000_s1028" style="position:absolute;top:1800;width:22371;height:8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y1sQA&#10;AADbAAAADwAAAGRycy9kb3ducmV2LnhtbESPwWrDMBBE74H+g9hCb7GUlJTgRgmhECi0l9ghkNva&#10;2tqm0spYiuP+fVQo9DjMzBtms5ucFSMNofOsYZEpEMS1Nx03Gk7lYb4GESKyQeuZNPxQgN32YbbB&#10;3PgbH2ksYiMShEOOGtoY+1zKULfkMGS+J07elx8cxiSHRpoBbwnurFwq9SIddpwWWuzpraX6u7g6&#10;DUdVnj/c57O6VOp0Dgdnq3FvtX56nPavICJN8T/81343GlY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8tbEAAAA2wAAAA8AAAAAAAAAAAAAAAAAmAIAAGRycy9k&#10;b3ducmV2LnhtbFBLBQYAAAAABAAEAPUAAACJAwAAAAA=&#10;" filled="f" strokecolor="windowText" strokeweight="1pt">
                  <v:textbox>
                    <w:txbxContent>
                      <w:p w14:paraId="7D9278B7" w14:textId="27C78CCE" w:rsidR="006C5212" w:rsidRDefault="006C5212" w:rsidP="00D524BC">
                        <w:pPr>
                          <w:pStyle w:val="NormalWeb"/>
                          <w:spacing w:after="0"/>
                          <w:jc w:val="center"/>
                          <w:rPr>
                            <w:color w:val="000000"/>
                            <w:sz w:val="19"/>
                            <w:szCs w:val="19"/>
                          </w:rPr>
                        </w:pPr>
                        <w:r>
                          <w:rPr>
                            <w:color w:val="000000"/>
                            <w:sz w:val="19"/>
                            <w:szCs w:val="19"/>
                          </w:rPr>
                          <w:t>Does the asset provide public services?</w:t>
                        </w:r>
                      </w:p>
                      <w:p w14:paraId="2D717894" w14:textId="4C4A6C9A" w:rsidR="006C5212" w:rsidRDefault="006C5212" w:rsidP="00D524BC">
                        <w:pPr>
                          <w:pStyle w:val="NormalWeb"/>
                          <w:spacing w:after="0"/>
                          <w:jc w:val="center"/>
                        </w:pPr>
                        <w:r>
                          <w:rPr>
                            <w:color w:val="000000"/>
                            <w:sz w:val="19"/>
                            <w:szCs w:val="19"/>
                          </w:rPr>
                          <w:t>(</w:t>
                        </w:r>
                        <w:proofErr w:type="gramStart"/>
                        <w:r>
                          <w:rPr>
                            <w:color w:val="000000"/>
                            <w:sz w:val="19"/>
                            <w:szCs w:val="19"/>
                          </w:rPr>
                          <w:t>paragraphs</w:t>
                        </w:r>
                        <w:proofErr w:type="gramEnd"/>
                        <w:r>
                          <w:rPr>
                            <w:color w:val="000000"/>
                            <w:sz w:val="19"/>
                            <w:szCs w:val="19"/>
                          </w:rPr>
                          <w:t xml:space="preserve"> </w:t>
                        </w:r>
                        <w:r>
                          <w:rPr>
                            <w:color w:val="000000"/>
                            <w:sz w:val="19"/>
                            <w:szCs w:val="19"/>
                          </w:rPr>
                          <w:fldChar w:fldCharType="begin"/>
                        </w:r>
                        <w:r>
                          <w:rPr>
                            <w:color w:val="000000"/>
                            <w:sz w:val="19"/>
                            <w:szCs w:val="19"/>
                          </w:rPr>
                          <w:instrText xml:space="preserve"> REF _Ref486489575 \r \h </w:instrText>
                        </w:r>
                        <w:r>
                          <w:rPr>
                            <w:color w:val="000000"/>
                            <w:sz w:val="19"/>
                            <w:szCs w:val="19"/>
                          </w:rPr>
                        </w:r>
                        <w:r>
                          <w:rPr>
                            <w:color w:val="000000"/>
                            <w:sz w:val="19"/>
                            <w:szCs w:val="19"/>
                          </w:rPr>
                          <w:fldChar w:fldCharType="separate"/>
                        </w:r>
                        <w:r>
                          <w:rPr>
                            <w:color w:val="000000"/>
                            <w:sz w:val="19"/>
                            <w:szCs w:val="19"/>
                          </w:rPr>
                          <w:t>B6</w:t>
                        </w:r>
                        <w:r>
                          <w:rPr>
                            <w:color w:val="000000"/>
                            <w:sz w:val="19"/>
                            <w:szCs w:val="19"/>
                          </w:rPr>
                          <w:fldChar w:fldCharType="end"/>
                        </w:r>
                        <w:r>
                          <w:rPr>
                            <w:color w:val="000000"/>
                            <w:sz w:val="19"/>
                            <w:szCs w:val="19"/>
                          </w:rPr>
                          <w:t>–</w:t>
                        </w:r>
                        <w:r>
                          <w:rPr>
                            <w:color w:val="000000"/>
                            <w:sz w:val="19"/>
                            <w:szCs w:val="19"/>
                          </w:rPr>
                          <w:fldChar w:fldCharType="begin"/>
                        </w:r>
                        <w:r>
                          <w:rPr>
                            <w:color w:val="000000"/>
                            <w:sz w:val="19"/>
                            <w:szCs w:val="19"/>
                          </w:rPr>
                          <w:instrText xml:space="preserve"> REF _Ref486489611 \r \h </w:instrText>
                        </w:r>
                        <w:r>
                          <w:rPr>
                            <w:color w:val="000000"/>
                            <w:sz w:val="19"/>
                            <w:szCs w:val="19"/>
                          </w:rPr>
                        </w:r>
                        <w:r>
                          <w:rPr>
                            <w:color w:val="000000"/>
                            <w:sz w:val="19"/>
                            <w:szCs w:val="19"/>
                          </w:rPr>
                          <w:fldChar w:fldCharType="separate"/>
                        </w:r>
                        <w:r>
                          <w:rPr>
                            <w:color w:val="000000"/>
                            <w:sz w:val="19"/>
                            <w:szCs w:val="19"/>
                          </w:rPr>
                          <w:t>B9</w:t>
                        </w:r>
                        <w:r>
                          <w:rPr>
                            <w:color w:val="000000"/>
                            <w:sz w:val="19"/>
                            <w:szCs w:val="19"/>
                          </w:rPr>
                          <w:fldChar w:fldCharType="end"/>
                        </w:r>
                        <w:r>
                          <w:rPr>
                            <w:color w:val="000000"/>
                            <w:sz w:val="19"/>
                            <w:szCs w:val="19"/>
                          </w:rPr>
                          <w:t>)</w:t>
                        </w:r>
                      </w:p>
                    </w:txbxContent>
                  </v:textbox>
                </v:rect>
                <v:shapetype id="_x0000_t32" coordsize="21600,21600" o:spt="32" o:oned="t" path="m,l21600,21600e" filled="f">
                  <v:path arrowok="t" fillok="f" o:connecttype="none"/>
                  <o:lock v:ext="edit" shapetype="t"/>
                </v:shapetype>
                <v:shape id="Straight Arrow Connector 52" o:spid="_x0000_s1029" type="#_x0000_t32" style="position:absolute;left:11182;top:10328;width:6;height:31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ErIMIAAADbAAAADwAAAGRycy9kb3ducmV2LnhtbESPT2sCMRTE7wW/Q3iCl6LZlSqyGkWL&#10;hfboH/T63Dw3i5uXJUl1++2bQsHjMDO/YRarzjbiTj7UjhXkowwEcel0zZWC4+FjOAMRIrLGxjEp&#10;+KEAq2XvZYGFdg/e0X0fK5EgHApUYGJsCylDachiGLmWOHlX5y3GJH0ltcdHgttGjrNsKi3WnBYM&#10;tvRuqLztv62Cy4m+cgybfHd+w1d/MtPtYYJKDfrdeg4iUhef4f/2p1YwGcPfl/QD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ErIMIAAADbAAAADwAAAAAAAAAAAAAA&#10;AAChAgAAZHJzL2Rvd25yZXYueG1sUEsFBgAAAAAEAAQA+QAAAJADAAAAAA==&#10;" strokecolor="black [3040]" strokeweight="1pt">
                  <v:stroke endarrow="block"/>
                </v:shape>
                <v:rect id="Rectangle 75" o:spid="_x0000_s1030" style="position:absolute;top:13785;width:22371;height:10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tcMA&#10;AADbAAAADwAAAGRycy9kb3ducmV2LnhtbESPQWsCMRSE7wX/Q3iCt5qo2JatUUQQBL3oitDbc/O6&#10;uzR5WTZx3f77RhB6HGbmG2ax6p0VHbWh9qxhMlYgiAtvai41nPPt6weIEJENWs+k4ZcCrJaDlwVm&#10;xt/5SN0pliJBOGSooYqxyaQMRUUOw9g3xMn79q3DmGRbStPiPcGdlVOl3qTDmtNChQ1tKip+Tjen&#10;4ajyy94dZurrqs6XsHX22q2t1qNhv/4EEamP/+Fne2c0vM/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CotcMAAADbAAAADwAAAAAAAAAAAAAAAACYAgAAZHJzL2Rv&#10;d25yZXYueG1sUEsFBgAAAAAEAAQA9QAAAIgDAAAAAA==&#10;" filled="f" strokecolor="windowText" strokeweight="1pt">
                  <v:textbox>
                    <w:txbxContent>
                      <w:p w14:paraId="7D9278B8" w14:textId="6EDBD6AD" w:rsidR="006C5212" w:rsidRDefault="006C5212" w:rsidP="00D524BC">
                        <w:pPr>
                          <w:pStyle w:val="NormalWeb"/>
                          <w:spacing w:after="0"/>
                          <w:jc w:val="center"/>
                          <w:rPr>
                            <w:color w:val="000000"/>
                            <w:sz w:val="19"/>
                          </w:rPr>
                        </w:pPr>
                        <w:r>
                          <w:rPr>
                            <w:color w:val="000000"/>
                            <w:sz w:val="19"/>
                            <w:szCs w:val="19"/>
                          </w:rPr>
                          <w:t>Does the operator access the asset to provide public services on behalf of the grantor, and to manage at least some public services?</w:t>
                        </w:r>
                      </w:p>
                      <w:p w14:paraId="7D9278B9" w14:textId="3DFD45DF" w:rsidR="006C5212" w:rsidRDefault="006C5212" w:rsidP="00D524BC">
                        <w:pPr>
                          <w:pStyle w:val="NormalWeb"/>
                          <w:spacing w:after="0"/>
                          <w:jc w:val="center"/>
                        </w:pPr>
                        <w:r>
                          <w:rPr>
                            <w:color w:val="000000"/>
                            <w:sz w:val="19"/>
                            <w:szCs w:val="19"/>
                          </w:rPr>
                          <w:t>(</w:t>
                        </w:r>
                        <w:proofErr w:type="gramStart"/>
                        <w:r>
                          <w:rPr>
                            <w:color w:val="000000"/>
                            <w:sz w:val="19"/>
                            <w:szCs w:val="19"/>
                          </w:rPr>
                          <w:t>paragraph</w:t>
                        </w:r>
                        <w:proofErr w:type="gramEnd"/>
                        <w:r>
                          <w:rPr>
                            <w:color w:val="000000"/>
                            <w:sz w:val="19"/>
                            <w:szCs w:val="19"/>
                          </w:rPr>
                          <w:t xml:space="preserve"> </w:t>
                        </w:r>
                        <w:r>
                          <w:rPr>
                            <w:color w:val="000000"/>
                            <w:sz w:val="19"/>
                            <w:szCs w:val="19"/>
                          </w:rPr>
                          <w:fldChar w:fldCharType="begin"/>
                        </w:r>
                        <w:r>
                          <w:rPr>
                            <w:color w:val="000000"/>
                            <w:sz w:val="19"/>
                            <w:szCs w:val="19"/>
                          </w:rPr>
                          <w:instrText xml:space="preserve"> REF _Ref486489833 \r \h </w:instrText>
                        </w:r>
                        <w:r>
                          <w:rPr>
                            <w:color w:val="000000"/>
                            <w:sz w:val="19"/>
                            <w:szCs w:val="19"/>
                          </w:rPr>
                        </w:r>
                        <w:r>
                          <w:rPr>
                            <w:color w:val="000000"/>
                            <w:sz w:val="19"/>
                            <w:szCs w:val="19"/>
                          </w:rPr>
                          <w:fldChar w:fldCharType="separate"/>
                        </w:r>
                        <w:r>
                          <w:rPr>
                            <w:color w:val="000000"/>
                            <w:sz w:val="19"/>
                            <w:szCs w:val="19"/>
                          </w:rPr>
                          <w:t>B10</w:t>
                        </w:r>
                        <w:r>
                          <w:rPr>
                            <w:color w:val="000000"/>
                            <w:sz w:val="19"/>
                            <w:szCs w:val="19"/>
                          </w:rPr>
                          <w:fldChar w:fldCharType="end"/>
                        </w:r>
                        <w:r>
                          <w:rPr>
                            <w:color w:val="000000"/>
                            <w:sz w:val="19"/>
                            <w:szCs w:val="19"/>
                          </w:rPr>
                          <w:t>)</w:t>
                        </w:r>
                      </w:p>
                    </w:txbxContent>
                  </v:textbox>
                </v:rect>
                <v:shape id="Straight Arrow Connector 76" o:spid="_x0000_s1031" type="#_x0000_t32" style="position:absolute;left:11182;top:24840;width:3;height:40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9xQ8MAAADbAAAADwAAAGRycy9kb3ducmV2LnhtbESPT2sCMRTE74LfIbxCL6LZLe0qq1Fs&#10;aaE9+ge9PjfPzdLNy5Kkuv32TUHwOMzMb5jFqretuJAPjWMF+SQDQVw53XCtYL/7GM9AhIissXVM&#10;Cn4pwGo5HCyw1O7KG7psYy0ShEOJCkyMXSllqAxZDBPXESfv7LzFmKSvpfZ4TXDbyqcsK6TFhtOC&#10;wY7eDFXf2x+r4HSgrxzDa745PuPIH0zxvntBpR4f+vUcRKQ+3sO39qdWMC3g/0v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fcUPDAAAA2wAAAA8AAAAAAAAAAAAA&#10;AAAAoQIAAGRycy9kb3ducmV2LnhtbFBLBQYAAAAABAAEAPkAAACRAwAAAAA=&#10;" strokecolor="black [3040]" strokeweight="1pt">
                  <v:stroke endarrow="block"/>
                </v:shape>
                <v:rect id="Rectangle 77" o:spid="_x0000_s1032" style="position:absolute;top:29132;width:22352;height:8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TWcMA&#10;AADbAAAADwAAAGRycy9kb3ducmV2LnhtbESPT4vCMBTE7wt+h/CEva2JCrpUo4ggCO7FPwh7ezbP&#10;tpi8lCbW7rffCILHYWZ+w8yXnbOipSZUnjUMBwoEce5NxYWG03Hz9Q0iRGSD1jNp+KMAy0XvY46Z&#10;8Q/eU3uIhUgQDhlqKGOsMylDXpLDMPA1cfKuvnEYk2wKaRp8JLizcqTURDqsOC2UWNO6pPx2uDsN&#10;e3U879zPWP1e1OkcNs5e2pXV+rPfrWYgInXxHX61t0bDd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6TWcMAAADbAAAADwAAAAAAAAAAAAAAAACYAgAAZHJzL2Rv&#10;d25yZXYueG1sUEsFBgAAAAAEAAQA9QAAAIgDAAAAAA==&#10;" filled="f" strokecolor="windowText" strokeweight="1pt">
                  <v:textbox>
                    <w:txbxContent>
                      <w:p w14:paraId="7D9278BA" w14:textId="77777777" w:rsidR="006C5212" w:rsidRPr="00610ADA" w:rsidRDefault="006C5212" w:rsidP="00D524BC">
                        <w:pPr>
                          <w:pStyle w:val="NormalWeb"/>
                          <w:spacing w:after="0"/>
                          <w:jc w:val="center"/>
                          <w:rPr>
                            <w:b/>
                            <w:sz w:val="19"/>
                            <w:szCs w:val="19"/>
                            <w:lang w:val="en-US"/>
                          </w:rPr>
                        </w:pPr>
                        <w:r w:rsidRPr="00610ADA">
                          <w:rPr>
                            <w:b/>
                            <w:sz w:val="19"/>
                            <w:szCs w:val="19"/>
                            <w:lang w:val="en-US"/>
                          </w:rPr>
                          <w:t xml:space="preserve">SERVICE CONCESSION ARRANGEMENT WITHIN THE SCOPE OF </w:t>
                        </w:r>
                        <w:r w:rsidRPr="00697EED">
                          <w:rPr>
                            <w:b/>
                            <w:color w:val="000000"/>
                            <w:sz w:val="19"/>
                          </w:rPr>
                          <w:t>THE STANDARD</w:t>
                        </w:r>
                      </w:p>
                    </w:txbxContent>
                  </v:textbox>
                </v:rect>
                <v:shape id="Straight Arrow Connector 78" o:spid="_x0000_s1033" type="#_x0000_t32" style="position:absolute;left:22377;top:18223;width:671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C0kMEAAADbAAAADwAAAGRycy9kb3ducmV2LnhtbERPPW/CMBDdkfgP1iF1QeDQoYSAQaEq&#10;pSu0EuspPpJAfE5tN4R/j4dKjE/ve7XpTSM6cr62rGA2TUAQF1bXXCr4+d5NUhA+IGtsLJOCO3nY&#10;rIeDFWba3vhA3TGUIoawz1BBFUKbSemLigz6qW2JI3e2zmCI0JVSO7zFcNPI1yR5kwZrjg0VtvRe&#10;UXE9/hkFhzSZn5rLIt/t889f97E9837cKfUy6vMliEB9eIr/3V9awTyOjV/iD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sLSQwQAAANsAAAAPAAAAAAAAAAAAAAAA&#10;AKECAABkcnMvZG93bnJldi54bWxQSwUGAAAAAAQABAD5AAAAjwMAAAAA&#10;" strokecolor="windowText" strokeweight="1pt">
                  <v:stroke endarrow="block"/>
                </v:shape>
                <v:shape id="Straight Arrow Connector 82" o:spid="_x0000_s1034" type="#_x0000_t32" style="position:absolute;left:38125;top:22615;width:0;height:6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KIy8QAAADbAAAADwAAAGRycy9kb3ducmV2LnhtbESPQWvCQBSE70L/w/IKvemmoQZJ3Ugp&#10;CIIHUUuht9fsaxKSfRt2t5r4611B8DjMzDfMcjWYTpzI+caygtdZAoK4tLrhSsHXcT1dgPABWWNn&#10;mRSM5GFVPE2WmGt75j2dDqESEcI+RwV1CH0upS9rMuhntieO3p91BkOUrpLa4TnCTSfTJMmkwYbj&#10;Qo09fdZUtod/o2Crs/Ttu7+MP3O9zn75uBtbJ5V6eR4+3kEEGsIjfG9vtIJFCrcv8QfI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ojLxAAAANsAAAAPAAAAAAAAAAAA&#10;AAAAAKECAABkcnMvZG93bnJldi54bWxQSwUGAAAAAAQABAD5AAAAkgMAAAAA&#10;" strokecolor="black [3040]" strokeweight="1pt">
                  <v:stroke endarrow="block"/>
                </v:shape>
                <v:shapetype id="_x0000_t202" coordsize="21600,21600" o:spt="202" path="m,l,21600r21600,l21600,xe">
                  <v:stroke joinstyle="miter"/>
                  <v:path gradientshapeok="t" o:connecttype="rect"/>
                </v:shapetype>
                <v:shape id="Text Box 20" o:spid="_x0000_s1035" type="#_x0000_t202" style="position:absolute;left:23907;top:3441;width:3880;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7D9278BE" w14:textId="77777777" w:rsidR="006C5212" w:rsidRDefault="006C5212" w:rsidP="00D524BC">
                        <w:pPr>
                          <w:pStyle w:val="NormalWeb"/>
                          <w:spacing w:after="0"/>
                        </w:pPr>
                        <w:r>
                          <w:rPr>
                            <w:sz w:val="19"/>
                            <w:szCs w:val="19"/>
                            <w:lang w:val="en-US"/>
                          </w:rPr>
                          <w:t>No</w:t>
                        </w:r>
                      </w:p>
                    </w:txbxContent>
                  </v:textbox>
                </v:shape>
                <v:shape id="Text Box 20" o:spid="_x0000_s1036" type="#_x0000_t202" style="position:absolute;left:11188;top:11001;width:385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14:paraId="7D9278C2" w14:textId="77777777" w:rsidR="006C5212" w:rsidRDefault="006C5212" w:rsidP="00D524BC">
                        <w:pPr>
                          <w:pStyle w:val="NormalWeb"/>
                          <w:spacing w:after="0"/>
                        </w:pPr>
                        <w:r>
                          <w:rPr>
                            <w:sz w:val="19"/>
                            <w:szCs w:val="19"/>
                            <w:lang w:val="en-US"/>
                          </w:rPr>
                          <w:t>Yes</w:t>
                        </w:r>
                      </w:p>
                    </w:txbxContent>
                  </v:textbox>
                </v:shape>
                <v:shape id="Text Box 20" o:spid="_x0000_s1037" type="#_x0000_t202" style="position:absolute;left:11228;top:25486;width:384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7D9278C3" w14:textId="77777777" w:rsidR="006C5212" w:rsidRDefault="006C5212" w:rsidP="00D524BC">
                        <w:pPr>
                          <w:pStyle w:val="NormalWeb"/>
                          <w:spacing w:after="0"/>
                        </w:pPr>
                        <w:r>
                          <w:rPr>
                            <w:sz w:val="19"/>
                            <w:szCs w:val="19"/>
                            <w:lang w:val="en-US"/>
                          </w:rPr>
                          <w:t>Yes</w:t>
                        </w:r>
                      </w:p>
                    </w:txbxContent>
                  </v:textbox>
                </v:shape>
                <v:shape id="Text Box 20" o:spid="_x0000_s1038" type="#_x0000_t202" style="position:absolute;left:23907;top:15124;width:3874;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14:paraId="7D9278C4" w14:textId="77777777" w:rsidR="006C5212" w:rsidRDefault="006C5212" w:rsidP="00D524BC">
                        <w:pPr>
                          <w:pStyle w:val="NormalWeb"/>
                          <w:spacing w:after="0"/>
                        </w:pPr>
                        <w:r>
                          <w:rPr>
                            <w:sz w:val="19"/>
                            <w:szCs w:val="19"/>
                            <w:lang w:val="en-US"/>
                          </w:rPr>
                          <w:t>No</w:t>
                        </w:r>
                      </w:p>
                    </w:txbxContent>
                  </v:textbox>
                </v:shape>
                <v:rect id="Rectangle 90" o:spid="_x0000_s1039" style="position:absolute;left:29024;top:29163;width:18053;height:8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t18EA&#10;AADbAAAADwAAAGRycy9kb3ducmV2LnhtbERPz2vCMBS+C/sfwht408QNxtYZpQwKg3mxLcJuz+at&#10;LSYvpclq/e/NYbDjx/d7u5+dFRONofesYbNWIIgbb3puNdRVsXoFESKyQeuZNNwowH73sNhiZvyV&#10;jzSVsRUphEOGGroYh0zK0HTkMKz9QJy4Hz86jAmOrTQjXlO4s/JJqRfpsOfU0OFAHx01l/LXaTiq&#10;6vTlDs/q+6zqUyicPU+51Xr5OOfvICLN8V/85/40Gt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7dfBAAAA2wAAAA8AAAAAAAAAAAAAAAAAmAIAAGRycy9kb3du&#10;cmV2LnhtbFBLBQYAAAAABAAEAPUAAACGAwAAAAA=&#10;" filled="f" strokecolor="windowText" strokeweight="1pt">
                  <v:textbox>
                    <w:txbxContent>
                      <w:p w14:paraId="7D9278C6" w14:textId="2B90DB20" w:rsidR="006C5212" w:rsidRDefault="006C5212" w:rsidP="00D524BC">
                        <w:pPr>
                          <w:pStyle w:val="NormalWeb"/>
                          <w:spacing w:after="0"/>
                          <w:jc w:val="center"/>
                        </w:pPr>
                        <w:r>
                          <w:rPr>
                            <w:color w:val="000000"/>
                            <w:sz w:val="19"/>
                            <w:szCs w:val="19"/>
                          </w:rPr>
                          <w:t>Consider asset recognition under other Standards</w:t>
                        </w:r>
                      </w:p>
                    </w:txbxContent>
                  </v:textbox>
                </v:rect>
                <v:rect id="Rectangle 96" o:spid="_x0000_s1040" style="position:absolute;left:29128;top:14233;width:18046;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QOMMA&#10;AADbAAAADwAAAGRycy9kb3ducmV2LnhtbESPT4vCMBTE7wt+h/CEva2JCuJWo4ggCO7FPwh7ezbP&#10;tpi8lCbW7rffCILHYWZ+w8yXnbOipSZUnjUMBwoEce5NxYWG03HzNQURIrJB65k0/FGA5aL3McfM&#10;+AfvqT3EQiQIhww1lDHWmZQhL8lhGPiaOHlX3ziMSTaFNA0+EtxZOVJqIh1WnBZKrGldUn473J2G&#10;vTqed+5nrH4v6nQOG2cv7cpq/dnvVjMQkbr4Dr/aW6Phew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7QOMMAAADbAAAADwAAAAAAAAAAAAAAAACYAgAAZHJzL2Rv&#10;d25yZXYueG1sUEsFBgAAAAAEAAQA9QAAAIgDAAAAAA==&#10;" filled="f" strokecolor="windowText" strokeweight="1pt">
                  <v:textbox>
                    <w:txbxContent>
                      <w:p w14:paraId="79542667" w14:textId="77777777" w:rsidR="006C5212" w:rsidRDefault="006C5212" w:rsidP="00992F54">
                        <w:pPr>
                          <w:pStyle w:val="NormalWeb"/>
                          <w:spacing w:after="0"/>
                          <w:jc w:val="center"/>
                        </w:pPr>
                        <w:r>
                          <w:rPr>
                            <w:b/>
                            <w:bCs/>
                            <w:color w:val="000000"/>
                            <w:sz w:val="19"/>
                            <w:szCs w:val="19"/>
                          </w:rPr>
                          <w:t>NOT A SERVICE CONCESSION ARRANGEMENT</w:t>
                        </w:r>
                        <w:r>
                          <w:rPr>
                            <w:b/>
                            <w:bCs/>
                            <w:color w:val="000000"/>
                            <w:sz w:val="19"/>
                            <w:szCs w:val="19"/>
                          </w:rPr>
                          <w:br/>
                          <w:t>AND OUTSIDE THE SCOPE OF THE STANDARD</w:t>
                        </w:r>
                      </w:p>
                    </w:txbxContent>
                  </v:textbox>
                </v:rect>
                <v:shape id="Straight Arrow Connector 97" o:spid="_x0000_s1041" type="#_x0000_t32" style="position:absolute;left:22377;top:5935;width:157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ZocQAAADbAAAADwAAAGRycy9kb3ducmV2LnhtbESPQYvCMBSE78L+h/AEb5oqqGvXKIso&#10;CIKou0X29miebbF5KU3U6q83grDHYWa+YabzxpTiSrUrLCvo9yIQxKnVBWcKfn9W3U8QziNrLC2T&#10;gjs5mM8+WlOMtb3xnq4Hn4kAYRejgtz7KpbSpTkZdD1bEQfvZGuDPsg6k7rGW4CbUg6iaCQNFhwW&#10;cqxokVN6PlyMAvNIXJoMNxVmf5fxerlNdua4UqrTbr6/QHhq/H/43V5rBZMxvL6EH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NmhxAAAANsAAAAPAAAAAAAAAAAA&#10;AAAAAKECAABkcnMvZG93bnJldi54bWxQSwUGAAAAAAQABAD5AAAAkgMAAAAA&#10;" strokecolor="black [3040]" strokeweight="1pt"/>
                <v:shape id="Straight Arrow Connector 99" o:spid="_x0000_s1042" type="#_x0000_t32" style="position:absolute;left:38125;top:5935;width:26;height:8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MZ8UAAADbAAAADwAAAGRycy9kb3ducmV2LnhtbESPQWvCQBSE70L/w/IK3nRTsaFGNyKC&#10;UOihqKXQ2zP7moRk34bdrSb99a4geBxm5htmte5NK87kfG1Zwcs0AUFcWF1zqeDruJu8gfABWWNr&#10;mRQM5GGdP41WmGl74T2dD6EUEcI+QwVVCF0mpS8qMuintiOO3q91BkOUrpTa4SXCTStnSZJKgzXH&#10;hQo72lZUNIc/o+BDp7P5d/c//LzqXXri4+fQOKnU+LnfLEEE6sMjfG+/awWLBdy+xB8g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MZ8UAAADbAAAADwAAAAAAAAAA&#10;AAAAAAChAgAAZHJzL2Rvd25yZXYueG1sUEsFBgAAAAAEAAQA+QAAAJMDAAAAAA==&#10;" strokecolor="black [3040]" strokeweight="1pt">
                  <v:stroke endarrow="block"/>
                </v:shape>
                <w10:anchorlock/>
              </v:group>
            </w:pict>
          </mc:Fallback>
        </mc:AlternateContent>
      </w:r>
    </w:p>
    <w:p w14:paraId="7D9272F0" w14:textId="77777777" w:rsidR="007A5BBF" w:rsidRPr="00662611" w:rsidRDefault="007A5BBF" w:rsidP="00267097">
      <w:pPr>
        <w:pStyle w:val="IASBSectionTitle2Ind"/>
      </w:pPr>
      <w:r w:rsidRPr="00662611">
        <w:t>Guidance examples</w:t>
      </w:r>
    </w:p>
    <w:p w14:paraId="7D9272F1" w14:textId="3337D099" w:rsidR="007A5BBF" w:rsidRPr="00662611" w:rsidRDefault="007A5BBF" w:rsidP="007A5BBF">
      <w:pPr>
        <w:pStyle w:val="IGpara1"/>
        <w:ind w:left="782" w:hanging="782"/>
      </w:pPr>
      <w:r w:rsidRPr="00662611">
        <w:t xml:space="preserve">The guidance examples below illustrate the </w:t>
      </w:r>
      <w:r w:rsidR="00EA5F13" w:rsidRPr="00662611">
        <w:t>key decisions</w:t>
      </w:r>
      <w:r w:rsidRPr="00662611">
        <w:t xml:space="preserve"> </w:t>
      </w:r>
      <w:r w:rsidR="00215342" w:rsidRPr="00662611">
        <w:t xml:space="preserve">outlined in the diagram in paragraph </w:t>
      </w:r>
      <w:r w:rsidR="00ED48E4">
        <w:fldChar w:fldCharType="begin"/>
      </w:r>
      <w:r w:rsidR="00ED48E4">
        <w:instrText xml:space="preserve"> REF _Ref486087038 \r \h </w:instrText>
      </w:r>
      <w:r w:rsidR="00ED48E4">
        <w:fldChar w:fldCharType="separate"/>
      </w:r>
      <w:r w:rsidR="00C43128">
        <w:t>IG2</w:t>
      </w:r>
      <w:r w:rsidR="00ED48E4">
        <w:fldChar w:fldCharType="end"/>
      </w:r>
      <w:r w:rsidR="00215342" w:rsidRPr="00662611">
        <w:t xml:space="preserve"> </w:t>
      </w:r>
      <w:r w:rsidR="00EA5F13" w:rsidRPr="00662611">
        <w:t xml:space="preserve">for assessing </w:t>
      </w:r>
      <w:r w:rsidR="009A276B" w:rsidRPr="00662611">
        <w:t>whether</w:t>
      </w:r>
      <w:r w:rsidR="00EA5F13" w:rsidRPr="00662611">
        <w:t xml:space="preserve"> an arrangement is a service concession arrangement</w:t>
      </w:r>
      <w:r w:rsidR="00451CE0">
        <w:t xml:space="preserve"> </w:t>
      </w:r>
      <w:r w:rsidR="008F57B9">
        <w:t xml:space="preserve">– </w:t>
      </w:r>
      <w:r w:rsidR="00451CE0">
        <w:t>and therefore</w:t>
      </w:r>
      <w:r w:rsidR="00EA5F13" w:rsidRPr="00662611">
        <w:t xml:space="preserve"> within the scope of AASB </w:t>
      </w:r>
      <w:r w:rsidR="005F6667">
        <w:t>1059</w:t>
      </w:r>
      <w:r w:rsidR="009C5BED">
        <w:t>, assuming that the period of time and operator compensation requirements are met –</w:t>
      </w:r>
      <w:r w:rsidR="00EA5F13" w:rsidRPr="00662611">
        <w:t xml:space="preserve"> </w:t>
      </w:r>
      <w:r w:rsidR="009A276B" w:rsidRPr="00662611">
        <w:t>in the following circumstances</w:t>
      </w:r>
      <w:r w:rsidRPr="00662611">
        <w:t>:</w:t>
      </w:r>
    </w:p>
    <w:p w14:paraId="7D9272F2" w14:textId="5ABB09A5" w:rsidR="00EA5F13" w:rsidRPr="00662611" w:rsidRDefault="006172CE" w:rsidP="006172CE">
      <w:pPr>
        <w:pStyle w:val="NumAG2"/>
        <w:ind w:left="1564" w:hanging="782"/>
      </w:pPr>
      <w:r>
        <w:tab/>
      </w:r>
      <w:r w:rsidR="009A276B" w:rsidRPr="00662611">
        <w:t xml:space="preserve">the operator provides </w:t>
      </w:r>
      <w:r w:rsidR="00EA5F13" w:rsidRPr="00662611">
        <w:t>limited services</w:t>
      </w:r>
      <w:r w:rsidR="00BE4EA7" w:rsidRPr="00662611">
        <w:t xml:space="preserve"> for the asset</w:t>
      </w:r>
      <w:r w:rsidR="00EA5F13" w:rsidRPr="00662611">
        <w:t>;</w:t>
      </w:r>
      <w:r w:rsidR="008B0EDE">
        <w:t xml:space="preserve"> and</w:t>
      </w:r>
    </w:p>
    <w:p w14:paraId="7D9272F4" w14:textId="3FA6DFB1" w:rsidR="00BE4EA7" w:rsidRPr="00662611" w:rsidRDefault="006172CE" w:rsidP="006172CE">
      <w:pPr>
        <w:pStyle w:val="NumAG2"/>
        <w:ind w:left="1564" w:hanging="782"/>
      </w:pPr>
      <w:r>
        <w:tab/>
      </w:r>
      <w:proofErr w:type="gramStart"/>
      <w:r w:rsidR="008B0EDE">
        <w:t>the</w:t>
      </w:r>
      <w:proofErr w:type="gramEnd"/>
      <w:r w:rsidR="008B0EDE">
        <w:t xml:space="preserve"> operator has management responsibilities</w:t>
      </w:r>
      <w:r w:rsidR="009C5BED">
        <w:t xml:space="preserve"> for some services</w:t>
      </w:r>
      <w:r w:rsidR="00BE4EA7" w:rsidRPr="00662611">
        <w:t>.</w:t>
      </w:r>
    </w:p>
    <w:p w14:paraId="7D9272F6" w14:textId="77777777" w:rsidR="00117864" w:rsidRPr="00662611" w:rsidRDefault="00F369E8" w:rsidP="00267097">
      <w:pPr>
        <w:pStyle w:val="IASBSectionTitle3Ind"/>
      </w:pPr>
      <w:r w:rsidRPr="00662611">
        <w:t>E</w:t>
      </w:r>
      <w:r w:rsidR="00117864" w:rsidRPr="00662611">
        <w:t>xample 1</w:t>
      </w:r>
      <w:r w:rsidR="00495453" w:rsidRPr="00662611">
        <w:t xml:space="preserve">: </w:t>
      </w:r>
      <w:r w:rsidR="00483069" w:rsidRPr="00662611">
        <w:t>Limited operator services</w:t>
      </w:r>
    </w:p>
    <w:p w14:paraId="7D9272F7" w14:textId="6105E78B" w:rsidR="00C23274" w:rsidRPr="00662611" w:rsidRDefault="00256784" w:rsidP="00106F8B">
      <w:pPr>
        <w:pStyle w:val="IGpara1"/>
        <w:ind w:left="782" w:hanging="782"/>
      </w:pPr>
      <w:bookmarkStart w:id="104" w:name="_Ref486087182"/>
      <w:r w:rsidRPr="00662611">
        <w:t>I</w:t>
      </w:r>
      <w:r w:rsidR="00C23274" w:rsidRPr="00662611">
        <w:t xml:space="preserve">n </w:t>
      </w:r>
      <w:r w:rsidR="00215342" w:rsidRPr="00662611">
        <w:t>this example</w:t>
      </w:r>
      <w:r w:rsidRPr="00662611">
        <w:t>, t</w:t>
      </w:r>
      <w:r w:rsidR="00C23274" w:rsidRPr="00662611">
        <w:t xml:space="preserve">he relevant terms of the arrangement </w:t>
      </w:r>
      <w:r w:rsidR="00215342" w:rsidRPr="00662611">
        <w:t>for assessing whether it is within the scope of AASB </w:t>
      </w:r>
      <w:r w:rsidR="005F6667">
        <w:t>1059</w:t>
      </w:r>
      <w:r w:rsidR="00215342" w:rsidRPr="00662611">
        <w:t xml:space="preserve"> </w:t>
      </w:r>
      <w:r w:rsidR="009E1BB9" w:rsidRPr="00662611">
        <w:t>are:</w:t>
      </w:r>
      <w:bookmarkEnd w:id="104"/>
    </w:p>
    <w:p w14:paraId="7D9272F8" w14:textId="77777777" w:rsidR="00C23274" w:rsidRPr="00662611" w:rsidRDefault="00256784" w:rsidP="003102C2">
      <w:pPr>
        <w:pStyle w:val="NumAG2"/>
        <w:numPr>
          <w:ilvl w:val="1"/>
          <w:numId w:val="42"/>
        </w:numPr>
        <w:tabs>
          <w:tab w:val="clear" w:pos="1247"/>
        </w:tabs>
        <w:ind w:left="1564" w:hanging="782"/>
      </w:pPr>
      <w:r w:rsidRPr="00662611">
        <w:t>a</w:t>
      </w:r>
      <w:r w:rsidR="00C23274" w:rsidRPr="00662611">
        <w:t xml:space="preserve"> grantor enters into an arrangement that involves the operator constructing a s</w:t>
      </w:r>
      <w:r w:rsidR="009E1BB9" w:rsidRPr="00662611">
        <w:t>chool;</w:t>
      </w:r>
    </w:p>
    <w:p w14:paraId="7D9272F9" w14:textId="49561312" w:rsidR="00945B4F" w:rsidRPr="00662611" w:rsidRDefault="00945B4F" w:rsidP="003102C2">
      <w:pPr>
        <w:pStyle w:val="NumAG2"/>
        <w:numPr>
          <w:ilvl w:val="1"/>
          <w:numId w:val="42"/>
        </w:numPr>
        <w:tabs>
          <w:tab w:val="clear" w:pos="1247"/>
        </w:tabs>
        <w:ind w:left="1564" w:hanging="782"/>
      </w:pPr>
      <w:proofErr w:type="gramStart"/>
      <w:r w:rsidRPr="00662611">
        <w:lastRenderedPageBreak/>
        <w:t>the</w:t>
      </w:r>
      <w:proofErr w:type="gramEnd"/>
      <w:r w:rsidRPr="00662611">
        <w:t xml:space="preserve"> school provide</w:t>
      </w:r>
      <w:r w:rsidR="00A2455F" w:rsidRPr="00662611">
        <w:t>s</w:t>
      </w:r>
      <w:r w:rsidRPr="00662611">
        <w:t xml:space="preserve"> public services as the basic purpose of the school is </w:t>
      </w:r>
      <w:r w:rsidR="00215342" w:rsidRPr="00662611">
        <w:t xml:space="preserve">to </w:t>
      </w:r>
      <w:r w:rsidRPr="00662611">
        <w:t>provide education services that are necessary or essential to the general public. The education services provided by the school are accessible to the public, even if it is a subset of the community that uses the services</w:t>
      </w:r>
      <w:r w:rsidR="005A5733" w:rsidRPr="00662611">
        <w:t>. The assessment of the public service nature of the school is consistent with paragraph</w:t>
      </w:r>
      <w:r w:rsidR="00A2455F" w:rsidRPr="00662611">
        <w:t> </w:t>
      </w:r>
      <w:r w:rsidR="00A93573">
        <w:fldChar w:fldCharType="begin"/>
      </w:r>
      <w:r w:rsidR="00A93573">
        <w:instrText xml:space="preserve"> REF _Ref486597229 \r \h </w:instrText>
      </w:r>
      <w:r w:rsidR="00A93573">
        <w:fldChar w:fldCharType="separate"/>
      </w:r>
      <w:r w:rsidR="00C43128">
        <w:t>B6</w:t>
      </w:r>
      <w:r w:rsidR="00A93573">
        <w:fldChar w:fldCharType="end"/>
      </w:r>
      <w:r w:rsidRPr="00662611">
        <w:t>;</w:t>
      </w:r>
    </w:p>
    <w:p w14:paraId="7D9272FA" w14:textId="77777777" w:rsidR="009E1BB9" w:rsidRPr="00662611" w:rsidRDefault="00256784" w:rsidP="003102C2">
      <w:pPr>
        <w:pStyle w:val="NumAG2"/>
        <w:numPr>
          <w:ilvl w:val="1"/>
          <w:numId w:val="42"/>
        </w:numPr>
        <w:tabs>
          <w:tab w:val="clear" w:pos="1247"/>
        </w:tabs>
        <w:ind w:left="1564" w:hanging="782"/>
      </w:pPr>
      <w:r w:rsidRPr="00662611">
        <w:t>t</w:t>
      </w:r>
      <w:r w:rsidR="009E1BB9" w:rsidRPr="00662611">
        <w:t xml:space="preserve">he grantor </w:t>
      </w:r>
      <w:r w:rsidR="00EE232C" w:rsidRPr="00662611">
        <w:t xml:space="preserve">is responsible for </w:t>
      </w:r>
      <w:r w:rsidR="009E1BB9" w:rsidRPr="00662611">
        <w:t xml:space="preserve">the </w:t>
      </w:r>
      <w:r w:rsidR="00EE232C" w:rsidRPr="00662611">
        <w:t xml:space="preserve">services relating to the delivery of </w:t>
      </w:r>
      <w:r w:rsidR="009E1BB9" w:rsidRPr="00662611">
        <w:t>ed</w:t>
      </w:r>
      <w:r w:rsidR="00EE232C" w:rsidRPr="00662611">
        <w:t xml:space="preserve">ucation and operational services such as the recruitment of teachers and administration </w:t>
      </w:r>
      <w:r w:rsidR="005E157A" w:rsidRPr="00662611">
        <w:t>staff</w:t>
      </w:r>
      <w:r w:rsidR="00F92739" w:rsidRPr="00662611">
        <w:t>, and the maintenance of the school facilities</w:t>
      </w:r>
      <w:r w:rsidR="005E157A" w:rsidRPr="00662611">
        <w:t>;</w:t>
      </w:r>
      <w:r w:rsidR="00D64796" w:rsidRPr="00662611">
        <w:t xml:space="preserve"> and</w:t>
      </w:r>
    </w:p>
    <w:p w14:paraId="7D9272FB" w14:textId="77777777" w:rsidR="005E157A" w:rsidRPr="00662611" w:rsidRDefault="005E157A" w:rsidP="003102C2">
      <w:pPr>
        <w:pStyle w:val="NumAG2"/>
        <w:numPr>
          <w:ilvl w:val="1"/>
          <w:numId w:val="42"/>
        </w:numPr>
        <w:tabs>
          <w:tab w:val="clear" w:pos="1247"/>
        </w:tabs>
        <w:ind w:left="1564" w:hanging="782"/>
      </w:pPr>
      <w:proofErr w:type="gramStart"/>
      <w:r w:rsidRPr="00662611">
        <w:t>the</w:t>
      </w:r>
      <w:proofErr w:type="gramEnd"/>
      <w:r w:rsidRPr="00662611">
        <w:t xml:space="preserve"> operator is responsible for </w:t>
      </w:r>
      <w:r w:rsidR="001B35CB" w:rsidRPr="00662611">
        <w:t>cleaning and security services for the school.</w:t>
      </w:r>
    </w:p>
    <w:p w14:paraId="7D9272FC" w14:textId="5C1D1E76" w:rsidR="001B35CB" w:rsidRDefault="00A02A9F" w:rsidP="00FB7BD4">
      <w:pPr>
        <w:pStyle w:val="IGpara1"/>
        <w:spacing w:before="240"/>
        <w:ind w:left="782" w:hanging="782"/>
      </w:pPr>
      <w:bookmarkStart w:id="105" w:name="_Ref486087207"/>
      <w:bookmarkStart w:id="106" w:name="_Ref486542905"/>
      <w:r w:rsidRPr="00662611">
        <w:t>Based on the</w:t>
      </w:r>
      <w:r w:rsidR="00A84CD9" w:rsidRPr="00662611">
        <w:t>se</w:t>
      </w:r>
      <w:r w:rsidRPr="00662611">
        <w:t xml:space="preserve"> facts and circumstances, the grantor </w:t>
      </w:r>
      <w:r w:rsidR="006156C4">
        <w:t xml:space="preserve">concludes </w:t>
      </w:r>
      <w:r w:rsidR="002B03FB" w:rsidRPr="00662611">
        <w:t xml:space="preserve">the operator does not </w:t>
      </w:r>
      <w:r w:rsidR="006156C4">
        <w:t xml:space="preserve">access </w:t>
      </w:r>
      <w:r w:rsidR="002B03FB" w:rsidRPr="00662611">
        <w:t xml:space="preserve">the school to provide public services as its provision of cleaning and security services does not constitute management of </w:t>
      </w:r>
      <w:r w:rsidR="006156C4">
        <w:t xml:space="preserve">at least some of the public services provided by </w:t>
      </w:r>
      <w:r w:rsidR="002B03FB" w:rsidRPr="00662611">
        <w:t>the school</w:t>
      </w:r>
      <w:r w:rsidR="001B3356" w:rsidRPr="00662611">
        <w:t xml:space="preserve"> (</w:t>
      </w:r>
      <w:r w:rsidR="00F34831" w:rsidRPr="00662611">
        <w:t>refer</w:t>
      </w:r>
      <w:r w:rsidR="001B3356" w:rsidRPr="00662611">
        <w:t xml:space="preserve"> paragraph</w:t>
      </w:r>
      <w:r w:rsidR="005B453E" w:rsidRPr="00662611">
        <w:t> </w:t>
      </w:r>
      <w:r w:rsidR="006156C4">
        <w:fldChar w:fldCharType="begin"/>
      </w:r>
      <w:r w:rsidR="006156C4">
        <w:instrText xml:space="preserve"> REF _Ref486489833 \r \h </w:instrText>
      </w:r>
      <w:r w:rsidR="006156C4">
        <w:fldChar w:fldCharType="separate"/>
      </w:r>
      <w:r w:rsidR="00C43128">
        <w:t>B10</w:t>
      </w:r>
      <w:r w:rsidR="006156C4">
        <w:fldChar w:fldCharType="end"/>
      </w:r>
      <w:r w:rsidR="001B3356" w:rsidRPr="00662611">
        <w:t>)</w:t>
      </w:r>
      <w:r w:rsidR="00485F65" w:rsidRPr="00662611">
        <w:t xml:space="preserve">. Accordingly, </w:t>
      </w:r>
      <w:r w:rsidR="002B03FB" w:rsidRPr="00662611">
        <w:t>the arrangement is not a service concession arrangement and is outside the scope of AASB </w:t>
      </w:r>
      <w:r w:rsidR="005F6667">
        <w:t>1059</w:t>
      </w:r>
      <w:r w:rsidR="00FB7BD4" w:rsidRPr="00662611">
        <w:t xml:space="preserve"> (paragraph </w:t>
      </w:r>
      <w:r w:rsidR="001F0831">
        <w:fldChar w:fldCharType="begin"/>
      </w:r>
      <w:r w:rsidR="001F0831">
        <w:instrText xml:space="preserve"> REF _Ref475621189 \r \h </w:instrText>
      </w:r>
      <w:r w:rsidR="001F0831">
        <w:fldChar w:fldCharType="separate"/>
      </w:r>
      <w:r w:rsidR="00C43128">
        <w:t>2</w:t>
      </w:r>
      <w:r w:rsidR="001F0831">
        <w:fldChar w:fldCharType="end"/>
      </w:r>
      <w:r w:rsidR="009D39DC" w:rsidRPr="00662611">
        <w:t>).</w:t>
      </w:r>
      <w:bookmarkEnd w:id="105"/>
      <w:r w:rsidR="006156C4">
        <w:t xml:space="preserve"> The cleaning and security services</w:t>
      </w:r>
      <w:r w:rsidR="007F0414">
        <w:t xml:space="preserve"> represent an outsourced service to the grantor to enable it to provide the public services through the school</w:t>
      </w:r>
      <w:r w:rsidR="006156C4">
        <w:t>.</w:t>
      </w:r>
      <w:bookmarkEnd w:id="106"/>
    </w:p>
    <w:p w14:paraId="237E4A9E" w14:textId="37ECDE79" w:rsidR="006623DB" w:rsidRPr="00662611" w:rsidRDefault="006623DB" w:rsidP="006623DB">
      <w:pPr>
        <w:pStyle w:val="IASBSectionTitle3Ind"/>
      </w:pPr>
      <w:r w:rsidRPr="00662611">
        <w:t>Example 2(</w:t>
      </w:r>
      <w:r>
        <w:t>a</w:t>
      </w:r>
      <w:r w:rsidRPr="00662611">
        <w:t xml:space="preserve">): Facility maintenance at discretion of </w:t>
      </w:r>
      <w:r w:rsidR="005A5DA4">
        <w:t>operator</w:t>
      </w:r>
    </w:p>
    <w:p w14:paraId="3F016378" w14:textId="7BD1A113" w:rsidR="006623DB" w:rsidRPr="00662611" w:rsidRDefault="006623DB" w:rsidP="006623DB">
      <w:pPr>
        <w:pStyle w:val="IGpara1"/>
        <w:ind w:left="782" w:hanging="782"/>
      </w:pPr>
      <w:r w:rsidRPr="00662611">
        <w:t xml:space="preserve">In this example, the facts in Example 1 apply, except that the operator is also responsible for maintenance of the school facilities by maintaining the school to a specified condition. The operator </w:t>
      </w:r>
      <w:r>
        <w:t>has</w:t>
      </w:r>
      <w:r w:rsidRPr="00662611">
        <w:t xml:space="preserve"> discretion as to when and how it conducts maintenance of the school facilities.</w:t>
      </w:r>
    </w:p>
    <w:p w14:paraId="0C11D753" w14:textId="30D6AE69" w:rsidR="006623DB" w:rsidRPr="006623DB" w:rsidRDefault="006623DB" w:rsidP="006623DB">
      <w:pPr>
        <w:pStyle w:val="IGpara1"/>
        <w:spacing w:before="240"/>
        <w:ind w:left="782" w:hanging="782"/>
      </w:pPr>
      <w:r w:rsidRPr="006623DB">
        <w:t>Based on the facts and circumstances, whilst the operator provide</w:t>
      </w:r>
      <w:r w:rsidR="005A5DA4">
        <w:t>s</w:t>
      </w:r>
      <w:r w:rsidRPr="006623DB">
        <w:t xml:space="preserve"> maintenance of the school facilities, </w:t>
      </w:r>
      <w:r>
        <w:t>f</w:t>
      </w:r>
      <w:r w:rsidRPr="006623DB">
        <w:t>acility maintenance does not represent a significant component of the public services provided by the school</w:t>
      </w:r>
      <w:r w:rsidR="00995C4F">
        <w:t>.</w:t>
      </w:r>
      <w:r w:rsidRPr="006623DB">
        <w:t xml:space="preserve"> </w:t>
      </w:r>
      <w:r w:rsidR="00995C4F">
        <w:t xml:space="preserve">Therefore, </w:t>
      </w:r>
      <w:r w:rsidRPr="006623DB">
        <w:t>the operator’s responsibility for maintenance does not involve the operator in managing the school services (refer paragraph </w:t>
      </w:r>
      <w:r w:rsidRPr="006623DB">
        <w:fldChar w:fldCharType="begin"/>
      </w:r>
      <w:r w:rsidRPr="006623DB">
        <w:instrText xml:space="preserve"> REF _Ref486489833 \r \h  \* MERGEFORMAT </w:instrText>
      </w:r>
      <w:r w:rsidRPr="006623DB">
        <w:fldChar w:fldCharType="separate"/>
      </w:r>
      <w:r w:rsidR="00C43128">
        <w:t>B10</w:t>
      </w:r>
      <w:r w:rsidRPr="006623DB">
        <w:fldChar w:fldCharType="end"/>
      </w:r>
      <w:r w:rsidRPr="006623DB">
        <w:t>). Accordingly, the arrangement is not a service concession arrangement and is outside the scope of AASB </w:t>
      </w:r>
      <w:r w:rsidR="005F6667">
        <w:t>1059</w:t>
      </w:r>
      <w:r w:rsidR="004878A7">
        <w:t xml:space="preserve"> (paragraph </w:t>
      </w:r>
      <w:r w:rsidR="004878A7">
        <w:fldChar w:fldCharType="begin"/>
      </w:r>
      <w:r w:rsidR="004878A7">
        <w:instrText xml:space="preserve"> REF _Ref487010405 \r \h </w:instrText>
      </w:r>
      <w:r w:rsidR="004878A7">
        <w:fldChar w:fldCharType="separate"/>
      </w:r>
      <w:r w:rsidR="00C43128">
        <w:t>2</w:t>
      </w:r>
      <w:r w:rsidR="004878A7">
        <w:fldChar w:fldCharType="end"/>
      </w:r>
      <w:r w:rsidR="004878A7">
        <w:t>)</w:t>
      </w:r>
      <w:r w:rsidRPr="006623DB">
        <w:t>.</w:t>
      </w:r>
      <w:r w:rsidR="00995C4F">
        <w:t xml:space="preserve"> The maintenance services represent an outsourced service to the grantor to enable it to provide the public services through the school.</w:t>
      </w:r>
    </w:p>
    <w:p w14:paraId="7D9272FD" w14:textId="667CF13E" w:rsidR="00117864" w:rsidRPr="006623DB" w:rsidRDefault="00F369E8" w:rsidP="00267097">
      <w:pPr>
        <w:pStyle w:val="IASBSectionTitle3Ind"/>
      </w:pPr>
      <w:r w:rsidRPr="006623DB">
        <w:t>E</w:t>
      </w:r>
      <w:r w:rsidR="00117864" w:rsidRPr="006623DB">
        <w:t>xample 2</w:t>
      </w:r>
      <w:r w:rsidR="000E5BBA" w:rsidRPr="006623DB">
        <w:t>(</w:t>
      </w:r>
      <w:r w:rsidR="006623DB" w:rsidRPr="006623DB">
        <w:t>b</w:t>
      </w:r>
      <w:r w:rsidR="000E5BBA" w:rsidRPr="006623DB">
        <w:t>)</w:t>
      </w:r>
      <w:r w:rsidR="00495453" w:rsidRPr="006623DB">
        <w:t xml:space="preserve">: </w:t>
      </w:r>
      <w:r w:rsidR="003C6EDC" w:rsidRPr="006623DB">
        <w:t>Operator has management responsibilities</w:t>
      </w:r>
    </w:p>
    <w:p w14:paraId="7D9272FE" w14:textId="4E22159B" w:rsidR="00117864" w:rsidRPr="00662611" w:rsidRDefault="00117864" w:rsidP="00106F8B">
      <w:pPr>
        <w:pStyle w:val="IGpara1"/>
        <w:ind w:left="782" w:hanging="782"/>
      </w:pPr>
      <w:r w:rsidRPr="00662611">
        <w:t xml:space="preserve">In this example, the facts in Example 1 apply, except that the operator is also responsible for </w:t>
      </w:r>
      <w:r w:rsidR="003C6EDC">
        <w:t xml:space="preserve">certain operational services, in determining how many staff are required and organising classes, teachers and administrative staff, and for </w:t>
      </w:r>
      <w:r w:rsidR="00EA5D1F" w:rsidRPr="00662611">
        <w:t>maintenance of the school</w:t>
      </w:r>
      <w:r w:rsidR="00C8262C" w:rsidRPr="00662611">
        <w:t xml:space="preserve"> </w:t>
      </w:r>
      <w:r w:rsidR="005E2609" w:rsidRPr="00662611">
        <w:t xml:space="preserve">facilities </w:t>
      </w:r>
      <w:r w:rsidR="00C8262C" w:rsidRPr="00662611">
        <w:t>by providing upgrades and maintaining the school to a specified condition</w:t>
      </w:r>
      <w:r w:rsidR="00EA5D1F" w:rsidRPr="00662611">
        <w:t xml:space="preserve">. The operator </w:t>
      </w:r>
      <w:r w:rsidR="001F7B39" w:rsidRPr="00662611">
        <w:t>has discretion as to when and how it</w:t>
      </w:r>
      <w:r w:rsidR="00D2582B">
        <w:t xml:space="preserve"> carries out these responsibilities</w:t>
      </w:r>
      <w:r w:rsidR="001F7B39" w:rsidRPr="00662611">
        <w:t>.</w:t>
      </w:r>
    </w:p>
    <w:p w14:paraId="7D9272FF" w14:textId="5A80E22F" w:rsidR="00C8262C" w:rsidRPr="00662611" w:rsidRDefault="00C8262C" w:rsidP="00106F8B">
      <w:pPr>
        <w:pStyle w:val="IGpara1"/>
        <w:ind w:left="782" w:hanging="782"/>
      </w:pPr>
      <w:r w:rsidRPr="00662611">
        <w:t>Based on the</w:t>
      </w:r>
      <w:r w:rsidR="00215342" w:rsidRPr="00662611">
        <w:t>se</w:t>
      </w:r>
      <w:r w:rsidRPr="00662611">
        <w:t xml:space="preserve"> facts and circumstances, the grantor </w:t>
      </w:r>
      <w:r w:rsidR="003C6EDC">
        <w:t xml:space="preserve">concludes </w:t>
      </w:r>
      <w:r w:rsidR="00192B98" w:rsidRPr="00662611">
        <w:t xml:space="preserve">the operator </w:t>
      </w:r>
      <w:r w:rsidR="003C6EDC">
        <w:t xml:space="preserve">accesses </w:t>
      </w:r>
      <w:r w:rsidR="00192B98" w:rsidRPr="00662611">
        <w:t xml:space="preserve">the school to provide public services </w:t>
      </w:r>
      <w:r w:rsidR="003C6EDC">
        <w:t xml:space="preserve">and is </w:t>
      </w:r>
      <w:r w:rsidR="00192B98" w:rsidRPr="00662611">
        <w:t>responsible for at least some of the management of the school</w:t>
      </w:r>
      <w:r w:rsidR="00A93573">
        <w:t xml:space="preserve"> services</w:t>
      </w:r>
      <w:r w:rsidR="00192B98" w:rsidRPr="00662611">
        <w:t xml:space="preserve">. The operator fulfils this management responsibility </w:t>
      </w:r>
      <w:r w:rsidR="00131DE3">
        <w:t xml:space="preserve">through its significant operational </w:t>
      </w:r>
      <w:r w:rsidR="006623DB">
        <w:t xml:space="preserve">and maintenance </w:t>
      </w:r>
      <w:r w:rsidR="00131DE3">
        <w:t>responsibilities, even though the staff are provided by the grantor</w:t>
      </w:r>
      <w:r w:rsidR="00FC5C2A">
        <w:t xml:space="preserve"> </w:t>
      </w:r>
      <w:r w:rsidR="005B453E" w:rsidRPr="00662611">
        <w:t>(refer paragraph </w:t>
      </w:r>
      <w:r w:rsidR="00FC5C2A">
        <w:fldChar w:fldCharType="begin"/>
      </w:r>
      <w:r w:rsidR="00FC5C2A">
        <w:instrText xml:space="preserve"> REF _Ref486865970 \r \h </w:instrText>
      </w:r>
      <w:r w:rsidR="00FC5C2A">
        <w:fldChar w:fldCharType="separate"/>
      </w:r>
      <w:r w:rsidR="00C43128">
        <w:t>B10</w:t>
      </w:r>
      <w:r w:rsidR="00FC5C2A">
        <w:fldChar w:fldCharType="end"/>
      </w:r>
      <w:r w:rsidR="00230F82" w:rsidRPr="00662611">
        <w:t>)</w:t>
      </w:r>
      <w:r w:rsidR="00F34831" w:rsidRPr="00662611">
        <w:t xml:space="preserve">. Accordingly, </w:t>
      </w:r>
      <w:r w:rsidR="00192B98" w:rsidRPr="00662611">
        <w:t>the arrangement is a service concession arrangement within the scope of AASB </w:t>
      </w:r>
      <w:r w:rsidR="005F6667">
        <w:t>1059</w:t>
      </w:r>
      <w:r w:rsidR="00376FC8" w:rsidRPr="00662611">
        <w:t>.</w:t>
      </w:r>
    </w:p>
    <w:p w14:paraId="7D927303" w14:textId="77777777" w:rsidR="00D524BC" w:rsidRPr="00662611" w:rsidRDefault="00D524BC">
      <w:pPr>
        <w:rPr>
          <w:szCs w:val="19"/>
        </w:rPr>
      </w:pPr>
      <w:r w:rsidRPr="00662611">
        <w:rPr>
          <w:szCs w:val="19"/>
        </w:rPr>
        <w:br w:type="page"/>
      </w:r>
    </w:p>
    <w:p w14:paraId="7D927304" w14:textId="3CB141A0" w:rsidR="00762A9B" w:rsidRPr="00662611" w:rsidRDefault="00762A9B" w:rsidP="002E51CE">
      <w:pPr>
        <w:pStyle w:val="IGpara1"/>
        <w:ind w:left="782" w:hanging="782"/>
      </w:pPr>
      <w:r w:rsidRPr="00662611">
        <w:lastRenderedPageBreak/>
        <w:t>The diagram below summarise</w:t>
      </w:r>
      <w:r w:rsidR="00031C12" w:rsidRPr="00662611">
        <w:t>s</w:t>
      </w:r>
      <w:r w:rsidRPr="00662611">
        <w:t xml:space="preserve"> the accounting for service concession arrangements </w:t>
      </w:r>
      <w:r w:rsidR="00131DE3">
        <w:t xml:space="preserve">in accordance with </w:t>
      </w:r>
      <w:r w:rsidRPr="00662611">
        <w:t>AASB</w:t>
      </w:r>
      <w:r w:rsidR="00031C12" w:rsidRPr="00662611">
        <w:t> </w:t>
      </w:r>
      <w:r w:rsidR="005F6667">
        <w:t>1059</w:t>
      </w:r>
      <w:r w:rsidR="00031C12" w:rsidRPr="00662611">
        <w:t>.</w:t>
      </w:r>
    </w:p>
    <w:p w14:paraId="7D927305" w14:textId="77777777" w:rsidR="007F51D3" w:rsidRPr="00662611" w:rsidRDefault="007F51D3" w:rsidP="007F51D3">
      <w:pPr>
        <w:pStyle w:val="NumAG1"/>
        <w:numPr>
          <w:ilvl w:val="0"/>
          <w:numId w:val="0"/>
        </w:numPr>
        <w:spacing w:before="100" w:after="0"/>
        <w:ind w:left="1564" w:hanging="782"/>
        <w:rPr>
          <w:szCs w:val="19"/>
        </w:rPr>
      </w:pPr>
      <w:r w:rsidRPr="00662611">
        <w:rPr>
          <w:noProof/>
          <w:szCs w:val="19"/>
          <w:lang w:eastAsia="en-AU"/>
        </w:rPr>
        <mc:AlternateContent>
          <mc:Choice Requires="wpc">
            <w:drawing>
              <wp:inline distT="0" distB="0" distL="0" distR="0" wp14:anchorId="7D927857" wp14:editId="450C847D">
                <wp:extent cx="5246914" cy="8382000"/>
                <wp:effectExtent l="0" t="0" r="0" b="0"/>
                <wp:docPr id="3" name="Canvas 3" descr="Flowchart identifies and summarises the accounting for service concession assets" title="Accounting for service concession arrangement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 name="Straight Arrow Connector 53"/>
                        <wps:cNvCnPr>
                          <a:endCxn id="63" idx="0"/>
                        </wps:cNvCnPr>
                        <wps:spPr>
                          <a:xfrm>
                            <a:off x="4082244" y="1334748"/>
                            <a:ext cx="423" cy="685025"/>
                          </a:xfrm>
                          <a:prstGeom prst="straightConnector1">
                            <a:avLst/>
                          </a:prstGeom>
                          <a:noFill/>
                          <a:ln w="9525" cap="flat" cmpd="sng" algn="ctr">
                            <a:solidFill>
                              <a:sysClr val="windowText" lastClr="000000"/>
                            </a:solidFill>
                            <a:prstDash val="solid"/>
                            <a:tailEnd type="triangle"/>
                          </a:ln>
                          <a:effectLst/>
                        </wps:spPr>
                        <wps:bodyPr/>
                      </wps:wsp>
                      <wps:wsp>
                        <wps:cNvPr id="54" name="Rectangle 54"/>
                        <wps:cNvSpPr/>
                        <wps:spPr>
                          <a:xfrm>
                            <a:off x="3" y="2777793"/>
                            <a:ext cx="2490102" cy="630555"/>
                          </a:xfrm>
                          <a:prstGeom prst="rect">
                            <a:avLst/>
                          </a:prstGeom>
                          <a:noFill/>
                          <a:ln w="12700" cap="flat" cmpd="sng" algn="ctr">
                            <a:solidFill>
                              <a:sysClr val="windowText" lastClr="000000"/>
                            </a:solidFill>
                            <a:prstDash val="solid"/>
                          </a:ln>
                          <a:effectLst/>
                        </wps:spPr>
                        <wps:txbx>
                          <w:txbxContent>
                            <w:p w14:paraId="7D9278C9" w14:textId="77777777" w:rsidR="006C5212" w:rsidRDefault="006C5212" w:rsidP="00191D93">
                              <w:pPr>
                                <w:pStyle w:val="NormalWeb"/>
                                <w:spacing w:after="0"/>
                                <w:jc w:val="center"/>
                              </w:pPr>
                              <w:r>
                                <w:rPr>
                                  <w:color w:val="000000"/>
                                  <w:sz w:val="19"/>
                                  <w:szCs w:val="19"/>
                                </w:rPr>
                                <w:t>Does the grantor control or regulate what services the operator must provide with the asset, to whom it must provide them, and at what price?</w:t>
                              </w:r>
                            </w:p>
                            <w:p w14:paraId="7D9278CA" w14:textId="77777777" w:rsidR="006C5212" w:rsidRDefault="006C5212" w:rsidP="00191D93">
                              <w:pPr>
                                <w:pStyle w:val="NormalWeb"/>
                                <w:spacing w:after="0"/>
                              </w:pPr>
                              <w:r>
                                <w:rPr>
                                  <w:color w:val="000000"/>
                                  <w:sz w:val="19"/>
                                  <w:szCs w:val="19"/>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Straight Arrow Connector 55"/>
                        <wps:cNvCnPr/>
                        <wps:spPr>
                          <a:xfrm>
                            <a:off x="1235795" y="2484255"/>
                            <a:ext cx="684" cy="29345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6" name="Rectangle 56"/>
                        <wps:cNvSpPr/>
                        <wps:spPr>
                          <a:xfrm>
                            <a:off x="10409" y="3749161"/>
                            <a:ext cx="2490212" cy="1122654"/>
                          </a:xfrm>
                          <a:prstGeom prst="rect">
                            <a:avLst/>
                          </a:prstGeom>
                          <a:noFill/>
                          <a:ln w="12700" cap="flat" cmpd="sng" algn="ctr">
                            <a:solidFill>
                              <a:sysClr val="windowText" lastClr="000000"/>
                            </a:solidFill>
                            <a:prstDash val="solid"/>
                          </a:ln>
                          <a:effectLst/>
                        </wps:spPr>
                        <wps:txbx>
                          <w:txbxContent>
                            <w:p w14:paraId="7D9278CB" w14:textId="3786A361" w:rsidR="006C5212" w:rsidRDefault="006C5212" w:rsidP="00191D93">
                              <w:pPr>
                                <w:pStyle w:val="NormalWeb"/>
                                <w:spacing w:after="0"/>
                                <w:jc w:val="center"/>
                              </w:pPr>
                              <w:r>
                                <w:rPr>
                                  <w:color w:val="000000"/>
                                  <w:sz w:val="19"/>
                                  <w:szCs w:val="19"/>
                                </w:rPr>
                                <w:t>Does the grantor control, through ownership, beneficial entitlement or otherwise, any significant residual interest in the service concession asset at the end of the service concession arrangement? Or is the service concession asset used in the arrangement for its entire economic life?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Straight Arrow Connector 57"/>
                        <wps:cNvCnPr/>
                        <wps:spPr>
                          <a:xfrm flipH="1">
                            <a:off x="1236479" y="3432239"/>
                            <a:ext cx="317" cy="31686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8" name="Rectangle 58"/>
                        <wps:cNvSpPr/>
                        <wps:spPr>
                          <a:xfrm>
                            <a:off x="287" y="0"/>
                            <a:ext cx="2490157" cy="1373228"/>
                          </a:xfrm>
                          <a:prstGeom prst="rect">
                            <a:avLst/>
                          </a:prstGeom>
                          <a:noFill/>
                          <a:ln w="12700" cap="flat" cmpd="sng" algn="ctr">
                            <a:solidFill>
                              <a:sysClr val="windowText" lastClr="000000"/>
                            </a:solidFill>
                            <a:prstDash val="solid"/>
                          </a:ln>
                          <a:effectLst/>
                        </wps:spPr>
                        <wps:txbx>
                          <w:txbxContent>
                            <w:p w14:paraId="7D9278CC" w14:textId="6F332CAB" w:rsidR="006C5212" w:rsidRDefault="006C5212" w:rsidP="00191D93">
                              <w:pPr>
                                <w:pStyle w:val="NormalWeb"/>
                                <w:spacing w:after="0"/>
                                <w:jc w:val="center"/>
                              </w:pPr>
                              <w:r>
                                <w:rPr>
                                  <w:color w:val="000000"/>
                                  <w:sz w:val="19"/>
                                  <w:szCs w:val="19"/>
                                </w:rPr>
                                <w:t>Is the service concession asset constructed, developed, acquired by the operator from a third party, or an upgrade or a major component replacement, for the purpose of the service concession arrangement, or is the asset an existing asset of the operator which becomes a service concession asset as part of the service concession arrangement?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flipV="1">
                            <a:off x="2489839" y="3081407"/>
                            <a:ext cx="671830" cy="0"/>
                          </a:xfrm>
                          <a:prstGeom prst="straightConnector1">
                            <a:avLst/>
                          </a:prstGeom>
                          <a:noFill/>
                          <a:ln w="12700" cap="flat" cmpd="sng" algn="ctr">
                            <a:solidFill>
                              <a:sysClr val="windowText" lastClr="000000"/>
                            </a:solidFill>
                            <a:prstDash val="solid"/>
                            <a:tailEnd type="triangle"/>
                          </a:ln>
                          <a:effectLst/>
                        </wps:spPr>
                        <wps:bodyPr/>
                      </wps:wsp>
                      <wps:wsp>
                        <wps:cNvPr id="60" name="Straight Arrow Connector 60"/>
                        <wps:cNvCnPr/>
                        <wps:spPr>
                          <a:xfrm>
                            <a:off x="2490270" y="4296396"/>
                            <a:ext cx="674370" cy="6350"/>
                          </a:xfrm>
                          <a:prstGeom prst="straightConnector1">
                            <a:avLst/>
                          </a:prstGeom>
                          <a:noFill/>
                          <a:ln w="9525" cap="flat" cmpd="sng" algn="ctr">
                            <a:solidFill>
                              <a:sysClr val="windowText" lastClr="000000"/>
                            </a:solidFill>
                            <a:prstDash val="solid"/>
                            <a:tailEnd type="triangle"/>
                          </a:ln>
                          <a:effectLst/>
                        </wps:spPr>
                        <wps:bodyPr/>
                      </wps:wsp>
                      <wps:wsp>
                        <wps:cNvPr id="61" name="Rectangle 61"/>
                        <wps:cNvSpPr/>
                        <wps:spPr>
                          <a:xfrm>
                            <a:off x="3164180" y="0"/>
                            <a:ext cx="1805305" cy="1327027"/>
                          </a:xfrm>
                          <a:prstGeom prst="rect">
                            <a:avLst/>
                          </a:prstGeom>
                          <a:noFill/>
                          <a:ln w="12700" cap="flat" cmpd="sng" algn="ctr">
                            <a:solidFill>
                              <a:sysClr val="windowText" lastClr="000000"/>
                            </a:solidFill>
                            <a:prstDash val="solid"/>
                          </a:ln>
                          <a:effectLst/>
                        </wps:spPr>
                        <wps:txbx>
                          <w:txbxContent>
                            <w:p w14:paraId="7D9278CD" w14:textId="77777777" w:rsidR="006C5212" w:rsidRDefault="006C5212" w:rsidP="00191D93">
                              <w:pPr>
                                <w:pStyle w:val="NormalWeb"/>
                                <w:spacing w:after="0"/>
                                <w:jc w:val="center"/>
                              </w:pPr>
                              <w:r>
                                <w:rPr>
                                  <w:color w:val="000000"/>
                                  <w:sz w:val="19"/>
                                  <w:szCs w:val="19"/>
                                </w:rPr>
                                <w:t>Is the service concession asset an existing asset of the grantor to which the operator is given access for the purpose of the service concession arrangement?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3180332" y="2019773"/>
                            <a:ext cx="1804670" cy="2871838"/>
                          </a:xfrm>
                          <a:prstGeom prst="rect">
                            <a:avLst/>
                          </a:prstGeom>
                          <a:noFill/>
                          <a:ln w="12700" cap="flat" cmpd="sng" algn="ctr">
                            <a:solidFill>
                              <a:sysClr val="windowText" lastClr="000000"/>
                            </a:solidFill>
                            <a:prstDash val="solid"/>
                          </a:ln>
                          <a:effectLst/>
                        </wps:spPr>
                        <wps:txbx>
                          <w:txbxContent>
                            <w:p w14:paraId="7D9278CE" w14:textId="1945985B" w:rsidR="006C5212" w:rsidRDefault="006C5212" w:rsidP="00191D93">
                              <w:pPr>
                                <w:pStyle w:val="NormalWeb"/>
                                <w:spacing w:after="0"/>
                                <w:jc w:val="center"/>
                              </w:pPr>
                              <w:r w:rsidRPr="00697EED">
                                <w:rPr>
                                  <w:b/>
                                  <w:color w:val="000000"/>
                                  <w:sz w:val="19"/>
                                </w:rPr>
                                <w:t>OUTSIDE THE STANDARD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wps:spPr>
                          <a:xfrm>
                            <a:off x="1247008" y="4878322"/>
                            <a:ext cx="635" cy="29406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flipH="1">
                            <a:off x="1239251" y="1664125"/>
                            <a:ext cx="205774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 name="Rectangle 66"/>
                        <wps:cNvSpPr/>
                        <wps:spPr>
                          <a:xfrm>
                            <a:off x="3" y="5172502"/>
                            <a:ext cx="5014736" cy="3195009"/>
                          </a:xfrm>
                          <a:prstGeom prst="rect">
                            <a:avLst/>
                          </a:prstGeom>
                          <a:noFill/>
                          <a:ln w="12700" cap="flat" cmpd="sng" algn="ctr">
                            <a:solidFill>
                              <a:sysClr val="windowText" lastClr="000000"/>
                            </a:solidFill>
                            <a:prstDash val="solid"/>
                          </a:ln>
                          <a:effectLst/>
                        </wps:spPr>
                        <wps:txbx>
                          <w:txbxContent>
                            <w:p w14:paraId="7D9278CF" w14:textId="1DF294AE" w:rsidR="006C5212" w:rsidRPr="00697EED" w:rsidRDefault="006C5212" w:rsidP="0063023D">
                              <w:pPr>
                                <w:pStyle w:val="NormalWeb"/>
                                <w:spacing w:after="0"/>
                                <w:jc w:val="center"/>
                                <w:rPr>
                                  <w:b/>
                                </w:rPr>
                              </w:pPr>
                              <w:r>
                                <w:rPr>
                                  <w:b/>
                                  <w:color w:val="000000"/>
                                  <w:sz w:val="19"/>
                                </w:rPr>
                                <w:t>ACCOUNTING UNDER</w:t>
                              </w:r>
                              <w:r w:rsidRPr="00697EED">
                                <w:rPr>
                                  <w:b/>
                                  <w:color w:val="000000"/>
                                  <w:sz w:val="19"/>
                                </w:rPr>
                                <w:t xml:space="preserve"> THE STANDARD</w:t>
                              </w:r>
                            </w:p>
                            <w:p w14:paraId="7D9278D0" w14:textId="77777777" w:rsidR="006C5212" w:rsidRPr="00A7368A" w:rsidRDefault="006C5212" w:rsidP="00191D93">
                              <w:pPr>
                                <w:pStyle w:val="NormalWeb"/>
                                <w:spacing w:after="0"/>
                                <w:rPr>
                                  <w:sz w:val="20"/>
                                  <w:szCs w:val="20"/>
                                </w:rPr>
                              </w:pPr>
                            </w:p>
                            <w:p w14:paraId="7D9278D1" w14:textId="4446867A" w:rsidR="006C5212" w:rsidRDefault="006C5212" w:rsidP="003102C2">
                              <w:pPr>
                                <w:pStyle w:val="ListParagraph"/>
                                <w:numPr>
                                  <w:ilvl w:val="0"/>
                                  <w:numId w:val="33"/>
                                </w:numPr>
                                <w:tabs>
                                  <w:tab w:val="clear" w:pos="782"/>
                                  <w:tab w:val="num" w:pos="284"/>
                                </w:tabs>
                                <w:ind w:left="284" w:hanging="284"/>
                                <w:rPr>
                                  <w:sz w:val="20"/>
                                </w:rPr>
                              </w:pPr>
                              <w:r>
                                <w:rPr>
                                  <w:color w:val="000000"/>
                                  <w:szCs w:val="19"/>
                                </w:rPr>
                                <w:t>Grantor initially recognises a service concession asset, or reclassifies an existing asset as a service concession asset, measured at current replacement cost in accordance with the cost approach to fair value in AASB 13</w:t>
                              </w:r>
                            </w:p>
                            <w:p w14:paraId="7D9278D2" w14:textId="51849BB3" w:rsidR="006C5212" w:rsidRPr="00F32FB1" w:rsidRDefault="006C5212" w:rsidP="003102C2">
                              <w:pPr>
                                <w:pStyle w:val="ListParagraph"/>
                                <w:numPr>
                                  <w:ilvl w:val="0"/>
                                  <w:numId w:val="33"/>
                                </w:numPr>
                                <w:tabs>
                                  <w:tab w:val="clear" w:pos="782"/>
                                  <w:tab w:val="num" w:pos="284"/>
                                </w:tabs>
                                <w:ind w:left="284" w:hanging="284"/>
                                <w:rPr>
                                  <w:sz w:val="20"/>
                                </w:rPr>
                              </w:pPr>
                              <w:r>
                                <w:rPr>
                                  <w:color w:val="000000"/>
                                  <w:szCs w:val="19"/>
                                </w:rPr>
                                <w:t xml:space="preserve">After the initial recognition or reclassification, the grantor depreciates/amortises the service concession asset as property, plant and equipment or an identifiable intangible asset in accordance with AASB 116 or AASB 138, as appropriate </w:t>
                              </w:r>
                            </w:p>
                            <w:p w14:paraId="7D9278D3" w14:textId="77777777" w:rsidR="006C5212" w:rsidRPr="006D7440" w:rsidRDefault="006C5212" w:rsidP="003102C2">
                              <w:pPr>
                                <w:pStyle w:val="ListParagraph"/>
                                <w:numPr>
                                  <w:ilvl w:val="0"/>
                                  <w:numId w:val="33"/>
                                </w:numPr>
                                <w:tabs>
                                  <w:tab w:val="clear" w:pos="782"/>
                                  <w:tab w:val="num" w:pos="284"/>
                                </w:tabs>
                                <w:ind w:left="284" w:hanging="284"/>
                                <w:rPr>
                                  <w:sz w:val="20"/>
                                </w:rPr>
                              </w:pPr>
                              <w:r w:rsidRPr="0001725B">
                                <w:rPr>
                                  <w:color w:val="000000"/>
                                  <w:szCs w:val="19"/>
                                </w:rPr>
                                <w:t xml:space="preserve">After the initial recognition </w:t>
                              </w:r>
                              <w:r>
                                <w:rPr>
                                  <w:color w:val="000000"/>
                                  <w:szCs w:val="19"/>
                                </w:rPr>
                                <w:t xml:space="preserve">or reclassification </w:t>
                              </w:r>
                              <w:r w:rsidRPr="0001725B">
                                <w:rPr>
                                  <w:color w:val="000000"/>
                                  <w:szCs w:val="19"/>
                                </w:rPr>
                                <w:t>of an identifiable intangible asset</w:t>
                              </w:r>
                              <w:r>
                                <w:rPr>
                                  <w:color w:val="000000"/>
                                  <w:szCs w:val="19"/>
                                </w:rPr>
                                <w:t>, the grantor</w:t>
                              </w:r>
                              <w:r w:rsidRPr="0001725B">
                                <w:rPr>
                                  <w:color w:val="000000"/>
                                  <w:szCs w:val="19"/>
                                </w:rPr>
                                <w:t xml:space="preserve"> accounts for the asset in accordance with AASB 138, except for the active market requirement </w:t>
                              </w:r>
                              <w:r>
                                <w:rPr>
                                  <w:color w:val="000000"/>
                                  <w:szCs w:val="19"/>
                                </w:rPr>
                                <w:t xml:space="preserve">for the </w:t>
                              </w:r>
                              <w:r w:rsidRPr="0001725B">
                                <w:rPr>
                                  <w:color w:val="000000"/>
                                  <w:szCs w:val="19"/>
                                </w:rPr>
                                <w:t xml:space="preserve">revaluation </w:t>
                              </w:r>
                              <w:r>
                                <w:rPr>
                                  <w:color w:val="000000"/>
                                  <w:szCs w:val="19"/>
                                </w:rPr>
                                <w:t>of</w:t>
                              </w:r>
                              <w:r w:rsidRPr="0001725B">
                                <w:rPr>
                                  <w:color w:val="000000"/>
                                  <w:szCs w:val="19"/>
                                </w:rPr>
                                <w:t xml:space="preserve"> an intangible service concession asset</w:t>
                              </w:r>
                              <w:r>
                                <w:rPr>
                                  <w:color w:val="000000"/>
                                  <w:szCs w:val="19"/>
                                </w:rPr>
                                <w:t xml:space="preserve"> –</w:t>
                              </w:r>
                              <w:r w:rsidRPr="0001725B">
                                <w:rPr>
                                  <w:color w:val="000000"/>
                                  <w:szCs w:val="19"/>
                                </w:rPr>
                                <w:t xml:space="preserve"> current replacement cost continues to be used as </w:t>
                              </w:r>
                              <w:r>
                                <w:rPr>
                                  <w:color w:val="000000"/>
                                  <w:szCs w:val="19"/>
                                </w:rPr>
                                <w:t xml:space="preserve">the basis for </w:t>
                              </w:r>
                              <w:r w:rsidRPr="0001725B">
                                <w:rPr>
                                  <w:color w:val="000000"/>
                                  <w:szCs w:val="19"/>
                                </w:rPr>
                                <w:t>fair value</w:t>
                              </w:r>
                              <w:r>
                                <w:rPr>
                                  <w:color w:val="000000"/>
                                  <w:szCs w:val="19"/>
                                </w:rPr>
                                <w:t xml:space="preserve"> measurement</w:t>
                              </w:r>
                            </w:p>
                            <w:p w14:paraId="7D9278D4" w14:textId="2CD3617D" w:rsidR="006C5212" w:rsidRDefault="006C5212" w:rsidP="003102C2">
                              <w:pPr>
                                <w:pStyle w:val="ListParagraph"/>
                                <w:numPr>
                                  <w:ilvl w:val="0"/>
                                  <w:numId w:val="33"/>
                                </w:numPr>
                                <w:tabs>
                                  <w:tab w:val="clear" w:pos="782"/>
                                  <w:tab w:val="num" w:pos="284"/>
                                </w:tabs>
                                <w:ind w:left="284" w:hanging="284"/>
                                <w:rPr>
                                  <w:sz w:val="20"/>
                                </w:rPr>
                              </w:pPr>
                              <w:r>
                                <w:rPr>
                                  <w:color w:val="000000"/>
                                  <w:szCs w:val="19"/>
                                </w:rPr>
                                <w:t>Grantor follows impairment testing as set out in AASB 136 for a service concession asset that is accounted for under the cost model or (in some cases) the revaluation model</w:t>
                              </w:r>
                            </w:p>
                            <w:p w14:paraId="7D9278D5" w14:textId="008DFE90" w:rsidR="006C5212" w:rsidRDefault="006C5212" w:rsidP="003102C2">
                              <w:pPr>
                                <w:pStyle w:val="ListParagraph"/>
                                <w:numPr>
                                  <w:ilvl w:val="0"/>
                                  <w:numId w:val="33"/>
                                </w:numPr>
                                <w:tabs>
                                  <w:tab w:val="clear" w:pos="782"/>
                                  <w:tab w:val="num" w:pos="284"/>
                                </w:tabs>
                                <w:ind w:left="284" w:hanging="284"/>
                                <w:rPr>
                                  <w:sz w:val="20"/>
                                </w:rPr>
                              </w:pPr>
                              <w:r>
                                <w:rPr>
                                  <w:color w:val="000000"/>
                                  <w:szCs w:val="19"/>
                                </w:rPr>
                                <w:t xml:space="preserve">Grantor initially recognises a related liability equal to the initial amount of the SCA asset (AASB 9, AASB 132 and AASB 7) </w:t>
                              </w:r>
                            </w:p>
                            <w:p w14:paraId="7D9278D6" w14:textId="60A1BCFA" w:rsidR="006C5212" w:rsidRPr="00A7368A" w:rsidRDefault="006C5212" w:rsidP="003102C2">
                              <w:pPr>
                                <w:pStyle w:val="ListParagraph"/>
                                <w:numPr>
                                  <w:ilvl w:val="0"/>
                                  <w:numId w:val="33"/>
                                </w:numPr>
                                <w:tabs>
                                  <w:tab w:val="clear" w:pos="782"/>
                                  <w:tab w:val="num" w:pos="-284"/>
                                  <w:tab w:val="num" w:pos="284"/>
                                  <w:tab w:val="num" w:pos="3602"/>
                                </w:tabs>
                                <w:ind w:left="284" w:hanging="284"/>
                                <w:rPr>
                                  <w:rFonts w:eastAsiaTheme="minorEastAsia"/>
                                  <w:sz w:val="20"/>
                                </w:rPr>
                              </w:pPr>
                              <w:r>
                                <w:rPr>
                                  <w:color w:val="000000"/>
                                  <w:szCs w:val="19"/>
                                </w:rPr>
                                <w:t>Grantor recognises revenues and expenses related to the service concession arrangement (AASB 15</w:t>
                              </w:r>
                              <w:r w:rsidRPr="00490BDC">
                                <w:rPr>
                                  <w:color w:val="000000"/>
                                  <w:szCs w:val="19"/>
                                </w:rPr>
                                <w:t xml:space="preserve"> </w:t>
                              </w:r>
                              <w:r>
                                <w:rPr>
                                  <w:color w:val="000000"/>
                                  <w:szCs w:val="19"/>
                                </w:rPr>
                                <w:t>or AASB 1058)</w:t>
                              </w:r>
                            </w:p>
                            <w:p w14:paraId="7D9278D7" w14:textId="5571207E" w:rsidR="006C5212" w:rsidRPr="00697EED" w:rsidRDefault="006C5212" w:rsidP="003102C2">
                              <w:pPr>
                                <w:pStyle w:val="ListParagraph"/>
                                <w:numPr>
                                  <w:ilvl w:val="0"/>
                                  <w:numId w:val="33"/>
                                </w:numPr>
                                <w:tabs>
                                  <w:tab w:val="clear" w:pos="782"/>
                                  <w:tab w:val="num" w:pos="-284"/>
                                  <w:tab w:val="num" w:pos="284"/>
                                  <w:tab w:val="num" w:pos="3602"/>
                                </w:tabs>
                                <w:ind w:left="284" w:hanging="284"/>
                                <w:rPr>
                                  <w:rFonts w:eastAsiaTheme="minorEastAsia"/>
                                  <w:sz w:val="20"/>
                                </w:rPr>
                              </w:pPr>
                              <w:r>
                                <w:rPr>
                                  <w:color w:val="000000"/>
                                  <w:szCs w:val="19"/>
                                </w:rPr>
                                <w:t>After the end of the term of the arrangement, the grantor accounts for depreciation or amortisation of the asset in accordance with AASB 116 or AASB </w:t>
                              </w:r>
                              <w:r w:rsidRPr="0001725B">
                                <w:rPr>
                                  <w:color w:val="000000"/>
                                  <w:szCs w:val="19"/>
                                </w:rPr>
                                <w:t>138</w:t>
                              </w:r>
                              <w:r>
                                <w:rPr>
                                  <w:color w:val="000000"/>
                                  <w:szCs w:val="19"/>
                                </w:rPr>
                                <w:t>, and continues to recognise the asset until control is lost.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Text Box 20"/>
                        <wps:cNvSpPr txBox="1"/>
                        <wps:spPr>
                          <a:xfrm>
                            <a:off x="4082516" y="1373207"/>
                            <a:ext cx="387985" cy="20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D8" w14:textId="77777777" w:rsidR="006C5212" w:rsidRDefault="006C5212" w:rsidP="00191D93">
                              <w:pPr>
                                <w:pStyle w:val="NormalWeb"/>
                                <w:spacing w:after="0"/>
                              </w:pPr>
                              <w:r>
                                <w:rPr>
                                  <w:sz w:val="19"/>
                                  <w:szCs w:val="19"/>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20"/>
                        <wps:cNvSpPr txBox="1"/>
                        <wps:spPr>
                          <a:xfrm>
                            <a:off x="2653374" y="2873056"/>
                            <a:ext cx="387350" cy="208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D9" w14:textId="77777777" w:rsidR="006C5212" w:rsidRDefault="006C5212" w:rsidP="00191D93">
                              <w:pPr>
                                <w:pStyle w:val="NormalWeb"/>
                                <w:spacing w:after="0"/>
                              </w:pPr>
                              <w:r>
                                <w:rPr>
                                  <w:sz w:val="19"/>
                                  <w:szCs w:val="19"/>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20"/>
                        <wps:cNvSpPr txBox="1"/>
                        <wps:spPr>
                          <a:xfrm>
                            <a:off x="2643129" y="4088056"/>
                            <a:ext cx="387350" cy="208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DA" w14:textId="77777777" w:rsidR="006C5212" w:rsidRDefault="006C5212" w:rsidP="00191D93">
                              <w:pPr>
                                <w:pStyle w:val="NormalWeb"/>
                                <w:spacing w:after="0"/>
                              </w:pPr>
                              <w:r>
                                <w:rPr>
                                  <w:sz w:val="19"/>
                                  <w:szCs w:val="19"/>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20"/>
                        <wps:cNvSpPr txBox="1"/>
                        <wps:spPr>
                          <a:xfrm>
                            <a:off x="3308082" y="1379463"/>
                            <a:ext cx="386080" cy="207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DC" w14:textId="77777777" w:rsidR="006C5212" w:rsidRDefault="006C5212" w:rsidP="00191D93">
                              <w:pPr>
                                <w:pStyle w:val="NormalWeb"/>
                                <w:spacing w:after="0"/>
                              </w:pPr>
                              <w:r>
                                <w:rPr>
                                  <w:sz w:val="19"/>
                                  <w:szCs w:val="19"/>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20"/>
                        <wps:cNvSpPr txBox="1"/>
                        <wps:spPr>
                          <a:xfrm>
                            <a:off x="1235795" y="2534443"/>
                            <a:ext cx="385445"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DD" w14:textId="77777777" w:rsidR="006C5212" w:rsidRDefault="006C5212" w:rsidP="00191D93">
                              <w:pPr>
                                <w:pStyle w:val="NormalWeb"/>
                                <w:spacing w:after="0"/>
                              </w:pPr>
                              <w:r>
                                <w:rPr>
                                  <w:sz w:val="19"/>
                                  <w:szCs w:val="19"/>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Text Box 20"/>
                        <wps:cNvSpPr txBox="1"/>
                        <wps:spPr>
                          <a:xfrm>
                            <a:off x="1236480" y="3499759"/>
                            <a:ext cx="38481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DE" w14:textId="77777777" w:rsidR="006C5212" w:rsidRDefault="006C5212" w:rsidP="00191D93">
                              <w:pPr>
                                <w:pStyle w:val="NormalWeb"/>
                                <w:spacing w:after="0"/>
                              </w:pPr>
                              <w:r>
                                <w:rPr>
                                  <w:sz w:val="19"/>
                                  <w:szCs w:val="19"/>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20"/>
                        <wps:cNvSpPr txBox="1"/>
                        <wps:spPr>
                          <a:xfrm>
                            <a:off x="1238459" y="4913379"/>
                            <a:ext cx="38481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78DF" w14:textId="77777777" w:rsidR="006C5212" w:rsidRDefault="006C5212" w:rsidP="00191D93">
                              <w:pPr>
                                <w:pStyle w:val="NormalWeb"/>
                                <w:spacing w:after="0"/>
                              </w:pPr>
                              <w:r>
                                <w:rPr>
                                  <w:sz w:val="19"/>
                                  <w:szCs w:val="19"/>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Rectangle 100"/>
                        <wps:cNvSpPr/>
                        <wps:spPr>
                          <a:xfrm>
                            <a:off x="4" y="1982740"/>
                            <a:ext cx="2500526" cy="500931"/>
                          </a:xfrm>
                          <a:prstGeom prst="rect">
                            <a:avLst/>
                          </a:prstGeom>
                          <a:noFill/>
                          <a:ln w="12700" cap="flat" cmpd="sng" algn="ctr">
                            <a:solidFill>
                              <a:sysClr val="windowText" lastClr="000000"/>
                            </a:solidFill>
                            <a:prstDash val="solid"/>
                          </a:ln>
                          <a:effectLst/>
                        </wps:spPr>
                        <wps:txbx>
                          <w:txbxContent>
                            <w:p w14:paraId="26232FAC" w14:textId="15F381DD" w:rsidR="006C5212" w:rsidRDefault="006C5212" w:rsidP="00DC3873">
                              <w:pPr>
                                <w:pStyle w:val="NormalWeb"/>
                                <w:spacing w:after="0"/>
                                <w:jc w:val="center"/>
                              </w:pPr>
                              <w:r>
                                <w:rPr>
                                  <w:color w:val="000000"/>
                                  <w:sz w:val="19"/>
                                  <w:szCs w:val="19"/>
                                </w:rPr>
                                <w:t>Service concession arrangement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Straight Arrow Connector 101"/>
                        <wps:cNvCnPr/>
                        <wps:spPr>
                          <a:xfrm flipV="1">
                            <a:off x="2500622" y="773955"/>
                            <a:ext cx="671195" cy="0"/>
                          </a:xfrm>
                          <a:prstGeom prst="straightConnector1">
                            <a:avLst/>
                          </a:prstGeom>
                          <a:noFill/>
                          <a:ln w="12700" cap="flat" cmpd="sng" algn="ctr">
                            <a:solidFill>
                              <a:sysClr val="windowText" lastClr="000000"/>
                            </a:solidFill>
                            <a:prstDash val="solid"/>
                            <a:tailEnd type="triangle"/>
                          </a:ln>
                          <a:effectLst/>
                        </wps:spPr>
                        <wps:bodyPr/>
                      </wps:wsp>
                      <wps:wsp>
                        <wps:cNvPr id="102" name="Text Box 20"/>
                        <wps:cNvSpPr txBox="1"/>
                        <wps:spPr>
                          <a:xfrm>
                            <a:off x="2605397" y="547260"/>
                            <a:ext cx="386715"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79F1B" w14:textId="77777777" w:rsidR="006C5212" w:rsidRDefault="006C5212" w:rsidP="008C0311">
                              <w:pPr>
                                <w:pStyle w:val="NormalWeb"/>
                                <w:spacing w:after="0"/>
                              </w:pPr>
                              <w:r>
                                <w:rPr>
                                  <w:sz w:val="19"/>
                                  <w:szCs w:val="19"/>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Straight Arrow Connector 103"/>
                        <wps:cNvCnPr>
                          <a:stCxn id="58" idx="2"/>
                          <a:endCxn id="100" idx="0"/>
                        </wps:cNvCnPr>
                        <wps:spPr>
                          <a:xfrm>
                            <a:off x="1245237" y="1373228"/>
                            <a:ext cx="5030" cy="60951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4" name="Text Box 20"/>
                        <wps:cNvSpPr txBox="1"/>
                        <wps:spPr>
                          <a:xfrm>
                            <a:off x="1180095" y="1386804"/>
                            <a:ext cx="38481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5F2FC" w14:textId="77777777" w:rsidR="006C5212" w:rsidRDefault="006C5212" w:rsidP="008C0311">
                              <w:pPr>
                                <w:pStyle w:val="NormalWeb"/>
                                <w:spacing w:after="0"/>
                              </w:pPr>
                              <w:r>
                                <w:rPr>
                                  <w:sz w:val="19"/>
                                  <w:szCs w:val="19"/>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Straight Connector 1"/>
                        <wps:cNvCnPr/>
                        <wps:spPr>
                          <a:xfrm flipH="1">
                            <a:off x="3307541" y="1345740"/>
                            <a:ext cx="686" cy="3182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 o:spid="_x0000_s1043" editas="canvas" alt="Title: Accounting for service concession arrangements - Description: Flowchart identifies and summarises the accounting for service concession assets" style="width:413.15pt;height:660pt;mso-position-horizontal-relative:char;mso-position-vertical-relative:line" coordsize="52463,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">
                <v:shape id="_x0000_s1044" type="#_x0000_t75" alt="Flowchart identifies and summarises the accounting for service concession assets" style="position:absolute;width:52463;height:83820;visibility:visible;mso-wrap-style:square">
                  <v:fill o:detectmouseclick="t"/>
                  <v:path o:connecttype="none"/>
                </v:shape>
                <v:shape id="Straight Arrow Connector 53" o:spid="_x0000_s1045" type="#_x0000_t32" style="position:absolute;left:40822;top:13347;width:4;height:6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ANncUAAADbAAAADwAAAGRycy9kb3ducmV2LnhtbESPQUvDQBSE74L/YXmCN7vRqpS026Ki&#10;YE+SxEKPr9nXbGr2bdhdm/Tfu0Khx2FmvmEWq9F24kg+tI4V3E8yEMS10y03Cr6rj7sZiBCRNXaO&#10;ScGJAqyW11cLzLUbuKBjGRuRIBxyVGBi7HMpQ23IYpi4njh5e+ctxiR9I7XHIcFtJx+y7FlabDkt&#10;GOzpzVD9U/5aBYX0r+vysauq4d1Md196sy0OG6Vub8aXOYhIY7yEz+1PreBpC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ANncUAAADbAAAADwAAAAAAAAAA&#10;AAAAAAChAgAAZHJzL2Rvd25yZXYueG1sUEsFBgAAAAAEAAQA+QAAAJMDAAAAAA==&#10;" strokecolor="windowText">
                  <v:stroke endarrow="block"/>
                </v:shape>
                <v:rect id="Rectangle 54" o:spid="_x0000_s1046" style="position:absolute;top:27777;width:24901;height:6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RTsQA&#10;AADbAAAADwAAAGRycy9kb3ducmV2LnhtbESPT2sCMRTE7wW/Q3iCt5r4p6VsjSKCIOhFV4TenpvX&#10;3aXJy7KJ6/bbN4LQ4zAzv2EWq95Z0VEbas8aJmMFgrjwpuZSwznfvn6ACBHZoPVMGn4pwGo5eFlg&#10;Zvydj9SdYikShEOGGqoYm0zKUFTkMIx9Q5y8b986jEm2pTQt3hPcWTlV6l06rDktVNjQpqLi53Rz&#10;Go4qv+zdYaa+rup8CVtnr93aaj0a9utPEJH6+B9+tndGw9sc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UU7EAAAA2wAAAA8AAAAAAAAAAAAAAAAAmAIAAGRycy9k&#10;b3ducmV2LnhtbFBLBQYAAAAABAAEAPUAAACJAwAAAAA=&#10;" filled="f" strokecolor="windowText" strokeweight="1pt">
                  <v:textbox>
                    <w:txbxContent>
                      <w:p w14:paraId="7D9278C9" w14:textId="77777777" w:rsidR="006C5212" w:rsidRDefault="006C5212" w:rsidP="00191D93">
                        <w:pPr>
                          <w:pStyle w:val="NormalWeb"/>
                          <w:spacing w:after="0"/>
                          <w:jc w:val="center"/>
                        </w:pPr>
                        <w:r>
                          <w:rPr>
                            <w:color w:val="000000"/>
                            <w:sz w:val="19"/>
                            <w:szCs w:val="19"/>
                          </w:rPr>
                          <w:t>Does the grantor control or regulate what services the operator must provide with the asset, to whom it must provide them, and at what price?</w:t>
                        </w:r>
                      </w:p>
                      <w:p w14:paraId="7D9278CA" w14:textId="77777777" w:rsidR="006C5212" w:rsidRDefault="006C5212" w:rsidP="00191D93">
                        <w:pPr>
                          <w:pStyle w:val="NormalWeb"/>
                          <w:spacing w:after="0"/>
                        </w:pPr>
                        <w:r>
                          <w:rPr>
                            <w:color w:val="000000"/>
                            <w:sz w:val="19"/>
                            <w:szCs w:val="19"/>
                          </w:rPr>
                          <w:t> </w:t>
                        </w:r>
                      </w:p>
                    </w:txbxContent>
                  </v:textbox>
                </v:rect>
                <v:shape id="Straight Arrow Connector 55" o:spid="_x0000_s1047" type="#_x0000_t32" style="position:absolute;left:12357;top:24842;width:7;height:2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8+MUAAADbAAAADwAAAGRycy9kb3ducmV2LnhtbESPQWvCQBSE70L/w/IK3sym0oSSuoZS&#10;EIQepCpCb6/Z1yQk+zbsrpr4691CocdhZr5hVuVoenEh51vLCp6SFARxZXXLtYLjYbN4AeEDssbe&#10;MimYyEO5fpitsND2yp902YdaRAj7AhU0IQyFlL5qyKBP7EAcvR/rDIYoXS21w2uEm14u0zSXBluO&#10;Cw0O9N5Q1e3PRsGHzpfPp+E2fWV6k3/zYTd1Tio1fxzfXkEEGsN/+K+91QqyDH6/x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8+MUAAADbAAAADwAAAAAAAAAA&#10;AAAAAAChAgAAZHJzL2Rvd25yZXYueG1sUEsFBgAAAAAEAAQA+QAAAJMDAAAAAA==&#10;" strokecolor="black [3040]" strokeweight="1pt">
                  <v:stroke endarrow="block"/>
                </v:shape>
                <v:rect id="Rectangle 56" o:spid="_x0000_s1048" style="position:absolute;left:104;top:37491;width:24902;height:11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qosMA&#10;AADbAAAADwAAAGRycy9kb3ducmV2LnhtbESPT4vCMBTE7wt+h/CEva2JirJUo4ggCO7FPwh7ezbP&#10;tpi8lCbW7rffCILHYWZ+w8yXnbOipSZUnjUMBwoEce5NxYWG03Hz9Q0iRGSD1jNp+KMAy0XvY46Z&#10;8Q/eU3uIhUgQDhlqKGOsMylDXpLDMPA1cfKuvnEYk2wKaRp8JLizcqTUVDqsOC2UWNO6pPx2uDsN&#10;e3U879zPWP1e1OkcNs5e2pXV+rPfrWYgInXxHX61t0bDZ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dqosMAAADbAAAADwAAAAAAAAAAAAAAAACYAgAAZHJzL2Rv&#10;d25yZXYueG1sUEsFBgAAAAAEAAQA9QAAAIgDAAAAAA==&#10;" filled="f" strokecolor="windowText" strokeweight="1pt">
                  <v:textbox>
                    <w:txbxContent>
                      <w:p w14:paraId="7D9278CB" w14:textId="3786A361" w:rsidR="006C5212" w:rsidRDefault="006C5212" w:rsidP="00191D93">
                        <w:pPr>
                          <w:pStyle w:val="NormalWeb"/>
                          <w:spacing w:after="0"/>
                          <w:jc w:val="center"/>
                        </w:pPr>
                        <w:r>
                          <w:rPr>
                            <w:color w:val="000000"/>
                            <w:sz w:val="19"/>
                            <w:szCs w:val="19"/>
                          </w:rPr>
                          <w:t>Does the grantor control, through ownership, beneficial entitlement or otherwise, any significant residual interest in the service concession asset at the end of the service concession arrangement? Or is the service concession asset used in the arrangement for its entire economic life?</w:t>
                        </w:r>
                      </w:p>
                    </w:txbxContent>
                  </v:textbox>
                </v:rect>
                <v:shape id="Straight Arrow Connector 57" o:spid="_x0000_s1049" type="#_x0000_t32" style="position:absolute;left:12364;top:34322;width:3;height:31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aIuMMAAADbAAAADwAAAGRycy9kb3ducmV2LnhtbESPT2sCMRTE7wW/Q3iCl6LZLf5jNUpb&#10;WmiPatHrc/PcLG5eliTq+u2bgtDjMDO/YZbrzjbiSj7UjhXkowwEcel0zZWCn93ncA4iRGSNjWNS&#10;cKcA61XvaYmFdjfe0HUbK5EgHApUYGJsCylDachiGLmWOHkn5y3GJH0ltcdbgttGvmTZVFqsOS0Y&#10;bOndUHneXqyC456+cwxv+eYwxme/N9OP3QSVGvS71wWISF38Dz/aX1rBZAZ/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miLjDAAAA2wAAAA8AAAAAAAAAAAAA&#10;AAAAoQIAAGRycy9kb3ducmV2LnhtbFBLBQYAAAAABAAEAPkAAACRAwAAAAA=&#10;" strokecolor="black [3040]" strokeweight="1pt">
                  <v:stroke endarrow="block"/>
                </v:shape>
                <v:rect id="Rectangle 58" o:spid="_x0000_s1050" style="position:absolute;left:2;width:24902;height:13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bS8EA&#10;AADbAAAADwAAAGRycy9kb3ducmV2LnhtbERPz2vCMBS+C/sfwht408SNjdEZpQwKg3mxLcJuz+at&#10;LSYvpclq/e/NYbDjx/d7u5+dFRONofesYbNWIIgbb3puNdRVsXoDESKyQeuZNNwowH73sNhiZvyV&#10;jzSVsRUphEOGGroYh0zK0HTkMKz9QJy4Hz86jAmOrTQjXlO4s/JJqVfpsOfU0OFAHx01l/LXaTiq&#10;6vTlDs/q+6zqUyicPU+51Xr5OOfvICLN8V/85/40Gl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EW0vBAAAA2wAAAA8AAAAAAAAAAAAAAAAAmAIAAGRycy9kb3du&#10;cmV2LnhtbFBLBQYAAAAABAAEAPUAAACGAwAAAAA=&#10;" filled="f" strokecolor="windowText" strokeweight="1pt">
                  <v:textbox>
                    <w:txbxContent>
                      <w:p w14:paraId="7D9278CC" w14:textId="6F332CAB" w:rsidR="006C5212" w:rsidRDefault="006C5212" w:rsidP="00191D93">
                        <w:pPr>
                          <w:pStyle w:val="NormalWeb"/>
                          <w:spacing w:after="0"/>
                          <w:jc w:val="center"/>
                        </w:pPr>
                        <w:r>
                          <w:rPr>
                            <w:color w:val="000000"/>
                            <w:sz w:val="19"/>
                            <w:szCs w:val="19"/>
                          </w:rPr>
                          <w:t>Is the service concession asset constructed, developed, acquired by the operator from a third party, or an upgrade or a major component replacement, for the purpose of the service concession arrangement, or is the asset an existing asset of the operator which becomes a service concession asset as part of the service concession arrangement?</w:t>
                        </w:r>
                      </w:p>
                    </w:txbxContent>
                  </v:textbox>
                </v:rect>
                <v:shape id="Straight Arrow Connector 59" o:spid="_x0000_s1051" type="#_x0000_t32" style="position:absolute;left:24898;top:30814;width:671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lNa8QAAADbAAAADwAAAGRycy9kb3ducmV2LnhtbESPT2vCQBTE7wW/w/KEXopuFFo1ukoq&#10;tXr1D3h9ZJ9JNPs23d3G9Nt3CwWPw8z8hlmsOlOLlpyvLCsYDRMQxLnVFRcKTsfNYArCB2SNtWVS&#10;8EMeVsve0wJTbe+8p/YQChEh7FNUUIbQpFL6vCSDfmgb4uhdrDMYonSF1A7vEW5qOU6SN2mw4rhQ&#10;YkPrkvLb4dso2E+Tybm+zrLNNvv8ch/vF96+tEo997tsDiJQFx7h//ZOK3id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U1rxAAAANsAAAAPAAAAAAAAAAAA&#10;AAAAAKECAABkcnMvZG93bnJldi54bWxQSwUGAAAAAAQABAD5AAAAkgMAAAAA&#10;" strokecolor="windowText" strokeweight="1pt">
                  <v:stroke endarrow="block"/>
                </v:shape>
                <v:shape id="Straight Arrow Connector 60" o:spid="_x0000_s1052" type="#_x0000_t32" style="position:absolute;left:24902;top:42963;width:6744;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5ZV8IAAADbAAAADwAAAGRycy9kb3ducmV2LnhtbERPz2vCMBS+D/wfwhO8zdQ5ZHRG0aGw&#10;nUZbBY9vzVvT2byUJLPdf78cBjt+fL/X29F24kY+tI4VLOYZCOLa6ZYbBafqeP8EIkRkjZ1jUvBD&#10;Ababyd0ac+0GLuhWxkakEA45KjAx9rmUoTZkMcxdT5y4T+ctxgR9I7XHIYXbTj5k2UpabDk1GOzp&#10;xVB9Lb+tgkL6/Vv52FXVcDDLj3d9vhRfZ6Vm03H3DCLSGP/Ff+5XrWCV1qcv6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5ZV8IAAADbAAAADwAAAAAAAAAAAAAA&#10;AAChAgAAZHJzL2Rvd25yZXYueG1sUEsFBgAAAAAEAAQA+QAAAJADAAAAAA==&#10;" strokecolor="windowText">
                  <v:stroke endarrow="block"/>
                </v:shape>
                <v:rect id="Rectangle 61" o:spid="_x0000_s1053" style="position:absolute;left:31641;width:18053;height:1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a8IA&#10;AADbAAAADwAAAGRycy9kb3ducmV2LnhtbESPT4vCMBTE74LfIbyFvWmiCyJdo8iCIOjFPxT29mye&#10;bTF5KU2s3W+/EQSPw8z8hlmsemdFR22oPWuYjBUI4sKbmksN59NmNAcRIrJB65k0/FGA1XI4WGBm&#10;/IMP1B1jKRKEQ4YaqhibTMpQVOQwjH1DnLyrbx3GJNtSmhYfCe6snCo1kw5rTgsVNvRTUXE73p2G&#10;gzrlO7f/Ur8Xdc7DxtlLt7Zaf370628Qkfr4Dr/aW6NhNoHn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hrwgAAANsAAAAPAAAAAAAAAAAAAAAAAJgCAABkcnMvZG93&#10;bnJldi54bWxQSwUGAAAAAAQABAD1AAAAhwMAAAAA&#10;" filled="f" strokecolor="windowText" strokeweight="1pt">
                  <v:textbox>
                    <w:txbxContent>
                      <w:p w14:paraId="7D9278CD" w14:textId="77777777" w:rsidR="006C5212" w:rsidRDefault="006C5212" w:rsidP="00191D93">
                        <w:pPr>
                          <w:pStyle w:val="NormalWeb"/>
                          <w:spacing w:after="0"/>
                          <w:jc w:val="center"/>
                        </w:pPr>
                        <w:r>
                          <w:rPr>
                            <w:color w:val="000000"/>
                            <w:sz w:val="19"/>
                            <w:szCs w:val="19"/>
                          </w:rPr>
                          <w:t>Is the service concession asset an existing asset of the grantor to which the operator is given access for the purpose of the service concession arrangement?</w:t>
                        </w:r>
                      </w:p>
                    </w:txbxContent>
                  </v:textbox>
                </v:rect>
                <v:rect id="Rectangle 63" o:spid="_x0000_s1054" style="position:absolute;left:31803;top:20197;width:18047;height:28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Dh8MA&#10;AADbAAAADwAAAGRycy9kb3ducmV2LnhtbESPQWvCQBSE7wX/w/IEb3W3CkFSV5FCQKgXowi9PbOv&#10;Seju25DdJum/7xYKHoeZ+YbZ7idnxUB9aD1reFkqEMSVNy3XGq6X4nkDIkRkg9YzafihAPvd7GmL&#10;ufEjn2koYy0ShEOOGpoYu1zKUDXkMCx9R5y8T987jEn2tTQ9jgnurFwplUmHLaeFBjt6a6j6Kr+d&#10;hrO63N7daa0+7up6C4Wz9+FgtV7Mp8MriEhTfIT/20ejIVvD3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wDh8MAAADbAAAADwAAAAAAAAAAAAAAAACYAgAAZHJzL2Rv&#10;d25yZXYueG1sUEsFBgAAAAAEAAQA9QAAAIgDAAAAAA==&#10;" filled="f" strokecolor="windowText" strokeweight="1pt">
                  <v:textbox>
                    <w:txbxContent>
                      <w:p w14:paraId="7D9278CE" w14:textId="1945985B" w:rsidR="006C5212" w:rsidRDefault="006C5212" w:rsidP="00191D93">
                        <w:pPr>
                          <w:pStyle w:val="NormalWeb"/>
                          <w:spacing w:after="0"/>
                          <w:jc w:val="center"/>
                        </w:pPr>
                        <w:r w:rsidRPr="00697EED">
                          <w:rPr>
                            <w:b/>
                            <w:color w:val="000000"/>
                            <w:sz w:val="19"/>
                          </w:rPr>
                          <w:t>OUTSIDE THE STANDARD</w:t>
                        </w:r>
                      </w:p>
                    </w:txbxContent>
                  </v:textbox>
                </v:rect>
                <v:shape id="Straight Arrow Connector 64" o:spid="_x0000_s1055" type="#_x0000_t32" style="position:absolute;left:12470;top:48783;width:6;height:29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tT3sMAAADbAAAADwAAAGRycy9kb3ducmV2LnhtbESPQYvCMBSE7wv+h/AEb2uqaJFqFBGE&#10;BQ+yuix4ezbPtti8lCSrrb9+Iwgeh5n5hlmsWlOLGzlfWVYwGiYgiHOrKy4U/By3nzMQPiBrrC2T&#10;go48rJa9jwVm2t75m26HUIgIYZ+hgjKEJpPS5yUZ9EPbEEfvYp3BEKUrpHZ4j3BTy3GSpNJgxXGh&#10;xIY2JeXXw59RsNPpePLbPLrTVG/TMx/33dVJpQb9dj0HEagN7/Cr/aUVpB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97DAAAA2wAAAA8AAAAAAAAAAAAA&#10;AAAAoQIAAGRycy9kb3ducmV2LnhtbFBLBQYAAAAABAAEAPkAAACRAwAAAAA=&#10;" strokecolor="black [3040]" strokeweight="1pt">
                  <v:stroke endarrow="block"/>
                </v:shape>
                <v:shape id="Straight Arrow Connector 65" o:spid="_x0000_s1056" type="#_x0000_t32" style="position:absolute;left:12392;top:16641;width:205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R56cIAAADbAAAADwAAAGRycy9kb3ducmV2LnhtbESPQWsCMRSE7wX/Q3hCL0WzW+oiq1Fs&#10;UWiPatHrc/PcLG5eliTq+u+bQqHHYWa+YebL3rbiRj40jhXk4wwEceV0w7WC7/1mNAURIrLG1jEp&#10;eFCA5WLwNMdSuztv6baLtUgQDiUqMDF2pZShMmQxjF1HnLyz8xZjkr6W2uM9wW0rX7OskBYbTgsG&#10;O/owVF12V6vgdKCvHMN7vj2+4Ys/mGK9n6BSz8N+NQMRqY//4b/2p1ZQTOD3S/oB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R56cIAAADbAAAADwAAAAAAAAAAAAAA&#10;AAChAgAAZHJzL2Rvd25yZXYueG1sUEsFBgAAAAAEAAQA+QAAAJADAAAAAA==&#10;" strokecolor="black [3040]" strokeweight="1pt">
                  <v:stroke endarrow="block"/>
                </v:shape>
                <v:rect id="Rectangle 66" o:spid="_x0000_s1057" style="position:absolute;top:51725;width:50147;height:31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gH8IA&#10;AADbAAAADwAAAGRycy9kb3ducmV2LnhtbESPT4vCMBTE7wt+h/CEva2Ju1CkGkUEQdCLfxC8PZtn&#10;W0xeSpOt9dubhQWPw8z8hpktemdFR22oPWsYjxQI4sKbmksNp+P6awIiRGSD1jNpeFKAxXzwMcPc&#10;+AfvqTvEUiQIhxw1VDE2uZShqMhhGPmGOHk33zqMSbalNC0+EtxZ+a1UJh3WnBYqbGhVUXE//DoN&#10;e3U8b93uR12u6nQOa2ev3dJq/Tnsl1MQkfr4Dv+3N0ZDlsHfl/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6AfwgAAANsAAAAPAAAAAAAAAAAAAAAAAJgCAABkcnMvZG93&#10;bnJldi54bWxQSwUGAAAAAAQABAD1AAAAhwMAAAAA&#10;" filled="f" strokecolor="windowText" strokeweight="1pt">
                  <v:textbox>
                    <w:txbxContent>
                      <w:p w14:paraId="7D9278CF" w14:textId="1DF294AE" w:rsidR="006C5212" w:rsidRPr="00697EED" w:rsidRDefault="006C5212" w:rsidP="0063023D">
                        <w:pPr>
                          <w:pStyle w:val="NormalWeb"/>
                          <w:spacing w:after="0"/>
                          <w:jc w:val="center"/>
                          <w:rPr>
                            <w:b/>
                          </w:rPr>
                        </w:pPr>
                        <w:r>
                          <w:rPr>
                            <w:b/>
                            <w:color w:val="000000"/>
                            <w:sz w:val="19"/>
                          </w:rPr>
                          <w:t>ACCOUNTING UNDER</w:t>
                        </w:r>
                        <w:r w:rsidRPr="00697EED">
                          <w:rPr>
                            <w:b/>
                            <w:color w:val="000000"/>
                            <w:sz w:val="19"/>
                          </w:rPr>
                          <w:t xml:space="preserve"> THE STANDARD</w:t>
                        </w:r>
                      </w:p>
                      <w:p w14:paraId="7D9278D0" w14:textId="77777777" w:rsidR="006C5212" w:rsidRPr="00A7368A" w:rsidRDefault="006C5212" w:rsidP="00191D93">
                        <w:pPr>
                          <w:pStyle w:val="NormalWeb"/>
                          <w:spacing w:after="0"/>
                          <w:rPr>
                            <w:sz w:val="20"/>
                            <w:szCs w:val="20"/>
                          </w:rPr>
                        </w:pPr>
                      </w:p>
                      <w:p w14:paraId="7D9278D1" w14:textId="4446867A" w:rsidR="006C5212" w:rsidRDefault="006C5212" w:rsidP="003102C2">
                        <w:pPr>
                          <w:pStyle w:val="ListParagraph"/>
                          <w:numPr>
                            <w:ilvl w:val="0"/>
                            <w:numId w:val="33"/>
                          </w:numPr>
                          <w:tabs>
                            <w:tab w:val="clear" w:pos="782"/>
                            <w:tab w:val="num" w:pos="284"/>
                          </w:tabs>
                          <w:ind w:left="284" w:hanging="284"/>
                          <w:rPr>
                            <w:sz w:val="20"/>
                          </w:rPr>
                        </w:pPr>
                        <w:r>
                          <w:rPr>
                            <w:color w:val="000000"/>
                            <w:szCs w:val="19"/>
                          </w:rPr>
                          <w:t>Grantor initially recognises a service concession asset, or reclassifies an existing asset as a service concession asset, measured at current replacement cost in accordance with the cost approach to fair value in AASB 13</w:t>
                        </w:r>
                      </w:p>
                      <w:p w14:paraId="7D9278D2" w14:textId="51849BB3" w:rsidR="006C5212" w:rsidRPr="00F32FB1" w:rsidRDefault="006C5212" w:rsidP="003102C2">
                        <w:pPr>
                          <w:pStyle w:val="ListParagraph"/>
                          <w:numPr>
                            <w:ilvl w:val="0"/>
                            <w:numId w:val="33"/>
                          </w:numPr>
                          <w:tabs>
                            <w:tab w:val="clear" w:pos="782"/>
                            <w:tab w:val="num" w:pos="284"/>
                          </w:tabs>
                          <w:ind w:left="284" w:hanging="284"/>
                          <w:rPr>
                            <w:sz w:val="20"/>
                          </w:rPr>
                        </w:pPr>
                        <w:r>
                          <w:rPr>
                            <w:color w:val="000000"/>
                            <w:szCs w:val="19"/>
                          </w:rPr>
                          <w:t xml:space="preserve">After the initial recognition or reclassification, the grantor depreciates/amortises the service concession asset as property, plant and equipment or an identifiable intangible asset in accordance with AASB 116 or AASB 138, as appropriate </w:t>
                        </w:r>
                      </w:p>
                      <w:p w14:paraId="7D9278D3" w14:textId="77777777" w:rsidR="006C5212" w:rsidRPr="006D7440" w:rsidRDefault="006C5212" w:rsidP="003102C2">
                        <w:pPr>
                          <w:pStyle w:val="ListParagraph"/>
                          <w:numPr>
                            <w:ilvl w:val="0"/>
                            <w:numId w:val="33"/>
                          </w:numPr>
                          <w:tabs>
                            <w:tab w:val="clear" w:pos="782"/>
                            <w:tab w:val="num" w:pos="284"/>
                          </w:tabs>
                          <w:ind w:left="284" w:hanging="284"/>
                          <w:rPr>
                            <w:sz w:val="20"/>
                          </w:rPr>
                        </w:pPr>
                        <w:r w:rsidRPr="0001725B">
                          <w:rPr>
                            <w:color w:val="000000"/>
                            <w:szCs w:val="19"/>
                          </w:rPr>
                          <w:t xml:space="preserve">After the initial recognition </w:t>
                        </w:r>
                        <w:r>
                          <w:rPr>
                            <w:color w:val="000000"/>
                            <w:szCs w:val="19"/>
                          </w:rPr>
                          <w:t xml:space="preserve">or reclassification </w:t>
                        </w:r>
                        <w:r w:rsidRPr="0001725B">
                          <w:rPr>
                            <w:color w:val="000000"/>
                            <w:szCs w:val="19"/>
                          </w:rPr>
                          <w:t>of an identifiable intangible asset</w:t>
                        </w:r>
                        <w:r>
                          <w:rPr>
                            <w:color w:val="000000"/>
                            <w:szCs w:val="19"/>
                          </w:rPr>
                          <w:t>, the grantor</w:t>
                        </w:r>
                        <w:r w:rsidRPr="0001725B">
                          <w:rPr>
                            <w:color w:val="000000"/>
                            <w:szCs w:val="19"/>
                          </w:rPr>
                          <w:t xml:space="preserve"> accounts for the asset in accordance with AASB 138, except for the active market requirement </w:t>
                        </w:r>
                        <w:r>
                          <w:rPr>
                            <w:color w:val="000000"/>
                            <w:szCs w:val="19"/>
                          </w:rPr>
                          <w:t xml:space="preserve">for the </w:t>
                        </w:r>
                        <w:r w:rsidRPr="0001725B">
                          <w:rPr>
                            <w:color w:val="000000"/>
                            <w:szCs w:val="19"/>
                          </w:rPr>
                          <w:t xml:space="preserve">revaluation </w:t>
                        </w:r>
                        <w:r>
                          <w:rPr>
                            <w:color w:val="000000"/>
                            <w:szCs w:val="19"/>
                          </w:rPr>
                          <w:t>of</w:t>
                        </w:r>
                        <w:r w:rsidRPr="0001725B">
                          <w:rPr>
                            <w:color w:val="000000"/>
                            <w:szCs w:val="19"/>
                          </w:rPr>
                          <w:t xml:space="preserve"> an intangible service concession asset</w:t>
                        </w:r>
                        <w:r>
                          <w:rPr>
                            <w:color w:val="000000"/>
                            <w:szCs w:val="19"/>
                          </w:rPr>
                          <w:t xml:space="preserve"> –</w:t>
                        </w:r>
                        <w:r w:rsidRPr="0001725B">
                          <w:rPr>
                            <w:color w:val="000000"/>
                            <w:szCs w:val="19"/>
                          </w:rPr>
                          <w:t xml:space="preserve"> current replacement cost continues to be used as </w:t>
                        </w:r>
                        <w:r>
                          <w:rPr>
                            <w:color w:val="000000"/>
                            <w:szCs w:val="19"/>
                          </w:rPr>
                          <w:t xml:space="preserve">the basis for </w:t>
                        </w:r>
                        <w:r w:rsidRPr="0001725B">
                          <w:rPr>
                            <w:color w:val="000000"/>
                            <w:szCs w:val="19"/>
                          </w:rPr>
                          <w:t>fair value</w:t>
                        </w:r>
                        <w:r>
                          <w:rPr>
                            <w:color w:val="000000"/>
                            <w:szCs w:val="19"/>
                          </w:rPr>
                          <w:t xml:space="preserve"> measurement</w:t>
                        </w:r>
                      </w:p>
                      <w:p w14:paraId="7D9278D4" w14:textId="2CD3617D" w:rsidR="006C5212" w:rsidRDefault="006C5212" w:rsidP="003102C2">
                        <w:pPr>
                          <w:pStyle w:val="ListParagraph"/>
                          <w:numPr>
                            <w:ilvl w:val="0"/>
                            <w:numId w:val="33"/>
                          </w:numPr>
                          <w:tabs>
                            <w:tab w:val="clear" w:pos="782"/>
                            <w:tab w:val="num" w:pos="284"/>
                          </w:tabs>
                          <w:ind w:left="284" w:hanging="284"/>
                          <w:rPr>
                            <w:sz w:val="20"/>
                          </w:rPr>
                        </w:pPr>
                        <w:r>
                          <w:rPr>
                            <w:color w:val="000000"/>
                            <w:szCs w:val="19"/>
                          </w:rPr>
                          <w:t>Grantor follows impairment testing as set out in AASB 136 for a service concession asset that is accounted for under the cost model or (in some cases) the revaluation model</w:t>
                        </w:r>
                      </w:p>
                      <w:p w14:paraId="7D9278D5" w14:textId="008DFE90" w:rsidR="006C5212" w:rsidRDefault="006C5212" w:rsidP="003102C2">
                        <w:pPr>
                          <w:pStyle w:val="ListParagraph"/>
                          <w:numPr>
                            <w:ilvl w:val="0"/>
                            <w:numId w:val="33"/>
                          </w:numPr>
                          <w:tabs>
                            <w:tab w:val="clear" w:pos="782"/>
                            <w:tab w:val="num" w:pos="284"/>
                          </w:tabs>
                          <w:ind w:left="284" w:hanging="284"/>
                          <w:rPr>
                            <w:sz w:val="20"/>
                          </w:rPr>
                        </w:pPr>
                        <w:r>
                          <w:rPr>
                            <w:color w:val="000000"/>
                            <w:szCs w:val="19"/>
                          </w:rPr>
                          <w:t xml:space="preserve">Grantor initially recognises a related liability equal to the initial amount of the SCA asset (AASB 9, AASB 132 and AASB 7) </w:t>
                        </w:r>
                      </w:p>
                      <w:p w14:paraId="7D9278D6" w14:textId="60A1BCFA" w:rsidR="006C5212" w:rsidRPr="00A7368A" w:rsidRDefault="006C5212" w:rsidP="003102C2">
                        <w:pPr>
                          <w:pStyle w:val="ListParagraph"/>
                          <w:numPr>
                            <w:ilvl w:val="0"/>
                            <w:numId w:val="33"/>
                          </w:numPr>
                          <w:tabs>
                            <w:tab w:val="clear" w:pos="782"/>
                            <w:tab w:val="num" w:pos="-284"/>
                            <w:tab w:val="num" w:pos="284"/>
                            <w:tab w:val="num" w:pos="3602"/>
                          </w:tabs>
                          <w:ind w:left="284" w:hanging="284"/>
                          <w:rPr>
                            <w:rFonts w:eastAsiaTheme="minorEastAsia"/>
                            <w:sz w:val="20"/>
                          </w:rPr>
                        </w:pPr>
                        <w:r>
                          <w:rPr>
                            <w:color w:val="000000"/>
                            <w:szCs w:val="19"/>
                          </w:rPr>
                          <w:t>Grantor recognises revenues and expenses related to the service concession arrangement (AASB 15</w:t>
                        </w:r>
                        <w:r w:rsidRPr="00490BDC">
                          <w:rPr>
                            <w:color w:val="000000"/>
                            <w:szCs w:val="19"/>
                          </w:rPr>
                          <w:t xml:space="preserve"> </w:t>
                        </w:r>
                        <w:r>
                          <w:rPr>
                            <w:color w:val="000000"/>
                            <w:szCs w:val="19"/>
                          </w:rPr>
                          <w:t>or AASB 1058)</w:t>
                        </w:r>
                      </w:p>
                      <w:p w14:paraId="7D9278D7" w14:textId="5571207E" w:rsidR="006C5212" w:rsidRPr="00697EED" w:rsidRDefault="006C5212" w:rsidP="003102C2">
                        <w:pPr>
                          <w:pStyle w:val="ListParagraph"/>
                          <w:numPr>
                            <w:ilvl w:val="0"/>
                            <w:numId w:val="33"/>
                          </w:numPr>
                          <w:tabs>
                            <w:tab w:val="clear" w:pos="782"/>
                            <w:tab w:val="num" w:pos="-284"/>
                            <w:tab w:val="num" w:pos="284"/>
                            <w:tab w:val="num" w:pos="3602"/>
                          </w:tabs>
                          <w:ind w:left="284" w:hanging="284"/>
                          <w:rPr>
                            <w:rFonts w:eastAsiaTheme="minorEastAsia"/>
                            <w:sz w:val="20"/>
                          </w:rPr>
                        </w:pPr>
                        <w:r>
                          <w:rPr>
                            <w:color w:val="000000"/>
                            <w:szCs w:val="19"/>
                          </w:rPr>
                          <w:t>After the end of the term of the arrangement, the grantor accounts for depreciation or amortisation of the asset in accordance with AASB 116 or AASB </w:t>
                        </w:r>
                        <w:r w:rsidRPr="0001725B">
                          <w:rPr>
                            <w:color w:val="000000"/>
                            <w:szCs w:val="19"/>
                          </w:rPr>
                          <w:t>138</w:t>
                        </w:r>
                        <w:r>
                          <w:rPr>
                            <w:color w:val="000000"/>
                            <w:szCs w:val="19"/>
                          </w:rPr>
                          <w:t>, and continues to recognise the asset until control is lost.</w:t>
                        </w:r>
                      </w:p>
                    </w:txbxContent>
                  </v:textbox>
                </v:rect>
                <v:shape id="Text Box 20" o:spid="_x0000_s1058" type="#_x0000_t202" style="position:absolute;left:40825;top:13732;width:3880;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14:paraId="7D9278D8" w14:textId="77777777" w:rsidR="006C5212" w:rsidRDefault="006C5212" w:rsidP="00191D93">
                        <w:pPr>
                          <w:pStyle w:val="NormalWeb"/>
                          <w:spacing w:after="0"/>
                        </w:pPr>
                        <w:r>
                          <w:rPr>
                            <w:sz w:val="19"/>
                            <w:szCs w:val="19"/>
                            <w:lang w:val="en-US"/>
                          </w:rPr>
                          <w:t>No</w:t>
                        </w:r>
                      </w:p>
                    </w:txbxContent>
                  </v:textbox>
                </v:shape>
                <v:shape id="Text Box 20" o:spid="_x0000_s1059" type="#_x0000_t202" style="position:absolute;left:26533;top:28730;width:3874;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14:paraId="7D9278D9" w14:textId="77777777" w:rsidR="006C5212" w:rsidRDefault="006C5212" w:rsidP="00191D93">
                        <w:pPr>
                          <w:pStyle w:val="NormalWeb"/>
                          <w:spacing w:after="0"/>
                        </w:pPr>
                        <w:r>
                          <w:rPr>
                            <w:sz w:val="19"/>
                            <w:szCs w:val="19"/>
                            <w:lang w:val="en-US"/>
                          </w:rPr>
                          <w:t>No</w:t>
                        </w:r>
                      </w:p>
                    </w:txbxContent>
                  </v:textbox>
                </v:shape>
                <v:shape id="Text Box 20" o:spid="_x0000_s1060" type="#_x0000_t202" style="position:absolute;left:26431;top:40880;width:3873;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7D9278DA" w14:textId="77777777" w:rsidR="006C5212" w:rsidRDefault="006C5212" w:rsidP="00191D93">
                        <w:pPr>
                          <w:pStyle w:val="NormalWeb"/>
                          <w:spacing w:after="0"/>
                        </w:pPr>
                        <w:r>
                          <w:rPr>
                            <w:sz w:val="19"/>
                            <w:szCs w:val="19"/>
                            <w:lang w:val="en-US"/>
                          </w:rPr>
                          <w:t>No</w:t>
                        </w:r>
                      </w:p>
                    </w:txbxContent>
                  </v:textbox>
                </v:shape>
                <v:shape id="Text Box 20" o:spid="_x0000_s1061" type="#_x0000_t202" style="position:absolute;left:33080;top:13794;width:3861;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14:paraId="7D9278DC" w14:textId="77777777" w:rsidR="006C5212" w:rsidRDefault="006C5212" w:rsidP="00191D93">
                        <w:pPr>
                          <w:pStyle w:val="NormalWeb"/>
                          <w:spacing w:after="0"/>
                        </w:pPr>
                        <w:r>
                          <w:rPr>
                            <w:sz w:val="19"/>
                            <w:szCs w:val="19"/>
                            <w:lang w:val="en-US"/>
                          </w:rPr>
                          <w:t>Yes</w:t>
                        </w:r>
                      </w:p>
                    </w:txbxContent>
                  </v:textbox>
                </v:shape>
                <v:shape id="Text Box 20" o:spid="_x0000_s1062" type="#_x0000_t202" style="position:absolute;left:12357;top:25344;width:385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14:paraId="7D9278DD" w14:textId="77777777" w:rsidR="006C5212" w:rsidRDefault="006C5212" w:rsidP="00191D93">
                        <w:pPr>
                          <w:pStyle w:val="NormalWeb"/>
                          <w:spacing w:after="0"/>
                        </w:pPr>
                        <w:r>
                          <w:rPr>
                            <w:sz w:val="19"/>
                            <w:szCs w:val="19"/>
                            <w:lang w:val="en-US"/>
                          </w:rPr>
                          <w:t>Yes</w:t>
                        </w:r>
                      </w:p>
                    </w:txbxContent>
                  </v:textbox>
                </v:shape>
                <v:shape id="Text Box 20" o:spid="_x0000_s1063" type="#_x0000_t202" style="position:absolute;left:12364;top:34997;width:384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14:paraId="7D9278DE" w14:textId="77777777" w:rsidR="006C5212" w:rsidRDefault="006C5212" w:rsidP="00191D93">
                        <w:pPr>
                          <w:pStyle w:val="NormalWeb"/>
                          <w:spacing w:after="0"/>
                        </w:pPr>
                        <w:r>
                          <w:rPr>
                            <w:sz w:val="19"/>
                            <w:szCs w:val="19"/>
                            <w:lang w:val="en-US"/>
                          </w:rPr>
                          <w:t>Yes</w:t>
                        </w:r>
                      </w:p>
                    </w:txbxContent>
                  </v:textbox>
                </v:shape>
                <v:shape id="Text Box 20" o:spid="_x0000_s1064" type="#_x0000_t202" style="position:absolute;left:12384;top:49133;width:384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14:paraId="7D9278DF" w14:textId="77777777" w:rsidR="006C5212" w:rsidRDefault="006C5212" w:rsidP="00191D93">
                        <w:pPr>
                          <w:pStyle w:val="NormalWeb"/>
                          <w:spacing w:after="0"/>
                        </w:pPr>
                        <w:r>
                          <w:rPr>
                            <w:sz w:val="19"/>
                            <w:szCs w:val="19"/>
                            <w:lang w:val="en-US"/>
                          </w:rPr>
                          <w:t>Yes</w:t>
                        </w:r>
                      </w:p>
                    </w:txbxContent>
                  </v:textbox>
                </v:shape>
                <v:rect id="Rectangle 100" o:spid="_x0000_s1065" style="position:absolute;top:19827;width:25005;height:5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JF8QA&#10;AADcAAAADwAAAGRycy9kb3ducmV2LnhtbESPT2sCMRDF7wW/QxjBW02sUGRrFBEEob34B8HbuJnu&#10;LiaTZZOu22/fORS8zfDevPeb5XoIXvXUpSayhdnUgCIuo2u4snA+7V4XoFJGdugjk4VfSrBejV6W&#10;WLj44AP1x1wpCeFUoIU657bQOpU1BUzT2BKL9h27gFnWrtKuw4eEB6/fjHnXARuWhhpb2tZU3o8/&#10;wcLBnC6f4WturjdzvqRd8Ld+462djIfNB6hMQ36a/6/3TvCN4Ms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8CRfEAAAA3AAAAA8AAAAAAAAAAAAAAAAAmAIAAGRycy9k&#10;b3ducmV2LnhtbFBLBQYAAAAABAAEAPUAAACJAwAAAAA=&#10;" filled="f" strokecolor="windowText" strokeweight="1pt">
                  <v:textbox>
                    <w:txbxContent>
                      <w:p w14:paraId="26232FAC" w14:textId="15F381DD" w:rsidR="006C5212" w:rsidRDefault="006C5212" w:rsidP="00DC3873">
                        <w:pPr>
                          <w:pStyle w:val="NormalWeb"/>
                          <w:spacing w:after="0"/>
                          <w:jc w:val="center"/>
                        </w:pPr>
                        <w:r>
                          <w:rPr>
                            <w:color w:val="000000"/>
                            <w:sz w:val="19"/>
                            <w:szCs w:val="19"/>
                          </w:rPr>
                          <w:t>Service concession arrangement</w:t>
                        </w:r>
                      </w:p>
                    </w:txbxContent>
                  </v:textbox>
                </v:rect>
                <v:shape id="Straight Arrow Connector 101" o:spid="_x0000_s1066" type="#_x0000_t32" style="position:absolute;left:25006;top:7739;width:671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K68MAAADcAAAADwAAAGRycy9kb3ducmV2LnhtbERPyW7CMBC9V+o/WFOJSwU2HCikGBSq&#10;UnplkXodxUMSiMfBdkP4+7pSpd7m6a2zWPW2ER35UDvWMB4pEMSFMzWXGo6HzXAGIkRkg41j0nCn&#10;AKvl48MCM+NuvKNuH0uRQjhkqKGKsc2kDEVFFsPItcSJOzlvMSboS2k83lK4beREqam0WHNqqLCl&#10;t4qKy/7batjN1MtXc57nm23+cfXv6xNvnzutB099/goiUh//xX/uT5PmqzH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JyuvDAAAA3AAAAA8AAAAAAAAAAAAA&#10;AAAAoQIAAGRycy9kb3ducmV2LnhtbFBLBQYAAAAABAAEAPkAAACRAwAAAAA=&#10;" strokecolor="windowText" strokeweight="1pt">
                  <v:stroke endarrow="block"/>
                </v:shape>
                <v:shape id="Text Box 20" o:spid="_x0000_s1067" type="#_x0000_t202" style="position:absolute;left:26053;top:5472;width:3868;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14:paraId="4AB79F1B" w14:textId="77777777" w:rsidR="006C5212" w:rsidRDefault="006C5212" w:rsidP="008C0311">
                        <w:pPr>
                          <w:pStyle w:val="NormalWeb"/>
                          <w:spacing w:after="0"/>
                        </w:pPr>
                        <w:r>
                          <w:rPr>
                            <w:sz w:val="19"/>
                            <w:szCs w:val="19"/>
                            <w:lang w:val="en-US"/>
                          </w:rPr>
                          <w:t>No</w:t>
                        </w:r>
                      </w:p>
                    </w:txbxContent>
                  </v:textbox>
                </v:shape>
                <v:shape id="Straight Arrow Connector 103" o:spid="_x0000_s1068" type="#_x0000_t32" style="position:absolute;left:12452;top:13732;width:50;height:6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kIJ8MAAADcAAAADwAAAGRycy9kb3ducmV2LnhtbERPS2vCQBC+F/oflil4aza1Nkh0lSII&#10;BQ/ig0JvY3ZMgtnZsLtq4q93hYK3+fieM513phEXcr62rOAjSUEQF1bXXCrY75bvYxA+IGtsLJOC&#10;njzMZ68vU8y1vfKGLttQihjCPkcFVQhtLqUvKjLoE9sSR+5oncEQoSuldniN4aaRwzTNpMGaY0OF&#10;LS0qKk7bs1Gw0tlw9Nve+r8vvcwOvFv3JyeVGrx13xMQgbrwFP+7f3Scn37C45l4gZ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pCCfDAAAA3AAAAA8AAAAAAAAAAAAA&#10;AAAAoQIAAGRycy9kb3ducmV2LnhtbFBLBQYAAAAABAAEAPkAAACRAwAAAAA=&#10;" strokecolor="black [3040]" strokeweight="1pt">
                  <v:stroke endarrow="block"/>
                </v:shape>
                <v:shape id="Text Box 20" o:spid="_x0000_s1069" type="#_x0000_t202" style="position:absolute;left:11800;top:13868;width:384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14:paraId="44D5F2FC" w14:textId="77777777" w:rsidR="006C5212" w:rsidRDefault="006C5212" w:rsidP="008C0311">
                        <w:pPr>
                          <w:pStyle w:val="NormalWeb"/>
                          <w:spacing w:after="0"/>
                        </w:pPr>
                        <w:r>
                          <w:rPr>
                            <w:sz w:val="19"/>
                            <w:szCs w:val="19"/>
                            <w:lang w:val="en-US"/>
                          </w:rPr>
                          <w:t>Yes</w:t>
                        </w:r>
                      </w:p>
                    </w:txbxContent>
                  </v:textbox>
                </v:shape>
                <v:line id="Straight Connector 1" o:spid="_x0000_s1070" style="position:absolute;flip:x;visibility:visible;mso-wrap-style:square" from="33075,13457" to="33082,1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WcB8AAAADaAAAADwAAAGRycy9kb3ducmV2LnhtbERPS4vCMBC+L/gfwgje1lTBVatRRBBE&#10;dgWrF29DM31gM6lN1PrvN4Lgafj4njNftqYSd2pcaVnBoB+BIE6tLjlXcDpuvicgnEfWWFkmBU9y&#10;sFx0vuYYa/vgA90Tn4sQwi5GBYX3dSylSwsy6Pq2Jg5cZhuDPsAml7rBRwg3lRxG0Y80WHJoKLCm&#10;dUHpJbkZBbvjNFv/7v72T3c97ykbR4dRclKq121XMxCeWv8Rv91bHebD65XXlY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1nAfAAAAA2gAAAA8AAAAAAAAAAAAAAAAA&#10;oQIAAGRycy9kb3ducmV2LnhtbFBLBQYAAAAABAAEAPkAAACOAwAAAAA=&#10;" strokecolor="black [3213]" strokeweight="1pt"/>
                <w10:anchorlock/>
              </v:group>
            </w:pict>
          </mc:Fallback>
        </mc:AlternateContent>
      </w:r>
    </w:p>
    <w:p w14:paraId="7D927306" w14:textId="77777777" w:rsidR="00C765C7" w:rsidRPr="00662611" w:rsidRDefault="00C765C7">
      <w:pPr>
        <w:rPr>
          <w:szCs w:val="19"/>
        </w:rPr>
      </w:pPr>
      <w:r w:rsidRPr="00662611">
        <w:br w:type="page"/>
      </w:r>
    </w:p>
    <w:p w14:paraId="7D927307" w14:textId="77777777" w:rsidR="00FF1032" w:rsidRPr="00662611" w:rsidRDefault="00FF1032" w:rsidP="00FB21C0">
      <w:pPr>
        <w:pStyle w:val="IASBSectionTitle1NonInd"/>
        <w:outlineLvl w:val="1"/>
      </w:pPr>
      <w:r w:rsidRPr="00662611">
        <w:lastRenderedPageBreak/>
        <w:t xml:space="preserve">References to Australian Accounting Standards that </w:t>
      </w:r>
      <w:r w:rsidR="00616885" w:rsidRPr="00662611">
        <w:t xml:space="preserve">apply </w:t>
      </w:r>
      <w:r w:rsidRPr="00662611">
        <w:t xml:space="preserve">to </w:t>
      </w:r>
      <w:r w:rsidR="00616885" w:rsidRPr="00662611">
        <w:t>typical types of arrangements involving an asset combined with provision of a ser</w:t>
      </w:r>
      <w:r w:rsidRPr="00662611">
        <w:t>vice</w:t>
      </w:r>
    </w:p>
    <w:p w14:paraId="7D927308" w14:textId="08BF0DF7" w:rsidR="00FF1032" w:rsidRPr="00662611" w:rsidRDefault="00FF1032" w:rsidP="007D45F2">
      <w:pPr>
        <w:pStyle w:val="IGpara1"/>
        <w:ind w:left="782" w:hanging="782"/>
      </w:pPr>
      <w:r w:rsidRPr="00662611">
        <w:t xml:space="preserve">The table </w:t>
      </w:r>
      <w:r w:rsidR="0063746D">
        <w:t xml:space="preserve">below </w:t>
      </w:r>
      <w:r w:rsidRPr="00662611">
        <w:t>sets out the typical types of arrangements for private sector participation in the provision of public sector services and provides references to Accounting Standards that may apply to those arrangements. The list of arrangement types is not exhaustive. The purpose of the table is to highlight the continuum of arrangements. It is not the AASB’s intention to convey the impression that bright lines exist between the accounting requirements for various types of arrangements.</w:t>
      </w:r>
    </w:p>
    <w:p w14:paraId="7D927309" w14:textId="6F72A367" w:rsidR="00FF1032" w:rsidRPr="00662611" w:rsidRDefault="00A8645F" w:rsidP="007D45F2">
      <w:pPr>
        <w:pStyle w:val="IGpara1"/>
        <w:ind w:left="782" w:hanging="782"/>
      </w:pPr>
      <w:r w:rsidRPr="00662611">
        <w:t xml:space="preserve">The shaded </w:t>
      </w:r>
      <w:r w:rsidR="00FF1032" w:rsidRPr="00662611">
        <w:t xml:space="preserve">text shows arrangements within the scope of AASB </w:t>
      </w:r>
      <w:r w:rsidR="005F6667">
        <w:t>1059</w:t>
      </w:r>
      <w:r w:rsidR="00FF1032" w:rsidRPr="00662611">
        <w:t>.</w:t>
      </w:r>
    </w:p>
    <w:p w14:paraId="7D92730A" w14:textId="77777777" w:rsidR="00FF1032" w:rsidRPr="00662611" w:rsidRDefault="00FF1032" w:rsidP="002C674E">
      <w:pPr>
        <w:autoSpaceDE w:val="0"/>
        <w:autoSpaceDN w:val="0"/>
        <w:adjustRightInd w:val="0"/>
        <w:ind w:left="782" w:hanging="782"/>
        <w:rPr>
          <w:szCs w:val="19"/>
        </w:rPr>
      </w:pPr>
    </w:p>
    <w:tbl>
      <w:tblPr>
        <w:tblW w:w="9072" w:type="dxa"/>
        <w:tblInd w:w="10" w:type="dxa"/>
        <w:tblLayout w:type="fixed"/>
        <w:tblCellMar>
          <w:left w:w="0" w:type="dxa"/>
          <w:right w:w="0" w:type="dxa"/>
        </w:tblCellMar>
        <w:tblLook w:val="04A0" w:firstRow="1" w:lastRow="0" w:firstColumn="1" w:lastColumn="0" w:noHBand="0" w:noVBand="1"/>
        <w:tblCaption w:val="Arrangements involving assets and services"/>
        <w:tblDescription w:val="Table of typical types of service conession arrangements, their characteristics and relevant accounting Standards."/>
      </w:tblPr>
      <w:tblGrid>
        <w:gridCol w:w="1418"/>
        <w:gridCol w:w="1134"/>
        <w:gridCol w:w="1276"/>
        <w:gridCol w:w="1276"/>
        <w:gridCol w:w="1276"/>
        <w:gridCol w:w="1275"/>
        <w:gridCol w:w="1417"/>
      </w:tblGrid>
      <w:tr w:rsidR="00FF1032" w:rsidRPr="00662611" w14:paraId="7D92730F" w14:textId="77777777" w:rsidTr="00696AFE">
        <w:tc>
          <w:tcPr>
            <w:tcW w:w="1418" w:type="dxa"/>
            <w:tcBorders>
              <w:top w:val="single" w:sz="4" w:space="0" w:color="000000"/>
              <w:left w:val="single" w:sz="4" w:space="0" w:color="000000"/>
              <w:bottom w:val="single" w:sz="4" w:space="0" w:color="000000"/>
              <w:right w:val="single" w:sz="4" w:space="0" w:color="000000"/>
            </w:tcBorders>
            <w:vAlign w:val="center"/>
            <w:hideMark/>
          </w:tcPr>
          <w:p w14:paraId="7D92730B" w14:textId="77777777" w:rsidR="00FF1032" w:rsidRPr="00662611" w:rsidRDefault="00FF1032" w:rsidP="00353CC4">
            <w:pPr>
              <w:autoSpaceDE w:val="0"/>
              <w:autoSpaceDN w:val="0"/>
              <w:adjustRightInd w:val="0"/>
              <w:spacing w:before="120" w:after="120" w:line="256" w:lineRule="auto"/>
              <w:ind w:left="28" w:right="17"/>
              <w:jc w:val="center"/>
              <w:rPr>
                <w:b/>
                <w:sz w:val="16"/>
                <w:szCs w:val="16"/>
              </w:rPr>
            </w:pPr>
            <w:r w:rsidRPr="00662611">
              <w:rPr>
                <w:b/>
                <w:bCs/>
                <w:sz w:val="16"/>
                <w:szCs w:val="16"/>
              </w:rPr>
              <w:t>Category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92730C" w14:textId="77777777" w:rsidR="00FF1032" w:rsidRPr="00662611" w:rsidRDefault="00520B40" w:rsidP="00696AFE">
            <w:pPr>
              <w:autoSpaceDE w:val="0"/>
              <w:autoSpaceDN w:val="0"/>
              <w:adjustRightInd w:val="0"/>
              <w:spacing w:before="120" w:after="120" w:line="256" w:lineRule="auto"/>
              <w:ind w:left="74" w:right="55"/>
              <w:jc w:val="center"/>
              <w:rPr>
                <w:b/>
                <w:sz w:val="16"/>
                <w:szCs w:val="16"/>
              </w:rPr>
            </w:pPr>
            <w:r w:rsidRPr="00662611">
              <w:rPr>
                <w:b/>
                <w:bCs/>
                <w:sz w:val="16"/>
                <w:szCs w:val="16"/>
              </w:rPr>
              <w:t>Lease</w:t>
            </w:r>
          </w:p>
        </w:tc>
        <w:tc>
          <w:tcPr>
            <w:tcW w:w="3828" w:type="dxa"/>
            <w:gridSpan w:val="3"/>
            <w:tcBorders>
              <w:top w:val="single" w:sz="4" w:space="0" w:color="000000"/>
              <w:left w:val="single" w:sz="4" w:space="0" w:color="000000"/>
              <w:bottom w:val="single" w:sz="4" w:space="0" w:color="000000"/>
              <w:right w:val="single" w:sz="4" w:space="0" w:color="000000"/>
            </w:tcBorders>
            <w:vAlign w:val="center"/>
            <w:hideMark/>
          </w:tcPr>
          <w:p w14:paraId="7D92730D" w14:textId="77777777" w:rsidR="00FF1032" w:rsidRPr="00662611" w:rsidRDefault="00520B40" w:rsidP="00696AFE">
            <w:pPr>
              <w:autoSpaceDE w:val="0"/>
              <w:autoSpaceDN w:val="0"/>
              <w:adjustRightInd w:val="0"/>
              <w:spacing w:before="120" w:after="120" w:line="256" w:lineRule="auto"/>
              <w:ind w:left="271" w:right="63" w:hanging="97"/>
              <w:jc w:val="center"/>
              <w:rPr>
                <w:b/>
                <w:sz w:val="16"/>
                <w:szCs w:val="16"/>
              </w:rPr>
            </w:pPr>
            <w:r w:rsidRPr="00662611">
              <w:rPr>
                <w:b/>
                <w:bCs/>
                <w:sz w:val="16"/>
                <w:szCs w:val="16"/>
              </w:rPr>
              <w:t>Service provision</w:t>
            </w:r>
          </w:p>
        </w:tc>
        <w:tc>
          <w:tcPr>
            <w:tcW w:w="2692" w:type="dxa"/>
            <w:gridSpan w:val="2"/>
            <w:tcBorders>
              <w:top w:val="single" w:sz="4" w:space="0" w:color="000000"/>
              <w:left w:val="single" w:sz="4" w:space="0" w:color="000000"/>
              <w:bottom w:val="single" w:sz="4" w:space="0" w:color="000000"/>
              <w:right w:val="single" w:sz="4" w:space="0" w:color="000000"/>
            </w:tcBorders>
            <w:vAlign w:val="center"/>
            <w:hideMark/>
          </w:tcPr>
          <w:p w14:paraId="7D92730E" w14:textId="77777777" w:rsidR="00FF1032" w:rsidRPr="00662611" w:rsidRDefault="00520B40" w:rsidP="00696AFE">
            <w:pPr>
              <w:autoSpaceDE w:val="0"/>
              <w:autoSpaceDN w:val="0"/>
              <w:adjustRightInd w:val="0"/>
              <w:spacing w:before="120" w:after="120" w:line="256" w:lineRule="auto"/>
              <w:ind w:left="271" w:right="153" w:hanging="97"/>
              <w:jc w:val="center"/>
              <w:rPr>
                <w:b/>
                <w:spacing w:val="1"/>
                <w:sz w:val="16"/>
                <w:szCs w:val="16"/>
              </w:rPr>
            </w:pPr>
            <w:r w:rsidRPr="00662611">
              <w:rPr>
                <w:b/>
                <w:bCs/>
                <w:sz w:val="16"/>
                <w:szCs w:val="16"/>
              </w:rPr>
              <w:t>Sale</w:t>
            </w:r>
          </w:p>
        </w:tc>
      </w:tr>
      <w:tr w:rsidR="00FF1032" w:rsidRPr="00662611" w14:paraId="7D927317" w14:textId="77777777" w:rsidTr="00696AFE">
        <w:tc>
          <w:tcPr>
            <w:tcW w:w="1418" w:type="dxa"/>
            <w:tcBorders>
              <w:top w:val="single" w:sz="4" w:space="0" w:color="000000"/>
              <w:left w:val="single" w:sz="4" w:space="0" w:color="000000"/>
              <w:bottom w:val="single" w:sz="4" w:space="0" w:color="000000"/>
              <w:right w:val="single" w:sz="4" w:space="0" w:color="000000"/>
            </w:tcBorders>
            <w:vAlign w:val="center"/>
            <w:hideMark/>
          </w:tcPr>
          <w:p w14:paraId="7D927310" w14:textId="77777777" w:rsidR="00FF1032" w:rsidRPr="00662611" w:rsidRDefault="00FF1032" w:rsidP="00353CC4">
            <w:pPr>
              <w:autoSpaceDE w:val="0"/>
              <w:autoSpaceDN w:val="0"/>
              <w:adjustRightInd w:val="0"/>
              <w:spacing w:before="60" w:after="60" w:line="259" w:lineRule="auto"/>
              <w:ind w:left="28" w:right="17"/>
              <w:rPr>
                <w:sz w:val="16"/>
                <w:szCs w:val="16"/>
              </w:rPr>
            </w:pPr>
            <w:r w:rsidRPr="00662611">
              <w:rPr>
                <w:sz w:val="16"/>
                <w:szCs w:val="16"/>
              </w:rPr>
              <w:t>Typical</w:t>
            </w:r>
            <w:r w:rsidRPr="00662611">
              <w:rPr>
                <w:spacing w:val="-5"/>
                <w:sz w:val="16"/>
                <w:szCs w:val="16"/>
              </w:rPr>
              <w:t xml:space="preserve"> </w:t>
            </w:r>
            <w:r w:rsidRPr="00662611">
              <w:rPr>
                <w:spacing w:val="1"/>
                <w:sz w:val="16"/>
                <w:szCs w:val="16"/>
              </w:rPr>
              <w:t>a</w:t>
            </w:r>
            <w:r w:rsidRPr="00662611">
              <w:rPr>
                <w:sz w:val="16"/>
                <w:szCs w:val="16"/>
              </w:rPr>
              <w:t>rra</w:t>
            </w:r>
            <w:r w:rsidRPr="00662611">
              <w:rPr>
                <w:spacing w:val="1"/>
                <w:sz w:val="16"/>
                <w:szCs w:val="16"/>
              </w:rPr>
              <w:t>nge</w:t>
            </w:r>
            <w:r w:rsidRPr="00662611">
              <w:rPr>
                <w:spacing w:val="-2"/>
                <w:sz w:val="16"/>
                <w:szCs w:val="16"/>
              </w:rPr>
              <w:t>m</w:t>
            </w:r>
            <w:r w:rsidRPr="00662611">
              <w:rPr>
                <w:sz w:val="16"/>
                <w:szCs w:val="16"/>
              </w:rPr>
              <w:t>e</w:t>
            </w:r>
            <w:r w:rsidRPr="00662611">
              <w:rPr>
                <w:spacing w:val="1"/>
                <w:sz w:val="16"/>
                <w:szCs w:val="16"/>
              </w:rPr>
              <w:t>nt</w:t>
            </w:r>
            <w:r w:rsidRPr="00662611">
              <w:rPr>
                <w:spacing w:val="-7"/>
                <w:sz w:val="16"/>
                <w:szCs w:val="16"/>
              </w:rPr>
              <w:t xml:space="preserve"> </w:t>
            </w:r>
            <w:r w:rsidRPr="00662611">
              <w:rPr>
                <w:sz w:val="16"/>
                <w:szCs w:val="16"/>
              </w:rPr>
              <w:t>types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927311" w14:textId="77777777" w:rsidR="00FF1032" w:rsidRPr="00662611" w:rsidRDefault="00FF1032" w:rsidP="00B17AF7">
            <w:pPr>
              <w:autoSpaceDE w:val="0"/>
              <w:autoSpaceDN w:val="0"/>
              <w:adjustRightInd w:val="0"/>
              <w:spacing w:before="60" w:after="60" w:line="259" w:lineRule="auto"/>
              <w:ind w:left="74" w:right="55"/>
              <w:jc w:val="center"/>
              <w:rPr>
                <w:sz w:val="16"/>
                <w:szCs w:val="16"/>
              </w:rPr>
            </w:pPr>
            <w:r w:rsidRPr="00662611">
              <w:rPr>
                <w:sz w:val="16"/>
                <w:szCs w:val="16"/>
              </w:rPr>
              <w:t>Lease</w:t>
            </w:r>
            <w:r w:rsidRPr="00662611">
              <w:rPr>
                <w:spacing w:val="-4"/>
                <w:sz w:val="16"/>
                <w:szCs w:val="16"/>
              </w:rPr>
              <w:t xml:space="preserve"> </w:t>
            </w:r>
            <w:r w:rsidRPr="00662611">
              <w:rPr>
                <w:sz w:val="16"/>
                <w:szCs w:val="16"/>
              </w:rPr>
              <w:t>(e.</w:t>
            </w:r>
            <w:r w:rsidRPr="00662611">
              <w:rPr>
                <w:spacing w:val="1"/>
                <w:sz w:val="16"/>
                <w:szCs w:val="16"/>
              </w:rPr>
              <w:t>g</w:t>
            </w:r>
            <w:r w:rsidRPr="00662611">
              <w:rPr>
                <w:sz w:val="16"/>
                <w:szCs w:val="16"/>
              </w:rPr>
              <w:t>.</w:t>
            </w:r>
            <w:r w:rsidRPr="00662611">
              <w:rPr>
                <w:spacing w:val="-4"/>
                <w:sz w:val="16"/>
                <w:szCs w:val="16"/>
              </w:rPr>
              <w:t xml:space="preserve"> </w:t>
            </w:r>
            <w:r w:rsidR="00B17AF7" w:rsidRPr="00662611">
              <w:rPr>
                <w:spacing w:val="-4"/>
                <w:sz w:val="16"/>
                <w:szCs w:val="16"/>
              </w:rPr>
              <w:t>o</w:t>
            </w:r>
            <w:r w:rsidRPr="00662611">
              <w:rPr>
                <w:spacing w:val="1"/>
                <w:sz w:val="16"/>
                <w:szCs w:val="16"/>
              </w:rPr>
              <w:t>p</w:t>
            </w:r>
            <w:r w:rsidRPr="00662611">
              <w:rPr>
                <w:sz w:val="16"/>
                <w:szCs w:val="16"/>
              </w:rPr>
              <w:t>erat</w:t>
            </w:r>
            <w:r w:rsidRPr="00662611">
              <w:rPr>
                <w:spacing w:val="1"/>
                <w:sz w:val="16"/>
                <w:szCs w:val="16"/>
              </w:rPr>
              <w:t>o</w:t>
            </w:r>
            <w:r w:rsidRPr="00662611">
              <w:rPr>
                <w:sz w:val="16"/>
                <w:szCs w:val="16"/>
              </w:rPr>
              <w:t>r</w:t>
            </w:r>
            <w:r w:rsidRPr="00662611">
              <w:rPr>
                <w:spacing w:val="-6"/>
                <w:sz w:val="16"/>
                <w:szCs w:val="16"/>
              </w:rPr>
              <w:t xml:space="preserve"> </w:t>
            </w:r>
            <w:r w:rsidRPr="00662611">
              <w:rPr>
                <w:sz w:val="16"/>
                <w:szCs w:val="16"/>
              </w:rPr>
              <w:t>leases</w:t>
            </w:r>
            <w:r w:rsidRPr="00662611">
              <w:rPr>
                <w:spacing w:val="-4"/>
                <w:sz w:val="16"/>
                <w:szCs w:val="16"/>
              </w:rPr>
              <w:t xml:space="preserve"> </w:t>
            </w:r>
            <w:r w:rsidRPr="00662611">
              <w:rPr>
                <w:sz w:val="16"/>
                <w:szCs w:val="16"/>
              </w:rPr>
              <w:t>asset</w:t>
            </w:r>
            <w:r w:rsidRPr="00662611">
              <w:rPr>
                <w:spacing w:val="-3"/>
                <w:sz w:val="16"/>
                <w:szCs w:val="16"/>
              </w:rPr>
              <w:t xml:space="preserve"> </w:t>
            </w:r>
            <w:r w:rsidRPr="00662611">
              <w:rPr>
                <w:spacing w:val="1"/>
                <w:sz w:val="16"/>
                <w:szCs w:val="16"/>
              </w:rPr>
              <w:t>f</w:t>
            </w:r>
            <w:r w:rsidRPr="00662611">
              <w:rPr>
                <w:sz w:val="16"/>
                <w:szCs w:val="16"/>
              </w:rPr>
              <w:t>r</w:t>
            </w:r>
            <w:r w:rsidRPr="00662611">
              <w:rPr>
                <w:spacing w:val="2"/>
                <w:sz w:val="16"/>
                <w:szCs w:val="16"/>
              </w:rPr>
              <w:t>o</w:t>
            </w:r>
            <w:r w:rsidRPr="00662611">
              <w:rPr>
                <w:sz w:val="16"/>
                <w:szCs w:val="16"/>
              </w:rPr>
              <w:t>m</w:t>
            </w:r>
            <w:r w:rsidRPr="00662611">
              <w:rPr>
                <w:spacing w:val="-3"/>
                <w:sz w:val="16"/>
                <w:szCs w:val="16"/>
              </w:rPr>
              <w:t xml:space="preserve"> </w:t>
            </w:r>
            <w:r w:rsidRPr="00662611">
              <w:rPr>
                <w:spacing w:val="1"/>
                <w:w w:val="99"/>
                <w:sz w:val="16"/>
                <w:szCs w:val="16"/>
              </w:rPr>
              <w:t>g</w:t>
            </w:r>
            <w:r w:rsidRPr="00662611">
              <w:rPr>
                <w:w w:val="99"/>
                <w:sz w:val="16"/>
                <w:szCs w:val="16"/>
              </w:rPr>
              <w:t>ra</w:t>
            </w:r>
            <w:r w:rsidRPr="00662611">
              <w:rPr>
                <w:spacing w:val="1"/>
                <w:w w:val="99"/>
                <w:sz w:val="16"/>
                <w:szCs w:val="16"/>
              </w:rPr>
              <w:t>n</w:t>
            </w:r>
            <w:r w:rsidRPr="00662611">
              <w:rPr>
                <w:w w:val="99"/>
                <w:sz w:val="16"/>
                <w:szCs w:val="16"/>
              </w:rPr>
              <w:t>t</w:t>
            </w:r>
            <w:r w:rsidRPr="00662611">
              <w:rPr>
                <w:spacing w:val="1"/>
                <w:w w:val="99"/>
                <w:sz w:val="16"/>
                <w:szCs w:val="16"/>
              </w:rPr>
              <w:t>o</w:t>
            </w:r>
            <w:r w:rsidRPr="00662611">
              <w:rPr>
                <w:w w:val="99"/>
                <w:sz w:val="16"/>
                <w:szCs w:val="16"/>
              </w:rPr>
              <w:t>r)</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927312" w14:textId="664EF24E" w:rsidR="00FF1032" w:rsidRPr="00662611" w:rsidRDefault="00FF1032" w:rsidP="0092125D">
            <w:pPr>
              <w:autoSpaceDE w:val="0"/>
              <w:autoSpaceDN w:val="0"/>
              <w:adjustRightInd w:val="0"/>
              <w:spacing w:before="60" w:after="60" w:line="259" w:lineRule="auto"/>
              <w:ind w:left="56" w:right="40"/>
              <w:jc w:val="center"/>
              <w:rPr>
                <w:sz w:val="16"/>
                <w:szCs w:val="16"/>
              </w:rPr>
            </w:pPr>
            <w:r w:rsidRPr="00662611">
              <w:rPr>
                <w:sz w:val="16"/>
                <w:szCs w:val="16"/>
              </w:rPr>
              <w:t>Ser</w:t>
            </w:r>
            <w:r w:rsidRPr="00662611">
              <w:rPr>
                <w:spacing w:val="1"/>
                <w:sz w:val="16"/>
                <w:szCs w:val="16"/>
              </w:rPr>
              <w:t>v</w:t>
            </w:r>
            <w:r w:rsidRPr="00662611">
              <w:rPr>
                <w:sz w:val="16"/>
                <w:szCs w:val="16"/>
              </w:rPr>
              <w:t>ice</w:t>
            </w:r>
            <w:r w:rsidRPr="00662611">
              <w:rPr>
                <w:spacing w:val="-5"/>
                <w:sz w:val="16"/>
                <w:szCs w:val="16"/>
              </w:rPr>
              <w:t xml:space="preserve"> </w:t>
            </w:r>
            <w:r w:rsidR="0092125D">
              <w:rPr>
                <w:sz w:val="16"/>
                <w:szCs w:val="16"/>
              </w:rPr>
              <w:t>outsourcing</w:t>
            </w:r>
            <w:r w:rsidRPr="00662611">
              <w:rPr>
                <w:spacing w:val="-8"/>
                <w:sz w:val="16"/>
                <w:szCs w:val="16"/>
              </w:rPr>
              <w:t xml:space="preserve"> </w:t>
            </w:r>
            <w:r w:rsidRPr="00662611">
              <w:rPr>
                <w:sz w:val="16"/>
                <w:szCs w:val="16"/>
              </w:rPr>
              <w:t>contract</w:t>
            </w:r>
            <w:r w:rsidRPr="00662611">
              <w:rPr>
                <w:spacing w:val="-6"/>
                <w:sz w:val="16"/>
                <w:szCs w:val="16"/>
              </w:rPr>
              <w:t xml:space="preserve"> </w:t>
            </w:r>
            <w:r w:rsidRPr="00662611">
              <w:rPr>
                <w:sz w:val="16"/>
                <w:szCs w:val="16"/>
              </w:rPr>
              <w:t>(speci</w:t>
            </w:r>
            <w:r w:rsidRPr="00662611">
              <w:rPr>
                <w:spacing w:val="1"/>
                <w:sz w:val="16"/>
                <w:szCs w:val="16"/>
              </w:rPr>
              <w:t>f</w:t>
            </w:r>
            <w:r w:rsidRPr="00662611">
              <w:rPr>
                <w:sz w:val="16"/>
                <w:szCs w:val="16"/>
              </w:rPr>
              <w:t>ic</w:t>
            </w:r>
            <w:r w:rsidRPr="00662611">
              <w:rPr>
                <w:spacing w:val="-6"/>
                <w:sz w:val="16"/>
                <w:szCs w:val="16"/>
              </w:rPr>
              <w:t xml:space="preserve"> </w:t>
            </w:r>
            <w:r w:rsidRPr="00662611">
              <w:rPr>
                <w:sz w:val="16"/>
                <w:szCs w:val="16"/>
              </w:rPr>
              <w:t>tasks</w:t>
            </w:r>
            <w:r w:rsidRPr="00662611">
              <w:rPr>
                <w:spacing w:val="-4"/>
                <w:sz w:val="16"/>
                <w:szCs w:val="16"/>
              </w:rPr>
              <w:t xml:space="preserve"> </w:t>
            </w:r>
            <w:r w:rsidR="00EF657F" w:rsidRPr="00662611">
              <w:rPr>
                <w:sz w:val="16"/>
                <w:szCs w:val="16"/>
              </w:rPr>
              <w:t>e</w:t>
            </w:r>
            <w:r w:rsidRPr="00662611">
              <w:rPr>
                <w:sz w:val="16"/>
                <w:szCs w:val="16"/>
              </w:rPr>
              <w:t>g</w:t>
            </w:r>
            <w:r w:rsidRPr="00662611">
              <w:rPr>
                <w:spacing w:val="-4"/>
                <w:sz w:val="16"/>
                <w:szCs w:val="16"/>
              </w:rPr>
              <w:t xml:space="preserve"> </w:t>
            </w:r>
            <w:r w:rsidRPr="00662611">
              <w:rPr>
                <w:sz w:val="16"/>
                <w:szCs w:val="16"/>
              </w:rPr>
              <w:t>debt</w:t>
            </w:r>
            <w:r w:rsidRPr="00662611">
              <w:rPr>
                <w:spacing w:val="-3"/>
                <w:sz w:val="16"/>
                <w:szCs w:val="16"/>
              </w:rPr>
              <w:t xml:space="preserve"> </w:t>
            </w:r>
            <w:r w:rsidRPr="00662611">
              <w:rPr>
                <w:sz w:val="16"/>
                <w:szCs w:val="16"/>
              </w:rPr>
              <w:t>collection</w:t>
            </w:r>
            <w:r w:rsidRPr="00662611">
              <w:rPr>
                <w:spacing w:val="1"/>
                <w:w w:val="99"/>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927313" w14:textId="77777777" w:rsidR="00FF1032" w:rsidRPr="00662611" w:rsidRDefault="00FF1032" w:rsidP="00B108FB">
            <w:pPr>
              <w:autoSpaceDE w:val="0"/>
              <w:autoSpaceDN w:val="0"/>
              <w:adjustRightInd w:val="0"/>
              <w:spacing w:before="60" w:after="60" w:line="259" w:lineRule="auto"/>
              <w:ind w:left="271" w:right="91" w:hanging="97"/>
              <w:rPr>
                <w:sz w:val="16"/>
                <w:szCs w:val="16"/>
              </w:rPr>
            </w:pPr>
            <w:r w:rsidRPr="00662611">
              <w:rPr>
                <w:sz w:val="16"/>
                <w:szCs w:val="16"/>
              </w:rPr>
              <w:t>Rehabilitate-</w:t>
            </w:r>
            <w:r w:rsidRPr="00662611">
              <w:rPr>
                <w:spacing w:val="1"/>
                <w:sz w:val="16"/>
                <w:szCs w:val="16"/>
              </w:rPr>
              <w:t>op</w:t>
            </w:r>
            <w:r w:rsidRPr="00662611">
              <w:rPr>
                <w:sz w:val="16"/>
                <w:szCs w:val="16"/>
              </w:rPr>
              <w:t>erate-tra</w:t>
            </w:r>
            <w:r w:rsidRPr="00662611">
              <w:rPr>
                <w:spacing w:val="1"/>
                <w:sz w:val="16"/>
                <w:szCs w:val="16"/>
              </w:rPr>
              <w:t>n</w:t>
            </w:r>
            <w:r w:rsidRPr="00662611">
              <w:rPr>
                <w:sz w:val="16"/>
                <w:szCs w:val="16"/>
              </w:rPr>
              <w:t>s</w:t>
            </w:r>
            <w:r w:rsidRPr="00662611">
              <w:rPr>
                <w:spacing w:val="1"/>
                <w:sz w:val="16"/>
                <w:szCs w:val="16"/>
              </w:rPr>
              <w:t>f</w:t>
            </w:r>
            <w:r w:rsidRPr="00662611">
              <w:rPr>
                <w:sz w:val="16"/>
                <w:szCs w:val="16"/>
              </w:rPr>
              <w:t>er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927314" w14:textId="77777777" w:rsidR="00FF1032" w:rsidRPr="00662611" w:rsidRDefault="00FF1032" w:rsidP="00B108FB">
            <w:pPr>
              <w:autoSpaceDE w:val="0"/>
              <w:autoSpaceDN w:val="0"/>
              <w:adjustRightInd w:val="0"/>
              <w:spacing w:before="60" w:after="60" w:line="259" w:lineRule="auto"/>
              <w:ind w:left="271" w:right="63" w:hanging="97"/>
              <w:jc w:val="center"/>
              <w:rPr>
                <w:sz w:val="16"/>
                <w:szCs w:val="16"/>
              </w:rPr>
            </w:pPr>
            <w:r w:rsidRPr="00662611">
              <w:rPr>
                <w:sz w:val="16"/>
                <w:szCs w:val="16"/>
              </w:rPr>
              <w:t>Build-operate-trans</w:t>
            </w:r>
            <w:r w:rsidRPr="00662611">
              <w:rPr>
                <w:spacing w:val="1"/>
                <w:sz w:val="16"/>
                <w:szCs w:val="16"/>
              </w:rPr>
              <w:t>f</w:t>
            </w:r>
            <w:r w:rsidRPr="00662611">
              <w:rPr>
                <w:sz w:val="16"/>
                <w:szCs w:val="16"/>
              </w:rPr>
              <w:t>er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D927315" w14:textId="77777777" w:rsidR="00FF1032" w:rsidRPr="00662611" w:rsidRDefault="00FF1032" w:rsidP="00B108FB">
            <w:pPr>
              <w:autoSpaceDE w:val="0"/>
              <w:autoSpaceDN w:val="0"/>
              <w:adjustRightInd w:val="0"/>
              <w:spacing w:before="60" w:after="60" w:line="259" w:lineRule="auto"/>
              <w:ind w:left="271" w:right="30" w:hanging="97"/>
              <w:jc w:val="center"/>
              <w:rPr>
                <w:sz w:val="16"/>
                <w:szCs w:val="16"/>
              </w:rPr>
            </w:pPr>
            <w:r w:rsidRPr="00662611">
              <w:rPr>
                <w:sz w:val="16"/>
                <w:szCs w:val="16"/>
              </w:rPr>
              <w:t>Build-own-operate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927316" w14:textId="77777777" w:rsidR="00FF1032" w:rsidRPr="00662611" w:rsidRDefault="00FF1032" w:rsidP="00B108FB">
            <w:pPr>
              <w:autoSpaceDE w:val="0"/>
              <w:autoSpaceDN w:val="0"/>
              <w:adjustRightInd w:val="0"/>
              <w:spacing w:before="60" w:after="60" w:line="259" w:lineRule="auto"/>
              <w:ind w:left="271" w:right="153" w:hanging="97"/>
              <w:jc w:val="center"/>
              <w:rPr>
                <w:sz w:val="16"/>
                <w:szCs w:val="16"/>
              </w:rPr>
            </w:pPr>
            <w:r w:rsidRPr="00662611">
              <w:rPr>
                <w:spacing w:val="1"/>
                <w:sz w:val="16"/>
                <w:szCs w:val="16"/>
              </w:rPr>
              <w:t>100%</w:t>
            </w:r>
            <w:r w:rsidRPr="00662611">
              <w:rPr>
                <w:spacing w:val="-3"/>
                <w:sz w:val="16"/>
                <w:szCs w:val="16"/>
              </w:rPr>
              <w:t xml:space="preserve"> </w:t>
            </w:r>
            <w:r w:rsidRPr="00662611">
              <w:rPr>
                <w:sz w:val="16"/>
                <w:szCs w:val="16"/>
              </w:rPr>
              <w:t>Divest</w:t>
            </w:r>
            <w:r w:rsidRPr="00662611">
              <w:rPr>
                <w:spacing w:val="-2"/>
                <w:sz w:val="16"/>
                <w:szCs w:val="16"/>
              </w:rPr>
              <w:t>m</w:t>
            </w:r>
            <w:r w:rsidRPr="00662611">
              <w:rPr>
                <w:sz w:val="16"/>
                <w:szCs w:val="16"/>
              </w:rPr>
              <w:t>ent/</w:t>
            </w:r>
            <w:r w:rsidRPr="00662611">
              <w:rPr>
                <w:spacing w:val="-8"/>
                <w:sz w:val="16"/>
                <w:szCs w:val="16"/>
              </w:rPr>
              <w:t xml:space="preserve"> </w:t>
            </w:r>
            <w:r w:rsidRPr="00662611">
              <w:rPr>
                <w:sz w:val="16"/>
                <w:szCs w:val="16"/>
              </w:rPr>
              <w:t>Privatisation/</w:t>
            </w:r>
            <w:r w:rsidRPr="00662611">
              <w:rPr>
                <w:spacing w:val="-9"/>
                <w:sz w:val="16"/>
                <w:szCs w:val="16"/>
              </w:rPr>
              <w:t xml:space="preserve"> </w:t>
            </w:r>
            <w:r w:rsidRPr="00662611">
              <w:rPr>
                <w:w w:val="99"/>
                <w:sz w:val="16"/>
                <w:szCs w:val="16"/>
              </w:rPr>
              <w:t>Corporation</w:t>
            </w:r>
          </w:p>
        </w:tc>
      </w:tr>
      <w:tr w:rsidR="00FF1032" w:rsidRPr="00662611" w14:paraId="7D92731C" w14:textId="77777777" w:rsidTr="00696AFE">
        <w:tc>
          <w:tcPr>
            <w:tcW w:w="1418" w:type="dxa"/>
            <w:tcBorders>
              <w:top w:val="single" w:sz="4" w:space="0" w:color="000000"/>
              <w:left w:val="single" w:sz="4" w:space="0" w:color="000000"/>
              <w:bottom w:val="single" w:sz="4" w:space="0" w:color="000000"/>
              <w:right w:val="single" w:sz="4" w:space="0" w:color="000000"/>
            </w:tcBorders>
            <w:vAlign w:val="center"/>
            <w:hideMark/>
          </w:tcPr>
          <w:p w14:paraId="7D927318" w14:textId="77777777" w:rsidR="00FF1032" w:rsidRPr="00662611" w:rsidRDefault="00FF1032" w:rsidP="00353CC4">
            <w:pPr>
              <w:autoSpaceDE w:val="0"/>
              <w:autoSpaceDN w:val="0"/>
              <w:adjustRightInd w:val="0"/>
              <w:spacing w:before="60" w:after="60" w:line="259" w:lineRule="auto"/>
              <w:ind w:left="28" w:right="17"/>
              <w:rPr>
                <w:sz w:val="16"/>
                <w:szCs w:val="16"/>
              </w:rPr>
            </w:pPr>
            <w:r w:rsidRPr="00662611">
              <w:rPr>
                <w:sz w:val="16"/>
                <w:szCs w:val="16"/>
              </w:rPr>
              <w:t>Asset</w:t>
            </w:r>
            <w:r w:rsidRPr="00662611">
              <w:rPr>
                <w:spacing w:val="-4"/>
                <w:sz w:val="16"/>
                <w:szCs w:val="16"/>
              </w:rPr>
              <w:t xml:space="preserve"> </w:t>
            </w:r>
            <w:r w:rsidRPr="00662611">
              <w:rPr>
                <w:sz w:val="16"/>
                <w:szCs w:val="16"/>
              </w:rPr>
              <w:t>ownership</w:t>
            </w:r>
          </w:p>
        </w:tc>
        <w:tc>
          <w:tcPr>
            <w:tcW w:w="2410" w:type="dxa"/>
            <w:gridSpan w:val="2"/>
            <w:tcBorders>
              <w:top w:val="single" w:sz="4" w:space="0" w:color="000000"/>
              <w:left w:val="single" w:sz="4" w:space="0" w:color="000000"/>
              <w:bottom w:val="single" w:sz="4" w:space="0" w:color="000000"/>
              <w:right w:val="nil"/>
            </w:tcBorders>
            <w:vAlign w:val="center"/>
            <w:hideMark/>
          </w:tcPr>
          <w:p w14:paraId="7D927319" w14:textId="77777777" w:rsidR="00FF1032" w:rsidRPr="00662611" w:rsidRDefault="00FF1032" w:rsidP="00353CC4">
            <w:pPr>
              <w:autoSpaceDE w:val="0"/>
              <w:autoSpaceDN w:val="0"/>
              <w:adjustRightInd w:val="0"/>
              <w:spacing w:before="60" w:after="60" w:line="259" w:lineRule="auto"/>
              <w:ind w:left="56" w:right="40"/>
              <w:jc w:val="right"/>
              <w:rPr>
                <w:sz w:val="16"/>
                <w:szCs w:val="16"/>
              </w:rPr>
            </w:pPr>
            <w:r w:rsidRPr="00662611">
              <w:rPr>
                <w:w w:val="99"/>
                <w:sz w:val="16"/>
                <w:szCs w:val="16"/>
              </w:rPr>
              <w:t>Grantor</w:t>
            </w:r>
          </w:p>
        </w:tc>
        <w:tc>
          <w:tcPr>
            <w:tcW w:w="2552" w:type="dxa"/>
            <w:gridSpan w:val="2"/>
            <w:tcBorders>
              <w:top w:val="single" w:sz="4" w:space="0" w:color="000000"/>
              <w:left w:val="nil"/>
              <w:bottom w:val="single" w:sz="4" w:space="0" w:color="000000"/>
              <w:right w:val="single" w:sz="4" w:space="0" w:color="000000"/>
            </w:tcBorders>
            <w:shd w:val="clear" w:color="auto" w:fill="D9D9D9"/>
            <w:vAlign w:val="center"/>
          </w:tcPr>
          <w:p w14:paraId="7D92731A" w14:textId="77777777" w:rsidR="00FF1032" w:rsidRPr="00662611" w:rsidRDefault="00FF1032" w:rsidP="00B108FB">
            <w:pPr>
              <w:autoSpaceDE w:val="0"/>
              <w:autoSpaceDN w:val="0"/>
              <w:adjustRightInd w:val="0"/>
              <w:spacing w:before="60" w:after="60" w:line="259" w:lineRule="auto"/>
              <w:ind w:left="271" w:right="63" w:hanging="97"/>
              <w:rPr>
                <w:sz w:val="16"/>
                <w:szCs w:val="16"/>
              </w:rPr>
            </w:pPr>
          </w:p>
        </w:tc>
        <w:tc>
          <w:tcPr>
            <w:tcW w:w="2692" w:type="dxa"/>
            <w:gridSpan w:val="2"/>
            <w:tcBorders>
              <w:top w:val="single" w:sz="4" w:space="0" w:color="000000"/>
              <w:left w:val="single" w:sz="4" w:space="0" w:color="000000"/>
              <w:bottom w:val="single" w:sz="4" w:space="0" w:color="000000"/>
              <w:right w:val="single" w:sz="4" w:space="0" w:color="000000"/>
            </w:tcBorders>
            <w:vAlign w:val="center"/>
            <w:hideMark/>
          </w:tcPr>
          <w:p w14:paraId="7D92731B" w14:textId="77777777" w:rsidR="00FF1032" w:rsidRPr="00662611" w:rsidRDefault="00FF1032" w:rsidP="00B108FB">
            <w:pPr>
              <w:autoSpaceDE w:val="0"/>
              <w:autoSpaceDN w:val="0"/>
              <w:adjustRightInd w:val="0"/>
              <w:spacing w:before="60" w:after="60" w:line="259" w:lineRule="auto"/>
              <w:ind w:left="271" w:right="153" w:hanging="97"/>
              <w:jc w:val="center"/>
              <w:rPr>
                <w:spacing w:val="1"/>
                <w:sz w:val="16"/>
                <w:szCs w:val="16"/>
              </w:rPr>
            </w:pPr>
            <w:r w:rsidRPr="00662611">
              <w:rPr>
                <w:sz w:val="16"/>
                <w:szCs w:val="16"/>
              </w:rPr>
              <w:t>Operator</w:t>
            </w:r>
          </w:p>
        </w:tc>
      </w:tr>
      <w:tr w:rsidR="00FF1032" w:rsidRPr="00662611" w14:paraId="7D927321" w14:textId="77777777" w:rsidTr="00696AFE">
        <w:tc>
          <w:tcPr>
            <w:tcW w:w="1418" w:type="dxa"/>
            <w:tcBorders>
              <w:top w:val="single" w:sz="4" w:space="0" w:color="000000"/>
              <w:left w:val="single" w:sz="4" w:space="0" w:color="000000"/>
              <w:bottom w:val="single" w:sz="4" w:space="0" w:color="000000"/>
              <w:right w:val="single" w:sz="4" w:space="0" w:color="000000"/>
            </w:tcBorders>
            <w:vAlign w:val="center"/>
            <w:hideMark/>
          </w:tcPr>
          <w:p w14:paraId="7D92731D" w14:textId="77777777" w:rsidR="00FF1032" w:rsidRPr="00662611" w:rsidRDefault="00FF1032" w:rsidP="00353CC4">
            <w:pPr>
              <w:autoSpaceDE w:val="0"/>
              <w:autoSpaceDN w:val="0"/>
              <w:adjustRightInd w:val="0"/>
              <w:spacing w:before="60" w:after="60" w:line="259" w:lineRule="auto"/>
              <w:ind w:left="28" w:right="17"/>
              <w:rPr>
                <w:sz w:val="16"/>
                <w:szCs w:val="16"/>
              </w:rPr>
            </w:pPr>
            <w:r w:rsidRPr="00662611">
              <w:rPr>
                <w:sz w:val="16"/>
                <w:szCs w:val="16"/>
              </w:rPr>
              <w:t>Capital</w:t>
            </w:r>
            <w:r w:rsidRPr="00662611">
              <w:rPr>
                <w:spacing w:val="-5"/>
                <w:sz w:val="16"/>
                <w:szCs w:val="16"/>
              </w:rPr>
              <w:t xml:space="preserve"> </w:t>
            </w:r>
            <w:r w:rsidRPr="00662611">
              <w:rPr>
                <w:spacing w:val="1"/>
                <w:sz w:val="16"/>
                <w:szCs w:val="16"/>
              </w:rPr>
              <w:t>invest</w:t>
            </w:r>
            <w:r w:rsidRPr="00662611">
              <w:rPr>
                <w:spacing w:val="-3"/>
                <w:sz w:val="16"/>
                <w:szCs w:val="16"/>
              </w:rPr>
              <w:t>m</w:t>
            </w:r>
            <w:r w:rsidRPr="00662611">
              <w:rPr>
                <w:sz w:val="16"/>
                <w:szCs w:val="16"/>
              </w:rPr>
              <w:t>e</w:t>
            </w:r>
            <w:r w:rsidRPr="00662611">
              <w:rPr>
                <w:spacing w:val="1"/>
                <w:sz w:val="16"/>
                <w:szCs w:val="16"/>
              </w:rPr>
              <w:t>nt</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14:paraId="7D92731E" w14:textId="77777777" w:rsidR="00FF1032" w:rsidRPr="00662611" w:rsidRDefault="00FF1032" w:rsidP="00353CC4">
            <w:pPr>
              <w:autoSpaceDE w:val="0"/>
              <w:autoSpaceDN w:val="0"/>
              <w:adjustRightInd w:val="0"/>
              <w:spacing w:before="60" w:after="60" w:line="259" w:lineRule="auto"/>
              <w:ind w:left="56" w:right="40"/>
              <w:jc w:val="center"/>
              <w:rPr>
                <w:sz w:val="16"/>
                <w:szCs w:val="16"/>
              </w:rPr>
            </w:pPr>
            <w:r w:rsidRPr="00662611">
              <w:rPr>
                <w:w w:val="99"/>
                <w:sz w:val="16"/>
                <w:szCs w:val="16"/>
              </w:rPr>
              <w:t>Grantor</w:t>
            </w:r>
          </w:p>
        </w:tc>
        <w:tc>
          <w:tcPr>
            <w:tcW w:w="2552" w:type="dxa"/>
            <w:gridSpan w:val="2"/>
            <w:tcBorders>
              <w:top w:val="single" w:sz="4" w:space="0" w:color="000000"/>
              <w:left w:val="single" w:sz="4" w:space="0" w:color="000000"/>
              <w:bottom w:val="single" w:sz="4" w:space="0" w:color="000000"/>
              <w:right w:val="nil"/>
            </w:tcBorders>
            <w:shd w:val="clear" w:color="auto" w:fill="D9D9D9"/>
            <w:vAlign w:val="center"/>
            <w:hideMark/>
          </w:tcPr>
          <w:p w14:paraId="7D92731F" w14:textId="77777777" w:rsidR="00FF1032" w:rsidRPr="00662611" w:rsidRDefault="00FF1032" w:rsidP="00B108FB">
            <w:pPr>
              <w:autoSpaceDE w:val="0"/>
              <w:autoSpaceDN w:val="0"/>
              <w:adjustRightInd w:val="0"/>
              <w:spacing w:before="60" w:after="60" w:line="259" w:lineRule="auto"/>
              <w:ind w:left="271" w:right="63" w:hanging="97"/>
              <w:jc w:val="right"/>
              <w:rPr>
                <w:sz w:val="16"/>
                <w:szCs w:val="16"/>
              </w:rPr>
            </w:pPr>
            <w:r w:rsidRPr="00662611">
              <w:rPr>
                <w:sz w:val="16"/>
                <w:szCs w:val="16"/>
              </w:rPr>
              <w:t>Operator</w:t>
            </w:r>
          </w:p>
        </w:tc>
        <w:tc>
          <w:tcPr>
            <w:tcW w:w="2692" w:type="dxa"/>
            <w:gridSpan w:val="2"/>
            <w:tcBorders>
              <w:top w:val="single" w:sz="4" w:space="0" w:color="000000"/>
              <w:left w:val="nil"/>
              <w:bottom w:val="single" w:sz="4" w:space="0" w:color="000000"/>
              <w:right w:val="single" w:sz="4" w:space="0" w:color="000000"/>
            </w:tcBorders>
            <w:vAlign w:val="center"/>
          </w:tcPr>
          <w:p w14:paraId="7D927320" w14:textId="77777777" w:rsidR="00FF1032" w:rsidRPr="00662611" w:rsidRDefault="00FF1032" w:rsidP="00B108FB">
            <w:pPr>
              <w:autoSpaceDE w:val="0"/>
              <w:autoSpaceDN w:val="0"/>
              <w:adjustRightInd w:val="0"/>
              <w:spacing w:before="60" w:after="60" w:line="259" w:lineRule="auto"/>
              <w:ind w:left="271" w:right="153" w:hanging="97"/>
              <w:rPr>
                <w:spacing w:val="1"/>
                <w:sz w:val="16"/>
                <w:szCs w:val="16"/>
              </w:rPr>
            </w:pPr>
          </w:p>
        </w:tc>
      </w:tr>
      <w:tr w:rsidR="00FF1032" w:rsidRPr="00662611" w14:paraId="7D927327" w14:textId="77777777" w:rsidTr="00696AFE">
        <w:tc>
          <w:tcPr>
            <w:tcW w:w="1418" w:type="dxa"/>
            <w:tcBorders>
              <w:top w:val="single" w:sz="4" w:space="0" w:color="000000"/>
              <w:left w:val="single" w:sz="4" w:space="0" w:color="000000"/>
              <w:bottom w:val="single" w:sz="4" w:space="0" w:color="000000"/>
              <w:right w:val="single" w:sz="4" w:space="0" w:color="000000"/>
            </w:tcBorders>
            <w:vAlign w:val="center"/>
            <w:hideMark/>
          </w:tcPr>
          <w:p w14:paraId="7D927322" w14:textId="77777777" w:rsidR="00FF1032" w:rsidRPr="00662611" w:rsidRDefault="00FF1032" w:rsidP="00353CC4">
            <w:pPr>
              <w:autoSpaceDE w:val="0"/>
              <w:autoSpaceDN w:val="0"/>
              <w:adjustRightInd w:val="0"/>
              <w:spacing w:before="60" w:after="60" w:line="259" w:lineRule="auto"/>
              <w:ind w:left="28" w:right="17"/>
              <w:rPr>
                <w:sz w:val="16"/>
                <w:szCs w:val="16"/>
              </w:rPr>
            </w:pPr>
            <w:r w:rsidRPr="00662611">
              <w:rPr>
                <w:sz w:val="16"/>
                <w:szCs w:val="16"/>
              </w:rPr>
              <w:t>De</w:t>
            </w:r>
            <w:r w:rsidRPr="00662611">
              <w:rPr>
                <w:spacing w:val="-2"/>
                <w:sz w:val="16"/>
                <w:szCs w:val="16"/>
              </w:rPr>
              <w:t>m</w:t>
            </w:r>
            <w:r w:rsidRPr="00662611">
              <w:rPr>
                <w:sz w:val="16"/>
                <w:szCs w:val="16"/>
              </w:rPr>
              <w:t>and</w:t>
            </w:r>
            <w:r w:rsidRPr="00662611">
              <w:rPr>
                <w:spacing w:val="-5"/>
                <w:sz w:val="16"/>
                <w:szCs w:val="16"/>
              </w:rPr>
              <w:t xml:space="preserve"> </w:t>
            </w:r>
            <w:r w:rsidRPr="00662611">
              <w:rPr>
                <w:sz w:val="16"/>
                <w:szCs w:val="16"/>
              </w:rPr>
              <w:t>risk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927323" w14:textId="77777777" w:rsidR="00FF1032" w:rsidRPr="00662611" w:rsidRDefault="00FF1032" w:rsidP="00353CC4">
            <w:pPr>
              <w:autoSpaceDE w:val="0"/>
              <w:autoSpaceDN w:val="0"/>
              <w:adjustRightInd w:val="0"/>
              <w:spacing w:before="60" w:after="60" w:line="259" w:lineRule="auto"/>
              <w:ind w:left="74" w:right="55"/>
              <w:jc w:val="center"/>
              <w:rPr>
                <w:w w:val="99"/>
                <w:sz w:val="16"/>
                <w:szCs w:val="16"/>
              </w:rPr>
            </w:pPr>
            <w:r w:rsidRPr="00662611">
              <w:rPr>
                <w:sz w:val="16"/>
                <w:szCs w:val="16"/>
              </w:rPr>
              <w:t>Shared</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927324" w14:textId="77777777" w:rsidR="00FF1032" w:rsidRPr="00662611" w:rsidRDefault="00FF1032" w:rsidP="00353CC4">
            <w:pPr>
              <w:autoSpaceDE w:val="0"/>
              <w:autoSpaceDN w:val="0"/>
              <w:adjustRightInd w:val="0"/>
              <w:spacing w:before="60" w:after="60" w:line="259" w:lineRule="auto"/>
              <w:ind w:left="56" w:right="40"/>
              <w:jc w:val="center"/>
              <w:rPr>
                <w:sz w:val="16"/>
                <w:szCs w:val="16"/>
              </w:rPr>
            </w:pPr>
            <w:r w:rsidRPr="00662611">
              <w:rPr>
                <w:w w:val="99"/>
                <w:sz w:val="16"/>
                <w:szCs w:val="16"/>
              </w:rPr>
              <w:t>Grantor</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927325" w14:textId="77777777" w:rsidR="00FF1032" w:rsidRPr="00662611" w:rsidRDefault="00FF1032" w:rsidP="00B108FB">
            <w:pPr>
              <w:autoSpaceDE w:val="0"/>
              <w:autoSpaceDN w:val="0"/>
              <w:adjustRightInd w:val="0"/>
              <w:spacing w:before="60" w:after="60" w:line="259" w:lineRule="auto"/>
              <w:ind w:left="271" w:right="63" w:hanging="97"/>
              <w:jc w:val="center"/>
              <w:rPr>
                <w:sz w:val="16"/>
                <w:szCs w:val="16"/>
              </w:rPr>
            </w:pPr>
            <w:r w:rsidRPr="00662611">
              <w:rPr>
                <w:sz w:val="16"/>
                <w:szCs w:val="16"/>
              </w:rPr>
              <w:t>Grantor</w:t>
            </w:r>
            <w:r w:rsidRPr="00662611">
              <w:rPr>
                <w:spacing w:val="-5"/>
                <w:sz w:val="16"/>
                <w:szCs w:val="16"/>
              </w:rPr>
              <w:t xml:space="preserve"> </w:t>
            </w:r>
            <w:r w:rsidRPr="00662611">
              <w:rPr>
                <w:sz w:val="16"/>
                <w:szCs w:val="16"/>
              </w:rPr>
              <w:t>and/or</w:t>
            </w:r>
            <w:r w:rsidRPr="00662611">
              <w:rPr>
                <w:spacing w:val="-4"/>
                <w:sz w:val="16"/>
                <w:szCs w:val="16"/>
              </w:rPr>
              <w:t xml:space="preserve"> </w:t>
            </w:r>
            <w:r w:rsidRPr="00662611">
              <w:rPr>
                <w:sz w:val="16"/>
                <w:szCs w:val="16"/>
              </w:rPr>
              <w:t>O</w:t>
            </w:r>
            <w:r w:rsidRPr="00662611">
              <w:rPr>
                <w:spacing w:val="2"/>
                <w:sz w:val="16"/>
                <w:szCs w:val="16"/>
              </w:rPr>
              <w:t>p</w:t>
            </w:r>
            <w:r w:rsidRPr="00662611">
              <w:rPr>
                <w:sz w:val="16"/>
                <w:szCs w:val="16"/>
              </w:rPr>
              <w:t>erator</w:t>
            </w:r>
          </w:p>
        </w:tc>
        <w:tc>
          <w:tcPr>
            <w:tcW w:w="2692" w:type="dxa"/>
            <w:gridSpan w:val="2"/>
            <w:tcBorders>
              <w:top w:val="single" w:sz="4" w:space="0" w:color="000000"/>
              <w:left w:val="single" w:sz="4" w:space="0" w:color="000000"/>
              <w:bottom w:val="single" w:sz="4" w:space="0" w:color="000000"/>
              <w:right w:val="single" w:sz="4" w:space="0" w:color="000000"/>
            </w:tcBorders>
            <w:vAlign w:val="center"/>
            <w:hideMark/>
          </w:tcPr>
          <w:p w14:paraId="7D927326" w14:textId="77777777" w:rsidR="00FF1032" w:rsidRPr="00662611" w:rsidRDefault="00FF1032" w:rsidP="00B108FB">
            <w:pPr>
              <w:autoSpaceDE w:val="0"/>
              <w:autoSpaceDN w:val="0"/>
              <w:adjustRightInd w:val="0"/>
              <w:spacing w:before="60" w:after="60" w:line="259" w:lineRule="auto"/>
              <w:ind w:left="271" w:right="153" w:hanging="97"/>
              <w:jc w:val="center"/>
              <w:rPr>
                <w:spacing w:val="1"/>
                <w:sz w:val="16"/>
                <w:szCs w:val="16"/>
              </w:rPr>
            </w:pPr>
            <w:r w:rsidRPr="00662611">
              <w:rPr>
                <w:w w:val="99"/>
                <w:sz w:val="16"/>
                <w:szCs w:val="16"/>
              </w:rPr>
              <w:t>Operator</w:t>
            </w:r>
          </w:p>
        </w:tc>
      </w:tr>
      <w:tr w:rsidR="00FF1032" w:rsidRPr="00662611" w14:paraId="7D92732E" w14:textId="77777777" w:rsidTr="00696AFE">
        <w:tc>
          <w:tcPr>
            <w:tcW w:w="1418" w:type="dxa"/>
            <w:tcBorders>
              <w:top w:val="single" w:sz="4" w:space="0" w:color="000000"/>
              <w:left w:val="single" w:sz="4" w:space="0" w:color="000000"/>
              <w:bottom w:val="single" w:sz="4" w:space="0" w:color="000000"/>
              <w:right w:val="single" w:sz="4" w:space="0" w:color="000000"/>
            </w:tcBorders>
            <w:vAlign w:val="center"/>
            <w:hideMark/>
          </w:tcPr>
          <w:p w14:paraId="7D927328" w14:textId="77777777" w:rsidR="00FF1032" w:rsidRPr="00662611" w:rsidRDefault="00FF1032" w:rsidP="00353CC4">
            <w:pPr>
              <w:autoSpaceDE w:val="0"/>
              <w:autoSpaceDN w:val="0"/>
              <w:adjustRightInd w:val="0"/>
              <w:spacing w:before="60" w:after="60" w:line="259" w:lineRule="auto"/>
              <w:ind w:left="28" w:right="17"/>
              <w:rPr>
                <w:sz w:val="16"/>
                <w:szCs w:val="16"/>
              </w:rPr>
            </w:pPr>
            <w:r w:rsidRPr="00662611">
              <w:rPr>
                <w:sz w:val="16"/>
                <w:szCs w:val="16"/>
              </w:rPr>
              <w:t>Typical</w:t>
            </w:r>
            <w:r w:rsidRPr="00662611">
              <w:rPr>
                <w:spacing w:val="-5"/>
                <w:sz w:val="16"/>
                <w:szCs w:val="16"/>
              </w:rPr>
              <w:t xml:space="preserve"> </w:t>
            </w:r>
            <w:r w:rsidRPr="00662611">
              <w:rPr>
                <w:sz w:val="16"/>
                <w:szCs w:val="16"/>
              </w:rPr>
              <w:t>duration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927329" w14:textId="77777777" w:rsidR="00FF1032" w:rsidRPr="00662611" w:rsidRDefault="00FF1032" w:rsidP="00353CC4">
            <w:pPr>
              <w:autoSpaceDE w:val="0"/>
              <w:autoSpaceDN w:val="0"/>
              <w:adjustRightInd w:val="0"/>
              <w:spacing w:before="60" w:after="60" w:line="259" w:lineRule="auto"/>
              <w:ind w:left="74" w:right="55"/>
              <w:jc w:val="center"/>
              <w:rPr>
                <w:sz w:val="16"/>
                <w:szCs w:val="16"/>
              </w:rPr>
            </w:pPr>
            <w:r w:rsidRPr="00662611">
              <w:rPr>
                <w:spacing w:val="1"/>
                <w:sz w:val="16"/>
                <w:szCs w:val="16"/>
              </w:rPr>
              <w:t>8–20</w:t>
            </w:r>
            <w:r w:rsidRPr="00662611">
              <w:rPr>
                <w:spacing w:val="-3"/>
                <w:sz w:val="16"/>
                <w:szCs w:val="16"/>
              </w:rPr>
              <w:t xml:space="preserve"> </w:t>
            </w:r>
            <w:r w:rsidRPr="00662611">
              <w:rPr>
                <w:sz w:val="16"/>
                <w:szCs w:val="16"/>
              </w:rPr>
              <w:t>years</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92732A" w14:textId="77777777" w:rsidR="00FF1032" w:rsidRPr="00662611" w:rsidRDefault="00FF1032" w:rsidP="00353CC4">
            <w:pPr>
              <w:autoSpaceDE w:val="0"/>
              <w:autoSpaceDN w:val="0"/>
              <w:adjustRightInd w:val="0"/>
              <w:spacing w:before="60" w:after="60" w:line="259" w:lineRule="auto"/>
              <w:ind w:left="56" w:right="40"/>
              <w:jc w:val="center"/>
              <w:rPr>
                <w:w w:val="99"/>
                <w:sz w:val="16"/>
                <w:szCs w:val="16"/>
              </w:rPr>
            </w:pPr>
            <w:r w:rsidRPr="00662611">
              <w:rPr>
                <w:sz w:val="16"/>
                <w:szCs w:val="16"/>
              </w:rPr>
              <w:t>1–5</w:t>
            </w:r>
            <w:r w:rsidRPr="00662611">
              <w:rPr>
                <w:spacing w:val="-2"/>
                <w:sz w:val="16"/>
                <w:szCs w:val="16"/>
              </w:rPr>
              <w:t xml:space="preserve"> </w:t>
            </w:r>
            <w:r w:rsidRPr="00662611">
              <w:rPr>
                <w:spacing w:val="-1"/>
                <w:sz w:val="16"/>
                <w:szCs w:val="16"/>
              </w:rPr>
              <w:t>y</w:t>
            </w:r>
            <w:r w:rsidRPr="00662611">
              <w:rPr>
                <w:sz w:val="16"/>
                <w:szCs w:val="16"/>
              </w:rPr>
              <w:t>ears</w:t>
            </w:r>
          </w:p>
        </w:tc>
        <w:tc>
          <w:tcPr>
            <w:tcW w:w="2552" w:type="dxa"/>
            <w:gridSpan w:val="2"/>
            <w:tcBorders>
              <w:top w:val="single" w:sz="4" w:space="0" w:color="000000"/>
              <w:left w:val="single" w:sz="4" w:space="0" w:color="000000"/>
              <w:bottom w:val="single" w:sz="4" w:space="0" w:color="000000"/>
              <w:right w:val="nil"/>
            </w:tcBorders>
            <w:shd w:val="clear" w:color="auto" w:fill="D9D9D9"/>
            <w:vAlign w:val="center"/>
            <w:hideMark/>
          </w:tcPr>
          <w:p w14:paraId="7D92732B" w14:textId="77777777" w:rsidR="00FF1032" w:rsidRPr="00662611" w:rsidRDefault="00FF1032" w:rsidP="00B108FB">
            <w:pPr>
              <w:autoSpaceDE w:val="0"/>
              <w:autoSpaceDN w:val="0"/>
              <w:adjustRightInd w:val="0"/>
              <w:spacing w:before="60" w:after="60" w:line="259" w:lineRule="auto"/>
              <w:ind w:left="271" w:right="63" w:hanging="97"/>
              <w:jc w:val="right"/>
              <w:rPr>
                <w:sz w:val="16"/>
                <w:szCs w:val="16"/>
              </w:rPr>
            </w:pPr>
            <w:r w:rsidRPr="00662611">
              <w:rPr>
                <w:sz w:val="16"/>
                <w:szCs w:val="16"/>
              </w:rPr>
              <w:t>25-30 years</w:t>
            </w:r>
          </w:p>
        </w:tc>
        <w:tc>
          <w:tcPr>
            <w:tcW w:w="1275" w:type="dxa"/>
            <w:tcBorders>
              <w:top w:val="single" w:sz="4" w:space="0" w:color="000000"/>
              <w:left w:val="nil"/>
              <w:bottom w:val="single" w:sz="4" w:space="0" w:color="000000"/>
              <w:right w:val="single" w:sz="4" w:space="0" w:color="000000"/>
            </w:tcBorders>
            <w:vAlign w:val="center"/>
          </w:tcPr>
          <w:p w14:paraId="7D92732C" w14:textId="77777777" w:rsidR="00FF1032" w:rsidRPr="00662611" w:rsidRDefault="00FF1032" w:rsidP="00B108FB">
            <w:pPr>
              <w:autoSpaceDE w:val="0"/>
              <w:autoSpaceDN w:val="0"/>
              <w:adjustRightInd w:val="0"/>
              <w:spacing w:before="60" w:after="60" w:line="259" w:lineRule="auto"/>
              <w:ind w:left="271" w:right="30" w:hanging="97"/>
              <w:rPr>
                <w:w w:val="99"/>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92732D" w14:textId="77777777" w:rsidR="00FF1032" w:rsidRPr="00662611" w:rsidRDefault="00FF1032" w:rsidP="00267097">
            <w:pPr>
              <w:autoSpaceDE w:val="0"/>
              <w:autoSpaceDN w:val="0"/>
              <w:adjustRightInd w:val="0"/>
              <w:spacing w:before="60" w:after="60" w:line="259" w:lineRule="auto"/>
              <w:ind w:left="176" w:right="153"/>
              <w:jc w:val="center"/>
              <w:rPr>
                <w:spacing w:val="1"/>
                <w:sz w:val="16"/>
                <w:szCs w:val="16"/>
              </w:rPr>
            </w:pPr>
            <w:r w:rsidRPr="00662611">
              <w:rPr>
                <w:sz w:val="16"/>
                <w:szCs w:val="16"/>
              </w:rPr>
              <w:t>I</w:t>
            </w:r>
            <w:r w:rsidRPr="00662611">
              <w:rPr>
                <w:spacing w:val="1"/>
                <w:sz w:val="16"/>
                <w:szCs w:val="16"/>
              </w:rPr>
              <w:t>nd</w:t>
            </w:r>
            <w:r w:rsidRPr="00662611">
              <w:rPr>
                <w:sz w:val="16"/>
                <w:szCs w:val="16"/>
              </w:rPr>
              <w:t>e</w:t>
            </w:r>
            <w:r w:rsidRPr="00662611">
              <w:rPr>
                <w:spacing w:val="1"/>
                <w:sz w:val="16"/>
                <w:szCs w:val="16"/>
              </w:rPr>
              <w:t>f</w:t>
            </w:r>
            <w:r w:rsidRPr="00662611">
              <w:rPr>
                <w:sz w:val="16"/>
                <w:szCs w:val="16"/>
              </w:rPr>
              <w:t>i</w:t>
            </w:r>
            <w:r w:rsidRPr="00662611">
              <w:rPr>
                <w:spacing w:val="1"/>
                <w:sz w:val="16"/>
                <w:szCs w:val="16"/>
              </w:rPr>
              <w:t>n</w:t>
            </w:r>
            <w:r w:rsidRPr="00662611">
              <w:rPr>
                <w:sz w:val="16"/>
                <w:szCs w:val="16"/>
              </w:rPr>
              <w:t>ite</w:t>
            </w:r>
            <w:r w:rsidRPr="00662611">
              <w:rPr>
                <w:spacing w:val="-7"/>
                <w:sz w:val="16"/>
                <w:szCs w:val="16"/>
              </w:rPr>
              <w:t xml:space="preserve"> </w:t>
            </w:r>
            <w:r w:rsidRPr="00662611">
              <w:rPr>
                <w:sz w:val="16"/>
                <w:szCs w:val="16"/>
              </w:rPr>
              <w:t>(</w:t>
            </w:r>
            <w:r w:rsidRPr="00662611">
              <w:rPr>
                <w:spacing w:val="1"/>
                <w:sz w:val="16"/>
                <w:szCs w:val="16"/>
              </w:rPr>
              <w:t>o</w:t>
            </w:r>
            <w:r w:rsidRPr="00662611">
              <w:rPr>
                <w:sz w:val="16"/>
                <w:szCs w:val="16"/>
              </w:rPr>
              <w:t>r</w:t>
            </w:r>
            <w:r w:rsidRPr="00662611">
              <w:rPr>
                <w:spacing w:val="-1"/>
                <w:sz w:val="16"/>
                <w:szCs w:val="16"/>
              </w:rPr>
              <w:t xml:space="preserve"> </w:t>
            </w:r>
            <w:r w:rsidRPr="00662611">
              <w:rPr>
                <w:spacing w:val="-2"/>
                <w:sz w:val="16"/>
                <w:szCs w:val="16"/>
              </w:rPr>
              <w:t>m</w:t>
            </w:r>
            <w:r w:rsidRPr="00662611">
              <w:rPr>
                <w:spacing w:val="1"/>
                <w:sz w:val="16"/>
                <w:szCs w:val="16"/>
              </w:rPr>
              <w:t>a</w:t>
            </w:r>
            <w:r w:rsidRPr="00662611">
              <w:rPr>
                <w:sz w:val="16"/>
                <w:szCs w:val="16"/>
              </w:rPr>
              <w:t>y</w:t>
            </w:r>
            <w:r w:rsidRPr="00662611">
              <w:rPr>
                <w:spacing w:val="-3"/>
                <w:sz w:val="16"/>
                <w:szCs w:val="16"/>
              </w:rPr>
              <w:t xml:space="preserve"> </w:t>
            </w:r>
            <w:r w:rsidRPr="00662611">
              <w:rPr>
                <w:sz w:val="16"/>
                <w:szCs w:val="16"/>
              </w:rPr>
              <w:t>be</w:t>
            </w:r>
            <w:r w:rsidRPr="00662611">
              <w:rPr>
                <w:spacing w:val="-2"/>
                <w:sz w:val="16"/>
                <w:szCs w:val="16"/>
              </w:rPr>
              <w:t xml:space="preserve"> </w:t>
            </w:r>
            <w:r w:rsidRPr="00662611">
              <w:rPr>
                <w:sz w:val="16"/>
                <w:szCs w:val="16"/>
              </w:rPr>
              <w:t>l</w:t>
            </w:r>
            <w:r w:rsidRPr="00662611">
              <w:rPr>
                <w:spacing w:val="1"/>
                <w:sz w:val="16"/>
                <w:szCs w:val="16"/>
              </w:rPr>
              <w:t>i</w:t>
            </w:r>
            <w:r w:rsidRPr="00662611">
              <w:rPr>
                <w:spacing w:val="-2"/>
                <w:sz w:val="16"/>
                <w:szCs w:val="16"/>
              </w:rPr>
              <w:t>m</w:t>
            </w:r>
            <w:r w:rsidRPr="00662611">
              <w:rPr>
                <w:sz w:val="16"/>
                <w:szCs w:val="16"/>
              </w:rPr>
              <w:t>ited</w:t>
            </w:r>
            <w:r w:rsidRPr="00662611">
              <w:rPr>
                <w:spacing w:val="-5"/>
                <w:sz w:val="16"/>
                <w:szCs w:val="16"/>
              </w:rPr>
              <w:t xml:space="preserve"> </w:t>
            </w:r>
            <w:r w:rsidRPr="00662611">
              <w:rPr>
                <w:spacing w:val="2"/>
                <w:sz w:val="16"/>
                <w:szCs w:val="16"/>
              </w:rPr>
              <w:t>b</w:t>
            </w:r>
            <w:r w:rsidRPr="00662611">
              <w:rPr>
                <w:sz w:val="16"/>
                <w:szCs w:val="16"/>
              </w:rPr>
              <w:t>y</w:t>
            </w:r>
            <w:r w:rsidRPr="00662611">
              <w:rPr>
                <w:spacing w:val="-2"/>
                <w:sz w:val="16"/>
                <w:szCs w:val="16"/>
              </w:rPr>
              <w:t xml:space="preserve"> </w:t>
            </w:r>
            <w:r w:rsidRPr="00662611">
              <w:rPr>
                <w:sz w:val="16"/>
                <w:szCs w:val="16"/>
              </w:rPr>
              <w:t>contract</w:t>
            </w:r>
            <w:r w:rsidRPr="00662611">
              <w:rPr>
                <w:spacing w:val="-8"/>
                <w:sz w:val="16"/>
                <w:szCs w:val="16"/>
              </w:rPr>
              <w:t xml:space="preserve"> </w:t>
            </w:r>
            <w:r w:rsidRPr="00662611">
              <w:rPr>
                <w:spacing w:val="1"/>
                <w:sz w:val="16"/>
                <w:szCs w:val="16"/>
              </w:rPr>
              <w:t>or</w:t>
            </w:r>
            <w:r w:rsidRPr="00662611">
              <w:rPr>
                <w:spacing w:val="-1"/>
                <w:sz w:val="16"/>
                <w:szCs w:val="16"/>
              </w:rPr>
              <w:t xml:space="preserve"> </w:t>
            </w:r>
            <w:r w:rsidRPr="00662611">
              <w:rPr>
                <w:w w:val="99"/>
                <w:sz w:val="16"/>
                <w:szCs w:val="16"/>
              </w:rPr>
              <w:t>licence)</w:t>
            </w:r>
          </w:p>
        </w:tc>
      </w:tr>
      <w:tr w:rsidR="00FF1032" w:rsidRPr="00662611" w14:paraId="7D927333" w14:textId="77777777" w:rsidTr="00696AFE">
        <w:tc>
          <w:tcPr>
            <w:tcW w:w="1418" w:type="dxa"/>
            <w:tcBorders>
              <w:top w:val="single" w:sz="4" w:space="0" w:color="000000"/>
              <w:left w:val="single" w:sz="4" w:space="0" w:color="000000"/>
              <w:bottom w:val="single" w:sz="4" w:space="0" w:color="000000"/>
              <w:right w:val="single" w:sz="4" w:space="0" w:color="000000"/>
            </w:tcBorders>
            <w:vAlign w:val="center"/>
            <w:hideMark/>
          </w:tcPr>
          <w:p w14:paraId="7D92732F" w14:textId="77777777" w:rsidR="00FF1032" w:rsidRPr="00662611" w:rsidRDefault="00FF1032" w:rsidP="00353CC4">
            <w:pPr>
              <w:autoSpaceDE w:val="0"/>
              <w:autoSpaceDN w:val="0"/>
              <w:adjustRightInd w:val="0"/>
              <w:spacing w:before="60" w:after="60" w:line="259" w:lineRule="auto"/>
              <w:ind w:left="28" w:right="17"/>
              <w:rPr>
                <w:sz w:val="16"/>
                <w:szCs w:val="16"/>
              </w:rPr>
            </w:pPr>
            <w:r w:rsidRPr="00662611">
              <w:rPr>
                <w:sz w:val="16"/>
                <w:szCs w:val="16"/>
              </w:rPr>
              <w:t>Significant residual</w:t>
            </w:r>
            <w:r w:rsidRPr="00662611">
              <w:rPr>
                <w:spacing w:val="-6"/>
                <w:sz w:val="16"/>
                <w:szCs w:val="16"/>
              </w:rPr>
              <w:t xml:space="preserve"> </w:t>
            </w:r>
            <w:r w:rsidRPr="00662611">
              <w:rPr>
                <w:sz w:val="16"/>
                <w:szCs w:val="16"/>
              </w:rPr>
              <w:t>interest</w:t>
            </w:r>
          </w:p>
        </w:tc>
        <w:tc>
          <w:tcPr>
            <w:tcW w:w="2410" w:type="dxa"/>
            <w:gridSpan w:val="2"/>
            <w:tcBorders>
              <w:top w:val="single" w:sz="4" w:space="0" w:color="000000"/>
              <w:left w:val="single" w:sz="4" w:space="0" w:color="000000"/>
              <w:bottom w:val="single" w:sz="4" w:space="0" w:color="000000"/>
              <w:right w:val="nil"/>
            </w:tcBorders>
            <w:vAlign w:val="center"/>
            <w:hideMark/>
          </w:tcPr>
          <w:p w14:paraId="7D927330" w14:textId="77777777" w:rsidR="00FF1032" w:rsidRPr="00662611" w:rsidRDefault="00FF1032" w:rsidP="00353CC4">
            <w:pPr>
              <w:autoSpaceDE w:val="0"/>
              <w:autoSpaceDN w:val="0"/>
              <w:adjustRightInd w:val="0"/>
              <w:spacing w:before="60" w:after="60" w:line="200" w:lineRule="exact"/>
              <w:jc w:val="right"/>
              <w:rPr>
                <w:sz w:val="16"/>
                <w:szCs w:val="16"/>
              </w:rPr>
            </w:pPr>
            <w:r w:rsidRPr="00662611">
              <w:rPr>
                <w:w w:val="99"/>
                <w:sz w:val="16"/>
                <w:szCs w:val="16"/>
              </w:rPr>
              <w:t>Grantor</w:t>
            </w:r>
          </w:p>
        </w:tc>
        <w:tc>
          <w:tcPr>
            <w:tcW w:w="2552" w:type="dxa"/>
            <w:gridSpan w:val="2"/>
            <w:tcBorders>
              <w:top w:val="single" w:sz="4" w:space="0" w:color="000000"/>
              <w:left w:val="nil"/>
              <w:bottom w:val="single" w:sz="4" w:space="0" w:color="000000"/>
              <w:right w:val="single" w:sz="4" w:space="0" w:color="000000"/>
            </w:tcBorders>
            <w:shd w:val="clear" w:color="auto" w:fill="D9D9D9"/>
            <w:vAlign w:val="center"/>
          </w:tcPr>
          <w:p w14:paraId="7D927331" w14:textId="77777777" w:rsidR="00FF1032" w:rsidRPr="00662611" w:rsidRDefault="00FF1032" w:rsidP="00B108FB">
            <w:pPr>
              <w:autoSpaceDE w:val="0"/>
              <w:autoSpaceDN w:val="0"/>
              <w:adjustRightInd w:val="0"/>
              <w:spacing w:before="60" w:after="60" w:line="259" w:lineRule="auto"/>
              <w:ind w:left="271" w:right="63" w:hanging="97"/>
              <w:rPr>
                <w:sz w:val="16"/>
                <w:szCs w:val="16"/>
              </w:rPr>
            </w:pPr>
          </w:p>
        </w:tc>
        <w:tc>
          <w:tcPr>
            <w:tcW w:w="2692" w:type="dxa"/>
            <w:gridSpan w:val="2"/>
            <w:tcBorders>
              <w:top w:val="single" w:sz="4" w:space="0" w:color="000000"/>
              <w:left w:val="single" w:sz="4" w:space="0" w:color="000000"/>
              <w:bottom w:val="single" w:sz="4" w:space="0" w:color="000000"/>
              <w:right w:val="single" w:sz="4" w:space="0" w:color="000000"/>
            </w:tcBorders>
            <w:vAlign w:val="center"/>
            <w:hideMark/>
          </w:tcPr>
          <w:p w14:paraId="7D927332" w14:textId="77777777" w:rsidR="00FF1032" w:rsidRPr="00662611" w:rsidRDefault="00FF1032" w:rsidP="00B108FB">
            <w:pPr>
              <w:autoSpaceDE w:val="0"/>
              <w:autoSpaceDN w:val="0"/>
              <w:adjustRightInd w:val="0"/>
              <w:spacing w:before="60" w:after="60" w:line="259" w:lineRule="auto"/>
              <w:ind w:left="271" w:right="153" w:hanging="97"/>
              <w:jc w:val="center"/>
              <w:rPr>
                <w:sz w:val="16"/>
                <w:szCs w:val="16"/>
              </w:rPr>
            </w:pPr>
            <w:r w:rsidRPr="00662611">
              <w:rPr>
                <w:w w:val="99"/>
                <w:sz w:val="16"/>
                <w:szCs w:val="16"/>
              </w:rPr>
              <w:t>Operator</w:t>
            </w:r>
          </w:p>
        </w:tc>
      </w:tr>
      <w:tr w:rsidR="00FF1032" w:rsidRPr="00662611" w14:paraId="7D927339" w14:textId="77777777" w:rsidTr="00696AFE">
        <w:tc>
          <w:tcPr>
            <w:tcW w:w="1418" w:type="dxa"/>
            <w:tcBorders>
              <w:top w:val="single" w:sz="4" w:space="0" w:color="000000"/>
              <w:left w:val="single" w:sz="4" w:space="0" w:color="000000"/>
              <w:bottom w:val="single" w:sz="4" w:space="0" w:color="000000"/>
              <w:right w:val="single" w:sz="4" w:space="0" w:color="000000"/>
            </w:tcBorders>
            <w:vAlign w:val="center"/>
            <w:hideMark/>
          </w:tcPr>
          <w:p w14:paraId="7D927334" w14:textId="77777777" w:rsidR="00FF1032" w:rsidRPr="00662611" w:rsidRDefault="00FF1032" w:rsidP="00353CC4">
            <w:pPr>
              <w:autoSpaceDE w:val="0"/>
              <w:autoSpaceDN w:val="0"/>
              <w:adjustRightInd w:val="0"/>
              <w:spacing w:before="60" w:after="60"/>
              <w:ind w:left="28" w:right="-20"/>
              <w:rPr>
                <w:sz w:val="16"/>
                <w:szCs w:val="16"/>
              </w:rPr>
            </w:pPr>
            <w:r w:rsidRPr="00662611">
              <w:rPr>
                <w:sz w:val="16"/>
                <w:szCs w:val="16"/>
              </w:rPr>
              <w:t>Relevant</w:t>
            </w:r>
            <w:r w:rsidRPr="00662611">
              <w:rPr>
                <w:sz w:val="16"/>
                <w:szCs w:val="16"/>
              </w:rPr>
              <w:br/>
              <w:t>Accounting Standard</w:t>
            </w:r>
            <w:r w:rsidR="006F3257" w:rsidRPr="00662611">
              <w:rPr>
                <w:sz w:val="16"/>
                <w:szCs w:val="16"/>
              </w:rPr>
              <w: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927335" w14:textId="77777777" w:rsidR="00FF1032" w:rsidRPr="00662611" w:rsidRDefault="00FF1032" w:rsidP="004C2E0B">
            <w:pPr>
              <w:autoSpaceDE w:val="0"/>
              <w:autoSpaceDN w:val="0"/>
              <w:adjustRightInd w:val="0"/>
              <w:spacing w:before="60" w:after="60" w:line="150" w:lineRule="exact"/>
              <w:jc w:val="center"/>
              <w:rPr>
                <w:w w:val="99"/>
                <w:sz w:val="16"/>
                <w:szCs w:val="16"/>
              </w:rPr>
            </w:pPr>
            <w:r w:rsidRPr="00662611">
              <w:rPr>
                <w:sz w:val="16"/>
                <w:szCs w:val="16"/>
              </w:rPr>
              <w:t>AASB</w:t>
            </w:r>
            <w:r w:rsidR="004C2E0B" w:rsidRPr="00662611">
              <w:rPr>
                <w:sz w:val="16"/>
                <w:szCs w:val="16"/>
              </w:rPr>
              <w:t xml:space="preserve"> 16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927336" w14:textId="77777777" w:rsidR="00FF1032" w:rsidRPr="00662611" w:rsidRDefault="00FF1032" w:rsidP="00353CC4">
            <w:pPr>
              <w:autoSpaceDE w:val="0"/>
              <w:autoSpaceDN w:val="0"/>
              <w:adjustRightInd w:val="0"/>
              <w:spacing w:before="60" w:after="60" w:line="200" w:lineRule="exact"/>
              <w:jc w:val="center"/>
              <w:rPr>
                <w:sz w:val="16"/>
                <w:szCs w:val="16"/>
              </w:rPr>
            </w:pPr>
            <w:r w:rsidRPr="00662611">
              <w:rPr>
                <w:sz w:val="16"/>
                <w:szCs w:val="16"/>
              </w:rPr>
              <w:t>AASB 101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927337" w14:textId="77777777" w:rsidR="00FF1032" w:rsidRPr="00662611" w:rsidRDefault="00FF1032" w:rsidP="00B108FB">
            <w:pPr>
              <w:autoSpaceDE w:val="0"/>
              <w:autoSpaceDN w:val="0"/>
              <w:adjustRightInd w:val="0"/>
              <w:spacing w:before="60" w:after="60" w:line="259" w:lineRule="auto"/>
              <w:ind w:left="271" w:right="233" w:hanging="97"/>
              <w:jc w:val="center"/>
              <w:rPr>
                <w:sz w:val="16"/>
                <w:szCs w:val="16"/>
              </w:rPr>
            </w:pPr>
            <w:r w:rsidRPr="00662611">
              <w:rPr>
                <w:sz w:val="16"/>
                <w:szCs w:val="16"/>
              </w:rPr>
              <w:t>This</w:t>
            </w:r>
            <w:r w:rsidRPr="00662611">
              <w:rPr>
                <w:spacing w:val="-3"/>
                <w:sz w:val="16"/>
                <w:szCs w:val="16"/>
              </w:rPr>
              <w:t xml:space="preserve"> </w:t>
            </w:r>
            <w:r w:rsidRPr="00662611">
              <w:rPr>
                <w:sz w:val="16"/>
                <w:szCs w:val="16"/>
              </w:rPr>
              <w:t>Standard/</w:t>
            </w:r>
            <w:r w:rsidRPr="00662611">
              <w:rPr>
                <w:sz w:val="16"/>
                <w:szCs w:val="16"/>
              </w:rPr>
              <w:br/>
              <w:t>AASB 116/</w:t>
            </w:r>
            <w:r w:rsidRPr="00662611">
              <w:rPr>
                <w:sz w:val="16"/>
                <w:szCs w:val="16"/>
              </w:rPr>
              <w:br/>
              <w:t>AASB 138</w:t>
            </w:r>
          </w:p>
        </w:tc>
        <w:tc>
          <w:tcPr>
            <w:tcW w:w="2692" w:type="dxa"/>
            <w:gridSpan w:val="2"/>
            <w:tcBorders>
              <w:top w:val="single" w:sz="4" w:space="0" w:color="000000"/>
              <w:left w:val="single" w:sz="4" w:space="0" w:color="000000"/>
              <w:bottom w:val="single" w:sz="4" w:space="0" w:color="000000"/>
              <w:right w:val="single" w:sz="4" w:space="0" w:color="000000"/>
            </w:tcBorders>
            <w:vAlign w:val="center"/>
            <w:hideMark/>
          </w:tcPr>
          <w:p w14:paraId="7D927338" w14:textId="77777777" w:rsidR="00FF1032" w:rsidRPr="00662611" w:rsidRDefault="00FF1032" w:rsidP="00B108FB">
            <w:pPr>
              <w:autoSpaceDE w:val="0"/>
              <w:autoSpaceDN w:val="0"/>
              <w:adjustRightInd w:val="0"/>
              <w:spacing w:before="60" w:after="60" w:line="259" w:lineRule="auto"/>
              <w:ind w:left="271" w:right="153" w:hanging="97"/>
              <w:jc w:val="center"/>
              <w:rPr>
                <w:sz w:val="16"/>
                <w:szCs w:val="16"/>
              </w:rPr>
            </w:pPr>
            <w:r w:rsidRPr="00662611">
              <w:rPr>
                <w:sz w:val="16"/>
                <w:szCs w:val="16"/>
              </w:rPr>
              <w:t>AASB 116/</w:t>
            </w:r>
            <w:r w:rsidRPr="00662611">
              <w:rPr>
                <w:spacing w:val="-2"/>
                <w:sz w:val="16"/>
                <w:szCs w:val="16"/>
              </w:rPr>
              <w:t xml:space="preserve"> </w:t>
            </w:r>
            <w:r w:rsidRPr="00662611">
              <w:rPr>
                <w:sz w:val="16"/>
                <w:szCs w:val="16"/>
              </w:rPr>
              <w:t>AASB 138</w:t>
            </w:r>
            <w:r w:rsidRPr="00662611">
              <w:rPr>
                <w:w w:val="99"/>
                <w:sz w:val="16"/>
                <w:szCs w:val="16"/>
              </w:rPr>
              <w:t xml:space="preserve"> (</w:t>
            </w:r>
            <w:r w:rsidRPr="00662611">
              <w:rPr>
                <w:spacing w:val="1"/>
                <w:w w:val="99"/>
                <w:sz w:val="16"/>
                <w:szCs w:val="16"/>
              </w:rPr>
              <w:t>d</w:t>
            </w:r>
            <w:r w:rsidRPr="00662611">
              <w:rPr>
                <w:w w:val="99"/>
                <w:sz w:val="16"/>
                <w:szCs w:val="16"/>
              </w:rPr>
              <w:t>erecognition)</w:t>
            </w:r>
          </w:p>
        </w:tc>
      </w:tr>
    </w:tbl>
    <w:p w14:paraId="7D92733A" w14:textId="77777777" w:rsidR="008F60C4" w:rsidRPr="00662611" w:rsidRDefault="008F60C4" w:rsidP="002C674E">
      <w:pPr>
        <w:pStyle w:val="IGpara1"/>
        <w:numPr>
          <w:ilvl w:val="0"/>
          <w:numId w:val="0"/>
        </w:numPr>
        <w:spacing w:after="120"/>
        <w:ind w:left="782"/>
      </w:pPr>
    </w:p>
    <w:p w14:paraId="7D92733C" w14:textId="7DB28841" w:rsidR="008F60C4" w:rsidRPr="00662611" w:rsidRDefault="008F60C4" w:rsidP="008F60C4">
      <w:pPr>
        <w:pStyle w:val="IGpara1"/>
        <w:ind w:left="782" w:hanging="782"/>
      </w:pPr>
      <w:bookmarkStart w:id="107" w:name="_Ref486087154"/>
      <w:r w:rsidRPr="00662611">
        <w:t xml:space="preserve">The table below compares the key features of various </w:t>
      </w:r>
      <w:r w:rsidR="00504E4F" w:rsidRPr="00662611">
        <w:t xml:space="preserve">common </w:t>
      </w:r>
      <w:r w:rsidRPr="00662611">
        <w:t>types of arrangements for private sector participation in the provision of public services</w:t>
      </w:r>
      <w:r w:rsidR="00106F8B" w:rsidRPr="00662611">
        <w:t xml:space="preserve">. </w:t>
      </w:r>
      <w:r w:rsidRPr="00662611">
        <w:t xml:space="preserve">This table presents simple </w:t>
      </w:r>
      <w:proofErr w:type="gramStart"/>
      <w:r w:rsidRPr="00662611">
        <w:t>arrangements,</w:t>
      </w:r>
      <w:proofErr w:type="gramEnd"/>
      <w:r w:rsidRPr="00662611">
        <w:t xml:space="preserve"> however the classification of an arrangement as</w:t>
      </w:r>
      <w:r w:rsidR="00106F8B" w:rsidRPr="00662611">
        <w:t xml:space="preserve"> a construction contract with a</w:t>
      </w:r>
      <w:r w:rsidRPr="00662611">
        <w:t xml:space="preserve"> service </w:t>
      </w:r>
      <w:r w:rsidR="0063746D">
        <w:t>outsourcing</w:t>
      </w:r>
      <w:r w:rsidRPr="00662611">
        <w:t xml:space="preserve"> contract, lease, service concession arrangement, or </w:t>
      </w:r>
      <w:r w:rsidR="00106F8B" w:rsidRPr="00662611">
        <w:t xml:space="preserve">sale or </w:t>
      </w:r>
      <w:r w:rsidRPr="00662611">
        <w:t>privatisation</w:t>
      </w:r>
      <w:r w:rsidR="00106F8B" w:rsidRPr="00662611">
        <w:t xml:space="preserve"> </w:t>
      </w:r>
      <w:r w:rsidRPr="00662611">
        <w:t>will depend on the specific terms and conditions of the arrangement.</w:t>
      </w:r>
      <w:bookmarkEnd w:id="107"/>
    </w:p>
    <w:p w14:paraId="7D92733D" w14:textId="77777777" w:rsidR="0003690C" w:rsidRPr="00662611" w:rsidRDefault="0003690C" w:rsidP="002C674E">
      <w:pPr>
        <w:pStyle w:val="IGpara1"/>
        <w:numPr>
          <w:ilvl w:val="0"/>
          <w:numId w:val="0"/>
        </w:numPr>
        <w:autoSpaceDE w:val="0"/>
        <w:autoSpaceDN w:val="0"/>
        <w:adjustRightInd w:val="0"/>
        <w:spacing w:after="0"/>
        <w:ind w:left="782" w:hanging="782"/>
        <w:jc w:val="left"/>
      </w:pPr>
    </w:p>
    <w:tbl>
      <w:tblPr>
        <w:tblStyle w:val="TableGrid"/>
        <w:tblW w:w="0" w:type="auto"/>
        <w:tblInd w:w="108" w:type="dxa"/>
        <w:tblLayout w:type="fixed"/>
        <w:tblLook w:val="04A0" w:firstRow="1" w:lastRow="0" w:firstColumn="1" w:lastColumn="0" w:noHBand="0" w:noVBand="1"/>
        <w:tblCaption w:val="Key features of common types of arrangements"/>
        <w:tblDescription w:val="Table covers construction contracts with service outsourcing contract, leases, service concession arrangements and sales/privatisations."/>
      </w:tblPr>
      <w:tblGrid>
        <w:gridCol w:w="1735"/>
        <w:gridCol w:w="1588"/>
        <w:gridCol w:w="2160"/>
        <w:gridCol w:w="1843"/>
        <w:gridCol w:w="1843"/>
      </w:tblGrid>
      <w:tr w:rsidR="00F54226" w:rsidRPr="002C674E" w14:paraId="7D927344" w14:textId="77777777" w:rsidTr="00006562">
        <w:trPr>
          <w:tblHeader/>
        </w:trPr>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3E" w14:textId="77777777" w:rsidR="00F54226" w:rsidRPr="002C674E" w:rsidRDefault="00F54226" w:rsidP="00C36AFC">
            <w:pPr>
              <w:pStyle w:val="NumPlain1"/>
              <w:numPr>
                <w:ilvl w:val="0"/>
                <w:numId w:val="0"/>
              </w:numPr>
              <w:spacing w:before="60" w:after="60"/>
              <w:rPr>
                <w:b/>
                <w:sz w:val="16"/>
                <w:szCs w:val="16"/>
              </w:rPr>
            </w:pPr>
            <w:r w:rsidRPr="002C674E">
              <w:rPr>
                <w:b/>
                <w:sz w:val="16"/>
                <w:szCs w:val="16"/>
              </w:rPr>
              <w:t>Features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D92733F" w14:textId="4700D7E7" w:rsidR="00F54226" w:rsidRPr="002C674E" w:rsidRDefault="00F54226" w:rsidP="00D11E93">
            <w:pPr>
              <w:pStyle w:val="NumPlain1"/>
              <w:numPr>
                <w:ilvl w:val="0"/>
                <w:numId w:val="0"/>
              </w:numPr>
              <w:spacing w:before="60" w:after="60"/>
              <w:jc w:val="center"/>
              <w:rPr>
                <w:b/>
                <w:sz w:val="16"/>
                <w:szCs w:val="16"/>
                <w:vertAlign w:val="superscript"/>
              </w:rPr>
            </w:pPr>
            <w:r w:rsidRPr="002C674E">
              <w:rPr>
                <w:b/>
                <w:sz w:val="16"/>
                <w:szCs w:val="16"/>
              </w:rPr>
              <w:t>Construction contract with service</w:t>
            </w:r>
            <w:r w:rsidR="00504E4F" w:rsidRPr="002C674E">
              <w:rPr>
                <w:b/>
                <w:sz w:val="16"/>
                <w:szCs w:val="16"/>
              </w:rPr>
              <w:t xml:space="preserve"> </w:t>
            </w:r>
            <w:r w:rsidR="00B97295" w:rsidRPr="002C674E">
              <w:rPr>
                <w:b/>
                <w:sz w:val="16"/>
                <w:szCs w:val="16"/>
              </w:rPr>
              <w:t xml:space="preserve">outsourcing </w:t>
            </w:r>
            <w:r w:rsidRPr="002C674E">
              <w:rPr>
                <w:b/>
                <w:sz w:val="16"/>
                <w:szCs w:val="16"/>
              </w:rPr>
              <w:t>contract</w:t>
            </w:r>
            <w:r w:rsidRPr="002C674E">
              <w:rPr>
                <w:b/>
                <w:sz w:val="16"/>
                <w:szCs w:val="16"/>
                <w:vertAlign w:val="superscript"/>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927340" w14:textId="77777777" w:rsidR="00F54226" w:rsidRPr="002C674E" w:rsidRDefault="00F54226" w:rsidP="00C36AFC">
            <w:pPr>
              <w:pStyle w:val="NumPlain1"/>
              <w:numPr>
                <w:ilvl w:val="0"/>
                <w:numId w:val="0"/>
              </w:numPr>
              <w:spacing w:before="60" w:after="60"/>
              <w:jc w:val="center"/>
              <w:rPr>
                <w:b/>
                <w:sz w:val="16"/>
                <w:szCs w:val="16"/>
                <w:vertAlign w:val="superscript"/>
              </w:rPr>
            </w:pPr>
            <w:r w:rsidRPr="002C674E">
              <w:rPr>
                <w:b/>
                <w:sz w:val="16"/>
                <w:szCs w:val="16"/>
              </w:rPr>
              <w:t>Lease</w:t>
            </w:r>
            <w:r w:rsidRPr="002C674E">
              <w:rPr>
                <w:b/>
                <w:sz w:val="16"/>
                <w:szCs w:val="16"/>
                <w:vertAlign w:val="superscript"/>
              </w:rPr>
              <w:t>2</w:t>
            </w:r>
          </w:p>
          <w:p w14:paraId="7D927341" w14:textId="77777777" w:rsidR="00F54226" w:rsidRPr="002C674E" w:rsidRDefault="00F54226" w:rsidP="004B550F">
            <w:pPr>
              <w:pStyle w:val="NumPlain1"/>
              <w:numPr>
                <w:ilvl w:val="0"/>
                <w:numId w:val="0"/>
              </w:numPr>
              <w:spacing w:before="60" w:after="60"/>
              <w:jc w:val="center"/>
              <w:rPr>
                <w:sz w:val="16"/>
                <w:szCs w:val="16"/>
              </w:rPr>
            </w:pPr>
            <w:r w:rsidRPr="002C674E">
              <w:rPr>
                <w:sz w:val="16"/>
                <w:szCs w:val="16"/>
              </w:rPr>
              <w:t>(grantor is less</w:t>
            </w:r>
            <w:r w:rsidR="004B550F" w:rsidRPr="002C674E">
              <w:rPr>
                <w:sz w:val="16"/>
                <w:szCs w:val="16"/>
              </w:rPr>
              <w:t>or</w:t>
            </w:r>
            <w:r w:rsidRPr="002C674E">
              <w:rPr>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42" w14:textId="77777777" w:rsidR="00F54226" w:rsidRPr="002C674E" w:rsidRDefault="00F54226" w:rsidP="00C36AFC">
            <w:pPr>
              <w:pStyle w:val="NumPlain1"/>
              <w:numPr>
                <w:ilvl w:val="0"/>
                <w:numId w:val="0"/>
              </w:numPr>
              <w:spacing w:before="60" w:after="60"/>
              <w:jc w:val="center"/>
              <w:rPr>
                <w:b/>
                <w:sz w:val="16"/>
                <w:szCs w:val="16"/>
                <w:vertAlign w:val="superscript"/>
              </w:rPr>
            </w:pPr>
            <w:r w:rsidRPr="002C674E">
              <w:rPr>
                <w:b/>
                <w:sz w:val="16"/>
                <w:szCs w:val="16"/>
              </w:rPr>
              <w:t>Service concession arrangement</w:t>
            </w:r>
            <w:r w:rsidRPr="002C674E">
              <w:rPr>
                <w:b/>
                <w:sz w:val="16"/>
                <w:szCs w:val="16"/>
                <w:vertAlign w:val="superscript"/>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27343" w14:textId="77777777" w:rsidR="00F54226" w:rsidRPr="002C674E" w:rsidRDefault="00F54226" w:rsidP="00C36AFC">
            <w:pPr>
              <w:pStyle w:val="NumPlain1"/>
              <w:numPr>
                <w:ilvl w:val="0"/>
                <w:numId w:val="0"/>
              </w:numPr>
              <w:spacing w:before="60" w:after="60"/>
              <w:jc w:val="center"/>
              <w:rPr>
                <w:b/>
                <w:sz w:val="16"/>
                <w:szCs w:val="16"/>
              </w:rPr>
            </w:pPr>
            <w:r w:rsidRPr="002C674E">
              <w:rPr>
                <w:b/>
                <w:sz w:val="16"/>
                <w:szCs w:val="16"/>
              </w:rPr>
              <w:t>Sale/Privatisation</w:t>
            </w:r>
            <w:r w:rsidRPr="002C674E">
              <w:rPr>
                <w:b/>
                <w:sz w:val="16"/>
                <w:szCs w:val="16"/>
                <w:vertAlign w:val="superscript"/>
              </w:rPr>
              <w:t>4</w:t>
            </w:r>
          </w:p>
        </w:tc>
      </w:tr>
      <w:tr w:rsidR="00FD6163" w:rsidRPr="002C674E" w14:paraId="7D92734B" w14:textId="77777777" w:rsidTr="00006562">
        <w:tc>
          <w:tcPr>
            <w:tcW w:w="1735" w:type="dxa"/>
            <w:tcBorders>
              <w:top w:val="single" w:sz="4" w:space="0" w:color="auto"/>
              <w:left w:val="single" w:sz="4" w:space="0" w:color="auto"/>
              <w:right w:val="single" w:sz="4" w:space="0" w:color="auto"/>
            </w:tcBorders>
            <w:shd w:val="clear" w:color="auto" w:fill="auto"/>
          </w:tcPr>
          <w:p w14:paraId="7D927345" w14:textId="6CC7B974" w:rsidR="00FD6163" w:rsidRPr="002C674E" w:rsidRDefault="00FD6163" w:rsidP="001F0831">
            <w:pPr>
              <w:pStyle w:val="NumPlain1"/>
              <w:numPr>
                <w:ilvl w:val="0"/>
                <w:numId w:val="0"/>
              </w:numPr>
              <w:spacing w:before="60" w:after="60"/>
              <w:rPr>
                <w:b/>
                <w:sz w:val="16"/>
                <w:szCs w:val="16"/>
              </w:rPr>
            </w:pPr>
            <w:r w:rsidRPr="002C674E">
              <w:rPr>
                <w:b/>
                <w:sz w:val="16"/>
                <w:szCs w:val="16"/>
              </w:rPr>
              <w:t xml:space="preserve">Determining </w:t>
            </w:r>
            <w:r w:rsidR="002C07BB" w:rsidRPr="002C674E">
              <w:rPr>
                <w:b/>
                <w:sz w:val="16"/>
                <w:szCs w:val="16"/>
              </w:rPr>
              <w:t>whether</w:t>
            </w:r>
            <w:r w:rsidRPr="002C674E">
              <w:rPr>
                <w:b/>
                <w:sz w:val="16"/>
                <w:szCs w:val="16"/>
              </w:rPr>
              <w:t xml:space="preserve"> arrangement is within </w:t>
            </w:r>
            <w:r w:rsidR="00536FC8" w:rsidRPr="002C674E">
              <w:rPr>
                <w:b/>
                <w:sz w:val="16"/>
                <w:szCs w:val="16"/>
              </w:rPr>
              <w:t xml:space="preserve">the </w:t>
            </w:r>
            <w:r w:rsidRPr="002C674E">
              <w:rPr>
                <w:b/>
                <w:sz w:val="16"/>
                <w:szCs w:val="16"/>
              </w:rPr>
              <w:t>scope of AASB </w:t>
            </w:r>
            <w:r w:rsidR="005F6667">
              <w:rPr>
                <w:b/>
                <w:sz w:val="16"/>
                <w:szCs w:val="16"/>
              </w:rPr>
              <w:t>1059</w:t>
            </w:r>
            <w:r w:rsidRPr="002C674E">
              <w:rPr>
                <w:b/>
                <w:sz w:val="16"/>
                <w:szCs w:val="16"/>
              </w:rPr>
              <w:t xml:space="preserve"> (paragraph</w:t>
            </w:r>
            <w:r w:rsidR="002C07BB" w:rsidRPr="002C674E">
              <w:rPr>
                <w:b/>
                <w:sz w:val="16"/>
                <w:szCs w:val="16"/>
              </w:rPr>
              <w:t>s</w:t>
            </w:r>
            <w:r w:rsidRPr="002C674E">
              <w:rPr>
                <w:b/>
                <w:sz w:val="16"/>
                <w:szCs w:val="16"/>
              </w:rPr>
              <w:t xml:space="preserve"> </w:t>
            </w:r>
            <w:r w:rsidR="001F0831" w:rsidRPr="002C674E">
              <w:rPr>
                <w:b/>
                <w:sz w:val="16"/>
                <w:szCs w:val="16"/>
              </w:rPr>
              <w:fldChar w:fldCharType="begin"/>
            </w:r>
            <w:r w:rsidR="001F0831" w:rsidRPr="002C674E">
              <w:rPr>
                <w:b/>
                <w:sz w:val="16"/>
                <w:szCs w:val="16"/>
              </w:rPr>
              <w:instrText xml:space="preserve"> REF _Ref475621189 \r \h </w:instrText>
            </w:r>
            <w:r w:rsidR="002C674E">
              <w:rPr>
                <w:b/>
                <w:sz w:val="16"/>
                <w:szCs w:val="16"/>
              </w:rPr>
              <w:instrText xml:space="preserve"> \* MERGEFORMAT </w:instrText>
            </w:r>
            <w:r w:rsidR="001F0831" w:rsidRPr="002C674E">
              <w:rPr>
                <w:b/>
                <w:sz w:val="16"/>
                <w:szCs w:val="16"/>
              </w:rPr>
            </w:r>
            <w:r w:rsidR="001F0831" w:rsidRPr="002C674E">
              <w:rPr>
                <w:b/>
                <w:sz w:val="16"/>
                <w:szCs w:val="16"/>
              </w:rPr>
              <w:fldChar w:fldCharType="separate"/>
            </w:r>
            <w:r w:rsidR="00C43128">
              <w:rPr>
                <w:b/>
                <w:sz w:val="16"/>
                <w:szCs w:val="16"/>
              </w:rPr>
              <w:t>2</w:t>
            </w:r>
            <w:r w:rsidR="001F0831" w:rsidRPr="002C674E">
              <w:rPr>
                <w:b/>
                <w:sz w:val="16"/>
                <w:szCs w:val="16"/>
              </w:rPr>
              <w:fldChar w:fldCharType="end"/>
            </w:r>
            <w:r w:rsidRPr="002C674E">
              <w:rPr>
                <w:b/>
                <w:sz w:val="16"/>
                <w:szCs w:val="16"/>
              </w:rPr>
              <w:t xml:space="preserve">, </w:t>
            </w:r>
            <w:r w:rsidR="001F0831" w:rsidRPr="002C674E">
              <w:rPr>
                <w:b/>
                <w:sz w:val="16"/>
                <w:szCs w:val="16"/>
              </w:rPr>
              <w:fldChar w:fldCharType="begin"/>
            </w:r>
            <w:r w:rsidR="001F0831" w:rsidRPr="002C674E">
              <w:rPr>
                <w:b/>
                <w:sz w:val="16"/>
                <w:szCs w:val="16"/>
              </w:rPr>
              <w:instrText xml:space="preserve"> REF _Ref486087038 \r \h </w:instrText>
            </w:r>
            <w:r w:rsidR="002C674E">
              <w:rPr>
                <w:b/>
                <w:sz w:val="16"/>
                <w:szCs w:val="16"/>
              </w:rPr>
              <w:instrText xml:space="preserve"> \* MERGEFORMAT </w:instrText>
            </w:r>
            <w:r w:rsidR="001F0831" w:rsidRPr="002C674E">
              <w:rPr>
                <w:b/>
                <w:sz w:val="16"/>
                <w:szCs w:val="16"/>
              </w:rPr>
            </w:r>
            <w:r w:rsidR="001F0831" w:rsidRPr="002C674E">
              <w:rPr>
                <w:b/>
                <w:sz w:val="16"/>
                <w:szCs w:val="16"/>
              </w:rPr>
              <w:fldChar w:fldCharType="separate"/>
            </w:r>
            <w:r w:rsidR="00C43128">
              <w:rPr>
                <w:b/>
                <w:sz w:val="16"/>
                <w:szCs w:val="16"/>
              </w:rPr>
              <w:t>IG2</w:t>
            </w:r>
            <w:r w:rsidR="001F0831" w:rsidRPr="002C674E">
              <w:rPr>
                <w:b/>
                <w:sz w:val="16"/>
                <w:szCs w:val="16"/>
              </w:rPr>
              <w:fldChar w:fldCharType="end"/>
            </w:r>
            <w:r w:rsidRPr="002C674E">
              <w:rPr>
                <w:b/>
                <w:sz w:val="16"/>
                <w:szCs w:val="16"/>
              </w:rPr>
              <w:t>)</w:t>
            </w:r>
          </w:p>
        </w:tc>
        <w:tc>
          <w:tcPr>
            <w:tcW w:w="1588" w:type="dxa"/>
            <w:tcBorders>
              <w:top w:val="single" w:sz="4" w:space="0" w:color="auto"/>
              <w:left w:val="single" w:sz="4" w:space="0" w:color="auto"/>
              <w:bottom w:val="single" w:sz="4" w:space="0" w:color="auto"/>
              <w:right w:val="single" w:sz="4" w:space="0" w:color="auto"/>
            </w:tcBorders>
          </w:tcPr>
          <w:p w14:paraId="6C3937CE" w14:textId="77777777" w:rsidR="00D11E93" w:rsidRPr="002C674E" w:rsidRDefault="00B97295" w:rsidP="006F2D48">
            <w:pPr>
              <w:pStyle w:val="NumPlain1"/>
              <w:numPr>
                <w:ilvl w:val="0"/>
                <w:numId w:val="0"/>
              </w:numPr>
              <w:spacing w:before="60" w:after="60"/>
              <w:rPr>
                <w:sz w:val="16"/>
                <w:szCs w:val="16"/>
              </w:rPr>
            </w:pPr>
            <w:r w:rsidRPr="002C674E">
              <w:rPr>
                <w:i/>
                <w:sz w:val="16"/>
                <w:szCs w:val="16"/>
              </w:rPr>
              <w:t>Conclusion</w:t>
            </w:r>
            <w:r w:rsidRPr="002C674E">
              <w:rPr>
                <w:sz w:val="16"/>
                <w:szCs w:val="16"/>
              </w:rPr>
              <w:t xml:space="preserve"> (based on analysis below) –</w:t>
            </w:r>
          </w:p>
          <w:p w14:paraId="7D927347" w14:textId="5BB8B545" w:rsidR="00FD6163" w:rsidRPr="002C674E" w:rsidRDefault="00FD6163" w:rsidP="006F2D48">
            <w:pPr>
              <w:pStyle w:val="NumPlain1"/>
              <w:numPr>
                <w:ilvl w:val="0"/>
                <w:numId w:val="0"/>
              </w:numPr>
              <w:spacing w:before="60" w:after="60"/>
              <w:rPr>
                <w:sz w:val="16"/>
                <w:szCs w:val="16"/>
              </w:rPr>
            </w:pPr>
            <w:r w:rsidRPr="002C674E">
              <w:rPr>
                <w:b/>
                <w:sz w:val="16"/>
                <w:szCs w:val="16"/>
              </w:rPr>
              <w:t>Outside</w:t>
            </w:r>
            <w:r w:rsidR="00BF4892" w:rsidRPr="002C674E">
              <w:rPr>
                <w:sz w:val="16"/>
                <w:szCs w:val="16"/>
              </w:rPr>
              <w:t xml:space="preserve"> the</w:t>
            </w:r>
            <w:r w:rsidRPr="002C674E">
              <w:rPr>
                <w:sz w:val="16"/>
                <w:szCs w:val="16"/>
              </w:rPr>
              <w:t xml:space="preserve"> scope of AASB</w:t>
            </w:r>
            <w:r w:rsidR="0001173F" w:rsidRPr="002C674E">
              <w:rPr>
                <w:sz w:val="16"/>
                <w:szCs w:val="16"/>
              </w:rPr>
              <w:t> </w:t>
            </w:r>
            <w:r w:rsidR="005F6667">
              <w:rPr>
                <w:sz w:val="16"/>
                <w:szCs w:val="16"/>
              </w:rPr>
              <w:t>1059</w:t>
            </w:r>
            <w:r w:rsidR="00D11E93" w:rsidRPr="002C674E">
              <w:rPr>
                <w:sz w:val="16"/>
                <w:szCs w:val="16"/>
              </w:rPr>
              <w:t xml:space="preserve"> and grantor controls the asset</w:t>
            </w:r>
            <w:r w:rsidR="0001173F" w:rsidRPr="002C674E">
              <w:rPr>
                <w:sz w:val="16"/>
                <w:szCs w:val="16"/>
              </w:rPr>
              <w:t>.</w:t>
            </w:r>
          </w:p>
        </w:tc>
        <w:tc>
          <w:tcPr>
            <w:tcW w:w="2160" w:type="dxa"/>
            <w:tcBorders>
              <w:top w:val="single" w:sz="4" w:space="0" w:color="auto"/>
              <w:left w:val="single" w:sz="4" w:space="0" w:color="auto"/>
              <w:bottom w:val="single" w:sz="4" w:space="0" w:color="auto"/>
              <w:right w:val="single" w:sz="4" w:space="0" w:color="auto"/>
            </w:tcBorders>
          </w:tcPr>
          <w:p w14:paraId="50D2A425" w14:textId="77777777" w:rsidR="00D11E93" w:rsidRPr="002C674E" w:rsidRDefault="00B97295" w:rsidP="002C07BB">
            <w:pPr>
              <w:pStyle w:val="NumPlain1"/>
              <w:numPr>
                <w:ilvl w:val="0"/>
                <w:numId w:val="0"/>
              </w:numPr>
              <w:spacing w:before="60" w:after="60"/>
              <w:rPr>
                <w:sz w:val="16"/>
                <w:szCs w:val="16"/>
              </w:rPr>
            </w:pPr>
            <w:r w:rsidRPr="002C674E">
              <w:rPr>
                <w:i/>
                <w:sz w:val="16"/>
                <w:szCs w:val="16"/>
              </w:rPr>
              <w:t>Conclusion</w:t>
            </w:r>
            <w:r w:rsidRPr="002C674E">
              <w:rPr>
                <w:sz w:val="16"/>
                <w:szCs w:val="16"/>
              </w:rPr>
              <w:t xml:space="preserve"> (based on analysis below) –</w:t>
            </w:r>
          </w:p>
          <w:p w14:paraId="7D927348" w14:textId="4F9CCBE0" w:rsidR="00FD6163" w:rsidRPr="002C674E" w:rsidRDefault="00257DF7" w:rsidP="002C07BB">
            <w:pPr>
              <w:pStyle w:val="NumPlain1"/>
              <w:numPr>
                <w:ilvl w:val="0"/>
                <w:numId w:val="0"/>
              </w:numPr>
              <w:spacing w:before="60" w:after="60"/>
              <w:rPr>
                <w:sz w:val="16"/>
                <w:szCs w:val="16"/>
              </w:rPr>
            </w:pPr>
            <w:r w:rsidRPr="002C674E">
              <w:rPr>
                <w:b/>
                <w:sz w:val="16"/>
                <w:szCs w:val="16"/>
              </w:rPr>
              <w:t>Depend</w:t>
            </w:r>
            <w:r w:rsidR="002C07BB" w:rsidRPr="002C674E">
              <w:rPr>
                <w:b/>
                <w:sz w:val="16"/>
                <w:szCs w:val="16"/>
              </w:rPr>
              <w:t>ing</w:t>
            </w:r>
            <w:r w:rsidRPr="002C674E">
              <w:rPr>
                <w:sz w:val="16"/>
                <w:szCs w:val="16"/>
              </w:rPr>
              <w:t xml:space="preserve"> on </w:t>
            </w:r>
            <w:r w:rsidR="004D6CA0" w:rsidRPr="002C674E">
              <w:rPr>
                <w:sz w:val="16"/>
                <w:szCs w:val="16"/>
              </w:rPr>
              <w:t>terms</w:t>
            </w:r>
            <w:r w:rsidRPr="002C674E">
              <w:rPr>
                <w:sz w:val="16"/>
                <w:szCs w:val="16"/>
              </w:rPr>
              <w:t xml:space="preserve"> of arrangement, </w:t>
            </w:r>
            <w:r w:rsidR="00DC04F9" w:rsidRPr="002C674E">
              <w:rPr>
                <w:sz w:val="16"/>
                <w:szCs w:val="16"/>
              </w:rPr>
              <w:t>can be</w:t>
            </w:r>
            <w:r w:rsidRPr="002C674E">
              <w:rPr>
                <w:sz w:val="16"/>
                <w:szCs w:val="16"/>
              </w:rPr>
              <w:t xml:space="preserve"> o</w:t>
            </w:r>
            <w:r w:rsidR="00FD6163" w:rsidRPr="002C674E">
              <w:rPr>
                <w:sz w:val="16"/>
                <w:szCs w:val="16"/>
              </w:rPr>
              <w:t xml:space="preserve">utside </w:t>
            </w:r>
            <w:r w:rsidRPr="002C674E">
              <w:rPr>
                <w:sz w:val="16"/>
                <w:szCs w:val="16"/>
              </w:rPr>
              <w:t xml:space="preserve">or within </w:t>
            </w:r>
            <w:r w:rsidR="00BF4892" w:rsidRPr="002C674E">
              <w:rPr>
                <w:sz w:val="16"/>
                <w:szCs w:val="16"/>
              </w:rPr>
              <w:t xml:space="preserve">the </w:t>
            </w:r>
            <w:r w:rsidR="00FD6163" w:rsidRPr="002C674E">
              <w:rPr>
                <w:sz w:val="16"/>
                <w:szCs w:val="16"/>
              </w:rPr>
              <w:t>scope of AASB</w:t>
            </w:r>
            <w:r w:rsidR="0001173F" w:rsidRPr="002C674E">
              <w:rPr>
                <w:sz w:val="16"/>
                <w:szCs w:val="16"/>
              </w:rPr>
              <w:t> </w:t>
            </w:r>
            <w:r w:rsidR="005F6667">
              <w:rPr>
                <w:sz w:val="16"/>
                <w:szCs w:val="16"/>
              </w:rPr>
              <w:t>1059</w:t>
            </w:r>
            <w:r w:rsidR="004572A8" w:rsidRPr="002C674E">
              <w:rPr>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B9A10" w14:textId="77777777" w:rsidR="00D11E93" w:rsidRPr="002C674E" w:rsidRDefault="00B97295" w:rsidP="0001173F">
            <w:pPr>
              <w:pStyle w:val="NumPlain1"/>
              <w:numPr>
                <w:ilvl w:val="0"/>
                <w:numId w:val="0"/>
              </w:numPr>
              <w:spacing w:before="60" w:after="60"/>
              <w:rPr>
                <w:sz w:val="16"/>
                <w:szCs w:val="16"/>
              </w:rPr>
            </w:pPr>
            <w:r w:rsidRPr="002C674E">
              <w:rPr>
                <w:i/>
                <w:sz w:val="16"/>
                <w:szCs w:val="16"/>
              </w:rPr>
              <w:t>Conclusion</w:t>
            </w:r>
            <w:r w:rsidRPr="002C674E">
              <w:rPr>
                <w:sz w:val="16"/>
                <w:szCs w:val="16"/>
              </w:rPr>
              <w:t xml:space="preserve"> (based on analysis below) –</w:t>
            </w:r>
          </w:p>
          <w:p w14:paraId="7D927349" w14:textId="1A1B9725" w:rsidR="00FD6163" w:rsidRPr="002C674E" w:rsidRDefault="00FD6163" w:rsidP="0001173F">
            <w:pPr>
              <w:pStyle w:val="NumPlain1"/>
              <w:numPr>
                <w:ilvl w:val="0"/>
                <w:numId w:val="0"/>
              </w:numPr>
              <w:spacing w:before="60" w:after="60"/>
              <w:rPr>
                <w:color w:val="006600"/>
                <w:sz w:val="16"/>
                <w:szCs w:val="16"/>
              </w:rPr>
            </w:pPr>
            <w:r w:rsidRPr="002C674E">
              <w:rPr>
                <w:b/>
                <w:sz w:val="16"/>
                <w:szCs w:val="16"/>
              </w:rPr>
              <w:t>Within</w:t>
            </w:r>
            <w:r w:rsidR="00BF4892" w:rsidRPr="002C674E">
              <w:rPr>
                <w:sz w:val="16"/>
                <w:szCs w:val="16"/>
              </w:rPr>
              <w:t xml:space="preserve"> the</w:t>
            </w:r>
            <w:r w:rsidRPr="002C674E">
              <w:rPr>
                <w:sz w:val="16"/>
                <w:szCs w:val="16"/>
              </w:rPr>
              <w:t xml:space="preserve"> scope of AASB</w:t>
            </w:r>
            <w:r w:rsidR="0001173F" w:rsidRPr="002C674E">
              <w:rPr>
                <w:sz w:val="16"/>
                <w:szCs w:val="16"/>
              </w:rPr>
              <w:t> </w:t>
            </w:r>
            <w:r w:rsidR="005F6667">
              <w:rPr>
                <w:sz w:val="16"/>
                <w:szCs w:val="16"/>
              </w:rPr>
              <w:t>1059</w:t>
            </w:r>
            <w:r w:rsidR="00B97295" w:rsidRPr="002C674E">
              <w:rPr>
                <w:sz w:val="16"/>
                <w:szCs w:val="16"/>
              </w:rPr>
              <w:t xml:space="preserve"> and grantor controls the asset</w:t>
            </w:r>
            <w:r w:rsidR="0001173F" w:rsidRPr="002C674E">
              <w:rPr>
                <w:sz w:val="16"/>
                <w:szCs w:val="16"/>
              </w:rPr>
              <w:t>.</w:t>
            </w:r>
          </w:p>
        </w:tc>
        <w:tc>
          <w:tcPr>
            <w:tcW w:w="1843" w:type="dxa"/>
            <w:tcBorders>
              <w:top w:val="single" w:sz="4" w:space="0" w:color="auto"/>
              <w:left w:val="single" w:sz="4" w:space="0" w:color="auto"/>
              <w:bottom w:val="single" w:sz="4" w:space="0" w:color="auto"/>
              <w:right w:val="single" w:sz="4" w:space="0" w:color="auto"/>
            </w:tcBorders>
          </w:tcPr>
          <w:p w14:paraId="76D02B99" w14:textId="77777777" w:rsidR="00D11E93" w:rsidRPr="002C674E" w:rsidRDefault="00B97295" w:rsidP="0001173F">
            <w:pPr>
              <w:pStyle w:val="NumPlain1"/>
              <w:numPr>
                <w:ilvl w:val="0"/>
                <w:numId w:val="0"/>
              </w:numPr>
              <w:spacing w:before="60" w:after="60"/>
              <w:rPr>
                <w:sz w:val="16"/>
                <w:szCs w:val="16"/>
              </w:rPr>
            </w:pPr>
            <w:r w:rsidRPr="002C674E">
              <w:rPr>
                <w:i/>
                <w:sz w:val="16"/>
                <w:szCs w:val="16"/>
              </w:rPr>
              <w:t>Conclusion</w:t>
            </w:r>
            <w:r w:rsidRPr="002C674E">
              <w:rPr>
                <w:sz w:val="16"/>
                <w:szCs w:val="16"/>
              </w:rPr>
              <w:t xml:space="preserve"> (based on analysis below) –</w:t>
            </w:r>
          </w:p>
          <w:p w14:paraId="7D92734A" w14:textId="2CF8403E" w:rsidR="00FD6163" w:rsidRPr="002C674E" w:rsidRDefault="00FD6163" w:rsidP="0001173F">
            <w:pPr>
              <w:pStyle w:val="NumPlain1"/>
              <w:numPr>
                <w:ilvl w:val="0"/>
                <w:numId w:val="0"/>
              </w:numPr>
              <w:spacing w:before="60" w:after="60"/>
              <w:rPr>
                <w:sz w:val="16"/>
                <w:szCs w:val="16"/>
              </w:rPr>
            </w:pPr>
            <w:r w:rsidRPr="002C674E">
              <w:rPr>
                <w:b/>
                <w:sz w:val="16"/>
                <w:szCs w:val="16"/>
              </w:rPr>
              <w:t>Outside</w:t>
            </w:r>
            <w:r w:rsidRPr="002C674E">
              <w:rPr>
                <w:sz w:val="16"/>
                <w:szCs w:val="16"/>
              </w:rPr>
              <w:t xml:space="preserve"> </w:t>
            </w:r>
            <w:r w:rsidR="00BF4892" w:rsidRPr="002C674E">
              <w:rPr>
                <w:sz w:val="16"/>
                <w:szCs w:val="16"/>
              </w:rPr>
              <w:t xml:space="preserve">the </w:t>
            </w:r>
            <w:r w:rsidRPr="002C674E">
              <w:rPr>
                <w:sz w:val="16"/>
                <w:szCs w:val="16"/>
              </w:rPr>
              <w:t>scope of AASB</w:t>
            </w:r>
            <w:r w:rsidR="0001173F" w:rsidRPr="002C674E">
              <w:rPr>
                <w:sz w:val="16"/>
                <w:szCs w:val="16"/>
              </w:rPr>
              <w:t> </w:t>
            </w:r>
            <w:r w:rsidR="005F6667">
              <w:rPr>
                <w:sz w:val="16"/>
                <w:szCs w:val="16"/>
              </w:rPr>
              <w:t>1059</w:t>
            </w:r>
            <w:r w:rsidR="00B97295" w:rsidRPr="002C674E">
              <w:rPr>
                <w:sz w:val="16"/>
                <w:szCs w:val="16"/>
              </w:rPr>
              <w:t xml:space="preserve"> and grantor does not control the asset</w:t>
            </w:r>
            <w:r w:rsidR="0001173F" w:rsidRPr="002C674E">
              <w:rPr>
                <w:sz w:val="16"/>
                <w:szCs w:val="16"/>
              </w:rPr>
              <w:t>.</w:t>
            </w:r>
          </w:p>
        </w:tc>
      </w:tr>
      <w:tr w:rsidR="00EC1DC0" w:rsidRPr="002C674E" w14:paraId="7D927352"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4C" w14:textId="06679ED3" w:rsidR="00EC1DC0" w:rsidRPr="002C674E" w:rsidRDefault="009A4483" w:rsidP="00B97295">
            <w:pPr>
              <w:pStyle w:val="NumPlain1"/>
              <w:numPr>
                <w:ilvl w:val="0"/>
                <w:numId w:val="0"/>
              </w:numPr>
              <w:spacing w:before="60" w:after="60"/>
              <w:rPr>
                <w:sz w:val="16"/>
                <w:szCs w:val="16"/>
              </w:rPr>
            </w:pPr>
            <w:r w:rsidRPr="002C674E">
              <w:rPr>
                <w:sz w:val="16"/>
                <w:szCs w:val="16"/>
              </w:rPr>
              <w:t xml:space="preserve">Operator provides public services related to the asset on behalf of the grantor </w:t>
            </w:r>
            <w:r w:rsidR="00B97295" w:rsidRPr="002C674E">
              <w:rPr>
                <w:sz w:val="16"/>
                <w:szCs w:val="16"/>
              </w:rPr>
              <w:t>and is</w:t>
            </w:r>
            <w:r w:rsidR="00EC1DC0" w:rsidRPr="002C674E">
              <w:rPr>
                <w:sz w:val="16"/>
                <w:szCs w:val="16"/>
              </w:rPr>
              <w:t xml:space="preserve"> responsible for at least some of the management of </w:t>
            </w:r>
            <w:r w:rsidR="00971280" w:rsidRPr="002C674E">
              <w:rPr>
                <w:sz w:val="16"/>
                <w:szCs w:val="16"/>
              </w:rPr>
              <w:t xml:space="preserve">the </w:t>
            </w:r>
            <w:r w:rsidR="00EC1DC0" w:rsidRPr="002C674E">
              <w:rPr>
                <w:sz w:val="16"/>
                <w:szCs w:val="16"/>
              </w:rPr>
              <w:t>asset (paragraph </w:t>
            </w:r>
            <w:r w:rsidR="00B97295" w:rsidRPr="002C674E">
              <w:rPr>
                <w:sz w:val="16"/>
                <w:szCs w:val="16"/>
              </w:rPr>
              <w:fldChar w:fldCharType="begin"/>
            </w:r>
            <w:r w:rsidR="00B97295" w:rsidRPr="002C674E">
              <w:rPr>
                <w:sz w:val="16"/>
                <w:szCs w:val="16"/>
              </w:rPr>
              <w:instrText xml:space="preserve"> REF _Ref486489833 \r \h </w:instrText>
            </w:r>
            <w:r w:rsidR="002C674E">
              <w:rPr>
                <w:sz w:val="16"/>
                <w:szCs w:val="16"/>
              </w:rPr>
              <w:instrText xml:space="preserve"> \* MERGEFORMAT </w:instrText>
            </w:r>
            <w:r w:rsidR="00B97295" w:rsidRPr="002C674E">
              <w:rPr>
                <w:sz w:val="16"/>
                <w:szCs w:val="16"/>
              </w:rPr>
            </w:r>
            <w:r w:rsidR="00B97295" w:rsidRPr="002C674E">
              <w:rPr>
                <w:sz w:val="16"/>
                <w:szCs w:val="16"/>
              </w:rPr>
              <w:fldChar w:fldCharType="separate"/>
            </w:r>
            <w:r w:rsidR="00C43128">
              <w:rPr>
                <w:sz w:val="16"/>
                <w:szCs w:val="16"/>
              </w:rPr>
              <w:t>B10</w:t>
            </w:r>
            <w:r w:rsidR="00B97295" w:rsidRPr="002C674E">
              <w:rPr>
                <w:sz w:val="16"/>
                <w:szCs w:val="16"/>
              </w:rPr>
              <w:fldChar w:fldCharType="end"/>
            </w:r>
            <w:r w:rsidR="00EC1DC0" w:rsidRPr="002C674E">
              <w:rPr>
                <w:sz w:val="16"/>
                <w:szCs w:val="16"/>
              </w:rPr>
              <w:t>)</w:t>
            </w:r>
            <w:r w:rsidR="00077714" w:rsidRPr="002C674E">
              <w:rPr>
                <w:sz w:val="16"/>
                <w:szCs w:val="16"/>
              </w:rPr>
              <w:t>?</w:t>
            </w:r>
          </w:p>
        </w:tc>
        <w:tc>
          <w:tcPr>
            <w:tcW w:w="1588" w:type="dxa"/>
            <w:tcBorders>
              <w:top w:val="single" w:sz="4" w:space="0" w:color="auto"/>
              <w:left w:val="single" w:sz="4" w:space="0" w:color="auto"/>
              <w:bottom w:val="single" w:sz="4" w:space="0" w:color="auto"/>
              <w:right w:val="single" w:sz="4" w:space="0" w:color="auto"/>
            </w:tcBorders>
          </w:tcPr>
          <w:p w14:paraId="7D92734D" w14:textId="77777777" w:rsidR="00EC1DC0" w:rsidRPr="002C674E" w:rsidRDefault="00EC1DC0" w:rsidP="00257DF7">
            <w:pPr>
              <w:pStyle w:val="NumPlain1"/>
              <w:numPr>
                <w:ilvl w:val="0"/>
                <w:numId w:val="0"/>
              </w:numPr>
              <w:spacing w:before="60" w:after="60"/>
              <w:rPr>
                <w:sz w:val="16"/>
                <w:szCs w:val="16"/>
              </w:rPr>
            </w:pPr>
            <w:r w:rsidRPr="002C674E">
              <w:rPr>
                <w:sz w:val="16"/>
                <w:szCs w:val="16"/>
              </w:rPr>
              <w:t xml:space="preserve">Operator provides construction services, </w:t>
            </w:r>
            <w:r w:rsidRPr="002C674E">
              <w:rPr>
                <w:b/>
                <w:sz w:val="16"/>
                <w:szCs w:val="16"/>
              </w:rPr>
              <w:t>not public services</w:t>
            </w:r>
            <w:r w:rsidRPr="002C674E">
              <w:rPr>
                <w:sz w:val="16"/>
                <w:szCs w:val="16"/>
              </w:rPr>
              <w:t>.</w:t>
            </w:r>
          </w:p>
          <w:p w14:paraId="7D92734E" w14:textId="77777777" w:rsidR="00EC1DC0" w:rsidRPr="002C674E" w:rsidRDefault="00EC1DC0" w:rsidP="00257DF7">
            <w:pPr>
              <w:pStyle w:val="NumPlain1"/>
              <w:numPr>
                <w:ilvl w:val="0"/>
                <w:numId w:val="0"/>
              </w:numPr>
              <w:spacing w:before="60" w:after="60"/>
              <w:rPr>
                <w:sz w:val="16"/>
                <w:szCs w:val="16"/>
              </w:rPr>
            </w:pPr>
            <w:r w:rsidRPr="002C674E">
              <w:rPr>
                <w:sz w:val="16"/>
                <w:szCs w:val="16"/>
              </w:rPr>
              <w:t xml:space="preserve">Operator provides management of asset and related services as </w:t>
            </w:r>
            <w:r w:rsidR="00077714" w:rsidRPr="002C674E">
              <w:rPr>
                <w:b/>
                <w:sz w:val="16"/>
                <w:szCs w:val="16"/>
              </w:rPr>
              <w:t>pre</w:t>
            </w:r>
            <w:r w:rsidRPr="002C674E">
              <w:rPr>
                <w:b/>
                <w:sz w:val="16"/>
                <w:szCs w:val="16"/>
              </w:rPr>
              <w:t>determined by the grantor</w:t>
            </w:r>
            <w:r w:rsidRPr="002C674E">
              <w:rPr>
                <w:sz w:val="16"/>
                <w:szCs w:val="16"/>
              </w:rPr>
              <w:t>.</w:t>
            </w:r>
          </w:p>
        </w:tc>
        <w:tc>
          <w:tcPr>
            <w:tcW w:w="2160" w:type="dxa"/>
            <w:tcBorders>
              <w:top w:val="single" w:sz="4" w:space="0" w:color="auto"/>
              <w:left w:val="single" w:sz="4" w:space="0" w:color="auto"/>
              <w:bottom w:val="single" w:sz="4" w:space="0" w:color="auto"/>
              <w:right w:val="single" w:sz="4" w:space="0" w:color="auto"/>
            </w:tcBorders>
          </w:tcPr>
          <w:p w14:paraId="7D92734F" w14:textId="77777777" w:rsidR="00EC1DC0" w:rsidRPr="002C674E" w:rsidRDefault="00EC1DC0" w:rsidP="00077714">
            <w:pPr>
              <w:pStyle w:val="NumPlain1"/>
              <w:numPr>
                <w:ilvl w:val="0"/>
                <w:numId w:val="0"/>
              </w:numPr>
              <w:spacing w:before="60" w:after="60"/>
              <w:rPr>
                <w:sz w:val="16"/>
                <w:szCs w:val="16"/>
              </w:rPr>
            </w:pPr>
            <w:r w:rsidRPr="002C674E">
              <w:rPr>
                <w:sz w:val="16"/>
                <w:szCs w:val="16"/>
              </w:rPr>
              <w:t xml:space="preserve">Operator involvement in the management of the asset and related services </w:t>
            </w:r>
            <w:r w:rsidRPr="002C674E">
              <w:rPr>
                <w:b/>
                <w:sz w:val="16"/>
                <w:szCs w:val="16"/>
              </w:rPr>
              <w:t>varies</w:t>
            </w:r>
            <w:r w:rsidRPr="002C674E">
              <w:rPr>
                <w:sz w:val="16"/>
                <w:szCs w:val="16"/>
              </w:rPr>
              <w:t>, depending on the lease terms</w:t>
            </w:r>
            <w:r w:rsidR="00077714" w:rsidRPr="002C674E">
              <w:rPr>
                <w:sz w:val="16"/>
                <w:szCs w:val="16"/>
              </w:rPr>
              <w:t xml:space="preserve"> </w:t>
            </w:r>
            <w:r w:rsidRPr="002C674E">
              <w:rPr>
                <w:sz w:val="16"/>
                <w:szCs w:val="16"/>
              </w:rPr>
              <w:t xml:space="preserve">(ie operator may have </w:t>
            </w:r>
            <w:r w:rsidRPr="002C674E">
              <w:rPr>
                <w:b/>
                <w:sz w:val="16"/>
                <w:szCs w:val="16"/>
              </w:rPr>
              <w:t xml:space="preserve">full involvement or </w:t>
            </w:r>
            <w:r w:rsidR="00F33914" w:rsidRPr="002C674E">
              <w:rPr>
                <w:b/>
                <w:sz w:val="16"/>
                <w:szCs w:val="16"/>
              </w:rPr>
              <w:t xml:space="preserve">be </w:t>
            </w:r>
            <w:r w:rsidRPr="002C674E">
              <w:rPr>
                <w:b/>
                <w:sz w:val="16"/>
                <w:szCs w:val="16"/>
              </w:rPr>
              <w:t>limited</w:t>
            </w:r>
            <w:r w:rsidRPr="002C674E">
              <w:rPr>
                <w:sz w:val="16"/>
                <w:szCs w:val="16"/>
              </w:rPr>
              <w:t xml:space="preserve"> to facility management pre-determined by the grantor).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50" w14:textId="77777777" w:rsidR="00EC1DC0" w:rsidRPr="002C674E" w:rsidRDefault="00EC1DC0" w:rsidP="00504E4F">
            <w:pPr>
              <w:pStyle w:val="NumPlain1"/>
              <w:numPr>
                <w:ilvl w:val="0"/>
                <w:numId w:val="0"/>
              </w:numPr>
              <w:spacing w:before="60" w:after="60"/>
              <w:rPr>
                <w:sz w:val="16"/>
                <w:szCs w:val="16"/>
              </w:rPr>
            </w:pPr>
            <w:r w:rsidRPr="002C674E">
              <w:rPr>
                <w:sz w:val="16"/>
                <w:szCs w:val="16"/>
              </w:rPr>
              <w:t xml:space="preserve">Operator involved in management of service concession asset </w:t>
            </w:r>
            <w:r w:rsidR="002B58F6" w:rsidRPr="002C674E">
              <w:rPr>
                <w:sz w:val="16"/>
                <w:szCs w:val="16"/>
              </w:rPr>
              <w:t xml:space="preserve">that is </w:t>
            </w:r>
            <w:r w:rsidRPr="002C674E">
              <w:rPr>
                <w:b/>
                <w:sz w:val="16"/>
                <w:szCs w:val="16"/>
              </w:rPr>
              <w:t>not predetermined by grantor</w:t>
            </w:r>
            <w:r w:rsidR="00077714" w:rsidRPr="002C674E">
              <w:rPr>
                <w:b/>
                <w:sz w:val="16"/>
                <w:szCs w:val="16"/>
              </w:rPr>
              <w:t xml:space="preserve"> </w:t>
            </w:r>
            <w:r w:rsidRPr="002C674E">
              <w:rPr>
                <w:sz w:val="16"/>
                <w:szCs w:val="16"/>
              </w:rPr>
              <w:t xml:space="preserve">(ie operator has discretion how </w:t>
            </w:r>
            <w:r w:rsidR="002B58F6" w:rsidRPr="002C674E">
              <w:rPr>
                <w:sz w:val="16"/>
                <w:szCs w:val="16"/>
              </w:rPr>
              <w:t xml:space="preserve">the </w:t>
            </w:r>
            <w:r w:rsidRPr="002C674E">
              <w:rPr>
                <w:sz w:val="16"/>
                <w:szCs w:val="16"/>
              </w:rPr>
              <w:t>asset is managed).</w:t>
            </w:r>
          </w:p>
        </w:tc>
        <w:tc>
          <w:tcPr>
            <w:tcW w:w="1843" w:type="dxa"/>
            <w:tcBorders>
              <w:top w:val="single" w:sz="4" w:space="0" w:color="auto"/>
              <w:left w:val="single" w:sz="4" w:space="0" w:color="auto"/>
              <w:bottom w:val="single" w:sz="4" w:space="0" w:color="auto"/>
              <w:right w:val="single" w:sz="4" w:space="0" w:color="auto"/>
            </w:tcBorders>
          </w:tcPr>
          <w:p w14:paraId="7D927351" w14:textId="77869996" w:rsidR="00EC1DC0" w:rsidRPr="002C674E" w:rsidRDefault="00B97295" w:rsidP="00504E4F">
            <w:pPr>
              <w:pStyle w:val="NumPlain1"/>
              <w:numPr>
                <w:ilvl w:val="0"/>
                <w:numId w:val="0"/>
              </w:numPr>
              <w:spacing w:before="60" w:after="60"/>
              <w:rPr>
                <w:sz w:val="16"/>
                <w:szCs w:val="16"/>
              </w:rPr>
            </w:pPr>
            <w:r w:rsidRPr="002C674E">
              <w:rPr>
                <w:sz w:val="16"/>
                <w:szCs w:val="16"/>
              </w:rPr>
              <w:t>Operator</w:t>
            </w:r>
            <w:r w:rsidR="00EC1DC0" w:rsidRPr="002C674E">
              <w:rPr>
                <w:sz w:val="16"/>
                <w:szCs w:val="16"/>
              </w:rPr>
              <w:t xml:space="preserve"> </w:t>
            </w:r>
            <w:r w:rsidR="00504E4F" w:rsidRPr="002C674E">
              <w:rPr>
                <w:b/>
                <w:sz w:val="16"/>
                <w:szCs w:val="16"/>
              </w:rPr>
              <w:t xml:space="preserve">does </w:t>
            </w:r>
            <w:r w:rsidR="00EC1DC0" w:rsidRPr="002C674E">
              <w:rPr>
                <w:b/>
                <w:sz w:val="16"/>
                <w:szCs w:val="16"/>
              </w:rPr>
              <w:t>no</w:t>
            </w:r>
            <w:r w:rsidR="00504E4F" w:rsidRPr="002C674E">
              <w:rPr>
                <w:b/>
                <w:sz w:val="16"/>
                <w:szCs w:val="16"/>
              </w:rPr>
              <w:t>t</w:t>
            </w:r>
            <w:r w:rsidR="00EC1DC0" w:rsidRPr="002C674E">
              <w:rPr>
                <w:sz w:val="16"/>
                <w:szCs w:val="16"/>
              </w:rPr>
              <w:t xml:space="preserve"> </w:t>
            </w:r>
            <w:r w:rsidR="00504E4F" w:rsidRPr="002C674E">
              <w:rPr>
                <w:sz w:val="16"/>
                <w:szCs w:val="16"/>
              </w:rPr>
              <w:t>provide</w:t>
            </w:r>
            <w:r w:rsidR="00EC1DC0" w:rsidRPr="002C674E">
              <w:rPr>
                <w:sz w:val="16"/>
                <w:szCs w:val="16"/>
              </w:rPr>
              <w:t xml:space="preserve"> public services</w:t>
            </w:r>
            <w:r w:rsidR="00EC1DC0" w:rsidRPr="002C674E">
              <w:rPr>
                <w:b/>
                <w:sz w:val="16"/>
                <w:szCs w:val="16"/>
              </w:rPr>
              <w:t xml:space="preserve"> on behalf of the grantor</w:t>
            </w:r>
            <w:r w:rsidRPr="002C674E">
              <w:rPr>
                <w:sz w:val="16"/>
                <w:szCs w:val="16"/>
              </w:rPr>
              <w:t>, despite any protective rights of the grantor</w:t>
            </w:r>
            <w:r w:rsidR="00EC1DC0" w:rsidRPr="002C674E">
              <w:rPr>
                <w:sz w:val="16"/>
                <w:szCs w:val="16"/>
              </w:rPr>
              <w:t>.</w:t>
            </w:r>
          </w:p>
        </w:tc>
      </w:tr>
      <w:tr w:rsidR="00B97295" w:rsidRPr="002C674E" w14:paraId="7D927358" w14:textId="77777777" w:rsidTr="00006562">
        <w:trPr>
          <w:cantSplit/>
        </w:trPr>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53" w14:textId="7F49F396" w:rsidR="00B97295" w:rsidRPr="002C674E" w:rsidRDefault="00B97295" w:rsidP="00C36AFC">
            <w:pPr>
              <w:pStyle w:val="NumPlain1"/>
              <w:numPr>
                <w:ilvl w:val="0"/>
                <w:numId w:val="0"/>
              </w:numPr>
              <w:spacing w:before="60" w:after="60"/>
              <w:rPr>
                <w:b/>
                <w:sz w:val="16"/>
                <w:szCs w:val="16"/>
              </w:rPr>
            </w:pPr>
            <w:bookmarkStart w:id="108" w:name="_GoBack" w:colFirst="0" w:colLast="4"/>
            <w:r w:rsidRPr="002C674E">
              <w:rPr>
                <w:b/>
                <w:sz w:val="16"/>
                <w:szCs w:val="16"/>
              </w:rPr>
              <w:t xml:space="preserve">Determining whether grantor controls the asset for recognition as service concession asset (paragraph </w:t>
            </w:r>
            <w:r w:rsidRPr="002C674E">
              <w:rPr>
                <w:b/>
                <w:sz w:val="16"/>
                <w:szCs w:val="16"/>
              </w:rPr>
              <w:fldChar w:fldCharType="begin"/>
            </w:r>
            <w:r w:rsidRPr="002C674E">
              <w:rPr>
                <w:b/>
                <w:sz w:val="16"/>
                <w:szCs w:val="16"/>
              </w:rPr>
              <w:instrText xml:space="preserve"> REF _Ref475619556 \r \h  \* MERGEFORMAT </w:instrText>
            </w:r>
            <w:r w:rsidRPr="002C674E">
              <w:rPr>
                <w:b/>
                <w:sz w:val="16"/>
                <w:szCs w:val="16"/>
              </w:rPr>
            </w:r>
            <w:r w:rsidRPr="002C674E">
              <w:rPr>
                <w:b/>
                <w:sz w:val="16"/>
                <w:szCs w:val="16"/>
              </w:rPr>
              <w:fldChar w:fldCharType="separate"/>
            </w:r>
            <w:r w:rsidR="00C43128">
              <w:rPr>
                <w:b/>
                <w:sz w:val="16"/>
                <w:szCs w:val="16"/>
              </w:rPr>
              <w:t>5</w:t>
            </w:r>
            <w:r w:rsidRPr="002C674E">
              <w:rPr>
                <w:b/>
                <w:sz w:val="16"/>
                <w:szCs w:val="16"/>
              </w:rPr>
              <w:fldChar w:fldCharType="end"/>
            </w:r>
            <w:r w:rsidRPr="002C674E">
              <w:rPr>
                <w:b/>
                <w:sz w:val="16"/>
                <w:szCs w:val="16"/>
              </w:rPr>
              <w:t>(a))</w:t>
            </w:r>
          </w:p>
        </w:tc>
        <w:tc>
          <w:tcPr>
            <w:tcW w:w="1588" w:type="dxa"/>
            <w:tcBorders>
              <w:top w:val="single" w:sz="4" w:space="0" w:color="auto"/>
              <w:left w:val="single" w:sz="4" w:space="0" w:color="auto"/>
              <w:bottom w:val="single" w:sz="4" w:space="0" w:color="auto"/>
              <w:right w:val="single" w:sz="4" w:space="0" w:color="auto"/>
            </w:tcBorders>
          </w:tcPr>
          <w:p w14:paraId="7D927354" w14:textId="1B569F91" w:rsidR="00B97295" w:rsidRPr="002C674E" w:rsidRDefault="00B97295" w:rsidP="008D65AD">
            <w:pPr>
              <w:pStyle w:val="NumPlain1"/>
              <w:numPr>
                <w:ilvl w:val="0"/>
                <w:numId w:val="0"/>
              </w:numPr>
              <w:spacing w:before="60" w:after="60"/>
              <w:rPr>
                <w:color w:val="006600"/>
                <w:sz w:val="16"/>
                <w:szCs w:val="16"/>
              </w:rPr>
            </w:pPr>
            <w:r w:rsidRPr="002C674E">
              <w:rPr>
                <w:b/>
                <w:sz w:val="16"/>
                <w:szCs w:val="16"/>
              </w:rPr>
              <w:t>Grantor</w:t>
            </w:r>
            <w:r w:rsidRPr="002C674E">
              <w:rPr>
                <w:sz w:val="16"/>
                <w:szCs w:val="16"/>
              </w:rPr>
              <w:t xml:space="preserve"> controls or regulates all three aspects.</w:t>
            </w:r>
          </w:p>
        </w:tc>
        <w:tc>
          <w:tcPr>
            <w:tcW w:w="2160" w:type="dxa"/>
            <w:tcBorders>
              <w:top w:val="single" w:sz="4" w:space="0" w:color="auto"/>
              <w:left w:val="single" w:sz="4" w:space="0" w:color="auto"/>
              <w:bottom w:val="single" w:sz="4" w:space="0" w:color="auto"/>
              <w:right w:val="single" w:sz="4" w:space="0" w:color="auto"/>
            </w:tcBorders>
          </w:tcPr>
          <w:p w14:paraId="7D927355" w14:textId="1A20B0F2" w:rsidR="00B97295" w:rsidRPr="002C674E" w:rsidRDefault="00B97295" w:rsidP="005A1BEF">
            <w:pPr>
              <w:pStyle w:val="NumPlain1"/>
              <w:numPr>
                <w:ilvl w:val="0"/>
                <w:numId w:val="0"/>
              </w:numPr>
              <w:spacing w:before="60" w:after="60"/>
              <w:rPr>
                <w:sz w:val="16"/>
                <w:szCs w:val="16"/>
              </w:rPr>
            </w:pPr>
            <w:r w:rsidRPr="002C674E">
              <w:rPr>
                <w:b/>
                <w:sz w:val="16"/>
                <w:szCs w:val="16"/>
              </w:rPr>
              <w:t xml:space="preserve">Operator </w:t>
            </w:r>
            <w:r w:rsidRPr="002C674E">
              <w:rPr>
                <w:sz w:val="16"/>
                <w:szCs w:val="16"/>
              </w:rPr>
              <w:t xml:space="preserve">typically controls all three aspects in a lease, but </w:t>
            </w:r>
            <w:r w:rsidRPr="002C674E">
              <w:rPr>
                <w:b/>
                <w:sz w:val="16"/>
                <w:szCs w:val="16"/>
              </w:rPr>
              <w:t>grantor might</w:t>
            </w:r>
            <w:r w:rsidRPr="002C674E">
              <w:rPr>
                <w:sz w:val="16"/>
                <w:szCs w:val="16"/>
              </w:rPr>
              <w:t xml:space="preserve"> control or regulate some.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56" w14:textId="77777777" w:rsidR="00B97295" w:rsidRPr="002C674E" w:rsidRDefault="00B97295" w:rsidP="00635B98">
            <w:pPr>
              <w:pStyle w:val="NumPlain1"/>
              <w:numPr>
                <w:ilvl w:val="0"/>
                <w:numId w:val="0"/>
              </w:numPr>
              <w:spacing w:before="60" w:after="60"/>
              <w:rPr>
                <w:sz w:val="16"/>
                <w:szCs w:val="16"/>
              </w:rPr>
            </w:pPr>
            <w:r w:rsidRPr="002C674E">
              <w:rPr>
                <w:b/>
                <w:sz w:val="16"/>
                <w:szCs w:val="16"/>
              </w:rPr>
              <w:t>Grantor</w:t>
            </w:r>
            <w:r w:rsidRPr="002C674E">
              <w:rPr>
                <w:sz w:val="16"/>
                <w:szCs w:val="16"/>
              </w:rPr>
              <w:t xml:space="preserve"> controls or regulates all three aspects.</w:t>
            </w:r>
          </w:p>
        </w:tc>
        <w:tc>
          <w:tcPr>
            <w:tcW w:w="1843" w:type="dxa"/>
            <w:tcBorders>
              <w:top w:val="single" w:sz="4" w:space="0" w:color="auto"/>
              <w:left w:val="single" w:sz="4" w:space="0" w:color="auto"/>
              <w:bottom w:val="single" w:sz="4" w:space="0" w:color="auto"/>
              <w:right w:val="single" w:sz="4" w:space="0" w:color="auto"/>
            </w:tcBorders>
          </w:tcPr>
          <w:p w14:paraId="7D927357" w14:textId="204B56F4" w:rsidR="00B97295" w:rsidRPr="002C674E" w:rsidRDefault="00B97295" w:rsidP="00483D1C">
            <w:pPr>
              <w:pStyle w:val="NumPlain1"/>
              <w:numPr>
                <w:ilvl w:val="0"/>
                <w:numId w:val="0"/>
              </w:numPr>
              <w:spacing w:before="60" w:after="60"/>
              <w:rPr>
                <w:sz w:val="16"/>
                <w:szCs w:val="16"/>
              </w:rPr>
            </w:pPr>
            <w:r w:rsidRPr="002C674E">
              <w:rPr>
                <w:b/>
                <w:sz w:val="16"/>
                <w:szCs w:val="16"/>
              </w:rPr>
              <w:t xml:space="preserve">Grantor might </w:t>
            </w:r>
            <w:r w:rsidRPr="002C674E">
              <w:rPr>
                <w:sz w:val="16"/>
                <w:szCs w:val="16"/>
              </w:rPr>
              <w:t>control or regulate any of these aspects (especially pricing) but not all three aspects.</w:t>
            </w:r>
          </w:p>
        </w:tc>
      </w:tr>
      <w:bookmarkEnd w:id="108"/>
      <w:tr w:rsidR="00B97295" w:rsidRPr="002C674E" w14:paraId="7D92735E"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59" w14:textId="77777777" w:rsidR="00B97295" w:rsidRPr="002C674E" w:rsidRDefault="00B97295" w:rsidP="00D1738B">
            <w:pPr>
              <w:pStyle w:val="NumPlain1"/>
              <w:numPr>
                <w:ilvl w:val="0"/>
                <w:numId w:val="0"/>
              </w:numPr>
              <w:spacing w:before="60" w:after="60"/>
              <w:rPr>
                <w:sz w:val="16"/>
                <w:szCs w:val="16"/>
              </w:rPr>
            </w:pPr>
            <w:r w:rsidRPr="002C674E">
              <w:rPr>
                <w:sz w:val="16"/>
                <w:szCs w:val="16"/>
              </w:rPr>
              <w:t xml:space="preserve">Grantor controls or regulates </w:t>
            </w:r>
            <w:r w:rsidRPr="002C674E">
              <w:rPr>
                <w:sz w:val="16"/>
                <w:szCs w:val="16"/>
                <w:u w:val="single"/>
              </w:rPr>
              <w:t>services</w:t>
            </w:r>
            <w:r w:rsidRPr="002C674E">
              <w:rPr>
                <w:sz w:val="16"/>
                <w:szCs w:val="16"/>
              </w:rPr>
              <w:t xml:space="preserve"> provided by operator with the asset?</w:t>
            </w:r>
          </w:p>
        </w:tc>
        <w:tc>
          <w:tcPr>
            <w:tcW w:w="1588" w:type="dxa"/>
            <w:tcBorders>
              <w:top w:val="single" w:sz="4" w:space="0" w:color="auto"/>
              <w:left w:val="single" w:sz="4" w:space="0" w:color="auto"/>
              <w:bottom w:val="single" w:sz="4" w:space="0" w:color="auto"/>
              <w:right w:val="single" w:sz="4" w:space="0" w:color="auto"/>
            </w:tcBorders>
          </w:tcPr>
          <w:p w14:paraId="7D92735A" w14:textId="29D0371A" w:rsidR="00B97295" w:rsidRPr="002C674E" w:rsidRDefault="00B97295" w:rsidP="00C36AFC">
            <w:pPr>
              <w:pStyle w:val="NumPlain1"/>
              <w:numPr>
                <w:ilvl w:val="0"/>
                <w:numId w:val="0"/>
              </w:numPr>
              <w:spacing w:before="60" w:after="60"/>
              <w:rPr>
                <w:sz w:val="16"/>
                <w:szCs w:val="16"/>
              </w:rPr>
            </w:pPr>
            <w:r w:rsidRPr="002C674E">
              <w:rPr>
                <w:b/>
                <w:sz w:val="16"/>
                <w:szCs w:val="16"/>
              </w:rPr>
              <w:t>Grantor</w:t>
            </w:r>
            <w:r w:rsidRPr="002C674E">
              <w:rPr>
                <w:sz w:val="16"/>
                <w:szCs w:val="16"/>
              </w:rPr>
              <w:t xml:space="preserve"> controls or regulates services.</w:t>
            </w:r>
          </w:p>
        </w:tc>
        <w:tc>
          <w:tcPr>
            <w:tcW w:w="2160" w:type="dxa"/>
            <w:tcBorders>
              <w:top w:val="single" w:sz="4" w:space="0" w:color="auto"/>
              <w:left w:val="single" w:sz="4" w:space="0" w:color="auto"/>
              <w:bottom w:val="single" w:sz="4" w:space="0" w:color="auto"/>
              <w:right w:val="single" w:sz="4" w:space="0" w:color="auto"/>
            </w:tcBorders>
          </w:tcPr>
          <w:p w14:paraId="7D92735B" w14:textId="25C1CC37" w:rsidR="00B97295" w:rsidRPr="002C674E" w:rsidRDefault="00B97295" w:rsidP="004B550F">
            <w:pPr>
              <w:pStyle w:val="NumPlain1"/>
              <w:numPr>
                <w:ilvl w:val="0"/>
                <w:numId w:val="0"/>
              </w:numPr>
              <w:spacing w:before="60" w:after="60"/>
              <w:rPr>
                <w:sz w:val="16"/>
                <w:szCs w:val="16"/>
              </w:rPr>
            </w:pPr>
            <w:r w:rsidRPr="002C674E">
              <w:rPr>
                <w:b/>
                <w:sz w:val="16"/>
                <w:szCs w:val="16"/>
              </w:rPr>
              <w:t xml:space="preserve">Operator </w:t>
            </w:r>
            <w:r w:rsidRPr="002C674E">
              <w:rPr>
                <w:sz w:val="16"/>
                <w:szCs w:val="16"/>
              </w:rPr>
              <w:t>typically controls services.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5C" w14:textId="77777777" w:rsidR="00B97295" w:rsidRPr="002C674E" w:rsidRDefault="00B97295" w:rsidP="006115F8">
            <w:pPr>
              <w:pStyle w:val="NumPlain1"/>
              <w:numPr>
                <w:ilvl w:val="0"/>
                <w:numId w:val="0"/>
              </w:numPr>
              <w:spacing w:before="60" w:after="60"/>
              <w:rPr>
                <w:sz w:val="16"/>
                <w:szCs w:val="16"/>
              </w:rPr>
            </w:pPr>
            <w:r w:rsidRPr="002C674E">
              <w:rPr>
                <w:b/>
                <w:sz w:val="16"/>
                <w:szCs w:val="16"/>
              </w:rPr>
              <w:t>Grantor</w:t>
            </w:r>
            <w:r w:rsidRPr="002C674E">
              <w:rPr>
                <w:sz w:val="16"/>
                <w:szCs w:val="16"/>
              </w:rPr>
              <w:t xml:space="preserve"> controls or regulates services.</w:t>
            </w:r>
          </w:p>
        </w:tc>
        <w:tc>
          <w:tcPr>
            <w:tcW w:w="1843" w:type="dxa"/>
            <w:tcBorders>
              <w:top w:val="single" w:sz="4" w:space="0" w:color="auto"/>
              <w:left w:val="single" w:sz="4" w:space="0" w:color="auto"/>
              <w:bottom w:val="single" w:sz="4" w:space="0" w:color="auto"/>
              <w:right w:val="single" w:sz="4" w:space="0" w:color="auto"/>
            </w:tcBorders>
          </w:tcPr>
          <w:p w14:paraId="7D92735D" w14:textId="77777777" w:rsidR="00B97295" w:rsidRPr="002C674E" w:rsidRDefault="00B97295" w:rsidP="0001173F">
            <w:pPr>
              <w:pStyle w:val="NumPlain1"/>
              <w:numPr>
                <w:ilvl w:val="0"/>
                <w:numId w:val="0"/>
              </w:numPr>
              <w:spacing w:before="60" w:after="60"/>
              <w:rPr>
                <w:sz w:val="16"/>
                <w:szCs w:val="16"/>
              </w:rPr>
            </w:pPr>
            <w:r w:rsidRPr="002C674E">
              <w:rPr>
                <w:b/>
                <w:sz w:val="16"/>
                <w:szCs w:val="16"/>
              </w:rPr>
              <w:t>Operator</w:t>
            </w:r>
            <w:r w:rsidRPr="002C674E">
              <w:rPr>
                <w:sz w:val="16"/>
                <w:szCs w:val="16"/>
              </w:rPr>
              <w:t xml:space="preserve"> typically controls services.</w:t>
            </w:r>
          </w:p>
        </w:tc>
      </w:tr>
      <w:tr w:rsidR="00B97295" w:rsidRPr="002C674E" w14:paraId="7D927364"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5F" w14:textId="77777777" w:rsidR="00B97295" w:rsidRPr="002C674E" w:rsidRDefault="00B97295" w:rsidP="00D1738B">
            <w:pPr>
              <w:pStyle w:val="NumPlain1"/>
              <w:numPr>
                <w:ilvl w:val="0"/>
                <w:numId w:val="0"/>
              </w:numPr>
              <w:spacing w:before="60" w:after="60"/>
              <w:rPr>
                <w:sz w:val="16"/>
                <w:szCs w:val="16"/>
              </w:rPr>
            </w:pPr>
            <w:r w:rsidRPr="002C674E">
              <w:rPr>
                <w:sz w:val="16"/>
                <w:szCs w:val="16"/>
              </w:rPr>
              <w:t xml:space="preserve">Grantor controls or regulates </w:t>
            </w:r>
            <w:r w:rsidRPr="002C674E">
              <w:rPr>
                <w:sz w:val="16"/>
                <w:szCs w:val="16"/>
                <w:u w:val="single"/>
              </w:rPr>
              <w:t>recipients</w:t>
            </w:r>
            <w:r w:rsidRPr="002C674E">
              <w:rPr>
                <w:sz w:val="16"/>
                <w:szCs w:val="16"/>
              </w:rPr>
              <w:t xml:space="preserve"> of services?</w:t>
            </w:r>
          </w:p>
        </w:tc>
        <w:tc>
          <w:tcPr>
            <w:tcW w:w="1588" w:type="dxa"/>
            <w:tcBorders>
              <w:top w:val="single" w:sz="4" w:space="0" w:color="auto"/>
              <w:left w:val="single" w:sz="4" w:space="0" w:color="auto"/>
              <w:bottom w:val="single" w:sz="4" w:space="0" w:color="auto"/>
              <w:right w:val="single" w:sz="4" w:space="0" w:color="auto"/>
            </w:tcBorders>
          </w:tcPr>
          <w:p w14:paraId="7D927360" w14:textId="47BA280B" w:rsidR="00B97295" w:rsidRPr="002C674E" w:rsidRDefault="00B97295" w:rsidP="0001173F">
            <w:pPr>
              <w:pStyle w:val="NumPlain1"/>
              <w:numPr>
                <w:ilvl w:val="0"/>
                <w:numId w:val="0"/>
              </w:numPr>
              <w:spacing w:before="60" w:after="60"/>
              <w:rPr>
                <w:b/>
                <w:color w:val="006600"/>
                <w:sz w:val="16"/>
                <w:szCs w:val="16"/>
              </w:rPr>
            </w:pPr>
            <w:r w:rsidRPr="002C674E">
              <w:rPr>
                <w:b/>
                <w:sz w:val="16"/>
                <w:szCs w:val="16"/>
              </w:rPr>
              <w:t>Grantor</w:t>
            </w:r>
            <w:r w:rsidRPr="002C674E">
              <w:rPr>
                <w:sz w:val="16"/>
                <w:szCs w:val="16"/>
              </w:rPr>
              <w:t xml:space="preserve"> controls recipients of services.</w:t>
            </w:r>
          </w:p>
        </w:tc>
        <w:tc>
          <w:tcPr>
            <w:tcW w:w="2160" w:type="dxa"/>
            <w:tcBorders>
              <w:top w:val="single" w:sz="4" w:space="0" w:color="auto"/>
              <w:left w:val="single" w:sz="4" w:space="0" w:color="auto"/>
              <w:bottom w:val="single" w:sz="4" w:space="0" w:color="auto"/>
              <w:right w:val="single" w:sz="4" w:space="0" w:color="auto"/>
            </w:tcBorders>
          </w:tcPr>
          <w:p w14:paraId="7D927361" w14:textId="5C59FCC0" w:rsidR="00B97295" w:rsidRPr="002C674E" w:rsidRDefault="00B97295" w:rsidP="004B550F">
            <w:pPr>
              <w:pStyle w:val="NumPlain1"/>
              <w:numPr>
                <w:ilvl w:val="0"/>
                <w:numId w:val="0"/>
              </w:numPr>
              <w:spacing w:before="60" w:after="60"/>
              <w:rPr>
                <w:sz w:val="16"/>
                <w:szCs w:val="16"/>
              </w:rPr>
            </w:pPr>
            <w:r w:rsidRPr="002C674E">
              <w:rPr>
                <w:b/>
                <w:sz w:val="16"/>
                <w:szCs w:val="16"/>
              </w:rPr>
              <w:t xml:space="preserve">Operator </w:t>
            </w:r>
            <w:r w:rsidRPr="002C674E">
              <w:rPr>
                <w:sz w:val="16"/>
                <w:szCs w:val="16"/>
              </w:rPr>
              <w:t>typically controls recipients of services.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62" w14:textId="77777777" w:rsidR="00B97295" w:rsidRPr="002C674E" w:rsidRDefault="00B97295" w:rsidP="002B620B">
            <w:pPr>
              <w:pStyle w:val="NumPlain1"/>
              <w:numPr>
                <w:ilvl w:val="0"/>
                <w:numId w:val="0"/>
              </w:numPr>
              <w:spacing w:before="60" w:after="60"/>
              <w:rPr>
                <w:sz w:val="16"/>
                <w:szCs w:val="16"/>
              </w:rPr>
            </w:pPr>
            <w:r w:rsidRPr="002C674E">
              <w:rPr>
                <w:b/>
                <w:sz w:val="16"/>
                <w:szCs w:val="16"/>
              </w:rPr>
              <w:t>Grantor</w:t>
            </w:r>
            <w:r w:rsidRPr="002C674E">
              <w:rPr>
                <w:sz w:val="16"/>
                <w:szCs w:val="16"/>
              </w:rPr>
              <w:t xml:space="preserve"> controls recipients of services.</w:t>
            </w:r>
          </w:p>
        </w:tc>
        <w:tc>
          <w:tcPr>
            <w:tcW w:w="1843" w:type="dxa"/>
            <w:tcBorders>
              <w:top w:val="single" w:sz="4" w:space="0" w:color="auto"/>
              <w:left w:val="single" w:sz="4" w:space="0" w:color="auto"/>
              <w:bottom w:val="single" w:sz="4" w:space="0" w:color="auto"/>
              <w:right w:val="single" w:sz="4" w:space="0" w:color="auto"/>
            </w:tcBorders>
          </w:tcPr>
          <w:p w14:paraId="7D927363" w14:textId="77777777" w:rsidR="00B97295" w:rsidRPr="002C674E" w:rsidRDefault="00B97295" w:rsidP="0001173F">
            <w:pPr>
              <w:pStyle w:val="NumPlain1"/>
              <w:numPr>
                <w:ilvl w:val="0"/>
                <w:numId w:val="0"/>
              </w:numPr>
              <w:spacing w:before="60" w:after="60"/>
              <w:rPr>
                <w:sz w:val="16"/>
                <w:szCs w:val="16"/>
              </w:rPr>
            </w:pPr>
            <w:r w:rsidRPr="002C674E">
              <w:rPr>
                <w:b/>
                <w:sz w:val="16"/>
                <w:szCs w:val="16"/>
              </w:rPr>
              <w:t>Operator</w:t>
            </w:r>
            <w:r w:rsidRPr="002C674E">
              <w:rPr>
                <w:sz w:val="16"/>
                <w:szCs w:val="16"/>
              </w:rPr>
              <w:t xml:space="preserve"> typically controls recipients of services.</w:t>
            </w:r>
          </w:p>
        </w:tc>
      </w:tr>
      <w:tr w:rsidR="00B97295" w:rsidRPr="002C674E" w14:paraId="7D92736A"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65" w14:textId="77777777" w:rsidR="00B97295" w:rsidRPr="002C674E" w:rsidRDefault="00B97295" w:rsidP="00D1738B">
            <w:pPr>
              <w:pStyle w:val="NumPlain1"/>
              <w:numPr>
                <w:ilvl w:val="0"/>
                <w:numId w:val="0"/>
              </w:numPr>
              <w:spacing w:before="60" w:after="60"/>
              <w:rPr>
                <w:sz w:val="16"/>
                <w:szCs w:val="16"/>
              </w:rPr>
            </w:pPr>
            <w:r w:rsidRPr="002C674E">
              <w:rPr>
                <w:sz w:val="16"/>
                <w:szCs w:val="16"/>
              </w:rPr>
              <w:t xml:space="preserve">Grantor controls or regulates </w:t>
            </w:r>
            <w:r w:rsidRPr="002C674E">
              <w:rPr>
                <w:sz w:val="16"/>
                <w:szCs w:val="16"/>
                <w:u w:val="single"/>
              </w:rPr>
              <w:t>pricing</w:t>
            </w:r>
            <w:r w:rsidRPr="002C674E">
              <w:rPr>
                <w:sz w:val="16"/>
                <w:szCs w:val="16"/>
              </w:rPr>
              <w:t xml:space="preserve"> of services?</w:t>
            </w:r>
          </w:p>
        </w:tc>
        <w:tc>
          <w:tcPr>
            <w:tcW w:w="1588" w:type="dxa"/>
            <w:tcBorders>
              <w:top w:val="single" w:sz="4" w:space="0" w:color="auto"/>
              <w:left w:val="single" w:sz="4" w:space="0" w:color="auto"/>
              <w:bottom w:val="single" w:sz="4" w:space="0" w:color="auto"/>
              <w:right w:val="single" w:sz="4" w:space="0" w:color="auto"/>
            </w:tcBorders>
          </w:tcPr>
          <w:p w14:paraId="7D927366" w14:textId="7629102F" w:rsidR="00B97295" w:rsidRPr="002C674E" w:rsidRDefault="00B97295" w:rsidP="0001173F">
            <w:pPr>
              <w:pStyle w:val="NumPlain1"/>
              <w:numPr>
                <w:ilvl w:val="0"/>
                <w:numId w:val="0"/>
              </w:numPr>
              <w:spacing w:before="60" w:after="60"/>
              <w:rPr>
                <w:color w:val="006600"/>
                <w:sz w:val="16"/>
                <w:szCs w:val="16"/>
              </w:rPr>
            </w:pPr>
            <w:r w:rsidRPr="002C674E">
              <w:rPr>
                <w:b/>
                <w:sz w:val="16"/>
                <w:szCs w:val="16"/>
              </w:rPr>
              <w:t>Grantor</w:t>
            </w:r>
            <w:r w:rsidRPr="002C674E">
              <w:rPr>
                <w:sz w:val="16"/>
                <w:szCs w:val="16"/>
              </w:rPr>
              <w:t xml:space="preserve"> controls pricing of services.</w:t>
            </w:r>
          </w:p>
        </w:tc>
        <w:tc>
          <w:tcPr>
            <w:tcW w:w="2160" w:type="dxa"/>
            <w:tcBorders>
              <w:top w:val="single" w:sz="4" w:space="0" w:color="auto"/>
              <w:left w:val="single" w:sz="4" w:space="0" w:color="auto"/>
              <w:bottom w:val="single" w:sz="4" w:space="0" w:color="auto"/>
              <w:right w:val="single" w:sz="4" w:space="0" w:color="auto"/>
            </w:tcBorders>
          </w:tcPr>
          <w:p w14:paraId="7D927367" w14:textId="09F0D23D" w:rsidR="00B97295" w:rsidRPr="002C674E" w:rsidRDefault="00B97295" w:rsidP="004600E3">
            <w:pPr>
              <w:pStyle w:val="NumPlain1"/>
              <w:numPr>
                <w:ilvl w:val="0"/>
                <w:numId w:val="0"/>
              </w:numPr>
              <w:spacing w:before="60" w:after="60"/>
              <w:rPr>
                <w:sz w:val="16"/>
                <w:szCs w:val="16"/>
              </w:rPr>
            </w:pPr>
            <w:r w:rsidRPr="002C674E">
              <w:rPr>
                <w:b/>
                <w:sz w:val="16"/>
                <w:szCs w:val="16"/>
              </w:rPr>
              <w:t>Operator</w:t>
            </w:r>
            <w:r w:rsidRPr="002C674E">
              <w:rPr>
                <w:sz w:val="16"/>
                <w:szCs w:val="16"/>
              </w:rPr>
              <w:t xml:space="preserve"> typically controls pricing of services.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68" w14:textId="77777777" w:rsidR="00B97295" w:rsidRPr="002C674E" w:rsidRDefault="00B97295" w:rsidP="00635B98">
            <w:pPr>
              <w:pStyle w:val="NumPlain1"/>
              <w:numPr>
                <w:ilvl w:val="0"/>
                <w:numId w:val="0"/>
              </w:numPr>
              <w:spacing w:before="60" w:after="60"/>
              <w:rPr>
                <w:sz w:val="16"/>
                <w:szCs w:val="16"/>
              </w:rPr>
            </w:pPr>
            <w:r w:rsidRPr="002C674E">
              <w:rPr>
                <w:b/>
                <w:sz w:val="16"/>
                <w:szCs w:val="16"/>
              </w:rPr>
              <w:t>Grantor</w:t>
            </w:r>
            <w:r w:rsidRPr="002C674E">
              <w:rPr>
                <w:sz w:val="16"/>
                <w:szCs w:val="16"/>
              </w:rPr>
              <w:t xml:space="preserve"> controls pricing of services.</w:t>
            </w:r>
          </w:p>
        </w:tc>
        <w:tc>
          <w:tcPr>
            <w:tcW w:w="1843" w:type="dxa"/>
            <w:tcBorders>
              <w:top w:val="single" w:sz="4" w:space="0" w:color="auto"/>
              <w:left w:val="single" w:sz="4" w:space="0" w:color="auto"/>
              <w:bottom w:val="single" w:sz="4" w:space="0" w:color="auto"/>
              <w:right w:val="single" w:sz="4" w:space="0" w:color="auto"/>
            </w:tcBorders>
          </w:tcPr>
          <w:p w14:paraId="7D927369" w14:textId="38960FA2" w:rsidR="00B97295" w:rsidRPr="002C674E" w:rsidRDefault="00B97295" w:rsidP="008F5840">
            <w:pPr>
              <w:pStyle w:val="NumPlain1"/>
              <w:numPr>
                <w:ilvl w:val="0"/>
                <w:numId w:val="0"/>
              </w:numPr>
              <w:spacing w:before="60" w:after="60"/>
              <w:rPr>
                <w:sz w:val="16"/>
                <w:szCs w:val="16"/>
              </w:rPr>
            </w:pPr>
            <w:r w:rsidRPr="002C674E">
              <w:rPr>
                <w:b/>
                <w:sz w:val="16"/>
                <w:szCs w:val="16"/>
              </w:rPr>
              <w:t>Operator</w:t>
            </w:r>
            <w:r w:rsidRPr="002C674E">
              <w:rPr>
                <w:sz w:val="16"/>
                <w:szCs w:val="16"/>
              </w:rPr>
              <w:t xml:space="preserve"> might not control pricing of services.</w:t>
            </w:r>
          </w:p>
        </w:tc>
      </w:tr>
      <w:tr w:rsidR="0003690C" w:rsidRPr="002C674E" w14:paraId="7D927376"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6B" w14:textId="77777777" w:rsidR="0003690C" w:rsidRPr="002C674E" w:rsidRDefault="0003690C" w:rsidP="00C41674">
            <w:pPr>
              <w:pStyle w:val="NumPlain1"/>
              <w:numPr>
                <w:ilvl w:val="0"/>
                <w:numId w:val="0"/>
              </w:numPr>
              <w:spacing w:before="60" w:after="60"/>
              <w:rPr>
                <w:sz w:val="16"/>
                <w:szCs w:val="16"/>
              </w:rPr>
            </w:pPr>
            <w:r w:rsidRPr="002C674E">
              <w:rPr>
                <w:sz w:val="16"/>
                <w:szCs w:val="16"/>
              </w:rPr>
              <w:t xml:space="preserve">Grantor controls </w:t>
            </w:r>
            <w:r w:rsidRPr="002C674E">
              <w:rPr>
                <w:sz w:val="16"/>
                <w:szCs w:val="16"/>
                <w:u w:val="single"/>
              </w:rPr>
              <w:t>underlying use</w:t>
            </w:r>
            <w:r w:rsidRPr="002C674E">
              <w:rPr>
                <w:sz w:val="16"/>
                <w:szCs w:val="16"/>
              </w:rPr>
              <w:t xml:space="preserve"> of the asset</w:t>
            </w:r>
            <w:r w:rsidR="00EE3448" w:rsidRPr="002C674E">
              <w:rPr>
                <w:sz w:val="16"/>
                <w:szCs w:val="16"/>
              </w:rPr>
              <w:t>?</w:t>
            </w:r>
          </w:p>
        </w:tc>
        <w:tc>
          <w:tcPr>
            <w:tcW w:w="1588" w:type="dxa"/>
            <w:tcBorders>
              <w:top w:val="single" w:sz="4" w:space="0" w:color="auto"/>
              <w:left w:val="single" w:sz="4" w:space="0" w:color="auto"/>
              <w:bottom w:val="single" w:sz="4" w:space="0" w:color="auto"/>
              <w:right w:val="single" w:sz="4" w:space="0" w:color="auto"/>
            </w:tcBorders>
          </w:tcPr>
          <w:p w14:paraId="7D92736C" w14:textId="77777777" w:rsidR="0003690C" w:rsidRPr="002C674E" w:rsidRDefault="0003690C" w:rsidP="006115F8">
            <w:pPr>
              <w:pStyle w:val="NumPlain1"/>
              <w:numPr>
                <w:ilvl w:val="0"/>
                <w:numId w:val="0"/>
              </w:numPr>
              <w:spacing w:before="60" w:after="60"/>
              <w:rPr>
                <w:color w:val="006600"/>
                <w:sz w:val="16"/>
                <w:szCs w:val="16"/>
              </w:rPr>
            </w:pPr>
            <w:r w:rsidRPr="002C674E">
              <w:rPr>
                <w:b/>
                <w:sz w:val="16"/>
                <w:szCs w:val="16"/>
              </w:rPr>
              <w:t>Grantor</w:t>
            </w:r>
            <w:r w:rsidRPr="002C674E">
              <w:rPr>
                <w:sz w:val="16"/>
                <w:szCs w:val="16"/>
              </w:rPr>
              <w:t xml:space="preserve"> control</w:t>
            </w:r>
            <w:r w:rsidR="006115F8" w:rsidRPr="002C674E">
              <w:rPr>
                <w:sz w:val="16"/>
                <w:szCs w:val="16"/>
              </w:rPr>
              <w:t xml:space="preserve">s </w:t>
            </w:r>
            <w:r w:rsidRPr="002C674E">
              <w:rPr>
                <w:sz w:val="16"/>
                <w:szCs w:val="16"/>
              </w:rPr>
              <w:t>the asset and the right to use the asset.</w:t>
            </w:r>
          </w:p>
        </w:tc>
        <w:tc>
          <w:tcPr>
            <w:tcW w:w="2160" w:type="dxa"/>
            <w:tcBorders>
              <w:top w:val="single" w:sz="4" w:space="0" w:color="auto"/>
              <w:left w:val="single" w:sz="4" w:space="0" w:color="auto"/>
              <w:bottom w:val="single" w:sz="4" w:space="0" w:color="auto"/>
              <w:right w:val="single" w:sz="4" w:space="0" w:color="auto"/>
            </w:tcBorders>
          </w:tcPr>
          <w:p w14:paraId="7D92736D" w14:textId="40D23D41" w:rsidR="004B550F" w:rsidRPr="002C674E" w:rsidRDefault="00027C08" w:rsidP="00C41674">
            <w:pPr>
              <w:pStyle w:val="NumPlain1"/>
              <w:numPr>
                <w:ilvl w:val="0"/>
                <w:numId w:val="0"/>
              </w:numPr>
              <w:spacing w:before="60" w:after="60"/>
              <w:rPr>
                <w:sz w:val="16"/>
                <w:szCs w:val="16"/>
              </w:rPr>
            </w:pPr>
            <w:r w:rsidRPr="002C674E">
              <w:rPr>
                <w:b/>
                <w:sz w:val="16"/>
                <w:szCs w:val="16"/>
              </w:rPr>
              <w:t xml:space="preserve">Operating </w:t>
            </w:r>
            <w:r w:rsidR="004B550F" w:rsidRPr="002C674E">
              <w:rPr>
                <w:b/>
                <w:sz w:val="16"/>
                <w:szCs w:val="16"/>
              </w:rPr>
              <w:t>lease</w:t>
            </w:r>
            <w:r w:rsidR="004B550F" w:rsidRPr="002C674E">
              <w:rPr>
                <w:sz w:val="16"/>
                <w:szCs w:val="16"/>
              </w:rPr>
              <w:t>:</w:t>
            </w:r>
          </w:p>
          <w:p w14:paraId="7D92736E" w14:textId="77777777" w:rsidR="0003690C" w:rsidRPr="002C674E" w:rsidRDefault="007F2416" w:rsidP="00C41674">
            <w:pPr>
              <w:pStyle w:val="NumPlain1"/>
              <w:numPr>
                <w:ilvl w:val="0"/>
                <w:numId w:val="0"/>
              </w:numPr>
              <w:spacing w:before="60" w:after="60"/>
              <w:rPr>
                <w:sz w:val="16"/>
                <w:szCs w:val="16"/>
              </w:rPr>
            </w:pPr>
            <w:r w:rsidRPr="002C674E">
              <w:rPr>
                <w:sz w:val="16"/>
                <w:szCs w:val="16"/>
                <w:u w:val="single"/>
              </w:rPr>
              <w:t>G</w:t>
            </w:r>
            <w:r w:rsidR="0000606C" w:rsidRPr="002C674E">
              <w:rPr>
                <w:sz w:val="16"/>
                <w:szCs w:val="16"/>
                <w:u w:val="single"/>
              </w:rPr>
              <w:t>rantor</w:t>
            </w:r>
            <w:r w:rsidR="0000606C" w:rsidRPr="002C674E">
              <w:rPr>
                <w:sz w:val="16"/>
                <w:szCs w:val="16"/>
              </w:rPr>
              <w:t xml:space="preserve"> </w:t>
            </w:r>
            <w:r w:rsidRPr="002C674E">
              <w:rPr>
                <w:sz w:val="16"/>
                <w:szCs w:val="16"/>
              </w:rPr>
              <w:t>(less</w:t>
            </w:r>
            <w:r w:rsidR="004B550F" w:rsidRPr="002C674E">
              <w:rPr>
                <w:sz w:val="16"/>
                <w:szCs w:val="16"/>
              </w:rPr>
              <w:t>or</w:t>
            </w:r>
            <w:r w:rsidRPr="002C674E">
              <w:rPr>
                <w:sz w:val="16"/>
                <w:szCs w:val="16"/>
              </w:rPr>
              <w:t xml:space="preserve">) </w:t>
            </w:r>
            <w:r w:rsidR="004B550F" w:rsidRPr="002C674E">
              <w:rPr>
                <w:sz w:val="16"/>
                <w:szCs w:val="16"/>
              </w:rPr>
              <w:t>retains control of the asset and operator (lessee) has</w:t>
            </w:r>
            <w:r w:rsidRPr="002C674E">
              <w:rPr>
                <w:sz w:val="16"/>
                <w:szCs w:val="16"/>
              </w:rPr>
              <w:t xml:space="preserve"> right-</w:t>
            </w:r>
            <w:r w:rsidR="00504E4F" w:rsidRPr="002C674E">
              <w:rPr>
                <w:sz w:val="16"/>
                <w:szCs w:val="16"/>
              </w:rPr>
              <w:t>of</w:t>
            </w:r>
            <w:r w:rsidRPr="002C674E">
              <w:rPr>
                <w:sz w:val="16"/>
                <w:szCs w:val="16"/>
              </w:rPr>
              <w:t>-use asset.</w:t>
            </w:r>
          </w:p>
          <w:p w14:paraId="7D92736F" w14:textId="5338783B" w:rsidR="004B550F" w:rsidRPr="002C674E" w:rsidRDefault="00027C08" w:rsidP="00C41674">
            <w:pPr>
              <w:pStyle w:val="NumPlain1"/>
              <w:numPr>
                <w:ilvl w:val="0"/>
                <w:numId w:val="0"/>
              </w:numPr>
              <w:spacing w:before="60" w:after="60"/>
              <w:rPr>
                <w:sz w:val="16"/>
                <w:szCs w:val="16"/>
              </w:rPr>
            </w:pPr>
            <w:r w:rsidRPr="002C674E">
              <w:rPr>
                <w:b/>
                <w:sz w:val="16"/>
                <w:szCs w:val="16"/>
              </w:rPr>
              <w:t xml:space="preserve">Finance </w:t>
            </w:r>
            <w:r w:rsidR="004B550F" w:rsidRPr="002C674E">
              <w:rPr>
                <w:b/>
                <w:sz w:val="16"/>
                <w:szCs w:val="16"/>
              </w:rPr>
              <w:t>lease</w:t>
            </w:r>
            <w:r w:rsidR="004B550F" w:rsidRPr="002C674E">
              <w:rPr>
                <w:sz w:val="16"/>
                <w:szCs w:val="16"/>
              </w:rPr>
              <w:t>:</w:t>
            </w:r>
          </w:p>
          <w:p w14:paraId="7D927370" w14:textId="77777777" w:rsidR="004B550F" w:rsidRPr="002C674E" w:rsidRDefault="004B550F" w:rsidP="00C41674">
            <w:pPr>
              <w:pStyle w:val="NumPlain1"/>
              <w:numPr>
                <w:ilvl w:val="0"/>
                <w:numId w:val="0"/>
              </w:numPr>
              <w:spacing w:before="60" w:after="60"/>
              <w:rPr>
                <w:sz w:val="16"/>
                <w:szCs w:val="16"/>
              </w:rPr>
            </w:pPr>
            <w:r w:rsidRPr="002C674E">
              <w:rPr>
                <w:sz w:val="16"/>
                <w:szCs w:val="16"/>
              </w:rPr>
              <w:t xml:space="preserve">Grantor (lessor) relinquishes control of asset to </w:t>
            </w:r>
            <w:r w:rsidRPr="002C674E">
              <w:rPr>
                <w:sz w:val="16"/>
                <w:szCs w:val="16"/>
                <w:u w:val="single"/>
              </w:rPr>
              <w:t>operator</w:t>
            </w:r>
            <w:r w:rsidRPr="002C674E">
              <w:rPr>
                <w:sz w:val="16"/>
                <w:szCs w:val="16"/>
              </w:rPr>
              <w:t xml:space="preserve"> (lessee):</w:t>
            </w:r>
          </w:p>
          <w:p w14:paraId="7D927371" w14:textId="1962C292" w:rsidR="004B550F" w:rsidRPr="002C674E" w:rsidRDefault="00027C08" w:rsidP="003102C2">
            <w:pPr>
              <w:pStyle w:val="NumPlain1"/>
              <w:numPr>
                <w:ilvl w:val="0"/>
                <w:numId w:val="43"/>
              </w:numPr>
              <w:spacing w:before="60" w:after="60"/>
              <w:ind w:left="283" w:hanging="283"/>
              <w:rPr>
                <w:sz w:val="16"/>
                <w:szCs w:val="16"/>
              </w:rPr>
            </w:pPr>
            <w:r w:rsidRPr="002C674E">
              <w:rPr>
                <w:sz w:val="16"/>
                <w:szCs w:val="16"/>
              </w:rPr>
              <w:t xml:space="preserve">lessor </w:t>
            </w:r>
            <w:r w:rsidR="003F68CC" w:rsidRPr="002C674E">
              <w:rPr>
                <w:sz w:val="16"/>
                <w:szCs w:val="16"/>
              </w:rPr>
              <w:t>derecognises</w:t>
            </w:r>
            <w:r w:rsidR="004B550F" w:rsidRPr="002C674E">
              <w:rPr>
                <w:sz w:val="16"/>
                <w:szCs w:val="16"/>
              </w:rPr>
              <w:t xml:space="preserve"> asset and recognises receivable</w:t>
            </w:r>
          </w:p>
          <w:p w14:paraId="7D927372" w14:textId="640D515B" w:rsidR="0003690C" w:rsidRPr="002C674E" w:rsidRDefault="00027C08" w:rsidP="003102C2">
            <w:pPr>
              <w:pStyle w:val="NumPlain1"/>
              <w:numPr>
                <w:ilvl w:val="0"/>
                <w:numId w:val="43"/>
              </w:numPr>
              <w:spacing w:before="60" w:after="60"/>
              <w:ind w:left="283" w:hanging="283"/>
              <w:rPr>
                <w:sz w:val="16"/>
                <w:szCs w:val="16"/>
              </w:rPr>
            </w:pPr>
            <w:proofErr w:type="gramStart"/>
            <w:r w:rsidRPr="002C674E">
              <w:rPr>
                <w:sz w:val="16"/>
                <w:szCs w:val="16"/>
              </w:rPr>
              <w:t>lessee</w:t>
            </w:r>
            <w:proofErr w:type="gramEnd"/>
            <w:r w:rsidRPr="002C674E">
              <w:rPr>
                <w:sz w:val="16"/>
                <w:szCs w:val="16"/>
              </w:rPr>
              <w:t xml:space="preserve"> recognises right-of</w:t>
            </w:r>
            <w:r w:rsidR="004B550F" w:rsidRPr="002C674E">
              <w:rPr>
                <w:sz w:val="16"/>
                <w:szCs w:val="16"/>
              </w:rPr>
              <w:t>-use asset.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73" w14:textId="3842A4E8" w:rsidR="0003690C" w:rsidRPr="002C674E" w:rsidRDefault="0003690C" w:rsidP="00C41674">
            <w:pPr>
              <w:pStyle w:val="NumPlain1"/>
              <w:numPr>
                <w:ilvl w:val="0"/>
                <w:numId w:val="0"/>
              </w:numPr>
              <w:spacing w:before="60" w:after="60"/>
              <w:rPr>
                <w:sz w:val="16"/>
                <w:szCs w:val="16"/>
              </w:rPr>
            </w:pPr>
            <w:r w:rsidRPr="002C674E">
              <w:rPr>
                <w:b/>
                <w:sz w:val="16"/>
                <w:szCs w:val="16"/>
              </w:rPr>
              <w:t>Grantor</w:t>
            </w:r>
            <w:r w:rsidRPr="002C674E">
              <w:rPr>
                <w:sz w:val="16"/>
                <w:szCs w:val="16"/>
              </w:rPr>
              <w:t xml:space="preserve"> retains control of asset and </w:t>
            </w:r>
            <w:r w:rsidR="00B97295" w:rsidRPr="002C674E">
              <w:rPr>
                <w:sz w:val="16"/>
                <w:szCs w:val="16"/>
              </w:rPr>
              <w:t xml:space="preserve">the </w:t>
            </w:r>
            <w:r w:rsidRPr="002C674E">
              <w:rPr>
                <w:sz w:val="16"/>
                <w:szCs w:val="16"/>
              </w:rPr>
              <w:t>right to use the asset.</w:t>
            </w:r>
          </w:p>
          <w:p w14:paraId="7D927374" w14:textId="77777777" w:rsidR="0003690C" w:rsidRPr="002C674E" w:rsidRDefault="0003690C" w:rsidP="00C41674">
            <w:pPr>
              <w:pStyle w:val="NumPlain1"/>
              <w:numPr>
                <w:ilvl w:val="0"/>
                <w:numId w:val="0"/>
              </w:numPr>
              <w:spacing w:before="60" w:after="60"/>
              <w:rPr>
                <w:sz w:val="16"/>
                <w:szCs w:val="16"/>
              </w:rPr>
            </w:pPr>
            <w:r w:rsidRPr="002C674E">
              <w:rPr>
                <w:b/>
                <w:sz w:val="16"/>
                <w:szCs w:val="16"/>
              </w:rPr>
              <w:t>Operator</w:t>
            </w:r>
            <w:r w:rsidRPr="002C674E">
              <w:rPr>
                <w:sz w:val="16"/>
                <w:szCs w:val="16"/>
              </w:rPr>
              <w:t xml:space="preserve"> </w:t>
            </w:r>
            <w:r w:rsidR="00504E4F" w:rsidRPr="002C674E">
              <w:rPr>
                <w:sz w:val="16"/>
                <w:szCs w:val="16"/>
              </w:rPr>
              <w:t xml:space="preserve">only </w:t>
            </w:r>
            <w:r w:rsidRPr="002C674E">
              <w:rPr>
                <w:sz w:val="16"/>
                <w:szCs w:val="16"/>
              </w:rPr>
              <w:t xml:space="preserve">has </w:t>
            </w:r>
            <w:r w:rsidR="00504E4F" w:rsidRPr="002C674E">
              <w:rPr>
                <w:sz w:val="16"/>
                <w:szCs w:val="16"/>
              </w:rPr>
              <w:t xml:space="preserve">a </w:t>
            </w:r>
            <w:r w:rsidRPr="002C674E">
              <w:rPr>
                <w:sz w:val="16"/>
                <w:szCs w:val="16"/>
              </w:rPr>
              <w:t>right to access the asset.</w:t>
            </w:r>
          </w:p>
        </w:tc>
        <w:tc>
          <w:tcPr>
            <w:tcW w:w="1843" w:type="dxa"/>
            <w:tcBorders>
              <w:top w:val="single" w:sz="4" w:space="0" w:color="auto"/>
              <w:left w:val="single" w:sz="4" w:space="0" w:color="auto"/>
              <w:bottom w:val="single" w:sz="4" w:space="0" w:color="auto"/>
              <w:right w:val="single" w:sz="4" w:space="0" w:color="auto"/>
            </w:tcBorders>
          </w:tcPr>
          <w:p w14:paraId="7D927375" w14:textId="7D19FF0B" w:rsidR="0003690C" w:rsidRPr="002C674E" w:rsidRDefault="0003690C" w:rsidP="00BE741B">
            <w:pPr>
              <w:pStyle w:val="NumPlain1"/>
              <w:numPr>
                <w:ilvl w:val="0"/>
                <w:numId w:val="0"/>
              </w:numPr>
              <w:spacing w:before="60" w:after="60"/>
              <w:rPr>
                <w:sz w:val="16"/>
                <w:szCs w:val="16"/>
              </w:rPr>
            </w:pPr>
            <w:r w:rsidRPr="002C674E">
              <w:rPr>
                <w:b/>
                <w:sz w:val="16"/>
                <w:szCs w:val="16"/>
              </w:rPr>
              <w:t>Operator</w:t>
            </w:r>
            <w:r w:rsidRPr="002C674E">
              <w:rPr>
                <w:sz w:val="16"/>
                <w:szCs w:val="16"/>
              </w:rPr>
              <w:t xml:space="preserve"> control</w:t>
            </w:r>
            <w:r w:rsidR="00BE741B" w:rsidRPr="002C674E">
              <w:rPr>
                <w:sz w:val="16"/>
                <w:szCs w:val="16"/>
              </w:rPr>
              <w:t>s</w:t>
            </w:r>
            <w:r w:rsidRPr="002C674E">
              <w:rPr>
                <w:sz w:val="16"/>
                <w:szCs w:val="16"/>
              </w:rPr>
              <w:t xml:space="preserve"> the asset</w:t>
            </w:r>
            <w:r w:rsidR="00A622D1" w:rsidRPr="002C674E">
              <w:rPr>
                <w:sz w:val="16"/>
                <w:szCs w:val="16"/>
              </w:rPr>
              <w:t xml:space="preserve"> and</w:t>
            </w:r>
            <w:r w:rsidR="00B97295" w:rsidRPr="002C674E">
              <w:rPr>
                <w:sz w:val="16"/>
                <w:szCs w:val="16"/>
              </w:rPr>
              <w:t xml:space="preserve"> the</w:t>
            </w:r>
            <w:r w:rsidR="00A622D1" w:rsidRPr="002C674E">
              <w:rPr>
                <w:sz w:val="16"/>
                <w:szCs w:val="16"/>
              </w:rPr>
              <w:t xml:space="preserve"> right to use the asset</w:t>
            </w:r>
            <w:r w:rsidRPr="002C674E">
              <w:rPr>
                <w:sz w:val="16"/>
                <w:szCs w:val="16"/>
              </w:rPr>
              <w:t>.</w:t>
            </w:r>
          </w:p>
        </w:tc>
      </w:tr>
      <w:tr w:rsidR="00B97295" w:rsidRPr="002A0D15" w14:paraId="7D927384"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7F" w14:textId="29B53246" w:rsidR="00B97295" w:rsidRPr="002A0D15" w:rsidRDefault="00B97295" w:rsidP="00AD41D4">
            <w:pPr>
              <w:pStyle w:val="NumPlain1"/>
              <w:numPr>
                <w:ilvl w:val="0"/>
                <w:numId w:val="0"/>
              </w:numPr>
              <w:spacing w:before="60" w:after="60"/>
              <w:rPr>
                <w:b/>
                <w:sz w:val="16"/>
                <w:szCs w:val="16"/>
              </w:rPr>
            </w:pPr>
            <w:r w:rsidRPr="002A0D15">
              <w:rPr>
                <w:b/>
                <w:sz w:val="16"/>
                <w:szCs w:val="16"/>
              </w:rPr>
              <w:t xml:space="preserve">Determining whether grantor controls any significant residual interest in the asset at the end of the arrangement (paragraph </w:t>
            </w:r>
            <w:r w:rsidRPr="002A0D15">
              <w:rPr>
                <w:b/>
                <w:sz w:val="16"/>
                <w:szCs w:val="16"/>
              </w:rPr>
              <w:fldChar w:fldCharType="begin"/>
            </w:r>
            <w:r w:rsidRPr="002A0D15">
              <w:rPr>
                <w:b/>
                <w:sz w:val="16"/>
                <w:szCs w:val="16"/>
              </w:rPr>
              <w:instrText xml:space="preserve"> REF _Ref475619556 \r \h  \* MERGEFORMAT </w:instrText>
            </w:r>
            <w:r w:rsidRPr="002A0D15">
              <w:rPr>
                <w:b/>
                <w:sz w:val="16"/>
                <w:szCs w:val="16"/>
              </w:rPr>
            </w:r>
            <w:r w:rsidRPr="002A0D15">
              <w:rPr>
                <w:b/>
                <w:sz w:val="16"/>
                <w:szCs w:val="16"/>
              </w:rPr>
              <w:fldChar w:fldCharType="separate"/>
            </w:r>
            <w:r w:rsidR="00C43128">
              <w:rPr>
                <w:b/>
                <w:sz w:val="16"/>
                <w:szCs w:val="16"/>
              </w:rPr>
              <w:t>5</w:t>
            </w:r>
            <w:r w:rsidRPr="002A0D15">
              <w:rPr>
                <w:b/>
                <w:sz w:val="16"/>
                <w:szCs w:val="16"/>
              </w:rPr>
              <w:fldChar w:fldCharType="end"/>
            </w:r>
            <w:r w:rsidRPr="002A0D15">
              <w:rPr>
                <w:b/>
                <w:sz w:val="16"/>
                <w:szCs w:val="16"/>
              </w:rPr>
              <w:t>(b))</w:t>
            </w:r>
          </w:p>
        </w:tc>
        <w:tc>
          <w:tcPr>
            <w:tcW w:w="1588" w:type="dxa"/>
            <w:tcBorders>
              <w:top w:val="single" w:sz="4" w:space="0" w:color="auto"/>
              <w:left w:val="single" w:sz="4" w:space="0" w:color="auto"/>
              <w:bottom w:val="single" w:sz="4" w:space="0" w:color="auto"/>
              <w:right w:val="single" w:sz="4" w:space="0" w:color="auto"/>
            </w:tcBorders>
          </w:tcPr>
          <w:p w14:paraId="7D927380" w14:textId="73737480" w:rsidR="00B97295" w:rsidRPr="002A0D15" w:rsidRDefault="00B97295" w:rsidP="00AC2962">
            <w:pPr>
              <w:pStyle w:val="NumPlain1"/>
              <w:numPr>
                <w:ilvl w:val="0"/>
                <w:numId w:val="0"/>
              </w:numPr>
              <w:spacing w:before="60" w:after="60"/>
              <w:rPr>
                <w:b/>
                <w:sz w:val="16"/>
                <w:szCs w:val="16"/>
              </w:rPr>
            </w:pPr>
            <w:r w:rsidRPr="002A0D15">
              <w:rPr>
                <w:b/>
                <w:sz w:val="16"/>
                <w:szCs w:val="16"/>
              </w:rPr>
              <w:t>Grantor</w:t>
            </w:r>
            <w:r w:rsidRPr="002A0D15">
              <w:rPr>
                <w:sz w:val="16"/>
                <w:szCs w:val="16"/>
              </w:rPr>
              <w:t xml:space="preserve"> controls any significant residual interest at end of arrangement.</w:t>
            </w:r>
          </w:p>
        </w:tc>
        <w:tc>
          <w:tcPr>
            <w:tcW w:w="2160" w:type="dxa"/>
            <w:tcBorders>
              <w:top w:val="single" w:sz="4" w:space="0" w:color="auto"/>
              <w:left w:val="single" w:sz="4" w:space="0" w:color="auto"/>
              <w:bottom w:val="single" w:sz="4" w:space="0" w:color="auto"/>
              <w:right w:val="single" w:sz="4" w:space="0" w:color="auto"/>
            </w:tcBorders>
          </w:tcPr>
          <w:p w14:paraId="7D927381" w14:textId="60AD8135" w:rsidR="00B97295" w:rsidRPr="002A0D15" w:rsidRDefault="00B97295" w:rsidP="00027C08">
            <w:pPr>
              <w:pStyle w:val="NumPlain1"/>
              <w:numPr>
                <w:ilvl w:val="0"/>
                <w:numId w:val="0"/>
              </w:numPr>
              <w:spacing w:before="60" w:after="60"/>
              <w:rPr>
                <w:color w:val="006600"/>
                <w:sz w:val="16"/>
                <w:szCs w:val="16"/>
              </w:rPr>
            </w:pPr>
            <w:r w:rsidRPr="002A0D15">
              <w:rPr>
                <w:b/>
                <w:sz w:val="16"/>
                <w:szCs w:val="16"/>
              </w:rPr>
              <w:t>Depending</w:t>
            </w:r>
            <w:r w:rsidRPr="002A0D15">
              <w:rPr>
                <w:sz w:val="16"/>
                <w:szCs w:val="16"/>
              </w:rPr>
              <w:t xml:space="preserve"> on terms of arrangement, grantor or operator might control residual interest in the asset.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82" w14:textId="77777777" w:rsidR="00B97295" w:rsidRPr="002A0D15" w:rsidRDefault="00B97295" w:rsidP="00A06C69">
            <w:pPr>
              <w:pStyle w:val="NumPlain1"/>
              <w:numPr>
                <w:ilvl w:val="0"/>
                <w:numId w:val="0"/>
              </w:numPr>
              <w:spacing w:before="60" w:after="60"/>
              <w:rPr>
                <w:b/>
                <w:color w:val="006600"/>
                <w:sz w:val="16"/>
                <w:szCs w:val="16"/>
              </w:rPr>
            </w:pPr>
            <w:r w:rsidRPr="002A0D15">
              <w:rPr>
                <w:b/>
                <w:sz w:val="16"/>
                <w:szCs w:val="16"/>
              </w:rPr>
              <w:t>Grantor</w:t>
            </w:r>
            <w:r w:rsidRPr="002A0D15">
              <w:rPr>
                <w:sz w:val="16"/>
                <w:szCs w:val="16"/>
              </w:rPr>
              <w:t xml:space="preserve"> controls any significant residual interest at end of arrangement.</w:t>
            </w:r>
          </w:p>
        </w:tc>
        <w:tc>
          <w:tcPr>
            <w:tcW w:w="1843" w:type="dxa"/>
            <w:tcBorders>
              <w:top w:val="single" w:sz="4" w:space="0" w:color="auto"/>
              <w:left w:val="single" w:sz="4" w:space="0" w:color="auto"/>
              <w:bottom w:val="single" w:sz="4" w:space="0" w:color="auto"/>
              <w:right w:val="single" w:sz="4" w:space="0" w:color="auto"/>
            </w:tcBorders>
          </w:tcPr>
          <w:p w14:paraId="7D927383" w14:textId="2593869F" w:rsidR="00B97295" w:rsidRPr="002A0D15" w:rsidRDefault="00B97295" w:rsidP="00F71ADA">
            <w:pPr>
              <w:pStyle w:val="NumPlain1"/>
              <w:numPr>
                <w:ilvl w:val="0"/>
                <w:numId w:val="0"/>
              </w:numPr>
              <w:spacing w:before="60" w:after="60"/>
              <w:rPr>
                <w:b/>
                <w:sz w:val="16"/>
                <w:szCs w:val="16"/>
              </w:rPr>
            </w:pPr>
            <w:r w:rsidRPr="002A0D15">
              <w:rPr>
                <w:b/>
                <w:sz w:val="16"/>
                <w:szCs w:val="16"/>
              </w:rPr>
              <w:t>Depending</w:t>
            </w:r>
            <w:r w:rsidRPr="002A0D15">
              <w:rPr>
                <w:sz w:val="16"/>
                <w:szCs w:val="16"/>
              </w:rPr>
              <w:t xml:space="preserve"> on terms of arrangement, grantor or operator might control residual interest in the asset.</w:t>
            </w:r>
          </w:p>
        </w:tc>
      </w:tr>
      <w:tr w:rsidR="00B97295" w:rsidRPr="002A0D15" w14:paraId="7D92738B"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85" w14:textId="77777777" w:rsidR="00B97295" w:rsidRPr="002A0D15" w:rsidRDefault="00B97295" w:rsidP="00A912B3">
            <w:pPr>
              <w:pStyle w:val="NumPlain1"/>
              <w:numPr>
                <w:ilvl w:val="0"/>
                <w:numId w:val="0"/>
              </w:numPr>
              <w:spacing w:before="60" w:after="60"/>
              <w:rPr>
                <w:sz w:val="16"/>
                <w:szCs w:val="16"/>
              </w:rPr>
            </w:pPr>
            <w:r w:rsidRPr="002A0D15">
              <w:rPr>
                <w:sz w:val="16"/>
                <w:szCs w:val="16"/>
              </w:rPr>
              <w:t xml:space="preserve">Grantor controls any </w:t>
            </w:r>
            <w:r w:rsidRPr="002A0D15">
              <w:rPr>
                <w:sz w:val="16"/>
                <w:szCs w:val="16"/>
                <w:u w:val="single"/>
              </w:rPr>
              <w:t>significant residual interest</w:t>
            </w:r>
            <w:r w:rsidRPr="002A0D15">
              <w:rPr>
                <w:sz w:val="16"/>
                <w:szCs w:val="16"/>
              </w:rPr>
              <w:t xml:space="preserve"> at end of arrangement?</w:t>
            </w:r>
          </w:p>
        </w:tc>
        <w:tc>
          <w:tcPr>
            <w:tcW w:w="1588" w:type="dxa"/>
            <w:tcBorders>
              <w:top w:val="single" w:sz="4" w:space="0" w:color="auto"/>
              <w:left w:val="single" w:sz="4" w:space="0" w:color="auto"/>
              <w:bottom w:val="single" w:sz="4" w:space="0" w:color="auto"/>
              <w:right w:val="single" w:sz="4" w:space="0" w:color="auto"/>
            </w:tcBorders>
          </w:tcPr>
          <w:p w14:paraId="7D927386" w14:textId="4D96783D" w:rsidR="00B97295" w:rsidRPr="002A0D15" w:rsidRDefault="00B97295" w:rsidP="002F1DC7">
            <w:pPr>
              <w:pStyle w:val="NumPlain1"/>
              <w:numPr>
                <w:ilvl w:val="0"/>
                <w:numId w:val="0"/>
              </w:numPr>
              <w:spacing w:before="60" w:after="60"/>
              <w:rPr>
                <w:color w:val="006600"/>
                <w:sz w:val="16"/>
                <w:szCs w:val="16"/>
              </w:rPr>
            </w:pPr>
            <w:r w:rsidRPr="002A0D15">
              <w:rPr>
                <w:b/>
                <w:sz w:val="16"/>
                <w:szCs w:val="16"/>
              </w:rPr>
              <w:t>Grantor</w:t>
            </w:r>
            <w:r w:rsidRPr="002A0D15">
              <w:rPr>
                <w:sz w:val="16"/>
                <w:szCs w:val="16"/>
              </w:rPr>
              <w:t xml:space="preserve"> controls any significant residual interest at end of arrangement.</w:t>
            </w:r>
          </w:p>
        </w:tc>
        <w:tc>
          <w:tcPr>
            <w:tcW w:w="2160" w:type="dxa"/>
            <w:tcBorders>
              <w:top w:val="single" w:sz="4" w:space="0" w:color="auto"/>
              <w:left w:val="single" w:sz="4" w:space="0" w:color="auto"/>
              <w:bottom w:val="single" w:sz="4" w:space="0" w:color="auto"/>
              <w:right w:val="single" w:sz="4" w:space="0" w:color="auto"/>
            </w:tcBorders>
          </w:tcPr>
          <w:p w14:paraId="7CB517B6" w14:textId="77777777" w:rsidR="00B97295" w:rsidRPr="002A0D15" w:rsidRDefault="00B97295" w:rsidP="002F1DC7">
            <w:pPr>
              <w:pStyle w:val="NumPlain1"/>
              <w:numPr>
                <w:ilvl w:val="0"/>
                <w:numId w:val="0"/>
              </w:numPr>
              <w:spacing w:before="60" w:after="60"/>
              <w:rPr>
                <w:sz w:val="16"/>
                <w:szCs w:val="16"/>
              </w:rPr>
            </w:pPr>
            <w:r w:rsidRPr="002A0D15">
              <w:rPr>
                <w:b/>
                <w:sz w:val="16"/>
                <w:szCs w:val="16"/>
              </w:rPr>
              <w:t>Operating lease</w:t>
            </w:r>
            <w:r w:rsidRPr="002A0D15">
              <w:rPr>
                <w:sz w:val="16"/>
                <w:szCs w:val="16"/>
              </w:rPr>
              <w:t xml:space="preserve">: </w:t>
            </w:r>
          </w:p>
          <w:p w14:paraId="7D927387" w14:textId="4A597A66" w:rsidR="00B97295" w:rsidRPr="002A0D15" w:rsidRDefault="00B97295" w:rsidP="002F1DC7">
            <w:pPr>
              <w:pStyle w:val="NumPlain1"/>
              <w:numPr>
                <w:ilvl w:val="0"/>
                <w:numId w:val="0"/>
              </w:numPr>
              <w:spacing w:before="60" w:after="60"/>
              <w:rPr>
                <w:sz w:val="16"/>
                <w:szCs w:val="16"/>
              </w:rPr>
            </w:pPr>
            <w:r w:rsidRPr="002A0D15">
              <w:rPr>
                <w:sz w:val="16"/>
                <w:szCs w:val="16"/>
                <w:u w:val="single"/>
              </w:rPr>
              <w:t>Grantor</w:t>
            </w:r>
            <w:r w:rsidRPr="002A0D15">
              <w:rPr>
                <w:sz w:val="16"/>
                <w:szCs w:val="16"/>
              </w:rPr>
              <w:t xml:space="preserve"> (lessor) controls significant residual interest.</w:t>
            </w:r>
          </w:p>
          <w:p w14:paraId="296B853D" w14:textId="77777777" w:rsidR="00B97295" w:rsidRPr="002A0D15" w:rsidRDefault="00B97295" w:rsidP="00FD3A3C">
            <w:pPr>
              <w:pStyle w:val="NumPlain1"/>
              <w:numPr>
                <w:ilvl w:val="0"/>
                <w:numId w:val="0"/>
              </w:numPr>
              <w:spacing w:before="60" w:after="60"/>
              <w:rPr>
                <w:sz w:val="16"/>
                <w:szCs w:val="16"/>
              </w:rPr>
            </w:pPr>
            <w:r w:rsidRPr="002A0D15">
              <w:rPr>
                <w:b/>
                <w:sz w:val="16"/>
                <w:szCs w:val="16"/>
              </w:rPr>
              <w:t>Finance lease</w:t>
            </w:r>
            <w:r w:rsidRPr="002A0D15">
              <w:rPr>
                <w:sz w:val="16"/>
                <w:szCs w:val="16"/>
              </w:rPr>
              <w:t xml:space="preserve">: </w:t>
            </w:r>
          </w:p>
          <w:p w14:paraId="7D927388" w14:textId="1CE33EAB" w:rsidR="00B97295" w:rsidRPr="002A0D15" w:rsidRDefault="00B97295" w:rsidP="00FD3A3C">
            <w:pPr>
              <w:pStyle w:val="NumPlain1"/>
              <w:numPr>
                <w:ilvl w:val="0"/>
                <w:numId w:val="0"/>
              </w:numPr>
              <w:spacing w:before="60" w:after="60"/>
              <w:rPr>
                <w:sz w:val="16"/>
                <w:szCs w:val="16"/>
              </w:rPr>
            </w:pPr>
            <w:r w:rsidRPr="002A0D15">
              <w:rPr>
                <w:sz w:val="16"/>
                <w:szCs w:val="16"/>
                <w:u w:val="single"/>
              </w:rPr>
              <w:t>No significant residual interest</w:t>
            </w:r>
            <w:r w:rsidRPr="002A0D15">
              <w:rPr>
                <w:sz w:val="16"/>
                <w:szCs w:val="16"/>
              </w:rPr>
              <w:t xml:space="preserve"> expected.</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89" w14:textId="77777777" w:rsidR="00B97295" w:rsidRPr="002A0D15" w:rsidRDefault="00B97295" w:rsidP="002F1DC7">
            <w:pPr>
              <w:pStyle w:val="NumPlain1"/>
              <w:numPr>
                <w:ilvl w:val="0"/>
                <w:numId w:val="0"/>
              </w:numPr>
              <w:spacing w:before="60" w:after="60"/>
              <w:rPr>
                <w:sz w:val="16"/>
                <w:szCs w:val="16"/>
              </w:rPr>
            </w:pPr>
            <w:r w:rsidRPr="002A0D15">
              <w:rPr>
                <w:b/>
                <w:sz w:val="16"/>
                <w:szCs w:val="16"/>
              </w:rPr>
              <w:t>Grantor</w:t>
            </w:r>
            <w:r w:rsidRPr="002A0D15">
              <w:rPr>
                <w:sz w:val="16"/>
                <w:szCs w:val="16"/>
              </w:rPr>
              <w:t xml:space="preserve"> controls any significant residual interest at end of arrangement.</w:t>
            </w:r>
          </w:p>
        </w:tc>
        <w:tc>
          <w:tcPr>
            <w:tcW w:w="1843" w:type="dxa"/>
            <w:tcBorders>
              <w:top w:val="single" w:sz="4" w:space="0" w:color="auto"/>
              <w:left w:val="single" w:sz="4" w:space="0" w:color="auto"/>
              <w:bottom w:val="single" w:sz="4" w:space="0" w:color="auto"/>
              <w:right w:val="single" w:sz="4" w:space="0" w:color="auto"/>
            </w:tcBorders>
          </w:tcPr>
          <w:p w14:paraId="242E1B93" w14:textId="3F748FEE" w:rsidR="00B97295" w:rsidRPr="002A0D15" w:rsidRDefault="00B97295" w:rsidP="00B97295">
            <w:pPr>
              <w:pStyle w:val="NumPlain1"/>
              <w:numPr>
                <w:ilvl w:val="0"/>
                <w:numId w:val="0"/>
              </w:numPr>
              <w:spacing w:before="60" w:after="60"/>
              <w:rPr>
                <w:b/>
                <w:sz w:val="16"/>
                <w:szCs w:val="16"/>
              </w:rPr>
            </w:pPr>
            <w:r w:rsidRPr="002A0D15">
              <w:rPr>
                <w:b/>
                <w:sz w:val="16"/>
                <w:szCs w:val="16"/>
              </w:rPr>
              <w:t>Sale:</w:t>
            </w:r>
          </w:p>
          <w:p w14:paraId="2EDDA8DA" w14:textId="59620EA1" w:rsidR="00432006" w:rsidRPr="002A0D15" w:rsidRDefault="00B97295" w:rsidP="00B97295">
            <w:pPr>
              <w:pStyle w:val="NumPlain1"/>
              <w:numPr>
                <w:ilvl w:val="0"/>
                <w:numId w:val="0"/>
              </w:numPr>
              <w:spacing w:before="60" w:after="60"/>
              <w:rPr>
                <w:sz w:val="16"/>
                <w:szCs w:val="16"/>
              </w:rPr>
            </w:pPr>
            <w:r w:rsidRPr="002A0D15">
              <w:rPr>
                <w:sz w:val="16"/>
                <w:szCs w:val="16"/>
                <w:u w:val="single"/>
              </w:rPr>
              <w:t>No significant residual interest</w:t>
            </w:r>
            <w:r w:rsidRPr="002A0D15">
              <w:rPr>
                <w:sz w:val="16"/>
                <w:szCs w:val="16"/>
              </w:rPr>
              <w:t xml:space="preserve"> expected</w:t>
            </w:r>
            <w:r w:rsidR="00F55DD7" w:rsidRPr="002A0D15">
              <w:rPr>
                <w:sz w:val="16"/>
                <w:szCs w:val="16"/>
              </w:rPr>
              <w:t>.</w:t>
            </w:r>
          </w:p>
          <w:p w14:paraId="3DBD28CD" w14:textId="58EEB9FD" w:rsidR="00F55DD7" w:rsidRPr="002A0D15" w:rsidRDefault="00F55DD7" w:rsidP="00F55DD7">
            <w:pPr>
              <w:pStyle w:val="NumPlain1"/>
              <w:numPr>
                <w:ilvl w:val="0"/>
                <w:numId w:val="0"/>
              </w:numPr>
              <w:spacing w:before="60" w:after="60"/>
              <w:rPr>
                <w:b/>
                <w:sz w:val="16"/>
                <w:szCs w:val="16"/>
              </w:rPr>
            </w:pPr>
            <w:r w:rsidRPr="002A0D15">
              <w:rPr>
                <w:b/>
                <w:sz w:val="16"/>
                <w:szCs w:val="16"/>
              </w:rPr>
              <w:t>Privatisation:</w:t>
            </w:r>
          </w:p>
          <w:p w14:paraId="7D92738A" w14:textId="7D644BA5" w:rsidR="00B97295" w:rsidRPr="002A0D15" w:rsidRDefault="00F55DD7" w:rsidP="00B97295">
            <w:pPr>
              <w:pStyle w:val="NumPlain1"/>
              <w:numPr>
                <w:ilvl w:val="0"/>
                <w:numId w:val="0"/>
              </w:numPr>
              <w:spacing w:before="60" w:after="60"/>
              <w:rPr>
                <w:sz w:val="16"/>
                <w:szCs w:val="16"/>
              </w:rPr>
            </w:pPr>
            <w:r w:rsidRPr="002A0D15">
              <w:rPr>
                <w:sz w:val="16"/>
                <w:szCs w:val="16"/>
              </w:rPr>
              <w:t xml:space="preserve">Grantor </w:t>
            </w:r>
            <w:r w:rsidR="001D2C92" w:rsidRPr="002A0D15">
              <w:rPr>
                <w:sz w:val="16"/>
                <w:szCs w:val="16"/>
              </w:rPr>
              <w:t>may control</w:t>
            </w:r>
            <w:r w:rsidRPr="002A0D15">
              <w:rPr>
                <w:sz w:val="16"/>
                <w:szCs w:val="16"/>
              </w:rPr>
              <w:t xml:space="preserve"> any significant residual interest.</w:t>
            </w:r>
          </w:p>
        </w:tc>
      </w:tr>
      <w:tr w:rsidR="00B97295" w:rsidRPr="002A0D15" w14:paraId="7D927391"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8C" w14:textId="1304F1B2" w:rsidR="00B97295" w:rsidRPr="002A0D15" w:rsidRDefault="00B97295" w:rsidP="001A4EDA">
            <w:pPr>
              <w:pStyle w:val="NumPlain1"/>
              <w:numPr>
                <w:ilvl w:val="0"/>
                <w:numId w:val="0"/>
              </w:numPr>
              <w:spacing w:before="60" w:after="60"/>
              <w:rPr>
                <w:sz w:val="16"/>
                <w:szCs w:val="16"/>
              </w:rPr>
            </w:pPr>
            <w:r w:rsidRPr="002A0D15">
              <w:rPr>
                <w:sz w:val="16"/>
                <w:szCs w:val="16"/>
              </w:rPr>
              <w:t xml:space="preserve">Grantor’s interest </w:t>
            </w:r>
            <w:r w:rsidRPr="002A0D15">
              <w:rPr>
                <w:sz w:val="16"/>
                <w:szCs w:val="16"/>
                <w:u w:val="single"/>
              </w:rPr>
              <w:t>restricts operator’s practical ability</w:t>
            </w:r>
            <w:r w:rsidRPr="002A0D15">
              <w:rPr>
                <w:sz w:val="16"/>
                <w:szCs w:val="16"/>
              </w:rPr>
              <w:t xml:space="preserve"> to sell or pledge asset (paragraph </w:t>
            </w:r>
            <w:r w:rsidR="001A4EDA" w:rsidRPr="002A0D15">
              <w:rPr>
                <w:sz w:val="16"/>
                <w:szCs w:val="16"/>
              </w:rPr>
              <w:fldChar w:fldCharType="begin"/>
            </w:r>
            <w:r w:rsidR="001A4EDA" w:rsidRPr="002A0D15">
              <w:rPr>
                <w:sz w:val="16"/>
                <w:szCs w:val="16"/>
              </w:rPr>
              <w:instrText xml:space="preserve"> REF _Ref486542613 \r \h </w:instrText>
            </w:r>
            <w:r w:rsidR="002A0D15">
              <w:rPr>
                <w:sz w:val="16"/>
                <w:szCs w:val="16"/>
              </w:rPr>
              <w:instrText xml:space="preserve"> \* MERGEFORMAT </w:instrText>
            </w:r>
            <w:r w:rsidR="001A4EDA" w:rsidRPr="002A0D15">
              <w:rPr>
                <w:sz w:val="16"/>
                <w:szCs w:val="16"/>
              </w:rPr>
            </w:r>
            <w:r w:rsidR="001A4EDA" w:rsidRPr="002A0D15">
              <w:rPr>
                <w:sz w:val="16"/>
                <w:szCs w:val="16"/>
              </w:rPr>
              <w:fldChar w:fldCharType="separate"/>
            </w:r>
            <w:r w:rsidR="00C43128">
              <w:rPr>
                <w:sz w:val="16"/>
                <w:szCs w:val="16"/>
              </w:rPr>
              <w:t>B33</w:t>
            </w:r>
            <w:r w:rsidR="001A4EDA" w:rsidRPr="002A0D15">
              <w:rPr>
                <w:sz w:val="16"/>
                <w:szCs w:val="16"/>
              </w:rPr>
              <w:fldChar w:fldCharType="end"/>
            </w:r>
            <w:r w:rsidRPr="002A0D15">
              <w:rPr>
                <w:sz w:val="16"/>
                <w:szCs w:val="16"/>
              </w:rPr>
              <w:t>)?</w:t>
            </w:r>
          </w:p>
        </w:tc>
        <w:tc>
          <w:tcPr>
            <w:tcW w:w="1588" w:type="dxa"/>
            <w:tcBorders>
              <w:top w:val="single" w:sz="4" w:space="0" w:color="auto"/>
              <w:left w:val="single" w:sz="4" w:space="0" w:color="auto"/>
              <w:bottom w:val="single" w:sz="4" w:space="0" w:color="auto"/>
              <w:right w:val="single" w:sz="4" w:space="0" w:color="auto"/>
            </w:tcBorders>
          </w:tcPr>
          <w:p w14:paraId="7D92738D" w14:textId="41928932" w:rsidR="00B97295" w:rsidRPr="002A0D15" w:rsidRDefault="00F55DD7" w:rsidP="002A0D15">
            <w:pPr>
              <w:pStyle w:val="NumPlain1"/>
              <w:numPr>
                <w:ilvl w:val="0"/>
                <w:numId w:val="0"/>
              </w:numPr>
              <w:spacing w:before="60" w:after="60"/>
              <w:rPr>
                <w:color w:val="006600"/>
                <w:sz w:val="16"/>
                <w:szCs w:val="16"/>
              </w:rPr>
            </w:pPr>
            <w:r w:rsidRPr="002A0D15">
              <w:rPr>
                <w:sz w:val="16"/>
                <w:szCs w:val="16"/>
              </w:rPr>
              <w:t>Operator has no ability to sell or pledge the asset</w:t>
            </w:r>
            <w:r w:rsidR="00B97295" w:rsidRPr="002A0D15">
              <w:rPr>
                <w:sz w:val="16"/>
                <w:szCs w:val="16"/>
              </w:rPr>
              <w:t>.</w:t>
            </w:r>
          </w:p>
        </w:tc>
        <w:tc>
          <w:tcPr>
            <w:tcW w:w="2160" w:type="dxa"/>
            <w:tcBorders>
              <w:top w:val="single" w:sz="4" w:space="0" w:color="auto"/>
              <w:left w:val="single" w:sz="4" w:space="0" w:color="auto"/>
              <w:bottom w:val="single" w:sz="4" w:space="0" w:color="auto"/>
              <w:right w:val="single" w:sz="4" w:space="0" w:color="auto"/>
            </w:tcBorders>
          </w:tcPr>
          <w:p w14:paraId="724CB613" w14:textId="7CF9AEE0" w:rsidR="0072669B" w:rsidRPr="002A0D15" w:rsidRDefault="0072669B" w:rsidP="0072669B">
            <w:pPr>
              <w:pStyle w:val="NumPlain1"/>
              <w:numPr>
                <w:ilvl w:val="0"/>
                <w:numId w:val="0"/>
              </w:numPr>
              <w:spacing w:before="60" w:after="60"/>
              <w:rPr>
                <w:sz w:val="16"/>
                <w:szCs w:val="16"/>
              </w:rPr>
            </w:pPr>
            <w:r w:rsidRPr="002A0D15">
              <w:rPr>
                <w:b/>
                <w:sz w:val="16"/>
                <w:szCs w:val="16"/>
              </w:rPr>
              <w:t>Operating lease</w:t>
            </w:r>
            <w:r w:rsidRPr="002A0D15">
              <w:rPr>
                <w:sz w:val="16"/>
                <w:szCs w:val="16"/>
              </w:rPr>
              <w:t>:</w:t>
            </w:r>
          </w:p>
          <w:p w14:paraId="589149C4" w14:textId="77777777" w:rsidR="00B97295" w:rsidRPr="002A0D15" w:rsidRDefault="00B97295" w:rsidP="002827BF">
            <w:pPr>
              <w:pStyle w:val="NumPlain1"/>
              <w:numPr>
                <w:ilvl w:val="0"/>
                <w:numId w:val="0"/>
              </w:numPr>
              <w:spacing w:before="60" w:after="60"/>
              <w:rPr>
                <w:sz w:val="16"/>
                <w:szCs w:val="16"/>
              </w:rPr>
            </w:pPr>
            <w:r w:rsidRPr="002A0D15">
              <w:rPr>
                <w:sz w:val="16"/>
                <w:szCs w:val="16"/>
              </w:rPr>
              <w:t>Grantor’s (lessor</w:t>
            </w:r>
            <w:r w:rsidR="00F71ADA" w:rsidRPr="002A0D15">
              <w:rPr>
                <w:sz w:val="16"/>
                <w:szCs w:val="16"/>
              </w:rPr>
              <w:t>’s</w:t>
            </w:r>
            <w:r w:rsidRPr="002A0D15">
              <w:rPr>
                <w:sz w:val="16"/>
                <w:szCs w:val="16"/>
              </w:rPr>
              <w:t xml:space="preserve">) interest </w:t>
            </w:r>
            <w:r w:rsidRPr="002A0D15">
              <w:rPr>
                <w:b/>
                <w:sz w:val="16"/>
                <w:szCs w:val="16"/>
              </w:rPr>
              <w:t>restricts operator’s (lessee</w:t>
            </w:r>
            <w:r w:rsidR="00F71ADA" w:rsidRPr="002A0D15">
              <w:rPr>
                <w:b/>
                <w:sz w:val="16"/>
                <w:szCs w:val="16"/>
              </w:rPr>
              <w:t>’s</w:t>
            </w:r>
            <w:r w:rsidRPr="002A0D15">
              <w:rPr>
                <w:b/>
                <w:sz w:val="16"/>
                <w:szCs w:val="16"/>
              </w:rPr>
              <w:t>) practical ability</w:t>
            </w:r>
            <w:r w:rsidRPr="002A0D15">
              <w:rPr>
                <w:sz w:val="16"/>
                <w:szCs w:val="16"/>
              </w:rPr>
              <w:t xml:space="preserve"> to sell or pledge asset.</w:t>
            </w:r>
          </w:p>
          <w:p w14:paraId="58C7D7D1" w14:textId="77777777" w:rsidR="0072669B" w:rsidRPr="002A0D15" w:rsidRDefault="0072669B" w:rsidP="0072669B">
            <w:pPr>
              <w:pStyle w:val="NumPlain1"/>
              <w:numPr>
                <w:ilvl w:val="0"/>
                <w:numId w:val="0"/>
              </w:numPr>
              <w:spacing w:before="60" w:after="60"/>
              <w:rPr>
                <w:sz w:val="16"/>
                <w:szCs w:val="16"/>
              </w:rPr>
            </w:pPr>
            <w:r w:rsidRPr="002A0D15">
              <w:rPr>
                <w:b/>
                <w:sz w:val="16"/>
                <w:szCs w:val="16"/>
              </w:rPr>
              <w:t>Finance lease</w:t>
            </w:r>
            <w:r w:rsidRPr="002A0D15">
              <w:rPr>
                <w:sz w:val="16"/>
                <w:szCs w:val="16"/>
              </w:rPr>
              <w:t xml:space="preserve">: </w:t>
            </w:r>
          </w:p>
          <w:p w14:paraId="7D92738E" w14:textId="13CDBD4D" w:rsidR="0072669B" w:rsidRPr="002A0D15" w:rsidRDefault="0072669B" w:rsidP="002827BF">
            <w:pPr>
              <w:pStyle w:val="NumPlain1"/>
              <w:numPr>
                <w:ilvl w:val="0"/>
                <w:numId w:val="0"/>
              </w:numPr>
              <w:spacing w:before="60" w:after="60"/>
              <w:rPr>
                <w:sz w:val="16"/>
                <w:szCs w:val="16"/>
              </w:rPr>
            </w:pPr>
            <w:r w:rsidRPr="002A0D15">
              <w:rPr>
                <w:sz w:val="16"/>
                <w:szCs w:val="16"/>
              </w:rPr>
              <w:t>Protective rights of the grantor (lessor) typically define the scope of the operator’s (lessee’s) right of use.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8F" w14:textId="77777777" w:rsidR="00B97295" w:rsidRPr="002A0D15" w:rsidRDefault="00B97295" w:rsidP="00B93C44">
            <w:pPr>
              <w:pStyle w:val="NumPlain1"/>
              <w:numPr>
                <w:ilvl w:val="0"/>
                <w:numId w:val="0"/>
              </w:numPr>
              <w:spacing w:before="60" w:after="60"/>
              <w:rPr>
                <w:sz w:val="16"/>
                <w:szCs w:val="16"/>
              </w:rPr>
            </w:pPr>
            <w:r w:rsidRPr="002A0D15">
              <w:rPr>
                <w:sz w:val="16"/>
                <w:szCs w:val="16"/>
              </w:rPr>
              <w:t xml:space="preserve">Grantor’s interest </w:t>
            </w:r>
            <w:r w:rsidRPr="002A0D15">
              <w:rPr>
                <w:b/>
                <w:sz w:val="16"/>
                <w:szCs w:val="16"/>
              </w:rPr>
              <w:t>restricts operator’s practical ability</w:t>
            </w:r>
            <w:r w:rsidRPr="002A0D15">
              <w:rPr>
                <w:sz w:val="16"/>
                <w:szCs w:val="16"/>
              </w:rPr>
              <w:t xml:space="preserve"> to sell or pledge asset.</w:t>
            </w:r>
          </w:p>
        </w:tc>
        <w:tc>
          <w:tcPr>
            <w:tcW w:w="1843" w:type="dxa"/>
            <w:tcBorders>
              <w:top w:val="single" w:sz="4" w:space="0" w:color="auto"/>
              <w:left w:val="single" w:sz="4" w:space="0" w:color="auto"/>
              <w:bottom w:val="single" w:sz="4" w:space="0" w:color="auto"/>
              <w:right w:val="single" w:sz="4" w:space="0" w:color="auto"/>
            </w:tcBorders>
          </w:tcPr>
          <w:p w14:paraId="2036BF40" w14:textId="1EA648B7" w:rsidR="00867B7E" w:rsidRPr="002A0D15" w:rsidRDefault="00867B7E" w:rsidP="00867B7E">
            <w:pPr>
              <w:pStyle w:val="NumPlain1"/>
              <w:numPr>
                <w:ilvl w:val="0"/>
                <w:numId w:val="0"/>
              </w:numPr>
              <w:spacing w:before="60" w:after="60"/>
              <w:rPr>
                <w:b/>
                <w:sz w:val="16"/>
                <w:szCs w:val="16"/>
              </w:rPr>
            </w:pPr>
            <w:r w:rsidRPr="002A0D15">
              <w:rPr>
                <w:b/>
                <w:sz w:val="16"/>
                <w:szCs w:val="16"/>
              </w:rPr>
              <w:t>Sale:</w:t>
            </w:r>
          </w:p>
          <w:p w14:paraId="6F53CEEB" w14:textId="089DCB69" w:rsidR="00867B7E" w:rsidRPr="002A0D15" w:rsidRDefault="00867B7E" w:rsidP="00867B7E">
            <w:pPr>
              <w:pStyle w:val="NumPlain1"/>
              <w:numPr>
                <w:ilvl w:val="0"/>
                <w:numId w:val="0"/>
              </w:numPr>
              <w:spacing w:before="60" w:after="60"/>
              <w:rPr>
                <w:sz w:val="16"/>
                <w:szCs w:val="16"/>
              </w:rPr>
            </w:pPr>
            <w:r w:rsidRPr="002A0D15">
              <w:rPr>
                <w:sz w:val="16"/>
                <w:szCs w:val="16"/>
              </w:rPr>
              <w:t>Not applicable.</w:t>
            </w:r>
          </w:p>
          <w:p w14:paraId="7D35F0F3" w14:textId="77777777" w:rsidR="00867B7E" w:rsidRPr="002A0D15" w:rsidRDefault="00867B7E" w:rsidP="00867B7E">
            <w:pPr>
              <w:pStyle w:val="NumPlain1"/>
              <w:numPr>
                <w:ilvl w:val="0"/>
                <w:numId w:val="0"/>
              </w:numPr>
              <w:spacing w:before="60" w:after="60"/>
              <w:rPr>
                <w:b/>
                <w:sz w:val="16"/>
                <w:szCs w:val="16"/>
              </w:rPr>
            </w:pPr>
            <w:r w:rsidRPr="002A0D15">
              <w:rPr>
                <w:b/>
                <w:sz w:val="16"/>
                <w:szCs w:val="16"/>
              </w:rPr>
              <w:t>Privatisation:</w:t>
            </w:r>
          </w:p>
          <w:p w14:paraId="7D927390" w14:textId="46592064" w:rsidR="00B97295" w:rsidRPr="002A0D15" w:rsidRDefault="00867B7E" w:rsidP="00F71ADA">
            <w:pPr>
              <w:pStyle w:val="NumPlain1"/>
              <w:numPr>
                <w:ilvl w:val="0"/>
                <w:numId w:val="0"/>
              </w:numPr>
              <w:spacing w:before="60" w:after="60"/>
              <w:rPr>
                <w:sz w:val="16"/>
                <w:szCs w:val="16"/>
              </w:rPr>
            </w:pPr>
            <w:r w:rsidRPr="002A0D15">
              <w:rPr>
                <w:sz w:val="16"/>
                <w:szCs w:val="16"/>
              </w:rPr>
              <w:t xml:space="preserve">Grantor’s interest </w:t>
            </w:r>
            <w:r w:rsidRPr="002A0D15">
              <w:rPr>
                <w:b/>
                <w:sz w:val="16"/>
                <w:szCs w:val="16"/>
              </w:rPr>
              <w:t>restricts operator’s practical ability</w:t>
            </w:r>
            <w:r w:rsidRPr="002A0D15">
              <w:rPr>
                <w:sz w:val="16"/>
                <w:szCs w:val="16"/>
              </w:rPr>
              <w:t xml:space="preserve"> to sell or pledge asset.</w:t>
            </w:r>
          </w:p>
        </w:tc>
      </w:tr>
      <w:tr w:rsidR="00B97295" w:rsidRPr="002A0D15" w14:paraId="7D927397" w14:textId="77777777" w:rsidTr="00006562">
        <w:tc>
          <w:tcPr>
            <w:tcW w:w="1735" w:type="dxa"/>
            <w:tcBorders>
              <w:top w:val="single" w:sz="4" w:space="0" w:color="auto"/>
              <w:left w:val="single" w:sz="4" w:space="0" w:color="auto"/>
              <w:bottom w:val="single" w:sz="4" w:space="0" w:color="auto"/>
              <w:right w:val="single" w:sz="4" w:space="0" w:color="auto"/>
            </w:tcBorders>
            <w:shd w:val="clear" w:color="auto" w:fill="auto"/>
          </w:tcPr>
          <w:p w14:paraId="7D927392" w14:textId="77777777" w:rsidR="00B97295" w:rsidRPr="002A0D15" w:rsidRDefault="00B97295" w:rsidP="006F72D5">
            <w:pPr>
              <w:pStyle w:val="NumPlain1"/>
              <w:numPr>
                <w:ilvl w:val="0"/>
                <w:numId w:val="0"/>
              </w:numPr>
              <w:spacing w:before="60" w:after="60"/>
              <w:rPr>
                <w:b/>
                <w:sz w:val="16"/>
                <w:szCs w:val="16"/>
              </w:rPr>
            </w:pPr>
            <w:r w:rsidRPr="002A0D15">
              <w:rPr>
                <w:b/>
                <w:sz w:val="16"/>
                <w:szCs w:val="16"/>
              </w:rPr>
              <w:t>Relevant Accounting Standards</w:t>
            </w:r>
          </w:p>
        </w:tc>
        <w:tc>
          <w:tcPr>
            <w:tcW w:w="1588" w:type="dxa"/>
            <w:tcBorders>
              <w:top w:val="single" w:sz="4" w:space="0" w:color="auto"/>
              <w:left w:val="single" w:sz="4" w:space="0" w:color="auto"/>
              <w:bottom w:val="single" w:sz="4" w:space="0" w:color="auto"/>
              <w:right w:val="single" w:sz="4" w:space="0" w:color="auto"/>
            </w:tcBorders>
          </w:tcPr>
          <w:p w14:paraId="7D927393" w14:textId="77777777" w:rsidR="00B97295" w:rsidRPr="002A0D15" w:rsidRDefault="00B97295" w:rsidP="00E1667E">
            <w:pPr>
              <w:pStyle w:val="NumPlain1"/>
              <w:numPr>
                <w:ilvl w:val="0"/>
                <w:numId w:val="0"/>
              </w:numPr>
              <w:spacing w:before="60" w:after="60"/>
              <w:jc w:val="center"/>
              <w:rPr>
                <w:sz w:val="16"/>
                <w:szCs w:val="16"/>
              </w:rPr>
            </w:pPr>
            <w:r w:rsidRPr="002A0D15">
              <w:rPr>
                <w:sz w:val="16"/>
                <w:szCs w:val="16"/>
              </w:rPr>
              <w:t>AASB 116</w:t>
            </w:r>
            <w:r w:rsidRPr="002A0D15">
              <w:rPr>
                <w:sz w:val="16"/>
                <w:szCs w:val="16"/>
              </w:rPr>
              <w:br/>
              <w:t>AASB 101</w:t>
            </w:r>
          </w:p>
        </w:tc>
        <w:tc>
          <w:tcPr>
            <w:tcW w:w="2160" w:type="dxa"/>
            <w:tcBorders>
              <w:top w:val="single" w:sz="4" w:space="0" w:color="auto"/>
              <w:left w:val="single" w:sz="4" w:space="0" w:color="auto"/>
              <w:bottom w:val="single" w:sz="4" w:space="0" w:color="auto"/>
              <w:right w:val="single" w:sz="4" w:space="0" w:color="auto"/>
            </w:tcBorders>
          </w:tcPr>
          <w:p w14:paraId="7D927394" w14:textId="77777777" w:rsidR="00B97295" w:rsidRPr="002A0D15" w:rsidRDefault="00B97295" w:rsidP="006F72D5">
            <w:pPr>
              <w:pStyle w:val="NumPlain1"/>
              <w:numPr>
                <w:ilvl w:val="0"/>
                <w:numId w:val="0"/>
              </w:numPr>
              <w:spacing w:before="60" w:after="60"/>
              <w:jc w:val="center"/>
              <w:rPr>
                <w:sz w:val="16"/>
                <w:szCs w:val="16"/>
              </w:rPr>
            </w:pPr>
            <w:r w:rsidRPr="002A0D15">
              <w:rPr>
                <w:sz w:val="16"/>
                <w:szCs w:val="16"/>
              </w:rPr>
              <w:t>AASB 16</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7395" w14:textId="109701BF" w:rsidR="00B97295" w:rsidRPr="002A0D15" w:rsidRDefault="00B97295" w:rsidP="006F72D5">
            <w:pPr>
              <w:pStyle w:val="NumPlain1"/>
              <w:numPr>
                <w:ilvl w:val="0"/>
                <w:numId w:val="0"/>
              </w:numPr>
              <w:spacing w:before="60" w:after="60"/>
              <w:jc w:val="center"/>
              <w:rPr>
                <w:sz w:val="16"/>
                <w:szCs w:val="16"/>
              </w:rPr>
            </w:pPr>
            <w:r w:rsidRPr="002A0D15">
              <w:rPr>
                <w:sz w:val="16"/>
                <w:szCs w:val="16"/>
              </w:rPr>
              <w:t xml:space="preserve">AASB </w:t>
            </w:r>
            <w:r w:rsidR="005F6667">
              <w:rPr>
                <w:sz w:val="16"/>
                <w:szCs w:val="16"/>
              </w:rPr>
              <w:t>1059</w:t>
            </w:r>
          </w:p>
        </w:tc>
        <w:tc>
          <w:tcPr>
            <w:tcW w:w="1843" w:type="dxa"/>
            <w:tcBorders>
              <w:top w:val="single" w:sz="4" w:space="0" w:color="auto"/>
              <w:left w:val="single" w:sz="4" w:space="0" w:color="auto"/>
              <w:bottom w:val="single" w:sz="4" w:space="0" w:color="auto"/>
              <w:right w:val="single" w:sz="4" w:space="0" w:color="auto"/>
            </w:tcBorders>
          </w:tcPr>
          <w:p w14:paraId="7D927396" w14:textId="77777777" w:rsidR="00B97295" w:rsidRPr="002A0D15" w:rsidRDefault="00B97295" w:rsidP="006F72D5">
            <w:pPr>
              <w:pStyle w:val="NumPlain1"/>
              <w:numPr>
                <w:ilvl w:val="0"/>
                <w:numId w:val="0"/>
              </w:numPr>
              <w:spacing w:before="60" w:after="60"/>
              <w:jc w:val="center"/>
              <w:rPr>
                <w:sz w:val="16"/>
                <w:szCs w:val="16"/>
              </w:rPr>
            </w:pPr>
            <w:r w:rsidRPr="002A0D15">
              <w:rPr>
                <w:sz w:val="16"/>
                <w:szCs w:val="16"/>
              </w:rPr>
              <w:t>AASB 116 / AASB 138</w:t>
            </w:r>
          </w:p>
        </w:tc>
      </w:tr>
      <w:tr w:rsidR="00461205" w:rsidRPr="002A0D15" w14:paraId="718D1644" w14:textId="77777777" w:rsidTr="00006562">
        <w:tc>
          <w:tcPr>
            <w:tcW w:w="1588" w:type="dxa"/>
            <w:gridSpan w:val="5"/>
            <w:tcBorders>
              <w:top w:val="single" w:sz="4" w:space="0" w:color="auto"/>
              <w:left w:val="single" w:sz="4" w:space="0" w:color="auto"/>
              <w:bottom w:val="single" w:sz="4" w:space="0" w:color="auto"/>
              <w:right w:val="single" w:sz="4" w:space="0" w:color="auto"/>
            </w:tcBorders>
            <w:shd w:val="clear" w:color="auto" w:fill="auto"/>
          </w:tcPr>
          <w:p w14:paraId="27911DCE" w14:textId="77777777" w:rsidR="00461205" w:rsidRPr="002A0D15" w:rsidRDefault="00461205" w:rsidP="00461205">
            <w:pPr>
              <w:pStyle w:val="NumPlain1"/>
              <w:numPr>
                <w:ilvl w:val="0"/>
                <w:numId w:val="0"/>
              </w:numPr>
              <w:spacing w:before="60" w:after="60"/>
              <w:rPr>
                <w:b/>
                <w:sz w:val="16"/>
                <w:szCs w:val="16"/>
              </w:rPr>
            </w:pPr>
            <w:r w:rsidRPr="002A0D15">
              <w:rPr>
                <w:b/>
                <w:sz w:val="16"/>
                <w:szCs w:val="16"/>
              </w:rPr>
              <w:t>NOTES:</w:t>
            </w:r>
          </w:p>
          <w:p w14:paraId="0E6C7339" w14:textId="7B8F2DEF" w:rsidR="00461205" w:rsidRPr="00461205" w:rsidRDefault="00461205" w:rsidP="003102C2">
            <w:pPr>
              <w:pStyle w:val="IASBNote"/>
              <w:numPr>
                <w:ilvl w:val="6"/>
                <w:numId w:val="40"/>
              </w:numPr>
              <w:tabs>
                <w:tab w:val="clear" w:pos="3371"/>
                <w:tab w:val="clear" w:pos="4253"/>
                <w:tab w:val="num" w:pos="284"/>
              </w:tabs>
              <w:spacing w:after="0"/>
              <w:ind w:left="284" w:hanging="284"/>
              <w:rPr>
                <w:i w:val="0"/>
                <w:sz w:val="16"/>
                <w:szCs w:val="16"/>
              </w:rPr>
            </w:pPr>
            <w:r w:rsidRPr="002A0D15">
              <w:rPr>
                <w:i w:val="0"/>
                <w:sz w:val="16"/>
                <w:szCs w:val="16"/>
              </w:rPr>
              <w:t>A construction contract with a service outsourcing contract is a contract for the construction of an asset or a combination of assets with provision of services over a specified period.</w:t>
            </w:r>
          </w:p>
        </w:tc>
      </w:tr>
    </w:tbl>
    <w:p w14:paraId="5911F62A" w14:textId="77777777" w:rsidR="009C3DE9" w:rsidRPr="009C3DE9" w:rsidRDefault="009C3DE9">
      <w:pPr>
        <w:rPr>
          <w:sz w:val="2"/>
          <w:szCs w:val="2"/>
        </w:rPr>
      </w:pPr>
      <w:r w:rsidRPr="009C3DE9">
        <w:rPr>
          <w:i/>
          <w:sz w:val="2"/>
          <w:szCs w:val="2"/>
        </w:rPr>
        <w:br w:type="page"/>
      </w:r>
    </w:p>
    <w:tbl>
      <w:tblPr>
        <w:tblStyle w:val="TableGrid"/>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Key features of common types of arrangements (continued)"/>
        <w:tblDescription w:val="Further notes to the table"/>
      </w:tblPr>
      <w:tblGrid>
        <w:gridCol w:w="9107"/>
      </w:tblGrid>
      <w:tr w:rsidR="009C3DE9" w:rsidRPr="002A0D15" w14:paraId="558C5520" w14:textId="77777777" w:rsidTr="00665B76">
        <w:trPr>
          <w:tblHeader/>
        </w:trPr>
        <w:tc>
          <w:tcPr>
            <w:tcW w:w="9107" w:type="dxa"/>
            <w:shd w:val="clear" w:color="auto" w:fill="auto"/>
          </w:tcPr>
          <w:p w14:paraId="4B56CE91" w14:textId="77777777" w:rsidR="009C3DE9" w:rsidRPr="002A0D15" w:rsidRDefault="009C3DE9" w:rsidP="009C3DE9">
            <w:pPr>
              <w:pStyle w:val="IASBNote"/>
              <w:numPr>
                <w:ilvl w:val="6"/>
                <w:numId w:val="40"/>
              </w:numPr>
              <w:tabs>
                <w:tab w:val="clear" w:pos="3371"/>
                <w:tab w:val="clear" w:pos="4253"/>
                <w:tab w:val="num" w:pos="284"/>
              </w:tabs>
              <w:spacing w:after="0"/>
              <w:ind w:left="284" w:hanging="284"/>
              <w:rPr>
                <w:i w:val="0"/>
                <w:sz w:val="16"/>
                <w:szCs w:val="16"/>
              </w:rPr>
            </w:pPr>
            <w:r w:rsidRPr="002A0D15">
              <w:rPr>
                <w:i w:val="0"/>
                <w:sz w:val="16"/>
                <w:szCs w:val="16"/>
              </w:rPr>
              <w:lastRenderedPageBreak/>
              <w:t xml:space="preserve">A lease is a contract that conveys the right to use </w:t>
            </w:r>
            <w:r>
              <w:rPr>
                <w:i w:val="0"/>
                <w:sz w:val="16"/>
                <w:szCs w:val="16"/>
              </w:rPr>
              <w:t xml:space="preserve">a </w:t>
            </w:r>
            <w:r w:rsidRPr="002A0D15">
              <w:rPr>
                <w:i w:val="0"/>
                <w:sz w:val="16"/>
                <w:szCs w:val="16"/>
              </w:rPr>
              <w:t>specified asset for a period of time in exchange for consideration (as defined in AASB 16).</w:t>
            </w:r>
          </w:p>
          <w:p w14:paraId="4999D029" w14:textId="5DC61627" w:rsidR="009C3DE9" w:rsidRDefault="009C3DE9" w:rsidP="009C3DE9">
            <w:pPr>
              <w:pStyle w:val="IASBNote"/>
              <w:numPr>
                <w:ilvl w:val="6"/>
                <w:numId w:val="40"/>
              </w:numPr>
              <w:tabs>
                <w:tab w:val="clear" w:pos="3371"/>
                <w:tab w:val="clear" w:pos="4253"/>
                <w:tab w:val="num" w:pos="284"/>
              </w:tabs>
              <w:spacing w:after="0"/>
              <w:ind w:left="284" w:hanging="284"/>
              <w:rPr>
                <w:i w:val="0"/>
                <w:sz w:val="16"/>
                <w:szCs w:val="16"/>
              </w:rPr>
            </w:pPr>
            <w:r w:rsidRPr="002A0D15">
              <w:rPr>
                <w:i w:val="0"/>
                <w:sz w:val="16"/>
                <w:szCs w:val="16"/>
              </w:rPr>
              <w:t xml:space="preserve">A service concession arrangement is a contract between a grantor and an operator in which the operator has the right to access the service concession asset to provide public services on behalf of the grantor, the operator is responsible for at least some of the management of the public services, and the operator is compensated for the services over the period of the service concession arrangement (as defined in AASB </w:t>
            </w:r>
            <w:r w:rsidR="005F6667">
              <w:rPr>
                <w:i w:val="0"/>
                <w:sz w:val="16"/>
                <w:szCs w:val="16"/>
              </w:rPr>
              <w:t>1059</w:t>
            </w:r>
            <w:r w:rsidRPr="002A0D15">
              <w:rPr>
                <w:i w:val="0"/>
                <w:sz w:val="16"/>
                <w:szCs w:val="16"/>
              </w:rPr>
              <w:t>).</w:t>
            </w:r>
          </w:p>
          <w:p w14:paraId="17B9FF85" w14:textId="2CD3813F" w:rsidR="009C3DE9" w:rsidRPr="002A0D15" w:rsidRDefault="009C3DE9" w:rsidP="009C3DE9">
            <w:pPr>
              <w:pStyle w:val="IASBNote"/>
              <w:numPr>
                <w:ilvl w:val="6"/>
                <w:numId w:val="40"/>
              </w:numPr>
              <w:tabs>
                <w:tab w:val="clear" w:pos="3371"/>
                <w:tab w:val="clear" w:pos="4253"/>
                <w:tab w:val="num" w:pos="284"/>
              </w:tabs>
              <w:spacing w:after="0"/>
              <w:ind w:left="284" w:hanging="284"/>
              <w:rPr>
                <w:i w:val="0"/>
                <w:sz w:val="16"/>
                <w:szCs w:val="16"/>
              </w:rPr>
            </w:pPr>
            <w:r w:rsidRPr="002A0D15">
              <w:rPr>
                <w:i w:val="0"/>
                <w:sz w:val="16"/>
                <w:szCs w:val="16"/>
              </w:rPr>
              <w:t>A sale or privatisation is an arrangement that transfers the asset and its related services from public to private ownership/ control.</w:t>
            </w:r>
          </w:p>
        </w:tc>
      </w:tr>
    </w:tbl>
    <w:p w14:paraId="7D92739E" w14:textId="77777777" w:rsidR="00853391" w:rsidRPr="00662611" w:rsidRDefault="00853391" w:rsidP="00CA7D58">
      <w:pPr>
        <w:pStyle w:val="IASBSectionTitle2Ind"/>
        <w:spacing w:before="480"/>
      </w:pPr>
      <w:r w:rsidRPr="00662611">
        <w:t>Guidance examples</w:t>
      </w:r>
    </w:p>
    <w:p w14:paraId="7D92739F" w14:textId="01A44B31" w:rsidR="00853391" w:rsidRPr="00662611" w:rsidRDefault="00853391" w:rsidP="00E134B0">
      <w:pPr>
        <w:pStyle w:val="IGpara1"/>
        <w:ind w:left="782" w:hanging="782"/>
      </w:pPr>
      <w:r w:rsidRPr="00662611">
        <w:t>The guidance examples below illustrate the features of the types of arrangements for private sector participation in the provision of public services that are outlined in the table in paragraph </w:t>
      </w:r>
      <w:r w:rsidR="00ED48E4">
        <w:fldChar w:fldCharType="begin"/>
      </w:r>
      <w:r w:rsidR="00ED48E4">
        <w:instrText xml:space="preserve"> REF _Ref486087154 \r \h </w:instrText>
      </w:r>
      <w:r w:rsidR="00ED48E4">
        <w:fldChar w:fldCharType="separate"/>
      </w:r>
      <w:r w:rsidR="00C43128">
        <w:t>IG13</w:t>
      </w:r>
      <w:r w:rsidR="00ED48E4">
        <w:fldChar w:fldCharType="end"/>
      </w:r>
      <w:r w:rsidRPr="00662611">
        <w:t>:</w:t>
      </w:r>
    </w:p>
    <w:p w14:paraId="7D9273A0" w14:textId="77777777" w:rsidR="00853391" w:rsidRPr="00662611" w:rsidRDefault="00853391" w:rsidP="003102C2">
      <w:pPr>
        <w:pStyle w:val="IGpara1"/>
        <w:numPr>
          <w:ilvl w:val="1"/>
          <w:numId w:val="38"/>
        </w:numPr>
        <w:ind w:left="1564" w:hanging="782"/>
      </w:pPr>
      <w:r w:rsidRPr="00662611">
        <w:t>an arrangement that is a construction contract with a service contract;</w:t>
      </w:r>
    </w:p>
    <w:p w14:paraId="7D9273A1" w14:textId="77777777" w:rsidR="00853391" w:rsidRPr="00662611" w:rsidRDefault="00853391" w:rsidP="003102C2">
      <w:pPr>
        <w:pStyle w:val="IGpara1"/>
        <w:numPr>
          <w:ilvl w:val="1"/>
          <w:numId w:val="38"/>
        </w:numPr>
        <w:ind w:left="1564" w:hanging="782"/>
      </w:pPr>
      <w:r w:rsidRPr="00662611">
        <w:t xml:space="preserve">an arrangement that contains a lease; </w:t>
      </w:r>
    </w:p>
    <w:p w14:paraId="7D9273A2" w14:textId="77777777" w:rsidR="008069A5" w:rsidRPr="00662611" w:rsidRDefault="008069A5" w:rsidP="003102C2">
      <w:pPr>
        <w:pStyle w:val="IGpara1"/>
        <w:numPr>
          <w:ilvl w:val="1"/>
          <w:numId w:val="38"/>
        </w:numPr>
        <w:ind w:left="1564" w:hanging="782"/>
      </w:pPr>
      <w:r w:rsidRPr="00662611">
        <w:t xml:space="preserve">an arrangement that contains </w:t>
      </w:r>
      <w:r w:rsidR="00933EAC" w:rsidRPr="00662611">
        <w:t xml:space="preserve">a </w:t>
      </w:r>
      <w:r w:rsidRPr="00662611">
        <w:t>service concession arrangement that is partly regulated and partly unregulated; and</w:t>
      </w:r>
    </w:p>
    <w:p w14:paraId="7D9273A3" w14:textId="77777777" w:rsidR="00853391" w:rsidRPr="00662611" w:rsidRDefault="00853391" w:rsidP="003102C2">
      <w:pPr>
        <w:pStyle w:val="IGpara1"/>
        <w:numPr>
          <w:ilvl w:val="1"/>
          <w:numId w:val="38"/>
        </w:numPr>
        <w:ind w:left="1564" w:hanging="782"/>
      </w:pPr>
      <w:proofErr w:type="gramStart"/>
      <w:r w:rsidRPr="00662611">
        <w:t>an</w:t>
      </w:r>
      <w:proofErr w:type="gramEnd"/>
      <w:r w:rsidRPr="00662611">
        <w:t xml:space="preserve"> arrangement that is a sale or privatisation.</w:t>
      </w:r>
    </w:p>
    <w:p w14:paraId="7D9273A4" w14:textId="77777777" w:rsidR="00853391" w:rsidRPr="00662611" w:rsidRDefault="00F369E8" w:rsidP="00267097">
      <w:pPr>
        <w:pStyle w:val="IASBSectionTitle3Ind"/>
      </w:pPr>
      <w:r w:rsidRPr="00662611">
        <w:t>E</w:t>
      </w:r>
      <w:r w:rsidR="00853391" w:rsidRPr="00662611">
        <w:t xml:space="preserve">xample </w:t>
      </w:r>
      <w:r w:rsidR="000E5BBA" w:rsidRPr="00662611">
        <w:t>3</w:t>
      </w:r>
      <w:r w:rsidR="00495453" w:rsidRPr="00662611">
        <w:t xml:space="preserve">: </w:t>
      </w:r>
      <w:r w:rsidR="00853391" w:rsidRPr="00662611">
        <w:t>Const</w:t>
      </w:r>
      <w:r w:rsidR="000E5BBA" w:rsidRPr="00662611">
        <w:t xml:space="preserve">ruction contract with </w:t>
      </w:r>
      <w:r w:rsidR="007E644E" w:rsidRPr="00662611">
        <w:t>limited operator services</w:t>
      </w:r>
    </w:p>
    <w:p w14:paraId="7D9273A5" w14:textId="042E4ED5" w:rsidR="007A3EA7" w:rsidRPr="00662611" w:rsidRDefault="009E0727" w:rsidP="00E134B0">
      <w:pPr>
        <w:pStyle w:val="IGpara1"/>
        <w:ind w:left="782" w:hanging="782"/>
      </w:pPr>
      <w:r w:rsidRPr="00662611">
        <w:t xml:space="preserve">This </w:t>
      </w:r>
      <w:r w:rsidR="009017E5" w:rsidRPr="00662611">
        <w:t xml:space="preserve">example illustrates </w:t>
      </w:r>
      <w:r w:rsidR="00CE3E84" w:rsidRPr="00662611">
        <w:t xml:space="preserve">an arrangement </w:t>
      </w:r>
      <w:r w:rsidR="007A3EA7" w:rsidRPr="00662611">
        <w:t xml:space="preserve">that </w:t>
      </w:r>
      <w:r w:rsidR="00CE3E84" w:rsidRPr="00662611">
        <w:t xml:space="preserve">involves the operator </w:t>
      </w:r>
      <w:r w:rsidR="00D96CF6" w:rsidRPr="00662611">
        <w:t>agreeing to construct</w:t>
      </w:r>
      <w:r w:rsidR="00CE3E84" w:rsidRPr="00662611">
        <w:t xml:space="preserve"> </w:t>
      </w:r>
      <w:r w:rsidR="007A3EA7" w:rsidRPr="00662611">
        <w:t xml:space="preserve">an asset or group of assets </w:t>
      </w:r>
      <w:r w:rsidR="00504E4F" w:rsidRPr="00662611">
        <w:t xml:space="preserve">(a school) </w:t>
      </w:r>
      <w:r w:rsidR="007A3EA7" w:rsidRPr="00662611">
        <w:t xml:space="preserve">for the grantor </w:t>
      </w:r>
      <w:r w:rsidR="00CE3E84" w:rsidRPr="00662611">
        <w:t xml:space="preserve">with </w:t>
      </w:r>
      <w:r w:rsidR="007A3EA7" w:rsidRPr="00662611">
        <w:t xml:space="preserve">a contract for the provision of </w:t>
      </w:r>
      <w:r w:rsidR="00504E4F" w:rsidRPr="00662611">
        <w:t xml:space="preserve">cleaning and security </w:t>
      </w:r>
      <w:r w:rsidR="007A3EA7" w:rsidRPr="00662611">
        <w:t>service</w:t>
      </w:r>
      <w:r w:rsidRPr="00662611">
        <w:t>s</w:t>
      </w:r>
      <w:r w:rsidR="007A3EA7" w:rsidRPr="00662611">
        <w:t xml:space="preserve"> over a specified period of time. The example</w:t>
      </w:r>
      <w:r w:rsidR="002C5F60" w:rsidRPr="00662611">
        <w:t xml:space="preserve"> is based on the facts and circumstances in </w:t>
      </w:r>
      <w:r w:rsidR="00504E4F" w:rsidRPr="00662611">
        <w:t>Example </w:t>
      </w:r>
      <w:r w:rsidR="00924B27" w:rsidRPr="00662611">
        <w:t>1 (</w:t>
      </w:r>
      <w:r w:rsidR="005A252B" w:rsidRPr="00662611">
        <w:t>paragraphs</w:t>
      </w:r>
      <w:r w:rsidR="00924B27" w:rsidRPr="00662611">
        <w:t> </w:t>
      </w:r>
      <w:r w:rsidR="00ED48E4">
        <w:fldChar w:fldCharType="begin"/>
      </w:r>
      <w:r w:rsidR="00ED48E4">
        <w:instrText xml:space="preserve"> REF _Ref486087182 \r \h </w:instrText>
      </w:r>
      <w:r w:rsidR="00ED48E4">
        <w:fldChar w:fldCharType="separate"/>
      </w:r>
      <w:r w:rsidR="00C43128">
        <w:t>IG4</w:t>
      </w:r>
      <w:r w:rsidR="00ED48E4">
        <w:fldChar w:fldCharType="end"/>
      </w:r>
      <w:r w:rsidR="002C5F60" w:rsidRPr="00662611">
        <w:t>–</w:t>
      </w:r>
      <w:r w:rsidR="00ED48E4">
        <w:fldChar w:fldCharType="begin"/>
      </w:r>
      <w:r w:rsidR="00ED48E4">
        <w:instrText xml:space="preserve"> REF _Ref486087207 \r \h </w:instrText>
      </w:r>
      <w:r w:rsidR="00ED48E4">
        <w:fldChar w:fldCharType="separate"/>
      </w:r>
      <w:r w:rsidR="00C43128">
        <w:t>IG5</w:t>
      </w:r>
      <w:r w:rsidR="00ED48E4">
        <w:fldChar w:fldCharType="end"/>
      </w:r>
      <w:r w:rsidR="00924B27" w:rsidRPr="00662611">
        <w:t>)</w:t>
      </w:r>
      <w:r w:rsidRPr="00662611">
        <w:t>. T</w:t>
      </w:r>
      <w:r w:rsidR="00E134B0" w:rsidRPr="00662611">
        <w:t>he grantor:</w:t>
      </w:r>
    </w:p>
    <w:p w14:paraId="7D9273A6" w14:textId="021156FF" w:rsidR="00E134B0" w:rsidRPr="00662611" w:rsidRDefault="00CE481E" w:rsidP="003102C2">
      <w:pPr>
        <w:pStyle w:val="IGpara1"/>
        <w:numPr>
          <w:ilvl w:val="1"/>
          <w:numId w:val="38"/>
        </w:numPr>
        <w:ind w:left="1564" w:hanging="782"/>
      </w:pPr>
      <w:r w:rsidRPr="00662611">
        <w:t xml:space="preserve">in accordance with </w:t>
      </w:r>
      <w:r w:rsidR="00E134B0" w:rsidRPr="00662611">
        <w:t xml:space="preserve">paragraph </w:t>
      </w:r>
      <w:r w:rsidR="00ED48E4">
        <w:fldChar w:fldCharType="begin"/>
      </w:r>
      <w:r w:rsidR="00ED48E4">
        <w:instrText xml:space="preserve"> REF _Ref475621189 \r \h </w:instrText>
      </w:r>
      <w:r w:rsidR="00ED48E4">
        <w:fldChar w:fldCharType="separate"/>
      </w:r>
      <w:r w:rsidR="00C43128">
        <w:t>2</w:t>
      </w:r>
      <w:r w:rsidR="00ED48E4">
        <w:fldChar w:fldCharType="end"/>
      </w:r>
      <w:r w:rsidR="00DA37F0" w:rsidRPr="00662611">
        <w:t xml:space="preserve"> – </w:t>
      </w:r>
      <w:r w:rsidR="001A4EDA">
        <w:t xml:space="preserve">determines </w:t>
      </w:r>
      <w:r w:rsidR="00DA37F0" w:rsidRPr="00662611">
        <w:t>the arrangement</w:t>
      </w:r>
      <w:r w:rsidR="00E134B0" w:rsidRPr="00662611">
        <w:t xml:space="preserve"> </w:t>
      </w:r>
      <w:r w:rsidR="00375344" w:rsidRPr="00662611">
        <w:t xml:space="preserve">for the construction of the school </w:t>
      </w:r>
      <w:r w:rsidR="00F31E59" w:rsidRPr="00662611">
        <w:t xml:space="preserve">and the provision of the services </w:t>
      </w:r>
      <w:r w:rsidR="00E134B0" w:rsidRPr="00662611">
        <w:t>is outside the scope of AASB </w:t>
      </w:r>
      <w:r w:rsidR="005F6667">
        <w:t>1059</w:t>
      </w:r>
      <w:r w:rsidR="001A4EDA">
        <w:t xml:space="preserve">, consistent with paragraphs </w:t>
      </w:r>
      <w:r w:rsidR="001A4EDA">
        <w:fldChar w:fldCharType="begin"/>
      </w:r>
      <w:r w:rsidR="001A4EDA">
        <w:instrText xml:space="preserve"> REF _Ref486087182 \r \h </w:instrText>
      </w:r>
      <w:r w:rsidR="001A4EDA">
        <w:fldChar w:fldCharType="separate"/>
      </w:r>
      <w:r w:rsidR="00C43128">
        <w:t>IG4</w:t>
      </w:r>
      <w:r w:rsidR="001A4EDA">
        <w:fldChar w:fldCharType="end"/>
      </w:r>
      <w:r w:rsidR="001A4EDA">
        <w:t>–</w:t>
      </w:r>
      <w:r w:rsidR="001A4EDA">
        <w:fldChar w:fldCharType="begin"/>
      </w:r>
      <w:r w:rsidR="001A4EDA">
        <w:instrText xml:space="preserve"> REF _Ref486542905 \r \h </w:instrText>
      </w:r>
      <w:r w:rsidR="001A4EDA">
        <w:fldChar w:fldCharType="separate"/>
      </w:r>
      <w:r w:rsidR="00C43128">
        <w:t>IG5</w:t>
      </w:r>
      <w:r w:rsidR="001A4EDA">
        <w:fldChar w:fldCharType="end"/>
      </w:r>
      <w:r w:rsidR="00DA37F0" w:rsidRPr="00662611">
        <w:t>;</w:t>
      </w:r>
      <w:r w:rsidR="002B3157">
        <w:t xml:space="preserve"> and</w:t>
      </w:r>
    </w:p>
    <w:p w14:paraId="7D9273A7" w14:textId="5A5B3D79" w:rsidR="00B81666" w:rsidRPr="00662611" w:rsidRDefault="00C2025A" w:rsidP="003102C2">
      <w:pPr>
        <w:pStyle w:val="IGpara1"/>
        <w:numPr>
          <w:ilvl w:val="1"/>
          <w:numId w:val="38"/>
        </w:numPr>
        <w:ind w:left="1564" w:hanging="782"/>
      </w:pPr>
      <w:proofErr w:type="gramStart"/>
      <w:r w:rsidRPr="00662611">
        <w:t>assesses</w:t>
      </w:r>
      <w:proofErr w:type="gramEnd"/>
      <w:r w:rsidRPr="00662611">
        <w:t xml:space="preserve"> whether it controls the </w:t>
      </w:r>
      <w:r w:rsidR="00C07E64" w:rsidRPr="00662611">
        <w:t>school</w:t>
      </w:r>
      <w:r w:rsidRPr="00662611">
        <w:t xml:space="preserve"> </w:t>
      </w:r>
      <w:r w:rsidR="001A4EDA">
        <w:t xml:space="preserve">or has a </w:t>
      </w:r>
      <w:r w:rsidRPr="00662611">
        <w:t xml:space="preserve">right to use </w:t>
      </w:r>
      <w:r w:rsidR="004A0C0E" w:rsidRPr="00662611">
        <w:t>the school</w:t>
      </w:r>
      <w:r w:rsidR="00C07E64" w:rsidRPr="00662611">
        <w:t xml:space="preserve"> </w:t>
      </w:r>
      <w:r w:rsidRPr="00662611">
        <w:t xml:space="preserve">for recognition under another Accounting Standard. </w:t>
      </w:r>
      <w:r w:rsidR="00D35923">
        <w:t>In making this assessment, t</w:t>
      </w:r>
      <w:r w:rsidRPr="00662611">
        <w:t xml:space="preserve">he grantor </w:t>
      </w:r>
      <w:r w:rsidR="00D35923">
        <w:t xml:space="preserve">considers </w:t>
      </w:r>
      <w:r w:rsidRPr="00662611">
        <w:t>that</w:t>
      </w:r>
      <w:r w:rsidR="00FF48C2" w:rsidRPr="00662611">
        <w:t>:</w:t>
      </w:r>
    </w:p>
    <w:p w14:paraId="7D9273A8" w14:textId="717DBC4D" w:rsidR="00C2025A" w:rsidRPr="00662611" w:rsidRDefault="00FF48C2" w:rsidP="00362D70">
      <w:pPr>
        <w:pStyle w:val="IGpara1"/>
        <w:numPr>
          <w:ilvl w:val="2"/>
          <w:numId w:val="38"/>
        </w:numPr>
        <w:ind w:left="2347" w:hanging="782"/>
      </w:pPr>
      <w:r w:rsidRPr="00662611">
        <w:t xml:space="preserve">the services the operator provides with the </w:t>
      </w:r>
      <w:r w:rsidR="00D2563B" w:rsidRPr="00662611">
        <w:t>school</w:t>
      </w:r>
      <w:r w:rsidR="00C07E64" w:rsidRPr="00662611">
        <w:t xml:space="preserve"> </w:t>
      </w:r>
      <w:r w:rsidRPr="00662611">
        <w:t xml:space="preserve">would be based on </w:t>
      </w:r>
      <w:r w:rsidR="003403FC" w:rsidRPr="00662611">
        <w:t xml:space="preserve">the </w:t>
      </w:r>
      <w:r w:rsidRPr="00662611">
        <w:t xml:space="preserve">service contract agreed by the grantor and </w:t>
      </w:r>
      <w:r w:rsidR="00852445" w:rsidRPr="00662611">
        <w:t xml:space="preserve">the </w:t>
      </w:r>
      <w:r w:rsidRPr="00662611">
        <w:t>operator;</w:t>
      </w:r>
      <w:r w:rsidR="00337516">
        <w:t xml:space="preserve"> and</w:t>
      </w:r>
    </w:p>
    <w:p w14:paraId="755FD58C" w14:textId="7E724F10" w:rsidR="00913E3D" w:rsidRPr="00662611" w:rsidRDefault="00913E3D" w:rsidP="00362D70">
      <w:pPr>
        <w:pStyle w:val="IGpara1"/>
        <w:numPr>
          <w:ilvl w:val="2"/>
          <w:numId w:val="38"/>
        </w:numPr>
        <w:ind w:left="2347" w:hanging="782"/>
      </w:pPr>
      <w:proofErr w:type="gramStart"/>
      <w:r>
        <w:t>the</w:t>
      </w:r>
      <w:proofErr w:type="gramEnd"/>
      <w:r>
        <w:t xml:space="preserve"> control of or right to use the asset </w:t>
      </w:r>
      <w:r w:rsidR="00F71ADA">
        <w:t>would</w:t>
      </w:r>
      <w:r>
        <w:t xml:space="preserve"> depend on the service contract, including who has title to the land on which the school is built, the terms of the arrangement and </w:t>
      </w:r>
      <w:r w:rsidR="00F71ADA">
        <w:t xml:space="preserve">the </w:t>
      </w:r>
      <w:r>
        <w:t>disposition of any residual interest.</w:t>
      </w:r>
    </w:p>
    <w:p w14:paraId="7D9273AC" w14:textId="77777777" w:rsidR="00886426" w:rsidRPr="00662611" w:rsidRDefault="00FB2F7E" w:rsidP="00267097">
      <w:pPr>
        <w:pStyle w:val="IASBSectionTitle3Ind"/>
      </w:pPr>
      <w:r w:rsidRPr="00662611">
        <w:t>E</w:t>
      </w:r>
      <w:r w:rsidR="00886426" w:rsidRPr="00662611">
        <w:t>xample</w:t>
      </w:r>
      <w:r w:rsidR="000E5BBA" w:rsidRPr="00662611">
        <w:t xml:space="preserve"> </w:t>
      </w:r>
      <w:r w:rsidR="00743589" w:rsidRPr="00662611">
        <w:t>4</w:t>
      </w:r>
      <w:r w:rsidR="00495453" w:rsidRPr="00662611">
        <w:t xml:space="preserve">: </w:t>
      </w:r>
      <w:r w:rsidR="00E15D12" w:rsidRPr="00662611">
        <w:t>Lease and s</w:t>
      </w:r>
      <w:r w:rsidR="00AF042D" w:rsidRPr="00662611">
        <w:t>ervice concession arrangement</w:t>
      </w:r>
      <w:r w:rsidR="001C3C66" w:rsidRPr="00662611">
        <w:t xml:space="preserve"> – regulated and unregulated</w:t>
      </w:r>
    </w:p>
    <w:p w14:paraId="7D9273AD" w14:textId="46EBA1FD" w:rsidR="00B81666" w:rsidRPr="00662611" w:rsidRDefault="002B791A" w:rsidP="00106F8B">
      <w:pPr>
        <w:pStyle w:val="IGpara1"/>
        <w:ind w:left="782" w:hanging="782"/>
      </w:pPr>
      <w:bookmarkStart w:id="109" w:name="_Ref486146311"/>
      <w:r w:rsidRPr="00662611">
        <w:t xml:space="preserve">Example </w:t>
      </w:r>
      <w:r w:rsidR="00E15D12" w:rsidRPr="00662611">
        <w:t>4</w:t>
      </w:r>
      <w:r w:rsidR="00886426" w:rsidRPr="00662611">
        <w:t xml:space="preserve"> illustrates an arrangement that involves the operator </w:t>
      </w:r>
      <w:r w:rsidR="00A75D91" w:rsidRPr="00662611">
        <w:t>agreeing to construct</w:t>
      </w:r>
      <w:r w:rsidR="00886426" w:rsidRPr="00662611">
        <w:t xml:space="preserve"> an asset or group of assets for the grantor with a contract for the provision of service</w:t>
      </w:r>
      <w:r w:rsidR="00A75D91" w:rsidRPr="00662611">
        <w:t>s</w:t>
      </w:r>
      <w:r w:rsidR="00886426" w:rsidRPr="00662611">
        <w:t xml:space="preserve"> or maintenance (including facilities maintenance) of the asset(s) over a specified period of time</w:t>
      </w:r>
      <w:r w:rsidR="002A1711" w:rsidRPr="00662611">
        <w:t>. The arrangement is partly regulated and unregulated by the grantor</w:t>
      </w:r>
      <w:r w:rsidR="00886426" w:rsidRPr="00662611">
        <w:t>. The relevant terms of the arrangement are:</w:t>
      </w:r>
      <w:bookmarkEnd w:id="109"/>
    </w:p>
    <w:p w14:paraId="7D9273AE" w14:textId="36475C9B" w:rsidR="00651CC9" w:rsidRPr="00662611" w:rsidRDefault="00886426" w:rsidP="003102C2">
      <w:pPr>
        <w:pStyle w:val="IGpara1"/>
        <w:numPr>
          <w:ilvl w:val="1"/>
          <w:numId w:val="38"/>
        </w:numPr>
        <w:ind w:left="1564" w:hanging="782"/>
      </w:pPr>
      <w:proofErr w:type="gramStart"/>
      <w:r w:rsidRPr="00662611">
        <w:t>a</w:t>
      </w:r>
      <w:proofErr w:type="gramEnd"/>
      <w:r w:rsidRPr="00662611">
        <w:t xml:space="preserve"> grantor enters into an arrangement that involves the operator constructing a hospital</w:t>
      </w:r>
      <w:r w:rsidR="00337516">
        <w:t xml:space="preserve"> and </w:t>
      </w:r>
      <w:r w:rsidR="001528B9">
        <w:t xml:space="preserve">then </w:t>
      </w:r>
      <w:r w:rsidR="00337516">
        <w:t xml:space="preserve">maintaining the </w:t>
      </w:r>
      <w:r w:rsidR="001528B9">
        <w:t xml:space="preserve">hospital </w:t>
      </w:r>
      <w:r w:rsidR="00337516">
        <w:t>buildings</w:t>
      </w:r>
      <w:r w:rsidRPr="00662611">
        <w:t xml:space="preserve">. </w:t>
      </w:r>
      <w:r w:rsidR="004806B7" w:rsidRPr="00662611">
        <w:t>T</w:t>
      </w:r>
      <w:r w:rsidR="00204DC7" w:rsidRPr="00662611">
        <w:t xml:space="preserve">he grantor determines </w:t>
      </w:r>
      <w:r w:rsidR="004806B7" w:rsidRPr="00662611">
        <w:t xml:space="preserve">the hospital </w:t>
      </w:r>
      <w:r w:rsidR="00204DC7" w:rsidRPr="00662611">
        <w:t xml:space="preserve">is capable of being operated </w:t>
      </w:r>
      <w:r w:rsidR="00A75D91" w:rsidRPr="00662611">
        <w:t xml:space="preserve">with </w:t>
      </w:r>
      <w:r w:rsidR="00027C08" w:rsidRPr="00662611">
        <w:t>separat</w:t>
      </w:r>
      <w:r w:rsidR="004878A7">
        <w:t>ely identifiable</w:t>
      </w:r>
      <w:r w:rsidR="004806B7" w:rsidRPr="00662611">
        <w:t xml:space="preserve"> public and private wings;</w:t>
      </w:r>
    </w:p>
    <w:p w14:paraId="7D9273AF" w14:textId="6AB879C7" w:rsidR="00B57611" w:rsidRPr="00662611" w:rsidRDefault="00651CC9" w:rsidP="003102C2">
      <w:pPr>
        <w:pStyle w:val="IGpara1"/>
        <w:numPr>
          <w:ilvl w:val="1"/>
          <w:numId w:val="38"/>
        </w:numPr>
        <w:ind w:left="1564" w:hanging="782"/>
      </w:pPr>
      <w:proofErr w:type="gramStart"/>
      <w:r w:rsidRPr="00662611">
        <w:t>t</w:t>
      </w:r>
      <w:r w:rsidR="00886426" w:rsidRPr="00662611">
        <w:t>he</w:t>
      </w:r>
      <w:proofErr w:type="gramEnd"/>
      <w:r w:rsidR="00886426" w:rsidRPr="00662611">
        <w:t xml:space="preserve"> public wing of the hospital is </w:t>
      </w:r>
      <w:r w:rsidR="00A86424" w:rsidRPr="00662611">
        <w:t xml:space="preserve">expected to provide health services to the general public for no cost to the patients. </w:t>
      </w:r>
      <w:r w:rsidR="008F752F" w:rsidRPr="00662611">
        <w:t xml:space="preserve">The grantor is responsible for the services </w:t>
      </w:r>
      <w:r w:rsidRPr="00662611">
        <w:t>relating to the delivery of medical services and operational services</w:t>
      </w:r>
      <w:r w:rsidR="00516D07">
        <w:t>,</w:t>
      </w:r>
      <w:r w:rsidRPr="00662611">
        <w:t xml:space="preserve"> </w:t>
      </w:r>
      <w:r w:rsidR="00FA6EA2">
        <w:t>including setting key p</w:t>
      </w:r>
      <w:r w:rsidR="00285E27">
        <w:t>e</w:t>
      </w:r>
      <w:r w:rsidR="00FA6EA2">
        <w:t>r</w:t>
      </w:r>
      <w:r w:rsidR="00285E27">
        <w:t xml:space="preserve">formance requirements, </w:t>
      </w:r>
      <w:r w:rsidR="00516D07">
        <w:t xml:space="preserve">but the </w:t>
      </w:r>
      <w:r w:rsidR="00285E27">
        <w:t>operator</w:t>
      </w:r>
      <w:r w:rsidR="00516D07">
        <w:t xml:space="preserve"> is responsible for </w:t>
      </w:r>
      <w:r w:rsidRPr="00662611">
        <w:t xml:space="preserve">the </w:t>
      </w:r>
      <w:r w:rsidR="00931037" w:rsidRPr="00662611">
        <w:t>employment</w:t>
      </w:r>
      <w:r w:rsidRPr="00662611">
        <w:t xml:space="preserve"> of </w:t>
      </w:r>
      <w:r w:rsidR="00D0162E">
        <w:t xml:space="preserve">the </w:t>
      </w:r>
      <w:r w:rsidRPr="00662611">
        <w:t>doctors, nurses and administration staff</w:t>
      </w:r>
      <w:r w:rsidR="00285E27">
        <w:t xml:space="preserve"> and scheduling the various services</w:t>
      </w:r>
      <w:r w:rsidR="004215E4" w:rsidRPr="00662611">
        <w:t>;</w:t>
      </w:r>
    </w:p>
    <w:p w14:paraId="7D9273B0" w14:textId="4224AE78" w:rsidR="00886426" w:rsidRPr="00662611" w:rsidRDefault="00651CC9" w:rsidP="003102C2">
      <w:pPr>
        <w:pStyle w:val="IGpara1"/>
        <w:numPr>
          <w:ilvl w:val="1"/>
          <w:numId w:val="38"/>
        </w:numPr>
        <w:ind w:left="1564" w:hanging="782"/>
      </w:pPr>
      <w:proofErr w:type="gramStart"/>
      <w:r w:rsidRPr="00662611">
        <w:t>t</w:t>
      </w:r>
      <w:r w:rsidR="00A86424" w:rsidRPr="00662611">
        <w:t>he</w:t>
      </w:r>
      <w:proofErr w:type="gramEnd"/>
      <w:r w:rsidR="00A86424" w:rsidRPr="00662611">
        <w:t xml:space="preserve"> private wing of the hospital is expected to provide health services to private patients of the hospital. </w:t>
      </w:r>
      <w:r w:rsidR="00B57611" w:rsidRPr="00662611">
        <w:t>The operator is responsible for the services relating to the delivery of medical services and operational services</w:t>
      </w:r>
      <w:r w:rsidR="00285E27">
        <w:t>,</w:t>
      </w:r>
      <w:r w:rsidR="00B57611" w:rsidRPr="00662611">
        <w:t xml:space="preserve"> </w:t>
      </w:r>
      <w:r w:rsidR="00285E27">
        <w:t xml:space="preserve">including </w:t>
      </w:r>
      <w:r w:rsidR="00B57611" w:rsidRPr="00662611">
        <w:t xml:space="preserve">the </w:t>
      </w:r>
      <w:r w:rsidR="00FC2E88" w:rsidRPr="00662611">
        <w:t xml:space="preserve">employment </w:t>
      </w:r>
      <w:r w:rsidR="00B57611" w:rsidRPr="00662611">
        <w:t xml:space="preserve">of doctors, nurses and administration staff. </w:t>
      </w:r>
      <w:r w:rsidR="00A86424" w:rsidRPr="00662611">
        <w:t xml:space="preserve">The operator </w:t>
      </w:r>
      <w:r w:rsidR="00B57611" w:rsidRPr="00662611">
        <w:t xml:space="preserve">also </w:t>
      </w:r>
      <w:r w:rsidR="00A86424" w:rsidRPr="00662611">
        <w:t>determines the pric</w:t>
      </w:r>
      <w:r w:rsidR="00610805" w:rsidRPr="00662611">
        <w:t>ing</w:t>
      </w:r>
      <w:r w:rsidR="00A86424" w:rsidRPr="00662611">
        <w:t xml:space="preserve"> of the services charge</w:t>
      </w:r>
      <w:r w:rsidR="00FE7F77" w:rsidRPr="00662611">
        <w:t>d to</w:t>
      </w:r>
      <w:r w:rsidR="00A86424" w:rsidRPr="00662611">
        <w:t xml:space="preserve"> patients</w:t>
      </w:r>
      <w:r w:rsidR="008F752F" w:rsidRPr="00662611">
        <w:t>;</w:t>
      </w:r>
    </w:p>
    <w:p w14:paraId="7D9273B1" w14:textId="1C6C4148" w:rsidR="00D86C0B" w:rsidRPr="00662611" w:rsidRDefault="00D86C0B" w:rsidP="003102C2">
      <w:pPr>
        <w:pStyle w:val="IGpara1"/>
        <w:numPr>
          <w:ilvl w:val="1"/>
          <w:numId w:val="38"/>
        </w:numPr>
        <w:ind w:left="1564" w:hanging="782"/>
      </w:pPr>
      <w:proofErr w:type="gramStart"/>
      <w:r w:rsidRPr="00662611">
        <w:lastRenderedPageBreak/>
        <w:t>the</w:t>
      </w:r>
      <w:proofErr w:type="gramEnd"/>
      <w:r w:rsidRPr="00662611">
        <w:t xml:space="preserve"> hospital is considered to provide public services, as the basic purpose of the hospital is to provide health services that are necessary or essential to the general public. The health services provided by the </w:t>
      </w:r>
      <w:r w:rsidR="00CE434A" w:rsidRPr="00662611">
        <w:t>hospital</w:t>
      </w:r>
      <w:r w:rsidRPr="00662611">
        <w:t xml:space="preserve"> are accessible to the public, even if it is a subset of the community that uses the services and notwithstanding that the private wing of the hospital is to be used by private patients. The assessment of the public service nature of the hospital is consistent with paragraph </w:t>
      </w:r>
      <w:r w:rsidR="00C9799E" w:rsidRPr="00662611">
        <w:fldChar w:fldCharType="begin"/>
      </w:r>
      <w:r w:rsidR="00C9799E" w:rsidRPr="00662611">
        <w:instrText xml:space="preserve"> REF _Ref484634666 \r \h </w:instrText>
      </w:r>
      <w:r w:rsidR="00C9799E" w:rsidRPr="00662611">
        <w:fldChar w:fldCharType="separate"/>
      </w:r>
      <w:r w:rsidR="00C43128">
        <w:t>B6</w:t>
      </w:r>
      <w:r w:rsidR="00C9799E" w:rsidRPr="00662611">
        <w:fldChar w:fldCharType="end"/>
      </w:r>
      <w:r w:rsidRPr="00662611">
        <w:t>;</w:t>
      </w:r>
    </w:p>
    <w:p w14:paraId="7D9273B2" w14:textId="7755887B" w:rsidR="00AF042D" w:rsidRPr="00662611" w:rsidRDefault="008F752F" w:rsidP="003102C2">
      <w:pPr>
        <w:pStyle w:val="IGpara1"/>
        <w:numPr>
          <w:ilvl w:val="1"/>
          <w:numId w:val="38"/>
        </w:numPr>
        <w:ind w:left="1564" w:hanging="782"/>
      </w:pPr>
      <w:proofErr w:type="gramStart"/>
      <w:r w:rsidRPr="00662611">
        <w:t>the</w:t>
      </w:r>
      <w:proofErr w:type="gramEnd"/>
      <w:r w:rsidRPr="00662611">
        <w:t xml:space="preserve"> operator is responsible </w:t>
      </w:r>
      <w:r w:rsidR="00B57611" w:rsidRPr="00662611">
        <w:t xml:space="preserve">for the cleaning and security services and facility maintenance of both the public wing and </w:t>
      </w:r>
      <w:r w:rsidR="00440193" w:rsidRPr="00662611">
        <w:t xml:space="preserve">the </w:t>
      </w:r>
      <w:r w:rsidR="00B57611" w:rsidRPr="00662611">
        <w:t xml:space="preserve">private wing of the hospital. The operator has discretion as to when and how it conducts </w:t>
      </w:r>
      <w:r w:rsidR="000F1686" w:rsidRPr="00662611">
        <w:t xml:space="preserve">the </w:t>
      </w:r>
      <w:r w:rsidR="00B57611" w:rsidRPr="00662611">
        <w:t xml:space="preserve">facility maintenance of providing </w:t>
      </w:r>
      <w:r w:rsidR="00610805" w:rsidRPr="00662611">
        <w:t>upgrades and maintenance of</w:t>
      </w:r>
      <w:r w:rsidR="00B57611" w:rsidRPr="00662611">
        <w:t xml:space="preserve"> the hospital to a specified condition</w:t>
      </w:r>
      <w:r w:rsidR="00AF042D" w:rsidRPr="00662611">
        <w:t>;</w:t>
      </w:r>
    </w:p>
    <w:p w14:paraId="7D9273B3" w14:textId="7DD09EE6" w:rsidR="00A86424" w:rsidRPr="00662611" w:rsidRDefault="00AF042D" w:rsidP="003102C2">
      <w:pPr>
        <w:pStyle w:val="IGpara1"/>
        <w:numPr>
          <w:ilvl w:val="1"/>
          <w:numId w:val="38"/>
        </w:numPr>
        <w:ind w:left="1564" w:hanging="782"/>
      </w:pPr>
      <w:proofErr w:type="gramStart"/>
      <w:r w:rsidRPr="00662611">
        <w:t>the</w:t>
      </w:r>
      <w:proofErr w:type="gramEnd"/>
      <w:r w:rsidRPr="00662611">
        <w:t xml:space="preserve"> grantor is entitled to the residual interest in both the public wing and</w:t>
      </w:r>
      <w:r w:rsidR="00440193" w:rsidRPr="00662611">
        <w:t xml:space="preserve"> the</w:t>
      </w:r>
      <w:r w:rsidRPr="00662611">
        <w:t xml:space="preserve"> private wing of the hospital at the end </w:t>
      </w:r>
      <w:r w:rsidR="00DD248A" w:rsidRPr="00662611">
        <w:t>of</w:t>
      </w:r>
      <w:r w:rsidRPr="00662611">
        <w:t xml:space="preserve"> the term of the arrangement</w:t>
      </w:r>
      <w:r w:rsidR="0015577E" w:rsidRPr="00662611">
        <w:t>, as both wings will transfer to the grantor</w:t>
      </w:r>
      <w:r w:rsidRPr="00662611">
        <w:t xml:space="preserve">. During the term of the arrangement, </w:t>
      </w:r>
      <w:r w:rsidR="00440193" w:rsidRPr="00662611">
        <w:t>the grantor’s residual interest</w:t>
      </w:r>
      <w:r w:rsidR="00F33914" w:rsidRPr="00662611">
        <w:t xml:space="preserve"> and the requirement for the grantor to specifically approve any transferee</w:t>
      </w:r>
      <w:r w:rsidR="00F55DD7">
        <w:t xml:space="preserve"> restricts the operator from selling or pledging the hospital</w:t>
      </w:r>
      <w:r w:rsidR="00C9799E" w:rsidRPr="00662611">
        <w:t>; and</w:t>
      </w:r>
    </w:p>
    <w:p w14:paraId="7D9273B4" w14:textId="77777777" w:rsidR="00655A76" w:rsidRPr="00662611" w:rsidRDefault="00655A76" w:rsidP="003102C2">
      <w:pPr>
        <w:pStyle w:val="IGpara1"/>
        <w:numPr>
          <w:ilvl w:val="1"/>
          <w:numId w:val="38"/>
        </w:numPr>
        <w:ind w:left="1564" w:hanging="782"/>
      </w:pPr>
      <w:proofErr w:type="gramStart"/>
      <w:r w:rsidRPr="00662611">
        <w:t>both</w:t>
      </w:r>
      <w:proofErr w:type="gramEnd"/>
      <w:r w:rsidRPr="00662611">
        <w:t xml:space="preserve"> the public and private wings are built on government land, leased to the operator for a nominal fee.</w:t>
      </w:r>
    </w:p>
    <w:p w14:paraId="7D9273B5" w14:textId="1EC8F058" w:rsidR="006F4F59" w:rsidRPr="00662611" w:rsidRDefault="00EE5E16" w:rsidP="00106F8B">
      <w:pPr>
        <w:pStyle w:val="IGpara1"/>
        <w:ind w:left="782" w:hanging="782"/>
      </w:pPr>
      <w:r w:rsidRPr="00662611">
        <w:t xml:space="preserve">The grantor assesses separately </w:t>
      </w:r>
      <w:r w:rsidR="00B341F2" w:rsidRPr="00662611">
        <w:t>(consis</w:t>
      </w:r>
      <w:r w:rsidR="00EC769A" w:rsidRPr="00662611">
        <w:t>tent with paragraph</w:t>
      </w:r>
      <w:r w:rsidR="001528B9">
        <w:t>s</w:t>
      </w:r>
      <w:r w:rsidR="00C9799E" w:rsidRPr="00662611">
        <w:t xml:space="preserve"> </w:t>
      </w:r>
      <w:r w:rsidR="001A10DE">
        <w:fldChar w:fldCharType="begin"/>
      </w:r>
      <w:r w:rsidR="001A10DE">
        <w:instrText xml:space="preserve"> REF _Ref486489575 \r \h </w:instrText>
      </w:r>
      <w:r w:rsidR="001A10DE">
        <w:fldChar w:fldCharType="separate"/>
      </w:r>
      <w:r w:rsidR="00C43128">
        <w:t>B6</w:t>
      </w:r>
      <w:r w:rsidR="001A10DE">
        <w:fldChar w:fldCharType="end"/>
      </w:r>
      <w:r w:rsidR="001A10DE">
        <w:t>–</w:t>
      </w:r>
      <w:r w:rsidR="001A10DE">
        <w:fldChar w:fldCharType="begin"/>
      </w:r>
      <w:r w:rsidR="001A10DE">
        <w:instrText xml:space="preserve"> REF _Ref487194304 \r \h </w:instrText>
      </w:r>
      <w:r w:rsidR="001A10DE">
        <w:fldChar w:fldCharType="separate"/>
      </w:r>
      <w:r w:rsidR="00C43128">
        <w:t>B7</w:t>
      </w:r>
      <w:r w:rsidR="001A10DE">
        <w:fldChar w:fldCharType="end"/>
      </w:r>
      <w:r w:rsidR="00B341F2" w:rsidRPr="00662611">
        <w:t xml:space="preserve">) </w:t>
      </w:r>
      <w:r w:rsidRPr="00662611">
        <w:t xml:space="preserve">whether the public wing and </w:t>
      </w:r>
      <w:r w:rsidR="00440193" w:rsidRPr="00662611">
        <w:t xml:space="preserve">the </w:t>
      </w:r>
      <w:r w:rsidRPr="00662611">
        <w:t>private wing are within the scope of AASB </w:t>
      </w:r>
      <w:r w:rsidR="005F6667">
        <w:t>1059</w:t>
      </w:r>
      <w:r w:rsidR="006F4F59" w:rsidRPr="00662611">
        <w:t>.</w:t>
      </w:r>
    </w:p>
    <w:p w14:paraId="7D9273B6" w14:textId="77777777" w:rsidR="006F4F59" w:rsidRPr="00662611" w:rsidRDefault="006F4F59" w:rsidP="00852445">
      <w:pPr>
        <w:pStyle w:val="IASBSectionTitle4Ind"/>
      </w:pPr>
      <w:r w:rsidRPr="00662611">
        <w:t>Hospital – Public wing</w:t>
      </w:r>
      <w:r w:rsidR="0047685D" w:rsidRPr="00662611">
        <w:t xml:space="preserve"> (regulated)</w:t>
      </w:r>
    </w:p>
    <w:p w14:paraId="7D9273B7" w14:textId="77777777" w:rsidR="00F805D1" w:rsidRPr="00662611" w:rsidRDefault="00F805D1" w:rsidP="00852445">
      <w:pPr>
        <w:pStyle w:val="IASBSectionTitle5Ind"/>
      </w:pPr>
      <w:r w:rsidRPr="00662611">
        <w:t>Scope</w:t>
      </w:r>
    </w:p>
    <w:p w14:paraId="7D9273B8" w14:textId="77777777" w:rsidR="00886426" w:rsidRPr="00662611" w:rsidRDefault="00EE5E16" w:rsidP="00911137">
      <w:pPr>
        <w:pStyle w:val="IGpara1"/>
        <w:keepNext/>
        <w:ind w:left="782" w:hanging="782"/>
      </w:pPr>
      <w:r w:rsidRPr="00662611">
        <w:t xml:space="preserve">Based on the facts and </w:t>
      </w:r>
      <w:r w:rsidR="00A13D2F" w:rsidRPr="00662611">
        <w:t>circumstances, the grantor determines:</w:t>
      </w:r>
    </w:p>
    <w:p w14:paraId="7D9273B9" w14:textId="48CA7A96" w:rsidR="00A13D2F" w:rsidRPr="00662611" w:rsidRDefault="00D41ED9" w:rsidP="003102C2">
      <w:pPr>
        <w:pStyle w:val="IGpara1"/>
        <w:numPr>
          <w:ilvl w:val="1"/>
          <w:numId w:val="38"/>
        </w:numPr>
        <w:ind w:left="1564" w:hanging="782"/>
      </w:pPr>
      <w:proofErr w:type="gramStart"/>
      <w:r w:rsidRPr="00662611">
        <w:t>the</w:t>
      </w:r>
      <w:proofErr w:type="gramEnd"/>
      <w:r w:rsidRPr="00662611">
        <w:t xml:space="preserve"> operator</w:t>
      </w:r>
      <w:r w:rsidR="00D35923">
        <w:t xml:space="preserve"> accesses</w:t>
      </w:r>
      <w:r w:rsidRPr="00662611">
        <w:t xml:space="preserve"> the </w:t>
      </w:r>
      <w:r w:rsidR="00245D0A" w:rsidRPr="00662611">
        <w:t xml:space="preserve">public wing of the hospital </w:t>
      </w:r>
      <w:r w:rsidRPr="00662611">
        <w:t xml:space="preserve">to provide public services </w:t>
      </w:r>
      <w:r w:rsidR="00D0162E">
        <w:t xml:space="preserve">and is </w:t>
      </w:r>
      <w:r w:rsidRPr="00662611">
        <w:t xml:space="preserve">responsible for at least some of the management of the </w:t>
      </w:r>
      <w:r w:rsidR="004215E4" w:rsidRPr="00662611">
        <w:t>hospital</w:t>
      </w:r>
      <w:r w:rsidR="00FA6EA2">
        <w:t xml:space="preserve"> services</w:t>
      </w:r>
      <w:r w:rsidRPr="00662611">
        <w:t>. The operator fulfils this management responsibility by</w:t>
      </w:r>
      <w:r w:rsidR="00D0162E">
        <w:t xml:space="preserve"> </w:t>
      </w:r>
      <w:r w:rsidR="00285E27">
        <w:t>employ</w:t>
      </w:r>
      <w:r w:rsidR="00D0162E">
        <w:t xml:space="preserve">ing </w:t>
      </w:r>
      <w:r w:rsidR="00285E27">
        <w:t xml:space="preserve">the staff </w:t>
      </w:r>
      <w:r w:rsidR="00D0162E">
        <w:t xml:space="preserve">and </w:t>
      </w:r>
      <w:r w:rsidR="00285E27">
        <w:t xml:space="preserve">scheduling </w:t>
      </w:r>
      <w:r w:rsidR="00D0162E">
        <w:t>services</w:t>
      </w:r>
      <w:r w:rsidRPr="00662611">
        <w:t xml:space="preserve">; and </w:t>
      </w:r>
    </w:p>
    <w:p w14:paraId="7D9273BA" w14:textId="63B82538" w:rsidR="00D41ED9" w:rsidRPr="00662611" w:rsidRDefault="00D41ED9" w:rsidP="003102C2">
      <w:pPr>
        <w:pStyle w:val="IGpara1"/>
        <w:numPr>
          <w:ilvl w:val="1"/>
          <w:numId w:val="38"/>
        </w:numPr>
        <w:ind w:left="1564" w:hanging="782"/>
      </w:pPr>
      <w:proofErr w:type="gramStart"/>
      <w:r w:rsidRPr="00662611">
        <w:t>the</w:t>
      </w:r>
      <w:proofErr w:type="gramEnd"/>
      <w:r w:rsidRPr="00662611">
        <w:t xml:space="preserve"> </w:t>
      </w:r>
      <w:r w:rsidR="00844ED2" w:rsidRPr="00662611">
        <w:t xml:space="preserve">public wing of the hospital is </w:t>
      </w:r>
      <w:r w:rsidRPr="00662611">
        <w:t xml:space="preserve">a service concession arrangement </w:t>
      </w:r>
      <w:r w:rsidR="00844ED2" w:rsidRPr="00662611">
        <w:t>that</w:t>
      </w:r>
      <w:r w:rsidRPr="00662611">
        <w:t xml:space="preserve"> is within the scope of AASB </w:t>
      </w:r>
      <w:r w:rsidR="005F6667">
        <w:t>1059</w:t>
      </w:r>
      <w:r w:rsidR="00FC7492" w:rsidRPr="00662611">
        <w:t>,</w:t>
      </w:r>
      <w:r w:rsidR="00F5052E" w:rsidRPr="00662611">
        <w:t xml:space="preserve"> in accordance with paragraph </w:t>
      </w:r>
      <w:r w:rsidR="0015070C">
        <w:fldChar w:fldCharType="begin"/>
      </w:r>
      <w:r w:rsidR="0015070C">
        <w:instrText xml:space="preserve"> REF _Ref475621189 \r \h </w:instrText>
      </w:r>
      <w:r w:rsidR="0015070C">
        <w:fldChar w:fldCharType="separate"/>
      </w:r>
      <w:r w:rsidR="00C43128">
        <w:t>2</w:t>
      </w:r>
      <w:r w:rsidR="0015070C">
        <w:fldChar w:fldCharType="end"/>
      </w:r>
      <w:r w:rsidRPr="00662611">
        <w:t>.</w:t>
      </w:r>
    </w:p>
    <w:p w14:paraId="7D9273BB" w14:textId="456B8CCA" w:rsidR="00F805D1" w:rsidRPr="00662611" w:rsidRDefault="00F805D1" w:rsidP="00852445">
      <w:pPr>
        <w:pStyle w:val="IASBSectionTitle5Ind"/>
      </w:pPr>
      <w:r w:rsidRPr="00662611">
        <w:t xml:space="preserve">Grantor’s control of asset for recognition </w:t>
      </w:r>
      <w:r w:rsidR="005A26CA" w:rsidRPr="00662611">
        <w:t>under</w:t>
      </w:r>
      <w:r w:rsidRPr="00662611">
        <w:t xml:space="preserve"> paragraph </w:t>
      </w:r>
      <w:r w:rsidR="00E90B96">
        <w:fldChar w:fldCharType="begin"/>
      </w:r>
      <w:r w:rsidR="00E90B96">
        <w:instrText xml:space="preserve"> REF _Ref475619556 \r \h </w:instrText>
      </w:r>
      <w:r w:rsidR="00E90B96">
        <w:fldChar w:fldCharType="separate"/>
      </w:r>
      <w:r w:rsidR="00C43128">
        <w:t>5</w:t>
      </w:r>
      <w:r w:rsidR="00E90B96">
        <w:fldChar w:fldCharType="end"/>
      </w:r>
    </w:p>
    <w:p w14:paraId="7D9273BC" w14:textId="77777777" w:rsidR="00B73590" w:rsidRPr="00662611" w:rsidRDefault="00844ED2" w:rsidP="005B058C">
      <w:pPr>
        <w:pStyle w:val="IGpara1"/>
        <w:ind w:left="782" w:hanging="782"/>
      </w:pPr>
      <w:r w:rsidRPr="00662611">
        <w:t>Based on the facts and circumstances, the grantor determines</w:t>
      </w:r>
      <w:r w:rsidR="004215E4" w:rsidRPr="00662611">
        <w:t xml:space="preserve"> </w:t>
      </w:r>
      <w:r w:rsidR="004C55E1" w:rsidRPr="00662611">
        <w:t>it</w:t>
      </w:r>
      <w:r w:rsidR="004215E4" w:rsidRPr="00662611">
        <w:t xml:space="preserve"> controls the underlying asset (the public wing of the hospital) in the service concession arrangement, as the arrangement entered into by the grantor and </w:t>
      </w:r>
      <w:r w:rsidR="004C55E1" w:rsidRPr="00662611">
        <w:t xml:space="preserve">the </w:t>
      </w:r>
      <w:r w:rsidR="004215E4" w:rsidRPr="00662611">
        <w:t xml:space="preserve">operator </w:t>
      </w:r>
      <w:r w:rsidR="00B73590" w:rsidRPr="00662611">
        <w:t>specifies:</w:t>
      </w:r>
    </w:p>
    <w:p w14:paraId="7D9273BD" w14:textId="3CCA6402" w:rsidR="00B73590" w:rsidRPr="00662611" w:rsidRDefault="00B73590" w:rsidP="003102C2">
      <w:pPr>
        <w:pStyle w:val="IGpara1"/>
        <w:numPr>
          <w:ilvl w:val="1"/>
          <w:numId w:val="38"/>
        </w:numPr>
        <w:ind w:left="1564" w:hanging="782"/>
      </w:pPr>
      <w:r w:rsidRPr="00662611">
        <w:t>the grantor controls or regulates</w:t>
      </w:r>
      <w:r w:rsidR="00322DB8" w:rsidRPr="00662611">
        <w:t xml:space="preserve"> (as required by paragraph </w:t>
      </w:r>
      <w:r w:rsidR="00E90B96">
        <w:fldChar w:fldCharType="begin"/>
      </w:r>
      <w:r w:rsidR="00E90B96">
        <w:instrText xml:space="preserve"> REF _Ref475619556 \r \h </w:instrText>
      </w:r>
      <w:r w:rsidR="00E90B96">
        <w:fldChar w:fldCharType="separate"/>
      </w:r>
      <w:r w:rsidR="00C43128">
        <w:t>5</w:t>
      </w:r>
      <w:r w:rsidR="00E90B96">
        <w:fldChar w:fldCharType="end"/>
      </w:r>
      <w:r w:rsidR="00322DB8" w:rsidRPr="00662611">
        <w:t>(a))</w:t>
      </w:r>
      <w:r w:rsidRPr="00662611">
        <w:t>:</w:t>
      </w:r>
    </w:p>
    <w:p w14:paraId="7D9273BE" w14:textId="5CFD2D5D" w:rsidR="004215E4" w:rsidRPr="00662611" w:rsidRDefault="002834FD" w:rsidP="00362D70">
      <w:pPr>
        <w:pStyle w:val="IGpara1"/>
        <w:numPr>
          <w:ilvl w:val="0"/>
          <w:numId w:val="39"/>
        </w:numPr>
        <w:ind w:left="2347" w:hanging="782"/>
      </w:pPr>
      <w:r w:rsidRPr="00662611">
        <w:t xml:space="preserve">the </w:t>
      </w:r>
      <w:r w:rsidR="004215E4" w:rsidRPr="00662611">
        <w:t xml:space="preserve">services provided by the </w:t>
      </w:r>
      <w:r w:rsidR="00321921" w:rsidRPr="00662611">
        <w:t>public wing of the hospital</w:t>
      </w:r>
      <w:r w:rsidR="004215E4" w:rsidRPr="00662611">
        <w:t xml:space="preserve"> </w:t>
      </w:r>
      <w:r w:rsidR="00321921" w:rsidRPr="00662611">
        <w:t xml:space="preserve">– the grantor is responsible for </w:t>
      </w:r>
      <w:r w:rsidR="00285E27">
        <w:t xml:space="preserve">the delivery </w:t>
      </w:r>
      <w:r w:rsidR="00FA6EA2">
        <w:t xml:space="preserve">and standard of performance </w:t>
      </w:r>
      <w:r w:rsidR="00285E27">
        <w:t xml:space="preserve">of the </w:t>
      </w:r>
      <w:r w:rsidR="00321921" w:rsidRPr="00662611">
        <w:t>medical and operational</w:t>
      </w:r>
      <w:r w:rsidR="00285E27">
        <w:t xml:space="preserve"> </w:t>
      </w:r>
      <w:r w:rsidR="00FA6EA2">
        <w:t>services</w:t>
      </w:r>
      <w:r w:rsidR="004215E4" w:rsidRPr="00662611">
        <w:t>;</w:t>
      </w:r>
    </w:p>
    <w:p w14:paraId="7D9273BF" w14:textId="77777777" w:rsidR="002834FD" w:rsidRPr="00662611" w:rsidRDefault="002834FD" w:rsidP="00362D70">
      <w:pPr>
        <w:pStyle w:val="IGpara1"/>
        <w:numPr>
          <w:ilvl w:val="0"/>
          <w:numId w:val="39"/>
        </w:numPr>
        <w:ind w:left="2347" w:hanging="782"/>
      </w:pPr>
      <w:r w:rsidRPr="00662611">
        <w:t xml:space="preserve">the recipients of the </w:t>
      </w:r>
      <w:r w:rsidR="001C71F3" w:rsidRPr="00662611">
        <w:t xml:space="preserve">services – </w:t>
      </w:r>
      <w:r w:rsidRPr="00662611">
        <w:t>the public wing of the hospital is expected to provide health services to the general public; and</w:t>
      </w:r>
    </w:p>
    <w:p w14:paraId="7D9273C0" w14:textId="77777777" w:rsidR="004215E4" w:rsidRPr="00662611" w:rsidRDefault="004215E4" w:rsidP="00362D70">
      <w:pPr>
        <w:pStyle w:val="IGpara1"/>
        <w:numPr>
          <w:ilvl w:val="0"/>
          <w:numId w:val="39"/>
        </w:numPr>
        <w:ind w:left="2347" w:hanging="782"/>
      </w:pPr>
      <w:r w:rsidRPr="00662611">
        <w:t xml:space="preserve">the </w:t>
      </w:r>
      <w:r w:rsidR="002834FD" w:rsidRPr="00662611">
        <w:t>pricing of the services</w:t>
      </w:r>
      <w:r w:rsidRPr="00662611">
        <w:t xml:space="preserve"> </w:t>
      </w:r>
      <w:r w:rsidR="001C71F3" w:rsidRPr="00662611">
        <w:t xml:space="preserve">– </w:t>
      </w:r>
      <w:r w:rsidR="002834FD" w:rsidRPr="00662611">
        <w:t xml:space="preserve">the </w:t>
      </w:r>
      <w:r w:rsidRPr="00662611">
        <w:t>public wing of the hospital is to provide health services at no cost to the patients</w:t>
      </w:r>
      <w:r w:rsidR="004D112E" w:rsidRPr="00662611">
        <w:t>; and</w:t>
      </w:r>
    </w:p>
    <w:p w14:paraId="7D9273C1" w14:textId="64F94A70" w:rsidR="00B73590" w:rsidRPr="00662611" w:rsidRDefault="004931E2" w:rsidP="003102C2">
      <w:pPr>
        <w:pStyle w:val="IGpara1"/>
        <w:numPr>
          <w:ilvl w:val="1"/>
          <w:numId w:val="38"/>
        </w:numPr>
        <w:ind w:left="1564" w:hanging="782"/>
      </w:pPr>
      <w:proofErr w:type="gramStart"/>
      <w:r w:rsidRPr="00662611">
        <w:t>the</w:t>
      </w:r>
      <w:proofErr w:type="gramEnd"/>
      <w:r w:rsidRPr="00662611">
        <w:t xml:space="preserve"> grantor controls </w:t>
      </w:r>
      <w:r w:rsidR="004C7039" w:rsidRPr="00662611">
        <w:t>the</w:t>
      </w:r>
      <w:r w:rsidRPr="00662611">
        <w:t xml:space="preserve"> significant residual interest </w:t>
      </w:r>
      <w:r w:rsidR="004C7039" w:rsidRPr="00662611">
        <w:t>in</w:t>
      </w:r>
      <w:r w:rsidRPr="00662611">
        <w:t xml:space="preserve"> the asset (the public wing of the hospital) at the end of the arrangement in accordance with paragraph</w:t>
      </w:r>
      <w:r w:rsidR="004D112E" w:rsidRPr="00662611">
        <w:t> </w:t>
      </w:r>
      <w:r w:rsidR="00E90B96">
        <w:fldChar w:fldCharType="begin"/>
      </w:r>
      <w:r w:rsidR="00E90B96">
        <w:instrText xml:space="preserve"> REF _Ref475619556 \r \h </w:instrText>
      </w:r>
      <w:r w:rsidR="00E90B96">
        <w:fldChar w:fldCharType="separate"/>
      </w:r>
      <w:r w:rsidR="00C43128">
        <w:t>5</w:t>
      </w:r>
      <w:r w:rsidR="00E90B96">
        <w:fldChar w:fldCharType="end"/>
      </w:r>
      <w:r w:rsidRPr="00662611">
        <w:t>(b)</w:t>
      </w:r>
      <w:r w:rsidR="004D112E" w:rsidRPr="00662611">
        <w:t>,</w:t>
      </w:r>
      <w:r w:rsidRPr="00662611">
        <w:t xml:space="preserve"> as the grantor is entitled to this residual interest. Additionally, during the term of the arrangement, the operator is restricted from selling </w:t>
      </w:r>
      <w:r w:rsidR="004C7039" w:rsidRPr="00662611">
        <w:t>or</w:t>
      </w:r>
      <w:r w:rsidRPr="00662611">
        <w:t xml:space="preserve"> pledging the public wing of the hospital</w:t>
      </w:r>
      <w:r w:rsidR="00062BD2" w:rsidRPr="00662611">
        <w:t xml:space="preserve"> (refer paragraphs </w:t>
      </w:r>
      <w:r w:rsidR="00C9799E" w:rsidRPr="00662611">
        <w:fldChar w:fldCharType="begin"/>
      </w:r>
      <w:r w:rsidR="00C9799E" w:rsidRPr="00662611">
        <w:instrText xml:space="preserve"> REF _Ref484635049 \r \h </w:instrText>
      </w:r>
      <w:r w:rsidR="00C9799E" w:rsidRPr="00662611">
        <w:fldChar w:fldCharType="separate"/>
      </w:r>
      <w:r w:rsidR="00C43128">
        <w:t>B32</w:t>
      </w:r>
      <w:r w:rsidR="00C9799E" w:rsidRPr="00662611">
        <w:fldChar w:fldCharType="end"/>
      </w:r>
      <w:r w:rsidR="00062BD2" w:rsidRPr="00662611">
        <w:t>–</w:t>
      </w:r>
      <w:r w:rsidR="00C9799E" w:rsidRPr="00662611">
        <w:fldChar w:fldCharType="begin"/>
      </w:r>
      <w:r w:rsidR="00C9799E" w:rsidRPr="00662611">
        <w:instrText xml:space="preserve"> REF _Ref484635081 \r \h </w:instrText>
      </w:r>
      <w:r w:rsidR="00C9799E" w:rsidRPr="00662611">
        <w:fldChar w:fldCharType="separate"/>
      </w:r>
      <w:r w:rsidR="00C43128">
        <w:t>B33</w:t>
      </w:r>
      <w:r w:rsidR="00C9799E" w:rsidRPr="00662611">
        <w:fldChar w:fldCharType="end"/>
      </w:r>
      <w:r w:rsidR="00062BD2" w:rsidRPr="00662611">
        <w:t>)</w:t>
      </w:r>
      <w:r w:rsidRPr="00662611">
        <w:t>.</w:t>
      </w:r>
    </w:p>
    <w:p w14:paraId="7D9273C2" w14:textId="77777777" w:rsidR="00BA26F3" w:rsidRPr="00662611" w:rsidRDefault="008C5AAD" w:rsidP="00852445">
      <w:pPr>
        <w:pStyle w:val="IASBSectionTitle5Ind"/>
      </w:pPr>
      <w:r w:rsidRPr="00662611">
        <w:t>Recognition of arrangement</w:t>
      </w:r>
    </w:p>
    <w:p w14:paraId="7D9273C3" w14:textId="7324ACE6" w:rsidR="005B058C" w:rsidRPr="00662611" w:rsidRDefault="00BA26F3" w:rsidP="005B058C">
      <w:pPr>
        <w:pStyle w:val="IGpara1"/>
        <w:ind w:left="782" w:hanging="782"/>
      </w:pPr>
      <w:r w:rsidRPr="00662611">
        <w:t xml:space="preserve">Given the public wing of the hospital is within the scope of AASB </w:t>
      </w:r>
      <w:r w:rsidR="005F6667">
        <w:t>1059</w:t>
      </w:r>
      <w:r w:rsidRPr="00662611">
        <w:t xml:space="preserve"> (paragraph </w:t>
      </w:r>
      <w:r w:rsidR="0015070C">
        <w:fldChar w:fldCharType="begin"/>
      </w:r>
      <w:r w:rsidR="0015070C">
        <w:instrText xml:space="preserve"> REF _Ref475621189 \r \h </w:instrText>
      </w:r>
      <w:r w:rsidR="0015070C">
        <w:fldChar w:fldCharType="separate"/>
      </w:r>
      <w:r w:rsidR="00C43128">
        <w:t>2</w:t>
      </w:r>
      <w:r w:rsidR="0015070C">
        <w:fldChar w:fldCharType="end"/>
      </w:r>
      <w:r w:rsidRPr="00662611">
        <w:t xml:space="preserve">) and the grantor controls </w:t>
      </w:r>
      <w:r w:rsidR="009F152E" w:rsidRPr="00662611">
        <w:t>the asset in accordance with paragraph</w:t>
      </w:r>
      <w:r w:rsidR="004C7039" w:rsidRPr="00662611">
        <w:t>s</w:t>
      </w:r>
      <w:r w:rsidR="009F152E" w:rsidRPr="00662611">
        <w:t xml:space="preserve"> 5(a) and (b), the grantor recognises the public wing of the hospital provided by the operator as a service concession asset.</w:t>
      </w:r>
    </w:p>
    <w:p w14:paraId="7D9273C4" w14:textId="77777777" w:rsidR="005B058C" w:rsidRPr="00662611" w:rsidRDefault="005B058C" w:rsidP="00852445">
      <w:pPr>
        <w:pStyle w:val="IASBSectionTitle4Ind"/>
      </w:pPr>
      <w:r w:rsidRPr="00662611">
        <w:lastRenderedPageBreak/>
        <w:t>Hospital – Private wing</w:t>
      </w:r>
      <w:r w:rsidR="0047685D" w:rsidRPr="00662611">
        <w:t xml:space="preserve"> (unregulated)</w:t>
      </w:r>
    </w:p>
    <w:p w14:paraId="7D9273C5" w14:textId="77777777" w:rsidR="007E5425" w:rsidRPr="00662611" w:rsidRDefault="007E5425" w:rsidP="00852445">
      <w:pPr>
        <w:pStyle w:val="IASBSectionTitle5Ind"/>
      </w:pPr>
      <w:r w:rsidRPr="00662611">
        <w:t>Scope</w:t>
      </w:r>
    </w:p>
    <w:p w14:paraId="7D9273C6" w14:textId="77777777" w:rsidR="005B058C" w:rsidRPr="00662611" w:rsidRDefault="005B058C" w:rsidP="005B058C">
      <w:pPr>
        <w:pStyle w:val="IGpara1"/>
        <w:ind w:left="782" w:hanging="782"/>
      </w:pPr>
      <w:r w:rsidRPr="00662611">
        <w:t>Based on the facts and circumstances, the grantor determines:</w:t>
      </w:r>
    </w:p>
    <w:p w14:paraId="7D9273C7" w14:textId="7CE99335" w:rsidR="00F403E0" w:rsidRPr="00662611" w:rsidRDefault="00534A3C" w:rsidP="003102C2">
      <w:pPr>
        <w:pStyle w:val="IGpara1"/>
        <w:numPr>
          <w:ilvl w:val="1"/>
          <w:numId w:val="38"/>
        </w:numPr>
        <w:ind w:left="1564" w:hanging="782"/>
      </w:pPr>
      <w:proofErr w:type="gramStart"/>
      <w:r w:rsidRPr="00662611">
        <w:t>the</w:t>
      </w:r>
      <w:proofErr w:type="gramEnd"/>
      <w:r w:rsidRPr="00662611">
        <w:t xml:space="preserve"> operator use</w:t>
      </w:r>
      <w:r w:rsidR="00D4023E" w:rsidRPr="00662611">
        <w:t>s</w:t>
      </w:r>
      <w:r w:rsidRPr="00662611">
        <w:t xml:space="preserve"> the private wing of the hospital to provide services</w:t>
      </w:r>
      <w:r w:rsidR="00F66D36">
        <w:t xml:space="preserve"> to private patients of the hospital. The operator is also</w:t>
      </w:r>
      <w:r w:rsidRPr="00662611">
        <w:t xml:space="preserve"> responsible for the management of the </w:t>
      </w:r>
      <w:r w:rsidR="0015577E" w:rsidRPr="00662611">
        <w:t>private wing</w:t>
      </w:r>
      <w:r w:rsidRPr="00662611">
        <w:t xml:space="preserve"> by</w:t>
      </w:r>
      <w:r w:rsidR="00743AB1" w:rsidRPr="00662611">
        <w:t xml:space="preserve"> providing the medical and operational </w:t>
      </w:r>
      <w:r w:rsidR="00FA6EA2" w:rsidRPr="00662611">
        <w:t xml:space="preserve">services </w:t>
      </w:r>
      <w:r w:rsidR="00FA6EA2">
        <w:t xml:space="preserve">and </w:t>
      </w:r>
      <w:r w:rsidR="00743AB1" w:rsidRPr="00662611">
        <w:t>staff</w:t>
      </w:r>
      <w:r w:rsidRPr="00662611">
        <w:t>; and</w:t>
      </w:r>
    </w:p>
    <w:p w14:paraId="7D9273CF" w14:textId="21DB6AB1" w:rsidR="00DA6154" w:rsidRPr="00662611" w:rsidRDefault="00534A3C" w:rsidP="003102C2">
      <w:pPr>
        <w:pStyle w:val="IGpara1"/>
        <w:numPr>
          <w:ilvl w:val="1"/>
          <w:numId w:val="38"/>
        </w:numPr>
        <w:ind w:left="1564" w:hanging="782"/>
      </w:pPr>
      <w:proofErr w:type="gramStart"/>
      <w:r w:rsidRPr="00662611">
        <w:t>the</w:t>
      </w:r>
      <w:proofErr w:type="gramEnd"/>
      <w:r w:rsidRPr="00662611">
        <w:t xml:space="preserve"> private wing of the hospital is </w:t>
      </w:r>
      <w:r w:rsidR="00F66D36">
        <w:t xml:space="preserve">not </w:t>
      </w:r>
      <w:r w:rsidRPr="00662611">
        <w:t>a service concession arrangement</w:t>
      </w:r>
      <w:r w:rsidR="0015577E" w:rsidRPr="00662611">
        <w:t>,</w:t>
      </w:r>
      <w:r w:rsidRPr="00662611">
        <w:t xml:space="preserve"> in accordance with paragraph </w:t>
      </w:r>
      <w:r w:rsidR="0015070C">
        <w:fldChar w:fldCharType="begin"/>
      </w:r>
      <w:r w:rsidR="0015070C">
        <w:instrText xml:space="preserve"> REF _Ref475621189 \r \h </w:instrText>
      </w:r>
      <w:r w:rsidR="0015070C">
        <w:fldChar w:fldCharType="separate"/>
      </w:r>
      <w:r w:rsidR="00C43128">
        <w:t>2</w:t>
      </w:r>
      <w:r w:rsidR="0015070C">
        <w:fldChar w:fldCharType="end"/>
      </w:r>
      <w:r w:rsidR="00F66D36">
        <w:t>, because the services in the private wing are not being provided to the public on behalf of a public sector entity</w:t>
      </w:r>
      <w:r w:rsidR="00671AD6" w:rsidRPr="00662611">
        <w:t>.</w:t>
      </w:r>
    </w:p>
    <w:p w14:paraId="7D9273D0" w14:textId="77777777" w:rsidR="001F499C" w:rsidRPr="00662611" w:rsidRDefault="001F499C" w:rsidP="00852445">
      <w:pPr>
        <w:pStyle w:val="IASBSectionTitle5Ind"/>
      </w:pPr>
      <w:r w:rsidRPr="00662611">
        <w:t>Recognition of arrangement</w:t>
      </w:r>
    </w:p>
    <w:p w14:paraId="7D9273D1" w14:textId="0E7051EB" w:rsidR="00935FCE" w:rsidRPr="00662611" w:rsidRDefault="0079247F" w:rsidP="005A3290">
      <w:pPr>
        <w:pStyle w:val="IGpara1"/>
        <w:ind w:hanging="720"/>
      </w:pPr>
      <w:r w:rsidRPr="00662611">
        <w:t xml:space="preserve">Notwithstanding the grantor </w:t>
      </w:r>
      <w:r w:rsidR="00E67A5A">
        <w:t xml:space="preserve">cannot recognise </w:t>
      </w:r>
      <w:r w:rsidR="00673D5A" w:rsidRPr="00662611">
        <w:t xml:space="preserve">the private wing of the hospital </w:t>
      </w:r>
      <w:r w:rsidRPr="00662611">
        <w:t xml:space="preserve">as a service concession asset, the grantor assesses whether it </w:t>
      </w:r>
      <w:r w:rsidR="00935FCE" w:rsidRPr="00662611">
        <w:t>control</w:t>
      </w:r>
      <w:r w:rsidR="00E67A5A">
        <w:t>s</w:t>
      </w:r>
      <w:r w:rsidR="00935FCE" w:rsidRPr="00662611">
        <w:t xml:space="preserve"> the asset (the private wing of the hospital) under another Accounting Standard, such as AASB 16</w:t>
      </w:r>
      <w:r w:rsidR="006C042B">
        <w:t xml:space="preserve">. </w:t>
      </w:r>
      <w:r w:rsidR="00D404DF">
        <w:t>In this</w:t>
      </w:r>
      <w:r w:rsidR="006C042B">
        <w:t xml:space="preserve"> </w:t>
      </w:r>
      <w:r w:rsidR="00871D18">
        <w:rPr>
          <w:lang w:val="en-US"/>
        </w:rPr>
        <w:t xml:space="preserve">example, as the grantor controls the land on which the private wing is located, </w:t>
      </w:r>
      <w:r w:rsidR="005A3290">
        <w:rPr>
          <w:lang w:val="en-US"/>
        </w:rPr>
        <w:t xml:space="preserve">which </w:t>
      </w:r>
      <w:r w:rsidR="00871D18">
        <w:rPr>
          <w:lang w:val="en-US"/>
        </w:rPr>
        <w:t>provid</w:t>
      </w:r>
      <w:r w:rsidR="005A3290">
        <w:rPr>
          <w:lang w:val="en-US"/>
        </w:rPr>
        <w:t>es</w:t>
      </w:r>
      <w:r w:rsidR="00871D18">
        <w:rPr>
          <w:lang w:val="en-US"/>
        </w:rPr>
        <w:t xml:space="preserve"> legal control of the private wing</w:t>
      </w:r>
      <w:r w:rsidR="005A3290">
        <w:rPr>
          <w:lang w:val="en-US"/>
        </w:rPr>
        <w:t>,</w:t>
      </w:r>
      <w:r w:rsidR="00871D18">
        <w:rPr>
          <w:lang w:val="en-US"/>
        </w:rPr>
        <w:t xml:space="preserve"> and the operator is prevented from selling or pledging its interest in the private wing, the grantor controls the private wing. However, the arrangement provides the operator with the right to use the private wing</w:t>
      </w:r>
      <w:r w:rsidR="005A3290">
        <w:rPr>
          <w:lang w:val="en-US"/>
        </w:rPr>
        <w:t>, because</w:t>
      </w:r>
      <w:r w:rsidR="00FA535A">
        <w:rPr>
          <w:lang w:val="en-US"/>
        </w:rPr>
        <w:t xml:space="preserve"> the</w:t>
      </w:r>
      <w:r w:rsidR="00871D18">
        <w:rPr>
          <w:lang w:val="en-US"/>
        </w:rPr>
        <w:t xml:space="preserve"> private wing is a separately identifiable asset </w:t>
      </w:r>
      <w:r w:rsidR="00FA535A">
        <w:rPr>
          <w:lang w:val="en-US"/>
        </w:rPr>
        <w:t xml:space="preserve">and </w:t>
      </w:r>
      <w:r w:rsidR="00871D18">
        <w:rPr>
          <w:lang w:val="en-US"/>
        </w:rPr>
        <w:t>the operator</w:t>
      </w:r>
      <w:r w:rsidR="00FA535A">
        <w:rPr>
          <w:lang w:val="en-US"/>
        </w:rPr>
        <w:t xml:space="preserve"> controls the services provided,</w:t>
      </w:r>
      <w:r w:rsidR="00871D18">
        <w:rPr>
          <w:lang w:val="en-US"/>
        </w:rPr>
        <w:t xml:space="preserve"> which patients will be admitted</w:t>
      </w:r>
      <w:r w:rsidR="00FA535A">
        <w:rPr>
          <w:lang w:val="en-US"/>
        </w:rPr>
        <w:t>,</w:t>
      </w:r>
      <w:r w:rsidR="00871D18">
        <w:rPr>
          <w:lang w:val="en-US"/>
        </w:rPr>
        <w:t xml:space="preserve"> and </w:t>
      </w:r>
      <w:r w:rsidR="00FA535A">
        <w:rPr>
          <w:lang w:val="en-US"/>
        </w:rPr>
        <w:t>the</w:t>
      </w:r>
      <w:r w:rsidR="00871D18">
        <w:rPr>
          <w:lang w:val="en-US"/>
        </w:rPr>
        <w:t xml:space="preserve"> prices </w:t>
      </w:r>
      <w:r w:rsidR="005357F3">
        <w:rPr>
          <w:lang w:val="en-US"/>
        </w:rPr>
        <w:t xml:space="preserve">to </w:t>
      </w:r>
      <w:r w:rsidR="00871D18">
        <w:rPr>
          <w:lang w:val="en-US"/>
        </w:rPr>
        <w:t xml:space="preserve">be charged </w:t>
      </w:r>
      <w:r w:rsidR="00FA535A">
        <w:rPr>
          <w:lang w:val="en-US"/>
        </w:rPr>
        <w:t>during</w:t>
      </w:r>
      <w:r w:rsidR="00871D18">
        <w:rPr>
          <w:lang w:val="en-US"/>
        </w:rPr>
        <w:t xml:space="preserve"> the specified arrangement term. Accordingly</w:t>
      </w:r>
      <w:r w:rsidR="00FA535A">
        <w:rPr>
          <w:lang w:val="en-US"/>
        </w:rPr>
        <w:t>:</w:t>
      </w:r>
      <w:r w:rsidR="00FA535A" w:rsidRPr="00662611" w:rsidDel="005A3290">
        <w:t xml:space="preserve"> </w:t>
      </w:r>
    </w:p>
    <w:p w14:paraId="7D9273D2" w14:textId="488A7A4C" w:rsidR="0079247F" w:rsidRPr="00662611" w:rsidRDefault="00215530" w:rsidP="003102C2">
      <w:pPr>
        <w:pStyle w:val="IGpara1"/>
        <w:numPr>
          <w:ilvl w:val="1"/>
          <w:numId w:val="38"/>
        </w:numPr>
        <w:ind w:left="1564" w:hanging="782"/>
      </w:pPr>
      <w:r>
        <w:rPr>
          <w:lang w:val="en-US"/>
        </w:rPr>
        <w:t xml:space="preserve">where the </w:t>
      </w:r>
      <w:r w:rsidR="00DA0264">
        <w:rPr>
          <w:lang w:val="en-US"/>
        </w:rPr>
        <w:t>grantor retains substantially all the risks and rewards incidental to ownership, the grantor is the lessor in an operating lease</w:t>
      </w:r>
      <w:r w:rsidR="00935FCE" w:rsidRPr="00662611">
        <w:t>; or</w:t>
      </w:r>
    </w:p>
    <w:p w14:paraId="7D9273D3" w14:textId="44752D0D" w:rsidR="00935FCE" w:rsidRPr="00662611" w:rsidRDefault="00215530" w:rsidP="003102C2">
      <w:pPr>
        <w:pStyle w:val="IGpara1"/>
        <w:numPr>
          <w:ilvl w:val="1"/>
          <w:numId w:val="38"/>
        </w:numPr>
        <w:ind w:left="1564" w:hanging="782"/>
      </w:pPr>
      <w:proofErr w:type="gramStart"/>
      <w:r>
        <w:rPr>
          <w:lang w:val="en-US"/>
        </w:rPr>
        <w:t>where</w:t>
      </w:r>
      <w:proofErr w:type="gramEnd"/>
      <w:r>
        <w:rPr>
          <w:lang w:val="en-US"/>
        </w:rPr>
        <w:t xml:space="preserve"> the </w:t>
      </w:r>
      <w:r w:rsidR="00FA535A">
        <w:t>operator has substantially all the risks and rewards incidental to ownership</w:t>
      </w:r>
      <w:r w:rsidR="00935FCE" w:rsidRPr="00662611">
        <w:t>, the grantor derecognises the asset and recognises a receivable in accordance with the accounting for a finance lease.</w:t>
      </w:r>
    </w:p>
    <w:p w14:paraId="7D9273D4" w14:textId="493D05AF" w:rsidR="00D36A66" w:rsidRPr="00662611" w:rsidRDefault="00895D15" w:rsidP="00D36A66">
      <w:pPr>
        <w:pStyle w:val="IGpara1"/>
        <w:ind w:left="782" w:hanging="782"/>
      </w:pPr>
      <w:r w:rsidRPr="00662611">
        <w:t xml:space="preserve">In </w:t>
      </w:r>
      <w:r w:rsidR="00975A3F" w:rsidRPr="00662611">
        <w:t xml:space="preserve">this </w:t>
      </w:r>
      <w:r w:rsidRPr="00662611">
        <w:t xml:space="preserve">example, the </w:t>
      </w:r>
      <w:r w:rsidR="00D173A5" w:rsidRPr="00662611">
        <w:t xml:space="preserve">wings of the hospital </w:t>
      </w:r>
      <w:r w:rsidR="00A9601F" w:rsidRPr="00662611">
        <w:t>are</w:t>
      </w:r>
      <w:r w:rsidR="00D173A5" w:rsidRPr="00662611">
        <w:t xml:space="preserve"> </w:t>
      </w:r>
      <w:r w:rsidRPr="00662611">
        <w:t>capable of being separated</w:t>
      </w:r>
      <w:r w:rsidR="00D173A5" w:rsidRPr="00662611">
        <w:t xml:space="preserve"> into </w:t>
      </w:r>
      <w:r w:rsidR="00577155" w:rsidRPr="00662611">
        <w:t xml:space="preserve">a </w:t>
      </w:r>
      <w:r w:rsidR="00D173A5" w:rsidRPr="00662611">
        <w:t xml:space="preserve">public wing (regulated portion) and </w:t>
      </w:r>
      <w:r w:rsidR="00577155" w:rsidRPr="00662611">
        <w:t>a</w:t>
      </w:r>
      <w:r w:rsidR="00D173A5" w:rsidRPr="00662611">
        <w:t xml:space="preserve"> private wing (unregulated portion)</w:t>
      </w:r>
      <w:r w:rsidRPr="00662611">
        <w:t>.</w:t>
      </w:r>
      <w:r w:rsidR="00BE6903" w:rsidRPr="00662611">
        <w:t xml:space="preserve"> However, </w:t>
      </w:r>
      <w:r w:rsidR="008F6F96" w:rsidRPr="00662611">
        <w:t>some service concession arrangements may involve a</w:t>
      </w:r>
      <w:r w:rsidR="00BE6903" w:rsidRPr="00662611">
        <w:t xml:space="preserve"> hospital </w:t>
      </w:r>
      <w:r w:rsidR="008F6F96" w:rsidRPr="00662611">
        <w:t xml:space="preserve">that </w:t>
      </w:r>
      <w:r w:rsidR="00BE6903" w:rsidRPr="00662611">
        <w:t xml:space="preserve">is partly regulated and </w:t>
      </w:r>
      <w:r w:rsidR="008F6F96" w:rsidRPr="00662611">
        <w:t xml:space="preserve">partly </w:t>
      </w:r>
      <w:r w:rsidR="00BE6903" w:rsidRPr="00662611">
        <w:t xml:space="preserve">unregulated based on the number of patients that are </w:t>
      </w:r>
      <w:r w:rsidR="00FA2CC1" w:rsidRPr="00662611">
        <w:t xml:space="preserve">admitted as </w:t>
      </w:r>
      <w:r w:rsidR="002B35F4" w:rsidRPr="00662611">
        <w:t>a</w:t>
      </w:r>
      <w:r w:rsidR="00BE6903" w:rsidRPr="00662611">
        <w:t xml:space="preserve"> </w:t>
      </w:r>
      <w:r w:rsidR="008F6F96" w:rsidRPr="00662611">
        <w:t xml:space="preserve">public </w:t>
      </w:r>
      <w:r w:rsidR="002B35F4" w:rsidRPr="00662611">
        <w:t xml:space="preserve">patient </w:t>
      </w:r>
      <w:r w:rsidR="008F6F96" w:rsidRPr="00662611">
        <w:t xml:space="preserve">or </w:t>
      </w:r>
      <w:r w:rsidR="002B35F4" w:rsidRPr="00662611">
        <w:t xml:space="preserve">a </w:t>
      </w:r>
      <w:r w:rsidR="00BE6903" w:rsidRPr="00662611">
        <w:t>private patient</w:t>
      </w:r>
      <w:r w:rsidR="00577155" w:rsidRPr="00662611">
        <w:t xml:space="preserve">, </w:t>
      </w:r>
      <w:r w:rsidR="002B35F4" w:rsidRPr="00662611">
        <w:t>instead of being</w:t>
      </w:r>
      <w:r w:rsidR="00577155" w:rsidRPr="00662611">
        <w:t xml:space="preserve"> physically </w:t>
      </w:r>
      <w:r w:rsidR="00975A3F" w:rsidRPr="00662611">
        <w:t xml:space="preserve">separate </w:t>
      </w:r>
      <w:r w:rsidR="00577155" w:rsidRPr="00662611">
        <w:t xml:space="preserve">as </w:t>
      </w:r>
      <w:r w:rsidR="00975A3F" w:rsidRPr="00662611">
        <w:t xml:space="preserve">per </w:t>
      </w:r>
      <w:r w:rsidR="00577155" w:rsidRPr="00662611">
        <w:t xml:space="preserve">paragraph </w:t>
      </w:r>
      <w:r w:rsidR="0015070C">
        <w:fldChar w:fldCharType="begin"/>
      </w:r>
      <w:r w:rsidR="0015070C">
        <w:instrText xml:space="preserve"> REF _Ref486146311 \r \h </w:instrText>
      </w:r>
      <w:r w:rsidR="0015070C">
        <w:fldChar w:fldCharType="separate"/>
      </w:r>
      <w:r w:rsidR="00C43128">
        <w:t>IG16</w:t>
      </w:r>
      <w:r w:rsidR="0015070C">
        <w:fldChar w:fldCharType="end"/>
      </w:r>
      <w:r w:rsidR="00577155" w:rsidRPr="00662611">
        <w:t>(a)</w:t>
      </w:r>
      <w:r w:rsidR="00E27E70" w:rsidRPr="00662611">
        <w:t xml:space="preserve">. In such circumstances, </w:t>
      </w:r>
      <w:r w:rsidR="00F16649" w:rsidRPr="00662611">
        <w:t>judg</w:t>
      </w:r>
      <w:r w:rsidR="00975A3F" w:rsidRPr="00662611">
        <w:t>e</w:t>
      </w:r>
      <w:r w:rsidR="00F16649" w:rsidRPr="00662611">
        <w:t xml:space="preserve">ment will be required as to </w:t>
      </w:r>
      <w:r w:rsidR="00C448B2">
        <w:t xml:space="preserve">the relative significance of the regulated versus unregulated activities </w:t>
      </w:r>
      <w:r w:rsidR="00F16649" w:rsidRPr="00662611">
        <w:t xml:space="preserve">in order to </w:t>
      </w:r>
      <w:r w:rsidR="004B6AF0" w:rsidRPr="00662611">
        <w:t xml:space="preserve">determine </w:t>
      </w:r>
      <w:r w:rsidR="00975A3F" w:rsidRPr="00662611">
        <w:t xml:space="preserve">whether </w:t>
      </w:r>
      <w:r w:rsidR="004B6AF0" w:rsidRPr="00662611">
        <w:t>the grantor has control of the asset</w:t>
      </w:r>
      <w:r w:rsidR="00271C76">
        <w:t xml:space="preserve"> and/or </w:t>
      </w:r>
      <w:r w:rsidR="00215530">
        <w:t xml:space="preserve">has </w:t>
      </w:r>
      <w:r w:rsidR="00271C76">
        <w:t>granted a right of use to the operator</w:t>
      </w:r>
      <w:r w:rsidR="00577155" w:rsidRPr="00662611">
        <w:t>.</w:t>
      </w:r>
      <w:r w:rsidR="004B6AF0" w:rsidRPr="00662611">
        <w:t xml:space="preserve"> </w:t>
      </w:r>
      <w:r w:rsidR="00AF62F7" w:rsidRPr="00662611">
        <w:t>For example, i</w:t>
      </w:r>
      <w:r w:rsidR="004B6AF0" w:rsidRPr="00662611">
        <w:t xml:space="preserve">f the hospital </w:t>
      </w:r>
      <w:r w:rsidR="007F409D" w:rsidRPr="00662611">
        <w:t>admission</w:t>
      </w:r>
      <w:r w:rsidR="00A9601F" w:rsidRPr="00662611">
        <w:t>s</w:t>
      </w:r>
      <w:r w:rsidR="007F409D" w:rsidRPr="00662611">
        <w:t xml:space="preserve"> </w:t>
      </w:r>
      <w:r w:rsidR="00C448B2">
        <w:t xml:space="preserve">are expected to </w:t>
      </w:r>
      <w:r w:rsidR="007F409D" w:rsidRPr="00662611">
        <w:t xml:space="preserve">comprise </w:t>
      </w:r>
      <w:r w:rsidR="00E27E70" w:rsidRPr="00662611">
        <w:t xml:space="preserve">substantially </w:t>
      </w:r>
      <w:r w:rsidR="004B6AF0" w:rsidRPr="00662611">
        <w:t>public patients</w:t>
      </w:r>
      <w:r w:rsidR="00FA2CC1" w:rsidRPr="00662611">
        <w:t xml:space="preserve">, then the admission of private patients would be considered as ancillary </w:t>
      </w:r>
      <w:r w:rsidR="00E27E70" w:rsidRPr="00662611">
        <w:t xml:space="preserve">(unregulated) </w:t>
      </w:r>
      <w:r w:rsidR="00FA2CC1" w:rsidRPr="00662611">
        <w:t>activities of the hospital</w:t>
      </w:r>
      <w:r w:rsidR="00E27E70" w:rsidRPr="00662611">
        <w:t xml:space="preserve"> and t</w:t>
      </w:r>
      <w:r w:rsidR="00FA2CC1" w:rsidRPr="00662611">
        <w:t xml:space="preserve">he hospital </w:t>
      </w:r>
      <w:r w:rsidR="00E27E70" w:rsidRPr="00662611">
        <w:t xml:space="preserve">considered to be used wholly for regulated purposes </w:t>
      </w:r>
      <w:r w:rsidR="00975A3F" w:rsidRPr="00662611">
        <w:t xml:space="preserve">in addressing the </w:t>
      </w:r>
      <w:r w:rsidR="00E27E70" w:rsidRPr="00662611">
        <w:t xml:space="preserve">accounting </w:t>
      </w:r>
      <w:r w:rsidR="00975A3F" w:rsidRPr="00662611">
        <w:t xml:space="preserve">for the </w:t>
      </w:r>
      <w:r w:rsidR="00E27E70" w:rsidRPr="00662611">
        <w:t>service concession asset.</w:t>
      </w:r>
      <w:r w:rsidR="00A9601F" w:rsidRPr="00662611">
        <w:t xml:space="preserve"> In addition, a lease from the grantor to the operator requires a specifically identifiable asset with a right of use granted for a specified time, so in these circumstances it is unlikely a lease could be identified.</w:t>
      </w:r>
    </w:p>
    <w:p w14:paraId="7D9273D5" w14:textId="77777777" w:rsidR="00495453" w:rsidRPr="00662611" w:rsidRDefault="00FB2F7E" w:rsidP="00FB2F7E">
      <w:pPr>
        <w:pStyle w:val="IASBSectionTitle3Ind"/>
      </w:pPr>
      <w:r w:rsidRPr="00662611">
        <w:t>E</w:t>
      </w:r>
      <w:r w:rsidR="00495453" w:rsidRPr="00662611">
        <w:t xml:space="preserve">xample </w:t>
      </w:r>
      <w:r w:rsidR="00E27E70" w:rsidRPr="00662611">
        <w:t>5</w:t>
      </w:r>
      <w:r w:rsidR="00FC54A5" w:rsidRPr="00662611">
        <w:t>(a)</w:t>
      </w:r>
      <w:r w:rsidR="00495453" w:rsidRPr="00662611">
        <w:t>: Sale</w:t>
      </w:r>
    </w:p>
    <w:p w14:paraId="7D9273D6" w14:textId="450FD6ED" w:rsidR="00495453" w:rsidRPr="00662611" w:rsidRDefault="00DD7FC8" w:rsidP="00495453">
      <w:pPr>
        <w:pStyle w:val="IGpara1"/>
        <w:ind w:left="782" w:hanging="782"/>
      </w:pPr>
      <w:r w:rsidRPr="00662611">
        <w:t xml:space="preserve">This example illustrates an arrangement that involves a public sector entity </w:t>
      </w:r>
      <w:r w:rsidR="00952A4E" w:rsidRPr="00662611">
        <w:t xml:space="preserve">(a State </w:t>
      </w:r>
      <w:r w:rsidR="0035564D" w:rsidRPr="00662611">
        <w:t>G</w:t>
      </w:r>
      <w:r w:rsidR="00952A4E" w:rsidRPr="00662611">
        <w:t>overnment</w:t>
      </w:r>
      <w:r w:rsidR="00C448B2">
        <w:t xml:space="preserve"> – </w:t>
      </w:r>
      <w:r w:rsidR="00784A74">
        <w:t>the grantor)</w:t>
      </w:r>
      <w:r w:rsidR="00952A4E" w:rsidRPr="00662611">
        <w:t xml:space="preserve"> </w:t>
      </w:r>
      <w:r w:rsidRPr="00662611">
        <w:t xml:space="preserve">selling an asset </w:t>
      </w:r>
      <w:r w:rsidR="00952A4E" w:rsidRPr="00662611">
        <w:t xml:space="preserve">(electricity distribution business) </w:t>
      </w:r>
      <w:r w:rsidRPr="00662611">
        <w:t xml:space="preserve">to a </w:t>
      </w:r>
      <w:r w:rsidR="00074D2E" w:rsidRPr="00662611">
        <w:t>pr</w:t>
      </w:r>
      <w:r w:rsidR="005F11BF" w:rsidRPr="00662611">
        <w:t>i</w:t>
      </w:r>
      <w:r w:rsidR="00074D2E" w:rsidRPr="00662611">
        <w:t>v</w:t>
      </w:r>
      <w:r w:rsidR="005F11BF" w:rsidRPr="00662611">
        <w:t>ate</w:t>
      </w:r>
      <w:r w:rsidRPr="00662611">
        <w:t xml:space="preserve"> sector entity</w:t>
      </w:r>
      <w:r w:rsidR="00784A74">
        <w:t xml:space="preserve"> </w:t>
      </w:r>
      <w:r w:rsidR="00784A74" w:rsidRPr="00662611">
        <w:t>(the operator)</w:t>
      </w:r>
      <w:r w:rsidRPr="00662611">
        <w:t xml:space="preserve">. The relevant terms of </w:t>
      </w:r>
      <w:r w:rsidR="005F11BF" w:rsidRPr="00662611">
        <w:t>the</w:t>
      </w:r>
      <w:r w:rsidRPr="00662611">
        <w:t xml:space="preserve"> arrangement are:</w:t>
      </w:r>
    </w:p>
    <w:p w14:paraId="7D9273D7" w14:textId="69895AF3" w:rsidR="00F96906" w:rsidRPr="00662611" w:rsidRDefault="00F96906" w:rsidP="003102C2">
      <w:pPr>
        <w:pStyle w:val="IGpara1"/>
        <w:numPr>
          <w:ilvl w:val="1"/>
          <w:numId w:val="38"/>
        </w:numPr>
        <w:ind w:left="1564" w:hanging="782"/>
      </w:pPr>
      <w:r w:rsidRPr="00662611">
        <w:t xml:space="preserve">in exchange for the sale of </w:t>
      </w:r>
      <w:r w:rsidR="005F11BF" w:rsidRPr="00662611">
        <w:t>the</w:t>
      </w:r>
      <w:r w:rsidRPr="00662611">
        <w:t xml:space="preserve"> electricity distribution b</w:t>
      </w:r>
      <w:r w:rsidR="003655C6" w:rsidRPr="00662611">
        <w:t>usiness</w:t>
      </w:r>
      <w:r w:rsidR="00710593" w:rsidRPr="00662611">
        <w:t xml:space="preserve">, the </w:t>
      </w:r>
      <w:r w:rsidR="00784A74">
        <w:t>grantor</w:t>
      </w:r>
      <w:r w:rsidR="00710593" w:rsidRPr="00662611">
        <w:t xml:space="preserve"> receives cash relating to the sale of </w:t>
      </w:r>
      <w:r w:rsidR="00C448B2">
        <w:t xml:space="preserve">its </w:t>
      </w:r>
      <w:r w:rsidR="00710593" w:rsidRPr="00662611">
        <w:t xml:space="preserve">interest in the net assets of the business, and </w:t>
      </w:r>
      <w:r w:rsidR="00FD1C84" w:rsidRPr="00662611">
        <w:t>settlement</w:t>
      </w:r>
      <w:r w:rsidR="00710593" w:rsidRPr="00662611">
        <w:t xml:space="preserve"> by the </w:t>
      </w:r>
      <w:r w:rsidR="00784A74">
        <w:t>operator</w:t>
      </w:r>
      <w:r w:rsidR="00710593" w:rsidRPr="00662611">
        <w:t xml:space="preserve"> of </w:t>
      </w:r>
      <w:r w:rsidR="00765E0E" w:rsidRPr="00662611">
        <w:t>the</w:t>
      </w:r>
      <w:r w:rsidR="00710593" w:rsidRPr="00662611">
        <w:t xml:space="preserve"> </w:t>
      </w:r>
      <w:r w:rsidR="00FD1C84" w:rsidRPr="00662611">
        <w:t>liabilities</w:t>
      </w:r>
      <w:r w:rsidR="00710593" w:rsidRPr="00662611">
        <w:t xml:space="preserve"> </w:t>
      </w:r>
      <w:r w:rsidR="00765E0E" w:rsidRPr="00662611">
        <w:t>of</w:t>
      </w:r>
      <w:r w:rsidR="00710593" w:rsidRPr="00662611">
        <w:t xml:space="preserve"> the business;</w:t>
      </w:r>
    </w:p>
    <w:p w14:paraId="7D9273D8" w14:textId="36AD96F2" w:rsidR="004D0644" w:rsidRPr="00662611" w:rsidRDefault="00710593" w:rsidP="003102C2">
      <w:pPr>
        <w:pStyle w:val="IGpara1"/>
        <w:numPr>
          <w:ilvl w:val="1"/>
          <w:numId w:val="38"/>
        </w:numPr>
        <w:ind w:left="1564" w:hanging="782"/>
      </w:pPr>
      <w:proofErr w:type="gramStart"/>
      <w:r w:rsidRPr="00662611">
        <w:t>the</w:t>
      </w:r>
      <w:proofErr w:type="gramEnd"/>
      <w:r w:rsidRPr="00662611">
        <w:t xml:space="preserve"> </w:t>
      </w:r>
      <w:r w:rsidR="00016710" w:rsidRPr="00662611">
        <w:t>operator</w:t>
      </w:r>
      <w:r w:rsidR="007C0C08" w:rsidRPr="00662611">
        <w:t xml:space="preserve"> </w:t>
      </w:r>
      <w:r w:rsidRPr="00662611">
        <w:t>is able to</w:t>
      </w:r>
      <w:r w:rsidR="00364E1C" w:rsidRPr="00662611">
        <w:t xml:space="preserve"> operate the electricity distribution business subject to regulation by a third-party regulator </w:t>
      </w:r>
      <w:r w:rsidR="007C0C08" w:rsidRPr="00662611">
        <w:t>of el</w:t>
      </w:r>
      <w:r w:rsidR="007B1779" w:rsidRPr="00662611">
        <w:t>ectricity distributors</w:t>
      </w:r>
      <w:r w:rsidR="005B70F6" w:rsidRPr="00662611">
        <w:t xml:space="preserve">. Additionally, </w:t>
      </w:r>
      <w:r w:rsidR="00780656" w:rsidRPr="00662611">
        <w:t xml:space="preserve">although </w:t>
      </w:r>
      <w:r w:rsidR="005B70F6" w:rsidRPr="00662611">
        <w:t xml:space="preserve">the operator has discretion to set the prices of the electricity services, the operator must seek the third-party </w:t>
      </w:r>
      <w:r w:rsidR="005C2543" w:rsidRPr="00662611">
        <w:t xml:space="preserve">regulator’s </w:t>
      </w:r>
      <w:r w:rsidR="005B70F6" w:rsidRPr="00662611">
        <w:t>approval for change</w:t>
      </w:r>
      <w:r w:rsidR="007B1779" w:rsidRPr="00662611">
        <w:t>s</w:t>
      </w:r>
      <w:r w:rsidR="005B70F6" w:rsidRPr="00662611">
        <w:t xml:space="preserve"> in pricing;</w:t>
      </w:r>
      <w:r w:rsidR="00C47C9E" w:rsidRPr="00662611">
        <w:t xml:space="preserve"> and</w:t>
      </w:r>
    </w:p>
    <w:p w14:paraId="7D9273D9" w14:textId="77777777" w:rsidR="007C0C08" w:rsidRPr="00662611" w:rsidRDefault="004D0644" w:rsidP="003102C2">
      <w:pPr>
        <w:pStyle w:val="IGpara1"/>
        <w:numPr>
          <w:ilvl w:val="1"/>
          <w:numId w:val="38"/>
        </w:numPr>
        <w:ind w:left="1564" w:hanging="782"/>
      </w:pPr>
      <w:bookmarkStart w:id="110" w:name="_Ref484636258"/>
      <w:r w:rsidRPr="00662611">
        <w:t>t</w:t>
      </w:r>
      <w:r w:rsidR="007C0C08" w:rsidRPr="00662611">
        <w:t xml:space="preserve">he </w:t>
      </w:r>
      <w:r w:rsidR="00016710" w:rsidRPr="00662611">
        <w:t>operator</w:t>
      </w:r>
      <w:r w:rsidR="007C0C08" w:rsidRPr="00662611">
        <w:t xml:space="preserve"> </w:t>
      </w:r>
      <w:r w:rsidRPr="00662611">
        <w:t>control</w:t>
      </w:r>
      <w:r w:rsidR="00395DE8" w:rsidRPr="00662611">
        <w:t>s</w:t>
      </w:r>
      <w:r w:rsidR="007C0C08" w:rsidRPr="00662611">
        <w:t>:</w:t>
      </w:r>
      <w:bookmarkEnd w:id="110"/>
    </w:p>
    <w:p w14:paraId="7D9273DA" w14:textId="4015601F" w:rsidR="00016710" w:rsidRPr="00662611" w:rsidRDefault="00395DE8" w:rsidP="00362D70">
      <w:pPr>
        <w:pStyle w:val="NumAG3"/>
        <w:numPr>
          <w:ilvl w:val="0"/>
          <w:numId w:val="41"/>
        </w:numPr>
        <w:ind w:left="2347" w:hanging="782"/>
      </w:pPr>
      <w:r w:rsidRPr="00662611">
        <w:t xml:space="preserve">the </w:t>
      </w:r>
      <w:r w:rsidR="00C47C9E" w:rsidRPr="00662611">
        <w:t>operating activities</w:t>
      </w:r>
      <w:r w:rsidRPr="00662611">
        <w:t xml:space="preserve"> of the electricity distribution business, including </w:t>
      </w:r>
      <w:r w:rsidR="004D6708" w:rsidRPr="00662611">
        <w:t>decision</w:t>
      </w:r>
      <w:r w:rsidR="00765E0E" w:rsidRPr="00662611">
        <w:t>s</w:t>
      </w:r>
      <w:r w:rsidR="004D6708" w:rsidRPr="00662611">
        <w:t xml:space="preserve"> to </w:t>
      </w:r>
      <w:r w:rsidR="00E644AF" w:rsidRPr="00662611">
        <w:t xml:space="preserve">expand or modify the distribution network or to </w:t>
      </w:r>
      <w:r w:rsidR="004D6708" w:rsidRPr="00662611">
        <w:t>continue</w:t>
      </w:r>
      <w:r w:rsidRPr="00662611">
        <w:t xml:space="preserve"> </w:t>
      </w:r>
      <w:r w:rsidR="004D6708" w:rsidRPr="00662611">
        <w:t>providing electricity services</w:t>
      </w:r>
      <w:r w:rsidR="00C80B61">
        <w:t xml:space="preserve">, subject to protective rights of the </w:t>
      </w:r>
      <w:r w:rsidR="00784A74">
        <w:t>grantor</w:t>
      </w:r>
      <w:r w:rsidR="00C80B61">
        <w:t xml:space="preserve"> to ensure </w:t>
      </w:r>
      <w:r w:rsidR="00784A74">
        <w:t xml:space="preserve">electricity </w:t>
      </w:r>
      <w:r w:rsidR="00C80B61">
        <w:t>supply in certain circumstances</w:t>
      </w:r>
      <w:r w:rsidRPr="00662611">
        <w:t>.</w:t>
      </w:r>
      <w:r w:rsidR="007B1779" w:rsidRPr="00662611">
        <w:t xml:space="preserve"> I</w:t>
      </w:r>
      <w:r w:rsidRPr="00662611">
        <w:t xml:space="preserve">f the operator </w:t>
      </w:r>
      <w:r w:rsidR="004D6708" w:rsidRPr="00662611">
        <w:t xml:space="preserve">decides to discontinue providing electricity </w:t>
      </w:r>
      <w:r w:rsidR="00016710" w:rsidRPr="00662611">
        <w:t>services</w:t>
      </w:r>
      <w:r w:rsidR="009A6B2C" w:rsidRPr="00662611">
        <w:t xml:space="preserve">, the </w:t>
      </w:r>
      <w:r w:rsidR="00784A74">
        <w:t>grantor</w:t>
      </w:r>
      <w:r w:rsidR="001B42EE" w:rsidRPr="00662611">
        <w:t xml:space="preserve"> ha</w:t>
      </w:r>
      <w:r w:rsidR="00A461F1" w:rsidRPr="00662611">
        <w:t xml:space="preserve">s an option to buy </w:t>
      </w:r>
      <w:r w:rsidR="001B42EE" w:rsidRPr="00662611">
        <w:t xml:space="preserve">back the business </w:t>
      </w:r>
      <w:r w:rsidR="00C47C9E" w:rsidRPr="00662611">
        <w:t xml:space="preserve">from the operator </w:t>
      </w:r>
      <w:r w:rsidR="001B42EE" w:rsidRPr="00662611">
        <w:t>at fair value;</w:t>
      </w:r>
      <w:r w:rsidR="00C47C9E" w:rsidRPr="00662611">
        <w:t xml:space="preserve"> and</w:t>
      </w:r>
    </w:p>
    <w:p w14:paraId="7D9273DB" w14:textId="266D0588" w:rsidR="007C0C08" w:rsidRPr="00662611" w:rsidRDefault="007C0C08" w:rsidP="00362D70">
      <w:pPr>
        <w:pStyle w:val="NumAG3"/>
        <w:numPr>
          <w:ilvl w:val="0"/>
          <w:numId w:val="41"/>
        </w:numPr>
        <w:ind w:left="2347" w:hanging="782"/>
      </w:pPr>
      <w:proofErr w:type="gramStart"/>
      <w:r w:rsidRPr="00662611">
        <w:lastRenderedPageBreak/>
        <w:t>the</w:t>
      </w:r>
      <w:proofErr w:type="gramEnd"/>
      <w:r w:rsidRPr="00662611">
        <w:t xml:space="preserve"> recipients of the services</w:t>
      </w:r>
      <w:r w:rsidR="00016710" w:rsidRPr="00662611">
        <w:t xml:space="preserve"> – the operator</w:t>
      </w:r>
      <w:r w:rsidR="00F423F9" w:rsidRPr="00662611">
        <w:t xml:space="preserve"> can expand the distribution network beyond the </w:t>
      </w:r>
      <w:r w:rsidR="00655A76" w:rsidRPr="00662611">
        <w:t>network existing at the time of entering the contract</w:t>
      </w:r>
      <w:r w:rsidR="00F423F9" w:rsidRPr="00662611">
        <w:t xml:space="preserve"> without requiring </w:t>
      </w:r>
      <w:r w:rsidR="00784A74">
        <w:t>the grantor’s</w:t>
      </w:r>
      <w:r w:rsidR="00F423F9" w:rsidRPr="00662611">
        <w:t xml:space="preserve"> approval</w:t>
      </w:r>
      <w:r w:rsidR="00074D2E" w:rsidRPr="00662611">
        <w:t>.</w:t>
      </w:r>
    </w:p>
    <w:p w14:paraId="7D9273DC" w14:textId="77777777" w:rsidR="00AE187C" w:rsidRPr="00662611" w:rsidRDefault="00AE187C" w:rsidP="00852445">
      <w:pPr>
        <w:pStyle w:val="IASBSectionTitle4Ind"/>
      </w:pPr>
      <w:r w:rsidRPr="00662611">
        <w:t>Scope</w:t>
      </w:r>
    </w:p>
    <w:p w14:paraId="7D9273DD" w14:textId="53B1440E" w:rsidR="00AE187C" w:rsidRPr="00662611" w:rsidRDefault="00AE187C" w:rsidP="00AE187C">
      <w:pPr>
        <w:pStyle w:val="IGpara1"/>
        <w:ind w:left="782" w:hanging="782"/>
      </w:pPr>
      <w:r w:rsidRPr="00662611">
        <w:t xml:space="preserve">Based on the facts and circumstances, the </w:t>
      </w:r>
      <w:r w:rsidR="00784A74">
        <w:t>grantor</w:t>
      </w:r>
      <w:r w:rsidR="00765E0E" w:rsidRPr="00662611">
        <w:t xml:space="preserve"> </w:t>
      </w:r>
      <w:r w:rsidR="000048B3">
        <w:t>concludes</w:t>
      </w:r>
      <w:r w:rsidR="000048B3" w:rsidRPr="00662611">
        <w:t xml:space="preserve"> </w:t>
      </w:r>
      <w:r w:rsidR="0045548F" w:rsidRPr="00662611">
        <w:t>the arrangement for the electricity distribution business is outside the scope of AASB </w:t>
      </w:r>
      <w:r w:rsidR="005F6667">
        <w:t>1059</w:t>
      </w:r>
      <w:r w:rsidR="00E72BF0" w:rsidRPr="00662611">
        <w:t xml:space="preserve"> (paragraph </w:t>
      </w:r>
      <w:r w:rsidR="0015070C">
        <w:fldChar w:fldCharType="begin"/>
      </w:r>
      <w:r w:rsidR="0015070C">
        <w:instrText xml:space="preserve"> REF _Ref475621189 \r \h </w:instrText>
      </w:r>
      <w:r w:rsidR="0015070C">
        <w:fldChar w:fldCharType="separate"/>
      </w:r>
      <w:r w:rsidR="00C43128">
        <w:t>2</w:t>
      </w:r>
      <w:r w:rsidR="0015070C">
        <w:fldChar w:fldCharType="end"/>
      </w:r>
      <w:r w:rsidR="00E72BF0" w:rsidRPr="00662611">
        <w:t>)</w:t>
      </w:r>
      <w:r w:rsidR="000048B3">
        <w:t xml:space="preserve"> – although electricity distribution would be regarded as public services</w:t>
      </w:r>
      <w:r w:rsidR="0045548F" w:rsidRPr="00662611">
        <w:t xml:space="preserve">, the operator </w:t>
      </w:r>
      <w:r w:rsidR="00765E0E" w:rsidRPr="00662611">
        <w:t xml:space="preserve">does not </w:t>
      </w:r>
      <w:r w:rsidR="0045548F" w:rsidRPr="00662611">
        <w:t xml:space="preserve">provide </w:t>
      </w:r>
      <w:r w:rsidR="000048B3">
        <w:t xml:space="preserve">the </w:t>
      </w:r>
      <w:r w:rsidR="0045548F" w:rsidRPr="00662611">
        <w:t>services on behalf of the</w:t>
      </w:r>
      <w:r w:rsidR="00D61EC7">
        <w:t xml:space="preserve"> </w:t>
      </w:r>
      <w:r w:rsidR="00784A74">
        <w:t>grantor</w:t>
      </w:r>
      <w:r w:rsidR="000048B3">
        <w:t xml:space="preserve"> and the arrangement is not for a specific period of time</w:t>
      </w:r>
      <w:r w:rsidR="0045548F" w:rsidRPr="00662611">
        <w:t>.</w:t>
      </w:r>
      <w:r w:rsidR="00784A74">
        <w:t xml:space="preserve"> The grantor</w:t>
      </w:r>
      <w:r w:rsidR="000048B3">
        <w:t xml:space="preserve">’s protective rights do not mean that the operator provides the services on behalf of the </w:t>
      </w:r>
      <w:r w:rsidR="00784A74">
        <w:t>grantor</w:t>
      </w:r>
      <w:r w:rsidR="000048B3">
        <w:t xml:space="preserve">. The protective rights would have the same impact as for an operator that had developed its own electricity network rather than purchasing it from </w:t>
      </w:r>
      <w:r w:rsidR="00784A74">
        <w:t>a</w:t>
      </w:r>
      <w:r w:rsidR="000048B3">
        <w:t xml:space="preserve"> </w:t>
      </w:r>
      <w:r w:rsidR="008847B4">
        <w:t>grantor</w:t>
      </w:r>
      <w:r w:rsidR="000048B3">
        <w:t xml:space="preserve"> – </w:t>
      </w:r>
      <w:r w:rsidR="00265A8F">
        <w:t xml:space="preserve">the rights do not give the </w:t>
      </w:r>
      <w:r w:rsidR="00784A74">
        <w:t>grantor</w:t>
      </w:r>
      <w:r w:rsidR="00265A8F">
        <w:t xml:space="preserve"> control of the distribution network.</w:t>
      </w:r>
    </w:p>
    <w:p w14:paraId="7D9273DE" w14:textId="77777777" w:rsidR="0045548F" w:rsidRPr="00662611" w:rsidRDefault="0045548F" w:rsidP="00852445">
      <w:pPr>
        <w:pStyle w:val="IASBSectionTitle4Ind"/>
      </w:pPr>
      <w:r w:rsidRPr="00662611">
        <w:t>Grantor’s control of asset for recognition</w:t>
      </w:r>
    </w:p>
    <w:p w14:paraId="7D9273DF" w14:textId="35C095D1" w:rsidR="0045548F" w:rsidRPr="00662611" w:rsidRDefault="00265A8F" w:rsidP="00AE187C">
      <w:pPr>
        <w:pStyle w:val="IGpara1"/>
        <w:ind w:left="782" w:hanging="782"/>
      </w:pPr>
      <w:bookmarkStart w:id="111" w:name="_Ref484636337"/>
      <w:r>
        <w:t>The grantor would also be unable to recognise a service concession asset in these circumstances</w:t>
      </w:r>
      <w:r w:rsidR="00784A74">
        <w:t>, because the grantor is able to control or regulate</w:t>
      </w:r>
      <w:r w:rsidR="00074D2E" w:rsidRPr="00662611">
        <w:t xml:space="preserve"> </w:t>
      </w:r>
      <w:r w:rsidR="00AE4BF5" w:rsidRPr="00662611">
        <w:t xml:space="preserve">only </w:t>
      </w:r>
      <w:r w:rsidR="00074D2E" w:rsidRPr="00662611">
        <w:t xml:space="preserve">some </w:t>
      </w:r>
      <w:r w:rsidR="00142941">
        <w:t xml:space="preserve">of the </w:t>
      </w:r>
      <w:r w:rsidR="00074D2E" w:rsidRPr="00662611">
        <w:t xml:space="preserve">aspects </w:t>
      </w:r>
      <w:r w:rsidR="00AE4BF5" w:rsidRPr="00662611">
        <w:t>addressed in</w:t>
      </w:r>
      <w:r w:rsidR="00074D2E" w:rsidRPr="00662611">
        <w:t xml:space="preserve"> paragraph </w:t>
      </w:r>
      <w:r w:rsidR="00E90B96">
        <w:fldChar w:fldCharType="begin"/>
      </w:r>
      <w:r w:rsidR="00E90B96">
        <w:instrText xml:space="preserve"> REF _Ref475619556 \r \h </w:instrText>
      </w:r>
      <w:r w:rsidR="00E90B96">
        <w:fldChar w:fldCharType="separate"/>
      </w:r>
      <w:r w:rsidR="00C43128">
        <w:t>5</w:t>
      </w:r>
      <w:r w:rsidR="00E90B96">
        <w:fldChar w:fldCharType="end"/>
      </w:r>
      <w:r w:rsidR="00074D2E" w:rsidRPr="00662611">
        <w:t>(a)</w:t>
      </w:r>
      <w:r w:rsidR="00AE4BF5" w:rsidRPr="00662611">
        <w:t>, as follows</w:t>
      </w:r>
      <w:r w:rsidR="00074D2E" w:rsidRPr="00662611">
        <w:t>:</w:t>
      </w:r>
      <w:bookmarkEnd w:id="111"/>
    </w:p>
    <w:p w14:paraId="7D9273E0" w14:textId="3A1D7DD8" w:rsidR="00677337" w:rsidRPr="00662611" w:rsidRDefault="00074D2E" w:rsidP="003102C2">
      <w:pPr>
        <w:pStyle w:val="IGpara1"/>
        <w:numPr>
          <w:ilvl w:val="1"/>
          <w:numId w:val="38"/>
        </w:numPr>
        <w:ind w:left="1564" w:hanging="782"/>
      </w:pPr>
      <w:r w:rsidRPr="00662611">
        <w:t xml:space="preserve">the grantor controls the pricing of the services provided by the operator, as the </w:t>
      </w:r>
      <w:r w:rsidR="00A73A0B" w:rsidRPr="00662611">
        <w:t xml:space="preserve">requirement for the </w:t>
      </w:r>
      <w:r w:rsidRPr="00662611">
        <w:t>operator to seek approval from the third-party regulator removes the operator’s ability to regulate the pricing and, for the purpose of paragraph </w:t>
      </w:r>
      <w:r w:rsidR="00E90B96">
        <w:fldChar w:fldCharType="begin"/>
      </w:r>
      <w:r w:rsidR="00E90B96">
        <w:instrText xml:space="preserve"> REF _Ref475619556 \r \h </w:instrText>
      </w:r>
      <w:r w:rsidR="00E90B96">
        <w:fldChar w:fldCharType="separate"/>
      </w:r>
      <w:r w:rsidR="00C43128">
        <w:t>5</w:t>
      </w:r>
      <w:r w:rsidR="00E90B96">
        <w:fldChar w:fldCharType="end"/>
      </w:r>
      <w:r w:rsidRPr="00662611">
        <w:t xml:space="preserve">(a), the pricing of the services is </w:t>
      </w:r>
      <w:r w:rsidR="00A02B5B" w:rsidRPr="00662611">
        <w:t xml:space="preserve">therefore </w:t>
      </w:r>
      <w:r w:rsidRPr="00662611">
        <w:t>considered to be set implicitly by the grantor (refer paragraph </w:t>
      </w:r>
      <w:r w:rsidR="00780656" w:rsidRPr="00662611">
        <w:fldChar w:fldCharType="begin"/>
      </w:r>
      <w:r w:rsidR="00780656" w:rsidRPr="00662611">
        <w:instrText xml:space="preserve"> REF _Ref484636100 \r \h </w:instrText>
      </w:r>
      <w:r w:rsidR="00780656" w:rsidRPr="00662611">
        <w:fldChar w:fldCharType="separate"/>
      </w:r>
      <w:r w:rsidR="00C43128">
        <w:t>B20</w:t>
      </w:r>
      <w:r w:rsidR="00780656" w:rsidRPr="00662611">
        <w:fldChar w:fldCharType="end"/>
      </w:r>
      <w:r w:rsidRPr="00662611">
        <w:t>);</w:t>
      </w:r>
    </w:p>
    <w:p w14:paraId="7D9273E1" w14:textId="0DDEF765" w:rsidR="00074D2E" w:rsidRPr="00662611" w:rsidRDefault="00074D2E" w:rsidP="003102C2">
      <w:pPr>
        <w:pStyle w:val="IGpara1"/>
        <w:numPr>
          <w:ilvl w:val="1"/>
          <w:numId w:val="38"/>
        </w:numPr>
        <w:ind w:left="1564" w:hanging="782"/>
      </w:pPr>
      <w:proofErr w:type="gramStart"/>
      <w:r w:rsidRPr="00662611">
        <w:t>the</w:t>
      </w:r>
      <w:proofErr w:type="gramEnd"/>
      <w:r w:rsidRPr="00662611">
        <w:t xml:space="preserve"> operator controls the </w:t>
      </w:r>
      <w:r w:rsidR="008C5633" w:rsidRPr="00662611">
        <w:t xml:space="preserve">services to be provided by the business. </w:t>
      </w:r>
      <w:r w:rsidR="00096665" w:rsidRPr="00662611">
        <w:t>T</w:t>
      </w:r>
      <w:r w:rsidR="008C5633" w:rsidRPr="00662611">
        <w:t xml:space="preserve">he </w:t>
      </w:r>
      <w:r w:rsidR="00096665" w:rsidRPr="00662611">
        <w:t xml:space="preserve">grantor’s </w:t>
      </w:r>
      <w:r w:rsidR="00C407F9">
        <w:t xml:space="preserve">protective rights and </w:t>
      </w:r>
      <w:r w:rsidR="008C5633" w:rsidRPr="00662611">
        <w:t>option to buy</w:t>
      </w:r>
      <w:r w:rsidR="00A461F1" w:rsidRPr="00662611">
        <w:t xml:space="preserve"> </w:t>
      </w:r>
      <w:r w:rsidR="008C5633" w:rsidRPr="00662611">
        <w:t>back the business from the operator</w:t>
      </w:r>
      <w:r w:rsidR="0047580A">
        <w:t>,</w:t>
      </w:r>
      <w:r w:rsidR="008C5633" w:rsidRPr="00662611">
        <w:t xml:space="preserve"> in the event the operator</w:t>
      </w:r>
      <w:r w:rsidR="00D51B85" w:rsidRPr="00662611">
        <w:t xml:space="preserve"> decides to</w:t>
      </w:r>
      <w:r w:rsidR="008C5633" w:rsidRPr="00662611">
        <w:t xml:space="preserve"> discontinue the pr</w:t>
      </w:r>
      <w:r w:rsidR="00D51B85" w:rsidRPr="00662611">
        <w:t>ovision of electricity services</w:t>
      </w:r>
      <w:r w:rsidR="0047580A">
        <w:t>,</w:t>
      </w:r>
      <w:r w:rsidR="00D51B85" w:rsidRPr="00662611">
        <w:t xml:space="preserve"> do not prevent the operator determining the services to be provided</w:t>
      </w:r>
      <w:r w:rsidR="00467561" w:rsidRPr="00662611">
        <w:t>; and</w:t>
      </w:r>
    </w:p>
    <w:p w14:paraId="7D9273E2" w14:textId="6D2FC4CE" w:rsidR="00467561" w:rsidRPr="00662611" w:rsidRDefault="00467561" w:rsidP="003102C2">
      <w:pPr>
        <w:pStyle w:val="IGpara1"/>
        <w:numPr>
          <w:ilvl w:val="1"/>
          <w:numId w:val="38"/>
        </w:numPr>
        <w:ind w:left="1564" w:hanging="782"/>
      </w:pPr>
      <w:bookmarkStart w:id="112" w:name="_Ref484636220"/>
      <w:proofErr w:type="gramStart"/>
      <w:r w:rsidRPr="00662611">
        <w:t>the</w:t>
      </w:r>
      <w:proofErr w:type="gramEnd"/>
      <w:r w:rsidRPr="00662611">
        <w:t xml:space="preserve"> operator controls the recipients of the services as outlined in paragraph</w:t>
      </w:r>
      <w:r w:rsidR="00780656" w:rsidRPr="00662611">
        <w:t xml:space="preserve"> </w:t>
      </w:r>
      <w:r w:rsidR="00780656" w:rsidRPr="00662611">
        <w:fldChar w:fldCharType="begin"/>
      </w:r>
      <w:r w:rsidR="00780656" w:rsidRPr="00662611">
        <w:instrText xml:space="preserve"> REF _Ref484636258 \r \h </w:instrText>
      </w:r>
      <w:r w:rsidR="00780656" w:rsidRPr="00662611">
        <w:fldChar w:fldCharType="separate"/>
      </w:r>
      <w:r w:rsidR="00C43128">
        <w:t>IG24(c)</w:t>
      </w:r>
      <w:r w:rsidR="00780656" w:rsidRPr="00662611">
        <w:fldChar w:fldCharType="end"/>
      </w:r>
      <w:r w:rsidRPr="00662611">
        <w:t>.</w:t>
      </w:r>
      <w:bookmarkEnd w:id="112"/>
    </w:p>
    <w:p w14:paraId="7D9273E3" w14:textId="52E5F326" w:rsidR="00D85D59" w:rsidRDefault="00F14C6A" w:rsidP="005A1B4C">
      <w:pPr>
        <w:pStyle w:val="IGpara1"/>
        <w:ind w:left="782" w:hanging="782"/>
      </w:pPr>
      <w:bookmarkStart w:id="113" w:name="_Ref484636365"/>
      <w:r w:rsidRPr="00662611">
        <w:t>There is no</w:t>
      </w:r>
      <w:r w:rsidR="00D85D59" w:rsidRPr="00662611">
        <w:t xml:space="preserve"> residual interest in the arrangement, </w:t>
      </w:r>
      <w:r w:rsidR="006155A2" w:rsidRPr="00662611">
        <w:t>as the sale is not limited to a specified period</w:t>
      </w:r>
      <w:r w:rsidR="0047580A">
        <w:t xml:space="preserve">, and so the grantor would also not satisfy the requirements of paragraph </w:t>
      </w:r>
      <w:r w:rsidR="0047580A">
        <w:fldChar w:fldCharType="begin"/>
      </w:r>
      <w:r w:rsidR="0047580A">
        <w:instrText xml:space="preserve"> REF _Ref475619556 \r \h </w:instrText>
      </w:r>
      <w:r w:rsidR="0047580A">
        <w:fldChar w:fldCharType="separate"/>
      </w:r>
      <w:r w:rsidR="00C43128">
        <w:t>5</w:t>
      </w:r>
      <w:r w:rsidR="0047580A">
        <w:fldChar w:fldCharType="end"/>
      </w:r>
      <w:r w:rsidR="0047580A" w:rsidRPr="00662611">
        <w:t>(</w:t>
      </w:r>
      <w:r w:rsidR="0047580A">
        <w:t>b</w:t>
      </w:r>
      <w:r w:rsidR="0047580A" w:rsidRPr="00662611">
        <w:t>)</w:t>
      </w:r>
      <w:r w:rsidR="006155A2" w:rsidRPr="00662611">
        <w:t>. Furthermore, the grantor’s buy-back option is exercisable only at fair value and so does not give the grantor any significant residual interest</w:t>
      </w:r>
      <w:r w:rsidR="00D85D59" w:rsidRPr="00662611">
        <w:t>.</w:t>
      </w:r>
      <w:bookmarkEnd w:id="113"/>
      <w:r w:rsidR="00AD6DC9">
        <w:t xml:space="preserve"> As the asset need not be used for the provision of public services for its entire </w:t>
      </w:r>
      <w:r w:rsidR="00215530">
        <w:t xml:space="preserve">remaining economic </w:t>
      </w:r>
      <w:r w:rsidR="00AD6DC9">
        <w:t xml:space="preserve">life (the operator has discretion as to how to use the asset) and the criteria in </w:t>
      </w:r>
      <w:r w:rsidR="00722101">
        <w:t xml:space="preserve">paragraph </w:t>
      </w:r>
      <w:r w:rsidR="00AD6DC9">
        <w:fldChar w:fldCharType="begin"/>
      </w:r>
      <w:r w:rsidR="00AD6DC9">
        <w:instrText xml:space="preserve"> REF _Ref475619556 \r \h </w:instrText>
      </w:r>
      <w:r w:rsidR="00AD6DC9">
        <w:fldChar w:fldCharType="separate"/>
      </w:r>
      <w:r w:rsidR="00C43128">
        <w:t>5</w:t>
      </w:r>
      <w:r w:rsidR="00AD6DC9">
        <w:fldChar w:fldCharType="end"/>
      </w:r>
      <w:r w:rsidR="00AD6DC9" w:rsidRPr="00662611">
        <w:t>(a)</w:t>
      </w:r>
      <w:r w:rsidR="00AD6DC9">
        <w:t xml:space="preserve"> are not met, the conditions in paragraph </w:t>
      </w:r>
      <w:r w:rsidR="00AD6DC9">
        <w:fldChar w:fldCharType="begin"/>
      </w:r>
      <w:r w:rsidR="00AD6DC9">
        <w:instrText xml:space="preserve"> REF _Ref486144882 \r \h </w:instrText>
      </w:r>
      <w:r w:rsidR="00AD6DC9">
        <w:fldChar w:fldCharType="separate"/>
      </w:r>
      <w:r w:rsidR="00C43128">
        <w:t>6</w:t>
      </w:r>
      <w:r w:rsidR="00AD6DC9">
        <w:fldChar w:fldCharType="end"/>
      </w:r>
      <w:r w:rsidR="00AD6DC9">
        <w:t xml:space="preserve"> for a whole-of-life asset are not met.</w:t>
      </w:r>
    </w:p>
    <w:p w14:paraId="278E783C" w14:textId="023B4306" w:rsidR="00757C45" w:rsidRDefault="00757C45" w:rsidP="005A1B4C">
      <w:pPr>
        <w:pStyle w:val="IGpara1"/>
        <w:ind w:left="782" w:hanging="782"/>
      </w:pPr>
      <w:r>
        <w:t xml:space="preserve">Although the grantor cannot recognise a service concession asset, the </w:t>
      </w:r>
      <w:r w:rsidRPr="00662611">
        <w:t xml:space="preserve">grantor assesses whether it controls the </w:t>
      </w:r>
      <w:r>
        <w:t>electricity distribution network</w:t>
      </w:r>
      <w:r w:rsidR="00AD6DC9">
        <w:t>,</w:t>
      </w:r>
      <w:r w:rsidR="00722101">
        <w:t xml:space="preserve"> </w:t>
      </w:r>
      <w:r>
        <w:t xml:space="preserve">has the </w:t>
      </w:r>
      <w:r w:rsidRPr="00662611">
        <w:t xml:space="preserve">right to use the </w:t>
      </w:r>
      <w:r>
        <w:t>network</w:t>
      </w:r>
      <w:r w:rsidR="00AD6DC9">
        <w:t xml:space="preserve">, or controls any other rights requiring </w:t>
      </w:r>
      <w:r w:rsidRPr="00662611">
        <w:t xml:space="preserve">recognition under another Accounting Standard. </w:t>
      </w:r>
      <w:r>
        <w:t>In making this assessment</w:t>
      </w:r>
      <w:r w:rsidRPr="00662611">
        <w:t xml:space="preserve">, the grantor </w:t>
      </w:r>
      <w:r>
        <w:t>takes into account the factors noted in the previous paragraphs.</w:t>
      </w:r>
    </w:p>
    <w:p w14:paraId="7D9273E4" w14:textId="77777777" w:rsidR="00B32372" w:rsidRPr="00662611" w:rsidRDefault="00B32372" w:rsidP="00852445">
      <w:pPr>
        <w:pStyle w:val="IASBSectionTitle4Ind"/>
      </w:pPr>
      <w:r w:rsidRPr="00662611">
        <w:t>Recognition of arrangement</w:t>
      </w:r>
    </w:p>
    <w:p w14:paraId="7D9273E5" w14:textId="4E24FDAD" w:rsidR="00EA580D" w:rsidRPr="00662611" w:rsidRDefault="00EA580D" w:rsidP="00EA580D">
      <w:pPr>
        <w:pStyle w:val="IGpara1"/>
        <w:ind w:left="782" w:hanging="782"/>
      </w:pPr>
      <w:r w:rsidRPr="00662611">
        <w:t xml:space="preserve">Based on the assessment in paragraphs </w:t>
      </w:r>
      <w:r w:rsidR="00780656" w:rsidRPr="00662611">
        <w:fldChar w:fldCharType="begin"/>
      </w:r>
      <w:r w:rsidR="00780656" w:rsidRPr="00662611">
        <w:instrText xml:space="preserve"> REF _Ref484636337 \r \h </w:instrText>
      </w:r>
      <w:r w:rsidR="00780656" w:rsidRPr="00662611">
        <w:fldChar w:fldCharType="separate"/>
      </w:r>
      <w:r w:rsidR="00C43128">
        <w:t>IG26</w:t>
      </w:r>
      <w:r w:rsidR="00780656" w:rsidRPr="00662611">
        <w:fldChar w:fldCharType="end"/>
      </w:r>
      <w:r w:rsidRPr="00662611">
        <w:t>–</w:t>
      </w:r>
      <w:r w:rsidR="00780656" w:rsidRPr="00662611">
        <w:fldChar w:fldCharType="begin"/>
      </w:r>
      <w:r w:rsidR="00780656" w:rsidRPr="00662611">
        <w:instrText xml:space="preserve"> REF _Ref484636365 \r \h </w:instrText>
      </w:r>
      <w:r w:rsidR="00780656" w:rsidRPr="00662611">
        <w:fldChar w:fldCharType="separate"/>
      </w:r>
      <w:r w:rsidR="00C43128">
        <w:t>IG27</w:t>
      </w:r>
      <w:r w:rsidR="00780656" w:rsidRPr="00662611">
        <w:fldChar w:fldCharType="end"/>
      </w:r>
      <w:r w:rsidRPr="00662611">
        <w:t xml:space="preserve">, the grantor determines that it does not control the </w:t>
      </w:r>
      <w:r w:rsidR="00706111" w:rsidRPr="00662611">
        <w:t xml:space="preserve">asset or </w:t>
      </w:r>
      <w:r w:rsidR="00765E0E" w:rsidRPr="00662611">
        <w:t xml:space="preserve">have a right to </w:t>
      </w:r>
      <w:r w:rsidRPr="00662611">
        <w:t>use the asset subsequent to the sale of the electricity distribution business</w:t>
      </w:r>
      <w:r w:rsidR="00765E0E" w:rsidRPr="00662611">
        <w:t>. The grantor therefore</w:t>
      </w:r>
      <w:r w:rsidRPr="00662611">
        <w:t xml:space="preserve"> </w:t>
      </w:r>
      <w:r w:rsidR="00706111" w:rsidRPr="00662611">
        <w:t xml:space="preserve">derecognises the asset </w:t>
      </w:r>
      <w:r w:rsidRPr="00662611">
        <w:t>under another Accounting Standard, such as AASB 116.</w:t>
      </w:r>
    </w:p>
    <w:p w14:paraId="7D9273E6" w14:textId="77777777" w:rsidR="002D5A22" w:rsidRPr="00662611" w:rsidRDefault="00765E0E" w:rsidP="00FB2F7E">
      <w:pPr>
        <w:pStyle w:val="IASBSectionTitle3Ind"/>
      </w:pPr>
      <w:r w:rsidRPr="00662611">
        <w:t xml:space="preserve">Example </w:t>
      </w:r>
      <w:r w:rsidR="009F0590" w:rsidRPr="00662611">
        <w:t>5</w:t>
      </w:r>
      <w:r w:rsidR="002D5A22" w:rsidRPr="00662611">
        <w:t>(b): Privatisation</w:t>
      </w:r>
    </w:p>
    <w:p w14:paraId="7D9273E7" w14:textId="66E45A88" w:rsidR="00A61175" w:rsidRPr="00662611" w:rsidRDefault="00A61175" w:rsidP="00B715AB">
      <w:pPr>
        <w:pStyle w:val="IGpara1"/>
        <w:ind w:left="782" w:hanging="782"/>
      </w:pPr>
      <w:r w:rsidRPr="00662611">
        <w:t xml:space="preserve">In this example, the facts in Example </w:t>
      </w:r>
      <w:r w:rsidR="00780656" w:rsidRPr="00662611">
        <w:t>5</w:t>
      </w:r>
      <w:r w:rsidRPr="00662611">
        <w:t>(a) apply, except that:</w:t>
      </w:r>
    </w:p>
    <w:p w14:paraId="7D9273E8" w14:textId="7BA872DA" w:rsidR="006C2353" w:rsidRPr="00662611" w:rsidRDefault="0041665E" w:rsidP="003102C2">
      <w:pPr>
        <w:pStyle w:val="IGpara1"/>
        <w:numPr>
          <w:ilvl w:val="1"/>
          <w:numId w:val="38"/>
        </w:numPr>
        <w:ind w:left="1564" w:hanging="782"/>
      </w:pPr>
      <w:r w:rsidRPr="00662611">
        <w:t>the State</w:t>
      </w:r>
      <w:r w:rsidR="00C90F46" w:rsidRPr="00662611">
        <w:t xml:space="preserve"> G</w:t>
      </w:r>
      <w:r w:rsidR="00582576" w:rsidRPr="00662611">
        <w:t>overnment</w:t>
      </w:r>
      <w:r w:rsidRPr="00662611">
        <w:t xml:space="preserve"> </w:t>
      </w:r>
      <w:r w:rsidR="00765E0E" w:rsidRPr="00662611">
        <w:t xml:space="preserve">(the grantor) </w:t>
      </w:r>
      <w:r w:rsidR="006C2353" w:rsidRPr="00662611">
        <w:t xml:space="preserve">enters into </w:t>
      </w:r>
      <w:r w:rsidR="00582576" w:rsidRPr="00662611">
        <w:t xml:space="preserve">an arrangement </w:t>
      </w:r>
      <w:r w:rsidR="006C2353" w:rsidRPr="00662611">
        <w:t>with a private sector entity</w:t>
      </w:r>
      <w:r w:rsidR="00012E0E" w:rsidRPr="00662611">
        <w:t xml:space="preserve"> (the operator)</w:t>
      </w:r>
      <w:r w:rsidRPr="00662611">
        <w:t xml:space="preserve"> to operate</w:t>
      </w:r>
      <w:r w:rsidR="00582576" w:rsidRPr="00662611">
        <w:t xml:space="preserve"> the electricity </w:t>
      </w:r>
      <w:r w:rsidR="00765E0E" w:rsidRPr="00662611">
        <w:t xml:space="preserve">distribution business </w:t>
      </w:r>
      <w:r w:rsidR="00582576" w:rsidRPr="00662611">
        <w:t>for 100 years</w:t>
      </w:r>
      <w:r w:rsidR="00A61175" w:rsidRPr="00662611">
        <w:t xml:space="preserve">, instead of </w:t>
      </w:r>
      <w:r w:rsidR="00012E0E" w:rsidRPr="00662611">
        <w:t xml:space="preserve">the operator </w:t>
      </w:r>
      <w:r w:rsidR="0077680E" w:rsidRPr="00662611">
        <w:t>purchasi</w:t>
      </w:r>
      <w:r w:rsidR="00C90F46" w:rsidRPr="00662611">
        <w:t>ng the business from the</w:t>
      </w:r>
      <w:r w:rsidR="00142941">
        <w:t xml:space="preserve"> </w:t>
      </w:r>
      <w:r w:rsidR="0047580A">
        <w:t>grantor</w:t>
      </w:r>
      <w:r w:rsidR="00582576" w:rsidRPr="00662611">
        <w:t>;</w:t>
      </w:r>
      <w:r w:rsidR="00580B1C" w:rsidRPr="00662611">
        <w:t xml:space="preserve"> and</w:t>
      </w:r>
    </w:p>
    <w:p w14:paraId="7D9273E9" w14:textId="294C6801" w:rsidR="00580B1C" w:rsidRPr="00662611" w:rsidRDefault="00580B1C" w:rsidP="003102C2">
      <w:pPr>
        <w:pStyle w:val="IGpara1"/>
        <w:numPr>
          <w:ilvl w:val="1"/>
          <w:numId w:val="38"/>
        </w:numPr>
        <w:ind w:left="1564" w:hanging="782"/>
      </w:pPr>
      <w:proofErr w:type="gramStart"/>
      <w:r w:rsidRPr="00662611">
        <w:t>at</w:t>
      </w:r>
      <w:proofErr w:type="gramEnd"/>
      <w:r w:rsidRPr="00662611">
        <w:t xml:space="preserve"> the end of the arrangement (ie in 100 years’ time)</w:t>
      </w:r>
      <w:r w:rsidR="00C90F46" w:rsidRPr="00662611">
        <w:t xml:space="preserve">, the distribution </w:t>
      </w:r>
      <w:r w:rsidR="00142941">
        <w:t xml:space="preserve">network </w:t>
      </w:r>
      <w:r w:rsidR="00C90F46" w:rsidRPr="00662611">
        <w:t xml:space="preserve">reverts to the </w:t>
      </w:r>
      <w:r w:rsidR="0047580A">
        <w:t>grantor</w:t>
      </w:r>
      <w:r w:rsidR="00C90F46" w:rsidRPr="00662611">
        <w:t>.</w:t>
      </w:r>
      <w:r w:rsidR="002A638B" w:rsidRPr="00662611">
        <w:t xml:space="preserve"> </w:t>
      </w:r>
      <w:r w:rsidR="00C90F46" w:rsidRPr="00662611">
        <w:t>T</w:t>
      </w:r>
      <w:r w:rsidR="002A638B" w:rsidRPr="00662611">
        <w:t xml:space="preserve">he operator must maintain the electricity distribution </w:t>
      </w:r>
      <w:r w:rsidR="00C90F46" w:rsidRPr="00662611">
        <w:t>network</w:t>
      </w:r>
      <w:r w:rsidR="002A638B" w:rsidRPr="00662611">
        <w:t xml:space="preserve"> to the </w:t>
      </w:r>
      <w:r w:rsidR="00C90F46" w:rsidRPr="00662611">
        <w:t xml:space="preserve">specified </w:t>
      </w:r>
      <w:r w:rsidR="002A638B" w:rsidRPr="00662611">
        <w:t>age and condition at the end of the arrangement.</w:t>
      </w:r>
    </w:p>
    <w:p w14:paraId="7D9273EA" w14:textId="77777777" w:rsidR="00837A91" w:rsidRPr="00662611" w:rsidRDefault="00B715AB" w:rsidP="00142941">
      <w:pPr>
        <w:pStyle w:val="IGpara1"/>
        <w:keepNext/>
        <w:ind w:left="782" w:hanging="782"/>
      </w:pPr>
      <w:r w:rsidRPr="00662611">
        <w:t>Based on the facts and circum</w:t>
      </w:r>
      <w:r w:rsidR="00837A91" w:rsidRPr="00662611">
        <w:t>stances, the grantor determines:</w:t>
      </w:r>
    </w:p>
    <w:p w14:paraId="7D9273EB" w14:textId="77BED158" w:rsidR="00B715AB" w:rsidRPr="00662611" w:rsidRDefault="00B715AB" w:rsidP="003102C2">
      <w:pPr>
        <w:pStyle w:val="IGpara1"/>
        <w:numPr>
          <w:ilvl w:val="1"/>
          <w:numId w:val="38"/>
        </w:numPr>
        <w:ind w:left="1564" w:hanging="782"/>
      </w:pPr>
      <w:r w:rsidRPr="00662611">
        <w:t xml:space="preserve">the arrangement for the </w:t>
      </w:r>
      <w:r w:rsidR="004B7033" w:rsidRPr="00662611">
        <w:t xml:space="preserve">operator to operate the </w:t>
      </w:r>
      <w:r w:rsidRPr="00662611">
        <w:t xml:space="preserve">electricity distribution </w:t>
      </w:r>
      <w:r w:rsidR="00142941">
        <w:t xml:space="preserve">network </w:t>
      </w:r>
      <w:r w:rsidRPr="00662611">
        <w:t>is outside the scope of AASB </w:t>
      </w:r>
      <w:r w:rsidR="005F6667">
        <w:t>1059</w:t>
      </w:r>
      <w:r w:rsidR="00D27FDD" w:rsidRPr="00662611">
        <w:t xml:space="preserve">, as </w:t>
      </w:r>
      <w:r w:rsidR="0072669B">
        <w:t xml:space="preserve">the grantor’s protective rights to ensure electricity supply in certain circumstances do not mean that </w:t>
      </w:r>
      <w:r w:rsidR="00D27FDD" w:rsidRPr="00662611">
        <w:t>the operator provide</w:t>
      </w:r>
      <w:r w:rsidR="0072669B">
        <w:t>s</w:t>
      </w:r>
      <w:r w:rsidR="00D27FDD" w:rsidRPr="00662611">
        <w:t xml:space="preserve"> </w:t>
      </w:r>
      <w:r w:rsidR="004877D4">
        <w:t xml:space="preserve">the </w:t>
      </w:r>
      <w:r w:rsidR="00D27FDD" w:rsidRPr="00662611">
        <w:t>services on behalf of the</w:t>
      </w:r>
      <w:r w:rsidR="00142941">
        <w:t xml:space="preserve"> </w:t>
      </w:r>
      <w:r w:rsidR="004877D4">
        <w:t>grantor</w:t>
      </w:r>
      <w:r w:rsidR="00837A91" w:rsidRPr="00662611">
        <w:t>;</w:t>
      </w:r>
    </w:p>
    <w:p w14:paraId="7D9273EC" w14:textId="15E72CEF" w:rsidR="00837A91" w:rsidRPr="00662611" w:rsidRDefault="003A1DBB" w:rsidP="003102C2">
      <w:pPr>
        <w:pStyle w:val="IGpara1"/>
        <w:numPr>
          <w:ilvl w:val="1"/>
          <w:numId w:val="38"/>
        </w:numPr>
        <w:ind w:left="1564" w:hanging="782"/>
      </w:pPr>
      <w:r>
        <w:lastRenderedPageBreak/>
        <w:t xml:space="preserve">even if the arrangement was a service concession arrangement, </w:t>
      </w:r>
      <w:r w:rsidR="00837A91" w:rsidRPr="00662611">
        <w:t>it does not control the asset for recognition under paragraph </w:t>
      </w:r>
      <w:r w:rsidR="00E90B96">
        <w:fldChar w:fldCharType="begin"/>
      </w:r>
      <w:r w:rsidR="00E90B96">
        <w:instrText xml:space="preserve"> REF _Ref475619556 \r \h </w:instrText>
      </w:r>
      <w:r w:rsidR="00E90B96">
        <w:fldChar w:fldCharType="separate"/>
      </w:r>
      <w:r w:rsidR="00C43128">
        <w:t>5</w:t>
      </w:r>
      <w:r w:rsidR="00E90B96">
        <w:fldChar w:fldCharType="end"/>
      </w:r>
      <w:r w:rsidR="00837A91" w:rsidRPr="00662611">
        <w:t>(a)</w:t>
      </w:r>
      <w:r w:rsidR="00942352" w:rsidRPr="00662611">
        <w:t>,</w:t>
      </w:r>
      <w:r w:rsidR="00837A91" w:rsidRPr="00662611">
        <w:t xml:space="preserve"> </w:t>
      </w:r>
      <w:r w:rsidR="00FE74FC" w:rsidRPr="00662611">
        <w:t>for the reasons outlined in</w:t>
      </w:r>
      <w:r w:rsidR="00295CED" w:rsidRPr="00662611">
        <w:t xml:space="preserve"> paragraph</w:t>
      </w:r>
      <w:r w:rsidR="00942352" w:rsidRPr="00662611">
        <w:t>s</w:t>
      </w:r>
      <w:r w:rsidR="00295CED" w:rsidRPr="00662611">
        <w:t> </w:t>
      </w:r>
      <w:r w:rsidR="00C60A55" w:rsidRPr="00662611">
        <w:fldChar w:fldCharType="begin"/>
      </w:r>
      <w:r w:rsidR="00C60A55" w:rsidRPr="00662611">
        <w:instrText xml:space="preserve"> REF _Ref484636337 \r \h </w:instrText>
      </w:r>
      <w:r w:rsidR="00C60A55" w:rsidRPr="00662611">
        <w:fldChar w:fldCharType="separate"/>
      </w:r>
      <w:r w:rsidR="00C43128">
        <w:t>IG26</w:t>
      </w:r>
      <w:r w:rsidR="00C60A55" w:rsidRPr="00662611">
        <w:fldChar w:fldCharType="end"/>
      </w:r>
      <w:r w:rsidR="004640A7" w:rsidRPr="00662611">
        <w:t>(a)–(c)</w:t>
      </w:r>
      <w:r w:rsidR="00837A91" w:rsidRPr="00662611">
        <w:t>;</w:t>
      </w:r>
      <w:r w:rsidR="00A15A75" w:rsidRPr="00662611">
        <w:t xml:space="preserve"> </w:t>
      </w:r>
      <w:r w:rsidR="00B371C6" w:rsidRPr="00662611">
        <w:t>and</w:t>
      </w:r>
    </w:p>
    <w:p w14:paraId="7D9273ED" w14:textId="60B38D09" w:rsidR="00D257A6" w:rsidRPr="00662611" w:rsidRDefault="00DC5C9A" w:rsidP="003102C2">
      <w:pPr>
        <w:pStyle w:val="IGpara1"/>
        <w:numPr>
          <w:ilvl w:val="1"/>
          <w:numId w:val="38"/>
        </w:numPr>
        <w:ind w:left="1564" w:hanging="782"/>
      </w:pPr>
      <w:proofErr w:type="gramStart"/>
      <w:r w:rsidRPr="00662611">
        <w:t>it</w:t>
      </w:r>
      <w:proofErr w:type="gramEnd"/>
      <w:r w:rsidRPr="00662611">
        <w:t xml:space="preserve"> controls the</w:t>
      </w:r>
      <w:r w:rsidR="0046401C" w:rsidRPr="00662611">
        <w:t xml:space="preserve"> significant </w:t>
      </w:r>
      <w:r w:rsidRPr="00662611">
        <w:t>residual interest at the end of the arrangement</w:t>
      </w:r>
      <w:r w:rsidR="0046401C" w:rsidRPr="00662611">
        <w:t>, as</w:t>
      </w:r>
      <w:r w:rsidR="00312919" w:rsidRPr="00662611">
        <w:t xml:space="preserve"> </w:t>
      </w:r>
      <w:r w:rsidRPr="00662611">
        <w:t xml:space="preserve">the electricity distribution </w:t>
      </w:r>
      <w:r w:rsidR="003A1DBB">
        <w:t xml:space="preserve">network </w:t>
      </w:r>
      <w:r w:rsidR="00942352" w:rsidRPr="00662611">
        <w:t xml:space="preserve">reverts </w:t>
      </w:r>
      <w:r w:rsidR="00312919" w:rsidRPr="00662611">
        <w:t>to the grantor at the end of the arrangement. Accordingly, the arrangement is a privatisation and not a sale</w:t>
      </w:r>
      <w:r w:rsidR="00B371C6" w:rsidRPr="00662611">
        <w:t>.</w:t>
      </w:r>
    </w:p>
    <w:p w14:paraId="7D9273EE" w14:textId="020F2794" w:rsidR="00837A91" w:rsidRPr="00662611" w:rsidRDefault="00713572" w:rsidP="00B371C6">
      <w:pPr>
        <w:pStyle w:val="IGpara1"/>
        <w:ind w:left="782" w:hanging="782"/>
      </w:pPr>
      <w:r w:rsidRPr="00662611">
        <w:t>B</w:t>
      </w:r>
      <w:r w:rsidR="00D257A6" w:rsidRPr="00662611">
        <w:t xml:space="preserve">ased on the assessment in </w:t>
      </w:r>
      <w:r w:rsidR="00C60A55" w:rsidRPr="00662611">
        <w:t xml:space="preserve">the previous </w:t>
      </w:r>
      <w:r w:rsidR="00D257A6" w:rsidRPr="00662611">
        <w:t xml:space="preserve">paragraph, the grantor determines that it does not control the </w:t>
      </w:r>
      <w:r w:rsidR="00942352" w:rsidRPr="00662611">
        <w:t>asset (</w:t>
      </w:r>
      <w:r w:rsidR="00D257A6" w:rsidRPr="00662611">
        <w:t>the electricity distribution</w:t>
      </w:r>
      <w:r w:rsidR="00911137">
        <w:t xml:space="preserve"> network</w:t>
      </w:r>
      <w:r w:rsidR="00942352" w:rsidRPr="00662611">
        <w:t>)</w:t>
      </w:r>
      <w:r w:rsidR="00D257A6" w:rsidRPr="00662611">
        <w:t xml:space="preserve"> </w:t>
      </w:r>
      <w:r w:rsidR="00942352" w:rsidRPr="00662611">
        <w:t>or have a right to use the asset under the arrangement.</w:t>
      </w:r>
      <w:r w:rsidR="003A1DBB">
        <w:t xml:space="preserve"> The grantor’s protective rights do not give the grantor any more significant interest in the distribution network than it would have with those same rights in relation to an operator that had developed its own network.</w:t>
      </w:r>
      <w:r w:rsidR="00942352" w:rsidRPr="00662611">
        <w:t xml:space="preserve"> The grantor therefore derecognises the asset </w:t>
      </w:r>
      <w:r w:rsidR="00D257A6" w:rsidRPr="00662611">
        <w:t>under another Accounting Standard, such as AASB 116</w:t>
      </w:r>
      <w:r w:rsidR="00C66FB2" w:rsidRPr="00662611">
        <w:t>,</w:t>
      </w:r>
      <w:r w:rsidR="00722101">
        <w:t xml:space="preserve"> </w:t>
      </w:r>
      <w:r w:rsidR="00AD6DC9">
        <w:t>and determines whether it controls any other rights requiring recognition under another Accounting Standard</w:t>
      </w:r>
      <w:r w:rsidR="00312919" w:rsidRPr="00662611">
        <w:t>.</w:t>
      </w:r>
    </w:p>
    <w:p w14:paraId="7D9273EF" w14:textId="77777777" w:rsidR="00495453" w:rsidRPr="00662611" w:rsidRDefault="00495453"/>
    <w:p w14:paraId="7D9273F0" w14:textId="77777777" w:rsidR="00FF1032" w:rsidRPr="00662611" w:rsidRDefault="00FF1032" w:rsidP="00CD7C3A">
      <w:pPr>
        <w:pStyle w:val="IASBNote"/>
        <w:spacing w:after="0"/>
        <w:ind w:left="1502"/>
        <w:rPr>
          <w:i w:val="0"/>
        </w:rPr>
        <w:sectPr w:rsidR="00FF1032" w:rsidRPr="00662611" w:rsidSect="005369EE">
          <w:footerReference w:type="default" r:id="rId39"/>
          <w:pgSz w:w="11907" w:h="16839"/>
          <w:pgMar w:top="1440" w:right="1440" w:bottom="1440" w:left="1440" w:header="720" w:footer="720" w:gutter="0"/>
          <w:cols w:space="708"/>
          <w:docGrid w:linePitch="360"/>
        </w:sectPr>
      </w:pPr>
    </w:p>
    <w:p w14:paraId="7D9273F1" w14:textId="77777777" w:rsidR="00860505" w:rsidRPr="00662611" w:rsidRDefault="00860505" w:rsidP="001B091F">
      <w:pPr>
        <w:pStyle w:val="ConvSectionTitle"/>
      </w:pPr>
      <w:r w:rsidRPr="00662611">
        <w:lastRenderedPageBreak/>
        <w:t>Illustrative examples</w:t>
      </w:r>
    </w:p>
    <w:p w14:paraId="7D9273F2" w14:textId="352164A1" w:rsidR="003A1EAC" w:rsidRPr="00662611" w:rsidRDefault="003A1EAC" w:rsidP="003A1EAC">
      <w:pPr>
        <w:pStyle w:val="AppendixNote"/>
      </w:pPr>
      <w:r w:rsidRPr="00662611">
        <w:t xml:space="preserve">These illustrative examples accompany, but are not part of, AASB </w:t>
      </w:r>
      <w:r w:rsidRPr="00662611">
        <w:rPr>
          <w:iCs w:val="0"/>
        </w:rPr>
        <w:fldChar w:fldCharType="begin" w:fldLock="1"/>
      </w:r>
      <w:r w:rsidRPr="00662611">
        <w:rPr>
          <w:iCs w:val="0"/>
        </w:rPr>
        <w:instrText xml:space="preserve"> REF AASBNo \* charformat </w:instrText>
      </w:r>
      <w:r w:rsidRPr="00662611">
        <w:rPr>
          <w:iCs w:val="0"/>
        </w:rPr>
        <w:fldChar w:fldCharType="separate"/>
      </w:r>
      <w:r w:rsidRPr="00662611">
        <w:rPr>
          <w:iCs w:val="0"/>
        </w:rPr>
        <w:t>10</w:t>
      </w:r>
      <w:r w:rsidR="005F6667">
        <w:rPr>
          <w:iCs w:val="0"/>
        </w:rPr>
        <w:t>59</w:t>
      </w:r>
      <w:r w:rsidRPr="00662611">
        <w:rPr>
          <w:iCs w:val="0"/>
        </w:rPr>
        <w:fldChar w:fldCharType="end"/>
      </w:r>
      <w:r w:rsidRPr="00662611">
        <w:t>.</w:t>
      </w:r>
    </w:p>
    <w:p w14:paraId="7D9273F3" w14:textId="77777777" w:rsidR="00943D0B" w:rsidRPr="00662611" w:rsidRDefault="003A1EAC" w:rsidP="00B54538">
      <w:pPr>
        <w:pStyle w:val="IE1"/>
        <w:spacing w:after="100" w:line="240" w:lineRule="auto"/>
        <w:ind w:left="782" w:hanging="782"/>
        <w:jc w:val="both"/>
        <w:rPr>
          <w:sz w:val="19"/>
          <w:szCs w:val="19"/>
        </w:rPr>
      </w:pPr>
      <w:r w:rsidRPr="00662611">
        <w:rPr>
          <w:sz w:val="19"/>
          <w:szCs w:val="19"/>
        </w:rPr>
        <w:t>These examples consider only three of many possible types of service concession arrangements. Their purpose is to illustrate the accounting treatment for some features that are commonly found in practice. To make the illustrations as clear as possible</w:t>
      </w:r>
      <w:r w:rsidR="00943D0B" w:rsidRPr="00662611">
        <w:rPr>
          <w:sz w:val="19"/>
          <w:szCs w:val="19"/>
        </w:rPr>
        <w:t>:</w:t>
      </w:r>
    </w:p>
    <w:p w14:paraId="65F07C2B" w14:textId="5C8FEDBF" w:rsidR="004C725F" w:rsidRDefault="004C725F" w:rsidP="00B54538">
      <w:pPr>
        <w:pStyle w:val="IE2"/>
        <w:tabs>
          <w:tab w:val="clear" w:pos="1021"/>
        </w:tabs>
        <w:spacing w:after="100" w:line="240" w:lineRule="auto"/>
        <w:ind w:left="1564" w:hanging="782"/>
        <w:jc w:val="both"/>
        <w:rPr>
          <w:sz w:val="19"/>
          <w:szCs w:val="19"/>
        </w:rPr>
      </w:pPr>
      <w:r>
        <w:rPr>
          <w:sz w:val="19"/>
          <w:szCs w:val="19"/>
        </w:rPr>
        <w:t>I</w:t>
      </w:r>
      <w:r w:rsidR="00831BCC" w:rsidRPr="00662611">
        <w:rPr>
          <w:sz w:val="19"/>
          <w:szCs w:val="19"/>
        </w:rPr>
        <w:t xml:space="preserve">t is assumed in </w:t>
      </w:r>
      <w:r w:rsidR="00943D0B" w:rsidRPr="00662611">
        <w:rPr>
          <w:sz w:val="19"/>
          <w:szCs w:val="19"/>
        </w:rPr>
        <w:t xml:space="preserve">Examples </w:t>
      </w:r>
      <w:r w:rsidR="006F2E16" w:rsidRPr="00662611">
        <w:rPr>
          <w:sz w:val="19"/>
          <w:szCs w:val="19"/>
        </w:rPr>
        <w:t>6</w:t>
      </w:r>
      <w:r w:rsidR="003A53AA" w:rsidRPr="00662611">
        <w:rPr>
          <w:sz w:val="19"/>
          <w:szCs w:val="19"/>
        </w:rPr>
        <w:t>–</w:t>
      </w:r>
      <w:r w:rsidR="006F2E16" w:rsidRPr="00662611">
        <w:rPr>
          <w:sz w:val="19"/>
          <w:szCs w:val="19"/>
        </w:rPr>
        <w:t xml:space="preserve">7 </w:t>
      </w:r>
      <w:r w:rsidR="003A1EAC" w:rsidRPr="00662611">
        <w:rPr>
          <w:sz w:val="19"/>
          <w:szCs w:val="19"/>
        </w:rPr>
        <w:t>that the term of the service concession arrangement is only ten years and that the operator’s annual receipts are constant over that period. In practice, terms may be much longer and annual revenues may increase over time</w:t>
      </w:r>
      <w:r w:rsidR="00943D0B" w:rsidRPr="00662611">
        <w:rPr>
          <w:sz w:val="19"/>
          <w:szCs w:val="19"/>
        </w:rPr>
        <w:t>;</w:t>
      </w:r>
    </w:p>
    <w:p w14:paraId="7D9273F4" w14:textId="6FFBA6B4" w:rsidR="00943D0B" w:rsidRPr="00662611" w:rsidRDefault="004C725F" w:rsidP="00B54538">
      <w:pPr>
        <w:pStyle w:val="IE2"/>
        <w:tabs>
          <w:tab w:val="clear" w:pos="1021"/>
        </w:tabs>
        <w:spacing w:after="100" w:line="240" w:lineRule="auto"/>
        <w:ind w:left="1564" w:hanging="782"/>
        <w:jc w:val="both"/>
        <w:rPr>
          <w:sz w:val="19"/>
          <w:szCs w:val="19"/>
        </w:rPr>
      </w:pPr>
      <w:r>
        <w:rPr>
          <w:sz w:val="19"/>
          <w:szCs w:val="19"/>
        </w:rPr>
        <w:t xml:space="preserve">Examples 6 and 7 do not illustrate the accounting by the grantor for existing assets of the grantor used in the service concession arrangement, such as land under roads; </w:t>
      </w:r>
      <w:r w:rsidR="00943D0B" w:rsidRPr="00662611">
        <w:rPr>
          <w:sz w:val="19"/>
          <w:szCs w:val="19"/>
        </w:rPr>
        <w:t>and</w:t>
      </w:r>
    </w:p>
    <w:p w14:paraId="7D9273F5" w14:textId="3949FD5E" w:rsidR="003A1EAC" w:rsidRPr="00662611" w:rsidRDefault="00943D0B" w:rsidP="00B54538">
      <w:pPr>
        <w:pStyle w:val="IE2"/>
        <w:tabs>
          <w:tab w:val="clear" w:pos="1021"/>
        </w:tabs>
        <w:spacing w:after="100" w:line="240" w:lineRule="auto"/>
        <w:ind w:left="1564" w:hanging="782"/>
        <w:jc w:val="both"/>
        <w:rPr>
          <w:sz w:val="19"/>
          <w:szCs w:val="19"/>
        </w:rPr>
      </w:pPr>
      <w:r w:rsidRPr="00662611">
        <w:rPr>
          <w:sz w:val="19"/>
          <w:szCs w:val="19"/>
        </w:rPr>
        <w:t xml:space="preserve">Example </w:t>
      </w:r>
      <w:r w:rsidR="006F2E16" w:rsidRPr="00662611">
        <w:rPr>
          <w:sz w:val="19"/>
          <w:szCs w:val="19"/>
        </w:rPr>
        <w:t xml:space="preserve">8 </w:t>
      </w:r>
      <w:r w:rsidR="00831BCC" w:rsidRPr="00662611">
        <w:rPr>
          <w:sz w:val="19"/>
          <w:szCs w:val="19"/>
        </w:rPr>
        <w:t>presents</w:t>
      </w:r>
      <w:r w:rsidRPr="00662611">
        <w:rPr>
          <w:sz w:val="19"/>
          <w:szCs w:val="19"/>
        </w:rPr>
        <w:t xml:space="preserve"> only relevant terms of the arrangement that illustrate the requirements </w:t>
      </w:r>
      <w:r w:rsidR="00831BCC" w:rsidRPr="00662611">
        <w:rPr>
          <w:sz w:val="19"/>
          <w:szCs w:val="19"/>
        </w:rPr>
        <w:t>for</w:t>
      </w:r>
      <w:r w:rsidRPr="00662611">
        <w:rPr>
          <w:sz w:val="19"/>
          <w:szCs w:val="19"/>
        </w:rPr>
        <w:t xml:space="preserve"> dividing </w:t>
      </w:r>
      <w:r w:rsidR="00831BCC" w:rsidRPr="00662611">
        <w:rPr>
          <w:sz w:val="19"/>
          <w:szCs w:val="19"/>
        </w:rPr>
        <w:t>the</w:t>
      </w:r>
      <w:r w:rsidRPr="00662611">
        <w:rPr>
          <w:sz w:val="19"/>
          <w:szCs w:val="19"/>
        </w:rPr>
        <w:t xml:space="preserve"> </w:t>
      </w:r>
      <w:r w:rsidR="00831BCC" w:rsidRPr="00662611">
        <w:rPr>
          <w:sz w:val="19"/>
          <w:szCs w:val="19"/>
        </w:rPr>
        <w:t xml:space="preserve">liability under a </w:t>
      </w:r>
      <w:r w:rsidRPr="00662611">
        <w:rPr>
          <w:sz w:val="19"/>
          <w:szCs w:val="19"/>
        </w:rPr>
        <w:t xml:space="preserve">hybrid service concession arrangement </w:t>
      </w:r>
      <w:r w:rsidR="00831BCC" w:rsidRPr="00662611">
        <w:rPr>
          <w:sz w:val="19"/>
          <w:szCs w:val="19"/>
        </w:rPr>
        <w:t>into the financial liability and the grant of the right to the operator</w:t>
      </w:r>
      <w:r w:rsidR="00F14F90" w:rsidRPr="00662611">
        <w:rPr>
          <w:sz w:val="19"/>
          <w:szCs w:val="19"/>
        </w:rPr>
        <w:t xml:space="preserve"> liability</w:t>
      </w:r>
      <w:r w:rsidRPr="00662611">
        <w:rPr>
          <w:sz w:val="19"/>
          <w:szCs w:val="19"/>
        </w:rPr>
        <w:t>.</w:t>
      </w:r>
    </w:p>
    <w:p w14:paraId="7D9273F6" w14:textId="3BDDE339" w:rsidR="00716A44" w:rsidRPr="00662611" w:rsidRDefault="00716A44" w:rsidP="00716A44">
      <w:pPr>
        <w:pStyle w:val="IE1"/>
        <w:spacing w:after="100" w:line="240" w:lineRule="auto"/>
        <w:ind w:left="782" w:hanging="782"/>
        <w:jc w:val="both"/>
        <w:rPr>
          <w:sz w:val="19"/>
          <w:szCs w:val="19"/>
        </w:rPr>
      </w:pPr>
      <w:r w:rsidRPr="00662611">
        <w:rPr>
          <w:sz w:val="19"/>
          <w:szCs w:val="19"/>
        </w:rPr>
        <w:t>In these examples, monetary amounts are denominated in ‘currency units’ (CU)</w:t>
      </w:r>
      <w:r w:rsidR="004C725F">
        <w:rPr>
          <w:sz w:val="19"/>
          <w:szCs w:val="19"/>
        </w:rPr>
        <w:t xml:space="preserve"> – rounded to the nearest unit</w:t>
      </w:r>
      <w:r w:rsidRPr="00662611">
        <w:rPr>
          <w:sz w:val="19"/>
          <w:szCs w:val="19"/>
        </w:rPr>
        <w:t xml:space="preserve">. </w:t>
      </w:r>
    </w:p>
    <w:p w14:paraId="7D9273F7" w14:textId="2A108B6E" w:rsidR="00D47965" w:rsidRPr="00662611" w:rsidRDefault="00D47965" w:rsidP="00FB21C0">
      <w:pPr>
        <w:pStyle w:val="IASBSectionTitle1NonInd"/>
        <w:outlineLvl w:val="1"/>
      </w:pPr>
      <w:r w:rsidRPr="00662611">
        <w:t xml:space="preserve">Arrangement </w:t>
      </w:r>
      <w:r w:rsidR="008C3F53" w:rsidRPr="00662611">
        <w:t>terms</w:t>
      </w:r>
      <w:r w:rsidR="004C725F">
        <w:t xml:space="preserve"> and assumptions</w:t>
      </w:r>
      <w:r w:rsidR="008C3F53" w:rsidRPr="00662611">
        <w:t xml:space="preserve"> (common to </w:t>
      </w:r>
      <w:r w:rsidR="00A67213" w:rsidRPr="00662611">
        <w:t>Examples</w:t>
      </w:r>
      <w:r w:rsidR="00A5779D" w:rsidRPr="00662611">
        <w:t xml:space="preserve"> 6</w:t>
      </w:r>
      <w:r w:rsidR="009638B3" w:rsidRPr="00662611">
        <w:t>–</w:t>
      </w:r>
      <w:r w:rsidR="006F2E16" w:rsidRPr="00662611">
        <w:t>7</w:t>
      </w:r>
      <w:r w:rsidRPr="00662611">
        <w:t>)</w:t>
      </w:r>
    </w:p>
    <w:p w14:paraId="7D9273F8" w14:textId="77777777" w:rsidR="003A1EAC" w:rsidRPr="00662611" w:rsidRDefault="003A1EAC" w:rsidP="00204693">
      <w:pPr>
        <w:pStyle w:val="IE1"/>
        <w:spacing w:after="100" w:line="240" w:lineRule="auto"/>
        <w:ind w:left="782" w:hanging="782"/>
        <w:jc w:val="both"/>
        <w:rPr>
          <w:sz w:val="19"/>
          <w:szCs w:val="19"/>
        </w:rPr>
      </w:pPr>
      <w:r w:rsidRPr="00662611">
        <w:rPr>
          <w:sz w:val="19"/>
          <w:szCs w:val="19"/>
        </w:rPr>
        <w:t xml:space="preserve">These terms are common to the </w:t>
      </w:r>
      <w:r w:rsidR="002F55E6" w:rsidRPr="00662611">
        <w:rPr>
          <w:sz w:val="19"/>
          <w:szCs w:val="19"/>
        </w:rPr>
        <w:t xml:space="preserve">two </w:t>
      </w:r>
      <w:r w:rsidRPr="00662611">
        <w:rPr>
          <w:sz w:val="19"/>
          <w:szCs w:val="19"/>
        </w:rPr>
        <w:t>examples that follow</w:t>
      </w:r>
      <w:r w:rsidR="00DC7F8B" w:rsidRPr="00662611">
        <w:rPr>
          <w:sz w:val="19"/>
          <w:szCs w:val="19"/>
        </w:rPr>
        <w:t>.</w:t>
      </w:r>
    </w:p>
    <w:p w14:paraId="7D9273F9" w14:textId="5E88EFF9" w:rsidR="003A1EAC" w:rsidRPr="00662611" w:rsidRDefault="003A1EAC" w:rsidP="00204693">
      <w:pPr>
        <w:pStyle w:val="IE1"/>
        <w:spacing w:after="100" w:line="240" w:lineRule="auto"/>
        <w:ind w:left="782" w:hanging="782"/>
        <w:jc w:val="both"/>
        <w:rPr>
          <w:sz w:val="19"/>
          <w:szCs w:val="19"/>
        </w:rPr>
      </w:pPr>
      <w:r w:rsidRPr="00662611">
        <w:rPr>
          <w:sz w:val="19"/>
          <w:szCs w:val="19"/>
        </w:rPr>
        <w:t xml:space="preserve">The terms of the arrangement require an operator to construct a road </w:t>
      </w:r>
      <w:r w:rsidR="004C725F">
        <w:rPr>
          <w:sz w:val="19"/>
          <w:szCs w:val="19"/>
        </w:rPr>
        <w:t xml:space="preserve">on land owned by the grantor </w:t>
      </w:r>
      <w:r w:rsidRPr="00662611">
        <w:rPr>
          <w:sz w:val="19"/>
          <w:szCs w:val="19"/>
        </w:rPr>
        <w:t>– completing construction within two years</w:t>
      </w:r>
      <w:r w:rsidR="00B259AC" w:rsidRPr="00662611">
        <w:rPr>
          <w:sz w:val="19"/>
          <w:szCs w:val="19"/>
        </w:rPr>
        <w:t xml:space="preserve"> – </w:t>
      </w:r>
      <w:r w:rsidRPr="00662611">
        <w:rPr>
          <w:sz w:val="19"/>
          <w:szCs w:val="19"/>
        </w:rPr>
        <w:t xml:space="preserve">and maintain and operate the road to a specified standard for eight years (ie years 3–10). The arrangement is within the scope of this Standard and the road meets the conditions for recognition of a service concession asset in paragraph </w:t>
      </w:r>
      <w:r w:rsidR="00E90B96">
        <w:fldChar w:fldCharType="begin"/>
      </w:r>
      <w:r w:rsidR="00E90B96">
        <w:instrText xml:space="preserve"> REF _Ref475619556 \r \h </w:instrText>
      </w:r>
      <w:r w:rsidR="00E90B96">
        <w:fldChar w:fldCharType="separate"/>
      </w:r>
      <w:r w:rsidR="00C43128">
        <w:t>5</w:t>
      </w:r>
      <w:r w:rsidR="00E90B96">
        <w:fldChar w:fldCharType="end"/>
      </w:r>
      <w:r w:rsidRPr="00662611">
        <w:rPr>
          <w:sz w:val="19"/>
          <w:szCs w:val="19"/>
        </w:rPr>
        <w:t xml:space="preserve">. </w:t>
      </w:r>
    </w:p>
    <w:p w14:paraId="7D9273FA" w14:textId="3DEBBDBD" w:rsidR="003A1EAC" w:rsidRPr="00662611" w:rsidRDefault="003A1EAC" w:rsidP="00204693">
      <w:pPr>
        <w:pStyle w:val="IE1"/>
        <w:spacing w:after="100" w:line="240" w:lineRule="auto"/>
        <w:ind w:left="782" w:hanging="782"/>
        <w:jc w:val="both"/>
        <w:rPr>
          <w:sz w:val="19"/>
          <w:szCs w:val="19"/>
        </w:rPr>
      </w:pPr>
      <w:r w:rsidRPr="00662611">
        <w:rPr>
          <w:sz w:val="19"/>
          <w:szCs w:val="19"/>
        </w:rPr>
        <w:t>The terms of the arrangement also require the operator to resurface the road when the original surface has deteriorated below a specified condition. The operator estimates that it will have to undertake the resurfacing at the end of year 8 at a fair value</w:t>
      </w:r>
      <w:r w:rsidR="00554DB2" w:rsidRPr="00662611">
        <w:rPr>
          <w:sz w:val="19"/>
          <w:szCs w:val="19"/>
        </w:rPr>
        <w:t xml:space="preserve"> (current replacement cost)</w:t>
      </w:r>
      <w:r w:rsidRPr="00662611">
        <w:rPr>
          <w:sz w:val="19"/>
          <w:szCs w:val="19"/>
        </w:rPr>
        <w:t xml:space="preserve"> of CU110. The compensation to the operator for this service is included in the predetermined series of payments and/or the revenue the operator has the right to earn from the service concession asset or another revenue-generating asset granted </w:t>
      </w:r>
      <w:r w:rsidR="00D67CCF" w:rsidRPr="00662611">
        <w:rPr>
          <w:sz w:val="19"/>
          <w:szCs w:val="19"/>
        </w:rPr>
        <w:t>to the operator by the grantor.</w:t>
      </w:r>
      <w:r w:rsidR="004C725F">
        <w:rPr>
          <w:sz w:val="19"/>
          <w:szCs w:val="19"/>
        </w:rPr>
        <w:t xml:space="preserve"> The compensation to the operator also covers the annual operating costs of CU12.</w:t>
      </w:r>
    </w:p>
    <w:p w14:paraId="7D9273FB" w14:textId="34256955" w:rsidR="003A1EAC" w:rsidRPr="00662611" w:rsidRDefault="003A1EAC" w:rsidP="00204693">
      <w:pPr>
        <w:pStyle w:val="IE1"/>
        <w:spacing w:after="100" w:line="240" w:lineRule="auto"/>
        <w:ind w:left="782" w:hanging="782"/>
        <w:jc w:val="both"/>
        <w:rPr>
          <w:sz w:val="19"/>
          <w:szCs w:val="19"/>
        </w:rPr>
      </w:pPr>
      <w:r w:rsidRPr="00662611">
        <w:rPr>
          <w:sz w:val="19"/>
          <w:szCs w:val="19"/>
        </w:rPr>
        <w:t xml:space="preserve">It is assumed that the original road surface is a separate component of the service concession asset and meets the criteria for recognition specified in AASB 116 when the service concession asset is initially recognised. The road surface is therefore recognised as a separate component of the initial fair value </w:t>
      </w:r>
      <w:r w:rsidR="00554DB2" w:rsidRPr="00662611">
        <w:rPr>
          <w:sz w:val="19"/>
          <w:szCs w:val="19"/>
        </w:rPr>
        <w:t xml:space="preserve">(current replacement cost) </w:t>
      </w:r>
      <w:r w:rsidRPr="00662611">
        <w:rPr>
          <w:sz w:val="19"/>
          <w:szCs w:val="19"/>
        </w:rPr>
        <w:t xml:space="preserve">of the service concession asset and depreciated over years 3–8. This depreciation period is shorter than that for the road base, and takes into account that resurfacing would ordinarily occur </w:t>
      </w:r>
      <w:r w:rsidR="008A11C8" w:rsidRPr="00662611">
        <w:rPr>
          <w:sz w:val="19"/>
          <w:szCs w:val="19"/>
        </w:rPr>
        <w:t xml:space="preserve">every </w:t>
      </w:r>
      <w:r w:rsidRPr="00662611">
        <w:rPr>
          <w:sz w:val="19"/>
          <w:szCs w:val="19"/>
        </w:rPr>
        <w:t xml:space="preserve">six years, </w:t>
      </w:r>
      <w:r w:rsidR="008A11C8" w:rsidRPr="00662611">
        <w:rPr>
          <w:sz w:val="19"/>
          <w:szCs w:val="19"/>
        </w:rPr>
        <w:t>compared with replacing the road base in</w:t>
      </w:r>
      <w:r w:rsidRPr="00662611">
        <w:rPr>
          <w:sz w:val="19"/>
          <w:szCs w:val="19"/>
        </w:rPr>
        <w:t xml:space="preserve"> 25 years. During the construction phase, it is assumed that only the road base is constructed in year 1, and that the road only becomes ready to use at the end of year 2.</w:t>
      </w:r>
    </w:p>
    <w:p w14:paraId="7D9273FC" w14:textId="0B00B664" w:rsidR="003A1EAC" w:rsidRPr="00662611" w:rsidRDefault="003C73D3" w:rsidP="00204693">
      <w:pPr>
        <w:pStyle w:val="IE1"/>
        <w:spacing w:after="100" w:line="240" w:lineRule="auto"/>
        <w:ind w:left="782" w:hanging="782"/>
        <w:jc w:val="both"/>
        <w:rPr>
          <w:sz w:val="19"/>
          <w:szCs w:val="19"/>
        </w:rPr>
      </w:pPr>
      <w:r>
        <w:rPr>
          <w:sz w:val="19"/>
          <w:szCs w:val="19"/>
        </w:rPr>
        <w:t>T</w:t>
      </w:r>
      <w:r w:rsidR="003A1EAC" w:rsidRPr="00662611">
        <w:rPr>
          <w:sz w:val="19"/>
          <w:szCs w:val="19"/>
        </w:rPr>
        <w:t xml:space="preserve">he replacement </w:t>
      </w:r>
      <w:r>
        <w:rPr>
          <w:sz w:val="19"/>
          <w:szCs w:val="19"/>
        </w:rPr>
        <w:t xml:space="preserve">of a major </w:t>
      </w:r>
      <w:r w:rsidR="003A1EAC" w:rsidRPr="00662611">
        <w:rPr>
          <w:sz w:val="19"/>
          <w:szCs w:val="19"/>
        </w:rPr>
        <w:t>component of the road as a separate component of the service concession asset</w:t>
      </w:r>
      <w:r w:rsidR="008A11C8" w:rsidRPr="00662611">
        <w:rPr>
          <w:sz w:val="19"/>
          <w:szCs w:val="19"/>
        </w:rPr>
        <w:t xml:space="preserve"> occurs</w:t>
      </w:r>
      <w:r w:rsidR="003A1EAC" w:rsidRPr="00662611">
        <w:rPr>
          <w:sz w:val="19"/>
          <w:szCs w:val="19"/>
        </w:rPr>
        <w:t xml:space="preserve"> in year 8</w:t>
      </w:r>
      <w:r w:rsidR="008A11C8" w:rsidRPr="00662611">
        <w:rPr>
          <w:sz w:val="19"/>
          <w:szCs w:val="19"/>
        </w:rPr>
        <w:t xml:space="preserve">, </w:t>
      </w:r>
      <w:r>
        <w:rPr>
          <w:sz w:val="19"/>
          <w:szCs w:val="19"/>
        </w:rPr>
        <w:t xml:space="preserve">and is recognised as a new service concession asset </w:t>
      </w:r>
      <w:r w:rsidR="008A11C8" w:rsidRPr="00662611">
        <w:rPr>
          <w:sz w:val="19"/>
          <w:szCs w:val="19"/>
        </w:rPr>
        <w:t>when the resurfacing work is performed. This</w:t>
      </w:r>
      <w:r w:rsidR="003A1EAC" w:rsidRPr="00662611">
        <w:rPr>
          <w:sz w:val="19"/>
          <w:szCs w:val="19"/>
        </w:rPr>
        <w:t xml:space="preserve"> also results in an increase in the liability recognised by the grantor</w:t>
      </w:r>
      <w:r w:rsidR="008137D8">
        <w:rPr>
          <w:sz w:val="19"/>
          <w:szCs w:val="19"/>
        </w:rPr>
        <w:t>,</w:t>
      </w:r>
      <w:r w:rsidR="00D554E3">
        <w:rPr>
          <w:sz w:val="19"/>
          <w:szCs w:val="19"/>
        </w:rPr>
        <w:t xml:space="preserve"> in accordance with</w:t>
      </w:r>
      <w:r w:rsidR="00574C20">
        <w:rPr>
          <w:sz w:val="19"/>
          <w:szCs w:val="19"/>
        </w:rPr>
        <w:t xml:space="preserve"> paragraph</w:t>
      </w:r>
      <w:r w:rsidR="00D554E3">
        <w:rPr>
          <w:sz w:val="19"/>
          <w:szCs w:val="19"/>
        </w:rPr>
        <w:t xml:space="preserve"> </w:t>
      </w:r>
      <w:r w:rsidR="008137D8">
        <w:rPr>
          <w:sz w:val="19"/>
          <w:szCs w:val="19"/>
        </w:rPr>
        <w:fldChar w:fldCharType="begin"/>
      </w:r>
      <w:r w:rsidR="008137D8">
        <w:rPr>
          <w:sz w:val="19"/>
          <w:szCs w:val="19"/>
        </w:rPr>
        <w:instrText xml:space="preserve"> REF _Ref486866840 \r \h </w:instrText>
      </w:r>
      <w:r w:rsidR="008137D8">
        <w:rPr>
          <w:sz w:val="19"/>
          <w:szCs w:val="19"/>
        </w:rPr>
      </w:r>
      <w:r w:rsidR="008137D8">
        <w:rPr>
          <w:sz w:val="19"/>
          <w:szCs w:val="19"/>
        </w:rPr>
        <w:fldChar w:fldCharType="separate"/>
      </w:r>
      <w:r w:rsidR="00C43128">
        <w:rPr>
          <w:sz w:val="19"/>
          <w:szCs w:val="19"/>
        </w:rPr>
        <w:t>B48</w:t>
      </w:r>
      <w:r w:rsidR="008137D8">
        <w:rPr>
          <w:sz w:val="19"/>
          <w:szCs w:val="19"/>
        </w:rPr>
        <w:fldChar w:fldCharType="end"/>
      </w:r>
      <w:r w:rsidR="003A1EAC" w:rsidRPr="00662611">
        <w:rPr>
          <w:sz w:val="19"/>
          <w:szCs w:val="19"/>
        </w:rPr>
        <w:t xml:space="preserve">. Where the liability relates to the grant of a right to the operator model, additional revenue in respect of this increase is recognised evenly over the </w:t>
      </w:r>
      <w:r w:rsidR="001F69FC" w:rsidRPr="00662611">
        <w:rPr>
          <w:sz w:val="19"/>
          <w:szCs w:val="19"/>
        </w:rPr>
        <w:t xml:space="preserve">remaining </w:t>
      </w:r>
      <w:r w:rsidR="003A1EAC" w:rsidRPr="00662611">
        <w:rPr>
          <w:sz w:val="19"/>
          <w:szCs w:val="19"/>
        </w:rPr>
        <w:t xml:space="preserve">term of the arrangement. However, if the expenditure represented an improvement in service potential such as a new traffic lane rather than restoration to original service capability then it would be appropriate to instead recognise revenue relevant to that improvement only once it has occurred. </w:t>
      </w:r>
    </w:p>
    <w:p w14:paraId="7D9273FD" w14:textId="75B605D2" w:rsidR="003A1EAC" w:rsidRPr="00662611" w:rsidRDefault="003A1EAC" w:rsidP="00204693">
      <w:pPr>
        <w:pStyle w:val="IE1"/>
        <w:spacing w:after="100" w:line="240" w:lineRule="auto"/>
        <w:ind w:left="782" w:hanging="782"/>
        <w:jc w:val="both"/>
        <w:rPr>
          <w:sz w:val="19"/>
          <w:szCs w:val="19"/>
        </w:rPr>
      </w:pPr>
      <w:r w:rsidRPr="00662611">
        <w:rPr>
          <w:sz w:val="19"/>
          <w:szCs w:val="19"/>
        </w:rPr>
        <w:t xml:space="preserve">At the beginning of year 3, the total fair value </w:t>
      </w:r>
      <w:r w:rsidR="00554DB2" w:rsidRPr="00662611">
        <w:rPr>
          <w:sz w:val="19"/>
          <w:szCs w:val="19"/>
        </w:rPr>
        <w:t xml:space="preserve">(current replacement cost) </w:t>
      </w:r>
      <w:r w:rsidRPr="00662611">
        <w:rPr>
          <w:sz w:val="19"/>
          <w:szCs w:val="19"/>
        </w:rPr>
        <w:t>of the road is CU</w:t>
      </w:r>
      <w:r w:rsidR="00D827B0" w:rsidRPr="00662611">
        <w:rPr>
          <w:sz w:val="19"/>
          <w:szCs w:val="19"/>
        </w:rPr>
        <w:t>1,</w:t>
      </w:r>
      <w:r w:rsidR="007F3D50" w:rsidRPr="00662611">
        <w:rPr>
          <w:sz w:val="19"/>
          <w:szCs w:val="19"/>
        </w:rPr>
        <w:t>082</w:t>
      </w:r>
      <w:r w:rsidRPr="00662611">
        <w:rPr>
          <w:sz w:val="19"/>
          <w:szCs w:val="19"/>
        </w:rPr>
        <w:t xml:space="preserve">, comprised of </w:t>
      </w:r>
      <w:r w:rsidR="001F69FC" w:rsidRPr="00662611">
        <w:rPr>
          <w:sz w:val="19"/>
          <w:szCs w:val="19"/>
        </w:rPr>
        <w:t xml:space="preserve">CU972 </w:t>
      </w:r>
      <w:r w:rsidRPr="00662611">
        <w:rPr>
          <w:sz w:val="19"/>
          <w:szCs w:val="19"/>
        </w:rPr>
        <w:t>related to the base layers</w:t>
      </w:r>
      <w:r w:rsidR="00533278">
        <w:rPr>
          <w:sz w:val="19"/>
          <w:szCs w:val="19"/>
        </w:rPr>
        <w:t xml:space="preserve"> (including implied funding costs due to the extended construction period)</w:t>
      </w:r>
      <w:r w:rsidRPr="00662611">
        <w:rPr>
          <w:sz w:val="19"/>
          <w:szCs w:val="19"/>
        </w:rPr>
        <w:t xml:space="preserve"> and CU110 related to the surface layers. The fair value of the surface layers is used to estimate the fair value of the resurfacing (which is treated as a replacement component in accordance with AASB 116). The estimated life of surface layers (ie six years) is also used to estimate the depreciation of the replacement component in years 9 and 10. </w:t>
      </w:r>
    </w:p>
    <w:p w14:paraId="7D9273FE" w14:textId="4D33A850" w:rsidR="003A1EAC" w:rsidRPr="00662611" w:rsidRDefault="003A1EAC" w:rsidP="00204693">
      <w:pPr>
        <w:pStyle w:val="IE1"/>
        <w:spacing w:after="100" w:line="240" w:lineRule="auto"/>
        <w:ind w:left="782" w:hanging="782"/>
        <w:jc w:val="both"/>
        <w:rPr>
          <w:sz w:val="19"/>
          <w:szCs w:val="19"/>
        </w:rPr>
      </w:pPr>
      <w:bookmarkStart w:id="114" w:name="_Ref486194596"/>
      <w:r w:rsidRPr="00662611">
        <w:rPr>
          <w:sz w:val="19"/>
          <w:szCs w:val="19"/>
        </w:rPr>
        <w:t xml:space="preserve">The road base has an economic life of 25 years. Annual depreciation is </w:t>
      </w:r>
      <w:r w:rsidR="00FC78D0" w:rsidRPr="00662611">
        <w:rPr>
          <w:sz w:val="19"/>
          <w:szCs w:val="19"/>
        </w:rPr>
        <w:t xml:space="preserve">recognised </w:t>
      </w:r>
      <w:r w:rsidRPr="00662611">
        <w:rPr>
          <w:sz w:val="19"/>
          <w:szCs w:val="19"/>
        </w:rPr>
        <w:t xml:space="preserve">by the grantor on a straight-line basis. It is therefore </w:t>
      </w:r>
      <w:r w:rsidR="0018229F" w:rsidRPr="00662611">
        <w:rPr>
          <w:sz w:val="19"/>
          <w:szCs w:val="19"/>
        </w:rPr>
        <w:t>CU39 </w:t>
      </w:r>
      <w:r w:rsidRPr="00662611">
        <w:rPr>
          <w:sz w:val="19"/>
          <w:szCs w:val="19"/>
        </w:rPr>
        <w:t>(</w:t>
      </w:r>
      <w:r w:rsidR="0018229F" w:rsidRPr="00662611">
        <w:rPr>
          <w:sz w:val="19"/>
          <w:szCs w:val="19"/>
        </w:rPr>
        <w:t>CU972</w:t>
      </w:r>
      <w:r w:rsidRPr="00662611">
        <w:rPr>
          <w:sz w:val="19"/>
          <w:szCs w:val="19"/>
        </w:rPr>
        <w:t xml:space="preserve">/25) for the base layers. The surface layers are depreciated </w:t>
      </w:r>
      <w:r w:rsidRPr="00662611">
        <w:rPr>
          <w:sz w:val="19"/>
          <w:szCs w:val="19"/>
        </w:rPr>
        <w:lastRenderedPageBreak/>
        <w:t xml:space="preserve">over 6 years (years 3–8 for the original component, and starting in year 9 for the replacement component). Annual depreciation related to the </w:t>
      </w:r>
      <w:r w:rsidR="0018229F" w:rsidRPr="00662611">
        <w:rPr>
          <w:sz w:val="19"/>
          <w:szCs w:val="19"/>
        </w:rPr>
        <w:t xml:space="preserve">original </w:t>
      </w:r>
      <w:r w:rsidRPr="00662611">
        <w:rPr>
          <w:sz w:val="19"/>
          <w:szCs w:val="19"/>
        </w:rPr>
        <w:t xml:space="preserve">surface layers </w:t>
      </w:r>
      <w:r w:rsidR="007010C8" w:rsidRPr="00662611">
        <w:rPr>
          <w:sz w:val="19"/>
          <w:szCs w:val="19"/>
        </w:rPr>
        <w:t>and</w:t>
      </w:r>
      <w:r w:rsidR="00834187" w:rsidRPr="00662611">
        <w:rPr>
          <w:sz w:val="19"/>
          <w:szCs w:val="19"/>
        </w:rPr>
        <w:t xml:space="preserve"> the</w:t>
      </w:r>
      <w:r w:rsidR="0018229F" w:rsidRPr="00662611">
        <w:rPr>
          <w:sz w:val="19"/>
          <w:szCs w:val="19"/>
        </w:rPr>
        <w:t xml:space="preserve"> replacement surface layers </w:t>
      </w:r>
      <w:r w:rsidRPr="00662611">
        <w:rPr>
          <w:sz w:val="19"/>
          <w:szCs w:val="19"/>
        </w:rPr>
        <w:t>is CU18 (CU110/6).</w:t>
      </w:r>
      <w:bookmarkEnd w:id="114"/>
      <w:r w:rsidRPr="00662611">
        <w:rPr>
          <w:sz w:val="19"/>
          <w:szCs w:val="19"/>
        </w:rPr>
        <w:t xml:space="preserve"> </w:t>
      </w:r>
    </w:p>
    <w:p w14:paraId="7D9273FF" w14:textId="77777777" w:rsidR="003A1EAC" w:rsidRPr="00662611" w:rsidRDefault="003A1EAC" w:rsidP="00204693">
      <w:pPr>
        <w:pStyle w:val="IE1"/>
        <w:spacing w:after="100" w:line="240" w:lineRule="auto"/>
        <w:ind w:left="782" w:hanging="782"/>
        <w:jc w:val="both"/>
        <w:rPr>
          <w:sz w:val="19"/>
          <w:szCs w:val="19"/>
        </w:rPr>
      </w:pPr>
      <w:r w:rsidRPr="00662611">
        <w:rPr>
          <w:sz w:val="19"/>
          <w:szCs w:val="19"/>
        </w:rPr>
        <w:t xml:space="preserve">The </w:t>
      </w:r>
      <w:r w:rsidR="006005D6" w:rsidRPr="00662611">
        <w:rPr>
          <w:sz w:val="19"/>
          <w:szCs w:val="19"/>
        </w:rPr>
        <w:t xml:space="preserve">effective interest </w:t>
      </w:r>
      <w:r w:rsidRPr="00662611">
        <w:rPr>
          <w:sz w:val="19"/>
          <w:szCs w:val="19"/>
        </w:rPr>
        <w:t>rate in the service concession arrangement is 6.18 per cent</w:t>
      </w:r>
      <w:r w:rsidR="00063CBD" w:rsidRPr="00662611">
        <w:rPr>
          <w:sz w:val="19"/>
          <w:szCs w:val="19"/>
        </w:rPr>
        <w:t xml:space="preserve"> per year</w:t>
      </w:r>
      <w:r w:rsidRPr="00662611">
        <w:rPr>
          <w:sz w:val="19"/>
          <w:szCs w:val="19"/>
        </w:rPr>
        <w:t xml:space="preserve">. </w:t>
      </w:r>
    </w:p>
    <w:p w14:paraId="7D927400" w14:textId="77777777" w:rsidR="003A1EAC" w:rsidRPr="00662611" w:rsidRDefault="003A1EAC" w:rsidP="00204693">
      <w:pPr>
        <w:pStyle w:val="IE1"/>
        <w:spacing w:after="100" w:line="240" w:lineRule="auto"/>
        <w:ind w:left="782" w:hanging="782"/>
        <w:jc w:val="both"/>
        <w:rPr>
          <w:sz w:val="19"/>
          <w:szCs w:val="19"/>
        </w:rPr>
      </w:pPr>
      <w:r w:rsidRPr="00662611">
        <w:rPr>
          <w:sz w:val="19"/>
          <w:szCs w:val="19"/>
        </w:rPr>
        <w:t>It is assumed that all cash flows take place at the end of the year.</w:t>
      </w:r>
    </w:p>
    <w:p w14:paraId="7D927401" w14:textId="77777777" w:rsidR="003A1EAC" w:rsidRPr="00662611" w:rsidRDefault="003A1EAC" w:rsidP="00204693">
      <w:pPr>
        <w:pStyle w:val="IE1"/>
        <w:spacing w:after="100" w:line="240" w:lineRule="auto"/>
        <w:ind w:left="782" w:hanging="782"/>
        <w:jc w:val="both"/>
        <w:rPr>
          <w:sz w:val="19"/>
          <w:szCs w:val="19"/>
        </w:rPr>
      </w:pPr>
      <w:r w:rsidRPr="00662611">
        <w:rPr>
          <w:sz w:val="19"/>
          <w:szCs w:val="19"/>
        </w:rPr>
        <w:t>It is assumed that the time value of money is not significant.</w:t>
      </w:r>
    </w:p>
    <w:p w14:paraId="7D927402" w14:textId="77777777" w:rsidR="003A1EAC" w:rsidRPr="00662611" w:rsidRDefault="003A1EAC" w:rsidP="00204693">
      <w:pPr>
        <w:pStyle w:val="IE1"/>
        <w:spacing w:after="100" w:line="240" w:lineRule="auto"/>
        <w:ind w:left="782" w:hanging="782"/>
        <w:jc w:val="both"/>
        <w:rPr>
          <w:sz w:val="19"/>
          <w:szCs w:val="19"/>
        </w:rPr>
      </w:pPr>
      <w:r w:rsidRPr="00662611">
        <w:rPr>
          <w:sz w:val="19"/>
          <w:szCs w:val="19"/>
        </w:rPr>
        <w:t>At the end of year 10, the arrangement will end</w:t>
      </w:r>
      <w:r w:rsidR="00354BFC" w:rsidRPr="00662611">
        <w:rPr>
          <w:sz w:val="19"/>
          <w:szCs w:val="19"/>
        </w:rPr>
        <w:t xml:space="preserve"> and</w:t>
      </w:r>
      <w:r w:rsidR="00C633DF" w:rsidRPr="00662611">
        <w:rPr>
          <w:sz w:val="19"/>
          <w:szCs w:val="19"/>
        </w:rPr>
        <w:t xml:space="preserve"> </w:t>
      </w:r>
      <w:r w:rsidRPr="00662611">
        <w:rPr>
          <w:sz w:val="19"/>
          <w:szCs w:val="19"/>
        </w:rPr>
        <w:t xml:space="preserve">the operator will transfer the operation of the road to the grantor. </w:t>
      </w:r>
    </w:p>
    <w:p w14:paraId="7D927403" w14:textId="3A50161B" w:rsidR="003A1EAC" w:rsidRPr="00662611" w:rsidRDefault="003A1EAC" w:rsidP="00204693">
      <w:pPr>
        <w:pStyle w:val="IE1"/>
        <w:spacing w:after="100" w:line="240" w:lineRule="auto"/>
        <w:ind w:left="782" w:hanging="782"/>
        <w:jc w:val="both"/>
        <w:rPr>
          <w:sz w:val="19"/>
          <w:szCs w:val="19"/>
        </w:rPr>
      </w:pPr>
      <w:r w:rsidRPr="00662611">
        <w:rPr>
          <w:sz w:val="19"/>
          <w:szCs w:val="19"/>
        </w:rPr>
        <w:t xml:space="preserve">The total compensation to the operator under each of the </w:t>
      </w:r>
      <w:r w:rsidR="00480359" w:rsidRPr="00662611">
        <w:rPr>
          <w:sz w:val="19"/>
          <w:szCs w:val="19"/>
        </w:rPr>
        <w:t xml:space="preserve">two </w:t>
      </w:r>
      <w:r w:rsidRPr="00662611">
        <w:rPr>
          <w:sz w:val="19"/>
          <w:szCs w:val="19"/>
        </w:rPr>
        <w:t xml:space="preserve">examples is inclusive of each of the components of the service concession arrangement and reflects the fair values </w:t>
      </w:r>
      <w:r w:rsidR="00C74316" w:rsidRPr="00662611">
        <w:rPr>
          <w:sz w:val="19"/>
          <w:szCs w:val="19"/>
        </w:rPr>
        <w:t xml:space="preserve">(current replacement cost) </w:t>
      </w:r>
      <w:r w:rsidRPr="00662611">
        <w:rPr>
          <w:sz w:val="19"/>
          <w:szCs w:val="19"/>
        </w:rPr>
        <w:t>for each of the</w:t>
      </w:r>
      <w:r w:rsidR="009B2DEE">
        <w:rPr>
          <w:sz w:val="19"/>
          <w:szCs w:val="19"/>
        </w:rPr>
        <w:t xml:space="preserve"> assets and</w:t>
      </w:r>
      <w:r w:rsidRPr="00662611">
        <w:rPr>
          <w:sz w:val="19"/>
          <w:szCs w:val="19"/>
        </w:rPr>
        <w:t xml:space="preserve"> services, which are set out in Table </w:t>
      </w:r>
      <w:r w:rsidR="007010C8" w:rsidRPr="00662611">
        <w:rPr>
          <w:sz w:val="19"/>
          <w:szCs w:val="19"/>
        </w:rPr>
        <w:t>6</w:t>
      </w:r>
      <w:r w:rsidRPr="00662611">
        <w:rPr>
          <w:sz w:val="19"/>
          <w:szCs w:val="19"/>
        </w:rPr>
        <w:t xml:space="preserve">. </w:t>
      </w:r>
    </w:p>
    <w:p w14:paraId="7D927404" w14:textId="5E0B8AE7" w:rsidR="00CE1BA1" w:rsidRPr="00662611" w:rsidRDefault="003A1EAC" w:rsidP="00204693">
      <w:pPr>
        <w:pStyle w:val="IE1"/>
        <w:spacing w:after="100" w:line="240" w:lineRule="auto"/>
        <w:ind w:left="782" w:hanging="782"/>
        <w:jc w:val="both"/>
        <w:rPr>
          <w:sz w:val="19"/>
          <w:szCs w:val="19"/>
        </w:rPr>
      </w:pPr>
      <w:r w:rsidRPr="00662611">
        <w:rPr>
          <w:sz w:val="19"/>
          <w:szCs w:val="19"/>
        </w:rPr>
        <w:t xml:space="preserve">The grantor’s accounting </w:t>
      </w:r>
      <w:r w:rsidR="006F3641" w:rsidRPr="00662611">
        <w:rPr>
          <w:sz w:val="19"/>
          <w:szCs w:val="19"/>
        </w:rPr>
        <w:t>polic</w:t>
      </w:r>
      <w:r w:rsidR="007010C8" w:rsidRPr="00662611">
        <w:rPr>
          <w:sz w:val="19"/>
          <w:szCs w:val="19"/>
        </w:rPr>
        <w:t>ies include</w:t>
      </w:r>
      <w:r w:rsidR="00CE1BA1" w:rsidRPr="00662611">
        <w:rPr>
          <w:sz w:val="19"/>
          <w:szCs w:val="19"/>
        </w:rPr>
        <w:t>:</w:t>
      </w:r>
    </w:p>
    <w:p w14:paraId="7D927405" w14:textId="0D1602EB" w:rsidR="00D91771" w:rsidRPr="00662611" w:rsidRDefault="007010C8" w:rsidP="00CE1BA1">
      <w:pPr>
        <w:pStyle w:val="IE2"/>
        <w:tabs>
          <w:tab w:val="clear" w:pos="1021"/>
        </w:tabs>
        <w:spacing w:after="100"/>
        <w:ind w:left="1564" w:hanging="782"/>
        <w:rPr>
          <w:sz w:val="19"/>
          <w:szCs w:val="19"/>
        </w:rPr>
      </w:pPr>
      <w:proofErr w:type="gramStart"/>
      <w:r w:rsidRPr="00662611">
        <w:rPr>
          <w:sz w:val="19"/>
          <w:szCs w:val="19"/>
        </w:rPr>
        <w:t>service</w:t>
      </w:r>
      <w:proofErr w:type="gramEnd"/>
      <w:r w:rsidRPr="00662611">
        <w:rPr>
          <w:sz w:val="19"/>
          <w:szCs w:val="19"/>
        </w:rPr>
        <w:t xml:space="preserve"> concession assets (</w:t>
      </w:r>
      <w:r w:rsidR="003A1EAC" w:rsidRPr="00662611">
        <w:rPr>
          <w:sz w:val="19"/>
          <w:szCs w:val="19"/>
        </w:rPr>
        <w:t>property, plant, and equipment</w:t>
      </w:r>
      <w:r w:rsidRPr="00662611">
        <w:rPr>
          <w:sz w:val="19"/>
          <w:szCs w:val="19"/>
        </w:rPr>
        <w:t>) –</w:t>
      </w:r>
      <w:r w:rsidR="003A1EAC" w:rsidRPr="00662611">
        <w:rPr>
          <w:sz w:val="19"/>
          <w:szCs w:val="19"/>
        </w:rPr>
        <w:t xml:space="preserve"> </w:t>
      </w:r>
      <w:r w:rsidR="00D91771" w:rsidRPr="00662611">
        <w:rPr>
          <w:sz w:val="19"/>
          <w:szCs w:val="19"/>
        </w:rPr>
        <w:t>measured initially at fair value (current replacement cost) and subsequently</w:t>
      </w:r>
      <w:r w:rsidR="009B2DEE">
        <w:rPr>
          <w:sz w:val="19"/>
          <w:szCs w:val="19"/>
        </w:rPr>
        <w:t xml:space="preserve"> in accordance with the cost model</w:t>
      </w:r>
      <w:r w:rsidR="00D91771" w:rsidRPr="00662611">
        <w:rPr>
          <w:sz w:val="19"/>
          <w:szCs w:val="19"/>
        </w:rPr>
        <w:t>. Impairment is recognised when the carrying amount exceeds the current replacement cost</w:t>
      </w:r>
      <w:r w:rsidR="00CE1BA1" w:rsidRPr="00662611">
        <w:rPr>
          <w:sz w:val="19"/>
          <w:szCs w:val="19"/>
        </w:rPr>
        <w:t xml:space="preserve">; </w:t>
      </w:r>
    </w:p>
    <w:p w14:paraId="7D927407" w14:textId="64A1E549" w:rsidR="00D91771" w:rsidRPr="00662611" w:rsidRDefault="00CE1BA1" w:rsidP="00CE1BA1">
      <w:pPr>
        <w:pStyle w:val="IE2"/>
        <w:tabs>
          <w:tab w:val="clear" w:pos="1021"/>
        </w:tabs>
        <w:spacing w:after="100"/>
        <w:ind w:left="1564" w:hanging="782"/>
        <w:rPr>
          <w:sz w:val="19"/>
          <w:szCs w:val="19"/>
        </w:rPr>
      </w:pPr>
      <w:r w:rsidRPr="00662611">
        <w:rPr>
          <w:sz w:val="19"/>
          <w:szCs w:val="19"/>
        </w:rPr>
        <w:t>financial liabilit</w:t>
      </w:r>
      <w:r w:rsidR="00D91771" w:rsidRPr="00662611">
        <w:rPr>
          <w:sz w:val="19"/>
          <w:szCs w:val="19"/>
        </w:rPr>
        <w:t xml:space="preserve">ies – </w:t>
      </w:r>
      <w:r w:rsidRPr="00662611">
        <w:rPr>
          <w:sz w:val="19"/>
          <w:szCs w:val="19"/>
        </w:rPr>
        <w:t>subsequently measure</w:t>
      </w:r>
      <w:r w:rsidR="00D91771" w:rsidRPr="00662611">
        <w:rPr>
          <w:sz w:val="19"/>
          <w:szCs w:val="19"/>
        </w:rPr>
        <w:t>d at</w:t>
      </w:r>
      <w:r w:rsidRPr="00662611">
        <w:rPr>
          <w:sz w:val="19"/>
          <w:szCs w:val="19"/>
        </w:rPr>
        <w:t xml:space="preserve"> amortised cost using </w:t>
      </w:r>
      <w:r w:rsidR="00644281" w:rsidRPr="00662611">
        <w:rPr>
          <w:sz w:val="19"/>
          <w:szCs w:val="19"/>
        </w:rPr>
        <w:t xml:space="preserve">the </w:t>
      </w:r>
      <w:r w:rsidRPr="00662611">
        <w:rPr>
          <w:sz w:val="19"/>
          <w:szCs w:val="19"/>
        </w:rPr>
        <w:t>effective interest method</w:t>
      </w:r>
      <w:r w:rsidR="00D91771" w:rsidRPr="00662611">
        <w:rPr>
          <w:sz w:val="19"/>
          <w:szCs w:val="19"/>
        </w:rPr>
        <w:t>; and</w:t>
      </w:r>
    </w:p>
    <w:p w14:paraId="7D927408" w14:textId="31E6057A" w:rsidR="003A1EAC" w:rsidRPr="00662611" w:rsidRDefault="00D91771" w:rsidP="00CE1BA1">
      <w:pPr>
        <w:pStyle w:val="IE2"/>
        <w:tabs>
          <w:tab w:val="clear" w:pos="1021"/>
        </w:tabs>
        <w:spacing w:after="100"/>
        <w:ind w:left="1564" w:hanging="782"/>
        <w:rPr>
          <w:sz w:val="19"/>
          <w:szCs w:val="19"/>
        </w:rPr>
      </w:pPr>
      <w:proofErr w:type="gramStart"/>
      <w:r w:rsidRPr="00662611">
        <w:rPr>
          <w:sz w:val="19"/>
          <w:szCs w:val="19"/>
        </w:rPr>
        <w:t>borrowing</w:t>
      </w:r>
      <w:proofErr w:type="gramEnd"/>
      <w:r w:rsidRPr="00662611">
        <w:rPr>
          <w:sz w:val="19"/>
          <w:szCs w:val="19"/>
        </w:rPr>
        <w:t xml:space="preserve"> costs – expensed in the period incurred regardless of how the borrowings are applied.</w:t>
      </w:r>
    </w:p>
    <w:p w14:paraId="7D927409" w14:textId="77777777" w:rsidR="003A1EAC" w:rsidRPr="00662611" w:rsidRDefault="003A1EAC" w:rsidP="00204693">
      <w:pPr>
        <w:pStyle w:val="NumBC1"/>
        <w:numPr>
          <w:ilvl w:val="0"/>
          <w:numId w:val="0"/>
        </w:numPr>
        <w:spacing w:after="100"/>
        <w:ind w:left="782" w:hanging="782"/>
        <w:rPr>
          <w:sz w:val="19"/>
          <w:szCs w:val="19"/>
        </w:rPr>
      </w:pPr>
    </w:p>
    <w:p w14:paraId="7D92740A" w14:textId="4ABFAB59" w:rsidR="00D47965" w:rsidRPr="00662611" w:rsidRDefault="00D47965" w:rsidP="006D7AC6">
      <w:pPr>
        <w:pStyle w:val="IE1"/>
        <w:numPr>
          <w:ilvl w:val="0"/>
          <w:numId w:val="0"/>
        </w:numPr>
        <w:ind w:left="782"/>
        <w:rPr>
          <w:b/>
          <w:sz w:val="19"/>
          <w:szCs w:val="19"/>
        </w:rPr>
      </w:pPr>
      <w:r w:rsidRPr="00662611">
        <w:rPr>
          <w:b/>
          <w:sz w:val="19"/>
          <w:szCs w:val="19"/>
        </w:rPr>
        <w:t xml:space="preserve">Table </w:t>
      </w:r>
      <w:r w:rsidR="00B75BB8" w:rsidRPr="00662611">
        <w:rPr>
          <w:b/>
          <w:sz w:val="19"/>
          <w:szCs w:val="19"/>
        </w:rPr>
        <w:t xml:space="preserve">6 </w:t>
      </w:r>
      <w:r w:rsidRPr="00662611">
        <w:rPr>
          <w:b/>
          <w:sz w:val="19"/>
          <w:szCs w:val="19"/>
        </w:rPr>
        <w:t xml:space="preserve">Fair </w:t>
      </w:r>
      <w:r w:rsidR="00DE6BF2" w:rsidRPr="00662611">
        <w:rPr>
          <w:b/>
          <w:sz w:val="19"/>
          <w:szCs w:val="19"/>
        </w:rPr>
        <w:t>values of the components of the arrangement (currency unit</w:t>
      </w:r>
      <w:r w:rsidRPr="00662611">
        <w:rPr>
          <w:b/>
          <w:sz w:val="19"/>
          <w:szCs w:val="19"/>
        </w:rPr>
        <w:t>s)</w:t>
      </w:r>
    </w:p>
    <w:tbl>
      <w:tblPr>
        <w:tblW w:w="5534"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6: Fair Values of the Components of the Arrangement (Currency Units)"/>
        <w:tblDescription w:val="The fair value of  the road (base layers and original surface layers), total FV of road and the annual service component and effective interest rate."/>
      </w:tblPr>
      <w:tblGrid>
        <w:gridCol w:w="2767"/>
        <w:gridCol w:w="2767"/>
      </w:tblGrid>
      <w:tr w:rsidR="00FB7A88" w:rsidRPr="00662611" w14:paraId="7D92740D" w14:textId="77777777" w:rsidTr="00FB7A88">
        <w:trPr>
          <w:trHeight w:val="132"/>
        </w:trPr>
        <w:tc>
          <w:tcPr>
            <w:tcW w:w="2767" w:type="dxa"/>
            <w:tcBorders>
              <w:bottom w:val="single" w:sz="4" w:space="0" w:color="auto"/>
            </w:tcBorders>
          </w:tcPr>
          <w:p w14:paraId="7D92740B" w14:textId="77777777" w:rsidR="00FB7A88" w:rsidRPr="00662611" w:rsidRDefault="00FB7A88" w:rsidP="00CD7C3A">
            <w:pPr>
              <w:pStyle w:val="Default"/>
              <w:spacing w:before="40" w:after="40"/>
              <w:rPr>
                <w:sz w:val="19"/>
                <w:szCs w:val="19"/>
              </w:rPr>
            </w:pPr>
            <w:r w:rsidRPr="00662611">
              <w:rPr>
                <w:b/>
                <w:bCs/>
                <w:sz w:val="19"/>
                <w:szCs w:val="19"/>
              </w:rPr>
              <w:t>Cont</w:t>
            </w:r>
            <w:r w:rsidR="00237FB1" w:rsidRPr="00662611">
              <w:rPr>
                <w:b/>
                <w:bCs/>
                <w:sz w:val="19"/>
                <w:szCs w:val="19"/>
              </w:rPr>
              <w:t>r</w:t>
            </w:r>
            <w:r w:rsidRPr="00662611">
              <w:rPr>
                <w:b/>
                <w:bCs/>
                <w:sz w:val="19"/>
                <w:szCs w:val="19"/>
              </w:rPr>
              <w:t xml:space="preserve">act </w:t>
            </w:r>
            <w:r w:rsidR="00CD7C3A" w:rsidRPr="00662611">
              <w:rPr>
                <w:b/>
                <w:bCs/>
                <w:sz w:val="19"/>
                <w:szCs w:val="19"/>
              </w:rPr>
              <w:t>component</w:t>
            </w:r>
          </w:p>
        </w:tc>
        <w:tc>
          <w:tcPr>
            <w:tcW w:w="2767" w:type="dxa"/>
            <w:tcBorders>
              <w:bottom w:val="single" w:sz="4" w:space="0" w:color="auto"/>
            </w:tcBorders>
          </w:tcPr>
          <w:p w14:paraId="7D92740C" w14:textId="77777777" w:rsidR="00FB7A88" w:rsidRPr="00662611" w:rsidRDefault="00FB7A88" w:rsidP="00340CD9">
            <w:pPr>
              <w:pStyle w:val="Default"/>
              <w:spacing w:before="40" w:after="40"/>
              <w:jc w:val="center"/>
              <w:rPr>
                <w:sz w:val="19"/>
                <w:szCs w:val="19"/>
              </w:rPr>
            </w:pPr>
            <w:r w:rsidRPr="00662611">
              <w:rPr>
                <w:b/>
                <w:bCs/>
                <w:sz w:val="19"/>
                <w:szCs w:val="19"/>
              </w:rPr>
              <w:t xml:space="preserve">Fair </w:t>
            </w:r>
            <w:r w:rsidR="00CD7C3A" w:rsidRPr="00662611">
              <w:rPr>
                <w:b/>
                <w:bCs/>
                <w:sz w:val="19"/>
                <w:szCs w:val="19"/>
              </w:rPr>
              <w:t>value</w:t>
            </w:r>
          </w:p>
        </w:tc>
      </w:tr>
      <w:tr w:rsidR="00FB7A88" w:rsidRPr="00662611" w14:paraId="7D927410" w14:textId="77777777" w:rsidTr="00FB7A88">
        <w:trPr>
          <w:trHeight w:val="130"/>
        </w:trPr>
        <w:tc>
          <w:tcPr>
            <w:tcW w:w="2767" w:type="dxa"/>
            <w:tcBorders>
              <w:top w:val="nil"/>
              <w:bottom w:val="nil"/>
            </w:tcBorders>
          </w:tcPr>
          <w:p w14:paraId="7D92740E" w14:textId="77777777" w:rsidR="00FB7A88" w:rsidRPr="00662611" w:rsidRDefault="00FB7A88" w:rsidP="00340CD9">
            <w:pPr>
              <w:pStyle w:val="Default"/>
              <w:spacing w:before="40" w:after="40"/>
              <w:rPr>
                <w:sz w:val="19"/>
                <w:szCs w:val="19"/>
              </w:rPr>
            </w:pPr>
            <w:r w:rsidRPr="00662611">
              <w:rPr>
                <w:sz w:val="19"/>
                <w:szCs w:val="19"/>
              </w:rPr>
              <w:t xml:space="preserve">Road – base layers </w:t>
            </w:r>
          </w:p>
        </w:tc>
        <w:tc>
          <w:tcPr>
            <w:tcW w:w="2767" w:type="dxa"/>
            <w:tcBorders>
              <w:top w:val="nil"/>
              <w:bottom w:val="nil"/>
            </w:tcBorders>
          </w:tcPr>
          <w:p w14:paraId="7D92740F" w14:textId="361D4FC5" w:rsidR="00FB7A88" w:rsidRPr="00662611" w:rsidRDefault="00B75BB8" w:rsidP="00C807B1">
            <w:pPr>
              <w:pStyle w:val="Default"/>
              <w:spacing w:before="40" w:after="40"/>
              <w:jc w:val="center"/>
              <w:rPr>
                <w:sz w:val="19"/>
                <w:szCs w:val="19"/>
              </w:rPr>
            </w:pPr>
            <w:r w:rsidRPr="00662611">
              <w:rPr>
                <w:sz w:val="19"/>
                <w:szCs w:val="19"/>
              </w:rPr>
              <w:t>972</w:t>
            </w:r>
          </w:p>
        </w:tc>
      </w:tr>
      <w:tr w:rsidR="00FB7A88" w:rsidRPr="00662611" w14:paraId="7D927413" w14:textId="77777777" w:rsidTr="00FB7A88">
        <w:trPr>
          <w:trHeight w:val="130"/>
        </w:trPr>
        <w:tc>
          <w:tcPr>
            <w:tcW w:w="2767" w:type="dxa"/>
            <w:tcBorders>
              <w:top w:val="nil"/>
              <w:bottom w:val="nil"/>
            </w:tcBorders>
          </w:tcPr>
          <w:p w14:paraId="7D927411" w14:textId="77777777" w:rsidR="00FB7A88" w:rsidRPr="00662611" w:rsidRDefault="00FB7A88" w:rsidP="00340CD9">
            <w:pPr>
              <w:pStyle w:val="Default"/>
              <w:spacing w:before="40" w:after="40"/>
              <w:rPr>
                <w:sz w:val="19"/>
                <w:szCs w:val="19"/>
              </w:rPr>
            </w:pPr>
            <w:r w:rsidRPr="00662611">
              <w:rPr>
                <w:sz w:val="19"/>
                <w:szCs w:val="19"/>
              </w:rPr>
              <w:t>Road – original surface layers</w:t>
            </w:r>
          </w:p>
        </w:tc>
        <w:tc>
          <w:tcPr>
            <w:tcW w:w="2767" w:type="dxa"/>
            <w:tcBorders>
              <w:top w:val="nil"/>
              <w:bottom w:val="nil"/>
            </w:tcBorders>
          </w:tcPr>
          <w:p w14:paraId="7D927412" w14:textId="77777777" w:rsidR="00FB7A88" w:rsidRPr="00662611" w:rsidRDefault="00FB7A88" w:rsidP="00C807B1">
            <w:pPr>
              <w:pStyle w:val="Default"/>
              <w:spacing w:before="40" w:after="40"/>
              <w:jc w:val="center"/>
              <w:rPr>
                <w:sz w:val="19"/>
                <w:szCs w:val="19"/>
              </w:rPr>
            </w:pPr>
            <w:r w:rsidRPr="00662611">
              <w:rPr>
                <w:sz w:val="19"/>
                <w:szCs w:val="19"/>
              </w:rPr>
              <w:t>110</w:t>
            </w:r>
          </w:p>
        </w:tc>
      </w:tr>
      <w:tr w:rsidR="00FB7A88" w:rsidRPr="00662611" w14:paraId="7D927416" w14:textId="77777777" w:rsidTr="00FB7A88">
        <w:trPr>
          <w:trHeight w:val="130"/>
        </w:trPr>
        <w:tc>
          <w:tcPr>
            <w:tcW w:w="2767" w:type="dxa"/>
            <w:tcBorders>
              <w:top w:val="nil"/>
              <w:bottom w:val="nil"/>
            </w:tcBorders>
          </w:tcPr>
          <w:p w14:paraId="7D927414" w14:textId="77777777" w:rsidR="00FB7A88" w:rsidRPr="00662611" w:rsidRDefault="00FB7A88" w:rsidP="00340CD9">
            <w:pPr>
              <w:pStyle w:val="Default"/>
              <w:spacing w:before="40" w:after="40"/>
              <w:rPr>
                <w:sz w:val="19"/>
                <w:szCs w:val="19"/>
              </w:rPr>
            </w:pPr>
            <w:r w:rsidRPr="00662611">
              <w:rPr>
                <w:sz w:val="19"/>
                <w:szCs w:val="19"/>
              </w:rPr>
              <w:t>Total fair value of road</w:t>
            </w:r>
          </w:p>
        </w:tc>
        <w:tc>
          <w:tcPr>
            <w:tcW w:w="2767" w:type="dxa"/>
            <w:tcBorders>
              <w:top w:val="nil"/>
              <w:bottom w:val="nil"/>
            </w:tcBorders>
          </w:tcPr>
          <w:p w14:paraId="7D927415" w14:textId="5652818C" w:rsidR="00FB7A88" w:rsidRPr="00662611" w:rsidRDefault="004603DB" w:rsidP="00C807B1">
            <w:pPr>
              <w:pStyle w:val="Default"/>
              <w:spacing w:before="40" w:after="40"/>
              <w:jc w:val="center"/>
              <w:rPr>
                <w:sz w:val="19"/>
                <w:szCs w:val="19"/>
              </w:rPr>
            </w:pPr>
            <w:r w:rsidRPr="00662611">
              <w:rPr>
                <w:sz w:val="19"/>
                <w:szCs w:val="19"/>
              </w:rPr>
              <w:t>1,</w:t>
            </w:r>
            <w:r w:rsidR="00B75BB8" w:rsidRPr="00662611">
              <w:rPr>
                <w:sz w:val="19"/>
                <w:szCs w:val="19"/>
              </w:rPr>
              <w:t>082</w:t>
            </w:r>
          </w:p>
        </w:tc>
      </w:tr>
      <w:tr w:rsidR="00D47965" w:rsidRPr="00662611" w14:paraId="7D927419" w14:textId="77777777" w:rsidTr="00A31AA0">
        <w:trPr>
          <w:trHeight w:val="130"/>
        </w:trPr>
        <w:tc>
          <w:tcPr>
            <w:tcW w:w="2767" w:type="dxa"/>
            <w:tcBorders>
              <w:top w:val="nil"/>
              <w:bottom w:val="nil"/>
            </w:tcBorders>
          </w:tcPr>
          <w:p w14:paraId="7D927417" w14:textId="77777777" w:rsidR="00D47965" w:rsidRPr="00662611" w:rsidRDefault="00D47965" w:rsidP="00340CD9">
            <w:pPr>
              <w:pStyle w:val="Default"/>
              <w:spacing w:before="40" w:after="40"/>
              <w:rPr>
                <w:sz w:val="19"/>
                <w:szCs w:val="19"/>
              </w:rPr>
            </w:pPr>
            <w:r w:rsidRPr="00662611">
              <w:rPr>
                <w:sz w:val="19"/>
                <w:szCs w:val="19"/>
              </w:rPr>
              <w:t xml:space="preserve">Annual service component </w:t>
            </w:r>
          </w:p>
        </w:tc>
        <w:tc>
          <w:tcPr>
            <w:tcW w:w="2767" w:type="dxa"/>
            <w:tcBorders>
              <w:top w:val="nil"/>
              <w:bottom w:val="nil"/>
            </w:tcBorders>
          </w:tcPr>
          <w:p w14:paraId="7D927418" w14:textId="77777777" w:rsidR="00D47965" w:rsidRPr="00662611" w:rsidRDefault="00D47965" w:rsidP="00C807B1">
            <w:pPr>
              <w:pStyle w:val="Default"/>
              <w:spacing w:before="40" w:after="40"/>
              <w:jc w:val="center"/>
              <w:rPr>
                <w:sz w:val="19"/>
                <w:szCs w:val="19"/>
              </w:rPr>
            </w:pPr>
            <w:r w:rsidRPr="00662611">
              <w:rPr>
                <w:sz w:val="19"/>
                <w:szCs w:val="19"/>
              </w:rPr>
              <w:t>12</w:t>
            </w:r>
          </w:p>
        </w:tc>
      </w:tr>
      <w:tr w:rsidR="00D47965" w:rsidRPr="00662611" w14:paraId="7D92741C" w14:textId="77777777" w:rsidTr="00A31AA0">
        <w:trPr>
          <w:trHeight w:val="130"/>
        </w:trPr>
        <w:tc>
          <w:tcPr>
            <w:tcW w:w="2767" w:type="dxa"/>
            <w:tcBorders>
              <w:top w:val="nil"/>
              <w:bottom w:val="single" w:sz="4" w:space="0" w:color="auto"/>
            </w:tcBorders>
          </w:tcPr>
          <w:p w14:paraId="7D92741A" w14:textId="77777777" w:rsidR="00D47965" w:rsidRPr="00662611" w:rsidRDefault="00D47965" w:rsidP="00340CD9">
            <w:pPr>
              <w:pStyle w:val="Default"/>
              <w:spacing w:before="40" w:after="40"/>
              <w:rPr>
                <w:sz w:val="19"/>
                <w:szCs w:val="19"/>
              </w:rPr>
            </w:pPr>
            <w:r w:rsidRPr="00662611">
              <w:rPr>
                <w:sz w:val="19"/>
                <w:szCs w:val="19"/>
              </w:rPr>
              <w:t xml:space="preserve">Effective interest rate </w:t>
            </w:r>
          </w:p>
        </w:tc>
        <w:tc>
          <w:tcPr>
            <w:tcW w:w="2767" w:type="dxa"/>
            <w:tcBorders>
              <w:top w:val="nil"/>
              <w:bottom w:val="single" w:sz="4" w:space="0" w:color="auto"/>
            </w:tcBorders>
          </w:tcPr>
          <w:p w14:paraId="7D92741B" w14:textId="77777777" w:rsidR="00D47965" w:rsidRPr="00662611" w:rsidRDefault="00D47965" w:rsidP="00C807B1">
            <w:pPr>
              <w:pStyle w:val="Default"/>
              <w:spacing w:before="40" w:after="40"/>
              <w:jc w:val="center"/>
              <w:rPr>
                <w:sz w:val="19"/>
                <w:szCs w:val="19"/>
              </w:rPr>
            </w:pPr>
            <w:r w:rsidRPr="00662611">
              <w:rPr>
                <w:sz w:val="19"/>
                <w:szCs w:val="19"/>
              </w:rPr>
              <w:t>6.18%</w:t>
            </w:r>
          </w:p>
        </w:tc>
      </w:tr>
    </w:tbl>
    <w:p w14:paraId="7D92741D" w14:textId="77777777" w:rsidR="00D47965" w:rsidRPr="00662611" w:rsidRDefault="00D47965" w:rsidP="00D47965">
      <w:pPr>
        <w:pStyle w:val="IE1"/>
        <w:numPr>
          <w:ilvl w:val="0"/>
          <w:numId w:val="0"/>
        </w:numPr>
        <w:rPr>
          <w:sz w:val="19"/>
          <w:szCs w:val="19"/>
        </w:rPr>
      </w:pPr>
    </w:p>
    <w:p w14:paraId="7D92741E" w14:textId="4BDF85ED" w:rsidR="008F652E" w:rsidRPr="00662611" w:rsidRDefault="008F652E" w:rsidP="00FB21C0">
      <w:pPr>
        <w:pStyle w:val="IASBSectionTitle1NonInd"/>
        <w:outlineLvl w:val="1"/>
      </w:pPr>
      <w:r w:rsidRPr="00662611">
        <w:t xml:space="preserve">Example </w:t>
      </w:r>
      <w:r w:rsidR="00A5779D" w:rsidRPr="00662611">
        <w:t>6</w:t>
      </w:r>
      <w:r w:rsidRPr="00662611">
        <w:t xml:space="preserve">: The </w:t>
      </w:r>
      <w:r w:rsidR="00DE6BF2" w:rsidRPr="00662611">
        <w:t>grantor makes a predetermined series of payments to the operator</w:t>
      </w:r>
      <w:r w:rsidR="00B75BB8" w:rsidRPr="00662611">
        <w:t xml:space="preserve"> (paragraphs </w:t>
      </w:r>
      <w:r w:rsidR="007448D9">
        <w:fldChar w:fldCharType="begin"/>
      </w:r>
      <w:r w:rsidR="007448D9">
        <w:instrText xml:space="preserve"> REF _Ref475620669 \r \h </w:instrText>
      </w:r>
      <w:r w:rsidR="007448D9">
        <w:fldChar w:fldCharType="separate"/>
      </w:r>
      <w:r w:rsidR="00C43128">
        <w:t>15</w:t>
      </w:r>
      <w:r w:rsidR="007448D9">
        <w:fldChar w:fldCharType="end"/>
      </w:r>
      <w:r w:rsidR="006F3641" w:rsidRPr="00662611">
        <w:t>–</w:t>
      </w:r>
      <w:r w:rsidR="007448D9">
        <w:fldChar w:fldCharType="begin"/>
      </w:r>
      <w:r w:rsidR="007448D9">
        <w:instrText xml:space="preserve"> REF _Ref475627123 \r \h </w:instrText>
      </w:r>
      <w:r w:rsidR="007448D9">
        <w:fldChar w:fldCharType="separate"/>
      </w:r>
      <w:r w:rsidR="00C43128">
        <w:t>20</w:t>
      </w:r>
      <w:r w:rsidR="007448D9">
        <w:fldChar w:fldCharType="end"/>
      </w:r>
      <w:r w:rsidR="00B75BB8" w:rsidRPr="00662611">
        <w:t>)</w:t>
      </w:r>
    </w:p>
    <w:p w14:paraId="7D92741F" w14:textId="77777777" w:rsidR="008F652E" w:rsidRPr="00662611" w:rsidRDefault="008F652E" w:rsidP="00FB21C0">
      <w:pPr>
        <w:pStyle w:val="IASBSectionTitle2Ind"/>
        <w:outlineLvl w:val="2"/>
      </w:pPr>
      <w:r w:rsidRPr="00662611">
        <w:t xml:space="preserve">Additional </w:t>
      </w:r>
      <w:r w:rsidR="00B75BB8" w:rsidRPr="00662611">
        <w:t xml:space="preserve">arrangement </w:t>
      </w:r>
      <w:r w:rsidR="00DE6BF2" w:rsidRPr="00662611">
        <w:t>terms</w:t>
      </w:r>
    </w:p>
    <w:p w14:paraId="7D927420" w14:textId="0B86A810" w:rsidR="008F652E" w:rsidRPr="00662611" w:rsidRDefault="008F652E" w:rsidP="00BC217C">
      <w:pPr>
        <w:pStyle w:val="IE1"/>
        <w:spacing w:after="100" w:line="240" w:lineRule="auto"/>
        <w:ind w:left="782" w:hanging="782"/>
        <w:jc w:val="both"/>
        <w:rPr>
          <w:sz w:val="19"/>
          <w:szCs w:val="19"/>
        </w:rPr>
      </w:pPr>
      <w:r w:rsidRPr="00662611">
        <w:rPr>
          <w:sz w:val="19"/>
          <w:szCs w:val="19"/>
        </w:rPr>
        <w:t xml:space="preserve">The terms of the arrangement require the grantor to pay the operator CU200 per year in years 3–10 for making the road available to the public. The total consideration (payment of CU200 in each of years 3–10) reflects the fair values </w:t>
      </w:r>
      <w:r w:rsidR="008B3C53" w:rsidRPr="00662611">
        <w:rPr>
          <w:sz w:val="19"/>
          <w:szCs w:val="19"/>
        </w:rPr>
        <w:t>(</w:t>
      </w:r>
      <w:r w:rsidR="00E64952" w:rsidRPr="00662611">
        <w:rPr>
          <w:sz w:val="19"/>
          <w:szCs w:val="19"/>
        </w:rPr>
        <w:t>current replacement cost</w:t>
      </w:r>
      <w:r w:rsidR="008B3C53" w:rsidRPr="00662611">
        <w:rPr>
          <w:sz w:val="19"/>
          <w:szCs w:val="19"/>
        </w:rPr>
        <w:t>)</w:t>
      </w:r>
      <w:r w:rsidR="00E64952" w:rsidRPr="00662611">
        <w:rPr>
          <w:sz w:val="19"/>
          <w:szCs w:val="19"/>
        </w:rPr>
        <w:t xml:space="preserve"> </w:t>
      </w:r>
      <w:r w:rsidRPr="00662611">
        <w:rPr>
          <w:sz w:val="19"/>
          <w:szCs w:val="19"/>
        </w:rPr>
        <w:t xml:space="preserve">for each of the </w:t>
      </w:r>
      <w:r w:rsidR="00835E4A">
        <w:rPr>
          <w:sz w:val="19"/>
          <w:szCs w:val="19"/>
        </w:rPr>
        <w:t xml:space="preserve">assets and </w:t>
      </w:r>
      <w:r w:rsidRPr="00662611">
        <w:rPr>
          <w:sz w:val="19"/>
          <w:szCs w:val="19"/>
        </w:rPr>
        <w:t>services indicated in Table </w:t>
      </w:r>
      <w:r w:rsidR="00B75BB8" w:rsidRPr="00662611">
        <w:rPr>
          <w:sz w:val="19"/>
          <w:szCs w:val="19"/>
        </w:rPr>
        <w:t>6</w:t>
      </w:r>
      <w:r w:rsidRPr="00662611">
        <w:rPr>
          <w:sz w:val="19"/>
          <w:szCs w:val="19"/>
        </w:rPr>
        <w:t>. These payments are intended to cover the cost of constructing the road, annual operating costs of CU12 and reimbursement to the operator for the cost of resurfacing the road in year 8 of CU110.</w:t>
      </w:r>
    </w:p>
    <w:p w14:paraId="7D927421" w14:textId="77777777" w:rsidR="008F652E" w:rsidRPr="00662611" w:rsidRDefault="008F652E" w:rsidP="00FB21C0">
      <w:pPr>
        <w:pStyle w:val="IASBSectionTitle2Ind"/>
        <w:outlineLvl w:val="2"/>
      </w:pPr>
      <w:r w:rsidRPr="00662611">
        <w:t xml:space="preserve">Financial </w:t>
      </w:r>
      <w:r w:rsidR="00DE6BF2" w:rsidRPr="00662611">
        <w:t>statement im</w:t>
      </w:r>
      <w:r w:rsidRPr="00662611">
        <w:t>pact</w:t>
      </w:r>
    </w:p>
    <w:p w14:paraId="7D927422" w14:textId="207AA958" w:rsidR="008F652E" w:rsidRPr="00662611" w:rsidRDefault="008F652E" w:rsidP="00350B3E">
      <w:pPr>
        <w:pStyle w:val="IE1"/>
        <w:spacing w:after="100" w:line="240" w:lineRule="auto"/>
        <w:ind w:left="782" w:hanging="782"/>
        <w:jc w:val="both"/>
        <w:rPr>
          <w:sz w:val="19"/>
          <w:szCs w:val="19"/>
        </w:rPr>
      </w:pPr>
      <w:r w:rsidRPr="00662611">
        <w:rPr>
          <w:sz w:val="19"/>
          <w:szCs w:val="19"/>
        </w:rPr>
        <w:t>The grantor initially recognises the service concession asset as property, plant, and equipment at its fair value</w:t>
      </w:r>
      <w:r w:rsidR="005B1AF9" w:rsidRPr="00662611">
        <w:rPr>
          <w:sz w:val="19"/>
          <w:szCs w:val="19"/>
        </w:rPr>
        <w:t>,</w:t>
      </w:r>
      <w:r w:rsidRPr="00662611">
        <w:rPr>
          <w:sz w:val="19"/>
          <w:szCs w:val="19"/>
        </w:rPr>
        <w:t xml:space="preserve"> </w:t>
      </w:r>
      <w:r w:rsidR="00FD51E6" w:rsidRPr="00662611">
        <w:rPr>
          <w:sz w:val="19"/>
          <w:szCs w:val="19"/>
        </w:rPr>
        <w:t xml:space="preserve">measured at current replacement cost </w:t>
      </w:r>
      <w:r w:rsidRPr="00662611">
        <w:rPr>
          <w:sz w:val="19"/>
          <w:szCs w:val="19"/>
        </w:rPr>
        <w:t>(total CU</w:t>
      </w:r>
      <w:r w:rsidR="006F3641" w:rsidRPr="00662611">
        <w:rPr>
          <w:sz w:val="19"/>
          <w:szCs w:val="19"/>
        </w:rPr>
        <w:t>1</w:t>
      </w:r>
      <w:proofErr w:type="gramStart"/>
      <w:r w:rsidR="006F3641" w:rsidRPr="00662611">
        <w:rPr>
          <w:sz w:val="19"/>
          <w:szCs w:val="19"/>
        </w:rPr>
        <w:t>,</w:t>
      </w:r>
      <w:r w:rsidR="005B1AF9" w:rsidRPr="00662611">
        <w:rPr>
          <w:sz w:val="19"/>
          <w:szCs w:val="19"/>
        </w:rPr>
        <w:t>082</w:t>
      </w:r>
      <w:proofErr w:type="gramEnd"/>
      <w:r w:rsidRPr="00662611">
        <w:rPr>
          <w:sz w:val="19"/>
          <w:szCs w:val="19"/>
        </w:rPr>
        <w:t xml:space="preserve">, </w:t>
      </w:r>
      <w:r w:rsidR="005B1AF9" w:rsidRPr="00662611">
        <w:rPr>
          <w:sz w:val="19"/>
          <w:szCs w:val="19"/>
        </w:rPr>
        <w:t xml:space="preserve">determined as </w:t>
      </w:r>
      <w:r w:rsidRPr="00662611">
        <w:rPr>
          <w:sz w:val="19"/>
          <w:szCs w:val="19"/>
        </w:rPr>
        <w:t>CU940 related to construction of the base layers</w:t>
      </w:r>
      <w:r w:rsidR="005B1AF9" w:rsidRPr="00662611">
        <w:rPr>
          <w:sz w:val="19"/>
          <w:szCs w:val="19"/>
        </w:rPr>
        <w:t>,</w:t>
      </w:r>
      <w:r w:rsidRPr="00662611">
        <w:rPr>
          <w:sz w:val="19"/>
          <w:szCs w:val="19"/>
        </w:rPr>
        <w:t xml:space="preserve"> CU110 related to construction of the original surface layers</w:t>
      </w:r>
      <w:r w:rsidR="005B1AF9" w:rsidRPr="00662611">
        <w:rPr>
          <w:sz w:val="19"/>
          <w:szCs w:val="19"/>
        </w:rPr>
        <w:t xml:space="preserve"> and CU32 for </w:t>
      </w:r>
      <w:r w:rsidR="00835E4A">
        <w:rPr>
          <w:sz w:val="19"/>
          <w:szCs w:val="19"/>
        </w:rPr>
        <w:t xml:space="preserve">funding </w:t>
      </w:r>
      <w:r w:rsidR="005B1AF9" w:rsidRPr="00662611">
        <w:rPr>
          <w:sz w:val="19"/>
          <w:szCs w:val="19"/>
        </w:rPr>
        <w:t>costs related to the costs incurred in year 1 for base layers</w:t>
      </w:r>
      <w:r w:rsidRPr="00662611">
        <w:rPr>
          <w:sz w:val="19"/>
          <w:szCs w:val="19"/>
        </w:rPr>
        <w:t xml:space="preserve">). The asset is recognised as it is constructed (CU525 in year 1 and </w:t>
      </w:r>
      <w:r w:rsidR="005B1AF9" w:rsidRPr="00662611">
        <w:rPr>
          <w:sz w:val="19"/>
          <w:szCs w:val="19"/>
        </w:rPr>
        <w:t xml:space="preserve">CU557 </w:t>
      </w:r>
      <w:r w:rsidRPr="00662611">
        <w:rPr>
          <w:sz w:val="19"/>
          <w:szCs w:val="19"/>
        </w:rPr>
        <w:t xml:space="preserve">in year 2). Depreciation is </w:t>
      </w:r>
      <w:r w:rsidR="00834187" w:rsidRPr="00662611">
        <w:rPr>
          <w:sz w:val="19"/>
          <w:szCs w:val="19"/>
        </w:rPr>
        <w:t xml:space="preserve">recognised </w:t>
      </w:r>
      <w:r w:rsidRPr="00662611">
        <w:rPr>
          <w:sz w:val="19"/>
          <w:szCs w:val="19"/>
        </w:rPr>
        <w:t>annually (</w:t>
      </w:r>
      <w:r w:rsidR="005B1AF9" w:rsidRPr="00662611">
        <w:rPr>
          <w:sz w:val="19"/>
          <w:szCs w:val="19"/>
        </w:rPr>
        <w:t>CU57</w:t>
      </w:r>
      <w:r w:rsidRPr="00662611">
        <w:rPr>
          <w:sz w:val="19"/>
          <w:szCs w:val="19"/>
        </w:rPr>
        <w:t xml:space="preserve">, comprised of </w:t>
      </w:r>
      <w:r w:rsidR="005B1AF9" w:rsidRPr="00662611">
        <w:rPr>
          <w:sz w:val="19"/>
          <w:szCs w:val="19"/>
        </w:rPr>
        <w:t xml:space="preserve">CU39 </w:t>
      </w:r>
      <w:r w:rsidR="00365FCE" w:rsidRPr="00662611">
        <w:rPr>
          <w:sz w:val="19"/>
          <w:szCs w:val="19"/>
        </w:rPr>
        <w:t>(CU972/25)</w:t>
      </w:r>
      <w:r w:rsidR="005B1AF9" w:rsidRPr="00662611">
        <w:rPr>
          <w:sz w:val="19"/>
          <w:szCs w:val="19"/>
        </w:rPr>
        <w:t xml:space="preserve"> </w:t>
      </w:r>
      <w:r w:rsidRPr="00662611">
        <w:rPr>
          <w:sz w:val="19"/>
          <w:szCs w:val="19"/>
        </w:rPr>
        <w:t xml:space="preserve">for the base layers and CU18 </w:t>
      </w:r>
      <w:r w:rsidR="00365FCE" w:rsidRPr="00662611">
        <w:rPr>
          <w:sz w:val="19"/>
          <w:szCs w:val="19"/>
        </w:rPr>
        <w:t>(CU110/6)</w:t>
      </w:r>
      <w:r w:rsidRPr="00662611">
        <w:rPr>
          <w:sz w:val="19"/>
          <w:szCs w:val="19"/>
        </w:rPr>
        <w:t xml:space="preserve"> for the surface layers), starting from year 3.</w:t>
      </w:r>
    </w:p>
    <w:p w14:paraId="7D927423" w14:textId="3604F874" w:rsidR="008F652E" w:rsidRPr="00662611" w:rsidRDefault="008F652E" w:rsidP="00350B3E">
      <w:pPr>
        <w:pStyle w:val="IE1"/>
        <w:spacing w:after="100" w:line="240" w:lineRule="auto"/>
        <w:ind w:left="782" w:hanging="782"/>
        <w:jc w:val="both"/>
        <w:rPr>
          <w:sz w:val="19"/>
          <w:szCs w:val="19"/>
        </w:rPr>
      </w:pPr>
      <w:bookmarkStart w:id="115" w:name="_Ref486146534"/>
      <w:r w:rsidRPr="00662611">
        <w:rPr>
          <w:sz w:val="19"/>
          <w:szCs w:val="19"/>
        </w:rPr>
        <w:t xml:space="preserve">The grantor initially recognises a financial liability equal to the fair value </w:t>
      </w:r>
      <w:r w:rsidR="00684F0F" w:rsidRPr="00662611">
        <w:rPr>
          <w:sz w:val="19"/>
          <w:szCs w:val="19"/>
        </w:rPr>
        <w:t xml:space="preserve">(current replacement cost) </w:t>
      </w:r>
      <w:r w:rsidRPr="00662611">
        <w:rPr>
          <w:sz w:val="19"/>
          <w:szCs w:val="19"/>
        </w:rPr>
        <w:t xml:space="preserve">of the </w:t>
      </w:r>
      <w:r w:rsidR="004135A8" w:rsidRPr="00662611">
        <w:rPr>
          <w:sz w:val="19"/>
          <w:szCs w:val="19"/>
        </w:rPr>
        <w:t xml:space="preserve">service concession </w:t>
      </w:r>
      <w:r w:rsidRPr="00662611">
        <w:rPr>
          <w:sz w:val="19"/>
          <w:szCs w:val="19"/>
        </w:rPr>
        <w:t>asset under construction at the end of year 1 (CU525). The liability is increased at the end of year 2 to reflect both the fair value of the additional construction (CU525) and the finance charge</w:t>
      </w:r>
      <w:r w:rsidR="005B1AF9" w:rsidRPr="00662611">
        <w:rPr>
          <w:sz w:val="19"/>
          <w:szCs w:val="19"/>
        </w:rPr>
        <w:t xml:space="preserve"> (CU3</w:t>
      </w:r>
      <w:r w:rsidR="000C02E9" w:rsidRPr="00662611">
        <w:rPr>
          <w:sz w:val="19"/>
          <w:szCs w:val="19"/>
        </w:rPr>
        <w:t>2</w:t>
      </w:r>
      <w:r w:rsidR="005B1AF9" w:rsidRPr="00662611">
        <w:rPr>
          <w:sz w:val="19"/>
          <w:szCs w:val="19"/>
        </w:rPr>
        <w:t>)</w:t>
      </w:r>
      <w:r w:rsidRPr="00662611">
        <w:rPr>
          <w:sz w:val="19"/>
          <w:szCs w:val="19"/>
        </w:rPr>
        <w:t xml:space="preserve"> on the outstanding financial liability. Because the amount of the predetermined payment related to the service component of the service concession arrangement is known, the grantor is able to determine the amount of the</w:t>
      </w:r>
      <w:r w:rsidR="004135A8" w:rsidRPr="00662611">
        <w:rPr>
          <w:sz w:val="19"/>
          <w:szCs w:val="19"/>
        </w:rPr>
        <w:t xml:space="preserve"> annual</w:t>
      </w:r>
      <w:r w:rsidRPr="00662611">
        <w:rPr>
          <w:sz w:val="19"/>
          <w:szCs w:val="19"/>
        </w:rPr>
        <w:t xml:space="preserve"> payment that reduces the liability</w:t>
      </w:r>
      <w:r w:rsidR="004135A8" w:rsidRPr="00662611">
        <w:rPr>
          <w:sz w:val="19"/>
          <w:szCs w:val="19"/>
        </w:rPr>
        <w:t xml:space="preserve"> each period</w:t>
      </w:r>
      <w:r w:rsidRPr="00662611">
        <w:rPr>
          <w:sz w:val="19"/>
          <w:szCs w:val="19"/>
        </w:rPr>
        <w:t xml:space="preserve">. A finance charge at the </w:t>
      </w:r>
      <w:r w:rsidR="00E37725" w:rsidRPr="00662611">
        <w:rPr>
          <w:sz w:val="19"/>
          <w:szCs w:val="19"/>
        </w:rPr>
        <w:t xml:space="preserve">effective </w:t>
      </w:r>
      <w:r w:rsidR="00E37725" w:rsidRPr="00662611">
        <w:rPr>
          <w:sz w:val="19"/>
          <w:szCs w:val="19"/>
        </w:rPr>
        <w:lastRenderedPageBreak/>
        <w:t xml:space="preserve">interest </w:t>
      </w:r>
      <w:r w:rsidRPr="00662611">
        <w:rPr>
          <w:sz w:val="19"/>
          <w:szCs w:val="19"/>
        </w:rPr>
        <w:t>rate of 6.18 per cent is recognised annually. The liability is subsequently measured at amortised cost, that is, the amount initially recognised plus the finance charge on that amount calculated using the effective interest method</w:t>
      </w:r>
      <w:r w:rsidR="00515E91" w:rsidRPr="00662611">
        <w:rPr>
          <w:sz w:val="19"/>
          <w:szCs w:val="19"/>
        </w:rPr>
        <w:t>,</w:t>
      </w:r>
      <w:r w:rsidRPr="00662611">
        <w:rPr>
          <w:sz w:val="19"/>
          <w:szCs w:val="19"/>
        </w:rPr>
        <w:t xml:space="preserve"> minus repayments. </w:t>
      </w:r>
      <w:r w:rsidR="0072111D" w:rsidRPr="00662611">
        <w:rPr>
          <w:sz w:val="19"/>
          <w:szCs w:val="19"/>
        </w:rPr>
        <w:t xml:space="preserve">The </w:t>
      </w:r>
      <w:r w:rsidR="001C7FBA" w:rsidRPr="00662611">
        <w:rPr>
          <w:sz w:val="19"/>
          <w:szCs w:val="19"/>
        </w:rPr>
        <w:t xml:space="preserve">initial </w:t>
      </w:r>
      <w:r w:rsidR="0072111D" w:rsidRPr="00662611">
        <w:rPr>
          <w:sz w:val="19"/>
          <w:szCs w:val="19"/>
        </w:rPr>
        <w:t>liability excludes th</w:t>
      </w:r>
      <w:r w:rsidR="006B69DA" w:rsidRPr="00662611">
        <w:rPr>
          <w:sz w:val="19"/>
          <w:szCs w:val="19"/>
        </w:rPr>
        <w:t>e annual operating costs of CU12</w:t>
      </w:r>
      <w:r w:rsidR="001C7FBA" w:rsidRPr="00662611">
        <w:rPr>
          <w:sz w:val="19"/>
          <w:szCs w:val="19"/>
        </w:rPr>
        <w:t xml:space="preserve"> and the compensation for </w:t>
      </w:r>
      <w:r w:rsidR="00834187" w:rsidRPr="00662611">
        <w:rPr>
          <w:sz w:val="19"/>
          <w:szCs w:val="19"/>
        </w:rPr>
        <w:t xml:space="preserve">the </w:t>
      </w:r>
      <w:r w:rsidR="001C7FBA" w:rsidRPr="00662611">
        <w:rPr>
          <w:sz w:val="19"/>
          <w:szCs w:val="19"/>
        </w:rPr>
        <w:t>road resurfacing</w:t>
      </w:r>
      <w:r w:rsidR="004135A8" w:rsidRPr="00662611">
        <w:rPr>
          <w:sz w:val="19"/>
          <w:szCs w:val="19"/>
        </w:rPr>
        <w:t xml:space="preserve">, as </w:t>
      </w:r>
      <w:r w:rsidR="001C7FBA" w:rsidRPr="00662611">
        <w:rPr>
          <w:sz w:val="19"/>
          <w:szCs w:val="19"/>
        </w:rPr>
        <w:t>these</w:t>
      </w:r>
      <w:r w:rsidR="004135A8" w:rsidRPr="00662611">
        <w:rPr>
          <w:sz w:val="19"/>
          <w:szCs w:val="19"/>
        </w:rPr>
        <w:t xml:space="preserve"> component</w:t>
      </w:r>
      <w:r w:rsidR="001C7FBA" w:rsidRPr="00662611">
        <w:rPr>
          <w:sz w:val="19"/>
          <w:szCs w:val="19"/>
        </w:rPr>
        <w:t>s</w:t>
      </w:r>
      <w:r w:rsidR="004135A8" w:rsidRPr="00662611">
        <w:rPr>
          <w:sz w:val="19"/>
          <w:szCs w:val="19"/>
        </w:rPr>
        <w:t xml:space="preserve"> of the arrangement represent equally proportiona</w:t>
      </w:r>
      <w:r w:rsidR="00515E91" w:rsidRPr="00662611">
        <w:rPr>
          <w:sz w:val="19"/>
          <w:szCs w:val="19"/>
        </w:rPr>
        <w:t>te</w:t>
      </w:r>
      <w:r w:rsidR="004135A8" w:rsidRPr="00662611">
        <w:rPr>
          <w:sz w:val="19"/>
          <w:szCs w:val="19"/>
        </w:rPr>
        <w:t>ly unperformed contract</w:t>
      </w:r>
      <w:r w:rsidR="001C7FBA" w:rsidRPr="00662611">
        <w:rPr>
          <w:sz w:val="19"/>
          <w:szCs w:val="19"/>
        </w:rPr>
        <w:t>s</w:t>
      </w:r>
      <w:r w:rsidR="006B69DA" w:rsidRPr="00662611">
        <w:rPr>
          <w:sz w:val="19"/>
          <w:szCs w:val="19"/>
        </w:rPr>
        <w:t>.</w:t>
      </w:r>
      <w:bookmarkEnd w:id="115"/>
    </w:p>
    <w:p w14:paraId="7D927424" w14:textId="77777777" w:rsidR="008F652E" w:rsidRPr="00662611" w:rsidRDefault="008F652E" w:rsidP="00350B3E">
      <w:pPr>
        <w:pStyle w:val="IE1"/>
        <w:spacing w:after="100" w:line="240" w:lineRule="auto"/>
        <w:ind w:left="782" w:hanging="782"/>
        <w:jc w:val="both"/>
        <w:rPr>
          <w:sz w:val="19"/>
          <w:szCs w:val="19"/>
        </w:rPr>
      </w:pPr>
      <w:r w:rsidRPr="00662611">
        <w:rPr>
          <w:sz w:val="19"/>
          <w:szCs w:val="19"/>
        </w:rPr>
        <w:t xml:space="preserve">The compensation for the road resurfacing is included in the predetermined series of payments. There is no </w:t>
      </w:r>
      <w:r w:rsidR="004E31CA" w:rsidRPr="00662611">
        <w:rPr>
          <w:sz w:val="19"/>
          <w:szCs w:val="19"/>
        </w:rPr>
        <w:t xml:space="preserve">additional </w:t>
      </w:r>
      <w:r w:rsidRPr="00662611">
        <w:rPr>
          <w:sz w:val="19"/>
          <w:szCs w:val="19"/>
        </w:rPr>
        <w:t>direct cash flow impact related to the road resurfacing</w:t>
      </w:r>
      <w:r w:rsidR="001C7FBA" w:rsidRPr="00662611">
        <w:rPr>
          <w:sz w:val="19"/>
          <w:szCs w:val="19"/>
        </w:rPr>
        <w:t xml:space="preserve"> beyond the predetermined payments</w:t>
      </w:r>
      <w:r w:rsidRPr="00662611">
        <w:rPr>
          <w:sz w:val="19"/>
          <w:szCs w:val="19"/>
        </w:rPr>
        <w:t xml:space="preserve">; however, the grantor recognises the resurfacing as an asset when the work is undertaken and recognises depreciation expense of CU110/6 = CU18, beginning in year 9. </w:t>
      </w:r>
      <w:r w:rsidR="001C7FBA" w:rsidRPr="00662611">
        <w:rPr>
          <w:sz w:val="19"/>
          <w:szCs w:val="19"/>
        </w:rPr>
        <w:t>When the resurfacing occurs, the grantor also recognises the related liability.</w:t>
      </w:r>
    </w:p>
    <w:p w14:paraId="7D927425" w14:textId="77777777" w:rsidR="008F652E" w:rsidRPr="00662611" w:rsidRDefault="008F652E" w:rsidP="00350B3E">
      <w:pPr>
        <w:pStyle w:val="IE1"/>
        <w:spacing w:after="100" w:line="240" w:lineRule="auto"/>
        <w:ind w:left="782" w:hanging="782"/>
        <w:jc w:val="both"/>
        <w:rPr>
          <w:sz w:val="19"/>
          <w:szCs w:val="19"/>
        </w:rPr>
      </w:pPr>
      <w:r w:rsidRPr="00662611">
        <w:rPr>
          <w:sz w:val="19"/>
          <w:szCs w:val="19"/>
        </w:rPr>
        <w:t>The compensation for maintenance and operating the road (CU12) is</w:t>
      </w:r>
      <w:r w:rsidR="001C7FBA" w:rsidRPr="00662611">
        <w:rPr>
          <w:sz w:val="19"/>
          <w:szCs w:val="19"/>
        </w:rPr>
        <w:t xml:space="preserve"> also</w:t>
      </w:r>
      <w:r w:rsidRPr="00662611">
        <w:rPr>
          <w:sz w:val="19"/>
          <w:szCs w:val="19"/>
        </w:rPr>
        <w:t xml:space="preserve"> included in the predetermined series of payments. There is no</w:t>
      </w:r>
      <w:r w:rsidR="004E31CA" w:rsidRPr="00662611">
        <w:rPr>
          <w:sz w:val="19"/>
          <w:szCs w:val="19"/>
        </w:rPr>
        <w:t xml:space="preserve"> additional</w:t>
      </w:r>
      <w:r w:rsidRPr="00662611">
        <w:rPr>
          <w:sz w:val="19"/>
          <w:szCs w:val="19"/>
        </w:rPr>
        <w:t xml:space="preserve"> cash flow impact related to this service expense</w:t>
      </w:r>
      <w:r w:rsidR="00767770" w:rsidRPr="00662611">
        <w:rPr>
          <w:sz w:val="19"/>
          <w:szCs w:val="19"/>
        </w:rPr>
        <w:t xml:space="preserve"> beyond those payments</w:t>
      </w:r>
      <w:r w:rsidRPr="00662611">
        <w:rPr>
          <w:sz w:val="19"/>
          <w:szCs w:val="19"/>
        </w:rPr>
        <w:t xml:space="preserve">; however, the grantor recognises an expense annually. </w:t>
      </w:r>
    </w:p>
    <w:p w14:paraId="7D927426" w14:textId="77777777" w:rsidR="008F652E" w:rsidRPr="00662611" w:rsidRDefault="008F652E" w:rsidP="00F359AB">
      <w:pPr>
        <w:pStyle w:val="IASBSectionTitle2Ind"/>
        <w:outlineLvl w:val="2"/>
      </w:pPr>
      <w:r w:rsidRPr="00662611">
        <w:t xml:space="preserve">Overview of </w:t>
      </w:r>
      <w:r w:rsidR="00DE6BF2" w:rsidRPr="00662611">
        <w:t>cash flows, statement of profit and loss and other comprehensive income, and statement of financial po</w:t>
      </w:r>
      <w:r w:rsidRPr="00662611">
        <w:t xml:space="preserve">sition </w:t>
      </w:r>
    </w:p>
    <w:p w14:paraId="7D927427" w14:textId="0DB04AE2" w:rsidR="008F652E" w:rsidRPr="00662611" w:rsidRDefault="008F652E" w:rsidP="00350B3E">
      <w:pPr>
        <w:pStyle w:val="IE1"/>
        <w:spacing w:after="100" w:line="240" w:lineRule="auto"/>
        <w:ind w:left="782" w:hanging="782"/>
        <w:jc w:val="both"/>
        <w:rPr>
          <w:sz w:val="19"/>
          <w:szCs w:val="19"/>
        </w:rPr>
      </w:pPr>
      <w:r w:rsidRPr="00662611">
        <w:rPr>
          <w:sz w:val="19"/>
          <w:szCs w:val="19"/>
        </w:rPr>
        <w:t xml:space="preserve">The grantor’s cash flows, statement of profit and loss and other comprehensive income, and statement of financial position over the duration of the arrangement will be as illustrated in Tables </w:t>
      </w:r>
      <w:r w:rsidR="00767770" w:rsidRPr="00662611">
        <w:rPr>
          <w:sz w:val="19"/>
          <w:szCs w:val="19"/>
        </w:rPr>
        <w:t>6</w:t>
      </w:r>
      <w:r w:rsidRPr="00662611">
        <w:rPr>
          <w:sz w:val="19"/>
          <w:szCs w:val="19"/>
        </w:rPr>
        <w:t xml:space="preserve">.1 to </w:t>
      </w:r>
      <w:r w:rsidR="00767770" w:rsidRPr="00662611">
        <w:rPr>
          <w:sz w:val="19"/>
          <w:szCs w:val="19"/>
        </w:rPr>
        <w:t>6</w:t>
      </w:r>
      <w:r w:rsidRPr="00662611">
        <w:rPr>
          <w:sz w:val="19"/>
          <w:szCs w:val="19"/>
        </w:rPr>
        <w:t xml:space="preserve">.3. In addition, Table </w:t>
      </w:r>
      <w:r w:rsidR="00767770" w:rsidRPr="00662611">
        <w:rPr>
          <w:sz w:val="19"/>
          <w:szCs w:val="19"/>
        </w:rPr>
        <w:t>6</w:t>
      </w:r>
      <w:r w:rsidRPr="00662611">
        <w:rPr>
          <w:sz w:val="19"/>
          <w:szCs w:val="19"/>
        </w:rPr>
        <w:t>.4 shows the changes in the financial liability.</w:t>
      </w:r>
    </w:p>
    <w:p w14:paraId="7D927428" w14:textId="77777777" w:rsidR="00FC0BF3" w:rsidRPr="00662611" w:rsidRDefault="00FC0BF3" w:rsidP="00FC0BF3">
      <w:pPr>
        <w:pStyle w:val="IE1"/>
        <w:numPr>
          <w:ilvl w:val="0"/>
          <w:numId w:val="0"/>
        </w:numPr>
        <w:spacing w:before="100" w:after="120" w:line="240" w:lineRule="auto"/>
        <w:ind w:left="782"/>
        <w:jc w:val="both"/>
        <w:rPr>
          <w:sz w:val="19"/>
          <w:szCs w:val="19"/>
        </w:rPr>
      </w:pPr>
    </w:p>
    <w:p w14:paraId="7D927429" w14:textId="3F3576F3" w:rsidR="008F652E" w:rsidRPr="00662611" w:rsidRDefault="008F652E" w:rsidP="00FB21C0">
      <w:pPr>
        <w:pStyle w:val="IE1"/>
        <w:numPr>
          <w:ilvl w:val="0"/>
          <w:numId w:val="0"/>
        </w:numPr>
        <w:spacing w:before="100" w:after="120"/>
        <w:ind w:left="1292" w:hanging="510"/>
        <w:outlineLvl w:val="3"/>
        <w:rPr>
          <w:b/>
          <w:sz w:val="19"/>
          <w:szCs w:val="19"/>
        </w:rPr>
      </w:pPr>
      <w:r w:rsidRPr="00662611">
        <w:rPr>
          <w:b/>
          <w:sz w:val="19"/>
          <w:szCs w:val="19"/>
        </w:rPr>
        <w:t xml:space="preserve">Table </w:t>
      </w:r>
      <w:proofErr w:type="gramStart"/>
      <w:r w:rsidR="00767770" w:rsidRPr="00662611">
        <w:rPr>
          <w:b/>
          <w:sz w:val="19"/>
          <w:szCs w:val="19"/>
        </w:rPr>
        <w:t>6</w:t>
      </w:r>
      <w:r w:rsidRPr="00662611">
        <w:rPr>
          <w:b/>
          <w:sz w:val="19"/>
          <w:szCs w:val="19"/>
        </w:rPr>
        <w:t xml:space="preserve">.1 </w:t>
      </w:r>
      <w:r w:rsidR="00DC7EF3" w:rsidRPr="00662611">
        <w:rPr>
          <w:b/>
          <w:sz w:val="19"/>
          <w:szCs w:val="19"/>
        </w:rPr>
        <w:t xml:space="preserve"> </w:t>
      </w:r>
      <w:r w:rsidRPr="00662611">
        <w:rPr>
          <w:b/>
          <w:sz w:val="19"/>
          <w:szCs w:val="19"/>
        </w:rPr>
        <w:t>Cash</w:t>
      </w:r>
      <w:proofErr w:type="gramEnd"/>
      <w:r w:rsidRPr="00662611">
        <w:rPr>
          <w:b/>
          <w:sz w:val="19"/>
          <w:szCs w:val="19"/>
        </w:rPr>
        <w:t xml:space="preserve"> </w:t>
      </w:r>
      <w:r w:rsidR="00DE6BF2" w:rsidRPr="00662611">
        <w:rPr>
          <w:b/>
          <w:sz w:val="19"/>
          <w:szCs w:val="19"/>
        </w:rPr>
        <w:t>flows (currency unit</w:t>
      </w:r>
      <w:r w:rsidRPr="00662611">
        <w:rPr>
          <w:b/>
          <w:sz w:val="19"/>
          <w:szCs w:val="19"/>
        </w:rPr>
        <w:t>s)</w:t>
      </w:r>
    </w:p>
    <w:tbl>
      <w:tblPr>
        <w:tblW w:w="8457"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Table 6.1 Cash Flows (Currency Units)"/>
        <w:tblDescription w:val="Table 6.1 shows the grantor's predetermined series of payments of CU200 per year in years 3–10 and the resulting cash flow impact."/>
      </w:tblPr>
      <w:tblGrid>
        <w:gridCol w:w="2722"/>
        <w:gridCol w:w="502"/>
        <w:gridCol w:w="503"/>
        <w:gridCol w:w="502"/>
        <w:gridCol w:w="503"/>
        <w:gridCol w:w="503"/>
        <w:gridCol w:w="502"/>
        <w:gridCol w:w="503"/>
        <w:gridCol w:w="502"/>
        <w:gridCol w:w="503"/>
        <w:gridCol w:w="503"/>
        <w:gridCol w:w="709"/>
      </w:tblGrid>
      <w:tr w:rsidR="008F652E" w:rsidRPr="00662611" w14:paraId="7D927436" w14:textId="77777777" w:rsidTr="00DF423F">
        <w:trPr>
          <w:trHeight w:val="291"/>
        </w:trPr>
        <w:tc>
          <w:tcPr>
            <w:tcW w:w="2722" w:type="dxa"/>
          </w:tcPr>
          <w:p w14:paraId="7D92742A" w14:textId="77777777" w:rsidR="008F652E" w:rsidRPr="00662611" w:rsidRDefault="008F652E" w:rsidP="00426F9C">
            <w:pPr>
              <w:pStyle w:val="Default"/>
              <w:spacing w:before="40" w:after="40"/>
              <w:rPr>
                <w:sz w:val="16"/>
                <w:szCs w:val="19"/>
              </w:rPr>
            </w:pPr>
            <w:r w:rsidRPr="00662611">
              <w:rPr>
                <w:b/>
                <w:bCs/>
                <w:sz w:val="16"/>
                <w:szCs w:val="19"/>
              </w:rPr>
              <w:t xml:space="preserve">Year </w:t>
            </w:r>
          </w:p>
        </w:tc>
        <w:tc>
          <w:tcPr>
            <w:tcW w:w="502" w:type="dxa"/>
          </w:tcPr>
          <w:p w14:paraId="7D92742B" w14:textId="77777777" w:rsidR="008F652E" w:rsidRPr="00662611" w:rsidRDefault="008F652E" w:rsidP="00426F9C">
            <w:pPr>
              <w:pStyle w:val="Default"/>
              <w:spacing w:before="40" w:after="40"/>
              <w:jc w:val="right"/>
              <w:rPr>
                <w:sz w:val="16"/>
                <w:szCs w:val="19"/>
              </w:rPr>
            </w:pPr>
            <w:r w:rsidRPr="00662611">
              <w:rPr>
                <w:b/>
                <w:bCs/>
                <w:sz w:val="16"/>
                <w:szCs w:val="19"/>
              </w:rPr>
              <w:t xml:space="preserve">1 </w:t>
            </w:r>
          </w:p>
        </w:tc>
        <w:tc>
          <w:tcPr>
            <w:tcW w:w="503" w:type="dxa"/>
          </w:tcPr>
          <w:p w14:paraId="7D92742C" w14:textId="77777777" w:rsidR="008F652E" w:rsidRPr="00662611" w:rsidRDefault="008F652E" w:rsidP="00426F9C">
            <w:pPr>
              <w:pStyle w:val="Default"/>
              <w:spacing w:before="40" w:after="40"/>
              <w:jc w:val="right"/>
              <w:rPr>
                <w:sz w:val="16"/>
                <w:szCs w:val="19"/>
              </w:rPr>
            </w:pPr>
            <w:r w:rsidRPr="00662611">
              <w:rPr>
                <w:b/>
                <w:bCs/>
                <w:sz w:val="16"/>
                <w:szCs w:val="19"/>
              </w:rPr>
              <w:t xml:space="preserve">2 </w:t>
            </w:r>
          </w:p>
        </w:tc>
        <w:tc>
          <w:tcPr>
            <w:tcW w:w="502" w:type="dxa"/>
          </w:tcPr>
          <w:p w14:paraId="7D92742D" w14:textId="77777777" w:rsidR="008F652E" w:rsidRPr="00662611" w:rsidRDefault="008F652E" w:rsidP="00426F9C">
            <w:pPr>
              <w:pStyle w:val="Default"/>
              <w:spacing w:before="40" w:after="40"/>
              <w:jc w:val="right"/>
              <w:rPr>
                <w:sz w:val="16"/>
                <w:szCs w:val="19"/>
              </w:rPr>
            </w:pPr>
            <w:r w:rsidRPr="00662611">
              <w:rPr>
                <w:b/>
                <w:bCs/>
                <w:sz w:val="16"/>
                <w:szCs w:val="19"/>
              </w:rPr>
              <w:t xml:space="preserve">3 </w:t>
            </w:r>
          </w:p>
        </w:tc>
        <w:tc>
          <w:tcPr>
            <w:tcW w:w="503" w:type="dxa"/>
          </w:tcPr>
          <w:p w14:paraId="7D92742E" w14:textId="77777777" w:rsidR="008F652E" w:rsidRPr="00662611" w:rsidRDefault="008F652E" w:rsidP="00426F9C">
            <w:pPr>
              <w:pStyle w:val="Default"/>
              <w:spacing w:before="40" w:after="40"/>
              <w:jc w:val="right"/>
              <w:rPr>
                <w:sz w:val="16"/>
                <w:szCs w:val="19"/>
              </w:rPr>
            </w:pPr>
            <w:r w:rsidRPr="00662611">
              <w:rPr>
                <w:b/>
                <w:bCs/>
                <w:sz w:val="16"/>
                <w:szCs w:val="19"/>
              </w:rPr>
              <w:t xml:space="preserve">4 </w:t>
            </w:r>
          </w:p>
        </w:tc>
        <w:tc>
          <w:tcPr>
            <w:tcW w:w="503" w:type="dxa"/>
          </w:tcPr>
          <w:p w14:paraId="7D92742F" w14:textId="77777777" w:rsidR="008F652E" w:rsidRPr="00662611" w:rsidRDefault="008F652E" w:rsidP="00426F9C">
            <w:pPr>
              <w:pStyle w:val="Default"/>
              <w:spacing w:before="40" w:after="40"/>
              <w:jc w:val="right"/>
              <w:rPr>
                <w:sz w:val="16"/>
                <w:szCs w:val="19"/>
              </w:rPr>
            </w:pPr>
            <w:r w:rsidRPr="00662611">
              <w:rPr>
                <w:b/>
                <w:bCs/>
                <w:sz w:val="16"/>
                <w:szCs w:val="19"/>
              </w:rPr>
              <w:t xml:space="preserve">5 </w:t>
            </w:r>
          </w:p>
        </w:tc>
        <w:tc>
          <w:tcPr>
            <w:tcW w:w="502" w:type="dxa"/>
          </w:tcPr>
          <w:p w14:paraId="7D927430" w14:textId="77777777" w:rsidR="008F652E" w:rsidRPr="00662611" w:rsidRDefault="008F652E" w:rsidP="00426F9C">
            <w:pPr>
              <w:pStyle w:val="Default"/>
              <w:spacing w:before="40" w:after="40"/>
              <w:jc w:val="right"/>
              <w:rPr>
                <w:sz w:val="16"/>
                <w:szCs w:val="19"/>
              </w:rPr>
            </w:pPr>
            <w:r w:rsidRPr="00662611">
              <w:rPr>
                <w:b/>
                <w:bCs/>
                <w:sz w:val="16"/>
                <w:szCs w:val="19"/>
              </w:rPr>
              <w:t xml:space="preserve">6 </w:t>
            </w:r>
          </w:p>
        </w:tc>
        <w:tc>
          <w:tcPr>
            <w:tcW w:w="503" w:type="dxa"/>
          </w:tcPr>
          <w:p w14:paraId="7D927431" w14:textId="77777777" w:rsidR="008F652E" w:rsidRPr="00662611" w:rsidRDefault="008F652E" w:rsidP="00426F9C">
            <w:pPr>
              <w:pStyle w:val="Default"/>
              <w:spacing w:before="40" w:after="40"/>
              <w:jc w:val="right"/>
              <w:rPr>
                <w:sz w:val="16"/>
                <w:szCs w:val="19"/>
              </w:rPr>
            </w:pPr>
            <w:r w:rsidRPr="00662611">
              <w:rPr>
                <w:b/>
                <w:bCs/>
                <w:sz w:val="16"/>
                <w:szCs w:val="19"/>
              </w:rPr>
              <w:t xml:space="preserve">7 </w:t>
            </w:r>
          </w:p>
        </w:tc>
        <w:tc>
          <w:tcPr>
            <w:tcW w:w="502" w:type="dxa"/>
          </w:tcPr>
          <w:p w14:paraId="7D927432" w14:textId="77777777" w:rsidR="008F652E" w:rsidRPr="00662611" w:rsidRDefault="008F652E" w:rsidP="00426F9C">
            <w:pPr>
              <w:pStyle w:val="Default"/>
              <w:spacing w:before="40" w:after="40"/>
              <w:jc w:val="right"/>
              <w:rPr>
                <w:sz w:val="16"/>
                <w:szCs w:val="19"/>
              </w:rPr>
            </w:pPr>
            <w:r w:rsidRPr="00662611">
              <w:rPr>
                <w:b/>
                <w:bCs/>
                <w:sz w:val="16"/>
                <w:szCs w:val="19"/>
              </w:rPr>
              <w:t xml:space="preserve">8 </w:t>
            </w:r>
          </w:p>
        </w:tc>
        <w:tc>
          <w:tcPr>
            <w:tcW w:w="503" w:type="dxa"/>
          </w:tcPr>
          <w:p w14:paraId="7D927433" w14:textId="77777777" w:rsidR="008F652E" w:rsidRPr="00662611" w:rsidRDefault="008F652E" w:rsidP="00426F9C">
            <w:pPr>
              <w:pStyle w:val="Default"/>
              <w:spacing w:before="40" w:after="40"/>
              <w:jc w:val="right"/>
              <w:rPr>
                <w:sz w:val="16"/>
                <w:szCs w:val="19"/>
              </w:rPr>
            </w:pPr>
            <w:r w:rsidRPr="00662611">
              <w:rPr>
                <w:b/>
                <w:bCs/>
                <w:sz w:val="16"/>
                <w:szCs w:val="19"/>
              </w:rPr>
              <w:t xml:space="preserve">9 </w:t>
            </w:r>
          </w:p>
        </w:tc>
        <w:tc>
          <w:tcPr>
            <w:tcW w:w="503" w:type="dxa"/>
          </w:tcPr>
          <w:p w14:paraId="7D927434" w14:textId="77777777" w:rsidR="008F652E" w:rsidRPr="00662611" w:rsidRDefault="008F652E" w:rsidP="00426F9C">
            <w:pPr>
              <w:pStyle w:val="Default"/>
              <w:spacing w:before="40" w:after="40"/>
              <w:jc w:val="right"/>
              <w:rPr>
                <w:sz w:val="16"/>
                <w:szCs w:val="19"/>
              </w:rPr>
            </w:pPr>
            <w:r w:rsidRPr="00662611">
              <w:rPr>
                <w:b/>
                <w:bCs/>
                <w:sz w:val="16"/>
                <w:szCs w:val="19"/>
              </w:rPr>
              <w:t xml:space="preserve">10 </w:t>
            </w:r>
          </w:p>
        </w:tc>
        <w:tc>
          <w:tcPr>
            <w:tcW w:w="709" w:type="dxa"/>
          </w:tcPr>
          <w:p w14:paraId="7D927435" w14:textId="77777777" w:rsidR="008F652E" w:rsidRPr="00662611" w:rsidRDefault="008F652E" w:rsidP="00426F9C">
            <w:pPr>
              <w:pStyle w:val="Default"/>
              <w:spacing w:before="40" w:after="40"/>
              <w:jc w:val="right"/>
              <w:rPr>
                <w:sz w:val="16"/>
                <w:szCs w:val="19"/>
              </w:rPr>
            </w:pPr>
            <w:r w:rsidRPr="00662611">
              <w:rPr>
                <w:b/>
                <w:bCs/>
                <w:sz w:val="16"/>
                <w:szCs w:val="19"/>
              </w:rPr>
              <w:t xml:space="preserve">Total </w:t>
            </w:r>
          </w:p>
        </w:tc>
      </w:tr>
      <w:tr w:rsidR="008F652E" w:rsidRPr="00662611" w14:paraId="7D927443" w14:textId="77777777" w:rsidTr="00DF423F">
        <w:trPr>
          <w:trHeight w:val="291"/>
        </w:trPr>
        <w:tc>
          <w:tcPr>
            <w:tcW w:w="2722" w:type="dxa"/>
          </w:tcPr>
          <w:p w14:paraId="7D927437" w14:textId="77777777" w:rsidR="008F652E" w:rsidRPr="00662611" w:rsidRDefault="008F652E" w:rsidP="00426F9C">
            <w:pPr>
              <w:pStyle w:val="Default"/>
              <w:spacing w:before="40" w:after="40"/>
              <w:rPr>
                <w:sz w:val="16"/>
                <w:szCs w:val="19"/>
              </w:rPr>
            </w:pPr>
            <w:r w:rsidRPr="00662611">
              <w:rPr>
                <w:sz w:val="16"/>
                <w:szCs w:val="19"/>
              </w:rPr>
              <w:t xml:space="preserve">Predetermined series of payments </w:t>
            </w:r>
          </w:p>
        </w:tc>
        <w:tc>
          <w:tcPr>
            <w:tcW w:w="502" w:type="dxa"/>
            <w:vAlign w:val="center"/>
          </w:tcPr>
          <w:p w14:paraId="7D927438" w14:textId="77777777" w:rsidR="008F652E" w:rsidRPr="00662611" w:rsidRDefault="008F652E" w:rsidP="00426F9C">
            <w:pPr>
              <w:pStyle w:val="Default"/>
              <w:spacing w:before="40" w:after="40"/>
              <w:jc w:val="right"/>
              <w:rPr>
                <w:sz w:val="16"/>
                <w:szCs w:val="19"/>
              </w:rPr>
            </w:pPr>
            <w:r w:rsidRPr="00662611">
              <w:rPr>
                <w:sz w:val="16"/>
                <w:szCs w:val="19"/>
              </w:rPr>
              <w:t xml:space="preserve">– </w:t>
            </w:r>
          </w:p>
        </w:tc>
        <w:tc>
          <w:tcPr>
            <w:tcW w:w="503" w:type="dxa"/>
            <w:vAlign w:val="center"/>
          </w:tcPr>
          <w:p w14:paraId="7D927439" w14:textId="77777777" w:rsidR="008F652E" w:rsidRPr="00662611" w:rsidRDefault="008F652E" w:rsidP="00426F9C">
            <w:pPr>
              <w:pStyle w:val="Default"/>
              <w:spacing w:before="40" w:after="40"/>
              <w:jc w:val="right"/>
              <w:rPr>
                <w:sz w:val="16"/>
                <w:szCs w:val="19"/>
              </w:rPr>
            </w:pPr>
            <w:r w:rsidRPr="00662611">
              <w:rPr>
                <w:sz w:val="16"/>
                <w:szCs w:val="19"/>
              </w:rPr>
              <w:t xml:space="preserve">– </w:t>
            </w:r>
          </w:p>
        </w:tc>
        <w:tc>
          <w:tcPr>
            <w:tcW w:w="502" w:type="dxa"/>
            <w:vAlign w:val="center"/>
          </w:tcPr>
          <w:p w14:paraId="7D92743A" w14:textId="77777777" w:rsidR="008F652E" w:rsidRPr="00662611" w:rsidRDefault="008F652E" w:rsidP="00426F9C">
            <w:pPr>
              <w:pStyle w:val="Default"/>
              <w:spacing w:before="40" w:after="40"/>
              <w:jc w:val="right"/>
              <w:rPr>
                <w:sz w:val="16"/>
                <w:szCs w:val="19"/>
              </w:rPr>
            </w:pPr>
            <w:r w:rsidRPr="00662611">
              <w:rPr>
                <w:sz w:val="16"/>
                <w:szCs w:val="19"/>
              </w:rPr>
              <w:t>(200)</w:t>
            </w:r>
          </w:p>
        </w:tc>
        <w:tc>
          <w:tcPr>
            <w:tcW w:w="503" w:type="dxa"/>
            <w:vAlign w:val="center"/>
          </w:tcPr>
          <w:p w14:paraId="7D92743B"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3" w:type="dxa"/>
            <w:vAlign w:val="center"/>
          </w:tcPr>
          <w:p w14:paraId="7D92743C"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2" w:type="dxa"/>
            <w:vAlign w:val="center"/>
          </w:tcPr>
          <w:p w14:paraId="7D92743D"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3" w:type="dxa"/>
            <w:vAlign w:val="center"/>
          </w:tcPr>
          <w:p w14:paraId="7D92743E"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2" w:type="dxa"/>
            <w:vAlign w:val="center"/>
          </w:tcPr>
          <w:p w14:paraId="7D92743F"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3" w:type="dxa"/>
            <w:vAlign w:val="center"/>
          </w:tcPr>
          <w:p w14:paraId="7D927440"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3" w:type="dxa"/>
            <w:vAlign w:val="center"/>
          </w:tcPr>
          <w:p w14:paraId="7D927441"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709" w:type="dxa"/>
            <w:vAlign w:val="center"/>
          </w:tcPr>
          <w:p w14:paraId="7D927442" w14:textId="77777777" w:rsidR="008F652E" w:rsidRPr="00662611" w:rsidRDefault="008F652E" w:rsidP="00426F9C">
            <w:pPr>
              <w:pStyle w:val="Default"/>
              <w:spacing w:before="40" w:after="40"/>
              <w:jc w:val="right"/>
              <w:rPr>
                <w:sz w:val="16"/>
                <w:szCs w:val="19"/>
              </w:rPr>
            </w:pPr>
            <w:r w:rsidRPr="00662611">
              <w:rPr>
                <w:sz w:val="16"/>
                <w:szCs w:val="19"/>
              </w:rPr>
              <w:t xml:space="preserve">(1,600) </w:t>
            </w:r>
          </w:p>
        </w:tc>
      </w:tr>
      <w:tr w:rsidR="008F652E" w:rsidRPr="00662611" w14:paraId="7D927450" w14:textId="77777777" w:rsidTr="00DF423F">
        <w:trPr>
          <w:trHeight w:val="291"/>
        </w:trPr>
        <w:tc>
          <w:tcPr>
            <w:tcW w:w="2722" w:type="dxa"/>
          </w:tcPr>
          <w:p w14:paraId="7D927444" w14:textId="77777777" w:rsidR="008F652E" w:rsidRPr="00662611" w:rsidRDefault="008F652E" w:rsidP="00A240E1">
            <w:pPr>
              <w:pStyle w:val="Default"/>
              <w:spacing w:before="40" w:after="40"/>
              <w:rPr>
                <w:sz w:val="16"/>
                <w:szCs w:val="19"/>
              </w:rPr>
            </w:pPr>
            <w:r w:rsidRPr="00662611">
              <w:rPr>
                <w:sz w:val="16"/>
                <w:szCs w:val="19"/>
              </w:rPr>
              <w:t xml:space="preserve">Net inflow/(outflow) </w:t>
            </w:r>
          </w:p>
        </w:tc>
        <w:tc>
          <w:tcPr>
            <w:tcW w:w="502" w:type="dxa"/>
            <w:vAlign w:val="center"/>
          </w:tcPr>
          <w:p w14:paraId="7D927445" w14:textId="77777777" w:rsidR="008F652E" w:rsidRPr="00662611" w:rsidRDefault="008F652E" w:rsidP="00426F9C">
            <w:pPr>
              <w:pStyle w:val="Default"/>
              <w:spacing w:before="40" w:after="40"/>
              <w:jc w:val="right"/>
              <w:rPr>
                <w:sz w:val="16"/>
                <w:szCs w:val="19"/>
              </w:rPr>
            </w:pPr>
            <w:r w:rsidRPr="00662611">
              <w:rPr>
                <w:sz w:val="16"/>
                <w:szCs w:val="19"/>
              </w:rPr>
              <w:t xml:space="preserve">– </w:t>
            </w:r>
          </w:p>
        </w:tc>
        <w:tc>
          <w:tcPr>
            <w:tcW w:w="503" w:type="dxa"/>
            <w:vAlign w:val="center"/>
          </w:tcPr>
          <w:p w14:paraId="7D927446" w14:textId="77777777" w:rsidR="008F652E" w:rsidRPr="00662611" w:rsidRDefault="008F652E" w:rsidP="00426F9C">
            <w:pPr>
              <w:pStyle w:val="Default"/>
              <w:spacing w:before="40" w:after="40"/>
              <w:jc w:val="right"/>
              <w:rPr>
                <w:sz w:val="16"/>
                <w:szCs w:val="19"/>
              </w:rPr>
            </w:pPr>
            <w:r w:rsidRPr="00662611">
              <w:rPr>
                <w:sz w:val="16"/>
                <w:szCs w:val="19"/>
              </w:rPr>
              <w:t xml:space="preserve">– </w:t>
            </w:r>
          </w:p>
        </w:tc>
        <w:tc>
          <w:tcPr>
            <w:tcW w:w="502" w:type="dxa"/>
            <w:vAlign w:val="center"/>
          </w:tcPr>
          <w:p w14:paraId="7D927447" w14:textId="77777777" w:rsidR="008F652E" w:rsidRPr="00662611" w:rsidRDefault="008F652E" w:rsidP="00426F9C">
            <w:pPr>
              <w:pStyle w:val="Default"/>
              <w:spacing w:before="40" w:after="40"/>
              <w:jc w:val="right"/>
              <w:rPr>
                <w:sz w:val="16"/>
                <w:szCs w:val="19"/>
              </w:rPr>
            </w:pPr>
            <w:r w:rsidRPr="00662611">
              <w:rPr>
                <w:sz w:val="16"/>
                <w:szCs w:val="19"/>
              </w:rPr>
              <w:t>(200)</w:t>
            </w:r>
          </w:p>
        </w:tc>
        <w:tc>
          <w:tcPr>
            <w:tcW w:w="503" w:type="dxa"/>
            <w:vAlign w:val="center"/>
          </w:tcPr>
          <w:p w14:paraId="7D927448"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3" w:type="dxa"/>
            <w:vAlign w:val="center"/>
          </w:tcPr>
          <w:p w14:paraId="7D927449"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2" w:type="dxa"/>
            <w:vAlign w:val="center"/>
          </w:tcPr>
          <w:p w14:paraId="7D92744A"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3" w:type="dxa"/>
            <w:vAlign w:val="center"/>
          </w:tcPr>
          <w:p w14:paraId="7D92744B"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2" w:type="dxa"/>
            <w:vAlign w:val="center"/>
          </w:tcPr>
          <w:p w14:paraId="7D92744C"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3" w:type="dxa"/>
            <w:vAlign w:val="center"/>
          </w:tcPr>
          <w:p w14:paraId="7D92744D"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503" w:type="dxa"/>
            <w:vAlign w:val="center"/>
          </w:tcPr>
          <w:p w14:paraId="7D92744E" w14:textId="77777777" w:rsidR="008F652E" w:rsidRPr="00662611" w:rsidRDefault="008F652E" w:rsidP="00426F9C">
            <w:pPr>
              <w:pStyle w:val="Default"/>
              <w:spacing w:before="40" w:after="40"/>
              <w:jc w:val="right"/>
              <w:rPr>
                <w:sz w:val="16"/>
                <w:szCs w:val="19"/>
              </w:rPr>
            </w:pPr>
            <w:r w:rsidRPr="00662611">
              <w:rPr>
                <w:sz w:val="16"/>
                <w:szCs w:val="19"/>
              </w:rPr>
              <w:t xml:space="preserve">(200) </w:t>
            </w:r>
          </w:p>
        </w:tc>
        <w:tc>
          <w:tcPr>
            <w:tcW w:w="709" w:type="dxa"/>
            <w:vAlign w:val="center"/>
          </w:tcPr>
          <w:p w14:paraId="7D92744F" w14:textId="77777777" w:rsidR="008F652E" w:rsidRPr="00662611" w:rsidRDefault="008F652E" w:rsidP="00426F9C">
            <w:pPr>
              <w:pStyle w:val="Default"/>
              <w:spacing w:before="40" w:after="40"/>
              <w:jc w:val="right"/>
              <w:rPr>
                <w:sz w:val="16"/>
                <w:szCs w:val="19"/>
              </w:rPr>
            </w:pPr>
            <w:r w:rsidRPr="00662611">
              <w:rPr>
                <w:sz w:val="16"/>
                <w:szCs w:val="19"/>
              </w:rPr>
              <w:t xml:space="preserve">(1,600) </w:t>
            </w:r>
          </w:p>
        </w:tc>
      </w:tr>
    </w:tbl>
    <w:p w14:paraId="7D927451" w14:textId="77777777" w:rsidR="005E49F3" w:rsidRPr="00662611" w:rsidRDefault="005E49F3" w:rsidP="006B679F">
      <w:pPr>
        <w:pStyle w:val="IE1"/>
        <w:numPr>
          <w:ilvl w:val="0"/>
          <w:numId w:val="0"/>
        </w:numPr>
        <w:spacing w:before="100" w:after="120" w:line="240" w:lineRule="auto"/>
        <w:ind w:left="782"/>
        <w:jc w:val="both"/>
        <w:rPr>
          <w:sz w:val="19"/>
          <w:szCs w:val="19"/>
        </w:rPr>
      </w:pPr>
    </w:p>
    <w:p w14:paraId="7D927452" w14:textId="0121209F" w:rsidR="008F652E" w:rsidRPr="00662611" w:rsidRDefault="008F652E" w:rsidP="00FB21C0">
      <w:pPr>
        <w:pStyle w:val="NumBC1"/>
        <w:numPr>
          <w:ilvl w:val="0"/>
          <w:numId w:val="0"/>
        </w:numPr>
        <w:ind w:left="782"/>
        <w:outlineLvl w:val="3"/>
        <w:rPr>
          <w:b/>
          <w:bCs/>
          <w:sz w:val="19"/>
          <w:szCs w:val="19"/>
        </w:rPr>
      </w:pPr>
      <w:r w:rsidRPr="00662611">
        <w:rPr>
          <w:b/>
          <w:bCs/>
          <w:sz w:val="19"/>
          <w:szCs w:val="19"/>
        </w:rPr>
        <w:t xml:space="preserve">Table </w:t>
      </w:r>
      <w:proofErr w:type="gramStart"/>
      <w:r w:rsidR="00767770" w:rsidRPr="00662611">
        <w:rPr>
          <w:b/>
          <w:bCs/>
          <w:sz w:val="19"/>
          <w:szCs w:val="19"/>
        </w:rPr>
        <w:t>6</w:t>
      </w:r>
      <w:r w:rsidRPr="00662611">
        <w:rPr>
          <w:b/>
          <w:bCs/>
          <w:sz w:val="19"/>
          <w:szCs w:val="19"/>
        </w:rPr>
        <w:t xml:space="preserve">.2 </w:t>
      </w:r>
      <w:r w:rsidR="00DC7EF3" w:rsidRPr="00662611">
        <w:rPr>
          <w:b/>
          <w:bCs/>
          <w:sz w:val="19"/>
          <w:szCs w:val="19"/>
        </w:rPr>
        <w:t xml:space="preserve"> </w:t>
      </w:r>
      <w:r w:rsidRPr="00662611">
        <w:rPr>
          <w:b/>
          <w:bCs/>
          <w:sz w:val="19"/>
          <w:szCs w:val="19"/>
        </w:rPr>
        <w:t>Statement</w:t>
      </w:r>
      <w:proofErr w:type="gramEnd"/>
      <w:r w:rsidRPr="00662611">
        <w:rPr>
          <w:b/>
          <w:bCs/>
          <w:sz w:val="19"/>
          <w:szCs w:val="19"/>
        </w:rPr>
        <w:t xml:space="preserve"> of </w:t>
      </w:r>
      <w:r w:rsidR="00DE6BF2" w:rsidRPr="00662611">
        <w:rPr>
          <w:b/>
          <w:sz w:val="19"/>
          <w:szCs w:val="19"/>
        </w:rPr>
        <w:t>profit and loss and other comprehensive inco</w:t>
      </w:r>
      <w:r w:rsidRPr="00662611">
        <w:rPr>
          <w:b/>
          <w:sz w:val="19"/>
          <w:szCs w:val="19"/>
        </w:rPr>
        <w:t xml:space="preserve">me </w:t>
      </w:r>
      <w:r w:rsidR="00DE6BF2" w:rsidRPr="00662611">
        <w:rPr>
          <w:b/>
          <w:bCs/>
          <w:sz w:val="19"/>
          <w:szCs w:val="19"/>
        </w:rPr>
        <w:t>(currency u</w:t>
      </w:r>
      <w:r w:rsidRPr="00662611">
        <w:rPr>
          <w:b/>
          <w:bCs/>
          <w:sz w:val="19"/>
          <w:szCs w:val="19"/>
        </w:rPr>
        <w:t>nits)</w:t>
      </w:r>
    </w:p>
    <w:tbl>
      <w:tblPr>
        <w:tblW w:w="8486" w:type="dxa"/>
        <w:tblInd w:w="785" w:type="dxa"/>
        <w:tblBorders>
          <w:top w:val="nil"/>
          <w:left w:val="nil"/>
          <w:bottom w:val="nil"/>
          <w:right w:val="nil"/>
        </w:tblBorders>
        <w:tblLayout w:type="fixed"/>
        <w:tblCellMar>
          <w:left w:w="57" w:type="dxa"/>
          <w:right w:w="57" w:type="dxa"/>
        </w:tblCellMar>
        <w:tblLook w:val="0000" w:firstRow="0" w:lastRow="0" w:firstColumn="0" w:lastColumn="0" w:noHBand="0" w:noVBand="0"/>
        <w:tblCaption w:val="Table 6.2 Statement of Profit and Loss and Other Comprehensive Income (Currency Units)"/>
        <w:tblDescription w:val="Table 6.2 shows the changes in the grantor's statement of profit and loss and other comprehensive income in years 1–10. The annual surplus or deficit is determined by aggregating service expense, finance charge, depreciation charge for base layers, depreciation charge for original surface layer, and depreciation charge for replacement surface layer."/>
      </w:tblPr>
      <w:tblGrid>
        <w:gridCol w:w="2816"/>
        <w:gridCol w:w="510"/>
        <w:gridCol w:w="510"/>
        <w:gridCol w:w="510"/>
        <w:gridCol w:w="510"/>
        <w:gridCol w:w="510"/>
        <w:gridCol w:w="510"/>
        <w:gridCol w:w="510"/>
        <w:gridCol w:w="510"/>
        <w:gridCol w:w="510"/>
        <w:gridCol w:w="510"/>
        <w:gridCol w:w="570"/>
      </w:tblGrid>
      <w:tr w:rsidR="00DF423F" w:rsidRPr="00662611" w14:paraId="7D92745F" w14:textId="77777777" w:rsidTr="00DF423F">
        <w:trPr>
          <w:trHeight w:val="107"/>
        </w:trPr>
        <w:tc>
          <w:tcPr>
            <w:tcW w:w="2816" w:type="dxa"/>
            <w:tcBorders>
              <w:top w:val="single" w:sz="4" w:space="0" w:color="auto"/>
              <w:left w:val="single" w:sz="4" w:space="0" w:color="auto"/>
              <w:bottom w:val="single" w:sz="4" w:space="0" w:color="auto"/>
              <w:right w:val="single" w:sz="4" w:space="0" w:color="auto"/>
            </w:tcBorders>
          </w:tcPr>
          <w:p w14:paraId="7D927453" w14:textId="77777777" w:rsidR="008F652E" w:rsidRPr="00662611" w:rsidRDefault="008F652E" w:rsidP="00426F9C">
            <w:pPr>
              <w:pStyle w:val="Default"/>
              <w:spacing w:before="40" w:after="40"/>
              <w:jc w:val="both"/>
              <w:rPr>
                <w:sz w:val="16"/>
                <w:szCs w:val="16"/>
              </w:rPr>
            </w:pPr>
            <w:r w:rsidRPr="00662611">
              <w:rPr>
                <w:b/>
                <w:bCs/>
                <w:sz w:val="16"/>
                <w:szCs w:val="16"/>
              </w:rPr>
              <w:t xml:space="preserve">Year </w:t>
            </w:r>
          </w:p>
        </w:tc>
        <w:tc>
          <w:tcPr>
            <w:tcW w:w="510" w:type="dxa"/>
            <w:tcBorders>
              <w:top w:val="single" w:sz="4" w:space="0" w:color="auto"/>
              <w:left w:val="single" w:sz="4" w:space="0" w:color="auto"/>
              <w:bottom w:val="single" w:sz="4" w:space="0" w:color="auto"/>
              <w:right w:val="single" w:sz="4" w:space="0" w:color="auto"/>
            </w:tcBorders>
          </w:tcPr>
          <w:p w14:paraId="7D927454" w14:textId="77777777" w:rsidR="008F652E" w:rsidRPr="00662611" w:rsidRDefault="008F652E" w:rsidP="00426F9C">
            <w:pPr>
              <w:pStyle w:val="Default"/>
              <w:spacing w:before="40" w:after="40"/>
              <w:jc w:val="right"/>
              <w:rPr>
                <w:sz w:val="16"/>
                <w:szCs w:val="16"/>
              </w:rPr>
            </w:pPr>
            <w:r w:rsidRPr="00662611">
              <w:rPr>
                <w:b/>
                <w:bCs/>
                <w:sz w:val="16"/>
                <w:szCs w:val="16"/>
              </w:rPr>
              <w:t xml:space="preserve">1 </w:t>
            </w:r>
          </w:p>
        </w:tc>
        <w:tc>
          <w:tcPr>
            <w:tcW w:w="510" w:type="dxa"/>
            <w:tcBorders>
              <w:top w:val="single" w:sz="4" w:space="0" w:color="auto"/>
              <w:left w:val="single" w:sz="4" w:space="0" w:color="auto"/>
              <w:bottom w:val="single" w:sz="4" w:space="0" w:color="auto"/>
              <w:right w:val="single" w:sz="4" w:space="0" w:color="auto"/>
            </w:tcBorders>
          </w:tcPr>
          <w:p w14:paraId="7D927455" w14:textId="77777777" w:rsidR="008F652E" w:rsidRPr="00662611" w:rsidRDefault="008F652E" w:rsidP="00426F9C">
            <w:pPr>
              <w:pStyle w:val="Default"/>
              <w:spacing w:before="40" w:after="40"/>
              <w:jc w:val="right"/>
              <w:rPr>
                <w:sz w:val="16"/>
                <w:szCs w:val="16"/>
              </w:rPr>
            </w:pPr>
            <w:r w:rsidRPr="00662611">
              <w:rPr>
                <w:b/>
                <w:bCs/>
                <w:sz w:val="16"/>
                <w:szCs w:val="16"/>
              </w:rPr>
              <w:t xml:space="preserve">2 </w:t>
            </w:r>
          </w:p>
        </w:tc>
        <w:tc>
          <w:tcPr>
            <w:tcW w:w="510" w:type="dxa"/>
            <w:tcBorders>
              <w:top w:val="single" w:sz="4" w:space="0" w:color="auto"/>
              <w:left w:val="single" w:sz="4" w:space="0" w:color="auto"/>
              <w:bottom w:val="single" w:sz="4" w:space="0" w:color="auto"/>
              <w:right w:val="single" w:sz="4" w:space="0" w:color="auto"/>
            </w:tcBorders>
          </w:tcPr>
          <w:p w14:paraId="7D927456" w14:textId="77777777" w:rsidR="008F652E" w:rsidRPr="00662611" w:rsidRDefault="008F652E" w:rsidP="00426F9C">
            <w:pPr>
              <w:pStyle w:val="Default"/>
              <w:spacing w:before="40" w:after="40"/>
              <w:jc w:val="right"/>
              <w:rPr>
                <w:sz w:val="16"/>
                <w:szCs w:val="16"/>
              </w:rPr>
            </w:pPr>
            <w:r w:rsidRPr="00662611">
              <w:rPr>
                <w:b/>
                <w:bCs/>
                <w:sz w:val="16"/>
                <w:szCs w:val="16"/>
              </w:rPr>
              <w:t xml:space="preserve">3 </w:t>
            </w:r>
          </w:p>
        </w:tc>
        <w:tc>
          <w:tcPr>
            <w:tcW w:w="510" w:type="dxa"/>
            <w:tcBorders>
              <w:top w:val="single" w:sz="4" w:space="0" w:color="auto"/>
              <w:left w:val="single" w:sz="4" w:space="0" w:color="auto"/>
              <w:bottom w:val="single" w:sz="4" w:space="0" w:color="auto"/>
              <w:right w:val="single" w:sz="4" w:space="0" w:color="auto"/>
            </w:tcBorders>
          </w:tcPr>
          <w:p w14:paraId="7D927457" w14:textId="77777777" w:rsidR="008F652E" w:rsidRPr="00662611" w:rsidRDefault="008F652E" w:rsidP="00426F9C">
            <w:pPr>
              <w:pStyle w:val="Default"/>
              <w:spacing w:before="40" w:after="40"/>
              <w:jc w:val="right"/>
              <w:rPr>
                <w:sz w:val="16"/>
                <w:szCs w:val="16"/>
              </w:rPr>
            </w:pPr>
            <w:r w:rsidRPr="00662611">
              <w:rPr>
                <w:b/>
                <w:bCs/>
                <w:sz w:val="16"/>
                <w:szCs w:val="16"/>
              </w:rPr>
              <w:t xml:space="preserve">4 </w:t>
            </w:r>
          </w:p>
        </w:tc>
        <w:tc>
          <w:tcPr>
            <w:tcW w:w="510" w:type="dxa"/>
            <w:tcBorders>
              <w:top w:val="single" w:sz="4" w:space="0" w:color="auto"/>
              <w:left w:val="single" w:sz="4" w:space="0" w:color="auto"/>
              <w:bottom w:val="single" w:sz="4" w:space="0" w:color="auto"/>
              <w:right w:val="single" w:sz="4" w:space="0" w:color="auto"/>
            </w:tcBorders>
          </w:tcPr>
          <w:p w14:paraId="7D927458" w14:textId="77777777" w:rsidR="008F652E" w:rsidRPr="00662611" w:rsidRDefault="008F652E" w:rsidP="00426F9C">
            <w:pPr>
              <w:pStyle w:val="Default"/>
              <w:spacing w:before="40" w:after="40"/>
              <w:jc w:val="right"/>
              <w:rPr>
                <w:sz w:val="16"/>
                <w:szCs w:val="16"/>
              </w:rPr>
            </w:pPr>
            <w:r w:rsidRPr="00662611">
              <w:rPr>
                <w:b/>
                <w:bCs/>
                <w:sz w:val="16"/>
                <w:szCs w:val="16"/>
              </w:rPr>
              <w:t xml:space="preserve">5 </w:t>
            </w:r>
          </w:p>
        </w:tc>
        <w:tc>
          <w:tcPr>
            <w:tcW w:w="510" w:type="dxa"/>
            <w:tcBorders>
              <w:top w:val="single" w:sz="4" w:space="0" w:color="auto"/>
              <w:left w:val="single" w:sz="4" w:space="0" w:color="auto"/>
              <w:bottom w:val="single" w:sz="4" w:space="0" w:color="auto"/>
              <w:right w:val="single" w:sz="4" w:space="0" w:color="auto"/>
            </w:tcBorders>
          </w:tcPr>
          <w:p w14:paraId="7D927459" w14:textId="77777777" w:rsidR="008F652E" w:rsidRPr="00662611" w:rsidRDefault="008F652E" w:rsidP="00426F9C">
            <w:pPr>
              <w:pStyle w:val="Default"/>
              <w:spacing w:before="40" w:after="40"/>
              <w:jc w:val="right"/>
              <w:rPr>
                <w:sz w:val="16"/>
                <w:szCs w:val="16"/>
              </w:rPr>
            </w:pPr>
            <w:r w:rsidRPr="00662611">
              <w:rPr>
                <w:b/>
                <w:bCs/>
                <w:sz w:val="16"/>
                <w:szCs w:val="16"/>
              </w:rPr>
              <w:t xml:space="preserve">6 </w:t>
            </w:r>
          </w:p>
        </w:tc>
        <w:tc>
          <w:tcPr>
            <w:tcW w:w="510" w:type="dxa"/>
            <w:tcBorders>
              <w:top w:val="single" w:sz="4" w:space="0" w:color="auto"/>
              <w:left w:val="single" w:sz="4" w:space="0" w:color="auto"/>
              <w:bottom w:val="single" w:sz="4" w:space="0" w:color="auto"/>
              <w:right w:val="single" w:sz="4" w:space="0" w:color="auto"/>
            </w:tcBorders>
          </w:tcPr>
          <w:p w14:paraId="7D92745A" w14:textId="77777777" w:rsidR="008F652E" w:rsidRPr="00662611" w:rsidRDefault="008F652E" w:rsidP="00426F9C">
            <w:pPr>
              <w:pStyle w:val="Default"/>
              <w:spacing w:before="40" w:after="40"/>
              <w:jc w:val="right"/>
              <w:rPr>
                <w:sz w:val="16"/>
                <w:szCs w:val="16"/>
              </w:rPr>
            </w:pPr>
            <w:r w:rsidRPr="00662611">
              <w:rPr>
                <w:b/>
                <w:bCs/>
                <w:sz w:val="16"/>
                <w:szCs w:val="16"/>
              </w:rPr>
              <w:t xml:space="preserve">7 </w:t>
            </w:r>
          </w:p>
        </w:tc>
        <w:tc>
          <w:tcPr>
            <w:tcW w:w="510" w:type="dxa"/>
            <w:tcBorders>
              <w:top w:val="single" w:sz="4" w:space="0" w:color="auto"/>
              <w:left w:val="single" w:sz="4" w:space="0" w:color="auto"/>
              <w:bottom w:val="single" w:sz="4" w:space="0" w:color="auto"/>
              <w:right w:val="single" w:sz="4" w:space="0" w:color="auto"/>
            </w:tcBorders>
          </w:tcPr>
          <w:p w14:paraId="7D92745B" w14:textId="77777777" w:rsidR="008F652E" w:rsidRPr="00662611" w:rsidRDefault="008F652E" w:rsidP="00426F9C">
            <w:pPr>
              <w:pStyle w:val="Default"/>
              <w:spacing w:before="40" w:after="40"/>
              <w:jc w:val="right"/>
              <w:rPr>
                <w:sz w:val="16"/>
                <w:szCs w:val="16"/>
              </w:rPr>
            </w:pPr>
            <w:r w:rsidRPr="00662611">
              <w:rPr>
                <w:b/>
                <w:bCs/>
                <w:sz w:val="16"/>
                <w:szCs w:val="16"/>
              </w:rPr>
              <w:t xml:space="preserve">8 </w:t>
            </w:r>
          </w:p>
        </w:tc>
        <w:tc>
          <w:tcPr>
            <w:tcW w:w="510" w:type="dxa"/>
            <w:tcBorders>
              <w:top w:val="single" w:sz="4" w:space="0" w:color="auto"/>
              <w:left w:val="single" w:sz="4" w:space="0" w:color="auto"/>
              <w:bottom w:val="single" w:sz="4" w:space="0" w:color="auto"/>
              <w:right w:val="single" w:sz="4" w:space="0" w:color="auto"/>
            </w:tcBorders>
          </w:tcPr>
          <w:p w14:paraId="7D92745C" w14:textId="77777777" w:rsidR="008F652E" w:rsidRPr="00662611" w:rsidRDefault="008F652E" w:rsidP="00426F9C">
            <w:pPr>
              <w:pStyle w:val="Default"/>
              <w:spacing w:before="40" w:after="40"/>
              <w:jc w:val="right"/>
              <w:rPr>
                <w:sz w:val="16"/>
                <w:szCs w:val="16"/>
              </w:rPr>
            </w:pPr>
            <w:r w:rsidRPr="00662611">
              <w:rPr>
                <w:b/>
                <w:bCs/>
                <w:sz w:val="16"/>
                <w:szCs w:val="16"/>
              </w:rPr>
              <w:t xml:space="preserve">9 </w:t>
            </w:r>
          </w:p>
        </w:tc>
        <w:tc>
          <w:tcPr>
            <w:tcW w:w="510" w:type="dxa"/>
            <w:tcBorders>
              <w:top w:val="single" w:sz="4" w:space="0" w:color="auto"/>
              <w:left w:val="single" w:sz="4" w:space="0" w:color="auto"/>
              <w:bottom w:val="single" w:sz="4" w:space="0" w:color="auto"/>
              <w:right w:val="single" w:sz="4" w:space="0" w:color="auto"/>
            </w:tcBorders>
          </w:tcPr>
          <w:p w14:paraId="7D92745D" w14:textId="77777777" w:rsidR="008F652E" w:rsidRPr="00662611" w:rsidRDefault="008F652E" w:rsidP="00426F9C">
            <w:pPr>
              <w:pStyle w:val="Default"/>
              <w:spacing w:before="40" w:after="40"/>
              <w:jc w:val="right"/>
              <w:rPr>
                <w:sz w:val="16"/>
                <w:szCs w:val="16"/>
              </w:rPr>
            </w:pPr>
            <w:r w:rsidRPr="00662611">
              <w:rPr>
                <w:b/>
                <w:bCs/>
                <w:sz w:val="16"/>
                <w:szCs w:val="16"/>
              </w:rPr>
              <w:t xml:space="preserve">10 </w:t>
            </w:r>
          </w:p>
        </w:tc>
        <w:tc>
          <w:tcPr>
            <w:tcW w:w="570" w:type="dxa"/>
            <w:tcBorders>
              <w:top w:val="single" w:sz="4" w:space="0" w:color="auto"/>
              <w:left w:val="single" w:sz="4" w:space="0" w:color="auto"/>
              <w:bottom w:val="single" w:sz="4" w:space="0" w:color="auto"/>
              <w:right w:val="single" w:sz="4" w:space="0" w:color="auto"/>
            </w:tcBorders>
          </w:tcPr>
          <w:p w14:paraId="7D92745E" w14:textId="77777777" w:rsidR="008F652E" w:rsidRPr="00662611" w:rsidRDefault="008F652E" w:rsidP="00426F9C">
            <w:pPr>
              <w:pStyle w:val="Default"/>
              <w:spacing w:before="40" w:after="40"/>
              <w:jc w:val="right"/>
              <w:rPr>
                <w:sz w:val="16"/>
                <w:szCs w:val="16"/>
              </w:rPr>
            </w:pPr>
            <w:r w:rsidRPr="00662611">
              <w:rPr>
                <w:b/>
                <w:bCs/>
                <w:sz w:val="16"/>
                <w:szCs w:val="16"/>
              </w:rPr>
              <w:t xml:space="preserve">Total </w:t>
            </w:r>
          </w:p>
        </w:tc>
      </w:tr>
      <w:tr w:rsidR="00DF423F" w:rsidRPr="00662611" w14:paraId="7D92746C" w14:textId="77777777" w:rsidTr="00DF423F">
        <w:trPr>
          <w:trHeight w:val="224"/>
        </w:trPr>
        <w:tc>
          <w:tcPr>
            <w:tcW w:w="2816" w:type="dxa"/>
            <w:tcBorders>
              <w:top w:val="single" w:sz="4" w:space="0" w:color="auto"/>
              <w:left w:val="single" w:sz="4" w:space="0" w:color="auto"/>
              <w:bottom w:val="single" w:sz="4" w:space="0" w:color="auto"/>
              <w:right w:val="single" w:sz="4" w:space="0" w:color="auto"/>
            </w:tcBorders>
          </w:tcPr>
          <w:p w14:paraId="7D927460" w14:textId="77777777" w:rsidR="008F652E" w:rsidRPr="00662611" w:rsidRDefault="008F652E" w:rsidP="00426F9C">
            <w:pPr>
              <w:pStyle w:val="Default"/>
              <w:spacing w:before="40" w:after="40"/>
              <w:rPr>
                <w:sz w:val="16"/>
                <w:szCs w:val="16"/>
              </w:rPr>
            </w:pPr>
            <w:r w:rsidRPr="00662611">
              <w:rPr>
                <w:sz w:val="16"/>
                <w:szCs w:val="16"/>
              </w:rPr>
              <w:t xml:space="preserve">Service expense </w:t>
            </w:r>
          </w:p>
        </w:tc>
        <w:tc>
          <w:tcPr>
            <w:tcW w:w="510" w:type="dxa"/>
            <w:tcBorders>
              <w:top w:val="single" w:sz="4" w:space="0" w:color="auto"/>
              <w:left w:val="single" w:sz="4" w:space="0" w:color="auto"/>
              <w:bottom w:val="single" w:sz="4" w:space="0" w:color="auto"/>
              <w:right w:val="single" w:sz="4" w:space="0" w:color="auto"/>
            </w:tcBorders>
            <w:vAlign w:val="center"/>
          </w:tcPr>
          <w:p w14:paraId="7D927461"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62"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63" w14:textId="77777777" w:rsidR="008F652E" w:rsidRPr="00662611" w:rsidRDefault="008F652E" w:rsidP="00426F9C">
            <w:pPr>
              <w:pStyle w:val="Default"/>
              <w:spacing w:before="40" w:after="40"/>
              <w:jc w:val="right"/>
              <w:rPr>
                <w:sz w:val="16"/>
                <w:szCs w:val="16"/>
              </w:rPr>
            </w:pPr>
            <w:r w:rsidRPr="00662611">
              <w:rPr>
                <w:sz w:val="16"/>
                <w:szCs w:val="16"/>
              </w:rPr>
              <w:t xml:space="preserve">(12) </w:t>
            </w:r>
          </w:p>
        </w:tc>
        <w:tc>
          <w:tcPr>
            <w:tcW w:w="510" w:type="dxa"/>
            <w:tcBorders>
              <w:top w:val="single" w:sz="4" w:space="0" w:color="auto"/>
              <w:left w:val="single" w:sz="4" w:space="0" w:color="auto"/>
              <w:bottom w:val="single" w:sz="4" w:space="0" w:color="auto"/>
              <w:right w:val="single" w:sz="4" w:space="0" w:color="auto"/>
            </w:tcBorders>
            <w:vAlign w:val="center"/>
          </w:tcPr>
          <w:p w14:paraId="7D927464" w14:textId="77777777" w:rsidR="008F652E" w:rsidRPr="00662611" w:rsidRDefault="008F652E" w:rsidP="00426F9C">
            <w:pPr>
              <w:pStyle w:val="Default"/>
              <w:spacing w:before="40" w:after="40"/>
              <w:jc w:val="right"/>
              <w:rPr>
                <w:sz w:val="16"/>
                <w:szCs w:val="16"/>
              </w:rPr>
            </w:pPr>
            <w:r w:rsidRPr="00662611">
              <w:rPr>
                <w:sz w:val="16"/>
                <w:szCs w:val="16"/>
              </w:rPr>
              <w:t xml:space="preserve">(12) </w:t>
            </w:r>
          </w:p>
        </w:tc>
        <w:tc>
          <w:tcPr>
            <w:tcW w:w="510" w:type="dxa"/>
            <w:tcBorders>
              <w:top w:val="single" w:sz="4" w:space="0" w:color="auto"/>
              <w:left w:val="single" w:sz="4" w:space="0" w:color="auto"/>
              <w:bottom w:val="single" w:sz="4" w:space="0" w:color="auto"/>
              <w:right w:val="single" w:sz="4" w:space="0" w:color="auto"/>
            </w:tcBorders>
            <w:vAlign w:val="center"/>
          </w:tcPr>
          <w:p w14:paraId="7D927465" w14:textId="77777777" w:rsidR="008F652E" w:rsidRPr="00662611" w:rsidRDefault="008F652E" w:rsidP="00426F9C">
            <w:pPr>
              <w:pStyle w:val="Default"/>
              <w:spacing w:before="40" w:after="40"/>
              <w:jc w:val="right"/>
              <w:rPr>
                <w:sz w:val="16"/>
                <w:szCs w:val="16"/>
              </w:rPr>
            </w:pPr>
            <w:r w:rsidRPr="00662611">
              <w:rPr>
                <w:sz w:val="16"/>
                <w:szCs w:val="16"/>
              </w:rPr>
              <w:t xml:space="preserve">(12) </w:t>
            </w:r>
          </w:p>
        </w:tc>
        <w:tc>
          <w:tcPr>
            <w:tcW w:w="510" w:type="dxa"/>
            <w:tcBorders>
              <w:top w:val="single" w:sz="4" w:space="0" w:color="auto"/>
              <w:left w:val="single" w:sz="4" w:space="0" w:color="auto"/>
              <w:bottom w:val="single" w:sz="4" w:space="0" w:color="auto"/>
              <w:right w:val="single" w:sz="4" w:space="0" w:color="auto"/>
            </w:tcBorders>
            <w:vAlign w:val="center"/>
          </w:tcPr>
          <w:p w14:paraId="7D927466" w14:textId="77777777" w:rsidR="008F652E" w:rsidRPr="00662611" w:rsidRDefault="008F652E" w:rsidP="00426F9C">
            <w:pPr>
              <w:pStyle w:val="Default"/>
              <w:spacing w:before="40" w:after="40"/>
              <w:jc w:val="right"/>
              <w:rPr>
                <w:sz w:val="16"/>
                <w:szCs w:val="16"/>
              </w:rPr>
            </w:pPr>
            <w:r w:rsidRPr="00662611">
              <w:rPr>
                <w:sz w:val="16"/>
                <w:szCs w:val="16"/>
              </w:rPr>
              <w:t xml:space="preserve">(12) </w:t>
            </w:r>
          </w:p>
        </w:tc>
        <w:tc>
          <w:tcPr>
            <w:tcW w:w="510" w:type="dxa"/>
            <w:tcBorders>
              <w:top w:val="single" w:sz="4" w:space="0" w:color="auto"/>
              <w:left w:val="single" w:sz="4" w:space="0" w:color="auto"/>
              <w:bottom w:val="single" w:sz="4" w:space="0" w:color="auto"/>
              <w:right w:val="single" w:sz="4" w:space="0" w:color="auto"/>
            </w:tcBorders>
            <w:vAlign w:val="center"/>
          </w:tcPr>
          <w:p w14:paraId="7D927467" w14:textId="77777777" w:rsidR="008F652E" w:rsidRPr="00662611" w:rsidRDefault="008F652E" w:rsidP="00426F9C">
            <w:pPr>
              <w:pStyle w:val="Default"/>
              <w:spacing w:before="40" w:after="40"/>
              <w:jc w:val="right"/>
              <w:rPr>
                <w:sz w:val="16"/>
                <w:szCs w:val="16"/>
              </w:rPr>
            </w:pPr>
            <w:r w:rsidRPr="00662611">
              <w:rPr>
                <w:sz w:val="16"/>
                <w:szCs w:val="16"/>
              </w:rPr>
              <w:t xml:space="preserve">(12) </w:t>
            </w:r>
          </w:p>
        </w:tc>
        <w:tc>
          <w:tcPr>
            <w:tcW w:w="510" w:type="dxa"/>
            <w:tcBorders>
              <w:top w:val="single" w:sz="4" w:space="0" w:color="auto"/>
              <w:left w:val="single" w:sz="4" w:space="0" w:color="auto"/>
              <w:bottom w:val="single" w:sz="4" w:space="0" w:color="auto"/>
              <w:right w:val="single" w:sz="4" w:space="0" w:color="auto"/>
            </w:tcBorders>
            <w:vAlign w:val="center"/>
          </w:tcPr>
          <w:p w14:paraId="7D927468" w14:textId="77777777" w:rsidR="008F652E" w:rsidRPr="00662611" w:rsidRDefault="008F652E" w:rsidP="00426F9C">
            <w:pPr>
              <w:pStyle w:val="Default"/>
              <w:spacing w:before="40" w:after="40"/>
              <w:jc w:val="right"/>
              <w:rPr>
                <w:sz w:val="16"/>
                <w:szCs w:val="16"/>
              </w:rPr>
            </w:pPr>
            <w:r w:rsidRPr="00662611">
              <w:rPr>
                <w:sz w:val="16"/>
                <w:szCs w:val="16"/>
              </w:rPr>
              <w:t xml:space="preserve">(12) </w:t>
            </w:r>
          </w:p>
        </w:tc>
        <w:tc>
          <w:tcPr>
            <w:tcW w:w="510" w:type="dxa"/>
            <w:tcBorders>
              <w:top w:val="single" w:sz="4" w:space="0" w:color="auto"/>
              <w:left w:val="single" w:sz="4" w:space="0" w:color="auto"/>
              <w:bottom w:val="single" w:sz="4" w:space="0" w:color="auto"/>
              <w:right w:val="single" w:sz="4" w:space="0" w:color="auto"/>
            </w:tcBorders>
            <w:vAlign w:val="center"/>
          </w:tcPr>
          <w:p w14:paraId="7D927469" w14:textId="77777777" w:rsidR="008F652E" w:rsidRPr="00662611" w:rsidRDefault="008F652E" w:rsidP="00426F9C">
            <w:pPr>
              <w:pStyle w:val="Default"/>
              <w:spacing w:before="40" w:after="40"/>
              <w:jc w:val="right"/>
              <w:rPr>
                <w:sz w:val="16"/>
                <w:szCs w:val="16"/>
              </w:rPr>
            </w:pPr>
            <w:r w:rsidRPr="00662611">
              <w:rPr>
                <w:sz w:val="16"/>
                <w:szCs w:val="16"/>
              </w:rPr>
              <w:t xml:space="preserve">(12) </w:t>
            </w:r>
          </w:p>
        </w:tc>
        <w:tc>
          <w:tcPr>
            <w:tcW w:w="510" w:type="dxa"/>
            <w:tcBorders>
              <w:top w:val="single" w:sz="4" w:space="0" w:color="auto"/>
              <w:left w:val="single" w:sz="4" w:space="0" w:color="auto"/>
              <w:bottom w:val="single" w:sz="4" w:space="0" w:color="auto"/>
              <w:right w:val="single" w:sz="4" w:space="0" w:color="auto"/>
            </w:tcBorders>
            <w:vAlign w:val="center"/>
          </w:tcPr>
          <w:p w14:paraId="7D92746A" w14:textId="77777777" w:rsidR="008F652E" w:rsidRPr="00662611" w:rsidRDefault="008F652E" w:rsidP="00426F9C">
            <w:pPr>
              <w:pStyle w:val="Default"/>
              <w:spacing w:before="40" w:after="40"/>
              <w:jc w:val="right"/>
              <w:rPr>
                <w:sz w:val="16"/>
                <w:szCs w:val="16"/>
              </w:rPr>
            </w:pPr>
            <w:r w:rsidRPr="00662611">
              <w:rPr>
                <w:sz w:val="16"/>
                <w:szCs w:val="16"/>
              </w:rPr>
              <w:t xml:space="preserve">(12) </w:t>
            </w:r>
          </w:p>
        </w:tc>
        <w:tc>
          <w:tcPr>
            <w:tcW w:w="570" w:type="dxa"/>
            <w:tcBorders>
              <w:top w:val="single" w:sz="4" w:space="0" w:color="auto"/>
              <w:left w:val="single" w:sz="4" w:space="0" w:color="auto"/>
              <w:bottom w:val="single" w:sz="4" w:space="0" w:color="auto"/>
              <w:right w:val="single" w:sz="4" w:space="0" w:color="auto"/>
            </w:tcBorders>
            <w:vAlign w:val="center"/>
          </w:tcPr>
          <w:p w14:paraId="7D92746B" w14:textId="77777777" w:rsidR="008F652E" w:rsidRPr="00662611" w:rsidRDefault="008F652E" w:rsidP="00426F9C">
            <w:pPr>
              <w:pStyle w:val="Default"/>
              <w:spacing w:before="40" w:after="40"/>
              <w:jc w:val="right"/>
              <w:rPr>
                <w:sz w:val="16"/>
                <w:szCs w:val="16"/>
              </w:rPr>
            </w:pPr>
            <w:r w:rsidRPr="00662611">
              <w:rPr>
                <w:sz w:val="16"/>
                <w:szCs w:val="16"/>
              </w:rPr>
              <w:t xml:space="preserve">(96) </w:t>
            </w:r>
          </w:p>
        </w:tc>
      </w:tr>
      <w:tr w:rsidR="00DF423F" w:rsidRPr="00662611" w14:paraId="7D927479" w14:textId="77777777" w:rsidTr="00DF423F">
        <w:trPr>
          <w:trHeight w:val="105"/>
        </w:trPr>
        <w:tc>
          <w:tcPr>
            <w:tcW w:w="2816" w:type="dxa"/>
            <w:tcBorders>
              <w:top w:val="single" w:sz="4" w:space="0" w:color="auto"/>
              <w:left w:val="single" w:sz="4" w:space="0" w:color="auto"/>
              <w:bottom w:val="single" w:sz="4" w:space="0" w:color="auto"/>
              <w:right w:val="single" w:sz="4" w:space="0" w:color="auto"/>
            </w:tcBorders>
          </w:tcPr>
          <w:p w14:paraId="7D92746D" w14:textId="77777777" w:rsidR="008F652E" w:rsidRPr="00662611" w:rsidRDefault="008F652E" w:rsidP="00426F9C">
            <w:pPr>
              <w:pStyle w:val="Default"/>
              <w:spacing w:before="40" w:after="40"/>
              <w:rPr>
                <w:sz w:val="16"/>
                <w:szCs w:val="16"/>
              </w:rPr>
            </w:pPr>
            <w:r w:rsidRPr="00662611">
              <w:rPr>
                <w:sz w:val="16"/>
                <w:szCs w:val="16"/>
              </w:rPr>
              <w:t>Finance charge</w:t>
            </w:r>
            <w:r w:rsidR="0007541D" w:rsidRPr="00662611">
              <w:rPr>
                <w:sz w:val="16"/>
                <w:szCs w:val="16"/>
              </w:rPr>
              <w:t xml:space="preserve"> </w:t>
            </w:r>
            <w:r w:rsidR="00767770" w:rsidRPr="00662611">
              <w:rPr>
                <w:sz w:val="16"/>
                <w:szCs w:val="16"/>
              </w:rPr>
              <w:t>*</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6E"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6F" w14:textId="77777777" w:rsidR="008F652E" w:rsidRPr="00662611" w:rsidRDefault="008F652E" w:rsidP="00426F9C">
            <w:pPr>
              <w:pStyle w:val="Default"/>
              <w:spacing w:before="40" w:after="40"/>
              <w:jc w:val="right"/>
              <w:rPr>
                <w:sz w:val="16"/>
                <w:szCs w:val="16"/>
              </w:rPr>
            </w:pPr>
            <w:r w:rsidRPr="00662611">
              <w:rPr>
                <w:sz w:val="16"/>
                <w:szCs w:val="16"/>
              </w:rPr>
              <w:t xml:space="preserve">(32) </w:t>
            </w:r>
          </w:p>
        </w:tc>
        <w:tc>
          <w:tcPr>
            <w:tcW w:w="510" w:type="dxa"/>
            <w:tcBorders>
              <w:top w:val="single" w:sz="4" w:space="0" w:color="auto"/>
              <w:left w:val="single" w:sz="4" w:space="0" w:color="auto"/>
              <w:bottom w:val="single" w:sz="4" w:space="0" w:color="auto"/>
              <w:right w:val="single" w:sz="4" w:space="0" w:color="auto"/>
            </w:tcBorders>
            <w:vAlign w:val="center"/>
          </w:tcPr>
          <w:p w14:paraId="7D927470" w14:textId="77777777" w:rsidR="008F652E" w:rsidRPr="00662611" w:rsidRDefault="008F652E" w:rsidP="00426F9C">
            <w:pPr>
              <w:pStyle w:val="Default"/>
              <w:spacing w:before="40" w:after="40"/>
              <w:jc w:val="right"/>
              <w:rPr>
                <w:sz w:val="16"/>
                <w:szCs w:val="16"/>
              </w:rPr>
            </w:pPr>
            <w:r w:rsidRPr="00662611">
              <w:rPr>
                <w:sz w:val="16"/>
                <w:szCs w:val="16"/>
              </w:rPr>
              <w:t xml:space="preserve">(67) </w:t>
            </w:r>
          </w:p>
        </w:tc>
        <w:tc>
          <w:tcPr>
            <w:tcW w:w="510" w:type="dxa"/>
            <w:tcBorders>
              <w:top w:val="single" w:sz="4" w:space="0" w:color="auto"/>
              <w:left w:val="single" w:sz="4" w:space="0" w:color="auto"/>
              <w:bottom w:val="single" w:sz="4" w:space="0" w:color="auto"/>
              <w:right w:val="single" w:sz="4" w:space="0" w:color="auto"/>
            </w:tcBorders>
            <w:vAlign w:val="center"/>
          </w:tcPr>
          <w:p w14:paraId="7D927471" w14:textId="77777777" w:rsidR="008F652E" w:rsidRPr="00662611" w:rsidRDefault="008F652E" w:rsidP="00426F9C">
            <w:pPr>
              <w:pStyle w:val="Default"/>
              <w:spacing w:before="40" w:after="40"/>
              <w:jc w:val="right"/>
              <w:rPr>
                <w:sz w:val="16"/>
                <w:szCs w:val="16"/>
              </w:rPr>
            </w:pPr>
            <w:r w:rsidRPr="00662611">
              <w:rPr>
                <w:sz w:val="16"/>
                <w:szCs w:val="16"/>
              </w:rPr>
              <w:t xml:space="preserve">(59) </w:t>
            </w:r>
          </w:p>
        </w:tc>
        <w:tc>
          <w:tcPr>
            <w:tcW w:w="510" w:type="dxa"/>
            <w:tcBorders>
              <w:top w:val="single" w:sz="4" w:space="0" w:color="auto"/>
              <w:left w:val="single" w:sz="4" w:space="0" w:color="auto"/>
              <w:bottom w:val="single" w:sz="4" w:space="0" w:color="auto"/>
              <w:right w:val="single" w:sz="4" w:space="0" w:color="auto"/>
            </w:tcBorders>
            <w:vAlign w:val="center"/>
          </w:tcPr>
          <w:p w14:paraId="7D927472" w14:textId="77777777" w:rsidR="008F652E" w:rsidRPr="00662611" w:rsidRDefault="008F652E" w:rsidP="00426F9C">
            <w:pPr>
              <w:pStyle w:val="Default"/>
              <w:spacing w:before="40" w:after="40"/>
              <w:jc w:val="right"/>
              <w:rPr>
                <w:sz w:val="16"/>
                <w:szCs w:val="16"/>
              </w:rPr>
            </w:pPr>
            <w:r w:rsidRPr="00662611">
              <w:rPr>
                <w:sz w:val="16"/>
                <w:szCs w:val="16"/>
              </w:rPr>
              <w:t xml:space="preserve">(51) </w:t>
            </w:r>
          </w:p>
        </w:tc>
        <w:tc>
          <w:tcPr>
            <w:tcW w:w="510" w:type="dxa"/>
            <w:tcBorders>
              <w:top w:val="single" w:sz="4" w:space="0" w:color="auto"/>
              <w:left w:val="single" w:sz="4" w:space="0" w:color="auto"/>
              <w:bottom w:val="single" w:sz="4" w:space="0" w:color="auto"/>
              <w:right w:val="single" w:sz="4" w:space="0" w:color="auto"/>
            </w:tcBorders>
            <w:vAlign w:val="center"/>
          </w:tcPr>
          <w:p w14:paraId="7D927473" w14:textId="77777777" w:rsidR="008F652E" w:rsidRPr="00662611" w:rsidRDefault="008F652E" w:rsidP="00426F9C">
            <w:pPr>
              <w:pStyle w:val="Default"/>
              <w:spacing w:before="40" w:after="40"/>
              <w:jc w:val="right"/>
              <w:rPr>
                <w:sz w:val="16"/>
                <w:szCs w:val="16"/>
              </w:rPr>
            </w:pPr>
            <w:r w:rsidRPr="00662611">
              <w:rPr>
                <w:sz w:val="16"/>
                <w:szCs w:val="16"/>
              </w:rPr>
              <w:t xml:space="preserve">(43) </w:t>
            </w:r>
          </w:p>
        </w:tc>
        <w:tc>
          <w:tcPr>
            <w:tcW w:w="510" w:type="dxa"/>
            <w:tcBorders>
              <w:top w:val="single" w:sz="4" w:space="0" w:color="auto"/>
              <w:left w:val="single" w:sz="4" w:space="0" w:color="auto"/>
              <w:bottom w:val="single" w:sz="4" w:space="0" w:color="auto"/>
              <w:right w:val="single" w:sz="4" w:space="0" w:color="auto"/>
            </w:tcBorders>
            <w:vAlign w:val="center"/>
          </w:tcPr>
          <w:p w14:paraId="7D927474" w14:textId="77777777" w:rsidR="008F652E" w:rsidRPr="00662611" w:rsidRDefault="008F652E" w:rsidP="00426F9C">
            <w:pPr>
              <w:pStyle w:val="Default"/>
              <w:spacing w:before="40" w:after="40"/>
              <w:jc w:val="right"/>
              <w:rPr>
                <w:sz w:val="16"/>
                <w:szCs w:val="16"/>
              </w:rPr>
            </w:pPr>
            <w:r w:rsidRPr="00662611">
              <w:rPr>
                <w:sz w:val="16"/>
                <w:szCs w:val="16"/>
              </w:rPr>
              <w:t xml:space="preserve">(34) </w:t>
            </w:r>
          </w:p>
        </w:tc>
        <w:tc>
          <w:tcPr>
            <w:tcW w:w="510" w:type="dxa"/>
            <w:tcBorders>
              <w:top w:val="single" w:sz="4" w:space="0" w:color="auto"/>
              <w:left w:val="single" w:sz="4" w:space="0" w:color="auto"/>
              <w:bottom w:val="single" w:sz="4" w:space="0" w:color="auto"/>
              <w:right w:val="single" w:sz="4" w:space="0" w:color="auto"/>
            </w:tcBorders>
            <w:vAlign w:val="center"/>
          </w:tcPr>
          <w:p w14:paraId="7D927475" w14:textId="77777777" w:rsidR="008F652E" w:rsidRPr="00662611" w:rsidRDefault="008F652E" w:rsidP="00426F9C">
            <w:pPr>
              <w:pStyle w:val="Default"/>
              <w:spacing w:before="40" w:after="40"/>
              <w:jc w:val="right"/>
              <w:rPr>
                <w:sz w:val="16"/>
                <w:szCs w:val="16"/>
              </w:rPr>
            </w:pPr>
            <w:r w:rsidRPr="00662611">
              <w:rPr>
                <w:sz w:val="16"/>
                <w:szCs w:val="16"/>
              </w:rPr>
              <w:t xml:space="preserve">(25) </w:t>
            </w:r>
          </w:p>
        </w:tc>
        <w:tc>
          <w:tcPr>
            <w:tcW w:w="510" w:type="dxa"/>
            <w:tcBorders>
              <w:top w:val="single" w:sz="4" w:space="0" w:color="auto"/>
              <w:left w:val="single" w:sz="4" w:space="0" w:color="auto"/>
              <w:bottom w:val="single" w:sz="4" w:space="0" w:color="auto"/>
              <w:right w:val="single" w:sz="4" w:space="0" w:color="auto"/>
            </w:tcBorders>
            <w:vAlign w:val="center"/>
          </w:tcPr>
          <w:p w14:paraId="7D927476" w14:textId="77777777" w:rsidR="008F652E" w:rsidRPr="00662611" w:rsidRDefault="008F652E" w:rsidP="00426F9C">
            <w:pPr>
              <w:pStyle w:val="Default"/>
              <w:spacing w:before="40" w:after="40"/>
              <w:jc w:val="right"/>
              <w:rPr>
                <w:sz w:val="16"/>
                <w:szCs w:val="16"/>
              </w:rPr>
            </w:pPr>
            <w:r w:rsidRPr="00662611">
              <w:rPr>
                <w:sz w:val="16"/>
                <w:szCs w:val="16"/>
              </w:rPr>
              <w:t xml:space="preserve">(22) </w:t>
            </w:r>
          </w:p>
        </w:tc>
        <w:tc>
          <w:tcPr>
            <w:tcW w:w="510" w:type="dxa"/>
            <w:tcBorders>
              <w:top w:val="single" w:sz="4" w:space="0" w:color="auto"/>
              <w:left w:val="single" w:sz="4" w:space="0" w:color="auto"/>
              <w:bottom w:val="single" w:sz="4" w:space="0" w:color="auto"/>
              <w:right w:val="single" w:sz="4" w:space="0" w:color="auto"/>
            </w:tcBorders>
            <w:vAlign w:val="center"/>
          </w:tcPr>
          <w:p w14:paraId="7D927477" w14:textId="77777777" w:rsidR="008F652E" w:rsidRPr="00662611" w:rsidRDefault="008F652E" w:rsidP="00426F9C">
            <w:pPr>
              <w:pStyle w:val="Default"/>
              <w:spacing w:before="40" w:after="40"/>
              <w:jc w:val="right"/>
              <w:rPr>
                <w:sz w:val="16"/>
                <w:szCs w:val="16"/>
              </w:rPr>
            </w:pPr>
            <w:r w:rsidRPr="00662611">
              <w:rPr>
                <w:sz w:val="16"/>
                <w:szCs w:val="16"/>
              </w:rPr>
              <w:t xml:space="preserve">(11) </w:t>
            </w:r>
          </w:p>
        </w:tc>
        <w:tc>
          <w:tcPr>
            <w:tcW w:w="570" w:type="dxa"/>
            <w:tcBorders>
              <w:top w:val="single" w:sz="4" w:space="0" w:color="auto"/>
              <w:left w:val="single" w:sz="4" w:space="0" w:color="auto"/>
              <w:bottom w:val="single" w:sz="4" w:space="0" w:color="auto"/>
              <w:right w:val="single" w:sz="4" w:space="0" w:color="auto"/>
            </w:tcBorders>
            <w:vAlign w:val="center"/>
          </w:tcPr>
          <w:p w14:paraId="7D927478" w14:textId="77777777" w:rsidR="008F652E" w:rsidRPr="00662611" w:rsidRDefault="008F652E" w:rsidP="00426F9C">
            <w:pPr>
              <w:pStyle w:val="Default"/>
              <w:spacing w:before="40" w:after="40"/>
              <w:jc w:val="right"/>
              <w:rPr>
                <w:sz w:val="16"/>
                <w:szCs w:val="16"/>
              </w:rPr>
            </w:pPr>
            <w:r w:rsidRPr="00662611">
              <w:rPr>
                <w:sz w:val="16"/>
                <w:szCs w:val="16"/>
              </w:rPr>
              <w:t xml:space="preserve">(344) </w:t>
            </w:r>
          </w:p>
        </w:tc>
      </w:tr>
      <w:tr w:rsidR="00DF423F" w:rsidRPr="00662611" w14:paraId="7D927486" w14:textId="77777777" w:rsidTr="00DF423F">
        <w:trPr>
          <w:trHeight w:val="224"/>
        </w:trPr>
        <w:tc>
          <w:tcPr>
            <w:tcW w:w="2816" w:type="dxa"/>
            <w:tcBorders>
              <w:top w:val="single" w:sz="4" w:space="0" w:color="auto"/>
              <w:left w:val="single" w:sz="4" w:space="0" w:color="auto"/>
              <w:bottom w:val="single" w:sz="4" w:space="0" w:color="auto"/>
              <w:right w:val="single" w:sz="4" w:space="0" w:color="auto"/>
            </w:tcBorders>
          </w:tcPr>
          <w:p w14:paraId="7D92747A" w14:textId="77777777" w:rsidR="008F652E" w:rsidRPr="00662611" w:rsidRDefault="008F652E" w:rsidP="00426F9C">
            <w:pPr>
              <w:pStyle w:val="Default"/>
              <w:spacing w:before="40" w:after="40"/>
              <w:rPr>
                <w:sz w:val="16"/>
                <w:szCs w:val="16"/>
              </w:rPr>
            </w:pPr>
            <w:r w:rsidRPr="00662611">
              <w:rPr>
                <w:sz w:val="16"/>
                <w:szCs w:val="16"/>
              </w:rPr>
              <w:t xml:space="preserve">Depreciation – base layers </w:t>
            </w:r>
          </w:p>
        </w:tc>
        <w:tc>
          <w:tcPr>
            <w:tcW w:w="510" w:type="dxa"/>
            <w:tcBorders>
              <w:top w:val="single" w:sz="4" w:space="0" w:color="auto"/>
              <w:left w:val="single" w:sz="4" w:space="0" w:color="auto"/>
              <w:bottom w:val="single" w:sz="4" w:space="0" w:color="auto"/>
              <w:right w:val="single" w:sz="4" w:space="0" w:color="auto"/>
            </w:tcBorders>
            <w:vAlign w:val="center"/>
          </w:tcPr>
          <w:p w14:paraId="7D92747B"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7C"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7D" w14:textId="6EED2D27"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39</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7E" w14:textId="1BEA369E"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39</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7F" w14:textId="033E1D99"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39</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80" w14:textId="01023407"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39</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81" w14:textId="4C92A1EC"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39</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82" w14:textId="305AC01C"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39</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83" w14:textId="2488AFB1"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39</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84" w14:textId="2AC8D1A6"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39</w:t>
            </w:r>
            <w:r w:rsidRPr="00662611">
              <w:rPr>
                <w:sz w:val="16"/>
                <w:szCs w:val="16"/>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14:paraId="7D927485" w14:textId="751F978E"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312</w:t>
            </w:r>
            <w:r w:rsidRPr="00662611">
              <w:rPr>
                <w:sz w:val="16"/>
                <w:szCs w:val="16"/>
              </w:rPr>
              <w:t xml:space="preserve">) </w:t>
            </w:r>
          </w:p>
        </w:tc>
      </w:tr>
      <w:tr w:rsidR="00DF423F" w:rsidRPr="00662611" w14:paraId="7D927493" w14:textId="77777777" w:rsidTr="00DF423F">
        <w:trPr>
          <w:trHeight w:val="345"/>
        </w:trPr>
        <w:tc>
          <w:tcPr>
            <w:tcW w:w="2816" w:type="dxa"/>
            <w:tcBorders>
              <w:top w:val="single" w:sz="4" w:space="0" w:color="auto"/>
              <w:left w:val="single" w:sz="4" w:space="0" w:color="auto"/>
              <w:bottom w:val="single" w:sz="4" w:space="0" w:color="auto"/>
              <w:right w:val="single" w:sz="4" w:space="0" w:color="auto"/>
            </w:tcBorders>
          </w:tcPr>
          <w:p w14:paraId="7D927487" w14:textId="77777777" w:rsidR="008F652E" w:rsidRPr="00662611" w:rsidRDefault="008F652E" w:rsidP="00426F9C">
            <w:pPr>
              <w:pStyle w:val="Default"/>
              <w:spacing w:before="40" w:after="40"/>
              <w:rPr>
                <w:sz w:val="16"/>
                <w:szCs w:val="16"/>
              </w:rPr>
            </w:pPr>
            <w:r w:rsidRPr="00662611">
              <w:rPr>
                <w:sz w:val="16"/>
                <w:szCs w:val="16"/>
              </w:rPr>
              <w:t>Depreciation – original surface layer</w:t>
            </w:r>
            <w:r w:rsidR="00767770" w:rsidRPr="00662611">
              <w:rPr>
                <w:sz w:val="16"/>
                <w:szCs w:val="16"/>
              </w:rPr>
              <w:t>s</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88"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89"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8A" w14:textId="77777777" w:rsidR="008F652E" w:rsidRPr="00662611" w:rsidRDefault="008F652E" w:rsidP="00426F9C">
            <w:pPr>
              <w:pStyle w:val="Default"/>
              <w:spacing w:before="40" w:after="40"/>
              <w:jc w:val="right"/>
              <w:rPr>
                <w:sz w:val="16"/>
                <w:szCs w:val="16"/>
              </w:rPr>
            </w:pPr>
            <w:r w:rsidRPr="00662611">
              <w:rPr>
                <w:sz w:val="16"/>
                <w:szCs w:val="16"/>
              </w:rPr>
              <w:t xml:space="preserve">(18) </w:t>
            </w:r>
          </w:p>
        </w:tc>
        <w:tc>
          <w:tcPr>
            <w:tcW w:w="510" w:type="dxa"/>
            <w:tcBorders>
              <w:top w:val="single" w:sz="4" w:space="0" w:color="auto"/>
              <w:left w:val="single" w:sz="4" w:space="0" w:color="auto"/>
              <w:bottom w:val="single" w:sz="4" w:space="0" w:color="auto"/>
              <w:right w:val="single" w:sz="4" w:space="0" w:color="auto"/>
            </w:tcBorders>
            <w:vAlign w:val="center"/>
          </w:tcPr>
          <w:p w14:paraId="7D92748B" w14:textId="77777777" w:rsidR="008F652E" w:rsidRPr="00662611" w:rsidRDefault="008F652E" w:rsidP="00426F9C">
            <w:pPr>
              <w:pStyle w:val="Default"/>
              <w:spacing w:before="40" w:after="40"/>
              <w:jc w:val="right"/>
              <w:rPr>
                <w:sz w:val="16"/>
                <w:szCs w:val="16"/>
              </w:rPr>
            </w:pPr>
            <w:r w:rsidRPr="00662611">
              <w:rPr>
                <w:sz w:val="16"/>
                <w:szCs w:val="16"/>
              </w:rPr>
              <w:t xml:space="preserve">(19) </w:t>
            </w:r>
          </w:p>
        </w:tc>
        <w:tc>
          <w:tcPr>
            <w:tcW w:w="510" w:type="dxa"/>
            <w:tcBorders>
              <w:top w:val="single" w:sz="4" w:space="0" w:color="auto"/>
              <w:left w:val="single" w:sz="4" w:space="0" w:color="auto"/>
              <w:bottom w:val="single" w:sz="4" w:space="0" w:color="auto"/>
              <w:right w:val="single" w:sz="4" w:space="0" w:color="auto"/>
            </w:tcBorders>
            <w:vAlign w:val="center"/>
          </w:tcPr>
          <w:p w14:paraId="7D92748C" w14:textId="77777777" w:rsidR="008F652E" w:rsidRPr="00662611" w:rsidRDefault="008F652E" w:rsidP="00426F9C">
            <w:pPr>
              <w:pStyle w:val="Default"/>
              <w:spacing w:before="40" w:after="40"/>
              <w:jc w:val="right"/>
              <w:rPr>
                <w:sz w:val="16"/>
                <w:szCs w:val="16"/>
              </w:rPr>
            </w:pPr>
            <w:r w:rsidRPr="00662611">
              <w:rPr>
                <w:sz w:val="16"/>
                <w:szCs w:val="16"/>
              </w:rPr>
              <w:t xml:space="preserve">(18) </w:t>
            </w:r>
          </w:p>
        </w:tc>
        <w:tc>
          <w:tcPr>
            <w:tcW w:w="510" w:type="dxa"/>
            <w:tcBorders>
              <w:top w:val="single" w:sz="4" w:space="0" w:color="auto"/>
              <w:left w:val="single" w:sz="4" w:space="0" w:color="auto"/>
              <w:bottom w:val="single" w:sz="4" w:space="0" w:color="auto"/>
              <w:right w:val="single" w:sz="4" w:space="0" w:color="auto"/>
            </w:tcBorders>
            <w:vAlign w:val="center"/>
          </w:tcPr>
          <w:p w14:paraId="7D92748D" w14:textId="77777777" w:rsidR="008F652E" w:rsidRPr="00662611" w:rsidRDefault="008F652E" w:rsidP="00426F9C">
            <w:pPr>
              <w:pStyle w:val="Default"/>
              <w:spacing w:before="40" w:after="40"/>
              <w:jc w:val="right"/>
              <w:rPr>
                <w:sz w:val="16"/>
                <w:szCs w:val="16"/>
              </w:rPr>
            </w:pPr>
            <w:r w:rsidRPr="00662611">
              <w:rPr>
                <w:sz w:val="16"/>
                <w:szCs w:val="16"/>
              </w:rPr>
              <w:t xml:space="preserve">(18) </w:t>
            </w:r>
          </w:p>
        </w:tc>
        <w:tc>
          <w:tcPr>
            <w:tcW w:w="510" w:type="dxa"/>
            <w:tcBorders>
              <w:top w:val="single" w:sz="4" w:space="0" w:color="auto"/>
              <w:left w:val="single" w:sz="4" w:space="0" w:color="auto"/>
              <w:bottom w:val="single" w:sz="4" w:space="0" w:color="auto"/>
              <w:right w:val="single" w:sz="4" w:space="0" w:color="auto"/>
            </w:tcBorders>
            <w:vAlign w:val="center"/>
          </w:tcPr>
          <w:p w14:paraId="7D92748E" w14:textId="77777777" w:rsidR="008F652E" w:rsidRPr="00662611" w:rsidRDefault="008F652E" w:rsidP="00426F9C">
            <w:pPr>
              <w:pStyle w:val="Default"/>
              <w:spacing w:before="40" w:after="40"/>
              <w:jc w:val="right"/>
              <w:rPr>
                <w:sz w:val="16"/>
                <w:szCs w:val="16"/>
              </w:rPr>
            </w:pPr>
            <w:r w:rsidRPr="00662611">
              <w:rPr>
                <w:sz w:val="16"/>
                <w:szCs w:val="16"/>
              </w:rPr>
              <w:t xml:space="preserve">(19) </w:t>
            </w:r>
          </w:p>
        </w:tc>
        <w:tc>
          <w:tcPr>
            <w:tcW w:w="510" w:type="dxa"/>
            <w:tcBorders>
              <w:top w:val="single" w:sz="4" w:space="0" w:color="auto"/>
              <w:left w:val="single" w:sz="4" w:space="0" w:color="auto"/>
              <w:bottom w:val="single" w:sz="4" w:space="0" w:color="auto"/>
              <w:right w:val="single" w:sz="4" w:space="0" w:color="auto"/>
            </w:tcBorders>
            <w:vAlign w:val="center"/>
          </w:tcPr>
          <w:p w14:paraId="7D92748F" w14:textId="77777777" w:rsidR="008F652E" w:rsidRPr="00662611" w:rsidRDefault="008F652E" w:rsidP="00426F9C">
            <w:pPr>
              <w:pStyle w:val="Default"/>
              <w:spacing w:before="40" w:after="40"/>
              <w:jc w:val="right"/>
              <w:rPr>
                <w:sz w:val="16"/>
                <w:szCs w:val="16"/>
              </w:rPr>
            </w:pPr>
            <w:r w:rsidRPr="00662611">
              <w:rPr>
                <w:sz w:val="16"/>
                <w:szCs w:val="16"/>
              </w:rPr>
              <w:t xml:space="preserve">(18) </w:t>
            </w:r>
          </w:p>
        </w:tc>
        <w:tc>
          <w:tcPr>
            <w:tcW w:w="510" w:type="dxa"/>
            <w:tcBorders>
              <w:top w:val="single" w:sz="4" w:space="0" w:color="auto"/>
              <w:left w:val="single" w:sz="4" w:space="0" w:color="auto"/>
              <w:bottom w:val="single" w:sz="4" w:space="0" w:color="auto"/>
              <w:right w:val="single" w:sz="4" w:space="0" w:color="auto"/>
            </w:tcBorders>
            <w:vAlign w:val="center"/>
          </w:tcPr>
          <w:p w14:paraId="7D927490"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1"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14:paraId="7D927492" w14:textId="77777777" w:rsidR="008F652E" w:rsidRPr="00662611" w:rsidRDefault="008F652E" w:rsidP="00426F9C">
            <w:pPr>
              <w:pStyle w:val="Default"/>
              <w:spacing w:before="40" w:after="40"/>
              <w:jc w:val="right"/>
              <w:rPr>
                <w:sz w:val="16"/>
                <w:szCs w:val="16"/>
              </w:rPr>
            </w:pPr>
            <w:r w:rsidRPr="00662611">
              <w:rPr>
                <w:sz w:val="16"/>
                <w:szCs w:val="16"/>
              </w:rPr>
              <w:t xml:space="preserve">(110) </w:t>
            </w:r>
          </w:p>
        </w:tc>
      </w:tr>
      <w:tr w:rsidR="00DF423F" w:rsidRPr="00662611" w14:paraId="7D9274A0" w14:textId="77777777" w:rsidTr="00DF423F">
        <w:trPr>
          <w:trHeight w:val="344"/>
        </w:trPr>
        <w:tc>
          <w:tcPr>
            <w:tcW w:w="2816" w:type="dxa"/>
            <w:tcBorders>
              <w:top w:val="single" w:sz="4" w:space="0" w:color="auto"/>
              <w:left w:val="single" w:sz="4" w:space="0" w:color="auto"/>
              <w:bottom w:val="single" w:sz="4" w:space="0" w:color="auto"/>
              <w:right w:val="single" w:sz="4" w:space="0" w:color="auto"/>
            </w:tcBorders>
          </w:tcPr>
          <w:p w14:paraId="7D927494" w14:textId="77777777" w:rsidR="00834187" w:rsidRPr="00662611" w:rsidRDefault="00834187" w:rsidP="008E7F4D">
            <w:pPr>
              <w:pStyle w:val="Default"/>
              <w:spacing w:before="40" w:after="40"/>
              <w:rPr>
                <w:sz w:val="16"/>
                <w:szCs w:val="16"/>
              </w:rPr>
            </w:pPr>
            <w:r w:rsidRPr="00662611">
              <w:rPr>
                <w:sz w:val="16"/>
                <w:szCs w:val="16"/>
              </w:rPr>
              <w:t>Depreciation – replacement surface layers</w:t>
            </w:r>
          </w:p>
        </w:tc>
        <w:tc>
          <w:tcPr>
            <w:tcW w:w="510" w:type="dxa"/>
            <w:tcBorders>
              <w:top w:val="single" w:sz="4" w:space="0" w:color="auto"/>
              <w:left w:val="single" w:sz="4" w:space="0" w:color="auto"/>
              <w:bottom w:val="single" w:sz="4" w:space="0" w:color="auto"/>
              <w:right w:val="single" w:sz="4" w:space="0" w:color="auto"/>
            </w:tcBorders>
            <w:vAlign w:val="center"/>
          </w:tcPr>
          <w:p w14:paraId="7D927495" w14:textId="77777777" w:rsidR="00834187" w:rsidRPr="00662611" w:rsidRDefault="00834187"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6" w14:textId="77777777" w:rsidR="00834187" w:rsidRPr="00662611" w:rsidRDefault="00834187"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7" w14:textId="77777777" w:rsidR="00834187" w:rsidRPr="00662611" w:rsidRDefault="00834187"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8" w14:textId="77777777" w:rsidR="00834187" w:rsidRPr="00662611" w:rsidRDefault="00834187"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9" w14:textId="77777777" w:rsidR="00834187" w:rsidRPr="00662611" w:rsidRDefault="00834187"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A" w14:textId="77777777" w:rsidR="00834187" w:rsidRPr="00662611" w:rsidRDefault="00834187"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B" w14:textId="77777777" w:rsidR="00834187" w:rsidRPr="00662611" w:rsidRDefault="00834187"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C" w14:textId="77777777" w:rsidR="00834187" w:rsidRPr="00662611" w:rsidRDefault="00834187"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9D" w14:textId="77777777" w:rsidR="00834187" w:rsidRPr="00662611" w:rsidRDefault="00834187" w:rsidP="00426F9C">
            <w:pPr>
              <w:pStyle w:val="Default"/>
              <w:spacing w:before="40" w:after="40"/>
              <w:jc w:val="right"/>
              <w:rPr>
                <w:sz w:val="16"/>
                <w:szCs w:val="16"/>
              </w:rPr>
            </w:pPr>
            <w:r w:rsidRPr="00662611">
              <w:rPr>
                <w:sz w:val="16"/>
                <w:szCs w:val="16"/>
              </w:rPr>
              <w:t xml:space="preserve">(18) </w:t>
            </w:r>
          </w:p>
        </w:tc>
        <w:tc>
          <w:tcPr>
            <w:tcW w:w="510" w:type="dxa"/>
            <w:tcBorders>
              <w:top w:val="single" w:sz="4" w:space="0" w:color="auto"/>
              <w:left w:val="single" w:sz="4" w:space="0" w:color="auto"/>
              <w:bottom w:val="single" w:sz="4" w:space="0" w:color="auto"/>
              <w:right w:val="single" w:sz="4" w:space="0" w:color="auto"/>
            </w:tcBorders>
            <w:vAlign w:val="center"/>
          </w:tcPr>
          <w:p w14:paraId="7D92749E" w14:textId="77777777" w:rsidR="00834187" w:rsidRPr="00662611" w:rsidRDefault="00834187" w:rsidP="00426F9C">
            <w:pPr>
              <w:pStyle w:val="Default"/>
              <w:spacing w:before="40" w:after="40"/>
              <w:jc w:val="right"/>
              <w:rPr>
                <w:sz w:val="16"/>
                <w:szCs w:val="16"/>
              </w:rPr>
            </w:pPr>
            <w:r w:rsidRPr="00662611">
              <w:rPr>
                <w:sz w:val="16"/>
                <w:szCs w:val="16"/>
              </w:rPr>
              <w:t xml:space="preserve">(19) </w:t>
            </w:r>
          </w:p>
        </w:tc>
        <w:tc>
          <w:tcPr>
            <w:tcW w:w="570" w:type="dxa"/>
            <w:tcBorders>
              <w:top w:val="single" w:sz="4" w:space="0" w:color="auto"/>
              <w:left w:val="single" w:sz="4" w:space="0" w:color="auto"/>
              <w:bottom w:val="single" w:sz="4" w:space="0" w:color="auto"/>
              <w:right w:val="single" w:sz="4" w:space="0" w:color="auto"/>
            </w:tcBorders>
            <w:vAlign w:val="center"/>
          </w:tcPr>
          <w:p w14:paraId="7D92749F" w14:textId="77777777" w:rsidR="00834187" w:rsidRPr="00662611" w:rsidRDefault="00834187" w:rsidP="00426F9C">
            <w:pPr>
              <w:pStyle w:val="Default"/>
              <w:spacing w:before="40" w:after="40"/>
              <w:jc w:val="right"/>
              <w:rPr>
                <w:sz w:val="16"/>
                <w:szCs w:val="16"/>
              </w:rPr>
            </w:pPr>
            <w:r w:rsidRPr="00662611">
              <w:rPr>
                <w:sz w:val="16"/>
                <w:szCs w:val="16"/>
              </w:rPr>
              <w:t xml:space="preserve">(37) </w:t>
            </w:r>
          </w:p>
        </w:tc>
      </w:tr>
      <w:tr w:rsidR="00DF423F" w:rsidRPr="00662611" w14:paraId="7D9274AD" w14:textId="77777777" w:rsidTr="00DF423F">
        <w:trPr>
          <w:trHeight w:val="225"/>
        </w:trPr>
        <w:tc>
          <w:tcPr>
            <w:tcW w:w="2816" w:type="dxa"/>
            <w:tcBorders>
              <w:top w:val="single" w:sz="4" w:space="0" w:color="auto"/>
              <w:left w:val="single" w:sz="4" w:space="0" w:color="auto"/>
              <w:bottom w:val="single" w:sz="4" w:space="0" w:color="auto"/>
              <w:right w:val="single" w:sz="4" w:space="0" w:color="auto"/>
            </w:tcBorders>
          </w:tcPr>
          <w:p w14:paraId="7D9274A1" w14:textId="77777777" w:rsidR="008F652E" w:rsidRPr="00662611" w:rsidRDefault="008F652E" w:rsidP="00426F9C">
            <w:pPr>
              <w:pStyle w:val="Default"/>
              <w:spacing w:before="40" w:after="40"/>
              <w:rPr>
                <w:sz w:val="16"/>
                <w:szCs w:val="16"/>
              </w:rPr>
            </w:pPr>
            <w:r w:rsidRPr="00662611">
              <w:rPr>
                <w:sz w:val="16"/>
                <w:szCs w:val="16"/>
              </w:rPr>
              <w:t xml:space="preserve">Total depreciation </w:t>
            </w:r>
          </w:p>
        </w:tc>
        <w:tc>
          <w:tcPr>
            <w:tcW w:w="510" w:type="dxa"/>
            <w:tcBorders>
              <w:top w:val="single" w:sz="4" w:space="0" w:color="auto"/>
              <w:left w:val="single" w:sz="4" w:space="0" w:color="auto"/>
              <w:bottom w:val="single" w:sz="4" w:space="0" w:color="auto"/>
              <w:right w:val="single" w:sz="4" w:space="0" w:color="auto"/>
            </w:tcBorders>
            <w:vAlign w:val="center"/>
          </w:tcPr>
          <w:p w14:paraId="7D9274A2"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3"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4" w14:textId="58062303"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57</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5" w14:textId="7E7A10AA"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58</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6" w14:textId="2BDE3D26"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57</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7" w14:textId="07DCAA28"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57</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8" w14:textId="377881B8"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58</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9" w14:textId="25154ABC"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57</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A" w14:textId="3CE0CE70"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57</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AB" w14:textId="175C64C0"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58</w:t>
            </w:r>
            <w:r w:rsidRPr="00662611">
              <w:rPr>
                <w:sz w:val="16"/>
                <w:szCs w:val="16"/>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14:paraId="7D9274AC" w14:textId="4E91C6DB" w:rsidR="008F652E" w:rsidRPr="00662611" w:rsidRDefault="008F652E" w:rsidP="00767770">
            <w:pPr>
              <w:pStyle w:val="Default"/>
              <w:spacing w:before="40" w:after="40"/>
              <w:jc w:val="right"/>
              <w:rPr>
                <w:sz w:val="16"/>
                <w:szCs w:val="16"/>
              </w:rPr>
            </w:pPr>
            <w:r w:rsidRPr="00662611">
              <w:rPr>
                <w:sz w:val="16"/>
                <w:szCs w:val="16"/>
              </w:rPr>
              <w:t>(45</w:t>
            </w:r>
            <w:r w:rsidR="00767770" w:rsidRPr="00662611">
              <w:rPr>
                <w:sz w:val="16"/>
                <w:szCs w:val="16"/>
              </w:rPr>
              <w:t>9</w:t>
            </w:r>
            <w:r w:rsidRPr="00662611">
              <w:rPr>
                <w:sz w:val="16"/>
                <w:szCs w:val="16"/>
              </w:rPr>
              <w:t xml:space="preserve">) </w:t>
            </w:r>
          </w:p>
        </w:tc>
      </w:tr>
      <w:tr w:rsidR="00DF423F" w:rsidRPr="00662611" w14:paraId="7D9274BA" w14:textId="77777777" w:rsidTr="00DF423F">
        <w:trPr>
          <w:trHeight w:val="344"/>
        </w:trPr>
        <w:tc>
          <w:tcPr>
            <w:tcW w:w="2816" w:type="dxa"/>
            <w:tcBorders>
              <w:top w:val="single" w:sz="4" w:space="0" w:color="auto"/>
              <w:left w:val="single" w:sz="4" w:space="0" w:color="auto"/>
              <w:bottom w:val="single" w:sz="4" w:space="0" w:color="auto"/>
              <w:right w:val="single" w:sz="4" w:space="0" w:color="auto"/>
            </w:tcBorders>
          </w:tcPr>
          <w:p w14:paraId="7D9274AE" w14:textId="77777777" w:rsidR="008F652E" w:rsidRPr="00662611" w:rsidRDefault="008F652E" w:rsidP="00A240E1">
            <w:pPr>
              <w:pStyle w:val="Default"/>
              <w:spacing w:before="40" w:after="40"/>
              <w:rPr>
                <w:sz w:val="16"/>
                <w:szCs w:val="16"/>
              </w:rPr>
            </w:pPr>
            <w:r w:rsidRPr="00662611">
              <w:rPr>
                <w:sz w:val="16"/>
                <w:szCs w:val="16"/>
              </w:rPr>
              <w:t xml:space="preserve">Annual surplus/(deficit) </w:t>
            </w:r>
          </w:p>
        </w:tc>
        <w:tc>
          <w:tcPr>
            <w:tcW w:w="510" w:type="dxa"/>
            <w:tcBorders>
              <w:top w:val="single" w:sz="4" w:space="0" w:color="auto"/>
              <w:left w:val="single" w:sz="4" w:space="0" w:color="auto"/>
              <w:bottom w:val="single" w:sz="4" w:space="0" w:color="auto"/>
              <w:right w:val="single" w:sz="4" w:space="0" w:color="auto"/>
            </w:tcBorders>
            <w:vAlign w:val="center"/>
          </w:tcPr>
          <w:p w14:paraId="7D9274AF" w14:textId="77777777" w:rsidR="008F652E" w:rsidRPr="00662611" w:rsidRDefault="008F652E" w:rsidP="00426F9C">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0" w14:textId="77777777" w:rsidR="008F652E" w:rsidRPr="00662611" w:rsidRDefault="008F652E" w:rsidP="00426F9C">
            <w:pPr>
              <w:pStyle w:val="Default"/>
              <w:spacing w:before="40" w:after="40"/>
              <w:jc w:val="right"/>
              <w:rPr>
                <w:sz w:val="16"/>
                <w:szCs w:val="16"/>
              </w:rPr>
            </w:pPr>
            <w:r w:rsidRPr="00662611">
              <w:rPr>
                <w:sz w:val="16"/>
                <w:szCs w:val="16"/>
              </w:rPr>
              <w:t xml:space="preserve">(32) </w:t>
            </w:r>
          </w:p>
        </w:tc>
        <w:tc>
          <w:tcPr>
            <w:tcW w:w="510" w:type="dxa"/>
            <w:tcBorders>
              <w:top w:val="single" w:sz="4" w:space="0" w:color="auto"/>
              <w:left w:val="single" w:sz="4" w:space="0" w:color="auto"/>
              <w:bottom w:val="single" w:sz="4" w:space="0" w:color="auto"/>
              <w:right w:val="single" w:sz="4" w:space="0" w:color="auto"/>
            </w:tcBorders>
            <w:vAlign w:val="center"/>
          </w:tcPr>
          <w:p w14:paraId="7D9274B1" w14:textId="4986A6BC"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136</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2" w14:textId="4DB758B5"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129</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3" w14:textId="0DD2EC80"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120</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4" w14:textId="6FC7AEAF"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112</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5" w14:textId="5A8554A7"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104</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6" w14:textId="480D65DB"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94</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7" w14:textId="45095E92"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91</w:t>
            </w: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8" w14:textId="137DE2FB"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81</w:t>
            </w:r>
            <w:r w:rsidRPr="00662611">
              <w:rPr>
                <w:sz w:val="16"/>
                <w:szCs w:val="16"/>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14:paraId="7D9274B9" w14:textId="5F7965CA" w:rsidR="008F652E" w:rsidRPr="00662611" w:rsidRDefault="008F652E" w:rsidP="00767770">
            <w:pPr>
              <w:pStyle w:val="Default"/>
              <w:spacing w:before="40" w:after="40"/>
              <w:jc w:val="right"/>
              <w:rPr>
                <w:sz w:val="16"/>
                <w:szCs w:val="16"/>
              </w:rPr>
            </w:pPr>
            <w:r w:rsidRPr="00662611">
              <w:rPr>
                <w:sz w:val="16"/>
                <w:szCs w:val="16"/>
              </w:rPr>
              <w:t>(</w:t>
            </w:r>
            <w:r w:rsidR="00767770" w:rsidRPr="00662611">
              <w:rPr>
                <w:sz w:val="16"/>
                <w:szCs w:val="16"/>
              </w:rPr>
              <w:t>899</w:t>
            </w:r>
            <w:r w:rsidRPr="00662611">
              <w:rPr>
                <w:sz w:val="16"/>
                <w:szCs w:val="16"/>
              </w:rPr>
              <w:t xml:space="preserve">) </w:t>
            </w:r>
          </w:p>
        </w:tc>
      </w:tr>
      <w:tr w:rsidR="00DF423F" w:rsidRPr="00662611" w14:paraId="7D9274C7" w14:textId="77777777" w:rsidTr="00DF423F">
        <w:trPr>
          <w:trHeight w:val="344"/>
        </w:trPr>
        <w:tc>
          <w:tcPr>
            <w:tcW w:w="2816" w:type="dxa"/>
            <w:tcBorders>
              <w:top w:val="single" w:sz="4" w:space="0" w:color="auto"/>
              <w:left w:val="single" w:sz="4" w:space="0" w:color="auto"/>
              <w:bottom w:val="single" w:sz="4" w:space="0" w:color="auto"/>
              <w:right w:val="single" w:sz="4" w:space="0" w:color="auto"/>
            </w:tcBorders>
          </w:tcPr>
          <w:p w14:paraId="7D9274BB" w14:textId="77777777" w:rsidR="00767770" w:rsidRPr="00662611" w:rsidRDefault="00767770" w:rsidP="00F07ACA">
            <w:pPr>
              <w:pStyle w:val="Default"/>
              <w:spacing w:before="40" w:after="40"/>
              <w:rPr>
                <w:sz w:val="16"/>
                <w:szCs w:val="16"/>
              </w:rPr>
            </w:pPr>
            <w:r w:rsidRPr="00662611">
              <w:rPr>
                <w:sz w:val="16"/>
                <w:szCs w:val="16"/>
              </w:rPr>
              <w:t>Revaluation surplus</w:t>
            </w:r>
            <w:r w:rsidR="00F07ACA"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C" w14:textId="77777777" w:rsidR="00767770" w:rsidRPr="00662611" w:rsidRDefault="00767770" w:rsidP="00F07ACA">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D" w14:textId="77777777" w:rsidR="00767770" w:rsidRPr="00662611" w:rsidRDefault="00767770" w:rsidP="00F07ACA">
            <w:pPr>
              <w:pStyle w:val="Default"/>
              <w:spacing w:before="40" w:after="40"/>
              <w:jc w:val="right"/>
              <w:rPr>
                <w:sz w:val="16"/>
                <w:szCs w:val="16"/>
              </w:rPr>
            </w:pPr>
            <w:r w:rsidRPr="00662611">
              <w:rPr>
                <w:sz w:val="16"/>
                <w:szCs w:val="16"/>
              </w:rPr>
              <w:t xml:space="preserve">32 </w:t>
            </w:r>
          </w:p>
        </w:tc>
        <w:tc>
          <w:tcPr>
            <w:tcW w:w="510" w:type="dxa"/>
            <w:tcBorders>
              <w:top w:val="single" w:sz="4" w:space="0" w:color="auto"/>
              <w:left w:val="single" w:sz="4" w:space="0" w:color="auto"/>
              <w:bottom w:val="single" w:sz="4" w:space="0" w:color="auto"/>
              <w:right w:val="single" w:sz="4" w:space="0" w:color="auto"/>
            </w:tcBorders>
            <w:vAlign w:val="center"/>
          </w:tcPr>
          <w:p w14:paraId="7D9274BE" w14:textId="77777777" w:rsidR="00767770" w:rsidRPr="00662611" w:rsidRDefault="00767770" w:rsidP="00F07ACA">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BF" w14:textId="77777777" w:rsidR="00767770" w:rsidRPr="00662611" w:rsidRDefault="00767770" w:rsidP="00F07ACA">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C0" w14:textId="77777777" w:rsidR="00767770" w:rsidRPr="00662611" w:rsidRDefault="00767770" w:rsidP="00F07ACA">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C1" w14:textId="77777777" w:rsidR="00767770" w:rsidRPr="00662611" w:rsidRDefault="00767770" w:rsidP="00F07ACA">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C2" w14:textId="77777777" w:rsidR="00767770" w:rsidRPr="00662611" w:rsidRDefault="00767770" w:rsidP="00F07ACA">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C3" w14:textId="77777777" w:rsidR="00767770" w:rsidRPr="00662611" w:rsidRDefault="00767770" w:rsidP="00F07ACA">
            <w:pPr>
              <w:pStyle w:val="Default"/>
              <w:spacing w:before="40" w:after="40"/>
              <w:jc w:val="right"/>
              <w:rPr>
                <w:sz w:val="16"/>
                <w:szCs w:val="16"/>
              </w:rPr>
            </w:pPr>
            <w:r w:rsidRPr="00662611">
              <w:rPr>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14:paraId="7D9274C4" w14:textId="77777777" w:rsidR="00767770" w:rsidRPr="00662611" w:rsidRDefault="00767770" w:rsidP="00F07ACA">
            <w:pPr>
              <w:pStyle w:val="Default"/>
              <w:spacing w:before="40" w:after="40"/>
              <w:jc w:val="right"/>
              <w:rPr>
                <w:sz w:val="16"/>
                <w:szCs w:val="16"/>
              </w:rPr>
            </w:pPr>
            <w:r w:rsidRPr="00662611">
              <w:rPr>
                <w:sz w:val="16"/>
                <w:szCs w:val="16"/>
              </w:rPr>
              <w:t>–</w:t>
            </w:r>
          </w:p>
        </w:tc>
        <w:tc>
          <w:tcPr>
            <w:tcW w:w="510" w:type="dxa"/>
            <w:tcBorders>
              <w:top w:val="single" w:sz="4" w:space="0" w:color="auto"/>
              <w:left w:val="single" w:sz="4" w:space="0" w:color="auto"/>
              <w:bottom w:val="single" w:sz="4" w:space="0" w:color="auto"/>
              <w:right w:val="single" w:sz="4" w:space="0" w:color="auto"/>
            </w:tcBorders>
            <w:vAlign w:val="center"/>
          </w:tcPr>
          <w:p w14:paraId="7D9274C5" w14:textId="77777777" w:rsidR="00767770" w:rsidRPr="00662611" w:rsidRDefault="00767770" w:rsidP="00F07ACA">
            <w:pPr>
              <w:pStyle w:val="Default"/>
              <w:spacing w:before="40" w:after="40"/>
              <w:jc w:val="right"/>
              <w:rPr>
                <w:sz w:val="16"/>
                <w:szCs w:val="16"/>
              </w:rPr>
            </w:pPr>
            <w:r w:rsidRPr="00662611">
              <w:rPr>
                <w:sz w:val="16"/>
                <w:szCs w:val="16"/>
              </w:rPr>
              <w:t>–</w:t>
            </w:r>
          </w:p>
        </w:tc>
        <w:tc>
          <w:tcPr>
            <w:tcW w:w="570" w:type="dxa"/>
            <w:tcBorders>
              <w:top w:val="single" w:sz="4" w:space="0" w:color="auto"/>
              <w:left w:val="single" w:sz="4" w:space="0" w:color="auto"/>
              <w:bottom w:val="single" w:sz="4" w:space="0" w:color="auto"/>
              <w:right w:val="single" w:sz="4" w:space="0" w:color="auto"/>
            </w:tcBorders>
            <w:vAlign w:val="center"/>
          </w:tcPr>
          <w:p w14:paraId="7D9274C6" w14:textId="77777777" w:rsidR="00767770" w:rsidRPr="00662611" w:rsidRDefault="00767770" w:rsidP="00F07ACA">
            <w:pPr>
              <w:pStyle w:val="Default"/>
              <w:spacing w:before="40" w:after="40"/>
              <w:jc w:val="right"/>
              <w:rPr>
                <w:sz w:val="16"/>
                <w:szCs w:val="16"/>
              </w:rPr>
            </w:pPr>
            <w:r w:rsidRPr="00662611">
              <w:rPr>
                <w:sz w:val="16"/>
                <w:szCs w:val="16"/>
              </w:rPr>
              <w:t>32</w:t>
            </w:r>
          </w:p>
        </w:tc>
      </w:tr>
      <w:tr w:rsidR="00767770" w:rsidRPr="00662611" w14:paraId="7D9274CD" w14:textId="77777777" w:rsidTr="00DF423F">
        <w:trPr>
          <w:trHeight w:val="344"/>
        </w:trPr>
        <w:tc>
          <w:tcPr>
            <w:tcW w:w="8486" w:type="dxa"/>
            <w:gridSpan w:val="12"/>
            <w:tcBorders>
              <w:top w:val="single" w:sz="4" w:space="0" w:color="auto"/>
              <w:left w:val="single" w:sz="4" w:space="0" w:color="auto"/>
              <w:bottom w:val="single" w:sz="4" w:space="0" w:color="auto"/>
              <w:right w:val="single" w:sz="4" w:space="0" w:color="auto"/>
            </w:tcBorders>
          </w:tcPr>
          <w:p w14:paraId="7D9274C8" w14:textId="77777777" w:rsidR="00767770" w:rsidRPr="00662611" w:rsidRDefault="00767770" w:rsidP="00426F9C">
            <w:pPr>
              <w:pStyle w:val="Default"/>
              <w:spacing w:before="40" w:after="40"/>
              <w:jc w:val="both"/>
              <w:rPr>
                <w:sz w:val="16"/>
                <w:szCs w:val="16"/>
              </w:rPr>
            </w:pPr>
            <w:r w:rsidRPr="00662611">
              <w:rPr>
                <w:b/>
                <w:bCs/>
                <w:sz w:val="16"/>
                <w:szCs w:val="16"/>
              </w:rPr>
              <w:t xml:space="preserve">NOTES: </w:t>
            </w:r>
          </w:p>
          <w:p w14:paraId="7D9274C9" w14:textId="1521B4A4" w:rsidR="00767770" w:rsidRPr="00662611" w:rsidRDefault="00767770" w:rsidP="00942FDB">
            <w:pPr>
              <w:pStyle w:val="Default"/>
              <w:numPr>
                <w:ilvl w:val="3"/>
                <w:numId w:val="11"/>
              </w:numPr>
              <w:spacing w:before="40" w:after="40"/>
              <w:ind w:left="357" w:hanging="357"/>
              <w:jc w:val="both"/>
              <w:rPr>
                <w:sz w:val="16"/>
                <w:szCs w:val="16"/>
              </w:rPr>
            </w:pPr>
            <w:r w:rsidRPr="00662611">
              <w:rPr>
                <w:sz w:val="16"/>
                <w:szCs w:val="16"/>
              </w:rPr>
              <w:t xml:space="preserve">Depreciation in years 3–8 reflects the depreciation on the </w:t>
            </w:r>
            <w:r w:rsidR="009F6DF7" w:rsidRPr="00662611">
              <w:rPr>
                <w:sz w:val="16"/>
                <w:szCs w:val="16"/>
              </w:rPr>
              <w:t xml:space="preserve">original </w:t>
            </w:r>
            <w:r w:rsidRPr="00662611">
              <w:rPr>
                <w:sz w:val="16"/>
                <w:szCs w:val="16"/>
              </w:rPr>
              <w:t xml:space="preserve">road. </w:t>
            </w:r>
            <w:r w:rsidR="009F6DF7" w:rsidRPr="00662611">
              <w:rPr>
                <w:sz w:val="16"/>
                <w:szCs w:val="16"/>
              </w:rPr>
              <w:t>The road surface</w:t>
            </w:r>
            <w:r w:rsidRPr="00662611">
              <w:rPr>
                <w:sz w:val="16"/>
                <w:szCs w:val="16"/>
              </w:rPr>
              <w:t xml:space="preserve"> is fully depreciated over that period. Depreciation in years 9–10 reflects the depreciation on the new service concession asset component (</w:t>
            </w:r>
            <w:r w:rsidR="009F6DF7" w:rsidRPr="00662611">
              <w:rPr>
                <w:sz w:val="16"/>
                <w:szCs w:val="16"/>
              </w:rPr>
              <w:t xml:space="preserve">the replacement </w:t>
            </w:r>
            <w:r w:rsidRPr="00662611">
              <w:rPr>
                <w:sz w:val="16"/>
                <w:szCs w:val="16"/>
              </w:rPr>
              <w:t>surface) recognised in year 8.</w:t>
            </w:r>
            <w:r w:rsidR="0007541D" w:rsidRPr="00662611">
              <w:rPr>
                <w:sz w:val="16"/>
                <w:szCs w:val="16"/>
              </w:rPr>
              <w:t xml:space="preserve"> The depreciation calculations are set out in paragraph</w:t>
            </w:r>
            <w:r w:rsidR="00970F4C">
              <w:rPr>
                <w:sz w:val="16"/>
                <w:szCs w:val="16"/>
              </w:rPr>
              <w:t xml:space="preserve"> </w:t>
            </w:r>
            <w:r w:rsidR="00970F4C">
              <w:rPr>
                <w:sz w:val="16"/>
                <w:szCs w:val="16"/>
              </w:rPr>
              <w:fldChar w:fldCharType="begin"/>
            </w:r>
            <w:r w:rsidR="00970F4C">
              <w:rPr>
                <w:sz w:val="16"/>
                <w:szCs w:val="16"/>
              </w:rPr>
              <w:instrText xml:space="preserve"> REF _Ref486194596 \r \h </w:instrText>
            </w:r>
            <w:r w:rsidR="00970F4C">
              <w:rPr>
                <w:sz w:val="16"/>
                <w:szCs w:val="16"/>
              </w:rPr>
            </w:r>
            <w:r w:rsidR="00970F4C">
              <w:rPr>
                <w:sz w:val="16"/>
                <w:szCs w:val="16"/>
              </w:rPr>
              <w:fldChar w:fldCharType="separate"/>
            </w:r>
            <w:r w:rsidR="00C43128">
              <w:rPr>
                <w:sz w:val="16"/>
                <w:szCs w:val="16"/>
              </w:rPr>
              <w:t>IE9</w:t>
            </w:r>
            <w:r w:rsidR="00970F4C">
              <w:rPr>
                <w:sz w:val="16"/>
                <w:szCs w:val="16"/>
              </w:rPr>
              <w:fldChar w:fldCharType="end"/>
            </w:r>
            <w:r w:rsidR="0007541D" w:rsidRPr="00662611">
              <w:rPr>
                <w:sz w:val="16"/>
                <w:szCs w:val="16"/>
              </w:rPr>
              <w:t>.</w:t>
            </w:r>
          </w:p>
          <w:p w14:paraId="7D9274CA" w14:textId="77777777" w:rsidR="00767770" w:rsidRPr="00662611" w:rsidRDefault="00767770" w:rsidP="00942FDB">
            <w:pPr>
              <w:pStyle w:val="Default"/>
              <w:numPr>
                <w:ilvl w:val="3"/>
                <w:numId w:val="11"/>
              </w:numPr>
              <w:spacing w:before="40" w:after="40"/>
              <w:ind w:left="357" w:hanging="357"/>
              <w:jc w:val="both"/>
              <w:rPr>
                <w:sz w:val="16"/>
                <w:szCs w:val="16"/>
              </w:rPr>
            </w:pPr>
            <w:r w:rsidRPr="00662611">
              <w:rPr>
                <w:sz w:val="16"/>
                <w:szCs w:val="16"/>
              </w:rPr>
              <w:t>Although these Illustrative Examples use a straight-line depreciation method, it is not intended that this method be used in all cases. Paragraph 60 of AASB 116 requires that, “The depreciation method used shall reflect the pattern in which the asset’s future economic benefits are expected to be consumed by the entity.” Likewise, for intangible assets, paragraph 97 of AASB 138 requires that, “The depreciable amount of an intangible asset with a finite useful life shall be allocated on a systematic basis over its useful life.”</w:t>
            </w:r>
          </w:p>
          <w:p w14:paraId="7D9274CB" w14:textId="77777777" w:rsidR="00F07ACA" w:rsidRPr="00662611" w:rsidRDefault="00767770" w:rsidP="00767770">
            <w:pPr>
              <w:pStyle w:val="Default"/>
              <w:tabs>
                <w:tab w:val="left" w:pos="349"/>
              </w:tabs>
              <w:spacing w:before="40" w:after="40"/>
              <w:jc w:val="both"/>
              <w:rPr>
                <w:sz w:val="16"/>
                <w:szCs w:val="16"/>
              </w:rPr>
            </w:pPr>
            <w:r w:rsidRPr="00662611">
              <w:rPr>
                <w:sz w:val="16"/>
                <w:szCs w:val="16"/>
              </w:rPr>
              <w:t>*</w:t>
            </w:r>
            <w:r w:rsidRPr="00662611">
              <w:rPr>
                <w:sz w:val="16"/>
                <w:szCs w:val="16"/>
              </w:rPr>
              <w:tab/>
              <w:t>Financ</w:t>
            </w:r>
            <w:r w:rsidR="0007541D" w:rsidRPr="00662611">
              <w:rPr>
                <w:sz w:val="16"/>
                <w:szCs w:val="16"/>
              </w:rPr>
              <w:t>ial</w:t>
            </w:r>
            <w:r w:rsidRPr="00662611">
              <w:rPr>
                <w:sz w:val="16"/>
                <w:szCs w:val="16"/>
              </w:rPr>
              <w:t xml:space="preserve"> liability at start of year (Table 6.4</w:t>
            </w:r>
            <w:r w:rsidR="006F0B03" w:rsidRPr="00662611">
              <w:rPr>
                <w:sz w:val="16"/>
                <w:szCs w:val="16"/>
              </w:rPr>
              <w:t>) x 6.18%</w:t>
            </w:r>
            <w:r w:rsidR="0007541D" w:rsidRPr="00662611">
              <w:rPr>
                <w:sz w:val="16"/>
                <w:szCs w:val="16"/>
              </w:rPr>
              <w:t>.</w:t>
            </w:r>
          </w:p>
          <w:p w14:paraId="7D9274CC" w14:textId="1CBF62BF" w:rsidR="00767770" w:rsidRPr="00662611" w:rsidRDefault="00F07ACA" w:rsidP="00835E4A">
            <w:pPr>
              <w:pStyle w:val="Default"/>
              <w:tabs>
                <w:tab w:val="left" w:pos="349"/>
              </w:tabs>
              <w:spacing w:before="40" w:after="40"/>
              <w:ind w:left="349" w:hanging="349"/>
              <w:jc w:val="both"/>
              <w:rPr>
                <w:sz w:val="16"/>
                <w:szCs w:val="16"/>
              </w:rPr>
            </w:pPr>
            <w:r w:rsidRPr="00662611">
              <w:rPr>
                <w:sz w:val="16"/>
                <w:szCs w:val="16"/>
              </w:rPr>
              <w:t>†</w:t>
            </w:r>
            <w:r w:rsidRPr="00662611">
              <w:rPr>
                <w:rFonts w:ascii="Lucida Sans Unicode" w:hAnsi="Lucida Sans Unicode" w:cs="Lucida Sans Unicode"/>
                <w:sz w:val="16"/>
                <w:szCs w:val="16"/>
              </w:rPr>
              <w:tab/>
            </w:r>
            <w:r w:rsidRPr="00662611">
              <w:rPr>
                <w:sz w:val="16"/>
                <w:szCs w:val="16"/>
              </w:rPr>
              <w:t xml:space="preserve">Adjustment of current replacement cost to include </w:t>
            </w:r>
            <w:r w:rsidR="00835E4A">
              <w:rPr>
                <w:sz w:val="16"/>
                <w:szCs w:val="16"/>
              </w:rPr>
              <w:t>funding cost</w:t>
            </w:r>
            <w:r w:rsidRPr="00662611">
              <w:rPr>
                <w:sz w:val="16"/>
                <w:szCs w:val="16"/>
              </w:rPr>
              <w:t xml:space="preserve"> in measuring the service concession asset in year 2, since the grantor’s accounting policy is to expense borrowing costs</w:t>
            </w:r>
            <w:r w:rsidR="0007541D" w:rsidRPr="00662611">
              <w:rPr>
                <w:sz w:val="16"/>
                <w:szCs w:val="16"/>
              </w:rPr>
              <w:t>.</w:t>
            </w:r>
          </w:p>
        </w:tc>
      </w:tr>
    </w:tbl>
    <w:p w14:paraId="7D9274CE" w14:textId="77777777" w:rsidR="00860505" w:rsidRPr="00662611" w:rsidRDefault="00860505" w:rsidP="00FC0BF3">
      <w:pPr>
        <w:pStyle w:val="NumBC1"/>
        <w:numPr>
          <w:ilvl w:val="0"/>
          <w:numId w:val="0"/>
        </w:numPr>
      </w:pPr>
    </w:p>
    <w:p w14:paraId="7D9274CF" w14:textId="77777777" w:rsidR="00CF1523" w:rsidRPr="00662611" w:rsidRDefault="00CF1523">
      <w:pPr>
        <w:rPr>
          <w:b/>
          <w:bCs/>
          <w:sz w:val="20"/>
          <w:szCs w:val="20"/>
        </w:rPr>
      </w:pPr>
      <w:r w:rsidRPr="00662611">
        <w:rPr>
          <w:b/>
          <w:bCs/>
        </w:rPr>
        <w:br w:type="page"/>
      </w:r>
    </w:p>
    <w:p w14:paraId="7D9274D0" w14:textId="3F27B2B0" w:rsidR="00913043" w:rsidRPr="00662611" w:rsidRDefault="00913043" w:rsidP="00FB21C0">
      <w:pPr>
        <w:pStyle w:val="NumBC1"/>
        <w:numPr>
          <w:ilvl w:val="0"/>
          <w:numId w:val="0"/>
        </w:numPr>
        <w:ind w:left="782"/>
        <w:outlineLvl w:val="3"/>
        <w:rPr>
          <w:b/>
          <w:bCs/>
          <w:sz w:val="19"/>
          <w:szCs w:val="19"/>
        </w:rPr>
      </w:pPr>
      <w:r w:rsidRPr="00662611">
        <w:rPr>
          <w:b/>
          <w:bCs/>
          <w:sz w:val="19"/>
          <w:szCs w:val="19"/>
        </w:rPr>
        <w:lastRenderedPageBreak/>
        <w:t xml:space="preserve">Table </w:t>
      </w:r>
      <w:proofErr w:type="gramStart"/>
      <w:r w:rsidR="0007541D" w:rsidRPr="00662611">
        <w:rPr>
          <w:b/>
          <w:bCs/>
          <w:sz w:val="19"/>
          <w:szCs w:val="19"/>
        </w:rPr>
        <w:t>6</w:t>
      </w:r>
      <w:r w:rsidRPr="00662611">
        <w:rPr>
          <w:b/>
          <w:bCs/>
          <w:sz w:val="19"/>
          <w:szCs w:val="19"/>
        </w:rPr>
        <w:t xml:space="preserve">.3 </w:t>
      </w:r>
      <w:r w:rsidR="00DC7EF3" w:rsidRPr="00662611">
        <w:rPr>
          <w:b/>
          <w:bCs/>
          <w:sz w:val="19"/>
          <w:szCs w:val="19"/>
        </w:rPr>
        <w:t xml:space="preserve"> </w:t>
      </w:r>
      <w:r w:rsidRPr="00662611">
        <w:rPr>
          <w:b/>
          <w:bCs/>
          <w:sz w:val="19"/>
          <w:szCs w:val="19"/>
        </w:rPr>
        <w:t>Statement</w:t>
      </w:r>
      <w:proofErr w:type="gramEnd"/>
      <w:r w:rsidRPr="00662611">
        <w:rPr>
          <w:b/>
          <w:bCs/>
          <w:sz w:val="19"/>
          <w:szCs w:val="19"/>
        </w:rPr>
        <w:t xml:space="preserve"> of </w:t>
      </w:r>
      <w:r w:rsidR="00DE6BF2" w:rsidRPr="00662611">
        <w:rPr>
          <w:b/>
          <w:bCs/>
          <w:sz w:val="19"/>
          <w:szCs w:val="19"/>
        </w:rPr>
        <w:t>financial position (currency uni</w:t>
      </w:r>
      <w:r w:rsidRPr="00662611">
        <w:rPr>
          <w:b/>
          <w:bCs/>
          <w:sz w:val="19"/>
          <w:szCs w:val="19"/>
        </w:rPr>
        <w:t>ts)</w:t>
      </w:r>
    </w:p>
    <w:tbl>
      <w:tblPr>
        <w:tblW w:w="8249" w:type="dxa"/>
        <w:tblInd w:w="828" w:type="dxa"/>
        <w:tblBorders>
          <w:top w:val="nil"/>
          <w:left w:val="nil"/>
          <w:bottom w:val="nil"/>
          <w:right w:val="nil"/>
        </w:tblBorders>
        <w:tblLayout w:type="fixed"/>
        <w:tblCellMar>
          <w:left w:w="0" w:type="dxa"/>
          <w:right w:w="0" w:type="dxa"/>
        </w:tblCellMar>
        <w:tblLook w:val="0000" w:firstRow="0" w:lastRow="0" w:firstColumn="0" w:lastColumn="0" w:noHBand="0" w:noVBand="0"/>
        <w:tblCaption w:val="Table 6.3 Statement of Financial Position (Currency Units)"/>
        <w:tblDescription w:val="Table 6.3 shows the impact of the service concession asset on the grantor's statement of financial position in years 1–10. The cumulative surplus or deficit is the sum of total service concession asset (comprising base layers, original surface layer and replacement surface layer), cash and financial liability.  "/>
      </w:tblPr>
      <w:tblGrid>
        <w:gridCol w:w="2579"/>
        <w:gridCol w:w="567"/>
        <w:gridCol w:w="567"/>
        <w:gridCol w:w="567"/>
        <w:gridCol w:w="567"/>
        <w:gridCol w:w="567"/>
        <w:gridCol w:w="567"/>
        <w:gridCol w:w="567"/>
        <w:gridCol w:w="567"/>
        <w:gridCol w:w="567"/>
        <w:gridCol w:w="567"/>
      </w:tblGrid>
      <w:tr w:rsidR="00913043" w:rsidRPr="00662611" w14:paraId="7D9274DC" w14:textId="77777777" w:rsidTr="00C57275">
        <w:trPr>
          <w:trHeight w:val="107"/>
        </w:trPr>
        <w:tc>
          <w:tcPr>
            <w:tcW w:w="2579" w:type="dxa"/>
            <w:tcBorders>
              <w:top w:val="single" w:sz="4" w:space="0" w:color="auto"/>
              <w:left w:val="single" w:sz="4" w:space="0" w:color="auto"/>
              <w:bottom w:val="single" w:sz="4" w:space="0" w:color="auto"/>
              <w:right w:val="single" w:sz="4" w:space="0" w:color="auto"/>
            </w:tcBorders>
          </w:tcPr>
          <w:p w14:paraId="7D9274D1" w14:textId="77777777" w:rsidR="00913043" w:rsidRPr="00662611" w:rsidRDefault="00913043" w:rsidP="00913043">
            <w:pPr>
              <w:pStyle w:val="Default"/>
              <w:spacing w:before="40" w:after="40"/>
              <w:rPr>
                <w:sz w:val="16"/>
                <w:szCs w:val="16"/>
              </w:rPr>
            </w:pPr>
            <w:r w:rsidRPr="00662611">
              <w:rPr>
                <w:b/>
                <w:bCs/>
                <w:sz w:val="16"/>
                <w:szCs w:val="16"/>
              </w:rPr>
              <w:t xml:space="preserve">Year </w:t>
            </w:r>
          </w:p>
        </w:tc>
        <w:tc>
          <w:tcPr>
            <w:tcW w:w="567" w:type="dxa"/>
            <w:tcBorders>
              <w:top w:val="single" w:sz="4" w:space="0" w:color="auto"/>
              <w:left w:val="single" w:sz="4" w:space="0" w:color="auto"/>
              <w:bottom w:val="single" w:sz="4" w:space="0" w:color="auto"/>
              <w:right w:val="single" w:sz="4" w:space="0" w:color="auto"/>
            </w:tcBorders>
          </w:tcPr>
          <w:p w14:paraId="7D9274D2" w14:textId="77777777" w:rsidR="00913043" w:rsidRPr="00662611" w:rsidRDefault="00913043" w:rsidP="00913043">
            <w:pPr>
              <w:pStyle w:val="Default"/>
              <w:spacing w:before="40" w:after="40"/>
              <w:jc w:val="right"/>
              <w:rPr>
                <w:sz w:val="16"/>
                <w:szCs w:val="16"/>
              </w:rPr>
            </w:pPr>
            <w:r w:rsidRPr="00662611">
              <w:rPr>
                <w:b/>
                <w:bCs/>
                <w:sz w:val="16"/>
                <w:szCs w:val="16"/>
              </w:rPr>
              <w:t xml:space="preserve">1 </w:t>
            </w:r>
          </w:p>
        </w:tc>
        <w:tc>
          <w:tcPr>
            <w:tcW w:w="567" w:type="dxa"/>
            <w:tcBorders>
              <w:top w:val="single" w:sz="4" w:space="0" w:color="auto"/>
              <w:left w:val="single" w:sz="4" w:space="0" w:color="auto"/>
              <w:bottom w:val="single" w:sz="4" w:space="0" w:color="auto"/>
              <w:right w:val="single" w:sz="4" w:space="0" w:color="auto"/>
            </w:tcBorders>
          </w:tcPr>
          <w:p w14:paraId="7D9274D3" w14:textId="77777777" w:rsidR="00913043" w:rsidRPr="00662611" w:rsidRDefault="00913043" w:rsidP="00913043">
            <w:pPr>
              <w:pStyle w:val="Default"/>
              <w:spacing w:before="40" w:after="40"/>
              <w:jc w:val="right"/>
              <w:rPr>
                <w:sz w:val="16"/>
                <w:szCs w:val="16"/>
              </w:rPr>
            </w:pPr>
            <w:r w:rsidRPr="00662611">
              <w:rPr>
                <w:b/>
                <w:bCs/>
                <w:sz w:val="16"/>
                <w:szCs w:val="16"/>
              </w:rPr>
              <w:t xml:space="preserve">2 </w:t>
            </w:r>
          </w:p>
        </w:tc>
        <w:tc>
          <w:tcPr>
            <w:tcW w:w="567" w:type="dxa"/>
            <w:tcBorders>
              <w:top w:val="single" w:sz="4" w:space="0" w:color="auto"/>
              <w:left w:val="single" w:sz="4" w:space="0" w:color="auto"/>
              <w:bottom w:val="single" w:sz="4" w:space="0" w:color="auto"/>
              <w:right w:val="single" w:sz="4" w:space="0" w:color="auto"/>
            </w:tcBorders>
          </w:tcPr>
          <w:p w14:paraId="7D9274D4" w14:textId="77777777" w:rsidR="00913043" w:rsidRPr="00662611" w:rsidRDefault="00913043" w:rsidP="00913043">
            <w:pPr>
              <w:pStyle w:val="Default"/>
              <w:spacing w:before="40" w:after="40"/>
              <w:jc w:val="right"/>
              <w:rPr>
                <w:sz w:val="16"/>
                <w:szCs w:val="16"/>
              </w:rPr>
            </w:pPr>
            <w:r w:rsidRPr="00662611">
              <w:rPr>
                <w:b/>
                <w:bCs/>
                <w:sz w:val="16"/>
                <w:szCs w:val="16"/>
              </w:rPr>
              <w:t xml:space="preserve">3 </w:t>
            </w:r>
          </w:p>
        </w:tc>
        <w:tc>
          <w:tcPr>
            <w:tcW w:w="567" w:type="dxa"/>
            <w:tcBorders>
              <w:top w:val="single" w:sz="4" w:space="0" w:color="auto"/>
              <w:left w:val="single" w:sz="4" w:space="0" w:color="auto"/>
              <w:bottom w:val="single" w:sz="4" w:space="0" w:color="auto"/>
              <w:right w:val="single" w:sz="4" w:space="0" w:color="auto"/>
            </w:tcBorders>
          </w:tcPr>
          <w:p w14:paraId="7D9274D5" w14:textId="77777777" w:rsidR="00913043" w:rsidRPr="00662611" w:rsidRDefault="00913043" w:rsidP="00913043">
            <w:pPr>
              <w:pStyle w:val="Default"/>
              <w:spacing w:before="40" w:after="40"/>
              <w:jc w:val="right"/>
              <w:rPr>
                <w:sz w:val="16"/>
                <w:szCs w:val="16"/>
              </w:rPr>
            </w:pPr>
            <w:r w:rsidRPr="00662611">
              <w:rPr>
                <w:b/>
                <w:bCs/>
                <w:sz w:val="16"/>
                <w:szCs w:val="16"/>
              </w:rPr>
              <w:t xml:space="preserve">4 </w:t>
            </w:r>
          </w:p>
        </w:tc>
        <w:tc>
          <w:tcPr>
            <w:tcW w:w="567" w:type="dxa"/>
            <w:tcBorders>
              <w:top w:val="single" w:sz="4" w:space="0" w:color="auto"/>
              <w:left w:val="single" w:sz="4" w:space="0" w:color="auto"/>
              <w:bottom w:val="single" w:sz="4" w:space="0" w:color="auto"/>
              <w:right w:val="single" w:sz="4" w:space="0" w:color="auto"/>
            </w:tcBorders>
          </w:tcPr>
          <w:p w14:paraId="7D9274D6" w14:textId="77777777" w:rsidR="00913043" w:rsidRPr="00662611" w:rsidRDefault="00913043" w:rsidP="00913043">
            <w:pPr>
              <w:pStyle w:val="Default"/>
              <w:spacing w:before="40" w:after="40"/>
              <w:jc w:val="right"/>
              <w:rPr>
                <w:sz w:val="16"/>
                <w:szCs w:val="16"/>
              </w:rPr>
            </w:pPr>
            <w:r w:rsidRPr="00662611">
              <w:rPr>
                <w:b/>
                <w:bCs/>
                <w:sz w:val="16"/>
                <w:szCs w:val="16"/>
              </w:rPr>
              <w:t xml:space="preserve">5 </w:t>
            </w:r>
          </w:p>
        </w:tc>
        <w:tc>
          <w:tcPr>
            <w:tcW w:w="567" w:type="dxa"/>
            <w:tcBorders>
              <w:top w:val="single" w:sz="4" w:space="0" w:color="auto"/>
              <w:left w:val="single" w:sz="4" w:space="0" w:color="auto"/>
              <w:bottom w:val="single" w:sz="4" w:space="0" w:color="auto"/>
              <w:right w:val="single" w:sz="4" w:space="0" w:color="auto"/>
            </w:tcBorders>
          </w:tcPr>
          <w:p w14:paraId="7D9274D7" w14:textId="77777777" w:rsidR="00913043" w:rsidRPr="00662611" w:rsidRDefault="00913043" w:rsidP="00913043">
            <w:pPr>
              <w:pStyle w:val="Default"/>
              <w:spacing w:before="40" w:after="40"/>
              <w:jc w:val="right"/>
              <w:rPr>
                <w:sz w:val="16"/>
                <w:szCs w:val="16"/>
              </w:rPr>
            </w:pPr>
            <w:r w:rsidRPr="00662611">
              <w:rPr>
                <w:b/>
                <w:bCs/>
                <w:sz w:val="16"/>
                <w:szCs w:val="16"/>
              </w:rPr>
              <w:t xml:space="preserve">6 </w:t>
            </w:r>
          </w:p>
        </w:tc>
        <w:tc>
          <w:tcPr>
            <w:tcW w:w="567" w:type="dxa"/>
            <w:tcBorders>
              <w:top w:val="single" w:sz="4" w:space="0" w:color="auto"/>
              <w:left w:val="single" w:sz="4" w:space="0" w:color="auto"/>
              <w:bottom w:val="single" w:sz="4" w:space="0" w:color="auto"/>
              <w:right w:val="single" w:sz="4" w:space="0" w:color="auto"/>
            </w:tcBorders>
          </w:tcPr>
          <w:p w14:paraId="7D9274D8" w14:textId="77777777" w:rsidR="00913043" w:rsidRPr="00662611" w:rsidRDefault="00913043" w:rsidP="00913043">
            <w:pPr>
              <w:pStyle w:val="Default"/>
              <w:spacing w:before="40" w:after="40"/>
              <w:jc w:val="right"/>
              <w:rPr>
                <w:sz w:val="16"/>
                <w:szCs w:val="16"/>
              </w:rPr>
            </w:pPr>
            <w:r w:rsidRPr="00662611">
              <w:rPr>
                <w:b/>
                <w:bCs/>
                <w:sz w:val="16"/>
                <w:szCs w:val="16"/>
              </w:rPr>
              <w:t xml:space="preserve">7 </w:t>
            </w:r>
          </w:p>
        </w:tc>
        <w:tc>
          <w:tcPr>
            <w:tcW w:w="567" w:type="dxa"/>
            <w:tcBorders>
              <w:top w:val="single" w:sz="4" w:space="0" w:color="auto"/>
              <w:left w:val="single" w:sz="4" w:space="0" w:color="auto"/>
              <w:bottom w:val="single" w:sz="4" w:space="0" w:color="auto"/>
              <w:right w:val="single" w:sz="4" w:space="0" w:color="auto"/>
            </w:tcBorders>
          </w:tcPr>
          <w:p w14:paraId="7D9274D9" w14:textId="77777777" w:rsidR="00913043" w:rsidRPr="00662611" w:rsidRDefault="00913043" w:rsidP="00913043">
            <w:pPr>
              <w:pStyle w:val="Default"/>
              <w:spacing w:before="40" w:after="40"/>
              <w:jc w:val="right"/>
              <w:rPr>
                <w:sz w:val="16"/>
                <w:szCs w:val="16"/>
              </w:rPr>
            </w:pPr>
            <w:r w:rsidRPr="00662611">
              <w:rPr>
                <w:b/>
                <w:bCs/>
                <w:sz w:val="16"/>
                <w:szCs w:val="16"/>
              </w:rPr>
              <w:t xml:space="preserve">8 </w:t>
            </w:r>
          </w:p>
        </w:tc>
        <w:tc>
          <w:tcPr>
            <w:tcW w:w="567" w:type="dxa"/>
            <w:tcBorders>
              <w:top w:val="single" w:sz="4" w:space="0" w:color="auto"/>
              <w:left w:val="single" w:sz="4" w:space="0" w:color="auto"/>
              <w:bottom w:val="single" w:sz="4" w:space="0" w:color="auto"/>
              <w:right w:val="single" w:sz="4" w:space="0" w:color="auto"/>
            </w:tcBorders>
          </w:tcPr>
          <w:p w14:paraId="7D9274DA" w14:textId="77777777" w:rsidR="00913043" w:rsidRPr="00662611" w:rsidRDefault="00913043" w:rsidP="00913043">
            <w:pPr>
              <w:pStyle w:val="Default"/>
              <w:spacing w:before="40" w:after="40"/>
              <w:jc w:val="right"/>
              <w:rPr>
                <w:sz w:val="16"/>
                <w:szCs w:val="16"/>
              </w:rPr>
            </w:pPr>
            <w:r w:rsidRPr="00662611">
              <w:rPr>
                <w:b/>
                <w:bCs/>
                <w:sz w:val="16"/>
                <w:szCs w:val="16"/>
              </w:rPr>
              <w:t xml:space="preserve">9 </w:t>
            </w:r>
          </w:p>
        </w:tc>
        <w:tc>
          <w:tcPr>
            <w:tcW w:w="567" w:type="dxa"/>
            <w:tcBorders>
              <w:top w:val="single" w:sz="4" w:space="0" w:color="auto"/>
              <w:left w:val="single" w:sz="4" w:space="0" w:color="auto"/>
              <w:bottom w:val="single" w:sz="4" w:space="0" w:color="auto"/>
              <w:right w:val="single" w:sz="4" w:space="0" w:color="auto"/>
            </w:tcBorders>
          </w:tcPr>
          <w:p w14:paraId="7D9274DB" w14:textId="77777777" w:rsidR="00913043" w:rsidRPr="00662611" w:rsidRDefault="00913043" w:rsidP="00913043">
            <w:pPr>
              <w:pStyle w:val="Default"/>
              <w:spacing w:before="40" w:after="40"/>
              <w:jc w:val="right"/>
              <w:rPr>
                <w:sz w:val="16"/>
                <w:szCs w:val="16"/>
              </w:rPr>
            </w:pPr>
            <w:r w:rsidRPr="00662611">
              <w:rPr>
                <w:b/>
                <w:bCs/>
                <w:sz w:val="16"/>
                <w:szCs w:val="16"/>
              </w:rPr>
              <w:t xml:space="preserve">10 </w:t>
            </w:r>
          </w:p>
        </w:tc>
      </w:tr>
      <w:tr w:rsidR="00913043" w:rsidRPr="00662611" w14:paraId="7D9274E8" w14:textId="77777777" w:rsidTr="00C57275">
        <w:trPr>
          <w:trHeight w:val="465"/>
        </w:trPr>
        <w:tc>
          <w:tcPr>
            <w:tcW w:w="2579" w:type="dxa"/>
            <w:tcBorders>
              <w:top w:val="single" w:sz="4" w:space="0" w:color="auto"/>
              <w:left w:val="single" w:sz="4" w:space="0" w:color="auto"/>
              <w:bottom w:val="single" w:sz="4" w:space="0" w:color="auto"/>
              <w:right w:val="single" w:sz="4" w:space="0" w:color="auto"/>
            </w:tcBorders>
          </w:tcPr>
          <w:p w14:paraId="7D9274DD" w14:textId="70FED28A" w:rsidR="00913043" w:rsidRPr="00662611" w:rsidRDefault="00913043" w:rsidP="005A6257">
            <w:pPr>
              <w:pStyle w:val="Default"/>
              <w:rPr>
                <w:sz w:val="16"/>
                <w:szCs w:val="16"/>
              </w:rPr>
            </w:pPr>
            <w:r w:rsidRPr="00662611">
              <w:rPr>
                <w:sz w:val="16"/>
                <w:szCs w:val="16"/>
              </w:rPr>
              <w:t>Service concession asset</w:t>
            </w:r>
            <w:r w:rsidR="002B5CCC" w:rsidRPr="00662611">
              <w:rPr>
                <w:sz w:val="16"/>
                <w:szCs w:val="16"/>
              </w:rPr>
              <w:br/>
            </w:r>
            <w:r w:rsidRPr="00662611">
              <w:rPr>
                <w:sz w:val="16"/>
                <w:szCs w:val="16"/>
              </w:rPr>
              <w:t xml:space="preserve"> – base layers</w:t>
            </w:r>
            <w:r w:rsidR="0007541D"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DE" w14:textId="77777777" w:rsidR="00913043" w:rsidRPr="00662611" w:rsidRDefault="00913043" w:rsidP="00913043">
            <w:pPr>
              <w:pStyle w:val="Default"/>
              <w:spacing w:before="40" w:after="40"/>
              <w:jc w:val="right"/>
              <w:rPr>
                <w:sz w:val="16"/>
                <w:szCs w:val="16"/>
              </w:rPr>
            </w:pPr>
            <w:r w:rsidRPr="00662611">
              <w:rPr>
                <w:sz w:val="16"/>
                <w:szCs w:val="16"/>
              </w:rPr>
              <w:t xml:space="preserve">525 </w:t>
            </w:r>
          </w:p>
        </w:tc>
        <w:tc>
          <w:tcPr>
            <w:tcW w:w="567" w:type="dxa"/>
            <w:tcBorders>
              <w:top w:val="single" w:sz="4" w:space="0" w:color="auto"/>
              <w:left w:val="single" w:sz="4" w:space="0" w:color="auto"/>
              <w:bottom w:val="single" w:sz="4" w:space="0" w:color="auto"/>
              <w:right w:val="single" w:sz="4" w:space="0" w:color="auto"/>
            </w:tcBorders>
            <w:vAlign w:val="center"/>
          </w:tcPr>
          <w:p w14:paraId="7D9274DF" w14:textId="7ADFF8B5" w:rsidR="00913043" w:rsidRPr="00662611" w:rsidRDefault="006C7AC9" w:rsidP="006C7AC9">
            <w:pPr>
              <w:pStyle w:val="Default"/>
              <w:spacing w:before="40" w:after="40"/>
              <w:jc w:val="right"/>
              <w:rPr>
                <w:sz w:val="16"/>
                <w:szCs w:val="16"/>
              </w:rPr>
            </w:pPr>
            <w:r w:rsidRPr="00662611">
              <w:rPr>
                <w:sz w:val="16"/>
                <w:szCs w:val="16"/>
              </w:rPr>
              <w:t xml:space="preserve">972 </w:t>
            </w:r>
          </w:p>
        </w:tc>
        <w:tc>
          <w:tcPr>
            <w:tcW w:w="567" w:type="dxa"/>
            <w:tcBorders>
              <w:top w:val="single" w:sz="4" w:space="0" w:color="auto"/>
              <w:left w:val="single" w:sz="4" w:space="0" w:color="auto"/>
              <w:bottom w:val="single" w:sz="4" w:space="0" w:color="auto"/>
              <w:right w:val="single" w:sz="4" w:space="0" w:color="auto"/>
            </w:tcBorders>
            <w:vAlign w:val="center"/>
          </w:tcPr>
          <w:p w14:paraId="7D9274E0" w14:textId="7D552C44" w:rsidR="00913043" w:rsidRPr="00662611" w:rsidRDefault="006C7AC9" w:rsidP="006C7AC9">
            <w:pPr>
              <w:pStyle w:val="Default"/>
              <w:spacing w:before="40" w:after="40"/>
              <w:jc w:val="right"/>
              <w:rPr>
                <w:sz w:val="16"/>
                <w:szCs w:val="16"/>
              </w:rPr>
            </w:pPr>
            <w:r w:rsidRPr="00662611">
              <w:rPr>
                <w:sz w:val="16"/>
                <w:szCs w:val="16"/>
              </w:rPr>
              <w:t xml:space="preserve">933 </w:t>
            </w:r>
          </w:p>
        </w:tc>
        <w:tc>
          <w:tcPr>
            <w:tcW w:w="567" w:type="dxa"/>
            <w:tcBorders>
              <w:top w:val="single" w:sz="4" w:space="0" w:color="auto"/>
              <w:left w:val="single" w:sz="4" w:space="0" w:color="auto"/>
              <w:bottom w:val="single" w:sz="4" w:space="0" w:color="auto"/>
              <w:right w:val="single" w:sz="4" w:space="0" w:color="auto"/>
            </w:tcBorders>
            <w:vAlign w:val="center"/>
          </w:tcPr>
          <w:p w14:paraId="7D9274E1" w14:textId="479017ED" w:rsidR="00913043" w:rsidRPr="00662611" w:rsidRDefault="006C7AC9" w:rsidP="006C7AC9">
            <w:pPr>
              <w:pStyle w:val="Default"/>
              <w:spacing w:before="40" w:after="40"/>
              <w:jc w:val="right"/>
              <w:rPr>
                <w:sz w:val="16"/>
                <w:szCs w:val="16"/>
              </w:rPr>
            </w:pPr>
            <w:r w:rsidRPr="00662611">
              <w:rPr>
                <w:sz w:val="16"/>
                <w:szCs w:val="16"/>
              </w:rPr>
              <w:t xml:space="preserve">894 </w:t>
            </w:r>
          </w:p>
        </w:tc>
        <w:tc>
          <w:tcPr>
            <w:tcW w:w="567" w:type="dxa"/>
            <w:tcBorders>
              <w:top w:val="single" w:sz="4" w:space="0" w:color="auto"/>
              <w:left w:val="single" w:sz="4" w:space="0" w:color="auto"/>
              <w:bottom w:val="single" w:sz="4" w:space="0" w:color="auto"/>
              <w:right w:val="single" w:sz="4" w:space="0" w:color="auto"/>
            </w:tcBorders>
            <w:vAlign w:val="center"/>
          </w:tcPr>
          <w:p w14:paraId="7D9274E2" w14:textId="7DF2B63C" w:rsidR="00913043" w:rsidRPr="00662611" w:rsidRDefault="006C7AC9" w:rsidP="006C7AC9">
            <w:pPr>
              <w:pStyle w:val="Default"/>
              <w:spacing w:before="40" w:after="40"/>
              <w:jc w:val="right"/>
              <w:rPr>
                <w:sz w:val="16"/>
                <w:szCs w:val="16"/>
              </w:rPr>
            </w:pPr>
            <w:r w:rsidRPr="00662611">
              <w:rPr>
                <w:sz w:val="16"/>
                <w:szCs w:val="16"/>
              </w:rPr>
              <w:t>855</w:t>
            </w:r>
          </w:p>
        </w:tc>
        <w:tc>
          <w:tcPr>
            <w:tcW w:w="567" w:type="dxa"/>
            <w:tcBorders>
              <w:top w:val="single" w:sz="4" w:space="0" w:color="auto"/>
              <w:left w:val="single" w:sz="4" w:space="0" w:color="auto"/>
              <w:bottom w:val="single" w:sz="4" w:space="0" w:color="auto"/>
              <w:right w:val="single" w:sz="4" w:space="0" w:color="auto"/>
            </w:tcBorders>
            <w:vAlign w:val="center"/>
          </w:tcPr>
          <w:p w14:paraId="7D9274E3" w14:textId="63462583" w:rsidR="00913043" w:rsidRPr="00662611" w:rsidRDefault="006C7AC9" w:rsidP="00913043">
            <w:pPr>
              <w:pStyle w:val="Default"/>
              <w:spacing w:before="40" w:after="40"/>
              <w:jc w:val="right"/>
              <w:rPr>
                <w:sz w:val="16"/>
                <w:szCs w:val="16"/>
              </w:rPr>
            </w:pPr>
            <w:r w:rsidRPr="00662611">
              <w:rPr>
                <w:sz w:val="16"/>
                <w:szCs w:val="16"/>
              </w:rPr>
              <w:t xml:space="preserve">816 </w:t>
            </w:r>
          </w:p>
        </w:tc>
        <w:tc>
          <w:tcPr>
            <w:tcW w:w="567" w:type="dxa"/>
            <w:tcBorders>
              <w:top w:val="single" w:sz="4" w:space="0" w:color="auto"/>
              <w:left w:val="single" w:sz="4" w:space="0" w:color="auto"/>
              <w:bottom w:val="single" w:sz="4" w:space="0" w:color="auto"/>
              <w:right w:val="single" w:sz="4" w:space="0" w:color="auto"/>
            </w:tcBorders>
            <w:vAlign w:val="center"/>
          </w:tcPr>
          <w:p w14:paraId="7D9274E4" w14:textId="151A0D40" w:rsidR="00913043" w:rsidRPr="00662611" w:rsidRDefault="006C7AC9" w:rsidP="006C7AC9">
            <w:pPr>
              <w:pStyle w:val="Default"/>
              <w:spacing w:before="40" w:after="40"/>
              <w:jc w:val="right"/>
              <w:rPr>
                <w:sz w:val="16"/>
                <w:szCs w:val="16"/>
              </w:rPr>
            </w:pPr>
            <w:r w:rsidRPr="00662611">
              <w:rPr>
                <w:sz w:val="16"/>
                <w:szCs w:val="16"/>
              </w:rPr>
              <w:t xml:space="preserve">777 </w:t>
            </w:r>
          </w:p>
        </w:tc>
        <w:tc>
          <w:tcPr>
            <w:tcW w:w="567" w:type="dxa"/>
            <w:tcBorders>
              <w:top w:val="single" w:sz="4" w:space="0" w:color="auto"/>
              <w:left w:val="single" w:sz="4" w:space="0" w:color="auto"/>
              <w:bottom w:val="single" w:sz="4" w:space="0" w:color="auto"/>
              <w:right w:val="single" w:sz="4" w:space="0" w:color="auto"/>
            </w:tcBorders>
            <w:vAlign w:val="center"/>
          </w:tcPr>
          <w:p w14:paraId="7D9274E5" w14:textId="237B10FD" w:rsidR="00913043" w:rsidRPr="00662611" w:rsidRDefault="006C7AC9" w:rsidP="006C7AC9">
            <w:pPr>
              <w:pStyle w:val="Default"/>
              <w:spacing w:before="40" w:after="40"/>
              <w:jc w:val="right"/>
              <w:rPr>
                <w:sz w:val="16"/>
                <w:szCs w:val="16"/>
              </w:rPr>
            </w:pPr>
            <w:r w:rsidRPr="00662611">
              <w:rPr>
                <w:sz w:val="16"/>
                <w:szCs w:val="16"/>
              </w:rPr>
              <w:t>738</w:t>
            </w:r>
          </w:p>
        </w:tc>
        <w:tc>
          <w:tcPr>
            <w:tcW w:w="567" w:type="dxa"/>
            <w:tcBorders>
              <w:top w:val="single" w:sz="4" w:space="0" w:color="auto"/>
              <w:left w:val="single" w:sz="4" w:space="0" w:color="auto"/>
              <w:bottom w:val="single" w:sz="4" w:space="0" w:color="auto"/>
              <w:right w:val="single" w:sz="4" w:space="0" w:color="auto"/>
            </w:tcBorders>
            <w:vAlign w:val="center"/>
          </w:tcPr>
          <w:p w14:paraId="7D9274E6" w14:textId="4347915A" w:rsidR="00913043" w:rsidRPr="00662611" w:rsidRDefault="006C7AC9" w:rsidP="006C7AC9">
            <w:pPr>
              <w:pStyle w:val="Default"/>
              <w:spacing w:before="40" w:after="40"/>
              <w:jc w:val="right"/>
              <w:rPr>
                <w:sz w:val="16"/>
                <w:szCs w:val="16"/>
              </w:rPr>
            </w:pPr>
            <w:r w:rsidRPr="00662611">
              <w:rPr>
                <w:sz w:val="16"/>
                <w:szCs w:val="16"/>
              </w:rPr>
              <w:t xml:space="preserve">699 </w:t>
            </w:r>
          </w:p>
        </w:tc>
        <w:tc>
          <w:tcPr>
            <w:tcW w:w="567" w:type="dxa"/>
            <w:tcBorders>
              <w:top w:val="single" w:sz="4" w:space="0" w:color="auto"/>
              <w:left w:val="single" w:sz="4" w:space="0" w:color="auto"/>
              <w:bottom w:val="single" w:sz="4" w:space="0" w:color="auto"/>
              <w:right w:val="single" w:sz="4" w:space="0" w:color="auto"/>
            </w:tcBorders>
            <w:vAlign w:val="center"/>
          </w:tcPr>
          <w:p w14:paraId="7D9274E7" w14:textId="2BA00290" w:rsidR="00913043" w:rsidRPr="00662611" w:rsidRDefault="006C7AC9" w:rsidP="006C7AC9">
            <w:pPr>
              <w:pStyle w:val="Default"/>
              <w:spacing w:before="40" w:after="40"/>
              <w:jc w:val="right"/>
              <w:rPr>
                <w:sz w:val="16"/>
                <w:szCs w:val="16"/>
              </w:rPr>
            </w:pPr>
            <w:r w:rsidRPr="00662611">
              <w:rPr>
                <w:sz w:val="16"/>
                <w:szCs w:val="16"/>
              </w:rPr>
              <w:t xml:space="preserve">660 </w:t>
            </w:r>
          </w:p>
        </w:tc>
      </w:tr>
      <w:tr w:rsidR="00913043" w:rsidRPr="00662611" w14:paraId="7D9274F4" w14:textId="77777777" w:rsidTr="00C57275">
        <w:trPr>
          <w:trHeight w:val="465"/>
        </w:trPr>
        <w:tc>
          <w:tcPr>
            <w:tcW w:w="2579" w:type="dxa"/>
            <w:tcBorders>
              <w:top w:val="single" w:sz="4" w:space="0" w:color="auto"/>
              <w:left w:val="single" w:sz="4" w:space="0" w:color="auto"/>
              <w:bottom w:val="single" w:sz="4" w:space="0" w:color="auto"/>
              <w:right w:val="single" w:sz="4" w:space="0" w:color="auto"/>
            </w:tcBorders>
          </w:tcPr>
          <w:p w14:paraId="7D9274E9" w14:textId="77777777" w:rsidR="00913043" w:rsidRPr="00662611" w:rsidRDefault="00913043" w:rsidP="005A6257">
            <w:pPr>
              <w:pStyle w:val="Default"/>
              <w:rPr>
                <w:sz w:val="16"/>
                <w:szCs w:val="16"/>
              </w:rPr>
            </w:pPr>
            <w:r w:rsidRPr="00662611">
              <w:rPr>
                <w:sz w:val="16"/>
                <w:szCs w:val="16"/>
              </w:rPr>
              <w:t>Service concession asset</w:t>
            </w:r>
            <w:r w:rsidR="009E1F04" w:rsidRPr="00662611">
              <w:rPr>
                <w:sz w:val="16"/>
                <w:szCs w:val="16"/>
              </w:rPr>
              <w:br/>
            </w:r>
            <w:r w:rsidRPr="00662611">
              <w:rPr>
                <w:sz w:val="16"/>
                <w:szCs w:val="16"/>
              </w:rPr>
              <w:t xml:space="preserve"> – original surface layer</w:t>
            </w:r>
            <w:r w:rsidR="006142ED" w:rsidRPr="00662611">
              <w:rPr>
                <w:sz w:val="16"/>
                <w:szCs w:val="16"/>
              </w:rPr>
              <w:t>s *</w:t>
            </w:r>
          </w:p>
        </w:tc>
        <w:tc>
          <w:tcPr>
            <w:tcW w:w="567" w:type="dxa"/>
            <w:tcBorders>
              <w:top w:val="single" w:sz="4" w:space="0" w:color="auto"/>
              <w:left w:val="single" w:sz="4" w:space="0" w:color="auto"/>
              <w:bottom w:val="single" w:sz="4" w:space="0" w:color="auto"/>
              <w:right w:val="single" w:sz="4" w:space="0" w:color="auto"/>
            </w:tcBorders>
            <w:vAlign w:val="center"/>
          </w:tcPr>
          <w:p w14:paraId="7D9274EA"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EB" w14:textId="77777777" w:rsidR="00913043" w:rsidRPr="00662611" w:rsidRDefault="00913043" w:rsidP="00913043">
            <w:pPr>
              <w:pStyle w:val="Default"/>
              <w:spacing w:before="40" w:after="40"/>
              <w:jc w:val="right"/>
              <w:rPr>
                <w:sz w:val="16"/>
                <w:szCs w:val="16"/>
              </w:rPr>
            </w:pPr>
            <w:r w:rsidRPr="00662611">
              <w:rPr>
                <w:sz w:val="16"/>
                <w:szCs w:val="16"/>
              </w:rPr>
              <w:t xml:space="preserve">110 </w:t>
            </w:r>
          </w:p>
        </w:tc>
        <w:tc>
          <w:tcPr>
            <w:tcW w:w="567" w:type="dxa"/>
            <w:tcBorders>
              <w:top w:val="single" w:sz="4" w:space="0" w:color="auto"/>
              <w:left w:val="single" w:sz="4" w:space="0" w:color="auto"/>
              <w:bottom w:val="single" w:sz="4" w:space="0" w:color="auto"/>
              <w:right w:val="single" w:sz="4" w:space="0" w:color="auto"/>
            </w:tcBorders>
            <w:vAlign w:val="center"/>
          </w:tcPr>
          <w:p w14:paraId="7D9274EC" w14:textId="77777777" w:rsidR="00913043" w:rsidRPr="00662611" w:rsidRDefault="00913043" w:rsidP="00913043">
            <w:pPr>
              <w:pStyle w:val="Default"/>
              <w:spacing w:before="40" w:after="40"/>
              <w:jc w:val="right"/>
              <w:rPr>
                <w:sz w:val="16"/>
                <w:szCs w:val="16"/>
              </w:rPr>
            </w:pPr>
            <w:r w:rsidRPr="00662611">
              <w:rPr>
                <w:sz w:val="16"/>
                <w:szCs w:val="16"/>
              </w:rPr>
              <w:t xml:space="preserve">92 </w:t>
            </w:r>
          </w:p>
        </w:tc>
        <w:tc>
          <w:tcPr>
            <w:tcW w:w="567" w:type="dxa"/>
            <w:tcBorders>
              <w:top w:val="single" w:sz="4" w:space="0" w:color="auto"/>
              <w:left w:val="single" w:sz="4" w:space="0" w:color="auto"/>
              <w:bottom w:val="single" w:sz="4" w:space="0" w:color="auto"/>
              <w:right w:val="single" w:sz="4" w:space="0" w:color="auto"/>
            </w:tcBorders>
            <w:vAlign w:val="center"/>
          </w:tcPr>
          <w:p w14:paraId="7D9274ED" w14:textId="11C5ECF9" w:rsidR="00913043" w:rsidRPr="00662611" w:rsidRDefault="00913043" w:rsidP="00913043">
            <w:pPr>
              <w:pStyle w:val="Default"/>
              <w:spacing w:before="40" w:after="40"/>
              <w:jc w:val="right"/>
              <w:rPr>
                <w:sz w:val="16"/>
                <w:szCs w:val="16"/>
              </w:rPr>
            </w:pPr>
            <w:r w:rsidRPr="00662611">
              <w:rPr>
                <w:sz w:val="16"/>
                <w:szCs w:val="16"/>
              </w:rPr>
              <w:t>73</w:t>
            </w:r>
          </w:p>
        </w:tc>
        <w:tc>
          <w:tcPr>
            <w:tcW w:w="567" w:type="dxa"/>
            <w:tcBorders>
              <w:top w:val="single" w:sz="4" w:space="0" w:color="auto"/>
              <w:left w:val="single" w:sz="4" w:space="0" w:color="auto"/>
              <w:bottom w:val="single" w:sz="4" w:space="0" w:color="auto"/>
              <w:right w:val="single" w:sz="4" w:space="0" w:color="auto"/>
            </w:tcBorders>
            <w:vAlign w:val="center"/>
          </w:tcPr>
          <w:p w14:paraId="7D9274EE" w14:textId="77777777" w:rsidR="00913043" w:rsidRPr="00662611" w:rsidRDefault="00913043" w:rsidP="00913043">
            <w:pPr>
              <w:pStyle w:val="Default"/>
              <w:spacing w:before="40" w:after="40"/>
              <w:jc w:val="right"/>
              <w:rPr>
                <w:sz w:val="16"/>
                <w:szCs w:val="16"/>
              </w:rPr>
            </w:pPr>
            <w:r w:rsidRPr="00662611">
              <w:rPr>
                <w:sz w:val="16"/>
                <w:szCs w:val="16"/>
              </w:rPr>
              <w:t xml:space="preserve">55 </w:t>
            </w:r>
          </w:p>
        </w:tc>
        <w:tc>
          <w:tcPr>
            <w:tcW w:w="567" w:type="dxa"/>
            <w:tcBorders>
              <w:top w:val="single" w:sz="4" w:space="0" w:color="auto"/>
              <w:left w:val="single" w:sz="4" w:space="0" w:color="auto"/>
              <w:bottom w:val="single" w:sz="4" w:space="0" w:color="auto"/>
              <w:right w:val="single" w:sz="4" w:space="0" w:color="auto"/>
            </w:tcBorders>
            <w:vAlign w:val="center"/>
          </w:tcPr>
          <w:p w14:paraId="7D9274EF" w14:textId="77777777" w:rsidR="00913043" w:rsidRPr="00662611" w:rsidRDefault="00913043" w:rsidP="00913043">
            <w:pPr>
              <w:pStyle w:val="Default"/>
              <w:spacing w:before="40" w:after="40"/>
              <w:jc w:val="right"/>
              <w:rPr>
                <w:sz w:val="16"/>
                <w:szCs w:val="16"/>
              </w:rPr>
            </w:pPr>
            <w:r w:rsidRPr="00662611">
              <w:rPr>
                <w:sz w:val="16"/>
                <w:szCs w:val="16"/>
              </w:rPr>
              <w:t xml:space="preserve">37 </w:t>
            </w:r>
          </w:p>
        </w:tc>
        <w:tc>
          <w:tcPr>
            <w:tcW w:w="567" w:type="dxa"/>
            <w:tcBorders>
              <w:top w:val="single" w:sz="4" w:space="0" w:color="auto"/>
              <w:left w:val="single" w:sz="4" w:space="0" w:color="auto"/>
              <w:bottom w:val="single" w:sz="4" w:space="0" w:color="auto"/>
              <w:right w:val="single" w:sz="4" w:space="0" w:color="auto"/>
            </w:tcBorders>
            <w:vAlign w:val="center"/>
          </w:tcPr>
          <w:p w14:paraId="7D9274F0" w14:textId="77777777" w:rsidR="00913043" w:rsidRPr="00662611" w:rsidRDefault="00913043" w:rsidP="00913043">
            <w:pPr>
              <w:pStyle w:val="Default"/>
              <w:spacing w:before="40" w:after="40"/>
              <w:jc w:val="right"/>
              <w:rPr>
                <w:sz w:val="16"/>
                <w:szCs w:val="16"/>
              </w:rPr>
            </w:pPr>
            <w:r w:rsidRPr="00662611">
              <w:rPr>
                <w:sz w:val="16"/>
                <w:szCs w:val="16"/>
              </w:rPr>
              <w:t xml:space="preserve">18 </w:t>
            </w:r>
          </w:p>
        </w:tc>
        <w:tc>
          <w:tcPr>
            <w:tcW w:w="567" w:type="dxa"/>
            <w:tcBorders>
              <w:top w:val="single" w:sz="4" w:space="0" w:color="auto"/>
              <w:left w:val="single" w:sz="4" w:space="0" w:color="auto"/>
              <w:bottom w:val="single" w:sz="4" w:space="0" w:color="auto"/>
              <w:right w:val="single" w:sz="4" w:space="0" w:color="auto"/>
            </w:tcBorders>
            <w:vAlign w:val="center"/>
          </w:tcPr>
          <w:p w14:paraId="7D9274F1" w14:textId="77777777" w:rsidR="00913043" w:rsidRPr="00662611" w:rsidRDefault="00913043" w:rsidP="00913043">
            <w:pPr>
              <w:pStyle w:val="Default"/>
              <w:spacing w:before="40" w:after="40"/>
              <w:jc w:val="right"/>
              <w:rPr>
                <w:sz w:val="16"/>
                <w:szCs w:val="16"/>
              </w:rPr>
            </w:pPr>
            <w:r w:rsidRPr="0066261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D9274F2" w14:textId="77777777" w:rsidR="00913043" w:rsidRPr="00662611" w:rsidRDefault="00913043" w:rsidP="00913043">
            <w:pPr>
              <w:pStyle w:val="Default"/>
              <w:spacing w:before="40" w:after="40"/>
              <w:jc w:val="right"/>
              <w:rPr>
                <w:sz w:val="16"/>
                <w:szCs w:val="16"/>
              </w:rPr>
            </w:pPr>
            <w:r w:rsidRPr="0066261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D9274F3" w14:textId="77777777" w:rsidR="00913043" w:rsidRPr="00662611" w:rsidRDefault="00913043" w:rsidP="00913043">
            <w:pPr>
              <w:pStyle w:val="Default"/>
              <w:spacing w:before="40" w:after="40"/>
              <w:jc w:val="right"/>
              <w:rPr>
                <w:sz w:val="16"/>
                <w:szCs w:val="16"/>
              </w:rPr>
            </w:pPr>
            <w:r w:rsidRPr="00662611">
              <w:rPr>
                <w:sz w:val="16"/>
                <w:szCs w:val="16"/>
              </w:rPr>
              <w:t>–</w:t>
            </w:r>
          </w:p>
        </w:tc>
      </w:tr>
      <w:tr w:rsidR="00913043" w:rsidRPr="00662611" w14:paraId="7D927500" w14:textId="77777777" w:rsidTr="00C57275">
        <w:trPr>
          <w:trHeight w:val="465"/>
        </w:trPr>
        <w:tc>
          <w:tcPr>
            <w:tcW w:w="2579" w:type="dxa"/>
            <w:tcBorders>
              <w:top w:val="single" w:sz="4" w:space="0" w:color="auto"/>
              <w:left w:val="single" w:sz="4" w:space="0" w:color="auto"/>
              <w:bottom w:val="single" w:sz="4" w:space="0" w:color="auto"/>
              <w:right w:val="single" w:sz="4" w:space="0" w:color="auto"/>
            </w:tcBorders>
          </w:tcPr>
          <w:p w14:paraId="7D9274F5" w14:textId="77777777" w:rsidR="00913043" w:rsidRPr="00662611" w:rsidRDefault="00913043" w:rsidP="002B5CCC">
            <w:pPr>
              <w:pStyle w:val="Default"/>
              <w:rPr>
                <w:sz w:val="16"/>
                <w:szCs w:val="16"/>
              </w:rPr>
            </w:pPr>
            <w:r w:rsidRPr="00662611">
              <w:rPr>
                <w:sz w:val="16"/>
                <w:szCs w:val="16"/>
              </w:rPr>
              <w:t>Service concession asset</w:t>
            </w:r>
            <w:r w:rsidR="002B5CCC" w:rsidRPr="00662611">
              <w:rPr>
                <w:sz w:val="16"/>
                <w:szCs w:val="16"/>
              </w:rPr>
              <w:br/>
            </w:r>
            <w:r w:rsidRPr="00662611">
              <w:rPr>
                <w:sz w:val="16"/>
                <w:szCs w:val="16"/>
              </w:rPr>
              <w:t xml:space="preserve"> – replacement surface layer</w:t>
            </w:r>
            <w:r w:rsidR="006142ED" w:rsidRPr="00662611">
              <w:rPr>
                <w:sz w:val="16"/>
                <w:szCs w:val="16"/>
              </w:rPr>
              <w:t>s</w:t>
            </w: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F6"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F7"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F8"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F9"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FA"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FB"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FC"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4FD" w14:textId="77777777" w:rsidR="00913043" w:rsidRPr="00662611" w:rsidRDefault="00913043" w:rsidP="00913043">
            <w:pPr>
              <w:pStyle w:val="Default"/>
              <w:spacing w:before="40" w:after="40"/>
              <w:jc w:val="right"/>
              <w:rPr>
                <w:sz w:val="16"/>
                <w:szCs w:val="16"/>
              </w:rPr>
            </w:pPr>
            <w:r w:rsidRPr="00662611">
              <w:rPr>
                <w:sz w:val="16"/>
                <w:szCs w:val="16"/>
              </w:rPr>
              <w:t xml:space="preserve">110 </w:t>
            </w:r>
          </w:p>
        </w:tc>
        <w:tc>
          <w:tcPr>
            <w:tcW w:w="567" w:type="dxa"/>
            <w:tcBorders>
              <w:top w:val="single" w:sz="4" w:space="0" w:color="auto"/>
              <w:left w:val="single" w:sz="4" w:space="0" w:color="auto"/>
              <w:bottom w:val="single" w:sz="4" w:space="0" w:color="auto"/>
              <w:right w:val="single" w:sz="4" w:space="0" w:color="auto"/>
            </w:tcBorders>
            <w:vAlign w:val="center"/>
          </w:tcPr>
          <w:p w14:paraId="7D9274FE" w14:textId="77777777" w:rsidR="00913043" w:rsidRPr="00662611" w:rsidRDefault="00913043" w:rsidP="00913043">
            <w:pPr>
              <w:pStyle w:val="Default"/>
              <w:spacing w:before="40" w:after="40"/>
              <w:jc w:val="right"/>
              <w:rPr>
                <w:sz w:val="16"/>
                <w:szCs w:val="16"/>
              </w:rPr>
            </w:pPr>
            <w:r w:rsidRPr="00662611">
              <w:rPr>
                <w:sz w:val="16"/>
                <w:szCs w:val="16"/>
              </w:rPr>
              <w:t xml:space="preserve">92 </w:t>
            </w:r>
          </w:p>
        </w:tc>
        <w:tc>
          <w:tcPr>
            <w:tcW w:w="567" w:type="dxa"/>
            <w:tcBorders>
              <w:top w:val="single" w:sz="4" w:space="0" w:color="auto"/>
              <w:left w:val="single" w:sz="4" w:space="0" w:color="auto"/>
              <w:bottom w:val="single" w:sz="4" w:space="0" w:color="auto"/>
              <w:right w:val="single" w:sz="4" w:space="0" w:color="auto"/>
            </w:tcBorders>
            <w:vAlign w:val="center"/>
          </w:tcPr>
          <w:p w14:paraId="7D9274FF" w14:textId="77777777" w:rsidR="00913043" w:rsidRPr="00662611" w:rsidRDefault="00913043" w:rsidP="00913043">
            <w:pPr>
              <w:pStyle w:val="Default"/>
              <w:spacing w:before="40" w:after="40"/>
              <w:jc w:val="right"/>
              <w:rPr>
                <w:sz w:val="16"/>
                <w:szCs w:val="16"/>
              </w:rPr>
            </w:pPr>
            <w:r w:rsidRPr="00662611">
              <w:rPr>
                <w:sz w:val="16"/>
                <w:szCs w:val="16"/>
              </w:rPr>
              <w:t xml:space="preserve">73 </w:t>
            </w:r>
          </w:p>
        </w:tc>
      </w:tr>
      <w:tr w:rsidR="006142ED" w:rsidRPr="00662611" w14:paraId="7D92750C" w14:textId="77777777" w:rsidTr="00C57275">
        <w:trPr>
          <w:trHeight w:val="225"/>
        </w:trPr>
        <w:tc>
          <w:tcPr>
            <w:tcW w:w="2579" w:type="dxa"/>
            <w:tcBorders>
              <w:top w:val="single" w:sz="4" w:space="0" w:color="auto"/>
              <w:left w:val="single" w:sz="4" w:space="0" w:color="auto"/>
              <w:bottom w:val="single" w:sz="4" w:space="0" w:color="auto"/>
              <w:right w:val="single" w:sz="4" w:space="0" w:color="auto"/>
            </w:tcBorders>
          </w:tcPr>
          <w:p w14:paraId="7D927501" w14:textId="77777777" w:rsidR="006142ED" w:rsidRPr="00662611" w:rsidRDefault="006142ED" w:rsidP="002B5CCC">
            <w:pPr>
              <w:pStyle w:val="Default"/>
              <w:rPr>
                <w:sz w:val="16"/>
                <w:szCs w:val="16"/>
              </w:rPr>
            </w:pPr>
            <w:r w:rsidRPr="00662611">
              <w:rPr>
                <w:sz w:val="16"/>
                <w:szCs w:val="16"/>
              </w:rPr>
              <w:t xml:space="preserve">Total service concession asset </w:t>
            </w:r>
          </w:p>
        </w:tc>
        <w:tc>
          <w:tcPr>
            <w:tcW w:w="567" w:type="dxa"/>
            <w:tcBorders>
              <w:top w:val="single" w:sz="4" w:space="0" w:color="auto"/>
              <w:left w:val="single" w:sz="4" w:space="0" w:color="auto"/>
              <w:bottom w:val="single" w:sz="4" w:space="0" w:color="auto"/>
              <w:right w:val="single" w:sz="4" w:space="0" w:color="auto"/>
            </w:tcBorders>
            <w:vAlign w:val="center"/>
          </w:tcPr>
          <w:p w14:paraId="7D927502" w14:textId="77777777" w:rsidR="006142ED" w:rsidRPr="00662611" w:rsidRDefault="006142ED" w:rsidP="00913043">
            <w:pPr>
              <w:pStyle w:val="Default"/>
              <w:spacing w:before="40" w:after="40"/>
              <w:jc w:val="right"/>
              <w:rPr>
                <w:sz w:val="16"/>
                <w:szCs w:val="16"/>
              </w:rPr>
            </w:pPr>
            <w:r w:rsidRPr="00662611">
              <w:rPr>
                <w:sz w:val="16"/>
                <w:szCs w:val="16"/>
              </w:rPr>
              <w:t xml:space="preserve">525 </w:t>
            </w:r>
          </w:p>
        </w:tc>
        <w:tc>
          <w:tcPr>
            <w:tcW w:w="567" w:type="dxa"/>
            <w:tcBorders>
              <w:top w:val="single" w:sz="4" w:space="0" w:color="auto"/>
              <w:left w:val="single" w:sz="4" w:space="0" w:color="auto"/>
              <w:bottom w:val="single" w:sz="4" w:space="0" w:color="auto"/>
              <w:right w:val="single" w:sz="4" w:space="0" w:color="auto"/>
            </w:tcBorders>
            <w:vAlign w:val="center"/>
          </w:tcPr>
          <w:p w14:paraId="7D927503" w14:textId="6FB717DC" w:rsidR="006142ED" w:rsidRPr="00662611" w:rsidRDefault="006F3641" w:rsidP="006F3641">
            <w:pPr>
              <w:pStyle w:val="Default"/>
              <w:spacing w:before="40" w:after="40"/>
              <w:jc w:val="right"/>
              <w:rPr>
                <w:sz w:val="16"/>
                <w:szCs w:val="16"/>
              </w:rPr>
            </w:pPr>
            <w:r w:rsidRPr="00662611">
              <w:rPr>
                <w:sz w:val="16"/>
                <w:szCs w:val="16"/>
              </w:rPr>
              <w:t>1,</w:t>
            </w:r>
            <w:r w:rsidR="006142ED" w:rsidRPr="00662611">
              <w:rPr>
                <w:sz w:val="16"/>
                <w:szCs w:val="16"/>
              </w:rPr>
              <w:t xml:space="preserve">082 </w:t>
            </w:r>
          </w:p>
        </w:tc>
        <w:tc>
          <w:tcPr>
            <w:tcW w:w="567" w:type="dxa"/>
            <w:tcBorders>
              <w:top w:val="single" w:sz="4" w:space="0" w:color="auto"/>
              <w:left w:val="single" w:sz="4" w:space="0" w:color="auto"/>
              <w:bottom w:val="single" w:sz="4" w:space="0" w:color="auto"/>
              <w:right w:val="single" w:sz="4" w:space="0" w:color="auto"/>
            </w:tcBorders>
            <w:vAlign w:val="center"/>
          </w:tcPr>
          <w:p w14:paraId="7D927504" w14:textId="5E1B42A3" w:rsidR="006142ED" w:rsidRPr="00662611" w:rsidRDefault="006142ED" w:rsidP="00FC78D0">
            <w:pPr>
              <w:pStyle w:val="Default"/>
              <w:spacing w:before="40" w:after="40"/>
              <w:jc w:val="right"/>
              <w:rPr>
                <w:sz w:val="16"/>
                <w:szCs w:val="16"/>
              </w:rPr>
            </w:pPr>
            <w:r w:rsidRPr="00662611">
              <w:rPr>
                <w:sz w:val="16"/>
                <w:szCs w:val="16"/>
              </w:rPr>
              <w:t>1,0</w:t>
            </w:r>
            <w:r w:rsidR="00FC78D0" w:rsidRPr="00662611">
              <w:rPr>
                <w:sz w:val="16"/>
                <w:szCs w:val="16"/>
              </w:rPr>
              <w:t>25</w:t>
            </w: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05" w14:textId="460750EC" w:rsidR="006142ED" w:rsidRPr="00662611" w:rsidRDefault="006C1AFD" w:rsidP="006C1AFD">
            <w:pPr>
              <w:pStyle w:val="Default"/>
              <w:spacing w:before="40" w:after="40"/>
              <w:jc w:val="right"/>
              <w:rPr>
                <w:sz w:val="16"/>
                <w:szCs w:val="16"/>
              </w:rPr>
            </w:pPr>
            <w:r w:rsidRPr="00662611">
              <w:rPr>
                <w:sz w:val="16"/>
                <w:szCs w:val="16"/>
              </w:rPr>
              <w:t>967</w:t>
            </w:r>
            <w:r w:rsidR="006142ED"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06" w14:textId="21B85882" w:rsidR="006142ED" w:rsidRPr="00662611" w:rsidRDefault="006142ED" w:rsidP="006142ED">
            <w:pPr>
              <w:pStyle w:val="Default"/>
              <w:spacing w:before="40" w:after="40"/>
              <w:jc w:val="right"/>
              <w:rPr>
                <w:sz w:val="16"/>
                <w:szCs w:val="16"/>
              </w:rPr>
            </w:pPr>
            <w:r w:rsidRPr="00662611">
              <w:rPr>
                <w:sz w:val="16"/>
                <w:szCs w:val="16"/>
              </w:rPr>
              <w:t xml:space="preserve">910 </w:t>
            </w:r>
          </w:p>
        </w:tc>
        <w:tc>
          <w:tcPr>
            <w:tcW w:w="567" w:type="dxa"/>
            <w:tcBorders>
              <w:top w:val="single" w:sz="4" w:space="0" w:color="auto"/>
              <w:left w:val="single" w:sz="4" w:space="0" w:color="auto"/>
              <w:bottom w:val="single" w:sz="4" w:space="0" w:color="auto"/>
              <w:right w:val="single" w:sz="4" w:space="0" w:color="auto"/>
            </w:tcBorders>
            <w:vAlign w:val="center"/>
          </w:tcPr>
          <w:p w14:paraId="7D927507" w14:textId="7C32C194" w:rsidR="006142ED" w:rsidRPr="00662611" w:rsidRDefault="006142ED" w:rsidP="00913043">
            <w:pPr>
              <w:pStyle w:val="Default"/>
              <w:spacing w:before="40" w:after="40"/>
              <w:jc w:val="right"/>
              <w:rPr>
                <w:sz w:val="16"/>
                <w:szCs w:val="16"/>
              </w:rPr>
            </w:pPr>
            <w:r w:rsidRPr="00662611">
              <w:rPr>
                <w:sz w:val="16"/>
                <w:szCs w:val="16"/>
              </w:rPr>
              <w:t>853</w:t>
            </w:r>
          </w:p>
        </w:tc>
        <w:tc>
          <w:tcPr>
            <w:tcW w:w="567" w:type="dxa"/>
            <w:tcBorders>
              <w:top w:val="single" w:sz="4" w:space="0" w:color="auto"/>
              <w:left w:val="single" w:sz="4" w:space="0" w:color="auto"/>
              <w:bottom w:val="single" w:sz="4" w:space="0" w:color="auto"/>
              <w:right w:val="single" w:sz="4" w:space="0" w:color="auto"/>
            </w:tcBorders>
            <w:vAlign w:val="center"/>
          </w:tcPr>
          <w:p w14:paraId="7D927508" w14:textId="2A71041B" w:rsidR="006142ED" w:rsidRPr="00662611" w:rsidRDefault="006142ED" w:rsidP="00913043">
            <w:pPr>
              <w:pStyle w:val="Default"/>
              <w:spacing w:before="40" w:after="40"/>
              <w:jc w:val="right"/>
              <w:rPr>
                <w:sz w:val="16"/>
                <w:szCs w:val="16"/>
              </w:rPr>
            </w:pPr>
            <w:r w:rsidRPr="00662611">
              <w:rPr>
                <w:sz w:val="16"/>
                <w:szCs w:val="16"/>
              </w:rPr>
              <w:t>795</w:t>
            </w:r>
          </w:p>
        </w:tc>
        <w:tc>
          <w:tcPr>
            <w:tcW w:w="567" w:type="dxa"/>
            <w:tcBorders>
              <w:top w:val="single" w:sz="4" w:space="0" w:color="auto"/>
              <w:left w:val="single" w:sz="4" w:space="0" w:color="auto"/>
              <w:bottom w:val="single" w:sz="4" w:space="0" w:color="auto"/>
              <w:right w:val="single" w:sz="4" w:space="0" w:color="auto"/>
            </w:tcBorders>
            <w:vAlign w:val="center"/>
          </w:tcPr>
          <w:p w14:paraId="7D927509" w14:textId="2CAA1883" w:rsidR="006142ED" w:rsidRPr="00662611" w:rsidRDefault="006142ED" w:rsidP="00913043">
            <w:pPr>
              <w:pStyle w:val="Default"/>
              <w:spacing w:before="40" w:after="40"/>
              <w:jc w:val="right"/>
              <w:rPr>
                <w:sz w:val="16"/>
                <w:szCs w:val="16"/>
              </w:rPr>
            </w:pPr>
            <w:r w:rsidRPr="00662611">
              <w:rPr>
                <w:sz w:val="16"/>
                <w:szCs w:val="16"/>
              </w:rPr>
              <w:t>848</w:t>
            </w:r>
          </w:p>
        </w:tc>
        <w:tc>
          <w:tcPr>
            <w:tcW w:w="567" w:type="dxa"/>
            <w:tcBorders>
              <w:top w:val="single" w:sz="4" w:space="0" w:color="auto"/>
              <w:left w:val="single" w:sz="4" w:space="0" w:color="auto"/>
              <w:bottom w:val="single" w:sz="4" w:space="0" w:color="auto"/>
              <w:right w:val="single" w:sz="4" w:space="0" w:color="auto"/>
            </w:tcBorders>
            <w:vAlign w:val="center"/>
          </w:tcPr>
          <w:p w14:paraId="7D92750A" w14:textId="5071AE2F" w:rsidR="006142ED" w:rsidRPr="00662611" w:rsidRDefault="006142ED" w:rsidP="00913043">
            <w:pPr>
              <w:pStyle w:val="Default"/>
              <w:spacing w:before="40" w:after="40"/>
              <w:jc w:val="right"/>
              <w:rPr>
                <w:sz w:val="16"/>
                <w:szCs w:val="16"/>
              </w:rPr>
            </w:pPr>
            <w:r w:rsidRPr="00662611">
              <w:rPr>
                <w:sz w:val="16"/>
                <w:szCs w:val="16"/>
              </w:rPr>
              <w:t>791</w:t>
            </w:r>
          </w:p>
        </w:tc>
        <w:tc>
          <w:tcPr>
            <w:tcW w:w="567" w:type="dxa"/>
            <w:tcBorders>
              <w:top w:val="single" w:sz="4" w:space="0" w:color="auto"/>
              <w:left w:val="single" w:sz="4" w:space="0" w:color="auto"/>
              <w:bottom w:val="single" w:sz="4" w:space="0" w:color="auto"/>
              <w:right w:val="single" w:sz="4" w:space="0" w:color="auto"/>
            </w:tcBorders>
            <w:vAlign w:val="center"/>
          </w:tcPr>
          <w:p w14:paraId="7D92750B" w14:textId="343412E6" w:rsidR="006142ED" w:rsidRPr="00662611" w:rsidRDefault="006142ED" w:rsidP="006142ED">
            <w:pPr>
              <w:pStyle w:val="Default"/>
              <w:spacing w:before="40" w:after="40"/>
              <w:jc w:val="right"/>
              <w:rPr>
                <w:sz w:val="16"/>
                <w:szCs w:val="16"/>
              </w:rPr>
            </w:pPr>
            <w:r w:rsidRPr="00662611">
              <w:rPr>
                <w:sz w:val="16"/>
                <w:szCs w:val="16"/>
              </w:rPr>
              <w:t xml:space="preserve">733 </w:t>
            </w:r>
          </w:p>
        </w:tc>
      </w:tr>
      <w:tr w:rsidR="00913043" w:rsidRPr="00662611" w14:paraId="7D927518" w14:textId="77777777" w:rsidTr="00C57275">
        <w:trPr>
          <w:trHeight w:val="105"/>
        </w:trPr>
        <w:tc>
          <w:tcPr>
            <w:tcW w:w="2579" w:type="dxa"/>
            <w:tcBorders>
              <w:top w:val="single" w:sz="4" w:space="0" w:color="auto"/>
              <w:left w:val="single" w:sz="4" w:space="0" w:color="auto"/>
              <w:bottom w:val="single" w:sz="4" w:space="0" w:color="auto"/>
              <w:right w:val="single" w:sz="4" w:space="0" w:color="auto"/>
            </w:tcBorders>
          </w:tcPr>
          <w:p w14:paraId="7D92750D" w14:textId="77777777" w:rsidR="00913043" w:rsidRPr="00662611" w:rsidRDefault="00913043" w:rsidP="00913043">
            <w:pPr>
              <w:pStyle w:val="Default"/>
              <w:rPr>
                <w:sz w:val="16"/>
                <w:szCs w:val="16"/>
              </w:rPr>
            </w:pPr>
            <w:r w:rsidRPr="00662611">
              <w:rPr>
                <w:sz w:val="16"/>
                <w:szCs w:val="16"/>
              </w:rPr>
              <w:t xml:space="preserve">Cash </w:t>
            </w:r>
            <w:r w:rsidR="006142ED" w:rsidRPr="00662611">
              <w:rPr>
                <w:sz w:val="16"/>
                <w:szCs w:val="16"/>
              </w:rPr>
              <w:t>(Table 6.1)</w:t>
            </w:r>
          </w:p>
        </w:tc>
        <w:tc>
          <w:tcPr>
            <w:tcW w:w="567" w:type="dxa"/>
            <w:tcBorders>
              <w:top w:val="single" w:sz="4" w:space="0" w:color="auto"/>
              <w:left w:val="single" w:sz="4" w:space="0" w:color="auto"/>
              <w:bottom w:val="single" w:sz="4" w:space="0" w:color="auto"/>
              <w:right w:val="single" w:sz="4" w:space="0" w:color="auto"/>
            </w:tcBorders>
            <w:vAlign w:val="center"/>
          </w:tcPr>
          <w:p w14:paraId="7D92750E"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0F"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10" w14:textId="77777777" w:rsidR="00913043" w:rsidRPr="00662611" w:rsidRDefault="00913043" w:rsidP="00913043">
            <w:pPr>
              <w:pStyle w:val="Default"/>
              <w:spacing w:before="40" w:after="40"/>
              <w:jc w:val="right"/>
              <w:rPr>
                <w:sz w:val="16"/>
                <w:szCs w:val="16"/>
              </w:rPr>
            </w:pPr>
            <w:r w:rsidRPr="00662611">
              <w:rPr>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vAlign w:val="center"/>
          </w:tcPr>
          <w:p w14:paraId="7D927511" w14:textId="77777777" w:rsidR="00913043" w:rsidRPr="00662611" w:rsidRDefault="00913043" w:rsidP="00913043">
            <w:pPr>
              <w:pStyle w:val="Default"/>
              <w:spacing w:before="40" w:after="40"/>
              <w:jc w:val="right"/>
              <w:rPr>
                <w:sz w:val="16"/>
                <w:szCs w:val="16"/>
              </w:rPr>
            </w:pPr>
            <w:r w:rsidRPr="00662611">
              <w:rPr>
                <w:sz w:val="16"/>
                <w:szCs w:val="16"/>
              </w:rPr>
              <w:t xml:space="preserve">(400) </w:t>
            </w:r>
          </w:p>
        </w:tc>
        <w:tc>
          <w:tcPr>
            <w:tcW w:w="567" w:type="dxa"/>
            <w:tcBorders>
              <w:top w:val="single" w:sz="4" w:space="0" w:color="auto"/>
              <w:left w:val="single" w:sz="4" w:space="0" w:color="auto"/>
              <w:bottom w:val="single" w:sz="4" w:space="0" w:color="auto"/>
              <w:right w:val="single" w:sz="4" w:space="0" w:color="auto"/>
            </w:tcBorders>
            <w:vAlign w:val="center"/>
          </w:tcPr>
          <w:p w14:paraId="7D927512" w14:textId="77777777" w:rsidR="00913043" w:rsidRPr="00662611" w:rsidRDefault="00913043" w:rsidP="00913043">
            <w:pPr>
              <w:pStyle w:val="Default"/>
              <w:spacing w:before="40" w:after="40"/>
              <w:jc w:val="right"/>
              <w:rPr>
                <w:sz w:val="16"/>
                <w:szCs w:val="16"/>
              </w:rPr>
            </w:pPr>
            <w:r w:rsidRPr="00662611">
              <w:rPr>
                <w:sz w:val="16"/>
                <w:szCs w:val="16"/>
              </w:rPr>
              <w:t xml:space="preserve">(600) </w:t>
            </w:r>
          </w:p>
        </w:tc>
        <w:tc>
          <w:tcPr>
            <w:tcW w:w="567" w:type="dxa"/>
            <w:tcBorders>
              <w:top w:val="single" w:sz="4" w:space="0" w:color="auto"/>
              <w:left w:val="single" w:sz="4" w:space="0" w:color="auto"/>
              <w:bottom w:val="single" w:sz="4" w:space="0" w:color="auto"/>
              <w:right w:val="single" w:sz="4" w:space="0" w:color="auto"/>
            </w:tcBorders>
            <w:vAlign w:val="center"/>
          </w:tcPr>
          <w:p w14:paraId="7D927513" w14:textId="77777777" w:rsidR="00913043" w:rsidRPr="00662611" w:rsidRDefault="00913043" w:rsidP="00913043">
            <w:pPr>
              <w:pStyle w:val="Default"/>
              <w:spacing w:before="40" w:after="40"/>
              <w:jc w:val="right"/>
              <w:rPr>
                <w:sz w:val="16"/>
                <w:szCs w:val="16"/>
              </w:rPr>
            </w:pPr>
            <w:r w:rsidRPr="00662611">
              <w:rPr>
                <w:sz w:val="16"/>
                <w:szCs w:val="16"/>
              </w:rPr>
              <w:t xml:space="preserve">(800) </w:t>
            </w:r>
          </w:p>
        </w:tc>
        <w:tc>
          <w:tcPr>
            <w:tcW w:w="567" w:type="dxa"/>
            <w:tcBorders>
              <w:top w:val="single" w:sz="4" w:space="0" w:color="auto"/>
              <w:left w:val="single" w:sz="4" w:space="0" w:color="auto"/>
              <w:bottom w:val="single" w:sz="4" w:space="0" w:color="auto"/>
              <w:right w:val="single" w:sz="4" w:space="0" w:color="auto"/>
            </w:tcBorders>
            <w:vAlign w:val="center"/>
          </w:tcPr>
          <w:p w14:paraId="7D927514" w14:textId="77777777" w:rsidR="00913043" w:rsidRPr="00662611" w:rsidRDefault="00913043" w:rsidP="00913043">
            <w:pPr>
              <w:pStyle w:val="Default"/>
              <w:spacing w:before="40" w:after="40"/>
              <w:jc w:val="right"/>
              <w:rPr>
                <w:sz w:val="16"/>
                <w:szCs w:val="16"/>
              </w:rPr>
            </w:pPr>
            <w:r w:rsidRPr="00662611">
              <w:rPr>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vAlign w:val="center"/>
          </w:tcPr>
          <w:p w14:paraId="7D927515" w14:textId="77777777" w:rsidR="00913043" w:rsidRPr="00662611" w:rsidRDefault="00913043" w:rsidP="00913043">
            <w:pPr>
              <w:pStyle w:val="Default"/>
              <w:spacing w:before="40" w:after="40"/>
              <w:jc w:val="right"/>
              <w:rPr>
                <w:sz w:val="16"/>
                <w:szCs w:val="16"/>
              </w:rPr>
            </w:pPr>
            <w:r w:rsidRPr="00662611">
              <w:rPr>
                <w:sz w:val="16"/>
                <w:szCs w:val="16"/>
              </w:rPr>
              <w:t xml:space="preserve">(1,200) </w:t>
            </w:r>
          </w:p>
        </w:tc>
        <w:tc>
          <w:tcPr>
            <w:tcW w:w="567" w:type="dxa"/>
            <w:tcBorders>
              <w:top w:val="single" w:sz="4" w:space="0" w:color="auto"/>
              <w:left w:val="single" w:sz="4" w:space="0" w:color="auto"/>
              <w:bottom w:val="single" w:sz="4" w:space="0" w:color="auto"/>
              <w:right w:val="single" w:sz="4" w:space="0" w:color="auto"/>
            </w:tcBorders>
            <w:vAlign w:val="center"/>
          </w:tcPr>
          <w:p w14:paraId="7D927516" w14:textId="77777777" w:rsidR="00913043" w:rsidRPr="00662611" w:rsidRDefault="00913043" w:rsidP="00913043">
            <w:pPr>
              <w:pStyle w:val="Default"/>
              <w:spacing w:before="40" w:after="40"/>
              <w:jc w:val="right"/>
              <w:rPr>
                <w:sz w:val="16"/>
                <w:szCs w:val="16"/>
              </w:rPr>
            </w:pPr>
            <w:r w:rsidRPr="00662611">
              <w:rPr>
                <w:sz w:val="16"/>
                <w:szCs w:val="16"/>
              </w:rPr>
              <w:t xml:space="preserve">(1,400) </w:t>
            </w:r>
          </w:p>
        </w:tc>
        <w:tc>
          <w:tcPr>
            <w:tcW w:w="567" w:type="dxa"/>
            <w:tcBorders>
              <w:top w:val="single" w:sz="4" w:space="0" w:color="auto"/>
              <w:left w:val="single" w:sz="4" w:space="0" w:color="auto"/>
              <w:bottom w:val="single" w:sz="4" w:space="0" w:color="auto"/>
              <w:right w:val="single" w:sz="4" w:space="0" w:color="auto"/>
            </w:tcBorders>
            <w:vAlign w:val="center"/>
          </w:tcPr>
          <w:p w14:paraId="7D927517" w14:textId="77777777" w:rsidR="00913043" w:rsidRPr="00662611" w:rsidRDefault="00913043" w:rsidP="00913043">
            <w:pPr>
              <w:pStyle w:val="Default"/>
              <w:spacing w:before="40" w:after="40"/>
              <w:jc w:val="right"/>
              <w:rPr>
                <w:sz w:val="16"/>
                <w:szCs w:val="16"/>
              </w:rPr>
            </w:pPr>
            <w:r w:rsidRPr="00662611">
              <w:rPr>
                <w:sz w:val="16"/>
                <w:szCs w:val="16"/>
              </w:rPr>
              <w:t xml:space="preserve">(1,600) </w:t>
            </w:r>
          </w:p>
        </w:tc>
      </w:tr>
      <w:tr w:rsidR="00913043" w:rsidRPr="00662611" w14:paraId="7D927524" w14:textId="77777777" w:rsidTr="00C57275">
        <w:trPr>
          <w:trHeight w:val="105"/>
        </w:trPr>
        <w:tc>
          <w:tcPr>
            <w:tcW w:w="2579" w:type="dxa"/>
            <w:tcBorders>
              <w:top w:val="single" w:sz="4" w:space="0" w:color="auto"/>
              <w:left w:val="single" w:sz="4" w:space="0" w:color="auto"/>
              <w:bottom w:val="single" w:sz="4" w:space="0" w:color="auto"/>
              <w:right w:val="single" w:sz="4" w:space="0" w:color="auto"/>
            </w:tcBorders>
          </w:tcPr>
          <w:p w14:paraId="7D927519" w14:textId="77777777" w:rsidR="00913043" w:rsidRPr="00662611" w:rsidRDefault="00913043" w:rsidP="00913043">
            <w:pPr>
              <w:pStyle w:val="Default"/>
              <w:rPr>
                <w:sz w:val="16"/>
                <w:szCs w:val="16"/>
              </w:rPr>
            </w:pPr>
            <w:r w:rsidRPr="00662611">
              <w:rPr>
                <w:sz w:val="16"/>
                <w:szCs w:val="16"/>
              </w:rPr>
              <w:t xml:space="preserve">Financial liability </w:t>
            </w:r>
            <w:r w:rsidR="006142ED" w:rsidRPr="00662611">
              <w:rPr>
                <w:sz w:val="16"/>
                <w:szCs w:val="16"/>
              </w:rPr>
              <w:t>(Table 6.4)</w:t>
            </w:r>
          </w:p>
        </w:tc>
        <w:tc>
          <w:tcPr>
            <w:tcW w:w="567" w:type="dxa"/>
            <w:tcBorders>
              <w:top w:val="single" w:sz="4" w:space="0" w:color="auto"/>
              <w:left w:val="single" w:sz="4" w:space="0" w:color="auto"/>
              <w:bottom w:val="single" w:sz="4" w:space="0" w:color="auto"/>
              <w:right w:val="single" w:sz="4" w:space="0" w:color="auto"/>
            </w:tcBorders>
            <w:vAlign w:val="center"/>
          </w:tcPr>
          <w:p w14:paraId="7D92751A" w14:textId="77777777" w:rsidR="00913043" w:rsidRPr="00662611" w:rsidRDefault="00913043" w:rsidP="00913043">
            <w:pPr>
              <w:pStyle w:val="Default"/>
              <w:spacing w:before="40" w:after="40"/>
              <w:jc w:val="right"/>
              <w:rPr>
                <w:sz w:val="16"/>
                <w:szCs w:val="16"/>
              </w:rPr>
            </w:pPr>
            <w:r w:rsidRPr="00662611">
              <w:rPr>
                <w:sz w:val="16"/>
                <w:szCs w:val="16"/>
              </w:rPr>
              <w:t xml:space="preserve">(525) </w:t>
            </w:r>
          </w:p>
        </w:tc>
        <w:tc>
          <w:tcPr>
            <w:tcW w:w="567" w:type="dxa"/>
            <w:tcBorders>
              <w:top w:val="single" w:sz="4" w:space="0" w:color="auto"/>
              <w:left w:val="single" w:sz="4" w:space="0" w:color="auto"/>
              <w:bottom w:val="single" w:sz="4" w:space="0" w:color="auto"/>
              <w:right w:val="single" w:sz="4" w:space="0" w:color="auto"/>
            </w:tcBorders>
            <w:vAlign w:val="center"/>
          </w:tcPr>
          <w:p w14:paraId="7D92751B" w14:textId="77777777" w:rsidR="00913043" w:rsidRPr="00662611" w:rsidRDefault="00913043" w:rsidP="00913043">
            <w:pPr>
              <w:pStyle w:val="Default"/>
              <w:spacing w:before="40" w:after="40"/>
              <w:jc w:val="right"/>
              <w:rPr>
                <w:sz w:val="16"/>
                <w:szCs w:val="16"/>
              </w:rPr>
            </w:pPr>
            <w:r w:rsidRPr="00662611">
              <w:rPr>
                <w:sz w:val="16"/>
                <w:szCs w:val="16"/>
              </w:rPr>
              <w:t xml:space="preserve">(1,082) </w:t>
            </w:r>
          </w:p>
        </w:tc>
        <w:tc>
          <w:tcPr>
            <w:tcW w:w="567" w:type="dxa"/>
            <w:tcBorders>
              <w:top w:val="single" w:sz="4" w:space="0" w:color="auto"/>
              <w:left w:val="single" w:sz="4" w:space="0" w:color="auto"/>
              <w:bottom w:val="single" w:sz="4" w:space="0" w:color="auto"/>
              <w:right w:val="single" w:sz="4" w:space="0" w:color="auto"/>
            </w:tcBorders>
            <w:vAlign w:val="center"/>
          </w:tcPr>
          <w:p w14:paraId="7D92751C" w14:textId="77777777" w:rsidR="00913043" w:rsidRPr="00662611" w:rsidRDefault="00913043" w:rsidP="00913043">
            <w:pPr>
              <w:pStyle w:val="Default"/>
              <w:spacing w:before="40" w:after="40"/>
              <w:jc w:val="right"/>
              <w:rPr>
                <w:sz w:val="16"/>
                <w:szCs w:val="16"/>
              </w:rPr>
            </w:pPr>
            <w:r w:rsidRPr="00662611">
              <w:rPr>
                <w:sz w:val="16"/>
                <w:szCs w:val="16"/>
              </w:rPr>
              <w:t xml:space="preserve">(961) </w:t>
            </w:r>
          </w:p>
        </w:tc>
        <w:tc>
          <w:tcPr>
            <w:tcW w:w="567" w:type="dxa"/>
            <w:tcBorders>
              <w:top w:val="single" w:sz="4" w:space="0" w:color="auto"/>
              <w:left w:val="single" w:sz="4" w:space="0" w:color="auto"/>
              <w:bottom w:val="single" w:sz="4" w:space="0" w:color="auto"/>
              <w:right w:val="single" w:sz="4" w:space="0" w:color="auto"/>
            </w:tcBorders>
            <w:vAlign w:val="center"/>
          </w:tcPr>
          <w:p w14:paraId="7D92751D" w14:textId="77777777" w:rsidR="00913043" w:rsidRPr="00662611" w:rsidRDefault="00913043" w:rsidP="00913043">
            <w:pPr>
              <w:pStyle w:val="Default"/>
              <w:spacing w:before="40" w:after="40"/>
              <w:jc w:val="right"/>
              <w:rPr>
                <w:sz w:val="16"/>
                <w:szCs w:val="16"/>
              </w:rPr>
            </w:pPr>
            <w:r w:rsidRPr="00662611">
              <w:rPr>
                <w:sz w:val="16"/>
                <w:szCs w:val="16"/>
              </w:rPr>
              <w:t xml:space="preserve">(832) </w:t>
            </w:r>
          </w:p>
        </w:tc>
        <w:tc>
          <w:tcPr>
            <w:tcW w:w="567" w:type="dxa"/>
            <w:tcBorders>
              <w:top w:val="single" w:sz="4" w:space="0" w:color="auto"/>
              <w:left w:val="single" w:sz="4" w:space="0" w:color="auto"/>
              <w:bottom w:val="single" w:sz="4" w:space="0" w:color="auto"/>
              <w:right w:val="single" w:sz="4" w:space="0" w:color="auto"/>
            </w:tcBorders>
            <w:vAlign w:val="center"/>
          </w:tcPr>
          <w:p w14:paraId="7D92751E" w14:textId="77777777" w:rsidR="00913043" w:rsidRPr="00662611" w:rsidRDefault="00913043" w:rsidP="00913043">
            <w:pPr>
              <w:pStyle w:val="Default"/>
              <w:spacing w:before="40" w:after="40"/>
              <w:jc w:val="right"/>
              <w:rPr>
                <w:sz w:val="16"/>
                <w:szCs w:val="16"/>
              </w:rPr>
            </w:pPr>
            <w:r w:rsidRPr="00662611">
              <w:rPr>
                <w:sz w:val="16"/>
                <w:szCs w:val="16"/>
              </w:rPr>
              <w:t xml:space="preserve">(695) </w:t>
            </w:r>
          </w:p>
        </w:tc>
        <w:tc>
          <w:tcPr>
            <w:tcW w:w="567" w:type="dxa"/>
            <w:tcBorders>
              <w:top w:val="single" w:sz="4" w:space="0" w:color="auto"/>
              <w:left w:val="single" w:sz="4" w:space="0" w:color="auto"/>
              <w:bottom w:val="single" w:sz="4" w:space="0" w:color="auto"/>
              <w:right w:val="single" w:sz="4" w:space="0" w:color="auto"/>
            </w:tcBorders>
            <w:vAlign w:val="center"/>
          </w:tcPr>
          <w:p w14:paraId="7D92751F" w14:textId="77777777" w:rsidR="00913043" w:rsidRPr="00662611" w:rsidRDefault="00913043" w:rsidP="00913043">
            <w:pPr>
              <w:pStyle w:val="Default"/>
              <w:spacing w:before="40" w:after="40"/>
              <w:jc w:val="right"/>
              <w:rPr>
                <w:sz w:val="16"/>
                <w:szCs w:val="16"/>
              </w:rPr>
            </w:pPr>
            <w:r w:rsidRPr="00662611">
              <w:rPr>
                <w:sz w:val="16"/>
                <w:szCs w:val="16"/>
              </w:rPr>
              <w:t xml:space="preserve">(550) </w:t>
            </w:r>
          </w:p>
        </w:tc>
        <w:tc>
          <w:tcPr>
            <w:tcW w:w="567" w:type="dxa"/>
            <w:tcBorders>
              <w:top w:val="single" w:sz="4" w:space="0" w:color="auto"/>
              <w:left w:val="single" w:sz="4" w:space="0" w:color="auto"/>
              <w:bottom w:val="single" w:sz="4" w:space="0" w:color="auto"/>
              <w:right w:val="single" w:sz="4" w:space="0" w:color="auto"/>
            </w:tcBorders>
            <w:vAlign w:val="center"/>
          </w:tcPr>
          <w:p w14:paraId="7D927520" w14:textId="77777777" w:rsidR="00913043" w:rsidRPr="00662611" w:rsidRDefault="00913043" w:rsidP="00913043">
            <w:pPr>
              <w:pStyle w:val="Default"/>
              <w:spacing w:before="40" w:after="40"/>
              <w:jc w:val="right"/>
              <w:rPr>
                <w:sz w:val="16"/>
                <w:szCs w:val="16"/>
              </w:rPr>
            </w:pPr>
            <w:r w:rsidRPr="00662611">
              <w:rPr>
                <w:sz w:val="16"/>
                <w:szCs w:val="16"/>
              </w:rPr>
              <w:t xml:space="preserve">(396) </w:t>
            </w:r>
          </w:p>
        </w:tc>
        <w:tc>
          <w:tcPr>
            <w:tcW w:w="567" w:type="dxa"/>
            <w:tcBorders>
              <w:top w:val="single" w:sz="4" w:space="0" w:color="auto"/>
              <w:left w:val="single" w:sz="4" w:space="0" w:color="auto"/>
              <w:bottom w:val="single" w:sz="4" w:space="0" w:color="auto"/>
              <w:right w:val="single" w:sz="4" w:space="0" w:color="auto"/>
            </w:tcBorders>
            <w:vAlign w:val="center"/>
          </w:tcPr>
          <w:p w14:paraId="7D927521" w14:textId="77777777" w:rsidR="00913043" w:rsidRPr="00662611" w:rsidRDefault="00913043" w:rsidP="00913043">
            <w:pPr>
              <w:pStyle w:val="Default"/>
              <w:spacing w:before="40" w:after="40"/>
              <w:jc w:val="right"/>
              <w:rPr>
                <w:sz w:val="16"/>
                <w:szCs w:val="16"/>
              </w:rPr>
            </w:pPr>
            <w:r w:rsidRPr="00662611">
              <w:rPr>
                <w:sz w:val="16"/>
                <w:szCs w:val="16"/>
              </w:rPr>
              <w:t xml:space="preserve">(343) </w:t>
            </w:r>
          </w:p>
        </w:tc>
        <w:tc>
          <w:tcPr>
            <w:tcW w:w="567" w:type="dxa"/>
            <w:tcBorders>
              <w:top w:val="single" w:sz="4" w:space="0" w:color="auto"/>
              <w:left w:val="single" w:sz="4" w:space="0" w:color="auto"/>
              <w:bottom w:val="single" w:sz="4" w:space="0" w:color="auto"/>
              <w:right w:val="single" w:sz="4" w:space="0" w:color="auto"/>
            </w:tcBorders>
            <w:vAlign w:val="center"/>
          </w:tcPr>
          <w:p w14:paraId="7D927522" w14:textId="77777777" w:rsidR="00913043" w:rsidRPr="00662611" w:rsidRDefault="00913043" w:rsidP="00913043">
            <w:pPr>
              <w:pStyle w:val="Default"/>
              <w:spacing w:before="40" w:after="40"/>
              <w:jc w:val="right"/>
              <w:rPr>
                <w:sz w:val="16"/>
                <w:szCs w:val="16"/>
              </w:rPr>
            </w:pPr>
            <w:r w:rsidRPr="00662611">
              <w:rPr>
                <w:sz w:val="16"/>
                <w:szCs w:val="16"/>
              </w:rPr>
              <w:t xml:space="preserve">(177) </w:t>
            </w:r>
          </w:p>
        </w:tc>
        <w:tc>
          <w:tcPr>
            <w:tcW w:w="567" w:type="dxa"/>
            <w:tcBorders>
              <w:top w:val="single" w:sz="4" w:space="0" w:color="auto"/>
              <w:left w:val="single" w:sz="4" w:space="0" w:color="auto"/>
              <w:bottom w:val="single" w:sz="4" w:space="0" w:color="auto"/>
              <w:right w:val="single" w:sz="4" w:space="0" w:color="auto"/>
            </w:tcBorders>
            <w:vAlign w:val="center"/>
          </w:tcPr>
          <w:p w14:paraId="7D927523"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r>
      <w:tr w:rsidR="00913043" w:rsidRPr="00662611" w14:paraId="7D927530" w14:textId="77777777" w:rsidTr="00C57275">
        <w:trPr>
          <w:trHeight w:val="225"/>
        </w:trPr>
        <w:tc>
          <w:tcPr>
            <w:tcW w:w="2579" w:type="dxa"/>
            <w:tcBorders>
              <w:top w:val="single" w:sz="4" w:space="0" w:color="auto"/>
              <w:left w:val="single" w:sz="4" w:space="0" w:color="auto"/>
              <w:bottom w:val="single" w:sz="4" w:space="0" w:color="auto"/>
              <w:right w:val="single" w:sz="4" w:space="0" w:color="auto"/>
            </w:tcBorders>
          </w:tcPr>
          <w:p w14:paraId="7D927525" w14:textId="77777777" w:rsidR="00913043" w:rsidRPr="00662611" w:rsidRDefault="00913043" w:rsidP="002B5CCC">
            <w:pPr>
              <w:pStyle w:val="Default"/>
              <w:rPr>
                <w:sz w:val="16"/>
                <w:szCs w:val="16"/>
              </w:rPr>
            </w:pPr>
            <w:r w:rsidRPr="00662611">
              <w:rPr>
                <w:sz w:val="16"/>
                <w:szCs w:val="16"/>
              </w:rPr>
              <w:t xml:space="preserve">Cumulative surplus/(deficit) </w:t>
            </w:r>
          </w:p>
        </w:tc>
        <w:tc>
          <w:tcPr>
            <w:tcW w:w="567" w:type="dxa"/>
            <w:tcBorders>
              <w:top w:val="single" w:sz="4" w:space="0" w:color="auto"/>
              <w:left w:val="single" w:sz="4" w:space="0" w:color="auto"/>
              <w:bottom w:val="single" w:sz="4" w:space="0" w:color="auto"/>
              <w:right w:val="single" w:sz="4" w:space="0" w:color="auto"/>
            </w:tcBorders>
            <w:vAlign w:val="center"/>
          </w:tcPr>
          <w:p w14:paraId="7D927526" w14:textId="77777777" w:rsidR="00913043" w:rsidRPr="00662611" w:rsidRDefault="00913043"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7" w14:textId="77777777" w:rsidR="00913043" w:rsidRPr="00662611" w:rsidRDefault="00994990" w:rsidP="00913043">
            <w:pPr>
              <w:pStyle w:val="Default"/>
              <w:spacing w:before="40" w:after="40"/>
              <w:jc w:val="right"/>
              <w:rPr>
                <w:sz w:val="16"/>
                <w:szCs w:val="16"/>
              </w:rPr>
            </w:pPr>
            <w:r w:rsidRPr="00662611">
              <w:rPr>
                <w:sz w:val="16"/>
                <w:szCs w:val="16"/>
              </w:rPr>
              <w:t>(</w:t>
            </w:r>
            <w:r w:rsidR="00913043" w:rsidRPr="00662611">
              <w:rPr>
                <w:sz w:val="16"/>
                <w:szCs w:val="16"/>
              </w:rPr>
              <w:t>32</w:t>
            </w:r>
            <w:r w:rsidRPr="00662611">
              <w:rPr>
                <w:sz w:val="16"/>
                <w:szCs w:val="16"/>
              </w:rPr>
              <w:t>)</w:t>
            </w:r>
            <w:r w:rsidR="00913043"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8" w14:textId="796EEF89" w:rsidR="00913043" w:rsidRPr="00662611" w:rsidRDefault="007310D9" w:rsidP="006142ED">
            <w:pPr>
              <w:pStyle w:val="Default"/>
              <w:spacing w:before="40" w:after="40"/>
              <w:jc w:val="right"/>
              <w:rPr>
                <w:sz w:val="16"/>
                <w:szCs w:val="16"/>
              </w:rPr>
            </w:pPr>
            <w:r w:rsidRPr="00662611">
              <w:rPr>
                <w:sz w:val="16"/>
                <w:szCs w:val="16"/>
              </w:rPr>
              <w:t>(</w:t>
            </w:r>
            <w:r w:rsidR="006142ED" w:rsidRPr="00662611">
              <w:rPr>
                <w:sz w:val="16"/>
                <w:szCs w:val="16"/>
              </w:rPr>
              <w:t>168</w:t>
            </w:r>
            <w:r w:rsidRPr="00662611">
              <w:rPr>
                <w:sz w:val="16"/>
                <w:szCs w:val="16"/>
              </w:rPr>
              <w:t>)</w:t>
            </w:r>
            <w:r w:rsidR="00913043"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9" w14:textId="2FE8428C" w:rsidR="00913043" w:rsidRPr="00662611" w:rsidRDefault="007310D9" w:rsidP="006142ED">
            <w:pPr>
              <w:pStyle w:val="Default"/>
              <w:spacing w:before="40" w:after="40"/>
              <w:jc w:val="right"/>
              <w:rPr>
                <w:sz w:val="16"/>
                <w:szCs w:val="16"/>
              </w:rPr>
            </w:pPr>
            <w:r w:rsidRPr="00662611">
              <w:rPr>
                <w:sz w:val="16"/>
                <w:szCs w:val="16"/>
              </w:rPr>
              <w:t>(</w:t>
            </w:r>
            <w:r w:rsidR="006142ED" w:rsidRPr="00662611">
              <w:rPr>
                <w:sz w:val="16"/>
                <w:szCs w:val="16"/>
              </w:rPr>
              <w:t>297</w:t>
            </w:r>
            <w:r w:rsidRPr="00662611">
              <w:rPr>
                <w:sz w:val="16"/>
                <w:szCs w:val="16"/>
              </w:rPr>
              <w:t>)</w:t>
            </w:r>
            <w:r w:rsidR="00913043"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A" w14:textId="7C4DBE5C" w:rsidR="00913043" w:rsidRPr="00662611" w:rsidRDefault="007310D9" w:rsidP="006142ED">
            <w:pPr>
              <w:pStyle w:val="Default"/>
              <w:spacing w:before="40" w:after="40"/>
              <w:jc w:val="right"/>
              <w:rPr>
                <w:sz w:val="16"/>
                <w:szCs w:val="16"/>
              </w:rPr>
            </w:pPr>
            <w:r w:rsidRPr="00662611">
              <w:rPr>
                <w:sz w:val="16"/>
                <w:szCs w:val="16"/>
              </w:rPr>
              <w:t>(</w:t>
            </w:r>
            <w:r w:rsidR="006142ED" w:rsidRPr="00662611">
              <w:rPr>
                <w:sz w:val="16"/>
                <w:szCs w:val="16"/>
              </w:rPr>
              <w:t>417</w:t>
            </w:r>
            <w:r w:rsidRPr="00662611">
              <w:rPr>
                <w:sz w:val="16"/>
                <w:szCs w:val="16"/>
              </w:rPr>
              <w:t>)</w:t>
            </w:r>
            <w:r w:rsidR="00913043"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B" w14:textId="4D8CD6E4" w:rsidR="00913043" w:rsidRPr="00662611" w:rsidRDefault="007310D9" w:rsidP="006142ED">
            <w:pPr>
              <w:pStyle w:val="Default"/>
              <w:spacing w:before="40" w:after="40"/>
              <w:jc w:val="right"/>
              <w:rPr>
                <w:sz w:val="16"/>
                <w:szCs w:val="16"/>
              </w:rPr>
            </w:pPr>
            <w:r w:rsidRPr="00662611">
              <w:rPr>
                <w:sz w:val="16"/>
                <w:szCs w:val="16"/>
              </w:rPr>
              <w:t>(</w:t>
            </w:r>
            <w:r w:rsidR="006142ED" w:rsidRPr="00662611">
              <w:rPr>
                <w:sz w:val="16"/>
                <w:szCs w:val="16"/>
              </w:rPr>
              <w:t>529</w:t>
            </w:r>
            <w:r w:rsidRPr="00662611">
              <w:rPr>
                <w:sz w:val="16"/>
                <w:szCs w:val="16"/>
              </w:rPr>
              <w:t>)</w:t>
            </w:r>
            <w:r w:rsidR="00913043"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C" w14:textId="2F1CD241" w:rsidR="00913043" w:rsidRPr="00662611" w:rsidRDefault="007310D9" w:rsidP="006142ED">
            <w:pPr>
              <w:pStyle w:val="Default"/>
              <w:spacing w:before="40" w:after="40"/>
              <w:jc w:val="right"/>
              <w:rPr>
                <w:sz w:val="16"/>
                <w:szCs w:val="16"/>
              </w:rPr>
            </w:pPr>
            <w:r w:rsidRPr="00662611">
              <w:rPr>
                <w:sz w:val="16"/>
                <w:szCs w:val="16"/>
              </w:rPr>
              <w:t>(</w:t>
            </w:r>
            <w:r w:rsidR="006142ED" w:rsidRPr="00662611">
              <w:rPr>
                <w:sz w:val="16"/>
                <w:szCs w:val="16"/>
              </w:rPr>
              <w:t>633</w:t>
            </w:r>
            <w:r w:rsidRPr="00662611">
              <w:rPr>
                <w:sz w:val="16"/>
                <w:szCs w:val="16"/>
              </w:rPr>
              <w:t>)</w:t>
            </w:r>
            <w:r w:rsidR="00913043"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D" w14:textId="7FBAD0E4" w:rsidR="00913043" w:rsidRPr="00662611" w:rsidRDefault="007310D9" w:rsidP="007118E8">
            <w:pPr>
              <w:pStyle w:val="Default"/>
              <w:spacing w:before="40" w:after="40"/>
              <w:jc w:val="right"/>
              <w:rPr>
                <w:sz w:val="16"/>
                <w:szCs w:val="16"/>
              </w:rPr>
            </w:pPr>
            <w:r w:rsidRPr="00662611">
              <w:rPr>
                <w:sz w:val="16"/>
                <w:szCs w:val="16"/>
              </w:rPr>
              <w:t>(</w:t>
            </w:r>
            <w:r w:rsidR="007118E8" w:rsidRPr="00662611">
              <w:rPr>
                <w:sz w:val="16"/>
                <w:szCs w:val="16"/>
              </w:rPr>
              <w:t>727</w:t>
            </w:r>
            <w:r w:rsidRPr="00662611">
              <w:rPr>
                <w:sz w:val="16"/>
                <w:szCs w:val="16"/>
              </w:rPr>
              <w:t>)</w:t>
            </w:r>
            <w:r w:rsidR="00913043"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E" w14:textId="3CECAD65" w:rsidR="00913043" w:rsidRPr="00662611" w:rsidRDefault="007310D9" w:rsidP="007118E8">
            <w:pPr>
              <w:pStyle w:val="Default"/>
              <w:spacing w:before="40" w:after="40"/>
              <w:jc w:val="right"/>
              <w:rPr>
                <w:sz w:val="16"/>
                <w:szCs w:val="16"/>
              </w:rPr>
            </w:pPr>
            <w:r w:rsidRPr="00662611">
              <w:rPr>
                <w:sz w:val="16"/>
                <w:szCs w:val="16"/>
              </w:rPr>
              <w:t>(</w:t>
            </w:r>
            <w:r w:rsidR="007118E8" w:rsidRPr="00662611">
              <w:rPr>
                <w:sz w:val="16"/>
                <w:szCs w:val="16"/>
              </w:rPr>
              <w:t>818</w:t>
            </w:r>
            <w:r w:rsidRPr="00662611">
              <w:rPr>
                <w:sz w:val="16"/>
                <w:szCs w:val="16"/>
              </w:rPr>
              <w:t>)</w:t>
            </w:r>
            <w:r w:rsidR="00913043"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2F" w14:textId="5EC4CB30" w:rsidR="00913043" w:rsidRPr="00662611" w:rsidRDefault="008A30F9" w:rsidP="007118E8">
            <w:pPr>
              <w:pStyle w:val="Default"/>
              <w:spacing w:before="40" w:after="40"/>
              <w:jc w:val="right"/>
              <w:rPr>
                <w:sz w:val="16"/>
                <w:szCs w:val="16"/>
              </w:rPr>
            </w:pPr>
            <w:r w:rsidRPr="00662611">
              <w:rPr>
                <w:sz w:val="16"/>
                <w:szCs w:val="16"/>
              </w:rPr>
              <w:t>(</w:t>
            </w:r>
            <w:r w:rsidR="007118E8" w:rsidRPr="00662611">
              <w:rPr>
                <w:sz w:val="16"/>
                <w:szCs w:val="16"/>
              </w:rPr>
              <w:t>899</w:t>
            </w:r>
            <w:r w:rsidRPr="00662611">
              <w:rPr>
                <w:sz w:val="16"/>
                <w:szCs w:val="16"/>
              </w:rPr>
              <w:t>)</w:t>
            </w:r>
            <w:r w:rsidR="00913043" w:rsidRPr="00662611">
              <w:rPr>
                <w:sz w:val="16"/>
                <w:szCs w:val="16"/>
              </w:rPr>
              <w:t xml:space="preserve"> </w:t>
            </w:r>
          </w:p>
        </w:tc>
      </w:tr>
      <w:tr w:rsidR="007118E8" w:rsidRPr="00662611" w14:paraId="7D92753C" w14:textId="77777777" w:rsidTr="00C57275">
        <w:trPr>
          <w:trHeight w:val="225"/>
        </w:trPr>
        <w:tc>
          <w:tcPr>
            <w:tcW w:w="2579" w:type="dxa"/>
            <w:tcBorders>
              <w:top w:val="single" w:sz="4" w:space="0" w:color="auto"/>
              <w:left w:val="single" w:sz="4" w:space="0" w:color="auto"/>
              <w:bottom w:val="single" w:sz="4" w:space="0" w:color="auto"/>
              <w:right w:val="single" w:sz="4" w:space="0" w:color="auto"/>
            </w:tcBorders>
          </w:tcPr>
          <w:p w14:paraId="7D927531" w14:textId="77777777" w:rsidR="007118E8" w:rsidRPr="00662611" w:rsidRDefault="007118E8" w:rsidP="002B5CCC">
            <w:pPr>
              <w:pStyle w:val="Default"/>
              <w:rPr>
                <w:sz w:val="16"/>
                <w:szCs w:val="16"/>
              </w:rPr>
            </w:pPr>
            <w:r w:rsidRPr="00662611">
              <w:rPr>
                <w:sz w:val="16"/>
                <w:szCs w:val="16"/>
              </w:rPr>
              <w:t>Revaluation surplus (Table 6.2)</w:t>
            </w:r>
          </w:p>
        </w:tc>
        <w:tc>
          <w:tcPr>
            <w:tcW w:w="567" w:type="dxa"/>
            <w:tcBorders>
              <w:top w:val="single" w:sz="4" w:space="0" w:color="auto"/>
              <w:left w:val="single" w:sz="4" w:space="0" w:color="auto"/>
              <w:bottom w:val="single" w:sz="4" w:space="0" w:color="auto"/>
              <w:right w:val="single" w:sz="4" w:space="0" w:color="auto"/>
            </w:tcBorders>
            <w:vAlign w:val="center"/>
          </w:tcPr>
          <w:p w14:paraId="7D927532" w14:textId="77777777" w:rsidR="007118E8" w:rsidRPr="00662611" w:rsidRDefault="007118E8" w:rsidP="00913043">
            <w:pPr>
              <w:pStyle w:val="Default"/>
              <w:spacing w:before="40" w:after="40"/>
              <w:jc w:val="right"/>
              <w:rPr>
                <w:sz w:val="16"/>
                <w:szCs w:val="16"/>
              </w:rPr>
            </w:pPr>
            <w:r w:rsidRPr="00662611">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D927533" w14:textId="77777777" w:rsidR="007118E8" w:rsidRPr="00662611" w:rsidRDefault="007118E8" w:rsidP="007118E8">
            <w:pPr>
              <w:pStyle w:val="Default"/>
              <w:spacing w:before="40" w:after="40"/>
              <w:jc w:val="right"/>
              <w:rPr>
                <w:sz w:val="16"/>
                <w:szCs w:val="16"/>
              </w:rPr>
            </w:pPr>
            <w:r w:rsidRPr="00662611">
              <w:rPr>
                <w:sz w:val="16"/>
                <w:szCs w:val="16"/>
              </w:rPr>
              <w:t xml:space="preserve">32 </w:t>
            </w:r>
          </w:p>
        </w:tc>
        <w:tc>
          <w:tcPr>
            <w:tcW w:w="567" w:type="dxa"/>
            <w:tcBorders>
              <w:top w:val="single" w:sz="4" w:space="0" w:color="auto"/>
              <w:left w:val="single" w:sz="4" w:space="0" w:color="auto"/>
              <w:bottom w:val="single" w:sz="4" w:space="0" w:color="auto"/>
              <w:right w:val="single" w:sz="4" w:space="0" w:color="auto"/>
            </w:tcBorders>
          </w:tcPr>
          <w:p w14:paraId="7D927534" w14:textId="77777777" w:rsidR="007118E8" w:rsidRPr="00662611" w:rsidRDefault="007118E8" w:rsidP="00913043">
            <w:pPr>
              <w:pStyle w:val="Default"/>
              <w:spacing w:before="40" w:after="40"/>
              <w:jc w:val="right"/>
              <w:rPr>
                <w:sz w:val="16"/>
                <w:szCs w:val="16"/>
              </w:rPr>
            </w:pPr>
            <w:r w:rsidRPr="00662611">
              <w:rPr>
                <w:sz w:val="16"/>
                <w:szCs w:val="16"/>
              </w:rPr>
              <w:t>32</w:t>
            </w:r>
          </w:p>
        </w:tc>
        <w:tc>
          <w:tcPr>
            <w:tcW w:w="567" w:type="dxa"/>
            <w:tcBorders>
              <w:top w:val="single" w:sz="4" w:space="0" w:color="auto"/>
              <w:left w:val="single" w:sz="4" w:space="0" w:color="auto"/>
              <w:bottom w:val="single" w:sz="4" w:space="0" w:color="auto"/>
              <w:right w:val="single" w:sz="4" w:space="0" w:color="auto"/>
            </w:tcBorders>
          </w:tcPr>
          <w:p w14:paraId="7D927535" w14:textId="77777777" w:rsidR="007118E8" w:rsidRPr="00662611" w:rsidRDefault="007118E8" w:rsidP="00913043">
            <w:pPr>
              <w:pStyle w:val="Default"/>
              <w:spacing w:before="40" w:after="40"/>
              <w:jc w:val="right"/>
              <w:rPr>
                <w:sz w:val="16"/>
                <w:szCs w:val="16"/>
              </w:rPr>
            </w:pPr>
            <w:r w:rsidRPr="00662611">
              <w:rPr>
                <w:sz w:val="16"/>
                <w:szCs w:val="16"/>
              </w:rPr>
              <w:t>32</w:t>
            </w:r>
          </w:p>
        </w:tc>
        <w:tc>
          <w:tcPr>
            <w:tcW w:w="567" w:type="dxa"/>
            <w:tcBorders>
              <w:top w:val="single" w:sz="4" w:space="0" w:color="auto"/>
              <w:left w:val="single" w:sz="4" w:space="0" w:color="auto"/>
              <w:bottom w:val="single" w:sz="4" w:space="0" w:color="auto"/>
              <w:right w:val="single" w:sz="4" w:space="0" w:color="auto"/>
            </w:tcBorders>
          </w:tcPr>
          <w:p w14:paraId="7D927536" w14:textId="77777777" w:rsidR="007118E8" w:rsidRPr="00662611" w:rsidRDefault="007118E8" w:rsidP="00913043">
            <w:pPr>
              <w:pStyle w:val="Default"/>
              <w:spacing w:before="40" w:after="40"/>
              <w:jc w:val="right"/>
              <w:rPr>
                <w:sz w:val="16"/>
                <w:szCs w:val="16"/>
              </w:rPr>
            </w:pPr>
            <w:r w:rsidRPr="00662611">
              <w:rPr>
                <w:sz w:val="16"/>
                <w:szCs w:val="16"/>
              </w:rPr>
              <w:t>32</w:t>
            </w:r>
          </w:p>
        </w:tc>
        <w:tc>
          <w:tcPr>
            <w:tcW w:w="567" w:type="dxa"/>
            <w:tcBorders>
              <w:top w:val="single" w:sz="4" w:space="0" w:color="auto"/>
              <w:left w:val="single" w:sz="4" w:space="0" w:color="auto"/>
              <w:bottom w:val="single" w:sz="4" w:space="0" w:color="auto"/>
              <w:right w:val="single" w:sz="4" w:space="0" w:color="auto"/>
            </w:tcBorders>
          </w:tcPr>
          <w:p w14:paraId="7D927537" w14:textId="77777777" w:rsidR="007118E8" w:rsidRPr="00662611" w:rsidRDefault="007118E8" w:rsidP="00913043">
            <w:pPr>
              <w:pStyle w:val="Default"/>
              <w:spacing w:before="40" w:after="40"/>
              <w:jc w:val="right"/>
              <w:rPr>
                <w:sz w:val="16"/>
                <w:szCs w:val="16"/>
              </w:rPr>
            </w:pPr>
            <w:r w:rsidRPr="00662611">
              <w:rPr>
                <w:sz w:val="16"/>
                <w:szCs w:val="16"/>
              </w:rPr>
              <w:t>32</w:t>
            </w:r>
          </w:p>
        </w:tc>
        <w:tc>
          <w:tcPr>
            <w:tcW w:w="567" w:type="dxa"/>
            <w:tcBorders>
              <w:top w:val="single" w:sz="4" w:space="0" w:color="auto"/>
              <w:left w:val="single" w:sz="4" w:space="0" w:color="auto"/>
              <w:bottom w:val="single" w:sz="4" w:space="0" w:color="auto"/>
              <w:right w:val="single" w:sz="4" w:space="0" w:color="auto"/>
            </w:tcBorders>
          </w:tcPr>
          <w:p w14:paraId="7D927538" w14:textId="77777777" w:rsidR="007118E8" w:rsidRPr="00662611" w:rsidRDefault="007118E8" w:rsidP="00913043">
            <w:pPr>
              <w:pStyle w:val="Default"/>
              <w:spacing w:before="40" w:after="40"/>
              <w:jc w:val="right"/>
              <w:rPr>
                <w:sz w:val="16"/>
                <w:szCs w:val="16"/>
              </w:rPr>
            </w:pPr>
            <w:r w:rsidRPr="00662611">
              <w:rPr>
                <w:sz w:val="16"/>
                <w:szCs w:val="16"/>
              </w:rPr>
              <w:t>32</w:t>
            </w:r>
          </w:p>
        </w:tc>
        <w:tc>
          <w:tcPr>
            <w:tcW w:w="567" w:type="dxa"/>
            <w:tcBorders>
              <w:top w:val="single" w:sz="4" w:space="0" w:color="auto"/>
              <w:left w:val="single" w:sz="4" w:space="0" w:color="auto"/>
              <w:bottom w:val="single" w:sz="4" w:space="0" w:color="auto"/>
              <w:right w:val="single" w:sz="4" w:space="0" w:color="auto"/>
            </w:tcBorders>
          </w:tcPr>
          <w:p w14:paraId="7D927539" w14:textId="77777777" w:rsidR="007118E8" w:rsidRPr="00662611" w:rsidRDefault="007118E8" w:rsidP="00913043">
            <w:pPr>
              <w:pStyle w:val="Default"/>
              <w:spacing w:before="40" w:after="40"/>
              <w:jc w:val="right"/>
              <w:rPr>
                <w:sz w:val="16"/>
                <w:szCs w:val="16"/>
              </w:rPr>
            </w:pPr>
            <w:r w:rsidRPr="00662611">
              <w:rPr>
                <w:sz w:val="16"/>
                <w:szCs w:val="16"/>
              </w:rPr>
              <w:t>32</w:t>
            </w:r>
          </w:p>
        </w:tc>
        <w:tc>
          <w:tcPr>
            <w:tcW w:w="567" w:type="dxa"/>
            <w:tcBorders>
              <w:top w:val="single" w:sz="4" w:space="0" w:color="auto"/>
              <w:left w:val="single" w:sz="4" w:space="0" w:color="auto"/>
              <w:bottom w:val="single" w:sz="4" w:space="0" w:color="auto"/>
              <w:right w:val="single" w:sz="4" w:space="0" w:color="auto"/>
            </w:tcBorders>
          </w:tcPr>
          <w:p w14:paraId="7D92753A" w14:textId="77777777" w:rsidR="007118E8" w:rsidRPr="00662611" w:rsidRDefault="007118E8" w:rsidP="00913043">
            <w:pPr>
              <w:pStyle w:val="Default"/>
              <w:spacing w:before="40" w:after="40"/>
              <w:jc w:val="right"/>
              <w:rPr>
                <w:sz w:val="16"/>
                <w:szCs w:val="16"/>
              </w:rPr>
            </w:pPr>
            <w:r w:rsidRPr="00662611">
              <w:rPr>
                <w:sz w:val="16"/>
                <w:szCs w:val="16"/>
              </w:rPr>
              <w:t>32</w:t>
            </w:r>
          </w:p>
        </w:tc>
        <w:tc>
          <w:tcPr>
            <w:tcW w:w="567" w:type="dxa"/>
            <w:tcBorders>
              <w:top w:val="single" w:sz="4" w:space="0" w:color="auto"/>
              <w:left w:val="single" w:sz="4" w:space="0" w:color="auto"/>
              <w:bottom w:val="single" w:sz="4" w:space="0" w:color="auto"/>
              <w:right w:val="single" w:sz="4" w:space="0" w:color="auto"/>
            </w:tcBorders>
          </w:tcPr>
          <w:p w14:paraId="7D92753B" w14:textId="77777777" w:rsidR="007118E8" w:rsidRPr="00662611" w:rsidRDefault="007118E8" w:rsidP="00913043">
            <w:pPr>
              <w:pStyle w:val="Default"/>
              <w:spacing w:before="40" w:after="40"/>
              <w:jc w:val="right"/>
              <w:rPr>
                <w:sz w:val="16"/>
                <w:szCs w:val="16"/>
              </w:rPr>
            </w:pPr>
            <w:r w:rsidRPr="00662611">
              <w:rPr>
                <w:sz w:val="16"/>
                <w:szCs w:val="16"/>
              </w:rPr>
              <w:t>32</w:t>
            </w:r>
          </w:p>
        </w:tc>
      </w:tr>
      <w:tr w:rsidR="007118E8" w:rsidRPr="00662611" w14:paraId="7D927542" w14:textId="77777777" w:rsidTr="001A342F">
        <w:trPr>
          <w:trHeight w:val="225"/>
        </w:trPr>
        <w:tc>
          <w:tcPr>
            <w:tcW w:w="8249" w:type="dxa"/>
            <w:gridSpan w:val="11"/>
            <w:tcBorders>
              <w:top w:val="single" w:sz="4" w:space="0" w:color="auto"/>
              <w:left w:val="single" w:sz="4" w:space="0" w:color="auto"/>
              <w:bottom w:val="single" w:sz="4" w:space="0" w:color="auto"/>
              <w:right w:val="single" w:sz="4" w:space="0" w:color="auto"/>
            </w:tcBorders>
          </w:tcPr>
          <w:p w14:paraId="7D92753D" w14:textId="77777777" w:rsidR="007118E8" w:rsidRPr="00662611" w:rsidRDefault="007118E8" w:rsidP="00913043">
            <w:pPr>
              <w:pStyle w:val="Default"/>
              <w:spacing w:before="40" w:after="40"/>
              <w:rPr>
                <w:sz w:val="16"/>
                <w:szCs w:val="16"/>
              </w:rPr>
            </w:pPr>
            <w:r w:rsidRPr="00662611">
              <w:rPr>
                <w:b/>
                <w:bCs/>
                <w:sz w:val="16"/>
                <w:szCs w:val="16"/>
              </w:rPr>
              <w:t>NOTES:</w:t>
            </w:r>
          </w:p>
          <w:p w14:paraId="7D92753E" w14:textId="4487429E" w:rsidR="007118E8" w:rsidRPr="00662611" w:rsidRDefault="007118E8" w:rsidP="00942FDB">
            <w:pPr>
              <w:pStyle w:val="Default"/>
              <w:numPr>
                <w:ilvl w:val="6"/>
                <w:numId w:val="11"/>
              </w:numPr>
              <w:spacing w:before="40" w:after="40"/>
              <w:ind w:left="357" w:hanging="357"/>
              <w:rPr>
                <w:sz w:val="16"/>
                <w:szCs w:val="16"/>
              </w:rPr>
            </w:pPr>
            <w:r w:rsidRPr="00662611">
              <w:rPr>
                <w:sz w:val="16"/>
                <w:szCs w:val="16"/>
              </w:rPr>
              <w:t>In this example, the resurfacing occurs as expected in year 8, when the original road surface is fully depreciated. If the resurfacing occurred earlier, the original road surface would not be fully depreciated, and would need to be derecognised in accordance with AASB 116 before the new component of the service concession asset related to the resurfacing is recognised.</w:t>
            </w:r>
          </w:p>
          <w:p w14:paraId="7D92753F" w14:textId="14136E0F" w:rsidR="007118E8" w:rsidRPr="00662611" w:rsidRDefault="007118E8" w:rsidP="00942FDB">
            <w:pPr>
              <w:pStyle w:val="Default"/>
              <w:numPr>
                <w:ilvl w:val="6"/>
                <w:numId w:val="11"/>
              </w:numPr>
              <w:spacing w:before="40" w:after="40"/>
              <w:ind w:left="357" w:hanging="357"/>
              <w:rPr>
                <w:sz w:val="16"/>
                <w:szCs w:val="16"/>
              </w:rPr>
            </w:pPr>
            <w:r w:rsidRPr="00662611">
              <w:rPr>
                <w:sz w:val="16"/>
                <w:szCs w:val="16"/>
              </w:rPr>
              <w:t xml:space="preserve">The new component of the service concession asset related to the resurfacing is recognised in year 8. Years 9–10 reflect depreciation on this additional component (Table </w:t>
            </w:r>
            <w:r w:rsidR="009F6DF7" w:rsidRPr="00662611">
              <w:rPr>
                <w:sz w:val="16"/>
                <w:szCs w:val="16"/>
              </w:rPr>
              <w:t>6</w:t>
            </w:r>
            <w:r w:rsidRPr="00662611">
              <w:rPr>
                <w:sz w:val="16"/>
                <w:szCs w:val="16"/>
              </w:rPr>
              <w:t>.2).</w:t>
            </w:r>
          </w:p>
          <w:p w14:paraId="7D927540" w14:textId="77777777" w:rsidR="007118E8" w:rsidRPr="00662611" w:rsidRDefault="007118E8" w:rsidP="00942FDB">
            <w:pPr>
              <w:pStyle w:val="Default"/>
              <w:numPr>
                <w:ilvl w:val="6"/>
                <w:numId w:val="11"/>
              </w:numPr>
              <w:spacing w:before="40" w:after="40"/>
              <w:ind w:left="357" w:hanging="357"/>
              <w:rPr>
                <w:sz w:val="16"/>
                <w:szCs w:val="16"/>
              </w:rPr>
            </w:pPr>
            <w:r w:rsidRPr="00662611">
              <w:rPr>
                <w:sz w:val="16"/>
                <w:szCs w:val="16"/>
              </w:rPr>
              <w:t>The financial liability is increased in year 8 for the recognition of the new component of the service concession asset.</w:t>
            </w:r>
          </w:p>
          <w:p w14:paraId="7D927541" w14:textId="0D1DCDA3" w:rsidR="007118E8" w:rsidRPr="00662611" w:rsidRDefault="007118E8" w:rsidP="009F6DF7">
            <w:pPr>
              <w:pStyle w:val="Default"/>
              <w:spacing w:before="40" w:after="40"/>
              <w:ind w:left="357" w:hanging="357"/>
              <w:rPr>
                <w:sz w:val="16"/>
                <w:szCs w:val="16"/>
              </w:rPr>
            </w:pPr>
            <w:r w:rsidRPr="00662611">
              <w:rPr>
                <w:sz w:val="16"/>
                <w:szCs w:val="16"/>
              </w:rPr>
              <w:t>*</w:t>
            </w:r>
            <w:r w:rsidRPr="00662611">
              <w:rPr>
                <w:sz w:val="16"/>
                <w:szCs w:val="16"/>
              </w:rPr>
              <w:tab/>
              <w:t>From year 3, opening balance less depreciation for the year (Table 6.2)</w:t>
            </w:r>
            <w:r w:rsidR="009F6DF7" w:rsidRPr="00662611">
              <w:rPr>
                <w:sz w:val="16"/>
                <w:szCs w:val="16"/>
              </w:rPr>
              <w:t>.</w:t>
            </w:r>
          </w:p>
        </w:tc>
      </w:tr>
    </w:tbl>
    <w:p w14:paraId="7D927543" w14:textId="77777777" w:rsidR="00FF1032" w:rsidRPr="00662611" w:rsidRDefault="00FF1032" w:rsidP="00F111F8">
      <w:pPr>
        <w:pStyle w:val="NumBC1"/>
        <w:numPr>
          <w:ilvl w:val="0"/>
          <w:numId w:val="0"/>
        </w:numPr>
      </w:pPr>
    </w:p>
    <w:p w14:paraId="7D927544" w14:textId="4871F3F0" w:rsidR="00913043" w:rsidRPr="00662611" w:rsidRDefault="00913043" w:rsidP="00FB21C0">
      <w:pPr>
        <w:pStyle w:val="NumBC1"/>
        <w:numPr>
          <w:ilvl w:val="0"/>
          <w:numId w:val="0"/>
        </w:numPr>
        <w:ind w:left="782"/>
        <w:outlineLvl w:val="3"/>
        <w:rPr>
          <w:b/>
          <w:bCs/>
        </w:rPr>
      </w:pPr>
      <w:r w:rsidRPr="00662611">
        <w:rPr>
          <w:b/>
          <w:bCs/>
        </w:rPr>
        <w:t xml:space="preserve">Table </w:t>
      </w:r>
      <w:proofErr w:type="gramStart"/>
      <w:r w:rsidR="007118E8" w:rsidRPr="00662611">
        <w:rPr>
          <w:b/>
          <w:bCs/>
        </w:rPr>
        <w:t>6</w:t>
      </w:r>
      <w:r w:rsidRPr="00662611">
        <w:rPr>
          <w:b/>
          <w:bCs/>
        </w:rPr>
        <w:t>.4</w:t>
      </w:r>
      <w:r w:rsidR="00DC7EF3" w:rsidRPr="00662611">
        <w:rPr>
          <w:b/>
          <w:bCs/>
        </w:rPr>
        <w:t xml:space="preserve"> </w:t>
      </w:r>
      <w:r w:rsidRPr="00662611">
        <w:rPr>
          <w:b/>
          <w:bCs/>
        </w:rPr>
        <w:t xml:space="preserve"> Changes</w:t>
      </w:r>
      <w:proofErr w:type="gramEnd"/>
      <w:r w:rsidRPr="00662611">
        <w:rPr>
          <w:b/>
          <w:bCs/>
        </w:rPr>
        <w:t xml:space="preserve"> in </w:t>
      </w:r>
      <w:r w:rsidR="00723605" w:rsidRPr="00662611">
        <w:rPr>
          <w:b/>
          <w:bCs/>
        </w:rPr>
        <w:t xml:space="preserve">the </w:t>
      </w:r>
      <w:r w:rsidR="00DE6BF2" w:rsidRPr="00662611">
        <w:rPr>
          <w:b/>
          <w:bCs/>
        </w:rPr>
        <w:t>financial liability (currency uni</w:t>
      </w:r>
      <w:r w:rsidRPr="00662611">
        <w:rPr>
          <w:b/>
          <w:bCs/>
        </w:rPr>
        <w:t>ts)</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6.4 Changes in Financial Liability (Currency Units)"/>
        <w:tblDescription w:val="Table 6.4 shows the changes in the grantor's financial liability in years 1–10. From (and including) Year 3, the liability is reduced by a portion of the predetermined payment each year. A liability of CU110 is also recognised for the reimbursement to the operator for the cost of resurfacing the road in year 8. "/>
      </w:tblPr>
      <w:tblGrid>
        <w:gridCol w:w="2603"/>
        <w:gridCol w:w="567"/>
        <w:gridCol w:w="567"/>
        <w:gridCol w:w="567"/>
        <w:gridCol w:w="567"/>
        <w:gridCol w:w="567"/>
        <w:gridCol w:w="567"/>
        <w:gridCol w:w="567"/>
        <w:gridCol w:w="567"/>
        <w:gridCol w:w="567"/>
        <w:gridCol w:w="567"/>
      </w:tblGrid>
      <w:tr w:rsidR="00913043" w:rsidRPr="00662611" w14:paraId="7D927550" w14:textId="77777777" w:rsidTr="00C57275">
        <w:trPr>
          <w:trHeight w:val="107"/>
        </w:trPr>
        <w:tc>
          <w:tcPr>
            <w:tcW w:w="2603" w:type="dxa"/>
          </w:tcPr>
          <w:p w14:paraId="7D927545" w14:textId="77777777" w:rsidR="00913043" w:rsidRPr="00662611" w:rsidRDefault="00913043" w:rsidP="00426F9C">
            <w:pPr>
              <w:pStyle w:val="Default"/>
              <w:spacing w:before="40" w:after="40"/>
              <w:rPr>
                <w:sz w:val="16"/>
                <w:szCs w:val="16"/>
              </w:rPr>
            </w:pPr>
            <w:r w:rsidRPr="00662611">
              <w:rPr>
                <w:b/>
                <w:bCs/>
                <w:sz w:val="16"/>
                <w:szCs w:val="16"/>
              </w:rPr>
              <w:t xml:space="preserve">Year </w:t>
            </w:r>
          </w:p>
        </w:tc>
        <w:tc>
          <w:tcPr>
            <w:tcW w:w="567" w:type="dxa"/>
          </w:tcPr>
          <w:p w14:paraId="7D927546" w14:textId="77777777" w:rsidR="00913043" w:rsidRPr="00662611" w:rsidRDefault="00913043" w:rsidP="00426F9C">
            <w:pPr>
              <w:pStyle w:val="Default"/>
              <w:spacing w:before="40" w:after="40"/>
              <w:jc w:val="right"/>
              <w:rPr>
                <w:sz w:val="16"/>
                <w:szCs w:val="16"/>
              </w:rPr>
            </w:pPr>
            <w:r w:rsidRPr="00662611">
              <w:rPr>
                <w:b/>
                <w:bCs/>
                <w:sz w:val="16"/>
                <w:szCs w:val="16"/>
              </w:rPr>
              <w:t>1</w:t>
            </w:r>
          </w:p>
        </w:tc>
        <w:tc>
          <w:tcPr>
            <w:tcW w:w="567" w:type="dxa"/>
          </w:tcPr>
          <w:p w14:paraId="7D927547" w14:textId="77777777" w:rsidR="00913043" w:rsidRPr="00662611" w:rsidRDefault="00913043" w:rsidP="00426F9C">
            <w:pPr>
              <w:pStyle w:val="Default"/>
              <w:spacing w:before="40" w:after="40"/>
              <w:jc w:val="right"/>
              <w:rPr>
                <w:sz w:val="16"/>
                <w:szCs w:val="16"/>
              </w:rPr>
            </w:pPr>
            <w:r w:rsidRPr="00662611">
              <w:rPr>
                <w:b/>
                <w:bCs/>
                <w:sz w:val="16"/>
                <w:szCs w:val="16"/>
              </w:rPr>
              <w:t>2</w:t>
            </w:r>
          </w:p>
        </w:tc>
        <w:tc>
          <w:tcPr>
            <w:tcW w:w="567" w:type="dxa"/>
          </w:tcPr>
          <w:p w14:paraId="7D927548" w14:textId="77777777" w:rsidR="00913043" w:rsidRPr="00662611" w:rsidRDefault="00913043" w:rsidP="00426F9C">
            <w:pPr>
              <w:pStyle w:val="Default"/>
              <w:spacing w:before="40" w:after="40"/>
              <w:jc w:val="right"/>
              <w:rPr>
                <w:sz w:val="16"/>
                <w:szCs w:val="16"/>
              </w:rPr>
            </w:pPr>
            <w:r w:rsidRPr="00662611">
              <w:rPr>
                <w:b/>
                <w:bCs/>
                <w:sz w:val="16"/>
                <w:szCs w:val="16"/>
              </w:rPr>
              <w:t>3</w:t>
            </w:r>
          </w:p>
        </w:tc>
        <w:tc>
          <w:tcPr>
            <w:tcW w:w="567" w:type="dxa"/>
          </w:tcPr>
          <w:p w14:paraId="7D927549" w14:textId="77777777" w:rsidR="00913043" w:rsidRPr="00662611" w:rsidRDefault="00913043" w:rsidP="00426F9C">
            <w:pPr>
              <w:pStyle w:val="Default"/>
              <w:spacing w:before="40" w:after="40"/>
              <w:jc w:val="right"/>
              <w:rPr>
                <w:sz w:val="16"/>
                <w:szCs w:val="16"/>
              </w:rPr>
            </w:pPr>
            <w:r w:rsidRPr="00662611">
              <w:rPr>
                <w:b/>
                <w:bCs/>
                <w:sz w:val="16"/>
                <w:szCs w:val="16"/>
              </w:rPr>
              <w:t>4</w:t>
            </w:r>
          </w:p>
        </w:tc>
        <w:tc>
          <w:tcPr>
            <w:tcW w:w="567" w:type="dxa"/>
          </w:tcPr>
          <w:p w14:paraId="7D92754A" w14:textId="77777777" w:rsidR="00913043" w:rsidRPr="00662611" w:rsidRDefault="00913043" w:rsidP="00426F9C">
            <w:pPr>
              <w:pStyle w:val="Default"/>
              <w:spacing w:before="40" w:after="40"/>
              <w:jc w:val="right"/>
              <w:rPr>
                <w:sz w:val="16"/>
                <w:szCs w:val="16"/>
              </w:rPr>
            </w:pPr>
            <w:r w:rsidRPr="00662611">
              <w:rPr>
                <w:b/>
                <w:bCs/>
                <w:sz w:val="16"/>
                <w:szCs w:val="16"/>
              </w:rPr>
              <w:t>5</w:t>
            </w:r>
          </w:p>
        </w:tc>
        <w:tc>
          <w:tcPr>
            <w:tcW w:w="567" w:type="dxa"/>
          </w:tcPr>
          <w:p w14:paraId="7D92754B" w14:textId="77777777" w:rsidR="00913043" w:rsidRPr="00662611" w:rsidRDefault="00913043" w:rsidP="00426F9C">
            <w:pPr>
              <w:pStyle w:val="Default"/>
              <w:spacing w:before="40" w:after="40"/>
              <w:jc w:val="right"/>
              <w:rPr>
                <w:sz w:val="16"/>
                <w:szCs w:val="16"/>
              </w:rPr>
            </w:pPr>
            <w:r w:rsidRPr="00662611">
              <w:rPr>
                <w:b/>
                <w:bCs/>
                <w:sz w:val="16"/>
                <w:szCs w:val="16"/>
              </w:rPr>
              <w:t>6</w:t>
            </w:r>
          </w:p>
        </w:tc>
        <w:tc>
          <w:tcPr>
            <w:tcW w:w="567" w:type="dxa"/>
          </w:tcPr>
          <w:p w14:paraId="7D92754C" w14:textId="77777777" w:rsidR="00913043" w:rsidRPr="00662611" w:rsidRDefault="00913043" w:rsidP="00426F9C">
            <w:pPr>
              <w:pStyle w:val="Default"/>
              <w:spacing w:before="40" w:after="40"/>
              <w:jc w:val="right"/>
              <w:rPr>
                <w:sz w:val="16"/>
                <w:szCs w:val="16"/>
              </w:rPr>
            </w:pPr>
            <w:r w:rsidRPr="00662611">
              <w:rPr>
                <w:b/>
                <w:bCs/>
                <w:sz w:val="16"/>
                <w:szCs w:val="16"/>
              </w:rPr>
              <w:t>7</w:t>
            </w:r>
          </w:p>
        </w:tc>
        <w:tc>
          <w:tcPr>
            <w:tcW w:w="567" w:type="dxa"/>
          </w:tcPr>
          <w:p w14:paraId="7D92754D" w14:textId="77777777" w:rsidR="00913043" w:rsidRPr="00662611" w:rsidRDefault="00913043" w:rsidP="00426F9C">
            <w:pPr>
              <w:pStyle w:val="Default"/>
              <w:spacing w:before="40" w:after="40"/>
              <w:jc w:val="right"/>
              <w:rPr>
                <w:sz w:val="16"/>
                <w:szCs w:val="16"/>
              </w:rPr>
            </w:pPr>
            <w:r w:rsidRPr="00662611">
              <w:rPr>
                <w:b/>
                <w:bCs/>
                <w:sz w:val="16"/>
                <w:szCs w:val="16"/>
              </w:rPr>
              <w:t>8</w:t>
            </w:r>
          </w:p>
        </w:tc>
        <w:tc>
          <w:tcPr>
            <w:tcW w:w="567" w:type="dxa"/>
          </w:tcPr>
          <w:p w14:paraId="7D92754E" w14:textId="77777777" w:rsidR="00913043" w:rsidRPr="00662611" w:rsidRDefault="00913043" w:rsidP="00426F9C">
            <w:pPr>
              <w:pStyle w:val="Default"/>
              <w:spacing w:before="40" w:after="40"/>
              <w:jc w:val="right"/>
              <w:rPr>
                <w:sz w:val="16"/>
                <w:szCs w:val="16"/>
              </w:rPr>
            </w:pPr>
            <w:r w:rsidRPr="00662611">
              <w:rPr>
                <w:b/>
                <w:bCs/>
                <w:sz w:val="16"/>
                <w:szCs w:val="16"/>
              </w:rPr>
              <w:t>9</w:t>
            </w:r>
          </w:p>
        </w:tc>
        <w:tc>
          <w:tcPr>
            <w:tcW w:w="567" w:type="dxa"/>
          </w:tcPr>
          <w:p w14:paraId="7D92754F" w14:textId="77777777" w:rsidR="00913043" w:rsidRPr="00662611" w:rsidRDefault="00913043" w:rsidP="00426F9C">
            <w:pPr>
              <w:pStyle w:val="Default"/>
              <w:spacing w:before="40" w:after="40"/>
              <w:jc w:val="right"/>
              <w:rPr>
                <w:sz w:val="16"/>
                <w:szCs w:val="16"/>
              </w:rPr>
            </w:pPr>
            <w:r w:rsidRPr="00662611">
              <w:rPr>
                <w:b/>
                <w:bCs/>
                <w:sz w:val="16"/>
                <w:szCs w:val="16"/>
              </w:rPr>
              <w:t>10</w:t>
            </w:r>
          </w:p>
        </w:tc>
      </w:tr>
      <w:tr w:rsidR="00913043" w:rsidRPr="00662611" w14:paraId="7D92755C" w14:textId="77777777" w:rsidTr="00C57275">
        <w:trPr>
          <w:trHeight w:val="225"/>
        </w:trPr>
        <w:tc>
          <w:tcPr>
            <w:tcW w:w="2603" w:type="dxa"/>
          </w:tcPr>
          <w:p w14:paraId="7D927551" w14:textId="77777777" w:rsidR="00913043" w:rsidRPr="00662611" w:rsidRDefault="00913043" w:rsidP="00426F9C">
            <w:pPr>
              <w:pStyle w:val="Default"/>
              <w:spacing w:before="40" w:after="40"/>
              <w:rPr>
                <w:sz w:val="14"/>
                <w:szCs w:val="14"/>
              </w:rPr>
            </w:pPr>
            <w:r w:rsidRPr="00662611">
              <w:rPr>
                <w:sz w:val="14"/>
                <w:szCs w:val="14"/>
              </w:rPr>
              <w:t xml:space="preserve">Balance brought forward </w:t>
            </w:r>
          </w:p>
        </w:tc>
        <w:tc>
          <w:tcPr>
            <w:tcW w:w="567" w:type="dxa"/>
            <w:vAlign w:val="center"/>
          </w:tcPr>
          <w:p w14:paraId="7D927552"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53" w14:textId="77777777" w:rsidR="00913043" w:rsidRPr="00662611" w:rsidRDefault="00913043" w:rsidP="00426F9C">
            <w:pPr>
              <w:pStyle w:val="Default"/>
              <w:spacing w:before="40" w:after="40"/>
              <w:jc w:val="right"/>
              <w:rPr>
                <w:sz w:val="16"/>
                <w:szCs w:val="16"/>
              </w:rPr>
            </w:pPr>
            <w:r w:rsidRPr="00662611">
              <w:rPr>
                <w:sz w:val="16"/>
                <w:szCs w:val="16"/>
              </w:rPr>
              <w:t>525</w:t>
            </w:r>
          </w:p>
        </w:tc>
        <w:tc>
          <w:tcPr>
            <w:tcW w:w="567" w:type="dxa"/>
            <w:vAlign w:val="center"/>
          </w:tcPr>
          <w:p w14:paraId="7D927554" w14:textId="77777777" w:rsidR="00913043" w:rsidRPr="00662611" w:rsidRDefault="00913043" w:rsidP="00426F9C">
            <w:pPr>
              <w:pStyle w:val="Default"/>
              <w:spacing w:before="40" w:after="40"/>
              <w:jc w:val="right"/>
              <w:rPr>
                <w:sz w:val="16"/>
                <w:szCs w:val="16"/>
              </w:rPr>
            </w:pPr>
            <w:r w:rsidRPr="00662611">
              <w:rPr>
                <w:sz w:val="16"/>
                <w:szCs w:val="16"/>
              </w:rPr>
              <w:t>1,082</w:t>
            </w:r>
          </w:p>
        </w:tc>
        <w:tc>
          <w:tcPr>
            <w:tcW w:w="567" w:type="dxa"/>
            <w:vAlign w:val="center"/>
          </w:tcPr>
          <w:p w14:paraId="7D927555" w14:textId="77777777" w:rsidR="00913043" w:rsidRPr="00662611" w:rsidRDefault="00913043" w:rsidP="00426F9C">
            <w:pPr>
              <w:pStyle w:val="Default"/>
              <w:spacing w:before="40" w:after="40"/>
              <w:jc w:val="right"/>
              <w:rPr>
                <w:sz w:val="16"/>
                <w:szCs w:val="16"/>
              </w:rPr>
            </w:pPr>
            <w:r w:rsidRPr="00662611">
              <w:rPr>
                <w:sz w:val="16"/>
                <w:szCs w:val="16"/>
              </w:rPr>
              <w:t>961</w:t>
            </w:r>
          </w:p>
        </w:tc>
        <w:tc>
          <w:tcPr>
            <w:tcW w:w="567" w:type="dxa"/>
            <w:vAlign w:val="center"/>
          </w:tcPr>
          <w:p w14:paraId="7D927556" w14:textId="77777777" w:rsidR="00913043" w:rsidRPr="00662611" w:rsidRDefault="00913043" w:rsidP="00426F9C">
            <w:pPr>
              <w:pStyle w:val="Default"/>
              <w:spacing w:before="40" w:after="40"/>
              <w:jc w:val="right"/>
              <w:rPr>
                <w:sz w:val="16"/>
                <w:szCs w:val="16"/>
              </w:rPr>
            </w:pPr>
            <w:r w:rsidRPr="00662611">
              <w:rPr>
                <w:sz w:val="16"/>
                <w:szCs w:val="16"/>
              </w:rPr>
              <w:t>832</w:t>
            </w:r>
          </w:p>
        </w:tc>
        <w:tc>
          <w:tcPr>
            <w:tcW w:w="567" w:type="dxa"/>
            <w:vAlign w:val="center"/>
          </w:tcPr>
          <w:p w14:paraId="7D927557" w14:textId="77777777" w:rsidR="00913043" w:rsidRPr="00662611" w:rsidRDefault="00913043" w:rsidP="00426F9C">
            <w:pPr>
              <w:pStyle w:val="Default"/>
              <w:spacing w:before="40" w:after="40"/>
              <w:jc w:val="right"/>
              <w:rPr>
                <w:sz w:val="16"/>
                <w:szCs w:val="16"/>
              </w:rPr>
            </w:pPr>
            <w:r w:rsidRPr="00662611">
              <w:rPr>
                <w:sz w:val="16"/>
                <w:szCs w:val="16"/>
              </w:rPr>
              <w:t>695</w:t>
            </w:r>
          </w:p>
        </w:tc>
        <w:tc>
          <w:tcPr>
            <w:tcW w:w="567" w:type="dxa"/>
            <w:vAlign w:val="center"/>
          </w:tcPr>
          <w:p w14:paraId="7D927558" w14:textId="77777777" w:rsidR="00913043" w:rsidRPr="00662611" w:rsidRDefault="00913043" w:rsidP="00426F9C">
            <w:pPr>
              <w:pStyle w:val="Default"/>
              <w:spacing w:before="40" w:after="40"/>
              <w:jc w:val="right"/>
              <w:rPr>
                <w:sz w:val="16"/>
                <w:szCs w:val="16"/>
              </w:rPr>
            </w:pPr>
            <w:r w:rsidRPr="00662611">
              <w:rPr>
                <w:sz w:val="16"/>
                <w:szCs w:val="16"/>
              </w:rPr>
              <w:t>550</w:t>
            </w:r>
          </w:p>
        </w:tc>
        <w:tc>
          <w:tcPr>
            <w:tcW w:w="567" w:type="dxa"/>
            <w:vAlign w:val="center"/>
          </w:tcPr>
          <w:p w14:paraId="7D927559" w14:textId="77777777" w:rsidR="00913043" w:rsidRPr="00662611" w:rsidRDefault="00913043" w:rsidP="00426F9C">
            <w:pPr>
              <w:pStyle w:val="Default"/>
              <w:spacing w:before="40" w:after="40"/>
              <w:jc w:val="right"/>
              <w:rPr>
                <w:sz w:val="16"/>
                <w:szCs w:val="16"/>
              </w:rPr>
            </w:pPr>
            <w:r w:rsidRPr="00662611">
              <w:rPr>
                <w:sz w:val="16"/>
                <w:szCs w:val="16"/>
              </w:rPr>
              <w:t>396</w:t>
            </w:r>
          </w:p>
        </w:tc>
        <w:tc>
          <w:tcPr>
            <w:tcW w:w="567" w:type="dxa"/>
            <w:vAlign w:val="center"/>
          </w:tcPr>
          <w:p w14:paraId="7D92755A" w14:textId="77777777" w:rsidR="00913043" w:rsidRPr="00662611" w:rsidRDefault="00913043" w:rsidP="00426F9C">
            <w:pPr>
              <w:pStyle w:val="Default"/>
              <w:spacing w:before="40" w:after="40"/>
              <w:jc w:val="right"/>
              <w:rPr>
                <w:sz w:val="16"/>
                <w:szCs w:val="16"/>
              </w:rPr>
            </w:pPr>
            <w:r w:rsidRPr="00662611">
              <w:rPr>
                <w:sz w:val="16"/>
                <w:szCs w:val="16"/>
              </w:rPr>
              <w:t>343</w:t>
            </w:r>
          </w:p>
        </w:tc>
        <w:tc>
          <w:tcPr>
            <w:tcW w:w="567" w:type="dxa"/>
            <w:vAlign w:val="center"/>
          </w:tcPr>
          <w:p w14:paraId="7D92755B" w14:textId="77777777" w:rsidR="00913043" w:rsidRPr="00662611" w:rsidRDefault="00913043" w:rsidP="00426F9C">
            <w:pPr>
              <w:pStyle w:val="Default"/>
              <w:spacing w:before="40" w:after="40"/>
              <w:jc w:val="right"/>
              <w:rPr>
                <w:sz w:val="16"/>
                <w:szCs w:val="16"/>
              </w:rPr>
            </w:pPr>
            <w:r w:rsidRPr="00662611">
              <w:rPr>
                <w:sz w:val="16"/>
                <w:szCs w:val="16"/>
              </w:rPr>
              <w:t>177</w:t>
            </w:r>
          </w:p>
        </w:tc>
      </w:tr>
      <w:tr w:rsidR="00913043" w:rsidRPr="00662611" w14:paraId="7D927568" w14:textId="77777777" w:rsidTr="00C57275">
        <w:trPr>
          <w:trHeight w:val="345"/>
        </w:trPr>
        <w:tc>
          <w:tcPr>
            <w:tcW w:w="2603" w:type="dxa"/>
          </w:tcPr>
          <w:p w14:paraId="7D92755D" w14:textId="77777777" w:rsidR="00913043" w:rsidRPr="00662611" w:rsidRDefault="00913043" w:rsidP="00426F9C">
            <w:pPr>
              <w:pStyle w:val="Default"/>
              <w:spacing w:before="40" w:after="40"/>
              <w:rPr>
                <w:sz w:val="14"/>
                <w:szCs w:val="14"/>
              </w:rPr>
            </w:pPr>
            <w:r w:rsidRPr="00662611">
              <w:rPr>
                <w:sz w:val="14"/>
                <w:szCs w:val="14"/>
              </w:rPr>
              <w:t xml:space="preserve">Liability recognised along with initial service concession asset </w:t>
            </w:r>
            <w:r w:rsidR="00AD743A" w:rsidRPr="00662611">
              <w:rPr>
                <w:sz w:val="14"/>
                <w:szCs w:val="14"/>
              </w:rPr>
              <w:t xml:space="preserve"> * </w:t>
            </w:r>
          </w:p>
        </w:tc>
        <w:tc>
          <w:tcPr>
            <w:tcW w:w="567" w:type="dxa"/>
            <w:vAlign w:val="center"/>
          </w:tcPr>
          <w:p w14:paraId="7D92755E" w14:textId="77777777" w:rsidR="00913043" w:rsidRPr="00662611" w:rsidRDefault="00913043" w:rsidP="00426F9C">
            <w:pPr>
              <w:pStyle w:val="Default"/>
              <w:spacing w:before="40" w:after="40"/>
              <w:jc w:val="right"/>
              <w:rPr>
                <w:sz w:val="16"/>
                <w:szCs w:val="16"/>
              </w:rPr>
            </w:pPr>
            <w:r w:rsidRPr="00662611">
              <w:rPr>
                <w:sz w:val="16"/>
                <w:szCs w:val="16"/>
              </w:rPr>
              <w:t>525</w:t>
            </w:r>
          </w:p>
        </w:tc>
        <w:tc>
          <w:tcPr>
            <w:tcW w:w="567" w:type="dxa"/>
            <w:vAlign w:val="center"/>
          </w:tcPr>
          <w:p w14:paraId="7D92755F" w14:textId="77777777" w:rsidR="00913043" w:rsidRPr="00662611" w:rsidRDefault="00913043" w:rsidP="00426F9C">
            <w:pPr>
              <w:pStyle w:val="Default"/>
              <w:spacing w:before="40" w:after="40"/>
              <w:jc w:val="right"/>
              <w:rPr>
                <w:sz w:val="16"/>
                <w:szCs w:val="16"/>
              </w:rPr>
            </w:pPr>
            <w:r w:rsidRPr="00662611">
              <w:rPr>
                <w:sz w:val="16"/>
                <w:szCs w:val="16"/>
              </w:rPr>
              <w:t>525</w:t>
            </w:r>
          </w:p>
        </w:tc>
        <w:tc>
          <w:tcPr>
            <w:tcW w:w="567" w:type="dxa"/>
            <w:vAlign w:val="center"/>
          </w:tcPr>
          <w:p w14:paraId="7D927560"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1"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2"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3"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4"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5"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6"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7" w14:textId="77777777" w:rsidR="00913043" w:rsidRPr="00662611" w:rsidRDefault="00913043" w:rsidP="00426F9C">
            <w:pPr>
              <w:pStyle w:val="Default"/>
              <w:spacing w:before="40" w:after="40"/>
              <w:jc w:val="right"/>
              <w:rPr>
                <w:sz w:val="16"/>
                <w:szCs w:val="16"/>
              </w:rPr>
            </w:pPr>
            <w:r w:rsidRPr="00662611">
              <w:rPr>
                <w:sz w:val="16"/>
                <w:szCs w:val="16"/>
              </w:rPr>
              <w:t>–</w:t>
            </w:r>
          </w:p>
        </w:tc>
      </w:tr>
      <w:tr w:rsidR="00913043" w:rsidRPr="00662611" w14:paraId="7D927574" w14:textId="77777777" w:rsidTr="00C57275">
        <w:trPr>
          <w:trHeight w:val="345"/>
        </w:trPr>
        <w:tc>
          <w:tcPr>
            <w:tcW w:w="2603" w:type="dxa"/>
          </w:tcPr>
          <w:p w14:paraId="7D927569" w14:textId="77777777" w:rsidR="00913043" w:rsidRPr="00662611" w:rsidRDefault="00913043" w:rsidP="00426F9C">
            <w:pPr>
              <w:pStyle w:val="Default"/>
              <w:spacing w:before="40" w:after="40"/>
              <w:rPr>
                <w:sz w:val="14"/>
                <w:szCs w:val="14"/>
              </w:rPr>
            </w:pPr>
            <w:r w:rsidRPr="00662611">
              <w:rPr>
                <w:sz w:val="14"/>
                <w:szCs w:val="14"/>
              </w:rPr>
              <w:t xml:space="preserve">Finance charge added to liability prior to payments being made </w:t>
            </w:r>
            <w:r w:rsidR="00AD743A" w:rsidRPr="00662611">
              <w:rPr>
                <w:sz w:val="14"/>
                <w:szCs w:val="14"/>
              </w:rPr>
              <w:t xml:space="preserve">* </w:t>
            </w:r>
          </w:p>
        </w:tc>
        <w:tc>
          <w:tcPr>
            <w:tcW w:w="567" w:type="dxa"/>
            <w:vAlign w:val="center"/>
          </w:tcPr>
          <w:p w14:paraId="7D92756A"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B" w14:textId="77777777" w:rsidR="00913043" w:rsidRPr="00662611" w:rsidRDefault="00913043" w:rsidP="00426F9C">
            <w:pPr>
              <w:pStyle w:val="Default"/>
              <w:spacing w:before="40" w:after="40"/>
              <w:jc w:val="right"/>
              <w:rPr>
                <w:sz w:val="16"/>
                <w:szCs w:val="16"/>
              </w:rPr>
            </w:pPr>
            <w:r w:rsidRPr="00662611">
              <w:rPr>
                <w:sz w:val="16"/>
                <w:szCs w:val="16"/>
              </w:rPr>
              <w:t>32</w:t>
            </w:r>
          </w:p>
        </w:tc>
        <w:tc>
          <w:tcPr>
            <w:tcW w:w="567" w:type="dxa"/>
            <w:vAlign w:val="center"/>
          </w:tcPr>
          <w:p w14:paraId="7D92756C"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D"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E"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6F"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70"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71"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72"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73" w14:textId="77777777" w:rsidR="00913043" w:rsidRPr="00662611" w:rsidRDefault="00913043" w:rsidP="00426F9C">
            <w:pPr>
              <w:pStyle w:val="Default"/>
              <w:spacing w:before="40" w:after="40"/>
              <w:jc w:val="right"/>
              <w:rPr>
                <w:sz w:val="16"/>
                <w:szCs w:val="16"/>
              </w:rPr>
            </w:pPr>
            <w:r w:rsidRPr="00662611">
              <w:rPr>
                <w:sz w:val="16"/>
                <w:szCs w:val="16"/>
              </w:rPr>
              <w:t>–</w:t>
            </w:r>
          </w:p>
        </w:tc>
      </w:tr>
      <w:tr w:rsidR="00913043" w:rsidRPr="00662611" w14:paraId="7D927580" w14:textId="77777777" w:rsidTr="00C57275">
        <w:trPr>
          <w:trHeight w:val="465"/>
        </w:trPr>
        <w:tc>
          <w:tcPr>
            <w:tcW w:w="2603" w:type="dxa"/>
          </w:tcPr>
          <w:p w14:paraId="7D927575" w14:textId="56A82AC2" w:rsidR="00913043" w:rsidRPr="00662611" w:rsidRDefault="00913043" w:rsidP="00426F9C">
            <w:pPr>
              <w:pStyle w:val="Default"/>
              <w:spacing w:before="40" w:after="40"/>
              <w:rPr>
                <w:sz w:val="14"/>
                <w:szCs w:val="14"/>
              </w:rPr>
            </w:pPr>
            <w:r w:rsidRPr="00662611">
              <w:rPr>
                <w:sz w:val="14"/>
                <w:szCs w:val="14"/>
              </w:rPr>
              <w:t>Portion of predetermined series of payments that reduces the liability</w:t>
            </w:r>
            <w:r w:rsidR="00AD743A" w:rsidRPr="00662611">
              <w:rPr>
                <w:sz w:val="14"/>
                <w:szCs w:val="14"/>
              </w:rPr>
              <w:t xml:space="preserve"> †</w:t>
            </w:r>
          </w:p>
        </w:tc>
        <w:tc>
          <w:tcPr>
            <w:tcW w:w="567" w:type="dxa"/>
            <w:vAlign w:val="center"/>
          </w:tcPr>
          <w:p w14:paraId="7D927576"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77"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78" w14:textId="77777777" w:rsidR="00913043" w:rsidRPr="00662611" w:rsidRDefault="00913043" w:rsidP="00426F9C">
            <w:pPr>
              <w:pStyle w:val="Default"/>
              <w:spacing w:before="40" w:after="40"/>
              <w:jc w:val="right"/>
              <w:rPr>
                <w:sz w:val="16"/>
                <w:szCs w:val="16"/>
              </w:rPr>
            </w:pPr>
            <w:r w:rsidRPr="00662611">
              <w:rPr>
                <w:sz w:val="16"/>
                <w:szCs w:val="16"/>
              </w:rPr>
              <w:t>(121)</w:t>
            </w:r>
          </w:p>
        </w:tc>
        <w:tc>
          <w:tcPr>
            <w:tcW w:w="567" w:type="dxa"/>
            <w:vAlign w:val="center"/>
          </w:tcPr>
          <w:p w14:paraId="7D927579" w14:textId="77777777" w:rsidR="00913043" w:rsidRPr="00662611" w:rsidRDefault="00913043" w:rsidP="00426F9C">
            <w:pPr>
              <w:pStyle w:val="Default"/>
              <w:spacing w:before="40" w:after="40"/>
              <w:jc w:val="right"/>
              <w:rPr>
                <w:sz w:val="16"/>
                <w:szCs w:val="16"/>
              </w:rPr>
            </w:pPr>
            <w:r w:rsidRPr="00662611">
              <w:rPr>
                <w:sz w:val="16"/>
                <w:szCs w:val="16"/>
              </w:rPr>
              <w:t>(129)</w:t>
            </w:r>
          </w:p>
        </w:tc>
        <w:tc>
          <w:tcPr>
            <w:tcW w:w="567" w:type="dxa"/>
            <w:vAlign w:val="center"/>
          </w:tcPr>
          <w:p w14:paraId="7D92757A" w14:textId="77777777" w:rsidR="00913043" w:rsidRPr="00662611" w:rsidRDefault="00913043" w:rsidP="00426F9C">
            <w:pPr>
              <w:pStyle w:val="Default"/>
              <w:spacing w:before="40" w:after="40"/>
              <w:jc w:val="right"/>
              <w:rPr>
                <w:sz w:val="16"/>
                <w:szCs w:val="16"/>
              </w:rPr>
            </w:pPr>
            <w:r w:rsidRPr="00662611">
              <w:rPr>
                <w:sz w:val="16"/>
                <w:szCs w:val="16"/>
              </w:rPr>
              <w:t>(137)</w:t>
            </w:r>
          </w:p>
        </w:tc>
        <w:tc>
          <w:tcPr>
            <w:tcW w:w="567" w:type="dxa"/>
            <w:vAlign w:val="center"/>
          </w:tcPr>
          <w:p w14:paraId="7D92757B" w14:textId="77777777" w:rsidR="00913043" w:rsidRPr="00662611" w:rsidRDefault="00913043" w:rsidP="00426F9C">
            <w:pPr>
              <w:pStyle w:val="Default"/>
              <w:spacing w:before="40" w:after="40"/>
              <w:jc w:val="right"/>
              <w:rPr>
                <w:sz w:val="16"/>
                <w:szCs w:val="16"/>
              </w:rPr>
            </w:pPr>
            <w:r w:rsidRPr="00662611">
              <w:rPr>
                <w:sz w:val="16"/>
                <w:szCs w:val="16"/>
              </w:rPr>
              <w:t>(145)</w:t>
            </w:r>
          </w:p>
        </w:tc>
        <w:tc>
          <w:tcPr>
            <w:tcW w:w="567" w:type="dxa"/>
            <w:vAlign w:val="center"/>
          </w:tcPr>
          <w:p w14:paraId="7D92757C" w14:textId="77777777" w:rsidR="00913043" w:rsidRPr="00662611" w:rsidRDefault="00913043" w:rsidP="00426F9C">
            <w:pPr>
              <w:pStyle w:val="Default"/>
              <w:spacing w:before="40" w:after="40"/>
              <w:jc w:val="right"/>
              <w:rPr>
                <w:sz w:val="16"/>
                <w:szCs w:val="16"/>
              </w:rPr>
            </w:pPr>
            <w:r w:rsidRPr="00662611">
              <w:rPr>
                <w:sz w:val="16"/>
                <w:szCs w:val="16"/>
              </w:rPr>
              <w:t>(154)</w:t>
            </w:r>
          </w:p>
        </w:tc>
        <w:tc>
          <w:tcPr>
            <w:tcW w:w="567" w:type="dxa"/>
            <w:vAlign w:val="center"/>
          </w:tcPr>
          <w:p w14:paraId="7D92757D" w14:textId="77777777" w:rsidR="00913043" w:rsidRPr="00662611" w:rsidRDefault="00913043" w:rsidP="00426F9C">
            <w:pPr>
              <w:pStyle w:val="Default"/>
              <w:spacing w:before="40" w:after="40"/>
              <w:jc w:val="right"/>
              <w:rPr>
                <w:sz w:val="16"/>
                <w:szCs w:val="16"/>
              </w:rPr>
            </w:pPr>
            <w:r w:rsidRPr="00662611">
              <w:rPr>
                <w:sz w:val="16"/>
                <w:szCs w:val="16"/>
              </w:rPr>
              <w:t>(163)</w:t>
            </w:r>
          </w:p>
        </w:tc>
        <w:tc>
          <w:tcPr>
            <w:tcW w:w="567" w:type="dxa"/>
            <w:vAlign w:val="center"/>
          </w:tcPr>
          <w:p w14:paraId="7D92757E" w14:textId="77777777" w:rsidR="00913043" w:rsidRPr="00662611" w:rsidRDefault="00913043" w:rsidP="00426F9C">
            <w:pPr>
              <w:pStyle w:val="Default"/>
              <w:spacing w:before="40" w:after="40"/>
              <w:jc w:val="right"/>
              <w:rPr>
                <w:sz w:val="16"/>
                <w:szCs w:val="16"/>
              </w:rPr>
            </w:pPr>
            <w:r w:rsidRPr="00662611">
              <w:rPr>
                <w:sz w:val="16"/>
                <w:szCs w:val="16"/>
              </w:rPr>
              <w:t>(166)</w:t>
            </w:r>
          </w:p>
        </w:tc>
        <w:tc>
          <w:tcPr>
            <w:tcW w:w="567" w:type="dxa"/>
            <w:vAlign w:val="center"/>
          </w:tcPr>
          <w:p w14:paraId="7D92757F" w14:textId="77777777" w:rsidR="00913043" w:rsidRPr="00662611" w:rsidRDefault="00913043" w:rsidP="00426F9C">
            <w:pPr>
              <w:pStyle w:val="Default"/>
              <w:spacing w:before="40" w:after="40"/>
              <w:jc w:val="right"/>
              <w:rPr>
                <w:sz w:val="16"/>
                <w:szCs w:val="16"/>
              </w:rPr>
            </w:pPr>
            <w:r w:rsidRPr="00662611">
              <w:rPr>
                <w:sz w:val="16"/>
                <w:szCs w:val="16"/>
              </w:rPr>
              <w:t>(177)</w:t>
            </w:r>
          </w:p>
        </w:tc>
      </w:tr>
      <w:tr w:rsidR="00913043" w:rsidRPr="00662611" w14:paraId="7D92758C" w14:textId="77777777" w:rsidTr="00C57275">
        <w:trPr>
          <w:trHeight w:val="345"/>
        </w:trPr>
        <w:tc>
          <w:tcPr>
            <w:tcW w:w="2603" w:type="dxa"/>
          </w:tcPr>
          <w:p w14:paraId="7D927581" w14:textId="77777777" w:rsidR="00913043" w:rsidRPr="00662611" w:rsidRDefault="00913043" w:rsidP="00426F9C">
            <w:pPr>
              <w:pStyle w:val="Default"/>
              <w:spacing w:before="40" w:after="40"/>
              <w:rPr>
                <w:sz w:val="14"/>
                <w:szCs w:val="14"/>
              </w:rPr>
            </w:pPr>
            <w:r w:rsidRPr="00662611">
              <w:rPr>
                <w:sz w:val="14"/>
                <w:szCs w:val="14"/>
              </w:rPr>
              <w:t xml:space="preserve">Liability recognised along with replacement surface layers </w:t>
            </w:r>
          </w:p>
        </w:tc>
        <w:tc>
          <w:tcPr>
            <w:tcW w:w="567" w:type="dxa"/>
            <w:vAlign w:val="center"/>
          </w:tcPr>
          <w:p w14:paraId="7D927582"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83"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84"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85"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86"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87"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88"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89" w14:textId="77777777" w:rsidR="00913043" w:rsidRPr="00662611" w:rsidRDefault="00913043" w:rsidP="00426F9C">
            <w:pPr>
              <w:pStyle w:val="Default"/>
              <w:spacing w:before="40" w:after="40"/>
              <w:jc w:val="right"/>
              <w:rPr>
                <w:sz w:val="16"/>
                <w:szCs w:val="16"/>
              </w:rPr>
            </w:pPr>
            <w:r w:rsidRPr="00662611">
              <w:rPr>
                <w:sz w:val="16"/>
                <w:szCs w:val="16"/>
              </w:rPr>
              <w:t>110</w:t>
            </w:r>
          </w:p>
        </w:tc>
        <w:tc>
          <w:tcPr>
            <w:tcW w:w="567" w:type="dxa"/>
            <w:vAlign w:val="center"/>
          </w:tcPr>
          <w:p w14:paraId="7D92758A" w14:textId="77777777" w:rsidR="00913043" w:rsidRPr="00662611" w:rsidRDefault="00913043" w:rsidP="00426F9C">
            <w:pPr>
              <w:pStyle w:val="Default"/>
              <w:spacing w:before="40" w:after="40"/>
              <w:jc w:val="right"/>
              <w:rPr>
                <w:sz w:val="16"/>
                <w:szCs w:val="16"/>
              </w:rPr>
            </w:pPr>
            <w:r w:rsidRPr="00662611">
              <w:rPr>
                <w:sz w:val="16"/>
                <w:szCs w:val="16"/>
              </w:rPr>
              <w:t>–</w:t>
            </w:r>
          </w:p>
        </w:tc>
        <w:tc>
          <w:tcPr>
            <w:tcW w:w="567" w:type="dxa"/>
            <w:vAlign w:val="center"/>
          </w:tcPr>
          <w:p w14:paraId="7D92758B" w14:textId="77777777" w:rsidR="00913043" w:rsidRPr="00662611" w:rsidRDefault="00913043" w:rsidP="00426F9C">
            <w:pPr>
              <w:pStyle w:val="Default"/>
              <w:spacing w:before="40" w:after="40"/>
              <w:jc w:val="right"/>
              <w:rPr>
                <w:sz w:val="16"/>
                <w:szCs w:val="16"/>
              </w:rPr>
            </w:pPr>
            <w:r w:rsidRPr="00662611">
              <w:rPr>
                <w:sz w:val="16"/>
                <w:szCs w:val="16"/>
              </w:rPr>
              <w:t>–</w:t>
            </w:r>
          </w:p>
        </w:tc>
      </w:tr>
      <w:tr w:rsidR="00913043" w:rsidRPr="00662611" w14:paraId="7D927598" w14:textId="77777777" w:rsidTr="00C57275">
        <w:trPr>
          <w:trHeight w:val="105"/>
        </w:trPr>
        <w:tc>
          <w:tcPr>
            <w:tcW w:w="2603" w:type="dxa"/>
          </w:tcPr>
          <w:p w14:paraId="7D92758D" w14:textId="77777777" w:rsidR="00913043" w:rsidRPr="00662611" w:rsidRDefault="00913043" w:rsidP="00426F9C">
            <w:pPr>
              <w:pStyle w:val="Default"/>
              <w:spacing w:before="40" w:after="40"/>
              <w:rPr>
                <w:sz w:val="14"/>
                <w:szCs w:val="14"/>
              </w:rPr>
            </w:pPr>
            <w:r w:rsidRPr="00662611">
              <w:rPr>
                <w:sz w:val="14"/>
                <w:szCs w:val="14"/>
              </w:rPr>
              <w:t xml:space="preserve">Balance carried forward </w:t>
            </w:r>
          </w:p>
        </w:tc>
        <w:tc>
          <w:tcPr>
            <w:tcW w:w="567" w:type="dxa"/>
            <w:vAlign w:val="center"/>
          </w:tcPr>
          <w:p w14:paraId="7D92758E" w14:textId="77777777" w:rsidR="00913043" w:rsidRPr="00662611" w:rsidRDefault="00913043" w:rsidP="00426F9C">
            <w:pPr>
              <w:pStyle w:val="Default"/>
              <w:spacing w:before="40" w:after="40"/>
              <w:jc w:val="right"/>
              <w:rPr>
                <w:sz w:val="16"/>
                <w:szCs w:val="16"/>
              </w:rPr>
            </w:pPr>
            <w:r w:rsidRPr="00662611">
              <w:rPr>
                <w:sz w:val="16"/>
                <w:szCs w:val="16"/>
              </w:rPr>
              <w:t>525</w:t>
            </w:r>
          </w:p>
        </w:tc>
        <w:tc>
          <w:tcPr>
            <w:tcW w:w="567" w:type="dxa"/>
            <w:vAlign w:val="center"/>
          </w:tcPr>
          <w:p w14:paraId="7D92758F" w14:textId="77777777" w:rsidR="00913043" w:rsidRPr="00662611" w:rsidRDefault="00913043" w:rsidP="00426F9C">
            <w:pPr>
              <w:pStyle w:val="Default"/>
              <w:spacing w:before="40" w:after="40"/>
              <w:jc w:val="right"/>
              <w:rPr>
                <w:sz w:val="16"/>
                <w:szCs w:val="16"/>
              </w:rPr>
            </w:pPr>
            <w:r w:rsidRPr="00662611">
              <w:rPr>
                <w:sz w:val="16"/>
                <w:szCs w:val="16"/>
              </w:rPr>
              <w:t>1,082</w:t>
            </w:r>
          </w:p>
        </w:tc>
        <w:tc>
          <w:tcPr>
            <w:tcW w:w="567" w:type="dxa"/>
            <w:vAlign w:val="center"/>
          </w:tcPr>
          <w:p w14:paraId="7D927590" w14:textId="77777777" w:rsidR="00913043" w:rsidRPr="00662611" w:rsidRDefault="00913043" w:rsidP="00426F9C">
            <w:pPr>
              <w:pStyle w:val="Default"/>
              <w:spacing w:before="40" w:after="40"/>
              <w:jc w:val="right"/>
              <w:rPr>
                <w:sz w:val="16"/>
                <w:szCs w:val="16"/>
              </w:rPr>
            </w:pPr>
            <w:r w:rsidRPr="00662611">
              <w:rPr>
                <w:sz w:val="16"/>
                <w:szCs w:val="16"/>
              </w:rPr>
              <w:t>961</w:t>
            </w:r>
          </w:p>
        </w:tc>
        <w:tc>
          <w:tcPr>
            <w:tcW w:w="567" w:type="dxa"/>
            <w:vAlign w:val="center"/>
          </w:tcPr>
          <w:p w14:paraId="7D927591" w14:textId="77777777" w:rsidR="00913043" w:rsidRPr="00662611" w:rsidRDefault="00913043" w:rsidP="00426F9C">
            <w:pPr>
              <w:pStyle w:val="Default"/>
              <w:spacing w:before="40" w:after="40"/>
              <w:jc w:val="right"/>
              <w:rPr>
                <w:sz w:val="16"/>
                <w:szCs w:val="16"/>
              </w:rPr>
            </w:pPr>
            <w:r w:rsidRPr="00662611">
              <w:rPr>
                <w:sz w:val="16"/>
                <w:szCs w:val="16"/>
              </w:rPr>
              <w:t>832</w:t>
            </w:r>
          </w:p>
        </w:tc>
        <w:tc>
          <w:tcPr>
            <w:tcW w:w="567" w:type="dxa"/>
            <w:vAlign w:val="center"/>
          </w:tcPr>
          <w:p w14:paraId="7D927592" w14:textId="77777777" w:rsidR="00913043" w:rsidRPr="00662611" w:rsidRDefault="00913043" w:rsidP="00426F9C">
            <w:pPr>
              <w:pStyle w:val="Default"/>
              <w:spacing w:before="40" w:after="40"/>
              <w:jc w:val="right"/>
              <w:rPr>
                <w:sz w:val="16"/>
                <w:szCs w:val="16"/>
              </w:rPr>
            </w:pPr>
            <w:r w:rsidRPr="00662611">
              <w:rPr>
                <w:sz w:val="16"/>
                <w:szCs w:val="16"/>
              </w:rPr>
              <w:t>695</w:t>
            </w:r>
          </w:p>
        </w:tc>
        <w:tc>
          <w:tcPr>
            <w:tcW w:w="567" w:type="dxa"/>
            <w:vAlign w:val="center"/>
          </w:tcPr>
          <w:p w14:paraId="7D927593" w14:textId="77777777" w:rsidR="00913043" w:rsidRPr="00662611" w:rsidRDefault="00913043" w:rsidP="00426F9C">
            <w:pPr>
              <w:pStyle w:val="Default"/>
              <w:spacing w:before="40" w:after="40"/>
              <w:jc w:val="right"/>
              <w:rPr>
                <w:sz w:val="16"/>
                <w:szCs w:val="16"/>
              </w:rPr>
            </w:pPr>
            <w:r w:rsidRPr="00662611">
              <w:rPr>
                <w:sz w:val="16"/>
                <w:szCs w:val="16"/>
              </w:rPr>
              <w:t>550</w:t>
            </w:r>
          </w:p>
        </w:tc>
        <w:tc>
          <w:tcPr>
            <w:tcW w:w="567" w:type="dxa"/>
            <w:vAlign w:val="center"/>
          </w:tcPr>
          <w:p w14:paraId="7D927594" w14:textId="77777777" w:rsidR="00913043" w:rsidRPr="00662611" w:rsidRDefault="00913043" w:rsidP="00426F9C">
            <w:pPr>
              <w:pStyle w:val="Default"/>
              <w:spacing w:before="40" w:after="40"/>
              <w:jc w:val="right"/>
              <w:rPr>
                <w:sz w:val="16"/>
                <w:szCs w:val="16"/>
              </w:rPr>
            </w:pPr>
            <w:r w:rsidRPr="00662611">
              <w:rPr>
                <w:sz w:val="16"/>
                <w:szCs w:val="16"/>
              </w:rPr>
              <w:t>396</w:t>
            </w:r>
          </w:p>
        </w:tc>
        <w:tc>
          <w:tcPr>
            <w:tcW w:w="567" w:type="dxa"/>
            <w:vAlign w:val="center"/>
          </w:tcPr>
          <w:p w14:paraId="7D927595" w14:textId="77777777" w:rsidR="00913043" w:rsidRPr="00662611" w:rsidRDefault="00913043" w:rsidP="00426F9C">
            <w:pPr>
              <w:pStyle w:val="Default"/>
              <w:spacing w:before="40" w:after="40"/>
              <w:jc w:val="right"/>
              <w:rPr>
                <w:sz w:val="16"/>
                <w:szCs w:val="16"/>
              </w:rPr>
            </w:pPr>
            <w:r w:rsidRPr="00662611">
              <w:rPr>
                <w:sz w:val="16"/>
                <w:szCs w:val="16"/>
              </w:rPr>
              <w:t>343</w:t>
            </w:r>
          </w:p>
        </w:tc>
        <w:tc>
          <w:tcPr>
            <w:tcW w:w="567" w:type="dxa"/>
            <w:vAlign w:val="center"/>
          </w:tcPr>
          <w:p w14:paraId="7D927596" w14:textId="77777777" w:rsidR="00913043" w:rsidRPr="00662611" w:rsidRDefault="00913043" w:rsidP="00426F9C">
            <w:pPr>
              <w:pStyle w:val="Default"/>
              <w:spacing w:before="40" w:after="40"/>
              <w:jc w:val="right"/>
              <w:rPr>
                <w:sz w:val="16"/>
                <w:szCs w:val="16"/>
              </w:rPr>
            </w:pPr>
            <w:r w:rsidRPr="00662611">
              <w:rPr>
                <w:sz w:val="16"/>
                <w:szCs w:val="16"/>
              </w:rPr>
              <w:t>177</w:t>
            </w:r>
          </w:p>
        </w:tc>
        <w:tc>
          <w:tcPr>
            <w:tcW w:w="567" w:type="dxa"/>
            <w:vAlign w:val="center"/>
          </w:tcPr>
          <w:p w14:paraId="7D927597" w14:textId="77777777" w:rsidR="00913043" w:rsidRPr="00662611" w:rsidRDefault="00913043" w:rsidP="00426F9C">
            <w:pPr>
              <w:pStyle w:val="Default"/>
              <w:spacing w:before="40" w:after="40"/>
              <w:jc w:val="right"/>
              <w:rPr>
                <w:sz w:val="16"/>
                <w:szCs w:val="16"/>
              </w:rPr>
            </w:pPr>
            <w:r w:rsidRPr="00662611">
              <w:rPr>
                <w:sz w:val="16"/>
                <w:szCs w:val="16"/>
              </w:rPr>
              <w:t>–</w:t>
            </w:r>
          </w:p>
        </w:tc>
      </w:tr>
      <w:tr w:rsidR="007118E8" w:rsidRPr="00662611" w14:paraId="7D92759C" w14:textId="77777777" w:rsidTr="001A342F">
        <w:trPr>
          <w:trHeight w:val="105"/>
        </w:trPr>
        <w:tc>
          <w:tcPr>
            <w:tcW w:w="8273" w:type="dxa"/>
            <w:gridSpan w:val="11"/>
          </w:tcPr>
          <w:p w14:paraId="7D927599" w14:textId="77777777" w:rsidR="007118E8" w:rsidRPr="00662611" w:rsidRDefault="007118E8" w:rsidP="007118E8">
            <w:pPr>
              <w:pStyle w:val="Default"/>
              <w:spacing w:before="40" w:after="40"/>
              <w:jc w:val="both"/>
              <w:rPr>
                <w:sz w:val="16"/>
                <w:szCs w:val="16"/>
              </w:rPr>
            </w:pPr>
            <w:r w:rsidRPr="00662611">
              <w:rPr>
                <w:b/>
                <w:bCs/>
                <w:sz w:val="16"/>
                <w:szCs w:val="16"/>
              </w:rPr>
              <w:t xml:space="preserve">NOTES: </w:t>
            </w:r>
          </w:p>
          <w:p w14:paraId="7D92759A" w14:textId="47C86F60" w:rsidR="007118E8" w:rsidRPr="00662611" w:rsidRDefault="007118E8" w:rsidP="007118E8">
            <w:pPr>
              <w:pStyle w:val="Default"/>
              <w:tabs>
                <w:tab w:val="left" w:pos="349"/>
              </w:tabs>
              <w:spacing w:before="40" w:after="40"/>
              <w:jc w:val="both"/>
              <w:rPr>
                <w:sz w:val="16"/>
                <w:szCs w:val="16"/>
              </w:rPr>
            </w:pPr>
            <w:r w:rsidRPr="00662611">
              <w:rPr>
                <w:sz w:val="16"/>
                <w:szCs w:val="16"/>
              </w:rPr>
              <w:t>*</w:t>
            </w:r>
            <w:r w:rsidRPr="00662611">
              <w:rPr>
                <w:sz w:val="16"/>
                <w:szCs w:val="16"/>
              </w:rPr>
              <w:tab/>
            </w:r>
            <w:r w:rsidR="00AD743A" w:rsidRPr="00662611">
              <w:rPr>
                <w:sz w:val="16"/>
                <w:szCs w:val="16"/>
              </w:rPr>
              <w:t xml:space="preserve">See paragraph </w:t>
            </w:r>
            <w:r w:rsidR="007448D9">
              <w:rPr>
                <w:sz w:val="16"/>
                <w:szCs w:val="16"/>
              </w:rPr>
              <w:fldChar w:fldCharType="begin"/>
            </w:r>
            <w:r w:rsidR="007448D9">
              <w:rPr>
                <w:sz w:val="16"/>
                <w:szCs w:val="16"/>
              </w:rPr>
              <w:instrText xml:space="preserve"> REF _Ref486146534 \r \h </w:instrText>
            </w:r>
            <w:r w:rsidR="007448D9">
              <w:rPr>
                <w:sz w:val="16"/>
                <w:szCs w:val="16"/>
              </w:rPr>
            </w:r>
            <w:r w:rsidR="007448D9">
              <w:rPr>
                <w:sz w:val="16"/>
                <w:szCs w:val="16"/>
              </w:rPr>
              <w:fldChar w:fldCharType="separate"/>
            </w:r>
            <w:r w:rsidR="00C43128">
              <w:rPr>
                <w:sz w:val="16"/>
                <w:szCs w:val="16"/>
              </w:rPr>
              <w:t>IE18</w:t>
            </w:r>
            <w:r w:rsidR="007448D9">
              <w:rPr>
                <w:sz w:val="16"/>
                <w:szCs w:val="16"/>
              </w:rPr>
              <w:fldChar w:fldCharType="end"/>
            </w:r>
            <w:r w:rsidRPr="00662611">
              <w:rPr>
                <w:sz w:val="16"/>
                <w:szCs w:val="16"/>
              </w:rPr>
              <w:t>.</w:t>
            </w:r>
          </w:p>
          <w:p w14:paraId="7D92759B" w14:textId="77777777" w:rsidR="007118E8" w:rsidRPr="00662611" w:rsidRDefault="007118E8" w:rsidP="002A5BE1">
            <w:pPr>
              <w:pStyle w:val="Default"/>
              <w:spacing w:before="40" w:after="40"/>
              <w:ind w:left="357" w:hanging="357"/>
              <w:rPr>
                <w:sz w:val="14"/>
                <w:szCs w:val="14"/>
              </w:rPr>
            </w:pPr>
            <w:r w:rsidRPr="00662611">
              <w:rPr>
                <w:sz w:val="16"/>
                <w:szCs w:val="16"/>
              </w:rPr>
              <w:t>†</w:t>
            </w:r>
            <w:r w:rsidRPr="00662611">
              <w:rPr>
                <w:rFonts w:ascii="Lucida Sans Unicode" w:hAnsi="Lucida Sans Unicode" w:cs="Lucida Sans Unicode"/>
                <w:sz w:val="16"/>
                <w:szCs w:val="16"/>
              </w:rPr>
              <w:tab/>
            </w:r>
            <w:r w:rsidR="00AD743A" w:rsidRPr="00662611">
              <w:rPr>
                <w:sz w:val="16"/>
                <w:szCs w:val="16"/>
              </w:rPr>
              <w:t>Annual payment (Table 6.1) less service payment and finance charge payment (Table 6.2)</w:t>
            </w:r>
            <w:r w:rsidRPr="00662611">
              <w:rPr>
                <w:sz w:val="16"/>
                <w:szCs w:val="16"/>
              </w:rPr>
              <w:t>.</w:t>
            </w:r>
          </w:p>
        </w:tc>
      </w:tr>
    </w:tbl>
    <w:p w14:paraId="7D92759D" w14:textId="4FCDB716" w:rsidR="00913043" w:rsidRPr="00662611" w:rsidRDefault="00913043" w:rsidP="00FB21C0">
      <w:pPr>
        <w:pStyle w:val="IASBSectionTitle1NonInd"/>
        <w:outlineLvl w:val="1"/>
      </w:pPr>
      <w:r w:rsidRPr="00662611">
        <w:t xml:space="preserve">Example </w:t>
      </w:r>
      <w:r w:rsidR="00A5779D" w:rsidRPr="00662611">
        <w:t>7</w:t>
      </w:r>
      <w:r w:rsidRPr="00662611">
        <w:t xml:space="preserve">: The </w:t>
      </w:r>
      <w:r w:rsidR="00DE6BF2" w:rsidRPr="00662611">
        <w:t xml:space="preserve">grantor </w:t>
      </w:r>
      <w:r w:rsidR="006F1655" w:rsidRPr="00662611">
        <w:t xml:space="preserve">grants </w:t>
      </w:r>
      <w:r w:rsidR="00DE6BF2" w:rsidRPr="00662611">
        <w:t>the operator the right to charge users a toll for use of the r</w:t>
      </w:r>
      <w:r w:rsidRPr="00662611">
        <w:t xml:space="preserve">oad </w:t>
      </w:r>
      <w:r w:rsidR="002A5BE1" w:rsidRPr="00662611">
        <w:t xml:space="preserve">(paragraphs </w:t>
      </w:r>
      <w:r w:rsidR="007448D9">
        <w:fldChar w:fldCharType="begin"/>
      </w:r>
      <w:r w:rsidR="007448D9">
        <w:instrText xml:space="preserve"> REF _Ref475620587 \r \h </w:instrText>
      </w:r>
      <w:r w:rsidR="007448D9">
        <w:fldChar w:fldCharType="separate"/>
      </w:r>
      <w:r w:rsidR="00C43128">
        <w:t>21</w:t>
      </w:r>
      <w:r w:rsidR="007448D9">
        <w:fldChar w:fldCharType="end"/>
      </w:r>
      <w:r w:rsidR="006F3641" w:rsidRPr="00662611">
        <w:t>–</w:t>
      </w:r>
      <w:r w:rsidR="007448D9">
        <w:fldChar w:fldCharType="begin"/>
      </w:r>
      <w:r w:rsidR="007448D9">
        <w:instrText xml:space="preserve"> REF _Ref475620675 \r \h </w:instrText>
      </w:r>
      <w:r w:rsidR="007448D9">
        <w:fldChar w:fldCharType="separate"/>
      </w:r>
      <w:r w:rsidR="00C43128">
        <w:t>23</w:t>
      </w:r>
      <w:r w:rsidR="007448D9">
        <w:fldChar w:fldCharType="end"/>
      </w:r>
      <w:r w:rsidR="002A5BE1" w:rsidRPr="00662611">
        <w:t>)</w:t>
      </w:r>
    </w:p>
    <w:p w14:paraId="7D92759E" w14:textId="77777777" w:rsidR="00426F9C" w:rsidRPr="00662611" w:rsidRDefault="00426F9C" w:rsidP="00FB21C0">
      <w:pPr>
        <w:pStyle w:val="IASBSectionTitle2Ind"/>
        <w:outlineLvl w:val="2"/>
      </w:pPr>
      <w:r w:rsidRPr="00662611">
        <w:t xml:space="preserve">Additional </w:t>
      </w:r>
      <w:r w:rsidR="00DE6BF2" w:rsidRPr="00662611">
        <w:t>arrangement t</w:t>
      </w:r>
      <w:r w:rsidRPr="00662611">
        <w:t>erms</w:t>
      </w:r>
    </w:p>
    <w:p w14:paraId="7D92759F" w14:textId="22ABC5ED" w:rsidR="00426F9C" w:rsidRPr="00662611" w:rsidRDefault="00426F9C" w:rsidP="00515E91">
      <w:pPr>
        <w:pStyle w:val="IE1"/>
        <w:spacing w:after="100" w:line="240" w:lineRule="auto"/>
        <w:ind w:left="782" w:hanging="782"/>
        <w:jc w:val="both"/>
        <w:rPr>
          <w:sz w:val="19"/>
          <w:szCs w:val="19"/>
        </w:rPr>
      </w:pPr>
      <w:r w:rsidRPr="00662611">
        <w:rPr>
          <w:sz w:val="19"/>
          <w:szCs w:val="19"/>
        </w:rPr>
        <w:t xml:space="preserve">The terms of the arrangement allow the operator to collect tolls from drivers using the road. The operator forecasts that vehicle numbers will remain constant over the duration of the arrangement and that it will receive tolls of CU200 in each of years 3–10. The total consideration (tolls of CU200 in each of years 3–10) reflects the fair values </w:t>
      </w:r>
      <w:r w:rsidR="00AB6A04" w:rsidRPr="00662611">
        <w:rPr>
          <w:sz w:val="19"/>
          <w:szCs w:val="19"/>
        </w:rPr>
        <w:t>(</w:t>
      </w:r>
      <w:r w:rsidR="00776DF4" w:rsidRPr="00662611">
        <w:rPr>
          <w:sz w:val="19"/>
          <w:szCs w:val="19"/>
        </w:rPr>
        <w:t>current replacement cost</w:t>
      </w:r>
      <w:r w:rsidR="00AB6A04" w:rsidRPr="00662611">
        <w:rPr>
          <w:sz w:val="19"/>
          <w:szCs w:val="19"/>
        </w:rPr>
        <w:t>)</w:t>
      </w:r>
      <w:r w:rsidR="00776DF4" w:rsidRPr="00662611">
        <w:rPr>
          <w:sz w:val="19"/>
          <w:szCs w:val="19"/>
        </w:rPr>
        <w:t xml:space="preserve"> </w:t>
      </w:r>
      <w:r w:rsidRPr="00662611">
        <w:rPr>
          <w:sz w:val="19"/>
          <w:szCs w:val="19"/>
        </w:rPr>
        <w:t xml:space="preserve">for each of the </w:t>
      </w:r>
      <w:r w:rsidR="00835E4A">
        <w:rPr>
          <w:sz w:val="19"/>
          <w:szCs w:val="19"/>
        </w:rPr>
        <w:t xml:space="preserve">assets and </w:t>
      </w:r>
      <w:r w:rsidRPr="00662611">
        <w:rPr>
          <w:sz w:val="19"/>
          <w:szCs w:val="19"/>
        </w:rPr>
        <w:t xml:space="preserve">services indicated in Table </w:t>
      </w:r>
      <w:r w:rsidR="00446F60" w:rsidRPr="00662611">
        <w:rPr>
          <w:sz w:val="19"/>
          <w:szCs w:val="19"/>
        </w:rPr>
        <w:t>6</w:t>
      </w:r>
      <w:r w:rsidRPr="00662611">
        <w:rPr>
          <w:sz w:val="19"/>
          <w:szCs w:val="19"/>
        </w:rPr>
        <w:t>, and is intended to cover the cost of constructing the road, annual operating costs of CU12 and reimbursement to the operator for the cost of resurfacing the road in year 8 of CU110.</w:t>
      </w:r>
    </w:p>
    <w:p w14:paraId="7D9275A0" w14:textId="77777777" w:rsidR="00426F9C" w:rsidRPr="00662611" w:rsidRDefault="00426F9C" w:rsidP="00FB21C0">
      <w:pPr>
        <w:pStyle w:val="IASBSectionTitle2Ind"/>
        <w:outlineLvl w:val="2"/>
      </w:pPr>
      <w:r w:rsidRPr="00662611">
        <w:t xml:space="preserve">Financial </w:t>
      </w:r>
      <w:r w:rsidR="00DE6BF2" w:rsidRPr="00662611">
        <w:t>statement impa</w:t>
      </w:r>
      <w:r w:rsidRPr="00662611">
        <w:t>ct</w:t>
      </w:r>
    </w:p>
    <w:p w14:paraId="7D9275A1" w14:textId="753C01B1" w:rsidR="00426F9C" w:rsidRPr="00662611" w:rsidRDefault="00426F9C" w:rsidP="00350B3E">
      <w:pPr>
        <w:pStyle w:val="IE1"/>
        <w:spacing w:after="100" w:line="240" w:lineRule="auto"/>
        <w:ind w:left="782" w:hanging="782"/>
        <w:jc w:val="both"/>
        <w:rPr>
          <w:sz w:val="19"/>
          <w:szCs w:val="19"/>
        </w:rPr>
      </w:pPr>
      <w:bookmarkStart w:id="116" w:name="_Ref486194527"/>
      <w:r w:rsidRPr="00662611">
        <w:rPr>
          <w:sz w:val="19"/>
          <w:szCs w:val="19"/>
        </w:rPr>
        <w:t>The grantor initially recognises the service concession asset as property, plant, and equipment at its fair value</w:t>
      </w:r>
      <w:r w:rsidR="003358DA" w:rsidRPr="00662611">
        <w:rPr>
          <w:sz w:val="19"/>
          <w:szCs w:val="19"/>
        </w:rPr>
        <w:t xml:space="preserve"> (current replacement cost)</w:t>
      </w:r>
      <w:r w:rsidRPr="00662611">
        <w:rPr>
          <w:sz w:val="19"/>
          <w:szCs w:val="19"/>
        </w:rPr>
        <w:t xml:space="preserve"> (total CU1,</w:t>
      </w:r>
      <w:r w:rsidR="00446F60" w:rsidRPr="00662611">
        <w:rPr>
          <w:sz w:val="19"/>
          <w:szCs w:val="19"/>
        </w:rPr>
        <w:t>082</w:t>
      </w:r>
      <w:r w:rsidRPr="00662611">
        <w:rPr>
          <w:sz w:val="19"/>
          <w:szCs w:val="19"/>
        </w:rPr>
        <w:t xml:space="preserve">, </w:t>
      </w:r>
      <w:r w:rsidR="00446F60" w:rsidRPr="00662611">
        <w:rPr>
          <w:sz w:val="19"/>
          <w:szCs w:val="19"/>
        </w:rPr>
        <w:t>determined as</w:t>
      </w:r>
      <w:r w:rsidR="008640E8" w:rsidRPr="00662611">
        <w:rPr>
          <w:sz w:val="19"/>
          <w:szCs w:val="19"/>
        </w:rPr>
        <w:t xml:space="preserve"> </w:t>
      </w:r>
      <w:r w:rsidRPr="00662611">
        <w:rPr>
          <w:sz w:val="19"/>
          <w:szCs w:val="19"/>
        </w:rPr>
        <w:t>CU940 related to construction of the base layers</w:t>
      </w:r>
      <w:r w:rsidR="00446F60" w:rsidRPr="00662611">
        <w:rPr>
          <w:sz w:val="19"/>
          <w:szCs w:val="19"/>
        </w:rPr>
        <w:t>,</w:t>
      </w:r>
      <w:r w:rsidRPr="00662611">
        <w:rPr>
          <w:sz w:val="19"/>
          <w:szCs w:val="19"/>
        </w:rPr>
        <w:t xml:space="preserve"> CU110 related to construction of the original surface layers</w:t>
      </w:r>
      <w:r w:rsidR="00F21F5C" w:rsidRPr="00662611">
        <w:rPr>
          <w:sz w:val="19"/>
          <w:szCs w:val="19"/>
        </w:rPr>
        <w:t xml:space="preserve"> and CU32 for implied </w:t>
      </w:r>
      <w:r w:rsidR="00B226CB">
        <w:rPr>
          <w:sz w:val="19"/>
          <w:szCs w:val="19"/>
        </w:rPr>
        <w:t xml:space="preserve">funding </w:t>
      </w:r>
      <w:r w:rsidR="00F21F5C" w:rsidRPr="00662611">
        <w:rPr>
          <w:sz w:val="19"/>
          <w:szCs w:val="19"/>
        </w:rPr>
        <w:t xml:space="preserve">costs </w:t>
      </w:r>
      <w:r w:rsidR="00F21F5C" w:rsidRPr="00662611">
        <w:rPr>
          <w:sz w:val="19"/>
          <w:szCs w:val="19"/>
        </w:rPr>
        <w:lastRenderedPageBreak/>
        <w:t>related to the costs incurred in year 1 for base layers</w:t>
      </w:r>
      <w:r w:rsidRPr="00662611">
        <w:rPr>
          <w:sz w:val="19"/>
          <w:szCs w:val="19"/>
        </w:rPr>
        <w:t xml:space="preserve">). The asset is recognised as it is constructed (CU525 in year 1 and </w:t>
      </w:r>
      <w:r w:rsidR="00365FCE" w:rsidRPr="00662611">
        <w:rPr>
          <w:sz w:val="19"/>
          <w:szCs w:val="19"/>
        </w:rPr>
        <w:t xml:space="preserve">CU557 </w:t>
      </w:r>
      <w:r w:rsidRPr="00662611">
        <w:rPr>
          <w:sz w:val="19"/>
          <w:szCs w:val="19"/>
        </w:rPr>
        <w:t xml:space="preserve">in year 2). </w:t>
      </w:r>
      <w:r w:rsidR="00365FCE" w:rsidRPr="00662611">
        <w:rPr>
          <w:sz w:val="19"/>
          <w:szCs w:val="19"/>
        </w:rPr>
        <w:t xml:space="preserve">Depreciation is </w:t>
      </w:r>
      <w:r w:rsidR="00C440E5" w:rsidRPr="00662611">
        <w:rPr>
          <w:sz w:val="19"/>
          <w:szCs w:val="19"/>
        </w:rPr>
        <w:t>recognised</w:t>
      </w:r>
      <w:r w:rsidR="00365FCE" w:rsidRPr="00662611">
        <w:rPr>
          <w:sz w:val="19"/>
          <w:szCs w:val="19"/>
        </w:rPr>
        <w:t xml:space="preserve"> annually (CU57, comprised of CU39 (CU972/25) for the base layers and CU18 (CU110/6) for the surface layers), starting from year 3.</w:t>
      </w:r>
      <w:bookmarkEnd w:id="116"/>
    </w:p>
    <w:p w14:paraId="7D9275A2" w14:textId="1A19C802" w:rsidR="00426F9C" w:rsidRPr="00662611" w:rsidRDefault="00426F9C" w:rsidP="00350B3E">
      <w:pPr>
        <w:pStyle w:val="IE1"/>
        <w:spacing w:after="100" w:line="240" w:lineRule="auto"/>
        <w:ind w:left="782" w:hanging="782"/>
        <w:jc w:val="both"/>
        <w:rPr>
          <w:sz w:val="19"/>
          <w:szCs w:val="19"/>
        </w:rPr>
      </w:pPr>
      <w:bookmarkStart w:id="117" w:name="_Ref486146665"/>
      <w:r w:rsidRPr="00662611">
        <w:rPr>
          <w:sz w:val="19"/>
          <w:szCs w:val="19"/>
        </w:rPr>
        <w:t xml:space="preserve">As consideration for the service concession asset, the grantor recognises a liability under the grant of a right to the operator model for granting the operator the right to collect tolls of CU200 in years 3–10. The liability is recognised as the asset is recognised. </w:t>
      </w:r>
      <w:r w:rsidR="00365FCE" w:rsidRPr="00662611">
        <w:rPr>
          <w:sz w:val="19"/>
          <w:szCs w:val="19"/>
        </w:rPr>
        <w:t xml:space="preserve">The liability is measured initially at the same amount as the asset, which includes an implied </w:t>
      </w:r>
      <w:r w:rsidR="00B226CB">
        <w:rPr>
          <w:sz w:val="19"/>
          <w:szCs w:val="19"/>
        </w:rPr>
        <w:t xml:space="preserve">funding </w:t>
      </w:r>
      <w:r w:rsidR="00365FCE" w:rsidRPr="00662611">
        <w:rPr>
          <w:sz w:val="19"/>
          <w:szCs w:val="19"/>
        </w:rPr>
        <w:t>cost in the measurement of the current replacement cost.</w:t>
      </w:r>
      <w:bookmarkEnd w:id="117"/>
    </w:p>
    <w:p w14:paraId="7D9275A3" w14:textId="77777777" w:rsidR="00426F9C" w:rsidRPr="00662611" w:rsidRDefault="00426F9C" w:rsidP="00350B3E">
      <w:pPr>
        <w:pStyle w:val="IE1"/>
        <w:spacing w:after="100" w:line="240" w:lineRule="auto"/>
        <w:ind w:left="782" w:hanging="782"/>
        <w:jc w:val="both"/>
        <w:rPr>
          <w:sz w:val="19"/>
          <w:szCs w:val="19"/>
        </w:rPr>
      </w:pPr>
      <w:r w:rsidRPr="00662611">
        <w:rPr>
          <w:sz w:val="19"/>
          <w:szCs w:val="19"/>
        </w:rPr>
        <w:t xml:space="preserve">The liability is reduced over years 3–10, and the grantor recognises revenue on that basis because access to the service concession asset is expected to be provided evenly over the term of the service concession arrangement from the point at which the asset is capable of providing economic benefits. </w:t>
      </w:r>
    </w:p>
    <w:p w14:paraId="7D9275A4" w14:textId="6A1AACFF" w:rsidR="00426F9C" w:rsidRPr="00662611" w:rsidRDefault="00426F9C" w:rsidP="00350B3E">
      <w:pPr>
        <w:pStyle w:val="IE1"/>
        <w:spacing w:after="100" w:line="240" w:lineRule="auto"/>
        <w:ind w:left="782" w:hanging="782"/>
        <w:jc w:val="both"/>
        <w:rPr>
          <w:sz w:val="19"/>
          <w:szCs w:val="19"/>
        </w:rPr>
      </w:pPr>
      <w:bookmarkStart w:id="118" w:name="_Ref486146630"/>
      <w:r w:rsidRPr="00662611">
        <w:rPr>
          <w:sz w:val="19"/>
          <w:szCs w:val="19"/>
        </w:rPr>
        <w:t xml:space="preserve">The compensation for the road resurfacing is included in the tolls the operator expects to earn over the term of the service concession arrangement. There is no </w:t>
      </w:r>
      <w:r w:rsidR="003D67AE" w:rsidRPr="00662611">
        <w:rPr>
          <w:sz w:val="19"/>
          <w:szCs w:val="19"/>
        </w:rPr>
        <w:t>a</w:t>
      </w:r>
      <w:r w:rsidR="00CC3ADE" w:rsidRPr="00662611">
        <w:rPr>
          <w:sz w:val="19"/>
          <w:szCs w:val="19"/>
        </w:rPr>
        <w:t>dditio</w:t>
      </w:r>
      <w:r w:rsidR="003D67AE" w:rsidRPr="00662611">
        <w:rPr>
          <w:sz w:val="19"/>
          <w:szCs w:val="19"/>
        </w:rPr>
        <w:t>n</w:t>
      </w:r>
      <w:r w:rsidR="00CC3ADE" w:rsidRPr="00662611">
        <w:rPr>
          <w:sz w:val="19"/>
          <w:szCs w:val="19"/>
        </w:rPr>
        <w:t>a</w:t>
      </w:r>
      <w:r w:rsidR="003D67AE" w:rsidRPr="00662611">
        <w:rPr>
          <w:sz w:val="19"/>
          <w:szCs w:val="19"/>
        </w:rPr>
        <w:t xml:space="preserve">l </w:t>
      </w:r>
      <w:r w:rsidRPr="00662611">
        <w:rPr>
          <w:sz w:val="19"/>
          <w:szCs w:val="19"/>
        </w:rPr>
        <w:t xml:space="preserve">cash flow impact related to the road resurfacing; however, the grantor recognises the resurfacing </w:t>
      </w:r>
      <w:r w:rsidR="00574C20">
        <w:rPr>
          <w:sz w:val="19"/>
          <w:szCs w:val="19"/>
        </w:rPr>
        <w:t xml:space="preserve">(the replacement of a major component of the road) </w:t>
      </w:r>
      <w:r w:rsidRPr="00662611">
        <w:rPr>
          <w:sz w:val="19"/>
          <w:szCs w:val="19"/>
        </w:rPr>
        <w:t xml:space="preserve">as </w:t>
      </w:r>
      <w:r w:rsidR="00574C20">
        <w:rPr>
          <w:sz w:val="19"/>
          <w:szCs w:val="19"/>
        </w:rPr>
        <w:t xml:space="preserve">a service concession </w:t>
      </w:r>
      <w:r w:rsidRPr="00662611">
        <w:rPr>
          <w:sz w:val="19"/>
          <w:szCs w:val="19"/>
        </w:rPr>
        <w:t xml:space="preserve">asset when the work is undertaken and recognises depreciation expense of CU110/6 = CU18, beginning in year 9. </w:t>
      </w:r>
      <w:r w:rsidR="00365FCE" w:rsidRPr="00662611">
        <w:rPr>
          <w:sz w:val="19"/>
          <w:szCs w:val="19"/>
        </w:rPr>
        <w:t>When the resurfacing occurs, the grantor also recognises the related liability.</w:t>
      </w:r>
      <w:bookmarkEnd w:id="118"/>
    </w:p>
    <w:p w14:paraId="7D9275A5" w14:textId="77777777" w:rsidR="00913043" w:rsidRPr="00662611" w:rsidRDefault="00426F9C" w:rsidP="00350B3E">
      <w:pPr>
        <w:pStyle w:val="IE1"/>
        <w:spacing w:after="100" w:line="240" w:lineRule="auto"/>
        <w:ind w:left="782" w:hanging="782"/>
        <w:jc w:val="both"/>
        <w:rPr>
          <w:sz w:val="19"/>
          <w:szCs w:val="19"/>
        </w:rPr>
      </w:pPr>
      <w:r w:rsidRPr="00662611">
        <w:rPr>
          <w:sz w:val="19"/>
          <w:szCs w:val="19"/>
        </w:rPr>
        <w:t xml:space="preserve">The compensation for maintenance and operating the road (CU12) is </w:t>
      </w:r>
      <w:r w:rsidR="00365FCE" w:rsidRPr="00662611">
        <w:rPr>
          <w:sz w:val="19"/>
          <w:szCs w:val="19"/>
        </w:rPr>
        <w:t xml:space="preserve">also </w:t>
      </w:r>
      <w:r w:rsidRPr="00662611">
        <w:rPr>
          <w:sz w:val="19"/>
          <w:szCs w:val="19"/>
        </w:rPr>
        <w:t xml:space="preserve">included in the tolls the operator expects to earn over the term of the service concession arrangement. There is no financial statement impact related to this service expense. It does not affect cash flow because the grantor has no cash </w:t>
      </w:r>
      <w:r w:rsidR="005552E4" w:rsidRPr="00662611">
        <w:rPr>
          <w:sz w:val="19"/>
          <w:szCs w:val="19"/>
        </w:rPr>
        <w:t xml:space="preserve">inflow or </w:t>
      </w:r>
      <w:r w:rsidRPr="00662611">
        <w:rPr>
          <w:sz w:val="19"/>
          <w:szCs w:val="19"/>
        </w:rPr>
        <w:t xml:space="preserve">outflow. It is not recognised as an operating expense because the fair value </w:t>
      </w:r>
      <w:r w:rsidR="005043B8" w:rsidRPr="00662611">
        <w:rPr>
          <w:sz w:val="19"/>
          <w:szCs w:val="19"/>
        </w:rPr>
        <w:t xml:space="preserve">(current replacement cost) </w:t>
      </w:r>
      <w:r w:rsidRPr="00662611">
        <w:rPr>
          <w:sz w:val="19"/>
          <w:szCs w:val="19"/>
        </w:rPr>
        <w:t>of the asset and liability initially recognised do not include any service costs the operator may incur.</w:t>
      </w:r>
    </w:p>
    <w:p w14:paraId="7D9275A6" w14:textId="77777777" w:rsidR="00426F9C" w:rsidRPr="00662611" w:rsidRDefault="00426F9C" w:rsidP="00FB21C0">
      <w:pPr>
        <w:pStyle w:val="IASBSectionTitle2Ind"/>
        <w:outlineLvl w:val="2"/>
      </w:pPr>
      <w:r w:rsidRPr="00662611">
        <w:t xml:space="preserve">Overview of </w:t>
      </w:r>
      <w:r w:rsidR="00DE6BF2" w:rsidRPr="00662611">
        <w:t>cash flows, statement of profit or loss and other comprehensive income, and statement of financial posi</w:t>
      </w:r>
      <w:r w:rsidRPr="00662611">
        <w:t xml:space="preserve">tion </w:t>
      </w:r>
    </w:p>
    <w:p w14:paraId="7D9275A7" w14:textId="40F88245" w:rsidR="00426F9C" w:rsidRPr="00662611" w:rsidRDefault="00426F9C" w:rsidP="00350B3E">
      <w:pPr>
        <w:pStyle w:val="IE1"/>
        <w:spacing w:after="100" w:line="240" w:lineRule="auto"/>
        <w:ind w:left="782" w:hanging="782"/>
        <w:jc w:val="both"/>
        <w:rPr>
          <w:sz w:val="19"/>
          <w:szCs w:val="19"/>
        </w:rPr>
      </w:pPr>
      <w:r w:rsidRPr="00662611">
        <w:rPr>
          <w:sz w:val="19"/>
          <w:szCs w:val="19"/>
        </w:rPr>
        <w:t xml:space="preserve">The grantor’s cash flows, </w:t>
      </w:r>
      <w:r w:rsidR="00EE61C8" w:rsidRPr="00662611">
        <w:rPr>
          <w:sz w:val="19"/>
          <w:szCs w:val="19"/>
        </w:rPr>
        <w:t>s</w:t>
      </w:r>
      <w:r w:rsidRPr="00662611">
        <w:rPr>
          <w:sz w:val="19"/>
          <w:szCs w:val="19"/>
        </w:rPr>
        <w:t xml:space="preserve">tatement of </w:t>
      </w:r>
      <w:r w:rsidR="00EE61C8" w:rsidRPr="00662611">
        <w:rPr>
          <w:sz w:val="19"/>
          <w:szCs w:val="19"/>
        </w:rPr>
        <w:t>p</w:t>
      </w:r>
      <w:r w:rsidRPr="00662611">
        <w:rPr>
          <w:sz w:val="19"/>
          <w:szCs w:val="19"/>
        </w:rPr>
        <w:t xml:space="preserve">rofit and </w:t>
      </w:r>
      <w:r w:rsidR="00EE61C8" w:rsidRPr="00662611">
        <w:rPr>
          <w:sz w:val="19"/>
          <w:szCs w:val="19"/>
        </w:rPr>
        <w:t>l</w:t>
      </w:r>
      <w:r w:rsidRPr="00662611">
        <w:rPr>
          <w:sz w:val="19"/>
          <w:szCs w:val="19"/>
        </w:rPr>
        <w:t xml:space="preserve">oss and </w:t>
      </w:r>
      <w:r w:rsidR="00EE61C8" w:rsidRPr="00662611">
        <w:rPr>
          <w:sz w:val="19"/>
          <w:szCs w:val="19"/>
        </w:rPr>
        <w:t>o</w:t>
      </w:r>
      <w:r w:rsidRPr="00662611">
        <w:rPr>
          <w:sz w:val="19"/>
          <w:szCs w:val="19"/>
        </w:rPr>
        <w:t xml:space="preserve">ther </w:t>
      </w:r>
      <w:r w:rsidR="00EE61C8" w:rsidRPr="00662611">
        <w:rPr>
          <w:sz w:val="19"/>
          <w:szCs w:val="19"/>
        </w:rPr>
        <w:t>c</w:t>
      </w:r>
      <w:r w:rsidRPr="00662611">
        <w:rPr>
          <w:sz w:val="19"/>
          <w:szCs w:val="19"/>
        </w:rPr>
        <w:t xml:space="preserve">omprehensive </w:t>
      </w:r>
      <w:r w:rsidR="00EE61C8" w:rsidRPr="00662611">
        <w:rPr>
          <w:sz w:val="19"/>
          <w:szCs w:val="19"/>
        </w:rPr>
        <w:t>i</w:t>
      </w:r>
      <w:r w:rsidRPr="00662611">
        <w:rPr>
          <w:sz w:val="19"/>
          <w:szCs w:val="19"/>
        </w:rPr>
        <w:t xml:space="preserve">ncome, and </w:t>
      </w:r>
      <w:r w:rsidR="00EE61C8" w:rsidRPr="00662611">
        <w:rPr>
          <w:sz w:val="19"/>
          <w:szCs w:val="19"/>
        </w:rPr>
        <w:t>s</w:t>
      </w:r>
      <w:r w:rsidRPr="00662611">
        <w:rPr>
          <w:sz w:val="19"/>
          <w:szCs w:val="19"/>
        </w:rPr>
        <w:t xml:space="preserve">tatement of </w:t>
      </w:r>
      <w:r w:rsidR="00EE61C8" w:rsidRPr="00662611">
        <w:rPr>
          <w:sz w:val="19"/>
          <w:szCs w:val="19"/>
        </w:rPr>
        <w:t>f</w:t>
      </w:r>
      <w:r w:rsidRPr="00662611">
        <w:rPr>
          <w:sz w:val="19"/>
          <w:szCs w:val="19"/>
        </w:rPr>
        <w:t xml:space="preserve">inancial </w:t>
      </w:r>
      <w:r w:rsidR="00EE61C8" w:rsidRPr="00662611">
        <w:rPr>
          <w:sz w:val="19"/>
          <w:szCs w:val="19"/>
        </w:rPr>
        <w:t>p</w:t>
      </w:r>
      <w:r w:rsidRPr="00662611">
        <w:rPr>
          <w:sz w:val="19"/>
          <w:szCs w:val="19"/>
        </w:rPr>
        <w:t xml:space="preserve">osition over the duration of the arrangement will be as illustrated in Tables </w:t>
      </w:r>
      <w:r w:rsidR="0025528C" w:rsidRPr="00662611">
        <w:rPr>
          <w:sz w:val="19"/>
          <w:szCs w:val="19"/>
        </w:rPr>
        <w:t>7</w:t>
      </w:r>
      <w:r w:rsidRPr="00662611">
        <w:rPr>
          <w:sz w:val="19"/>
          <w:szCs w:val="19"/>
        </w:rPr>
        <w:t xml:space="preserve">.1 to </w:t>
      </w:r>
      <w:r w:rsidR="0025528C" w:rsidRPr="00662611">
        <w:rPr>
          <w:sz w:val="19"/>
          <w:szCs w:val="19"/>
        </w:rPr>
        <w:t>7</w:t>
      </w:r>
      <w:r w:rsidRPr="00662611">
        <w:rPr>
          <w:sz w:val="19"/>
          <w:szCs w:val="19"/>
        </w:rPr>
        <w:t xml:space="preserve">.2. In addition, Table </w:t>
      </w:r>
      <w:r w:rsidR="00365FCE" w:rsidRPr="00662611">
        <w:rPr>
          <w:sz w:val="19"/>
          <w:szCs w:val="19"/>
        </w:rPr>
        <w:t>7</w:t>
      </w:r>
      <w:r w:rsidRPr="00662611">
        <w:rPr>
          <w:sz w:val="19"/>
          <w:szCs w:val="19"/>
        </w:rPr>
        <w:t xml:space="preserve">.3 shows the changes in the liability. </w:t>
      </w:r>
    </w:p>
    <w:p w14:paraId="7D9275A8" w14:textId="77777777" w:rsidR="00426F9C" w:rsidRPr="00662611" w:rsidRDefault="00426F9C" w:rsidP="00350B3E">
      <w:pPr>
        <w:pStyle w:val="IE1"/>
        <w:spacing w:after="100" w:line="240" w:lineRule="auto"/>
        <w:ind w:left="782" w:hanging="782"/>
        <w:jc w:val="both"/>
        <w:rPr>
          <w:sz w:val="19"/>
          <w:szCs w:val="19"/>
        </w:rPr>
      </w:pPr>
      <w:r w:rsidRPr="00662611">
        <w:rPr>
          <w:sz w:val="19"/>
          <w:szCs w:val="19"/>
        </w:rPr>
        <w:t>Because no payments</w:t>
      </w:r>
      <w:r w:rsidR="00512539" w:rsidRPr="00662611">
        <w:rPr>
          <w:sz w:val="19"/>
          <w:szCs w:val="19"/>
        </w:rPr>
        <w:t xml:space="preserve"> are</w:t>
      </w:r>
      <w:r w:rsidRPr="00662611">
        <w:rPr>
          <w:sz w:val="19"/>
          <w:szCs w:val="19"/>
        </w:rPr>
        <w:t xml:space="preserve"> made</w:t>
      </w:r>
      <w:r w:rsidR="00512539" w:rsidRPr="00662611">
        <w:rPr>
          <w:sz w:val="19"/>
          <w:szCs w:val="19"/>
        </w:rPr>
        <w:t xml:space="preserve"> by the grantor</w:t>
      </w:r>
      <w:r w:rsidRPr="00662611">
        <w:rPr>
          <w:sz w:val="19"/>
          <w:szCs w:val="19"/>
        </w:rPr>
        <w:t xml:space="preserve"> to the operator, there are no cash flow impacts for this example.</w:t>
      </w:r>
    </w:p>
    <w:p w14:paraId="7D9275A9" w14:textId="18AA6956" w:rsidR="00426F9C" w:rsidRPr="00662611" w:rsidRDefault="00426F9C" w:rsidP="00FB21C0">
      <w:pPr>
        <w:pStyle w:val="Default"/>
        <w:spacing w:before="240" w:after="200" w:line="200" w:lineRule="exact"/>
        <w:ind w:left="782"/>
        <w:outlineLvl w:val="3"/>
        <w:rPr>
          <w:b/>
          <w:bCs/>
          <w:sz w:val="20"/>
          <w:szCs w:val="20"/>
        </w:rPr>
      </w:pPr>
      <w:r w:rsidRPr="00662611">
        <w:rPr>
          <w:b/>
          <w:bCs/>
          <w:sz w:val="20"/>
          <w:szCs w:val="20"/>
        </w:rPr>
        <w:t xml:space="preserve">Table </w:t>
      </w:r>
      <w:proofErr w:type="gramStart"/>
      <w:r w:rsidR="00365FCE" w:rsidRPr="00662611">
        <w:rPr>
          <w:b/>
          <w:bCs/>
          <w:sz w:val="20"/>
          <w:szCs w:val="20"/>
        </w:rPr>
        <w:t>7</w:t>
      </w:r>
      <w:r w:rsidRPr="00662611">
        <w:rPr>
          <w:b/>
          <w:bCs/>
          <w:sz w:val="20"/>
          <w:szCs w:val="20"/>
        </w:rPr>
        <w:t xml:space="preserve">.1 </w:t>
      </w:r>
      <w:r w:rsidR="00DC7EF3" w:rsidRPr="00662611">
        <w:rPr>
          <w:b/>
          <w:bCs/>
          <w:sz w:val="20"/>
          <w:szCs w:val="20"/>
        </w:rPr>
        <w:t xml:space="preserve"> </w:t>
      </w:r>
      <w:r w:rsidRPr="00662611">
        <w:rPr>
          <w:b/>
          <w:bCs/>
          <w:sz w:val="20"/>
          <w:szCs w:val="20"/>
        </w:rPr>
        <w:t>Statement</w:t>
      </w:r>
      <w:proofErr w:type="gramEnd"/>
      <w:r w:rsidRPr="00662611">
        <w:rPr>
          <w:b/>
          <w:bCs/>
          <w:sz w:val="20"/>
          <w:szCs w:val="20"/>
        </w:rPr>
        <w:t xml:space="preserve"> of </w:t>
      </w:r>
      <w:r w:rsidR="00DE6BF2" w:rsidRPr="00662611">
        <w:rPr>
          <w:b/>
          <w:sz w:val="20"/>
          <w:szCs w:val="20"/>
        </w:rPr>
        <w:t>profit and loss and other comprehensive income</w:t>
      </w:r>
      <w:r w:rsidR="00DE6BF2" w:rsidRPr="00662611">
        <w:rPr>
          <w:b/>
          <w:bCs/>
          <w:sz w:val="20"/>
          <w:szCs w:val="20"/>
        </w:rPr>
        <w:t xml:space="preserve"> (currency u</w:t>
      </w:r>
      <w:r w:rsidRPr="00662611">
        <w:rPr>
          <w:b/>
          <w:bCs/>
          <w:sz w:val="20"/>
          <w:szCs w:val="20"/>
        </w:rPr>
        <w:t>nits)</w:t>
      </w:r>
    </w:p>
    <w:tbl>
      <w:tblPr>
        <w:tblW w:w="0" w:type="auto"/>
        <w:tblInd w:w="823" w:type="dxa"/>
        <w:tblBorders>
          <w:top w:val="nil"/>
          <w:left w:val="nil"/>
          <w:bottom w:val="nil"/>
          <w:right w:val="nil"/>
        </w:tblBorders>
        <w:tblLayout w:type="fixed"/>
        <w:tblCellMar>
          <w:left w:w="57" w:type="dxa"/>
          <w:right w:w="57" w:type="dxa"/>
        </w:tblCellMar>
        <w:tblLook w:val="0000" w:firstRow="0" w:lastRow="0" w:firstColumn="0" w:lastColumn="0" w:noHBand="0" w:noVBand="0"/>
        <w:tblCaption w:val="Table 7.1 Statement of Profit and Loss and Other Comprehensive Income (Currency Units)"/>
        <w:tblDescription w:val="Table 7.1 illustrates the impact on the grantor's statement of profit and loss and other comprehensive income in years 1–10. In each year beginning from Year 3, reduction of liability is recognised as revenue and also depreciation of base layers, original surface layer and replacement surface layer. "/>
      </w:tblPr>
      <w:tblGrid>
        <w:gridCol w:w="3062"/>
        <w:gridCol w:w="454"/>
        <w:gridCol w:w="454"/>
        <w:gridCol w:w="454"/>
        <w:gridCol w:w="454"/>
        <w:gridCol w:w="454"/>
        <w:gridCol w:w="454"/>
        <w:gridCol w:w="454"/>
        <w:gridCol w:w="454"/>
        <w:gridCol w:w="454"/>
        <w:gridCol w:w="454"/>
        <w:gridCol w:w="704"/>
      </w:tblGrid>
      <w:tr w:rsidR="00426F9C" w:rsidRPr="00662611" w14:paraId="7D9275B6" w14:textId="77777777" w:rsidTr="002B04E7">
        <w:trPr>
          <w:trHeight w:val="107"/>
        </w:trPr>
        <w:tc>
          <w:tcPr>
            <w:tcW w:w="3062" w:type="dxa"/>
            <w:tcBorders>
              <w:top w:val="single" w:sz="4" w:space="0" w:color="auto"/>
              <w:left w:val="single" w:sz="4" w:space="0" w:color="auto"/>
              <w:bottom w:val="single" w:sz="4" w:space="0" w:color="auto"/>
              <w:right w:val="single" w:sz="4" w:space="0" w:color="auto"/>
            </w:tcBorders>
          </w:tcPr>
          <w:p w14:paraId="7D9275AA" w14:textId="77777777" w:rsidR="00426F9C" w:rsidRPr="00662611" w:rsidRDefault="00426F9C" w:rsidP="008E3FBA">
            <w:pPr>
              <w:pStyle w:val="Default"/>
              <w:tabs>
                <w:tab w:val="right" w:pos="2608"/>
              </w:tabs>
              <w:spacing w:before="40" w:after="40"/>
              <w:rPr>
                <w:sz w:val="16"/>
                <w:szCs w:val="16"/>
              </w:rPr>
            </w:pPr>
            <w:r w:rsidRPr="00662611">
              <w:rPr>
                <w:b/>
                <w:bCs/>
                <w:sz w:val="16"/>
                <w:szCs w:val="16"/>
              </w:rPr>
              <w:t xml:space="preserve">Year </w:t>
            </w:r>
          </w:p>
        </w:tc>
        <w:tc>
          <w:tcPr>
            <w:tcW w:w="454" w:type="dxa"/>
            <w:tcBorders>
              <w:top w:val="single" w:sz="4" w:space="0" w:color="auto"/>
              <w:left w:val="single" w:sz="4" w:space="0" w:color="auto"/>
              <w:bottom w:val="single" w:sz="4" w:space="0" w:color="auto"/>
              <w:right w:val="single" w:sz="4" w:space="0" w:color="auto"/>
            </w:tcBorders>
          </w:tcPr>
          <w:p w14:paraId="7D9275AB" w14:textId="77777777" w:rsidR="00426F9C" w:rsidRPr="00662611" w:rsidRDefault="00426F9C" w:rsidP="00426F9C">
            <w:pPr>
              <w:pStyle w:val="Default"/>
              <w:spacing w:before="40" w:after="40"/>
              <w:jc w:val="right"/>
              <w:rPr>
                <w:sz w:val="16"/>
                <w:szCs w:val="16"/>
              </w:rPr>
            </w:pPr>
            <w:r w:rsidRPr="00662611">
              <w:rPr>
                <w:b/>
                <w:bCs/>
                <w:sz w:val="16"/>
                <w:szCs w:val="16"/>
              </w:rPr>
              <w:t xml:space="preserve">1 </w:t>
            </w:r>
          </w:p>
        </w:tc>
        <w:tc>
          <w:tcPr>
            <w:tcW w:w="454" w:type="dxa"/>
            <w:tcBorders>
              <w:top w:val="single" w:sz="4" w:space="0" w:color="auto"/>
              <w:left w:val="single" w:sz="4" w:space="0" w:color="auto"/>
              <w:bottom w:val="single" w:sz="4" w:space="0" w:color="auto"/>
              <w:right w:val="single" w:sz="4" w:space="0" w:color="auto"/>
            </w:tcBorders>
          </w:tcPr>
          <w:p w14:paraId="7D9275AC" w14:textId="77777777" w:rsidR="00426F9C" w:rsidRPr="00662611" w:rsidRDefault="00426F9C" w:rsidP="00426F9C">
            <w:pPr>
              <w:pStyle w:val="Default"/>
              <w:spacing w:before="40" w:after="40"/>
              <w:jc w:val="right"/>
              <w:rPr>
                <w:sz w:val="16"/>
                <w:szCs w:val="16"/>
              </w:rPr>
            </w:pPr>
            <w:r w:rsidRPr="00662611">
              <w:rPr>
                <w:b/>
                <w:bCs/>
                <w:sz w:val="16"/>
                <w:szCs w:val="16"/>
              </w:rPr>
              <w:t xml:space="preserve">2 </w:t>
            </w:r>
          </w:p>
        </w:tc>
        <w:tc>
          <w:tcPr>
            <w:tcW w:w="454" w:type="dxa"/>
            <w:tcBorders>
              <w:top w:val="single" w:sz="4" w:space="0" w:color="auto"/>
              <w:left w:val="single" w:sz="4" w:space="0" w:color="auto"/>
              <w:bottom w:val="single" w:sz="4" w:space="0" w:color="auto"/>
              <w:right w:val="single" w:sz="4" w:space="0" w:color="auto"/>
            </w:tcBorders>
          </w:tcPr>
          <w:p w14:paraId="7D9275AD" w14:textId="77777777" w:rsidR="00426F9C" w:rsidRPr="00662611" w:rsidRDefault="00426F9C" w:rsidP="00426F9C">
            <w:pPr>
              <w:pStyle w:val="Default"/>
              <w:spacing w:before="40" w:after="40"/>
              <w:jc w:val="right"/>
              <w:rPr>
                <w:sz w:val="16"/>
                <w:szCs w:val="16"/>
              </w:rPr>
            </w:pPr>
            <w:r w:rsidRPr="00662611">
              <w:rPr>
                <w:b/>
                <w:bCs/>
                <w:sz w:val="16"/>
                <w:szCs w:val="16"/>
              </w:rPr>
              <w:t xml:space="preserve">3 </w:t>
            </w:r>
          </w:p>
        </w:tc>
        <w:tc>
          <w:tcPr>
            <w:tcW w:w="454" w:type="dxa"/>
            <w:tcBorders>
              <w:top w:val="single" w:sz="4" w:space="0" w:color="auto"/>
              <w:left w:val="single" w:sz="4" w:space="0" w:color="auto"/>
              <w:bottom w:val="single" w:sz="4" w:space="0" w:color="auto"/>
              <w:right w:val="single" w:sz="4" w:space="0" w:color="auto"/>
            </w:tcBorders>
          </w:tcPr>
          <w:p w14:paraId="7D9275AE" w14:textId="77777777" w:rsidR="00426F9C" w:rsidRPr="00662611" w:rsidRDefault="00426F9C" w:rsidP="00426F9C">
            <w:pPr>
              <w:pStyle w:val="Default"/>
              <w:spacing w:before="40" w:after="40"/>
              <w:jc w:val="right"/>
              <w:rPr>
                <w:sz w:val="16"/>
                <w:szCs w:val="16"/>
              </w:rPr>
            </w:pPr>
            <w:r w:rsidRPr="00662611">
              <w:rPr>
                <w:b/>
                <w:bCs/>
                <w:sz w:val="16"/>
                <w:szCs w:val="16"/>
              </w:rPr>
              <w:t xml:space="preserve">4 </w:t>
            </w:r>
          </w:p>
        </w:tc>
        <w:tc>
          <w:tcPr>
            <w:tcW w:w="454" w:type="dxa"/>
            <w:tcBorders>
              <w:top w:val="single" w:sz="4" w:space="0" w:color="auto"/>
              <w:left w:val="single" w:sz="4" w:space="0" w:color="auto"/>
              <w:bottom w:val="single" w:sz="4" w:space="0" w:color="auto"/>
              <w:right w:val="single" w:sz="4" w:space="0" w:color="auto"/>
            </w:tcBorders>
          </w:tcPr>
          <w:p w14:paraId="7D9275AF" w14:textId="77777777" w:rsidR="00426F9C" w:rsidRPr="00662611" w:rsidRDefault="00426F9C" w:rsidP="00426F9C">
            <w:pPr>
              <w:pStyle w:val="Default"/>
              <w:spacing w:before="40" w:after="40"/>
              <w:jc w:val="right"/>
              <w:rPr>
                <w:sz w:val="16"/>
                <w:szCs w:val="16"/>
              </w:rPr>
            </w:pPr>
            <w:r w:rsidRPr="00662611">
              <w:rPr>
                <w:b/>
                <w:bCs/>
                <w:sz w:val="16"/>
                <w:szCs w:val="16"/>
              </w:rPr>
              <w:t xml:space="preserve">5 </w:t>
            </w:r>
          </w:p>
        </w:tc>
        <w:tc>
          <w:tcPr>
            <w:tcW w:w="454" w:type="dxa"/>
            <w:tcBorders>
              <w:top w:val="single" w:sz="4" w:space="0" w:color="auto"/>
              <w:left w:val="single" w:sz="4" w:space="0" w:color="auto"/>
              <w:bottom w:val="single" w:sz="4" w:space="0" w:color="auto"/>
              <w:right w:val="single" w:sz="4" w:space="0" w:color="auto"/>
            </w:tcBorders>
          </w:tcPr>
          <w:p w14:paraId="7D9275B0" w14:textId="77777777" w:rsidR="00426F9C" w:rsidRPr="00662611" w:rsidRDefault="00426F9C" w:rsidP="00426F9C">
            <w:pPr>
              <w:pStyle w:val="Default"/>
              <w:spacing w:before="40" w:after="40"/>
              <w:jc w:val="right"/>
              <w:rPr>
                <w:sz w:val="16"/>
                <w:szCs w:val="16"/>
              </w:rPr>
            </w:pPr>
            <w:r w:rsidRPr="00662611">
              <w:rPr>
                <w:b/>
                <w:bCs/>
                <w:sz w:val="16"/>
                <w:szCs w:val="16"/>
              </w:rPr>
              <w:t xml:space="preserve">6 </w:t>
            </w:r>
          </w:p>
        </w:tc>
        <w:tc>
          <w:tcPr>
            <w:tcW w:w="454" w:type="dxa"/>
            <w:tcBorders>
              <w:top w:val="single" w:sz="4" w:space="0" w:color="auto"/>
              <w:left w:val="single" w:sz="4" w:space="0" w:color="auto"/>
              <w:bottom w:val="single" w:sz="4" w:space="0" w:color="auto"/>
              <w:right w:val="single" w:sz="4" w:space="0" w:color="auto"/>
            </w:tcBorders>
          </w:tcPr>
          <w:p w14:paraId="7D9275B1" w14:textId="77777777" w:rsidR="00426F9C" w:rsidRPr="00662611" w:rsidRDefault="00426F9C" w:rsidP="00426F9C">
            <w:pPr>
              <w:pStyle w:val="Default"/>
              <w:spacing w:before="40" w:after="40"/>
              <w:jc w:val="right"/>
              <w:rPr>
                <w:sz w:val="16"/>
                <w:szCs w:val="16"/>
              </w:rPr>
            </w:pPr>
            <w:r w:rsidRPr="00662611">
              <w:rPr>
                <w:b/>
                <w:bCs/>
                <w:sz w:val="16"/>
                <w:szCs w:val="16"/>
              </w:rPr>
              <w:t xml:space="preserve">7 </w:t>
            </w:r>
          </w:p>
        </w:tc>
        <w:tc>
          <w:tcPr>
            <w:tcW w:w="454" w:type="dxa"/>
            <w:tcBorders>
              <w:top w:val="single" w:sz="4" w:space="0" w:color="auto"/>
              <w:left w:val="single" w:sz="4" w:space="0" w:color="auto"/>
              <w:bottom w:val="single" w:sz="4" w:space="0" w:color="auto"/>
              <w:right w:val="single" w:sz="4" w:space="0" w:color="auto"/>
            </w:tcBorders>
          </w:tcPr>
          <w:p w14:paraId="7D9275B2" w14:textId="77777777" w:rsidR="00426F9C" w:rsidRPr="00662611" w:rsidRDefault="00426F9C" w:rsidP="00426F9C">
            <w:pPr>
              <w:pStyle w:val="Default"/>
              <w:spacing w:before="40" w:after="40"/>
              <w:jc w:val="right"/>
              <w:rPr>
                <w:sz w:val="16"/>
                <w:szCs w:val="16"/>
              </w:rPr>
            </w:pPr>
            <w:r w:rsidRPr="00662611">
              <w:rPr>
                <w:b/>
                <w:bCs/>
                <w:sz w:val="16"/>
                <w:szCs w:val="16"/>
              </w:rPr>
              <w:t xml:space="preserve">8 </w:t>
            </w:r>
          </w:p>
        </w:tc>
        <w:tc>
          <w:tcPr>
            <w:tcW w:w="454" w:type="dxa"/>
            <w:tcBorders>
              <w:top w:val="single" w:sz="4" w:space="0" w:color="auto"/>
              <w:left w:val="single" w:sz="4" w:space="0" w:color="auto"/>
              <w:bottom w:val="single" w:sz="4" w:space="0" w:color="auto"/>
              <w:right w:val="single" w:sz="4" w:space="0" w:color="auto"/>
            </w:tcBorders>
          </w:tcPr>
          <w:p w14:paraId="7D9275B3" w14:textId="77777777" w:rsidR="00426F9C" w:rsidRPr="00662611" w:rsidRDefault="00426F9C" w:rsidP="00426F9C">
            <w:pPr>
              <w:pStyle w:val="Default"/>
              <w:spacing w:before="40" w:after="40"/>
              <w:jc w:val="right"/>
              <w:rPr>
                <w:sz w:val="16"/>
                <w:szCs w:val="16"/>
              </w:rPr>
            </w:pPr>
            <w:r w:rsidRPr="00662611">
              <w:rPr>
                <w:b/>
                <w:bCs/>
                <w:sz w:val="16"/>
                <w:szCs w:val="16"/>
              </w:rPr>
              <w:t xml:space="preserve">9 </w:t>
            </w:r>
          </w:p>
        </w:tc>
        <w:tc>
          <w:tcPr>
            <w:tcW w:w="454" w:type="dxa"/>
            <w:tcBorders>
              <w:top w:val="single" w:sz="4" w:space="0" w:color="auto"/>
              <w:left w:val="single" w:sz="4" w:space="0" w:color="auto"/>
              <w:bottom w:val="single" w:sz="4" w:space="0" w:color="auto"/>
              <w:right w:val="single" w:sz="4" w:space="0" w:color="auto"/>
            </w:tcBorders>
          </w:tcPr>
          <w:p w14:paraId="7D9275B4" w14:textId="77777777" w:rsidR="00426F9C" w:rsidRPr="00662611" w:rsidRDefault="00426F9C" w:rsidP="00426F9C">
            <w:pPr>
              <w:pStyle w:val="Default"/>
              <w:spacing w:before="40" w:after="40"/>
              <w:jc w:val="right"/>
              <w:rPr>
                <w:sz w:val="16"/>
                <w:szCs w:val="16"/>
              </w:rPr>
            </w:pPr>
            <w:r w:rsidRPr="00662611">
              <w:rPr>
                <w:b/>
                <w:bCs/>
                <w:sz w:val="16"/>
                <w:szCs w:val="16"/>
              </w:rPr>
              <w:t xml:space="preserve">10 </w:t>
            </w:r>
          </w:p>
        </w:tc>
        <w:tc>
          <w:tcPr>
            <w:tcW w:w="704" w:type="dxa"/>
            <w:tcBorders>
              <w:top w:val="single" w:sz="4" w:space="0" w:color="auto"/>
              <w:left w:val="single" w:sz="4" w:space="0" w:color="auto"/>
              <w:bottom w:val="single" w:sz="4" w:space="0" w:color="auto"/>
              <w:right w:val="single" w:sz="4" w:space="0" w:color="auto"/>
            </w:tcBorders>
          </w:tcPr>
          <w:p w14:paraId="7D9275B5" w14:textId="77777777" w:rsidR="00426F9C" w:rsidRPr="00662611" w:rsidRDefault="00426F9C" w:rsidP="00426F9C">
            <w:pPr>
              <w:pStyle w:val="Default"/>
              <w:spacing w:before="40" w:after="40"/>
              <w:jc w:val="right"/>
              <w:rPr>
                <w:sz w:val="16"/>
                <w:szCs w:val="16"/>
              </w:rPr>
            </w:pPr>
            <w:r w:rsidRPr="00662611">
              <w:rPr>
                <w:b/>
                <w:bCs/>
                <w:sz w:val="16"/>
                <w:szCs w:val="16"/>
              </w:rPr>
              <w:t xml:space="preserve">Total </w:t>
            </w:r>
          </w:p>
        </w:tc>
      </w:tr>
      <w:tr w:rsidR="00426F9C" w:rsidRPr="00662611" w14:paraId="7D9275C3" w14:textId="77777777" w:rsidTr="002B04E7">
        <w:trPr>
          <w:trHeight w:val="345"/>
        </w:trPr>
        <w:tc>
          <w:tcPr>
            <w:tcW w:w="3062" w:type="dxa"/>
            <w:tcBorders>
              <w:top w:val="single" w:sz="4" w:space="0" w:color="auto"/>
              <w:left w:val="single" w:sz="4" w:space="0" w:color="auto"/>
              <w:bottom w:val="single" w:sz="4" w:space="0" w:color="auto"/>
              <w:right w:val="single" w:sz="4" w:space="0" w:color="auto"/>
            </w:tcBorders>
          </w:tcPr>
          <w:p w14:paraId="7D9275B7" w14:textId="77777777" w:rsidR="00426F9C" w:rsidRPr="00662611" w:rsidRDefault="00426F9C" w:rsidP="00426F9C">
            <w:pPr>
              <w:pStyle w:val="Default"/>
              <w:spacing w:before="40" w:after="40"/>
              <w:rPr>
                <w:sz w:val="16"/>
                <w:szCs w:val="16"/>
              </w:rPr>
            </w:pPr>
            <w:r w:rsidRPr="00662611">
              <w:rPr>
                <w:sz w:val="16"/>
                <w:szCs w:val="16"/>
              </w:rPr>
              <w:t xml:space="preserve">Revenue (reduction of liability) </w:t>
            </w:r>
            <w:r w:rsidR="00365FCE" w:rsidRPr="00662611">
              <w:rPr>
                <w:sz w:val="16"/>
                <w:szCs w:val="16"/>
              </w:rPr>
              <w:t>(Table 7.3)</w:t>
            </w:r>
          </w:p>
        </w:tc>
        <w:tc>
          <w:tcPr>
            <w:tcW w:w="454" w:type="dxa"/>
            <w:tcBorders>
              <w:top w:val="single" w:sz="4" w:space="0" w:color="auto"/>
              <w:left w:val="single" w:sz="4" w:space="0" w:color="auto"/>
              <w:bottom w:val="single" w:sz="4" w:space="0" w:color="auto"/>
              <w:right w:val="single" w:sz="4" w:space="0" w:color="auto"/>
            </w:tcBorders>
          </w:tcPr>
          <w:p w14:paraId="7D9275B8" w14:textId="610E54B7"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B9" w14:textId="61978F6F"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BA" w14:textId="195CDB5C" w:rsidR="00426F9C" w:rsidRPr="00662611" w:rsidRDefault="00365FCE" w:rsidP="00426F9C">
            <w:pPr>
              <w:pStyle w:val="Default"/>
              <w:spacing w:before="40" w:after="40"/>
              <w:jc w:val="right"/>
              <w:rPr>
                <w:sz w:val="16"/>
                <w:szCs w:val="16"/>
              </w:rPr>
            </w:pPr>
            <w:r w:rsidRPr="00662611">
              <w:rPr>
                <w:sz w:val="16"/>
                <w:szCs w:val="16"/>
              </w:rPr>
              <w:t>135</w:t>
            </w:r>
          </w:p>
        </w:tc>
        <w:tc>
          <w:tcPr>
            <w:tcW w:w="454" w:type="dxa"/>
            <w:tcBorders>
              <w:top w:val="single" w:sz="4" w:space="0" w:color="auto"/>
              <w:left w:val="single" w:sz="4" w:space="0" w:color="auto"/>
              <w:bottom w:val="single" w:sz="4" w:space="0" w:color="auto"/>
              <w:right w:val="single" w:sz="4" w:space="0" w:color="auto"/>
            </w:tcBorders>
          </w:tcPr>
          <w:p w14:paraId="7D9275BB" w14:textId="7790F962" w:rsidR="00426F9C" w:rsidRPr="00662611" w:rsidRDefault="00365FCE" w:rsidP="00426F9C">
            <w:pPr>
              <w:pStyle w:val="Default"/>
              <w:spacing w:before="40" w:after="40"/>
              <w:jc w:val="right"/>
              <w:rPr>
                <w:sz w:val="16"/>
                <w:szCs w:val="16"/>
              </w:rPr>
            </w:pPr>
            <w:r w:rsidRPr="00662611">
              <w:rPr>
                <w:sz w:val="16"/>
                <w:szCs w:val="16"/>
              </w:rPr>
              <w:t>135</w:t>
            </w:r>
          </w:p>
        </w:tc>
        <w:tc>
          <w:tcPr>
            <w:tcW w:w="454" w:type="dxa"/>
            <w:tcBorders>
              <w:top w:val="single" w:sz="4" w:space="0" w:color="auto"/>
              <w:left w:val="single" w:sz="4" w:space="0" w:color="auto"/>
              <w:bottom w:val="single" w:sz="4" w:space="0" w:color="auto"/>
              <w:right w:val="single" w:sz="4" w:space="0" w:color="auto"/>
            </w:tcBorders>
          </w:tcPr>
          <w:p w14:paraId="7D9275BC" w14:textId="6C1214AB" w:rsidR="00426F9C" w:rsidRPr="00662611" w:rsidRDefault="00365FCE" w:rsidP="00426F9C">
            <w:pPr>
              <w:pStyle w:val="Default"/>
              <w:spacing w:before="40" w:after="40"/>
              <w:jc w:val="right"/>
              <w:rPr>
                <w:sz w:val="16"/>
                <w:szCs w:val="16"/>
              </w:rPr>
            </w:pPr>
            <w:r w:rsidRPr="00662611">
              <w:rPr>
                <w:sz w:val="16"/>
                <w:szCs w:val="16"/>
              </w:rPr>
              <w:t>135</w:t>
            </w:r>
          </w:p>
        </w:tc>
        <w:tc>
          <w:tcPr>
            <w:tcW w:w="454" w:type="dxa"/>
            <w:tcBorders>
              <w:top w:val="single" w:sz="4" w:space="0" w:color="auto"/>
              <w:left w:val="single" w:sz="4" w:space="0" w:color="auto"/>
              <w:bottom w:val="single" w:sz="4" w:space="0" w:color="auto"/>
              <w:right w:val="single" w:sz="4" w:space="0" w:color="auto"/>
            </w:tcBorders>
          </w:tcPr>
          <w:p w14:paraId="7D9275BD" w14:textId="59C37E4F" w:rsidR="00426F9C" w:rsidRPr="00662611" w:rsidRDefault="00365FCE" w:rsidP="00426F9C">
            <w:pPr>
              <w:pStyle w:val="Default"/>
              <w:spacing w:before="40" w:after="40"/>
              <w:jc w:val="right"/>
              <w:rPr>
                <w:sz w:val="16"/>
                <w:szCs w:val="16"/>
              </w:rPr>
            </w:pPr>
            <w:r w:rsidRPr="00662611">
              <w:rPr>
                <w:sz w:val="16"/>
                <w:szCs w:val="16"/>
              </w:rPr>
              <w:t>136</w:t>
            </w:r>
          </w:p>
        </w:tc>
        <w:tc>
          <w:tcPr>
            <w:tcW w:w="454" w:type="dxa"/>
            <w:tcBorders>
              <w:top w:val="single" w:sz="4" w:space="0" w:color="auto"/>
              <w:left w:val="single" w:sz="4" w:space="0" w:color="auto"/>
              <w:bottom w:val="single" w:sz="4" w:space="0" w:color="auto"/>
              <w:right w:val="single" w:sz="4" w:space="0" w:color="auto"/>
            </w:tcBorders>
          </w:tcPr>
          <w:p w14:paraId="7D9275BE" w14:textId="11988976" w:rsidR="00426F9C" w:rsidRPr="00662611" w:rsidRDefault="00040B49" w:rsidP="00426F9C">
            <w:pPr>
              <w:pStyle w:val="Default"/>
              <w:spacing w:before="40" w:after="40"/>
              <w:jc w:val="right"/>
              <w:rPr>
                <w:sz w:val="16"/>
                <w:szCs w:val="16"/>
              </w:rPr>
            </w:pPr>
            <w:r w:rsidRPr="00662611">
              <w:rPr>
                <w:sz w:val="16"/>
                <w:szCs w:val="16"/>
              </w:rPr>
              <w:t>135</w:t>
            </w:r>
          </w:p>
        </w:tc>
        <w:tc>
          <w:tcPr>
            <w:tcW w:w="454" w:type="dxa"/>
            <w:tcBorders>
              <w:top w:val="single" w:sz="4" w:space="0" w:color="auto"/>
              <w:left w:val="single" w:sz="4" w:space="0" w:color="auto"/>
              <w:bottom w:val="single" w:sz="4" w:space="0" w:color="auto"/>
              <w:right w:val="single" w:sz="4" w:space="0" w:color="auto"/>
            </w:tcBorders>
          </w:tcPr>
          <w:p w14:paraId="7D9275BF" w14:textId="2BCC30C5" w:rsidR="00426F9C" w:rsidRPr="00662611" w:rsidRDefault="00040B49" w:rsidP="00426F9C">
            <w:pPr>
              <w:pStyle w:val="Default"/>
              <w:spacing w:before="40" w:after="40"/>
              <w:jc w:val="right"/>
              <w:rPr>
                <w:sz w:val="16"/>
                <w:szCs w:val="16"/>
              </w:rPr>
            </w:pPr>
            <w:r w:rsidRPr="00662611">
              <w:rPr>
                <w:sz w:val="16"/>
                <w:szCs w:val="16"/>
              </w:rPr>
              <w:t>135</w:t>
            </w:r>
          </w:p>
        </w:tc>
        <w:tc>
          <w:tcPr>
            <w:tcW w:w="454" w:type="dxa"/>
            <w:tcBorders>
              <w:top w:val="single" w:sz="4" w:space="0" w:color="auto"/>
              <w:left w:val="single" w:sz="4" w:space="0" w:color="auto"/>
              <w:bottom w:val="single" w:sz="4" w:space="0" w:color="auto"/>
              <w:right w:val="single" w:sz="4" w:space="0" w:color="auto"/>
            </w:tcBorders>
          </w:tcPr>
          <w:p w14:paraId="7D9275C0" w14:textId="0AE75F00" w:rsidR="00426F9C" w:rsidRPr="00662611" w:rsidRDefault="00040B49" w:rsidP="00426F9C">
            <w:pPr>
              <w:pStyle w:val="Default"/>
              <w:spacing w:before="40" w:after="40"/>
              <w:jc w:val="right"/>
              <w:rPr>
                <w:sz w:val="16"/>
                <w:szCs w:val="16"/>
              </w:rPr>
            </w:pPr>
            <w:r w:rsidRPr="00662611">
              <w:rPr>
                <w:sz w:val="16"/>
                <w:szCs w:val="16"/>
              </w:rPr>
              <w:t>190</w:t>
            </w:r>
          </w:p>
        </w:tc>
        <w:tc>
          <w:tcPr>
            <w:tcW w:w="454" w:type="dxa"/>
            <w:tcBorders>
              <w:top w:val="single" w:sz="4" w:space="0" w:color="auto"/>
              <w:left w:val="single" w:sz="4" w:space="0" w:color="auto"/>
              <w:bottom w:val="single" w:sz="4" w:space="0" w:color="auto"/>
              <w:right w:val="single" w:sz="4" w:space="0" w:color="auto"/>
            </w:tcBorders>
          </w:tcPr>
          <w:p w14:paraId="7D9275C1" w14:textId="1FA6CE8F" w:rsidR="00426F9C" w:rsidRPr="00662611" w:rsidRDefault="00040B49" w:rsidP="00426F9C">
            <w:pPr>
              <w:pStyle w:val="Default"/>
              <w:spacing w:before="40" w:after="40"/>
              <w:jc w:val="right"/>
              <w:rPr>
                <w:sz w:val="16"/>
                <w:szCs w:val="16"/>
              </w:rPr>
            </w:pPr>
            <w:r w:rsidRPr="00662611">
              <w:rPr>
                <w:sz w:val="16"/>
                <w:szCs w:val="16"/>
              </w:rPr>
              <w:t>191</w:t>
            </w:r>
          </w:p>
        </w:tc>
        <w:tc>
          <w:tcPr>
            <w:tcW w:w="704" w:type="dxa"/>
            <w:tcBorders>
              <w:top w:val="single" w:sz="4" w:space="0" w:color="auto"/>
              <w:left w:val="single" w:sz="4" w:space="0" w:color="auto"/>
              <w:bottom w:val="single" w:sz="4" w:space="0" w:color="auto"/>
              <w:right w:val="single" w:sz="4" w:space="0" w:color="auto"/>
            </w:tcBorders>
          </w:tcPr>
          <w:p w14:paraId="7D9275C2" w14:textId="6313060F" w:rsidR="00426F9C" w:rsidRPr="00662611" w:rsidRDefault="00426F9C" w:rsidP="00426F9C">
            <w:pPr>
              <w:pStyle w:val="Default"/>
              <w:spacing w:before="40" w:after="40"/>
              <w:jc w:val="right"/>
              <w:rPr>
                <w:sz w:val="16"/>
                <w:szCs w:val="16"/>
              </w:rPr>
            </w:pPr>
            <w:r w:rsidRPr="00662611">
              <w:rPr>
                <w:sz w:val="16"/>
                <w:szCs w:val="16"/>
              </w:rPr>
              <w:t>1,</w:t>
            </w:r>
            <w:r w:rsidR="00040B49" w:rsidRPr="00662611">
              <w:rPr>
                <w:sz w:val="16"/>
                <w:szCs w:val="16"/>
              </w:rPr>
              <w:t>192</w:t>
            </w:r>
          </w:p>
        </w:tc>
      </w:tr>
      <w:tr w:rsidR="00426F9C" w:rsidRPr="00662611" w14:paraId="7D9275D0" w14:textId="77777777" w:rsidTr="002B04E7">
        <w:trPr>
          <w:trHeight w:val="225"/>
        </w:trPr>
        <w:tc>
          <w:tcPr>
            <w:tcW w:w="3062" w:type="dxa"/>
            <w:tcBorders>
              <w:top w:val="single" w:sz="4" w:space="0" w:color="auto"/>
              <w:left w:val="single" w:sz="4" w:space="0" w:color="auto"/>
              <w:bottom w:val="single" w:sz="4" w:space="0" w:color="auto"/>
              <w:right w:val="single" w:sz="4" w:space="0" w:color="auto"/>
            </w:tcBorders>
          </w:tcPr>
          <w:p w14:paraId="7D9275C4" w14:textId="77777777" w:rsidR="00426F9C" w:rsidRPr="00662611" w:rsidRDefault="00426F9C" w:rsidP="00426F9C">
            <w:pPr>
              <w:pStyle w:val="Default"/>
              <w:spacing w:before="40" w:after="40"/>
              <w:rPr>
                <w:sz w:val="16"/>
                <w:szCs w:val="16"/>
              </w:rPr>
            </w:pPr>
            <w:r w:rsidRPr="00662611">
              <w:rPr>
                <w:sz w:val="16"/>
                <w:szCs w:val="16"/>
              </w:rPr>
              <w:t xml:space="preserve">Depreciation – base layers </w:t>
            </w:r>
          </w:p>
        </w:tc>
        <w:tc>
          <w:tcPr>
            <w:tcW w:w="454" w:type="dxa"/>
            <w:tcBorders>
              <w:top w:val="single" w:sz="4" w:space="0" w:color="auto"/>
              <w:left w:val="single" w:sz="4" w:space="0" w:color="auto"/>
              <w:bottom w:val="single" w:sz="4" w:space="0" w:color="auto"/>
              <w:right w:val="single" w:sz="4" w:space="0" w:color="auto"/>
            </w:tcBorders>
          </w:tcPr>
          <w:p w14:paraId="7D9275C5" w14:textId="216BF6F4"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C6" w14:textId="4B6E7BBE"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vAlign w:val="center"/>
          </w:tcPr>
          <w:p w14:paraId="7D9275C7" w14:textId="015F75C1" w:rsidR="00426F9C" w:rsidRPr="00662611" w:rsidRDefault="00040B49" w:rsidP="00426F9C">
            <w:pPr>
              <w:pStyle w:val="Default"/>
              <w:spacing w:before="40" w:after="40"/>
              <w:jc w:val="right"/>
              <w:rPr>
                <w:sz w:val="16"/>
                <w:szCs w:val="16"/>
              </w:rPr>
            </w:pPr>
            <w:r w:rsidRPr="00662611">
              <w:rPr>
                <w:sz w:val="16"/>
                <w:szCs w:val="16"/>
              </w:rPr>
              <w:t>(39)</w:t>
            </w:r>
          </w:p>
        </w:tc>
        <w:tc>
          <w:tcPr>
            <w:tcW w:w="454" w:type="dxa"/>
            <w:tcBorders>
              <w:top w:val="single" w:sz="4" w:space="0" w:color="auto"/>
              <w:left w:val="single" w:sz="4" w:space="0" w:color="auto"/>
              <w:bottom w:val="single" w:sz="4" w:space="0" w:color="auto"/>
              <w:right w:val="single" w:sz="4" w:space="0" w:color="auto"/>
            </w:tcBorders>
            <w:vAlign w:val="center"/>
          </w:tcPr>
          <w:p w14:paraId="7D9275C8" w14:textId="4490E4E3" w:rsidR="00426F9C" w:rsidRPr="00662611" w:rsidRDefault="00040B49" w:rsidP="00426F9C">
            <w:pPr>
              <w:pStyle w:val="Default"/>
              <w:spacing w:before="40" w:after="40"/>
              <w:jc w:val="right"/>
              <w:rPr>
                <w:sz w:val="16"/>
                <w:szCs w:val="16"/>
              </w:rPr>
            </w:pPr>
            <w:r w:rsidRPr="00662611">
              <w:rPr>
                <w:sz w:val="16"/>
                <w:szCs w:val="16"/>
              </w:rPr>
              <w:t>(39)</w:t>
            </w:r>
          </w:p>
        </w:tc>
        <w:tc>
          <w:tcPr>
            <w:tcW w:w="454" w:type="dxa"/>
            <w:tcBorders>
              <w:top w:val="single" w:sz="4" w:space="0" w:color="auto"/>
              <w:left w:val="single" w:sz="4" w:space="0" w:color="auto"/>
              <w:bottom w:val="single" w:sz="4" w:space="0" w:color="auto"/>
              <w:right w:val="single" w:sz="4" w:space="0" w:color="auto"/>
            </w:tcBorders>
            <w:vAlign w:val="center"/>
          </w:tcPr>
          <w:p w14:paraId="7D9275C9" w14:textId="096D0AB8" w:rsidR="00426F9C" w:rsidRPr="00662611" w:rsidRDefault="00040B49" w:rsidP="00426F9C">
            <w:pPr>
              <w:pStyle w:val="Default"/>
              <w:spacing w:before="40" w:after="40"/>
              <w:jc w:val="right"/>
              <w:rPr>
                <w:sz w:val="16"/>
                <w:szCs w:val="16"/>
              </w:rPr>
            </w:pPr>
            <w:r w:rsidRPr="00662611">
              <w:rPr>
                <w:sz w:val="16"/>
                <w:szCs w:val="16"/>
              </w:rPr>
              <w:t>(39)</w:t>
            </w:r>
          </w:p>
        </w:tc>
        <w:tc>
          <w:tcPr>
            <w:tcW w:w="454" w:type="dxa"/>
            <w:tcBorders>
              <w:top w:val="single" w:sz="4" w:space="0" w:color="auto"/>
              <w:left w:val="single" w:sz="4" w:space="0" w:color="auto"/>
              <w:bottom w:val="single" w:sz="4" w:space="0" w:color="auto"/>
              <w:right w:val="single" w:sz="4" w:space="0" w:color="auto"/>
            </w:tcBorders>
            <w:vAlign w:val="center"/>
          </w:tcPr>
          <w:p w14:paraId="7D9275CA" w14:textId="7697E0AD" w:rsidR="00426F9C" w:rsidRPr="00662611" w:rsidRDefault="00040B49" w:rsidP="00426F9C">
            <w:pPr>
              <w:pStyle w:val="Default"/>
              <w:spacing w:before="40" w:after="40"/>
              <w:jc w:val="right"/>
              <w:rPr>
                <w:sz w:val="16"/>
                <w:szCs w:val="16"/>
              </w:rPr>
            </w:pPr>
            <w:r w:rsidRPr="00662611">
              <w:rPr>
                <w:sz w:val="16"/>
                <w:szCs w:val="16"/>
              </w:rPr>
              <w:t>(39)</w:t>
            </w:r>
          </w:p>
        </w:tc>
        <w:tc>
          <w:tcPr>
            <w:tcW w:w="454" w:type="dxa"/>
            <w:tcBorders>
              <w:top w:val="single" w:sz="4" w:space="0" w:color="auto"/>
              <w:left w:val="single" w:sz="4" w:space="0" w:color="auto"/>
              <w:bottom w:val="single" w:sz="4" w:space="0" w:color="auto"/>
              <w:right w:val="single" w:sz="4" w:space="0" w:color="auto"/>
            </w:tcBorders>
            <w:vAlign w:val="center"/>
          </w:tcPr>
          <w:p w14:paraId="7D9275CB" w14:textId="18889277" w:rsidR="00426F9C" w:rsidRPr="00662611" w:rsidRDefault="00040B49" w:rsidP="00426F9C">
            <w:pPr>
              <w:pStyle w:val="Default"/>
              <w:spacing w:before="40" w:after="40"/>
              <w:jc w:val="right"/>
              <w:rPr>
                <w:sz w:val="16"/>
                <w:szCs w:val="16"/>
              </w:rPr>
            </w:pPr>
            <w:r w:rsidRPr="00662611">
              <w:rPr>
                <w:sz w:val="16"/>
                <w:szCs w:val="16"/>
              </w:rPr>
              <w:t>(39)</w:t>
            </w:r>
          </w:p>
        </w:tc>
        <w:tc>
          <w:tcPr>
            <w:tcW w:w="454" w:type="dxa"/>
            <w:tcBorders>
              <w:top w:val="single" w:sz="4" w:space="0" w:color="auto"/>
              <w:left w:val="single" w:sz="4" w:space="0" w:color="auto"/>
              <w:bottom w:val="single" w:sz="4" w:space="0" w:color="auto"/>
              <w:right w:val="single" w:sz="4" w:space="0" w:color="auto"/>
            </w:tcBorders>
            <w:vAlign w:val="center"/>
          </w:tcPr>
          <w:p w14:paraId="7D9275CC" w14:textId="6298CC92" w:rsidR="00426F9C" w:rsidRPr="00662611" w:rsidRDefault="00040B49" w:rsidP="00426F9C">
            <w:pPr>
              <w:pStyle w:val="Default"/>
              <w:spacing w:before="40" w:after="40"/>
              <w:jc w:val="right"/>
              <w:rPr>
                <w:sz w:val="16"/>
                <w:szCs w:val="16"/>
              </w:rPr>
            </w:pPr>
            <w:r w:rsidRPr="00662611">
              <w:rPr>
                <w:sz w:val="16"/>
                <w:szCs w:val="16"/>
              </w:rPr>
              <w:t>(39)</w:t>
            </w:r>
          </w:p>
        </w:tc>
        <w:tc>
          <w:tcPr>
            <w:tcW w:w="454" w:type="dxa"/>
            <w:tcBorders>
              <w:top w:val="single" w:sz="4" w:space="0" w:color="auto"/>
              <w:left w:val="single" w:sz="4" w:space="0" w:color="auto"/>
              <w:bottom w:val="single" w:sz="4" w:space="0" w:color="auto"/>
              <w:right w:val="single" w:sz="4" w:space="0" w:color="auto"/>
            </w:tcBorders>
            <w:vAlign w:val="center"/>
          </w:tcPr>
          <w:p w14:paraId="7D9275CD" w14:textId="7E412A8F" w:rsidR="00426F9C" w:rsidRPr="00662611" w:rsidRDefault="00040B49" w:rsidP="00426F9C">
            <w:pPr>
              <w:pStyle w:val="Default"/>
              <w:spacing w:before="40" w:after="40"/>
              <w:jc w:val="right"/>
              <w:rPr>
                <w:sz w:val="16"/>
                <w:szCs w:val="16"/>
              </w:rPr>
            </w:pPr>
            <w:r w:rsidRPr="00662611">
              <w:rPr>
                <w:sz w:val="16"/>
                <w:szCs w:val="16"/>
              </w:rPr>
              <w:t>(39)</w:t>
            </w:r>
          </w:p>
        </w:tc>
        <w:tc>
          <w:tcPr>
            <w:tcW w:w="454" w:type="dxa"/>
            <w:tcBorders>
              <w:top w:val="single" w:sz="4" w:space="0" w:color="auto"/>
              <w:left w:val="single" w:sz="4" w:space="0" w:color="auto"/>
              <w:bottom w:val="single" w:sz="4" w:space="0" w:color="auto"/>
              <w:right w:val="single" w:sz="4" w:space="0" w:color="auto"/>
            </w:tcBorders>
            <w:vAlign w:val="center"/>
          </w:tcPr>
          <w:p w14:paraId="7D9275CE" w14:textId="67E07787" w:rsidR="00426F9C" w:rsidRPr="00662611" w:rsidRDefault="00040B49" w:rsidP="00426F9C">
            <w:pPr>
              <w:pStyle w:val="Default"/>
              <w:spacing w:before="40" w:after="40"/>
              <w:jc w:val="right"/>
              <w:rPr>
                <w:sz w:val="16"/>
                <w:szCs w:val="16"/>
              </w:rPr>
            </w:pPr>
            <w:r w:rsidRPr="00662611">
              <w:rPr>
                <w:sz w:val="16"/>
                <w:szCs w:val="16"/>
              </w:rPr>
              <w:t>(39)</w:t>
            </w:r>
          </w:p>
        </w:tc>
        <w:tc>
          <w:tcPr>
            <w:tcW w:w="704" w:type="dxa"/>
            <w:tcBorders>
              <w:top w:val="single" w:sz="4" w:space="0" w:color="auto"/>
              <w:left w:val="single" w:sz="4" w:space="0" w:color="auto"/>
              <w:bottom w:val="single" w:sz="4" w:space="0" w:color="auto"/>
              <w:right w:val="single" w:sz="4" w:space="0" w:color="auto"/>
            </w:tcBorders>
            <w:vAlign w:val="center"/>
          </w:tcPr>
          <w:p w14:paraId="7D9275CF" w14:textId="43893267" w:rsidR="00426F9C" w:rsidRPr="00662611" w:rsidRDefault="00040B49" w:rsidP="00426F9C">
            <w:pPr>
              <w:pStyle w:val="Default"/>
              <w:spacing w:before="40" w:after="40"/>
              <w:jc w:val="right"/>
              <w:rPr>
                <w:sz w:val="16"/>
                <w:szCs w:val="16"/>
              </w:rPr>
            </w:pPr>
            <w:r w:rsidRPr="00662611">
              <w:rPr>
                <w:sz w:val="16"/>
                <w:szCs w:val="16"/>
              </w:rPr>
              <w:t>(312)</w:t>
            </w:r>
          </w:p>
        </w:tc>
      </w:tr>
      <w:tr w:rsidR="00426F9C" w:rsidRPr="00662611" w14:paraId="7D9275DD" w14:textId="77777777" w:rsidTr="002B04E7">
        <w:trPr>
          <w:trHeight w:val="345"/>
        </w:trPr>
        <w:tc>
          <w:tcPr>
            <w:tcW w:w="3062" w:type="dxa"/>
            <w:tcBorders>
              <w:top w:val="single" w:sz="4" w:space="0" w:color="auto"/>
              <w:left w:val="single" w:sz="4" w:space="0" w:color="auto"/>
              <w:bottom w:val="single" w:sz="4" w:space="0" w:color="auto"/>
              <w:right w:val="single" w:sz="4" w:space="0" w:color="auto"/>
            </w:tcBorders>
          </w:tcPr>
          <w:p w14:paraId="7D9275D1" w14:textId="77777777" w:rsidR="00426F9C" w:rsidRPr="00662611" w:rsidRDefault="00426F9C" w:rsidP="008E3FBA">
            <w:pPr>
              <w:pStyle w:val="Default"/>
              <w:spacing w:before="40" w:after="40"/>
              <w:rPr>
                <w:sz w:val="16"/>
                <w:szCs w:val="16"/>
              </w:rPr>
            </w:pPr>
            <w:r w:rsidRPr="00662611">
              <w:rPr>
                <w:sz w:val="16"/>
                <w:szCs w:val="16"/>
              </w:rPr>
              <w:t>Depreciation – original surface layer</w:t>
            </w:r>
            <w:r w:rsidR="00365FCE" w:rsidRPr="00662611">
              <w:rPr>
                <w:sz w:val="16"/>
                <w:szCs w:val="16"/>
              </w:rPr>
              <w:t>s</w:t>
            </w:r>
          </w:p>
        </w:tc>
        <w:tc>
          <w:tcPr>
            <w:tcW w:w="454" w:type="dxa"/>
            <w:tcBorders>
              <w:top w:val="single" w:sz="4" w:space="0" w:color="auto"/>
              <w:left w:val="single" w:sz="4" w:space="0" w:color="auto"/>
              <w:bottom w:val="single" w:sz="4" w:space="0" w:color="auto"/>
              <w:right w:val="single" w:sz="4" w:space="0" w:color="auto"/>
            </w:tcBorders>
          </w:tcPr>
          <w:p w14:paraId="7D9275D2" w14:textId="1AB2822C"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D3" w14:textId="6A77D145"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D4" w14:textId="307FC070" w:rsidR="00426F9C" w:rsidRPr="00662611" w:rsidRDefault="00426F9C" w:rsidP="00426F9C">
            <w:pPr>
              <w:pStyle w:val="Default"/>
              <w:spacing w:before="40" w:after="40"/>
              <w:jc w:val="right"/>
              <w:rPr>
                <w:sz w:val="16"/>
                <w:szCs w:val="16"/>
              </w:rPr>
            </w:pPr>
            <w:r w:rsidRPr="00662611">
              <w:rPr>
                <w:sz w:val="16"/>
                <w:szCs w:val="16"/>
              </w:rPr>
              <w:t>(18)</w:t>
            </w:r>
          </w:p>
        </w:tc>
        <w:tc>
          <w:tcPr>
            <w:tcW w:w="454" w:type="dxa"/>
            <w:tcBorders>
              <w:top w:val="single" w:sz="4" w:space="0" w:color="auto"/>
              <w:left w:val="single" w:sz="4" w:space="0" w:color="auto"/>
              <w:bottom w:val="single" w:sz="4" w:space="0" w:color="auto"/>
              <w:right w:val="single" w:sz="4" w:space="0" w:color="auto"/>
            </w:tcBorders>
          </w:tcPr>
          <w:p w14:paraId="7D9275D5" w14:textId="7E128D6A" w:rsidR="00426F9C" w:rsidRPr="00662611" w:rsidRDefault="00426F9C" w:rsidP="00426F9C">
            <w:pPr>
              <w:pStyle w:val="Default"/>
              <w:spacing w:before="40" w:after="40"/>
              <w:jc w:val="right"/>
              <w:rPr>
                <w:sz w:val="16"/>
                <w:szCs w:val="16"/>
              </w:rPr>
            </w:pPr>
            <w:r w:rsidRPr="00662611">
              <w:rPr>
                <w:sz w:val="16"/>
                <w:szCs w:val="16"/>
              </w:rPr>
              <w:t>(19)</w:t>
            </w:r>
          </w:p>
        </w:tc>
        <w:tc>
          <w:tcPr>
            <w:tcW w:w="454" w:type="dxa"/>
            <w:tcBorders>
              <w:top w:val="single" w:sz="4" w:space="0" w:color="auto"/>
              <w:left w:val="single" w:sz="4" w:space="0" w:color="auto"/>
              <w:bottom w:val="single" w:sz="4" w:space="0" w:color="auto"/>
              <w:right w:val="single" w:sz="4" w:space="0" w:color="auto"/>
            </w:tcBorders>
          </w:tcPr>
          <w:p w14:paraId="7D9275D6" w14:textId="5727D95D" w:rsidR="00426F9C" w:rsidRPr="00662611" w:rsidRDefault="00426F9C" w:rsidP="00426F9C">
            <w:pPr>
              <w:pStyle w:val="Default"/>
              <w:spacing w:before="40" w:after="40"/>
              <w:jc w:val="right"/>
              <w:rPr>
                <w:sz w:val="16"/>
                <w:szCs w:val="16"/>
              </w:rPr>
            </w:pPr>
            <w:r w:rsidRPr="00662611">
              <w:rPr>
                <w:sz w:val="16"/>
                <w:szCs w:val="16"/>
              </w:rPr>
              <w:t>(18)</w:t>
            </w:r>
          </w:p>
        </w:tc>
        <w:tc>
          <w:tcPr>
            <w:tcW w:w="454" w:type="dxa"/>
            <w:tcBorders>
              <w:top w:val="single" w:sz="4" w:space="0" w:color="auto"/>
              <w:left w:val="single" w:sz="4" w:space="0" w:color="auto"/>
              <w:bottom w:val="single" w:sz="4" w:space="0" w:color="auto"/>
              <w:right w:val="single" w:sz="4" w:space="0" w:color="auto"/>
            </w:tcBorders>
          </w:tcPr>
          <w:p w14:paraId="7D9275D7" w14:textId="7DB4C97E" w:rsidR="00426F9C" w:rsidRPr="00662611" w:rsidRDefault="00426F9C" w:rsidP="00426F9C">
            <w:pPr>
              <w:pStyle w:val="Default"/>
              <w:spacing w:before="40" w:after="40"/>
              <w:jc w:val="right"/>
              <w:rPr>
                <w:sz w:val="16"/>
                <w:szCs w:val="16"/>
              </w:rPr>
            </w:pPr>
            <w:r w:rsidRPr="00662611">
              <w:rPr>
                <w:sz w:val="16"/>
                <w:szCs w:val="16"/>
              </w:rPr>
              <w:t>(18)</w:t>
            </w:r>
          </w:p>
        </w:tc>
        <w:tc>
          <w:tcPr>
            <w:tcW w:w="454" w:type="dxa"/>
            <w:tcBorders>
              <w:top w:val="single" w:sz="4" w:space="0" w:color="auto"/>
              <w:left w:val="single" w:sz="4" w:space="0" w:color="auto"/>
              <w:bottom w:val="single" w:sz="4" w:space="0" w:color="auto"/>
              <w:right w:val="single" w:sz="4" w:space="0" w:color="auto"/>
            </w:tcBorders>
          </w:tcPr>
          <w:p w14:paraId="7D9275D8" w14:textId="063CF3A0" w:rsidR="00426F9C" w:rsidRPr="00662611" w:rsidRDefault="00426F9C" w:rsidP="00426F9C">
            <w:pPr>
              <w:pStyle w:val="Default"/>
              <w:spacing w:before="40" w:after="40"/>
              <w:jc w:val="right"/>
              <w:rPr>
                <w:sz w:val="16"/>
                <w:szCs w:val="16"/>
              </w:rPr>
            </w:pPr>
            <w:r w:rsidRPr="00662611">
              <w:rPr>
                <w:sz w:val="16"/>
                <w:szCs w:val="16"/>
              </w:rPr>
              <w:t>(19)</w:t>
            </w:r>
          </w:p>
        </w:tc>
        <w:tc>
          <w:tcPr>
            <w:tcW w:w="454" w:type="dxa"/>
            <w:tcBorders>
              <w:top w:val="single" w:sz="4" w:space="0" w:color="auto"/>
              <w:left w:val="single" w:sz="4" w:space="0" w:color="auto"/>
              <w:bottom w:val="single" w:sz="4" w:space="0" w:color="auto"/>
              <w:right w:val="single" w:sz="4" w:space="0" w:color="auto"/>
            </w:tcBorders>
          </w:tcPr>
          <w:p w14:paraId="7D9275D9" w14:textId="3C26702E" w:rsidR="00426F9C" w:rsidRPr="00662611" w:rsidRDefault="00426F9C" w:rsidP="00426F9C">
            <w:pPr>
              <w:pStyle w:val="Default"/>
              <w:spacing w:before="40" w:after="40"/>
              <w:jc w:val="right"/>
              <w:rPr>
                <w:sz w:val="16"/>
                <w:szCs w:val="16"/>
              </w:rPr>
            </w:pPr>
            <w:r w:rsidRPr="00662611">
              <w:rPr>
                <w:sz w:val="16"/>
                <w:szCs w:val="16"/>
              </w:rPr>
              <w:t>(18)</w:t>
            </w:r>
          </w:p>
        </w:tc>
        <w:tc>
          <w:tcPr>
            <w:tcW w:w="454" w:type="dxa"/>
            <w:tcBorders>
              <w:top w:val="single" w:sz="4" w:space="0" w:color="auto"/>
              <w:left w:val="single" w:sz="4" w:space="0" w:color="auto"/>
              <w:bottom w:val="single" w:sz="4" w:space="0" w:color="auto"/>
              <w:right w:val="single" w:sz="4" w:space="0" w:color="auto"/>
            </w:tcBorders>
          </w:tcPr>
          <w:p w14:paraId="7D9275DA" w14:textId="2461F85A"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DB" w14:textId="2730B965" w:rsidR="00426F9C" w:rsidRPr="00662611" w:rsidRDefault="00426F9C" w:rsidP="00426F9C">
            <w:pPr>
              <w:pStyle w:val="Default"/>
              <w:spacing w:before="40" w:after="40"/>
              <w:jc w:val="right"/>
              <w:rPr>
                <w:sz w:val="16"/>
                <w:szCs w:val="16"/>
              </w:rPr>
            </w:pPr>
            <w:r w:rsidRPr="00662611">
              <w:rPr>
                <w:sz w:val="16"/>
                <w:szCs w:val="16"/>
              </w:rPr>
              <w:t>–</w:t>
            </w:r>
          </w:p>
        </w:tc>
        <w:tc>
          <w:tcPr>
            <w:tcW w:w="704" w:type="dxa"/>
            <w:tcBorders>
              <w:top w:val="single" w:sz="4" w:space="0" w:color="auto"/>
              <w:left w:val="single" w:sz="4" w:space="0" w:color="auto"/>
              <w:bottom w:val="single" w:sz="4" w:space="0" w:color="auto"/>
              <w:right w:val="single" w:sz="4" w:space="0" w:color="auto"/>
            </w:tcBorders>
          </w:tcPr>
          <w:p w14:paraId="7D9275DC" w14:textId="53794E12" w:rsidR="00426F9C" w:rsidRPr="00662611" w:rsidRDefault="00426F9C" w:rsidP="00426F9C">
            <w:pPr>
              <w:pStyle w:val="Default"/>
              <w:spacing w:before="40" w:after="40"/>
              <w:jc w:val="right"/>
              <w:rPr>
                <w:sz w:val="16"/>
                <w:szCs w:val="16"/>
              </w:rPr>
            </w:pPr>
            <w:r w:rsidRPr="00662611">
              <w:rPr>
                <w:sz w:val="16"/>
                <w:szCs w:val="16"/>
              </w:rPr>
              <w:t>(110)</w:t>
            </w:r>
          </w:p>
        </w:tc>
      </w:tr>
      <w:tr w:rsidR="00426F9C" w:rsidRPr="00662611" w14:paraId="7D9275EA" w14:textId="77777777" w:rsidTr="002B04E7">
        <w:trPr>
          <w:trHeight w:val="345"/>
        </w:trPr>
        <w:tc>
          <w:tcPr>
            <w:tcW w:w="3062" w:type="dxa"/>
            <w:tcBorders>
              <w:top w:val="single" w:sz="4" w:space="0" w:color="auto"/>
              <w:left w:val="single" w:sz="4" w:space="0" w:color="auto"/>
              <w:bottom w:val="single" w:sz="4" w:space="0" w:color="auto"/>
              <w:right w:val="single" w:sz="4" w:space="0" w:color="auto"/>
            </w:tcBorders>
          </w:tcPr>
          <w:p w14:paraId="7D9275DE" w14:textId="77777777" w:rsidR="00426F9C" w:rsidRPr="00662611" w:rsidRDefault="00426F9C" w:rsidP="009F0EB0">
            <w:pPr>
              <w:pStyle w:val="Default"/>
              <w:spacing w:before="40" w:after="40"/>
              <w:rPr>
                <w:sz w:val="16"/>
                <w:szCs w:val="16"/>
              </w:rPr>
            </w:pPr>
            <w:r w:rsidRPr="00662611">
              <w:rPr>
                <w:sz w:val="16"/>
                <w:szCs w:val="16"/>
              </w:rPr>
              <w:t>Depreciation – replacement surface layer</w:t>
            </w:r>
            <w:r w:rsidR="00365FCE" w:rsidRPr="00662611">
              <w:rPr>
                <w:sz w:val="16"/>
                <w:szCs w:val="16"/>
              </w:rPr>
              <w:t>s</w:t>
            </w:r>
          </w:p>
        </w:tc>
        <w:tc>
          <w:tcPr>
            <w:tcW w:w="454" w:type="dxa"/>
            <w:tcBorders>
              <w:top w:val="single" w:sz="4" w:space="0" w:color="auto"/>
              <w:left w:val="single" w:sz="4" w:space="0" w:color="auto"/>
              <w:bottom w:val="single" w:sz="4" w:space="0" w:color="auto"/>
              <w:right w:val="single" w:sz="4" w:space="0" w:color="auto"/>
            </w:tcBorders>
          </w:tcPr>
          <w:p w14:paraId="7D9275DF" w14:textId="45A4989A"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0" w14:textId="2A09F76F"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1" w14:textId="1D9C1DCB"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2" w14:textId="64F10F9D"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3" w14:textId="0FFA7CDD"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4" w14:textId="513E96E3"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5" w14:textId="29362129"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6" w14:textId="538CB9C0"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7" w14:textId="67C0050B" w:rsidR="00426F9C" w:rsidRPr="00662611" w:rsidRDefault="00426F9C" w:rsidP="00426F9C">
            <w:pPr>
              <w:pStyle w:val="Default"/>
              <w:spacing w:before="40" w:after="40"/>
              <w:jc w:val="right"/>
              <w:rPr>
                <w:sz w:val="16"/>
                <w:szCs w:val="16"/>
              </w:rPr>
            </w:pPr>
            <w:r w:rsidRPr="00662611">
              <w:rPr>
                <w:sz w:val="16"/>
                <w:szCs w:val="16"/>
              </w:rPr>
              <w:t>(18)</w:t>
            </w:r>
          </w:p>
        </w:tc>
        <w:tc>
          <w:tcPr>
            <w:tcW w:w="454" w:type="dxa"/>
            <w:tcBorders>
              <w:top w:val="single" w:sz="4" w:space="0" w:color="auto"/>
              <w:left w:val="single" w:sz="4" w:space="0" w:color="auto"/>
              <w:bottom w:val="single" w:sz="4" w:space="0" w:color="auto"/>
              <w:right w:val="single" w:sz="4" w:space="0" w:color="auto"/>
            </w:tcBorders>
          </w:tcPr>
          <w:p w14:paraId="7D9275E8" w14:textId="46A9EC61" w:rsidR="00426F9C" w:rsidRPr="00662611" w:rsidRDefault="00426F9C" w:rsidP="00426F9C">
            <w:pPr>
              <w:pStyle w:val="Default"/>
              <w:spacing w:before="40" w:after="40"/>
              <w:jc w:val="right"/>
              <w:rPr>
                <w:sz w:val="16"/>
                <w:szCs w:val="16"/>
              </w:rPr>
            </w:pPr>
            <w:r w:rsidRPr="00662611">
              <w:rPr>
                <w:sz w:val="16"/>
                <w:szCs w:val="16"/>
              </w:rPr>
              <w:t>(19)</w:t>
            </w:r>
          </w:p>
        </w:tc>
        <w:tc>
          <w:tcPr>
            <w:tcW w:w="704" w:type="dxa"/>
            <w:tcBorders>
              <w:top w:val="single" w:sz="4" w:space="0" w:color="auto"/>
              <w:left w:val="single" w:sz="4" w:space="0" w:color="auto"/>
              <w:bottom w:val="single" w:sz="4" w:space="0" w:color="auto"/>
              <w:right w:val="single" w:sz="4" w:space="0" w:color="auto"/>
            </w:tcBorders>
          </w:tcPr>
          <w:p w14:paraId="7D9275E9" w14:textId="61697770" w:rsidR="00426F9C" w:rsidRPr="00662611" w:rsidRDefault="00426F9C" w:rsidP="00426F9C">
            <w:pPr>
              <w:pStyle w:val="Default"/>
              <w:spacing w:before="40" w:after="40"/>
              <w:jc w:val="right"/>
              <w:rPr>
                <w:sz w:val="16"/>
                <w:szCs w:val="16"/>
              </w:rPr>
            </w:pPr>
            <w:r w:rsidRPr="00662611">
              <w:rPr>
                <w:sz w:val="16"/>
                <w:szCs w:val="16"/>
              </w:rPr>
              <w:t>(37)</w:t>
            </w:r>
          </w:p>
        </w:tc>
      </w:tr>
      <w:tr w:rsidR="00426F9C" w:rsidRPr="00662611" w14:paraId="7D9275F7" w14:textId="77777777" w:rsidTr="002B04E7">
        <w:trPr>
          <w:trHeight w:val="105"/>
        </w:trPr>
        <w:tc>
          <w:tcPr>
            <w:tcW w:w="3062" w:type="dxa"/>
            <w:tcBorders>
              <w:top w:val="single" w:sz="4" w:space="0" w:color="auto"/>
              <w:left w:val="single" w:sz="4" w:space="0" w:color="auto"/>
              <w:bottom w:val="single" w:sz="4" w:space="0" w:color="auto"/>
              <w:right w:val="single" w:sz="4" w:space="0" w:color="auto"/>
            </w:tcBorders>
          </w:tcPr>
          <w:p w14:paraId="7D9275EB" w14:textId="77777777" w:rsidR="00426F9C" w:rsidRPr="00662611" w:rsidRDefault="00426F9C" w:rsidP="00426F9C">
            <w:pPr>
              <w:pStyle w:val="Default"/>
              <w:spacing w:before="40" w:after="40"/>
              <w:rPr>
                <w:sz w:val="16"/>
                <w:szCs w:val="16"/>
              </w:rPr>
            </w:pPr>
            <w:r w:rsidRPr="00662611">
              <w:rPr>
                <w:sz w:val="16"/>
                <w:szCs w:val="16"/>
              </w:rPr>
              <w:t xml:space="preserve">Total depreciation </w:t>
            </w:r>
          </w:p>
        </w:tc>
        <w:tc>
          <w:tcPr>
            <w:tcW w:w="454" w:type="dxa"/>
            <w:tcBorders>
              <w:top w:val="single" w:sz="4" w:space="0" w:color="auto"/>
              <w:left w:val="single" w:sz="4" w:space="0" w:color="auto"/>
              <w:bottom w:val="single" w:sz="4" w:space="0" w:color="auto"/>
              <w:right w:val="single" w:sz="4" w:space="0" w:color="auto"/>
            </w:tcBorders>
          </w:tcPr>
          <w:p w14:paraId="7D9275EC" w14:textId="6F436CF8"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ED" w14:textId="3FBB981B"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vAlign w:val="center"/>
          </w:tcPr>
          <w:p w14:paraId="7D9275EE" w14:textId="728FFA40" w:rsidR="00426F9C" w:rsidRPr="00662611" w:rsidRDefault="001D20FF" w:rsidP="00426F9C">
            <w:pPr>
              <w:pStyle w:val="Default"/>
              <w:spacing w:before="40" w:after="40"/>
              <w:jc w:val="right"/>
              <w:rPr>
                <w:sz w:val="16"/>
                <w:szCs w:val="16"/>
              </w:rPr>
            </w:pPr>
            <w:r>
              <w:rPr>
                <w:sz w:val="16"/>
                <w:szCs w:val="16"/>
              </w:rPr>
              <w:t>(57)</w:t>
            </w:r>
          </w:p>
        </w:tc>
        <w:tc>
          <w:tcPr>
            <w:tcW w:w="454" w:type="dxa"/>
            <w:tcBorders>
              <w:top w:val="single" w:sz="4" w:space="0" w:color="auto"/>
              <w:left w:val="single" w:sz="4" w:space="0" w:color="auto"/>
              <w:bottom w:val="single" w:sz="4" w:space="0" w:color="auto"/>
              <w:right w:val="single" w:sz="4" w:space="0" w:color="auto"/>
            </w:tcBorders>
            <w:vAlign w:val="center"/>
          </w:tcPr>
          <w:p w14:paraId="7D9275EF" w14:textId="45140A9B" w:rsidR="00426F9C" w:rsidRPr="00662611" w:rsidRDefault="001D20FF" w:rsidP="00426F9C">
            <w:pPr>
              <w:pStyle w:val="Default"/>
              <w:spacing w:before="40" w:after="40"/>
              <w:jc w:val="right"/>
              <w:rPr>
                <w:sz w:val="16"/>
                <w:szCs w:val="16"/>
              </w:rPr>
            </w:pPr>
            <w:r>
              <w:rPr>
                <w:sz w:val="16"/>
                <w:szCs w:val="16"/>
              </w:rPr>
              <w:t>(58)</w:t>
            </w:r>
          </w:p>
        </w:tc>
        <w:tc>
          <w:tcPr>
            <w:tcW w:w="454" w:type="dxa"/>
            <w:tcBorders>
              <w:top w:val="single" w:sz="4" w:space="0" w:color="auto"/>
              <w:left w:val="single" w:sz="4" w:space="0" w:color="auto"/>
              <w:bottom w:val="single" w:sz="4" w:space="0" w:color="auto"/>
              <w:right w:val="single" w:sz="4" w:space="0" w:color="auto"/>
            </w:tcBorders>
            <w:vAlign w:val="center"/>
          </w:tcPr>
          <w:p w14:paraId="7D9275F0" w14:textId="5DF54E6A" w:rsidR="00426F9C" w:rsidRPr="00662611" w:rsidRDefault="001D20FF" w:rsidP="00426F9C">
            <w:pPr>
              <w:pStyle w:val="Default"/>
              <w:spacing w:before="40" w:after="40"/>
              <w:jc w:val="right"/>
              <w:rPr>
                <w:sz w:val="16"/>
                <w:szCs w:val="16"/>
              </w:rPr>
            </w:pPr>
            <w:r>
              <w:rPr>
                <w:sz w:val="16"/>
                <w:szCs w:val="16"/>
              </w:rPr>
              <w:t>(57)</w:t>
            </w:r>
          </w:p>
        </w:tc>
        <w:tc>
          <w:tcPr>
            <w:tcW w:w="454" w:type="dxa"/>
            <w:tcBorders>
              <w:top w:val="single" w:sz="4" w:space="0" w:color="auto"/>
              <w:left w:val="single" w:sz="4" w:space="0" w:color="auto"/>
              <w:bottom w:val="single" w:sz="4" w:space="0" w:color="auto"/>
              <w:right w:val="single" w:sz="4" w:space="0" w:color="auto"/>
            </w:tcBorders>
            <w:vAlign w:val="center"/>
          </w:tcPr>
          <w:p w14:paraId="7D9275F1" w14:textId="483BB98D" w:rsidR="00426F9C" w:rsidRPr="00662611" w:rsidRDefault="001D20FF" w:rsidP="00426F9C">
            <w:pPr>
              <w:pStyle w:val="Default"/>
              <w:spacing w:before="40" w:after="40"/>
              <w:jc w:val="right"/>
              <w:rPr>
                <w:sz w:val="16"/>
                <w:szCs w:val="16"/>
              </w:rPr>
            </w:pPr>
            <w:r>
              <w:rPr>
                <w:sz w:val="16"/>
                <w:szCs w:val="16"/>
              </w:rPr>
              <w:t>(57)</w:t>
            </w:r>
          </w:p>
        </w:tc>
        <w:tc>
          <w:tcPr>
            <w:tcW w:w="454" w:type="dxa"/>
            <w:tcBorders>
              <w:top w:val="single" w:sz="4" w:space="0" w:color="auto"/>
              <w:left w:val="single" w:sz="4" w:space="0" w:color="auto"/>
              <w:bottom w:val="single" w:sz="4" w:space="0" w:color="auto"/>
              <w:right w:val="single" w:sz="4" w:space="0" w:color="auto"/>
            </w:tcBorders>
            <w:vAlign w:val="center"/>
          </w:tcPr>
          <w:p w14:paraId="7D9275F2" w14:textId="08098FB1" w:rsidR="00426F9C" w:rsidRPr="00662611" w:rsidRDefault="00040B49" w:rsidP="00426F9C">
            <w:pPr>
              <w:pStyle w:val="Default"/>
              <w:spacing w:before="40" w:after="40"/>
              <w:jc w:val="right"/>
              <w:rPr>
                <w:sz w:val="16"/>
                <w:szCs w:val="16"/>
              </w:rPr>
            </w:pPr>
            <w:r w:rsidRPr="00662611">
              <w:rPr>
                <w:sz w:val="16"/>
                <w:szCs w:val="16"/>
              </w:rPr>
              <w:t>(58)</w:t>
            </w:r>
          </w:p>
        </w:tc>
        <w:tc>
          <w:tcPr>
            <w:tcW w:w="454" w:type="dxa"/>
            <w:tcBorders>
              <w:top w:val="single" w:sz="4" w:space="0" w:color="auto"/>
              <w:left w:val="single" w:sz="4" w:space="0" w:color="auto"/>
              <w:bottom w:val="single" w:sz="4" w:space="0" w:color="auto"/>
              <w:right w:val="single" w:sz="4" w:space="0" w:color="auto"/>
            </w:tcBorders>
            <w:vAlign w:val="center"/>
          </w:tcPr>
          <w:p w14:paraId="7D9275F3" w14:textId="3BB2C375" w:rsidR="00426F9C" w:rsidRPr="00662611" w:rsidRDefault="00040B49" w:rsidP="00426F9C">
            <w:pPr>
              <w:pStyle w:val="Default"/>
              <w:spacing w:before="40" w:after="40"/>
              <w:jc w:val="right"/>
              <w:rPr>
                <w:sz w:val="16"/>
                <w:szCs w:val="16"/>
              </w:rPr>
            </w:pPr>
            <w:r w:rsidRPr="00662611">
              <w:rPr>
                <w:sz w:val="16"/>
                <w:szCs w:val="16"/>
              </w:rPr>
              <w:t>(57)</w:t>
            </w:r>
          </w:p>
        </w:tc>
        <w:tc>
          <w:tcPr>
            <w:tcW w:w="454" w:type="dxa"/>
            <w:tcBorders>
              <w:top w:val="single" w:sz="4" w:space="0" w:color="auto"/>
              <w:left w:val="single" w:sz="4" w:space="0" w:color="auto"/>
              <w:bottom w:val="single" w:sz="4" w:space="0" w:color="auto"/>
              <w:right w:val="single" w:sz="4" w:space="0" w:color="auto"/>
            </w:tcBorders>
            <w:vAlign w:val="center"/>
          </w:tcPr>
          <w:p w14:paraId="7D9275F4" w14:textId="4394B36A" w:rsidR="00426F9C" w:rsidRPr="00662611" w:rsidRDefault="00040B49" w:rsidP="00426F9C">
            <w:pPr>
              <w:pStyle w:val="Default"/>
              <w:spacing w:before="40" w:after="40"/>
              <w:jc w:val="right"/>
              <w:rPr>
                <w:sz w:val="16"/>
                <w:szCs w:val="16"/>
              </w:rPr>
            </w:pPr>
            <w:r w:rsidRPr="00662611">
              <w:rPr>
                <w:sz w:val="16"/>
                <w:szCs w:val="16"/>
              </w:rPr>
              <w:t>(57)</w:t>
            </w:r>
          </w:p>
        </w:tc>
        <w:tc>
          <w:tcPr>
            <w:tcW w:w="454" w:type="dxa"/>
            <w:tcBorders>
              <w:top w:val="single" w:sz="4" w:space="0" w:color="auto"/>
              <w:left w:val="single" w:sz="4" w:space="0" w:color="auto"/>
              <w:bottom w:val="single" w:sz="4" w:space="0" w:color="auto"/>
              <w:right w:val="single" w:sz="4" w:space="0" w:color="auto"/>
            </w:tcBorders>
            <w:vAlign w:val="center"/>
          </w:tcPr>
          <w:p w14:paraId="7D9275F5" w14:textId="77A6E349" w:rsidR="00426F9C" w:rsidRPr="00662611" w:rsidRDefault="00040B49" w:rsidP="00426F9C">
            <w:pPr>
              <w:pStyle w:val="Default"/>
              <w:spacing w:before="40" w:after="40"/>
              <w:jc w:val="right"/>
              <w:rPr>
                <w:sz w:val="16"/>
                <w:szCs w:val="16"/>
              </w:rPr>
            </w:pPr>
            <w:r w:rsidRPr="00662611">
              <w:rPr>
                <w:sz w:val="16"/>
                <w:szCs w:val="16"/>
              </w:rPr>
              <w:t>(58)</w:t>
            </w:r>
          </w:p>
        </w:tc>
        <w:tc>
          <w:tcPr>
            <w:tcW w:w="704" w:type="dxa"/>
            <w:tcBorders>
              <w:top w:val="single" w:sz="4" w:space="0" w:color="auto"/>
              <w:left w:val="single" w:sz="4" w:space="0" w:color="auto"/>
              <w:bottom w:val="single" w:sz="4" w:space="0" w:color="auto"/>
              <w:right w:val="single" w:sz="4" w:space="0" w:color="auto"/>
            </w:tcBorders>
            <w:vAlign w:val="center"/>
          </w:tcPr>
          <w:p w14:paraId="7D9275F6" w14:textId="6E74624A" w:rsidR="00426F9C" w:rsidRPr="00662611" w:rsidRDefault="00040B49" w:rsidP="00426F9C">
            <w:pPr>
              <w:pStyle w:val="Default"/>
              <w:spacing w:before="40" w:after="40"/>
              <w:jc w:val="right"/>
              <w:rPr>
                <w:sz w:val="16"/>
                <w:szCs w:val="16"/>
              </w:rPr>
            </w:pPr>
            <w:r w:rsidRPr="00662611">
              <w:rPr>
                <w:sz w:val="16"/>
                <w:szCs w:val="16"/>
              </w:rPr>
              <w:t>(459)</w:t>
            </w:r>
          </w:p>
        </w:tc>
      </w:tr>
      <w:tr w:rsidR="00426F9C" w:rsidRPr="00662611" w14:paraId="7D927604" w14:textId="77777777" w:rsidTr="002B04E7">
        <w:trPr>
          <w:trHeight w:val="225"/>
        </w:trPr>
        <w:tc>
          <w:tcPr>
            <w:tcW w:w="3062" w:type="dxa"/>
            <w:tcBorders>
              <w:top w:val="single" w:sz="4" w:space="0" w:color="auto"/>
              <w:left w:val="single" w:sz="4" w:space="0" w:color="auto"/>
              <w:bottom w:val="single" w:sz="4" w:space="0" w:color="auto"/>
              <w:right w:val="single" w:sz="4" w:space="0" w:color="auto"/>
            </w:tcBorders>
          </w:tcPr>
          <w:p w14:paraId="7D9275F8" w14:textId="77777777" w:rsidR="00426F9C" w:rsidRPr="00662611" w:rsidRDefault="00426F9C" w:rsidP="00426F9C">
            <w:pPr>
              <w:pStyle w:val="Default"/>
              <w:spacing w:before="40" w:after="40"/>
              <w:rPr>
                <w:sz w:val="16"/>
                <w:szCs w:val="16"/>
              </w:rPr>
            </w:pPr>
            <w:r w:rsidRPr="00662611">
              <w:rPr>
                <w:sz w:val="16"/>
                <w:szCs w:val="16"/>
              </w:rPr>
              <w:t>Annual surplus/(deficit)</w:t>
            </w:r>
          </w:p>
        </w:tc>
        <w:tc>
          <w:tcPr>
            <w:tcW w:w="454" w:type="dxa"/>
            <w:tcBorders>
              <w:top w:val="single" w:sz="4" w:space="0" w:color="auto"/>
              <w:left w:val="single" w:sz="4" w:space="0" w:color="auto"/>
              <w:bottom w:val="single" w:sz="4" w:space="0" w:color="auto"/>
              <w:right w:val="single" w:sz="4" w:space="0" w:color="auto"/>
            </w:tcBorders>
          </w:tcPr>
          <w:p w14:paraId="7D9275F9" w14:textId="645C59FF"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FA" w14:textId="0AC81889" w:rsidR="00426F9C" w:rsidRPr="00662611" w:rsidRDefault="00426F9C" w:rsidP="00426F9C">
            <w:pPr>
              <w:pStyle w:val="Default"/>
              <w:spacing w:before="40" w:after="40"/>
              <w:jc w:val="right"/>
              <w:rPr>
                <w:sz w:val="16"/>
                <w:szCs w:val="16"/>
              </w:rPr>
            </w:pPr>
            <w:r w:rsidRPr="00662611">
              <w:rPr>
                <w:sz w:val="16"/>
                <w:szCs w:val="16"/>
              </w:rPr>
              <w:t>–</w:t>
            </w:r>
          </w:p>
        </w:tc>
        <w:tc>
          <w:tcPr>
            <w:tcW w:w="454" w:type="dxa"/>
            <w:tcBorders>
              <w:top w:val="single" w:sz="4" w:space="0" w:color="auto"/>
              <w:left w:val="single" w:sz="4" w:space="0" w:color="auto"/>
              <w:bottom w:val="single" w:sz="4" w:space="0" w:color="auto"/>
              <w:right w:val="single" w:sz="4" w:space="0" w:color="auto"/>
            </w:tcBorders>
          </w:tcPr>
          <w:p w14:paraId="7D9275FB" w14:textId="379094D4" w:rsidR="00426F9C" w:rsidRPr="00662611" w:rsidRDefault="00040B49" w:rsidP="00426F9C">
            <w:pPr>
              <w:pStyle w:val="Default"/>
              <w:spacing w:before="40" w:after="40"/>
              <w:jc w:val="right"/>
              <w:rPr>
                <w:sz w:val="16"/>
                <w:szCs w:val="16"/>
              </w:rPr>
            </w:pPr>
            <w:r w:rsidRPr="00662611">
              <w:rPr>
                <w:sz w:val="16"/>
                <w:szCs w:val="16"/>
              </w:rPr>
              <w:t>78</w:t>
            </w:r>
          </w:p>
        </w:tc>
        <w:tc>
          <w:tcPr>
            <w:tcW w:w="454" w:type="dxa"/>
            <w:tcBorders>
              <w:top w:val="single" w:sz="4" w:space="0" w:color="auto"/>
              <w:left w:val="single" w:sz="4" w:space="0" w:color="auto"/>
              <w:bottom w:val="single" w:sz="4" w:space="0" w:color="auto"/>
              <w:right w:val="single" w:sz="4" w:space="0" w:color="auto"/>
            </w:tcBorders>
          </w:tcPr>
          <w:p w14:paraId="7D9275FC" w14:textId="40AA5D03" w:rsidR="00426F9C" w:rsidRPr="00662611" w:rsidRDefault="00040B49" w:rsidP="00426F9C">
            <w:pPr>
              <w:pStyle w:val="Default"/>
              <w:spacing w:before="40" w:after="40"/>
              <w:jc w:val="right"/>
              <w:rPr>
                <w:sz w:val="16"/>
                <w:szCs w:val="16"/>
              </w:rPr>
            </w:pPr>
            <w:r w:rsidRPr="00662611">
              <w:rPr>
                <w:sz w:val="16"/>
                <w:szCs w:val="16"/>
              </w:rPr>
              <w:t>77</w:t>
            </w:r>
          </w:p>
        </w:tc>
        <w:tc>
          <w:tcPr>
            <w:tcW w:w="454" w:type="dxa"/>
            <w:tcBorders>
              <w:top w:val="single" w:sz="4" w:space="0" w:color="auto"/>
              <w:left w:val="single" w:sz="4" w:space="0" w:color="auto"/>
              <w:bottom w:val="single" w:sz="4" w:space="0" w:color="auto"/>
              <w:right w:val="single" w:sz="4" w:space="0" w:color="auto"/>
            </w:tcBorders>
          </w:tcPr>
          <w:p w14:paraId="7D9275FD" w14:textId="62BF0751" w:rsidR="00426F9C" w:rsidRPr="00662611" w:rsidRDefault="00040B49" w:rsidP="00426F9C">
            <w:pPr>
              <w:pStyle w:val="Default"/>
              <w:spacing w:before="40" w:after="40"/>
              <w:jc w:val="right"/>
              <w:rPr>
                <w:sz w:val="16"/>
                <w:szCs w:val="16"/>
              </w:rPr>
            </w:pPr>
            <w:r w:rsidRPr="00662611">
              <w:rPr>
                <w:sz w:val="16"/>
                <w:szCs w:val="16"/>
              </w:rPr>
              <w:t>78</w:t>
            </w:r>
          </w:p>
        </w:tc>
        <w:tc>
          <w:tcPr>
            <w:tcW w:w="454" w:type="dxa"/>
            <w:tcBorders>
              <w:top w:val="single" w:sz="4" w:space="0" w:color="auto"/>
              <w:left w:val="single" w:sz="4" w:space="0" w:color="auto"/>
              <w:bottom w:val="single" w:sz="4" w:space="0" w:color="auto"/>
              <w:right w:val="single" w:sz="4" w:space="0" w:color="auto"/>
            </w:tcBorders>
          </w:tcPr>
          <w:p w14:paraId="7D9275FE" w14:textId="38E9752A" w:rsidR="00426F9C" w:rsidRPr="00662611" w:rsidRDefault="00040B49" w:rsidP="00426F9C">
            <w:pPr>
              <w:pStyle w:val="Default"/>
              <w:spacing w:before="40" w:after="40"/>
              <w:jc w:val="right"/>
              <w:rPr>
                <w:sz w:val="16"/>
                <w:szCs w:val="16"/>
              </w:rPr>
            </w:pPr>
            <w:r w:rsidRPr="00662611">
              <w:rPr>
                <w:sz w:val="16"/>
                <w:szCs w:val="16"/>
              </w:rPr>
              <w:t>79</w:t>
            </w:r>
          </w:p>
        </w:tc>
        <w:tc>
          <w:tcPr>
            <w:tcW w:w="454" w:type="dxa"/>
            <w:tcBorders>
              <w:top w:val="single" w:sz="4" w:space="0" w:color="auto"/>
              <w:left w:val="single" w:sz="4" w:space="0" w:color="auto"/>
              <w:bottom w:val="single" w:sz="4" w:space="0" w:color="auto"/>
              <w:right w:val="single" w:sz="4" w:space="0" w:color="auto"/>
            </w:tcBorders>
          </w:tcPr>
          <w:p w14:paraId="7D9275FF" w14:textId="0F74BC0F" w:rsidR="00426F9C" w:rsidRPr="00662611" w:rsidRDefault="00040B49" w:rsidP="00426F9C">
            <w:pPr>
              <w:pStyle w:val="Default"/>
              <w:spacing w:before="40" w:after="40"/>
              <w:jc w:val="right"/>
              <w:rPr>
                <w:sz w:val="16"/>
                <w:szCs w:val="16"/>
              </w:rPr>
            </w:pPr>
            <w:r w:rsidRPr="00662611">
              <w:rPr>
                <w:sz w:val="16"/>
                <w:szCs w:val="16"/>
              </w:rPr>
              <w:t>77</w:t>
            </w:r>
          </w:p>
        </w:tc>
        <w:tc>
          <w:tcPr>
            <w:tcW w:w="454" w:type="dxa"/>
            <w:tcBorders>
              <w:top w:val="single" w:sz="4" w:space="0" w:color="auto"/>
              <w:left w:val="single" w:sz="4" w:space="0" w:color="auto"/>
              <w:bottom w:val="single" w:sz="4" w:space="0" w:color="auto"/>
              <w:right w:val="single" w:sz="4" w:space="0" w:color="auto"/>
            </w:tcBorders>
          </w:tcPr>
          <w:p w14:paraId="7D927600" w14:textId="6EEFABDC" w:rsidR="00426F9C" w:rsidRPr="00662611" w:rsidRDefault="00040B49" w:rsidP="00426F9C">
            <w:pPr>
              <w:pStyle w:val="Default"/>
              <w:spacing w:before="40" w:after="40"/>
              <w:jc w:val="right"/>
              <w:rPr>
                <w:sz w:val="16"/>
                <w:szCs w:val="16"/>
              </w:rPr>
            </w:pPr>
            <w:r w:rsidRPr="00662611">
              <w:rPr>
                <w:sz w:val="16"/>
                <w:szCs w:val="16"/>
              </w:rPr>
              <w:t>78</w:t>
            </w:r>
          </w:p>
        </w:tc>
        <w:tc>
          <w:tcPr>
            <w:tcW w:w="454" w:type="dxa"/>
            <w:tcBorders>
              <w:top w:val="single" w:sz="4" w:space="0" w:color="auto"/>
              <w:left w:val="single" w:sz="4" w:space="0" w:color="auto"/>
              <w:bottom w:val="single" w:sz="4" w:space="0" w:color="auto"/>
              <w:right w:val="single" w:sz="4" w:space="0" w:color="auto"/>
            </w:tcBorders>
          </w:tcPr>
          <w:p w14:paraId="7D927601" w14:textId="14311285" w:rsidR="00426F9C" w:rsidRPr="00662611" w:rsidRDefault="00040B49" w:rsidP="00426F9C">
            <w:pPr>
              <w:pStyle w:val="Default"/>
              <w:spacing w:before="40" w:after="40"/>
              <w:jc w:val="right"/>
              <w:rPr>
                <w:sz w:val="16"/>
                <w:szCs w:val="16"/>
              </w:rPr>
            </w:pPr>
            <w:r w:rsidRPr="00662611">
              <w:rPr>
                <w:sz w:val="16"/>
                <w:szCs w:val="16"/>
              </w:rPr>
              <w:t>133</w:t>
            </w:r>
          </w:p>
        </w:tc>
        <w:tc>
          <w:tcPr>
            <w:tcW w:w="454" w:type="dxa"/>
            <w:tcBorders>
              <w:top w:val="single" w:sz="4" w:space="0" w:color="auto"/>
              <w:left w:val="single" w:sz="4" w:space="0" w:color="auto"/>
              <w:bottom w:val="single" w:sz="4" w:space="0" w:color="auto"/>
              <w:right w:val="single" w:sz="4" w:space="0" w:color="auto"/>
            </w:tcBorders>
          </w:tcPr>
          <w:p w14:paraId="7D927602" w14:textId="199473E4" w:rsidR="00426F9C" w:rsidRPr="00662611" w:rsidRDefault="00040B49" w:rsidP="00426F9C">
            <w:pPr>
              <w:pStyle w:val="Default"/>
              <w:spacing w:before="40" w:after="40"/>
              <w:jc w:val="right"/>
              <w:rPr>
                <w:sz w:val="16"/>
                <w:szCs w:val="16"/>
              </w:rPr>
            </w:pPr>
            <w:r w:rsidRPr="00662611">
              <w:rPr>
                <w:sz w:val="16"/>
                <w:szCs w:val="16"/>
              </w:rPr>
              <w:t>133</w:t>
            </w:r>
          </w:p>
        </w:tc>
        <w:tc>
          <w:tcPr>
            <w:tcW w:w="704" w:type="dxa"/>
            <w:tcBorders>
              <w:top w:val="single" w:sz="4" w:space="0" w:color="auto"/>
              <w:left w:val="single" w:sz="4" w:space="0" w:color="auto"/>
              <w:bottom w:val="single" w:sz="4" w:space="0" w:color="auto"/>
              <w:right w:val="single" w:sz="4" w:space="0" w:color="auto"/>
            </w:tcBorders>
          </w:tcPr>
          <w:p w14:paraId="7D927603" w14:textId="3882193E" w:rsidR="00426F9C" w:rsidRPr="00662611" w:rsidRDefault="00040B49" w:rsidP="00426F9C">
            <w:pPr>
              <w:pStyle w:val="Default"/>
              <w:spacing w:before="40" w:after="40"/>
              <w:jc w:val="right"/>
              <w:rPr>
                <w:sz w:val="16"/>
                <w:szCs w:val="16"/>
              </w:rPr>
            </w:pPr>
            <w:r w:rsidRPr="00662611">
              <w:rPr>
                <w:sz w:val="16"/>
                <w:szCs w:val="16"/>
              </w:rPr>
              <w:t>733</w:t>
            </w:r>
          </w:p>
        </w:tc>
      </w:tr>
      <w:tr w:rsidR="00426F9C" w:rsidRPr="00662611" w14:paraId="7D92760A" w14:textId="77777777" w:rsidTr="002B04E7">
        <w:trPr>
          <w:trHeight w:val="225"/>
        </w:trPr>
        <w:tc>
          <w:tcPr>
            <w:tcW w:w="8306" w:type="dxa"/>
            <w:gridSpan w:val="12"/>
            <w:tcBorders>
              <w:top w:val="single" w:sz="4" w:space="0" w:color="auto"/>
              <w:left w:val="single" w:sz="4" w:space="0" w:color="auto"/>
              <w:bottom w:val="single" w:sz="4" w:space="0" w:color="auto"/>
              <w:right w:val="single" w:sz="4" w:space="0" w:color="auto"/>
            </w:tcBorders>
          </w:tcPr>
          <w:p w14:paraId="7D927605" w14:textId="77777777" w:rsidR="00426F9C" w:rsidRPr="00662611" w:rsidRDefault="00426F9C" w:rsidP="00426F9C">
            <w:pPr>
              <w:pStyle w:val="Default"/>
              <w:spacing w:before="40" w:after="40"/>
              <w:rPr>
                <w:sz w:val="16"/>
                <w:szCs w:val="16"/>
              </w:rPr>
            </w:pPr>
            <w:r w:rsidRPr="00662611">
              <w:rPr>
                <w:b/>
                <w:bCs/>
                <w:sz w:val="16"/>
                <w:szCs w:val="16"/>
              </w:rPr>
              <w:t xml:space="preserve">NOTES: </w:t>
            </w:r>
          </w:p>
          <w:p w14:paraId="7D927606" w14:textId="5C2E55D6" w:rsidR="00426F9C" w:rsidRPr="00662611" w:rsidRDefault="00426F9C" w:rsidP="00942FDB">
            <w:pPr>
              <w:pStyle w:val="Default"/>
              <w:numPr>
                <w:ilvl w:val="3"/>
                <w:numId w:val="10"/>
              </w:numPr>
              <w:spacing w:before="40" w:after="40"/>
              <w:ind w:left="357" w:hanging="357"/>
              <w:rPr>
                <w:sz w:val="16"/>
                <w:szCs w:val="16"/>
              </w:rPr>
            </w:pPr>
            <w:r w:rsidRPr="00662611">
              <w:rPr>
                <w:sz w:val="16"/>
                <w:szCs w:val="16"/>
              </w:rPr>
              <w:t xml:space="preserve">Depreciation in years 3–8 reflects the depreciation on the </w:t>
            </w:r>
            <w:r w:rsidR="00C440E5" w:rsidRPr="00662611">
              <w:rPr>
                <w:sz w:val="16"/>
                <w:szCs w:val="16"/>
              </w:rPr>
              <w:t xml:space="preserve">original </w:t>
            </w:r>
            <w:r w:rsidRPr="00662611">
              <w:rPr>
                <w:sz w:val="16"/>
                <w:szCs w:val="16"/>
              </w:rPr>
              <w:t xml:space="preserve">road. </w:t>
            </w:r>
            <w:r w:rsidR="00C440E5" w:rsidRPr="00662611">
              <w:rPr>
                <w:sz w:val="16"/>
                <w:szCs w:val="16"/>
              </w:rPr>
              <w:t>The road surface</w:t>
            </w:r>
            <w:r w:rsidRPr="00662611">
              <w:rPr>
                <w:sz w:val="16"/>
                <w:szCs w:val="16"/>
              </w:rPr>
              <w:t xml:space="preserve"> is fully depreciated over that period. </w:t>
            </w:r>
            <w:r w:rsidR="00040B49" w:rsidRPr="00662611">
              <w:rPr>
                <w:sz w:val="16"/>
                <w:szCs w:val="16"/>
              </w:rPr>
              <w:t>The depreciation calculations are set out in paragraph</w:t>
            </w:r>
            <w:r w:rsidR="00970F4C">
              <w:rPr>
                <w:sz w:val="16"/>
                <w:szCs w:val="16"/>
              </w:rPr>
              <w:t xml:space="preserve"> </w:t>
            </w:r>
            <w:r w:rsidR="00970F4C">
              <w:rPr>
                <w:sz w:val="16"/>
                <w:szCs w:val="16"/>
              </w:rPr>
              <w:fldChar w:fldCharType="begin"/>
            </w:r>
            <w:r w:rsidR="00970F4C">
              <w:rPr>
                <w:sz w:val="16"/>
                <w:szCs w:val="16"/>
              </w:rPr>
              <w:instrText xml:space="preserve"> REF _Ref486194527 \r \h </w:instrText>
            </w:r>
            <w:r w:rsidR="002B04E7">
              <w:rPr>
                <w:sz w:val="16"/>
                <w:szCs w:val="16"/>
              </w:rPr>
              <w:instrText xml:space="preserve"> \* MERGEFORMAT </w:instrText>
            </w:r>
            <w:r w:rsidR="00970F4C">
              <w:rPr>
                <w:sz w:val="16"/>
                <w:szCs w:val="16"/>
              </w:rPr>
            </w:r>
            <w:r w:rsidR="00970F4C">
              <w:rPr>
                <w:sz w:val="16"/>
                <w:szCs w:val="16"/>
              </w:rPr>
              <w:fldChar w:fldCharType="separate"/>
            </w:r>
            <w:r w:rsidR="00C43128">
              <w:rPr>
                <w:sz w:val="16"/>
                <w:szCs w:val="16"/>
              </w:rPr>
              <w:t>IE23</w:t>
            </w:r>
            <w:r w:rsidR="00970F4C">
              <w:rPr>
                <w:sz w:val="16"/>
                <w:szCs w:val="16"/>
              </w:rPr>
              <w:fldChar w:fldCharType="end"/>
            </w:r>
            <w:r w:rsidR="00C440E5" w:rsidRPr="00662611">
              <w:rPr>
                <w:sz w:val="16"/>
                <w:szCs w:val="16"/>
              </w:rPr>
              <w:t>.</w:t>
            </w:r>
          </w:p>
          <w:p w14:paraId="7D927607" w14:textId="789FE23B" w:rsidR="00426F9C" w:rsidRPr="00662611" w:rsidRDefault="00426F9C" w:rsidP="00942FDB">
            <w:pPr>
              <w:pStyle w:val="Default"/>
              <w:numPr>
                <w:ilvl w:val="3"/>
                <w:numId w:val="10"/>
              </w:numPr>
              <w:spacing w:before="40" w:after="40"/>
              <w:ind w:left="357" w:hanging="357"/>
              <w:rPr>
                <w:sz w:val="16"/>
                <w:szCs w:val="16"/>
              </w:rPr>
            </w:pPr>
            <w:r w:rsidRPr="00662611">
              <w:rPr>
                <w:sz w:val="16"/>
                <w:szCs w:val="16"/>
              </w:rPr>
              <w:t>Depreciation in years 9–10 reflects the depreciation on the new service concession asset component (surface) recognised in year 8</w:t>
            </w:r>
            <w:r w:rsidR="00040B49" w:rsidRPr="00662611">
              <w:rPr>
                <w:sz w:val="16"/>
                <w:szCs w:val="16"/>
              </w:rPr>
              <w:t xml:space="preserve">, as set out in paragraph </w:t>
            </w:r>
            <w:r w:rsidR="007448D9">
              <w:rPr>
                <w:sz w:val="16"/>
                <w:szCs w:val="16"/>
              </w:rPr>
              <w:fldChar w:fldCharType="begin"/>
            </w:r>
            <w:r w:rsidR="007448D9">
              <w:rPr>
                <w:sz w:val="16"/>
                <w:szCs w:val="16"/>
              </w:rPr>
              <w:instrText xml:space="preserve"> REF _Ref486146630 \r \h </w:instrText>
            </w:r>
            <w:r w:rsidR="002B04E7">
              <w:rPr>
                <w:sz w:val="16"/>
                <w:szCs w:val="16"/>
              </w:rPr>
              <w:instrText xml:space="preserve"> \* MERGEFORMAT </w:instrText>
            </w:r>
            <w:r w:rsidR="007448D9">
              <w:rPr>
                <w:sz w:val="16"/>
                <w:szCs w:val="16"/>
              </w:rPr>
            </w:r>
            <w:r w:rsidR="007448D9">
              <w:rPr>
                <w:sz w:val="16"/>
                <w:szCs w:val="16"/>
              </w:rPr>
              <w:fldChar w:fldCharType="separate"/>
            </w:r>
            <w:r w:rsidR="00C43128">
              <w:rPr>
                <w:sz w:val="16"/>
                <w:szCs w:val="16"/>
              </w:rPr>
              <w:t>IE26</w:t>
            </w:r>
            <w:r w:rsidR="007448D9">
              <w:rPr>
                <w:sz w:val="16"/>
                <w:szCs w:val="16"/>
              </w:rPr>
              <w:fldChar w:fldCharType="end"/>
            </w:r>
            <w:r w:rsidR="00040B49" w:rsidRPr="00662611">
              <w:rPr>
                <w:sz w:val="16"/>
                <w:szCs w:val="16"/>
              </w:rPr>
              <w:t>.</w:t>
            </w:r>
          </w:p>
          <w:p w14:paraId="7D927608" w14:textId="297DDADD" w:rsidR="00426F9C" w:rsidRPr="00662611" w:rsidRDefault="00426F9C" w:rsidP="00942FDB">
            <w:pPr>
              <w:pStyle w:val="Default"/>
              <w:numPr>
                <w:ilvl w:val="3"/>
                <w:numId w:val="10"/>
              </w:numPr>
              <w:spacing w:before="40" w:after="40"/>
              <w:ind w:left="357" w:hanging="357"/>
              <w:rPr>
                <w:sz w:val="16"/>
                <w:szCs w:val="16"/>
              </w:rPr>
            </w:pPr>
            <w:r w:rsidRPr="00662611">
              <w:rPr>
                <w:sz w:val="16"/>
                <w:szCs w:val="16"/>
              </w:rPr>
              <w:t>The revenue (reduction of the liability) includes revenue from the additional liability (Table</w:t>
            </w:r>
            <w:r w:rsidR="00040B49" w:rsidRPr="00662611">
              <w:rPr>
                <w:sz w:val="16"/>
                <w:szCs w:val="16"/>
              </w:rPr>
              <w:t xml:space="preserve"> 7.3</w:t>
            </w:r>
            <w:r w:rsidRPr="00662611">
              <w:rPr>
                <w:sz w:val="16"/>
                <w:szCs w:val="16"/>
              </w:rPr>
              <w:t>).</w:t>
            </w:r>
          </w:p>
          <w:p w14:paraId="7D927609" w14:textId="77777777" w:rsidR="00426F9C" w:rsidRPr="00662611" w:rsidRDefault="00426F9C" w:rsidP="00942FDB">
            <w:pPr>
              <w:pStyle w:val="Default"/>
              <w:numPr>
                <w:ilvl w:val="3"/>
                <w:numId w:val="10"/>
              </w:numPr>
              <w:spacing w:before="40" w:after="40"/>
              <w:ind w:left="357" w:hanging="357"/>
              <w:rPr>
                <w:sz w:val="16"/>
                <w:szCs w:val="16"/>
              </w:rPr>
            </w:pPr>
            <w:r w:rsidRPr="00662611">
              <w:rPr>
                <w:sz w:val="16"/>
                <w:szCs w:val="16"/>
              </w:rPr>
              <w:t xml:space="preserve">All revenue is recognised evenly over the </w:t>
            </w:r>
            <w:r w:rsidR="00040B49" w:rsidRPr="00662611">
              <w:rPr>
                <w:sz w:val="16"/>
                <w:szCs w:val="16"/>
              </w:rPr>
              <w:t>remaining</w:t>
            </w:r>
            <w:r w:rsidRPr="00662611">
              <w:rPr>
                <w:sz w:val="16"/>
                <w:szCs w:val="16"/>
              </w:rPr>
              <w:t xml:space="preserve"> term of the arrangement</w:t>
            </w:r>
            <w:r w:rsidR="00040B49" w:rsidRPr="00662611">
              <w:rPr>
                <w:sz w:val="16"/>
                <w:szCs w:val="16"/>
              </w:rPr>
              <w:t>, once the liability has been recognised and the service concession asset is operating</w:t>
            </w:r>
            <w:r w:rsidRPr="00662611">
              <w:rPr>
                <w:sz w:val="16"/>
                <w:szCs w:val="16"/>
              </w:rPr>
              <w:t>.</w:t>
            </w:r>
          </w:p>
        </w:tc>
      </w:tr>
    </w:tbl>
    <w:p w14:paraId="7D92760B" w14:textId="77777777" w:rsidR="00C96B8E" w:rsidRPr="00662611" w:rsidRDefault="00C96B8E" w:rsidP="0093676B">
      <w:pPr>
        <w:pStyle w:val="Default"/>
        <w:spacing w:line="120" w:lineRule="exact"/>
        <w:ind w:left="782"/>
        <w:rPr>
          <w:b/>
          <w:bCs/>
          <w:sz w:val="20"/>
          <w:szCs w:val="20"/>
        </w:rPr>
      </w:pPr>
    </w:p>
    <w:p w14:paraId="099BD2E2" w14:textId="77777777" w:rsidR="00B226CB" w:rsidRDefault="00B226CB">
      <w:pPr>
        <w:rPr>
          <w:b/>
          <w:bCs/>
          <w:color w:val="000000"/>
          <w:sz w:val="20"/>
          <w:szCs w:val="20"/>
          <w:lang w:eastAsia="en-AU"/>
        </w:rPr>
      </w:pPr>
      <w:r>
        <w:rPr>
          <w:b/>
          <w:bCs/>
          <w:sz w:val="20"/>
          <w:szCs w:val="20"/>
        </w:rPr>
        <w:br w:type="page"/>
      </w:r>
    </w:p>
    <w:p w14:paraId="7D92760C" w14:textId="2E68E812" w:rsidR="00426F9C" w:rsidRPr="00662611" w:rsidRDefault="00426F9C" w:rsidP="00FB21C0">
      <w:pPr>
        <w:pStyle w:val="Default"/>
        <w:spacing w:before="240" w:after="200" w:line="200" w:lineRule="exact"/>
        <w:ind w:left="782"/>
        <w:outlineLvl w:val="3"/>
        <w:rPr>
          <w:b/>
          <w:bCs/>
          <w:sz w:val="20"/>
          <w:szCs w:val="20"/>
        </w:rPr>
      </w:pPr>
      <w:r w:rsidRPr="00662611">
        <w:rPr>
          <w:b/>
          <w:bCs/>
          <w:sz w:val="20"/>
          <w:szCs w:val="20"/>
        </w:rPr>
        <w:lastRenderedPageBreak/>
        <w:t xml:space="preserve">Table </w:t>
      </w:r>
      <w:proofErr w:type="gramStart"/>
      <w:r w:rsidR="00040B49" w:rsidRPr="00662611">
        <w:rPr>
          <w:b/>
          <w:bCs/>
          <w:sz w:val="20"/>
          <w:szCs w:val="20"/>
        </w:rPr>
        <w:t>7</w:t>
      </w:r>
      <w:r w:rsidRPr="00662611">
        <w:rPr>
          <w:b/>
          <w:bCs/>
          <w:sz w:val="20"/>
          <w:szCs w:val="20"/>
        </w:rPr>
        <w:t xml:space="preserve">.2 </w:t>
      </w:r>
      <w:r w:rsidR="00DC7EF3" w:rsidRPr="00662611">
        <w:rPr>
          <w:b/>
          <w:bCs/>
          <w:sz w:val="20"/>
          <w:szCs w:val="20"/>
        </w:rPr>
        <w:t xml:space="preserve"> </w:t>
      </w:r>
      <w:r w:rsidRPr="00662611">
        <w:rPr>
          <w:b/>
          <w:bCs/>
          <w:sz w:val="20"/>
          <w:szCs w:val="20"/>
        </w:rPr>
        <w:t>Statement</w:t>
      </w:r>
      <w:proofErr w:type="gramEnd"/>
      <w:r w:rsidRPr="00662611">
        <w:rPr>
          <w:b/>
          <w:bCs/>
          <w:sz w:val="20"/>
          <w:szCs w:val="20"/>
        </w:rPr>
        <w:t xml:space="preserve"> of </w:t>
      </w:r>
      <w:r w:rsidR="00DE6BF2" w:rsidRPr="00662611">
        <w:rPr>
          <w:b/>
          <w:bCs/>
          <w:sz w:val="20"/>
          <w:szCs w:val="20"/>
        </w:rPr>
        <w:t>financial position (currency u</w:t>
      </w:r>
      <w:r w:rsidRPr="00662611">
        <w:rPr>
          <w:b/>
          <w:bCs/>
          <w:sz w:val="20"/>
          <w:szCs w:val="20"/>
        </w:rPr>
        <w:t>nits)</w:t>
      </w:r>
    </w:p>
    <w:tbl>
      <w:tblPr>
        <w:tblW w:w="8296"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Table 7.2 Statement of Financial Position (Currency Units)"/>
        <w:tblDescription w:val="Table 7.2 depicts the impact of the changes in the value of the service concession asset and its associated liability on the grantor's statement of financial position in years 1–10. As no payments were made to the operator in Example 7, no cash flows were recorded. "/>
      </w:tblPr>
      <w:tblGrid>
        <w:gridCol w:w="3052"/>
        <w:gridCol w:w="425"/>
        <w:gridCol w:w="667"/>
        <w:gridCol w:w="519"/>
        <w:gridCol w:w="519"/>
        <w:gridCol w:w="519"/>
        <w:gridCol w:w="519"/>
        <w:gridCol w:w="519"/>
        <w:gridCol w:w="519"/>
        <w:gridCol w:w="519"/>
        <w:gridCol w:w="519"/>
      </w:tblGrid>
      <w:tr w:rsidR="00426F9C" w:rsidRPr="00662611" w14:paraId="7D927618" w14:textId="77777777" w:rsidTr="00A035FF">
        <w:trPr>
          <w:trHeight w:val="107"/>
        </w:trPr>
        <w:tc>
          <w:tcPr>
            <w:tcW w:w="3052" w:type="dxa"/>
            <w:vAlign w:val="center"/>
          </w:tcPr>
          <w:p w14:paraId="7D92760D" w14:textId="77777777" w:rsidR="00426F9C" w:rsidRPr="00662611" w:rsidRDefault="00426F9C" w:rsidP="00426F9C">
            <w:pPr>
              <w:pStyle w:val="Default"/>
              <w:spacing w:before="40" w:after="40"/>
              <w:rPr>
                <w:sz w:val="16"/>
                <w:szCs w:val="16"/>
              </w:rPr>
            </w:pPr>
            <w:r w:rsidRPr="00662611">
              <w:rPr>
                <w:b/>
                <w:bCs/>
                <w:sz w:val="16"/>
                <w:szCs w:val="16"/>
              </w:rPr>
              <w:t xml:space="preserve">Year </w:t>
            </w:r>
          </w:p>
        </w:tc>
        <w:tc>
          <w:tcPr>
            <w:tcW w:w="425" w:type="dxa"/>
            <w:vAlign w:val="center"/>
          </w:tcPr>
          <w:p w14:paraId="7D92760E" w14:textId="77777777" w:rsidR="00426F9C" w:rsidRPr="00662611" w:rsidRDefault="00426F9C" w:rsidP="00426F9C">
            <w:pPr>
              <w:pStyle w:val="Default"/>
              <w:spacing w:before="40" w:after="40"/>
              <w:jc w:val="right"/>
              <w:rPr>
                <w:sz w:val="16"/>
                <w:szCs w:val="16"/>
              </w:rPr>
            </w:pPr>
            <w:r w:rsidRPr="00662611">
              <w:rPr>
                <w:b/>
                <w:bCs/>
                <w:sz w:val="16"/>
                <w:szCs w:val="16"/>
              </w:rPr>
              <w:t xml:space="preserve">1 </w:t>
            </w:r>
          </w:p>
        </w:tc>
        <w:tc>
          <w:tcPr>
            <w:tcW w:w="667" w:type="dxa"/>
            <w:vAlign w:val="center"/>
          </w:tcPr>
          <w:p w14:paraId="7D92760F" w14:textId="77777777" w:rsidR="00426F9C" w:rsidRPr="00662611" w:rsidRDefault="00426F9C" w:rsidP="00426F9C">
            <w:pPr>
              <w:pStyle w:val="Default"/>
              <w:spacing w:before="40" w:after="40"/>
              <w:jc w:val="right"/>
              <w:rPr>
                <w:sz w:val="16"/>
                <w:szCs w:val="16"/>
              </w:rPr>
            </w:pPr>
            <w:r w:rsidRPr="00662611">
              <w:rPr>
                <w:b/>
                <w:bCs/>
                <w:sz w:val="16"/>
                <w:szCs w:val="16"/>
              </w:rPr>
              <w:t xml:space="preserve">2 </w:t>
            </w:r>
          </w:p>
        </w:tc>
        <w:tc>
          <w:tcPr>
            <w:tcW w:w="519" w:type="dxa"/>
            <w:vAlign w:val="center"/>
          </w:tcPr>
          <w:p w14:paraId="7D927610" w14:textId="77777777" w:rsidR="00426F9C" w:rsidRPr="00662611" w:rsidRDefault="00426F9C" w:rsidP="00426F9C">
            <w:pPr>
              <w:pStyle w:val="Default"/>
              <w:spacing w:before="40" w:after="40"/>
              <w:jc w:val="right"/>
              <w:rPr>
                <w:sz w:val="16"/>
                <w:szCs w:val="16"/>
              </w:rPr>
            </w:pPr>
            <w:r w:rsidRPr="00662611">
              <w:rPr>
                <w:b/>
                <w:bCs/>
                <w:sz w:val="16"/>
                <w:szCs w:val="16"/>
              </w:rPr>
              <w:t xml:space="preserve">3 </w:t>
            </w:r>
          </w:p>
        </w:tc>
        <w:tc>
          <w:tcPr>
            <w:tcW w:w="519" w:type="dxa"/>
            <w:vAlign w:val="center"/>
          </w:tcPr>
          <w:p w14:paraId="7D927611" w14:textId="77777777" w:rsidR="00426F9C" w:rsidRPr="00662611" w:rsidRDefault="00426F9C" w:rsidP="00426F9C">
            <w:pPr>
              <w:pStyle w:val="Default"/>
              <w:spacing w:before="40" w:after="40"/>
              <w:jc w:val="right"/>
              <w:rPr>
                <w:sz w:val="16"/>
                <w:szCs w:val="16"/>
              </w:rPr>
            </w:pPr>
            <w:r w:rsidRPr="00662611">
              <w:rPr>
                <w:b/>
                <w:bCs/>
                <w:sz w:val="16"/>
                <w:szCs w:val="16"/>
              </w:rPr>
              <w:t xml:space="preserve">4 </w:t>
            </w:r>
          </w:p>
        </w:tc>
        <w:tc>
          <w:tcPr>
            <w:tcW w:w="519" w:type="dxa"/>
            <w:vAlign w:val="center"/>
          </w:tcPr>
          <w:p w14:paraId="7D927612" w14:textId="77777777" w:rsidR="00426F9C" w:rsidRPr="00662611" w:rsidRDefault="00426F9C" w:rsidP="00426F9C">
            <w:pPr>
              <w:pStyle w:val="Default"/>
              <w:spacing w:before="40" w:after="40"/>
              <w:jc w:val="right"/>
              <w:rPr>
                <w:sz w:val="16"/>
                <w:szCs w:val="16"/>
              </w:rPr>
            </w:pPr>
            <w:r w:rsidRPr="00662611">
              <w:rPr>
                <w:b/>
                <w:bCs/>
                <w:sz w:val="16"/>
                <w:szCs w:val="16"/>
              </w:rPr>
              <w:t xml:space="preserve">5 </w:t>
            </w:r>
          </w:p>
        </w:tc>
        <w:tc>
          <w:tcPr>
            <w:tcW w:w="519" w:type="dxa"/>
            <w:vAlign w:val="center"/>
          </w:tcPr>
          <w:p w14:paraId="7D927613" w14:textId="77777777" w:rsidR="00426F9C" w:rsidRPr="00662611" w:rsidRDefault="00426F9C" w:rsidP="00426F9C">
            <w:pPr>
              <w:pStyle w:val="Default"/>
              <w:spacing w:before="40" w:after="40"/>
              <w:jc w:val="right"/>
              <w:rPr>
                <w:sz w:val="16"/>
                <w:szCs w:val="16"/>
              </w:rPr>
            </w:pPr>
            <w:r w:rsidRPr="00662611">
              <w:rPr>
                <w:b/>
                <w:bCs/>
                <w:sz w:val="16"/>
                <w:szCs w:val="16"/>
              </w:rPr>
              <w:t xml:space="preserve">6 </w:t>
            </w:r>
          </w:p>
        </w:tc>
        <w:tc>
          <w:tcPr>
            <w:tcW w:w="519" w:type="dxa"/>
            <w:vAlign w:val="center"/>
          </w:tcPr>
          <w:p w14:paraId="7D927614" w14:textId="77777777" w:rsidR="00426F9C" w:rsidRPr="00662611" w:rsidRDefault="00426F9C" w:rsidP="00426F9C">
            <w:pPr>
              <w:pStyle w:val="Default"/>
              <w:spacing w:before="40" w:after="40"/>
              <w:jc w:val="right"/>
              <w:rPr>
                <w:sz w:val="16"/>
                <w:szCs w:val="16"/>
              </w:rPr>
            </w:pPr>
            <w:r w:rsidRPr="00662611">
              <w:rPr>
                <w:b/>
                <w:bCs/>
                <w:sz w:val="16"/>
                <w:szCs w:val="16"/>
              </w:rPr>
              <w:t xml:space="preserve">7 </w:t>
            </w:r>
          </w:p>
        </w:tc>
        <w:tc>
          <w:tcPr>
            <w:tcW w:w="519" w:type="dxa"/>
            <w:vAlign w:val="center"/>
          </w:tcPr>
          <w:p w14:paraId="7D927615" w14:textId="77777777" w:rsidR="00426F9C" w:rsidRPr="00662611" w:rsidRDefault="00426F9C" w:rsidP="00426F9C">
            <w:pPr>
              <w:pStyle w:val="Default"/>
              <w:spacing w:before="40" w:after="40"/>
              <w:jc w:val="right"/>
              <w:rPr>
                <w:sz w:val="16"/>
                <w:szCs w:val="16"/>
              </w:rPr>
            </w:pPr>
            <w:r w:rsidRPr="00662611">
              <w:rPr>
                <w:b/>
                <w:bCs/>
                <w:sz w:val="16"/>
                <w:szCs w:val="16"/>
              </w:rPr>
              <w:t xml:space="preserve">8 </w:t>
            </w:r>
          </w:p>
        </w:tc>
        <w:tc>
          <w:tcPr>
            <w:tcW w:w="519" w:type="dxa"/>
            <w:vAlign w:val="center"/>
          </w:tcPr>
          <w:p w14:paraId="7D927616" w14:textId="77777777" w:rsidR="00426F9C" w:rsidRPr="00662611" w:rsidRDefault="00426F9C" w:rsidP="00426F9C">
            <w:pPr>
              <w:pStyle w:val="Default"/>
              <w:spacing w:before="40" w:after="40"/>
              <w:jc w:val="right"/>
              <w:rPr>
                <w:sz w:val="16"/>
                <w:szCs w:val="16"/>
              </w:rPr>
            </w:pPr>
            <w:r w:rsidRPr="00662611">
              <w:rPr>
                <w:b/>
                <w:bCs/>
                <w:sz w:val="16"/>
                <w:szCs w:val="16"/>
              </w:rPr>
              <w:t xml:space="preserve">9 </w:t>
            </w:r>
          </w:p>
        </w:tc>
        <w:tc>
          <w:tcPr>
            <w:tcW w:w="519" w:type="dxa"/>
            <w:vAlign w:val="center"/>
          </w:tcPr>
          <w:p w14:paraId="7D927617" w14:textId="77777777" w:rsidR="00426F9C" w:rsidRPr="00662611" w:rsidRDefault="00426F9C" w:rsidP="00426F9C">
            <w:pPr>
              <w:pStyle w:val="Default"/>
              <w:spacing w:before="40" w:after="40"/>
              <w:jc w:val="right"/>
              <w:rPr>
                <w:sz w:val="16"/>
                <w:szCs w:val="16"/>
              </w:rPr>
            </w:pPr>
            <w:r w:rsidRPr="00662611">
              <w:rPr>
                <w:b/>
                <w:bCs/>
                <w:sz w:val="16"/>
                <w:szCs w:val="16"/>
              </w:rPr>
              <w:t xml:space="preserve">10 </w:t>
            </w:r>
          </w:p>
        </w:tc>
      </w:tr>
      <w:tr w:rsidR="00426F9C" w:rsidRPr="00662611" w14:paraId="7D927624" w14:textId="77777777" w:rsidTr="00A035FF">
        <w:trPr>
          <w:trHeight w:val="225"/>
        </w:trPr>
        <w:tc>
          <w:tcPr>
            <w:tcW w:w="3052" w:type="dxa"/>
            <w:vAlign w:val="center"/>
          </w:tcPr>
          <w:p w14:paraId="7D927619" w14:textId="77777777" w:rsidR="00426F9C" w:rsidRPr="00662611" w:rsidRDefault="00426F9C" w:rsidP="00426F9C">
            <w:pPr>
              <w:pStyle w:val="Default"/>
              <w:spacing w:before="40" w:after="40"/>
              <w:rPr>
                <w:sz w:val="16"/>
                <w:szCs w:val="16"/>
              </w:rPr>
            </w:pPr>
            <w:r w:rsidRPr="00662611">
              <w:rPr>
                <w:sz w:val="16"/>
                <w:szCs w:val="16"/>
              </w:rPr>
              <w:t>Service concession asset</w:t>
            </w:r>
            <w:r w:rsidR="0038524A" w:rsidRPr="00662611">
              <w:rPr>
                <w:sz w:val="16"/>
                <w:szCs w:val="16"/>
              </w:rPr>
              <w:br/>
            </w:r>
            <w:r w:rsidRPr="00662611">
              <w:rPr>
                <w:sz w:val="16"/>
                <w:szCs w:val="16"/>
              </w:rPr>
              <w:t xml:space="preserve"> – base layers </w:t>
            </w:r>
            <w:r w:rsidR="0061067E" w:rsidRPr="00662611">
              <w:rPr>
                <w:sz w:val="16"/>
                <w:szCs w:val="16"/>
              </w:rPr>
              <w:t>*</w:t>
            </w:r>
          </w:p>
        </w:tc>
        <w:tc>
          <w:tcPr>
            <w:tcW w:w="425" w:type="dxa"/>
            <w:vAlign w:val="center"/>
          </w:tcPr>
          <w:p w14:paraId="7D92761A" w14:textId="222BB5D7" w:rsidR="00426F9C" w:rsidRPr="00662611" w:rsidRDefault="00426F9C" w:rsidP="00426F9C">
            <w:pPr>
              <w:pStyle w:val="Default"/>
              <w:spacing w:before="40" w:after="40"/>
              <w:jc w:val="right"/>
              <w:rPr>
                <w:sz w:val="16"/>
                <w:szCs w:val="16"/>
              </w:rPr>
            </w:pPr>
            <w:r w:rsidRPr="00662611">
              <w:rPr>
                <w:sz w:val="16"/>
                <w:szCs w:val="16"/>
              </w:rPr>
              <w:t>525</w:t>
            </w:r>
          </w:p>
        </w:tc>
        <w:tc>
          <w:tcPr>
            <w:tcW w:w="667" w:type="dxa"/>
            <w:vAlign w:val="center"/>
          </w:tcPr>
          <w:p w14:paraId="7D92761B" w14:textId="31499B6F" w:rsidR="00426F9C" w:rsidRPr="00662611" w:rsidRDefault="00040B49" w:rsidP="00426F9C">
            <w:pPr>
              <w:pStyle w:val="Default"/>
              <w:spacing w:before="40" w:after="40"/>
              <w:jc w:val="right"/>
              <w:rPr>
                <w:sz w:val="16"/>
                <w:szCs w:val="16"/>
              </w:rPr>
            </w:pPr>
            <w:r w:rsidRPr="00662611">
              <w:rPr>
                <w:sz w:val="16"/>
                <w:szCs w:val="16"/>
              </w:rPr>
              <w:t>972</w:t>
            </w:r>
          </w:p>
        </w:tc>
        <w:tc>
          <w:tcPr>
            <w:tcW w:w="519" w:type="dxa"/>
            <w:vAlign w:val="center"/>
          </w:tcPr>
          <w:p w14:paraId="7D92761C" w14:textId="47320949" w:rsidR="00426F9C" w:rsidRPr="00662611" w:rsidRDefault="00040B49" w:rsidP="00426F9C">
            <w:pPr>
              <w:pStyle w:val="Default"/>
              <w:spacing w:before="40" w:after="40"/>
              <w:jc w:val="right"/>
              <w:rPr>
                <w:sz w:val="16"/>
                <w:szCs w:val="16"/>
              </w:rPr>
            </w:pPr>
            <w:r w:rsidRPr="00662611">
              <w:rPr>
                <w:sz w:val="16"/>
                <w:szCs w:val="16"/>
              </w:rPr>
              <w:t>933</w:t>
            </w:r>
          </w:p>
        </w:tc>
        <w:tc>
          <w:tcPr>
            <w:tcW w:w="519" w:type="dxa"/>
            <w:vAlign w:val="center"/>
          </w:tcPr>
          <w:p w14:paraId="7D92761D" w14:textId="20B40F54" w:rsidR="00426F9C" w:rsidRPr="00662611" w:rsidRDefault="00040B49" w:rsidP="00426F9C">
            <w:pPr>
              <w:pStyle w:val="Default"/>
              <w:spacing w:before="40" w:after="40"/>
              <w:jc w:val="right"/>
              <w:rPr>
                <w:sz w:val="16"/>
                <w:szCs w:val="16"/>
              </w:rPr>
            </w:pPr>
            <w:r w:rsidRPr="00662611">
              <w:rPr>
                <w:sz w:val="16"/>
                <w:szCs w:val="16"/>
              </w:rPr>
              <w:t>894</w:t>
            </w:r>
          </w:p>
        </w:tc>
        <w:tc>
          <w:tcPr>
            <w:tcW w:w="519" w:type="dxa"/>
            <w:vAlign w:val="center"/>
          </w:tcPr>
          <w:p w14:paraId="7D92761E" w14:textId="01ECDA0D" w:rsidR="00426F9C" w:rsidRPr="00662611" w:rsidRDefault="00040B49" w:rsidP="00426F9C">
            <w:pPr>
              <w:pStyle w:val="Default"/>
              <w:spacing w:before="40" w:after="40"/>
              <w:jc w:val="right"/>
              <w:rPr>
                <w:sz w:val="16"/>
                <w:szCs w:val="16"/>
              </w:rPr>
            </w:pPr>
            <w:r w:rsidRPr="00662611">
              <w:rPr>
                <w:sz w:val="16"/>
                <w:szCs w:val="16"/>
              </w:rPr>
              <w:t>855</w:t>
            </w:r>
          </w:p>
        </w:tc>
        <w:tc>
          <w:tcPr>
            <w:tcW w:w="519" w:type="dxa"/>
            <w:vAlign w:val="center"/>
          </w:tcPr>
          <w:p w14:paraId="7D92761F" w14:textId="15F67F57" w:rsidR="00426F9C" w:rsidRPr="00662611" w:rsidRDefault="00040B49" w:rsidP="00426F9C">
            <w:pPr>
              <w:pStyle w:val="Default"/>
              <w:spacing w:before="40" w:after="40"/>
              <w:jc w:val="right"/>
              <w:rPr>
                <w:sz w:val="16"/>
                <w:szCs w:val="16"/>
              </w:rPr>
            </w:pPr>
            <w:r w:rsidRPr="00662611">
              <w:rPr>
                <w:sz w:val="16"/>
                <w:szCs w:val="16"/>
              </w:rPr>
              <w:t>816</w:t>
            </w:r>
          </w:p>
        </w:tc>
        <w:tc>
          <w:tcPr>
            <w:tcW w:w="519" w:type="dxa"/>
            <w:vAlign w:val="center"/>
          </w:tcPr>
          <w:p w14:paraId="7D927620" w14:textId="3EB3E5ED" w:rsidR="00426F9C" w:rsidRPr="00662611" w:rsidRDefault="006C1AFD" w:rsidP="006C1AFD">
            <w:pPr>
              <w:pStyle w:val="Default"/>
              <w:spacing w:before="40" w:after="40"/>
              <w:jc w:val="right"/>
              <w:rPr>
                <w:sz w:val="16"/>
                <w:szCs w:val="16"/>
              </w:rPr>
            </w:pPr>
            <w:r w:rsidRPr="00662611">
              <w:rPr>
                <w:sz w:val="16"/>
                <w:szCs w:val="16"/>
              </w:rPr>
              <w:t>777</w:t>
            </w:r>
          </w:p>
        </w:tc>
        <w:tc>
          <w:tcPr>
            <w:tcW w:w="519" w:type="dxa"/>
            <w:vAlign w:val="center"/>
          </w:tcPr>
          <w:p w14:paraId="7D927621" w14:textId="168887BF" w:rsidR="00426F9C" w:rsidRPr="00662611" w:rsidRDefault="006C1AFD" w:rsidP="00426F9C">
            <w:pPr>
              <w:pStyle w:val="Default"/>
              <w:spacing w:before="40" w:after="40"/>
              <w:jc w:val="right"/>
              <w:rPr>
                <w:sz w:val="16"/>
                <w:szCs w:val="16"/>
              </w:rPr>
            </w:pPr>
            <w:r w:rsidRPr="00662611">
              <w:rPr>
                <w:sz w:val="16"/>
                <w:szCs w:val="16"/>
              </w:rPr>
              <w:t>738</w:t>
            </w:r>
          </w:p>
        </w:tc>
        <w:tc>
          <w:tcPr>
            <w:tcW w:w="519" w:type="dxa"/>
            <w:vAlign w:val="center"/>
          </w:tcPr>
          <w:p w14:paraId="7D927622" w14:textId="533C41CF" w:rsidR="00426F9C" w:rsidRPr="00662611" w:rsidRDefault="006C1AFD" w:rsidP="00426F9C">
            <w:pPr>
              <w:pStyle w:val="Default"/>
              <w:spacing w:before="40" w:after="40"/>
              <w:jc w:val="right"/>
              <w:rPr>
                <w:sz w:val="16"/>
                <w:szCs w:val="16"/>
              </w:rPr>
            </w:pPr>
            <w:r w:rsidRPr="00662611">
              <w:rPr>
                <w:sz w:val="16"/>
                <w:szCs w:val="16"/>
              </w:rPr>
              <w:t>699</w:t>
            </w:r>
          </w:p>
        </w:tc>
        <w:tc>
          <w:tcPr>
            <w:tcW w:w="519" w:type="dxa"/>
            <w:vAlign w:val="center"/>
          </w:tcPr>
          <w:p w14:paraId="7D927623" w14:textId="137F4115" w:rsidR="00426F9C" w:rsidRPr="00662611" w:rsidRDefault="00040B49" w:rsidP="00426F9C">
            <w:pPr>
              <w:pStyle w:val="Default"/>
              <w:spacing w:before="40" w:after="40"/>
              <w:jc w:val="right"/>
              <w:rPr>
                <w:sz w:val="16"/>
                <w:szCs w:val="16"/>
              </w:rPr>
            </w:pPr>
            <w:r w:rsidRPr="00662611">
              <w:rPr>
                <w:sz w:val="16"/>
                <w:szCs w:val="16"/>
              </w:rPr>
              <w:t>660</w:t>
            </w:r>
          </w:p>
        </w:tc>
      </w:tr>
      <w:tr w:rsidR="00426F9C" w:rsidRPr="00662611" w14:paraId="7D927630" w14:textId="77777777" w:rsidTr="00A035FF">
        <w:trPr>
          <w:trHeight w:val="345"/>
        </w:trPr>
        <w:tc>
          <w:tcPr>
            <w:tcW w:w="3052" w:type="dxa"/>
            <w:vAlign w:val="center"/>
          </w:tcPr>
          <w:p w14:paraId="7D927625" w14:textId="77777777" w:rsidR="00426F9C" w:rsidRPr="00662611" w:rsidRDefault="00426F9C" w:rsidP="00426F9C">
            <w:pPr>
              <w:pStyle w:val="Default"/>
              <w:spacing w:before="40" w:after="40"/>
              <w:rPr>
                <w:sz w:val="16"/>
                <w:szCs w:val="16"/>
              </w:rPr>
            </w:pPr>
            <w:r w:rsidRPr="00662611">
              <w:rPr>
                <w:sz w:val="16"/>
                <w:szCs w:val="16"/>
              </w:rPr>
              <w:t>Service concession asset</w:t>
            </w:r>
            <w:r w:rsidR="0038524A" w:rsidRPr="00662611">
              <w:rPr>
                <w:sz w:val="16"/>
                <w:szCs w:val="16"/>
              </w:rPr>
              <w:br/>
            </w:r>
            <w:r w:rsidRPr="00662611">
              <w:rPr>
                <w:sz w:val="16"/>
                <w:szCs w:val="16"/>
              </w:rPr>
              <w:t xml:space="preserve"> – original surface layer</w:t>
            </w:r>
            <w:r w:rsidR="0061067E" w:rsidRPr="00662611">
              <w:rPr>
                <w:sz w:val="16"/>
                <w:szCs w:val="16"/>
              </w:rPr>
              <w:t>s</w:t>
            </w:r>
            <w:r w:rsidRPr="00662611">
              <w:rPr>
                <w:sz w:val="16"/>
                <w:szCs w:val="16"/>
              </w:rPr>
              <w:t xml:space="preserve"> </w:t>
            </w:r>
            <w:r w:rsidR="0061067E" w:rsidRPr="00662611">
              <w:rPr>
                <w:sz w:val="16"/>
                <w:szCs w:val="16"/>
              </w:rPr>
              <w:t>*</w:t>
            </w:r>
          </w:p>
        </w:tc>
        <w:tc>
          <w:tcPr>
            <w:tcW w:w="425" w:type="dxa"/>
            <w:vAlign w:val="center"/>
          </w:tcPr>
          <w:p w14:paraId="7D927626"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667" w:type="dxa"/>
            <w:vAlign w:val="center"/>
          </w:tcPr>
          <w:p w14:paraId="7D927627" w14:textId="77777777" w:rsidR="00426F9C" w:rsidRPr="00662611" w:rsidRDefault="00426F9C" w:rsidP="00426F9C">
            <w:pPr>
              <w:pStyle w:val="Default"/>
              <w:spacing w:before="40" w:after="40"/>
              <w:jc w:val="right"/>
              <w:rPr>
                <w:sz w:val="16"/>
                <w:szCs w:val="16"/>
              </w:rPr>
            </w:pPr>
            <w:r w:rsidRPr="00662611">
              <w:rPr>
                <w:sz w:val="16"/>
                <w:szCs w:val="16"/>
              </w:rPr>
              <w:t xml:space="preserve">110 </w:t>
            </w:r>
          </w:p>
        </w:tc>
        <w:tc>
          <w:tcPr>
            <w:tcW w:w="519" w:type="dxa"/>
            <w:vAlign w:val="center"/>
          </w:tcPr>
          <w:p w14:paraId="7D927628" w14:textId="77777777" w:rsidR="00426F9C" w:rsidRPr="00662611" w:rsidRDefault="00426F9C" w:rsidP="00426F9C">
            <w:pPr>
              <w:pStyle w:val="Default"/>
              <w:spacing w:before="40" w:after="40"/>
              <w:jc w:val="right"/>
              <w:rPr>
                <w:sz w:val="16"/>
                <w:szCs w:val="16"/>
              </w:rPr>
            </w:pPr>
            <w:r w:rsidRPr="00662611">
              <w:rPr>
                <w:sz w:val="16"/>
                <w:szCs w:val="16"/>
              </w:rPr>
              <w:t xml:space="preserve">92 </w:t>
            </w:r>
          </w:p>
        </w:tc>
        <w:tc>
          <w:tcPr>
            <w:tcW w:w="519" w:type="dxa"/>
            <w:vAlign w:val="center"/>
          </w:tcPr>
          <w:p w14:paraId="7D927629" w14:textId="77777777" w:rsidR="00426F9C" w:rsidRPr="00662611" w:rsidRDefault="00426F9C" w:rsidP="00426F9C">
            <w:pPr>
              <w:pStyle w:val="Default"/>
              <w:spacing w:before="40" w:after="40"/>
              <w:jc w:val="right"/>
              <w:rPr>
                <w:sz w:val="16"/>
                <w:szCs w:val="16"/>
              </w:rPr>
            </w:pPr>
            <w:r w:rsidRPr="00662611">
              <w:rPr>
                <w:sz w:val="16"/>
                <w:szCs w:val="16"/>
              </w:rPr>
              <w:t xml:space="preserve">73 </w:t>
            </w:r>
          </w:p>
        </w:tc>
        <w:tc>
          <w:tcPr>
            <w:tcW w:w="519" w:type="dxa"/>
            <w:vAlign w:val="center"/>
          </w:tcPr>
          <w:p w14:paraId="7D92762A" w14:textId="77777777" w:rsidR="00426F9C" w:rsidRPr="00662611" w:rsidRDefault="00426F9C" w:rsidP="00426F9C">
            <w:pPr>
              <w:pStyle w:val="Default"/>
              <w:spacing w:before="40" w:after="40"/>
              <w:jc w:val="right"/>
              <w:rPr>
                <w:sz w:val="16"/>
                <w:szCs w:val="16"/>
              </w:rPr>
            </w:pPr>
            <w:r w:rsidRPr="00662611">
              <w:rPr>
                <w:sz w:val="16"/>
                <w:szCs w:val="16"/>
              </w:rPr>
              <w:t xml:space="preserve">55 </w:t>
            </w:r>
          </w:p>
        </w:tc>
        <w:tc>
          <w:tcPr>
            <w:tcW w:w="519" w:type="dxa"/>
            <w:vAlign w:val="center"/>
          </w:tcPr>
          <w:p w14:paraId="7D92762B" w14:textId="77777777" w:rsidR="00426F9C" w:rsidRPr="00662611" w:rsidRDefault="00426F9C" w:rsidP="00426F9C">
            <w:pPr>
              <w:pStyle w:val="Default"/>
              <w:spacing w:before="40" w:after="40"/>
              <w:jc w:val="right"/>
              <w:rPr>
                <w:sz w:val="16"/>
                <w:szCs w:val="16"/>
              </w:rPr>
            </w:pPr>
            <w:r w:rsidRPr="00662611">
              <w:rPr>
                <w:sz w:val="16"/>
                <w:szCs w:val="16"/>
              </w:rPr>
              <w:t xml:space="preserve">37 </w:t>
            </w:r>
          </w:p>
        </w:tc>
        <w:tc>
          <w:tcPr>
            <w:tcW w:w="519" w:type="dxa"/>
            <w:vAlign w:val="center"/>
          </w:tcPr>
          <w:p w14:paraId="7D92762C" w14:textId="77777777" w:rsidR="00426F9C" w:rsidRPr="00662611" w:rsidRDefault="00426F9C" w:rsidP="00426F9C">
            <w:pPr>
              <w:pStyle w:val="Default"/>
              <w:spacing w:before="40" w:after="40"/>
              <w:jc w:val="right"/>
              <w:rPr>
                <w:sz w:val="16"/>
                <w:szCs w:val="16"/>
              </w:rPr>
            </w:pPr>
            <w:r w:rsidRPr="00662611">
              <w:rPr>
                <w:sz w:val="16"/>
                <w:szCs w:val="16"/>
              </w:rPr>
              <w:t xml:space="preserve">18 </w:t>
            </w:r>
          </w:p>
        </w:tc>
        <w:tc>
          <w:tcPr>
            <w:tcW w:w="519" w:type="dxa"/>
            <w:vAlign w:val="center"/>
          </w:tcPr>
          <w:p w14:paraId="7D92762D"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2E"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2F"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r>
      <w:tr w:rsidR="00426F9C" w:rsidRPr="00662611" w14:paraId="7D92763C" w14:textId="77777777" w:rsidTr="00A035FF">
        <w:trPr>
          <w:trHeight w:val="345"/>
        </w:trPr>
        <w:tc>
          <w:tcPr>
            <w:tcW w:w="3052" w:type="dxa"/>
            <w:vAlign w:val="center"/>
          </w:tcPr>
          <w:p w14:paraId="7D927631" w14:textId="77777777" w:rsidR="00426F9C" w:rsidRPr="00662611" w:rsidRDefault="00426F9C" w:rsidP="00426F9C">
            <w:pPr>
              <w:pStyle w:val="Default"/>
              <w:spacing w:before="40" w:after="40"/>
              <w:rPr>
                <w:sz w:val="16"/>
                <w:szCs w:val="16"/>
              </w:rPr>
            </w:pPr>
            <w:r w:rsidRPr="00662611">
              <w:rPr>
                <w:sz w:val="16"/>
                <w:szCs w:val="16"/>
              </w:rPr>
              <w:t>Service concession asset</w:t>
            </w:r>
            <w:r w:rsidR="0038524A" w:rsidRPr="00662611">
              <w:rPr>
                <w:sz w:val="16"/>
                <w:szCs w:val="16"/>
              </w:rPr>
              <w:br/>
            </w:r>
            <w:r w:rsidRPr="00662611">
              <w:rPr>
                <w:sz w:val="16"/>
                <w:szCs w:val="16"/>
              </w:rPr>
              <w:t xml:space="preserve"> – replacement surface layer</w:t>
            </w:r>
            <w:r w:rsidR="0061067E" w:rsidRPr="00662611">
              <w:rPr>
                <w:sz w:val="16"/>
                <w:szCs w:val="16"/>
              </w:rPr>
              <w:t>s</w:t>
            </w:r>
            <w:r w:rsidRPr="00662611">
              <w:rPr>
                <w:sz w:val="16"/>
                <w:szCs w:val="16"/>
              </w:rPr>
              <w:t xml:space="preserve"> </w:t>
            </w:r>
          </w:p>
        </w:tc>
        <w:tc>
          <w:tcPr>
            <w:tcW w:w="425" w:type="dxa"/>
            <w:vAlign w:val="center"/>
          </w:tcPr>
          <w:p w14:paraId="7D927632"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667" w:type="dxa"/>
            <w:vAlign w:val="center"/>
          </w:tcPr>
          <w:p w14:paraId="7D927633"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34"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35"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36"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37"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38"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39" w14:textId="77777777" w:rsidR="00426F9C" w:rsidRPr="00662611" w:rsidRDefault="00426F9C" w:rsidP="00426F9C">
            <w:pPr>
              <w:pStyle w:val="Default"/>
              <w:spacing w:before="40" w:after="40"/>
              <w:jc w:val="right"/>
              <w:rPr>
                <w:sz w:val="16"/>
                <w:szCs w:val="16"/>
              </w:rPr>
            </w:pPr>
            <w:r w:rsidRPr="00662611">
              <w:rPr>
                <w:sz w:val="16"/>
                <w:szCs w:val="16"/>
              </w:rPr>
              <w:t xml:space="preserve">110 </w:t>
            </w:r>
          </w:p>
        </w:tc>
        <w:tc>
          <w:tcPr>
            <w:tcW w:w="519" w:type="dxa"/>
            <w:vAlign w:val="center"/>
          </w:tcPr>
          <w:p w14:paraId="7D92763A" w14:textId="77777777" w:rsidR="00426F9C" w:rsidRPr="00662611" w:rsidRDefault="00426F9C" w:rsidP="00426F9C">
            <w:pPr>
              <w:pStyle w:val="Default"/>
              <w:spacing w:before="40" w:after="40"/>
              <w:jc w:val="right"/>
              <w:rPr>
                <w:sz w:val="16"/>
                <w:szCs w:val="16"/>
              </w:rPr>
            </w:pPr>
            <w:r w:rsidRPr="00662611">
              <w:rPr>
                <w:sz w:val="16"/>
                <w:szCs w:val="16"/>
              </w:rPr>
              <w:t xml:space="preserve">92 </w:t>
            </w:r>
          </w:p>
        </w:tc>
        <w:tc>
          <w:tcPr>
            <w:tcW w:w="519" w:type="dxa"/>
            <w:vAlign w:val="center"/>
          </w:tcPr>
          <w:p w14:paraId="7D92763B" w14:textId="77777777" w:rsidR="00426F9C" w:rsidRPr="00662611" w:rsidRDefault="00426F9C" w:rsidP="00426F9C">
            <w:pPr>
              <w:pStyle w:val="Default"/>
              <w:spacing w:before="40" w:after="40"/>
              <w:jc w:val="right"/>
              <w:rPr>
                <w:sz w:val="16"/>
                <w:szCs w:val="16"/>
              </w:rPr>
            </w:pPr>
            <w:r w:rsidRPr="00662611">
              <w:rPr>
                <w:sz w:val="16"/>
                <w:szCs w:val="16"/>
              </w:rPr>
              <w:t xml:space="preserve">73 </w:t>
            </w:r>
          </w:p>
        </w:tc>
      </w:tr>
      <w:tr w:rsidR="00426F9C" w:rsidRPr="00662611" w14:paraId="7D927648" w14:textId="77777777" w:rsidTr="00A035FF">
        <w:trPr>
          <w:trHeight w:val="225"/>
        </w:trPr>
        <w:tc>
          <w:tcPr>
            <w:tcW w:w="3052" w:type="dxa"/>
            <w:vAlign w:val="center"/>
          </w:tcPr>
          <w:p w14:paraId="7D92763D" w14:textId="77777777" w:rsidR="00426F9C" w:rsidRPr="00662611" w:rsidRDefault="00426F9C" w:rsidP="00426F9C">
            <w:pPr>
              <w:pStyle w:val="Default"/>
              <w:spacing w:before="40" w:after="40"/>
              <w:rPr>
                <w:sz w:val="16"/>
                <w:szCs w:val="16"/>
              </w:rPr>
            </w:pPr>
            <w:r w:rsidRPr="00662611">
              <w:rPr>
                <w:sz w:val="16"/>
                <w:szCs w:val="16"/>
              </w:rPr>
              <w:t xml:space="preserve">Total service concession asset </w:t>
            </w:r>
          </w:p>
        </w:tc>
        <w:tc>
          <w:tcPr>
            <w:tcW w:w="425" w:type="dxa"/>
            <w:vAlign w:val="center"/>
          </w:tcPr>
          <w:p w14:paraId="7D92763E" w14:textId="77777777" w:rsidR="00426F9C" w:rsidRPr="00662611" w:rsidRDefault="00426F9C" w:rsidP="00426F9C">
            <w:pPr>
              <w:pStyle w:val="Default"/>
              <w:spacing w:before="40" w:after="40"/>
              <w:jc w:val="right"/>
              <w:rPr>
                <w:sz w:val="16"/>
                <w:szCs w:val="16"/>
              </w:rPr>
            </w:pPr>
            <w:r w:rsidRPr="00662611">
              <w:rPr>
                <w:sz w:val="16"/>
                <w:szCs w:val="16"/>
              </w:rPr>
              <w:t xml:space="preserve">525 </w:t>
            </w:r>
          </w:p>
        </w:tc>
        <w:tc>
          <w:tcPr>
            <w:tcW w:w="667" w:type="dxa"/>
            <w:vAlign w:val="center"/>
          </w:tcPr>
          <w:p w14:paraId="7D92763F" w14:textId="0F316DF3" w:rsidR="00426F9C" w:rsidRPr="00662611" w:rsidRDefault="004603DB" w:rsidP="004603DB">
            <w:pPr>
              <w:pStyle w:val="Default"/>
              <w:spacing w:before="40" w:after="40"/>
              <w:jc w:val="right"/>
              <w:rPr>
                <w:sz w:val="16"/>
                <w:szCs w:val="16"/>
              </w:rPr>
            </w:pPr>
            <w:r w:rsidRPr="00662611">
              <w:rPr>
                <w:sz w:val="16"/>
                <w:szCs w:val="16"/>
              </w:rPr>
              <w:t>1,</w:t>
            </w:r>
            <w:r w:rsidR="00040B49" w:rsidRPr="00662611">
              <w:rPr>
                <w:sz w:val="16"/>
                <w:szCs w:val="16"/>
              </w:rPr>
              <w:t xml:space="preserve">082 </w:t>
            </w:r>
          </w:p>
        </w:tc>
        <w:tc>
          <w:tcPr>
            <w:tcW w:w="519" w:type="dxa"/>
            <w:vAlign w:val="center"/>
          </w:tcPr>
          <w:p w14:paraId="7D927640" w14:textId="7653B840" w:rsidR="00426F9C" w:rsidRPr="00662611" w:rsidRDefault="00040B49" w:rsidP="00426F9C">
            <w:pPr>
              <w:pStyle w:val="Default"/>
              <w:spacing w:before="40" w:after="40"/>
              <w:jc w:val="right"/>
              <w:rPr>
                <w:sz w:val="16"/>
                <w:szCs w:val="16"/>
              </w:rPr>
            </w:pPr>
            <w:r w:rsidRPr="00662611">
              <w:rPr>
                <w:sz w:val="16"/>
                <w:szCs w:val="16"/>
              </w:rPr>
              <w:t>1,0</w:t>
            </w:r>
            <w:r w:rsidR="00C440E5" w:rsidRPr="00662611">
              <w:rPr>
                <w:sz w:val="16"/>
                <w:szCs w:val="16"/>
              </w:rPr>
              <w:t>25</w:t>
            </w:r>
            <w:r w:rsidRPr="00662611">
              <w:rPr>
                <w:sz w:val="16"/>
                <w:szCs w:val="16"/>
              </w:rPr>
              <w:t xml:space="preserve"> </w:t>
            </w:r>
          </w:p>
        </w:tc>
        <w:tc>
          <w:tcPr>
            <w:tcW w:w="519" w:type="dxa"/>
            <w:vAlign w:val="center"/>
          </w:tcPr>
          <w:p w14:paraId="7D927641" w14:textId="04D05934" w:rsidR="00426F9C" w:rsidRPr="00662611" w:rsidRDefault="00040B49" w:rsidP="00426F9C">
            <w:pPr>
              <w:pStyle w:val="Default"/>
              <w:spacing w:before="40" w:after="40"/>
              <w:jc w:val="right"/>
              <w:rPr>
                <w:sz w:val="16"/>
                <w:szCs w:val="16"/>
              </w:rPr>
            </w:pPr>
            <w:r w:rsidRPr="00662611">
              <w:rPr>
                <w:sz w:val="16"/>
                <w:szCs w:val="16"/>
              </w:rPr>
              <w:t xml:space="preserve">967 </w:t>
            </w:r>
          </w:p>
        </w:tc>
        <w:tc>
          <w:tcPr>
            <w:tcW w:w="519" w:type="dxa"/>
            <w:vAlign w:val="center"/>
          </w:tcPr>
          <w:p w14:paraId="7D927642" w14:textId="47FACD39" w:rsidR="00426F9C" w:rsidRPr="00662611" w:rsidRDefault="00040B49" w:rsidP="00426F9C">
            <w:pPr>
              <w:pStyle w:val="Default"/>
              <w:spacing w:before="40" w:after="40"/>
              <w:jc w:val="right"/>
              <w:rPr>
                <w:sz w:val="16"/>
                <w:szCs w:val="16"/>
              </w:rPr>
            </w:pPr>
            <w:r w:rsidRPr="00662611">
              <w:rPr>
                <w:sz w:val="16"/>
                <w:szCs w:val="16"/>
              </w:rPr>
              <w:t xml:space="preserve">910 </w:t>
            </w:r>
          </w:p>
        </w:tc>
        <w:tc>
          <w:tcPr>
            <w:tcW w:w="519" w:type="dxa"/>
            <w:vAlign w:val="center"/>
          </w:tcPr>
          <w:p w14:paraId="7D927643" w14:textId="7B9FD96C" w:rsidR="00426F9C" w:rsidRPr="00662611" w:rsidRDefault="00040B49" w:rsidP="00426F9C">
            <w:pPr>
              <w:pStyle w:val="Default"/>
              <w:spacing w:before="40" w:after="40"/>
              <w:jc w:val="right"/>
              <w:rPr>
                <w:sz w:val="16"/>
                <w:szCs w:val="16"/>
              </w:rPr>
            </w:pPr>
            <w:r w:rsidRPr="00662611">
              <w:rPr>
                <w:sz w:val="16"/>
                <w:szCs w:val="16"/>
              </w:rPr>
              <w:t xml:space="preserve">853 </w:t>
            </w:r>
          </w:p>
        </w:tc>
        <w:tc>
          <w:tcPr>
            <w:tcW w:w="519" w:type="dxa"/>
            <w:vAlign w:val="center"/>
          </w:tcPr>
          <w:p w14:paraId="7D927644" w14:textId="3E64FCA5" w:rsidR="00426F9C" w:rsidRPr="00662611" w:rsidRDefault="00040B49" w:rsidP="00426F9C">
            <w:pPr>
              <w:pStyle w:val="Default"/>
              <w:spacing w:before="40" w:after="40"/>
              <w:jc w:val="right"/>
              <w:rPr>
                <w:sz w:val="16"/>
                <w:szCs w:val="16"/>
              </w:rPr>
            </w:pPr>
            <w:r w:rsidRPr="00662611">
              <w:rPr>
                <w:sz w:val="16"/>
                <w:szCs w:val="16"/>
              </w:rPr>
              <w:t xml:space="preserve">795 </w:t>
            </w:r>
          </w:p>
        </w:tc>
        <w:tc>
          <w:tcPr>
            <w:tcW w:w="519" w:type="dxa"/>
            <w:vAlign w:val="center"/>
          </w:tcPr>
          <w:p w14:paraId="7D927645" w14:textId="433D1BE2" w:rsidR="00426F9C" w:rsidRPr="00662611" w:rsidRDefault="00040B49" w:rsidP="00426F9C">
            <w:pPr>
              <w:pStyle w:val="Default"/>
              <w:spacing w:before="40" w:after="40"/>
              <w:jc w:val="right"/>
              <w:rPr>
                <w:sz w:val="16"/>
                <w:szCs w:val="16"/>
              </w:rPr>
            </w:pPr>
            <w:r w:rsidRPr="00662611">
              <w:rPr>
                <w:sz w:val="16"/>
                <w:szCs w:val="16"/>
              </w:rPr>
              <w:t xml:space="preserve">848 </w:t>
            </w:r>
          </w:p>
        </w:tc>
        <w:tc>
          <w:tcPr>
            <w:tcW w:w="519" w:type="dxa"/>
            <w:vAlign w:val="center"/>
          </w:tcPr>
          <w:p w14:paraId="7D927646" w14:textId="1A63940E" w:rsidR="00426F9C" w:rsidRPr="00662611" w:rsidRDefault="00040B49" w:rsidP="00426F9C">
            <w:pPr>
              <w:pStyle w:val="Default"/>
              <w:spacing w:before="40" w:after="40"/>
              <w:jc w:val="right"/>
              <w:rPr>
                <w:sz w:val="16"/>
                <w:szCs w:val="16"/>
              </w:rPr>
            </w:pPr>
            <w:r w:rsidRPr="00662611">
              <w:rPr>
                <w:sz w:val="16"/>
                <w:szCs w:val="16"/>
              </w:rPr>
              <w:t xml:space="preserve">791 </w:t>
            </w:r>
          </w:p>
        </w:tc>
        <w:tc>
          <w:tcPr>
            <w:tcW w:w="519" w:type="dxa"/>
            <w:vAlign w:val="center"/>
          </w:tcPr>
          <w:p w14:paraId="7D927647" w14:textId="7933A696" w:rsidR="00426F9C" w:rsidRPr="00662611" w:rsidRDefault="00040B49" w:rsidP="00426F9C">
            <w:pPr>
              <w:pStyle w:val="Default"/>
              <w:spacing w:before="40" w:after="40"/>
              <w:jc w:val="right"/>
              <w:rPr>
                <w:sz w:val="16"/>
                <w:szCs w:val="16"/>
              </w:rPr>
            </w:pPr>
            <w:r w:rsidRPr="00662611">
              <w:rPr>
                <w:sz w:val="16"/>
                <w:szCs w:val="16"/>
              </w:rPr>
              <w:t xml:space="preserve">733 </w:t>
            </w:r>
          </w:p>
        </w:tc>
      </w:tr>
      <w:tr w:rsidR="00426F9C" w:rsidRPr="00662611" w14:paraId="7D927654" w14:textId="77777777" w:rsidTr="00A035FF">
        <w:trPr>
          <w:trHeight w:val="105"/>
        </w:trPr>
        <w:tc>
          <w:tcPr>
            <w:tcW w:w="3052" w:type="dxa"/>
            <w:vAlign w:val="center"/>
          </w:tcPr>
          <w:p w14:paraId="7D927649" w14:textId="77777777" w:rsidR="00426F9C" w:rsidRPr="00662611" w:rsidRDefault="00426F9C" w:rsidP="00426F9C">
            <w:pPr>
              <w:pStyle w:val="Default"/>
              <w:spacing w:before="40" w:after="40"/>
              <w:rPr>
                <w:sz w:val="16"/>
                <w:szCs w:val="16"/>
              </w:rPr>
            </w:pPr>
            <w:r w:rsidRPr="00662611">
              <w:rPr>
                <w:sz w:val="16"/>
                <w:szCs w:val="16"/>
              </w:rPr>
              <w:t xml:space="preserve">Cash </w:t>
            </w:r>
          </w:p>
        </w:tc>
        <w:tc>
          <w:tcPr>
            <w:tcW w:w="425" w:type="dxa"/>
            <w:vAlign w:val="center"/>
          </w:tcPr>
          <w:p w14:paraId="7D92764A"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667" w:type="dxa"/>
            <w:vAlign w:val="center"/>
          </w:tcPr>
          <w:p w14:paraId="7D92764B"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4C"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4D"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4E"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4F"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50"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51"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52"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53"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r>
      <w:tr w:rsidR="00426F9C" w:rsidRPr="00662611" w14:paraId="7D927660" w14:textId="77777777" w:rsidTr="00A035FF">
        <w:trPr>
          <w:trHeight w:val="105"/>
        </w:trPr>
        <w:tc>
          <w:tcPr>
            <w:tcW w:w="3052" w:type="dxa"/>
            <w:vAlign w:val="center"/>
          </w:tcPr>
          <w:p w14:paraId="7D927655" w14:textId="77777777" w:rsidR="00426F9C" w:rsidRPr="00662611" w:rsidRDefault="00426F9C" w:rsidP="00426F9C">
            <w:pPr>
              <w:pStyle w:val="Default"/>
              <w:spacing w:before="40" w:after="40"/>
              <w:rPr>
                <w:sz w:val="16"/>
                <w:szCs w:val="16"/>
              </w:rPr>
            </w:pPr>
            <w:r w:rsidRPr="00662611">
              <w:rPr>
                <w:sz w:val="16"/>
                <w:szCs w:val="16"/>
              </w:rPr>
              <w:t xml:space="preserve">Liability </w:t>
            </w:r>
            <w:r w:rsidR="0061067E" w:rsidRPr="00662611">
              <w:rPr>
                <w:sz w:val="16"/>
                <w:szCs w:val="16"/>
              </w:rPr>
              <w:t>(Table 7.3)</w:t>
            </w:r>
          </w:p>
        </w:tc>
        <w:tc>
          <w:tcPr>
            <w:tcW w:w="425" w:type="dxa"/>
            <w:vAlign w:val="center"/>
          </w:tcPr>
          <w:p w14:paraId="7D927656" w14:textId="77777777" w:rsidR="00426F9C" w:rsidRPr="00662611" w:rsidRDefault="00426F9C" w:rsidP="00426F9C">
            <w:pPr>
              <w:pStyle w:val="Default"/>
              <w:spacing w:before="40" w:after="40"/>
              <w:jc w:val="right"/>
              <w:rPr>
                <w:sz w:val="16"/>
                <w:szCs w:val="16"/>
              </w:rPr>
            </w:pPr>
            <w:r w:rsidRPr="00662611">
              <w:rPr>
                <w:sz w:val="16"/>
                <w:szCs w:val="16"/>
              </w:rPr>
              <w:t xml:space="preserve">(525) </w:t>
            </w:r>
          </w:p>
        </w:tc>
        <w:tc>
          <w:tcPr>
            <w:tcW w:w="667" w:type="dxa"/>
            <w:vAlign w:val="center"/>
          </w:tcPr>
          <w:p w14:paraId="7D927657" w14:textId="39F5E17F" w:rsidR="00426F9C" w:rsidRPr="00662611" w:rsidRDefault="00426F9C" w:rsidP="004603DB">
            <w:pPr>
              <w:pStyle w:val="Default"/>
              <w:spacing w:before="40" w:after="40"/>
              <w:jc w:val="right"/>
              <w:rPr>
                <w:sz w:val="16"/>
                <w:szCs w:val="16"/>
              </w:rPr>
            </w:pPr>
            <w:r w:rsidRPr="00662611">
              <w:rPr>
                <w:sz w:val="16"/>
                <w:szCs w:val="16"/>
              </w:rPr>
              <w:t>(</w:t>
            </w:r>
            <w:r w:rsidR="004603DB" w:rsidRPr="00662611">
              <w:rPr>
                <w:sz w:val="16"/>
                <w:szCs w:val="16"/>
              </w:rPr>
              <w:t>1,0</w:t>
            </w:r>
            <w:r w:rsidR="0061067E" w:rsidRPr="00662611">
              <w:rPr>
                <w:sz w:val="16"/>
                <w:szCs w:val="16"/>
              </w:rPr>
              <w:t>82</w:t>
            </w:r>
            <w:r w:rsidRPr="00662611">
              <w:rPr>
                <w:sz w:val="16"/>
                <w:szCs w:val="16"/>
              </w:rPr>
              <w:t xml:space="preserve">) </w:t>
            </w:r>
          </w:p>
        </w:tc>
        <w:tc>
          <w:tcPr>
            <w:tcW w:w="519" w:type="dxa"/>
            <w:vAlign w:val="center"/>
          </w:tcPr>
          <w:p w14:paraId="7D927658" w14:textId="28D8A439" w:rsidR="00426F9C" w:rsidRPr="00662611" w:rsidRDefault="00426F9C" w:rsidP="00426F9C">
            <w:pPr>
              <w:pStyle w:val="Default"/>
              <w:spacing w:before="40" w:after="40"/>
              <w:jc w:val="right"/>
              <w:rPr>
                <w:sz w:val="16"/>
                <w:szCs w:val="16"/>
              </w:rPr>
            </w:pPr>
            <w:r w:rsidRPr="00662611">
              <w:rPr>
                <w:sz w:val="16"/>
                <w:szCs w:val="16"/>
              </w:rPr>
              <w:t>(</w:t>
            </w:r>
            <w:r w:rsidR="00821B18" w:rsidRPr="00662611">
              <w:rPr>
                <w:sz w:val="16"/>
                <w:szCs w:val="16"/>
              </w:rPr>
              <w:t>947</w:t>
            </w:r>
            <w:r w:rsidRPr="00662611">
              <w:rPr>
                <w:sz w:val="16"/>
                <w:szCs w:val="16"/>
              </w:rPr>
              <w:t xml:space="preserve">) </w:t>
            </w:r>
          </w:p>
        </w:tc>
        <w:tc>
          <w:tcPr>
            <w:tcW w:w="519" w:type="dxa"/>
            <w:vAlign w:val="center"/>
          </w:tcPr>
          <w:p w14:paraId="7D927659" w14:textId="1A20E571" w:rsidR="00426F9C" w:rsidRPr="00662611" w:rsidRDefault="00426F9C" w:rsidP="00426F9C">
            <w:pPr>
              <w:pStyle w:val="Default"/>
              <w:spacing w:before="40" w:after="40"/>
              <w:jc w:val="right"/>
              <w:rPr>
                <w:sz w:val="16"/>
                <w:szCs w:val="16"/>
              </w:rPr>
            </w:pPr>
            <w:r w:rsidRPr="00662611">
              <w:rPr>
                <w:sz w:val="16"/>
                <w:szCs w:val="16"/>
              </w:rPr>
              <w:t>(</w:t>
            </w:r>
            <w:r w:rsidR="00821B18" w:rsidRPr="00662611">
              <w:rPr>
                <w:sz w:val="16"/>
                <w:szCs w:val="16"/>
              </w:rPr>
              <w:t>812</w:t>
            </w:r>
            <w:r w:rsidRPr="00662611">
              <w:rPr>
                <w:sz w:val="16"/>
                <w:szCs w:val="16"/>
              </w:rPr>
              <w:t xml:space="preserve">) </w:t>
            </w:r>
          </w:p>
        </w:tc>
        <w:tc>
          <w:tcPr>
            <w:tcW w:w="519" w:type="dxa"/>
            <w:vAlign w:val="center"/>
          </w:tcPr>
          <w:p w14:paraId="7D92765A" w14:textId="7B0EE582" w:rsidR="00426F9C" w:rsidRPr="00662611" w:rsidRDefault="00426F9C" w:rsidP="00426F9C">
            <w:pPr>
              <w:pStyle w:val="Default"/>
              <w:spacing w:before="40" w:after="40"/>
              <w:jc w:val="right"/>
              <w:rPr>
                <w:sz w:val="16"/>
                <w:szCs w:val="16"/>
              </w:rPr>
            </w:pPr>
            <w:r w:rsidRPr="00662611">
              <w:rPr>
                <w:sz w:val="16"/>
                <w:szCs w:val="16"/>
              </w:rPr>
              <w:t>(</w:t>
            </w:r>
            <w:r w:rsidR="00821B18" w:rsidRPr="00662611">
              <w:rPr>
                <w:sz w:val="16"/>
                <w:szCs w:val="16"/>
              </w:rPr>
              <w:t>677</w:t>
            </w:r>
            <w:r w:rsidRPr="00662611">
              <w:rPr>
                <w:sz w:val="16"/>
                <w:szCs w:val="16"/>
              </w:rPr>
              <w:t xml:space="preserve">) </w:t>
            </w:r>
          </w:p>
        </w:tc>
        <w:tc>
          <w:tcPr>
            <w:tcW w:w="519" w:type="dxa"/>
            <w:vAlign w:val="center"/>
          </w:tcPr>
          <w:p w14:paraId="7D92765B" w14:textId="058794AE" w:rsidR="00426F9C" w:rsidRPr="00662611" w:rsidRDefault="00426F9C" w:rsidP="00426F9C">
            <w:pPr>
              <w:pStyle w:val="Default"/>
              <w:spacing w:before="40" w:after="40"/>
              <w:jc w:val="right"/>
              <w:rPr>
                <w:sz w:val="16"/>
                <w:szCs w:val="16"/>
              </w:rPr>
            </w:pPr>
            <w:r w:rsidRPr="00662611">
              <w:rPr>
                <w:sz w:val="16"/>
                <w:szCs w:val="16"/>
              </w:rPr>
              <w:t>(</w:t>
            </w:r>
            <w:r w:rsidR="00821B18" w:rsidRPr="00662611">
              <w:rPr>
                <w:sz w:val="16"/>
                <w:szCs w:val="16"/>
              </w:rPr>
              <w:t>541</w:t>
            </w:r>
            <w:r w:rsidRPr="00662611">
              <w:rPr>
                <w:sz w:val="16"/>
                <w:szCs w:val="16"/>
              </w:rPr>
              <w:t xml:space="preserve">) </w:t>
            </w:r>
          </w:p>
        </w:tc>
        <w:tc>
          <w:tcPr>
            <w:tcW w:w="519" w:type="dxa"/>
            <w:vAlign w:val="center"/>
          </w:tcPr>
          <w:p w14:paraId="7D92765C" w14:textId="3D5F92A1" w:rsidR="00426F9C" w:rsidRPr="00662611" w:rsidRDefault="00426F9C" w:rsidP="00426F9C">
            <w:pPr>
              <w:pStyle w:val="Default"/>
              <w:spacing w:before="40" w:after="40"/>
              <w:jc w:val="right"/>
              <w:rPr>
                <w:sz w:val="16"/>
                <w:szCs w:val="16"/>
              </w:rPr>
            </w:pPr>
            <w:r w:rsidRPr="00662611">
              <w:rPr>
                <w:sz w:val="16"/>
                <w:szCs w:val="16"/>
              </w:rPr>
              <w:t>(</w:t>
            </w:r>
            <w:r w:rsidR="00821B18" w:rsidRPr="00662611">
              <w:rPr>
                <w:sz w:val="16"/>
                <w:szCs w:val="16"/>
              </w:rPr>
              <w:t>406</w:t>
            </w:r>
            <w:r w:rsidRPr="00662611">
              <w:rPr>
                <w:sz w:val="16"/>
                <w:szCs w:val="16"/>
              </w:rPr>
              <w:t xml:space="preserve">) </w:t>
            </w:r>
          </w:p>
        </w:tc>
        <w:tc>
          <w:tcPr>
            <w:tcW w:w="519" w:type="dxa"/>
            <w:vAlign w:val="center"/>
          </w:tcPr>
          <w:p w14:paraId="7D92765D" w14:textId="168905E7" w:rsidR="00426F9C" w:rsidRPr="00662611" w:rsidRDefault="00426F9C" w:rsidP="00426F9C">
            <w:pPr>
              <w:pStyle w:val="Default"/>
              <w:spacing w:before="40" w:after="40"/>
              <w:jc w:val="right"/>
              <w:rPr>
                <w:sz w:val="16"/>
                <w:szCs w:val="16"/>
              </w:rPr>
            </w:pPr>
            <w:r w:rsidRPr="00662611">
              <w:rPr>
                <w:sz w:val="16"/>
                <w:szCs w:val="16"/>
              </w:rPr>
              <w:t>(</w:t>
            </w:r>
            <w:r w:rsidR="00821B18" w:rsidRPr="00662611">
              <w:rPr>
                <w:sz w:val="16"/>
                <w:szCs w:val="16"/>
              </w:rPr>
              <w:t>381</w:t>
            </w:r>
            <w:r w:rsidRPr="00662611">
              <w:rPr>
                <w:sz w:val="16"/>
                <w:szCs w:val="16"/>
              </w:rPr>
              <w:t xml:space="preserve">) </w:t>
            </w:r>
          </w:p>
        </w:tc>
        <w:tc>
          <w:tcPr>
            <w:tcW w:w="519" w:type="dxa"/>
            <w:vAlign w:val="center"/>
          </w:tcPr>
          <w:p w14:paraId="7D92765E" w14:textId="21B43979" w:rsidR="00426F9C" w:rsidRPr="00662611" w:rsidRDefault="00426F9C" w:rsidP="00426F9C">
            <w:pPr>
              <w:pStyle w:val="Default"/>
              <w:spacing w:before="40" w:after="40"/>
              <w:jc w:val="right"/>
              <w:rPr>
                <w:sz w:val="16"/>
                <w:szCs w:val="16"/>
              </w:rPr>
            </w:pPr>
            <w:r w:rsidRPr="00662611">
              <w:rPr>
                <w:sz w:val="16"/>
                <w:szCs w:val="16"/>
              </w:rPr>
              <w:t>(</w:t>
            </w:r>
            <w:r w:rsidR="00821B18" w:rsidRPr="00662611">
              <w:rPr>
                <w:sz w:val="16"/>
                <w:szCs w:val="16"/>
              </w:rPr>
              <w:t>191</w:t>
            </w:r>
            <w:r w:rsidRPr="00662611">
              <w:rPr>
                <w:sz w:val="16"/>
                <w:szCs w:val="16"/>
              </w:rPr>
              <w:t xml:space="preserve">) </w:t>
            </w:r>
          </w:p>
        </w:tc>
        <w:tc>
          <w:tcPr>
            <w:tcW w:w="519" w:type="dxa"/>
            <w:vAlign w:val="center"/>
          </w:tcPr>
          <w:p w14:paraId="7D92765F"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r>
      <w:tr w:rsidR="00426F9C" w:rsidRPr="00662611" w14:paraId="7D92766C" w14:textId="77777777" w:rsidTr="00A035FF">
        <w:trPr>
          <w:trHeight w:val="225"/>
        </w:trPr>
        <w:tc>
          <w:tcPr>
            <w:tcW w:w="3052" w:type="dxa"/>
            <w:vAlign w:val="center"/>
          </w:tcPr>
          <w:p w14:paraId="7D927661" w14:textId="77777777" w:rsidR="00426F9C" w:rsidRPr="00662611" w:rsidRDefault="00426F9C" w:rsidP="0038524A">
            <w:pPr>
              <w:pStyle w:val="Default"/>
              <w:spacing w:before="40" w:after="40"/>
              <w:rPr>
                <w:sz w:val="16"/>
                <w:szCs w:val="16"/>
              </w:rPr>
            </w:pPr>
            <w:r w:rsidRPr="00662611">
              <w:rPr>
                <w:sz w:val="16"/>
                <w:szCs w:val="16"/>
              </w:rPr>
              <w:t>Cumulative surplus/(deficit)</w:t>
            </w:r>
          </w:p>
        </w:tc>
        <w:tc>
          <w:tcPr>
            <w:tcW w:w="425" w:type="dxa"/>
            <w:vAlign w:val="center"/>
          </w:tcPr>
          <w:p w14:paraId="7D927662"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667" w:type="dxa"/>
            <w:vAlign w:val="center"/>
          </w:tcPr>
          <w:p w14:paraId="7D927663" w14:textId="77777777" w:rsidR="00426F9C" w:rsidRPr="00662611" w:rsidRDefault="00426F9C" w:rsidP="00426F9C">
            <w:pPr>
              <w:pStyle w:val="Default"/>
              <w:spacing w:before="40" w:after="40"/>
              <w:jc w:val="right"/>
              <w:rPr>
                <w:sz w:val="16"/>
                <w:szCs w:val="16"/>
              </w:rPr>
            </w:pPr>
            <w:r w:rsidRPr="00662611">
              <w:rPr>
                <w:sz w:val="16"/>
                <w:szCs w:val="16"/>
              </w:rPr>
              <w:t xml:space="preserve">– </w:t>
            </w:r>
          </w:p>
        </w:tc>
        <w:tc>
          <w:tcPr>
            <w:tcW w:w="519" w:type="dxa"/>
            <w:vAlign w:val="center"/>
          </w:tcPr>
          <w:p w14:paraId="7D927664" w14:textId="4F7A7DB4" w:rsidR="00426F9C" w:rsidRPr="00662611" w:rsidRDefault="00C440E5" w:rsidP="009841C0">
            <w:pPr>
              <w:pStyle w:val="Default"/>
              <w:spacing w:before="40" w:after="40"/>
              <w:jc w:val="right"/>
              <w:rPr>
                <w:sz w:val="16"/>
                <w:szCs w:val="16"/>
              </w:rPr>
            </w:pPr>
            <w:r w:rsidRPr="00662611">
              <w:rPr>
                <w:sz w:val="16"/>
                <w:szCs w:val="16"/>
              </w:rPr>
              <w:t>78</w:t>
            </w:r>
            <w:r w:rsidR="00821B18" w:rsidRPr="00662611">
              <w:rPr>
                <w:sz w:val="16"/>
                <w:szCs w:val="16"/>
              </w:rPr>
              <w:t xml:space="preserve"> </w:t>
            </w:r>
          </w:p>
        </w:tc>
        <w:tc>
          <w:tcPr>
            <w:tcW w:w="519" w:type="dxa"/>
            <w:vAlign w:val="center"/>
          </w:tcPr>
          <w:p w14:paraId="7D927665" w14:textId="29354B71" w:rsidR="00426F9C" w:rsidRPr="00662611" w:rsidRDefault="00821B18" w:rsidP="00426F9C">
            <w:pPr>
              <w:pStyle w:val="Default"/>
              <w:spacing w:before="40" w:after="40"/>
              <w:jc w:val="right"/>
              <w:rPr>
                <w:sz w:val="16"/>
                <w:szCs w:val="16"/>
              </w:rPr>
            </w:pPr>
            <w:r w:rsidRPr="00662611">
              <w:rPr>
                <w:sz w:val="16"/>
                <w:szCs w:val="16"/>
              </w:rPr>
              <w:t xml:space="preserve">155 </w:t>
            </w:r>
          </w:p>
        </w:tc>
        <w:tc>
          <w:tcPr>
            <w:tcW w:w="519" w:type="dxa"/>
            <w:vAlign w:val="center"/>
          </w:tcPr>
          <w:p w14:paraId="7D927666" w14:textId="7C9BFAD9" w:rsidR="00426F9C" w:rsidRPr="00662611" w:rsidRDefault="00821B18" w:rsidP="009841C0">
            <w:pPr>
              <w:pStyle w:val="Default"/>
              <w:spacing w:before="40" w:after="40"/>
              <w:jc w:val="right"/>
              <w:rPr>
                <w:sz w:val="16"/>
                <w:szCs w:val="16"/>
              </w:rPr>
            </w:pPr>
            <w:r w:rsidRPr="00662611">
              <w:rPr>
                <w:sz w:val="16"/>
                <w:szCs w:val="16"/>
              </w:rPr>
              <w:t>233</w:t>
            </w:r>
          </w:p>
        </w:tc>
        <w:tc>
          <w:tcPr>
            <w:tcW w:w="519" w:type="dxa"/>
            <w:vAlign w:val="center"/>
          </w:tcPr>
          <w:p w14:paraId="7D927667" w14:textId="06F35E02" w:rsidR="00426F9C" w:rsidRPr="00662611" w:rsidRDefault="00821B18" w:rsidP="009841C0">
            <w:pPr>
              <w:pStyle w:val="Default"/>
              <w:spacing w:before="40" w:after="40"/>
              <w:jc w:val="right"/>
              <w:rPr>
                <w:sz w:val="16"/>
                <w:szCs w:val="16"/>
              </w:rPr>
            </w:pPr>
            <w:r w:rsidRPr="00662611">
              <w:rPr>
                <w:sz w:val="16"/>
                <w:szCs w:val="16"/>
              </w:rPr>
              <w:t xml:space="preserve">312 </w:t>
            </w:r>
          </w:p>
        </w:tc>
        <w:tc>
          <w:tcPr>
            <w:tcW w:w="519" w:type="dxa"/>
            <w:vAlign w:val="center"/>
          </w:tcPr>
          <w:p w14:paraId="7D927668" w14:textId="416A19EA" w:rsidR="00426F9C" w:rsidRPr="00662611" w:rsidRDefault="00821B18" w:rsidP="009841C0">
            <w:pPr>
              <w:pStyle w:val="Default"/>
              <w:spacing w:before="40" w:after="40"/>
              <w:jc w:val="right"/>
              <w:rPr>
                <w:sz w:val="16"/>
                <w:szCs w:val="16"/>
              </w:rPr>
            </w:pPr>
            <w:r w:rsidRPr="00662611">
              <w:rPr>
                <w:sz w:val="16"/>
                <w:szCs w:val="16"/>
              </w:rPr>
              <w:t xml:space="preserve">389 </w:t>
            </w:r>
          </w:p>
        </w:tc>
        <w:tc>
          <w:tcPr>
            <w:tcW w:w="519" w:type="dxa"/>
            <w:vAlign w:val="center"/>
          </w:tcPr>
          <w:p w14:paraId="7D927669" w14:textId="1E70FFC6" w:rsidR="00426F9C" w:rsidRPr="00662611" w:rsidRDefault="00821B18" w:rsidP="009841C0">
            <w:pPr>
              <w:pStyle w:val="Default"/>
              <w:spacing w:before="40" w:after="40"/>
              <w:jc w:val="right"/>
              <w:rPr>
                <w:sz w:val="16"/>
                <w:szCs w:val="16"/>
              </w:rPr>
            </w:pPr>
            <w:r w:rsidRPr="00662611">
              <w:rPr>
                <w:sz w:val="16"/>
                <w:szCs w:val="16"/>
              </w:rPr>
              <w:t xml:space="preserve">467 </w:t>
            </w:r>
          </w:p>
        </w:tc>
        <w:tc>
          <w:tcPr>
            <w:tcW w:w="519" w:type="dxa"/>
            <w:vAlign w:val="center"/>
          </w:tcPr>
          <w:p w14:paraId="7D92766A" w14:textId="701119A1" w:rsidR="00426F9C" w:rsidRPr="00662611" w:rsidRDefault="00821B18" w:rsidP="009841C0">
            <w:pPr>
              <w:pStyle w:val="Default"/>
              <w:spacing w:before="40" w:after="40"/>
              <w:jc w:val="right"/>
              <w:rPr>
                <w:sz w:val="16"/>
                <w:szCs w:val="16"/>
              </w:rPr>
            </w:pPr>
            <w:r w:rsidRPr="00662611">
              <w:rPr>
                <w:sz w:val="16"/>
                <w:szCs w:val="16"/>
              </w:rPr>
              <w:t xml:space="preserve">600 </w:t>
            </w:r>
          </w:p>
        </w:tc>
        <w:tc>
          <w:tcPr>
            <w:tcW w:w="519" w:type="dxa"/>
            <w:vAlign w:val="center"/>
          </w:tcPr>
          <w:p w14:paraId="7D92766B" w14:textId="5B11395C" w:rsidR="00426F9C" w:rsidRPr="00662611" w:rsidRDefault="00821B18" w:rsidP="009841C0">
            <w:pPr>
              <w:pStyle w:val="Default"/>
              <w:spacing w:before="40" w:after="40"/>
              <w:jc w:val="right"/>
              <w:rPr>
                <w:sz w:val="16"/>
                <w:szCs w:val="16"/>
              </w:rPr>
            </w:pPr>
            <w:r w:rsidRPr="00662611">
              <w:rPr>
                <w:sz w:val="16"/>
                <w:szCs w:val="16"/>
              </w:rPr>
              <w:t>733</w:t>
            </w:r>
          </w:p>
        </w:tc>
      </w:tr>
      <w:tr w:rsidR="00426F9C" w:rsidRPr="00662611" w14:paraId="7D927672" w14:textId="77777777" w:rsidTr="00A035FF">
        <w:trPr>
          <w:trHeight w:val="225"/>
        </w:trPr>
        <w:tc>
          <w:tcPr>
            <w:tcW w:w="8296" w:type="dxa"/>
            <w:gridSpan w:val="11"/>
            <w:vAlign w:val="center"/>
          </w:tcPr>
          <w:p w14:paraId="7D92766D" w14:textId="77777777" w:rsidR="00426F9C" w:rsidRPr="00662611" w:rsidRDefault="00426F9C" w:rsidP="00426F9C">
            <w:pPr>
              <w:pStyle w:val="Default"/>
              <w:spacing w:before="40" w:after="40"/>
              <w:rPr>
                <w:sz w:val="16"/>
                <w:szCs w:val="16"/>
              </w:rPr>
            </w:pPr>
            <w:r w:rsidRPr="00662611">
              <w:rPr>
                <w:b/>
                <w:bCs/>
                <w:sz w:val="16"/>
                <w:szCs w:val="16"/>
              </w:rPr>
              <w:t xml:space="preserve">NOTES: </w:t>
            </w:r>
          </w:p>
          <w:p w14:paraId="7D92766E" w14:textId="7C7BDCD5" w:rsidR="00426F9C" w:rsidRPr="00662611" w:rsidRDefault="00426F9C" w:rsidP="00942FDB">
            <w:pPr>
              <w:pStyle w:val="Default"/>
              <w:numPr>
                <w:ilvl w:val="6"/>
                <w:numId w:val="10"/>
              </w:numPr>
              <w:spacing w:before="40" w:after="40"/>
              <w:ind w:left="357" w:hanging="357"/>
              <w:rPr>
                <w:sz w:val="16"/>
                <w:szCs w:val="16"/>
              </w:rPr>
            </w:pPr>
            <w:r w:rsidRPr="00662611">
              <w:rPr>
                <w:sz w:val="16"/>
                <w:szCs w:val="16"/>
              </w:rPr>
              <w:t xml:space="preserve">In this example, the resurfacing occurs as expected in year 8, when the </w:t>
            </w:r>
            <w:r w:rsidR="00821B18" w:rsidRPr="00662611">
              <w:rPr>
                <w:sz w:val="16"/>
                <w:szCs w:val="16"/>
              </w:rPr>
              <w:t>original</w:t>
            </w:r>
            <w:r w:rsidRPr="00662611">
              <w:rPr>
                <w:sz w:val="16"/>
                <w:szCs w:val="16"/>
              </w:rPr>
              <w:t xml:space="preserve"> road surface is fully depreciated. If the resurfacing occurred earlier, the </w:t>
            </w:r>
            <w:r w:rsidR="00821B18" w:rsidRPr="00662611">
              <w:rPr>
                <w:sz w:val="16"/>
                <w:szCs w:val="16"/>
              </w:rPr>
              <w:t>original</w:t>
            </w:r>
            <w:r w:rsidRPr="00662611">
              <w:rPr>
                <w:sz w:val="16"/>
                <w:szCs w:val="16"/>
              </w:rPr>
              <w:t xml:space="preserve"> road surface would not be fully depreciated, and would need to be derecognised in accordance with AASB 116 before the new component of the service concession asset related to the resurfacing is recognised. </w:t>
            </w:r>
          </w:p>
          <w:p w14:paraId="7D92766F" w14:textId="36D3C766" w:rsidR="00426F9C" w:rsidRPr="00662611" w:rsidRDefault="00426F9C" w:rsidP="00942FDB">
            <w:pPr>
              <w:pStyle w:val="Default"/>
              <w:numPr>
                <w:ilvl w:val="6"/>
                <w:numId w:val="10"/>
              </w:numPr>
              <w:spacing w:before="40" w:after="40"/>
              <w:ind w:left="357" w:hanging="357"/>
              <w:rPr>
                <w:sz w:val="16"/>
                <w:szCs w:val="16"/>
              </w:rPr>
            </w:pPr>
            <w:r w:rsidRPr="00662611">
              <w:rPr>
                <w:sz w:val="16"/>
                <w:szCs w:val="16"/>
              </w:rPr>
              <w:t>The new component of the service concession asset related to the resurfacing is recognised in year 8. Years 9–10 reflect deprec</w:t>
            </w:r>
            <w:r w:rsidR="00821B18" w:rsidRPr="00662611">
              <w:rPr>
                <w:sz w:val="16"/>
                <w:szCs w:val="16"/>
              </w:rPr>
              <w:t>i</w:t>
            </w:r>
            <w:r w:rsidRPr="00662611">
              <w:rPr>
                <w:sz w:val="16"/>
                <w:szCs w:val="16"/>
              </w:rPr>
              <w:t xml:space="preserve">ation on this additional component (Table </w:t>
            </w:r>
            <w:r w:rsidR="00821B18" w:rsidRPr="00662611">
              <w:rPr>
                <w:sz w:val="16"/>
                <w:szCs w:val="16"/>
              </w:rPr>
              <w:t>7</w:t>
            </w:r>
            <w:r w:rsidRPr="00662611">
              <w:rPr>
                <w:sz w:val="16"/>
                <w:szCs w:val="16"/>
              </w:rPr>
              <w:t xml:space="preserve">.1). </w:t>
            </w:r>
          </w:p>
          <w:p w14:paraId="7D927670" w14:textId="77777777" w:rsidR="00426F9C" w:rsidRPr="00662611" w:rsidRDefault="00426F9C" w:rsidP="00942FDB">
            <w:pPr>
              <w:pStyle w:val="Default"/>
              <w:numPr>
                <w:ilvl w:val="6"/>
                <w:numId w:val="10"/>
              </w:numPr>
              <w:spacing w:before="40" w:after="40"/>
              <w:ind w:left="357" w:hanging="357"/>
              <w:rPr>
                <w:sz w:val="16"/>
                <w:szCs w:val="16"/>
              </w:rPr>
            </w:pPr>
            <w:r w:rsidRPr="00662611">
              <w:rPr>
                <w:sz w:val="16"/>
                <w:szCs w:val="16"/>
              </w:rPr>
              <w:t xml:space="preserve">The liability is increased in year 8 for the recognition of the new component of the service concession asset. </w:t>
            </w:r>
          </w:p>
          <w:p w14:paraId="7D927671" w14:textId="2E7D095D" w:rsidR="00426F9C" w:rsidRPr="00662611" w:rsidRDefault="00821B18" w:rsidP="00821B18">
            <w:pPr>
              <w:pStyle w:val="Default"/>
              <w:spacing w:before="40" w:after="40"/>
              <w:ind w:left="357" w:hanging="357"/>
              <w:rPr>
                <w:sz w:val="16"/>
                <w:szCs w:val="16"/>
              </w:rPr>
            </w:pPr>
            <w:r w:rsidRPr="00662611">
              <w:rPr>
                <w:sz w:val="16"/>
                <w:szCs w:val="16"/>
              </w:rPr>
              <w:t>*</w:t>
            </w:r>
            <w:r w:rsidRPr="00662611">
              <w:rPr>
                <w:sz w:val="16"/>
                <w:szCs w:val="16"/>
              </w:rPr>
              <w:tab/>
              <w:t>From year 3, opening balance less depreciation for the year (Table 7.1)</w:t>
            </w:r>
            <w:r w:rsidR="00C440E5" w:rsidRPr="00662611">
              <w:rPr>
                <w:sz w:val="16"/>
                <w:szCs w:val="16"/>
              </w:rPr>
              <w:t>.</w:t>
            </w:r>
          </w:p>
        </w:tc>
      </w:tr>
    </w:tbl>
    <w:p w14:paraId="7D927673" w14:textId="77777777" w:rsidR="006D7AC6" w:rsidRPr="00662611" w:rsidRDefault="006D7AC6" w:rsidP="00FC0BF3">
      <w:pPr>
        <w:pStyle w:val="NumBC1"/>
        <w:numPr>
          <w:ilvl w:val="0"/>
          <w:numId w:val="0"/>
        </w:numPr>
      </w:pPr>
    </w:p>
    <w:p w14:paraId="7D927674" w14:textId="75955CCF" w:rsidR="006D7AC6" w:rsidRPr="00662611" w:rsidRDefault="006D7AC6" w:rsidP="00FB21C0">
      <w:pPr>
        <w:pStyle w:val="Default"/>
        <w:spacing w:after="200" w:line="200" w:lineRule="exact"/>
        <w:ind w:left="782"/>
        <w:outlineLvl w:val="3"/>
        <w:rPr>
          <w:b/>
          <w:bCs/>
          <w:sz w:val="20"/>
          <w:szCs w:val="20"/>
        </w:rPr>
      </w:pPr>
      <w:r w:rsidRPr="00662611">
        <w:rPr>
          <w:b/>
          <w:bCs/>
          <w:sz w:val="20"/>
          <w:szCs w:val="20"/>
        </w:rPr>
        <w:t xml:space="preserve">Table </w:t>
      </w:r>
      <w:proofErr w:type="gramStart"/>
      <w:r w:rsidR="00821B18" w:rsidRPr="00662611">
        <w:rPr>
          <w:b/>
          <w:bCs/>
          <w:sz w:val="20"/>
          <w:szCs w:val="20"/>
        </w:rPr>
        <w:t>7</w:t>
      </w:r>
      <w:r w:rsidRPr="00662611">
        <w:rPr>
          <w:b/>
          <w:bCs/>
          <w:sz w:val="20"/>
          <w:szCs w:val="20"/>
        </w:rPr>
        <w:t xml:space="preserve">.3 </w:t>
      </w:r>
      <w:r w:rsidR="00DC7EF3" w:rsidRPr="00662611">
        <w:rPr>
          <w:b/>
          <w:bCs/>
          <w:sz w:val="20"/>
          <w:szCs w:val="20"/>
        </w:rPr>
        <w:t xml:space="preserve"> </w:t>
      </w:r>
      <w:r w:rsidRPr="00662611">
        <w:rPr>
          <w:b/>
          <w:bCs/>
          <w:sz w:val="20"/>
          <w:szCs w:val="20"/>
        </w:rPr>
        <w:t>Changes</w:t>
      </w:r>
      <w:proofErr w:type="gramEnd"/>
      <w:r w:rsidRPr="00662611">
        <w:rPr>
          <w:b/>
          <w:bCs/>
          <w:sz w:val="20"/>
          <w:szCs w:val="20"/>
        </w:rPr>
        <w:t xml:space="preserve"> in </w:t>
      </w:r>
      <w:r w:rsidR="0076432C" w:rsidRPr="00662611">
        <w:rPr>
          <w:b/>
          <w:bCs/>
          <w:sz w:val="20"/>
          <w:szCs w:val="20"/>
        </w:rPr>
        <w:t xml:space="preserve">the </w:t>
      </w:r>
      <w:r w:rsidR="00DE6BF2" w:rsidRPr="00662611">
        <w:rPr>
          <w:b/>
          <w:bCs/>
          <w:sz w:val="20"/>
          <w:szCs w:val="20"/>
        </w:rPr>
        <w:t>liability (currency u</w:t>
      </w:r>
      <w:r w:rsidRPr="00662611">
        <w:rPr>
          <w:b/>
          <w:bCs/>
          <w:sz w:val="20"/>
          <w:szCs w:val="20"/>
        </w:rPr>
        <w:t>nits)</w:t>
      </w:r>
    </w:p>
    <w:tbl>
      <w:tblPr>
        <w:tblW w:w="8333"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Table 7.3 Changes in Liability (Currency Units)"/>
        <w:tblDescription w:val="Table 7.3 shows the changes in the grantor's liability in years 1–10. The liability relating to the service concession asset starts to decrease as revenue is recognised in years 3–10. CU110 in Year 8 is an additional liability corresponding to the additional asset that is recorded when surface layers are replaced."/>
      </w:tblPr>
      <w:tblGrid>
        <w:gridCol w:w="3143"/>
        <w:gridCol w:w="519"/>
        <w:gridCol w:w="519"/>
        <w:gridCol w:w="519"/>
        <w:gridCol w:w="519"/>
        <w:gridCol w:w="519"/>
        <w:gridCol w:w="519"/>
        <w:gridCol w:w="519"/>
        <w:gridCol w:w="519"/>
        <w:gridCol w:w="519"/>
        <w:gridCol w:w="519"/>
      </w:tblGrid>
      <w:tr w:rsidR="006D7AC6" w:rsidRPr="00662611" w14:paraId="7D927680" w14:textId="77777777" w:rsidTr="00A035FF">
        <w:trPr>
          <w:trHeight w:val="107"/>
        </w:trPr>
        <w:tc>
          <w:tcPr>
            <w:tcW w:w="3089" w:type="dxa"/>
          </w:tcPr>
          <w:p w14:paraId="7D927675" w14:textId="77777777" w:rsidR="006D7AC6" w:rsidRPr="00662611" w:rsidRDefault="006D7AC6" w:rsidP="00920F7E">
            <w:pPr>
              <w:pStyle w:val="Default"/>
              <w:spacing w:before="40" w:after="40"/>
              <w:rPr>
                <w:sz w:val="16"/>
                <w:szCs w:val="16"/>
              </w:rPr>
            </w:pPr>
            <w:r w:rsidRPr="00662611">
              <w:rPr>
                <w:b/>
                <w:bCs/>
                <w:sz w:val="16"/>
                <w:szCs w:val="16"/>
              </w:rPr>
              <w:t xml:space="preserve">Year </w:t>
            </w:r>
          </w:p>
        </w:tc>
        <w:tc>
          <w:tcPr>
            <w:tcW w:w="510" w:type="dxa"/>
          </w:tcPr>
          <w:p w14:paraId="7D927676" w14:textId="77777777" w:rsidR="006D7AC6" w:rsidRPr="00662611" w:rsidRDefault="006D7AC6" w:rsidP="00920F7E">
            <w:pPr>
              <w:pStyle w:val="Default"/>
              <w:spacing w:before="40" w:after="40"/>
              <w:jc w:val="right"/>
              <w:rPr>
                <w:sz w:val="16"/>
                <w:szCs w:val="16"/>
              </w:rPr>
            </w:pPr>
            <w:r w:rsidRPr="00662611">
              <w:rPr>
                <w:b/>
                <w:bCs/>
                <w:sz w:val="16"/>
                <w:szCs w:val="16"/>
              </w:rPr>
              <w:t xml:space="preserve">1 </w:t>
            </w:r>
          </w:p>
        </w:tc>
        <w:tc>
          <w:tcPr>
            <w:tcW w:w="510" w:type="dxa"/>
          </w:tcPr>
          <w:p w14:paraId="7D927677" w14:textId="77777777" w:rsidR="006D7AC6" w:rsidRPr="00662611" w:rsidRDefault="006D7AC6" w:rsidP="00920F7E">
            <w:pPr>
              <w:pStyle w:val="Default"/>
              <w:spacing w:before="40" w:after="40"/>
              <w:jc w:val="right"/>
              <w:rPr>
                <w:sz w:val="16"/>
                <w:szCs w:val="16"/>
              </w:rPr>
            </w:pPr>
            <w:r w:rsidRPr="00662611">
              <w:rPr>
                <w:b/>
                <w:bCs/>
                <w:sz w:val="16"/>
                <w:szCs w:val="16"/>
              </w:rPr>
              <w:t xml:space="preserve">2 </w:t>
            </w:r>
          </w:p>
        </w:tc>
        <w:tc>
          <w:tcPr>
            <w:tcW w:w="510" w:type="dxa"/>
          </w:tcPr>
          <w:p w14:paraId="7D927678" w14:textId="77777777" w:rsidR="006D7AC6" w:rsidRPr="00662611" w:rsidRDefault="006D7AC6" w:rsidP="00920F7E">
            <w:pPr>
              <w:pStyle w:val="Default"/>
              <w:spacing w:before="40" w:after="40"/>
              <w:jc w:val="right"/>
              <w:rPr>
                <w:sz w:val="16"/>
                <w:szCs w:val="16"/>
              </w:rPr>
            </w:pPr>
            <w:r w:rsidRPr="00662611">
              <w:rPr>
                <w:b/>
                <w:bCs/>
                <w:sz w:val="16"/>
                <w:szCs w:val="16"/>
              </w:rPr>
              <w:t xml:space="preserve">3 </w:t>
            </w:r>
          </w:p>
        </w:tc>
        <w:tc>
          <w:tcPr>
            <w:tcW w:w="510" w:type="dxa"/>
          </w:tcPr>
          <w:p w14:paraId="7D927679" w14:textId="77777777" w:rsidR="006D7AC6" w:rsidRPr="00662611" w:rsidRDefault="006D7AC6" w:rsidP="00920F7E">
            <w:pPr>
              <w:pStyle w:val="Default"/>
              <w:spacing w:before="40" w:after="40"/>
              <w:jc w:val="right"/>
              <w:rPr>
                <w:sz w:val="16"/>
                <w:szCs w:val="16"/>
              </w:rPr>
            </w:pPr>
            <w:r w:rsidRPr="00662611">
              <w:rPr>
                <w:b/>
                <w:bCs/>
                <w:sz w:val="16"/>
                <w:szCs w:val="16"/>
              </w:rPr>
              <w:t xml:space="preserve">4 </w:t>
            </w:r>
          </w:p>
        </w:tc>
        <w:tc>
          <w:tcPr>
            <w:tcW w:w="510" w:type="dxa"/>
          </w:tcPr>
          <w:p w14:paraId="7D92767A" w14:textId="77777777" w:rsidR="006D7AC6" w:rsidRPr="00662611" w:rsidRDefault="006D7AC6" w:rsidP="00920F7E">
            <w:pPr>
              <w:pStyle w:val="Default"/>
              <w:spacing w:before="40" w:after="40"/>
              <w:jc w:val="right"/>
              <w:rPr>
                <w:sz w:val="16"/>
                <w:szCs w:val="16"/>
              </w:rPr>
            </w:pPr>
            <w:r w:rsidRPr="00662611">
              <w:rPr>
                <w:b/>
                <w:bCs/>
                <w:sz w:val="16"/>
                <w:szCs w:val="16"/>
              </w:rPr>
              <w:t xml:space="preserve">5 </w:t>
            </w:r>
          </w:p>
        </w:tc>
        <w:tc>
          <w:tcPr>
            <w:tcW w:w="510" w:type="dxa"/>
          </w:tcPr>
          <w:p w14:paraId="7D92767B" w14:textId="77777777" w:rsidR="006D7AC6" w:rsidRPr="00662611" w:rsidRDefault="006D7AC6" w:rsidP="00920F7E">
            <w:pPr>
              <w:pStyle w:val="Default"/>
              <w:spacing w:before="40" w:after="40"/>
              <w:jc w:val="right"/>
              <w:rPr>
                <w:sz w:val="16"/>
                <w:szCs w:val="16"/>
              </w:rPr>
            </w:pPr>
            <w:r w:rsidRPr="00662611">
              <w:rPr>
                <w:b/>
                <w:bCs/>
                <w:sz w:val="16"/>
                <w:szCs w:val="16"/>
              </w:rPr>
              <w:t xml:space="preserve">6 </w:t>
            </w:r>
          </w:p>
        </w:tc>
        <w:tc>
          <w:tcPr>
            <w:tcW w:w="510" w:type="dxa"/>
          </w:tcPr>
          <w:p w14:paraId="7D92767C" w14:textId="77777777" w:rsidR="006D7AC6" w:rsidRPr="00662611" w:rsidRDefault="006D7AC6" w:rsidP="00920F7E">
            <w:pPr>
              <w:pStyle w:val="Default"/>
              <w:spacing w:before="40" w:after="40"/>
              <w:jc w:val="right"/>
              <w:rPr>
                <w:sz w:val="16"/>
                <w:szCs w:val="16"/>
              </w:rPr>
            </w:pPr>
            <w:r w:rsidRPr="00662611">
              <w:rPr>
                <w:b/>
                <w:bCs/>
                <w:sz w:val="16"/>
                <w:szCs w:val="16"/>
              </w:rPr>
              <w:t xml:space="preserve">7 </w:t>
            </w:r>
          </w:p>
        </w:tc>
        <w:tc>
          <w:tcPr>
            <w:tcW w:w="510" w:type="dxa"/>
          </w:tcPr>
          <w:p w14:paraId="7D92767D" w14:textId="77777777" w:rsidR="006D7AC6" w:rsidRPr="00662611" w:rsidRDefault="006D7AC6" w:rsidP="00920F7E">
            <w:pPr>
              <w:pStyle w:val="Default"/>
              <w:spacing w:before="40" w:after="40"/>
              <w:jc w:val="right"/>
              <w:rPr>
                <w:sz w:val="16"/>
                <w:szCs w:val="16"/>
              </w:rPr>
            </w:pPr>
            <w:r w:rsidRPr="00662611">
              <w:rPr>
                <w:b/>
                <w:bCs/>
                <w:sz w:val="16"/>
                <w:szCs w:val="16"/>
              </w:rPr>
              <w:t xml:space="preserve">8 </w:t>
            </w:r>
          </w:p>
        </w:tc>
        <w:tc>
          <w:tcPr>
            <w:tcW w:w="510" w:type="dxa"/>
          </w:tcPr>
          <w:p w14:paraId="7D92767E" w14:textId="77777777" w:rsidR="006D7AC6" w:rsidRPr="00662611" w:rsidRDefault="006D7AC6" w:rsidP="00920F7E">
            <w:pPr>
              <w:pStyle w:val="Default"/>
              <w:spacing w:before="40" w:after="40"/>
              <w:jc w:val="right"/>
              <w:rPr>
                <w:sz w:val="16"/>
                <w:szCs w:val="16"/>
              </w:rPr>
            </w:pPr>
            <w:r w:rsidRPr="00662611">
              <w:rPr>
                <w:b/>
                <w:bCs/>
                <w:sz w:val="16"/>
                <w:szCs w:val="16"/>
              </w:rPr>
              <w:t xml:space="preserve">9 </w:t>
            </w:r>
          </w:p>
        </w:tc>
        <w:tc>
          <w:tcPr>
            <w:tcW w:w="510" w:type="dxa"/>
          </w:tcPr>
          <w:p w14:paraId="7D92767F" w14:textId="77777777" w:rsidR="006D7AC6" w:rsidRPr="00662611" w:rsidRDefault="006D7AC6" w:rsidP="00920F7E">
            <w:pPr>
              <w:pStyle w:val="Default"/>
              <w:spacing w:before="40" w:after="40"/>
              <w:jc w:val="right"/>
              <w:rPr>
                <w:sz w:val="16"/>
                <w:szCs w:val="16"/>
              </w:rPr>
            </w:pPr>
            <w:r w:rsidRPr="00662611">
              <w:rPr>
                <w:b/>
                <w:bCs/>
                <w:sz w:val="16"/>
                <w:szCs w:val="16"/>
              </w:rPr>
              <w:t xml:space="preserve">10 </w:t>
            </w:r>
          </w:p>
        </w:tc>
      </w:tr>
      <w:tr w:rsidR="006D7AC6" w:rsidRPr="00662611" w14:paraId="7D92768C" w14:textId="77777777" w:rsidTr="00A035FF">
        <w:trPr>
          <w:trHeight w:val="105"/>
        </w:trPr>
        <w:tc>
          <w:tcPr>
            <w:tcW w:w="3089" w:type="dxa"/>
          </w:tcPr>
          <w:p w14:paraId="7D927681" w14:textId="77777777" w:rsidR="006D7AC6" w:rsidRPr="00662611" w:rsidRDefault="006D7AC6" w:rsidP="00920F7E">
            <w:pPr>
              <w:pStyle w:val="Default"/>
              <w:spacing w:before="40" w:after="40"/>
              <w:rPr>
                <w:sz w:val="16"/>
                <w:szCs w:val="16"/>
              </w:rPr>
            </w:pPr>
            <w:r w:rsidRPr="00662611">
              <w:rPr>
                <w:sz w:val="16"/>
                <w:szCs w:val="16"/>
              </w:rPr>
              <w:t xml:space="preserve">Balance brought forward </w:t>
            </w:r>
          </w:p>
        </w:tc>
        <w:tc>
          <w:tcPr>
            <w:tcW w:w="510" w:type="dxa"/>
            <w:vAlign w:val="center"/>
          </w:tcPr>
          <w:p w14:paraId="7D927682"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83" w14:textId="77777777" w:rsidR="006D7AC6" w:rsidRPr="00662611" w:rsidRDefault="006D7AC6" w:rsidP="00920F7E">
            <w:pPr>
              <w:pStyle w:val="Default"/>
              <w:spacing w:before="40" w:after="40"/>
              <w:jc w:val="right"/>
              <w:rPr>
                <w:sz w:val="16"/>
                <w:szCs w:val="16"/>
              </w:rPr>
            </w:pPr>
            <w:r w:rsidRPr="00662611">
              <w:rPr>
                <w:sz w:val="16"/>
                <w:szCs w:val="16"/>
              </w:rPr>
              <w:t xml:space="preserve">525 </w:t>
            </w:r>
          </w:p>
        </w:tc>
        <w:tc>
          <w:tcPr>
            <w:tcW w:w="510" w:type="dxa"/>
            <w:vAlign w:val="center"/>
          </w:tcPr>
          <w:p w14:paraId="7D927684" w14:textId="3A6E979B" w:rsidR="006D7AC6" w:rsidRPr="00662611" w:rsidRDefault="00BE1435" w:rsidP="00BE1435">
            <w:pPr>
              <w:pStyle w:val="Default"/>
              <w:spacing w:before="40" w:after="40"/>
              <w:jc w:val="right"/>
              <w:rPr>
                <w:sz w:val="16"/>
                <w:szCs w:val="16"/>
              </w:rPr>
            </w:pPr>
            <w:r w:rsidRPr="00662611">
              <w:rPr>
                <w:sz w:val="16"/>
                <w:szCs w:val="16"/>
              </w:rPr>
              <w:t>1,</w:t>
            </w:r>
            <w:r w:rsidR="00C51278" w:rsidRPr="00662611">
              <w:rPr>
                <w:sz w:val="16"/>
                <w:szCs w:val="16"/>
              </w:rPr>
              <w:t xml:space="preserve">082 </w:t>
            </w:r>
          </w:p>
        </w:tc>
        <w:tc>
          <w:tcPr>
            <w:tcW w:w="510" w:type="dxa"/>
            <w:vAlign w:val="center"/>
          </w:tcPr>
          <w:p w14:paraId="7D927685" w14:textId="3FBADAEB" w:rsidR="006D7AC6" w:rsidRPr="00662611" w:rsidRDefault="00C51278" w:rsidP="00920F7E">
            <w:pPr>
              <w:pStyle w:val="Default"/>
              <w:spacing w:before="40" w:after="40"/>
              <w:jc w:val="right"/>
              <w:rPr>
                <w:sz w:val="16"/>
                <w:szCs w:val="16"/>
              </w:rPr>
            </w:pPr>
            <w:r w:rsidRPr="00662611">
              <w:rPr>
                <w:sz w:val="16"/>
                <w:szCs w:val="16"/>
              </w:rPr>
              <w:t xml:space="preserve">947 </w:t>
            </w:r>
          </w:p>
        </w:tc>
        <w:tc>
          <w:tcPr>
            <w:tcW w:w="510" w:type="dxa"/>
            <w:vAlign w:val="center"/>
          </w:tcPr>
          <w:p w14:paraId="7D927686" w14:textId="7E6D3964" w:rsidR="006D7AC6" w:rsidRPr="00662611" w:rsidRDefault="00C51278" w:rsidP="00920F7E">
            <w:pPr>
              <w:pStyle w:val="Default"/>
              <w:spacing w:before="40" w:after="40"/>
              <w:jc w:val="right"/>
              <w:rPr>
                <w:sz w:val="16"/>
                <w:szCs w:val="16"/>
              </w:rPr>
            </w:pPr>
            <w:r w:rsidRPr="00662611">
              <w:rPr>
                <w:sz w:val="16"/>
                <w:szCs w:val="16"/>
              </w:rPr>
              <w:t xml:space="preserve">812 </w:t>
            </w:r>
          </w:p>
        </w:tc>
        <w:tc>
          <w:tcPr>
            <w:tcW w:w="510" w:type="dxa"/>
            <w:vAlign w:val="center"/>
          </w:tcPr>
          <w:p w14:paraId="7D927687" w14:textId="3F3FB13B" w:rsidR="006D7AC6" w:rsidRPr="00662611" w:rsidRDefault="00C51278" w:rsidP="00920F7E">
            <w:pPr>
              <w:pStyle w:val="Default"/>
              <w:spacing w:before="40" w:after="40"/>
              <w:jc w:val="right"/>
              <w:rPr>
                <w:sz w:val="16"/>
                <w:szCs w:val="16"/>
              </w:rPr>
            </w:pPr>
            <w:r w:rsidRPr="00662611">
              <w:rPr>
                <w:sz w:val="16"/>
                <w:szCs w:val="16"/>
              </w:rPr>
              <w:t xml:space="preserve">677 </w:t>
            </w:r>
          </w:p>
        </w:tc>
        <w:tc>
          <w:tcPr>
            <w:tcW w:w="510" w:type="dxa"/>
            <w:vAlign w:val="center"/>
          </w:tcPr>
          <w:p w14:paraId="7D927688" w14:textId="097F00AD" w:rsidR="006D7AC6" w:rsidRPr="00662611" w:rsidRDefault="00C51278" w:rsidP="00920F7E">
            <w:pPr>
              <w:pStyle w:val="Default"/>
              <w:spacing w:before="40" w:after="40"/>
              <w:jc w:val="right"/>
              <w:rPr>
                <w:sz w:val="16"/>
                <w:szCs w:val="16"/>
              </w:rPr>
            </w:pPr>
            <w:r w:rsidRPr="00662611">
              <w:rPr>
                <w:sz w:val="16"/>
                <w:szCs w:val="16"/>
              </w:rPr>
              <w:t xml:space="preserve">541 </w:t>
            </w:r>
          </w:p>
        </w:tc>
        <w:tc>
          <w:tcPr>
            <w:tcW w:w="510" w:type="dxa"/>
            <w:vAlign w:val="center"/>
          </w:tcPr>
          <w:p w14:paraId="7D927689" w14:textId="684990F6" w:rsidR="006D7AC6" w:rsidRPr="00662611" w:rsidRDefault="00C51278" w:rsidP="00920F7E">
            <w:pPr>
              <w:pStyle w:val="Default"/>
              <w:spacing w:before="40" w:after="40"/>
              <w:jc w:val="right"/>
              <w:rPr>
                <w:sz w:val="16"/>
                <w:szCs w:val="16"/>
              </w:rPr>
            </w:pPr>
            <w:r w:rsidRPr="00662611">
              <w:rPr>
                <w:sz w:val="16"/>
                <w:szCs w:val="16"/>
              </w:rPr>
              <w:t xml:space="preserve">406 </w:t>
            </w:r>
          </w:p>
        </w:tc>
        <w:tc>
          <w:tcPr>
            <w:tcW w:w="510" w:type="dxa"/>
            <w:vAlign w:val="center"/>
          </w:tcPr>
          <w:p w14:paraId="7D92768A" w14:textId="694B1C55" w:rsidR="006D7AC6" w:rsidRPr="00662611" w:rsidRDefault="00C51278" w:rsidP="00920F7E">
            <w:pPr>
              <w:pStyle w:val="Default"/>
              <w:spacing w:before="40" w:after="40"/>
              <w:jc w:val="right"/>
              <w:rPr>
                <w:sz w:val="16"/>
                <w:szCs w:val="16"/>
              </w:rPr>
            </w:pPr>
            <w:r w:rsidRPr="00662611">
              <w:rPr>
                <w:sz w:val="16"/>
                <w:szCs w:val="16"/>
              </w:rPr>
              <w:t xml:space="preserve">381 </w:t>
            </w:r>
          </w:p>
        </w:tc>
        <w:tc>
          <w:tcPr>
            <w:tcW w:w="510" w:type="dxa"/>
            <w:vAlign w:val="center"/>
          </w:tcPr>
          <w:p w14:paraId="7D92768B" w14:textId="018AE976" w:rsidR="006D7AC6" w:rsidRPr="00662611" w:rsidRDefault="00C51278" w:rsidP="00920F7E">
            <w:pPr>
              <w:pStyle w:val="Default"/>
              <w:spacing w:before="40" w:after="40"/>
              <w:jc w:val="right"/>
              <w:rPr>
                <w:sz w:val="16"/>
                <w:szCs w:val="16"/>
              </w:rPr>
            </w:pPr>
            <w:r w:rsidRPr="00662611">
              <w:rPr>
                <w:sz w:val="16"/>
                <w:szCs w:val="16"/>
              </w:rPr>
              <w:t xml:space="preserve">191 </w:t>
            </w:r>
          </w:p>
        </w:tc>
      </w:tr>
      <w:tr w:rsidR="006D7AC6" w:rsidRPr="00662611" w14:paraId="7D927698" w14:textId="77777777" w:rsidTr="00A035FF">
        <w:trPr>
          <w:trHeight w:val="345"/>
        </w:trPr>
        <w:tc>
          <w:tcPr>
            <w:tcW w:w="3089" w:type="dxa"/>
          </w:tcPr>
          <w:p w14:paraId="7D92768D" w14:textId="77777777" w:rsidR="006D7AC6" w:rsidRPr="00662611" w:rsidRDefault="006D7AC6" w:rsidP="00920F7E">
            <w:pPr>
              <w:pStyle w:val="Default"/>
              <w:spacing w:before="40" w:after="40"/>
              <w:rPr>
                <w:sz w:val="16"/>
                <w:szCs w:val="16"/>
              </w:rPr>
            </w:pPr>
            <w:r w:rsidRPr="00662611">
              <w:rPr>
                <w:sz w:val="16"/>
                <w:szCs w:val="16"/>
              </w:rPr>
              <w:t xml:space="preserve">Liability recognised along with initial service concession asset </w:t>
            </w:r>
            <w:r w:rsidR="00821B18" w:rsidRPr="00662611">
              <w:rPr>
                <w:sz w:val="16"/>
                <w:szCs w:val="16"/>
              </w:rPr>
              <w:t xml:space="preserve">* </w:t>
            </w:r>
          </w:p>
        </w:tc>
        <w:tc>
          <w:tcPr>
            <w:tcW w:w="510" w:type="dxa"/>
            <w:vAlign w:val="center"/>
          </w:tcPr>
          <w:p w14:paraId="7D92768E" w14:textId="77777777" w:rsidR="006D7AC6" w:rsidRPr="00662611" w:rsidRDefault="006D7AC6" w:rsidP="00920F7E">
            <w:pPr>
              <w:pStyle w:val="Default"/>
              <w:spacing w:before="40" w:after="40"/>
              <w:jc w:val="right"/>
              <w:rPr>
                <w:sz w:val="16"/>
                <w:szCs w:val="16"/>
              </w:rPr>
            </w:pPr>
            <w:r w:rsidRPr="00662611">
              <w:rPr>
                <w:sz w:val="16"/>
                <w:szCs w:val="16"/>
              </w:rPr>
              <w:t xml:space="preserve">525 </w:t>
            </w:r>
          </w:p>
        </w:tc>
        <w:tc>
          <w:tcPr>
            <w:tcW w:w="510" w:type="dxa"/>
            <w:vAlign w:val="center"/>
          </w:tcPr>
          <w:p w14:paraId="7D92768F" w14:textId="77777777" w:rsidR="006D7AC6" w:rsidRPr="00662611" w:rsidRDefault="006D7AC6" w:rsidP="00920F7E">
            <w:pPr>
              <w:pStyle w:val="Default"/>
              <w:spacing w:before="40" w:after="40"/>
              <w:jc w:val="right"/>
              <w:rPr>
                <w:sz w:val="16"/>
                <w:szCs w:val="16"/>
              </w:rPr>
            </w:pPr>
            <w:r w:rsidRPr="00662611">
              <w:rPr>
                <w:sz w:val="16"/>
                <w:szCs w:val="16"/>
              </w:rPr>
              <w:t xml:space="preserve">525 </w:t>
            </w:r>
          </w:p>
        </w:tc>
        <w:tc>
          <w:tcPr>
            <w:tcW w:w="510" w:type="dxa"/>
            <w:vAlign w:val="center"/>
          </w:tcPr>
          <w:p w14:paraId="7D927690"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91"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92"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93"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94"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95"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96"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97"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r>
      <w:tr w:rsidR="00821B18" w:rsidRPr="00662611" w14:paraId="7D9276A4" w14:textId="77777777" w:rsidTr="00A035FF">
        <w:trPr>
          <w:trHeight w:val="225"/>
        </w:trPr>
        <w:tc>
          <w:tcPr>
            <w:tcW w:w="3089" w:type="dxa"/>
          </w:tcPr>
          <w:p w14:paraId="7D927699" w14:textId="1C6B9C4A" w:rsidR="00821B18" w:rsidRPr="00662611" w:rsidRDefault="00821B18" w:rsidP="00B226CB">
            <w:pPr>
              <w:pStyle w:val="Default"/>
              <w:spacing w:before="40" w:after="40"/>
              <w:rPr>
                <w:sz w:val="16"/>
                <w:szCs w:val="16"/>
              </w:rPr>
            </w:pPr>
            <w:r w:rsidRPr="00662611">
              <w:rPr>
                <w:sz w:val="16"/>
                <w:szCs w:val="16"/>
              </w:rPr>
              <w:t xml:space="preserve">Implied </w:t>
            </w:r>
            <w:r w:rsidR="00B226CB">
              <w:rPr>
                <w:sz w:val="16"/>
                <w:szCs w:val="16"/>
              </w:rPr>
              <w:t xml:space="preserve">funding </w:t>
            </w:r>
            <w:r w:rsidRPr="00662611">
              <w:rPr>
                <w:sz w:val="16"/>
                <w:szCs w:val="16"/>
              </w:rPr>
              <w:t>cost included in current replacement cost of asset *</w:t>
            </w:r>
          </w:p>
        </w:tc>
        <w:tc>
          <w:tcPr>
            <w:tcW w:w="510" w:type="dxa"/>
            <w:vAlign w:val="center"/>
          </w:tcPr>
          <w:p w14:paraId="7D92769A" w14:textId="77777777" w:rsidR="00821B18" w:rsidRPr="00662611" w:rsidRDefault="00821B18" w:rsidP="00920F7E">
            <w:pPr>
              <w:pStyle w:val="Default"/>
              <w:spacing w:before="40" w:after="40"/>
              <w:jc w:val="right"/>
              <w:rPr>
                <w:sz w:val="16"/>
                <w:szCs w:val="16"/>
              </w:rPr>
            </w:pPr>
            <w:r w:rsidRPr="00662611">
              <w:rPr>
                <w:sz w:val="16"/>
                <w:szCs w:val="16"/>
              </w:rPr>
              <w:t>–</w:t>
            </w:r>
          </w:p>
        </w:tc>
        <w:tc>
          <w:tcPr>
            <w:tcW w:w="510" w:type="dxa"/>
            <w:vAlign w:val="center"/>
          </w:tcPr>
          <w:p w14:paraId="7D92769B" w14:textId="77777777" w:rsidR="00821B18" w:rsidRPr="00662611" w:rsidRDefault="00821B18" w:rsidP="00920F7E">
            <w:pPr>
              <w:pStyle w:val="Default"/>
              <w:spacing w:before="40" w:after="40"/>
              <w:jc w:val="right"/>
              <w:rPr>
                <w:sz w:val="16"/>
                <w:szCs w:val="16"/>
              </w:rPr>
            </w:pPr>
            <w:r w:rsidRPr="00662611">
              <w:rPr>
                <w:sz w:val="16"/>
                <w:szCs w:val="16"/>
              </w:rPr>
              <w:t>32</w:t>
            </w:r>
          </w:p>
        </w:tc>
        <w:tc>
          <w:tcPr>
            <w:tcW w:w="510" w:type="dxa"/>
            <w:vAlign w:val="center"/>
          </w:tcPr>
          <w:p w14:paraId="7D92769C" w14:textId="77777777" w:rsidR="00821B18" w:rsidRPr="00662611" w:rsidRDefault="00821B18" w:rsidP="00920F7E">
            <w:pPr>
              <w:pStyle w:val="Default"/>
              <w:spacing w:before="40" w:after="40"/>
              <w:jc w:val="right"/>
              <w:rPr>
                <w:sz w:val="16"/>
                <w:szCs w:val="16"/>
              </w:rPr>
            </w:pPr>
            <w:r w:rsidRPr="00662611">
              <w:rPr>
                <w:sz w:val="16"/>
                <w:szCs w:val="16"/>
              </w:rPr>
              <w:t>–</w:t>
            </w:r>
          </w:p>
        </w:tc>
        <w:tc>
          <w:tcPr>
            <w:tcW w:w="510" w:type="dxa"/>
            <w:vAlign w:val="center"/>
          </w:tcPr>
          <w:p w14:paraId="7D92769D" w14:textId="77777777" w:rsidR="00821B18" w:rsidRPr="00662611" w:rsidRDefault="00821B18" w:rsidP="00920F7E">
            <w:pPr>
              <w:pStyle w:val="Default"/>
              <w:spacing w:before="40" w:after="40"/>
              <w:jc w:val="right"/>
              <w:rPr>
                <w:sz w:val="16"/>
                <w:szCs w:val="16"/>
              </w:rPr>
            </w:pPr>
            <w:r w:rsidRPr="00662611">
              <w:rPr>
                <w:sz w:val="16"/>
                <w:szCs w:val="16"/>
              </w:rPr>
              <w:t>–</w:t>
            </w:r>
          </w:p>
        </w:tc>
        <w:tc>
          <w:tcPr>
            <w:tcW w:w="510" w:type="dxa"/>
            <w:vAlign w:val="center"/>
          </w:tcPr>
          <w:p w14:paraId="7D92769E" w14:textId="77777777" w:rsidR="00821B18" w:rsidRPr="00662611" w:rsidRDefault="00821B18" w:rsidP="00920F7E">
            <w:pPr>
              <w:pStyle w:val="Default"/>
              <w:spacing w:before="40" w:after="40"/>
              <w:jc w:val="right"/>
              <w:rPr>
                <w:sz w:val="16"/>
                <w:szCs w:val="16"/>
              </w:rPr>
            </w:pPr>
            <w:r w:rsidRPr="00662611">
              <w:rPr>
                <w:sz w:val="16"/>
                <w:szCs w:val="16"/>
              </w:rPr>
              <w:t>–</w:t>
            </w:r>
          </w:p>
        </w:tc>
        <w:tc>
          <w:tcPr>
            <w:tcW w:w="510" w:type="dxa"/>
            <w:vAlign w:val="center"/>
          </w:tcPr>
          <w:p w14:paraId="7D92769F" w14:textId="77777777" w:rsidR="00821B18" w:rsidRPr="00662611" w:rsidRDefault="00821B18" w:rsidP="00920F7E">
            <w:pPr>
              <w:pStyle w:val="Default"/>
              <w:spacing w:before="40" w:after="40"/>
              <w:jc w:val="right"/>
              <w:rPr>
                <w:sz w:val="16"/>
                <w:szCs w:val="16"/>
              </w:rPr>
            </w:pPr>
            <w:r w:rsidRPr="00662611">
              <w:rPr>
                <w:sz w:val="16"/>
                <w:szCs w:val="16"/>
              </w:rPr>
              <w:t>–</w:t>
            </w:r>
          </w:p>
        </w:tc>
        <w:tc>
          <w:tcPr>
            <w:tcW w:w="510" w:type="dxa"/>
            <w:vAlign w:val="center"/>
          </w:tcPr>
          <w:p w14:paraId="7D9276A0" w14:textId="77777777" w:rsidR="00821B18" w:rsidRPr="00662611" w:rsidRDefault="00821B18" w:rsidP="00920F7E">
            <w:pPr>
              <w:pStyle w:val="Default"/>
              <w:spacing w:before="40" w:after="40"/>
              <w:jc w:val="right"/>
              <w:rPr>
                <w:sz w:val="16"/>
                <w:szCs w:val="16"/>
              </w:rPr>
            </w:pPr>
            <w:r w:rsidRPr="00662611">
              <w:rPr>
                <w:sz w:val="16"/>
                <w:szCs w:val="16"/>
              </w:rPr>
              <w:t>–</w:t>
            </w:r>
          </w:p>
        </w:tc>
        <w:tc>
          <w:tcPr>
            <w:tcW w:w="510" w:type="dxa"/>
            <w:vAlign w:val="center"/>
          </w:tcPr>
          <w:p w14:paraId="7D9276A1" w14:textId="77777777" w:rsidR="00821B18" w:rsidRPr="00662611" w:rsidRDefault="00821B18" w:rsidP="00920F7E">
            <w:pPr>
              <w:pStyle w:val="Default"/>
              <w:spacing w:before="40" w:after="40"/>
              <w:jc w:val="right"/>
              <w:rPr>
                <w:sz w:val="16"/>
                <w:szCs w:val="16"/>
              </w:rPr>
            </w:pPr>
            <w:r w:rsidRPr="00662611">
              <w:rPr>
                <w:sz w:val="16"/>
                <w:szCs w:val="16"/>
              </w:rPr>
              <w:t>–</w:t>
            </w:r>
          </w:p>
        </w:tc>
        <w:tc>
          <w:tcPr>
            <w:tcW w:w="510" w:type="dxa"/>
            <w:vAlign w:val="center"/>
          </w:tcPr>
          <w:p w14:paraId="7D9276A2" w14:textId="77777777" w:rsidR="00821B18" w:rsidRPr="00662611" w:rsidRDefault="00821B18" w:rsidP="00920F7E">
            <w:pPr>
              <w:pStyle w:val="Default"/>
              <w:spacing w:before="40" w:after="40"/>
              <w:jc w:val="right"/>
              <w:rPr>
                <w:sz w:val="16"/>
                <w:szCs w:val="16"/>
              </w:rPr>
            </w:pPr>
            <w:r w:rsidRPr="00662611">
              <w:rPr>
                <w:sz w:val="16"/>
                <w:szCs w:val="16"/>
              </w:rPr>
              <w:t>–</w:t>
            </w:r>
          </w:p>
        </w:tc>
        <w:tc>
          <w:tcPr>
            <w:tcW w:w="510" w:type="dxa"/>
            <w:vAlign w:val="center"/>
          </w:tcPr>
          <w:p w14:paraId="7D9276A3" w14:textId="77777777" w:rsidR="00821B18" w:rsidRPr="00662611" w:rsidRDefault="00821B18" w:rsidP="00920F7E">
            <w:pPr>
              <w:pStyle w:val="Default"/>
              <w:spacing w:before="40" w:after="40"/>
              <w:jc w:val="right"/>
              <w:rPr>
                <w:sz w:val="16"/>
                <w:szCs w:val="16"/>
              </w:rPr>
            </w:pPr>
            <w:r w:rsidRPr="00662611">
              <w:rPr>
                <w:sz w:val="16"/>
                <w:szCs w:val="16"/>
              </w:rPr>
              <w:t>–</w:t>
            </w:r>
          </w:p>
        </w:tc>
      </w:tr>
      <w:tr w:rsidR="006D7AC6" w:rsidRPr="00662611" w14:paraId="7D9276B0" w14:textId="77777777" w:rsidTr="00A035FF">
        <w:trPr>
          <w:trHeight w:val="225"/>
        </w:trPr>
        <w:tc>
          <w:tcPr>
            <w:tcW w:w="3089" w:type="dxa"/>
          </w:tcPr>
          <w:p w14:paraId="7D9276A5" w14:textId="492AFBA7" w:rsidR="006D7AC6" w:rsidRPr="00662611" w:rsidRDefault="006D7AC6" w:rsidP="00920F7E">
            <w:pPr>
              <w:pStyle w:val="Default"/>
              <w:spacing w:before="40" w:after="40"/>
              <w:rPr>
                <w:sz w:val="16"/>
                <w:szCs w:val="16"/>
              </w:rPr>
            </w:pPr>
            <w:r w:rsidRPr="00662611">
              <w:rPr>
                <w:sz w:val="16"/>
                <w:szCs w:val="16"/>
              </w:rPr>
              <w:t xml:space="preserve">Revenue (reduction of liability) </w:t>
            </w:r>
            <w:r w:rsidR="00C51278" w:rsidRPr="00662611">
              <w:rPr>
                <w:sz w:val="14"/>
                <w:szCs w:val="14"/>
              </w:rPr>
              <w:t>†</w:t>
            </w:r>
            <w:r w:rsidRPr="00662611">
              <w:rPr>
                <w:sz w:val="16"/>
                <w:szCs w:val="16"/>
              </w:rPr>
              <w:t xml:space="preserve"> </w:t>
            </w:r>
          </w:p>
        </w:tc>
        <w:tc>
          <w:tcPr>
            <w:tcW w:w="510" w:type="dxa"/>
            <w:vAlign w:val="center"/>
          </w:tcPr>
          <w:p w14:paraId="7D9276A6"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A7"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A8" w14:textId="1A0DA689" w:rsidR="006D7AC6" w:rsidRPr="00662611" w:rsidRDefault="006D7AC6" w:rsidP="00920F7E">
            <w:pPr>
              <w:pStyle w:val="Default"/>
              <w:spacing w:before="40" w:after="40"/>
              <w:jc w:val="right"/>
              <w:rPr>
                <w:sz w:val="16"/>
                <w:szCs w:val="16"/>
              </w:rPr>
            </w:pPr>
            <w:r w:rsidRPr="00662611">
              <w:rPr>
                <w:sz w:val="16"/>
                <w:szCs w:val="16"/>
              </w:rPr>
              <w:t>(</w:t>
            </w:r>
            <w:r w:rsidR="00C51278" w:rsidRPr="00662611">
              <w:rPr>
                <w:sz w:val="16"/>
                <w:szCs w:val="16"/>
              </w:rPr>
              <w:t>135</w:t>
            </w:r>
            <w:r w:rsidRPr="00662611">
              <w:rPr>
                <w:sz w:val="16"/>
                <w:szCs w:val="16"/>
              </w:rPr>
              <w:t xml:space="preserve">) </w:t>
            </w:r>
          </w:p>
        </w:tc>
        <w:tc>
          <w:tcPr>
            <w:tcW w:w="510" w:type="dxa"/>
            <w:vAlign w:val="center"/>
          </w:tcPr>
          <w:p w14:paraId="7D9276A9" w14:textId="18BA8580" w:rsidR="006D7AC6" w:rsidRPr="00662611" w:rsidRDefault="006D7AC6" w:rsidP="00920F7E">
            <w:pPr>
              <w:pStyle w:val="Default"/>
              <w:spacing w:before="40" w:after="40"/>
              <w:jc w:val="right"/>
              <w:rPr>
                <w:sz w:val="16"/>
                <w:szCs w:val="16"/>
              </w:rPr>
            </w:pPr>
            <w:r w:rsidRPr="00662611">
              <w:rPr>
                <w:sz w:val="16"/>
                <w:szCs w:val="16"/>
              </w:rPr>
              <w:t>(</w:t>
            </w:r>
            <w:r w:rsidR="00C51278" w:rsidRPr="00662611">
              <w:rPr>
                <w:sz w:val="16"/>
                <w:szCs w:val="16"/>
              </w:rPr>
              <w:t>135</w:t>
            </w:r>
            <w:r w:rsidRPr="00662611">
              <w:rPr>
                <w:sz w:val="16"/>
                <w:szCs w:val="16"/>
              </w:rPr>
              <w:t xml:space="preserve">) </w:t>
            </w:r>
          </w:p>
        </w:tc>
        <w:tc>
          <w:tcPr>
            <w:tcW w:w="510" w:type="dxa"/>
            <w:vAlign w:val="center"/>
          </w:tcPr>
          <w:p w14:paraId="7D9276AA" w14:textId="46A04E06" w:rsidR="006D7AC6" w:rsidRPr="00662611" w:rsidRDefault="006D7AC6" w:rsidP="00920F7E">
            <w:pPr>
              <w:pStyle w:val="Default"/>
              <w:spacing w:before="40" w:after="40"/>
              <w:jc w:val="right"/>
              <w:rPr>
                <w:sz w:val="16"/>
                <w:szCs w:val="16"/>
              </w:rPr>
            </w:pPr>
            <w:r w:rsidRPr="00662611">
              <w:rPr>
                <w:sz w:val="16"/>
                <w:szCs w:val="16"/>
              </w:rPr>
              <w:t>(</w:t>
            </w:r>
            <w:r w:rsidR="00C51278" w:rsidRPr="00662611">
              <w:rPr>
                <w:sz w:val="16"/>
                <w:szCs w:val="16"/>
              </w:rPr>
              <w:t>135</w:t>
            </w:r>
            <w:r w:rsidRPr="00662611">
              <w:rPr>
                <w:sz w:val="16"/>
                <w:szCs w:val="16"/>
              </w:rPr>
              <w:t xml:space="preserve">) </w:t>
            </w:r>
          </w:p>
        </w:tc>
        <w:tc>
          <w:tcPr>
            <w:tcW w:w="510" w:type="dxa"/>
            <w:vAlign w:val="center"/>
          </w:tcPr>
          <w:p w14:paraId="7D9276AB" w14:textId="0EDE23CF" w:rsidR="006D7AC6" w:rsidRPr="00662611" w:rsidRDefault="006D7AC6" w:rsidP="00920F7E">
            <w:pPr>
              <w:pStyle w:val="Default"/>
              <w:spacing w:before="40" w:after="40"/>
              <w:jc w:val="right"/>
              <w:rPr>
                <w:sz w:val="16"/>
                <w:szCs w:val="16"/>
              </w:rPr>
            </w:pPr>
            <w:r w:rsidRPr="00662611">
              <w:rPr>
                <w:sz w:val="16"/>
                <w:szCs w:val="16"/>
              </w:rPr>
              <w:t>(</w:t>
            </w:r>
            <w:r w:rsidR="00C51278" w:rsidRPr="00662611">
              <w:rPr>
                <w:sz w:val="16"/>
                <w:szCs w:val="16"/>
              </w:rPr>
              <w:t>136</w:t>
            </w:r>
            <w:r w:rsidRPr="00662611">
              <w:rPr>
                <w:sz w:val="16"/>
                <w:szCs w:val="16"/>
              </w:rPr>
              <w:t xml:space="preserve">) </w:t>
            </w:r>
          </w:p>
        </w:tc>
        <w:tc>
          <w:tcPr>
            <w:tcW w:w="510" w:type="dxa"/>
            <w:vAlign w:val="center"/>
          </w:tcPr>
          <w:p w14:paraId="7D9276AC" w14:textId="7B1077B0" w:rsidR="006D7AC6" w:rsidRPr="00662611" w:rsidRDefault="006D7AC6" w:rsidP="00920F7E">
            <w:pPr>
              <w:pStyle w:val="Default"/>
              <w:spacing w:before="40" w:after="40"/>
              <w:jc w:val="right"/>
              <w:rPr>
                <w:sz w:val="16"/>
                <w:szCs w:val="16"/>
              </w:rPr>
            </w:pPr>
            <w:r w:rsidRPr="00662611">
              <w:rPr>
                <w:sz w:val="16"/>
                <w:szCs w:val="16"/>
              </w:rPr>
              <w:t>(</w:t>
            </w:r>
            <w:r w:rsidR="00C51278" w:rsidRPr="00662611">
              <w:rPr>
                <w:sz w:val="16"/>
                <w:szCs w:val="16"/>
              </w:rPr>
              <w:t>135</w:t>
            </w:r>
            <w:r w:rsidRPr="00662611">
              <w:rPr>
                <w:sz w:val="16"/>
                <w:szCs w:val="16"/>
              </w:rPr>
              <w:t xml:space="preserve">) </w:t>
            </w:r>
          </w:p>
        </w:tc>
        <w:tc>
          <w:tcPr>
            <w:tcW w:w="510" w:type="dxa"/>
            <w:vAlign w:val="center"/>
          </w:tcPr>
          <w:p w14:paraId="7D9276AD" w14:textId="41CCA3AF" w:rsidR="006D7AC6" w:rsidRPr="00662611" w:rsidRDefault="006D7AC6" w:rsidP="00920F7E">
            <w:pPr>
              <w:pStyle w:val="Default"/>
              <w:spacing w:before="40" w:after="40"/>
              <w:jc w:val="right"/>
              <w:rPr>
                <w:sz w:val="16"/>
                <w:szCs w:val="16"/>
              </w:rPr>
            </w:pPr>
            <w:r w:rsidRPr="00662611">
              <w:rPr>
                <w:sz w:val="16"/>
                <w:szCs w:val="16"/>
              </w:rPr>
              <w:t>(</w:t>
            </w:r>
            <w:r w:rsidR="00C51278" w:rsidRPr="00662611">
              <w:rPr>
                <w:sz w:val="16"/>
                <w:szCs w:val="16"/>
              </w:rPr>
              <w:t>135</w:t>
            </w:r>
            <w:r w:rsidRPr="00662611">
              <w:rPr>
                <w:sz w:val="16"/>
                <w:szCs w:val="16"/>
              </w:rPr>
              <w:t xml:space="preserve">) </w:t>
            </w:r>
          </w:p>
        </w:tc>
        <w:tc>
          <w:tcPr>
            <w:tcW w:w="510" w:type="dxa"/>
            <w:vAlign w:val="center"/>
          </w:tcPr>
          <w:p w14:paraId="7D9276AE" w14:textId="62B03714" w:rsidR="006D7AC6" w:rsidRPr="00662611" w:rsidRDefault="006D7AC6" w:rsidP="00920F7E">
            <w:pPr>
              <w:pStyle w:val="Default"/>
              <w:spacing w:before="40" w:after="40"/>
              <w:jc w:val="right"/>
              <w:rPr>
                <w:sz w:val="16"/>
                <w:szCs w:val="16"/>
              </w:rPr>
            </w:pPr>
            <w:r w:rsidRPr="00662611">
              <w:rPr>
                <w:sz w:val="16"/>
                <w:szCs w:val="16"/>
              </w:rPr>
              <w:t>(</w:t>
            </w:r>
            <w:r w:rsidR="00C51278" w:rsidRPr="00662611">
              <w:rPr>
                <w:sz w:val="16"/>
                <w:szCs w:val="16"/>
              </w:rPr>
              <w:t>190</w:t>
            </w:r>
            <w:r w:rsidRPr="00662611">
              <w:rPr>
                <w:sz w:val="16"/>
                <w:szCs w:val="16"/>
              </w:rPr>
              <w:t xml:space="preserve">) </w:t>
            </w:r>
          </w:p>
        </w:tc>
        <w:tc>
          <w:tcPr>
            <w:tcW w:w="510" w:type="dxa"/>
            <w:vAlign w:val="center"/>
          </w:tcPr>
          <w:p w14:paraId="7D9276AF" w14:textId="1D3DF78C" w:rsidR="006D7AC6" w:rsidRPr="00662611" w:rsidRDefault="006D7AC6" w:rsidP="00920F7E">
            <w:pPr>
              <w:pStyle w:val="Default"/>
              <w:spacing w:before="40" w:after="40"/>
              <w:jc w:val="right"/>
              <w:rPr>
                <w:sz w:val="16"/>
                <w:szCs w:val="16"/>
              </w:rPr>
            </w:pPr>
            <w:r w:rsidRPr="00662611">
              <w:rPr>
                <w:sz w:val="16"/>
                <w:szCs w:val="16"/>
              </w:rPr>
              <w:t>(</w:t>
            </w:r>
            <w:r w:rsidR="00C51278" w:rsidRPr="00662611">
              <w:rPr>
                <w:sz w:val="16"/>
                <w:szCs w:val="16"/>
              </w:rPr>
              <w:t>191</w:t>
            </w:r>
            <w:r w:rsidRPr="00662611">
              <w:rPr>
                <w:sz w:val="16"/>
                <w:szCs w:val="16"/>
              </w:rPr>
              <w:t xml:space="preserve">) </w:t>
            </w:r>
          </w:p>
        </w:tc>
      </w:tr>
      <w:tr w:rsidR="006D7AC6" w:rsidRPr="00662611" w14:paraId="7D9276BC" w14:textId="77777777" w:rsidTr="00A035FF">
        <w:trPr>
          <w:trHeight w:val="345"/>
        </w:trPr>
        <w:tc>
          <w:tcPr>
            <w:tcW w:w="3089" w:type="dxa"/>
          </w:tcPr>
          <w:p w14:paraId="7D9276B1" w14:textId="77777777" w:rsidR="006D7AC6" w:rsidRPr="00662611" w:rsidRDefault="006D7AC6" w:rsidP="00920F7E">
            <w:pPr>
              <w:pStyle w:val="Default"/>
              <w:spacing w:before="40" w:after="40"/>
              <w:rPr>
                <w:sz w:val="16"/>
                <w:szCs w:val="16"/>
              </w:rPr>
            </w:pPr>
            <w:r w:rsidRPr="00662611">
              <w:rPr>
                <w:sz w:val="16"/>
                <w:szCs w:val="16"/>
              </w:rPr>
              <w:t xml:space="preserve">Liability recognised along with replacement surface layers </w:t>
            </w:r>
          </w:p>
        </w:tc>
        <w:tc>
          <w:tcPr>
            <w:tcW w:w="510" w:type="dxa"/>
            <w:vAlign w:val="center"/>
          </w:tcPr>
          <w:p w14:paraId="7D9276B2"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B3"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B4"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B5"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B6"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B7"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B8"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B9" w14:textId="77777777" w:rsidR="006D7AC6" w:rsidRPr="00662611" w:rsidRDefault="006D7AC6" w:rsidP="00920F7E">
            <w:pPr>
              <w:pStyle w:val="Default"/>
              <w:spacing w:before="40" w:after="40"/>
              <w:jc w:val="right"/>
              <w:rPr>
                <w:sz w:val="16"/>
                <w:szCs w:val="16"/>
              </w:rPr>
            </w:pPr>
            <w:r w:rsidRPr="00662611">
              <w:rPr>
                <w:sz w:val="16"/>
                <w:szCs w:val="16"/>
              </w:rPr>
              <w:t xml:space="preserve">110 </w:t>
            </w:r>
          </w:p>
        </w:tc>
        <w:tc>
          <w:tcPr>
            <w:tcW w:w="510" w:type="dxa"/>
            <w:vAlign w:val="center"/>
          </w:tcPr>
          <w:p w14:paraId="7D9276BA"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c>
          <w:tcPr>
            <w:tcW w:w="510" w:type="dxa"/>
            <w:vAlign w:val="center"/>
          </w:tcPr>
          <w:p w14:paraId="7D9276BB"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r>
      <w:tr w:rsidR="006D7AC6" w:rsidRPr="00662611" w14:paraId="7D9276C8" w14:textId="77777777" w:rsidTr="00A035FF">
        <w:trPr>
          <w:trHeight w:val="105"/>
        </w:trPr>
        <w:tc>
          <w:tcPr>
            <w:tcW w:w="3089" w:type="dxa"/>
          </w:tcPr>
          <w:p w14:paraId="7D9276BD" w14:textId="77777777" w:rsidR="006D7AC6" w:rsidRPr="00662611" w:rsidRDefault="006D7AC6" w:rsidP="00920F7E">
            <w:pPr>
              <w:pStyle w:val="Default"/>
              <w:spacing w:before="40" w:after="40"/>
              <w:rPr>
                <w:sz w:val="16"/>
                <w:szCs w:val="16"/>
              </w:rPr>
            </w:pPr>
            <w:r w:rsidRPr="00662611">
              <w:rPr>
                <w:sz w:val="16"/>
                <w:szCs w:val="16"/>
              </w:rPr>
              <w:t xml:space="preserve">Balance carried forward </w:t>
            </w:r>
          </w:p>
        </w:tc>
        <w:tc>
          <w:tcPr>
            <w:tcW w:w="510" w:type="dxa"/>
            <w:vAlign w:val="center"/>
          </w:tcPr>
          <w:p w14:paraId="7D9276BE" w14:textId="77777777" w:rsidR="006D7AC6" w:rsidRPr="00662611" w:rsidRDefault="006D7AC6" w:rsidP="00920F7E">
            <w:pPr>
              <w:pStyle w:val="Default"/>
              <w:spacing w:before="40" w:after="40"/>
              <w:jc w:val="right"/>
              <w:rPr>
                <w:sz w:val="16"/>
                <w:szCs w:val="16"/>
              </w:rPr>
            </w:pPr>
            <w:r w:rsidRPr="00662611">
              <w:rPr>
                <w:sz w:val="16"/>
                <w:szCs w:val="16"/>
              </w:rPr>
              <w:t xml:space="preserve">525 </w:t>
            </w:r>
          </w:p>
        </w:tc>
        <w:tc>
          <w:tcPr>
            <w:tcW w:w="510" w:type="dxa"/>
            <w:vAlign w:val="center"/>
          </w:tcPr>
          <w:p w14:paraId="7D9276BF" w14:textId="27BCF00B" w:rsidR="006D7AC6" w:rsidRPr="00662611" w:rsidRDefault="00BE1435" w:rsidP="00BE1435">
            <w:pPr>
              <w:pStyle w:val="Default"/>
              <w:spacing w:before="40" w:after="40"/>
              <w:jc w:val="right"/>
              <w:rPr>
                <w:sz w:val="16"/>
                <w:szCs w:val="16"/>
              </w:rPr>
            </w:pPr>
            <w:r w:rsidRPr="00662611">
              <w:rPr>
                <w:sz w:val="16"/>
                <w:szCs w:val="16"/>
              </w:rPr>
              <w:t>1,</w:t>
            </w:r>
            <w:r w:rsidR="00C51278" w:rsidRPr="00662611">
              <w:rPr>
                <w:sz w:val="16"/>
                <w:szCs w:val="16"/>
              </w:rPr>
              <w:t xml:space="preserve">082 </w:t>
            </w:r>
          </w:p>
        </w:tc>
        <w:tc>
          <w:tcPr>
            <w:tcW w:w="510" w:type="dxa"/>
            <w:vAlign w:val="center"/>
          </w:tcPr>
          <w:p w14:paraId="7D9276C0" w14:textId="16519251" w:rsidR="006D7AC6" w:rsidRPr="00662611" w:rsidRDefault="00C51278" w:rsidP="00920F7E">
            <w:pPr>
              <w:pStyle w:val="Default"/>
              <w:spacing w:before="40" w:after="40"/>
              <w:jc w:val="right"/>
              <w:rPr>
                <w:sz w:val="16"/>
                <w:szCs w:val="16"/>
              </w:rPr>
            </w:pPr>
            <w:r w:rsidRPr="00662611">
              <w:rPr>
                <w:sz w:val="16"/>
                <w:szCs w:val="16"/>
              </w:rPr>
              <w:t xml:space="preserve">947 </w:t>
            </w:r>
          </w:p>
        </w:tc>
        <w:tc>
          <w:tcPr>
            <w:tcW w:w="510" w:type="dxa"/>
            <w:vAlign w:val="center"/>
          </w:tcPr>
          <w:p w14:paraId="7D9276C1" w14:textId="5266E95E" w:rsidR="006D7AC6" w:rsidRPr="00662611" w:rsidRDefault="00C51278" w:rsidP="00920F7E">
            <w:pPr>
              <w:pStyle w:val="Default"/>
              <w:spacing w:before="40" w:after="40"/>
              <w:jc w:val="right"/>
              <w:rPr>
                <w:sz w:val="16"/>
                <w:szCs w:val="16"/>
              </w:rPr>
            </w:pPr>
            <w:r w:rsidRPr="00662611">
              <w:rPr>
                <w:sz w:val="16"/>
                <w:szCs w:val="16"/>
              </w:rPr>
              <w:t xml:space="preserve">812 </w:t>
            </w:r>
          </w:p>
        </w:tc>
        <w:tc>
          <w:tcPr>
            <w:tcW w:w="510" w:type="dxa"/>
            <w:vAlign w:val="center"/>
          </w:tcPr>
          <w:p w14:paraId="7D9276C2" w14:textId="5113A0FA" w:rsidR="006D7AC6" w:rsidRPr="00662611" w:rsidRDefault="00C51278" w:rsidP="00920F7E">
            <w:pPr>
              <w:pStyle w:val="Default"/>
              <w:spacing w:before="40" w:after="40"/>
              <w:jc w:val="right"/>
              <w:rPr>
                <w:sz w:val="16"/>
                <w:szCs w:val="16"/>
              </w:rPr>
            </w:pPr>
            <w:r w:rsidRPr="00662611">
              <w:rPr>
                <w:sz w:val="16"/>
                <w:szCs w:val="16"/>
              </w:rPr>
              <w:t xml:space="preserve">677 </w:t>
            </w:r>
          </w:p>
        </w:tc>
        <w:tc>
          <w:tcPr>
            <w:tcW w:w="510" w:type="dxa"/>
            <w:vAlign w:val="center"/>
          </w:tcPr>
          <w:p w14:paraId="7D9276C3" w14:textId="79136AE3" w:rsidR="006D7AC6" w:rsidRPr="00662611" w:rsidRDefault="00C51278" w:rsidP="00920F7E">
            <w:pPr>
              <w:pStyle w:val="Default"/>
              <w:spacing w:before="40" w:after="40"/>
              <w:jc w:val="right"/>
              <w:rPr>
                <w:sz w:val="16"/>
                <w:szCs w:val="16"/>
              </w:rPr>
            </w:pPr>
            <w:r w:rsidRPr="00662611">
              <w:rPr>
                <w:sz w:val="16"/>
                <w:szCs w:val="16"/>
              </w:rPr>
              <w:t xml:space="preserve">541 </w:t>
            </w:r>
          </w:p>
        </w:tc>
        <w:tc>
          <w:tcPr>
            <w:tcW w:w="510" w:type="dxa"/>
            <w:vAlign w:val="center"/>
          </w:tcPr>
          <w:p w14:paraId="7D9276C4" w14:textId="78F87F05" w:rsidR="006D7AC6" w:rsidRPr="00662611" w:rsidRDefault="00C51278" w:rsidP="00920F7E">
            <w:pPr>
              <w:pStyle w:val="Default"/>
              <w:spacing w:before="40" w:after="40"/>
              <w:jc w:val="right"/>
              <w:rPr>
                <w:sz w:val="16"/>
                <w:szCs w:val="16"/>
              </w:rPr>
            </w:pPr>
            <w:r w:rsidRPr="00662611">
              <w:rPr>
                <w:sz w:val="16"/>
                <w:szCs w:val="16"/>
              </w:rPr>
              <w:t xml:space="preserve">406 </w:t>
            </w:r>
          </w:p>
        </w:tc>
        <w:tc>
          <w:tcPr>
            <w:tcW w:w="510" w:type="dxa"/>
            <w:vAlign w:val="center"/>
          </w:tcPr>
          <w:p w14:paraId="7D9276C5" w14:textId="702DED0E" w:rsidR="006D7AC6" w:rsidRPr="00662611" w:rsidRDefault="00C51278" w:rsidP="00920F7E">
            <w:pPr>
              <w:pStyle w:val="Default"/>
              <w:spacing w:before="40" w:after="40"/>
              <w:jc w:val="right"/>
              <w:rPr>
                <w:sz w:val="16"/>
                <w:szCs w:val="16"/>
              </w:rPr>
            </w:pPr>
            <w:r w:rsidRPr="00662611">
              <w:rPr>
                <w:sz w:val="16"/>
                <w:szCs w:val="16"/>
              </w:rPr>
              <w:t xml:space="preserve">381 </w:t>
            </w:r>
          </w:p>
        </w:tc>
        <w:tc>
          <w:tcPr>
            <w:tcW w:w="510" w:type="dxa"/>
            <w:vAlign w:val="center"/>
          </w:tcPr>
          <w:p w14:paraId="7D9276C6" w14:textId="2CEC373C" w:rsidR="006D7AC6" w:rsidRPr="00662611" w:rsidRDefault="00C51278" w:rsidP="00920F7E">
            <w:pPr>
              <w:pStyle w:val="Default"/>
              <w:spacing w:before="40" w:after="40"/>
              <w:jc w:val="right"/>
              <w:rPr>
                <w:sz w:val="16"/>
                <w:szCs w:val="16"/>
              </w:rPr>
            </w:pPr>
            <w:r w:rsidRPr="00662611">
              <w:rPr>
                <w:sz w:val="16"/>
                <w:szCs w:val="16"/>
              </w:rPr>
              <w:t xml:space="preserve">191 </w:t>
            </w:r>
          </w:p>
        </w:tc>
        <w:tc>
          <w:tcPr>
            <w:tcW w:w="510" w:type="dxa"/>
            <w:vAlign w:val="center"/>
          </w:tcPr>
          <w:p w14:paraId="7D9276C7" w14:textId="77777777" w:rsidR="006D7AC6" w:rsidRPr="00662611" w:rsidRDefault="006D7AC6" w:rsidP="00920F7E">
            <w:pPr>
              <w:pStyle w:val="Default"/>
              <w:spacing w:before="40" w:after="40"/>
              <w:jc w:val="right"/>
              <w:rPr>
                <w:sz w:val="16"/>
                <w:szCs w:val="16"/>
              </w:rPr>
            </w:pPr>
            <w:r w:rsidRPr="00662611">
              <w:rPr>
                <w:sz w:val="16"/>
                <w:szCs w:val="16"/>
              </w:rPr>
              <w:t xml:space="preserve">– </w:t>
            </w:r>
          </w:p>
        </w:tc>
      </w:tr>
      <w:tr w:rsidR="00821B18" w:rsidRPr="00662611" w14:paraId="7D9276CC" w14:textId="77777777" w:rsidTr="00A035FF">
        <w:trPr>
          <w:trHeight w:val="105"/>
        </w:trPr>
        <w:tc>
          <w:tcPr>
            <w:tcW w:w="510" w:type="dxa"/>
            <w:gridSpan w:val="11"/>
          </w:tcPr>
          <w:p w14:paraId="7D9276C9" w14:textId="77777777" w:rsidR="00821B18" w:rsidRPr="00662611" w:rsidRDefault="00821B18" w:rsidP="00821B18">
            <w:pPr>
              <w:pStyle w:val="Default"/>
              <w:spacing w:before="40" w:after="40"/>
              <w:jc w:val="both"/>
              <w:rPr>
                <w:sz w:val="16"/>
                <w:szCs w:val="16"/>
              </w:rPr>
            </w:pPr>
            <w:r w:rsidRPr="00662611">
              <w:rPr>
                <w:b/>
                <w:bCs/>
                <w:sz w:val="16"/>
                <w:szCs w:val="16"/>
              </w:rPr>
              <w:t xml:space="preserve">NOTES: </w:t>
            </w:r>
          </w:p>
          <w:p w14:paraId="7D9276CA" w14:textId="7882139B" w:rsidR="00821B18" w:rsidRPr="00662611" w:rsidRDefault="00821B18" w:rsidP="00821B18">
            <w:pPr>
              <w:pStyle w:val="Default"/>
              <w:tabs>
                <w:tab w:val="left" w:pos="349"/>
              </w:tabs>
              <w:spacing w:before="40" w:after="40"/>
              <w:jc w:val="both"/>
              <w:rPr>
                <w:sz w:val="16"/>
                <w:szCs w:val="16"/>
              </w:rPr>
            </w:pPr>
            <w:r w:rsidRPr="00662611">
              <w:rPr>
                <w:sz w:val="16"/>
                <w:szCs w:val="16"/>
              </w:rPr>
              <w:t>*</w:t>
            </w:r>
            <w:r w:rsidRPr="00662611">
              <w:rPr>
                <w:sz w:val="16"/>
                <w:szCs w:val="16"/>
              </w:rPr>
              <w:tab/>
              <w:t xml:space="preserve">See paragraph </w:t>
            </w:r>
            <w:r w:rsidR="007448D9">
              <w:rPr>
                <w:sz w:val="16"/>
                <w:szCs w:val="16"/>
              </w:rPr>
              <w:fldChar w:fldCharType="begin"/>
            </w:r>
            <w:r w:rsidR="007448D9">
              <w:rPr>
                <w:sz w:val="16"/>
                <w:szCs w:val="16"/>
              </w:rPr>
              <w:instrText xml:space="preserve"> REF _Ref486146665 \r \h </w:instrText>
            </w:r>
            <w:r w:rsidR="007448D9">
              <w:rPr>
                <w:sz w:val="16"/>
                <w:szCs w:val="16"/>
              </w:rPr>
            </w:r>
            <w:r w:rsidR="007448D9">
              <w:rPr>
                <w:sz w:val="16"/>
                <w:szCs w:val="16"/>
              </w:rPr>
              <w:fldChar w:fldCharType="separate"/>
            </w:r>
            <w:r w:rsidR="00C43128">
              <w:rPr>
                <w:sz w:val="16"/>
                <w:szCs w:val="16"/>
              </w:rPr>
              <w:t>IE24</w:t>
            </w:r>
            <w:r w:rsidR="007448D9">
              <w:rPr>
                <w:sz w:val="16"/>
                <w:szCs w:val="16"/>
              </w:rPr>
              <w:fldChar w:fldCharType="end"/>
            </w:r>
            <w:r w:rsidRPr="00662611">
              <w:rPr>
                <w:sz w:val="16"/>
                <w:szCs w:val="16"/>
              </w:rPr>
              <w:t>.</w:t>
            </w:r>
          </w:p>
          <w:p w14:paraId="7D9276CB" w14:textId="77777777" w:rsidR="00821B18" w:rsidRPr="00662611" w:rsidRDefault="00821B18" w:rsidP="00BA7ECF">
            <w:pPr>
              <w:pStyle w:val="Default"/>
              <w:spacing w:before="40" w:after="40"/>
              <w:ind w:left="357" w:hanging="357"/>
              <w:rPr>
                <w:sz w:val="16"/>
                <w:szCs w:val="16"/>
              </w:rPr>
            </w:pPr>
            <w:r w:rsidRPr="00662611">
              <w:rPr>
                <w:sz w:val="16"/>
                <w:szCs w:val="16"/>
              </w:rPr>
              <w:t>†</w:t>
            </w:r>
            <w:r w:rsidRPr="00662611">
              <w:rPr>
                <w:rFonts w:ascii="Lucida Sans Unicode" w:hAnsi="Lucida Sans Unicode" w:cs="Lucida Sans Unicode"/>
                <w:sz w:val="16"/>
                <w:szCs w:val="16"/>
              </w:rPr>
              <w:tab/>
            </w:r>
            <w:r w:rsidRPr="00662611">
              <w:rPr>
                <w:sz w:val="16"/>
                <w:szCs w:val="16"/>
              </w:rPr>
              <w:t>Revenue related to the</w:t>
            </w:r>
            <w:r w:rsidR="00C51278" w:rsidRPr="00662611">
              <w:rPr>
                <w:sz w:val="16"/>
                <w:szCs w:val="16"/>
              </w:rPr>
              <w:t xml:space="preserve"> initial liability of CU135 (CU1</w:t>
            </w:r>
            <w:proofErr w:type="gramStart"/>
            <w:r w:rsidR="00C51278" w:rsidRPr="00662611">
              <w:rPr>
                <w:sz w:val="16"/>
                <w:szCs w:val="16"/>
              </w:rPr>
              <w:t>,082</w:t>
            </w:r>
            <w:proofErr w:type="gramEnd"/>
            <w:r w:rsidR="00C51278" w:rsidRPr="00662611">
              <w:rPr>
                <w:sz w:val="16"/>
                <w:szCs w:val="16"/>
              </w:rPr>
              <w:t>/8) in years 3–</w:t>
            </w:r>
            <w:r w:rsidR="00BA7ECF" w:rsidRPr="00662611">
              <w:rPr>
                <w:sz w:val="16"/>
                <w:szCs w:val="16"/>
              </w:rPr>
              <w:t>10</w:t>
            </w:r>
            <w:r w:rsidR="0093676B" w:rsidRPr="00662611">
              <w:rPr>
                <w:sz w:val="16"/>
                <w:szCs w:val="16"/>
              </w:rPr>
              <w:t>,</w:t>
            </w:r>
            <w:r w:rsidR="00BA7ECF" w:rsidRPr="00662611">
              <w:rPr>
                <w:sz w:val="16"/>
                <w:szCs w:val="16"/>
              </w:rPr>
              <w:t xml:space="preserve"> plus revenue related to the resurfacing liability of CU55 (CU110/2) in years 9–10</w:t>
            </w:r>
            <w:r w:rsidRPr="00662611">
              <w:rPr>
                <w:sz w:val="16"/>
                <w:szCs w:val="16"/>
              </w:rPr>
              <w:t>.</w:t>
            </w:r>
          </w:p>
        </w:tc>
      </w:tr>
    </w:tbl>
    <w:p w14:paraId="7D9276CD" w14:textId="77777777" w:rsidR="00CF1523" w:rsidRPr="00662611" w:rsidRDefault="00CF1523" w:rsidP="00CF1523">
      <w:pPr>
        <w:pStyle w:val="IE1"/>
        <w:numPr>
          <w:ilvl w:val="0"/>
          <w:numId w:val="0"/>
        </w:numPr>
        <w:rPr>
          <w:sz w:val="19"/>
          <w:szCs w:val="19"/>
        </w:rPr>
      </w:pPr>
    </w:p>
    <w:p w14:paraId="7D9276CE" w14:textId="7D0FCA17" w:rsidR="00FC5E99" w:rsidRPr="00662611" w:rsidRDefault="00FC5E99" w:rsidP="00FB21C0">
      <w:pPr>
        <w:pStyle w:val="IASBSectionTitle1NonInd"/>
        <w:outlineLvl w:val="1"/>
      </w:pPr>
      <w:r w:rsidRPr="00662611">
        <w:t xml:space="preserve">Example </w:t>
      </w:r>
      <w:r w:rsidR="00A5779D" w:rsidRPr="00662611">
        <w:t>8</w:t>
      </w:r>
      <w:r w:rsidRPr="00662611">
        <w:t>: Allocation of liabilities in a hybrid arrangement</w:t>
      </w:r>
    </w:p>
    <w:p w14:paraId="7D9276CF" w14:textId="2A0ABBFA" w:rsidR="00FC5E99" w:rsidRPr="00662611" w:rsidRDefault="00FC5E99" w:rsidP="00517136">
      <w:pPr>
        <w:pStyle w:val="IE1"/>
        <w:spacing w:after="100" w:line="240" w:lineRule="auto"/>
        <w:ind w:left="782" w:hanging="782"/>
        <w:jc w:val="both"/>
        <w:rPr>
          <w:sz w:val="19"/>
          <w:szCs w:val="19"/>
        </w:rPr>
      </w:pPr>
      <w:r w:rsidRPr="00662611">
        <w:rPr>
          <w:sz w:val="19"/>
          <w:szCs w:val="19"/>
        </w:rPr>
        <w:t xml:space="preserve">Example </w:t>
      </w:r>
      <w:r w:rsidR="00B24D3F" w:rsidRPr="00662611">
        <w:rPr>
          <w:sz w:val="19"/>
          <w:szCs w:val="19"/>
        </w:rPr>
        <w:t>8</w:t>
      </w:r>
      <w:r w:rsidRPr="00662611">
        <w:rPr>
          <w:sz w:val="19"/>
          <w:szCs w:val="19"/>
        </w:rPr>
        <w:t xml:space="preserve"> illustrates the requirements in paragraphs </w:t>
      </w:r>
      <w:r w:rsidR="00877220" w:rsidRPr="00662611">
        <w:rPr>
          <w:sz w:val="19"/>
          <w:szCs w:val="19"/>
        </w:rPr>
        <w:fldChar w:fldCharType="begin"/>
      </w:r>
      <w:r w:rsidR="00877220" w:rsidRPr="00662611">
        <w:rPr>
          <w:sz w:val="19"/>
          <w:szCs w:val="19"/>
        </w:rPr>
        <w:instrText xml:space="preserve"> REF _Ref475620661 \r \h </w:instrText>
      </w:r>
      <w:r w:rsidR="00877220" w:rsidRPr="00662611">
        <w:rPr>
          <w:sz w:val="19"/>
          <w:szCs w:val="19"/>
        </w:rPr>
      </w:r>
      <w:r w:rsidR="00877220" w:rsidRPr="00662611">
        <w:rPr>
          <w:sz w:val="19"/>
          <w:szCs w:val="19"/>
        </w:rPr>
        <w:fldChar w:fldCharType="separate"/>
      </w:r>
      <w:r w:rsidR="00C43128">
        <w:rPr>
          <w:sz w:val="19"/>
          <w:szCs w:val="19"/>
        </w:rPr>
        <w:t>24</w:t>
      </w:r>
      <w:r w:rsidR="00877220" w:rsidRPr="00662611">
        <w:rPr>
          <w:sz w:val="19"/>
          <w:szCs w:val="19"/>
        </w:rPr>
        <w:fldChar w:fldCharType="end"/>
      </w:r>
      <w:r w:rsidR="00376103" w:rsidRPr="00662611">
        <w:rPr>
          <w:sz w:val="19"/>
          <w:szCs w:val="19"/>
        </w:rPr>
        <w:t>–</w:t>
      </w:r>
      <w:r w:rsidR="00877220" w:rsidRPr="00662611">
        <w:rPr>
          <w:sz w:val="19"/>
          <w:szCs w:val="19"/>
        </w:rPr>
        <w:fldChar w:fldCharType="begin"/>
      </w:r>
      <w:r w:rsidR="00877220" w:rsidRPr="00662611">
        <w:rPr>
          <w:sz w:val="19"/>
          <w:szCs w:val="19"/>
        </w:rPr>
        <w:instrText xml:space="preserve"> REF _Ref484391788 \r \h </w:instrText>
      </w:r>
      <w:r w:rsidR="00877220" w:rsidRPr="00662611">
        <w:rPr>
          <w:sz w:val="19"/>
          <w:szCs w:val="19"/>
        </w:rPr>
      </w:r>
      <w:r w:rsidR="00877220" w:rsidRPr="00662611">
        <w:rPr>
          <w:sz w:val="19"/>
          <w:szCs w:val="19"/>
        </w:rPr>
        <w:fldChar w:fldCharType="separate"/>
      </w:r>
      <w:r w:rsidR="00C43128">
        <w:rPr>
          <w:sz w:val="19"/>
          <w:szCs w:val="19"/>
        </w:rPr>
        <w:t>25</w:t>
      </w:r>
      <w:r w:rsidR="00877220" w:rsidRPr="00662611">
        <w:rPr>
          <w:sz w:val="19"/>
          <w:szCs w:val="19"/>
        </w:rPr>
        <w:fldChar w:fldCharType="end"/>
      </w:r>
      <w:r w:rsidR="00BB643B" w:rsidRPr="00662611">
        <w:rPr>
          <w:sz w:val="19"/>
          <w:szCs w:val="19"/>
        </w:rPr>
        <w:t xml:space="preserve"> </w:t>
      </w:r>
      <w:r w:rsidRPr="00662611">
        <w:rPr>
          <w:sz w:val="19"/>
          <w:szCs w:val="19"/>
        </w:rPr>
        <w:t xml:space="preserve">and </w:t>
      </w:r>
      <w:r w:rsidR="00877220" w:rsidRPr="00662611">
        <w:rPr>
          <w:sz w:val="19"/>
          <w:szCs w:val="19"/>
        </w:rPr>
        <w:fldChar w:fldCharType="begin"/>
      </w:r>
      <w:r w:rsidR="00877220" w:rsidRPr="00662611">
        <w:rPr>
          <w:sz w:val="19"/>
          <w:szCs w:val="19"/>
        </w:rPr>
        <w:instrText xml:space="preserve"> REF _Ref475620699 \r \h </w:instrText>
      </w:r>
      <w:r w:rsidR="00877220" w:rsidRPr="00662611">
        <w:rPr>
          <w:sz w:val="19"/>
          <w:szCs w:val="19"/>
        </w:rPr>
      </w:r>
      <w:r w:rsidR="00877220" w:rsidRPr="00662611">
        <w:rPr>
          <w:sz w:val="19"/>
          <w:szCs w:val="19"/>
        </w:rPr>
        <w:fldChar w:fldCharType="separate"/>
      </w:r>
      <w:r w:rsidR="00C43128">
        <w:rPr>
          <w:sz w:val="19"/>
          <w:szCs w:val="19"/>
        </w:rPr>
        <w:t>B73</w:t>
      </w:r>
      <w:r w:rsidR="00877220" w:rsidRPr="00662611">
        <w:rPr>
          <w:sz w:val="19"/>
          <w:szCs w:val="19"/>
        </w:rPr>
        <w:fldChar w:fldCharType="end"/>
      </w:r>
      <w:r w:rsidR="00BB643B" w:rsidRPr="00662611">
        <w:rPr>
          <w:sz w:val="19"/>
          <w:szCs w:val="19"/>
        </w:rPr>
        <w:t>–</w:t>
      </w:r>
      <w:r w:rsidR="00877220" w:rsidRPr="00662611">
        <w:rPr>
          <w:sz w:val="19"/>
          <w:szCs w:val="19"/>
        </w:rPr>
        <w:fldChar w:fldCharType="begin"/>
      </w:r>
      <w:r w:rsidR="00877220" w:rsidRPr="00662611">
        <w:rPr>
          <w:sz w:val="19"/>
          <w:szCs w:val="19"/>
        </w:rPr>
        <w:instrText xml:space="preserve"> REF _Ref475620400 \r \h </w:instrText>
      </w:r>
      <w:r w:rsidR="00877220" w:rsidRPr="00662611">
        <w:rPr>
          <w:sz w:val="19"/>
          <w:szCs w:val="19"/>
        </w:rPr>
      </w:r>
      <w:r w:rsidR="00877220" w:rsidRPr="00662611">
        <w:rPr>
          <w:sz w:val="19"/>
          <w:szCs w:val="19"/>
        </w:rPr>
        <w:fldChar w:fldCharType="separate"/>
      </w:r>
      <w:r w:rsidR="00C43128">
        <w:rPr>
          <w:sz w:val="19"/>
          <w:szCs w:val="19"/>
        </w:rPr>
        <w:t>B74</w:t>
      </w:r>
      <w:r w:rsidR="00877220" w:rsidRPr="00662611">
        <w:rPr>
          <w:sz w:val="19"/>
          <w:szCs w:val="19"/>
        </w:rPr>
        <w:fldChar w:fldCharType="end"/>
      </w:r>
      <w:r w:rsidR="00BB643B" w:rsidRPr="00662611">
        <w:rPr>
          <w:sz w:val="19"/>
          <w:szCs w:val="19"/>
        </w:rPr>
        <w:t xml:space="preserve"> </w:t>
      </w:r>
      <w:r w:rsidR="000453FD" w:rsidRPr="00662611">
        <w:rPr>
          <w:sz w:val="19"/>
          <w:szCs w:val="19"/>
        </w:rPr>
        <w:t>for</w:t>
      </w:r>
      <w:r w:rsidRPr="00662611">
        <w:rPr>
          <w:sz w:val="19"/>
          <w:szCs w:val="19"/>
        </w:rPr>
        <w:t xml:space="preserve"> dividing a hybrid service concession arrangement by measuring the financial liability part first and the</w:t>
      </w:r>
      <w:r w:rsidR="000453FD" w:rsidRPr="00662611">
        <w:rPr>
          <w:sz w:val="19"/>
          <w:szCs w:val="19"/>
        </w:rPr>
        <w:t>n</w:t>
      </w:r>
      <w:r w:rsidRPr="00662611">
        <w:rPr>
          <w:sz w:val="19"/>
          <w:szCs w:val="19"/>
        </w:rPr>
        <w:t xml:space="preserve"> allocating the remainder of the total liability to the part related to the grant of the right to the operator.</w:t>
      </w:r>
    </w:p>
    <w:p w14:paraId="7D9276D0" w14:textId="77777777" w:rsidR="00FC5E99" w:rsidRPr="00662611" w:rsidRDefault="00FC5E99" w:rsidP="00FB21C0">
      <w:pPr>
        <w:pStyle w:val="IASBSectionTitle2Ind"/>
        <w:outlineLvl w:val="2"/>
      </w:pPr>
      <w:r w:rsidRPr="00662611">
        <w:t>Arrangement terms</w:t>
      </w:r>
    </w:p>
    <w:p w14:paraId="7D9276D1" w14:textId="77777777" w:rsidR="00FC5E99" w:rsidRPr="00662611" w:rsidRDefault="00FC5E99" w:rsidP="00517136">
      <w:pPr>
        <w:pStyle w:val="IE1"/>
        <w:spacing w:after="100" w:line="240" w:lineRule="auto"/>
        <w:ind w:left="782" w:hanging="782"/>
        <w:jc w:val="both"/>
        <w:rPr>
          <w:sz w:val="19"/>
          <w:szCs w:val="19"/>
        </w:rPr>
      </w:pPr>
      <w:r w:rsidRPr="00662611">
        <w:rPr>
          <w:sz w:val="19"/>
          <w:szCs w:val="19"/>
        </w:rPr>
        <w:t>The relevant terms of the arrangement in the example are:</w:t>
      </w:r>
    </w:p>
    <w:p w14:paraId="7D9276D2" w14:textId="6458A809" w:rsidR="00FC5E99" w:rsidRPr="00662611" w:rsidRDefault="00734C02" w:rsidP="009B48F7">
      <w:pPr>
        <w:pStyle w:val="IE2"/>
        <w:tabs>
          <w:tab w:val="clear" w:pos="1021"/>
        </w:tabs>
        <w:spacing w:after="100" w:line="240" w:lineRule="auto"/>
        <w:ind w:left="1564" w:hanging="782"/>
        <w:jc w:val="both"/>
        <w:rPr>
          <w:sz w:val="19"/>
          <w:szCs w:val="19"/>
        </w:rPr>
      </w:pPr>
      <w:r w:rsidRPr="00662611">
        <w:rPr>
          <w:sz w:val="19"/>
          <w:szCs w:val="19"/>
        </w:rPr>
        <w:t>the</w:t>
      </w:r>
      <w:r w:rsidR="00FC5E99" w:rsidRPr="00662611">
        <w:rPr>
          <w:sz w:val="19"/>
          <w:szCs w:val="19"/>
        </w:rPr>
        <w:t xml:space="preserve"> operator </w:t>
      </w:r>
      <w:r w:rsidRPr="00662611">
        <w:rPr>
          <w:sz w:val="19"/>
          <w:szCs w:val="19"/>
        </w:rPr>
        <w:t xml:space="preserve">is required to </w:t>
      </w:r>
      <w:r w:rsidR="00FC5E99" w:rsidRPr="00662611">
        <w:rPr>
          <w:sz w:val="19"/>
          <w:szCs w:val="19"/>
        </w:rPr>
        <w:t>construct a road</w:t>
      </w:r>
      <w:r w:rsidR="00B226CB">
        <w:rPr>
          <w:sz w:val="19"/>
          <w:szCs w:val="19"/>
        </w:rPr>
        <w:t xml:space="preserve"> on land owned by the grantor</w:t>
      </w:r>
      <w:r w:rsidR="00FC5E99" w:rsidRPr="00662611">
        <w:rPr>
          <w:sz w:val="19"/>
          <w:szCs w:val="19"/>
        </w:rPr>
        <w:t xml:space="preserve"> – completing construction within two years</w:t>
      </w:r>
      <w:r w:rsidRPr="00662611">
        <w:rPr>
          <w:sz w:val="19"/>
          <w:szCs w:val="19"/>
        </w:rPr>
        <w:t xml:space="preserve"> –</w:t>
      </w:r>
      <w:r w:rsidR="00FC5E99" w:rsidRPr="00662611">
        <w:rPr>
          <w:sz w:val="19"/>
          <w:szCs w:val="19"/>
        </w:rPr>
        <w:t xml:space="preserve"> and maintain and operate the road to a specified standard for eighteen years (ie years 3–20);</w:t>
      </w:r>
    </w:p>
    <w:p w14:paraId="7D9276D3" w14:textId="50D721D5" w:rsidR="00FC5E99" w:rsidRPr="00662611" w:rsidRDefault="00FC5E99" w:rsidP="009B48F7">
      <w:pPr>
        <w:pStyle w:val="IE2"/>
        <w:tabs>
          <w:tab w:val="clear" w:pos="1021"/>
        </w:tabs>
        <w:spacing w:after="100" w:line="240" w:lineRule="auto"/>
        <w:ind w:left="1564" w:hanging="782"/>
        <w:jc w:val="both"/>
        <w:rPr>
          <w:sz w:val="19"/>
          <w:szCs w:val="19"/>
        </w:rPr>
      </w:pPr>
      <w:proofErr w:type="gramStart"/>
      <w:r w:rsidRPr="00662611">
        <w:rPr>
          <w:sz w:val="19"/>
          <w:szCs w:val="19"/>
        </w:rPr>
        <w:t>the</w:t>
      </w:r>
      <w:proofErr w:type="gramEnd"/>
      <w:r w:rsidRPr="00662611">
        <w:rPr>
          <w:sz w:val="19"/>
          <w:szCs w:val="19"/>
        </w:rPr>
        <w:t xml:space="preserve"> grantor </w:t>
      </w:r>
      <w:r w:rsidR="00734C02" w:rsidRPr="00662611">
        <w:rPr>
          <w:sz w:val="19"/>
          <w:szCs w:val="19"/>
        </w:rPr>
        <w:t xml:space="preserve">is required to </w:t>
      </w:r>
      <w:r w:rsidRPr="00662611">
        <w:rPr>
          <w:sz w:val="19"/>
          <w:szCs w:val="19"/>
        </w:rPr>
        <w:t>pay the operator CU100</w:t>
      </w:r>
      <w:r w:rsidR="00B226CB">
        <w:rPr>
          <w:sz w:val="19"/>
          <w:szCs w:val="19"/>
        </w:rPr>
        <w:t xml:space="preserve"> each year</w:t>
      </w:r>
      <w:r w:rsidRPr="00662611">
        <w:rPr>
          <w:sz w:val="19"/>
          <w:szCs w:val="19"/>
        </w:rPr>
        <w:t xml:space="preserve"> for eight years (ie years 3–10) for making the road available to the public. These payments are intended to partially cover the cost of constructing the road. It is assumed all cash flows take place at the end of the year</w:t>
      </w:r>
      <w:r w:rsidR="00297D8F" w:rsidRPr="00662611">
        <w:rPr>
          <w:sz w:val="19"/>
          <w:szCs w:val="19"/>
        </w:rPr>
        <w:t>.</w:t>
      </w:r>
      <w:r w:rsidRPr="00662611">
        <w:rPr>
          <w:sz w:val="19"/>
          <w:szCs w:val="19"/>
        </w:rPr>
        <w:t xml:space="preserve"> </w:t>
      </w:r>
      <w:r w:rsidR="00297D8F" w:rsidRPr="00662611">
        <w:rPr>
          <w:sz w:val="19"/>
          <w:szCs w:val="19"/>
        </w:rPr>
        <w:t xml:space="preserve">The contractually specified interest </w:t>
      </w:r>
      <w:r w:rsidRPr="00662611">
        <w:rPr>
          <w:sz w:val="19"/>
          <w:szCs w:val="19"/>
        </w:rPr>
        <w:t xml:space="preserve">rate </w:t>
      </w:r>
      <w:r w:rsidR="00297D8F" w:rsidRPr="00662611">
        <w:rPr>
          <w:sz w:val="19"/>
          <w:szCs w:val="19"/>
        </w:rPr>
        <w:t xml:space="preserve">in the arrangement </w:t>
      </w:r>
      <w:r w:rsidRPr="00662611">
        <w:rPr>
          <w:sz w:val="19"/>
          <w:szCs w:val="19"/>
        </w:rPr>
        <w:t>is 4%</w:t>
      </w:r>
      <w:r w:rsidR="00B226CB">
        <w:rPr>
          <w:sz w:val="19"/>
          <w:szCs w:val="19"/>
        </w:rPr>
        <w:t xml:space="preserve"> per annum</w:t>
      </w:r>
      <w:r w:rsidRPr="00662611">
        <w:rPr>
          <w:sz w:val="19"/>
          <w:szCs w:val="19"/>
        </w:rPr>
        <w:t xml:space="preserve">. The present value of the payments is CU673. However, unlike a typical loan, the grantor incurs the liability two years </w:t>
      </w:r>
      <w:r w:rsidRPr="00662611">
        <w:rPr>
          <w:sz w:val="19"/>
          <w:szCs w:val="19"/>
        </w:rPr>
        <w:lastRenderedPageBreak/>
        <w:t>before cash payments commence from year 3. Consequently, the effective interest rate for the financial liability is 3.2%</w:t>
      </w:r>
      <w:r w:rsidR="00B226CB">
        <w:rPr>
          <w:sz w:val="19"/>
          <w:szCs w:val="19"/>
        </w:rPr>
        <w:t xml:space="preserve"> per annum</w:t>
      </w:r>
      <w:r w:rsidR="001D17C0" w:rsidRPr="00662611">
        <w:rPr>
          <w:sz w:val="19"/>
          <w:szCs w:val="19"/>
        </w:rPr>
        <w:t>,</w:t>
      </w:r>
      <w:r w:rsidRPr="00662611">
        <w:rPr>
          <w:sz w:val="19"/>
          <w:szCs w:val="19"/>
        </w:rPr>
        <w:t xml:space="preserve"> </w:t>
      </w:r>
      <w:r w:rsidR="002C0F26" w:rsidRPr="00662611">
        <w:rPr>
          <w:sz w:val="19"/>
          <w:szCs w:val="19"/>
        </w:rPr>
        <w:t>reflect</w:t>
      </w:r>
      <w:r w:rsidR="001D17C0" w:rsidRPr="00662611">
        <w:rPr>
          <w:sz w:val="19"/>
          <w:szCs w:val="19"/>
        </w:rPr>
        <w:t>ing</w:t>
      </w:r>
      <w:r w:rsidRPr="00662611">
        <w:rPr>
          <w:sz w:val="19"/>
          <w:szCs w:val="19"/>
        </w:rPr>
        <w:t xml:space="preserve"> this timing difference</w:t>
      </w:r>
      <w:r w:rsidR="00AE4271" w:rsidRPr="00662611">
        <w:rPr>
          <w:sz w:val="19"/>
          <w:szCs w:val="19"/>
        </w:rPr>
        <w:t xml:space="preserve">. The grantor’s accounting policy for </w:t>
      </w:r>
      <w:r w:rsidR="009C2A85" w:rsidRPr="00662611">
        <w:rPr>
          <w:sz w:val="19"/>
          <w:szCs w:val="19"/>
        </w:rPr>
        <w:t xml:space="preserve">the </w:t>
      </w:r>
      <w:r w:rsidR="00AE4271" w:rsidRPr="00662611">
        <w:rPr>
          <w:sz w:val="19"/>
          <w:szCs w:val="19"/>
        </w:rPr>
        <w:t>financial liability is to subsequently measure the financial liability at amortised cost using the effective interest method</w:t>
      </w:r>
      <w:r w:rsidRPr="00662611">
        <w:rPr>
          <w:sz w:val="19"/>
          <w:szCs w:val="19"/>
        </w:rPr>
        <w:t>;</w:t>
      </w:r>
    </w:p>
    <w:p w14:paraId="7D9276D4" w14:textId="77777777" w:rsidR="00FC5E99" w:rsidRPr="00662611" w:rsidRDefault="00FC5E99" w:rsidP="009B48F7">
      <w:pPr>
        <w:pStyle w:val="IE2"/>
        <w:tabs>
          <w:tab w:val="clear" w:pos="1021"/>
        </w:tabs>
        <w:spacing w:after="100" w:line="240" w:lineRule="auto"/>
        <w:ind w:left="1564" w:hanging="782"/>
        <w:jc w:val="both"/>
        <w:rPr>
          <w:sz w:val="19"/>
          <w:szCs w:val="19"/>
        </w:rPr>
      </w:pPr>
      <w:r w:rsidRPr="00662611">
        <w:rPr>
          <w:sz w:val="19"/>
          <w:szCs w:val="19"/>
        </w:rPr>
        <w:t>the operator</w:t>
      </w:r>
      <w:r w:rsidR="00533C74" w:rsidRPr="00662611">
        <w:rPr>
          <w:sz w:val="19"/>
          <w:szCs w:val="19"/>
        </w:rPr>
        <w:t xml:space="preserve"> is permitted</w:t>
      </w:r>
      <w:r w:rsidRPr="00662611">
        <w:rPr>
          <w:sz w:val="19"/>
          <w:szCs w:val="19"/>
        </w:rPr>
        <w:t xml:space="preserve"> to collect tolls from drivers using </w:t>
      </w:r>
      <w:r w:rsidR="00297D8F" w:rsidRPr="00662611">
        <w:rPr>
          <w:sz w:val="19"/>
          <w:szCs w:val="19"/>
        </w:rPr>
        <w:t xml:space="preserve">the road for eighteen years (ie </w:t>
      </w:r>
      <w:r w:rsidRPr="00662611">
        <w:rPr>
          <w:sz w:val="19"/>
          <w:szCs w:val="19"/>
        </w:rPr>
        <w:t>years</w:t>
      </w:r>
      <w:r w:rsidR="00297D8F" w:rsidRPr="00662611">
        <w:rPr>
          <w:sz w:val="19"/>
          <w:szCs w:val="19"/>
        </w:rPr>
        <w:t xml:space="preserve"> </w:t>
      </w:r>
      <w:r w:rsidRPr="00662611">
        <w:rPr>
          <w:sz w:val="19"/>
          <w:szCs w:val="19"/>
        </w:rPr>
        <w:t>3</w:t>
      </w:r>
      <w:r w:rsidR="00297D8F" w:rsidRPr="00662611">
        <w:rPr>
          <w:sz w:val="19"/>
          <w:szCs w:val="19"/>
        </w:rPr>
        <w:t>–</w:t>
      </w:r>
      <w:r w:rsidRPr="00662611">
        <w:rPr>
          <w:sz w:val="19"/>
          <w:szCs w:val="19"/>
        </w:rPr>
        <w:t>20);</w:t>
      </w:r>
    </w:p>
    <w:p w14:paraId="7D9276D5" w14:textId="77777777" w:rsidR="00FC5E99" w:rsidRPr="00662611" w:rsidRDefault="00FC5E99" w:rsidP="009B48F7">
      <w:pPr>
        <w:pStyle w:val="IE2"/>
        <w:tabs>
          <w:tab w:val="clear" w:pos="1021"/>
        </w:tabs>
        <w:spacing w:after="100" w:line="240" w:lineRule="auto"/>
        <w:ind w:left="1564" w:hanging="782"/>
        <w:jc w:val="both"/>
        <w:rPr>
          <w:sz w:val="19"/>
          <w:szCs w:val="19"/>
        </w:rPr>
      </w:pPr>
      <w:r w:rsidRPr="00662611">
        <w:rPr>
          <w:sz w:val="19"/>
          <w:szCs w:val="19"/>
        </w:rPr>
        <w:t xml:space="preserve">the initial fair value (current replacement cost) of the </w:t>
      </w:r>
      <w:r w:rsidR="003A3251" w:rsidRPr="00662611">
        <w:rPr>
          <w:sz w:val="19"/>
          <w:szCs w:val="19"/>
        </w:rPr>
        <w:t xml:space="preserve">construction cost of the </w:t>
      </w:r>
      <w:r w:rsidRPr="00662611">
        <w:rPr>
          <w:sz w:val="19"/>
          <w:szCs w:val="19"/>
        </w:rPr>
        <w:t>service concession asset is CU</w:t>
      </w:r>
      <w:r w:rsidR="0053318E" w:rsidRPr="00662611">
        <w:rPr>
          <w:sz w:val="19"/>
          <w:szCs w:val="19"/>
        </w:rPr>
        <w:t>1,800, once construction is complete at the end of the second year</w:t>
      </w:r>
      <w:r w:rsidRPr="00662611">
        <w:rPr>
          <w:sz w:val="19"/>
          <w:szCs w:val="19"/>
        </w:rPr>
        <w:t>;</w:t>
      </w:r>
      <w:r w:rsidR="007A12E3" w:rsidRPr="00662611">
        <w:rPr>
          <w:sz w:val="19"/>
          <w:szCs w:val="19"/>
        </w:rPr>
        <w:t xml:space="preserve"> and</w:t>
      </w:r>
    </w:p>
    <w:p w14:paraId="7D9276D6" w14:textId="77777777" w:rsidR="00FC5E99" w:rsidRPr="00662611" w:rsidRDefault="00FC5E99" w:rsidP="009B48F7">
      <w:pPr>
        <w:pStyle w:val="IE2"/>
        <w:tabs>
          <w:tab w:val="clear" w:pos="1021"/>
        </w:tabs>
        <w:spacing w:after="100" w:line="240" w:lineRule="auto"/>
        <w:ind w:left="1564" w:hanging="782"/>
        <w:jc w:val="both"/>
        <w:rPr>
          <w:sz w:val="19"/>
          <w:szCs w:val="19"/>
        </w:rPr>
      </w:pPr>
      <w:proofErr w:type="gramStart"/>
      <w:r w:rsidRPr="00662611">
        <w:rPr>
          <w:sz w:val="19"/>
          <w:szCs w:val="19"/>
        </w:rPr>
        <w:t>at</w:t>
      </w:r>
      <w:proofErr w:type="gramEnd"/>
      <w:r w:rsidRPr="00662611">
        <w:rPr>
          <w:sz w:val="19"/>
          <w:szCs w:val="19"/>
        </w:rPr>
        <w:t xml:space="preserve"> the end of year 20, the arrangement will end, and the operator will transfer the operat</w:t>
      </w:r>
      <w:r w:rsidR="007A12E3" w:rsidRPr="00662611">
        <w:rPr>
          <w:sz w:val="19"/>
          <w:szCs w:val="19"/>
        </w:rPr>
        <w:t>ion of the road to the grantor.</w:t>
      </w:r>
    </w:p>
    <w:p w14:paraId="7D9276D7" w14:textId="06BC60F2" w:rsidR="00CA4000" w:rsidRPr="00662611" w:rsidRDefault="00CA4000" w:rsidP="00517136">
      <w:pPr>
        <w:pStyle w:val="IE1"/>
        <w:spacing w:after="100" w:line="240" w:lineRule="auto"/>
        <w:ind w:left="782" w:hanging="782"/>
        <w:jc w:val="both"/>
        <w:rPr>
          <w:sz w:val="19"/>
          <w:szCs w:val="19"/>
        </w:rPr>
      </w:pPr>
      <w:r w:rsidRPr="00662611">
        <w:rPr>
          <w:sz w:val="19"/>
          <w:szCs w:val="19"/>
        </w:rPr>
        <w:t xml:space="preserve">The arrangement is within the scope of this Standard and the road meets the conditions for recognition as a service concession asset in paragraph </w:t>
      </w:r>
      <w:r w:rsidR="00E90B96">
        <w:fldChar w:fldCharType="begin"/>
      </w:r>
      <w:r w:rsidR="00E90B96">
        <w:instrText xml:space="preserve"> REF _Ref475619556 \r \h </w:instrText>
      </w:r>
      <w:r w:rsidR="00E90B96">
        <w:fldChar w:fldCharType="separate"/>
      </w:r>
      <w:r w:rsidR="00C43128">
        <w:t>5</w:t>
      </w:r>
      <w:r w:rsidR="00E90B96">
        <w:fldChar w:fldCharType="end"/>
      </w:r>
      <w:r w:rsidR="00E90B96">
        <w:t xml:space="preserve"> </w:t>
      </w:r>
      <w:r w:rsidRPr="00662611">
        <w:rPr>
          <w:sz w:val="19"/>
          <w:szCs w:val="19"/>
        </w:rPr>
        <w:t xml:space="preserve">(or paragraph </w:t>
      </w:r>
      <w:r w:rsidR="007448D9">
        <w:rPr>
          <w:sz w:val="19"/>
          <w:szCs w:val="19"/>
        </w:rPr>
        <w:fldChar w:fldCharType="begin"/>
      </w:r>
      <w:r w:rsidR="007448D9">
        <w:rPr>
          <w:sz w:val="19"/>
          <w:szCs w:val="19"/>
        </w:rPr>
        <w:instrText xml:space="preserve"> REF _Ref486144882 \r \h </w:instrText>
      </w:r>
      <w:r w:rsidR="007448D9">
        <w:rPr>
          <w:sz w:val="19"/>
          <w:szCs w:val="19"/>
        </w:rPr>
      </w:r>
      <w:r w:rsidR="007448D9">
        <w:rPr>
          <w:sz w:val="19"/>
          <w:szCs w:val="19"/>
        </w:rPr>
        <w:fldChar w:fldCharType="separate"/>
      </w:r>
      <w:r w:rsidR="00C43128">
        <w:rPr>
          <w:sz w:val="19"/>
          <w:szCs w:val="19"/>
        </w:rPr>
        <w:t>6</w:t>
      </w:r>
      <w:r w:rsidR="007448D9">
        <w:rPr>
          <w:sz w:val="19"/>
          <w:szCs w:val="19"/>
        </w:rPr>
        <w:fldChar w:fldCharType="end"/>
      </w:r>
      <w:r w:rsidRPr="00662611">
        <w:rPr>
          <w:sz w:val="19"/>
          <w:szCs w:val="19"/>
        </w:rPr>
        <w:t xml:space="preserve"> for a whole-of-life asset).</w:t>
      </w:r>
    </w:p>
    <w:p w14:paraId="7D9276D8" w14:textId="77777777" w:rsidR="00FC5E99" w:rsidRPr="00662611" w:rsidRDefault="00FC5E99" w:rsidP="00FB21C0">
      <w:pPr>
        <w:pStyle w:val="IASBSectionTitle2Ind"/>
        <w:outlineLvl w:val="2"/>
      </w:pPr>
      <w:r w:rsidRPr="00662611">
        <w:t>Financial statement impact</w:t>
      </w:r>
    </w:p>
    <w:p w14:paraId="7D9276D9" w14:textId="77777777" w:rsidR="00FC5E99" w:rsidRPr="00662611" w:rsidRDefault="00504B00" w:rsidP="00517136">
      <w:pPr>
        <w:pStyle w:val="IE1"/>
        <w:spacing w:after="100" w:line="240" w:lineRule="auto"/>
        <w:ind w:left="782" w:hanging="782"/>
        <w:jc w:val="both"/>
        <w:rPr>
          <w:sz w:val="19"/>
          <w:szCs w:val="19"/>
        </w:rPr>
      </w:pPr>
      <w:r w:rsidRPr="00662611">
        <w:rPr>
          <w:sz w:val="19"/>
          <w:szCs w:val="19"/>
        </w:rPr>
        <w:t>I</w:t>
      </w:r>
      <w:r w:rsidR="00FC5E99" w:rsidRPr="00662611">
        <w:rPr>
          <w:sz w:val="19"/>
          <w:szCs w:val="19"/>
        </w:rPr>
        <w:t>t is necessary to divide the grantor’s consideration</w:t>
      </w:r>
      <w:r w:rsidRPr="00662611">
        <w:rPr>
          <w:sz w:val="19"/>
          <w:szCs w:val="19"/>
        </w:rPr>
        <w:t xml:space="preserve"> to the operator into two parts – the</w:t>
      </w:r>
      <w:r w:rsidR="00FC5E99" w:rsidRPr="00662611">
        <w:rPr>
          <w:sz w:val="19"/>
          <w:szCs w:val="19"/>
        </w:rPr>
        <w:t xml:space="preserve"> financial liability</w:t>
      </w:r>
      <w:r w:rsidRPr="00662611">
        <w:rPr>
          <w:sz w:val="19"/>
          <w:szCs w:val="19"/>
        </w:rPr>
        <w:t xml:space="preserve"> for</w:t>
      </w:r>
      <w:r w:rsidR="00012282" w:rsidRPr="00662611">
        <w:rPr>
          <w:sz w:val="19"/>
          <w:szCs w:val="19"/>
        </w:rPr>
        <w:t xml:space="preserve"> the pre</w:t>
      </w:r>
      <w:r w:rsidRPr="00662611">
        <w:rPr>
          <w:sz w:val="19"/>
          <w:szCs w:val="19"/>
        </w:rPr>
        <w:t>determined payments and the liability related to the grant of the right to the operator to charge tolls</w:t>
      </w:r>
      <w:r w:rsidR="00FC5E99" w:rsidRPr="00662611">
        <w:rPr>
          <w:sz w:val="19"/>
          <w:szCs w:val="19"/>
        </w:rPr>
        <w:t>.</w:t>
      </w:r>
    </w:p>
    <w:p w14:paraId="7D9276DA" w14:textId="77777777" w:rsidR="00FC5E99" w:rsidRPr="00662611" w:rsidRDefault="00FC5E99" w:rsidP="00517136">
      <w:pPr>
        <w:pStyle w:val="IE1"/>
        <w:spacing w:after="100" w:line="240" w:lineRule="auto"/>
        <w:ind w:left="782" w:hanging="782"/>
        <w:jc w:val="both"/>
        <w:rPr>
          <w:sz w:val="19"/>
          <w:szCs w:val="19"/>
        </w:rPr>
      </w:pPr>
      <w:bookmarkStart w:id="119" w:name="_Ref484395131"/>
      <w:r w:rsidRPr="00662611">
        <w:rPr>
          <w:sz w:val="19"/>
          <w:szCs w:val="19"/>
        </w:rPr>
        <w:t>The grantor recognises:</w:t>
      </w:r>
      <w:bookmarkEnd w:id="119"/>
    </w:p>
    <w:p w14:paraId="7D9276DB" w14:textId="67577AB4" w:rsidR="00FC5E99" w:rsidRPr="00662611" w:rsidRDefault="00FC5E99" w:rsidP="009B48F7">
      <w:pPr>
        <w:pStyle w:val="IE2"/>
        <w:tabs>
          <w:tab w:val="clear" w:pos="1021"/>
        </w:tabs>
        <w:spacing w:after="100" w:line="240" w:lineRule="auto"/>
        <w:ind w:left="1564" w:hanging="782"/>
        <w:jc w:val="both"/>
        <w:rPr>
          <w:sz w:val="19"/>
          <w:szCs w:val="19"/>
        </w:rPr>
      </w:pPr>
      <w:r w:rsidRPr="00662611">
        <w:rPr>
          <w:sz w:val="19"/>
          <w:szCs w:val="19"/>
        </w:rPr>
        <w:t>the service concession asset as property, plant and equipment at current replacement cost in accordance with the cost approach to fair value</w:t>
      </w:r>
      <w:r w:rsidR="005043B8" w:rsidRPr="00662611">
        <w:rPr>
          <w:sz w:val="19"/>
          <w:szCs w:val="19"/>
        </w:rPr>
        <w:t xml:space="preserve"> (current replacement cost)</w:t>
      </w:r>
      <w:r w:rsidRPr="00662611">
        <w:rPr>
          <w:sz w:val="19"/>
          <w:szCs w:val="19"/>
        </w:rPr>
        <w:t xml:space="preserve"> in AASB 13 total</w:t>
      </w:r>
      <w:r w:rsidR="00AD0051" w:rsidRPr="00662611">
        <w:rPr>
          <w:sz w:val="19"/>
          <w:szCs w:val="19"/>
        </w:rPr>
        <w:t>ling CU1,822</w:t>
      </w:r>
      <w:r w:rsidR="003A3251" w:rsidRPr="00662611">
        <w:rPr>
          <w:sz w:val="19"/>
          <w:szCs w:val="19"/>
        </w:rPr>
        <w:t xml:space="preserve"> at the end of year 2</w:t>
      </w:r>
      <w:r w:rsidR="00AD0051" w:rsidRPr="00662611">
        <w:rPr>
          <w:sz w:val="19"/>
          <w:szCs w:val="19"/>
        </w:rPr>
        <w:t>,</w:t>
      </w:r>
      <w:r w:rsidRPr="00662611">
        <w:rPr>
          <w:sz w:val="19"/>
          <w:szCs w:val="19"/>
        </w:rPr>
        <w:t xml:space="preserve"> related to construction of the r</w:t>
      </w:r>
      <w:r w:rsidR="00012282" w:rsidRPr="00662611">
        <w:rPr>
          <w:sz w:val="19"/>
          <w:szCs w:val="19"/>
        </w:rPr>
        <w:t>oad (CU900 in both year 1 and year 2</w:t>
      </w:r>
      <w:r w:rsidRPr="00662611">
        <w:rPr>
          <w:sz w:val="19"/>
          <w:szCs w:val="19"/>
        </w:rPr>
        <w:t>)</w:t>
      </w:r>
      <w:r w:rsidR="00AD0051" w:rsidRPr="00662611">
        <w:rPr>
          <w:sz w:val="19"/>
          <w:szCs w:val="19"/>
        </w:rPr>
        <w:t xml:space="preserve"> and </w:t>
      </w:r>
      <w:r w:rsidR="00B226CB">
        <w:rPr>
          <w:sz w:val="19"/>
          <w:szCs w:val="19"/>
        </w:rPr>
        <w:t xml:space="preserve">funding </w:t>
      </w:r>
      <w:r w:rsidR="00AD0051" w:rsidRPr="00662611">
        <w:rPr>
          <w:sz w:val="19"/>
          <w:szCs w:val="19"/>
        </w:rPr>
        <w:t>costs related to the financial liability recognised in year 1 (CU22</w:t>
      </w:r>
      <w:r w:rsidR="003A3251" w:rsidRPr="00662611">
        <w:rPr>
          <w:sz w:val="19"/>
          <w:szCs w:val="19"/>
        </w:rPr>
        <w:t xml:space="preserve"> in year 2</w:t>
      </w:r>
      <w:r w:rsidR="00AD0051" w:rsidRPr="00662611">
        <w:rPr>
          <w:sz w:val="19"/>
          <w:szCs w:val="19"/>
        </w:rPr>
        <w:t>)</w:t>
      </w:r>
      <w:r w:rsidRPr="00662611">
        <w:rPr>
          <w:sz w:val="19"/>
          <w:szCs w:val="19"/>
        </w:rPr>
        <w:t>;</w:t>
      </w:r>
    </w:p>
    <w:p w14:paraId="7D9276DC" w14:textId="1050C031" w:rsidR="00FC5E99" w:rsidRPr="00662611" w:rsidRDefault="00FC5E99" w:rsidP="009B48F7">
      <w:pPr>
        <w:pStyle w:val="IE2"/>
        <w:tabs>
          <w:tab w:val="clear" w:pos="1021"/>
        </w:tabs>
        <w:spacing w:after="100"/>
        <w:ind w:left="1564" w:hanging="782"/>
        <w:jc w:val="both"/>
        <w:rPr>
          <w:sz w:val="19"/>
          <w:szCs w:val="19"/>
        </w:rPr>
      </w:pPr>
      <w:proofErr w:type="gramStart"/>
      <w:r w:rsidRPr="00662611">
        <w:rPr>
          <w:sz w:val="19"/>
          <w:szCs w:val="19"/>
        </w:rPr>
        <w:t>the</w:t>
      </w:r>
      <w:proofErr w:type="gramEnd"/>
      <w:r w:rsidRPr="00662611">
        <w:rPr>
          <w:sz w:val="19"/>
          <w:szCs w:val="19"/>
        </w:rPr>
        <w:t xml:space="preserve"> total liability equal to the same amount as the current replacement cost of the service concession asset (total</w:t>
      </w:r>
      <w:r w:rsidR="00AD0051" w:rsidRPr="00662611">
        <w:rPr>
          <w:sz w:val="19"/>
          <w:szCs w:val="19"/>
        </w:rPr>
        <w:t xml:space="preserve"> CU1,822</w:t>
      </w:r>
      <w:r w:rsidRPr="00662611">
        <w:rPr>
          <w:sz w:val="19"/>
          <w:szCs w:val="19"/>
        </w:rPr>
        <w:t>). The total liability is allocated:</w:t>
      </w:r>
    </w:p>
    <w:p w14:paraId="7D9276DD" w14:textId="0407E031" w:rsidR="00FC5E99" w:rsidRPr="00662611" w:rsidRDefault="00FC5E99" w:rsidP="00517136">
      <w:pPr>
        <w:pStyle w:val="IE3"/>
        <w:spacing w:after="100" w:line="240" w:lineRule="auto"/>
        <w:ind w:left="2347" w:hanging="782"/>
        <w:jc w:val="both"/>
        <w:rPr>
          <w:sz w:val="19"/>
          <w:szCs w:val="19"/>
        </w:rPr>
      </w:pPr>
      <w:proofErr w:type="gramStart"/>
      <w:r w:rsidRPr="00662611">
        <w:rPr>
          <w:sz w:val="19"/>
          <w:szCs w:val="19"/>
        </w:rPr>
        <w:t>in</w:t>
      </w:r>
      <w:proofErr w:type="gramEnd"/>
      <w:r w:rsidRPr="00662611">
        <w:rPr>
          <w:sz w:val="19"/>
          <w:szCs w:val="19"/>
        </w:rPr>
        <w:t xml:space="preserve"> year 1 –</w:t>
      </w:r>
      <w:r w:rsidR="00324CAD" w:rsidRPr="00662611">
        <w:rPr>
          <w:sz w:val="19"/>
          <w:szCs w:val="19"/>
        </w:rPr>
        <w:t xml:space="preserve"> </w:t>
      </w:r>
      <w:r w:rsidR="00BC0D64" w:rsidRPr="00662611">
        <w:rPr>
          <w:sz w:val="19"/>
          <w:szCs w:val="19"/>
        </w:rPr>
        <w:t xml:space="preserve">first </w:t>
      </w:r>
      <w:r w:rsidRPr="00662611">
        <w:rPr>
          <w:sz w:val="19"/>
          <w:szCs w:val="19"/>
        </w:rPr>
        <w:t>to the financial liability measured at</w:t>
      </w:r>
      <w:r w:rsidR="00083187">
        <w:rPr>
          <w:sz w:val="19"/>
          <w:szCs w:val="19"/>
        </w:rPr>
        <w:t xml:space="preserve"> present value under AASB 9</w:t>
      </w:r>
      <w:r w:rsidR="001F378A" w:rsidRPr="00662611">
        <w:rPr>
          <w:sz w:val="19"/>
          <w:szCs w:val="19"/>
        </w:rPr>
        <w:t xml:space="preserve">. In this example, </w:t>
      </w:r>
      <w:r w:rsidRPr="00662611">
        <w:rPr>
          <w:sz w:val="19"/>
          <w:szCs w:val="19"/>
        </w:rPr>
        <w:t xml:space="preserve">the present value of the grantor’s payments to the operator </w:t>
      </w:r>
      <w:r w:rsidR="00083187">
        <w:rPr>
          <w:sz w:val="19"/>
          <w:szCs w:val="19"/>
        </w:rPr>
        <w:t xml:space="preserve">is </w:t>
      </w:r>
      <w:r w:rsidRPr="00662611">
        <w:rPr>
          <w:sz w:val="19"/>
          <w:szCs w:val="19"/>
        </w:rPr>
        <w:t>CU673</w:t>
      </w:r>
      <w:r w:rsidR="00C440E5" w:rsidRPr="00662611">
        <w:rPr>
          <w:sz w:val="19"/>
          <w:szCs w:val="19"/>
        </w:rPr>
        <w:t>.</w:t>
      </w:r>
      <w:r w:rsidRPr="00662611">
        <w:rPr>
          <w:sz w:val="19"/>
          <w:szCs w:val="19"/>
        </w:rPr>
        <w:t xml:space="preserve"> </w:t>
      </w:r>
      <w:r w:rsidR="00C440E5" w:rsidRPr="00662611">
        <w:rPr>
          <w:sz w:val="19"/>
          <w:szCs w:val="19"/>
        </w:rPr>
        <w:t>Second</w:t>
      </w:r>
      <w:r w:rsidRPr="00662611">
        <w:rPr>
          <w:sz w:val="19"/>
          <w:szCs w:val="19"/>
        </w:rPr>
        <w:t xml:space="preserve">, </w:t>
      </w:r>
      <w:r w:rsidR="00F80676" w:rsidRPr="00662611">
        <w:rPr>
          <w:sz w:val="19"/>
          <w:szCs w:val="19"/>
        </w:rPr>
        <w:t>the remainder</w:t>
      </w:r>
      <w:r w:rsidRPr="00662611">
        <w:rPr>
          <w:sz w:val="19"/>
          <w:szCs w:val="19"/>
        </w:rPr>
        <w:t xml:space="preserve"> </w:t>
      </w:r>
      <w:r w:rsidR="009D4B30" w:rsidRPr="00662611">
        <w:rPr>
          <w:sz w:val="19"/>
          <w:szCs w:val="19"/>
        </w:rPr>
        <w:t xml:space="preserve">of the CU900 </w:t>
      </w:r>
      <w:r w:rsidR="00C440E5" w:rsidRPr="00662611">
        <w:rPr>
          <w:sz w:val="19"/>
          <w:szCs w:val="19"/>
        </w:rPr>
        <w:t xml:space="preserve">is allocated </w:t>
      </w:r>
      <w:r w:rsidRPr="00662611">
        <w:rPr>
          <w:sz w:val="19"/>
          <w:szCs w:val="19"/>
        </w:rPr>
        <w:t xml:space="preserve">to </w:t>
      </w:r>
      <w:r w:rsidR="00B43FA2" w:rsidRPr="00662611">
        <w:rPr>
          <w:sz w:val="19"/>
          <w:szCs w:val="19"/>
        </w:rPr>
        <w:t>the</w:t>
      </w:r>
      <w:r w:rsidRPr="00662611">
        <w:rPr>
          <w:sz w:val="19"/>
          <w:szCs w:val="19"/>
        </w:rPr>
        <w:t xml:space="preserve"> liability </w:t>
      </w:r>
      <w:r w:rsidR="009259A6" w:rsidRPr="00662611">
        <w:rPr>
          <w:sz w:val="19"/>
          <w:szCs w:val="19"/>
        </w:rPr>
        <w:t>under</w:t>
      </w:r>
      <w:r w:rsidRPr="00662611">
        <w:rPr>
          <w:sz w:val="19"/>
          <w:szCs w:val="19"/>
        </w:rPr>
        <w:t xml:space="preserve"> the grant of the right to the operator model for the right to collect tolls (CU227); </w:t>
      </w:r>
    </w:p>
    <w:p w14:paraId="7D9276DE" w14:textId="5117E85C" w:rsidR="00FC5E99" w:rsidRPr="00662611" w:rsidRDefault="00FC5E99" w:rsidP="00517136">
      <w:pPr>
        <w:pStyle w:val="IE3"/>
        <w:spacing w:after="100" w:line="240" w:lineRule="auto"/>
        <w:ind w:left="2347" w:hanging="782"/>
        <w:jc w:val="both"/>
        <w:rPr>
          <w:sz w:val="19"/>
          <w:szCs w:val="19"/>
        </w:rPr>
      </w:pPr>
      <w:r w:rsidRPr="00662611">
        <w:rPr>
          <w:sz w:val="19"/>
          <w:szCs w:val="19"/>
        </w:rPr>
        <w:t>in year 2 – to the liability under the grant of the right to the operator model for the right to collect tolls (CU900) as the remainder of the liability</w:t>
      </w:r>
      <w:r w:rsidR="009D4B30" w:rsidRPr="00662611">
        <w:rPr>
          <w:sz w:val="19"/>
          <w:szCs w:val="19"/>
        </w:rPr>
        <w:t xml:space="preserve"> related to the construction costs</w:t>
      </w:r>
      <w:r w:rsidR="004C5AF1" w:rsidRPr="00662611">
        <w:rPr>
          <w:sz w:val="19"/>
          <w:szCs w:val="19"/>
        </w:rPr>
        <w:t>; and</w:t>
      </w:r>
    </w:p>
    <w:p w14:paraId="7D9276DF" w14:textId="77777777" w:rsidR="009D4B30" w:rsidRPr="00662611" w:rsidRDefault="009D4B30" w:rsidP="00517136">
      <w:pPr>
        <w:pStyle w:val="IE3"/>
        <w:spacing w:after="100" w:line="240" w:lineRule="auto"/>
        <w:ind w:left="2347" w:hanging="782"/>
        <w:jc w:val="both"/>
        <w:rPr>
          <w:sz w:val="19"/>
          <w:szCs w:val="19"/>
        </w:rPr>
      </w:pPr>
      <w:r w:rsidRPr="00662611">
        <w:rPr>
          <w:sz w:val="19"/>
          <w:szCs w:val="19"/>
        </w:rPr>
        <w:t>in year 2 – the borrowing costs of CU22 are allocated to the financial liability;</w:t>
      </w:r>
    </w:p>
    <w:p w14:paraId="7D9276E0" w14:textId="1D39FE98" w:rsidR="008C7DFF" w:rsidRPr="00662611" w:rsidRDefault="008C7DFF" w:rsidP="009B48F7">
      <w:pPr>
        <w:pStyle w:val="IE2"/>
        <w:tabs>
          <w:tab w:val="clear" w:pos="1021"/>
        </w:tabs>
        <w:spacing w:after="100"/>
        <w:ind w:left="1564" w:hanging="782"/>
        <w:jc w:val="both"/>
        <w:rPr>
          <w:sz w:val="19"/>
          <w:szCs w:val="19"/>
        </w:rPr>
      </w:pPr>
      <w:r w:rsidRPr="00662611">
        <w:rPr>
          <w:sz w:val="19"/>
          <w:szCs w:val="19"/>
        </w:rPr>
        <w:t xml:space="preserve">a finance charge </w:t>
      </w:r>
      <w:r w:rsidR="003A3251" w:rsidRPr="00662611">
        <w:rPr>
          <w:sz w:val="19"/>
          <w:szCs w:val="19"/>
        </w:rPr>
        <w:t xml:space="preserve">expense </w:t>
      </w:r>
      <w:r w:rsidRPr="00662611">
        <w:rPr>
          <w:sz w:val="19"/>
          <w:szCs w:val="19"/>
        </w:rPr>
        <w:t>(CU22) in year 2 relating to the financial liability in year 1</w:t>
      </w:r>
      <w:r w:rsidR="009D4B30" w:rsidRPr="00662611">
        <w:rPr>
          <w:sz w:val="19"/>
          <w:szCs w:val="19"/>
        </w:rPr>
        <w:t>, in accordance with the grantor’s accounting policy; and</w:t>
      </w:r>
    </w:p>
    <w:p w14:paraId="7D9276E1" w14:textId="3D307491" w:rsidR="009D4B30" w:rsidRPr="00662611" w:rsidRDefault="009D4B30" w:rsidP="009B48F7">
      <w:pPr>
        <w:pStyle w:val="IE2"/>
        <w:tabs>
          <w:tab w:val="clear" w:pos="1021"/>
        </w:tabs>
        <w:spacing w:after="100"/>
        <w:ind w:left="1564" w:hanging="782"/>
        <w:jc w:val="both"/>
        <w:rPr>
          <w:sz w:val="19"/>
          <w:szCs w:val="19"/>
        </w:rPr>
      </w:pPr>
      <w:proofErr w:type="gramStart"/>
      <w:r w:rsidRPr="00662611">
        <w:rPr>
          <w:sz w:val="19"/>
          <w:szCs w:val="19"/>
        </w:rPr>
        <w:t>a</w:t>
      </w:r>
      <w:proofErr w:type="gramEnd"/>
      <w:r w:rsidRPr="00662611">
        <w:rPr>
          <w:sz w:val="19"/>
          <w:szCs w:val="19"/>
        </w:rPr>
        <w:t xml:space="preserve"> revaluation surplus of CU22 to reflect the </w:t>
      </w:r>
      <w:r w:rsidR="002D5F78" w:rsidRPr="00662611">
        <w:rPr>
          <w:sz w:val="19"/>
          <w:szCs w:val="19"/>
        </w:rPr>
        <w:t xml:space="preserve">inclusion </w:t>
      </w:r>
      <w:r w:rsidRPr="00662611">
        <w:rPr>
          <w:sz w:val="19"/>
          <w:szCs w:val="19"/>
        </w:rPr>
        <w:t>of</w:t>
      </w:r>
      <w:r w:rsidR="002D5F78" w:rsidRPr="00662611">
        <w:rPr>
          <w:sz w:val="19"/>
          <w:szCs w:val="19"/>
        </w:rPr>
        <w:t xml:space="preserve"> </w:t>
      </w:r>
      <w:r w:rsidR="00B226CB">
        <w:rPr>
          <w:sz w:val="19"/>
          <w:szCs w:val="19"/>
        </w:rPr>
        <w:t xml:space="preserve">funding </w:t>
      </w:r>
      <w:r w:rsidR="002D5F78" w:rsidRPr="00662611">
        <w:rPr>
          <w:sz w:val="19"/>
          <w:szCs w:val="19"/>
        </w:rPr>
        <w:t>costs relating to the construction period</w:t>
      </w:r>
      <w:r w:rsidRPr="00662611">
        <w:rPr>
          <w:sz w:val="19"/>
          <w:szCs w:val="19"/>
        </w:rPr>
        <w:t xml:space="preserve"> </w:t>
      </w:r>
      <w:r w:rsidR="002D5F78" w:rsidRPr="00662611">
        <w:rPr>
          <w:sz w:val="19"/>
          <w:szCs w:val="19"/>
        </w:rPr>
        <w:t xml:space="preserve">in </w:t>
      </w:r>
      <w:r w:rsidRPr="00662611">
        <w:rPr>
          <w:sz w:val="19"/>
          <w:szCs w:val="19"/>
        </w:rPr>
        <w:t>the current replacement cost of the s</w:t>
      </w:r>
      <w:r w:rsidR="002D5F78" w:rsidRPr="00662611">
        <w:rPr>
          <w:sz w:val="19"/>
          <w:szCs w:val="19"/>
        </w:rPr>
        <w:t>ervice concession asset</w:t>
      </w:r>
      <w:r w:rsidRPr="00662611">
        <w:rPr>
          <w:sz w:val="19"/>
          <w:szCs w:val="19"/>
        </w:rPr>
        <w:t>.</w:t>
      </w:r>
    </w:p>
    <w:p w14:paraId="7D9276E2" w14:textId="3E2B9F6E" w:rsidR="00FC5E99" w:rsidRPr="00662611" w:rsidRDefault="00FC5E99" w:rsidP="00517136">
      <w:pPr>
        <w:pStyle w:val="IE1"/>
        <w:spacing w:after="100" w:line="240" w:lineRule="auto"/>
        <w:ind w:left="782" w:hanging="782"/>
        <w:jc w:val="both"/>
        <w:rPr>
          <w:sz w:val="19"/>
          <w:szCs w:val="19"/>
        </w:rPr>
      </w:pPr>
      <w:r w:rsidRPr="00662611">
        <w:rPr>
          <w:sz w:val="19"/>
          <w:szCs w:val="19"/>
        </w:rPr>
        <w:t xml:space="preserve">The journal entries for the accounting treatment </w:t>
      </w:r>
      <w:r w:rsidR="004B590D" w:rsidRPr="00662611">
        <w:rPr>
          <w:sz w:val="19"/>
          <w:szCs w:val="19"/>
        </w:rPr>
        <w:t xml:space="preserve">set out </w:t>
      </w:r>
      <w:r w:rsidRPr="00662611">
        <w:rPr>
          <w:sz w:val="19"/>
          <w:szCs w:val="19"/>
        </w:rPr>
        <w:t xml:space="preserve">in </w:t>
      </w:r>
      <w:r w:rsidR="00AD0051" w:rsidRPr="00662611">
        <w:rPr>
          <w:sz w:val="19"/>
          <w:szCs w:val="19"/>
        </w:rPr>
        <w:t xml:space="preserve">paragraph </w:t>
      </w:r>
      <w:r w:rsidR="002D5F78" w:rsidRPr="00662611">
        <w:rPr>
          <w:sz w:val="19"/>
          <w:szCs w:val="19"/>
        </w:rPr>
        <w:fldChar w:fldCharType="begin"/>
      </w:r>
      <w:r w:rsidR="002D5F78" w:rsidRPr="00662611">
        <w:rPr>
          <w:sz w:val="19"/>
          <w:szCs w:val="19"/>
        </w:rPr>
        <w:instrText xml:space="preserve"> REF _Ref484395131 \r \h </w:instrText>
      </w:r>
      <w:r w:rsidR="002D5F78" w:rsidRPr="00662611">
        <w:rPr>
          <w:sz w:val="19"/>
          <w:szCs w:val="19"/>
        </w:rPr>
      </w:r>
      <w:r w:rsidR="002D5F78" w:rsidRPr="00662611">
        <w:rPr>
          <w:sz w:val="19"/>
          <w:szCs w:val="19"/>
        </w:rPr>
        <w:fldChar w:fldCharType="separate"/>
      </w:r>
      <w:r w:rsidR="00C43128">
        <w:rPr>
          <w:sz w:val="19"/>
          <w:szCs w:val="19"/>
        </w:rPr>
        <w:t>IE34</w:t>
      </w:r>
      <w:r w:rsidR="002D5F78" w:rsidRPr="00662611">
        <w:rPr>
          <w:sz w:val="19"/>
          <w:szCs w:val="19"/>
        </w:rPr>
        <w:fldChar w:fldCharType="end"/>
      </w:r>
      <w:r w:rsidR="00C440E5" w:rsidRPr="00662611">
        <w:rPr>
          <w:sz w:val="19"/>
          <w:szCs w:val="19"/>
        </w:rPr>
        <w:t xml:space="preserve"> </w:t>
      </w:r>
      <w:r w:rsidRPr="00662611">
        <w:rPr>
          <w:sz w:val="19"/>
          <w:szCs w:val="19"/>
        </w:rPr>
        <w:t>are:</w:t>
      </w:r>
    </w:p>
    <w:tbl>
      <w:tblPr>
        <w:tblStyle w:val="TableGrid"/>
        <w:tblW w:w="8323" w:type="dxa"/>
        <w:tblInd w:w="782" w:type="dxa"/>
        <w:tblLayout w:type="fixed"/>
        <w:tblLook w:val="04A0" w:firstRow="1" w:lastRow="0" w:firstColumn="1" w:lastColumn="0" w:noHBand="0" w:noVBand="1"/>
        <w:tblCaption w:val="Example 9 Initial recognition of intangible assets in a business"/>
        <w:tblDescription w:val="Table 9 Fair values of the components of the arrangement"/>
      </w:tblPr>
      <w:tblGrid>
        <w:gridCol w:w="4439"/>
        <w:gridCol w:w="1942"/>
        <w:gridCol w:w="1942"/>
      </w:tblGrid>
      <w:tr w:rsidR="00FC5E99" w:rsidRPr="00662611" w14:paraId="7D9276E6" w14:textId="77777777" w:rsidTr="00DC7EF3">
        <w:trPr>
          <w:trHeight w:val="198"/>
          <w:tblHeader/>
        </w:trPr>
        <w:tc>
          <w:tcPr>
            <w:tcW w:w="4439" w:type="dxa"/>
          </w:tcPr>
          <w:p w14:paraId="7D9276E3" w14:textId="77777777" w:rsidR="00FC5E99" w:rsidRPr="00662611" w:rsidRDefault="00FC5E99" w:rsidP="003E3140">
            <w:pPr>
              <w:pStyle w:val="IE1"/>
              <w:numPr>
                <w:ilvl w:val="0"/>
                <w:numId w:val="0"/>
              </w:numPr>
              <w:spacing w:after="100" w:line="240" w:lineRule="auto"/>
              <w:jc w:val="both"/>
              <w:rPr>
                <w:b/>
                <w:sz w:val="19"/>
                <w:szCs w:val="19"/>
              </w:rPr>
            </w:pPr>
          </w:p>
        </w:tc>
        <w:tc>
          <w:tcPr>
            <w:tcW w:w="1942" w:type="dxa"/>
          </w:tcPr>
          <w:p w14:paraId="7D9276E4" w14:textId="77777777" w:rsidR="00FC5E99" w:rsidRPr="00662611" w:rsidRDefault="00FC5E99" w:rsidP="003E3140">
            <w:pPr>
              <w:pStyle w:val="IE1"/>
              <w:numPr>
                <w:ilvl w:val="0"/>
                <w:numId w:val="0"/>
              </w:numPr>
              <w:spacing w:after="100" w:line="240" w:lineRule="auto"/>
              <w:jc w:val="right"/>
              <w:rPr>
                <w:b/>
                <w:sz w:val="19"/>
                <w:szCs w:val="19"/>
              </w:rPr>
            </w:pPr>
            <w:r w:rsidRPr="00662611">
              <w:rPr>
                <w:b/>
                <w:sz w:val="19"/>
                <w:szCs w:val="19"/>
              </w:rPr>
              <w:t>Debit</w:t>
            </w:r>
          </w:p>
        </w:tc>
        <w:tc>
          <w:tcPr>
            <w:tcW w:w="1942" w:type="dxa"/>
          </w:tcPr>
          <w:p w14:paraId="7D9276E5" w14:textId="77777777" w:rsidR="00FC5E99" w:rsidRPr="00662611" w:rsidRDefault="00FC5E99" w:rsidP="003E3140">
            <w:pPr>
              <w:pStyle w:val="IE1"/>
              <w:numPr>
                <w:ilvl w:val="0"/>
                <w:numId w:val="0"/>
              </w:numPr>
              <w:spacing w:after="100" w:line="240" w:lineRule="auto"/>
              <w:jc w:val="right"/>
              <w:rPr>
                <w:b/>
                <w:sz w:val="19"/>
                <w:szCs w:val="19"/>
              </w:rPr>
            </w:pPr>
            <w:r w:rsidRPr="00662611">
              <w:rPr>
                <w:b/>
                <w:sz w:val="19"/>
                <w:szCs w:val="19"/>
              </w:rPr>
              <w:t>Credit</w:t>
            </w:r>
          </w:p>
        </w:tc>
      </w:tr>
      <w:tr w:rsidR="005E02AB" w:rsidRPr="00662611" w14:paraId="7D9276EA" w14:textId="77777777" w:rsidTr="003E3140">
        <w:trPr>
          <w:trHeight w:val="198"/>
        </w:trPr>
        <w:tc>
          <w:tcPr>
            <w:tcW w:w="4439" w:type="dxa"/>
          </w:tcPr>
          <w:p w14:paraId="7D9276E7" w14:textId="77777777" w:rsidR="005E02AB" w:rsidRPr="00662611" w:rsidRDefault="005E02AB" w:rsidP="003E3140">
            <w:pPr>
              <w:pStyle w:val="IE1"/>
              <w:numPr>
                <w:ilvl w:val="0"/>
                <w:numId w:val="0"/>
              </w:numPr>
              <w:spacing w:after="100" w:line="240" w:lineRule="auto"/>
              <w:jc w:val="both"/>
              <w:rPr>
                <w:sz w:val="19"/>
                <w:szCs w:val="19"/>
              </w:rPr>
            </w:pPr>
            <w:r w:rsidRPr="00662611">
              <w:rPr>
                <w:b/>
                <w:sz w:val="19"/>
                <w:szCs w:val="19"/>
              </w:rPr>
              <w:t>End of year 1</w:t>
            </w:r>
          </w:p>
        </w:tc>
        <w:tc>
          <w:tcPr>
            <w:tcW w:w="1942" w:type="dxa"/>
          </w:tcPr>
          <w:p w14:paraId="7D9276E8" w14:textId="77777777" w:rsidR="005E02AB" w:rsidRPr="00662611" w:rsidRDefault="005E02AB" w:rsidP="003E3140">
            <w:pPr>
              <w:pStyle w:val="IE1"/>
              <w:numPr>
                <w:ilvl w:val="0"/>
                <w:numId w:val="0"/>
              </w:numPr>
              <w:spacing w:after="100" w:line="240" w:lineRule="auto"/>
              <w:jc w:val="right"/>
              <w:rPr>
                <w:sz w:val="19"/>
                <w:szCs w:val="19"/>
              </w:rPr>
            </w:pPr>
            <w:r w:rsidRPr="00662611">
              <w:rPr>
                <w:sz w:val="19"/>
                <w:szCs w:val="19"/>
              </w:rPr>
              <w:t>CU</w:t>
            </w:r>
          </w:p>
        </w:tc>
        <w:tc>
          <w:tcPr>
            <w:tcW w:w="1942" w:type="dxa"/>
          </w:tcPr>
          <w:p w14:paraId="7D9276E9" w14:textId="77777777" w:rsidR="005E02AB" w:rsidRPr="00662611" w:rsidRDefault="005E02AB" w:rsidP="003E3140">
            <w:pPr>
              <w:pStyle w:val="IE1"/>
              <w:numPr>
                <w:ilvl w:val="0"/>
                <w:numId w:val="0"/>
              </w:numPr>
              <w:spacing w:after="100" w:line="240" w:lineRule="auto"/>
              <w:jc w:val="right"/>
              <w:rPr>
                <w:sz w:val="19"/>
                <w:szCs w:val="19"/>
              </w:rPr>
            </w:pPr>
            <w:r w:rsidRPr="00662611">
              <w:rPr>
                <w:sz w:val="19"/>
                <w:szCs w:val="19"/>
              </w:rPr>
              <w:t>CU</w:t>
            </w:r>
          </w:p>
        </w:tc>
      </w:tr>
      <w:tr w:rsidR="005E02AB" w:rsidRPr="00662611" w14:paraId="7D9276EE" w14:textId="77777777" w:rsidTr="003E3140">
        <w:trPr>
          <w:trHeight w:val="198"/>
        </w:trPr>
        <w:tc>
          <w:tcPr>
            <w:tcW w:w="4439" w:type="dxa"/>
          </w:tcPr>
          <w:p w14:paraId="7D9276EB" w14:textId="77777777" w:rsidR="005E02AB" w:rsidRPr="00662611" w:rsidRDefault="005E02AB" w:rsidP="005E02AB">
            <w:pPr>
              <w:pStyle w:val="IE1"/>
              <w:numPr>
                <w:ilvl w:val="0"/>
                <w:numId w:val="0"/>
              </w:numPr>
              <w:spacing w:after="0" w:line="240" w:lineRule="auto"/>
              <w:jc w:val="both"/>
              <w:rPr>
                <w:sz w:val="19"/>
                <w:szCs w:val="19"/>
              </w:rPr>
            </w:pPr>
            <w:r w:rsidRPr="00662611">
              <w:rPr>
                <w:sz w:val="19"/>
                <w:szCs w:val="19"/>
              </w:rPr>
              <w:t>Service concession asset</w:t>
            </w:r>
            <w:r w:rsidR="009D7060" w:rsidRPr="00662611">
              <w:rPr>
                <w:sz w:val="19"/>
                <w:szCs w:val="19"/>
              </w:rPr>
              <w:t xml:space="preserve"> – PPE</w:t>
            </w:r>
          </w:p>
        </w:tc>
        <w:tc>
          <w:tcPr>
            <w:tcW w:w="1942" w:type="dxa"/>
          </w:tcPr>
          <w:p w14:paraId="7D9276EC" w14:textId="77777777" w:rsidR="005E02AB" w:rsidRPr="00662611" w:rsidRDefault="005E02AB" w:rsidP="005E02AB">
            <w:pPr>
              <w:pStyle w:val="IE1"/>
              <w:numPr>
                <w:ilvl w:val="0"/>
                <w:numId w:val="0"/>
              </w:numPr>
              <w:spacing w:after="0" w:line="240" w:lineRule="auto"/>
              <w:jc w:val="right"/>
              <w:rPr>
                <w:sz w:val="19"/>
                <w:szCs w:val="19"/>
              </w:rPr>
            </w:pPr>
            <w:r w:rsidRPr="00662611">
              <w:rPr>
                <w:sz w:val="19"/>
                <w:szCs w:val="19"/>
              </w:rPr>
              <w:t>900</w:t>
            </w:r>
          </w:p>
        </w:tc>
        <w:tc>
          <w:tcPr>
            <w:tcW w:w="1942" w:type="dxa"/>
          </w:tcPr>
          <w:p w14:paraId="7D9276ED" w14:textId="77777777" w:rsidR="005E02AB" w:rsidRPr="00662611" w:rsidRDefault="005E02AB" w:rsidP="005E02AB">
            <w:pPr>
              <w:pStyle w:val="IE1"/>
              <w:numPr>
                <w:ilvl w:val="0"/>
                <w:numId w:val="0"/>
              </w:numPr>
              <w:spacing w:after="0" w:line="240" w:lineRule="auto"/>
              <w:jc w:val="right"/>
              <w:rPr>
                <w:sz w:val="19"/>
                <w:szCs w:val="19"/>
              </w:rPr>
            </w:pPr>
          </w:p>
        </w:tc>
      </w:tr>
      <w:tr w:rsidR="005E02AB" w:rsidRPr="00662611" w14:paraId="7D9276F2" w14:textId="77777777" w:rsidTr="003E3140">
        <w:trPr>
          <w:trHeight w:val="198"/>
        </w:trPr>
        <w:tc>
          <w:tcPr>
            <w:tcW w:w="4439" w:type="dxa"/>
          </w:tcPr>
          <w:p w14:paraId="7D9276EF" w14:textId="77777777" w:rsidR="005E02AB" w:rsidRPr="00662611" w:rsidRDefault="005E02AB" w:rsidP="005E02AB">
            <w:pPr>
              <w:pStyle w:val="IE1"/>
              <w:numPr>
                <w:ilvl w:val="0"/>
                <w:numId w:val="0"/>
              </w:numPr>
              <w:spacing w:after="0" w:line="240" w:lineRule="auto"/>
              <w:ind w:left="778"/>
              <w:jc w:val="both"/>
              <w:rPr>
                <w:sz w:val="19"/>
                <w:szCs w:val="19"/>
              </w:rPr>
            </w:pPr>
            <w:r w:rsidRPr="00662611">
              <w:rPr>
                <w:sz w:val="19"/>
                <w:szCs w:val="19"/>
              </w:rPr>
              <w:t>Financial liability</w:t>
            </w:r>
          </w:p>
        </w:tc>
        <w:tc>
          <w:tcPr>
            <w:tcW w:w="1942" w:type="dxa"/>
          </w:tcPr>
          <w:p w14:paraId="7D9276F0" w14:textId="77777777" w:rsidR="005E02AB" w:rsidRPr="00662611" w:rsidRDefault="005E02AB" w:rsidP="005E02AB">
            <w:pPr>
              <w:pStyle w:val="IE1"/>
              <w:numPr>
                <w:ilvl w:val="0"/>
                <w:numId w:val="0"/>
              </w:numPr>
              <w:spacing w:after="0" w:line="240" w:lineRule="auto"/>
              <w:jc w:val="right"/>
              <w:rPr>
                <w:sz w:val="19"/>
                <w:szCs w:val="19"/>
              </w:rPr>
            </w:pPr>
          </w:p>
        </w:tc>
        <w:tc>
          <w:tcPr>
            <w:tcW w:w="1942" w:type="dxa"/>
          </w:tcPr>
          <w:p w14:paraId="7D9276F1" w14:textId="77777777" w:rsidR="005E02AB" w:rsidRPr="00662611" w:rsidRDefault="005E02AB" w:rsidP="005E02AB">
            <w:pPr>
              <w:pStyle w:val="IE1"/>
              <w:numPr>
                <w:ilvl w:val="0"/>
                <w:numId w:val="0"/>
              </w:numPr>
              <w:spacing w:after="0" w:line="240" w:lineRule="auto"/>
              <w:jc w:val="right"/>
              <w:rPr>
                <w:sz w:val="19"/>
                <w:szCs w:val="19"/>
              </w:rPr>
            </w:pPr>
            <w:r w:rsidRPr="00662611">
              <w:rPr>
                <w:sz w:val="19"/>
                <w:szCs w:val="19"/>
              </w:rPr>
              <w:t>673</w:t>
            </w:r>
          </w:p>
        </w:tc>
      </w:tr>
      <w:tr w:rsidR="005E02AB" w:rsidRPr="00662611" w14:paraId="7D9276F6" w14:textId="77777777" w:rsidTr="003E3140">
        <w:trPr>
          <w:trHeight w:val="198"/>
        </w:trPr>
        <w:tc>
          <w:tcPr>
            <w:tcW w:w="4439" w:type="dxa"/>
          </w:tcPr>
          <w:p w14:paraId="7D9276F3" w14:textId="77777777" w:rsidR="005E02AB" w:rsidRPr="00662611" w:rsidRDefault="005E02AB" w:rsidP="005E02AB">
            <w:pPr>
              <w:pStyle w:val="IE1"/>
              <w:numPr>
                <w:ilvl w:val="0"/>
                <w:numId w:val="0"/>
              </w:numPr>
              <w:spacing w:after="0" w:line="360" w:lineRule="auto"/>
              <w:ind w:left="778"/>
              <w:jc w:val="both"/>
              <w:rPr>
                <w:sz w:val="19"/>
                <w:szCs w:val="19"/>
              </w:rPr>
            </w:pPr>
            <w:r w:rsidRPr="00662611">
              <w:rPr>
                <w:sz w:val="19"/>
                <w:szCs w:val="19"/>
              </w:rPr>
              <w:t>Liability</w:t>
            </w:r>
          </w:p>
        </w:tc>
        <w:tc>
          <w:tcPr>
            <w:tcW w:w="1942" w:type="dxa"/>
          </w:tcPr>
          <w:p w14:paraId="7D9276F4" w14:textId="77777777" w:rsidR="005E02AB" w:rsidRPr="00662611" w:rsidRDefault="005E02AB" w:rsidP="005E02AB">
            <w:pPr>
              <w:pStyle w:val="IE1"/>
              <w:numPr>
                <w:ilvl w:val="0"/>
                <w:numId w:val="0"/>
              </w:numPr>
              <w:spacing w:after="0" w:line="240" w:lineRule="auto"/>
              <w:jc w:val="right"/>
              <w:rPr>
                <w:sz w:val="19"/>
                <w:szCs w:val="19"/>
              </w:rPr>
            </w:pPr>
          </w:p>
        </w:tc>
        <w:tc>
          <w:tcPr>
            <w:tcW w:w="1942" w:type="dxa"/>
          </w:tcPr>
          <w:p w14:paraId="7D9276F5" w14:textId="77777777" w:rsidR="005E02AB" w:rsidRPr="00662611" w:rsidDel="00CB11F1" w:rsidRDefault="005E02AB" w:rsidP="005E02AB">
            <w:pPr>
              <w:pStyle w:val="IE1"/>
              <w:numPr>
                <w:ilvl w:val="0"/>
                <w:numId w:val="0"/>
              </w:numPr>
              <w:spacing w:after="0" w:line="240" w:lineRule="auto"/>
              <w:jc w:val="right"/>
              <w:rPr>
                <w:sz w:val="19"/>
                <w:szCs w:val="19"/>
              </w:rPr>
            </w:pPr>
            <w:r w:rsidRPr="00662611">
              <w:rPr>
                <w:sz w:val="19"/>
                <w:szCs w:val="19"/>
              </w:rPr>
              <w:t>227</w:t>
            </w:r>
          </w:p>
        </w:tc>
      </w:tr>
      <w:tr w:rsidR="005E02AB" w:rsidRPr="00662611" w14:paraId="7D9276FA" w14:textId="77777777" w:rsidTr="003E3140">
        <w:trPr>
          <w:trHeight w:val="198"/>
        </w:trPr>
        <w:tc>
          <w:tcPr>
            <w:tcW w:w="4439" w:type="dxa"/>
          </w:tcPr>
          <w:p w14:paraId="7D9276F7" w14:textId="77777777" w:rsidR="005E02AB" w:rsidRPr="00662611" w:rsidRDefault="005E02AB" w:rsidP="003E3140">
            <w:pPr>
              <w:pStyle w:val="IE1"/>
              <w:numPr>
                <w:ilvl w:val="0"/>
                <w:numId w:val="0"/>
              </w:numPr>
              <w:spacing w:after="100" w:line="240" w:lineRule="auto"/>
              <w:jc w:val="both"/>
              <w:rPr>
                <w:sz w:val="19"/>
                <w:szCs w:val="19"/>
              </w:rPr>
            </w:pPr>
            <w:r w:rsidRPr="00662611">
              <w:rPr>
                <w:b/>
                <w:sz w:val="19"/>
                <w:szCs w:val="19"/>
              </w:rPr>
              <w:t>End of year 2</w:t>
            </w:r>
          </w:p>
        </w:tc>
        <w:tc>
          <w:tcPr>
            <w:tcW w:w="1942" w:type="dxa"/>
          </w:tcPr>
          <w:p w14:paraId="7D9276F8" w14:textId="77777777" w:rsidR="005E02AB" w:rsidRPr="00662611" w:rsidRDefault="005E02AB" w:rsidP="003E3140">
            <w:pPr>
              <w:pStyle w:val="IE1"/>
              <w:numPr>
                <w:ilvl w:val="0"/>
                <w:numId w:val="0"/>
              </w:numPr>
              <w:spacing w:after="100" w:line="240" w:lineRule="auto"/>
              <w:jc w:val="right"/>
              <w:rPr>
                <w:sz w:val="19"/>
                <w:szCs w:val="19"/>
              </w:rPr>
            </w:pPr>
          </w:p>
        </w:tc>
        <w:tc>
          <w:tcPr>
            <w:tcW w:w="1942" w:type="dxa"/>
          </w:tcPr>
          <w:p w14:paraId="7D9276F9" w14:textId="77777777" w:rsidR="005E02AB" w:rsidRPr="00662611" w:rsidRDefault="005E02AB" w:rsidP="003E3140">
            <w:pPr>
              <w:pStyle w:val="IE1"/>
              <w:numPr>
                <w:ilvl w:val="0"/>
                <w:numId w:val="0"/>
              </w:numPr>
              <w:spacing w:after="100" w:line="240" w:lineRule="auto"/>
              <w:jc w:val="right"/>
              <w:rPr>
                <w:sz w:val="19"/>
                <w:szCs w:val="19"/>
              </w:rPr>
            </w:pPr>
          </w:p>
        </w:tc>
      </w:tr>
      <w:tr w:rsidR="005E02AB" w:rsidRPr="00662611" w14:paraId="7D9276FE" w14:textId="77777777" w:rsidTr="003E3140">
        <w:trPr>
          <w:trHeight w:val="198"/>
        </w:trPr>
        <w:tc>
          <w:tcPr>
            <w:tcW w:w="4439" w:type="dxa"/>
          </w:tcPr>
          <w:p w14:paraId="7D9276FB" w14:textId="77777777" w:rsidR="005E02AB" w:rsidRPr="00662611" w:rsidRDefault="005E02AB" w:rsidP="005E02AB">
            <w:pPr>
              <w:pStyle w:val="IE1"/>
              <w:numPr>
                <w:ilvl w:val="0"/>
                <w:numId w:val="0"/>
              </w:numPr>
              <w:spacing w:after="0" w:line="240" w:lineRule="auto"/>
              <w:jc w:val="both"/>
              <w:rPr>
                <w:b/>
                <w:sz w:val="19"/>
                <w:szCs w:val="19"/>
              </w:rPr>
            </w:pPr>
            <w:r w:rsidRPr="00662611">
              <w:rPr>
                <w:sz w:val="19"/>
                <w:szCs w:val="19"/>
              </w:rPr>
              <w:t>Service concession asset</w:t>
            </w:r>
            <w:r w:rsidR="009D7060" w:rsidRPr="00662611">
              <w:rPr>
                <w:sz w:val="19"/>
                <w:szCs w:val="19"/>
              </w:rPr>
              <w:t xml:space="preserve"> – PPE</w:t>
            </w:r>
          </w:p>
        </w:tc>
        <w:tc>
          <w:tcPr>
            <w:tcW w:w="1942" w:type="dxa"/>
          </w:tcPr>
          <w:p w14:paraId="7D9276FC" w14:textId="54E8D9A5" w:rsidR="005E02AB" w:rsidRPr="00662611" w:rsidRDefault="003A3251" w:rsidP="005E02AB">
            <w:pPr>
              <w:pStyle w:val="IE1"/>
              <w:numPr>
                <w:ilvl w:val="0"/>
                <w:numId w:val="0"/>
              </w:numPr>
              <w:spacing w:after="0" w:line="240" w:lineRule="auto"/>
              <w:jc w:val="right"/>
              <w:rPr>
                <w:b/>
                <w:sz w:val="19"/>
                <w:szCs w:val="19"/>
              </w:rPr>
            </w:pPr>
            <w:r w:rsidRPr="00662611">
              <w:rPr>
                <w:sz w:val="19"/>
                <w:szCs w:val="19"/>
              </w:rPr>
              <w:t>922</w:t>
            </w:r>
          </w:p>
        </w:tc>
        <w:tc>
          <w:tcPr>
            <w:tcW w:w="1942" w:type="dxa"/>
          </w:tcPr>
          <w:p w14:paraId="7D9276FD" w14:textId="77777777" w:rsidR="005E02AB" w:rsidRPr="00662611" w:rsidRDefault="005E02AB" w:rsidP="005E02AB">
            <w:pPr>
              <w:pStyle w:val="IE1"/>
              <w:numPr>
                <w:ilvl w:val="0"/>
                <w:numId w:val="0"/>
              </w:numPr>
              <w:spacing w:after="0" w:line="240" w:lineRule="auto"/>
              <w:jc w:val="right"/>
              <w:rPr>
                <w:b/>
                <w:sz w:val="19"/>
                <w:szCs w:val="19"/>
              </w:rPr>
            </w:pPr>
          </w:p>
        </w:tc>
      </w:tr>
      <w:tr w:rsidR="003A3251" w:rsidRPr="00662611" w14:paraId="7D927702" w14:textId="77777777" w:rsidTr="003E3140">
        <w:trPr>
          <w:trHeight w:val="198"/>
        </w:trPr>
        <w:tc>
          <w:tcPr>
            <w:tcW w:w="4439" w:type="dxa"/>
          </w:tcPr>
          <w:p w14:paraId="7D9276FF" w14:textId="77777777" w:rsidR="003A3251" w:rsidRPr="00662611" w:rsidRDefault="003A3251" w:rsidP="003A3251">
            <w:pPr>
              <w:pStyle w:val="IE1"/>
              <w:numPr>
                <w:ilvl w:val="0"/>
                <w:numId w:val="0"/>
              </w:numPr>
              <w:tabs>
                <w:tab w:val="center" w:pos="2549"/>
              </w:tabs>
              <w:spacing w:after="0" w:line="240" w:lineRule="auto"/>
              <w:ind w:left="777"/>
              <w:jc w:val="both"/>
              <w:rPr>
                <w:sz w:val="19"/>
                <w:szCs w:val="19"/>
              </w:rPr>
            </w:pPr>
            <w:r w:rsidRPr="00662611">
              <w:rPr>
                <w:sz w:val="19"/>
                <w:szCs w:val="19"/>
              </w:rPr>
              <w:t>Liability</w:t>
            </w:r>
          </w:p>
        </w:tc>
        <w:tc>
          <w:tcPr>
            <w:tcW w:w="1942" w:type="dxa"/>
          </w:tcPr>
          <w:p w14:paraId="7D927700" w14:textId="77777777" w:rsidR="003A3251" w:rsidRPr="00662611" w:rsidRDefault="003A3251" w:rsidP="005E02AB">
            <w:pPr>
              <w:pStyle w:val="IE1"/>
              <w:numPr>
                <w:ilvl w:val="0"/>
                <w:numId w:val="0"/>
              </w:numPr>
              <w:spacing w:after="0" w:line="240" w:lineRule="auto"/>
              <w:jc w:val="right"/>
              <w:rPr>
                <w:sz w:val="19"/>
                <w:szCs w:val="19"/>
              </w:rPr>
            </w:pPr>
          </w:p>
        </w:tc>
        <w:tc>
          <w:tcPr>
            <w:tcW w:w="1942" w:type="dxa"/>
          </w:tcPr>
          <w:p w14:paraId="7D927701" w14:textId="77777777" w:rsidR="003A3251" w:rsidRPr="00662611" w:rsidRDefault="003A3251" w:rsidP="005E02AB">
            <w:pPr>
              <w:pStyle w:val="IE1"/>
              <w:numPr>
                <w:ilvl w:val="0"/>
                <w:numId w:val="0"/>
              </w:numPr>
              <w:spacing w:after="0" w:line="240" w:lineRule="auto"/>
              <w:jc w:val="right"/>
              <w:rPr>
                <w:b/>
                <w:sz w:val="19"/>
                <w:szCs w:val="19"/>
              </w:rPr>
            </w:pPr>
            <w:r w:rsidRPr="00662611">
              <w:rPr>
                <w:sz w:val="19"/>
                <w:szCs w:val="19"/>
              </w:rPr>
              <w:t>900</w:t>
            </w:r>
          </w:p>
        </w:tc>
      </w:tr>
      <w:tr w:rsidR="005E02AB" w:rsidRPr="00662611" w14:paraId="7D927706" w14:textId="77777777" w:rsidTr="003E3140">
        <w:trPr>
          <w:trHeight w:val="198"/>
        </w:trPr>
        <w:tc>
          <w:tcPr>
            <w:tcW w:w="4439" w:type="dxa"/>
          </w:tcPr>
          <w:p w14:paraId="7D927703" w14:textId="77777777" w:rsidR="005E02AB" w:rsidRPr="00662611" w:rsidRDefault="003A3251" w:rsidP="005E02AB">
            <w:pPr>
              <w:pStyle w:val="IE1"/>
              <w:numPr>
                <w:ilvl w:val="0"/>
                <w:numId w:val="0"/>
              </w:numPr>
              <w:tabs>
                <w:tab w:val="center" w:pos="2549"/>
              </w:tabs>
              <w:spacing w:after="0" w:line="360" w:lineRule="auto"/>
              <w:ind w:left="778"/>
              <w:jc w:val="both"/>
              <w:rPr>
                <w:sz w:val="19"/>
                <w:szCs w:val="19"/>
              </w:rPr>
            </w:pPr>
            <w:r w:rsidRPr="00662611">
              <w:rPr>
                <w:sz w:val="19"/>
                <w:szCs w:val="19"/>
              </w:rPr>
              <w:t>Revaluation surplus</w:t>
            </w:r>
          </w:p>
        </w:tc>
        <w:tc>
          <w:tcPr>
            <w:tcW w:w="1942" w:type="dxa"/>
          </w:tcPr>
          <w:p w14:paraId="7D927704" w14:textId="77777777" w:rsidR="005E02AB" w:rsidRPr="00662611" w:rsidRDefault="005E02AB" w:rsidP="005E02AB">
            <w:pPr>
              <w:pStyle w:val="IE1"/>
              <w:numPr>
                <w:ilvl w:val="0"/>
                <w:numId w:val="0"/>
              </w:numPr>
              <w:spacing w:after="0" w:line="240" w:lineRule="auto"/>
              <w:jc w:val="right"/>
              <w:rPr>
                <w:sz w:val="19"/>
                <w:szCs w:val="19"/>
              </w:rPr>
            </w:pPr>
          </w:p>
        </w:tc>
        <w:tc>
          <w:tcPr>
            <w:tcW w:w="1942" w:type="dxa"/>
          </w:tcPr>
          <w:p w14:paraId="7D927705" w14:textId="77777777" w:rsidR="005E02AB" w:rsidRPr="00662611" w:rsidRDefault="003A3251" w:rsidP="005E02AB">
            <w:pPr>
              <w:pStyle w:val="IE1"/>
              <w:numPr>
                <w:ilvl w:val="0"/>
                <w:numId w:val="0"/>
              </w:numPr>
              <w:spacing w:after="0" w:line="240" w:lineRule="auto"/>
              <w:jc w:val="right"/>
              <w:rPr>
                <w:sz w:val="19"/>
                <w:szCs w:val="19"/>
              </w:rPr>
            </w:pPr>
            <w:r w:rsidRPr="00662611">
              <w:rPr>
                <w:sz w:val="19"/>
                <w:szCs w:val="19"/>
              </w:rPr>
              <w:t>22</w:t>
            </w:r>
          </w:p>
        </w:tc>
      </w:tr>
      <w:tr w:rsidR="005E02AB" w:rsidRPr="00662611" w14:paraId="7D92770A" w14:textId="77777777" w:rsidTr="003E3140">
        <w:trPr>
          <w:trHeight w:val="198"/>
        </w:trPr>
        <w:tc>
          <w:tcPr>
            <w:tcW w:w="4439" w:type="dxa"/>
          </w:tcPr>
          <w:p w14:paraId="7D927707" w14:textId="77777777" w:rsidR="005E02AB" w:rsidRPr="00662611" w:rsidRDefault="005E02AB" w:rsidP="005E02AB">
            <w:pPr>
              <w:pStyle w:val="IE1"/>
              <w:numPr>
                <w:ilvl w:val="0"/>
                <w:numId w:val="0"/>
              </w:numPr>
              <w:spacing w:after="0" w:line="240" w:lineRule="auto"/>
              <w:jc w:val="both"/>
              <w:rPr>
                <w:sz w:val="19"/>
                <w:szCs w:val="19"/>
              </w:rPr>
            </w:pPr>
            <w:r w:rsidRPr="00662611">
              <w:rPr>
                <w:sz w:val="19"/>
                <w:szCs w:val="19"/>
              </w:rPr>
              <w:t>Finance charge</w:t>
            </w:r>
          </w:p>
        </w:tc>
        <w:tc>
          <w:tcPr>
            <w:tcW w:w="1942" w:type="dxa"/>
          </w:tcPr>
          <w:p w14:paraId="7D927708" w14:textId="77777777" w:rsidR="005E02AB" w:rsidRPr="00662611" w:rsidRDefault="005E02AB" w:rsidP="005E02AB">
            <w:pPr>
              <w:pStyle w:val="IE1"/>
              <w:numPr>
                <w:ilvl w:val="0"/>
                <w:numId w:val="0"/>
              </w:numPr>
              <w:spacing w:after="0" w:line="240" w:lineRule="auto"/>
              <w:jc w:val="right"/>
              <w:rPr>
                <w:sz w:val="19"/>
                <w:szCs w:val="19"/>
              </w:rPr>
            </w:pPr>
            <w:r w:rsidRPr="00662611">
              <w:rPr>
                <w:sz w:val="19"/>
                <w:szCs w:val="19"/>
              </w:rPr>
              <w:t>22</w:t>
            </w:r>
          </w:p>
        </w:tc>
        <w:tc>
          <w:tcPr>
            <w:tcW w:w="1942" w:type="dxa"/>
          </w:tcPr>
          <w:p w14:paraId="7D927709" w14:textId="77777777" w:rsidR="005E02AB" w:rsidRPr="00662611" w:rsidDel="00CB11F1" w:rsidRDefault="005E02AB" w:rsidP="005E02AB">
            <w:pPr>
              <w:pStyle w:val="IE1"/>
              <w:numPr>
                <w:ilvl w:val="0"/>
                <w:numId w:val="0"/>
              </w:numPr>
              <w:spacing w:after="0" w:line="240" w:lineRule="auto"/>
              <w:jc w:val="right"/>
              <w:rPr>
                <w:sz w:val="19"/>
                <w:szCs w:val="19"/>
              </w:rPr>
            </w:pPr>
          </w:p>
        </w:tc>
      </w:tr>
      <w:tr w:rsidR="005E02AB" w:rsidRPr="00662611" w14:paraId="7D92770E" w14:textId="77777777" w:rsidTr="003E3140">
        <w:trPr>
          <w:trHeight w:val="54"/>
        </w:trPr>
        <w:tc>
          <w:tcPr>
            <w:tcW w:w="4439" w:type="dxa"/>
          </w:tcPr>
          <w:p w14:paraId="7D92770B" w14:textId="77777777" w:rsidR="005E02AB" w:rsidRPr="00662611" w:rsidRDefault="005E02AB" w:rsidP="005E02AB">
            <w:pPr>
              <w:pStyle w:val="IE1"/>
              <w:numPr>
                <w:ilvl w:val="0"/>
                <w:numId w:val="0"/>
              </w:numPr>
              <w:spacing w:after="0" w:line="240" w:lineRule="auto"/>
              <w:ind w:left="778"/>
              <w:jc w:val="both"/>
              <w:rPr>
                <w:sz w:val="19"/>
                <w:szCs w:val="19"/>
              </w:rPr>
            </w:pPr>
            <w:r w:rsidRPr="00662611">
              <w:rPr>
                <w:sz w:val="19"/>
                <w:szCs w:val="19"/>
              </w:rPr>
              <w:t>Financial liability</w:t>
            </w:r>
          </w:p>
        </w:tc>
        <w:tc>
          <w:tcPr>
            <w:tcW w:w="1942" w:type="dxa"/>
          </w:tcPr>
          <w:p w14:paraId="7D92770C" w14:textId="77777777" w:rsidR="005E02AB" w:rsidRPr="00662611" w:rsidRDefault="005E02AB" w:rsidP="005E02AB">
            <w:pPr>
              <w:pStyle w:val="IE1"/>
              <w:numPr>
                <w:ilvl w:val="0"/>
                <w:numId w:val="0"/>
              </w:numPr>
              <w:spacing w:after="0" w:line="240" w:lineRule="auto"/>
              <w:jc w:val="right"/>
              <w:rPr>
                <w:sz w:val="19"/>
                <w:szCs w:val="19"/>
              </w:rPr>
            </w:pPr>
          </w:p>
        </w:tc>
        <w:tc>
          <w:tcPr>
            <w:tcW w:w="1942" w:type="dxa"/>
          </w:tcPr>
          <w:p w14:paraId="7D92770D" w14:textId="77777777" w:rsidR="005E02AB" w:rsidRPr="00662611" w:rsidDel="00CB11F1" w:rsidRDefault="005E02AB" w:rsidP="005E02AB">
            <w:pPr>
              <w:pStyle w:val="IE1"/>
              <w:numPr>
                <w:ilvl w:val="0"/>
                <w:numId w:val="0"/>
              </w:numPr>
              <w:spacing w:after="0" w:line="240" w:lineRule="auto"/>
              <w:jc w:val="right"/>
              <w:rPr>
                <w:sz w:val="19"/>
                <w:szCs w:val="19"/>
              </w:rPr>
            </w:pPr>
            <w:r w:rsidRPr="00662611">
              <w:rPr>
                <w:sz w:val="19"/>
                <w:szCs w:val="19"/>
              </w:rPr>
              <w:t>22</w:t>
            </w:r>
          </w:p>
        </w:tc>
      </w:tr>
    </w:tbl>
    <w:p w14:paraId="7D92770F" w14:textId="77777777" w:rsidR="002704B7" w:rsidRPr="00662611" w:rsidRDefault="002704B7" w:rsidP="002704B7">
      <w:pPr>
        <w:pStyle w:val="IASBNormalnpara"/>
      </w:pPr>
    </w:p>
    <w:p w14:paraId="7D927710" w14:textId="073D003A" w:rsidR="002704B7" w:rsidRPr="00662611" w:rsidRDefault="002704B7" w:rsidP="002704B7">
      <w:pPr>
        <w:pStyle w:val="IASBSectionTitle1NonInd"/>
        <w:outlineLvl w:val="1"/>
      </w:pPr>
      <w:r w:rsidRPr="00662611">
        <w:lastRenderedPageBreak/>
        <w:t xml:space="preserve">Example </w:t>
      </w:r>
      <w:r w:rsidR="00A5779D" w:rsidRPr="00662611">
        <w:t>9</w:t>
      </w:r>
      <w:r w:rsidRPr="00662611">
        <w:t>: Init</w:t>
      </w:r>
      <w:r w:rsidR="004D0FC5" w:rsidRPr="00662611">
        <w:t>i</w:t>
      </w:r>
      <w:r w:rsidRPr="00662611">
        <w:t>al recognition of intangible asset</w:t>
      </w:r>
      <w:r w:rsidR="00D75530" w:rsidRPr="00662611">
        <w:t>s in a business</w:t>
      </w:r>
    </w:p>
    <w:p w14:paraId="7D927711" w14:textId="346AA522" w:rsidR="002704B7" w:rsidRPr="00662611" w:rsidRDefault="002704B7" w:rsidP="002704B7">
      <w:pPr>
        <w:pStyle w:val="IE1"/>
        <w:spacing w:after="100" w:line="240" w:lineRule="auto"/>
        <w:ind w:left="782" w:hanging="782"/>
        <w:jc w:val="both"/>
        <w:rPr>
          <w:sz w:val="19"/>
          <w:szCs w:val="19"/>
        </w:rPr>
      </w:pPr>
      <w:r w:rsidRPr="00662611">
        <w:rPr>
          <w:sz w:val="19"/>
          <w:szCs w:val="19"/>
        </w:rPr>
        <w:t xml:space="preserve">Example </w:t>
      </w:r>
      <w:r w:rsidR="007003A5" w:rsidRPr="00662611">
        <w:rPr>
          <w:sz w:val="19"/>
          <w:szCs w:val="19"/>
        </w:rPr>
        <w:t>9</w:t>
      </w:r>
      <w:r w:rsidRPr="00662611">
        <w:rPr>
          <w:sz w:val="19"/>
          <w:szCs w:val="19"/>
        </w:rPr>
        <w:t xml:space="preserve"> illustrates the requirements in paragraph</w:t>
      </w:r>
      <w:r w:rsidR="00C06CCB" w:rsidRPr="00662611">
        <w:rPr>
          <w:sz w:val="19"/>
          <w:szCs w:val="19"/>
        </w:rPr>
        <w:t>s</w:t>
      </w:r>
      <w:r w:rsidR="0043648D">
        <w:rPr>
          <w:sz w:val="19"/>
          <w:szCs w:val="19"/>
        </w:rPr>
        <w:t xml:space="preserve"> </w:t>
      </w:r>
      <w:r w:rsidR="0043648D">
        <w:rPr>
          <w:sz w:val="19"/>
          <w:szCs w:val="19"/>
        </w:rPr>
        <w:fldChar w:fldCharType="begin"/>
      </w:r>
      <w:r w:rsidR="0043648D">
        <w:rPr>
          <w:sz w:val="19"/>
          <w:szCs w:val="19"/>
        </w:rPr>
        <w:instrText xml:space="preserve"> REF _Ref485978162 \r \h </w:instrText>
      </w:r>
      <w:r w:rsidR="0043648D">
        <w:rPr>
          <w:sz w:val="19"/>
          <w:szCs w:val="19"/>
        </w:rPr>
      </w:r>
      <w:r w:rsidR="0043648D">
        <w:rPr>
          <w:sz w:val="19"/>
          <w:szCs w:val="19"/>
        </w:rPr>
        <w:fldChar w:fldCharType="separate"/>
      </w:r>
      <w:r w:rsidR="00C43128">
        <w:rPr>
          <w:sz w:val="19"/>
          <w:szCs w:val="19"/>
        </w:rPr>
        <w:t>B14</w:t>
      </w:r>
      <w:r w:rsidR="0043648D">
        <w:rPr>
          <w:sz w:val="19"/>
          <w:szCs w:val="19"/>
        </w:rPr>
        <w:fldChar w:fldCharType="end"/>
      </w:r>
      <w:r w:rsidR="0043648D">
        <w:rPr>
          <w:sz w:val="19"/>
          <w:szCs w:val="19"/>
        </w:rPr>
        <w:t xml:space="preserve"> and</w:t>
      </w:r>
      <w:r w:rsidRPr="00662611">
        <w:rPr>
          <w:sz w:val="19"/>
          <w:szCs w:val="19"/>
        </w:rPr>
        <w:t xml:space="preserve"> </w:t>
      </w:r>
      <w:r w:rsidR="005022CD" w:rsidRPr="00662611">
        <w:rPr>
          <w:sz w:val="19"/>
          <w:szCs w:val="19"/>
        </w:rPr>
        <w:fldChar w:fldCharType="begin"/>
      </w:r>
      <w:r w:rsidR="005022CD" w:rsidRPr="00662611">
        <w:rPr>
          <w:sz w:val="19"/>
          <w:szCs w:val="19"/>
        </w:rPr>
        <w:instrText xml:space="preserve"> REF _Ref482278647 \r \h </w:instrText>
      </w:r>
      <w:r w:rsidR="005022CD" w:rsidRPr="00662611">
        <w:rPr>
          <w:sz w:val="19"/>
          <w:szCs w:val="19"/>
        </w:rPr>
      </w:r>
      <w:r w:rsidR="005022CD" w:rsidRPr="00662611">
        <w:rPr>
          <w:sz w:val="19"/>
          <w:szCs w:val="19"/>
        </w:rPr>
        <w:fldChar w:fldCharType="separate"/>
      </w:r>
      <w:proofErr w:type="gramStart"/>
      <w:r w:rsidR="00C43128">
        <w:rPr>
          <w:sz w:val="19"/>
          <w:szCs w:val="19"/>
        </w:rPr>
        <w:t>B39(</w:t>
      </w:r>
      <w:proofErr w:type="gramEnd"/>
      <w:r w:rsidR="00C43128">
        <w:rPr>
          <w:sz w:val="19"/>
          <w:szCs w:val="19"/>
        </w:rPr>
        <w:t>a)</w:t>
      </w:r>
      <w:r w:rsidR="005022CD" w:rsidRPr="00662611">
        <w:rPr>
          <w:sz w:val="19"/>
          <w:szCs w:val="19"/>
        </w:rPr>
        <w:fldChar w:fldCharType="end"/>
      </w:r>
      <w:r w:rsidR="00D75530" w:rsidRPr="00662611">
        <w:rPr>
          <w:sz w:val="19"/>
          <w:szCs w:val="19"/>
        </w:rPr>
        <w:t xml:space="preserve"> </w:t>
      </w:r>
      <w:r w:rsidRPr="00662611">
        <w:rPr>
          <w:sz w:val="19"/>
          <w:szCs w:val="19"/>
        </w:rPr>
        <w:t xml:space="preserve">for the initial recognition of </w:t>
      </w:r>
      <w:r w:rsidR="00D75530" w:rsidRPr="00662611">
        <w:rPr>
          <w:sz w:val="19"/>
          <w:szCs w:val="19"/>
        </w:rPr>
        <w:t xml:space="preserve">the assets of a business that is subject to </w:t>
      </w:r>
      <w:r w:rsidRPr="00662611">
        <w:rPr>
          <w:sz w:val="19"/>
          <w:szCs w:val="19"/>
        </w:rPr>
        <w:t>a service concession arrangement</w:t>
      </w:r>
      <w:r w:rsidR="00D75530" w:rsidRPr="00662611">
        <w:rPr>
          <w:sz w:val="19"/>
          <w:szCs w:val="19"/>
        </w:rPr>
        <w:t>, including identifiable intangible assets</w:t>
      </w:r>
      <w:r w:rsidRPr="00662611">
        <w:rPr>
          <w:sz w:val="19"/>
          <w:szCs w:val="19"/>
        </w:rPr>
        <w:t>.</w:t>
      </w:r>
    </w:p>
    <w:p w14:paraId="7D927712" w14:textId="77777777" w:rsidR="002704B7" w:rsidRPr="00662611" w:rsidRDefault="002704B7" w:rsidP="002704B7">
      <w:pPr>
        <w:pStyle w:val="IASBSectionTitle2Ind"/>
        <w:outlineLvl w:val="2"/>
      </w:pPr>
      <w:r w:rsidRPr="00662611">
        <w:t>Arrangement terms</w:t>
      </w:r>
    </w:p>
    <w:p w14:paraId="7D927713" w14:textId="77777777" w:rsidR="002704B7" w:rsidRPr="00662611" w:rsidRDefault="002704B7" w:rsidP="00C06CCB">
      <w:pPr>
        <w:pStyle w:val="IE1"/>
        <w:spacing w:after="100" w:line="240" w:lineRule="auto"/>
        <w:ind w:left="782" w:hanging="782"/>
        <w:jc w:val="both"/>
        <w:rPr>
          <w:sz w:val="19"/>
          <w:szCs w:val="19"/>
        </w:rPr>
      </w:pPr>
      <w:r w:rsidRPr="00662611">
        <w:rPr>
          <w:sz w:val="19"/>
          <w:szCs w:val="19"/>
        </w:rPr>
        <w:t>The relevant terms of the arrangement in the example are:</w:t>
      </w:r>
    </w:p>
    <w:p w14:paraId="7D927714" w14:textId="7A4DC66A" w:rsidR="00863D11" w:rsidRPr="00662611" w:rsidRDefault="00863D11" w:rsidP="003102C2">
      <w:pPr>
        <w:pStyle w:val="NumAG1"/>
        <w:numPr>
          <w:ilvl w:val="0"/>
          <w:numId w:val="37"/>
        </w:numPr>
        <w:ind w:left="1564" w:hanging="782"/>
      </w:pPr>
      <w:proofErr w:type="gramStart"/>
      <w:r w:rsidRPr="00662611">
        <w:t>a</w:t>
      </w:r>
      <w:proofErr w:type="gramEnd"/>
      <w:r w:rsidRPr="00662611">
        <w:t xml:space="preserve"> grantor enters into an arrangement that involves an operator providing public services related to</w:t>
      </w:r>
      <w:r w:rsidR="00F54BE1" w:rsidRPr="00662611">
        <w:t xml:space="preserve"> a business</w:t>
      </w:r>
      <w:r w:rsidRPr="00662611">
        <w:t xml:space="preserve">, on behalf of the grantor. The </w:t>
      </w:r>
      <w:r w:rsidR="00F54BE1" w:rsidRPr="00662611">
        <w:t xml:space="preserve">business is a business as defined in AASB 3 </w:t>
      </w:r>
      <w:r w:rsidR="00F54BE1" w:rsidRPr="00662611">
        <w:rPr>
          <w:i/>
        </w:rPr>
        <w:t>Business Combinations</w:t>
      </w:r>
      <w:r w:rsidR="007003A5" w:rsidRPr="00662611">
        <w:t>,</w:t>
      </w:r>
      <w:r w:rsidR="00F54BE1" w:rsidRPr="00662611">
        <w:t xml:space="preserve"> </w:t>
      </w:r>
      <w:r w:rsidR="007003A5" w:rsidRPr="00662611">
        <w:t xml:space="preserve">with </w:t>
      </w:r>
      <w:r w:rsidR="00F54BE1" w:rsidRPr="00662611">
        <w:t>customer lists and property</w:t>
      </w:r>
      <w:r w:rsidR="00510A9B" w:rsidRPr="00662611">
        <w:t>,</w:t>
      </w:r>
      <w:r w:rsidR="00F54BE1" w:rsidRPr="00662611">
        <w:t xml:space="preserve"> plant and equipment. The customer lists are </w:t>
      </w:r>
      <w:r w:rsidR="007003A5" w:rsidRPr="00662611">
        <w:t xml:space="preserve">intangible assets as they would meet the separability criterion in AASB 3. They </w:t>
      </w:r>
      <w:r w:rsidRPr="00662611">
        <w:t>were developed and are owned by the grantor;</w:t>
      </w:r>
    </w:p>
    <w:p w14:paraId="7D927715" w14:textId="447E10F7" w:rsidR="00CA1E6D" w:rsidRPr="00662611" w:rsidRDefault="00CA1E6D" w:rsidP="003102C2">
      <w:pPr>
        <w:pStyle w:val="NumAG1"/>
        <w:numPr>
          <w:ilvl w:val="0"/>
          <w:numId w:val="37"/>
        </w:numPr>
        <w:ind w:left="1564" w:hanging="782"/>
      </w:pPr>
      <w:r w:rsidRPr="00662611">
        <w:t xml:space="preserve">the initial fair value (current replacement cost) of the business and the identifiable assets </w:t>
      </w:r>
      <w:r w:rsidR="004A3506" w:rsidRPr="00662611">
        <w:t xml:space="preserve">of </w:t>
      </w:r>
      <w:r w:rsidRPr="00662611">
        <w:t xml:space="preserve">the business are set out in Table </w:t>
      </w:r>
      <w:r w:rsidR="004A3506" w:rsidRPr="00662611">
        <w:t>9</w:t>
      </w:r>
      <w:r w:rsidRPr="00662611">
        <w:t>;</w:t>
      </w:r>
    </w:p>
    <w:p w14:paraId="7D927716" w14:textId="77777777" w:rsidR="002704B7" w:rsidRPr="00662611" w:rsidRDefault="003D74FE" w:rsidP="003102C2">
      <w:pPr>
        <w:pStyle w:val="NumAG1"/>
        <w:numPr>
          <w:ilvl w:val="0"/>
          <w:numId w:val="37"/>
        </w:numPr>
        <w:ind w:left="1564" w:hanging="782"/>
      </w:pPr>
      <w:r w:rsidRPr="00662611">
        <w:t xml:space="preserve">the operator </w:t>
      </w:r>
      <w:r w:rsidR="00D75530" w:rsidRPr="00662611">
        <w:t xml:space="preserve">has </w:t>
      </w:r>
      <w:r w:rsidRPr="00662611">
        <w:t xml:space="preserve">the right to collect revenue </w:t>
      </w:r>
      <w:r w:rsidR="004A3506" w:rsidRPr="00662611">
        <w:t xml:space="preserve">in relation to </w:t>
      </w:r>
      <w:r w:rsidR="00C62239" w:rsidRPr="00662611">
        <w:t xml:space="preserve">updating </w:t>
      </w:r>
      <w:r w:rsidR="004A3506" w:rsidRPr="00662611">
        <w:t>the customer lists</w:t>
      </w:r>
      <w:r w:rsidRPr="00662611">
        <w:t xml:space="preserve">; </w:t>
      </w:r>
      <w:r w:rsidR="002704B7" w:rsidRPr="00662611">
        <w:t>and</w:t>
      </w:r>
    </w:p>
    <w:p w14:paraId="7D927717" w14:textId="77777777" w:rsidR="002704B7" w:rsidRPr="00662611" w:rsidRDefault="002704B7" w:rsidP="003102C2">
      <w:pPr>
        <w:pStyle w:val="NumAG1"/>
        <w:numPr>
          <w:ilvl w:val="0"/>
          <w:numId w:val="37"/>
        </w:numPr>
        <w:spacing w:after="0"/>
        <w:ind w:left="1564" w:hanging="782"/>
      </w:pPr>
      <w:proofErr w:type="gramStart"/>
      <w:r w:rsidRPr="00662611">
        <w:t>at</w:t>
      </w:r>
      <w:proofErr w:type="gramEnd"/>
      <w:r w:rsidRPr="00662611">
        <w:t xml:space="preserve"> the commencement of the arrangement, the operator provides the grantor with cash consideration of CU300.</w:t>
      </w:r>
    </w:p>
    <w:p w14:paraId="0BEC461D" w14:textId="77777777" w:rsidR="003C77C8" w:rsidRPr="00662611" w:rsidRDefault="003C77C8" w:rsidP="00757C13">
      <w:pPr>
        <w:pStyle w:val="NumAG1"/>
        <w:numPr>
          <w:ilvl w:val="0"/>
          <w:numId w:val="0"/>
        </w:numPr>
        <w:spacing w:after="0"/>
      </w:pPr>
    </w:p>
    <w:p w14:paraId="7D927718" w14:textId="77777777" w:rsidR="00AA3A87" w:rsidRPr="00662611" w:rsidRDefault="00AA3A87" w:rsidP="00AA3A87">
      <w:pPr>
        <w:pStyle w:val="IE1"/>
        <w:numPr>
          <w:ilvl w:val="0"/>
          <w:numId w:val="0"/>
        </w:numPr>
        <w:ind w:left="782"/>
        <w:rPr>
          <w:b/>
          <w:sz w:val="19"/>
          <w:szCs w:val="19"/>
        </w:rPr>
      </w:pPr>
      <w:r w:rsidRPr="00662611">
        <w:rPr>
          <w:b/>
          <w:sz w:val="19"/>
          <w:szCs w:val="19"/>
        </w:rPr>
        <w:t xml:space="preserve">Table </w:t>
      </w:r>
      <w:proofErr w:type="gramStart"/>
      <w:r w:rsidR="004A3506" w:rsidRPr="00662611">
        <w:rPr>
          <w:b/>
          <w:sz w:val="19"/>
          <w:szCs w:val="19"/>
        </w:rPr>
        <w:t>9</w:t>
      </w:r>
      <w:r w:rsidRPr="00662611">
        <w:rPr>
          <w:b/>
          <w:sz w:val="19"/>
          <w:szCs w:val="19"/>
        </w:rPr>
        <w:t xml:space="preserve">  Fair</w:t>
      </w:r>
      <w:proofErr w:type="gramEnd"/>
      <w:r w:rsidRPr="00662611">
        <w:rPr>
          <w:b/>
          <w:sz w:val="19"/>
          <w:szCs w:val="19"/>
        </w:rPr>
        <w:t xml:space="preserve"> values of the components of the arrangement (currency units)</w:t>
      </w:r>
    </w:p>
    <w:tbl>
      <w:tblPr>
        <w:tblW w:w="6843"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 Fair Values of the Components of the Arrangement (Currency Units)"/>
        <w:tblDescription w:val="The fair value of Road – base layers is 940 currency units.&#10;The fair value of Road – original surface layers is 110 currency units.&#10;The total FV of road is therefore 1,050 currency units.&#10;The annual service component is 12 currency units.&#10;The effective interest rate is 6.18 per cent.&#10;"/>
      </w:tblPr>
      <w:tblGrid>
        <w:gridCol w:w="2767"/>
        <w:gridCol w:w="2038"/>
        <w:gridCol w:w="2038"/>
      </w:tblGrid>
      <w:tr w:rsidR="00464A59" w:rsidRPr="00662611" w14:paraId="7D92771B" w14:textId="77777777" w:rsidTr="00464A59">
        <w:trPr>
          <w:trHeight w:val="132"/>
        </w:trPr>
        <w:tc>
          <w:tcPr>
            <w:tcW w:w="2767" w:type="dxa"/>
            <w:tcBorders>
              <w:bottom w:val="single" w:sz="4" w:space="0" w:color="auto"/>
            </w:tcBorders>
          </w:tcPr>
          <w:p w14:paraId="7D927719" w14:textId="77777777" w:rsidR="00464A59" w:rsidRPr="00464A59" w:rsidRDefault="00464A59" w:rsidP="00180B95">
            <w:pPr>
              <w:pStyle w:val="Default"/>
              <w:spacing w:before="40" w:after="40"/>
              <w:rPr>
                <w:b/>
                <w:sz w:val="19"/>
                <w:szCs w:val="19"/>
              </w:rPr>
            </w:pPr>
            <w:r w:rsidRPr="00464A59">
              <w:rPr>
                <w:b/>
                <w:sz w:val="19"/>
                <w:szCs w:val="19"/>
              </w:rPr>
              <w:t>Contract component</w:t>
            </w:r>
          </w:p>
        </w:tc>
        <w:tc>
          <w:tcPr>
            <w:tcW w:w="2038" w:type="dxa"/>
            <w:tcBorders>
              <w:bottom w:val="single" w:sz="4" w:space="0" w:color="auto"/>
            </w:tcBorders>
          </w:tcPr>
          <w:p w14:paraId="24746986" w14:textId="7EA6C877" w:rsidR="00464A59" w:rsidRPr="00662611" w:rsidRDefault="00464A59" w:rsidP="00464A59">
            <w:pPr>
              <w:pStyle w:val="Default"/>
              <w:spacing w:before="40" w:after="40"/>
              <w:jc w:val="center"/>
              <w:rPr>
                <w:b/>
                <w:bCs/>
                <w:sz w:val="19"/>
                <w:szCs w:val="19"/>
              </w:rPr>
            </w:pPr>
            <w:r>
              <w:rPr>
                <w:b/>
                <w:bCs/>
                <w:sz w:val="19"/>
                <w:szCs w:val="19"/>
              </w:rPr>
              <w:t>Carrying amount</w:t>
            </w:r>
          </w:p>
        </w:tc>
        <w:tc>
          <w:tcPr>
            <w:tcW w:w="2038" w:type="dxa"/>
            <w:tcBorders>
              <w:bottom w:val="single" w:sz="4" w:space="0" w:color="auto"/>
            </w:tcBorders>
          </w:tcPr>
          <w:p w14:paraId="7D92771A" w14:textId="68B5E08D" w:rsidR="00464A59" w:rsidRPr="00662611" w:rsidRDefault="00464A59" w:rsidP="00464A59">
            <w:pPr>
              <w:pStyle w:val="Default"/>
              <w:spacing w:before="40" w:after="40"/>
              <w:jc w:val="center"/>
              <w:rPr>
                <w:sz w:val="19"/>
                <w:szCs w:val="19"/>
              </w:rPr>
            </w:pPr>
            <w:r w:rsidRPr="00662611">
              <w:rPr>
                <w:b/>
                <w:bCs/>
                <w:sz w:val="19"/>
                <w:szCs w:val="19"/>
              </w:rPr>
              <w:t>Fair value</w:t>
            </w:r>
          </w:p>
        </w:tc>
      </w:tr>
      <w:tr w:rsidR="00464A59" w:rsidRPr="00662611" w14:paraId="7D92771E" w14:textId="77777777" w:rsidTr="00464A59">
        <w:trPr>
          <w:trHeight w:val="130"/>
        </w:trPr>
        <w:tc>
          <w:tcPr>
            <w:tcW w:w="2767" w:type="dxa"/>
            <w:tcBorders>
              <w:top w:val="nil"/>
              <w:bottom w:val="nil"/>
            </w:tcBorders>
          </w:tcPr>
          <w:p w14:paraId="7D92771C" w14:textId="77777777" w:rsidR="00464A59" w:rsidRPr="00662611" w:rsidRDefault="00464A59" w:rsidP="00180B95">
            <w:pPr>
              <w:pStyle w:val="Default"/>
              <w:spacing w:before="40" w:after="40"/>
              <w:rPr>
                <w:sz w:val="19"/>
                <w:szCs w:val="19"/>
              </w:rPr>
            </w:pPr>
            <w:r w:rsidRPr="00662611">
              <w:rPr>
                <w:sz w:val="19"/>
                <w:szCs w:val="19"/>
              </w:rPr>
              <w:t>Business</w:t>
            </w:r>
          </w:p>
        </w:tc>
        <w:tc>
          <w:tcPr>
            <w:tcW w:w="2038" w:type="dxa"/>
            <w:tcBorders>
              <w:top w:val="nil"/>
              <w:bottom w:val="nil"/>
            </w:tcBorders>
          </w:tcPr>
          <w:p w14:paraId="4070B156" w14:textId="5F65733E" w:rsidR="00464A59" w:rsidRPr="00662611" w:rsidRDefault="00464A59" w:rsidP="00464A59">
            <w:pPr>
              <w:pStyle w:val="Default"/>
              <w:spacing w:before="40" w:after="40"/>
              <w:ind w:right="33"/>
              <w:jc w:val="center"/>
              <w:rPr>
                <w:sz w:val="19"/>
                <w:szCs w:val="19"/>
              </w:rPr>
            </w:pPr>
            <w:r>
              <w:rPr>
                <w:sz w:val="19"/>
                <w:szCs w:val="19"/>
              </w:rPr>
              <w:t>n/a</w:t>
            </w:r>
          </w:p>
        </w:tc>
        <w:tc>
          <w:tcPr>
            <w:tcW w:w="2038" w:type="dxa"/>
            <w:tcBorders>
              <w:top w:val="nil"/>
              <w:bottom w:val="nil"/>
            </w:tcBorders>
          </w:tcPr>
          <w:p w14:paraId="7D92771D" w14:textId="21010D87" w:rsidR="00464A59" w:rsidRPr="00662611" w:rsidRDefault="00464A59" w:rsidP="00464A59">
            <w:pPr>
              <w:pStyle w:val="Default"/>
              <w:spacing w:before="40" w:after="40"/>
              <w:jc w:val="center"/>
              <w:rPr>
                <w:sz w:val="19"/>
                <w:szCs w:val="19"/>
              </w:rPr>
            </w:pPr>
            <w:r w:rsidRPr="00662611">
              <w:rPr>
                <w:sz w:val="19"/>
                <w:szCs w:val="19"/>
              </w:rPr>
              <w:t>300</w:t>
            </w:r>
          </w:p>
        </w:tc>
      </w:tr>
      <w:tr w:rsidR="00464A59" w:rsidRPr="00662611" w14:paraId="7D927721" w14:textId="77777777" w:rsidTr="00464A59">
        <w:trPr>
          <w:trHeight w:val="130"/>
        </w:trPr>
        <w:tc>
          <w:tcPr>
            <w:tcW w:w="2767" w:type="dxa"/>
            <w:tcBorders>
              <w:top w:val="nil"/>
              <w:bottom w:val="nil"/>
            </w:tcBorders>
          </w:tcPr>
          <w:p w14:paraId="7D92771F" w14:textId="77777777" w:rsidR="00464A59" w:rsidRPr="00662611" w:rsidRDefault="00464A59" w:rsidP="00180B95">
            <w:pPr>
              <w:pStyle w:val="Default"/>
              <w:spacing w:before="40" w:after="40"/>
              <w:rPr>
                <w:sz w:val="19"/>
                <w:szCs w:val="19"/>
              </w:rPr>
            </w:pPr>
            <w:r w:rsidRPr="00662611">
              <w:rPr>
                <w:sz w:val="19"/>
                <w:szCs w:val="19"/>
              </w:rPr>
              <w:t>Property, plant and equipment</w:t>
            </w:r>
          </w:p>
        </w:tc>
        <w:tc>
          <w:tcPr>
            <w:tcW w:w="2038" w:type="dxa"/>
            <w:tcBorders>
              <w:top w:val="nil"/>
              <w:bottom w:val="nil"/>
            </w:tcBorders>
          </w:tcPr>
          <w:p w14:paraId="1D3874FB" w14:textId="5202EEA9" w:rsidR="00464A59" w:rsidRPr="00662611" w:rsidRDefault="00464A59" w:rsidP="00464A59">
            <w:pPr>
              <w:pStyle w:val="Default"/>
              <w:spacing w:before="40" w:after="40"/>
              <w:ind w:right="33"/>
              <w:jc w:val="center"/>
              <w:rPr>
                <w:sz w:val="19"/>
                <w:szCs w:val="19"/>
              </w:rPr>
            </w:pPr>
            <w:r>
              <w:rPr>
                <w:sz w:val="19"/>
                <w:szCs w:val="19"/>
              </w:rPr>
              <w:t>60</w:t>
            </w:r>
          </w:p>
        </w:tc>
        <w:tc>
          <w:tcPr>
            <w:tcW w:w="2038" w:type="dxa"/>
            <w:tcBorders>
              <w:top w:val="nil"/>
              <w:bottom w:val="nil"/>
            </w:tcBorders>
          </w:tcPr>
          <w:p w14:paraId="7D927720" w14:textId="3E4FFA0C" w:rsidR="00464A59" w:rsidRPr="00662611" w:rsidRDefault="00464A59" w:rsidP="00464A59">
            <w:pPr>
              <w:pStyle w:val="Default"/>
              <w:spacing w:before="40" w:after="40"/>
              <w:jc w:val="center"/>
              <w:rPr>
                <w:sz w:val="19"/>
                <w:szCs w:val="19"/>
              </w:rPr>
            </w:pPr>
            <w:r w:rsidRPr="00662611">
              <w:rPr>
                <w:sz w:val="19"/>
                <w:szCs w:val="19"/>
              </w:rPr>
              <w:t>100</w:t>
            </w:r>
          </w:p>
        </w:tc>
      </w:tr>
      <w:tr w:rsidR="00464A59" w:rsidRPr="00662611" w14:paraId="7D927724" w14:textId="77777777" w:rsidTr="00464A59">
        <w:trPr>
          <w:trHeight w:val="130"/>
        </w:trPr>
        <w:tc>
          <w:tcPr>
            <w:tcW w:w="2767" w:type="dxa"/>
            <w:tcBorders>
              <w:top w:val="nil"/>
              <w:bottom w:val="single" w:sz="4" w:space="0" w:color="auto"/>
            </w:tcBorders>
          </w:tcPr>
          <w:p w14:paraId="7D927722" w14:textId="77777777" w:rsidR="00464A59" w:rsidRPr="00662611" w:rsidRDefault="00464A59" w:rsidP="00180B95">
            <w:pPr>
              <w:pStyle w:val="Default"/>
              <w:spacing w:before="40" w:after="40"/>
              <w:rPr>
                <w:sz w:val="19"/>
                <w:szCs w:val="19"/>
              </w:rPr>
            </w:pPr>
            <w:r w:rsidRPr="00662611">
              <w:rPr>
                <w:sz w:val="19"/>
                <w:szCs w:val="19"/>
              </w:rPr>
              <w:t>Customer lists</w:t>
            </w:r>
          </w:p>
        </w:tc>
        <w:tc>
          <w:tcPr>
            <w:tcW w:w="2038" w:type="dxa"/>
            <w:tcBorders>
              <w:top w:val="nil"/>
              <w:bottom w:val="single" w:sz="4" w:space="0" w:color="auto"/>
            </w:tcBorders>
          </w:tcPr>
          <w:p w14:paraId="1F21CA9F" w14:textId="558A9AC4" w:rsidR="00464A59" w:rsidRPr="00662611" w:rsidRDefault="00464A59" w:rsidP="00464A59">
            <w:pPr>
              <w:pStyle w:val="Default"/>
              <w:spacing w:before="40" w:after="40"/>
              <w:ind w:right="33"/>
              <w:jc w:val="center"/>
              <w:rPr>
                <w:sz w:val="19"/>
                <w:szCs w:val="19"/>
              </w:rPr>
            </w:pPr>
            <w:r>
              <w:rPr>
                <w:sz w:val="19"/>
                <w:szCs w:val="19"/>
              </w:rPr>
              <w:t>–</w:t>
            </w:r>
          </w:p>
        </w:tc>
        <w:tc>
          <w:tcPr>
            <w:tcW w:w="2038" w:type="dxa"/>
            <w:tcBorders>
              <w:top w:val="nil"/>
              <w:bottom w:val="single" w:sz="4" w:space="0" w:color="auto"/>
            </w:tcBorders>
          </w:tcPr>
          <w:p w14:paraId="7D927723" w14:textId="19EC73C3" w:rsidR="00464A59" w:rsidRPr="00662611" w:rsidRDefault="00464A59" w:rsidP="00464A59">
            <w:pPr>
              <w:pStyle w:val="Default"/>
              <w:spacing w:before="40" w:after="40"/>
              <w:jc w:val="center"/>
              <w:rPr>
                <w:sz w:val="19"/>
                <w:szCs w:val="19"/>
              </w:rPr>
            </w:pPr>
            <w:r w:rsidRPr="00662611">
              <w:rPr>
                <w:sz w:val="19"/>
                <w:szCs w:val="19"/>
              </w:rPr>
              <w:t>150</w:t>
            </w:r>
          </w:p>
        </w:tc>
      </w:tr>
    </w:tbl>
    <w:p w14:paraId="7D927725" w14:textId="77777777" w:rsidR="00AA3A87" w:rsidRPr="00662611" w:rsidRDefault="00AA3A87" w:rsidP="00AA3A87">
      <w:pPr>
        <w:pStyle w:val="NumAG1"/>
        <w:numPr>
          <w:ilvl w:val="0"/>
          <w:numId w:val="0"/>
        </w:numPr>
        <w:ind w:left="1564" w:hanging="782"/>
      </w:pPr>
    </w:p>
    <w:p w14:paraId="7D927726" w14:textId="16A6BC51" w:rsidR="002704B7" w:rsidRPr="00662611" w:rsidRDefault="002704B7" w:rsidP="003E2819">
      <w:pPr>
        <w:pStyle w:val="IE1"/>
        <w:spacing w:after="100" w:line="240" w:lineRule="auto"/>
        <w:ind w:left="782" w:hanging="782"/>
        <w:jc w:val="both"/>
        <w:rPr>
          <w:sz w:val="19"/>
          <w:szCs w:val="19"/>
        </w:rPr>
      </w:pPr>
      <w:r w:rsidRPr="00662611">
        <w:rPr>
          <w:sz w:val="19"/>
          <w:szCs w:val="19"/>
        </w:rPr>
        <w:t xml:space="preserve">The arrangement is within the scope of this Standard and, as existing assets of the grantor, the </w:t>
      </w:r>
      <w:proofErr w:type="gramStart"/>
      <w:r w:rsidR="00510A9B" w:rsidRPr="00662611">
        <w:rPr>
          <w:sz w:val="19"/>
          <w:szCs w:val="19"/>
        </w:rPr>
        <w:t>property,</w:t>
      </w:r>
      <w:proofErr w:type="gramEnd"/>
      <w:r w:rsidR="00510A9B" w:rsidRPr="00662611">
        <w:rPr>
          <w:sz w:val="19"/>
          <w:szCs w:val="19"/>
        </w:rPr>
        <w:t xml:space="preserve"> plant and equipment and customer lists </w:t>
      </w:r>
      <w:r w:rsidRPr="00662611">
        <w:rPr>
          <w:sz w:val="19"/>
          <w:szCs w:val="19"/>
        </w:rPr>
        <w:t xml:space="preserve">meet the conditions for a service concession asset in paragraph </w:t>
      </w:r>
      <w:r w:rsidR="00E90B96">
        <w:fldChar w:fldCharType="begin"/>
      </w:r>
      <w:r w:rsidR="00E90B96">
        <w:instrText xml:space="preserve"> REF _Ref475619556 \r \h </w:instrText>
      </w:r>
      <w:r w:rsidR="00E90B96">
        <w:fldChar w:fldCharType="separate"/>
      </w:r>
      <w:r w:rsidR="00C43128">
        <w:t>5</w:t>
      </w:r>
      <w:r w:rsidR="00E90B96">
        <w:fldChar w:fldCharType="end"/>
      </w:r>
      <w:r w:rsidRPr="00662611">
        <w:rPr>
          <w:sz w:val="19"/>
          <w:szCs w:val="19"/>
        </w:rPr>
        <w:t xml:space="preserve"> (or paragraph </w:t>
      </w:r>
      <w:r w:rsidR="007448D9">
        <w:rPr>
          <w:sz w:val="19"/>
          <w:szCs w:val="19"/>
        </w:rPr>
        <w:fldChar w:fldCharType="begin"/>
      </w:r>
      <w:r w:rsidR="007448D9">
        <w:rPr>
          <w:sz w:val="19"/>
          <w:szCs w:val="19"/>
        </w:rPr>
        <w:instrText xml:space="preserve"> REF _Ref486144882 \r \h </w:instrText>
      </w:r>
      <w:r w:rsidR="007448D9">
        <w:rPr>
          <w:sz w:val="19"/>
          <w:szCs w:val="19"/>
        </w:rPr>
      </w:r>
      <w:r w:rsidR="007448D9">
        <w:rPr>
          <w:sz w:val="19"/>
          <w:szCs w:val="19"/>
        </w:rPr>
        <w:fldChar w:fldCharType="separate"/>
      </w:r>
      <w:r w:rsidR="00C43128">
        <w:rPr>
          <w:sz w:val="19"/>
          <w:szCs w:val="19"/>
        </w:rPr>
        <w:t>6</w:t>
      </w:r>
      <w:r w:rsidR="007448D9">
        <w:rPr>
          <w:sz w:val="19"/>
          <w:szCs w:val="19"/>
        </w:rPr>
        <w:fldChar w:fldCharType="end"/>
      </w:r>
      <w:r w:rsidRPr="00662611">
        <w:rPr>
          <w:sz w:val="19"/>
          <w:szCs w:val="19"/>
        </w:rPr>
        <w:t xml:space="preserve"> for a whole-of-life asset).</w:t>
      </w:r>
    </w:p>
    <w:p w14:paraId="7D927727" w14:textId="77777777" w:rsidR="002704B7" w:rsidRPr="00662611" w:rsidRDefault="002704B7" w:rsidP="002704B7">
      <w:pPr>
        <w:pStyle w:val="IASBSectionTitle2Ind"/>
        <w:outlineLvl w:val="2"/>
      </w:pPr>
      <w:r w:rsidRPr="00662611">
        <w:t>Financial statement impact</w:t>
      </w:r>
    </w:p>
    <w:p w14:paraId="7D927728" w14:textId="3F2514B5" w:rsidR="00EB780A" w:rsidRPr="00662611" w:rsidRDefault="002704B7" w:rsidP="00EB780A">
      <w:pPr>
        <w:pStyle w:val="IE1"/>
        <w:spacing w:after="100" w:line="240" w:lineRule="auto"/>
        <w:ind w:left="782" w:hanging="782"/>
        <w:jc w:val="both"/>
        <w:rPr>
          <w:sz w:val="19"/>
          <w:szCs w:val="19"/>
        </w:rPr>
      </w:pPr>
      <w:bookmarkStart w:id="120" w:name="_Ref482281669"/>
      <w:r w:rsidRPr="00662611">
        <w:rPr>
          <w:sz w:val="19"/>
          <w:szCs w:val="19"/>
        </w:rPr>
        <w:t xml:space="preserve">The grantor </w:t>
      </w:r>
      <w:r w:rsidR="009000A2" w:rsidRPr="00662611">
        <w:rPr>
          <w:sz w:val="19"/>
          <w:szCs w:val="19"/>
        </w:rPr>
        <w:t xml:space="preserve">has not previously recognised the customer lists as an intangible asset as they are precluded from recognition as an intangible asset under AASB 138. As a result of entering into the service concession arrangement, the grantor </w:t>
      </w:r>
      <w:r w:rsidR="00EB780A" w:rsidRPr="00662611">
        <w:rPr>
          <w:sz w:val="19"/>
          <w:szCs w:val="19"/>
        </w:rPr>
        <w:t xml:space="preserve">recognises the assets of the business, excluding </w:t>
      </w:r>
      <w:r w:rsidR="004A3506" w:rsidRPr="00662611">
        <w:rPr>
          <w:sz w:val="19"/>
          <w:szCs w:val="19"/>
        </w:rPr>
        <w:t xml:space="preserve">any </w:t>
      </w:r>
      <w:r w:rsidR="00EB780A" w:rsidRPr="00662611">
        <w:rPr>
          <w:sz w:val="19"/>
          <w:szCs w:val="19"/>
        </w:rPr>
        <w:t>internally generated goodwill</w:t>
      </w:r>
      <w:r w:rsidR="004A3506" w:rsidRPr="00662611">
        <w:rPr>
          <w:sz w:val="19"/>
          <w:szCs w:val="19"/>
        </w:rPr>
        <w:t>, as service concession assets</w:t>
      </w:r>
      <w:r w:rsidR="00EB780A" w:rsidRPr="00662611">
        <w:rPr>
          <w:sz w:val="19"/>
          <w:szCs w:val="19"/>
        </w:rPr>
        <w:t>. Therefore the grantor initially:</w:t>
      </w:r>
      <w:bookmarkEnd w:id="120"/>
    </w:p>
    <w:p w14:paraId="7D927729" w14:textId="77777777" w:rsidR="00EB780A" w:rsidRPr="00662611" w:rsidRDefault="00EB780A" w:rsidP="007F5B33">
      <w:pPr>
        <w:pStyle w:val="IE2"/>
        <w:tabs>
          <w:tab w:val="clear" w:pos="1021"/>
        </w:tabs>
        <w:spacing w:after="100" w:line="240" w:lineRule="auto"/>
        <w:ind w:left="1564" w:hanging="782"/>
        <w:jc w:val="both"/>
        <w:rPr>
          <w:sz w:val="19"/>
          <w:szCs w:val="19"/>
        </w:rPr>
      </w:pPr>
      <w:r w:rsidRPr="00662611">
        <w:rPr>
          <w:sz w:val="19"/>
          <w:szCs w:val="19"/>
        </w:rPr>
        <w:t>reclassifies the property, plant and equipment as a service concession asset and recognises the asset at fair value (current replacement cost) (CU</w:t>
      </w:r>
      <w:r w:rsidR="00D75530" w:rsidRPr="00662611">
        <w:rPr>
          <w:sz w:val="19"/>
          <w:szCs w:val="19"/>
        </w:rPr>
        <w:t>100</w:t>
      </w:r>
      <w:r w:rsidRPr="00662611">
        <w:rPr>
          <w:sz w:val="19"/>
          <w:szCs w:val="19"/>
        </w:rPr>
        <w:t>)</w:t>
      </w:r>
      <w:r w:rsidR="00D75530" w:rsidRPr="00662611">
        <w:rPr>
          <w:sz w:val="19"/>
          <w:szCs w:val="19"/>
        </w:rPr>
        <w:t>, representing a revaluation surplus of CU40 over the carrying amount of CU60</w:t>
      </w:r>
      <w:r w:rsidRPr="00662611">
        <w:rPr>
          <w:sz w:val="19"/>
          <w:szCs w:val="19"/>
        </w:rPr>
        <w:t>;</w:t>
      </w:r>
    </w:p>
    <w:p w14:paraId="7D92772A" w14:textId="449D0321" w:rsidR="00EB780A" w:rsidRPr="00662611" w:rsidRDefault="002704B7" w:rsidP="007F5B33">
      <w:pPr>
        <w:pStyle w:val="IE2"/>
        <w:tabs>
          <w:tab w:val="clear" w:pos="1021"/>
        </w:tabs>
        <w:spacing w:after="100" w:line="240" w:lineRule="auto"/>
        <w:ind w:left="1564" w:hanging="782"/>
        <w:jc w:val="both"/>
        <w:rPr>
          <w:sz w:val="19"/>
          <w:szCs w:val="19"/>
        </w:rPr>
      </w:pPr>
      <w:r w:rsidRPr="00662611">
        <w:rPr>
          <w:sz w:val="19"/>
          <w:szCs w:val="19"/>
        </w:rPr>
        <w:t xml:space="preserve">reclassifies the </w:t>
      </w:r>
      <w:r w:rsidR="00510A9B" w:rsidRPr="00662611">
        <w:rPr>
          <w:sz w:val="19"/>
          <w:szCs w:val="19"/>
        </w:rPr>
        <w:t xml:space="preserve">customer lists </w:t>
      </w:r>
      <w:r w:rsidRPr="00662611">
        <w:rPr>
          <w:sz w:val="19"/>
          <w:szCs w:val="19"/>
        </w:rPr>
        <w:t>as an intangible service concession asset and recognises the asset at fair value (current replacement cost) (CU</w:t>
      </w:r>
      <w:r w:rsidR="00CD3DC5" w:rsidRPr="00662611">
        <w:rPr>
          <w:sz w:val="19"/>
          <w:szCs w:val="19"/>
        </w:rPr>
        <w:t>150</w:t>
      </w:r>
      <w:r w:rsidRPr="00662611">
        <w:rPr>
          <w:sz w:val="19"/>
          <w:szCs w:val="19"/>
        </w:rPr>
        <w:t xml:space="preserve">) and </w:t>
      </w:r>
      <w:r w:rsidR="00991EFC" w:rsidRPr="00662611">
        <w:rPr>
          <w:sz w:val="19"/>
          <w:szCs w:val="19"/>
        </w:rPr>
        <w:t>a corresponding amount as revaluation surplus; and</w:t>
      </w:r>
    </w:p>
    <w:p w14:paraId="7D92772B" w14:textId="77777777" w:rsidR="00991EFC" w:rsidRPr="00662611" w:rsidRDefault="00991EFC" w:rsidP="007F5B33">
      <w:pPr>
        <w:pStyle w:val="IE2"/>
        <w:tabs>
          <w:tab w:val="clear" w:pos="1021"/>
        </w:tabs>
        <w:spacing w:after="100" w:line="240" w:lineRule="auto"/>
        <w:ind w:left="1564" w:hanging="782"/>
        <w:jc w:val="both"/>
        <w:rPr>
          <w:sz w:val="19"/>
          <w:szCs w:val="19"/>
        </w:rPr>
      </w:pPr>
      <w:proofErr w:type="gramStart"/>
      <w:r w:rsidRPr="00662611">
        <w:rPr>
          <w:sz w:val="19"/>
          <w:szCs w:val="19"/>
        </w:rPr>
        <w:t>recognises</w:t>
      </w:r>
      <w:proofErr w:type="gramEnd"/>
      <w:r w:rsidRPr="00662611">
        <w:rPr>
          <w:sz w:val="19"/>
          <w:szCs w:val="19"/>
        </w:rPr>
        <w:t xml:space="preserve"> a liability under the grant of a right to the operator model for the additional consideration (CU300) provided by the operator.</w:t>
      </w:r>
    </w:p>
    <w:p w14:paraId="7D92772C" w14:textId="4778578F" w:rsidR="002704B7" w:rsidRPr="00662611" w:rsidRDefault="002704B7" w:rsidP="003E2819">
      <w:pPr>
        <w:pStyle w:val="IE1"/>
        <w:spacing w:after="100" w:line="240" w:lineRule="auto"/>
        <w:ind w:left="782" w:hanging="782"/>
        <w:jc w:val="both"/>
        <w:rPr>
          <w:sz w:val="19"/>
          <w:szCs w:val="19"/>
        </w:rPr>
      </w:pPr>
      <w:r w:rsidRPr="00662611">
        <w:rPr>
          <w:sz w:val="19"/>
          <w:szCs w:val="19"/>
        </w:rPr>
        <w:t xml:space="preserve">The journal entries for the accounting treatment </w:t>
      </w:r>
      <w:r w:rsidR="00991EFC" w:rsidRPr="00662611">
        <w:rPr>
          <w:sz w:val="19"/>
          <w:szCs w:val="19"/>
        </w:rPr>
        <w:t xml:space="preserve">set out </w:t>
      </w:r>
      <w:r w:rsidRPr="00662611">
        <w:rPr>
          <w:sz w:val="19"/>
          <w:szCs w:val="19"/>
        </w:rPr>
        <w:t xml:space="preserve">in paragraph </w:t>
      </w:r>
      <w:r w:rsidR="003575F2" w:rsidRPr="00662611">
        <w:rPr>
          <w:sz w:val="19"/>
          <w:szCs w:val="19"/>
        </w:rPr>
        <w:fldChar w:fldCharType="begin"/>
      </w:r>
      <w:r w:rsidR="003575F2" w:rsidRPr="00662611">
        <w:rPr>
          <w:sz w:val="19"/>
          <w:szCs w:val="19"/>
        </w:rPr>
        <w:instrText xml:space="preserve"> REF _Ref482281669 \r \h </w:instrText>
      </w:r>
      <w:r w:rsidR="003575F2" w:rsidRPr="00662611">
        <w:rPr>
          <w:sz w:val="19"/>
          <w:szCs w:val="19"/>
        </w:rPr>
      </w:r>
      <w:r w:rsidR="003575F2" w:rsidRPr="00662611">
        <w:rPr>
          <w:sz w:val="19"/>
          <w:szCs w:val="19"/>
        </w:rPr>
        <w:fldChar w:fldCharType="separate"/>
      </w:r>
      <w:r w:rsidR="00C43128">
        <w:rPr>
          <w:sz w:val="19"/>
          <w:szCs w:val="19"/>
        </w:rPr>
        <w:t>IE39</w:t>
      </w:r>
      <w:r w:rsidR="003575F2" w:rsidRPr="00662611">
        <w:rPr>
          <w:sz w:val="19"/>
          <w:szCs w:val="19"/>
        </w:rPr>
        <w:fldChar w:fldCharType="end"/>
      </w:r>
      <w:r w:rsidR="0008580A" w:rsidRPr="00662611">
        <w:rPr>
          <w:sz w:val="19"/>
          <w:szCs w:val="19"/>
        </w:rPr>
        <w:t xml:space="preserve"> </w:t>
      </w:r>
      <w:r w:rsidRPr="00662611">
        <w:rPr>
          <w:sz w:val="19"/>
          <w:szCs w:val="19"/>
        </w:rPr>
        <w:t>are:</w:t>
      </w:r>
    </w:p>
    <w:tbl>
      <w:tblPr>
        <w:tblStyle w:val="TableGrid"/>
        <w:tblW w:w="8323" w:type="dxa"/>
        <w:tblInd w:w="782" w:type="dxa"/>
        <w:tblLayout w:type="fixed"/>
        <w:tblLook w:val="04A0" w:firstRow="1" w:lastRow="0" w:firstColumn="1" w:lastColumn="0" w:noHBand="0" w:noVBand="1"/>
        <w:tblCaption w:val="Example 3 Hybrid arrangements"/>
        <w:tblDescription w:val="Liability recognition journal entries"/>
      </w:tblPr>
      <w:tblGrid>
        <w:gridCol w:w="4439"/>
        <w:gridCol w:w="1942"/>
        <w:gridCol w:w="1942"/>
      </w:tblGrid>
      <w:tr w:rsidR="002704B7" w:rsidRPr="00662611" w14:paraId="7D927730" w14:textId="77777777" w:rsidTr="0034540E">
        <w:trPr>
          <w:trHeight w:val="198"/>
          <w:tblHeader/>
        </w:trPr>
        <w:tc>
          <w:tcPr>
            <w:tcW w:w="4439" w:type="dxa"/>
          </w:tcPr>
          <w:p w14:paraId="7D92772D" w14:textId="77777777" w:rsidR="002704B7" w:rsidRPr="00662611" w:rsidRDefault="002704B7" w:rsidP="0034540E">
            <w:pPr>
              <w:pStyle w:val="IE1"/>
              <w:numPr>
                <w:ilvl w:val="0"/>
                <w:numId w:val="0"/>
              </w:numPr>
              <w:spacing w:after="100" w:line="240" w:lineRule="auto"/>
              <w:jc w:val="both"/>
              <w:rPr>
                <w:b/>
                <w:sz w:val="19"/>
                <w:szCs w:val="19"/>
              </w:rPr>
            </w:pPr>
          </w:p>
        </w:tc>
        <w:tc>
          <w:tcPr>
            <w:tcW w:w="1942" w:type="dxa"/>
          </w:tcPr>
          <w:p w14:paraId="7D92772E" w14:textId="77777777" w:rsidR="002704B7" w:rsidRPr="00662611" w:rsidRDefault="002704B7" w:rsidP="0034540E">
            <w:pPr>
              <w:pStyle w:val="IE1"/>
              <w:numPr>
                <w:ilvl w:val="0"/>
                <w:numId w:val="0"/>
              </w:numPr>
              <w:spacing w:after="100" w:line="240" w:lineRule="auto"/>
              <w:jc w:val="right"/>
              <w:rPr>
                <w:b/>
                <w:sz w:val="19"/>
                <w:szCs w:val="19"/>
              </w:rPr>
            </w:pPr>
            <w:r w:rsidRPr="00662611">
              <w:rPr>
                <w:b/>
                <w:sz w:val="19"/>
                <w:szCs w:val="19"/>
              </w:rPr>
              <w:t>Debit</w:t>
            </w:r>
          </w:p>
        </w:tc>
        <w:tc>
          <w:tcPr>
            <w:tcW w:w="1942" w:type="dxa"/>
          </w:tcPr>
          <w:p w14:paraId="7D92772F" w14:textId="77777777" w:rsidR="002704B7" w:rsidRPr="00662611" w:rsidRDefault="002704B7" w:rsidP="0034540E">
            <w:pPr>
              <w:pStyle w:val="IE1"/>
              <w:numPr>
                <w:ilvl w:val="0"/>
                <w:numId w:val="0"/>
              </w:numPr>
              <w:spacing w:after="100" w:line="240" w:lineRule="auto"/>
              <w:jc w:val="right"/>
              <w:rPr>
                <w:b/>
                <w:sz w:val="19"/>
                <w:szCs w:val="19"/>
              </w:rPr>
            </w:pPr>
            <w:r w:rsidRPr="00662611">
              <w:rPr>
                <w:b/>
                <w:sz w:val="19"/>
                <w:szCs w:val="19"/>
              </w:rPr>
              <w:t>Credit</w:t>
            </w:r>
          </w:p>
        </w:tc>
      </w:tr>
      <w:tr w:rsidR="002704B7" w:rsidRPr="00662611" w14:paraId="7D927734" w14:textId="77777777" w:rsidTr="0034540E">
        <w:trPr>
          <w:trHeight w:val="198"/>
        </w:trPr>
        <w:tc>
          <w:tcPr>
            <w:tcW w:w="4439" w:type="dxa"/>
          </w:tcPr>
          <w:p w14:paraId="7D927731" w14:textId="77777777" w:rsidR="002704B7" w:rsidRPr="00662611" w:rsidRDefault="002704B7" w:rsidP="0034540E">
            <w:pPr>
              <w:pStyle w:val="IE1"/>
              <w:numPr>
                <w:ilvl w:val="0"/>
                <w:numId w:val="0"/>
              </w:numPr>
              <w:spacing w:after="100" w:line="240" w:lineRule="auto"/>
              <w:jc w:val="both"/>
              <w:rPr>
                <w:sz w:val="19"/>
                <w:szCs w:val="19"/>
              </w:rPr>
            </w:pPr>
            <w:r w:rsidRPr="00662611">
              <w:rPr>
                <w:b/>
                <w:sz w:val="19"/>
                <w:szCs w:val="19"/>
              </w:rPr>
              <w:t>Year 1</w:t>
            </w:r>
          </w:p>
        </w:tc>
        <w:tc>
          <w:tcPr>
            <w:tcW w:w="1942" w:type="dxa"/>
          </w:tcPr>
          <w:p w14:paraId="7D927732" w14:textId="77777777" w:rsidR="002704B7" w:rsidRPr="00662611" w:rsidRDefault="002704B7" w:rsidP="0034540E">
            <w:pPr>
              <w:pStyle w:val="IE1"/>
              <w:numPr>
                <w:ilvl w:val="0"/>
                <w:numId w:val="0"/>
              </w:numPr>
              <w:spacing w:after="100" w:line="240" w:lineRule="auto"/>
              <w:jc w:val="right"/>
              <w:rPr>
                <w:sz w:val="19"/>
                <w:szCs w:val="19"/>
              </w:rPr>
            </w:pPr>
            <w:r w:rsidRPr="00662611">
              <w:rPr>
                <w:sz w:val="19"/>
                <w:szCs w:val="19"/>
              </w:rPr>
              <w:t>CU</w:t>
            </w:r>
          </w:p>
        </w:tc>
        <w:tc>
          <w:tcPr>
            <w:tcW w:w="1942" w:type="dxa"/>
          </w:tcPr>
          <w:p w14:paraId="7D927733" w14:textId="77777777" w:rsidR="002704B7" w:rsidRPr="00662611" w:rsidRDefault="002704B7" w:rsidP="0034540E">
            <w:pPr>
              <w:pStyle w:val="IE1"/>
              <w:numPr>
                <w:ilvl w:val="0"/>
                <w:numId w:val="0"/>
              </w:numPr>
              <w:spacing w:after="100" w:line="240" w:lineRule="auto"/>
              <w:jc w:val="right"/>
              <w:rPr>
                <w:sz w:val="19"/>
                <w:szCs w:val="19"/>
              </w:rPr>
            </w:pPr>
            <w:r w:rsidRPr="00662611">
              <w:rPr>
                <w:sz w:val="19"/>
                <w:szCs w:val="19"/>
              </w:rPr>
              <w:t>CU</w:t>
            </w:r>
          </w:p>
        </w:tc>
      </w:tr>
      <w:tr w:rsidR="00991EFC" w:rsidRPr="00662611" w14:paraId="7D927738" w14:textId="77777777" w:rsidTr="0034540E">
        <w:trPr>
          <w:trHeight w:val="198"/>
        </w:trPr>
        <w:tc>
          <w:tcPr>
            <w:tcW w:w="4439" w:type="dxa"/>
          </w:tcPr>
          <w:p w14:paraId="7D927735" w14:textId="77777777" w:rsidR="00991EFC" w:rsidRPr="00662611" w:rsidRDefault="00991EFC" w:rsidP="0008580A">
            <w:pPr>
              <w:pStyle w:val="IE1"/>
              <w:numPr>
                <w:ilvl w:val="0"/>
                <w:numId w:val="0"/>
              </w:numPr>
              <w:spacing w:after="0" w:line="240" w:lineRule="auto"/>
              <w:jc w:val="both"/>
              <w:rPr>
                <w:sz w:val="19"/>
                <w:szCs w:val="19"/>
              </w:rPr>
            </w:pPr>
            <w:r w:rsidRPr="00662611">
              <w:rPr>
                <w:sz w:val="19"/>
                <w:szCs w:val="19"/>
              </w:rPr>
              <w:t>Service concession asset – PPE</w:t>
            </w:r>
          </w:p>
        </w:tc>
        <w:tc>
          <w:tcPr>
            <w:tcW w:w="1942" w:type="dxa"/>
          </w:tcPr>
          <w:p w14:paraId="7D927736" w14:textId="568DD351" w:rsidR="00991EFC" w:rsidRPr="00662611" w:rsidRDefault="00991EFC" w:rsidP="0008580A">
            <w:pPr>
              <w:pStyle w:val="IE1"/>
              <w:numPr>
                <w:ilvl w:val="0"/>
                <w:numId w:val="0"/>
              </w:numPr>
              <w:spacing w:after="0" w:line="240" w:lineRule="auto"/>
              <w:jc w:val="right"/>
              <w:rPr>
                <w:sz w:val="19"/>
                <w:szCs w:val="19"/>
              </w:rPr>
            </w:pPr>
            <w:r w:rsidRPr="00662611">
              <w:rPr>
                <w:sz w:val="19"/>
                <w:szCs w:val="19"/>
              </w:rPr>
              <w:t>60</w:t>
            </w:r>
          </w:p>
        </w:tc>
        <w:tc>
          <w:tcPr>
            <w:tcW w:w="1942" w:type="dxa"/>
          </w:tcPr>
          <w:p w14:paraId="7D927737" w14:textId="77777777" w:rsidR="00991EFC" w:rsidRPr="00662611" w:rsidRDefault="00991EFC" w:rsidP="0008580A">
            <w:pPr>
              <w:pStyle w:val="IE1"/>
              <w:numPr>
                <w:ilvl w:val="0"/>
                <w:numId w:val="0"/>
              </w:numPr>
              <w:spacing w:after="0" w:line="240" w:lineRule="auto"/>
              <w:jc w:val="right"/>
              <w:rPr>
                <w:sz w:val="19"/>
                <w:szCs w:val="19"/>
              </w:rPr>
            </w:pPr>
          </w:p>
        </w:tc>
      </w:tr>
      <w:tr w:rsidR="00991EFC" w:rsidRPr="00662611" w14:paraId="7D92773C" w14:textId="77777777" w:rsidTr="0034540E">
        <w:trPr>
          <w:trHeight w:val="198"/>
        </w:trPr>
        <w:tc>
          <w:tcPr>
            <w:tcW w:w="4439" w:type="dxa"/>
          </w:tcPr>
          <w:p w14:paraId="7D927739" w14:textId="77777777" w:rsidR="00991EFC" w:rsidRPr="00662611" w:rsidRDefault="00991EFC" w:rsidP="00991EFC">
            <w:pPr>
              <w:pStyle w:val="IE1"/>
              <w:numPr>
                <w:ilvl w:val="0"/>
                <w:numId w:val="0"/>
              </w:numPr>
              <w:spacing w:after="0" w:line="360" w:lineRule="auto"/>
              <w:ind w:left="782"/>
              <w:jc w:val="both"/>
              <w:rPr>
                <w:sz w:val="19"/>
                <w:szCs w:val="19"/>
              </w:rPr>
            </w:pPr>
            <w:r w:rsidRPr="00662611">
              <w:rPr>
                <w:sz w:val="19"/>
                <w:szCs w:val="19"/>
              </w:rPr>
              <w:t>Property, plant and equipment</w:t>
            </w:r>
          </w:p>
        </w:tc>
        <w:tc>
          <w:tcPr>
            <w:tcW w:w="1942" w:type="dxa"/>
          </w:tcPr>
          <w:p w14:paraId="7D92773A" w14:textId="77777777" w:rsidR="00991EFC" w:rsidRPr="00662611" w:rsidRDefault="00991EFC" w:rsidP="0034540E">
            <w:pPr>
              <w:pStyle w:val="IE1"/>
              <w:numPr>
                <w:ilvl w:val="0"/>
                <w:numId w:val="0"/>
              </w:numPr>
              <w:spacing w:after="0" w:line="240" w:lineRule="auto"/>
              <w:jc w:val="right"/>
              <w:rPr>
                <w:sz w:val="19"/>
                <w:szCs w:val="19"/>
              </w:rPr>
            </w:pPr>
          </w:p>
        </w:tc>
        <w:tc>
          <w:tcPr>
            <w:tcW w:w="1942" w:type="dxa"/>
          </w:tcPr>
          <w:p w14:paraId="7D92773B" w14:textId="77777777" w:rsidR="00991EFC" w:rsidRPr="00662611" w:rsidRDefault="00991EFC" w:rsidP="0034540E">
            <w:pPr>
              <w:pStyle w:val="IE1"/>
              <w:numPr>
                <w:ilvl w:val="0"/>
                <w:numId w:val="0"/>
              </w:numPr>
              <w:spacing w:after="0" w:line="240" w:lineRule="auto"/>
              <w:jc w:val="right"/>
              <w:rPr>
                <w:sz w:val="19"/>
                <w:szCs w:val="19"/>
              </w:rPr>
            </w:pPr>
            <w:r w:rsidRPr="00662611">
              <w:rPr>
                <w:sz w:val="19"/>
                <w:szCs w:val="19"/>
              </w:rPr>
              <w:t>60</w:t>
            </w:r>
          </w:p>
        </w:tc>
      </w:tr>
      <w:tr w:rsidR="00E332CE" w:rsidRPr="00662611" w14:paraId="7D927740" w14:textId="77777777" w:rsidTr="0034540E">
        <w:trPr>
          <w:trHeight w:val="198"/>
        </w:trPr>
        <w:tc>
          <w:tcPr>
            <w:tcW w:w="4439" w:type="dxa"/>
          </w:tcPr>
          <w:p w14:paraId="7D92773D" w14:textId="77777777" w:rsidR="00E332CE" w:rsidRPr="00662611" w:rsidRDefault="0008580A" w:rsidP="0008580A">
            <w:pPr>
              <w:pStyle w:val="IE1"/>
              <w:numPr>
                <w:ilvl w:val="0"/>
                <w:numId w:val="0"/>
              </w:numPr>
              <w:spacing w:after="0" w:line="240" w:lineRule="auto"/>
              <w:jc w:val="both"/>
              <w:rPr>
                <w:sz w:val="19"/>
                <w:szCs w:val="19"/>
              </w:rPr>
            </w:pPr>
            <w:r w:rsidRPr="00662611">
              <w:rPr>
                <w:sz w:val="19"/>
                <w:szCs w:val="19"/>
              </w:rPr>
              <w:t>Service concession asset – PPE</w:t>
            </w:r>
          </w:p>
        </w:tc>
        <w:tc>
          <w:tcPr>
            <w:tcW w:w="1942" w:type="dxa"/>
          </w:tcPr>
          <w:p w14:paraId="7D92773E" w14:textId="77777777" w:rsidR="00E332CE" w:rsidRPr="00662611" w:rsidRDefault="0008580A" w:rsidP="0008580A">
            <w:pPr>
              <w:pStyle w:val="IE1"/>
              <w:numPr>
                <w:ilvl w:val="0"/>
                <w:numId w:val="0"/>
              </w:numPr>
              <w:spacing w:after="0" w:line="240" w:lineRule="auto"/>
              <w:jc w:val="right"/>
              <w:rPr>
                <w:sz w:val="19"/>
                <w:szCs w:val="19"/>
              </w:rPr>
            </w:pPr>
            <w:r w:rsidRPr="00662611">
              <w:rPr>
                <w:sz w:val="19"/>
                <w:szCs w:val="19"/>
              </w:rPr>
              <w:t>40</w:t>
            </w:r>
          </w:p>
        </w:tc>
        <w:tc>
          <w:tcPr>
            <w:tcW w:w="1942" w:type="dxa"/>
          </w:tcPr>
          <w:p w14:paraId="7D92773F" w14:textId="77777777" w:rsidR="00E332CE" w:rsidRPr="00662611" w:rsidRDefault="00E332CE" w:rsidP="0008580A">
            <w:pPr>
              <w:pStyle w:val="IE1"/>
              <w:numPr>
                <w:ilvl w:val="0"/>
                <w:numId w:val="0"/>
              </w:numPr>
              <w:spacing w:after="0" w:line="240" w:lineRule="auto"/>
              <w:jc w:val="right"/>
              <w:rPr>
                <w:sz w:val="19"/>
                <w:szCs w:val="19"/>
              </w:rPr>
            </w:pPr>
          </w:p>
        </w:tc>
      </w:tr>
      <w:tr w:rsidR="00E332CE" w:rsidRPr="00662611" w14:paraId="7D927744" w14:textId="77777777" w:rsidTr="0034540E">
        <w:trPr>
          <w:trHeight w:val="198"/>
        </w:trPr>
        <w:tc>
          <w:tcPr>
            <w:tcW w:w="4439" w:type="dxa"/>
          </w:tcPr>
          <w:p w14:paraId="7D927741" w14:textId="77777777" w:rsidR="00E332CE" w:rsidRPr="00662611" w:rsidRDefault="0008580A" w:rsidP="0008580A">
            <w:pPr>
              <w:pStyle w:val="IE1"/>
              <w:numPr>
                <w:ilvl w:val="0"/>
                <w:numId w:val="0"/>
              </w:numPr>
              <w:spacing w:after="0" w:line="240" w:lineRule="auto"/>
              <w:jc w:val="both"/>
              <w:rPr>
                <w:sz w:val="19"/>
                <w:szCs w:val="19"/>
              </w:rPr>
            </w:pPr>
            <w:r w:rsidRPr="00662611">
              <w:rPr>
                <w:sz w:val="19"/>
                <w:szCs w:val="19"/>
              </w:rPr>
              <w:t xml:space="preserve">Service concession asset – </w:t>
            </w:r>
            <w:r w:rsidR="00E332CE" w:rsidRPr="00662611">
              <w:rPr>
                <w:sz w:val="19"/>
                <w:szCs w:val="19"/>
              </w:rPr>
              <w:t>Customer lists</w:t>
            </w:r>
          </w:p>
        </w:tc>
        <w:tc>
          <w:tcPr>
            <w:tcW w:w="1942" w:type="dxa"/>
          </w:tcPr>
          <w:p w14:paraId="7D927742" w14:textId="77777777" w:rsidR="00E332CE" w:rsidRPr="00662611" w:rsidRDefault="00E332CE" w:rsidP="0008580A">
            <w:pPr>
              <w:pStyle w:val="IE1"/>
              <w:numPr>
                <w:ilvl w:val="0"/>
                <w:numId w:val="0"/>
              </w:numPr>
              <w:spacing w:after="0" w:line="240" w:lineRule="auto"/>
              <w:jc w:val="right"/>
              <w:rPr>
                <w:sz w:val="19"/>
                <w:szCs w:val="19"/>
              </w:rPr>
            </w:pPr>
            <w:r w:rsidRPr="00662611">
              <w:rPr>
                <w:sz w:val="19"/>
                <w:szCs w:val="19"/>
              </w:rPr>
              <w:t>150</w:t>
            </w:r>
          </w:p>
        </w:tc>
        <w:tc>
          <w:tcPr>
            <w:tcW w:w="1942" w:type="dxa"/>
          </w:tcPr>
          <w:p w14:paraId="7D927743" w14:textId="77777777" w:rsidR="00E332CE" w:rsidRPr="00662611" w:rsidRDefault="00E332CE" w:rsidP="0008580A">
            <w:pPr>
              <w:pStyle w:val="IE1"/>
              <w:numPr>
                <w:ilvl w:val="0"/>
                <w:numId w:val="0"/>
              </w:numPr>
              <w:spacing w:after="0" w:line="240" w:lineRule="auto"/>
              <w:jc w:val="right"/>
              <w:rPr>
                <w:sz w:val="19"/>
                <w:szCs w:val="19"/>
              </w:rPr>
            </w:pPr>
          </w:p>
        </w:tc>
      </w:tr>
      <w:tr w:rsidR="002704B7" w:rsidRPr="00662611" w14:paraId="7D927748" w14:textId="77777777" w:rsidTr="0034540E">
        <w:trPr>
          <w:trHeight w:val="198"/>
        </w:trPr>
        <w:tc>
          <w:tcPr>
            <w:tcW w:w="4439" w:type="dxa"/>
          </w:tcPr>
          <w:p w14:paraId="7D927745" w14:textId="77777777" w:rsidR="002704B7" w:rsidRPr="00662611" w:rsidRDefault="002704B7" w:rsidP="00991EFC">
            <w:pPr>
              <w:pStyle w:val="IE1"/>
              <w:numPr>
                <w:ilvl w:val="0"/>
                <w:numId w:val="0"/>
              </w:numPr>
              <w:spacing w:after="0" w:line="360" w:lineRule="auto"/>
              <w:ind w:left="782"/>
              <w:jc w:val="both"/>
              <w:rPr>
                <w:sz w:val="19"/>
                <w:szCs w:val="19"/>
              </w:rPr>
            </w:pPr>
            <w:r w:rsidRPr="00662611">
              <w:rPr>
                <w:sz w:val="19"/>
                <w:szCs w:val="19"/>
              </w:rPr>
              <w:t>Revaluation surplus</w:t>
            </w:r>
          </w:p>
        </w:tc>
        <w:tc>
          <w:tcPr>
            <w:tcW w:w="1942" w:type="dxa"/>
          </w:tcPr>
          <w:p w14:paraId="7D927746" w14:textId="77777777" w:rsidR="002704B7" w:rsidRPr="00662611" w:rsidRDefault="002704B7" w:rsidP="0034540E">
            <w:pPr>
              <w:pStyle w:val="IE1"/>
              <w:numPr>
                <w:ilvl w:val="0"/>
                <w:numId w:val="0"/>
              </w:numPr>
              <w:spacing w:after="0" w:line="240" w:lineRule="auto"/>
              <w:jc w:val="right"/>
              <w:rPr>
                <w:sz w:val="19"/>
                <w:szCs w:val="19"/>
              </w:rPr>
            </w:pPr>
          </w:p>
        </w:tc>
        <w:tc>
          <w:tcPr>
            <w:tcW w:w="1942" w:type="dxa"/>
          </w:tcPr>
          <w:p w14:paraId="7D927747" w14:textId="19F0AB76" w:rsidR="002704B7" w:rsidRPr="00662611" w:rsidDel="00CB11F1" w:rsidRDefault="0008580A" w:rsidP="0034540E">
            <w:pPr>
              <w:pStyle w:val="IE1"/>
              <w:numPr>
                <w:ilvl w:val="0"/>
                <w:numId w:val="0"/>
              </w:numPr>
              <w:spacing w:after="0" w:line="240" w:lineRule="auto"/>
              <w:jc w:val="right"/>
              <w:rPr>
                <w:sz w:val="19"/>
                <w:szCs w:val="19"/>
              </w:rPr>
            </w:pPr>
            <w:r w:rsidRPr="00662611">
              <w:rPr>
                <w:sz w:val="19"/>
                <w:szCs w:val="19"/>
              </w:rPr>
              <w:t>190</w:t>
            </w:r>
          </w:p>
        </w:tc>
      </w:tr>
      <w:tr w:rsidR="002704B7" w:rsidRPr="00662611" w14:paraId="7D92774C" w14:textId="77777777" w:rsidTr="0034540E">
        <w:trPr>
          <w:trHeight w:val="198"/>
        </w:trPr>
        <w:tc>
          <w:tcPr>
            <w:tcW w:w="4439" w:type="dxa"/>
          </w:tcPr>
          <w:p w14:paraId="7D927749" w14:textId="77777777" w:rsidR="002704B7" w:rsidRPr="00662611" w:rsidRDefault="002704B7" w:rsidP="0034540E">
            <w:pPr>
              <w:pStyle w:val="IE1"/>
              <w:numPr>
                <w:ilvl w:val="0"/>
                <w:numId w:val="0"/>
              </w:numPr>
              <w:spacing w:after="0" w:line="240" w:lineRule="auto"/>
              <w:jc w:val="both"/>
              <w:rPr>
                <w:b/>
                <w:sz w:val="19"/>
                <w:szCs w:val="19"/>
              </w:rPr>
            </w:pPr>
            <w:r w:rsidRPr="00662611">
              <w:rPr>
                <w:sz w:val="19"/>
                <w:szCs w:val="19"/>
              </w:rPr>
              <w:t>Cash</w:t>
            </w:r>
          </w:p>
        </w:tc>
        <w:tc>
          <w:tcPr>
            <w:tcW w:w="1942" w:type="dxa"/>
          </w:tcPr>
          <w:p w14:paraId="7D92774A" w14:textId="77777777" w:rsidR="002704B7" w:rsidRPr="00662611" w:rsidRDefault="002704B7" w:rsidP="0034540E">
            <w:pPr>
              <w:pStyle w:val="IE1"/>
              <w:numPr>
                <w:ilvl w:val="0"/>
                <w:numId w:val="0"/>
              </w:numPr>
              <w:spacing w:after="0" w:line="240" w:lineRule="auto"/>
              <w:jc w:val="right"/>
              <w:rPr>
                <w:b/>
                <w:sz w:val="19"/>
                <w:szCs w:val="19"/>
              </w:rPr>
            </w:pPr>
            <w:r w:rsidRPr="00662611">
              <w:rPr>
                <w:sz w:val="19"/>
                <w:szCs w:val="19"/>
              </w:rPr>
              <w:t>300</w:t>
            </w:r>
          </w:p>
        </w:tc>
        <w:tc>
          <w:tcPr>
            <w:tcW w:w="1942" w:type="dxa"/>
          </w:tcPr>
          <w:p w14:paraId="7D92774B" w14:textId="77777777" w:rsidR="002704B7" w:rsidRPr="00662611" w:rsidRDefault="002704B7" w:rsidP="0034540E">
            <w:pPr>
              <w:pStyle w:val="IE1"/>
              <w:numPr>
                <w:ilvl w:val="0"/>
                <w:numId w:val="0"/>
              </w:numPr>
              <w:spacing w:after="0" w:line="240" w:lineRule="auto"/>
              <w:jc w:val="right"/>
              <w:rPr>
                <w:b/>
                <w:sz w:val="19"/>
                <w:szCs w:val="19"/>
              </w:rPr>
            </w:pPr>
          </w:p>
        </w:tc>
      </w:tr>
      <w:tr w:rsidR="002704B7" w:rsidRPr="00662611" w14:paraId="7D927750" w14:textId="77777777" w:rsidTr="0034540E">
        <w:trPr>
          <w:trHeight w:val="198"/>
        </w:trPr>
        <w:tc>
          <w:tcPr>
            <w:tcW w:w="4439" w:type="dxa"/>
          </w:tcPr>
          <w:p w14:paraId="7D92774D" w14:textId="77777777" w:rsidR="002704B7" w:rsidRPr="00662611" w:rsidRDefault="002704B7" w:rsidP="00991EFC">
            <w:pPr>
              <w:pStyle w:val="IE1"/>
              <w:numPr>
                <w:ilvl w:val="0"/>
                <w:numId w:val="0"/>
              </w:numPr>
              <w:tabs>
                <w:tab w:val="center" w:pos="2549"/>
              </w:tabs>
              <w:spacing w:after="0" w:line="360" w:lineRule="auto"/>
              <w:ind w:left="782"/>
              <w:jc w:val="both"/>
              <w:rPr>
                <w:sz w:val="19"/>
                <w:szCs w:val="19"/>
              </w:rPr>
            </w:pPr>
            <w:r w:rsidRPr="00662611">
              <w:rPr>
                <w:sz w:val="19"/>
                <w:szCs w:val="19"/>
              </w:rPr>
              <w:t>Liability</w:t>
            </w:r>
          </w:p>
        </w:tc>
        <w:tc>
          <w:tcPr>
            <w:tcW w:w="1942" w:type="dxa"/>
          </w:tcPr>
          <w:p w14:paraId="7D92774E" w14:textId="77777777" w:rsidR="002704B7" w:rsidRPr="00662611" w:rsidRDefault="002704B7" w:rsidP="0034540E">
            <w:pPr>
              <w:pStyle w:val="IE1"/>
              <w:numPr>
                <w:ilvl w:val="0"/>
                <w:numId w:val="0"/>
              </w:numPr>
              <w:spacing w:after="0" w:line="240" w:lineRule="auto"/>
              <w:jc w:val="right"/>
              <w:rPr>
                <w:sz w:val="19"/>
                <w:szCs w:val="19"/>
              </w:rPr>
            </w:pPr>
          </w:p>
        </w:tc>
        <w:tc>
          <w:tcPr>
            <w:tcW w:w="1942" w:type="dxa"/>
          </w:tcPr>
          <w:p w14:paraId="7D92774F" w14:textId="77777777" w:rsidR="002704B7" w:rsidRPr="00662611" w:rsidRDefault="002704B7" w:rsidP="0034540E">
            <w:pPr>
              <w:pStyle w:val="IE1"/>
              <w:numPr>
                <w:ilvl w:val="0"/>
                <w:numId w:val="0"/>
              </w:numPr>
              <w:spacing w:after="0" w:line="240" w:lineRule="auto"/>
              <w:jc w:val="right"/>
              <w:rPr>
                <w:sz w:val="19"/>
                <w:szCs w:val="19"/>
              </w:rPr>
            </w:pPr>
            <w:r w:rsidRPr="00662611">
              <w:rPr>
                <w:sz w:val="19"/>
                <w:szCs w:val="19"/>
              </w:rPr>
              <w:t>300</w:t>
            </w:r>
          </w:p>
        </w:tc>
      </w:tr>
    </w:tbl>
    <w:p w14:paraId="7D927752" w14:textId="49B572D2" w:rsidR="00386EE4" w:rsidRPr="00662611" w:rsidRDefault="00386EE4" w:rsidP="00FB21C0">
      <w:pPr>
        <w:pStyle w:val="IASBSectionTitle1NonInd"/>
        <w:outlineLvl w:val="1"/>
      </w:pPr>
      <w:r w:rsidRPr="00662611">
        <w:lastRenderedPageBreak/>
        <w:t>Example</w:t>
      </w:r>
      <w:r w:rsidR="00A5779D" w:rsidRPr="00662611">
        <w:t xml:space="preserve"> 10</w:t>
      </w:r>
      <w:r w:rsidRPr="00662611">
        <w:t xml:space="preserve">: </w:t>
      </w:r>
      <w:r w:rsidR="00446369" w:rsidRPr="00662611">
        <w:t>Transition – m</w:t>
      </w:r>
      <w:r w:rsidRPr="00662611">
        <w:t xml:space="preserve">easuring the liability under the grant of </w:t>
      </w:r>
      <w:r w:rsidR="00C807B1">
        <w:t xml:space="preserve">a </w:t>
      </w:r>
      <w:r w:rsidRPr="00662611">
        <w:t>right to the operator model at the date of initial application</w:t>
      </w:r>
    </w:p>
    <w:p w14:paraId="7D927753" w14:textId="3BED8614" w:rsidR="00386EE4" w:rsidRPr="00662611" w:rsidRDefault="00386EE4" w:rsidP="00386EE4">
      <w:pPr>
        <w:pStyle w:val="IE1"/>
        <w:spacing w:after="100" w:line="240" w:lineRule="auto"/>
        <w:ind w:left="782" w:hanging="782"/>
        <w:jc w:val="both"/>
        <w:rPr>
          <w:sz w:val="19"/>
          <w:szCs w:val="19"/>
        </w:rPr>
      </w:pPr>
      <w:r w:rsidRPr="00662611">
        <w:rPr>
          <w:sz w:val="19"/>
          <w:szCs w:val="19"/>
        </w:rPr>
        <w:t>In accordance with the transition requirements set out in Appendix C of the Standard, a grantor may elect to apply the Standard retrospectively by recognising and measuring service concession assets and related liabilities at the date of initial application</w:t>
      </w:r>
      <w:r w:rsidR="00B32911">
        <w:rPr>
          <w:sz w:val="19"/>
          <w:szCs w:val="19"/>
        </w:rPr>
        <w:t xml:space="preserve"> (paragraph </w:t>
      </w:r>
      <w:r w:rsidR="00B32911">
        <w:rPr>
          <w:sz w:val="19"/>
          <w:szCs w:val="19"/>
        </w:rPr>
        <w:fldChar w:fldCharType="begin"/>
      </w:r>
      <w:r w:rsidR="00B32911">
        <w:rPr>
          <w:sz w:val="19"/>
          <w:szCs w:val="19"/>
        </w:rPr>
        <w:instrText xml:space="preserve"> REF _Ref475631940 \r \h </w:instrText>
      </w:r>
      <w:r w:rsidR="00B32911">
        <w:rPr>
          <w:sz w:val="19"/>
          <w:szCs w:val="19"/>
        </w:rPr>
      </w:r>
      <w:r w:rsidR="00B32911">
        <w:rPr>
          <w:sz w:val="19"/>
          <w:szCs w:val="19"/>
        </w:rPr>
        <w:fldChar w:fldCharType="separate"/>
      </w:r>
      <w:r w:rsidR="00C43128">
        <w:rPr>
          <w:sz w:val="19"/>
          <w:szCs w:val="19"/>
        </w:rPr>
        <w:t>C3</w:t>
      </w:r>
      <w:r w:rsidR="00B32911">
        <w:rPr>
          <w:sz w:val="19"/>
          <w:szCs w:val="19"/>
        </w:rPr>
        <w:fldChar w:fldCharType="end"/>
      </w:r>
      <w:r w:rsidR="00B32911">
        <w:rPr>
          <w:sz w:val="19"/>
          <w:szCs w:val="19"/>
        </w:rPr>
        <w:t>(b))</w:t>
      </w:r>
      <w:r w:rsidRPr="00662611">
        <w:rPr>
          <w:sz w:val="19"/>
          <w:szCs w:val="19"/>
        </w:rPr>
        <w:t>. The date of initial application is the beginning of the earliest reporting period for which comparative information is presented in the financial statements.</w:t>
      </w:r>
    </w:p>
    <w:p w14:paraId="7D927754" w14:textId="69848C36" w:rsidR="00386EE4" w:rsidRPr="00662611" w:rsidRDefault="00386EE4" w:rsidP="00386EE4">
      <w:pPr>
        <w:pStyle w:val="IE1"/>
        <w:spacing w:after="100" w:line="240" w:lineRule="auto"/>
        <w:ind w:left="782" w:hanging="782"/>
        <w:jc w:val="both"/>
        <w:rPr>
          <w:sz w:val="19"/>
          <w:szCs w:val="19"/>
        </w:rPr>
      </w:pPr>
      <w:r w:rsidRPr="00662611">
        <w:rPr>
          <w:sz w:val="19"/>
          <w:szCs w:val="19"/>
        </w:rPr>
        <w:t xml:space="preserve">This example illustrates the approach set out in paragraph </w:t>
      </w:r>
      <w:r w:rsidR="00ED48E4">
        <w:rPr>
          <w:sz w:val="19"/>
          <w:szCs w:val="19"/>
        </w:rPr>
        <w:fldChar w:fldCharType="begin"/>
      </w:r>
      <w:r w:rsidR="00ED48E4">
        <w:rPr>
          <w:sz w:val="19"/>
          <w:szCs w:val="19"/>
        </w:rPr>
        <w:instrText xml:space="preserve"> REF _Ref475632049 \r \h </w:instrText>
      </w:r>
      <w:r w:rsidR="00ED48E4">
        <w:rPr>
          <w:sz w:val="19"/>
          <w:szCs w:val="19"/>
        </w:rPr>
      </w:r>
      <w:r w:rsidR="00ED48E4">
        <w:rPr>
          <w:sz w:val="19"/>
          <w:szCs w:val="19"/>
        </w:rPr>
        <w:fldChar w:fldCharType="separate"/>
      </w:r>
      <w:r w:rsidR="00C43128">
        <w:rPr>
          <w:sz w:val="19"/>
          <w:szCs w:val="19"/>
        </w:rPr>
        <w:t>C4</w:t>
      </w:r>
      <w:r w:rsidR="00ED48E4">
        <w:rPr>
          <w:sz w:val="19"/>
          <w:szCs w:val="19"/>
        </w:rPr>
        <w:fldChar w:fldCharType="end"/>
      </w:r>
      <w:r w:rsidRPr="00662611">
        <w:rPr>
          <w:sz w:val="19"/>
          <w:szCs w:val="19"/>
        </w:rPr>
        <w:t>(c) to measuring a liability under the grant of a right to the operator model at the date of initial application. The liability related to the grant of a right to the operator is required to be measured at the fair value (current replacement cost) of the related service concession asset at the date of initial application, adjusted to reflect the remaining period of the service concession arrangement relative to the remaining economic life of the asset, less any related financial liabilities.</w:t>
      </w:r>
    </w:p>
    <w:p w14:paraId="7D927755" w14:textId="77777777" w:rsidR="00386EE4" w:rsidRPr="00662611" w:rsidRDefault="00386EE4" w:rsidP="00386EE4">
      <w:pPr>
        <w:pStyle w:val="IE1"/>
        <w:spacing w:after="100" w:line="240" w:lineRule="auto"/>
        <w:ind w:left="782" w:hanging="782"/>
        <w:jc w:val="both"/>
        <w:rPr>
          <w:sz w:val="19"/>
          <w:szCs w:val="19"/>
        </w:rPr>
      </w:pPr>
      <w:r w:rsidRPr="00662611">
        <w:rPr>
          <w:sz w:val="19"/>
          <w:szCs w:val="19"/>
        </w:rPr>
        <w:t>Assuming that the service concession arrangement in this example does not also give rise to a financial liability for the grantor, the information needed for measuring the liability is illustrated in the following table:</w:t>
      </w:r>
    </w:p>
    <w:p w14:paraId="7D927756" w14:textId="2A570EFA" w:rsidR="00386EE4" w:rsidRPr="00662611" w:rsidRDefault="00DC7EF3" w:rsidP="005E02AB">
      <w:pPr>
        <w:pStyle w:val="IE1"/>
        <w:keepNext/>
        <w:numPr>
          <w:ilvl w:val="0"/>
          <w:numId w:val="0"/>
        </w:numPr>
        <w:spacing w:after="100" w:line="240" w:lineRule="auto"/>
        <w:ind w:left="782"/>
        <w:rPr>
          <w:b/>
          <w:sz w:val="19"/>
          <w:szCs w:val="19"/>
        </w:rPr>
      </w:pPr>
      <w:r w:rsidRPr="00662611">
        <w:rPr>
          <w:b/>
          <w:sz w:val="19"/>
          <w:szCs w:val="19"/>
        </w:rPr>
        <w:t xml:space="preserve">Table </w:t>
      </w:r>
      <w:proofErr w:type="gramStart"/>
      <w:r w:rsidR="009D7060" w:rsidRPr="00662611">
        <w:rPr>
          <w:b/>
          <w:sz w:val="19"/>
          <w:szCs w:val="19"/>
        </w:rPr>
        <w:t>10</w:t>
      </w:r>
      <w:r w:rsidRPr="00662611">
        <w:rPr>
          <w:b/>
          <w:sz w:val="19"/>
          <w:szCs w:val="19"/>
        </w:rPr>
        <w:t xml:space="preserve"> </w:t>
      </w:r>
      <w:r w:rsidR="00386EE4" w:rsidRPr="00662611">
        <w:rPr>
          <w:b/>
          <w:sz w:val="19"/>
          <w:szCs w:val="19"/>
        </w:rPr>
        <w:t xml:space="preserve"> Estimates</w:t>
      </w:r>
      <w:proofErr w:type="gramEnd"/>
      <w:r w:rsidR="00386EE4" w:rsidRPr="00662611">
        <w:rPr>
          <w:b/>
          <w:sz w:val="19"/>
          <w:szCs w:val="19"/>
        </w:rPr>
        <w:t xml:space="preserve"> at the date of initial application</w:t>
      </w:r>
    </w:p>
    <w:tbl>
      <w:tblPr>
        <w:tblW w:w="7215"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asuring the GORTO liability on transition"/>
        <w:tblDescription w:val="Table 10: Estimates at the date of initial application&#10;Fair value (current replacement cost) of the service concession asset&#10;Remaining economic life of the asset&#10;Remaining service concession period&#10;Apportionment for the liability re grant of rights to the operator&#10;"/>
      </w:tblPr>
      <w:tblGrid>
        <w:gridCol w:w="4238"/>
        <w:gridCol w:w="2977"/>
      </w:tblGrid>
      <w:tr w:rsidR="00386EE4" w:rsidRPr="00662611" w14:paraId="7D927759" w14:textId="77777777" w:rsidTr="005961DE">
        <w:trPr>
          <w:trHeight w:val="132"/>
        </w:trPr>
        <w:tc>
          <w:tcPr>
            <w:tcW w:w="4238" w:type="dxa"/>
            <w:tcBorders>
              <w:bottom w:val="single" w:sz="4" w:space="0" w:color="auto"/>
            </w:tcBorders>
          </w:tcPr>
          <w:p w14:paraId="7D927757" w14:textId="77777777" w:rsidR="00386EE4" w:rsidRPr="00662611" w:rsidRDefault="00386EE4" w:rsidP="00877089">
            <w:pPr>
              <w:pStyle w:val="Default"/>
              <w:spacing w:after="100"/>
              <w:rPr>
                <w:b/>
                <w:sz w:val="19"/>
                <w:szCs w:val="19"/>
              </w:rPr>
            </w:pPr>
            <w:r w:rsidRPr="00662611">
              <w:rPr>
                <w:b/>
                <w:sz w:val="19"/>
                <w:szCs w:val="19"/>
              </w:rPr>
              <w:t>Parameter</w:t>
            </w:r>
          </w:p>
        </w:tc>
        <w:tc>
          <w:tcPr>
            <w:tcW w:w="2977" w:type="dxa"/>
            <w:tcBorders>
              <w:bottom w:val="single" w:sz="4" w:space="0" w:color="auto"/>
            </w:tcBorders>
          </w:tcPr>
          <w:p w14:paraId="7D927758" w14:textId="77777777" w:rsidR="00386EE4" w:rsidRPr="00662611" w:rsidRDefault="00386EE4" w:rsidP="00B32911">
            <w:pPr>
              <w:pStyle w:val="Default"/>
              <w:spacing w:after="100"/>
              <w:jc w:val="center"/>
              <w:rPr>
                <w:b/>
                <w:sz w:val="19"/>
                <w:szCs w:val="19"/>
              </w:rPr>
            </w:pPr>
            <w:r w:rsidRPr="00662611">
              <w:rPr>
                <w:b/>
                <w:sz w:val="19"/>
                <w:szCs w:val="19"/>
              </w:rPr>
              <w:t>Amount or period</w:t>
            </w:r>
          </w:p>
        </w:tc>
      </w:tr>
      <w:tr w:rsidR="00386EE4" w:rsidRPr="00662611" w14:paraId="7D92775C" w14:textId="77777777" w:rsidTr="005961DE">
        <w:trPr>
          <w:trHeight w:val="130"/>
        </w:trPr>
        <w:tc>
          <w:tcPr>
            <w:tcW w:w="4238" w:type="dxa"/>
            <w:tcBorders>
              <w:top w:val="nil"/>
              <w:bottom w:val="nil"/>
            </w:tcBorders>
          </w:tcPr>
          <w:p w14:paraId="7D92775A" w14:textId="77777777" w:rsidR="00386EE4" w:rsidRPr="00662611" w:rsidRDefault="00386EE4" w:rsidP="00877089">
            <w:pPr>
              <w:pStyle w:val="Default"/>
              <w:spacing w:after="100"/>
              <w:rPr>
                <w:sz w:val="19"/>
                <w:szCs w:val="19"/>
              </w:rPr>
            </w:pPr>
            <w:r w:rsidRPr="00662611">
              <w:rPr>
                <w:sz w:val="19"/>
                <w:szCs w:val="19"/>
              </w:rPr>
              <w:t xml:space="preserve">Fair value (current replacement cost) of the </w:t>
            </w:r>
            <w:r w:rsidRPr="00662611">
              <w:rPr>
                <w:sz w:val="19"/>
                <w:szCs w:val="19"/>
              </w:rPr>
              <w:br/>
              <w:t>service concession asset</w:t>
            </w:r>
          </w:p>
        </w:tc>
        <w:tc>
          <w:tcPr>
            <w:tcW w:w="2977" w:type="dxa"/>
            <w:tcBorders>
              <w:top w:val="nil"/>
              <w:bottom w:val="nil"/>
            </w:tcBorders>
            <w:vAlign w:val="center"/>
          </w:tcPr>
          <w:p w14:paraId="7D92775B" w14:textId="77777777" w:rsidR="00386EE4" w:rsidRPr="00662611" w:rsidRDefault="00386EE4" w:rsidP="00C807B1">
            <w:pPr>
              <w:pStyle w:val="Default"/>
              <w:spacing w:after="100"/>
              <w:ind w:left="176" w:right="175"/>
              <w:jc w:val="center"/>
              <w:rPr>
                <w:sz w:val="19"/>
                <w:szCs w:val="19"/>
              </w:rPr>
            </w:pPr>
            <w:r w:rsidRPr="00662611">
              <w:rPr>
                <w:sz w:val="19"/>
                <w:szCs w:val="19"/>
              </w:rPr>
              <w:t>CU1,200</w:t>
            </w:r>
          </w:p>
        </w:tc>
      </w:tr>
      <w:tr w:rsidR="00386EE4" w:rsidRPr="00662611" w14:paraId="7D92775F" w14:textId="77777777" w:rsidTr="005961DE">
        <w:trPr>
          <w:trHeight w:val="130"/>
        </w:trPr>
        <w:tc>
          <w:tcPr>
            <w:tcW w:w="4238" w:type="dxa"/>
            <w:tcBorders>
              <w:top w:val="nil"/>
              <w:bottom w:val="nil"/>
            </w:tcBorders>
          </w:tcPr>
          <w:p w14:paraId="7D92775D" w14:textId="77777777" w:rsidR="00386EE4" w:rsidRPr="00662611" w:rsidRDefault="00386EE4" w:rsidP="00877089">
            <w:pPr>
              <w:pStyle w:val="Default"/>
              <w:spacing w:after="100"/>
              <w:rPr>
                <w:sz w:val="19"/>
                <w:szCs w:val="19"/>
              </w:rPr>
            </w:pPr>
            <w:r w:rsidRPr="00662611">
              <w:rPr>
                <w:sz w:val="19"/>
                <w:szCs w:val="19"/>
              </w:rPr>
              <w:t>Remaining economic life of the asset</w:t>
            </w:r>
          </w:p>
        </w:tc>
        <w:tc>
          <w:tcPr>
            <w:tcW w:w="2977" w:type="dxa"/>
            <w:tcBorders>
              <w:top w:val="nil"/>
              <w:bottom w:val="nil"/>
            </w:tcBorders>
          </w:tcPr>
          <w:p w14:paraId="7D92775E" w14:textId="77777777" w:rsidR="00386EE4" w:rsidRPr="00662611" w:rsidRDefault="00446369" w:rsidP="00C807B1">
            <w:pPr>
              <w:pStyle w:val="Default"/>
              <w:spacing w:after="100"/>
              <w:ind w:left="176" w:right="175"/>
              <w:jc w:val="center"/>
              <w:rPr>
                <w:sz w:val="19"/>
                <w:szCs w:val="19"/>
              </w:rPr>
            </w:pPr>
            <w:r w:rsidRPr="00662611">
              <w:rPr>
                <w:sz w:val="19"/>
                <w:szCs w:val="19"/>
              </w:rPr>
              <w:t>2</w:t>
            </w:r>
            <w:r w:rsidR="00386EE4" w:rsidRPr="00662611">
              <w:rPr>
                <w:sz w:val="19"/>
                <w:szCs w:val="19"/>
              </w:rPr>
              <w:t>0 years</w:t>
            </w:r>
          </w:p>
        </w:tc>
      </w:tr>
      <w:tr w:rsidR="00386EE4" w:rsidRPr="00662611" w14:paraId="7D927762" w14:textId="77777777" w:rsidTr="005961DE">
        <w:trPr>
          <w:trHeight w:val="130"/>
        </w:trPr>
        <w:tc>
          <w:tcPr>
            <w:tcW w:w="4238" w:type="dxa"/>
            <w:tcBorders>
              <w:top w:val="nil"/>
              <w:bottom w:val="nil"/>
            </w:tcBorders>
          </w:tcPr>
          <w:p w14:paraId="7D927760" w14:textId="77777777" w:rsidR="00386EE4" w:rsidRPr="00662611" w:rsidRDefault="00386EE4" w:rsidP="00877089">
            <w:pPr>
              <w:pStyle w:val="Default"/>
              <w:spacing w:after="100"/>
              <w:rPr>
                <w:sz w:val="19"/>
                <w:szCs w:val="19"/>
              </w:rPr>
            </w:pPr>
            <w:r w:rsidRPr="00662611">
              <w:rPr>
                <w:sz w:val="19"/>
                <w:szCs w:val="19"/>
              </w:rPr>
              <w:t>Remaining service concession period</w:t>
            </w:r>
          </w:p>
        </w:tc>
        <w:tc>
          <w:tcPr>
            <w:tcW w:w="2977" w:type="dxa"/>
            <w:tcBorders>
              <w:top w:val="nil"/>
              <w:bottom w:val="nil"/>
            </w:tcBorders>
          </w:tcPr>
          <w:p w14:paraId="7D927761" w14:textId="77777777" w:rsidR="00386EE4" w:rsidRPr="00662611" w:rsidRDefault="00386EE4" w:rsidP="00C807B1">
            <w:pPr>
              <w:pStyle w:val="Default"/>
              <w:spacing w:after="100"/>
              <w:ind w:left="176" w:right="175"/>
              <w:jc w:val="center"/>
              <w:rPr>
                <w:sz w:val="19"/>
                <w:szCs w:val="19"/>
              </w:rPr>
            </w:pPr>
            <w:r w:rsidRPr="00662611">
              <w:rPr>
                <w:sz w:val="19"/>
                <w:szCs w:val="19"/>
              </w:rPr>
              <w:t>10 years</w:t>
            </w:r>
          </w:p>
        </w:tc>
      </w:tr>
      <w:tr w:rsidR="00386EE4" w:rsidRPr="00662611" w14:paraId="7D927765" w14:textId="77777777" w:rsidTr="005961DE">
        <w:trPr>
          <w:trHeight w:val="130"/>
        </w:trPr>
        <w:tc>
          <w:tcPr>
            <w:tcW w:w="4238" w:type="dxa"/>
            <w:tcBorders>
              <w:top w:val="nil"/>
              <w:bottom w:val="single" w:sz="4" w:space="0" w:color="auto"/>
            </w:tcBorders>
          </w:tcPr>
          <w:p w14:paraId="7D927763" w14:textId="77777777" w:rsidR="00386EE4" w:rsidRPr="00662611" w:rsidRDefault="00386EE4" w:rsidP="00877089">
            <w:pPr>
              <w:pStyle w:val="Default"/>
              <w:spacing w:after="100"/>
              <w:rPr>
                <w:sz w:val="19"/>
                <w:szCs w:val="19"/>
              </w:rPr>
            </w:pPr>
            <w:r w:rsidRPr="00662611">
              <w:rPr>
                <w:sz w:val="19"/>
                <w:szCs w:val="19"/>
              </w:rPr>
              <w:t xml:space="preserve">Apportionment for the liability re grant of rights </w:t>
            </w:r>
            <w:r w:rsidRPr="00662611">
              <w:rPr>
                <w:sz w:val="19"/>
                <w:szCs w:val="19"/>
              </w:rPr>
              <w:br/>
              <w:t>to the operator</w:t>
            </w:r>
          </w:p>
        </w:tc>
        <w:tc>
          <w:tcPr>
            <w:tcW w:w="2977" w:type="dxa"/>
            <w:tcBorders>
              <w:top w:val="nil"/>
              <w:bottom w:val="single" w:sz="4" w:space="0" w:color="auto"/>
            </w:tcBorders>
            <w:vAlign w:val="center"/>
          </w:tcPr>
          <w:p w14:paraId="7D927764" w14:textId="77777777" w:rsidR="00386EE4" w:rsidRPr="00662611" w:rsidRDefault="00446369" w:rsidP="00C807B1">
            <w:pPr>
              <w:pStyle w:val="Default"/>
              <w:spacing w:after="100"/>
              <w:ind w:left="176" w:right="175"/>
              <w:jc w:val="center"/>
              <w:rPr>
                <w:sz w:val="19"/>
                <w:szCs w:val="19"/>
              </w:rPr>
            </w:pPr>
            <w:r w:rsidRPr="00662611">
              <w:rPr>
                <w:sz w:val="19"/>
                <w:szCs w:val="19"/>
              </w:rPr>
              <w:t>CU1,200 x 10/2</w:t>
            </w:r>
            <w:r w:rsidR="00386EE4" w:rsidRPr="00662611">
              <w:rPr>
                <w:sz w:val="19"/>
                <w:szCs w:val="19"/>
              </w:rPr>
              <w:t>0</w:t>
            </w:r>
            <w:r w:rsidRPr="00662611">
              <w:rPr>
                <w:sz w:val="19"/>
                <w:szCs w:val="19"/>
              </w:rPr>
              <w:t xml:space="preserve"> = CU6</w:t>
            </w:r>
            <w:r w:rsidR="00386EE4" w:rsidRPr="00662611">
              <w:rPr>
                <w:sz w:val="19"/>
                <w:szCs w:val="19"/>
              </w:rPr>
              <w:t>00</w:t>
            </w:r>
          </w:p>
        </w:tc>
      </w:tr>
    </w:tbl>
    <w:p w14:paraId="7D927766" w14:textId="77777777" w:rsidR="00386EE4" w:rsidRPr="00662611" w:rsidRDefault="00386EE4" w:rsidP="00386EE4">
      <w:pPr>
        <w:pStyle w:val="IE1"/>
        <w:numPr>
          <w:ilvl w:val="0"/>
          <w:numId w:val="0"/>
        </w:numPr>
        <w:spacing w:after="100" w:line="240" w:lineRule="auto"/>
        <w:ind w:left="782" w:hanging="782"/>
        <w:rPr>
          <w:sz w:val="19"/>
          <w:szCs w:val="19"/>
        </w:rPr>
      </w:pPr>
    </w:p>
    <w:p w14:paraId="7D927767" w14:textId="77777777" w:rsidR="00386EE4" w:rsidRPr="00662611" w:rsidRDefault="00386EE4" w:rsidP="00386EE4">
      <w:pPr>
        <w:pStyle w:val="IE1"/>
        <w:spacing w:after="100" w:line="240" w:lineRule="auto"/>
        <w:ind w:left="782" w:hanging="782"/>
        <w:jc w:val="both"/>
        <w:rPr>
          <w:sz w:val="19"/>
          <w:szCs w:val="19"/>
        </w:rPr>
      </w:pPr>
      <w:r w:rsidRPr="00662611">
        <w:rPr>
          <w:sz w:val="19"/>
          <w:szCs w:val="19"/>
        </w:rPr>
        <w:t xml:space="preserve">If the service concession arrangement </w:t>
      </w:r>
      <w:r w:rsidR="00446369" w:rsidRPr="00662611">
        <w:rPr>
          <w:sz w:val="19"/>
          <w:szCs w:val="19"/>
        </w:rPr>
        <w:t>is</w:t>
      </w:r>
      <w:r w:rsidRPr="00662611">
        <w:rPr>
          <w:sz w:val="19"/>
          <w:szCs w:val="19"/>
        </w:rPr>
        <w:t xml:space="preserve"> a hybrid arrangement, then the financial liability would be measured separately under the financial liability model at the date of initial application. The amount of the financial liability would then be deducted from the apportioned amount for the liability re the grant of rights to the operator as per the table in order to derive the amount to be recognised for the liability.</w:t>
      </w:r>
    </w:p>
    <w:p w14:paraId="7D927768" w14:textId="3B7F503F" w:rsidR="00386EE4" w:rsidRPr="00662611" w:rsidRDefault="00386EE4" w:rsidP="00386EE4">
      <w:pPr>
        <w:pStyle w:val="IE1"/>
        <w:spacing w:after="100" w:line="240" w:lineRule="auto"/>
        <w:ind w:left="782" w:hanging="782"/>
        <w:jc w:val="both"/>
        <w:rPr>
          <w:sz w:val="19"/>
          <w:szCs w:val="19"/>
        </w:rPr>
      </w:pPr>
      <w:r w:rsidRPr="00662611">
        <w:rPr>
          <w:sz w:val="19"/>
          <w:szCs w:val="19"/>
        </w:rPr>
        <w:t>The measurement approach illustrated in this example is a simplified transition method, as it does not require the service concession asset or the liability to be measured at the inception of the service concession arrangement, as would be required under the full retrospective transition method</w:t>
      </w:r>
      <w:r w:rsidR="00701DCC">
        <w:rPr>
          <w:sz w:val="19"/>
          <w:szCs w:val="19"/>
        </w:rPr>
        <w:t xml:space="preserve"> in accordance with AASB</w:t>
      </w:r>
      <w:r w:rsidR="00B32911">
        <w:rPr>
          <w:sz w:val="19"/>
          <w:szCs w:val="19"/>
        </w:rPr>
        <w:t> </w:t>
      </w:r>
      <w:r w:rsidR="00701DCC">
        <w:rPr>
          <w:sz w:val="19"/>
          <w:szCs w:val="19"/>
        </w:rPr>
        <w:t>108</w:t>
      </w:r>
      <w:r w:rsidR="00ED48E4">
        <w:rPr>
          <w:sz w:val="19"/>
          <w:szCs w:val="19"/>
        </w:rPr>
        <w:t xml:space="preserve"> </w:t>
      </w:r>
      <w:r w:rsidR="00ED48E4" w:rsidRPr="00662611">
        <w:rPr>
          <w:i/>
        </w:rPr>
        <w:t>Accounting Policies, Changes in Accounting Estimates and Errors</w:t>
      </w:r>
      <w:r w:rsidRPr="00662611">
        <w:rPr>
          <w:sz w:val="19"/>
          <w:szCs w:val="19"/>
        </w:rPr>
        <w:t>.</w:t>
      </w:r>
    </w:p>
    <w:p w14:paraId="7D927769" w14:textId="77777777" w:rsidR="00386EE4" w:rsidRPr="00662611" w:rsidRDefault="00386EE4" w:rsidP="00AF0ED7">
      <w:pPr>
        <w:pStyle w:val="IASBNormalnpara"/>
      </w:pPr>
    </w:p>
    <w:p w14:paraId="7D92776A" w14:textId="77777777" w:rsidR="00810224" w:rsidRPr="00662611" w:rsidRDefault="00810224" w:rsidP="00AF0ED7">
      <w:pPr>
        <w:pStyle w:val="IASBNormalnpara"/>
        <w:sectPr w:rsidR="00810224" w:rsidRPr="00662611" w:rsidSect="009A0D92">
          <w:footerReference w:type="default" r:id="rId40"/>
          <w:pgSz w:w="11907" w:h="16839"/>
          <w:pgMar w:top="1440" w:right="1440" w:bottom="1440" w:left="1440" w:header="720" w:footer="720" w:gutter="0"/>
          <w:cols w:space="708"/>
          <w:docGrid w:linePitch="360"/>
        </w:sectPr>
      </w:pPr>
    </w:p>
    <w:p w14:paraId="7D92776B" w14:textId="77777777" w:rsidR="00E471B1" w:rsidRPr="00662611" w:rsidRDefault="00E471B1" w:rsidP="00E471B1">
      <w:pPr>
        <w:pStyle w:val="ConvSectionTitle"/>
      </w:pPr>
      <w:r w:rsidRPr="00662611">
        <w:lastRenderedPageBreak/>
        <w:t>Basis for Conclusions</w:t>
      </w:r>
    </w:p>
    <w:p w14:paraId="7D92776C" w14:textId="2C5FC0F1" w:rsidR="00E471B1" w:rsidRPr="00662611" w:rsidRDefault="00E471B1" w:rsidP="00E471B1">
      <w:pPr>
        <w:pStyle w:val="IASBNote"/>
      </w:pPr>
      <w:r w:rsidRPr="00662611">
        <w:rPr>
          <w:iCs/>
          <w:szCs w:val="19"/>
        </w:rPr>
        <w:t xml:space="preserve">This Basis for Conclusions accompanies, but is not part of, AASB </w:t>
      </w:r>
      <w:r w:rsidR="005F6667">
        <w:rPr>
          <w:iCs/>
          <w:szCs w:val="19"/>
        </w:rPr>
        <w:t>1059</w:t>
      </w:r>
      <w:r w:rsidRPr="00662611">
        <w:t>.</w:t>
      </w:r>
    </w:p>
    <w:p w14:paraId="7D92776D" w14:textId="77777777" w:rsidR="003862D4" w:rsidRPr="00662611" w:rsidRDefault="00C7754D" w:rsidP="00F352A4">
      <w:pPr>
        <w:pStyle w:val="IASBSectionTitle1NonInd"/>
        <w:outlineLvl w:val="1"/>
      </w:pPr>
      <w:r w:rsidRPr="00662611">
        <w:t>Introduction</w:t>
      </w:r>
    </w:p>
    <w:p w14:paraId="7D92776E" w14:textId="044FF91D" w:rsidR="003862D4" w:rsidRPr="00662611" w:rsidRDefault="003862D4" w:rsidP="002704B7">
      <w:pPr>
        <w:pStyle w:val="IE1"/>
        <w:numPr>
          <w:ilvl w:val="0"/>
          <w:numId w:val="25"/>
        </w:numPr>
        <w:tabs>
          <w:tab w:val="clear" w:pos="624"/>
        </w:tabs>
        <w:spacing w:after="100" w:line="240" w:lineRule="auto"/>
        <w:ind w:left="782" w:hanging="782"/>
        <w:jc w:val="both"/>
        <w:rPr>
          <w:sz w:val="19"/>
          <w:szCs w:val="19"/>
        </w:rPr>
      </w:pPr>
      <w:r w:rsidRPr="00662611">
        <w:rPr>
          <w:sz w:val="19"/>
          <w:szCs w:val="19"/>
        </w:rPr>
        <w:t>This Basis for Conclusions summarises the Australian Accounting Standards Board’s considerations in reaching the conclusions in</w:t>
      </w:r>
      <w:r w:rsidR="00E735E3" w:rsidRPr="00662611">
        <w:rPr>
          <w:sz w:val="19"/>
          <w:szCs w:val="19"/>
        </w:rPr>
        <w:t xml:space="preserve"> AASB </w:t>
      </w:r>
      <w:r w:rsidR="005F6667">
        <w:rPr>
          <w:sz w:val="19"/>
          <w:szCs w:val="19"/>
        </w:rPr>
        <w:t>1059</w:t>
      </w:r>
      <w:r w:rsidRPr="00662611">
        <w:rPr>
          <w:sz w:val="19"/>
          <w:szCs w:val="19"/>
        </w:rPr>
        <w:t xml:space="preserve">. </w:t>
      </w:r>
      <w:r w:rsidR="00B94ADD" w:rsidRPr="00662611">
        <w:rPr>
          <w:sz w:val="19"/>
          <w:szCs w:val="19"/>
        </w:rPr>
        <w:t>In making decisions, i</w:t>
      </w:r>
      <w:r w:rsidRPr="00662611">
        <w:rPr>
          <w:sz w:val="19"/>
          <w:szCs w:val="19"/>
        </w:rPr>
        <w:t>ndividual Board members gave greater weight to some factors than to others.</w:t>
      </w:r>
    </w:p>
    <w:p w14:paraId="7D92776F" w14:textId="77777777" w:rsidR="00D321F9" w:rsidRPr="00662611" w:rsidRDefault="00D321F9" w:rsidP="00D321F9">
      <w:pPr>
        <w:pStyle w:val="IASBSectionTitle1NonInd"/>
        <w:outlineLvl w:val="1"/>
      </w:pPr>
      <w:r w:rsidRPr="00662611">
        <w:t>Background</w:t>
      </w:r>
    </w:p>
    <w:p w14:paraId="7D927770" w14:textId="77777777" w:rsidR="00D8676D" w:rsidRPr="00662611" w:rsidRDefault="00D8676D" w:rsidP="00D8676D">
      <w:pPr>
        <w:pStyle w:val="IASBSectionTitle2Ind"/>
        <w:outlineLvl w:val="2"/>
      </w:pPr>
      <w:r w:rsidRPr="00662611">
        <w:t>Reasons for issuing this Standard</w:t>
      </w:r>
    </w:p>
    <w:p w14:paraId="7D927771" w14:textId="14C1D223" w:rsidR="00350EE2"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In Australia, public sector entities enter into service concession arrangements </w:t>
      </w:r>
      <w:r w:rsidR="00DE4A31" w:rsidRPr="00662611">
        <w:rPr>
          <w:sz w:val="19"/>
          <w:szCs w:val="19"/>
        </w:rPr>
        <w:t xml:space="preserve">(also called public-private partnerships (PPPs), build-own-operate-transfer (BOOT) arrangements and other similar names) </w:t>
      </w:r>
      <w:r w:rsidRPr="00662611">
        <w:rPr>
          <w:sz w:val="19"/>
          <w:szCs w:val="19"/>
        </w:rPr>
        <w:t>as a means of developing and delivering infrastructure</w:t>
      </w:r>
      <w:r w:rsidR="007E4780">
        <w:rPr>
          <w:sz w:val="19"/>
          <w:szCs w:val="19"/>
        </w:rPr>
        <w:t xml:space="preserve"> and other assets</w:t>
      </w:r>
      <w:r w:rsidRPr="00662611">
        <w:rPr>
          <w:sz w:val="19"/>
          <w:szCs w:val="19"/>
        </w:rPr>
        <w:t xml:space="preserve"> for public services such as roads, bridges, tunnels, prisons, hospitals, airports, water distribution facilities, energy supply</w:t>
      </w:r>
      <w:r w:rsidR="00C10242" w:rsidRPr="00662611">
        <w:rPr>
          <w:sz w:val="19"/>
          <w:szCs w:val="19"/>
        </w:rPr>
        <w:t xml:space="preserve"> and</w:t>
      </w:r>
      <w:r w:rsidRPr="00662611">
        <w:rPr>
          <w:sz w:val="19"/>
          <w:szCs w:val="19"/>
        </w:rPr>
        <w:t xml:space="preserve"> telecommunication networks</w:t>
      </w:r>
      <w:r w:rsidR="00C10242" w:rsidRPr="00662611">
        <w:rPr>
          <w:sz w:val="19"/>
          <w:szCs w:val="19"/>
        </w:rPr>
        <w:t>,</w:t>
      </w:r>
      <w:r w:rsidRPr="00662611">
        <w:rPr>
          <w:sz w:val="19"/>
          <w:szCs w:val="19"/>
        </w:rPr>
        <w:t xml:space="preserve"> permanent installations for military and other operations</w:t>
      </w:r>
      <w:r w:rsidR="00C10242" w:rsidRPr="00662611">
        <w:rPr>
          <w:sz w:val="19"/>
          <w:szCs w:val="19"/>
        </w:rPr>
        <w:t xml:space="preserve">, registries and databases, and other tangible </w:t>
      </w:r>
      <w:r w:rsidR="00D77A0F" w:rsidRPr="00662611">
        <w:rPr>
          <w:sz w:val="19"/>
          <w:szCs w:val="19"/>
        </w:rPr>
        <w:t>or</w:t>
      </w:r>
      <w:r w:rsidR="00C10242" w:rsidRPr="00662611">
        <w:rPr>
          <w:sz w:val="19"/>
          <w:szCs w:val="19"/>
        </w:rPr>
        <w:t xml:space="preserve"> intangible assets that are expected to be used during more than one reporting period in delivering public services</w:t>
      </w:r>
      <w:r w:rsidRPr="00662611">
        <w:rPr>
          <w:sz w:val="19"/>
          <w:szCs w:val="19"/>
        </w:rPr>
        <w:t xml:space="preserve">. </w:t>
      </w:r>
      <w:r w:rsidR="00DE4A31" w:rsidRPr="00662611">
        <w:rPr>
          <w:sz w:val="19"/>
          <w:szCs w:val="19"/>
        </w:rPr>
        <w:t xml:space="preserve">The public sector entity (the grantor) typically engages another entity (the operator) to construct or otherwise provide the underlying infrastructure </w:t>
      </w:r>
      <w:r w:rsidR="007E4780">
        <w:rPr>
          <w:sz w:val="19"/>
          <w:szCs w:val="19"/>
        </w:rPr>
        <w:t>and</w:t>
      </w:r>
      <w:r w:rsidR="007E4780" w:rsidRPr="00662611">
        <w:rPr>
          <w:sz w:val="19"/>
          <w:szCs w:val="19"/>
        </w:rPr>
        <w:t xml:space="preserve"> </w:t>
      </w:r>
      <w:r w:rsidR="00DE4A31" w:rsidRPr="00662611">
        <w:rPr>
          <w:sz w:val="19"/>
          <w:szCs w:val="19"/>
        </w:rPr>
        <w:t xml:space="preserve">other assets through which the operator will provide public services on behalf of the grantor. </w:t>
      </w:r>
      <w:r w:rsidR="00350EE2" w:rsidRPr="00662611">
        <w:rPr>
          <w:sz w:val="19"/>
          <w:szCs w:val="19"/>
        </w:rPr>
        <w:t>In exchange for the asset</w:t>
      </w:r>
      <w:r w:rsidR="00916B6F" w:rsidRPr="00662611">
        <w:rPr>
          <w:sz w:val="19"/>
          <w:szCs w:val="19"/>
        </w:rPr>
        <w:t xml:space="preserve"> (or asset</w:t>
      </w:r>
      <w:r w:rsidR="00DE4A31" w:rsidRPr="00662611">
        <w:rPr>
          <w:sz w:val="19"/>
          <w:szCs w:val="19"/>
        </w:rPr>
        <w:t>s</w:t>
      </w:r>
      <w:r w:rsidR="00916B6F" w:rsidRPr="00662611">
        <w:rPr>
          <w:sz w:val="19"/>
          <w:szCs w:val="19"/>
        </w:rPr>
        <w:t>)</w:t>
      </w:r>
      <w:r w:rsidR="00350EE2" w:rsidRPr="00662611">
        <w:rPr>
          <w:sz w:val="19"/>
          <w:szCs w:val="19"/>
        </w:rPr>
        <w:t xml:space="preserve"> and services, the grantor makes payments to the operator or grants </w:t>
      </w:r>
      <w:r w:rsidR="00D04FCB" w:rsidRPr="00662611">
        <w:rPr>
          <w:sz w:val="19"/>
          <w:szCs w:val="19"/>
        </w:rPr>
        <w:t xml:space="preserve">the </w:t>
      </w:r>
      <w:r w:rsidR="00350EE2" w:rsidRPr="00662611">
        <w:rPr>
          <w:sz w:val="19"/>
          <w:szCs w:val="19"/>
        </w:rPr>
        <w:t xml:space="preserve">operator </w:t>
      </w:r>
      <w:r w:rsidR="00D04FCB" w:rsidRPr="00662611">
        <w:rPr>
          <w:sz w:val="19"/>
          <w:szCs w:val="19"/>
        </w:rPr>
        <w:t>a</w:t>
      </w:r>
      <w:r w:rsidR="00350EE2" w:rsidRPr="00662611">
        <w:rPr>
          <w:sz w:val="19"/>
          <w:szCs w:val="19"/>
        </w:rPr>
        <w:t xml:space="preserve"> right to charge users of the service concession asset</w:t>
      </w:r>
      <w:r w:rsidR="00916B6F" w:rsidRPr="00662611">
        <w:rPr>
          <w:sz w:val="19"/>
          <w:szCs w:val="19"/>
        </w:rPr>
        <w:t xml:space="preserve"> (or asset</w:t>
      </w:r>
      <w:r w:rsidR="00DE4A31" w:rsidRPr="00662611">
        <w:rPr>
          <w:sz w:val="19"/>
          <w:szCs w:val="19"/>
        </w:rPr>
        <w:t>s</w:t>
      </w:r>
      <w:r w:rsidR="00916B6F" w:rsidRPr="00662611">
        <w:rPr>
          <w:sz w:val="19"/>
          <w:szCs w:val="19"/>
        </w:rPr>
        <w:t>)</w:t>
      </w:r>
      <w:r w:rsidR="00350EE2" w:rsidRPr="00662611">
        <w:rPr>
          <w:sz w:val="19"/>
          <w:szCs w:val="19"/>
        </w:rPr>
        <w:t>.</w:t>
      </w:r>
    </w:p>
    <w:p w14:paraId="7D927772" w14:textId="77777777" w:rsidR="00350EE2" w:rsidRPr="00662611" w:rsidRDefault="00350EE2"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Prior to the issue of this Standard, there was no specific Australian Accounting Standard that prescribe</w:t>
      </w:r>
      <w:r w:rsidR="00726FF2" w:rsidRPr="00662611">
        <w:rPr>
          <w:sz w:val="19"/>
          <w:szCs w:val="19"/>
        </w:rPr>
        <w:t>d</w:t>
      </w:r>
      <w:r w:rsidRPr="00662611">
        <w:rPr>
          <w:sz w:val="19"/>
          <w:szCs w:val="19"/>
        </w:rPr>
        <w:t xml:space="preserve"> the accounting for service concession </w:t>
      </w:r>
      <w:r w:rsidR="00726FF2" w:rsidRPr="00662611">
        <w:rPr>
          <w:sz w:val="19"/>
          <w:szCs w:val="19"/>
        </w:rPr>
        <w:t>arrangements</w:t>
      </w:r>
      <w:r w:rsidRPr="00662611">
        <w:rPr>
          <w:sz w:val="19"/>
          <w:szCs w:val="19"/>
        </w:rPr>
        <w:t xml:space="preserve"> from the grantor’s perspective.</w:t>
      </w:r>
    </w:p>
    <w:p w14:paraId="7D927773" w14:textId="2C5B6520" w:rsidR="00350EE2" w:rsidRPr="00662611" w:rsidRDefault="00454C56"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In determining an accounting policy for service concession arrangements in accordance with AASB 108 </w:t>
      </w:r>
      <w:r w:rsidRPr="00662611">
        <w:rPr>
          <w:i/>
          <w:sz w:val="19"/>
          <w:szCs w:val="19"/>
        </w:rPr>
        <w:t>Accounting Policies, Changes in Accounting Estimates and Errors</w:t>
      </w:r>
      <w:r w:rsidRPr="00662611">
        <w:rPr>
          <w:sz w:val="19"/>
          <w:szCs w:val="19"/>
        </w:rPr>
        <w:t xml:space="preserve">, </w:t>
      </w:r>
      <w:r w:rsidR="00763338">
        <w:rPr>
          <w:sz w:val="19"/>
          <w:szCs w:val="19"/>
        </w:rPr>
        <w:t xml:space="preserve">in the absence of AASB </w:t>
      </w:r>
      <w:r w:rsidR="005F6667">
        <w:rPr>
          <w:sz w:val="19"/>
          <w:szCs w:val="19"/>
        </w:rPr>
        <w:t>1059</w:t>
      </w:r>
      <w:r w:rsidR="00763338">
        <w:rPr>
          <w:sz w:val="19"/>
          <w:szCs w:val="19"/>
        </w:rPr>
        <w:t xml:space="preserve">, </w:t>
      </w:r>
      <w:r w:rsidRPr="00662611">
        <w:rPr>
          <w:sz w:val="19"/>
          <w:szCs w:val="19"/>
        </w:rPr>
        <w:t xml:space="preserve">an Australian public sector entity </w:t>
      </w:r>
      <w:r w:rsidR="00495A08" w:rsidRPr="00662611">
        <w:rPr>
          <w:sz w:val="19"/>
          <w:szCs w:val="19"/>
        </w:rPr>
        <w:t>might</w:t>
      </w:r>
      <w:r w:rsidRPr="00662611">
        <w:rPr>
          <w:sz w:val="19"/>
          <w:szCs w:val="19"/>
        </w:rPr>
        <w:t xml:space="preserve"> consider existing accounting requirements for service concession arrangements, including:</w:t>
      </w:r>
    </w:p>
    <w:p w14:paraId="7D927774" w14:textId="77777777" w:rsidR="00454C56" w:rsidRPr="00662611" w:rsidRDefault="00454C56" w:rsidP="00454C56">
      <w:pPr>
        <w:pStyle w:val="IE2"/>
        <w:numPr>
          <w:ilvl w:val="1"/>
          <w:numId w:val="18"/>
        </w:numPr>
        <w:tabs>
          <w:tab w:val="clear" w:pos="1247"/>
        </w:tabs>
        <w:spacing w:after="100" w:line="240" w:lineRule="auto"/>
        <w:ind w:left="1564" w:hanging="782"/>
        <w:jc w:val="both"/>
        <w:rPr>
          <w:sz w:val="19"/>
          <w:szCs w:val="19"/>
        </w:rPr>
      </w:pPr>
      <w:r w:rsidRPr="00662611">
        <w:rPr>
          <w:sz w:val="19"/>
          <w:szCs w:val="19"/>
        </w:rPr>
        <w:t xml:space="preserve">AASB Interpretation 12 </w:t>
      </w:r>
      <w:r w:rsidRPr="00662611">
        <w:rPr>
          <w:i/>
          <w:sz w:val="19"/>
          <w:szCs w:val="19"/>
        </w:rPr>
        <w:t>Service Concession Arrangements</w:t>
      </w:r>
      <w:r w:rsidR="00C64195" w:rsidRPr="00662611">
        <w:rPr>
          <w:sz w:val="19"/>
          <w:szCs w:val="19"/>
        </w:rPr>
        <w:t xml:space="preserve"> –</w:t>
      </w:r>
      <w:r w:rsidRPr="00662611">
        <w:rPr>
          <w:sz w:val="19"/>
          <w:szCs w:val="19"/>
        </w:rPr>
        <w:t xml:space="preserve"> AASB Interpretation 12 </w:t>
      </w:r>
      <w:r w:rsidR="00D321F9" w:rsidRPr="00662611">
        <w:rPr>
          <w:sz w:val="19"/>
          <w:szCs w:val="19"/>
        </w:rPr>
        <w:t xml:space="preserve">(which incorporates IFRIC 12 </w:t>
      </w:r>
      <w:r w:rsidR="00D321F9" w:rsidRPr="00662611">
        <w:rPr>
          <w:i/>
          <w:sz w:val="19"/>
          <w:szCs w:val="19"/>
        </w:rPr>
        <w:t>Service Concession Arrangements</w:t>
      </w:r>
      <w:r w:rsidR="00D321F9" w:rsidRPr="00662611">
        <w:rPr>
          <w:sz w:val="19"/>
          <w:szCs w:val="19"/>
        </w:rPr>
        <w:t>) provides the accounting requirements for service concession arrangements by the operator of a service concession arrangement. AASB Interpretation 12 does not apply to a grantor</w:t>
      </w:r>
      <w:r w:rsidRPr="00662611">
        <w:rPr>
          <w:sz w:val="19"/>
          <w:szCs w:val="19"/>
        </w:rPr>
        <w:t>;</w:t>
      </w:r>
    </w:p>
    <w:p w14:paraId="7D927775" w14:textId="77777777" w:rsidR="00454C56" w:rsidRPr="00662611" w:rsidRDefault="00454C56" w:rsidP="00454C56">
      <w:pPr>
        <w:pStyle w:val="IE2"/>
        <w:numPr>
          <w:ilvl w:val="1"/>
          <w:numId w:val="18"/>
        </w:numPr>
        <w:tabs>
          <w:tab w:val="clear" w:pos="1247"/>
        </w:tabs>
        <w:spacing w:after="100" w:line="240" w:lineRule="auto"/>
        <w:ind w:left="1564" w:hanging="782"/>
        <w:jc w:val="both"/>
        <w:rPr>
          <w:sz w:val="19"/>
          <w:szCs w:val="19"/>
        </w:rPr>
      </w:pPr>
      <w:r w:rsidRPr="00662611">
        <w:rPr>
          <w:sz w:val="19"/>
          <w:szCs w:val="19"/>
        </w:rPr>
        <w:t xml:space="preserve">AASB 16 </w:t>
      </w:r>
      <w:r w:rsidRPr="00662611">
        <w:rPr>
          <w:i/>
          <w:sz w:val="19"/>
          <w:szCs w:val="19"/>
        </w:rPr>
        <w:t>Leases</w:t>
      </w:r>
      <w:r w:rsidR="00C64195" w:rsidRPr="00662611">
        <w:rPr>
          <w:sz w:val="19"/>
          <w:szCs w:val="19"/>
        </w:rPr>
        <w:t xml:space="preserve"> – </w:t>
      </w:r>
      <w:r w:rsidRPr="00662611">
        <w:rPr>
          <w:sz w:val="19"/>
          <w:szCs w:val="19"/>
        </w:rPr>
        <w:t>AASB 16 provides guidance where the grantor makes payments to the operator, but does not provide guidance where the grantor grants the operator a right to charge users</w:t>
      </w:r>
      <w:r w:rsidR="00395F26" w:rsidRPr="00662611">
        <w:rPr>
          <w:sz w:val="19"/>
          <w:szCs w:val="19"/>
        </w:rPr>
        <w:t xml:space="preserve"> of the service concession asset</w:t>
      </w:r>
      <w:r w:rsidRPr="00662611">
        <w:rPr>
          <w:sz w:val="19"/>
          <w:szCs w:val="19"/>
        </w:rPr>
        <w:t xml:space="preserve">; </w:t>
      </w:r>
    </w:p>
    <w:p w14:paraId="7D927776" w14:textId="7D3F4392" w:rsidR="00454C56" w:rsidRPr="00662611" w:rsidRDefault="00454C56" w:rsidP="00454C56">
      <w:pPr>
        <w:pStyle w:val="IE2"/>
        <w:numPr>
          <w:ilvl w:val="1"/>
          <w:numId w:val="18"/>
        </w:numPr>
        <w:tabs>
          <w:tab w:val="clear" w:pos="1247"/>
        </w:tabs>
        <w:spacing w:after="100" w:line="240" w:lineRule="auto"/>
        <w:ind w:left="1564" w:hanging="782"/>
        <w:jc w:val="both"/>
        <w:rPr>
          <w:sz w:val="19"/>
          <w:szCs w:val="19"/>
        </w:rPr>
      </w:pPr>
      <w:r w:rsidRPr="00662611">
        <w:rPr>
          <w:sz w:val="19"/>
          <w:szCs w:val="19"/>
        </w:rPr>
        <w:t xml:space="preserve">AASB Interpretation 4 </w:t>
      </w:r>
      <w:r w:rsidRPr="00662611">
        <w:rPr>
          <w:i/>
          <w:sz w:val="19"/>
          <w:szCs w:val="19"/>
        </w:rPr>
        <w:t>Determining whether an Arrangement contains a Lease</w:t>
      </w:r>
      <w:r w:rsidR="00C64195" w:rsidRPr="00662611">
        <w:rPr>
          <w:sz w:val="19"/>
          <w:szCs w:val="19"/>
        </w:rPr>
        <w:t xml:space="preserve"> – </w:t>
      </w:r>
      <w:r w:rsidR="00D321F9" w:rsidRPr="00662611">
        <w:rPr>
          <w:sz w:val="19"/>
          <w:szCs w:val="19"/>
        </w:rPr>
        <w:t>AASB Interpretation </w:t>
      </w:r>
      <w:r w:rsidRPr="00662611">
        <w:rPr>
          <w:sz w:val="19"/>
          <w:szCs w:val="19"/>
        </w:rPr>
        <w:t xml:space="preserve">4 provides guidance for the application of AASB 16; </w:t>
      </w:r>
      <w:r w:rsidR="002F1A35" w:rsidRPr="00662611">
        <w:rPr>
          <w:sz w:val="19"/>
          <w:szCs w:val="19"/>
        </w:rPr>
        <w:t>and</w:t>
      </w:r>
    </w:p>
    <w:p w14:paraId="7D927778" w14:textId="6AA74554" w:rsidR="00454C56" w:rsidRPr="00662611" w:rsidRDefault="00C64195" w:rsidP="00454C56">
      <w:pPr>
        <w:pStyle w:val="IE2"/>
        <w:numPr>
          <w:ilvl w:val="1"/>
          <w:numId w:val="18"/>
        </w:numPr>
        <w:tabs>
          <w:tab w:val="clear" w:pos="1247"/>
        </w:tabs>
        <w:spacing w:after="100" w:line="240" w:lineRule="auto"/>
        <w:ind w:left="1564" w:hanging="782"/>
        <w:jc w:val="both"/>
        <w:rPr>
          <w:sz w:val="19"/>
          <w:szCs w:val="19"/>
        </w:rPr>
      </w:pPr>
      <w:r w:rsidRPr="00662611">
        <w:rPr>
          <w:sz w:val="19"/>
          <w:szCs w:val="19"/>
        </w:rPr>
        <w:t xml:space="preserve">IPSAS 32 </w:t>
      </w:r>
      <w:r w:rsidR="00D321F9" w:rsidRPr="00662611">
        <w:rPr>
          <w:i/>
          <w:sz w:val="19"/>
          <w:szCs w:val="19"/>
        </w:rPr>
        <w:t>Service Concession Arrangements: Grantor</w:t>
      </w:r>
      <w:r w:rsidR="00D321F9" w:rsidRPr="00662611">
        <w:rPr>
          <w:sz w:val="19"/>
          <w:szCs w:val="19"/>
        </w:rPr>
        <w:t xml:space="preserve"> </w:t>
      </w:r>
      <w:r w:rsidRPr="00662611">
        <w:rPr>
          <w:sz w:val="19"/>
          <w:szCs w:val="19"/>
        </w:rPr>
        <w:t xml:space="preserve">– </w:t>
      </w:r>
      <w:r w:rsidR="001C1D97" w:rsidRPr="00662611">
        <w:rPr>
          <w:sz w:val="19"/>
          <w:szCs w:val="19"/>
        </w:rPr>
        <w:t>t</w:t>
      </w:r>
      <w:r w:rsidR="00D321F9" w:rsidRPr="00662611">
        <w:rPr>
          <w:sz w:val="19"/>
          <w:szCs w:val="19"/>
        </w:rPr>
        <w:t>he International Public Sector Accounting Standards Board (IPSASB) published IPSAS 32 in October</w:t>
      </w:r>
      <w:r w:rsidR="006F0853" w:rsidRPr="00662611">
        <w:rPr>
          <w:sz w:val="19"/>
          <w:szCs w:val="19"/>
        </w:rPr>
        <w:t xml:space="preserve"> 2011. IPSAS </w:t>
      </w:r>
      <w:r w:rsidR="00D321F9" w:rsidRPr="00662611">
        <w:rPr>
          <w:sz w:val="19"/>
          <w:szCs w:val="19"/>
        </w:rPr>
        <w:t>32 prescribes the accounting for service concession assets, liabilities, revenues and expenses by grantors. IPSAS 32 mirror</w:t>
      </w:r>
      <w:r w:rsidR="00763338">
        <w:rPr>
          <w:sz w:val="19"/>
          <w:szCs w:val="19"/>
        </w:rPr>
        <w:t>s</w:t>
      </w:r>
      <w:r w:rsidR="00D321F9" w:rsidRPr="00662611">
        <w:rPr>
          <w:sz w:val="19"/>
          <w:szCs w:val="19"/>
        </w:rPr>
        <w:t xml:space="preserve"> IFRIC 12 in most aspects</w:t>
      </w:r>
      <w:r w:rsidR="00454C56" w:rsidRPr="00662611">
        <w:rPr>
          <w:sz w:val="19"/>
          <w:szCs w:val="19"/>
        </w:rPr>
        <w:t xml:space="preserve">. </w:t>
      </w:r>
    </w:p>
    <w:p w14:paraId="22162222" w14:textId="182F8203" w:rsidR="002F1A35" w:rsidRPr="00662611" w:rsidRDefault="002F1A35" w:rsidP="002F1A35">
      <w:pPr>
        <w:pStyle w:val="IASBNormalnparaL1"/>
        <w:spacing w:before="0" w:after="100"/>
        <w:ind w:left="782" w:firstLine="0"/>
      </w:pPr>
      <w:r w:rsidRPr="00662611">
        <w:t xml:space="preserve">Australian public sector entities had also considered previous requirements in the United Kingdom set out in </w:t>
      </w:r>
      <w:r w:rsidRPr="00662611">
        <w:rPr>
          <w:szCs w:val="19"/>
        </w:rPr>
        <w:t xml:space="preserve">Financial Reporting Standard FRS 5 </w:t>
      </w:r>
      <w:r w:rsidRPr="00662611">
        <w:rPr>
          <w:i/>
          <w:szCs w:val="19"/>
        </w:rPr>
        <w:t>Reporting the Substance of Transactions</w:t>
      </w:r>
      <w:r w:rsidRPr="00662611">
        <w:rPr>
          <w:szCs w:val="19"/>
        </w:rPr>
        <w:t>, issued by the UK Accounting Standard Board. FRS 5 required an entity to recognise an asset and a liability where the entity had substantially all or the majority of risks and rewards incident to the ownership of a service concession asset.</w:t>
      </w:r>
    </w:p>
    <w:p w14:paraId="7D927779" w14:textId="5B5ACCB8" w:rsidR="00454C56" w:rsidRPr="00662611" w:rsidRDefault="00E23F01" w:rsidP="00D321F9">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lack of a specific Australian Accounting Standard that </w:t>
      </w:r>
      <w:r w:rsidR="004E17AB">
        <w:rPr>
          <w:sz w:val="19"/>
          <w:szCs w:val="19"/>
        </w:rPr>
        <w:t>prescribed</w:t>
      </w:r>
      <w:r w:rsidR="004E17AB" w:rsidRPr="00662611">
        <w:rPr>
          <w:sz w:val="19"/>
          <w:szCs w:val="19"/>
        </w:rPr>
        <w:t xml:space="preserve"> </w:t>
      </w:r>
      <w:r w:rsidRPr="00662611">
        <w:rPr>
          <w:sz w:val="19"/>
          <w:szCs w:val="19"/>
        </w:rPr>
        <w:t xml:space="preserve">the accounting for a service concession arrangement from the grantor’s perspective resulted in divergence in the accounting for such arrangements. </w:t>
      </w:r>
      <w:r w:rsidR="00587250" w:rsidRPr="00662611">
        <w:rPr>
          <w:sz w:val="19"/>
          <w:szCs w:val="19"/>
        </w:rPr>
        <w:t>For example</w:t>
      </w:r>
      <w:r w:rsidRPr="00662611">
        <w:rPr>
          <w:sz w:val="19"/>
          <w:szCs w:val="19"/>
        </w:rPr>
        <w:t xml:space="preserve">, some </w:t>
      </w:r>
      <w:r w:rsidR="00F757F8" w:rsidRPr="00662611">
        <w:rPr>
          <w:sz w:val="19"/>
          <w:szCs w:val="19"/>
        </w:rPr>
        <w:t>grantors</w:t>
      </w:r>
      <w:r w:rsidRPr="00662611">
        <w:rPr>
          <w:sz w:val="19"/>
          <w:szCs w:val="19"/>
        </w:rPr>
        <w:t xml:space="preserve"> recognise</w:t>
      </w:r>
      <w:r w:rsidR="00FA276C">
        <w:rPr>
          <w:sz w:val="19"/>
          <w:szCs w:val="19"/>
        </w:rPr>
        <w:t>d</w:t>
      </w:r>
      <w:r w:rsidRPr="00662611">
        <w:rPr>
          <w:sz w:val="19"/>
          <w:szCs w:val="19"/>
        </w:rPr>
        <w:t xml:space="preserve"> service concession assets and liabilities in their statement of financial position while others </w:t>
      </w:r>
      <w:r w:rsidR="00FA276C">
        <w:rPr>
          <w:sz w:val="19"/>
          <w:szCs w:val="19"/>
        </w:rPr>
        <w:t xml:space="preserve">did </w:t>
      </w:r>
      <w:r w:rsidRPr="00662611">
        <w:rPr>
          <w:sz w:val="19"/>
          <w:szCs w:val="19"/>
        </w:rPr>
        <w:t xml:space="preserve">not. Given the </w:t>
      </w:r>
      <w:r w:rsidR="003A0104" w:rsidRPr="00662611">
        <w:rPr>
          <w:sz w:val="19"/>
          <w:szCs w:val="19"/>
        </w:rPr>
        <w:t xml:space="preserve">significance </w:t>
      </w:r>
      <w:r w:rsidRPr="00662611">
        <w:rPr>
          <w:sz w:val="19"/>
          <w:szCs w:val="19"/>
        </w:rPr>
        <w:t>of service concession arrangements</w:t>
      </w:r>
      <w:r w:rsidR="00CB4BD0">
        <w:rPr>
          <w:sz w:val="19"/>
          <w:szCs w:val="19"/>
        </w:rPr>
        <w:t xml:space="preserve"> to the Australian economy</w:t>
      </w:r>
      <w:r w:rsidRPr="00662611">
        <w:rPr>
          <w:sz w:val="19"/>
          <w:szCs w:val="19"/>
        </w:rPr>
        <w:t xml:space="preserve">, it is important that the AASB issue an </w:t>
      </w:r>
      <w:r w:rsidR="009C1603" w:rsidRPr="00662611">
        <w:rPr>
          <w:sz w:val="19"/>
          <w:szCs w:val="19"/>
        </w:rPr>
        <w:t>A</w:t>
      </w:r>
      <w:r w:rsidRPr="00662611">
        <w:rPr>
          <w:sz w:val="19"/>
          <w:szCs w:val="19"/>
        </w:rPr>
        <w:t xml:space="preserve">ccounting Standard to address the lack of </w:t>
      </w:r>
      <w:r w:rsidR="00587250" w:rsidRPr="00662611">
        <w:rPr>
          <w:sz w:val="19"/>
          <w:szCs w:val="19"/>
        </w:rPr>
        <w:t xml:space="preserve">explicit requirements for </w:t>
      </w:r>
      <w:r w:rsidRPr="00662611">
        <w:rPr>
          <w:sz w:val="19"/>
          <w:szCs w:val="19"/>
        </w:rPr>
        <w:t>accounting for such arrangements.</w:t>
      </w:r>
      <w:r w:rsidR="002F1A35" w:rsidRPr="00662611">
        <w:rPr>
          <w:sz w:val="19"/>
          <w:szCs w:val="19"/>
        </w:rPr>
        <w:t xml:space="preserve"> </w:t>
      </w:r>
      <w:r w:rsidR="003126B4" w:rsidRPr="00662611">
        <w:rPr>
          <w:sz w:val="19"/>
          <w:szCs w:val="19"/>
        </w:rPr>
        <w:t>R</w:t>
      </w:r>
      <w:r w:rsidR="002F1A35" w:rsidRPr="00662611">
        <w:rPr>
          <w:sz w:val="19"/>
          <w:szCs w:val="19"/>
        </w:rPr>
        <w:t xml:space="preserve">ecognition of service </w:t>
      </w:r>
      <w:r w:rsidR="002F1A35" w:rsidRPr="00662611">
        <w:rPr>
          <w:sz w:val="19"/>
          <w:szCs w:val="19"/>
        </w:rPr>
        <w:lastRenderedPageBreak/>
        <w:t xml:space="preserve">concession assets and related liabilities </w:t>
      </w:r>
      <w:r w:rsidR="003126B4" w:rsidRPr="00662611">
        <w:rPr>
          <w:sz w:val="19"/>
          <w:szCs w:val="19"/>
        </w:rPr>
        <w:t xml:space="preserve">is important in assisting </w:t>
      </w:r>
      <w:r w:rsidR="002F1A35" w:rsidRPr="00662611">
        <w:rPr>
          <w:sz w:val="19"/>
          <w:szCs w:val="19"/>
        </w:rPr>
        <w:t xml:space="preserve">users of financial statements to understand the resources </w:t>
      </w:r>
      <w:r w:rsidR="003126B4" w:rsidRPr="00662611">
        <w:rPr>
          <w:sz w:val="19"/>
          <w:szCs w:val="19"/>
        </w:rPr>
        <w:t>and obligations of</w:t>
      </w:r>
      <w:r w:rsidR="002F1A35" w:rsidRPr="00662611">
        <w:rPr>
          <w:sz w:val="19"/>
          <w:szCs w:val="19"/>
        </w:rPr>
        <w:t xml:space="preserve"> a grantor </w:t>
      </w:r>
      <w:r w:rsidR="00AF2B5B">
        <w:rPr>
          <w:sz w:val="19"/>
          <w:szCs w:val="19"/>
        </w:rPr>
        <w:t xml:space="preserve">involved </w:t>
      </w:r>
      <w:r w:rsidR="003126B4" w:rsidRPr="00662611">
        <w:rPr>
          <w:sz w:val="19"/>
          <w:szCs w:val="19"/>
        </w:rPr>
        <w:t>in the provision of public services.</w:t>
      </w:r>
    </w:p>
    <w:p w14:paraId="7D92777A" w14:textId="77777777" w:rsidR="002C7996" w:rsidRPr="00662611" w:rsidRDefault="00D1167D"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w:t>
      </w:r>
      <w:r w:rsidR="003862D4" w:rsidRPr="00662611">
        <w:rPr>
          <w:sz w:val="19"/>
          <w:szCs w:val="19"/>
        </w:rPr>
        <w:t>consider</w:t>
      </w:r>
      <w:r w:rsidRPr="00662611">
        <w:rPr>
          <w:sz w:val="19"/>
          <w:szCs w:val="19"/>
        </w:rPr>
        <w:t>ed</w:t>
      </w:r>
      <w:r w:rsidR="003862D4" w:rsidRPr="00662611">
        <w:rPr>
          <w:sz w:val="19"/>
          <w:szCs w:val="19"/>
        </w:rPr>
        <w:t xml:space="preserve"> a range of alternatives</w:t>
      </w:r>
      <w:r w:rsidRPr="00662611">
        <w:rPr>
          <w:sz w:val="19"/>
          <w:szCs w:val="19"/>
        </w:rPr>
        <w:t xml:space="preserve"> </w:t>
      </w:r>
      <w:r w:rsidR="00332D1D" w:rsidRPr="00662611">
        <w:rPr>
          <w:sz w:val="19"/>
          <w:szCs w:val="19"/>
        </w:rPr>
        <w:t>for</w:t>
      </w:r>
      <w:r w:rsidRPr="00662611">
        <w:rPr>
          <w:sz w:val="19"/>
          <w:szCs w:val="19"/>
        </w:rPr>
        <w:t xml:space="preserve"> the accounting </w:t>
      </w:r>
      <w:r w:rsidR="00332D1D" w:rsidRPr="00662611">
        <w:rPr>
          <w:sz w:val="19"/>
          <w:szCs w:val="19"/>
        </w:rPr>
        <w:t>for</w:t>
      </w:r>
      <w:r w:rsidRPr="00662611">
        <w:rPr>
          <w:sz w:val="19"/>
          <w:szCs w:val="19"/>
        </w:rPr>
        <w:t xml:space="preserve"> service concession arrangements by a grantor. </w:t>
      </w:r>
      <w:r w:rsidR="006B099D" w:rsidRPr="00662611">
        <w:rPr>
          <w:sz w:val="19"/>
          <w:szCs w:val="19"/>
        </w:rPr>
        <w:t>This included consideration of</w:t>
      </w:r>
      <w:r w:rsidR="002C7996" w:rsidRPr="00662611">
        <w:rPr>
          <w:sz w:val="19"/>
          <w:szCs w:val="19"/>
        </w:rPr>
        <w:t>:</w:t>
      </w:r>
    </w:p>
    <w:p w14:paraId="7D92777B" w14:textId="6617D6FA" w:rsidR="002C7996" w:rsidRPr="00662611" w:rsidRDefault="006B099D"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whether</w:t>
      </w:r>
      <w:proofErr w:type="gramEnd"/>
      <w:r w:rsidRPr="00662611">
        <w:rPr>
          <w:sz w:val="19"/>
          <w:szCs w:val="19"/>
        </w:rPr>
        <w:t xml:space="preserve"> under the hierarchy for selecting accounting policies set out in AASB 108, the grantor </w:t>
      </w:r>
      <w:r w:rsidR="00332D1D" w:rsidRPr="00662611">
        <w:rPr>
          <w:sz w:val="19"/>
          <w:szCs w:val="19"/>
        </w:rPr>
        <w:t>could</w:t>
      </w:r>
      <w:r w:rsidRPr="00662611">
        <w:rPr>
          <w:sz w:val="19"/>
          <w:szCs w:val="19"/>
        </w:rPr>
        <w:t xml:space="preserve"> apply AASB Interpretation</w:t>
      </w:r>
      <w:r w:rsidR="007051B1" w:rsidRPr="00662611">
        <w:rPr>
          <w:sz w:val="19"/>
          <w:szCs w:val="19"/>
        </w:rPr>
        <w:t> </w:t>
      </w:r>
      <w:r w:rsidRPr="00662611">
        <w:rPr>
          <w:sz w:val="19"/>
          <w:szCs w:val="19"/>
        </w:rPr>
        <w:t xml:space="preserve">12 by analogy. The Board (in December 2007) noted that, in accordance with AASB 108, </w:t>
      </w:r>
      <w:r w:rsidR="0053471B" w:rsidRPr="00662611">
        <w:rPr>
          <w:sz w:val="19"/>
          <w:szCs w:val="19"/>
        </w:rPr>
        <w:t xml:space="preserve">the </w:t>
      </w:r>
      <w:r w:rsidRPr="00662611">
        <w:rPr>
          <w:sz w:val="19"/>
          <w:szCs w:val="19"/>
        </w:rPr>
        <w:t>management of an entity must use its judgement</w:t>
      </w:r>
      <w:r w:rsidRPr="00662611">
        <w:rPr>
          <w:rFonts w:cs="Arial"/>
          <w:color w:val="000000"/>
          <w:sz w:val="19"/>
          <w:szCs w:val="19"/>
        </w:rPr>
        <w:t xml:space="preserve"> in developing and applying an accounting policy that results in information that is both </w:t>
      </w:r>
      <w:r w:rsidRPr="00662611">
        <w:rPr>
          <w:rFonts w:cs="Arial"/>
          <w:sz w:val="19"/>
          <w:szCs w:val="19"/>
        </w:rPr>
        <w:t xml:space="preserve">relevant </w:t>
      </w:r>
      <w:r w:rsidR="007051B1" w:rsidRPr="00662611">
        <w:rPr>
          <w:rFonts w:cs="Arial"/>
          <w:sz w:val="19"/>
          <w:szCs w:val="19"/>
        </w:rPr>
        <w:t xml:space="preserve">and reliable </w:t>
      </w:r>
      <w:r w:rsidRPr="00662611">
        <w:rPr>
          <w:rFonts w:cs="Arial"/>
          <w:sz w:val="19"/>
          <w:szCs w:val="19"/>
        </w:rPr>
        <w:t>to the economic decision-making needs of users</w:t>
      </w:r>
      <w:r w:rsidR="007051B1" w:rsidRPr="00662611">
        <w:rPr>
          <w:rFonts w:cs="Arial"/>
          <w:sz w:val="19"/>
          <w:szCs w:val="19"/>
        </w:rPr>
        <w:t>,</w:t>
      </w:r>
      <w:r w:rsidRPr="00662611">
        <w:rPr>
          <w:rFonts w:cs="Arial"/>
          <w:sz w:val="19"/>
          <w:szCs w:val="19"/>
        </w:rPr>
        <w:t xml:space="preserve"> including that the financial statements reflect the economic substance of the transaction or event. In making this judgement, management must refer to, and consider the applicability of, the requirements and guidance in Australian Accounting Standards (including Interpretations) dealing with similar and related issues, and the definitions, recognition criteria and measurement concepts in the</w:t>
      </w:r>
      <w:r w:rsidRPr="00662611">
        <w:rPr>
          <w:rFonts w:cs="Arial"/>
          <w:i/>
          <w:iCs/>
          <w:sz w:val="19"/>
          <w:szCs w:val="19"/>
        </w:rPr>
        <w:t xml:space="preserve"> Framework for the Preparation and Presentation of Financial Statements</w:t>
      </w:r>
      <w:r w:rsidRPr="00662611">
        <w:rPr>
          <w:rFonts w:cs="Arial"/>
          <w:sz w:val="19"/>
          <w:szCs w:val="19"/>
        </w:rPr>
        <w:t xml:space="preserve">. </w:t>
      </w:r>
      <w:r w:rsidR="007051B1" w:rsidRPr="00662611">
        <w:rPr>
          <w:rFonts w:cs="Arial"/>
          <w:sz w:val="19"/>
          <w:szCs w:val="19"/>
        </w:rPr>
        <w:t xml:space="preserve">The Board concluded </w:t>
      </w:r>
      <w:r w:rsidRPr="00662611">
        <w:rPr>
          <w:rFonts w:cs="Arial"/>
          <w:sz w:val="19"/>
          <w:szCs w:val="19"/>
        </w:rPr>
        <w:t xml:space="preserve">public sector grantors are required to consider Interpretation 12 in developing their accounting policy for service concession arrangements, and </w:t>
      </w:r>
      <w:r w:rsidR="00332D1D" w:rsidRPr="00662611">
        <w:rPr>
          <w:rFonts w:cs="Arial"/>
          <w:sz w:val="19"/>
          <w:szCs w:val="19"/>
        </w:rPr>
        <w:t>could</w:t>
      </w:r>
      <w:r w:rsidRPr="00662611">
        <w:rPr>
          <w:rFonts w:cs="Arial"/>
          <w:sz w:val="19"/>
          <w:szCs w:val="19"/>
        </w:rPr>
        <w:t xml:space="preserve"> choose to follow the Interpretation</w:t>
      </w:r>
      <w:r w:rsidR="00984739" w:rsidRPr="00662611">
        <w:rPr>
          <w:rFonts w:cs="Arial"/>
          <w:sz w:val="19"/>
          <w:szCs w:val="19"/>
        </w:rPr>
        <w:t>,</w:t>
      </w:r>
      <w:r w:rsidRPr="00662611">
        <w:rPr>
          <w:rFonts w:cs="Arial"/>
          <w:sz w:val="19"/>
          <w:szCs w:val="19"/>
        </w:rPr>
        <w:t xml:space="preserve"> </w:t>
      </w:r>
      <w:r w:rsidR="00332D1D" w:rsidRPr="00662611">
        <w:rPr>
          <w:rFonts w:cs="Arial"/>
          <w:sz w:val="19"/>
          <w:szCs w:val="19"/>
        </w:rPr>
        <w:t>al</w:t>
      </w:r>
      <w:r w:rsidRPr="00662611">
        <w:rPr>
          <w:rFonts w:cs="Arial"/>
          <w:sz w:val="19"/>
          <w:szCs w:val="19"/>
        </w:rPr>
        <w:t>thoug</w:t>
      </w:r>
      <w:r w:rsidR="005C2DB7" w:rsidRPr="00662611">
        <w:rPr>
          <w:rFonts w:cs="Arial"/>
          <w:sz w:val="19"/>
          <w:szCs w:val="19"/>
        </w:rPr>
        <w:t>h it does not apply mandatorily</w:t>
      </w:r>
      <w:r w:rsidR="002C7996" w:rsidRPr="00662611">
        <w:rPr>
          <w:rFonts w:cs="Arial"/>
          <w:sz w:val="19"/>
          <w:szCs w:val="19"/>
        </w:rPr>
        <w:t>;</w:t>
      </w:r>
    </w:p>
    <w:p w14:paraId="7D92777C" w14:textId="77777777" w:rsidR="00206F90" w:rsidRPr="00662611" w:rsidRDefault="00DF57B4" w:rsidP="00942FDB">
      <w:pPr>
        <w:pStyle w:val="IE2"/>
        <w:numPr>
          <w:ilvl w:val="1"/>
          <w:numId w:val="18"/>
        </w:numPr>
        <w:tabs>
          <w:tab w:val="clear" w:pos="1247"/>
        </w:tabs>
        <w:spacing w:after="100" w:line="240" w:lineRule="auto"/>
        <w:ind w:left="1564" w:hanging="782"/>
        <w:jc w:val="both"/>
        <w:rPr>
          <w:sz w:val="19"/>
          <w:szCs w:val="19"/>
        </w:rPr>
      </w:pPr>
      <w:r w:rsidRPr="00662611">
        <w:rPr>
          <w:sz w:val="19"/>
          <w:szCs w:val="19"/>
        </w:rPr>
        <w:t>the IPSASB’s project on grantor accounting for service concession arrangements, which the Board followed closely by issuing the</w:t>
      </w:r>
      <w:r w:rsidR="004634B0" w:rsidRPr="00662611">
        <w:rPr>
          <w:sz w:val="19"/>
          <w:szCs w:val="19"/>
        </w:rPr>
        <w:t xml:space="preserve"> </w:t>
      </w:r>
      <w:r w:rsidRPr="00662611">
        <w:rPr>
          <w:sz w:val="19"/>
          <w:szCs w:val="19"/>
        </w:rPr>
        <w:t>IPSASB’</w:t>
      </w:r>
      <w:r w:rsidR="004634B0" w:rsidRPr="00662611">
        <w:rPr>
          <w:sz w:val="19"/>
          <w:szCs w:val="19"/>
        </w:rPr>
        <w:t>s consul</w:t>
      </w:r>
      <w:r w:rsidRPr="00662611">
        <w:rPr>
          <w:sz w:val="19"/>
          <w:szCs w:val="19"/>
        </w:rPr>
        <w:t>tation doc</w:t>
      </w:r>
      <w:r w:rsidR="004634B0" w:rsidRPr="00662611">
        <w:rPr>
          <w:sz w:val="19"/>
          <w:szCs w:val="19"/>
        </w:rPr>
        <w:t>u</w:t>
      </w:r>
      <w:r w:rsidRPr="00662611">
        <w:rPr>
          <w:sz w:val="19"/>
          <w:szCs w:val="19"/>
        </w:rPr>
        <w:t xml:space="preserve">ments in Australia </w:t>
      </w:r>
      <w:r w:rsidR="004634B0" w:rsidRPr="00662611">
        <w:rPr>
          <w:sz w:val="19"/>
          <w:szCs w:val="19"/>
        </w:rPr>
        <w:t xml:space="preserve">as </w:t>
      </w:r>
      <w:r w:rsidR="00206F90" w:rsidRPr="00662611">
        <w:rPr>
          <w:sz w:val="19"/>
          <w:szCs w:val="19"/>
        </w:rPr>
        <w:t>Invitation to Comment</w:t>
      </w:r>
      <w:r w:rsidR="004E2062" w:rsidRPr="00662611">
        <w:rPr>
          <w:sz w:val="19"/>
          <w:szCs w:val="19"/>
        </w:rPr>
        <w:t xml:space="preserve"> ITC</w:t>
      </w:r>
      <w:r w:rsidR="00206F90" w:rsidRPr="00662611">
        <w:rPr>
          <w:sz w:val="19"/>
          <w:szCs w:val="19"/>
        </w:rPr>
        <w:t xml:space="preserve"> 16 </w:t>
      </w:r>
      <w:r w:rsidR="00206F90" w:rsidRPr="00662611">
        <w:rPr>
          <w:i/>
          <w:sz w:val="19"/>
          <w:szCs w:val="19"/>
        </w:rPr>
        <w:t xml:space="preserve">Request for Comment on IPSASB Consultation Paper </w:t>
      </w:r>
      <w:r w:rsidR="00206F90" w:rsidRPr="00662611">
        <w:rPr>
          <w:sz w:val="19"/>
          <w:szCs w:val="19"/>
        </w:rPr>
        <w:t>Accounting and Financial Reporting for Service Concession Arrangements</w:t>
      </w:r>
      <w:r w:rsidR="008F490A" w:rsidRPr="00662611">
        <w:rPr>
          <w:i/>
          <w:sz w:val="19"/>
          <w:szCs w:val="19"/>
        </w:rPr>
        <w:t xml:space="preserve"> </w:t>
      </w:r>
      <w:r w:rsidR="008F490A" w:rsidRPr="00662611">
        <w:rPr>
          <w:sz w:val="19"/>
          <w:szCs w:val="19"/>
        </w:rPr>
        <w:t>(April</w:t>
      </w:r>
      <w:r w:rsidR="007051B1" w:rsidRPr="00662611">
        <w:rPr>
          <w:sz w:val="19"/>
          <w:szCs w:val="19"/>
        </w:rPr>
        <w:t> </w:t>
      </w:r>
      <w:r w:rsidR="008F490A" w:rsidRPr="00662611">
        <w:rPr>
          <w:sz w:val="19"/>
          <w:szCs w:val="19"/>
        </w:rPr>
        <w:t>2008)</w:t>
      </w:r>
      <w:r w:rsidR="001A5CDA" w:rsidRPr="00662611">
        <w:rPr>
          <w:sz w:val="19"/>
          <w:szCs w:val="19"/>
        </w:rPr>
        <w:t xml:space="preserve"> and </w:t>
      </w:r>
      <w:r w:rsidR="0035374A" w:rsidRPr="00662611">
        <w:rPr>
          <w:sz w:val="19"/>
          <w:szCs w:val="19"/>
        </w:rPr>
        <w:t xml:space="preserve">Exposure Draft </w:t>
      </w:r>
      <w:r w:rsidR="00D10A72" w:rsidRPr="00662611">
        <w:rPr>
          <w:sz w:val="19"/>
          <w:szCs w:val="19"/>
        </w:rPr>
        <w:t>ED </w:t>
      </w:r>
      <w:r w:rsidR="0035374A" w:rsidRPr="00662611">
        <w:rPr>
          <w:sz w:val="19"/>
          <w:szCs w:val="19"/>
        </w:rPr>
        <w:t>194</w:t>
      </w:r>
      <w:r w:rsidR="001A5CDA" w:rsidRPr="00662611">
        <w:rPr>
          <w:sz w:val="19"/>
          <w:szCs w:val="19"/>
        </w:rPr>
        <w:t xml:space="preserve"> </w:t>
      </w:r>
      <w:r w:rsidR="001A5CDA" w:rsidRPr="00662611">
        <w:rPr>
          <w:i/>
          <w:sz w:val="19"/>
          <w:szCs w:val="19"/>
        </w:rPr>
        <w:t xml:space="preserve">Request for Comment on IPSASB Exposure Draft </w:t>
      </w:r>
      <w:r w:rsidR="001A5CDA" w:rsidRPr="00662611">
        <w:rPr>
          <w:sz w:val="19"/>
          <w:szCs w:val="19"/>
        </w:rPr>
        <w:t>Service Concession Arrangements: Grantor (April 2010)</w:t>
      </w:r>
      <w:r w:rsidR="00BE0653" w:rsidRPr="00662611">
        <w:rPr>
          <w:sz w:val="19"/>
          <w:szCs w:val="19"/>
        </w:rPr>
        <w:t>. The Board considered the feedback from constituents in preparing its submissions on the IPSASB proposals</w:t>
      </w:r>
      <w:r w:rsidR="001A5CDA" w:rsidRPr="00662611">
        <w:rPr>
          <w:sz w:val="19"/>
          <w:szCs w:val="19"/>
        </w:rPr>
        <w:t>; and</w:t>
      </w:r>
    </w:p>
    <w:p w14:paraId="7D92777D" w14:textId="77777777" w:rsidR="002C7996" w:rsidRPr="00662611" w:rsidRDefault="002C7996"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rFonts w:cs="Arial"/>
          <w:sz w:val="19"/>
          <w:szCs w:val="19"/>
        </w:rPr>
        <w:t>o</w:t>
      </w:r>
      <w:r w:rsidR="00FC2F14" w:rsidRPr="00662611">
        <w:rPr>
          <w:rFonts w:cs="Arial"/>
          <w:sz w:val="19"/>
          <w:szCs w:val="19"/>
        </w:rPr>
        <w:t>ther</w:t>
      </w:r>
      <w:proofErr w:type="gramEnd"/>
      <w:r w:rsidR="00FC2F14" w:rsidRPr="00662611">
        <w:rPr>
          <w:rFonts w:cs="Arial"/>
          <w:sz w:val="19"/>
          <w:szCs w:val="19"/>
        </w:rPr>
        <w:t xml:space="preserve"> approaches to the accounting </w:t>
      </w:r>
      <w:r w:rsidR="003764FB" w:rsidRPr="00662611">
        <w:rPr>
          <w:rFonts w:cs="Arial"/>
          <w:sz w:val="19"/>
          <w:szCs w:val="19"/>
        </w:rPr>
        <w:t>for</w:t>
      </w:r>
      <w:r w:rsidR="00FC2F14" w:rsidRPr="00662611">
        <w:rPr>
          <w:rFonts w:cs="Arial"/>
          <w:sz w:val="19"/>
          <w:szCs w:val="19"/>
        </w:rPr>
        <w:t xml:space="preserve"> service concession arrangements</w:t>
      </w:r>
      <w:r w:rsidR="004B45EF" w:rsidRPr="00662611">
        <w:rPr>
          <w:rFonts w:cs="Arial"/>
          <w:sz w:val="19"/>
          <w:szCs w:val="19"/>
        </w:rPr>
        <w:t>, which</w:t>
      </w:r>
      <w:r w:rsidR="00FC2F14" w:rsidRPr="00662611">
        <w:rPr>
          <w:rFonts w:cs="Arial"/>
          <w:sz w:val="19"/>
          <w:szCs w:val="19"/>
        </w:rPr>
        <w:t xml:space="preserve"> are identified </w:t>
      </w:r>
      <w:r w:rsidR="003764FB" w:rsidRPr="00662611">
        <w:rPr>
          <w:rFonts w:cs="Arial"/>
          <w:sz w:val="19"/>
          <w:szCs w:val="19"/>
        </w:rPr>
        <w:t>further</w:t>
      </w:r>
      <w:r w:rsidR="00FC2F14" w:rsidRPr="00662611">
        <w:rPr>
          <w:rFonts w:cs="Arial"/>
          <w:sz w:val="19"/>
          <w:szCs w:val="19"/>
        </w:rPr>
        <w:t xml:space="preserve"> in th</w:t>
      </w:r>
      <w:r w:rsidR="003764FB" w:rsidRPr="00662611">
        <w:rPr>
          <w:rFonts w:cs="Arial"/>
          <w:sz w:val="19"/>
          <w:szCs w:val="19"/>
        </w:rPr>
        <w:t>is</w:t>
      </w:r>
      <w:r w:rsidR="00FC2F14" w:rsidRPr="00662611">
        <w:rPr>
          <w:rFonts w:cs="Arial"/>
          <w:sz w:val="19"/>
          <w:szCs w:val="19"/>
        </w:rPr>
        <w:t xml:space="preserve"> Basis for Conclusions.</w:t>
      </w:r>
    </w:p>
    <w:p w14:paraId="7D92777E" w14:textId="11D2DE22" w:rsidR="00843841" w:rsidRPr="00662611" w:rsidRDefault="00843841" w:rsidP="00843841">
      <w:pPr>
        <w:pStyle w:val="IASBSectionTitle2Ind"/>
        <w:outlineLvl w:val="2"/>
      </w:pPr>
      <w:r w:rsidRPr="00662611">
        <w:t>Issue of ED 261</w:t>
      </w:r>
      <w:r w:rsidR="00945B1D">
        <w:t xml:space="preserve"> and additional public versions</w:t>
      </w:r>
    </w:p>
    <w:p w14:paraId="01665406" w14:textId="6C33A50B" w:rsidR="00A2329A" w:rsidRPr="00662611" w:rsidRDefault="002159C6" w:rsidP="00942FDB">
      <w:pPr>
        <w:pStyle w:val="IE1"/>
        <w:numPr>
          <w:ilvl w:val="0"/>
          <w:numId w:val="18"/>
        </w:numPr>
        <w:tabs>
          <w:tab w:val="clear" w:pos="624"/>
        </w:tabs>
        <w:spacing w:after="100" w:line="240" w:lineRule="auto"/>
        <w:ind w:left="782" w:hanging="782"/>
        <w:jc w:val="both"/>
        <w:rPr>
          <w:sz w:val="19"/>
          <w:szCs w:val="19"/>
        </w:rPr>
      </w:pPr>
      <w:r w:rsidRPr="00662611">
        <w:rPr>
          <w:rFonts w:cs="Arial"/>
          <w:sz w:val="19"/>
          <w:szCs w:val="19"/>
        </w:rPr>
        <w:t xml:space="preserve">After considering the alternatives, </w:t>
      </w:r>
      <w:r w:rsidR="003862D4" w:rsidRPr="00662611">
        <w:rPr>
          <w:sz w:val="19"/>
          <w:szCs w:val="19"/>
        </w:rPr>
        <w:t>the Board decided to develop an Australian Accounting Standard on grantor accounting for service concession arrangements, based on IPSAS 32, to address the lack of guidance.</w:t>
      </w:r>
      <w:r w:rsidR="00520609" w:rsidRPr="00662611">
        <w:rPr>
          <w:sz w:val="19"/>
          <w:szCs w:val="19"/>
        </w:rPr>
        <w:t xml:space="preserve"> </w:t>
      </w:r>
      <w:r w:rsidR="00F00062" w:rsidRPr="00662611">
        <w:rPr>
          <w:sz w:val="19"/>
          <w:szCs w:val="19"/>
        </w:rPr>
        <w:t xml:space="preserve">The Board </w:t>
      </w:r>
      <w:r w:rsidR="00520609" w:rsidRPr="00662611">
        <w:t>issue</w:t>
      </w:r>
      <w:r w:rsidR="00D76113">
        <w:t>d</w:t>
      </w:r>
      <w:r w:rsidR="00520609" w:rsidRPr="00662611">
        <w:t xml:space="preserve"> Exposure Draft </w:t>
      </w:r>
      <w:r w:rsidR="0053471B" w:rsidRPr="00662611">
        <w:rPr>
          <w:sz w:val="19"/>
          <w:szCs w:val="19"/>
        </w:rPr>
        <w:t xml:space="preserve">ED </w:t>
      </w:r>
      <w:r w:rsidR="009F0728" w:rsidRPr="00662611">
        <w:rPr>
          <w:sz w:val="19"/>
          <w:szCs w:val="19"/>
        </w:rPr>
        <w:t xml:space="preserve">261 </w:t>
      </w:r>
      <w:r w:rsidR="009F0728" w:rsidRPr="00662611">
        <w:rPr>
          <w:i/>
          <w:sz w:val="19"/>
          <w:szCs w:val="19"/>
        </w:rPr>
        <w:t>Service Concession Arrangements: Grantor</w:t>
      </w:r>
      <w:r w:rsidR="009F0728" w:rsidRPr="00662611">
        <w:rPr>
          <w:sz w:val="19"/>
          <w:szCs w:val="19"/>
        </w:rPr>
        <w:t xml:space="preserve"> i</w:t>
      </w:r>
      <w:r w:rsidR="00B23476" w:rsidRPr="00662611">
        <w:rPr>
          <w:sz w:val="19"/>
          <w:szCs w:val="19"/>
        </w:rPr>
        <w:t>n May 2015</w:t>
      </w:r>
      <w:r w:rsidR="009F0728" w:rsidRPr="00662611">
        <w:rPr>
          <w:sz w:val="19"/>
          <w:szCs w:val="19"/>
        </w:rPr>
        <w:t>.</w:t>
      </w:r>
      <w:r w:rsidR="00520609" w:rsidRPr="00662611">
        <w:rPr>
          <w:sz w:val="19"/>
          <w:szCs w:val="19"/>
        </w:rPr>
        <w:t xml:space="preserve"> The Board took into account its</w:t>
      </w:r>
      <w:r w:rsidR="00520609" w:rsidRPr="00662611">
        <w:t xml:space="preserve"> policy of making Australian Accounting Standards with a view to requiring like transactions and events to be accounted for in a like manner by all types of entities, referred to as ‘transaction neutrality’</w:t>
      </w:r>
      <w:r w:rsidR="0016592B" w:rsidRPr="00662611">
        <w:t>,</w:t>
      </w:r>
      <w:r w:rsidR="00520609" w:rsidRPr="00662611">
        <w:t xml:space="preserve"> in </w:t>
      </w:r>
      <w:r w:rsidR="00520609" w:rsidRPr="00662611">
        <w:rPr>
          <w:sz w:val="19"/>
          <w:szCs w:val="19"/>
        </w:rPr>
        <w:t>restrict</w:t>
      </w:r>
      <w:r w:rsidR="008E20DF" w:rsidRPr="00662611">
        <w:rPr>
          <w:sz w:val="19"/>
          <w:szCs w:val="19"/>
        </w:rPr>
        <w:t>ing</w:t>
      </w:r>
      <w:r w:rsidR="00520609" w:rsidRPr="00662611">
        <w:rPr>
          <w:sz w:val="19"/>
          <w:szCs w:val="19"/>
        </w:rPr>
        <w:t xml:space="preserve"> the scope of ED</w:t>
      </w:r>
      <w:r w:rsidR="008E20DF" w:rsidRPr="00662611">
        <w:rPr>
          <w:sz w:val="19"/>
          <w:szCs w:val="19"/>
        </w:rPr>
        <w:t> </w:t>
      </w:r>
      <w:r w:rsidR="00520609" w:rsidRPr="00662611">
        <w:rPr>
          <w:sz w:val="19"/>
          <w:szCs w:val="19"/>
        </w:rPr>
        <w:t xml:space="preserve">261 to </w:t>
      </w:r>
      <w:r w:rsidR="008E20DF" w:rsidRPr="00662611">
        <w:rPr>
          <w:sz w:val="19"/>
          <w:szCs w:val="19"/>
        </w:rPr>
        <w:t xml:space="preserve">a </w:t>
      </w:r>
      <w:r w:rsidR="00520609" w:rsidRPr="00662611">
        <w:rPr>
          <w:sz w:val="19"/>
          <w:szCs w:val="19"/>
        </w:rPr>
        <w:t>grantor that</w:t>
      </w:r>
      <w:r w:rsidR="008E20DF" w:rsidRPr="00662611">
        <w:rPr>
          <w:sz w:val="19"/>
          <w:szCs w:val="19"/>
        </w:rPr>
        <w:t xml:space="preserve"> is a</w:t>
      </w:r>
      <w:r w:rsidR="00520609" w:rsidRPr="00662611">
        <w:rPr>
          <w:sz w:val="19"/>
          <w:szCs w:val="19"/>
        </w:rPr>
        <w:t xml:space="preserve"> public sector entit</w:t>
      </w:r>
      <w:r w:rsidR="008E20DF" w:rsidRPr="00662611">
        <w:rPr>
          <w:sz w:val="19"/>
          <w:szCs w:val="19"/>
        </w:rPr>
        <w:t xml:space="preserve">y. </w:t>
      </w:r>
      <w:r w:rsidR="0016592B" w:rsidRPr="00662611">
        <w:rPr>
          <w:sz w:val="19"/>
          <w:szCs w:val="19"/>
        </w:rPr>
        <w:t>The Board noted</w:t>
      </w:r>
      <w:r w:rsidR="008E20DF" w:rsidRPr="00662611">
        <w:rPr>
          <w:sz w:val="19"/>
          <w:szCs w:val="19"/>
        </w:rPr>
        <w:t xml:space="preserve"> </w:t>
      </w:r>
      <w:r w:rsidR="00520609" w:rsidRPr="00662611">
        <w:rPr>
          <w:sz w:val="19"/>
          <w:szCs w:val="19"/>
        </w:rPr>
        <w:t>that it is highly unlikely that a service concession arrangement would involve a grantor that is a private sector entity</w:t>
      </w:r>
      <w:r w:rsidR="00EF3B6D" w:rsidRPr="00662611">
        <w:rPr>
          <w:sz w:val="19"/>
          <w:szCs w:val="19"/>
        </w:rPr>
        <w:t xml:space="preserve">. Consequently, </w:t>
      </w:r>
      <w:r w:rsidR="0016592B" w:rsidRPr="00662611">
        <w:rPr>
          <w:sz w:val="19"/>
          <w:szCs w:val="19"/>
        </w:rPr>
        <w:t>only in</w:t>
      </w:r>
      <w:r w:rsidR="008D7892" w:rsidRPr="00662611">
        <w:rPr>
          <w:sz w:val="19"/>
          <w:szCs w:val="19"/>
        </w:rPr>
        <w:t xml:space="preserve"> rare instances </w:t>
      </w:r>
      <w:r w:rsidR="008C6060" w:rsidRPr="00662611">
        <w:rPr>
          <w:sz w:val="19"/>
          <w:szCs w:val="19"/>
        </w:rPr>
        <w:t>would</w:t>
      </w:r>
      <w:r w:rsidR="008D7892" w:rsidRPr="00662611">
        <w:rPr>
          <w:sz w:val="19"/>
          <w:szCs w:val="19"/>
        </w:rPr>
        <w:t xml:space="preserve"> a private sector </w:t>
      </w:r>
      <w:r w:rsidR="003C6F97" w:rsidRPr="00662611">
        <w:rPr>
          <w:sz w:val="19"/>
          <w:szCs w:val="19"/>
        </w:rPr>
        <w:t xml:space="preserve">grantor </w:t>
      </w:r>
      <w:r w:rsidR="008D7892" w:rsidRPr="00662611">
        <w:rPr>
          <w:sz w:val="19"/>
          <w:szCs w:val="19"/>
        </w:rPr>
        <w:t>require specific guidance on the accounting for a service concession arrangement.</w:t>
      </w:r>
    </w:p>
    <w:p w14:paraId="7D927780" w14:textId="77777777" w:rsidR="00B23476" w:rsidRDefault="00B23476"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conducted extensive outreach</w:t>
      </w:r>
      <w:r w:rsidR="007659F3" w:rsidRPr="00662611">
        <w:rPr>
          <w:sz w:val="19"/>
          <w:szCs w:val="19"/>
        </w:rPr>
        <w:t xml:space="preserve"> on the proposals in ED 261</w:t>
      </w:r>
      <w:r w:rsidRPr="00662611">
        <w:rPr>
          <w:sz w:val="19"/>
          <w:szCs w:val="19"/>
        </w:rPr>
        <w:t xml:space="preserve">, including </w:t>
      </w:r>
      <w:r w:rsidR="003C61D2" w:rsidRPr="00662611">
        <w:rPr>
          <w:sz w:val="19"/>
          <w:szCs w:val="19"/>
        </w:rPr>
        <w:t xml:space="preserve">roundtable discussions in Melbourne, Brisbane and Sydney, field tests </w:t>
      </w:r>
      <w:r w:rsidR="00773F23" w:rsidRPr="00662611">
        <w:rPr>
          <w:sz w:val="19"/>
          <w:szCs w:val="19"/>
        </w:rPr>
        <w:t xml:space="preserve">in a number of Australian jurisdictions </w:t>
      </w:r>
      <w:r w:rsidR="003C61D2" w:rsidRPr="00662611">
        <w:rPr>
          <w:sz w:val="19"/>
          <w:szCs w:val="19"/>
        </w:rPr>
        <w:t>and other targeted outreach</w:t>
      </w:r>
      <w:r w:rsidRPr="00662611">
        <w:rPr>
          <w:sz w:val="19"/>
          <w:szCs w:val="19"/>
        </w:rPr>
        <w:t xml:space="preserve">. </w:t>
      </w:r>
    </w:p>
    <w:p w14:paraId="7D927781" w14:textId="77777777" w:rsidR="00722B57" w:rsidRPr="00662611" w:rsidRDefault="00FD76B2"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received ten comment letters in response to ED 261. </w:t>
      </w:r>
      <w:r w:rsidR="00074CF8" w:rsidRPr="00662611">
        <w:rPr>
          <w:sz w:val="19"/>
          <w:szCs w:val="19"/>
        </w:rPr>
        <w:t xml:space="preserve">The key </w:t>
      </w:r>
      <w:r w:rsidR="00632609" w:rsidRPr="00662611">
        <w:rPr>
          <w:sz w:val="19"/>
          <w:szCs w:val="19"/>
        </w:rPr>
        <w:t>r</w:t>
      </w:r>
      <w:r w:rsidR="00722B57" w:rsidRPr="00662611">
        <w:rPr>
          <w:sz w:val="19"/>
          <w:szCs w:val="19"/>
        </w:rPr>
        <w:t>esponses to ED 261 were:</w:t>
      </w:r>
    </w:p>
    <w:p w14:paraId="7D927782" w14:textId="77777777" w:rsidR="00722B57" w:rsidRPr="00662611" w:rsidRDefault="00074CF8" w:rsidP="003C61D2">
      <w:pPr>
        <w:pStyle w:val="IE2"/>
        <w:numPr>
          <w:ilvl w:val="1"/>
          <w:numId w:val="18"/>
        </w:numPr>
        <w:tabs>
          <w:tab w:val="clear" w:pos="1247"/>
        </w:tabs>
        <w:spacing w:after="100" w:line="240" w:lineRule="auto"/>
        <w:ind w:left="1564" w:hanging="782"/>
        <w:jc w:val="both"/>
        <w:rPr>
          <w:sz w:val="19"/>
          <w:szCs w:val="19"/>
        </w:rPr>
      </w:pPr>
      <w:r w:rsidRPr="00662611">
        <w:rPr>
          <w:sz w:val="19"/>
          <w:szCs w:val="19"/>
        </w:rPr>
        <w:t xml:space="preserve">all </w:t>
      </w:r>
      <w:r w:rsidR="00772E13" w:rsidRPr="00662611">
        <w:rPr>
          <w:sz w:val="19"/>
          <w:szCs w:val="19"/>
        </w:rPr>
        <w:t>respondents</w:t>
      </w:r>
      <w:r w:rsidRPr="00662611">
        <w:rPr>
          <w:sz w:val="19"/>
          <w:szCs w:val="19"/>
        </w:rPr>
        <w:t xml:space="preserve"> were supportive of the proposals set out in ED 261 on the basis that the </w:t>
      </w:r>
      <w:r w:rsidR="008038F9" w:rsidRPr="00662611">
        <w:rPr>
          <w:sz w:val="19"/>
          <w:szCs w:val="19"/>
        </w:rPr>
        <w:t>proposals would</w:t>
      </w:r>
      <w:r w:rsidR="00F76644" w:rsidRPr="00662611">
        <w:rPr>
          <w:sz w:val="19"/>
          <w:szCs w:val="19"/>
        </w:rPr>
        <w:t xml:space="preserve"> provide a consistent approach to the accounting for service concession arrangements from a public sector grantor perspective;</w:t>
      </w:r>
    </w:p>
    <w:p w14:paraId="7D927783" w14:textId="77777777" w:rsidR="00632609" w:rsidRPr="00662611" w:rsidRDefault="00395E68" w:rsidP="00632609">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s</w:t>
      </w:r>
      <w:r w:rsidR="00632609" w:rsidRPr="00662611">
        <w:rPr>
          <w:sz w:val="19"/>
          <w:szCs w:val="19"/>
        </w:rPr>
        <w:t>ome</w:t>
      </w:r>
      <w:proofErr w:type="gramEnd"/>
      <w:r w:rsidR="00632609" w:rsidRPr="00662611">
        <w:rPr>
          <w:sz w:val="19"/>
          <w:szCs w:val="19"/>
        </w:rPr>
        <w:t xml:space="preserve"> </w:t>
      </w:r>
      <w:r w:rsidR="00772E13" w:rsidRPr="00662611">
        <w:rPr>
          <w:sz w:val="19"/>
          <w:szCs w:val="19"/>
        </w:rPr>
        <w:t xml:space="preserve">respondents </w:t>
      </w:r>
      <w:r w:rsidR="00632609" w:rsidRPr="00662611">
        <w:rPr>
          <w:sz w:val="19"/>
          <w:szCs w:val="19"/>
        </w:rPr>
        <w:t xml:space="preserve">commented that the proposals </w:t>
      </w:r>
      <w:r w:rsidR="000674B6" w:rsidRPr="00662611">
        <w:rPr>
          <w:sz w:val="19"/>
          <w:szCs w:val="19"/>
        </w:rPr>
        <w:t>were</w:t>
      </w:r>
      <w:r w:rsidR="00632609" w:rsidRPr="00662611">
        <w:rPr>
          <w:sz w:val="19"/>
          <w:szCs w:val="19"/>
        </w:rPr>
        <w:t xml:space="preserve"> more rule-based than principle-based. These </w:t>
      </w:r>
      <w:r w:rsidR="00772E13" w:rsidRPr="00662611">
        <w:rPr>
          <w:sz w:val="19"/>
          <w:szCs w:val="19"/>
        </w:rPr>
        <w:t xml:space="preserve">respondents </w:t>
      </w:r>
      <w:r w:rsidR="00632609" w:rsidRPr="00662611">
        <w:rPr>
          <w:sz w:val="19"/>
          <w:szCs w:val="19"/>
        </w:rPr>
        <w:t xml:space="preserve">recommended that a principle-based Standard be developed </w:t>
      </w:r>
      <w:r w:rsidR="000674B6" w:rsidRPr="00662611">
        <w:rPr>
          <w:sz w:val="19"/>
          <w:szCs w:val="19"/>
        </w:rPr>
        <w:t>so that</w:t>
      </w:r>
      <w:r w:rsidR="00632609" w:rsidRPr="00662611">
        <w:rPr>
          <w:sz w:val="19"/>
          <w:szCs w:val="19"/>
        </w:rPr>
        <w:t xml:space="preserve"> the Standard </w:t>
      </w:r>
      <w:r w:rsidR="000674B6" w:rsidRPr="00662611">
        <w:rPr>
          <w:sz w:val="19"/>
          <w:szCs w:val="19"/>
        </w:rPr>
        <w:t>could</w:t>
      </w:r>
      <w:r w:rsidR="00632609" w:rsidRPr="00662611">
        <w:rPr>
          <w:sz w:val="19"/>
          <w:szCs w:val="19"/>
        </w:rPr>
        <w:t xml:space="preserve"> address emerging innovative service concession arrangements that perhaps a rule-based Standard </w:t>
      </w:r>
      <w:r w:rsidR="000674B6" w:rsidRPr="00662611">
        <w:rPr>
          <w:sz w:val="19"/>
          <w:szCs w:val="19"/>
        </w:rPr>
        <w:t>would</w:t>
      </w:r>
      <w:r w:rsidR="00632609" w:rsidRPr="00662611">
        <w:rPr>
          <w:sz w:val="19"/>
          <w:szCs w:val="19"/>
        </w:rPr>
        <w:t xml:space="preserve"> not</w:t>
      </w:r>
      <w:r w:rsidR="000E024F" w:rsidRPr="00662611">
        <w:rPr>
          <w:sz w:val="19"/>
          <w:szCs w:val="19"/>
        </w:rPr>
        <w:t xml:space="preserve"> be able to adequately address; and</w:t>
      </w:r>
    </w:p>
    <w:p w14:paraId="7D927784" w14:textId="77777777" w:rsidR="00632609" w:rsidRPr="00662611" w:rsidRDefault="000E024F" w:rsidP="00632609">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o</w:t>
      </w:r>
      <w:r w:rsidR="00632609" w:rsidRPr="00662611">
        <w:rPr>
          <w:sz w:val="19"/>
          <w:szCs w:val="19"/>
        </w:rPr>
        <w:t>verall</w:t>
      </w:r>
      <w:proofErr w:type="gramEnd"/>
      <w:r w:rsidR="00632609" w:rsidRPr="00662611">
        <w:rPr>
          <w:sz w:val="19"/>
          <w:szCs w:val="19"/>
        </w:rPr>
        <w:t xml:space="preserve">, </w:t>
      </w:r>
      <w:r w:rsidR="00772E13" w:rsidRPr="00662611">
        <w:rPr>
          <w:sz w:val="19"/>
          <w:szCs w:val="19"/>
        </w:rPr>
        <w:t xml:space="preserve">respondents </w:t>
      </w:r>
      <w:r w:rsidR="00632609" w:rsidRPr="00662611">
        <w:rPr>
          <w:sz w:val="19"/>
          <w:szCs w:val="19"/>
        </w:rPr>
        <w:t xml:space="preserve">requested additional guidance and examples on the concept of control, fair value measurement of service concession assets and liabilities, and accounting for the arrangements when transitioning to the Standard. </w:t>
      </w:r>
    </w:p>
    <w:p w14:paraId="75443FB3" w14:textId="1C127BCE" w:rsidR="00FE0596" w:rsidRDefault="00FE0596" w:rsidP="00FE0596">
      <w:pPr>
        <w:pStyle w:val="IE1"/>
        <w:numPr>
          <w:ilvl w:val="0"/>
          <w:numId w:val="18"/>
        </w:numPr>
        <w:tabs>
          <w:tab w:val="clear" w:pos="624"/>
        </w:tabs>
        <w:spacing w:after="100" w:line="240" w:lineRule="auto"/>
        <w:ind w:left="782" w:hanging="782"/>
        <w:jc w:val="both"/>
        <w:rPr>
          <w:sz w:val="19"/>
          <w:szCs w:val="19"/>
        </w:rPr>
      </w:pPr>
      <w:r>
        <w:rPr>
          <w:sz w:val="19"/>
          <w:szCs w:val="19"/>
        </w:rPr>
        <w:t xml:space="preserve">As the Board considered a broad range of issues in developing this Standard following the ED 261 exposure process, </w:t>
      </w:r>
      <w:r w:rsidR="00084D4C">
        <w:rPr>
          <w:sz w:val="19"/>
          <w:szCs w:val="19"/>
        </w:rPr>
        <w:t>numerous</w:t>
      </w:r>
      <w:r>
        <w:rPr>
          <w:sz w:val="19"/>
          <w:szCs w:val="19"/>
        </w:rPr>
        <w:t xml:space="preserve"> issues papers and draft wording </w:t>
      </w:r>
      <w:r w:rsidR="00084D4C">
        <w:rPr>
          <w:sz w:val="19"/>
          <w:szCs w:val="19"/>
        </w:rPr>
        <w:t>for paragraphs of</w:t>
      </w:r>
      <w:r>
        <w:rPr>
          <w:sz w:val="19"/>
          <w:szCs w:val="19"/>
        </w:rPr>
        <w:t xml:space="preserve"> the Standard were </w:t>
      </w:r>
      <w:r w:rsidR="00084D4C">
        <w:rPr>
          <w:sz w:val="19"/>
          <w:szCs w:val="19"/>
        </w:rPr>
        <w:t>published as Board agenda papers. This gave constituents the opportunity to follow the debate and to provide comments on the issues and drafting contemporaneously.</w:t>
      </w:r>
    </w:p>
    <w:p w14:paraId="77AA098B" w14:textId="7B0818E5" w:rsidR="00084D4C" w:rsidRPr="00BA435C" w:rsidRDefault="00084D4C" w:rsidP="00FE0596">
      <w:pPr>
        <w:pStyle w:val="IE1"/>
        <w:numPr>
          <w:ilvl w:val="0"/>
          <w:numId w:val="18"/>
        </w:numPr>
        <w:tabs>
          <w:tab w:val="clear" w:pos="624"/>
        </w:tabs>
        <w:spacing w:after="100" w:line="240" w:lineRule="auto"/>
        <w:ind w:left="782" w:hanging="782"/>
        <w:jc w:val="both"/>
        <w:rPr>
          <w:sz w:val="19"/>
          <w:szCs w:val="19"/>
        </w:rPr>
      </w:pPr>
      <w:r>
        <w:rPr>
          <w:sz w:val="19"/>
          <w:szCs w:val="19"/>
        </w:rPr>
        <w:t xml:space="preserve">In February 2017, the Board also issued a Fatal-Flaw Review version of the Standard for public comment. Submissions were received from seven constituents. </w:t>
      </w:r>
      <w:r w:rsidR="00BA435C" w:rsidRPr="00F17840">
        <w:t xml:space="preserve">The majority of the respondents were supportive of </w:t>
      </w:r>
      <w:r w:rsidR="00BA435C" w:rsidRPr="00F17840">
        <w:lastRenderedPageBreak/>
        <w:t xml:space="preserve">the </w:t>
      </w:r>
      <w:r w:rsidR="00BA435C">
        <w:t>Board’s</w:t>
      </w:r>
      <w:r w:rsidR="00BA435C" w:rsidRPr="00F17840">
        <w:t xml:space="preserve"> approach in the Fatal-Flaw Review version</w:t>
      </w:r>
      <w:r w:rsidR="00BA435C">
        <w:t>. However, some</w:t>
      </w:r>
      <w:r w:rsidR="00BA435C" w:rsidRPr="00F17840">
        <w:t xml:space="preserve"> respondents </w:t>
      </w:r>
      <w:r w:rsidR="00BA435C">
        <w:t>had</w:t>
      </w:r>
      <w:r w:rsidR="00BA435C" w:rsidRPr="00F17840">
        <w:t xml:space="preserve"> concerns particularly o</w:t>
      </w:r>
      <w:r w:rsidR="00BA435C">
        <w:t>ver</w:t>
      </w:r>
      <w:r w:rsidR="00BA435C" w:rsidRPr="00F17840">
        <w:t xml:space="preserve"> the </w:t>
      </w:r>
      <w:r w:rsidR="00BA435C">
        <w:t xml:space="preserve">proposed </w:t>
      </w:r>
      <w:r w:rsidR="00BA435C" w:rsidRPr="00F17840">
        <w:t xml:space="preserve">requirement </w:t>
      </w:r>
      <w:r w:rsidR="00BA435C">
        <w:t xml:space="preserve">for a grantor </w:t>
      </w:r>
      <w:r w:rsidR="00BA435C" w:rsidRPr="00F17840">
        <w:t xml:space="preserve">to recognise </w:t>
      </w:r>
      <w:r w:rsidR="00BA435C">
        <w:t xml:space="preserve">as a service concession asset </w:t>
      </w:r>
      <w:r w:rsidR="00BA435C" w:rsidRPr="00F17840">
        <w:t>an intangible asset that the grantor ha</w:t>
      </w:r>
      <w:r w:rsidR="00BA435C">
        <w:t>d</w:t>
      </w:r>
      <w:r w:rsidR="00BA435C" w:rsidRPr="00F17840">
        <w:t xml:space="preserve"> not been previously recognised and the </w:t>
      </w:r>
      <w:r w:rsidR="00BA435C">
        <w:t xml:space="preserve">proposed </w:t>
      </w:r>
      <w:r w:rsidR="00BA435C" w:rsidRPr="00F17840">
        <w:t>guidance on public service</w:t>
      </w:r>
      <w:r w:rsidR="00BA435C">
        <w:t>s</w:t>
      </w:r>
      <w:r w:rsidR="00BA435C" w:rsidRPr="00F17840">
        <w:t>.</w:t>
      </w:r>
      <w:r w:rsidR="00BA435C">
        <w:t xml:space="preserve"> Single respondents also objected strongly to (1) the approach to </w:t>
      </w:r>
      <w:r w:rsidR="00BA435C" w:rsidRPr="00F17840">
        <w:t xml:space="preserve">determining the grantor’s control </w:t>
      </w:r>
      <w:r w:rsidR="00BA435C">
        <w:t xml:space="preserve">or regulation </w:t>
      </w:r>
      <w:r w:rsidR="00BA435C" w:rsidRPr="00F17840">
        <w:t xml:space="preserve">of the pricing of the services of </w:t>
      </w:r>
      <w:r w:rsidR="00BA435C">
        <w:t>a</w:t>
      </w:r>
      <w:r w:rsidR="00BA435C" w:rsidRPr="00F17840">
        <w:t xml:space="preserve"> service concession asset and </w:t>
      </w:r>
      <w:r w:rsidR="00BA435C">
        <w:t xml:space="preserve">(2) </w:t>
      </w:r>
      <w:r w:rsidR="00BA435C" w:rsidRPr="00F17840">
        <w:t xml:space="preserve">the </w:t>
      </w:r>
      <w:r w:rsidR="00BA435C">
        <w:t xml:space="preserve">proposed </w:t>
      </w:r>
      <w:r w:rsidR="00BA435C" w:rsidRPr="00F17840">
        <w:t xml:space="preserve">requirement to recognise a service concession arrangement that involves </w:t>
      </w:r>
      <w:r w:rsidR="00BA435C">
        <w:t>the</w:t>
      </w:r>
      <w:r w:rsidR="00BA435C" w:rsidRPr="00F17840">
        <w:t xml:space="preserve"> grant of a right to the operator</w:t>
      </w:r>
      <w:r w:rsidR="00BA435C">
        <w:t>.</w:t>
      </w:r>
    </w:p>
    <w:p w14:paraId="08677040" w14:textId="7CBA321D" w:rsidR="006B737B" w:rsidRDefault="00BA435C" w:rsidP="00FE0596">
      <w:pPr>
        <w:pStyle w:val="IE1"/>
        <w:numPr>
          <w:ilvl w:val="0"/>
          <w:numId w:val="18"/>
        </w:numPr>
        <w:tabs>
          <w:tab w:val="clear" w:pos="624"/>
        </w:tabs>
        <w:spacing w:after="100" w:line="240" w:lineRule="auto"/>
        <w:ind w:left="782" w:hanging="782"/>
        <w:jc w:val="both"/>
        <w:rPr>
          <w:sz w:val="19"/>
          <w:szCs w:val="19"/>
        </w:rPr>
      </w:pPr>
      <w:r>
        <w:rPr>
          <w:sz w:val="19"/>
          <w:szCs w:val="19"/>
        </w:rPr>
        <w:t>The Board considered these issues and the comments received at its March and May 2017 meetings</w:t>
      </w:r>
      <w:r w:rsidR="006B737B">
        <w:rPr>
          <w:sz w:val="19"/>
          <w:szCs w:val="19"/>
        </w:rPr>
        <w:t xml:space="preserve">. In particular, the Board added additional implementation guidance to illustrate the differences between </w:t>
      </w:r>
      <w:r w:rsidR="00F70124">
        <w:rPr>
          <w:sz w:val="19"/>
          <w:szCs w:val="19"/>
        </w:rPr>
        <w:t xml:space="preserve">service concession arrangements and other </w:t>
      </w:r>
      <w:r w:rsidR="006B737B">
        <w:rPr>
          <w:sz w:val="19"/>
          <w:szCs w:val="19"/>
        </w:rPr>
        <w:t>types of arrangements (construction</w:t>
      </w:r>
      <w:r w:rsidR="00F70124">
        <w:rPr>
          <w:sz w:val="19"/>
          <w:szCs w:val="19"/>
        </w:rPr>
        <w:t xml:space="preserve"> and service contracts, leases, and sale and privatisation arrangements). The Board also clarified the treatment of previously unrecognised intangible service concession assets and the application guidance regarding public services, for example.</w:t>
      </w:r>
    </w:p>
    <w:p w14:paraId="768BDE6A" w14:textId="684F1045" w:rsidR="00BA435C" w:rsidRPr="00662611" w:rsidRDefault="00F70124" w:rsidP="00FE0596">
      <w:pPr>
        <w:pStyle w:val="IE1"/>
        <w:numPr>
          <w:ilvl w:val="0"/>
          <w:numId w:val="18"/>
        </w:numPr>
        <w:tabs>
          <w:tab w:val="clear" w:pos="624"/>
        </w:tabs>
        <w:spacing w:after="100" w:line="240" w:lineRule="auto"/>
        <w:ind w:left="782" w:hanging="782"/>
        <w:jc w:val="both"/>
        <w:rPr>
          <w:sz w:val="19"/>
          <w:szCs w:val="19"/>
        </w:rPr>
      </w:pPr>
      <w:r>
        <w:rPr>
          <w:sz w:val="19"/>
          <w:szCs w:val="19"/>
        </w:rPr>
        <w:t>T</w:t>
      </w:r>
      <w:r w:rsidR="00BA435C">
        <w:rPr>
          <w:sz w:val="19"/>
          <w:szCs w:val="19"/>
        </w:rPr>
        <w:t>he proposed requirements</w:t>
      </w:r>
      <w:r w:rsidR="006B737B">
        <w:rPr>
          <w:sz w:val="19"/>
          <w:szCs w:val="19"/>
        </w:rPr>
        <w:t xml:space="preserve"> </w:t>
      </w:r>
      <w:r>
        <w:rPr>
          <w:sz w:val="19"/>
          <w:szCs w:val="19"/>
        </w:rPr>
        <w:t xml:space="preserve">were then finalised </w:t>
      </w:r>
      <w:r w:rsidR="006B737B">
        <w:rPr>
          <w:sz w:val="19"/>
          <w:szCs w:val="19"/>
        </w:rPr>
        <w:t xml:space="preserve">in </w:t>
      </w:r>
      <w:r w:rsidR="003D7A5F">
        <w:rPr>
          <w:sz w:val="19"/>
          <w:szCs w:val="19"/>
        </w:rPr>
        <w:t xml:space="preserve">June 2017 in </w:t>
      </w:r>
      <w:r w:rsidR="006B737B">
        <w:rPr>
          <w:sz w:val="19"/>
          <w:szCs w:val="19"/>
        </w:rPr>
        <w:t xml:space="preserve">the form of a Pre-Ballot Draft of the Standard. This version, which typically is distributed only to Board members, was also circulated to the respondents to the Fatal-Flaw Review version that had provided substantive comments. Further comments were received from those respondents and </w:t>
      </w:r>
      <w:r>
        <w:rPr>
          <w:sz w:val="19"/>
          <w:szCs w:val="19"/>
        </w:rPr>
        <w:t xml:space="preserve">were </w:t>
      </w:r>
      <w:r w:rsidR="006B737B">
        <w:rPr>
          <w:sz w:val="19"/>
          <w:szCs w:val="19"/>
        </w:rPr>
        <w:t xml:space="preserve">considered by the Board in finalising the Standard. As a result of those comments, for example, the definition of ‘service concession arrangement’ was extended to refer to </w:t>
      </w:r>
      <w:r>
        <w:rPr>
          <w:sz w:val="19"/>
          <w:szCs w:val="19"/>
        </w:rPr>
        <w:t>the operator being responsible for at least some of the management of the public services provided through the service concession asset, which had featured in the application guidance and in some of the implementation guidance examples.</w:t>
      </w:r>
      <w:r w:rsidR="003D7A5F">
        <w:rPr>
          <w:sz w:val="19"/>
          <w:szCs w:val="19"/>
        </w:rPr>
        <w:t xml:space="preserve"> References to land under roads as service concession assets were also added, and the accounting for upgrades and the replacement of major components of service concession assets clarified.</w:t>
      </w:r>
    </w:p>
    <w:p w14:paraId="7D927785" w14:textId="77777777" w:rsidR="003862D4" w:rsidRPr="00662611" w:rsidRDefault="00766FE4" w:rsidP="00F352A4">
      <w:pPr>
        <w:pStyle w:val="IASBSectionTitle1NonInd"/>
        <w:outlineLvl w:val="1"/>
      </w:pPr>
      <w:r w:rsidRPr="00662611">
        <w:t>Scope</w:t>
      </w:r>
    </w:p>
    <w:p w14:paraId="7D927786" w14:textId="3F06325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considered various </w:t>
      </w:r>
      <w:r w:rsidR="00CC32E0">
        <w:rPr>
          <w:sz w:val="19"/>
          <w:szCs w:val="19"/>
        </w:rPr>
        <w:t xml:space="preserve">types of </w:t>
      </w:r>
      <w:r w:rsidRPr="00662611">
        <w:rPr>
          <w:sz w:val="19"/>
          <w:szCs w:val="19"/>
        </w:rPr>
        <w:t xml:space="preserve">arrangements involving public and private sector entities and deliberated whether </w:t>
      </w:r>
      <w:r w:rsidR="00364751" w:rsidRPr="00662611">
        <w:rPr>
          <w:sz w:val="19"/>
          <w:szCs w:val="19"/>
        </w:rPr>
        <w:t>the Standard should be consistent with</w:t>
      </w:r>
      <w:r w:rsidRPr="00662611">
        <w:rPr>
          <w:sz w:val="19"/>
          <w:szCs w:val="19"/>
        </w:rPr>
        <w:t xml:space="preserve"> IPSAS 32 </w:t>
      </w:r>
      <w:r w:rsidR="00E2370D" w:rsidRPr="00662611">
        <w:rPr>
          <w:sz w:val="19"/>
          <w:szCs w:val="19"/>
        </w:rPr>
        <w:t>by</w:t>
      </w:r>
      <w:r w:rsidR="00364751" w:rsidRPr="00662611">
        <w:rPr>
          <w:sz w:val="19"/>
          <w:szCs w:val="19"/>
        </w:rPr>
        <w:t xml:space="preserve"> apply</w:t>
      </w:r>
      <w:r w:rsidR="00E2370D" w:rsidRPr="00662611">
        <w:rPr>
          <w:sz w:val="19"/>
          <w:szCs w:val="19"/>
        </w:rPr>
        <w:t>ing</w:t>
      </w:r>
      <w:r w:rsidRPr="00662611">
        <w:rPr>
          <w:sz w:val="19"/>
          <w:szCs w:val="19"/>
        </w:rPr>
        <w:t xml:space="preserve"> </w:t>
      </w:r>
      <w:r w:rsidR="00035C5F" w:rsidRPr="00662611">
        <w:rPr>
          <w:sz w:val="19"/>
          <w:szCs w:val="19"/>
        </w:rPr>
        <w:t xml:space="preserve">only </w:t>
      </w:r>
      <w:r w:rsidRPr="00662611">
        <w:rPr>
          <w:sz w:val="19"/>
          <w:szCs w:val="19"/>
        </w:rPr>
        <w:t xml:space="preserve">to </w:t>
      </w:r>
      <w:r w:rsidR="00035C5F" w:rsidRPr="00662611">
        <w:rPr>
          <w:sz w:val="19"/>
          <w:szCs w:val="19"/>
        </w:rPr>
        <w:t>not-</w:t>
      </w:r>
      <w:r w:rsidRPr="00662611">
        <w:rPr>
          <w:sz w:val="19"/>
          <w:szCs w:val="19"/>
        </w:rPr>
        <w:t>for-profit public sector entit</w:t>
      </w:r>
      <w:r w:rsidR="00035C5F" w:rsidRPr="00662611">
        <w:rPr>
          <w:sz w:val="19"/>
          <w:szCs w:val="19"/>
        </w:rPr>
        <w:t>ies</w:t>
      </w:r>
      <w:r w:rsidRPr="00662611">
        <w:rPr>
          <w:sz w:val="19"/>
          <w:szCs w:val="19"/>
        </w:rPr>
        <w:t>.</w:t>
      </w:r>
    </w:p>
    <w:p w14:paraId="7D927787" w14:textId="08EF72EA" w:rsidR="0056137D" w:rsidRPr="00662611" w:rsidRDefault="003862D4" w:rsidP="0056137D">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decided that </w:t>
      </w:r>
      <w:r w:rsidR="009C47C8" w:rsidRPr="00662611">
        <w:rPr>
          <w:sz w:val="19"/>
          <w:szCs w:val="19"/>
        </w:rPr>
        <w:t xml:space="preserve">ED 261 </w:t>
      </w:r>
      <w:r w:rsidRPr="00662611">
        <w:rPr>
          <w:sz w:val="19"/>
          <w:szCs w:val="19"/>
        </w:rPr>
        <w:t>should</w:t>
      </w:r>
      <w:r w:rsidR="0056137D" w:rsidRPr="00662611">
        <w:rPr>
          <w:sz w:val="19"/>
          <w:szCs w:val="19"/>
        </w:rPr>
        <w:t xml:space="preserve"> </w:t>
      </w:r>
      <w:r w:rsidRPr="00662611">
        <w:rPr>
          <w:sz w:val="19"/>
          <w:szCs w:val="19"/>
        </w:rPr>
        <w:t>propose application to all public sector entities, rather than being limited to not-for-profit public sector entities</w:t>
      </w:r>
      <w:r w:rsidR="00140A11" w:rsidRPr="00662611">
        <w:rPr>
          <w:sz w:val="19"/>
          <w:szCs w:val="19"/>
        </w:rPr>
        <w:t>,</w:t>
      </w:r>
      <w:r w:rsidRPr="00662611">
        <w:rPr>
          <w:sz w:val="19"/>
          <w:szCs w:val="19"/>
        </w:rPr>
        <w:t xml:space="preserve"> consistent with the </w:t>
      </w:r>
      <w:r w:rsidR="006225EA" w:rsidRPr="00662611">
        <w:rPr>
          <w:sz w:val="19"/>
          <w:szCs w:val="19"/>
        </w:rPr>
        <w:t xml:space="preserve">Board’s </w:t>
      </w:r>
      <w:r w:rsidRPr="00662611">
        <w:rPr>
          <w:sz w:val="19"/>
          <w:szCs w:val="19"/>
        </w:rPr>
        <w:t>policy of transaction neutrality</w:t>
      </w:r>
      <w:r w:rsidR="007730BE">
        <w:rPr>
          <w:sz w:val="19"/>
          <w:szCs w:val="19"/>
        </w:rPr>
        <w:t xml:space="preserve">, as applied to </w:t>
      </w:r>
      <w:r w:rsidR="008F2060">
        <w:rPr>
          <w:sz w:val="19"/>
          <w:szCs w:val="19"/>
        </w:rPr>
        <w:t xml:space="preserve">public sector </w:t>
      </w:r>
      <w:r w:rsidR="007730BE">
        <w:rPr>
          <w:sz w:val="19"/>
          <w:szCs w:val="19"/>
        </w:rPr>
        <w:t xml:space="preserve">grantors </w:t>
      </w:r>
      <w:r w:rsidR="008F2060">
        <w:rPr>
          <w:sz w:val="19"/>
          <w:szCs w:val="19"/>
        </w:rPr>
        <w:t>of service concession arrangements</w:t>
      </w:r>
      <w:r w:rsidRPr="00662611">
        <w:rPr>
          <w:sz w:val="19"/>
          <w:szCs w:val="19"/>
        </w:rPr>
        <w:t xml:space="preserve">. The Board noted that this scope </w:t>
      </w:r>
      <w:r w:rsidR="00283694" w:rsidRPr="00662611">
        <w:rPr>
          <w:sz w:val="19"/>
          <w:szCs w:val="19"/>
        </w:rPr>
        <w:t xml:space="preserve">would be </w:t>
      </w:r>
      <w:r w:rsidRPr="00662611">
        <w:rPr>
          <w:sz w:val="19"/>
          <w:szCs w:val="19"/>
        </w:rPr>
        <w:t xml:space="preserve">wider than that of IPSAS 32 as International Public Sector Accounting Standards do not apply to </w:t>
      </w:r>
      <w:r w:rsidR="004E65B4" w:rsidRPr="00662611">
        <w:rPr>
          <w:sz w:val="19"/>
          <w:szCs w:val="19"/>
        </w:rPr>
        <w:t>for-profit entities</w:t>
      </w:r>
      <w:r w:rsidR="00243CBC" w:rsidRPr="00662611">
        <w:rPr>
          <w:sz w:val="19"/>
          <w:szCs w:val="19"/>
        </w:rPr>
        <w:t>.</w:t>
      </w:r>
    </w:p>
    <w:p w14:paraId="7D927788" w14:textId="5251091E" w:rsidR="00543C7E" w:rsidRPr="00662611" w:rsidRDefault="001105CC"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w:t>
      </w:r>
      <w:r w:rsidR="003862D4" w:rsidRPr="00662611">
        <w:rPr>
          <w:sz w:val="19"/>
          <w:szCs w:val="19"/>
        </w:rPr>
        <w:t>he Board considered the constituents’ feedback on ED 261 and additional outreach</w:t>
      </w:r>
      <w:r w:rsidR="00557455" w:rsidRPr="00662611">
        <w:rPr>
          <w:sz w:val="19"/>
          <w:szCs w:val="19"/>
        </w:rPr>
        <w:t>,</w:t>
      </w:r>
      <w:r w:rsidR="003862D4" w:rsidRPr="00662611">
        <w:rPr>
          <w:sz w:val="19"/>
          <w:szCs w:val="19"/>
        </w:rPr>
        <w:t xml:space="preserve"> </w:t>
      </w:r>
      <w:r w:rsidR="00557455" w:rsidRPr="00662611">
        <w:rPr>
          <w:sz w:val="19"/>
          <w:szCs w:val="19"/>
        </w:rPr>
        <w:t xml:space="preserve">in particular </w:t>
      </w:r>
      <w:r w:rsidR="00CC32E0">
        <w:rPr>
          <w:sz w:val="19"/>
          <w:szCs w:val="19"/>
        </w:rPr>
        <w:t xml:space="preserve">some </w:t>
      </w:r>
      <w:r w:rsidR="00557455" w:rsidRPr="00662611">
        <w:rPr>
          <w:sz w:val="19"/>
          <w:szCs w:val="19"/>
        </w:rPr>
        <w:t xml:space="preserve">constituents’ concerns that a for-profit grantor applying this Standard may not be able to </w:t>
      </w:r>
      <w:r w:rsidR="00F55789" w:rsidRPr="00662611">
        <w:rPr>
          <w:sz w:val="19"/>
          <w:szCs w:val="19"/>
        </w:rPr>
        <w:t>state</w:t>
      </w:r>
      <w:r w:rsidR="00557455" w:rsidRPr="00662611">
        <w:rPr>
          <w:sz w:val="19"/>
          <w:szCs w:val="19"/>
        </w:rPr>
        <w:t xml:space="preserve"> that its financial statements comply with International Financial Reporting Standards (IFRS</w:t>
      </w:r>
      <w:r w:rsidR="002D6D0D" w:rsidRPr="00662611">
        <w:rPr>
          <w:sz w:val="19"/>
          <w:szCs w:val="19"/>
        </w:rPr>
        <w:t xml:space="preserve"> Standards</w:t>
      </w:r>
      <w:r w:rsidR="00557455" w:rsidRPr="00662611">
        <w:rPr>
          <w:sz w:val="19"/>
          <w:szCs w:val="19"/>
        </w:rPr>
        <w:t>) issued by the International Ac</w:t>
      </w:r>
      <w:r w:rsidR="002D6D0D" w:rsidRPr="00662611">
        <w:rPr>
          <w:sz w:val="19"/>
          <w:szCs w:val="19"/>
        </w:rPr>
        <w:t>counting Standards Board (IASB)</w:t>
      </w:r>
      <w:r w:rsidR="00557455" w:rsidRPr="00662611">
        <w:rPr>
          <w:sz w:val="19"/>
          <w:szCs w:val="19"/>
        </w:rPr>
        <w:t xml:space="preserve"> (see paragraphs</w:t>
      </w:r>
      <w:r w:rsidR="008E1157" w:rsidRPr="00662611">
        <w:rPr>
          <w:sz w:val="19"/>
          <w:szCs w:val="19"/>
        </w:rPr>
        <w:t xml:space="preserve"> </w:t>
      </w:r>
      <w:r w:rsidR="008E1157" w:rsidRPr="00662611">
        <w:rPr>
          <w:sz w:val="19"/>
          <w:szCs w:val="19"/>
        </w:rPr>
        <w:fldChar w:fldCharType="begin"/>
      </w:r>
      <w:r w:rsidR="008E1157" w:rsidRPr="00662611">
        <w:rPr>
          <w:sz w:val="19"/>
          <w:szCs w:val="19"/>
        </w:rPr>
        <w:instrText xml:space="preserve"> REF _Ref475976110 \r \h </w:instrText>
      </w:r>
      <w:r w:rsidR="008E1157" w:rsidRPr="00662611">
        <w:rPr>
          <w:sz w:val="19"/>
          <w:szCs w:val="19"/>
        </w:rPr>
      </w:r>
      <w:r w:rsidR="008E1157" w:rsidRPr="00662611">
        <w:rPr>
          <w:sz w:val="19"/>
          <w:szCs w:val="19"/>
        </w:rPr>
        <w:fldChar w:fldCharType="separate"/>
      </w:r>
      <w:r w:rsidR="00C43128">
        <w:rPr>
          <w:sz w:val="19"/>
          <w:szCs w:val="19"/>
        </w:rPr>
        <w:t>BC124</w:t>
      </w:r>
      <w:r w:rsidR="008E1157" w:rsidRPr="00662611">
        <w:rPr>
          <w:sz w:val="19"/>
          <w:szCs w:val="19"/>
        </w:rPr>
        <w:fldChar w:fldCharType="end"/>
      </w:r>
      <w:r w:rsidR="008E1157" w:rsidRPr="00662611">
        <w:rPr>
          <w:sz w:val="19"/>
          <w:szCs w:val="19"/>
        </w:rPr>
        <w:t>–</w:t>
      </w:r>
      <w:r w:rsidR="001F6686" w:rsidRPr="00662611">
        <w:rPr>
          <w:sz w:val="19"/>
          <w:szCs w:val="19"/>
        </w:rPr>
        <w:fldChar w:fldCharType="begin"/>
      </w:r>
      <w:r w:rsidR="001F6686" w:rsidRPr="00662611">
        <w:rPr>
          <w:sz w:val="19"/>
          <w:szCs w:val="19"/>
        </w:rPr>
        <w:instrText xml:space="preserve"> REF _Ref484771331 \r \h </w:instrText>
      </w:r>
      <w:r w:rsidR="001F6686" w:rsidRPr="00662611">
        <w:rPr>
          <w:sz w:val="19"/>
          <w:szCs w:val="19"/>
        </w:rPr>
      </w:r>
      <w:r w:rsidR="001F6686" w:rsidRPr="00662611">
        <w:rPr>
          <w:sz w:val="19"/>
          <w:szCs w:val="19"/>
        </w:rPr>
        <w:fldChar w:fldCharType="separate"/>
      </w:r>
      <w:r w:rsidR="00C43128">
        <w:rPr>
          <w:sz w:val="19"/>
          <w:szCs w:val="19"/>
        </w:rPr>
        <w:t>BC127</w:t>
      </w:r>
      <w:r w:rsidR="001F6686" w:rsidRPr="00662611">
        <w:rPr>
          <w:sz w:val="19"/>
          <w:szCs w:val="19"/>
        </w:rPr>
        <w:fldChar w:fldCharType="end"/>
      </w:r>
      <w:r w:rsidR="00FE0596">
        <w:rPr>
          <w:sz w:val="19"/>
          <w:szCs w:val="19"/>
        </w:rPr>
        <w:t xml:space="preserve"> for a comparison with IFRS Standards</w:t>
      </w:r>
      <w:r w:rsidR="008E1157" w:rsidRPr="00662611">
        <w:rPr>
          <w:sz w:val="19"/>
          <w:szCs w:val="19"/>
        </w:rPr>
        <w:t>)</w:t>
      </w:r>
      <w:r w:rsidR="00557455" w:rsidRPr="00662611">
        <w:rPr>
          <w:sz w:val="19"/>
          <w:szCs w:val="19"/>
        </w:rPr>
        <w:t xml:space="preserve">. The Board also noted the constituents’ feedback that </w:t>
      </w:r>
      <w:r w:rsidR="00BF3022" w:rsidRPr="00662611">
        <w:rPr>
          <w:sz w:val="19"/>
          <w:szCs w:val="19"/>
        </w:rPr>
        <w:t>although</w:t>
      </w:r>
      <w:r w:rsidR="00557455" w:rsidRPr="00662611">
        <w:rPr>
          <w:sz w:val="19"/>
          <w:szCs w:val="19"/>
        </w:rPr>
        <w:t xml:space="preserve"> they prefer a for-profit entity to </w:t>
      </w:r>
      <w:r w:rsidR="00324ECE" w:rsidRPr="00662611">
        <w:rPr>
          <w:sz w:val="19"/>
          <w:szCs w:val="19"/>
        </w:rPr>
        <w:t xml:space="preserve">be able to </w:t>
      </w:r>
      <w:r w:rsidR="00557455" w:rsidRPr="00662611">
        <w:rPr>
          <w:sz w:val="19"/>
          <w:szCs w:val="19"/>
        </w:rPr>
        <w:t xml:space="preserve">state compliance with IFRS </w:t>
      </w:r>
      <w:r w:rsidR="002D6D0D" w:rsidRPr="00662611">
        <w:rPr>
          <w:sz w:val="19"/>
          <w:szCs w:val="19"/>
        </w:rPr>
        <w:t xml:space="preserve">Standards when applying </w:t>
      </w:r>
      <w:r w:rsidR="00557455" w:rsidRPr="00662611">
        <w:rPr>
          <w:sz w:val="19"/>
          <w:szCs w:val="19"/>
        </w:rPr>
        <w:t xml:space="preserve">this Standard, </w:t>
      </w:r>
      <w:r w:rsidR="00252360" w:rsidRPr="00662611">
        <w:rPr>
          <w:sz w:val="19"/>
          <w:szCs w:val="19"/>
        </w:rPr>
        <w:t xml:space="preserve">transaction neutrality </w:t>
      </w:r>
      <w:r w:rsidR="00396ADC" w:rsidRPr="00662611">
        <w:rPr>
          <w:sz w:val="19"/>
          <w:szCs w:val="19"/>
        </w:rPr>
        <w:t xml:space="preserve">across </w:t>
      </w:r>
      <w:r w:rsidR="00252360" w:rsidRPr="00662611">
        <w:rPr>
          <w:sz w:val="19"/>
          <w:szCs w:val="19"/>
        </w:rPr>
        <w:t>the entire public secto</w:t>
      </w:r>
      <w:r w:rsidR="00396ADC" w:rsidRPr="00662611">
        <w:rPr>
          <w:sz w:val="19"/>
          <w:szCs w:val="19"/>
        </w:rPr>
        <w:t>r is more important</w:t>
      </w:r>
      <w:r w:rsidR="008F2060">
        <w:rPr>
          <w:sz w:val="19"/>
          <w:szCs w:val="19"/>
        </w:rPr>
        <w:t xml:space="preserve"> in this instance</w:t>
      </w:r>
      <w:r w:rsidR="00557455" w:rsidRPr="00662611">
        <w:rPr>
          <w:sz w:val="19"/>
          <w:szCs w:val="19"/>
        </w:rPr>
        <w:t>.</w:t>
      </w:r>
      <w:r w:rsidR="000C272F" w:rsidRPr="00662611">
        <w:rPr>
          <w:sz w:val="19"/>
          <w:szCs w:val="19"/>
        </w:rPr>
        <w:t xml:space="preserve"> The Board therefore reaffirmed its view </w:t>
      </w:r>
      <w:r w:rsidR="003862D4" w:rsidRPr="00662611">
        <w:rPr>
          <w:sz w:val="19"/>
          <w:szCs w:val="19"/>
        </w:rPr>
        <w:t>that the Standard should apply to all public sector entities</w:t>
      </w:r>
      <w:r w:rsidR="00EC7E34" w:rsidRPr="00662611">
        <w:rPr>
          <w:sz w:val="19"/>
          <w:szCs w:val="19"/>
        </w:rPr>
        <w:t>, whether for-profit or not-for-profit</w:t>
      </w:r>
      <w:r w:rsidR="003862D4" w:rsidRPr="00662611">
        <w:rPr>
          <w:sz w:val="19"/>
          <w:szCs w:val="19"/>
        </w:rPr>
        <w:t xml:space="preserve">. </w:t>
      </w:r>
      <w:r w:rsidR="00FE0596">
        <w:rPr>
          <w:sz w:val="19"/>
          <w:szCs w:val="19"/>
        </w:rPr>
        <w:t>The Board concluded that this was an appropriate</w:t>
      </w:r>
      <w:r w:rsidR="00F70124">
        <w:rPr>
          <w:sz w:val="19"/>
          <w:szCs w:val="19"/>
        </w:rPr>
        <w:t>, limited</w:t>
      </w:r>
      <w:r w:rsidR="00FE0596">
        <w:rPr>
          <w:sz w:val="19"/>
          <w:szCs w:val="19"/>
        </w:rPr>
        <w:t xml:space="preserve"> exception to its general policy that compliance with Australian Accounting Standards by for-profit entities would result in compliance with IFRS Standards. </w:t>
      </w:r>
      <w:r w:rsidR="003862D4" w:rsidRPr="00662611">
        <w:rPr>
          <w:sz w:val="19"/>
          <w:szCs w:val="19"/>
        </w:rPr>
        <w:t xml:space="preserve">The Board noted this approach would reduce or eliminate </w:t>
      </w:r>
      <w:r w:rsidR="00FE0596">
        <w:rPr>
          <w:sz w:val="19"/>
          <w:szCs w:val="19"/>
        </w:rPr>
        <w:t>any</w:t>
      </w:r>
      <w:r w:rsidR="00FE0596" w:rsidRPr="00662611">
        <w:rPr>
          <w:sz w:val="19"/>
          <w:szCs w:val="19"/>
        </w:rPr>
        <w:t xml:space="preserve"> </w:t>
      </w:r>
      <w:r w:rsidR="003862D4" w:rsidRPr="00662611">
        <w:rPr>
          <w:sz w:val="19"/>
          <w:szCs w:val="19"/>
        </w:rPr>
        <w:t xml:space="preserve">incentive for structuring service concession arrangements </w:t>
      </w:r>
      <w:r w:rsidR="00071EBE" w:rsidRPr="00662611">
        <w:rPr>
          <w:sz w:val="19"/>
          <w:szCs w:val="19"/>
        </w:rPr>
        <w:t xml:space="preserve">through </w:t>
      </w:r>
      <w:r w:rsidR="003862D4" w:rsidRPr="00662611">
        <w:rPr>
          <w:sz w:val="19"/>
          <w:szCs w:val="19"/>
        </w:rPr>
        <w:t xml:space="preserve">for-profit </w:t>
      </w:r>
      <w:r w:rsidR="007419D7" w:rsidRPr="00662611">
        <w:rPr>
          <w:sz w:val="19"/>
          <w:szCs w:val="19"/>
        </w:rPr>
        <w:t xml:space="preserve">public </w:t>
      </w:r>
      <w:r w:rsidR="003862D4" w:rsidRPr="00662611">
        <w:rPr>
          <w:sz w:val="19"/>
          <w:szCs w:val="19"/>
        </w:rPr>
        <w:t xml:space="preserve">sector grantors. </w:t>
      </w:r>
    </w:p>
    <w:p w14:paraId="7D927789" w14:textId="77777777" w:rsidR="00766FE4" w:rsidRPr="00662611" w:rsidRDefault="00766FE4" w:rsidP="00F352A4">
      <w:pPr>
        <w:pStyle w:val="IASBSectionTitle1NonInd"/>
        <w:outlineLvl w:val="1"/>
      </w:pPr>
      <w:r w:rsidRPr="00662611">
        <w:t>Terminology</w:t>
      </w:r>
    </w:p>
    <w:p w14:paraId="7D92778A" w14:textId="7489D7AE"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IPSAS 32 is expressed in jurisdiction-neutral language. The Board considered that some of the terminology in IPSAS 32 does not readily translate to the Australian environment and decided that </w:t>
      </w:r>
      <w:r w:rsidR="00AF2B5B">
        <w:rPr>
          <w:sz w:val="19"/>
          <w:szCs w:val="19"/>
        </w:rPr>
        <w:t xml:space="preserve">different </w:t>
      </w:r>
      <w:r w:rsidRPr="00662611">
        <w:rPr>
          <w:sz w:val="19"/>
          <w:szCs w:val="19"/>
        </w:rPr>
        <w:t xml:space="preserve">terms and phrases would be </w:t>
      </w:r>
      <w:r w:rsidR="00AF2B5B">
        <w:rPr>
          <w:sz w:val="19"/>
          <w:szCs w:val="19"/>
        </w:rPr>
        <w:t xml:space="preserve">appropriate </w:t>
      </w:r>
      <w:r w:rsidRPr="00662611">
        <w:rPr>
          <w:sz w:val="19"/>
          <w:szCs w:val="19"/>
        </w:rPr>
        <w:t>for entities applying Australian Accounting Standards. For example, consistent with the terminology used in other Austra</w:t>
      </w:r>
      <w:r w:rsidR="00E72943" w:rsidRPr="00662611">
        <w:rPr>
          <w:sz w:val="19"/>
          <w:szCs w:val="19"/>
        </w:rPr>
        <w:t xml:space="preserve">lian Accounting Standards, the </w:t>
      </w:r>
      <w:r w:rsidRPr="00662611">
        <w:rPr>
          <w:sz w:val="19"/>
          <w:szCs w:val="19"/>
        </w:rPr>
        <w:t>Standard adopts the term ‘contract’ rather than the term ‘binding arrangement’</w:t>
      </w:r>
      <w:r w:rsidR="003B42A8" w:rsidRPr="00662611">
        <w:rPr>
          <w:sz w:val="19"/>
          <w:szCs w:val="19"/>
        </w:rPr>
        <w:t xml:space="preserve">, </w:t>
      </w:r>
      <w:r w:rsidR="00511E95" w:rsidRPr="00662611">
        <w:rPr>
          <w:sz w:val="19"/>
          <w:szCs w:val="19"/>
        </w:rPr>
        <w:t xml:space="preserve">and the Standard </w:t>
      </w:r>
      <w:r w:rsidR="00D71409" w:rsidRPr="00662611">
        <w:rPr>
          <w:sz w:val="19"/>
          <w:szCs w:val="19"/>
        </w:rPr>
        <w:t xml:space="preserve">refers to </w:t>
      </w:r>
      <w:r w:rsidR="00AF2B5B">
        <w:rPr>
          <w:sz w:val="19"/>
          <w:szCs w:val="19"/>
        </w:rPr>
        <w:t xml:space="preserve">operator </w:t>
      </w:r>
      <w:r w:rsidR="00D71409" w:rsidRPr="00662611">
        <w:rPr>
          <w:sz w:val="19"/>
          <w:szCs w:val="19"/>
        </w:rPr>
        <w:t>‘</w:t>
      </w:r>
      <w:r w:rsidR="003B42A8" w:rsidRPr="00662611">
        <w:rPr>
          <w:sz w:val="19"/>
          <w:szCs w:val="19"/>
        </w:rPr>
        <w:t xml:space="preserve">access’ rather than ‘use’ </w:t>
      </w:r>
      <w:r w:rsidR="00412298">
        <w:rPr>
          <w:sz w:val="19"/>
          <w:szCs w:val="19"/>
        </w:rPr>
        <w:t xml:space="preserve">as </w:t>
      </w:r>
      <w:r w:rsidR="003B42A8" w:rsidRPr="00662611">
        <w:rPr>
          <w:sz w:val="19"/>
          <w:szCs w:val="19"/>
        </w:rPr>
        <w:t>in the definition</w:t>
      </w:r>
      <w:r w:rsidR="00611DE1" w:rsidRPr="00662611">
        <w:rPr>
          <w:sz w:val="19"/>
          <w:szCs w:val="19"/>
        </w:rPr>
        <w:t>s</w:t>
      </w:r>
      <w:r w:rsidR="003B42A8" w:rsidRPr="00662611">
        <w:rPr>
          <w:sz w:val="19"/>
          <w:szCs w:val="19"/>
        </w:rPr>
        <w:t xml:space="preserve"> of a ‘grantor’ and </w:t>
      </w:r>
      <w:r w:rsidR="00611DE1" w:rsidRPr="00662611">
        <w:rPr>
          <w:sz w:val="19"/>
          <w:szCs w:val="19"/>
        </w:rPr>
        <w:t xml:space="preserve">an </w:t>
      </w:r>
      <w:r w:rsidR="003B42A8" w:rsidRPr="00662611">
        <w:rPr>
          <w:sz w:val="19"/>
          <w:szCs w:val="19"/>
        </w:rPr>
        <w:t>‘operator’</w:t>
      </w:r>
      <w:r w:rsidRPr="00662611">
        <w:rPr>
          <w:sz w:val="19"/>
          <w:szCs w:val="19"/>
        </w:rPr>
        <w:t xml:space="preserve"> in IPSAS 32.</w:t>
      </w:r>
    </w:p>
    <w:p w14:paraId="7D92778B" w14:textId="67242A24" w:rsidR="008B6089" w:rsidRPr="00662611" w:rsidRDefault="008B6089"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ED 261 proposed </w:t>
      </w:r>
      <w:r w:rsidR="00611DE1" w:rsidRPr="00662611">
        <w:rPr>
          <w:sz w:val="19"/>
          <w:szCs w:val="19"/>
        </w:rPr>
        <w:t>defining</w:t>
      </w:r>
      <w:r w:rsidRPr="00662611">
        <w:rPr>
          <w:sz w:val="19"/>
          <w:szCs w:val="19"/>
        </w:rPr>
        <w:t xml:space="preserve"> the term ‘public service’ as “A service that is provided by government or one of its controlled entities, as part of the usual government function, to the community, either directly (through the public sector) or by financing the provision of services”. Constituents in their feedback on ED 261</w:t>
      </w:r>
      <w:r w:rsidR="007745C2" w:rsidRPr="00662611">
        <w:rPr>
          <w:sz w:val="19"/>
          <w:szCs w:val="19"/>
        </w:rPr>
        <w:t xml:space="preserve"> stated</w:t>
      </w:r>
      <w:r w:rsidRPr="00662611">
        <w:rPr>
          <w:sz w:val="19"/>
          <w:szCs w:val="19"/>
        </w:rPr>
        <w:t xml:space="preserve"> that </w:t>
      </w:r>
      <w:r w:rsidR="007745C2" w:rsidRPr="00662611">
        <w:rPr>
          <w:sz w:val="19"/>
          <w:szCs w:val="19"/>
        </w:rPr>
        <w:t>although</w:t>
      </w:r>
      <w:r w:rsidRPr="00662611">
        <w:rPr>
          <w:sz w:val="19"/>
          <w:szCs w:val="19"/>
        </w:rPr>
        <w:t xml:space="preserve"> they support</w:t>
      </w:r>
      <w:r w:rsidR="00921496" w:rsidRPr="00662611">
        <w:rPr>
          <w:sz w:val="19"/>
          <w:szCs w:val="19"/>
        </w:rPr>
        <w:t>ed</w:t>
      </w:r>
      <w:r w:rsidRPr="00662611">
        <w:rPr>
          <w:sz w:val="19"/>
          <w:szCs w:val="19"/>
        </w:rPr>
        <w:t xml:space="preserve"> the inclusion of a ‘public service’ definition, the proposed definition </w:t>
      </w:r>
      <w:r w:rsidR="00C949E0" w:rsidRPr="00662611">
        <w:rPr>
          <w:sz w:val="19"/>
          <w:szCs w:val="19"/>
        </w:rPr>
        <w:t xml:space="preserve">was </w:t>
      </w:r>
      <w:r w:rsidRPr="00662611">
        <w:rPr>
          <w:sz w:val="19"/>
          <w:szCs w:val="19"/>
        </w:rPr>
        <w:lastRenderedPageBreak/>
        <w:t xml:space="preserve">unclear. </w:t>
      </w:r>
      <w:r w:rsidR="007E4780">
        <w:rPr>
          <w:sz w:val="19"/>
          <w:szCs w:val="19"/>
        </w:rPr>
        <w:t>T</w:t>
      </w:r>
      <w:r w:rsidR="007745C2" w:rsidRPr="00662611">
        <w:rPr>
          <w:sz w:val="19"/>
          <w:szCs w:val="19"/>
        </w:rPr>
        <w:t xml:space="preserve">he Board </w:t>
      </w:r>
      <w:r w:rsidR="00C949E0" w:rsidRPr="00662611">
        <w:rPr>
          <w:sz w:val="19"/>
          <w:szCs w:val="19"/>
        </w:rPr>
        <w:t>concluded that any definition of ‘public service’ would result in similar interpretative issue</w:t>
      </w:r>
      <w:r w:rsidR="00AD0038" w:rsidRPr="00662611">
        <w:rPr>
          <w:sz w:val="19"/>
          <w:szCs w:val="19"/>
        </w:rPr>
        <w:t>s</w:t>
      </w:r>
      <w:r w:rsidR="00C949E0" w:rsidRPr="00662611">
        <w:rPr>
          <w:sz w:val="19"/>
          <w:szCs w:val="19"/>
        </w:rPr>
        <w:t xml:space="preserve"> as those raised by constituents in relation to the definition proposed in ED 261. The Board therefore decided, instead of providing a definition, the Standard should include guidance on ‘public service’ for assessing whether an arrangement is within the scope of the Standard. The Board also noted this approach is consistent with IPSAS 32 and AASB Interpretation</w:t>
      </w:r>
      <w:r w:rsidR="00AD0038" w:rsidRPr="00662611">
        <w:rPr>
          <w:sz w:val="19"/>
          <w:szCs w:val="19"/>
        </w:rPr>
        <w:t> </w:t>
      </w:r>
      <w:r w:rsidR="00C949E0" w:rsidRPr="00662611">
        <w:rPr>
          <w:sz w:val="19"/>
          <w:szCs w:val="19"/>
        </w:rPr>
        <w:t>12</w:t>
      </w:r>
      <w:r w:rsidR="00921496" w:rsidRPr="00662611">
        <w:rPr>
          <w:sz w:val="19"/>
          <w:szCs w:val="19"/>
        </w:rPr>
        <w:t>,</w:t>
      </w:r>
      <w:r w:rsidR="00C949E0" w:rsidRPr="00662611">
        <w:rPr>
          <w:sz w:val="19"/>
          <w:szCs w:val="19"/>
        </w:rPr>
        <w:t xml:space="preserve"> which do not contain a definition of ‘public service’.</w:t>
      </w:r>
      <w:r w:rsidR="00613C74" w:rsidRPr="00662611">
        <w:rPr>
          <w:sz w:val="19"/>
          <w:szCs w:val="19"/>
        </w:rPr>
        <w:t xml:space="preserve"> The Board </w:t>
      </w:r>
      <w:r w:rsidR="001A6589" w:rsidRPr="00662611">
        <w:rPr>
          <w:sz w:val="19"/>
          <w:szCs w:val="19"/>
        </w:rPr>
        <w:t xml:space="preserve">decided </w:t>
      </w:r>
      <w:r w:rsidR="00613C74" w:rsidRPr="00662611">
        <w:rPr>
          <w:sz w:val="19"/>
          <w:szCs w:val="19"/>
        </w:rPr>
        <w:t>that the</w:t>
      </w:r>
      <w:r w:rsidR="007745C2" w:rsidRPr="00662611">
        <w:rPr>
          <w:sz w:val="19"/>
          <w:szCs w:val="19"/>
        </w:rPr>
        <w:t xml:space="preserve"> guidance should be in the form of examples and features to be considered, such as:</w:t>
      </w:r>
    </w:p>
    <w:p w14:paraId="7D92778C" w14:textId="77777777" w:rsidR="00B972D8" w:rsidRPr="00662611" w:rsidRDefault="00B972D8" w:rsidP="00942FDB">
      <w:pPr>
        <w:pStyle w:val="IE2"/>
        <w:numPr>
          <w:ilvl w:val="1"/>
          <w:numId w:val="18"/>
        </w:numPr>
        <w:tabs>
          <w:tab w:val="clear" w:pos="1247"/>
        </w:tabs>
        <w:spacing w:after="100" w:line="240" w:lineRule="auto"/>
        <w:ind w:left="1564" w:hanging="782"/>
        <w:jc w:val="both"/>
        <w:rPr>
          <w:sz w:val="19"/>
          <w:szCs w:val="19"/>
        </w:rPr>
      </w:pPr>
      <w:r w:rsidRPr="00662611">
        <w:rPr>
          <w:sz w:val="19"/>
          <w:szCs w:val="19"/>
        </w:rPr>
        <w:t>an operator must be responsible for at least some of the management of the service concession asset and related services, and not act merely as an agent of the grantor; and</w:t>
      </w:r>
    </w:p>
    <w:p w14:paraId="7D92778D" w14:textId="77777777" w:rsidR="00B972D8" w:rsidRPr="00662611" w:rsidRDefault="00B972D8"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services</w:t>
      </w:r>
      <w:proofErr w:type="gramEnd"/>
      <w:r w:rsidRPr="00662611">
        <w:rPr>
          <w:sz w:val="19"/>
          <w:szCs w:val="19"/>
        </w:rPr>
        <w:t xml:space="preserve"> that are insignificant to the arrangement as a whole may be ancillary services.</w:t>
      </w:r>
    </w:p>
    <w:p w14:paraId="7D92778E" w14:textId="7171918C" w:rsidR="00B972D8" w:rsidRPr="00662611" w:rsidRDefault="00B972D8" w:rsidP="00942FDB">
      <w:pPr>
        <w:pStyle w:val="IE1"/>
        <w:numPr>
          <w:ilvl w:val="0"/>
          <w:numId w:val="18"/>
        </w:numPr>
        <w:spacing w:after="100" w:line="240" w:lineRule="auto"/>
        <w:jc w:val="both"/>
        <w:rPr>
          <w:sz w:val="19"/>
          <w:szCs w:val="19"/>
        </w:rPr>
      </w:pPr>
      <w:r w:rsidRPr="00662611">
        <w:rPr>
          <w:sz w:val="19"/>
          <w:szCs w:val="19"/>
        </w:rPr>
        <w:t xml:space="preserve">The Board </w:t>
      </w:r>
      <w:r w:rsidR="00613C74" w:rsidRPr="00662611">
        <w:rPr>
          <w:sz w:val="19"/>
          <w:szCs w:val="19"/>
        </w:rPr>
        <w:t xml:space="preserve">also decided to amend </w:t>
      </w:r>
      <w:r w:rsidRPr="00662611">
        <w:rPr>
          <w:sz w:val="19"/>
          <w:szCs w:val="19"/>
        </w:rPr>
        <w:t xml:space="preserve">the ‘service concession asset’ definition </w:t>
      </w:r>
      <w:r w:rsidR="00E035F0" w:rsidRPr="00662611">
        <w:rPr>
          <w:sz w:val="19"/>
          <w:szCs w:val="19"/>
        </w:rPr>
        <w:t>(as proposed in ED </w:t>
      </w:r>
      <w:r w:rsidR="009643D8" w:rsidRPr="00662611">
        <w:rPr>
          <w:sz w:val="19"/>
          <w:szCs w:val="19"/>
        </w:rPr>
        <w:t xml:space="preserve">261) </w:t>
      </w:r>
      <w:r w:rsidR="00E035F0" w:rsidRPr="00662611">
        <w:rPr>
          <w:sz w:val="19"/>
          <w:szCs w:val="19"/>
        </w:rPr>
        <w:t xml:space="preserve">so that it refers to an asset </w:t>
      </w:r>
      <w:r w:rsidR="008A3760">
        <w:rPr>
          <w:sz w:val="19"/>
          <w:szCs w:val="19"/>
        </w:rPr>
        <w:t>accessed</w:t>
      </w:r>
      <w:r w:rsidR="008A3760" w:rsidRPr="00662611">
        <w:rPr>
          <w:sz w:val="19"/>
          <w:szCs w:val="19"/>
        </w:rPr>
        <w:t xml:space="preserve"> </w:t>
      </w:r>
      <w:r w:rsidR="00E035F0" w:rsidRPr="00662611">
        <w:rPr>
          <w:sz w:val="19"/>
          <w:szCs w:val="19"/>
        </w:rPr>
        <w:t xml:space="preserve">by the operator to provide public services on behalf of the grantor, </w:t>
      </w:r>
      <w:r w:rsidRPr="00662611">
        <w:rPr>
          <w:sz w:val="19"/>
          <w:szCs w:val="19"/>
        </w:rPr>
        <w:t>for consistency with the public service guidance.</w:t>
      </w:r>
    </w:p>
    <w:p w14:paraId="7D92778F" w14:textId="77777777" w:rsidR="00766FE4" w:rsidRPr="00662611" w:rsidRDefault="0029567F" w:rsidP="00F352A4">
      <w:pPr>
        <w:pStyle w:val="IASBSectionTitle1NonInd"/>
        <w:outlineLvl w:val="1"/>
      </w:pPr>
      <w:r w:rsidRPr="00662611">
        <w:t>Recognition of service concession assets</w:t>
      </w:r>
    </w:p>
    <w:p w14:paraId="7D927790" w14:textId="32DA1EED" w:rsidR="003862D4" w:rsidRPr="00662611" w:rsidRDefault="005B13A4" w:rsidP="00F352A4">
      <w:pPr>
        <w:pStyle w:val="IASBSectionTitle2Ind"/>
        <w:outlineLvl w:val="2"/>
      </w:pPr>
      <w:r w:rsidRPr="00662611">
        <w:t>Control</w:t>
      </w:r>
    </w:p>
    <w:p w14:paraId="7D927791"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considered a number of alternative approaches in developing the proposed guidance for assessing whether a grantor controls the service concession asset, including:</w:t>
      </w:r>
    </w:p>
    <w:p w14:paraId="7D927792" w14:textId="77777777" w:rsidR="003862D4" w:rsidRPr="00662611" w:rsidRDefault="003862D4" w:rsidP="002704B7">
      <w:pPr>
        <w:pStyle w:val="IASBNormalnparaL1"/>
        <w:numPr>
          <w:ilvl w:val="0"/>
          <w:numId w:val="19"/>
        </w:numPr>
        <w:spacing w:before="0" w:after="100"/>
        <w:ind w:left="1564" w:hanging="782"/>
      </w:pPr>
      <w:r w:rsidRPr="00662611">
        <w:t xml:space="preserve">the risks and rewards approach; </w:t>
      </w:r>
    </w:p>
    <w:p w14:paraId="7D927793" w14:textId="77777777" w:rsidR="003862D4" w:rsidRPr="00662611" w:rsidRDefault="003862D4" w:rsidP="002704B7">
      <w:pPr>
        <w:pStyle w:val="IASBNormalnparaL1"/>
        <w:numPr>
          <w:ilvl w:val="0"/>
          <w:numId w:val="19"/>
        </w:numPr>
        <w:spacing w:before="0" w:after="100"/>
        <w:ind w:left="1564" w:hanging="782"/>
      </w:pPr>
      <w:r w:rsidRPr="00662611">
        <w:t xml:space="preserve">the rights and obligations approach; </w:t>
      </w:r>
    </w:p>
    <w:p w14:paraId="7D927794" w14:textId="77777777" w:rsidR="003862D4" w:rsidRPr="00662611" w:rsidRDefault="003862D4" w:rsidP="002704B7">
      <w:pPr>
        <w:pStyle w:val="IASBNormalnparaL1"/>
        <w:numPr>
          <w:ilvl w:val="0"/>
          <w:numId w:val="19"/>
        </w:numPr>
        <w:spacing w:before="0" w:after="100"/>
        <w:ind w:left="1564" w:hanging="782"/>
      </w:pPr>
      <w:r w:rsidRPr="00662611">
        <w:t xml:space="preserve">the control or regulation approach (the IPSAS 32 concept of control); and </w:t>
      </w:r>
    </w:p>
    <w:p w14:paraId="7D927795" w14:textId="77777777" w:rsidR="003862D4" w:rsidRPr="00662611" w:rsidRDefault="003862D4" w:rsidP="002704B7">
      <w:pPr>
        <w:pStyle w:val="IASBNormalnparaL1"/>
        <w:numPr>
          <w:ilvl w:val="0"/>
          <w:numId w:val="19"/>
        </w:numPr>
        <w:spacing w:before="0" w:after="100"/>
        <w:ind w:left="1564" w:hanging="782"/>
      </w:pPr>
      <w:proofErr w:type="gramStart"/>
      <w:r w:rsidRPr="00662611">
        <w:t>an</w:t>
      </w:r>
      <w:proofErr w:type="gramEnd"/>
      <w:r w:rsidRPr="00662611">
        <w:t xml:space="preserve"> approach analogous to the principles of control specified in AASB 10 </w:t>
      </w:r>
      <w:r w:rsidRPr="00662611">
        <w:rPr>
          <w:i/>
        </w:rPr>
        <w:t>Consolidated Financial Statements</w:t>
      </w:r>
      <w:r w:rsidRPr="00662611">
        <w:t>.</w:t>
      </w:r>
    </w:p>
    <w:p w14:paraId="7D927796"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decided to adopt the IPSAS 32 concept of control (</w:t>
      </w:r>
      <w:r w:rsidR="003E7C2B" w:rsidRPr="00662611">
        <w:rPr>
          <w:sz w:val="19"/>
          <w:szCs w:val="19"/>
        </w:rPr>
        <w:t xml:space="preserve">the </w:t>
      </w:r>
      <w:r w:rsidRPr="00662611">
        <w:rPr>
          <w:sz w:val="19"/>
          <w:szCs w:val="19"/>
        </w:rPr>
        <w:t>control or regulation approach) for the following reasons.</w:t>
      </w:r>
    </w:p>
    <w:p w14:paraId="7D927797" w14:textId="2CE9AC56"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In considering the merits of the risks and rewards and the control-based approach to assess whether the grantor should recognise the asset, the Board noted that the risks and rewards approach focuses on the economic aspects of the terms and conditions in the arrangement. The Board did not consider this focus to be appropriate for service concession arrangements in the Australian public sector. This is because the primary purpose of a service concession asset, from the grantor’s point of view, is to provide specified public services on behalf of the grantor and not to provide economic benefits such as revenue generated by such assets (eg from user fees). A control-based approach focuses on control over the service potential of the service concession asset.</w:t>
      </w:r>
    </w:p>
    <w:p w14:paraId="7D927798"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Service concession arrangements are often entered into to share the risks between the grantor and the operator. The Board questioned whether objective criteria </w:t>
      </w:r>
      <w:r w:rsidR="00F94353" w:rsidRPr="00662611">
        <w:rPr>
          <w:sz w:val="19"/>
          <w:szCs w:val="19"/>
        </w:rPr>
        <w:t xml:space="preserve">could </w:t>
      </w:r>
      <w:r w:rsidRPr="00662611">
        <w:rPr>
          <w:sz w:val="19"/>
          <w:szCs w:val="19"/>
        </w:rPr>
        <w:t xml:space="preserve">be established </w:t>
      </w:r>
      <w:r w:rsidR="00F94353" w:rsidRPr="00662611">
        <w:rPr>
          <w:sz w:val="19"/>
          <w:szCs w:val="19"/>
        </w:rPr>
        <w:t>as the basis for consistent assessments of the</w:t>
      </w:r>
      <w:r w:rsidRPr="00662611">
        <w:rPr>
          <w:sz w:val="19"/>
          <w:szCs w:val="19"/>
        </w:rPr>
        <w:t xml:space="preserve"> risks and rewards. In addition, </w:t>
      </w:r>
      <w:r w:rsidR="003E7C2B" w:rsidRPr="00662611">
        <w:rPr>
          <w:sz w:val="19"/>
          <w:szCs w:val="19"/>
        </w:rPr>
        <w:t xml:space="preserve">the </w:t>
      </w:r>
      <w:r w:rsidRPr="00662611">
        <w:rPr>
          <w:sz w:val="19"/>
          <w:szCs w:val="19"/>
        </w:rPr>
        <w:t>weighting of various risks and rewards was seen to be problematic.</w:t>
      </w:r>
      <w:r w:rsidR="00587189" w:rsidRPr="00662611">
        <w:rPr>
          <w:sz w:val="19"/>
          <w:szCs w:val="19"/>
        </w:rPr>
        <w:t xml:space="preserve"> The Board also noted the </w:t>
      </w:r>
      <w:r w:rsidR="003E7C2B" w:rsidRPr="00662611">
        <w:rPr>
          <w:sz w:val="19"/>
          <w:szCs w:val="19"/>
        </w:rPr>
        <w:t>IASB</w:t>
      </w:r>
      <w:r w:rsidR="00587189" w:rsidRPr="00662611">
        <w:rPr>
          <w:sz w:val="19"/>
          <w:szCs w:val="19"/>
        </w:rPr>
        <w:t xml:space="preserve"> has progressively been moving away from the risks and rewards approach to focus on the concept of control when determining what assets should be recognised (eg AASB 10 and AASB 16</w:t>
      </w:r>
      <w:r w:rsidR="00FB5885" w:rsidRPr="00662611">
        <w:rPr>
          <w:sz w:val="19"/>
          <w:szCs w:val="19"/>
        </w:rPr>
        <w:t xml:space="preserve"> </w:t>
      </w:r>
      <w:r w:rsidR="00587189" w:rsidRPr="00662611">
        <w:rPr>
          <w:sz w:val="19"/>
          <w:szCs w:val="19"/>
        </w:rPr>
        <w:t>have a primary focus on control</w:t>
      </w:r>
      <w:r w:rsidR="003E7C2B" w:rsidRPr="00662611">
        <w:rPr>
          <w:sz w:val="19"/>
          <w:szCs w:val="19"/>
        </w:rPr>
        <w:t>,</w:t>
      </w:r>
      <w:r w:rsidR="00587189" w:rsidRPr="00662611">
        <w:rPr>
          <w:sz w:val="19"/>
          <w:szCs w:val="19"/>
        </w:rPr>
        <w:t xml:space="preserve"> with risks and rewards a secondary consideration)</w:t>
      </w:r>
      <w:r w:rsidR="003E7C2B" w:rsidRPr="00662611">
        <w:rPr>
          <w:sz w:val="19"/>
          <w:szCs w:val="19"/>
        </w:rPr>
        <w:t>.</w:t>
      </w:r>
      <w:r w:rsidR="00587189" w:rsidRPr="00662611">
        <w:rPr>
          <w:sz w:val="19"/>
          <w:szCs w:val="19"/>
        </w:rPr>
        <w:t xml:space="preserve"> The Board also considered its transaction neutrality approach and noted the risks and rewards approach would be inconsistent with the principles in AASB Interpretation 12. </w:t>
      </w:r>
      <w:r w:rsidRPr="00662611">
        <w:rPr>
          <w:sz w:val="19"/>
          <w:szCs w:val="19"/>
        </w:rPr>
        <w:t xml:space="preserve">The Board concluded that the risks and rewards approach was not appropriate for an Australian </w:t>
      </w:r>
      <w:r w:rsidR="00EF625B" w:rsidRPr="00662611">
        <w:rPr>
          <w:sz w:val="19"/>
          <w:szCs w:val="19"/>
        </w:rPr>
        <w:t xml:space="preserve">Accounting </w:t>
      </w:r>
      <w:r w:rsidRPr="00662611">
        <w:rPr>
          <w:sz w:val="19"/>
          <w:szCs w:val="19"/>
        </w:rPr>
        <w:t>Standard addressing grantor accounting for service concession arrangements.</w:t>
      </w:r>
    </w:p>
    <w:p w14:paraId="7D927799"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In considering the rights and obligations approach, the Board noted that </w:t>
      </w:r>
      <w:r w:rsidR="00D93CFE" w:rsidRPr="00662611">
        <w:rPr>
          <w:sz w:val="19"/>
          <w:szCs w:val="19"/>
        </w:rPr>
        <w:t xml:space="preserve">although </w:t>
      </w:r>
      <w:r w:rsidRPr="00662611">
        <w:rPr>
          <w:sz w:val="19"/>
          <w:szCs w:val="19"/>
        </w:rPr>
        <w:t xml:space="preserve">this could have conceptual merit, it would represent a significant change in the accounting </w:t>
      </w:r>
      <w:r w:rsidR="00D859D0" w:rsidRPr="00662611">
        <w:rPr>
          <w:sz w:val="19"/>
          <w:szCs w:val="19"/>
        </w:rPr>
        <w:t xml:space="preserve">for </w:t>
      </w:r>
      <w:r w:rsidRPr="00662611">
        <w:rPr>
          <w:sz w:val="19"/>
          <w:szCs w:val="19"/>
        </w:rPr>
        <w:t xml:space="preserve">and financial reporting of assets and liabilities for public sector entities that could have implications beyond service concession arrangements. </w:t>
      </w:r>
      <w:r w:rsidR="006613D8" w:rsidRPr="00662611">
        <w:rPr>
          <w:sz w:val="19"/>
          <w:szCs w:val="19"/>
        </w:rPr>
        <w:t xml:space="preserve">The Board concluded that the rights and obligations approach was not appropriate at this time </w:t>
      </w:r>
      <w:r w:rsidR="00FA64FD" w:rsidRPr="00662611">
        <w:rPr>
          <w:sz w:val="19"/>
          <w:szCs w:val="19"/>
        </w:rPr>
        <w:t>for an Australian Accounting Standard addressing grantor accounting for service concession arrangements.</w:t>
      </w:r>
    </w:p>
    <w:p w14:paraId="7D92779A" w14:textId="77777777" w:rsidR="003862D4" w:rsidRPr="00662611" w:rsidRDefault="003950F7"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discussed application of </w:t>
      </w:r>
      <w:r w:rsidR="003862D4" w:rsidRPr="00662611">
        <w:rPr>
          <w:sz w:val="19"/>
          <w:szCs w:val="19"/>
        </w:rPr>
        <w:t xml:space="preserve">the concept of control in AASB 10 by analogous interpretation, </w:t>
      </w:r>
      <w:r w:rsidRPr="00662611">
        <w:rPr>
          <w:sz w:val="19"/>
          <w:szCs w:val="19"/>
        </w:rPr>
        <w:t xml:space="preserve">and decided </w:t>
      </w:r>
      <w:r w:rsidR="003862D4" w:rsidRPr="00662611">
        <w:rPr>
          <w:sz w:val="19"/>
          <w:szCs w:val="19"/>
        </w:rPr>
        <w:t xml:space="preserve">that the </w:t>
      </w:r>
      <w:r w:rsidRPr="00662611">
        <w:rPr>
          <w:sz w:val="19"/>
          <w:szCs w:val="19"/>
        </w:rPr>
        <w:t xml:space="preserve">principles </w:t>
      </w:r>
      <w:r w:rsidR="00713D78" w:rsidRPr="00662611">
        <w:rPr>
          <w:sz w:val="19"/>
          <w:szCs w:val="19"/>
        </w:rPr>
        <w:t>for</w:t>
      </w:r>
      <w:r w:rsidRPr="00662611">
        <w:rPr>
          <w:sz w:val="19"/>
          <w:szCs w:val="19"/>
        </w:rPr>
        <w:t xml:space="preserve"> assessing </w:t>
      </w:r>
      <w:r w:rsidR="003862D4" w:rsidRPr="00662611">
        <w:rPr>
          <w:sz w:val="19"/>
          <w:szCs w:val="19"/>
        </w:rPr>
        <w:t xml:space="preserve">control </w:t>
      </w:r>
      <w:r w:rsidR="00713D78" w:rsidRPr="00662611">
        <w:rPr>
          <w:sz w:val="19"/>
          <w:szCs w:val="19"/>
        </w:rPr>
        <w:t xml:space="preserve">of </w:t>
      </w:r>
      <w:r w:rsidR="003862D4" w:rsidRPr="00662611">
        <w:rPr>
          <w:sz w:val="19"/>
          <w:szCs w:val="19"/>
        </w:rPr>
        <w:t xml:space="preserve">an entity may not </w:t>
      </w:r>
      <w:r w:rsidR="009D0DF8" w:rsidRPr="00662611">
        <w:rPr>
          <w:sz w:val="19"/>
          <w:szCs w:val="19"/>
        </w:rPr>
        <w:t xml:space="preserve">necessarily </w:t>
      </w:r>
      <w:r w:rsidR="003862D4" w:rsidRPr="00662611">
        <w:rPr>
          <w:sz w:val="19"/>
          <w:szCs w:val="19"/>
        </w:rPr>
        <w:t xml:space="preserve">be appropriate </w:t>
      </w:r>
      <w:r w:rsidRPr="00662611">
        <w:rPr>
          <w:sz w:val="19"/>
          <w:szCs w:val="19"/>
        </w:rPr>
        <w:t xml:space="preserve">for assessing control of </w:t>
      </w:r>
      <w:r w:rsidR="003862D4" w:rsidRPr="00662611">
        <w:rPr>
          <w:sz w:val="19"/>
          <w:szCs w:val="19"/>
        </w:rPr>
        <w:t>an individual asset.</w:t>
      </w:r>
    </w:p>
    <w:p w14:paraId="7D92779B" w14:textId="5BFAE534"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concluded that the IPSAS 32 approach (the control or regulation approach) was the most appropriate approach as it is consistent with AASB Interpretation 12. Accordingly, this approach would lead to </w:t>
      </w:r>
      <w:r w:rsidR="00A0178C">
        <w:rPr>
          <w:sz w:val="19"/>
          <w:szCs w:val="19"/>
        </w:rPr>
        <w:t xml:space="preserve">greater </w:t>
      </w:r>
      <w:r w:rsidR="002159CB" w:rsidRPr="00662611">
        <w:rPr>
          <w:sz w:val="19"/>
          <w:szCs w:val="19"/>
        </w:rPr>
        <w:t>consisten</w:t>
      </w:r>
      <w:r w:rsidR="002159CB">
        <w:rPr>
          <w:sz w:val="19"/>
          <w:szCs w:val="19"/>
        </w:rPr>
        <w:t>cy</w:t>
      </w:r>
      <w:r w:rsidR="00A0178C">
        <w:rPr>
          <w:sz w:val="19"/>
          <w:szCs w:val="19"/>
        </w:rPr>
        <w:t xml:space="preserve"> in the </w:t>
      </w:r>
      <w:r w:rsidRPr="00662611">
        <w:rPr>
          <w:sz w:val="19"/>
          <w:szCs w:val="19"/>
        </w:rPr>
        <w:t xml:space="preserve">accounting requirements for the operator and </w:t>
      </w:r>
      <w:r w:rsidR="002159CB">
        <w:rPr>
          <w:sz w:val="19"/>
          <w:szCs w:val="19"/>
        </w:rPr>
        <w:t xml:space="preserve">the </w:t>
      </w:r>
      <w:r w:rsidRPr="00662611">
        <w:rPr>
          <w:sz w:val="19"/>
          <w:szCs w:val="19"/>
        </w:rPr>
        <w:t xml:space="preserve">grantor. </w:t>
      </w:r>
      <w:r w:rsidR="00956F8E" w:rsidRPr="00662611">
        <w:rPr>
          <w:sz w:val="19"/>
          <w:szCs w:val="19"/>
        </w:rPr>
        <w:t xml:space="preserve">The Board noted </w:t>
      </w:r>
      <w:r w:rsidR="00956F8E" w:rsidRPr="00662611">
        <w:rPr>
          <w:sz w:val="19"/>
          <w:szCs w:val="19"/>
        </w:rPr>
        <w:lastRenderedPageBreak/>
        <w:t xml:space="preserve">that this approach would require both the operator and the grantor </w:t>
      </w:r>
      <w:r w:rsidR="005424FD" w:rsidRPr="00662611">
        <w:rPr>
          <w:sz w:val="19"/>
          <w:szCs w:val="19"/>
        </w:rPr>
        <w:t>under</w:t>
      </w:r>
      <w:r w:rsidR="00956F8E" w:rsidRPr="00662611">
        <w:rPr>
          <w:sz w:val="19"/>
          <w:szCs w:val="19"/>
        </w:rPr>
        <w:t xml:space="preserve"> a service concession arrangement to apply </w:t>
      </w:r>
      <w:r w:rsidR="00FB5885" w:rsidRPr="00662611">
        <w:rPr>
          <w:sz w:val="19"/>
          <w:szCs w:val="19"/>
        </w:rPr>
        <w:t xml:space="preserve">the </w:t>
      </w:r>
      <w:r w:rsidR="00956F8E" w:rsidRPr="00662611">
        <w:rPr>
          <w:sz w:val="19"/>
          <w:szCs w:val="19"/>
        </w:rPr>
        <w:t>same principles in determining which party should recognise the asset in the arrangement. The Board considered that this approach would reduce the possibility of an asset being recognised by both parties, or by neither party to the arrangement.</w:t>
      </w:r>
    </w:p>
    <w:p w14:paraId="7D92779C" w14:textId="40DD8EBA" w:rsidR="003862D4" w:rsidRPr="00662611" w:rsidRDefault="00FF4FCE"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noted that the IPSASB confirmed</w:t>
      </w:r>
      <w:r w:rsidR="003862D4" w:rsidRPr="00662611">
        <w:rPr>
          <w:sz w:val="19"/>
          <w:szCs w:val="19"/>
        </w:rPr>
        <w:t xml:space="preserve"> the control approach in IPSAS 32 in the Basis for Conclusions to </w:t>
      </w:r>
      <w:r w:rsidR="003862D4" w:rsidRPr="00662611">
        <w:rPr>
          <w:i/>
          <w:sz w:val="19"/>
          <w:szCs w:val="19"/>
        </w:rPr>
        <w:t>The Conceptual Framework for General Purpose Financial Reporting by Public Sector Entities</w:t>
      </w:r>
      <w:r w:rsidR="003862D4" w:rsidRPr="00662611">
        <w:rPr>
          <w:sz w:val="19"/>
          <w:szCs w:val="19"/>
        </w:rPr>
        <w:t xml:space="preserve"> (October 2014), where the IPSASB concluded that consideration of “the risks and rewards associated with particular transactions and events, and which party to any transaction or event bears the majority of those risks and rewards, may be relevant and useful in identifying the nature of the asset controlled by parties to the transaction or event. It may also be useful in determining how to quantify and associate the economic rights and obligations with particular parties. However, it is not of itself an indicator of the party that controls an asset. The IPSASB therefore decided not to include the risks and rewards of ownership as an indicator of control” (</w:t>
      </w:r>
      <w:r w:rsidR="008958E0" w:rsidRPr="00662611">
        <w:rPr>
          <w:sz w:val="19"/>
          <w:szCs w:val="19"/>
        </w:rPr>
        <w:t xml:space="preserve">paragraph </w:t>
      </w:r>
      <w:r w:rsidR="003862D4" w:rsidRPr="00662611">
        <w:rPr>
          <w:sz w:val="19"/>
          <w:szCs w:val="19"/>
        </w:rPr>
        <w:t>BC5.14).</w:t>
      </w:r>
    </w:p>
    <w:p w14:paraId="7D92779D" w14:textId="4337DF78" w:rsidR="004B5960" w:rsidRPr="00662611" w:rsidRDefault="004B5960"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In considering the concept of control for the recognition of service concession assets, the Board decided that the grantor recognises an asset provided by the operator and an upgrade to </w:t>
      </w:r>
      <w:r w:rsidR="00CB4BD0">
        <w:rPr>
          <w:sz w:val="19"/>
          <w:szCs w:val="19"/>
        </w:rPr>
        <w:t xml:space="preserve">or major component replacement of </w:t>
      </w:r>
      <w:r w:rsidRPr="00662611">
        <w:rPr>
          <w:sz w:val="19"/>
          <w:szCs w:val="19"/>
        </w:rPr>
        <w:t xml:space="preserve">an existing asset of the grantor </w:t>
      </w:r>
      <w:r w:rsidR="005233C8">
        <w:rPr>
          <w:sz w:val="19"/>
          <w:szCs w:val="19"/>
        </w:rPr>
        <w:t xml:space="preserve">provided by the operator </w:t>
      </w:r>
      <w:r w:rsidRPr="00662611">
        <w:rPr>
          <w:sz w:val="19"/>
          <w:szCs w:val="19"/>
        </w:rPr>
        <w:t xml:space="preserve">as a service concession asset if the grantor controls the asset. The grantor </w:t>
      </w:r>
      <w:r w:rsidR="0013338D" w:rsidRPr="00662611">
        <w:rPr>
          <w:sz w:val="19"/>
          <w:szCs w:val="19"/>
        </w:rPr>
        <w:t xml:space="preserve">essentially </w:t>
      </w:r>
      <w:r w:rsidRPr="00662611">
        <w:rPr>
          <w:sz w:val="19"/>
          <w:szCs w:val="19"/>
        </w:rPr>
        <w:t xml:space="preserve">controls the asset if the grantor satisfies the specific control </w:t>
      </w:r>
      <w:r w:rsidR="00246714" w:rsidRPr="00662611">
        <w:rPr>
          <w:sz w:val="19"/>
          <w:szCs w:val="19"/>
        </w:rPr>
        <w:t>criteri</w:t>
      </w:r>
      <w:r w:rsidR="00246714">
        <w:rPr>
          <w:sz w:val="19"/>
          <w:szCs w:val="19"/>
        </w:rPr>
        <w:t>a</w:t>
      </w:r>
      <w:r w:rsidR="00246714" w:rsidRPr="00662611">
        <w:rPr>
          <w:sz w:val="19"/>
          <w:szCs w:val="19"/>
        </w:rPr>
        <w:t xml:space="preserve"> </w:t>
      </w:r>
      <w:r w:rsidRPr="00662611">
        <w:rPr>
          <w:sz w:val="19"/>
          <w:szCs w:val="19"/>
        </w:rPr>
        <w:t>in paragraph</w:t>
      </w:r>
      <w:r w:rsidR="00CB4BD0">
        <w:rPr>
          <w:sz w:val="19"/>
          <w:szCs w:val="19"/>
        </w:rPr>
        <w:t>s</w:t>
      </w:r>
      <w:r w:rsidRPr="00662611">
        <w:rPr>
          <w:sz w:val="19"/>
          <w:szCs w:val="19"/>
        </w:rPr>
        <w:t> </w:t>
      </w:r>
      <w:r w:rsidR="00E90B96">
        <w:fldChar w:fldCharType="begin"/>
      </w:r>
      <w:r w:rsidR="00E90B96">
        <w:instrText xml:space="preserve"> REF _Ref475619556 \r \h </w:instrText>
      </w:r>
      <w:r w:rsidR="00E90B96">
        <w:fldChar w:fldCharType="separate"/>
      </w:r>
      <w:r w:rsidR="00C43128">
        <w:t>5</w:t>
      </w:r>
      <w:r w:rsidR="00E90B96">
        <w:fldChar w:fldCharType="end"/>
      </w:r>
      <w:r w:rsidRPr="00662611">
        <w:rPr>
          <w:sz w:val="19"/>
          <w:szCs w:val="19"/>
        </w:rPr>
        <w:t>(a)</w:t>
      </w:r>
      <w:r w:rsidR="00CB4BD0">
        <w:rPr>
          <w:sz w:val="19"/>
          <w:szCs w:val="19"/>
        </w:rPr>
        <w:t xml:space="preserve"> and (b)</w:t>
      </w:r>
      <w:r w:rsidRPr="00662611">
        <w:rPr>
          <w:sz w:val="19"/>
          <w:szCs w:val="19"/>
        </w:rPr>
        <w:t>: the grantor “controls or regulates what services the operator must provide with the asset, to whom it must provide them, and at what price”</w:t>
      </w:r>
      <w:r w:rsidR="00CB4BD0">
        <w:rPr>
          <w:sz w:val="19"/>
          <w:szCs w:val="19"/>
        </w:rPr>
        <w:t xml:space="preserve"> and controls the residual value</w:t>
      </w:r>
      <w:r w:rsidR="00EB561F">
        <w:rPr>
          <w:sz w:val="19"/>
          <w:szCs w:val="19"/>
        </w:rPr>
        <w:t xml:space="preserve"> (if significant)</w:t>
      </w:r>
      <w:r w:rsidR="00CB4BD0">
        <w:rPr>
          <w:sz w:val="19"/>
          <w:szCs w:val="19"/>
        </w:rPr>
        <w:t>, thus controlling the asset for the majority of its economic life</w:t>
      </w:r>
      <w:r w:rsidRPr="00662611">
        <w:rPr>
          <w:sz w:val="19"/>
          <w:szCs w:val="19"/>
        </w:rPr>
        <w:t xml:space="preserve">. This mirrors the control concept in AASB Interpretation 12. The </w:t>
      </w:r>
      <w:r w:rsidR="0013338D" w:rsidRPr="00662611">
        <w:rPr>
          <w:sz w:val="19"/>
          <w:szCs w:val="19"/>
        </w:rPr>
        <w:t>Board</w:t>
      </w:r>
      <w:r w:rsidRPr="00662611">
        <w:rPr>
          <w:sz w:val="19"/>
          <w:szCs w:val="19"/>
        </w:rPr>
        <w:t xml:space="preserve"> noted that a broader concept of control currently applies in other </w:t>
      </w:r>
      <w:r w:rsidR="008371D7" w:rsidRPr="00662611">
        <w:rPr>
          <w:sz w:val="19"/>
          <w:szCs w:val="19"/>
        </w:rPr>
        <w:t>A</w:t>
      </w:r>
      <w:r w:rsidRPr="00662611">
        <w:rPr>
          <w:sz w:val="19"/>
          <w:szCs w:val="19"/>
        </w:rPr>
        <w:t>ccounting Standards and that an asset that does not meet the control definition of this Standard may still need to be recognised under other Accounting Standards. The Board decided to include application guidance to make explicit the requirement to apply the broader concept of control.</w:t>
      </w:r>
    </w:p>
    <w:p w14:paraId="619E896A" w14:textId="12617C44" w:rsidR="00DA63E8" w:rsidRPr="00662611" w:rsidRDefault="00DA63E8" w:rsidP="00DA63E8">
      <w:pPr>
        <w:pStyle w:val="IASBSectionTitle2Ind"/>
        <w:outlineLvl w:val="2"/>
      </w:pPr>
      <w:r w:rsidRPr="00662611">
        <w:t>Regulation</w:t>
      </w:r>
    </w:p>
    <w:p w14:paraId="7D92779E" w14:textId="78520536" w:rsidR="003862D4" w:rsidRPr="00662611" w:rsidRDefault="004F1EDE"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I</w:t>
      </w:r>
      <w:r w:rsidR="003862D4" w:rsidRPr="00662611">
        <w:rPr>
          <w:sz w:val="19"/>
          <w:szCs w:val="19"/>
        </w:rPr>
        <w:t xml:space="preserve">n developing the </w:t>
      </w:r>
      <w:r w:rsidRPr="00662611">
        <w:rPr>
          <w:sz w:val="19"/>
          <w:szCs w:val="19"/>
        </w:rPr>
        <w:t>A</w:t>
      </w:r>
      <w:r w:rsidR="003862D4" w:rsidRPr="00662611">
        <w:rPr>
          <w:sz w:val="19"/>
          <w:szCs w:val="19"/>
        </w:rPr>
        <w:t xml:space="preserve">pplication </w:t>
      </w:r>
      <w:r w:rsidRPr="00662611">
        <w:rPr>
          <w:sz w:val="19"/>
          <w:szCs w:val="19"/>
        </w:rPr>
        <w:t>G</w:t>
      </w:r>
      <w:r w:rsidR="003862D4" w:rsidRPr="00662611">
        <w:rPr>
          <w:sz w:val="19"/>
          <w:szCs w:val="19"/>
        </w:rPr>
        <w:t>uidance for the control concept</w:t>
      </w:r>
      <w:r w:rsidRPr="00662611">
        <w:rPr>
          <w:sz w:val="19"/>
          <w:szCs w:val="19"/>
        </w:rPr>
        <w:t>, the Board</w:t>
      </w:r>
      <w:r w:rsidR="003862D4" w:rsidRPr="00662611">
        <w:rPr>
          <w:sz w:val="19"/>
          <w:szCs w:val="19"/>
        </w:rPr>
        <w:t xml:space="preserve"> formed the view that there are three main circumstances </w:t>
      </w:r>
      <w:r w:rsidRPr="00662611">
        <w:rPr>
          <w:sz w:val="19"/>
          <w:szCs w:val="19"/>
        </w:rPr>
        <w:t xml:space="preserve">in </w:t>
      </w:r>
      <w:r w:rsidR="003862D4" w:rsidRPr="00662611">
        <w:rPr>
          <w:sz w:val="19"/>
          <w:szCs w:val="19"/>
        </w:rPr>
        <w:t xml:space="preserve">which a grantor controls or regulates the price, </w:t>
      </w:r>
      <w:r w:rsidRPr="00662611">
        <w:rPr>
          <w:sz w:val="19"/>
          <w:szCs w:val="19"/>
        </w:rPr>
        <w:t xml:space="preserve">the </w:t>
      </w:r>
      <w:r w:rsidR="003862D4" w:rsidRPr="00662611">
        <w:rPr>
          <w:sz w:val="19"/>
          <w:szCs w:val="19"/>
        </w:rPr>
        <w:t>services and/or to whom the services must be provided in accordance with paragraph</w:t>
      </w:r>
      <w:r w:rsidR="00964FFE" w:rsidRPr="00662611">
        <w:rPr>
          <w:sz w:val="19"/>
          <w:szCs w:val="19"/>
        </w:rPr>
        <w:t> </w:t>
      </w:r>
      <w:r w:rsidR="00E90B96">
        <w:fldChar w:fldCharType="begin"/>
      </w:r>
      <w:r w:rsidR="00E90B96">
        <w:instrText xml:space="preserve"> REF _Ref475619556 \r \h </w:instrText>
      </w:r>
      <w:r w:rsidR="00E90B96">
        <w:fldChar w:fldCharType="separate"/>
      </w:r>
      <w:r w:rsidR="00C43128">
        <w:t>5</w:t>
      </w:r>
      <w:r w:rsidR="00E90B96">
        <w:fldChar w:fldCharType="end"/>
      </w:r>
      <w:r w:rsidR="007B0521" w:rsidRPr="00662611">
        <w:rPr>
          <w:sz w:val="19"/>
          <w:szCs w:val="19"/>
        </w:rPr>
        <w:t>(a)</w:t>
      </w:r>
      <w:r w:rsidR="003862D4" w:rsidRPr="00662611">
        <w:rPr>
          <w:sz w:val="19"/>
          <w:szCs w:val="19"/>
        </w:rPr>
        <w:t>. The three main circumstances are where the service concession contract:</w:t>
      </w:r>
    </w:p>
    <w:p w14:paraId="7D92779F" w14:textId="77777777" w:rsidR="003862D4" w:rsidRPr="00662611" w:rsidRDefault="003862D4" w:rsidP="002704B7">
      <w:pPr>
        <w:numPr>
          <w:ilvl w:val="0"/>
          <w:numId w:val="23"/>
        </w:numPr>
        <w:spacing w:after="100"/>
        <w:ind w:left="1564" w:hanging="782"/>
        <w:jc w:val="both"/>
        <w:rPr>
          <w:szCs w:val="20"/>
        </w:rPr>
      </w:pPr>
      <w:r w:rsidRPr="00662611">
        <w:rPr>
          <w:i/>
          <w:szCs w:val="20"/>
        </w:rPr>
        <w:t>specifies that the grantor controls or regulates</w:t>
      </w:r>
      <w:r w:rsidRPr="00662611">
        <w:rPr>
          <w:szCs w:val="20"/>
        </w:rPr>
        <w:t xml:space="preserve"> the price, </w:t>
      </w:r>
      <w:r w:rsidR="00CB774B" w:rsidRPr="00662611">
        <w:rPr>
          <w:szCs w:val="20"/>
        </w:rPr>
        <w:t xml:space="preserve">the </w:t>
      </w:r>
      <w:r w:rsidRPr="00662611">
        <w:rPr>
          <w:szCs w:val="20"/>
        </w:rPr>
        <w:t>services and/or to whom the services must be provided;</w:t>
      </w:r>
    </w:p>
    <w:p w14:paraId="7D9277A0" w14:textId="7D9EDE2D" w:rsidR="003862D4" w:rsidRPr="00662611" w:rsidRDefault="003862D4" w:rsidP="002704B7">
      <w:pPr>
        <w:numPr>
          <w:ilvl w:val="0"/>
          <w:numId w:val="23"/>
        </w:numPr>
        <w:spacing w:after="100"/>
        <w:ind w:left="1564" w:hanging="782"/>
        <w:jc w:val="both"/>
        <w:rPr>
          <w:i/>
          <w:szCs w:val="20"/>
        </w:rPr>
      </w:pPr>
      <w:r w:rsidRPr="00662611">
        <w:rPr>
          <w:i/>
          <w:szCs w:val="20"/>
        </w:rPr>
        <w:t xml:space="preserve">specifies that a third-party regulator regulates </w:t>
      </w:r>
      <w:r w:rsidRPr="00662611">
        <w:rPr>
          <w:szCs w:val="20"/>
        </w:rPr>
        <w:t xml:space="preserve">the price, </w:t>
      </w:r>
      <w:r w:rsidR="00CB774B" w:rsidRPr="00662611">
        <w:rPr>
          <w:szCs w:val="20"/>
        </w:rPr>
        <w:t xml:space="preserve">the </w:t>
      </w:r>
      <w:r w:rsidRPr="00662611">
        <w:rPr>
          <w:szCs w:val="20"/>
        </w:rPr>
        <w:t xml:space="preserve">services and/or to whom the services must be provided – under this circumstance, the regulation by the third-party regulator removes the ability of the operator to set or regulate the price, </w:t>
      </w:r>
      <w:r w:rsidR="005E6E2B" w:rsidRPr="00662611">
        <w:rPr>
          <w:szCs w:val="20"/>
        </w:rPr>
        <w:t xml:space="preserve">the </w:t>
      </w:r>
      <w:r w:rsidRPr="00662611">
        <w:rPr>
          <w:szCs w:val="20"/>
        </w:rPr>
        <w:t>services and/or to whom the services must be provided and the regulation is considered to be</w:t>
      </w:r>
      <w:r w:rsidR="00CB774B" w:rsidRPr="00662611">
        <w:rPr>
          <w:szCs w:val="20"/>
        </w:rPr>
        <w:t xml:space="preserve"> set</w:t>
      </w:r>
      <w:r w:rsidRPr="00662611">
        <w:rPr>
          <w:szCs w:val="20"/>
        </w:rPr>
        <w:t xml:space="preserve"> implicitly by the grantor. Additionally, it is not essential for the grantor to direct the activities of the third-party regulator for the grantor to have control over the service concession arrangements (paragraph</w:t>
      </w:r>
      <w:r w:rsidR="00DE6406" w:rsidRPr="00662611">
        <w:rPr>
          <w:szCs w:val="20"/>
        </w:rPr>
        <w:t xml:space="preserve"> </w:t>
      </w:r>
      <w:r w:rsidR="001F6686" w:rsidRPr="00662611">
        <w:rPr>
          <w:szCs w:val="20"/>
        </w:rPr>
        <w:fldChar w:fldCharType="begin"/>
      </w:r>
      <w:r w:rsidR="001F6686" w:rsidRPr="00662611">
        <w:rPr>
          <w:szCs w:val="20"/>
        </w:rPr>
        <w:instrText xml:space="preserve"> REF _Ref484636100 \r \h </w:instrText>
      </w:r>
      <w:r w:rsidR="001F6686" w:rsidRPr="00662611">
        <w:rPr>
          <w:szCs w:val="20"/>
        </w:rPr>
      </w:r>
      <w:r w:rsidR="001F6686" w:rsidRPr="00662611">
        <w:rPr>
          <w:szCs w:val="20"/>
        </w:rPr>
        <w:fldChar w:fldCharType="separate"/>
      </w:r>
      <w:r w:rsidR="00C43128">
        <w:rPr>
          <w:szCs w:val="20"/>
        </w:rPr>
        <w:t>B20</w:t>
      </w:r>
      <w:r w:rsidR="001F6686" w:rsidRPr="00662611">
        <w:rPr>
          <w:szCs w:val="20"/>
        </w:rPr>
        <w:fldChar w:fldCharType="end"/>
      </w:r>
      <w:r w:rsidRPr="00662611">
        <w:rPr>
          <w:szCs w:val="20"/>
        </w:rPr>
        <w:t>); and</w:t>
      </w:r>
    </w:p>
    <w:p w14:paraId="7D9277A1" w14:textId="165823D8" w:rsidR="003862D4" w:rsidRPr="00662611" w:rsidRDefault="003862D4" w:rsidP="002704B7">
      <w:pPr>
        <w:numPr>
          <w:ilvl w:val="0"/>
          <w:numId w:val="23"/>
        </w:numPr>
        <w:spacing w:after="100"/>
        <w:ind w:left="1564" w:hanging="782"/>
        <w:jc w:val="both"/>
        <w:rPr>
          <w:i/>
          <w:szCs w:val="20"/>
        </w:rPr>
      </w:pPr>
      <w:proofErr w:type="gramStart"/>
      <w:r w:rsidRPr="00662611">
        <w:rPr>
          <w:i/>
          <w:szCs w:val="20"/>
        </w:rPr>
        <w:t>does</w:t>
      </w:r>
      <w:proofErr w:type="gramEnd"/>
      <w:r w:rsidRPr="00662611">
        <w:rPr>
          <w:i/>
          <w:szCs w:val="20"/>
        </w:rPr>
        <w:t xml:space="preserve"> not specify that a third-party regulator regulates </w:t>
      </w:r>
      <w:r w:rsidRPr="00662611">
        <w:rPr>
          <w:szCs w:val="20"/>
        </w:rPr>
        <w:t xml:space="preserve">the price, </w:t>
      </w:r>
      <w:r w:rsidR="00CB774B" w:rsidRPr="00662611">
        <w:rPr>
          <w:szCs w:val="20"/>
        </w:rPr>
        <w:t xml:space="preserve">the </w:t>
      </w:r>
      <w:r w:rsidRPr="00662611">
        <w:rPr>
          <w:szCs w:val="20"/>
        </w:rPr>
        <w:t>services and/or to whom the services must be provided – under these circumstances, many governments have the power to regulate the behaviour of entities operating in certain sectors of the economy, either directly or through specifically created agencies. For the purpose of paragraph </w:t>
      </w:r>
      <w:r w:rsidR="00E90B96">
        <w:fldChar w:fldCharType="begin"/>
      </w:r>
      <w:r w:rsidR="00E90B96">
        <w:instrText xml:space="preserve"> REF _Ref475619556 \r \h </w:instrText>
      </w:r>
      <w:r w:rsidR="00E90B96">
        <w:fldChar w:fldCharType="separate"/>
      </w:r>
      <w:r w:rsidR="00C43128">
        <w:t>5</w:t>
      </w:r>
      <w:r w:rsidR="00E90B96">
        <w:fldChar w:fldCharType="end"/>
      </w:r>
      <w:r w:rsidR="00E553F3" w:rsidRPr="00662611">
        <w:rPr>
          <w:szCs w:val="20"/>
        </w:rPr>
        <w:t>(a)</w:t>
      </w:r>
      <w:r w:rsidRPr="00662611">
        <w:rPr>
          <w:szCs w:val="20"/>
        </w:rPr>
        <w:t xml:space="preserve">, such broad regulatory powers do not constitute control without a specific arrangement or contract (paragraph </w:t>
      </w:r>
      <w:r w:rsidR="00E56A88">
        <w:rPr>
          <w:szCs w:val="20"/>
        </w:rPr>
        <w:fldChar w:fldCharType="begin"/>
      </w:r>
      <w:r w:rsidR="00E56A88">
        <w:rPr>
          <w:szCs w:val="20"/>
        </w:rPr>
        <w:instrText xml:space="preserve"> REF _Ref486146828 \r \h </w:instrText>
      </w:r>
      <w:r w:rsidR="00E56A88">
        <w:rPr>
          <w:szCs w:val="20"/>
        </w:rPr>
      </w:r>
      <w:r w:rsidR="00E56A88">
        <w:rPr>
          <w:szCs w:val="20"/>
        </w:rPr>
        <w:fldChar w:fldCharType="separate"/>
      </w:r>
      <w:r w:rsidR="00C43128">
        <w:rPr>
          <w:szCs w:val="20"/>
        </w:rPr>
        <w:t>B21</w:t>
      </w:r>
      <w:r w:rsidR="00E56A88">
        <w:rPr>
          <w:szCs w:val="20"/>
        </w:rPr>
        <w:fldChar w:fldCharType="end"/>
      </w:r>
      <w:r w:rsidRPr="00662611">
        <w:rPr>
          <w:szCs w:val="20"/>
        </w:rPr>
        <w:t>). Instead the grantor, operating under such a regulatory framework</w:t>
      </w:r>
      <w:r w:rsidR="00F05A6F" w:rsidRPr="00662611">
        <w:rPr>
          <w:szCs w:val="20"/>
        </w:rPr>
        <w:t>,</w:t>
      </w:r>
      <w:r w:rsidRPr="00662611">
        <w:rPr>
          <w:szCs w:val="20"/>
        </w:rPr>
        <w:t xml:space="preserve"> derives control of the service concession asset either from the contract or the specific regulation applicable to the industry or service. However, where a service concession arrangement does not clearly fall within an existing regulatory framework (eg where there is more than one possible source of regulation), the arrangement will need to incorporate the specific regulatory framework that stipulates the </w:t>
      </w:r>
      <w:r w:rsidR="00F0279E" w:rsidRPr="00662611">
        <w:rPr>
          <w:szCs w:val="20"/>
        </w:rPr>
        <w:t>services</w:t>
      </w:r>
      <w:r w:rsidRPr="00662611">
        <w:rPr>
          <w:szCs w:val="20"/>
        </w:rPr>
        <w:t>, the users and/or the pricing to be charged for the services in order for the grantor to have control of the service concession asset (paragraph</w:t>
      </w:r>
      <w:r w:rsidR="001F6686" w:rsidRPr="00662611">
        <w:rPr>
          <w:szCs w:val="20"/>
        </w:rPr>
        <w:t xml:space="preserve"> </w:t>
      </w:r>
      <w:r w:rsidR="001F6686" w:rsidRPr="00662611">
        <w:rPr>
          <w:szCs w:val="20"/>
        </w:rPr>
        <w:fldChar w:fldCharType="begin"/>
      </w:r>
      <w:r w:rsidR="001F6686" w:rsidRPr="00662611">
        <w:rPr>
          <w:szCs w:val="20"/>
        </w:rPr>
        <w:instrText xml:space="preserve"> REF _Ref484771549 \r \h </w:instrText>
      </w:r>
      <w:r w:rsidR="001F6686" w:rsidRPr="00662611">
        <w:rPr>
          <w:szCs w:val="20"/>
        </w:rPr>
      </w:r>
      <w:r w:rsidR="001F6686" w:rsidRPr="00662611">
        <w:rPr>
          <w:szCs w:val="20"/>
        </w:rPr>
        <w:fldChar w:fldCharType="separate"/>
      </w:r>
      <w:r w:rsidR="00C43128">
        <w:rPr>
          <w:szCs w:val="20"/>
        </w:rPr>
        <w:t>B22</w:t>
      </w:r>
      <w:r w:rsidR="001F6686" w:rsidRPr="00662611">
        <w:rPr>
          <w:szCs w:val="20"/>
        </w:rPr>
        <w:fldChar w:fldCharType="end"/>
      </w:r>
      <w:r w:rsidRPr="00662611">
        <w:rPr>
          <w:szCs w:val="20"/>
        </w:rPr>
        <w:t>).</w:t>
      </w:r>
    </w:p>
    <w:p w14:paraId="7D9277A2"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decided that</w:t>
      </w:r>
      <w:r w:rsidR="00AB44E0" w:rsidRPr="00662611">
        <w:rPr>
          <w:sz w:val="19"/>
          <w:szCs w:val="19"/>
        </w:rPr>
        <w:t xml:space="preserve"> </w:t>
      </w:r>
      <w:r w:rsidR="00E4545F" w:rsidRPr="00662611">
        <w:rPr>
          <w:sz w:val="19"/>
          <w:szCs w:val="19"/>
        </w:rPr>
        <w:t xml:space="preserve">the </w:t>
      </w:r>
      <w:r w:rsidR="00AA4763" w:rsidRPr="00662611">
        <w:rPr>
          <w:sz w:val="19"/>
          <w:szCs w:val="19"/>
        </w:rPr>
        <w:t>circumstances</w:t>
      </w:r>
      <w:r w:rsidR="001123FE" w:rsidRPr="00662611">
        <w:rPr>
          <w:sz w:val="19"/>
          <w:szCs w:val="19"/>
        </w:rPr>
        <w:t xml:space="preserve"> noted</w:t>
      </w:r>
      <w:r w:rsidR="00AA4763" w:rsidRPr="00662611">
        <w:rPr>
          <w:sz w:val="19"/>
          <w:szCs w:val="19"/>
        </w:rPr>
        <w:t xml:space="preserve"> in </w:t>
      </w:r>
      <w:r w:rsidR="007301BD" w:rsidRPr="00662611">
        <w:rPr>
          <w:sz w:val="19"/>
          <w:szCs w:val="19"/>
        </w:rPr>
        <w:t>the preceding paragraph</w:t>
      </w:r>
      <w:r w:rsidR="00AA4763" w:rsidRPr="00662611">
        <w:rPr>
          <w:sz w:val="19"/>
          <w:szCs w:val="19"/>
        </w:rPr>
        <w:t xml:space="preserve"> should form part of</w:t>
      </w:r>
      <w:r w:rsidR="003F52EC" w:rsidRPr="00662611">
        <w:rPr>
          <w:sz w:val="19"/>
          <w:szCs w:val="19"/>
        </w:rPr>
        <w:t xml:space="preserve"> the</w:t>
      </w:r>
      <w:r w:rsidRPr="00662611">
        <w:rPr>
          <w:sz w:val="19"/>
          <w:szCs w:val="19"/>
        </w:rPr>
        <w:t xml:space="preserve"> </w:t>
      </w:r>
      <w:r w:rsidR="003F52EC" w:rsidRPr="00662611">
        <w:rPr>
          <w:sz w:val="19"/>
          <w:szCs w:val="19"/>
        </w:rPr>
        <w:t>a</w:t>
      </w:r>
      <w:r w:rsidR="00D12457" w:rsidRPr="00662611">
        <w:rPr>
          <w:sz w:val="19"/>
          <w:szCs w:val="19"/>
        </w:rPr>
        <w:t xml:space="preserve">pplication </w:t>
      </w:r>
      <w:r w:rsidRPr="00662611">
        <w:rPr>
          <w:sz w:val="19"/>
          <w:szCs w:val="19"/>
        </w:rPr>
        <w:t xml:space="preserve">guidance to assist </w:t>
      </w:r>
      <w:r w:rsidR="001B6DF4" w:rsidRPr="00662611">
        <w:rPr>
          <w:sz w:val="19"/>
          <w:szCs w:val="19"/>
        </w:rPr>
        <w:t xml:space="preserve">entities </w:t>
      </w:r>
      <w:r w:rsidRPr="00662611">
        <w:rPr>
          <w:sz w:val="19"/>
          <w:szCs w:val="19"/>
        </w:rPr>
        <w:t>in assessing whether the service concession asset is controlled by the grantor.</w:t>
      </w:r>
    </w:p>
    <w:p w14:paraId="7D9277A3" w14:textId="35AF391A"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deliberated whether long</w:t>
      </w:r>
      <w:r w:rsidR="008F2ECC" w:rsidRPr="00662611">
        <w:rPr>
          <w:sz w:val="19"/>
          <w:szCs w:val="19"/>
        </w:rPr>
        <w:t>-</w:t>
      </w:r>
      <w:r w:rsidRPr="00662611">
        <w:rPr>
          <w:sz w:val="19"/>
          <w:szCs w:val="19"/>
        </w:rPr>
        <w:t>term arrangements</w:t>
      </w:r>
      <w:r w:rsidR="008F2ECC" w:rsidRPr="00662611">
        <w:rPr>
          <w:sz w:val="19"/>
          <w:szCs w:val="19"/>
        </w:rPr>
        <w:t>,</w:t>
      </w:r>
      <w:r w:rsidRPr="00662611">
        <w:rPr>
          <w:sz w:val="19"/>
          <w:szCs w:val="19"/>
        </w:rPr>
        <w:t xml:space="preserve"> privatisation and outsourcing arrangements should be scoped out of the requirements of the Standard, or whether they should be assessed to determine </w:t>
      </w:r>
      <w:r w:rsidR="008F2ECC" w:rsidRPr="00662611">
        <w:rPr>
          <w:sz w:val="19"/>
          <w:szCs w:val="19"/>
        </w:rPr>
        <w:t xml:space="preserve">whether </w:t>
      </w:r>
      <w:r w:rsidRPr="00662611">
        <w:rPr>
          <w:sz w:val="19"/>
          <w:szCs w:val="19"/>
        </w:rPr>
        <w:t xml:space="preserve">they meet the control criteria of paragraphs </w:t>
      </w:r>
      <w:r w:rsidR="006A2C2F">
        <w:rPr>
          <w:sz w:val="19"/>
          <w:szCs w:val="19"/>
        </w:rPr>
        <w:fldChar w:fldCharType="begin"/>
      </w:r>
      <w:r w:rsidR="006A2C2F">
        <w:rPr>
          <w:sz w:val="19"/>
          <w:szCs w:val="19"/>
        </w:rPr>
        <w:instrText xml:space="preserve"> REF _Ref475619556 \r \h </w:instrText>
      </w:r>
      <w:r w:rsidR="006A2C2F">
        <w:rPr>
          <w:sz w:val="19"/>
          <w:szCs w:val="19"/>
        </w:rPr>
      </w:r>
      <w:r w:rsidR="006A2C2F">
        <w:rPr>
          <w:sz w:val="19"/>
          <w:szCs w:val="19"/>
        </w:rPr>
        <w:fldChar w:fldCharType="separate"/>
      </w:r>
      <w:r w:rsidR="00C43128">
        <w:rPr>
          <w:sz w:val="19"/>
          <w:szCs w:val="19"/>
        </w:rPr>
        <w:t>5</w:t>
      </w:r>
      <w:r w:rsidR="006A2C2F">
        <w:rPr>
          <w:sz w:val="19"/>
          <w:szCs w:val="19"/>
        </w:rPr>
        <w:fldChar w:fldCharType="end"/>
      </w:r>
      <w:r w:rsidRPr="00662611">
        <w:rPr>
          <w:sz w:val="19"/>
          <w:szCs w:val="19"/>
        </w:rPr>
        <w:t xml:space="preserve"> or </w:t>
      </w:r>
      <w:r w:rsidR="00E56A88">
        <w:rPr>
          <w:sz w:val="19"/>
          <w:szCs w:val="19"/>
        </w:rPr>
        <w:fldChar w:fldCharType="begin"/>
      </w:r>
      <w:r w:rsidR="00E56A88">
        <w:rPr>
          <w:sz w:val="19"/>
          <w:szCs w:val="19"/>
        </w:rPr>
        <w:instrText xml:space="preserve"> REF _Ref486144882 \r \h </w:instrText>
      </w:r>
      <w:r w:rsidR="00E56A88">
        <w:rPr>
          <w:sz w:val="19"/>
          <w:szCs w:val="19"/>
        </w:rPr>
      </w:r>
      <w:r w:rsidR="00E56A88">
        <w:rPr>
          <w:sz w:val="19"/>
          <w:szCs w:val="19"/>
        </w:rPr>
        <w:fldChar w:fldCharType="separate"/>
      </w:r>
      <w:r w:rsidR="00C43128">
        <w:rPr>
          <w:sz w:val="19"/>
          <w:szCs w:val="19"/>
        </w:rPr>
        <w:t>6</w:t>
      </w:r>
      <w:r w:rsidR="00E56A88">
        <w:rPr>
          <w:sz w:val="19"/>
          <w:szCs w:val="19"/>
        </w:rPr>
        <w:fldChar w:fldCharType="end"/>
      </w:r>
      <w:r w:rsidRPr="00662611">
        <w:rPr>
          <w:sz w:val="19"/>
          <w:szCs w:val="19"/>
        </w:rPr>
        <w:t xml:space="preserve"> of the Standard. The Board decided that where the arrangements meet the </w:t>
      </w:r>
      <w:r w:rsidR="00DC7C7D" w:rsidRPr="00662611">
        <w:rPr>
          <w:sz w:val="19"/>
          <w:szCs w:val="19"/>
        </w:rPr>
        <w:t xml:space="preserve">criteria </w:t>
      </w:r>
      <w:r w:rsidRPr="00662611">
        <w:rPr>
          <w:sz w:val="19"/>
          <w:szCs w:val="19"/>
        </w:rPr>
        <w:t xml:space="preserve">of paragraphs </w:t>
      </w:r>
      <w:r w:rsidR="006A2C2F">
        <w:rPr>
          <w:sz w:val="19"/>
          <w:szCs w:val="19"/>
        </w:rPr>
        <w:fldChar w:fldCharType="begin"/>
      </w:r>
      <w:r w:rsidR="006A2C2F">
        <w:rPr>
          <w:sz w:val="19"/>
          <w:szCs w:val="19"/>
        </w:rPr>
        <w:instrText xml:space="preserve"> REF _Ref475619556 \r \h </w:instrText>
      </w:r>
      <w:r w:rsidR="006A2C2F">
        <w:rPr>
          <w:sz w:val="19"/>
          <w:szCs w:val="19"/>
        </w:rPr>
      </w:r>
      <w:r w:rsidR="006A2C2F">
        <w:rPr>
          <w:sz w:val="19"/>
          <w:szCs w:val="19"/>
        </w:rPr>
        <w:fldChar w:fldCharType="separate"/>
      </w:r>
      <w:r w:rsidR="00C43128">
        <w:rPr>
          <w:sz w:val="19"/>
          <w:szCs w:val="19"/>
        </w:rPr>
        <w:t>5</w:t>
      </w:r>
      <w:r w:rsidR="006A2C2F">
        <w:rPr>
          <w:sz w:val="19"/>
          <w:szCs w:val="19"/>
        </w:rPr>
        <w:fldChar w:fldCharType="end"/>
      </w:r>
      <w:r w:rsidRPr="00662611">
        <w:rPr>
          <w:sz w:val="19"/>
          <w:szCs w:val="19"/>
        </w:rPr>
        <w:t xml:space="preserve"> or </w:t>
      </w:r>
      <w:r w:rsidR="00E56A88">
        <w:rPr>
          <w:sz w:val="19"/>
          <w:szCs w:val="19"/>
        </w:rPr>
        <w:fldChar w:fldCharType="begin"/>
      </w:r>
      <w:r w:rsidR="00E56A88">
        <w:rPr>
          <w:sz w:val="19"/>
          <w:szCs w:val="19"/>
        </w:rPr>
        <w:instrText xml:space="preserve"> REF _Ref486144882 \r \h </w:instrText>
      </w:r>
      <w:r w:rsidR="00E56A88">
        <w:rPr>
          <w:sz w:val="19"/>
          <w:szCs w:val="19"/>
        </w:rPr>
      </w:r>
      <w:r w:rsidR="00E56A88">
        <w:rPr>
          <w:sz w:val="19"/>
          <w:szCs w:val="19"/>
        </w:rPr>
        <w:fldChar w:fldCharType="separate"/>
      </w:r>
      <w:r w:rsidR="00C43128">
        <w:rPr>
          <w:sz w:val="19"/>
          <w:szCs w:val="19"/>
        </w:rPr>
        <w:t>6</w:t>
      </w:r>
      <w:r w:rsidR="00E56A88">
        <w:rPr>
          <w:sz w:val="19"/>
          <w:szCs w:val="19"/>
        </w:rPr>
        <w:fldChar w:fldCharType="end"/>
      </w:r>
      <w:r w:rsidRPr="00662611">
        <w:rPr>
          <w:sz w:val="19"/>
          <w:szCs w:val="19"/>
        </w:rPr>
        <w:t>, the arrangements should be accounted for as service concession arrangements. This approach would ensure the substance of an arrangement determines whether the arrangement is subject to this Standard.</w:t>
      </w:r>
    </w:p>
    <w:p w14:paraId="7D9277A4" w14:textId="77777777" w:rsidR="005B13A4" w:rsidRPr="00662611" w:rsidRDefault="005B13A4" w:rsidP="00F352A4">
      <w:pPr>
        <w:pStyle w:val="IASBSectionTitle2Ind"/>
        <w:outlineLvl w:val="2"/>
      </w:pPr>
      <w:r w:rsidRPr="00662611">
        <w:lastRenderedPageBreak/>
        <w:t>Change</w:t>
      </w:r>
      <w:r w:rsidR="00E54EA9" w:rsidRPr="00662611">
        <w:t>s</w:t>
      </w:r>
      <w:r w:rsidRPr="00662611">
        <w:t xml:space="preserve"> in control</w:t>
      </w:r>
    </w:p>
    <w:p w14:paraId="7D9277A5"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considered whether the Application Guidance should require </w:t>
      </w:r>
      <w:r w:rsidR="00844C4C" w:rsidRPr="00662611">
        <w:rPr>
          <w:sz w:val="19"/>
          <w:szCs w:val="19"/>
        </w:rPr>
        <w:t xml:space="preserve">that </w:t>
      </w:r>
      <w:r w:rsidRPr="00662611">
        <w:rPr>
          <w:sz w:val="19"/>
          <w:szCs w:val="19"/>
        </w:rPr>
        <w:t xml:space="preserve">where there is a change in </w:t>
      </w:r>
      <w:r w:rsidR="0055581A" w:rsidRPr="00662611">
        <w:rPr>
          <w:sz w:val="19"/>
          <w:szCs w:val="19"/>
        </w:rPr>
        <w:t xml:space="preserve">facts and circumstances indicating </w:t>
      </w:r>
      <w:r w:rsidRPr="00662611">
        <w:rPr>
          <w:sz w:val="19"/>
          <w:szCs w:val="19"/>
        </w:rPr>
        <w:t>the grantor’s control of the asset</w:t>
      </w:r>
      <w:r w:rsidR="0055581A" w:rsidRPr="00662611">
        <w:rPr>
          <w:sz w:val="19"/>
          <w:szCs w:val="19"/>
        </w:rPr>
        <w:t xml:space="preserve"> may have changed</w:t>
      </w:r>
      <w:r w:rsidRPr="00662611">
        <w:rPr>
          <w:sz w:val="19"/>
          <w:szCs w:val="19"/>
        </w:rPr>
        <w:t xml:space="preserve">, the arrangement should be </w:t>
      </w:r>
      <w:r w:rsidR="00152339" w:rsidRPr="00662611">
        <w:rPr>
          <w:sz w:val="19"/>
          <w:szCs w:val="19"/>
        </w:rPr>
        <w:t>re</w:t>
      </w:r>
      <w:r w:rsidRPr="00662611">
        <w:rPr>
          <w:sz w:val="19"/>
          <w:szCs w:val="19"/>
        </w:rPr>
        <w:t>assessed to determine whether it is still within the scope of the Standard. The Board concluded that the Standard should include such Application Guidance</w:t>
      </w:r>
      <w:r w:rsidR="00152339" w:rsidRPr="00662611">
        <w:rPr>
          <w:sz w:val="19"/>
          <w:szCs w:val="19"/>
        </w:rPr>
        <w:t>,</w:t>
      </w:r>
      <w:r w:rsidRPr="00662611">
        <w:rPr>
          <w:sz w:val="19"/>
          <w:szCs w:val="19"/>
        </w:rPr>
        <w:t xml:space="preserve"> similar to existing requirements </w:t>
      </w:r>
      <w:r w:rsidR="00152339" w:rsidRPr="00662611">
        <w:rPr>
          <w:sz w:val="19"/>
          <w:szCs w:val="19"/>
        </w:rPr>
        <w:t>in</w:t>
      </w:r>
      <w:r w:rsidRPr="00662611">
        <w:rPr>
          <w:sz w:val="19"/>
          <w:szCs w:val="19"/>
        </w:rPr>
        <w:t xml:space="preserve"> AASB</w:t>
      </w:r>
      <w:r w:rsidR="0088428D" w:rsidRPr="00662611">
        <w:rPr>
          <w:sz w:val="19"/>
          <w:szCs w:val="19"/>
        </w:rPr>
        <w:t> </w:t>
      </w:r>
      <w:r w:rsidR="00FC0C67" w:rsidRPr="00662611">
        <w:rPr>
          <w:sz w:val="19"/>
          <w:szCs w:val="19"/>
        </w:rPr>
        <w:t>16</w:t>
      </w:r>
      <w:r w:rsidRPr="00662611">
        <w:rPr>
          <w:sz w:val="19"/>
          <w:szCs w:val="19"/>
        </w:rPr>
        <w:t xml:space="preserve"> and AASB Interpretation</w:t>
      </w:r>
      <w:r w:rsidR="0088428D" w:rsidRPr="00662611">
        <w:rPr>
          <w:sz w:val="19"/>
          <w:szCs w:val="19"/>
        </w:rPr>
        <w:t> </w:t>
      </w:r>
      <w:r w:rsidRPr="00662611">
        <w:rPr>
          <w:sz w:val="19"/>
          <w:szCs w:val="19"/>
        </w:rPr>
        <w:t xml:space="preserve">4. The Application Guidance should also require </w:t>
      </w:r>
      <w:r w:rsidR="00152339" w:rsidRPr="00662611">
        <w:rPr>
          <w:sz w:val="19"/>
          <w:szCs w:val="19"/>
        </w:rPr>
        <w:t xml:space="preserve">that </w:t>
      </w:r>
      <w:r w:rsidRPr="00662611">
        <w:rPr>
          <w:sz w:val="19"/>
          <w:szCs w:val="19"/>
        </w:rPr>
        <w:t xml:space="preserve">where the grantor no longer controls the asset, as specified in the Standard, the grantor assesses whether the asset </w:t>
      </w:r>
      <w:r w:rsidR="001A09D1" w:rsidRPr="00662611">
        <w:rPr>
          <w:sz w:val="19"/>
          <w:szCs w:val="19"/>
        </w:rPr>
        <w:t xml:space="preserve">should </w:t>
      </w:r>
      <w:r w:rsidRPr="00662611">
        <w:rPr>
          <w:sz w:val="19"/>
          <w:szCs w:val="19"/>
        </w:rPr>
        <w:t>be recognised under another Accounting Standard.</w:t>
      </w:r>
    </w:p>
    <w:p w14:paraId="7D9277A6" w14:textId="08B4D161" w:rsidR="00E54EA9" w:rsidRPr="00662611" w:rsidRDefault="00E54EA9" w:rsidP="00F352A4">
      <w:pPr>
        <w:pStyle w:val="IASBSectionTitle2Ind"/>
        <w:outlineLvl w:val="2"/>
      </w:pPr>
      <w:r w:rsidRPr="00662611">
        <w:t>Residual interest and whole-of-life asset</w:t>
      </w:r>
      <w:r w:rsidR="00A92CF3" w:rsidRPr="00662611">
        <w:t>s</w:t>
      </w:r>
    </w:p>
    <w:p w14:paraId="7D9277A7" w14:textId="76A30C86"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considered whether the Application Guidance should provide guidance on what constitutes </w:t>
      </w:r>
      <w:r w:rsidR="00C00BC7" w:rsidRPr="00662611">
        <w:rPr>
          <w:sz w:val="19"/>
          <w:szCs w:val="19"/>
        </w:rPr>
        <w:t xml:space="preserve">a </w:t>
      </w:r>
      <w:r w:rsidRPr="00662611">
        <w:rPr>
          <w:sz w:val="19"/>
          <w:szCs w:val="19"/>
        </w:rPr>
        <w:t>‘significant residual interest’, including the determination of ‘</w:t>
      </w:r>
      <w:r w:rsidR="00CD2A2B" w:rsidRPr="00662611">
        <w:rPr>
          <w:sz w:val="19"/>
          <w:szCs w:val="19"/>
        </w:rPr>
        <w:t xml:space="preserve">fair </w:t>
      </w:r>
      <w:r w:rsidRPr="00662611">
        <w:rPr>
          <w:sz w:val="19"/>
          <w:szCs w:val="19"/>
        </w:rPr>
        <w:t xml:space="preserve">value’ and its relationship with </w:t>
      </w:r>
      <w:r w:rsidR="00C00BC7" w:rsidRPr="00662611">
        <w:rPr>
          <w:sz w:val="19"/>
          <w:szCs w:val="19"/>
        </w:rPr>
        <w:t xml:space="preserve">a </w:t>
      </w:r>
      <w:r w:rsidRPr="00662611">
        <w:rPr>
          <w:sz w:val="19"/>
          <w:szCs w:val="19"/>
        </w:rPr>
        <w:t xml:space="preserve">‘whole-of-life’ </w:t>
      </w:r>
      <w:r w:rsidR="00637DC3" w:rsidRPr="00662611">
        <w:rPr>
          <w:sz w:val="19"/>
          <w:szCs w:val="19"/>
        </w:rPr>
        <w:t>asset</w:t>
      </w:r>
      <w:r w:rsidR="003E7BC8" w:rsidRPr="00662611">
        <w:rPr>
          <w:sz w:val="19"/>
          <w:szCs w:val="19"/>
        </w:rPr>
        <w:t>,</w:t>
      </w:r>
      <w:r w:rsidR="00637DC3" w:rsidRPr="00662611">
        <w:rPr>
          <w:sz w:val="19"/>
          <w:szCs w:val="19"/>
        </w:rPr>
        <w:t xml:space="preserve"> </w:t>
      </w:r>
      <w:r w:rsidRPr="00662611">
        <w:rPr>
          <w:sz w:val="19"/>
          <w:szCs w:val="19"/>
        </w:rPr>
        <w:t xml:space="preserve">in </w:t>
      </w:r>
      <w:r w:rsidR="003E7BC8" w:rsidRPr="00662611">
        <w:rPr>
          <w:sz w:val="19"/>
          <w:szCs w:val="19"/>
        </w:rPr>
        <w:t xml:space="preserve">addressing </w:t>
      </w:r>
      <w:r w:rsidRPr="00662611">
        <w:rPr>
          <w:sz w:val="19"/>
          <w:szCs w:val="19"/>
        </w:rPr>
        <w:t>whether the grantor controls a significant residual interest as set out in paragraph</w:t>
      </w:r>
      <w:r w:rsidR="0054731E" w:rsidRPr="00662611">
        <w:rPr>
          <w:sz w:val="19"/>
          <w:szCs w:val="19"/>
        </w:rPr>
        <w:t> </w:t>
      </w:r>
      <w:r w:rsidR="00E90B96">
        <w:fldChar w:fldCharType="begin"/>
      </w:r>
      <w:r w:rsidR="00E90B96">
        <w:instrText xml:space="preserve"> REF _Ref475619556 \r \h </w:instrText>
      </w:r>
      <w:r w:rsidR="00E90B96">
        <w:fldChar w:fldCharType="separate"/>
      </w:r>
      <w:r w:rsidR="00C43128">
        <w:t>5</w:t>
      </w:r>
      <w:r w:rsidR="00E90B96">
        <w:fldChar w:fldCharType="end"/>
      </w:r>
      <w:r w:rsidR="001632A3" w:rsidRPr="00662611">
        <w:rPr>
          <w:sz w:val="19"/>
          <w:szCs w:val="19"/>
        </w:rPr>
        <w:t>(b)</w:t>
      </w:r>
      <w:r w:rsidRPr="00662611">
        <w:rPr>
          <w:sz w:val="19"/>
          <w:szCs w:val="19"/>
        </w:rPr>
        <w:t>.</w:t>
      </w:r>
    </w:p>
    <w:p w14:paraId="7D9277A8"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decided that:</w:t>
      </w:r>
    </w:p>
    <w:p w14:paraId="7D9277A9" w14:textId="7FECD1B1" w:rsidR="003862D4" w:rsidRPr="00662611" w:rsidRDefault="003862D4" w:rsidP="002704B7">
      <w:pPr>
        <w:numPr>
          <w:ilvl w:val="0"/>
          <w:numId w:val="24"/>
        </w:numPr>
        <w:spacing w:after="100"/>
        <w:ind w:left="1564" w:hanging="782"/>
        <w:jc w:val="both"/>
        <w:rPr>
          <w:szCs w:val="20"/>
        </w:rPr>
      </w:pPr>
      <w:proofErr w:type="gramStart"/>
      <w:r w:rsidRPr="00662611">
        <w:rPr>
          <w:szCs w:val="20"/>
        </w:rPr>
        <w:t>what</w:t>
      </w:r>
      <w:proofErr w:type="gramEnd"/>
      <w:r w:rsidRPr="00662611">
        <w:rPr>
          <w:szCs w:val="20"/>
        </w:rPr>
        <w:t xml:space="preserve"> constitutes ‘significant’ varies from one entity to another and is a matter of judgement for the individual entity and not a decision for the Board</w:t>
      </w:r>
      <w:r w:rsidR="005F7A11" w:rsidRPr="00662611">
        <w:rPr>
          <w:szCs w:val="20"/>
        </w:rPr>
        <w:t>. The judgement should be based on substance rather than form: for example, any residual interest is not necessarily a significant residual interest</w:t>
      </w:r>
      <w:r w:rsidRPr="00662611">
        <w:rPr>
          <w:szCs w:val="20"/>
        </w:rPr>
        <w:t>; and</w:t>
      </w:r>
    </w:p>
    <w:p w14:paraId="7D9277AA" w14:textId="7A115BE6" w:rsidR="003862D4" w:rsidRPr="00662611" w:rsidRDefault="003862D4" w:rsidP="002704B7">
      <w:pPr>
        <w:numPr>
          <w:ilvl w:val="0"/>
          <w:numId w:val="24"/>
        </w:numPr>
        <w:spacing w:after="100"/>
        <w:ind w:left="1564" w:hanging="782"/>
        <w:jc w:val="both"/>
        <w:rPr>
          <w:szCs w:val="20"/>
        </w:rPr>
      </w:pPr>
      <w:proofErr w:type="gramStart"/>
      <w:r w:rsidRPr="00662611">
        <w:rPr>
          <w:szCs w:val="20"/>
        </w:rPr>
        <w:t>the</w:t>
      </w:r>
      <w:proofErr w:type="gramEnd"/>
      <w:r w:rsidRPr="00662611">
        <w:rPr>
          <w:szCs w:val="20"/>
        </w:rPr>
        <w:t xml:space="preserve"> term ‘significant’ is used in numerous Standards without specific guidance as to what would constitute ‘significant’. The Board did not </w:t>
      </w:r>
      <w:r w:rsidR="004E4271" w:rsidRPr="00662611">
        <w:rPr>
          <w:szCs w:val="20"/>
        </w:rPr>
        <w:t>consider</w:t>
      </w:r>
      <w:r w:rsidR="00F90E3F" w:rsidRPr="00662611">
        <w:rPr>
          <w:szCs w:val="20"/>
        </w:rPr>
        <w:t xml:space="preserve"> </w:t>
      </w:r>
      <w:r w:rsidRPr="00662611">
        <w:rPr>
          <w:szCs w:val="20"/>
        </w:rPr>
        <w:t>specific guidance on the term would be appropriate</w:t>
      </w:r>
      <w:r w:rsidR="004E4271" w:rsidRPr="00662611">
        <w:rPr>
          <w:szCs w:val="20"/>
        </w:rPr>
        <w:t xml:space="preserve"> in this Standard</w:t>
      </w:r>
      <w:r w:rsidRPr="00662611">
        <w:rPr>
          <w:szCs w:val="20"/>
        </w:rPr>
        <w:t xml:space="preserve">. If the Board were to provide guidance on the term, the Board </w:t>
      </w:r>
      <w:r w:rsidR="004E4271" w:rsidRPr="00662611">
        <w:rPr>
          <w:szCs w:val="20"/>
        </w:rPr>
        <w:t xml:space="preserve">may </w:t>
      </w:r>
      <w:r w:rsidRPr="00662611">
        <w:rPr>
          <w:szCs w:val="20"/>
        </w:rPr>
        <w:t xml:space="preserve">need to refer the matter to the </w:t>
      </w:r>
      <w:r w:rsidR="005D3F3A" w:rsidRPr="00662611">
        <w:rPr>
          <w:szCs w:val="20"/>
        </w:rPr>
        <w:t xml:space="preserve">IASB </w:t>
      </w:r>
      <w:r w:rsidRPr="00662611">
        <w:rPr>
          <w:szCs w:val="20"/>
        </w:rPr>
        <w:t>for consideration</w:t>
      </w:r>
      <w:r w:rsidR="003E5011">
        <w:rPr>
          <w:szCs w:val="20"/>
        </w:rPr>
        <w:t xml:space="preserve"> with reference to maintaining compliance with IFRS Standards</w:t>
      </w:r>
      <w:r w:rsidRPr="00662611">
        <w:rPr>
          <w:szCs w:val="20"/>
        </w:rPr>
        <w:t xml:space="preserve">. </w:t>
      </w:r>
      <w:r w:rsidR="000224C0" w:rsidRPr="00662611">
        <w:rPr>
          <w:szCs w:val="20"/>
        </w:rPr>
        <w:t xml:space="preserve">Consideration by the </w:t>
      </w:r>
      <w:r w:rsidRPr="00662611">
        <w:rPr>
          <w:szCs w:val="20"/>
        </w:rPr>
        <w:t xml:space="preserve">IASB </w:t>
      </w:r>
      <w:r w:rsidR="000224C0" w:rsidRPr="00662611">
        <w:rPr>
          <w:szCs w:val="20"/>
        </w:rPr>
        <w:t xml:space="preserve">on this issue </w:t>
      </w:r>
      <w:r w:rsidRPr="00662611">
        <w:rPr>
          <w:szCs w:val="20"/>
        </w:rPr>
        <w:t xml:space="preserve">would </w:t>
      </w:r>
      <w:r w:rsidR="004E4271" w:rsidRPr="00662611">
        <w:rPr>
          <w:szCs w:val="20"/>
        </w:rPr>
        <w:t xml:space="preserve">most likely </w:t>
      </w:r>
      <w:r w:rsidRPr="00662611">
        <w:rPr>
          <w:szCs w:val="20"/>
        </w:rPr>
        <w:t>have implications beyond service concession arrangements.</w:t>
      </w:r>
    </w:p>
    <w:p w14:paraId="7D9277AB" w14:textId="5A7E2F1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requires the residual interest in the asset to be </w:t>
      </w:r>
      <w:r w:rsidR="00A57415" w:rsidRPr="00662611">
        <w:rPr>
          <w:sz w:val="19"/>
          <w:szCs w:val="19"/>
        </w:rPr>
        <w:t xml:space="preserve">measured </w:t>
      </w:r>
      <w:r w:rsidRPr="00662611">
        <w:rPr>
          <w:sz w:val="19"/>
          <w:szCs w:val="19"/>
        </w:rPr>
        <w:t xml:space="preserve">as the estimated </w:t>
      </w:r>
      <w:r w:rsidR="006729E4" w:rsidRPr="00662611">
        <w:rPr>
          <w:sz w:val="19"/>
          <w:szCs w:val="19"/>
        </w:rPr>
        <w:t xml:space="preserve">fair </w:t>
      </w:r>
      <w:r w:rsidRPr="00662611">
        <w:rPr>
          <w:sz w:val="19"/>
          <w:szCs w:val="19"/>
        </w:rPr>
        <w:t xml:space="preserve">value </w:t>
      </w:r>
      <w:r w:rsidR="006729E4" w:rsidRPr="00662611">
        <w:rPr>
          <w:sz w:val="19"/>
          <w:szCs w:val="19"/>
        </w:rPr>
        <w:t xml:space="preserve">(current replacement cost) </w:t>
      </w:r>
      <w:r w:rsidRPr="00662611">
        <w:rPr>
          <w:sz w:val="19"/>
          <w:szCs w:val="19"/>
        </w:rPr>
        <w:t>of the asset as if it were already of the age and in the condition expected at the end of the service concession arrangement. The Board considered whether guidance should be provided in determin</w:t>
      </w:r>
      <w:r w:rsidR="0050050D" w:rsidRPr="00662611">
        <w:rPr>
          <w:sz w:val="19"/>
          <w:szCs w:val="19"/>
        </w:rPr>
        <w:t>ing</w:t>
      </w:r>
      <w:r w:rsidRPr="00662611">
        <w:rPr>
          <w:sz w:val="19"/>
          <w:szCs w:val="19"/>
        </w:rPr>
        <w:t xml:space="preserve"> ‘</w:t>
      </w:r>
      <w:r w:rsidR="005A3C7F" w:rsidRPr="00662611">
        <w:rPr>
          <w:sz w:val="19"/>
          <w:szCs w:val="19"/>
        </w:rPr>
        <w:t xml:space="preserve">fair </w:t>
      </w:r>
      <w:r w:rsidRPr="00662611">
        <w:rPr>
          <w:sz w:val="19"/>
          <w:szCs w:val="19"/>
        </w:rPr>
        <w:t>value’</w:t>
      </w:r>
      <w:r w:rsidR="00890519" w:rsidRPr="00662611">
        <w:rPr>
          <w:sz w:val="19"/>
          <w:szCs w:val="19"/>
        </w:rPr>
        <w:t xml:space="preserve"> and its relationship to the asset’s residual interest,</w:t>
      </w:r>
      <w:r w:rsidR="005D7A74" w:rsidRPr="00662611">
        <w:rPr>
          <w:sz w:val="19"/>
          <w:szCs w:val="19"/>
        </w:rPr>
        <w:t xml:space="preserve"> and concluded it was not necessary to provide additional guidance </w:t>
      </w:r>
      <w:r w:rsidR="00E277A6" w:rsidRPr="00662611">
        <w:rPr>
          <w:sz w:val="19"/>
          <w:szCs w:val="19"/>
        </w:rPr>
        <w:t xml:space="preserve">(see paragraph </w:t>
      </w:r>
      <w:r w:rsidR="008C1668" w:rsidRPr="00662611">
        <w:rPr>
          <w:sz w:val="19"/>
          <w:szCs w:val="19"/>
        </w:rPr>
        <w:fldChar w:fldCharType="begin"/>
      </w:r>
      <w:r w:rsidR="008C1668" w:rsidRPr="00662611">
        <w:rPr>
          <w:sz w:val="19"/>
          <w:szCs w:val="19"/>
        </w:rPr>
        <w:instrText xml:space="preserve"> REF _Ref477283066 \r \h </w:instrText>
      </w:r>
      <w:r w:rsidR="008C1668" w:rsidRPr="00662611">
        <w:rPr>
          <w:sz w:val="19"/>
          <w:szCs w:val="19"/>
        </w:rPr>
      </w:r>
      <w:r w:rsidR="008C1668" w:rsidRPr="00662611">
        <w:rPr>
          <w:sz w:val="19"/>
          <w:szCs w:val="19"/>
        </w:rPr>
        <w:fldChar w:fldCharType="separate"/>
      </w:r>
      <w:r w:rsidR="00C43128">
        <w:rPr>
          <w:sz w:val="19"/>
          <w:szCs w:val="19"/>
        </w:rPr>
        <w:t>BC69</w:t>
      </w:r>
      <w:r w:rsidR="008C1668" w:rsidRPr="00662611">
        <w:rPr>
          <w:sz w:val="19"/>
          <w:szCs w:val="19"/>
        </w:rPr>
        <w:fldChar w:fldCharType="end"/>
      </w:r>
      <w:r w:rsidR="005D7A74" w:rsidRPr="00662611">
        <w:rPr>
          <w:sz w:val="19"/>
          <w:szCs w:val="19"/>
        </w:rPr>
        <w:t>)</w:t>
      </w:r>
      <w:r w:rsidRPr="00662611">
        <w:rPr>
          <w:sz w:val="19"/>
          <w:szCs w:val="19"/>
        </w:rPr>
        <w:t xml:space="preserve">. </w:t>
      </w:r>
    </w:p>
    <w:p w14:paraId="7D9277AC"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also considered the relationship between ‘significant residual interest’ and </w:t>
      </w:r>
      <w:r w:rsidR="009C3E1D" w:rsidRPr="00662611">
        <w:rPr>
          <w:sz w:val="19"/>
          <w:szCs w:val="19"/>
        </w:rPr>
        <w:t xml:space="preserve">a </w:t>
      </w:r>
      <w:r w:rsidRPr="00662611">
        <w:rPr>
          <w:sz w:val="19"/>
          <w:szCs w:val="19"/>
        </w:rPr>
        <w:t>‘whole-of-life’</w:t>
      </w:r>
      <w:r w:rsidR="00682317" w:rsidRPr="00662611">
        <w:rPr>
          <w:sz w:val="19"/>
          <w:szCs w:val="19"/>
        </w:rPr>
        <w:t xml:space="preserve"> asset</w:t>
      </w:r>
      <w:r w:rsidRPr="00662611">
        <w:rPr>
          <w:sz w:val="19"/>
          <w:szCs w:val="19"/>
        </w:rPr>
        <w:t xml:space="preserve"> in determining whether the grantor has control of an asset. The Board decided that if the term of the service concession arrangement: </w:t>
      </w:r>
    </w:p>
    <w:p w14:paraId="7D9277AD" w14:textId="22CE6A2C" w:rsidR="003862D4" w:rsidRPr="00662611" w:rsidRDefault="003862D4" w:rsidP="00B6393B">
      <w:pPr>
        <w:pStyle w:val="Default"/>
        <w:spacing w:after="100"/>
        <w:ind w:left="1564" w:hanging="782"/>
        <w:jc w:val="both"/>
        <w:rPr>
          <w:sz w:val="19"/>
          <w:szCs w:val="19"/>
        </w:rPr>
      </w:pPr>
      <w:r w:rsidRPr="00662611">
        <w:rPr>
          <w:sz w:val="19"/>
          <w:szCs w:val="19"/>
        </w:rPr>
        <w:t>(</w:t>
      </w:r>
      <w:proofErr w:type="gramStart"/>
      <w:r w:rsidRPr="00662611">
        <w:rPr>
          <w:sz w:val="19"/>
          <w:szCs w:val="19"/>
        </w:rPr>
        <w:t>a</w:t>
      </w:r>
      <w:proofErr w:type="gramEnd"/>
      <w:r w:rsidRPr="00662611">
        <w:rPr>
          <w:sz w:val="19"/>
          <w:szCs w:val="19"/>
        </w:rPr>
        <w:t>)</w:t>
      </w:r>
      <w:r w:rsidRPr="00662611">
        <w:rPr>
          <w:sz w:val="19"/>
          <w:szCs w:val="19"/>
        </w:rPr>
        <w:tab/>
        <w:t xml:space="preserve">is not the </w:t>
      </w:r>
      <w:r w:rsidR="0053506E" w:rsidRPr="00662611">
        <w:rPr>
          <w:sz w:val="19"/>
          <w:szCs w:val="19"/>
        </w:rPr>
        <w:t xml:space="preserve">economic life </w:t>
      </w:r>
      <w:r w:rsidRPr="00662611">
        <w:rPr>
          <w:sz w:val="19"/>
          <w:szCs w:val="19"/>
        </w:rPr>
        <w:t>of the asset, then paragraph</w:t>
      </w:r>
      <w:r w:rsidR="00E90B96">
        <w:rPr>
          <w:sz w:val="19"/>
          <w:szCs w:val="19"/>
        </w:rPr>
        <w:t xml:space="preserve"> </w:t>
      </w:r>
      <w:r w:rsidR="00E90B96" w:rsidRPr="00E90B96">
        <w:rPr>
          <w:sz w:val="19"/>
          <w:szCs w:val="19"/>
        </w:rPr>
        <w:fldChar w:fldCharType="begin"/>
      </w:r>
      <w:r w:rsidR="00E90B96" w:rsidRPr="00E90B96">
        <w:rPr>
          <w:sz w:val="19"/>
          <w:szCs w:val="19"/>
        </w:rPr>
        <w:instrText xml:space="preserve"> REF _Ref475619556 \r \h </w:instrText>
      </w:r>
      <w:r w:rsidR="00E90B96">
        <w:rPr>
          <w:sz w:val="19"/>
          <w:szCs w:val="19"/>
        </w:rPr>
        <w:instrText xml:space="preserve"> \* MERGEFORMAT </w:instrText>
      </w:r>
      <w:r w:rsidR="00E90B96" w:rsidRPr="00E90B96">
        <w:rPr>
          <w:sz w:val="19"/>
          <w:szCs w:val="19"/>
        </w:rPr>
      </w:r>
      <w:r w:rsidR="00E90B96" w:rsidRPr="00E90B96">
        <w:rPr>
          <w:sz w:val="19"/>
          <w:szCs w:val="19"/>
        </w:rPr>
        <w:fldChar w:fldCharType="separate"/>
      </w:r>
      <w:r w:rsidR="00C43128">
        <w:rPr>
          <w:sz w:val="19"/>
          <w:szCs w:val="19"/>
        </w:rPr>
        <w:t>5</w:t>
      </w:r>
      <w:r w:rsidR="00E90B96" w:rsidRPr="00E90B96">
        <w:rPr>
          <w:sz w:val="19"/>
          <w:szCs w:val="19"/>
        </w:rPr>
        <w:fldChar w:fldCharType="end"/>
      </w:r>
      <w:r w:rsidR="00E90B96">
        <w:rPr>
          <w:sz w:val="19"/>
          <w:szCs w:val="19"/>
        </w:rPr>
        <w:t xml:space="preserve"> </w:t>
      </w:r>
      <w:r w:rsidRPr="00662611">
        <w:rPr>
          <w:sz w:val="19"/>
          <w:szCs w:val="19"/>
        </w:rPr>
        <w:t>of the Standard applies; or</w:t>
      </w:r>
    </w:p>
    <w:p w14:paraId="7D9277AE" w14:textId="2122252A" w:rsidR="003862D4" w:rsidRPr="00662611" w:rsidRDefault="003862D4" w:rsidP="00B6393B">
      <w:pPr>
        <w:pStyle w:val="Default"/>
        <w:spacing w:after="100"/>
        <w:ind w:left="1564" w:hanging="782"/>
        <w:rPr>
          <w:sz w:val="19"/>
          <w:szCs w:val="19"/>
        </w:rPr>
      </w:pPr>
      <w:r w:rsidRPr="00662611">
        <w:rPr>
          <w:sz w:val="19"/>
          <w:szCs w:val="19"/>
        </w:rPr>
        <w:t>(b)</w:t>
      </w:r>
      <w:r w:rsidRPr="00662611">
        <w:rPr>
          <w:sz w:val="19"/>
          <w:szCs w:val="19"/>
        </w:rPr>
        <w:tab/>
      </w:r>
      <w:proofErr w:type="gramStart"/>
      <w:r w:rsidRPr="00662611">
        <w:rPr>
          <w:sz w:val="19"/>
          <w:szCs w:val="19"/>
        </w:rPr>
        <w:t>is</w:t>
      </w:r>
      <w:proofErr w:type="gramEnd"/>
      <w:r w:rsidRPr="00662611">
        <w:rPr>
          <w:sz w:val="19"/>
          <w:szCs w:val="19"/>
        </w:rPr>
        <w:t xml:space="preserve"> the </w:t>
      </w:r>
      <w:r w:rsidR="0053506E" w:rsidRPr="00662611">
        <w:rPr>
          <w:sz w:val="19"/>
          <w:szCs w:val="19"/>
        </w:rPr>
        <w:t xml:space="preserve">economic life </w:t>
      </w:r>
      <w:r w:rsidRPr="00662611">
        <w:rPr>
          <w:sz w:val="19"/>
          <w:szCs w:val="19"/>
        </w:rPr>
        <w:t xml:space="preserve">of the asset, then paragraph </w:t>
      </w:r>
      <w:r w:rsidR="00E56A88">
        <w:rPr>
          <w:sz w:val="19"/>
          <w:szCs w:val="19"/>
        </w:rPr>
        <w:fldChar w:fldCharType="begin"/>
      </w:r>
      <w:r w:rsidR="00E56A88">
        <w:rPr>
          <w:sz w:val="19"/>
          <w:szCs w:val="19"/>
        </w:rPr>
        <w:instrText xml:space="preserve"> REF _Ref486144882 \r \h </w:instrText>
      </w:r>
      <w:r w:rsidR="00E56A88">
        <w:rPr>
          <w:sz w:val="19"/>
          <w:szCs w:val="19"/>
        </w:rPr>
      </w:r>
      <w:r w:rsidR="00E56A88">
        <w:rPr>
          <w:sz w:val="19"/>
          <w:szCs w:val="19"/>
        </w:rPr>
        <w:fldChar w:fldCharType="separate"/>
      </w:r>
      <w:r w:rsidR="00C43128">
        <w:rPr>
          <w:sz w:val="19"/>
          <w:szCs w:val="19"/>
        </w:rPr>
        <w:t>6</w:t>
      </w:r>
      <w:r w:rsidR="00E56A88">
        <w:rPr>
          <w:sz w:val="19"/>
          <w:szCs w:val="19"/>
        </w:rPr>
        <w:fldChar w:fldCharType="end"/>
      </w:r>
      <w:r w:rsidRPr="00662611">
        <w:rPr>
          <w:sz w:val="19"/>
          <w:szCs w:val="19"/>
        </w:rPr>
        <w:t xml:space="preserve"> of the Standard applies. </w:t>
      </w:r>
    </w:p>
    <w:p w14:paraId="7D9277AF" w14:textId="040EEF95" w:rsidR="003862D4" w:rsidRPr="00662611" w:rsidRDefault="003862D4" w:rsidP="00B6393B">
      <w:pPr>
        <w:pStyle w:val="NumAG2"/>
        <w:numPr>
          <w:ilvl w:val="0"/>
          <w:numId w:val="0"/>
        </w:numPr>
        <w:ind w:left="782" w:hanging="782"/>
        <w:rPr>
          <w:szCs w:val="19"/>
        </w:rPr>
      </w:pPr>
      <w:r w:rsidRPr="00662611">
        <w:rPr>
          <w:szCs w:val="19"/>
        </w:rPr>
        <w:tab/>
        <w:t xml:space="preserve">The Board noted this is consistent with the general observation that the amount of residual interest at the end of an arrangement is inversely </w:t>
      </w:r>
      <w:r w:rsidR="0053506E" w:rsidRPr="00662611">
        <w:rPr>
          <w:szCs w:val="19"/>
        </w:rPr>
        <w:t xml:space="preserve">related </w:t>
      </w:r>
      <w:r w:rsidRPr="00662611">
        <w:rPr>
          <w:szCs w:val="19"/>
        </w:rPr>
        <w:t xml:space="preserve">to the term of the service concession arrangement relative to the </w:t>
      </w:r>
      <w:r w:rsidR="00031BCE" w:rsidRPr="00662611">
        <w:rPr>
          <w:szCs w:val="19"/>
        </w:rPr>
        <w:t xml:space="preserve">economic </w:t>
      </w:r>
      <w:r w:rsidRPr="00662611">
        <w:rPr>
          <w:szCs w:val="19"/>
        </w:rPr>
        <w:t xml:space="preserve">life of the asset. That is, the residual interest at the end of the arrangement is likely to be significant if the term of the arrangement is not </w:t>
      </w:r>
      <w:r w:rsidR="00D64EB5">
        <w:rPr>
          <w:szCs w:val="19"/>
        </w:rPr>
        <w:t xml:space="preserve">at least </w:t>
      </w:r>
      <w:r w:rsidRPr="00662611">
        <w:rPr>
          <w:szCs w:val="19"/>
        </w:rPr>
        <w:t xml:space="preserve">the majority portion of the </w:t>
      </w:r>
      <w:r w:rsidR="0053506E" w:rsidRPr="00662611">
        <w:rPr>
          <w:szCs w:val="19"/>
        </w:rPr>
        <w:t xml:space="preserve">economic life </w:t>
      </w:r>
      <w:r w:rsidRPr="00662611">
        <w:rPr>
          <w:szCs w:val="19"/>
        </w:rPr>
        <w:t xml:space="preserve">of the asset. Consequently, such an arrangement would be </w:t>
      </w:r>
      <w:r w:rsidR="0053506E" w:rsidRPr="00662611">
        <w:rPr>
          <w:szCs w:val="19"/>
        </w:rPr>
        <w:t xml:space="preserve">subject to </w:t>
      </w:r>
      <w:r w:rsidRPr="00662611">
        <w:rPr>
          <w:szCs w:val="19"/>
        </w:rPr>
        <w:t xml:space="preserve">paragraphs </w:t>
      </w:r>
      <w:r w:rsidR="006A2C2F">
        <w:rPr>
          <w:szCs w:val="19"/>
        </w:rPr>
        <w:fldChar w:fldCharType="begin"/>
      </w:r>
      <w:r w:rsidR="006A2C2F">
        <w:rPr>
          <w:szCs w:val="19"/>
        </w:rPr>
        <w:instrText xml:space="preserve"> REF _Ref475619556 \r \h </w:instrText>
      </w:r>
      <w:r w:rsidR="006A2C2F">
        <w:rPr>
          <w:szCs w:val="19"/>
        </w:rPr>
      </w:r>
      <w:r w:rsidR="006A2C2F">
        <w:rPr>
          <w:szCs w:val="19"/>
        </w:rPr>
        <w:fldChar w:fldCharType="separate"/>
      </w:r>
      <w:r w:rsidR="00C43128">
        <w:rPr>
          <w:szCs w:val="19"/>
        </w:rPr>
        <w:t>5</w:t>
      </w:r>
      <w:r w:rsidR="006A2C2F">
        <w:rPr>
          <w:szCs w:val="19"/>
        </w:rPr>
        <w:fldChar w:fldCharType="end"/>
      </w:r>
      <w:r w:rsidR="009057AD" w:rsidRPr="00662611">
        <w:rPr>
          <w:szCs w:val="19"/>
        </w:rPr>
        <w:t>(a)</w:t>
      </w:r>
      <w:r w:rsidRPr="00662611">
        <w:rPr>
          <w:szCs w:val="19"/>
        </w:rPr>
        <w:t xml:space="preserve"> and (b). Alternatively, where the residual interest is insignificant, the arrangement would be </w:t>
      </w:r>
      <w:r w:rsidR="0053506E" w:rsidRPr="00662611">
        <w:rPr>
          <w:szCs w:val="19"/>
        </w:rPr>
        <w:t xml:space="preserve">subject </w:t>
      </w:r>
      <w:r w:rsidR="00C42A2D" w:rsidRPr="00662611">
        <w:rPr>
          <w:szCs w:val="19"/>
        </w:rPr>
        <w:t xml:space="preserve">either </w:t>
      </w:r>
      <w:r w:rsidR="0053506E" w:rsidRPr="00662611">
        <w:rPr>
          <w:szCs w:val="19"/>
        </w:rPr>
        <w:t>to</w:t>
      </w:r>
      <w:r w:rsidRPr="00662611">
        <w:rPr>
          <w:szCs w:val="19"/>
        </w:rPr>
        <w:t xml:space="preserve"> paragraph </w:t>
      </w:r>
      <w:r w:rsidR="00E77062" w:rsidRPr="00E90B96">
        <w:rPr>
          <w:szCs w:val="19"/>
        </w:rPr>
        <w:fldChar w:fldCharType="begin"/>
      </w:r>
      <w:r w:rsidR="00E77062" w:rsidRPr="00E90B96">
        <w:rPr>
          <w:szCs w:val="19"/>
        </w:rPr>
        <w:instrText xml:space="preserve"> REF _Ref475619556 \r \h </w:instrText>
      </w:r>
      <w:r w:rsidR="00E77062">
        <w:rPr>
          <w:szCs w:val="19"/>
        </w:rPr>
        <w:instrText xml:space="preserve"> \* MERGEFORMAT </w:instrText>
      </w:r>
      <w:r w:rsidR="00E77062" w:rsidRPr="00E90B96">
        <w:rPr>
          <w:szCs w:val="19"/>
        </w:rPr>
      </w:r>
      <w:r w:rsidR="00E77062" w:rsidRPr="00E90B96">
        <w:rPr>
          <w:szCs w:val="19"/>
        </w:rPr>
        <w:fldChar w:fldCharType="separate"/>
      </w:r>
      <w:r w:rsidR="00C43128">
        <w:rPr>
          <w:szCs w:val="19"/>
        </w:rPr>
        <w:t>5</w:t>
      </w:r>
      <w:r w:rsidR="00E77062" w:rsidRPr="00E90B96">
        <w:rPr>
          <w:szCs w:val="19"/>
        </w:rPr>
        <w:fldChar w:fldCharType="end"/>
      </w:r>
      <w:r w:rsidR="009057AD" w:rsidRPr="00662611">
        <w:rPr>
          <w:szCs w:val="19"/>
        </w:rPr>
        <w:t>(a)</w:t>
      </w:r>
      <w:r w:rsidR="008403B4" w:rsidRPr="00662611">
        <w:rPr>
          <w:szCs w:val="19"/>
        </w:rPr>
        <w:t xml:space="preserve"> </w:t>
      </w:r>
      <w:r w:rsidR="003A0104" w:rsidRPr="00662611">
        <w:rPr>
          <w:szCs w:val="19"/>
        </w:rPr>
        <w:t xml:space="preserve">or, for a whole-of-life asset, paragraph </w:t>
      </w:r>
      <w:r w:rsidR="006A2C2F">
        <w:rPr>
          <w:szCs w:val="19"/>
        </w:rPr>
        <w:fldChar w:fldCharType="begin"/>
      </w:r>
      <w:r w:rsidR="006A2C2F">
        <w:rPr>
          <w:szCs w:val="19"/>
        </w:rPr>
        <w:instrText xml:space="preserve"> REF _Ref486144882 \r \h </w:instrText>
      </w:r>
      <w:r w:rsidR="006A2C2F">
        <w:rPr>
          <w:szCs w:val="19"/>
        </w:rPr>
      </w:r>
      <w:r w:rsidR="006A2C2F">
        <w:rPr>
          <w:szCs w:val="19"/>
        </w:rPr>
        <w:fldChar w:fldCharType="separate"/>
      </w:r>
      <w:r w:rsidR="00C43128">
        <w:rPr>
          <w:szCs w:val="19"/>
        </w:rPr>
        <w:t>6</w:t>
      </w:r>
      <w:r w:rsidR="006A2C2F">
        <w:rPr>
          <w:szCs w:val="19"/>
        </w:rPr>
        <w:fldChar w:fldCharType="end"/>
      </w:r>
      <w:r w:rsidRPr="00662611">
        <w:rPr>
          <w:szCs w:val="19"/>
        </w:rPr>
        <w:t>.</w:t>
      </w:r>
    </w:p>
    <w:p w14:paraId="7D9277B0" w14:textId="07622D75" w:rsidR="000B5F9C" w:rsidRPr="00662611" w:rsidRDefault="00EA3545"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Paragraph </w:t>
      </w:r>
      <w:r w:rsidR="006A2C2F">
        <w:rPr>
          <w:sz w:val="19"/>
          <w:szCs w:val="19"/>
        </w:rPr>
        <w:fldChar w:fldCharType="begin"/>
      </w:r>
      <w:r w:rsidR="006A2C2F">
        <w:rPr>
          <w:sz w:val="19"/>
          <w:szCs w:val="19"/>
        </w:rPr>
        <w:instrText xml:space="preserve"> REF _Ref486144882 \r \h </w:instrText>
      </w:r>
      <w:r w:rsidR="006A2C2F">
        <w:rPr>
          <w:sz w:val="19"/>
          <w:szCs w:val="19"/>
        </w:rPr>
      </w:r>
      <w:r w:rsidR="006A2C2F">
        <w:rPr>
          <w:sz w:val="19"/>
          <w:szCs w:val="19"/>
        </w:rPr>
        <w:fldChar w:fldCharType="separate"/>
      </w:r>
      <w:r w:rsidR="00C43128">
        <w:rPr>
          <w:sz w:val="19"/>
          <w:szCs w:val="19"/>
        </w:rPr>
        <w:t>6</w:t>
      </w:r>
      <w:r w:rsidR="006A2C2F">
        <w:rPr>
          <w:sz w:val="19"/>
          <w:szCs w:val="19"/>
        </w:rPr>
        <w:fldChar w:fldCharType="end"/>
      </w:r>
      <w:r w:rsidRPr="00662611">
        <w:rPr>
          <w:sz w:val="19"/>
          <w:szCs w:val="19"/>
        </w:rPr>
        <w:t xml:space="preserve"> of this </w:t>
      </w:r>
      <w:r w:rsidR="00E04CB4" w:rsidRPr="00662611">
        <w:rPr>
          <w:sz w:val="19"/>
          <w:szCs w:val="19"/>
        </w:rPr>
        <w:t>Standard requires the grantor to recognise an asset that will be used in a service concession arrangement for its economic life (a whole-of-life asset) if the conditions in paragraph</w:t>
      </w:r>
      <w:r w:rsidR="001718BC" w:rsidRPr="00662611">
        <w:rPr>
          <w:sz w:val="19"/>
          <w:szCs w:val="19"/>
        </w:rPr>
        <w:t> </w:t>
      </w:r>
      <w:r w:rsidR="00E77062" w:rsidRPr="00E90B96">
        <w:rPr>
          <w:sz w:val="19"/>
          <w:szCs w:val="19"/>
        </w:rPr>
        <w:fldChar w:fldCharType="begin"/>
      </w:r>
      <w:r w:rsidR="00E77062" w:rsidRPr="00E90B96">
        <w:rPr>
          <w:sz w:val="19"/>
          <w:szCs w:val="19"/>
        </w:rPr>
        <w:instrText xml:space="preserve"> REF _Ref475619556 \r \h </w:instrText>
      </w:r>
      <w:r w:rsidR="00E77062">
        <w:rPr>
          <w:sz w:val="19"/>
          <w:szCs w:val="19"/>
        </w:rPr>
        <w:instrText xml:space="preserve"> \* MERGEFORMAT </w:instrText>
      </w:r>
      <w:r w:rsidR="00E77062" w:rsidRPr="00E90B96">
        <w:rPr>
          <w:sz w:val="19"/>
          <w:szCs w:val="19"/>
        </w:rPr>
      </w:r>
      <w:r w:rsidR="00E77062" w:rsidRPr="00E90B96">
        <w:rPr>
          <w:sz w:val="19"/>
          <w:szCs w:val="19"/>
        </w:rPr>
        <w:fldChar w:fldCharType="separate"/>
      </w:r>
      <w:r w:rsidR="00C43128">
        <w:rPr>
          <w:sz w:val="19"/>
          <w:szCs w:val="19"/>
        </w:rPr>
        <w:t>5</w:t>
      </w:r>
      <w:r w:rsidR="00E77062" w:rsidRPr="00E90B96">
        <w:rPr>
          <w:sz w:val="19"/>
          <w:szCs w:val="19"/>
        </w:rPr>
        <w:fldChar w:fldCharType="end"/>
      </w:r>
      <w:r w:rsidR="00E04CB4" w:rsidRPr="00662611">
        <w:rPr>
          <w:sz w:val="19"/>
          <w:szCs w:val="19"/>
        </w:rPr>
        <w:t xml:space="preserve">(a) are met. The Board decided to use the term </w:t>
      </w:r>
      <w:r w:rsidR="003126B4" w:rsidRPr="00662611">
        <w:rPr>
          <w:sz w:val="19"/>
          <w:szCs w:val="19"/>
        </w:rPr>
        <w:t>‘</w:t>
      </w:r>
      <w:r w:rsidR="00E04CB4" w:rsidRPr="00662611">
        <w:rPr>
          <w:sz w:val="19"/>
          <w:szCs w:val="19"/>
        </w:rPr>
        <w:t xml:space="preserve">economic </w:t>
      </w:r>
      <w:r w:rsidR="00E67BA3" w:rsidRPr="00662611">
        <w:rPr>
          <w:sz w:val="19"/>
          <w:szCs w:val="19"/>
        </w:rPr>
        <w:t>life</w:t>
      </w:r>
      <w:r w:rsidR="003126B4" w:rsidRPr="00662611">
        <w:rPr>
          <w:sz w:val="19"/>
          <w:szCs w:val="19"/>
        </w:rPr>
        <w:t>’</w:t>
      </w:r>
      <w:r w:rsidR="00E04CB4" w:rsidRPr="00662611">
        <w:rPr>
          <w:sz w:val="19"/>
          <w:szCs w:val="19"/>
        </w:rPr>
        <w:t xml:space="preserve"> instead of ‘useful life’ </w:t>
      </w:r>
      <w:r w:rsidR="009C65C0" w:rsidRPr="00662611">
        <w:rPr>
          <w:sz w:val="19"/>
          <w:szCs w:val="19"/>
        </w:rPr>
        <w:t>as</w:t>
      </w:r>
      <w:r w:rsidR="00E04CB4" w:rsidRPr="00662611">
        <w:rPr>
          <w:sz w:val="19"/>
          <w:szCs w:val="19"/>
        </w:rPr>
        <w:t xml:space="preserve"> proposed in ED 261</w:t>
      </w:r>
      <w:r w:rsidR="00603AB1" w:rsidRPr="00662611">
        <w:rPr>
          <w:sz w:val="19"/>
          <w:szCs w:val="19"/>
        </w:rPr>
        <w:t xml:space="preserve"> (paragraph</w:t>
      </w:r>
      <w:r w:rsidR="00AA0DA8">
        <w:rPr>
          <w:sz w:val="19"/>
          <w:szCs w:val="19"/>
        </w:rPr>
        <w:t xml:space="preserve"> 9</w:t>
      </w:r>
      <w:r w:rsidR="00603AB1" w:rsidRPr="00662611">
        <w:rPr>
          <w:sz w:val="19"/>
          <w:szCs w:val="19"/>
        </w:rPr>
        <w:t>)</w:t>
      </w:r>
      <w:r w:rsidR="00E04CB4" w:rsidRPr="00662611">
        <w:rPr>
          <w:sz w:val="19"/>
          <w:szCs w:val="19"/>
        </w:rPr>
        <w:t xml:space="preserve">. </w:t>
      </w:r>
      <w:r w:rsidR="001F41B1" w:rsidRPr="00662611">
        <w:rPr>
          <w:sz w:val="19"/>
          <w:szCs w:val="19"/>
        </w:rPr>
        <w:t>T</w:t>
      </w:r>
      <w:r w:rsidR="00E04CB4" w:rsidRPr="00662611">
        <w:rPr>
          <w:sz w:val="19"/>
          <w:szCs w:val="19"/>
        </w:rPr>
        <w:t>he economic life of an asset is</w:t>
      </w:r>
      <w:r w:rsidR="00175172" w:rsidRPr="00662611">
        <w:rPr>
          <w:sz w:val="19"/>
          <w:szCs w:val="19"/>
        </w:rPr>
        <w:t xml:space="preserve"> the period over which future economic benefits are expected from all possible users of the asset, and may</w:t>
      </w:r>
      <w:r w:rsidR="00E67BA3" w:rsidRPr="00662611">
        <w:rPr>
          <w:sz w:val="19"/>
          <w:szCs w:val="19"/>
        </w:rPr>
        <w:t xml:space="preserve"> </w:t>
      </w:r>
      <w:r w:rsidR="00175172" w:rsidRPr="00662611">
        <w:rPr>
          <w:sz w:val="19"/>
          <w:szCs w:val="19"/>
        </w:rPr>
        <w:t>be</w:t>
      </w:r>
      <w:r w:rsidR="00E04CB4" w:rsidRPr="00662611">
        <w:rPr>
          <w:sz w:val="19"/>
          <w:szCs w:val="19"/>
        </w:rPr>
        <w:t xml:space="preserve"> the entire physical life of the asset</w:t>
      </w:r>
      <w:r w:rsidR="001F41B1" w:rsidRPr="00662611">
        <w:rPr>
          <w:sz w:val="19"/>
          <w:szCs w:val="19"/>
        </w:rPr>
        <w:t xml:space="preserve">. Consequently, an asset used in a service concession arrangement for its economic life will not have a </w:t>
      </w:r>
      <w:r w:rsidR="00E04CB4" w:rsidRPr="00662611">
        <w:rPr>
          <w:sz w:val="19"/>
          <w:szCs w:val="19"/>
        </w:rPr>
        <w:t>significant residual interest</w:t>
      </w:r>
      <w:r w:rsidR="00BC3398" w:rsidRPr="00662611">
        <w:rPr>
          <w:sz w:val="19"/>
          <w:szCs w:val="19"/>
        </w:rPr>
        <w:t xml:space="preserve"> at the end of the arrangement</w:t>
      </w:r>
      <w:r w:rsidR="00337823" w:rsidRPr="00662611">
        <w:rPr>
          <w:sz w:val="19"/>
          <w:szCs w:val="19"/>
        </w:rPr>
        <w:t xml:space="preserve">, and the condition in paragraph </w:t>
      </w:r>
      <w:r w:rsidR="006A2C2F" w:rsidRPr="00E90B96">
        <w:rPr>
          <w:sz w:val="19"/>
          <w:szCs w:val="19"/>
        </w:rPr>
        <w:fldChar w:fldCharType="begin"/>
      </w:r>
      <w:r w:rsidR="006A2C2F" w:rsidRPr="00E90B96">
        <w:rPr>
          <w:sz w:val="19"/>
          <w:szCs w:val="19"/>
        </w:rPr>
        <w:instrText xml:space="preserve"> REF _Ref475619556 \r \h </w:instrText>
      </w:r>
      <w:r w:rsidR="006A2C2F">
        <w:rPr>
          <w:sz w:val="19"/>
          <w:szCs w:val="19"/>
        </w:rPr>
        <w:instrText xml:space="preserve"> \* MERGEFORMAT </w:instrText>
      </w:r>
      <w:r w:rsidR="006A2C2F" w:rsidRPr="00E90B96">
        <w:rPr>
          <w:sz w:val="19"/>
          <w:szCs w:val="19"/>
        </w:rPr>
      </w:r>
      <w:r w:rsidR="006A2C2F" w:rsidRPr="00E90B96">
        <w:rPr>
          <w:sz w:val="19"/>
          <w:szCs w:val="19"/>
        </w:rPr>
        <w:fldChar w:fldCharType="separate"/>
      </w:r>
      <w:r w:rsidR="00C43128">
        <w:rPr>
          <w:sz w:val="19"/>
          <w:szCs w:val="19"/>
        </w:rPr>
        <w:t>5</w:t>
      </w:r>
      <w:r w:rsidR="006A2C2F" w:rsidRPr="00E90B96">
        <w:rPr>
          <w:sz w:val="19"/>
          <w:szCs w:val="19"/>
        </w:rPr>
        <w:fldChar w:fldCharType="end"/>
      </w:r>
      <w:r w:rsidR="00337823" w:rsidRPr="00662611">
        <w:rPr>
          <w:sz w:val="19"/>
          <w:szCs w:val="19"/>
        </w:rPr>
        <w:t>(b) will not be relevant</w:t>
      </w:r>
      <w:r w:rsidR="00E04CB4" w:rsidRPr="00662611">
        <w:rPr>
          <w:sz w:val="19"/>
          <w:szCs w:val="19"/>
        </w:rPr>
        <w:t>. This contrasts with the term ‘useful life’</w:t>
      </w:r>
      <w:r w:rsidR="00337823" w:rsidRPr="00662611">
        <w:rPr>
          <w:sz w:val="19"/>
          <w:szCs w:val="19"/>
        </w:rPr>
        <w:t>,</w:t>
      </w:r>
      <w:r w:rsidR="00E04CB4" w:rsidRPr="00662611">
        <w:rPr>
          <w:sz w:val="19"/>
          <w:szCs w:val="19"/>
        </w:rPr>
        <w:t xml:space="preserve"> which is defined </w:t>
      </w:r>
      <w:r w:rsidR="00E67BA3" w:rsidRPr="00662611">
        <w:rPr>
          <w:sz w:val="19"/>
          <w:szCs w:val="19"/>
        </w:rPr>
        <w:t xml:space="preserve">in AASB 116 </w:t>
      </w:r>
      <w:r w:rsidR="00E67BA3" w:rsidRPr="00662611">
        <w:rPr>
          <w:i/>
          <w:sz w:val="19"/>
          <w:szCs w:val="19"/>
        </w:rPr>
        <w:t>Property, Plant and Equipment</w:t>
      </w:r>
      <w:r w:rsidR="00E67BA3" w:rsidRPr="00662611">
        <w:rPr>
          <w:sz w:val="19"/>
          <w:szCs w:val="19"/>
        </w:rPr>
        <w:t xml:space="preserve"> </w:t>
      </w:r>
      <w:r w:rsidR="00E04CB4" w:rsidRPr="00662611">
        <w:rPr>
          <w:sz w:val="19"/>
          <w:szCs w:val="19"/>
        </w:rPr>
        <w:t xml:space="preserve">as </w:t>
      </w:r>
      <w:r w:rsidR="00337823" w:rsidRPr="00662611">
        <w:rPr>
          <w:sz w:val="19"/>
          <w:szCs w:val="19"/>
        </w:rPr>
        <w:t xml:space="preserve">the </w:t>
      </w:r>
      <w:r w:rsidR="00E04CB4" w:rsidRPr="00662611">
        <w:rPr>
          <w:sz w:val="19"/>
          <w:szCs w:val="19"/>
        </w:rPr>
        <w:t xml:space="preserve">period over which an asset is expected to be </w:t>
      </w:r>
      <w:r w:rsidRPr="00662611">
        <w:rPr>
          <w:sz w:val="19"/>
          <w:szCs w:val="19"/>
        </w:rPr>
        <w:t>available for use by an entity</w:t>
      </w:r>
      <w:r w:rsidR="00E04CB4" w:rsidRPr="00662611">
        <w:rPr>
          <w:sz w:val="19"/>
          <w:szCs w:val="19"/>
        </w:rPr>
        <w:t>.</w:t>
      </w:r>
      <w:r w:rsidR="00337823" w:rsidRPr="00662611">
        <w:rPr>
          <w:sz w:val="19"/>
          <w:szCs w:val="19"/>
        </w:rPr>
        <w:t xml:space="preserve"> An asset used in a service concession arrangement for its useful life (to the grantor) could have a significant residual interest at the end of the arrangement if the arrangement is not for all or the major part of its economic life.</w:t>
      </w:r>
      <w:r w:rsidR="00465A31" w:rsidRPr="00662611">
        <w:rPr>
          <w:sz w:val="19"/>
          <w:szCs w:val="19"/>
        </w:rPr>
        <w:t xml:space="preserve"> In this case, the condition in paragraph </w:t>
      </w:r>
      <w:r w:rsidR="00E77062" w:rsidRPr="00E90B96">
        <w:rPr>
          <w:sz w:val="19"/>
          <w:szCs w:val="19"/>
        </w:rPr>
        <w:fldChar w:fldCharType="begin"/>
      </w:r>
      <w:r w:rsidR="00E77062" w:rsidRPr="00E90B96">
        <w:rPr>
          <w:sz w:val="19"/>
          <w:szCs w:val="19"/>
        </w:rPr>
        <w:instrText xml:space="preserve"> REF _Ref475619556 \r \h </w:instrText>
      </w:r>
      <w:r w:rsidR="00E77062">
        <w:rPr>
          <w:sz w:val="19"/>
          <w:szCs w:val="19"/>
        </w:rPr>
        <w:instrText xml:space="preserve"> \* MERGEFORMAT </w:instrText>
      </w:r>
      <w:r w:rsidR="00E77062" w:rsidRPr="00E90B96">
        <w:rPr>
          <w:sz w:val="19"/>
          <w:szCs w:val="19"/>
        </w:rPr>
      </w:r>
      <w:r w:rsidR="00E77062" w:rsidRPr="00E90B96">
        <w:rPr>
          <w:sz w:val="19"/>
          <w:szCs w:val="19"/>
        </w:rPr>
        <w:fldChar w:fldCharType="separate"/>
      </w:r>
      <w:r w:rsidR="00C43128">
        <w:rPr>
          <w:sz w:val="19"/>
          <w:szCs w:val="19"/>
        </w:rPr>
        <w:t>5</w:t>
      </w:r>
      <w:r w:rsidR="00E77062" w:rsidRPr="00E90B96">
        <w:rPr>
          <w:sz w:val="19"/>
          <w:szCs w:val="19"/>
        </w:rPr>
        <w:fldChar w:fldCharType="end"/>
      </w:r>
      <w:r w:rsidR="00465A31" w:rsidRPr="00662611">
        <w:rPr>
          <w:sz w:val="19"/>
          <w:szCs w:val="19"/>
        </w:rPr>
        <w:t>(b) would be relevant, and paragraph </w:t>
      </w:r>
      <w:r w:rsidR="006A2C2F">
        <w:rPr>
          <w:sz w:val="19"/>
          <w:szCs w:val="19"/>
        </w:rPr>
        <w:fldChar w:fldCharType="begin"/>
      </w:r>
      <w:r w:rsidR="006A2C2F">
        <w:rPr>
          <w:sz w:val="19"/>
          <w:szCs w:val="19"/>
        </w:rPr>
        <w:instrText xml:space="preserve"> REF _Ref486144882 \r \h </w:instrText>
      </w:r>
      <w:r w:rsidR="006A2C2F">
        <w:rPr>
          <w:sz w:val="19"/>
          <w:szCs w:val="19"/>
        </w:rPr>
      </w:r>
      <w:r w:rsidR="006A2C2F">
        <w:rPr>
          <w:sz w:val="19"/>
          <w:szCs w:val="19"/>
        </w:rPr>
        <w:fldChar w:fldCharType="separate"/>
      </w:r>
      <w:r w:rsidR="00C43128">
        <w:rPr>
          <w:sz w:val="19"/>
          <w:szCs w:val="19"/>
        </w:rPr>
        <w:t>6</w:t>
      </w:r>
      <w:r w:rsidR="006A2C2F">
        <w:rPr>
          <w:sz w:val="19"/>
          <w:szCs w:val="19"/>
        </w:rPr>
        <w:fldChar w:fldCharType="end"/>
      </w:r>
      <w:r w:rsidR="00465A31" w:rsidRPr="00662611">
        <w:rPr>
          <w:sz w:val="19"/>
          <w:szCs w:val="19"/>
        </w:rPr>
        <w:t xml:space="preserve"> is not applicable.</w:t>
      </w:r>
    </w:p>
    <w:p w14:paraId="6468ADCE" w14:textId="296B99EC" w:rsidR="00CE6A52" w:rsidRPr="00662611" w:rsidRDefault="008A3760" w:rsidP="00CE6A52">
      <w:pPr>
        <w:pStyle w:val="IASBSectionTitle2Ind"/>
        <w:outlineLvl w:val="2"/>
      </w:pPr>
      <w:r>
        <w:lastRenderedPageBreak/>
        <w:t xml:space="preserve">Upgrades </w:t>
      </w:r>
      <w:r w:rsidR="00CF0E16">
        <w:t>or</w:t>
      </w:r>
      <w:r>
        <w:t xml:space="preserve"> </w:t>
      </w:r>
      <w:r w:rsidR="00CF0E16">
        <w:t xml:space="preserve">replacement of </w:t>
      </w:r>
      <w:r>
        <w:t>major component</w:t>
      </w:r>
      <w:r w:rsidR="00CF0E16">
        <w:t>s</w:t>
      </w:r>
    </w:p>
    <w:p w14:paraId="6DC0B367" w14:textId="28A464A7" w:rsidR="00CE6A52" w:rsidRDefault="00CE6A52" w:rsidP="00CE6A52">
      <w:pPr>
        <w:pStyle w:val="IE1"/>
        <w:numPr>
          <w:ilvl w:val="0"/>
          <w:numId w:val="18"/>
        </w:numPr>
        <w:tabs>
          <w:tab w:val="clear" w:pos="624"/>
        </w:tabs>
        <w:spacing w:after="100" w:line="240" w:lineRule="auto"/>
        <w:ind w:left="782" w:hanging="782"/>
        <w:jc w:val="both"/>
        <w:rPr>
          <w:sz w:val="19"/>
          <w:szCs w:val="19"/>
        </w:rPr>
      </w:pPr>
      <w:r>
        <w:rPr>
          <w:sz w:val="19"/>
          <w:szCs w:val="19"/>
        </w:rPr>
        <w:t>The Board extended the definition of ‘service concession asset’ to refer explicitly to upgrades and to replacements of major components of assets</w:t>
      </w:r>
      <w:r w:rsidR="008A3760">
        <w:rPr>
          <w:sz w:val="19"/>
          <w:szCs w:val="19"/>
        </w:rPr>
        <w:t>, whether of assets provided by the operator or existing assets of the grantor</w:t>
      </w:r>
      <w:r>
        <w:rPr>
          <w:sz w:val="19"/>
          <w:szCs w:val="19"/>
        </w:rPr>
        <w:t xml:space="preserve">. </w:t>
      </w:r>
      <w:r w:rsidR="008A3760">
        <w:rPr>
          <w:sz w:val="19"/>
          <w:szCs w:val="19"/>
        </w:rPr>
        <w:t xml:space="preserve">The Board clarified that upgrades and major component replacements of service concession assets </w:t>
      </w:r>
      <w:r w:rsidR="00557587">
        <w:rPr>
          <w:sz w:val="19"/>
          <w:szCs w:val="19"/>
        </w:rPr>
        <w:t>would be</w:t>
      </w:r>
      <w:r w:rsidR="008A3760">
        <w:rPr>
          <w:sz w:val="19"/>
          <w:szCs w:val="19"/>
        </w:rPr>
        <w:t xml:space="preserve"> recognised by the grantor when the upgrade or replacement occurs</w:t>
      </w:r>
      <w:r w:rsidR="00557587">
        <w:rPr>
          <w:sz w:val="19"/>
          <w:szCs w:val="19"/>
        </w:rPr>
        <w:t xml:space="preserve">, provided that the control criteria in paragraphs </w:t>
      </w:r>
      <w:r w:rsidR="00557587">
        <w:rPr>
          <w:sz w:val="19"/>
          <w:szCs w:val="19"/>
        </w:rPr>
        <w:fldChar w:fldCharType="begin"/>
      </w:r>
      <w:r w:rsidR="00557587">
        <w:rPr>
          <w:sz w:val="19"/>
          <w:szCs w:val="19"/>
        </w:rPr>
        <w:instrText xml:space="preserve"> REF _Ref475619556 \r \h </w:instrText>
      </w:r>
      <w:r w:rsidR="00557587">
        <w:rPr>
          <w:sz w:val="19"/>
          <w:szCs w:val="19"/>
        </w:rPr>
      </w:r>
      <w:r w:rsidR="00557587">
        <w:rPr>
          <w:sz w:val="19"/>
          <w:szCs w:val="19"/>
        </w:rPr>
        <w:fldChar w:fldCharType="separate"/>
      </w:r>
      <w:r w:rsidR="00C43128">
        <w:rPr>
          <w:sz w:val="19"/>
          <w:szCs w:val="19"/>
        </w:rPr>
        <w:t>5</w:t>
      </w:r>
      <w:r w:rsidR="00557587">
        <w:rPr>
          <w:sz w:val="19"/>
          <w:szCs w:val="19"/>
        </w:rPr>
        <w:fldChar w:fldCharType="end"/>
      </w:r>
      <w:r w:rsidR="00557587">
        <w:rPr>
          <w:sz w:val="19"/>
          <w:szCs w:val="19"/>
        </w:rPr>
        <w:t xml:space="preserve"> or </w:t>
      </w:r>
      <w:r w:rsidR="00557587">
        <w:rPr>
          <w:sz w:val="19"/>
          <w:szCs w:val="19"/>
        </w:rPr>
        <w:fldChar w:fldCharType="begin"/>
      </w:r>
      <w:r w:rsidR="00557587">
        <w:rPr>
          <w:sz w:val="19"/>
          <w:szCs w:val="19"/>
        </w:rPr>
        <w:instrText xml:space="preserve"> REF _Ref486144882 \r \h </w:instrText>
      </w:r>
      <w:r w:rsidR="00557587">
        <w:rPr>
          <w:sz w:val="19"/>
          <w:szCs w:val="19"/>
        </w:rPr>
      </w:r>
      <w:r w:rsidR="00557587">
        <w:rPr>
          <w:sz w:val="19"/>
          <w:szCs w:val="19"/>
        </w:rPr>
        <w:fldChar w:fldCharType="separate"/>
      </w:r>
      <w:r w:rsidR="00C43128">
        <w:rPr>
          <w:sz w:val="19"/>
          <w:szCs w:val="19"/>
        </w:rPr>
        <w:t>6</w:t>
      </w:r>
      <w:r w:rsidR="00557587">
        <w:rPr>
          <w:sz w:val="19"/>
          <w:szCs w:val="19"/>
        </w:rPr>
        <w:fldChar w:fldCharType="end"/>
      </w:r>
      <w:r w:rsidR="00557587">
        <w:rPr>
          <w:sz w:val="19"/>
          <w:szCs w:val="19"/>
        </w:rPr>
        <w:t xml:space="preserve"> were satisfied</w:t>
      </w:r>
      <w:r w:rsidR="008A3760">
        <w:rPr>
          <w:sz w:val="19"/>
          <w:szCs w:val="19"/>
        </w:rPr>
        <w:t>. The Board concluded that such upgrades and major component replacements are treated as service concession assets in their own right, and consequently the grantor also recognises a related liability</w:t>
      </w:r>
      <w:r w:rsidR="00557587">
        <w:rPr>
          <w:sz w:val="19"/>
          <w:szCs w:val="19"/>
        </w:rPr>
        <w:t xml:space="preserve"> in accordance with paragraph </w:t>
      </w:r>
      <w:r w:rsidR="00557587">
        <w:rPr>
          <w:sz w:val="19"/>
          <w:szCs w:val="19"/>
        </w:rPr>
        <w:fldChar w:fldCharType="begin"/>
      </w:r>
      <w:r w:rsidR="00557587">
        <w:rPr>
          <w:sz w:val="19"/>
          <w:szCs w:val="19"/>
        </w:rPr>
        <w:instrText xml:space="preserve"> REF _Ref475620374 \r \h </w:instrText>
      </w:r>
      <w:r w:rsidR="00557587">
        <w:rPr>
          <w:sz w:val="19"/>
          <w:szCs w:val="19"/>
        </w:rPr>
      </w:r>
      <w:r w:rsidR="00557587">
        <w:rPr>
          <w:sz w:val="19"/>
          <w:szCs w:val="19"/>
        </w:rPr>
        <w:fldChar w:fldCharType="separate"/>
      </w:r>
      <w:r w:rsidR="00C43128">
        <w:rPr>
          <w:sz w:val="19"/>
          <w:szCs w:val="19"/>
        </w:rPr>
        <w:t>11</w:t>
      </w:r>
      <w:r w:rsidR="00557587">
        <w:rPr>
          <w:sz w:val="19"/>
          <w:szCs w:val="19"/>
        </w:rPr>
        <w:fldChar w:fldCharType="end"/>
      </w:r>
      <w:r w:rsidR="00557587">
        <w:rPr>
          <w:sz w:val="19"/>
          <w:szCs w:val="19"/>
        </w:rPr>
        <w:t>.</w:t>
      </w:r>
    </w:p>
    <w:p w14:paraId="7D9277B1" w14:textId="77777777" w:rsidR="001F3784" w:rsidRPr="00662611" w:rsidRDefault="001F3784" w:rsidP="001F3784">
      <w:pPr>
        <w:pStyle w:val="IASBSectionTitle2Ind"/>
        <w:outlineLvl w:val="2"/>
      </w:pPr>
      <w:r w:rsidRPr="00662611">
        <w:t>Intangible assets</w:t>
      </w:r>
    </w:p>
    <w:p w14:paraId="7D9277B2" w14:textId="3616F363" w:rsidR="00CB11BC" w:rsidRPr="00662611" w:rsidRDefault="00CB11BC" w:rsidP="00CB11BC">
      <w:pPr>
        <w:pStyle w:val="IE1"/>
        <w:numPr>
          <w:ilvl w:val="0"/>
          <w:numId w:val="18"/>
        </w:numPr>
        <w:tabs>
          <w:tab w:val="clear" w:pos="624"/>
        </w:tabs>
        <w:spacing w:after="100" w:line="240" w:lineRule="auto"/>
        <w:ind w:left="782" w:hanging="782"/>
        <w:jc w:val="both"/>
        <w:rPr>
          <w:sz w:val="19"/>
          <w:szCs w:val="19"/>
        </w:rPr>
      </w:pPr>
      <w:bookmarkStart w:id="121" w:name="_Ref484705581"/>
      <w:r w:rsidRPr="00662611">
        <w:rPr>
          <w:sz w:val="19"/>
          <w:szCs w:val="19"/>
        </w:rPr>
        <w:t xml:space="preserve">The Board considered whether the requirement in paragraph </w:t>
      </w:r>
      <w:r w:rsidR="006A2C2F">
        <w:rPr>
          <w:sz w:val="19"/>
          <w:szCs w:val="19"/>
        </w:rPr>
        <w:fldChar w:fldCharType="begin"/>
      </w:r>
      <w:r w:rsidR="006A2C2F">
        <w:rPr>
          <w:sz w:val="19"/>
          <w:szCs w:val="19"/>
        </w:rPr>
        <w:instrText xml:space="preserve"> REF _Ref486145413 \r \h </w:instrText>
      </w:r>
      <w:r w:rsidR="006A2C2F">
        <w:rPr>
          <w:sz w:val="19"/>
          <w:szCs w:val="19"/>
        </w:rPr>
      </w:r>
      <w:r w:rsidR="006A2C2F">
        <w:rPr>
          <w:sz w:val="19"/>
          <w:szCs w:val="19"/>
        </w:rPr>
        <w:fldChar w:fldCharType="separate"/>
      </w:r>
      <w:r w:rsidR="00C43128">
        <w:rPr>
          <w:sz w:val="19"/>
          <w:szCs w:val="19"/>
        </w:rPr>
        <w:t>8</w:t>
      </w:r>
      <w:r w:rsidR="006A2C2F">
        <w:rPr>
          <w:sz w:val="19"/>
          <w:szCs w:val="19"/>
        </w:rPr>
        <w:fldChar w:fldCharType="end"/>
      </w:r>
      <w:r w:rsidRPr="00662611">
        <w:rPr>
          <w:sz w:val="19"/>
          <w:szCs w:val="19"/>
        </w:rPr>
        <w:t xml:space="preserve"> that the grantor reclassify </w:t>
      </w:r>
      <w:r w:rsidR="00D518D5" w:rsidRPr="00662611">
        <w:rPr>
          <w:sz w:val="19"/>
          <w:szCs w:val="19"/>
        </w:rPr>
        <w:t xml:space="preserve">and measure </w:t>
      </w:r>
      <w:r w:rsidRPr="00662611">
        <w:rPr>
          <w:sz w:val="19"/>
          <w:szCs w:val="19"/>
        </w:rPr>
        <w:t xml:space="preserve">an existing asset that is used in a service concession arrangement should apply to an identifiable intangible asset that has not been recognised previously by the grantor. The intangible asset would not have been recognised </w:t>
      </w:r>
      <w:r w:rsidR="00D518D5" w:rsidRPr="00662611">
        <w:rPr>
          <w:sz w:val="19"/>
          <w:szCs w:val="19"/>
        </w:rPr>
        <w:t xml:space="preserve">previously </w:t>
      </w:r>
      <w:r w:rsidRPr="00662611">
        <w:rPr>
          <w:sz w:val="19"/>
          <w:szCs w:val="19"/>
        </w:rPr>
        <w:t>if the asset did not meet the criteria of AASB</w:t>
      </w:r>
      <w:r w:rsidR="00211353" w:rsidRPr="00662611">
        <w:rPr>
          <w:sz w:val="19"/>
          <w:szCs w:val="19"/>
        </w:rPr>
        <w:t> </w:t>
      </w:r>
      <w:r w:rsidRPr="00662611">
        <w:rPr>
          <w:sz w:val="19"/>
          <w:szCs w:val="19"/>
        </w:rPr>
        <w:t xml:space="preserve">138 </w:t>
      </w:r>
      <w:r w:rsidR="00DF3F26" w:rsidRPr="00DF3F26">
        <w:rPr>
          <w:i/>
          <w:sz w:val="19"/>
          <w:szCs w:val="19"/>
        </w:rPr>
        <w:t>Intangible Assets</w:t>
      </w:r>
      <w:r w:rsidR="00DF3F26">
        <w:rPr>
          <w:sz w:val="19"/>
          <w:szCs w:val="19"/>
        </w:rPr>
        <w:t xml:space="preserve"> </w:t>
      </w:r>
      <w:r w:rsidRPr="00662611">
        <w:rPr>
          <w:sz w:val="19"/>
          <w:szCs w:val="19"/>
        </w:rPr>
        <w:t>for recognition as an intangible asset. The Board decided</w:t>
      </w:r>
      <w:bookmarkEnd w:id="121"/>
      <w:r w:rsidR="00BD556F" w:rsidRPr="00662611">
        <w:rPr>
          <w:sz w:val="19"/>
          <w:szCs w:val="19"/>
        </w:rPr>
        <w:t xml:space="preserve"> that AASB </w:t>
      </w:r>
      <w:r w:rsidR="005F6667">
        <w:rPr>
          <w:sz w:val="19"/>
          <w:szCs w:val="19"/>
        </w:rPr>
        <w:t>1059</w:t>
      </w:r>
      <w:r w:rsidR="00BD556F" w:rsidRPr="00662611">
        <w:rPr>
          <w:sz w:val="19"/>
          <w:szCs w:val="19"/>
        </w:rPr>
        <w:t xml:space="preserve"> should override AASB 138 and require </w:t>
      </w:r>
      <w:r w:rsidR="00211353" w:rsidRPr="00662611">
        <w:rPr>
          <w:sz w:val="19"/>
          <w:szCs w:val="19"/>
        </w:rPr>
        <w:t xml:space="preserve">a grantor </w:t>
      </w:r>
      <w:r w:rsidR="00BD556F" w:rsidRPr="00662611">
        <w:rPr>
          <w:sz w:val="19"/>
          <w:szCs w:val="19"/>
        </w:rPr>
        <w:t xml:space="preserve">to recognise and measure an existing but unrecognised </w:t>
      </w:r>
      <w:r w:rsidR="00211353" w:rsidRPr="00662611">
        <w:rPr>
          <w:sz w:val="19"/>
          <w:szCs w:val="19"/>
        </w:rPr>
        <w:t xml:space="preserve">identifiable intangible asset when the conditions in paragraph </w:t>
      </w:r>
      <w:r w:rsidR="00E77062" w:rsidRPr="00E90B96">
        <w:rPr>
          <w:sz w:val="19"/>
          <w:szCs w:val="19"/>
        </w:rPr>
        <w:fldChar w:fldCharType="begin"/>
      </w:r>
      <w:r w:rsidR="00E77062" w:rsidRPr="00E90B96">
        <w:rPr>
          <w:sz w:val="19"/>
          <w:szCs w:val="19"/>
        </w:rPr>
        <w:instrText xml:space="preserve"> REF _Ref475619556 \r \h </w:instrText>
      </w:r>
      <w:r w:rsidR="00E77062">
        <w:rPr>
          <w:sz w:val="19"/>
          <w:szCs w:val="19"/>
        </w:rPr>
        <w:instrText xml:space="preserve"> \* MERGEFORMAT </w:instrText>
      </w:r>
      <w:r w:rsidR="00E77062" w:rsidRPr="00E90B96">
        <w:rPr>
          <w:sz w:val="19"/>
          <w:szCs w:val="19"/>
        </w:rPr>
      </w:r>
      <w:r w:rsidR="00E77062" w:rsidRPr="00E90B96">
        <w:rPr>
          <w:sz w:val="19"/>
          <w:szCs w:val="19"/>
        </w:rPr>
        <w:fldChar w:fldCharType="separate"/>
      </w:r>
      <w:r w:rsidR="00C43128">
        <w:rPr>
          <w:sz w:val="19"/>
          <w:szCs w:val="19"/>
        </w:rPr>
        <w:t>5</w:t>
      </w:r>
      <w:r w:rsidR="00E77062" w:rsidRPr="00E90B96">
        <w:rPr>
          <w:sz w:val="19"/>
          <w:szCs w:val="19"/>
        </w:rPr>
        <w:fldChar w:fldCharType="end"/>
      </w:r>
      <w:r w:rsidR="00211353" w:rsidRPr="00662611">
        <w:rPr>
          <w:sz w:val="19"/>
          <w:szCs w:val="19"/>
        </w:rPr>
        <w:t xml:space="preserve"> or </w:t>
      </w:r>
      <w:r w:rsidR="006A2C2F">
        <w:rPr>
          <w:sz w:val="19"/>
          <w:szCs w:val="19"/>
        </w:rPr>
        <w:fldChar w:fldCharType="begin"/>
      </w:r>
      <w:r w:rsidR="006A2C2F">
        <w:rPr>
          <w:sz w:val="19"/>
          <w:szCs w:val="19"/>
        </w:rPr>
        <w:instrText xml:space="preserve"> REF _Ref486144882 \r \h </w:instrText>
      </w:r>
      <w:r w:rsidR="006A2C2F">
        <w:rPr>
          <w:sz w:val="19"/>
          <w:szCs w:val="19"/>
        </w:rPr>
      </w:r>
      <w:r w:rsidR="006A2C2F">
        <w:rPr>
          <w:sz w:val="19"/>
          <w:szCs w:val="19"/>
        </w:rPr>
        <w:fldChar w:fldCharType="separate"/>
      </w:r>
      <w:r w:rsidR="00C43128">
        <w:rPr>
          <w:sz w:val="19"/>
          <w:szCs w:val="19"/>
        </w:rPr>
        <w:t>6</w:t>
      </w:r>
      <w:r w:rsidR="006A2C2F">
        <w:rPr>
          <w:sz w:val="19"/>
          <w:szCs w:val="19"/>
        </w:rPr>
        <w:fldChar w:fldCharType="end"/>
      </w:r>
      <w:r w:rsidR="00211353" w:rsidRPr="00662611">
        <w:rPr>
          <w:sz w:val="19"/>
          <w:szCs w:val="19"/>
        </w:rPr>
        <w:t xml:space="preserve"> for recognition as a service concession asset are met. This would apply even to intangible assets that are specifically precluded from recognition under paragraph 63 of AASB 138: internally generated brands, mastheads, publishing titles, customer lists and items similar in substance.</w:t>
      </w:r>
      <w:r w:rsidR="0081148E" w:rsidRPr="00662611">
        <w:rPr>
          <w:sz w:val="19"/>
          <w:szCs w:val="19"/>
        </w:rPr>
        <w:t xml:space="preserve"> The accounting for intangible assets of the grantor</w:t>
      </w:r>
      <w:r w:rsidR="00645E8C">
        <w:rPr>
          <w:sz w:val="19"/>
          <w:szCs w:val="19"/>
        </w:rPr>
        <w:t xml:space="preserve"> that are part of </w:t>
      </w:r>
      <w:r w:rsidR="00883453">
        <w:rPr>
          <w:sz w:val="19"/>
          <w:szCs w:val="19"/>
        </w:rPr>
        <w:t xml:space="preserve">a </w:t>
      </w:r>
      <w:r w:rsidR="00645E8C">
        <w:rPr>
          <w:sz w:val="19"/>
          <w:szCs w:val="19"/>
        </w:rPr>
        <w:t>service concession arrangement</w:t>
      </w:r>
      <w:r w:rsidR="0081148E" w:rsidRPr="00662611">
        <w:rPr>
          <w:sz w:val="19"/>
          <w:szCs w:val="19"/>
        </w:rPr>
        <w:t xml:space="preserve"> is set out in paragraphs </w:t>
      </w:r>
      <w:r w:rsidR="0081148E" w:rsidRPr="00662611">
        <w:rPr>
          <w:sz w:val="19"/>
          <w:szCs w:val="19"/>
        </w:rPr>
        <w:fldChar w:fldCharType="begin"/>
      </w:r>
      <w:r w:rsidR="0081148E" w:rsidRPr="00662611">
        <w:rPr>
          <w:sz w:val="19"/>
          <w:szCs w:val="19"/>
        </w:rPr>
        <w:instrText xml:space="preserve"> REF _Ref484736788 \r \h </w:instrText>
      </w:r>
      <w:r w:rsidR="0081148E" w:rsidRPr="00662611">
        <w:rPr>
          <w:sz w:val="19"/>
          <w:szCs w:val="19"/>
        </w:rPr>
      </w:r>
      <w:r w:rsidR="0081148E" w:rsidRPr="00662611">
        <w:rPr>
          <w:sz w:val="19"/>
          <w:szCs w:val="19"/>
        </w:rPr>
        <w:fldChar w:fldCharType="separate"/>
      </w:r>
      <w:r w:rsidR="00C43128">
        <w:rPr>
          <w:sz w:val="19"/>
          <w:szCs w:val="19"/>
        </w:rPr>
        <w:t>B38</w:t>
      </w:r>
      <w:r w:rsidR="0081148E" w:rsidRPr="00662611">
        <w:rPr>
          <w:sz w:val="19"/>
          <w:szCs w:val="19"/>
        </w:rPr>
        <w:fldChar w:fldCharType="end"/>
      </w:r>
      <w:r w:rsidR="0081148E" w:rsidRPr="00662611">
        <w:rPr>
          <w:sz w:val="19"/>
          <w:szCs w:val="19"/>
        </w:rPr>
        <w:t>–</w:t>
      </w:r>
      <w:r w:rsidR="0081148E" w:rsidRPr="00662611">
        <w:rPr>
          <w:sz w:val="19"/>
          <w:szCs w:val="19"/>
        </w:rPr>
        <w:fldChar w:fldCharType="begin"/>
      </w:r>
      <w:r w:rsidR="0081148E" w:rsidRPr="00662611">
        <w:rPr>
          <w:sz w:val="19"/>
          <w:szCs w:val="19"/>
        </w:rPr>
        <w:instrText xml:space="preserve"> REF _Ref484736810 \r \h </w:instrText>
      </w:r>
      <w:r w:rsidR="0081148E" w:rsidRPr="00662611">
        <w:rPr>
          <w:sz w:val="19"/>
          <w:szCs w:val="19"/>
        </w:rPr>
      </w:r>
      <w:r w:rsidR="0081148E" w:rsidRPr="00662611">
        <w:rPr>
          <w:sz w:val="19"/>
          <w:szCs w:val="19"/>
        </w:rPr>
        <w:fldChar w:fldCharType="separate"/>
      </w:r>
      <w:r w:rsidR="00C43128">
        <w:rPr>
          <w:sz w:val="19"/>
          <w:szCs w:val="19"/>
        </w:rPr>
        <w:t>B39</w:t>
      </w:r>
      <w:r w:rsidR="0081148E" w:rsidRPr="00662611">
        <w:rPr>
          <w:sz w:val="19"/>
          <w:szCs w:val="19"/>
        </w:rPr>
        <w:fldChar w:fldCharType="end"/>
      </w:r>
      <w:r w:rsidR="0081148E" w:rsidRPr="00662611">
        <w:rPr>
          <w:sz w:val="19"/>
          <w:szCs w:val="19"/>
        </w:rPr>
        <w:t>.</w:t>
      </w:r>
    </w:p>
    <w:p w14:paraId="3D2040A9" w14:textId="7FA42469" w:rsidR="00E3195B" w:rsidRPr="00662611" w:rsidRDefault="00633A41" w:rsidP="00211353">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took the view that a service concession arrangement represents</w:t>
      </w:r>
      <w:r w:rsidR="00E3195B" w:rsidRPr="00662611">
        <w:rPr>
          <w:sz w:val="19"/>
          <w:szCs w:val="19"/>
        </w:rPr>
        <w:t xml:space="preserve"> a</w:t>
      </w:r>
      <w:r w:rsidRPr="00662611">
        <w:rPr>
          <w:sz w:val="19"/>
          <w:szCs w:val="19"/>
        </w:rPr>
        <w:t xml:space="preserve"> transaction </w:t>
      </w:r>
      <w:r w:rsidR="00E3195B" w:rsidRPr="00662611">
        <w:rPr>
          <w:sz w:val="19"/>
          <w:szCs w:val="19"/>
        </w:rPr>
        <w:t xml:space="preserve">with an external party </w:t>
      </w:r>
      <w:r w:rsidRPr="00662611">
        <w:rPr>
          <w:sz w:val="19"/>
          <w:szCs w:val="19"/>
        </w:rPr>
        <w:t xml:space="preserve">that identifies and values all </w:t>
      </w:r>
      <w:r w:rsidR="00743D3D">
        <w:rPr>
          <w:sz w:val="19"/>
          <w:szCs w:val="19"/>
        </w:rPr>
        <w:t xml:space="preserve">identifiable </w:t>
      </w:r>
      <w:r w:rsidRPr="00662611">
        <w:rPr>
          <w:sz w:val="19"/>
          <w:szCs w:val="19"/>
        </w:rPr>
        <w:t xml:space="preserve">assets involved in the arrangement. Therefore, </w:t>
      </w:r>
      <w:r w:rsidR="00743D3D">
        <w:rPr>
          <w:sz w:val="19"/>
          <w:szCs w:val="19"/>
        </w:rPr>
        <w:t xml:space="preserve">with the exception of goodwill (see paragraph </w:t>
      </w:r>
      <w:r w:rsidR="00743D3D">
        <w:rPr>
          <w:sz w:val="19"/>
          <w:szCs w:val="19"/>
        </w:rPr>
        <w:fldChar w:fldCharType="begin"/>
      </w:r>
      <w:r w:rsidR="00743D3D">
        <w:rPr>
          <w:sz w:val="19"/>
          <w:szCs w:val="19"/>
        </w:rPr>
        <w:instrText xml:space="preserve"> REF _Ref486954443 \r \h </w:instrText>
      </w:r>
      <w:r w:rsidR="00743D3D">
        <w:rPr>
          <w:sz w:val="19"/>
          <w:szCs w:val="19"/>
        </w:rPr>
      </w:r>
      <w:r w:rsidR="00743D3D">
        <w:rPr>
          <w:sz w:val="19"/>
          <w:szCs w:val="19"/>
        </w:rPr>
        <w:fldChar w:fldCharType="separate"/>
      </w:r>
      <w:r w:rsidR="00C43128">
        <w:rPr>
          <w:sz w:val="19"/>
          <w:szCs w:val="19"/>
        </w:rPr>
        <w:t>BC42</w:t>
      </w:r>
      <w:r w:rsidR="00743D3D">
        <w:rPr>
          <w:sz w:val="19"/>
          <w:szCs w:val="19"/>
        </w:rPr>
        <w:fldChar w:fldCharType="end"/>
      </w:r>
      <w:r w:rsidR="00743D3D">
        <w:rPr>
          <w:sz w:val="19"/>
          <w:szCs w:val="19"/>
        </w:rPr>
        <w:t>)</w:t>
      </w:r>
      <w:r w:rsidR="00DF3F26">
        <w:rPr>
          <w:sz w:val="19"/>
          <w:szCs w:val="19"/>
        </w:rPr>
        <w:t>,</w:t>
      </w:r>
      <w:r w:rsidRPr="00662611">
        <w:rPr>
          <w:sz w:val="19"/>
          <w:szCs w:val="19"/>
        </w:rPr>
        <w:t xml:space="preserve"> the accounting should be similar to that for business combinations</w:t>
      </w:r>
      <w:r w:rsidR="00F05162" w:rsidRPr="00662611">
        <w:rPr>
          <w:sz w:val="19"/>
          <w:szCs w:val="19"/>
        </w:rPr>
        <w:t xml:space="preserve"> under AASB 3 </w:t>
      </w:r>
      <w:r w:rsidR="00F05162" w:rsidRPr="00662611">
        <w:rPr>
          <w:i/>
          <w:sz w:val="19"/>
          <w:szCs w:val="19"/>
        </w:rPr>
        <w:t>Business Combinations</w:t>
      </w:r>
      <w:r w:rsidRPr="00662611">
        <w:rPr>
          <w:sz w:val="19"/>
          <w:szCs w:val="19"/>
        </w:rPr>
        <w:t>, in which all assets and liabilities acquired are recognised, including those not previously recognised by the acquiree.</w:t>
      </w:r>
      <w:r w:rsidR="00E3195B" w:rsidRPr="00662611">
        <w:rPr>
          <w:sz w:val="19"/>
          <w:szCs w:val="19"/>
        </w:rPr>
        <w:t xml:space="preserve"> </w:t>
      </w:r>
      <w:r w:rsidR="00DF0B01" w:rsidRPr="00662611">
        <w:rPr>
          <w:sz w:val="19"/>
          <w:szCs w:val="19"/>
        </w:rPr>
        <w:t xml:space="preserve">This approach means that intangible assets encompassed by </w:t>
      </w:r>
      <w:r w:rsidR="00A45CAB" w:rsidRPr="00662611">
        <w:rPr>
          <w:sz w:val="19"/>
          <w:szCs w:val="19"/>
        </w:rPr>
        <w:t>a</w:t>
      </w:r>
      <w:r w:rsidR="00DF0B01" w:rsidRPr="00662611">
        <w:rPr>
          <w:sz w:val="19"/>
          <w:szCs w:val="19"/>
        </w:rPr>
        <w:t xml:space="preserve"> service concession arrangement should be recognised by the grantor </w:t>
      </w:r>
      <w:r w:rsidR="00661BFC" w:rsidRPr="00662611">
        <w:rPr>
          <w:sz w:val="19"/>
          <w:szCs w:val="19"/>
        </w:rPr>
        <w:t xml:space="preserve">as intangible service concession assets </w:t>
      </w:r>
      <w:r w:rsidR="00DF0B01" w:rsidRPr="00662611">
        <w:rPr>
          <w:sz w:val="19"/>
          <w:szCs w:val="19"/>
        </w:rPr>
        <w:t xml:space="preserve">(when the conditions in paragraph </w:t>
      </w:r>
      <w:r w:rsidR="00E77062" w:rsidRPr="00E90B96">
        <w:rPr>
          <w:sz w:val="19"/>
          <w:szCs w:val="19"/>
        </w:rPr>
        <w:fldChar w:fldCharType="begin"/>
      </w:r>
      <w:r w:rsidR="00E77062" w:rsidRPr="00E90B96">
        <w:rPr>
          <w:sz w:val="19"/>
          <w:szCs w:val="19"/>
        </w:rPr>
        <w:instrText xml:space="preserve"> REF _Ref475619556 \r \h </w:instrText>
      </w:r>
      <w:r w:rsidR="00E77062">
        <w:rPr>
          <w:sz w:val="19"/>
          <w:szCs w:val="19"/>
        </w:rPr>
        <w:instrText xml:space="preserve"> \* MERGEFORMAT </w:instrText>
      </w:r>
      <w:r w:rsidR="00E77062" w:rsidRPr="00E90B96">
        <w:rPr>
          <w:sz w:val="19"/>
          <w:szCs w:val="19"/>
        </w:rPr>
      </w:r>
      <w:r w:rsidR="00E77062" w:rsidRPr="00E90B96">
        <w:rPr>
          <w:sz w:val="19"/>
          <w:szCs w:val="19"/>
        </w:rPr>
        <w:fldChar w:fldCharType="separate"/>
      </w:r>
      <w:r w:rsidR="00C43128">
        <w:rPr>
          <w:sz w:val="19"/>
          <w:szCs w:val="19"/>
        </w:rPr>
        <w:t>5</w:t>
      </w:r>
      <w:r w:rsidR="00E77062" w:rsidRPr="00E90B96">
        <w:rPr>
          <w:sz w:val="19"/>
          <w:szCs w:val="19"/>
        </w:rPr>
        <w:fldChar w:fldCharType="end"/>
      </w:r>
      <w:r w:rsidR="00DF0B01" w:rsidRPr="00662611">
        <w:rPr>
          <w:sz w:val="19"/>
          <w:szCs w:val="19"/>
        </w:rPr>
        <w:t xml:space="preserve"> or </w:t>
      </w:r>
      <w:r w:rsidR="006A2C2F">
        <w:rPr>
          <w:sz w:val="19"/>
          <w:szCs w:val="19"/>
        </w:rPr>
        <w:fldChar w:fldCharType="begin"/>
      </w:r>
      <w:r w:rsidR="006A2C2F">
        <w:rPr>
          <w:sz w:val="19"/>
          <w:szCs w:val="19"/>
        </w:rPr>
        <w:instrText xml:space="preserve"> REF _Ref486144882 \r \h </w:instrText>
      </w:r>
      <w:r w:rsidR="006A2C2F">
        <w:rPr>
          <w:sz w:val="19"/>
          <w:szCs w:val="19"/>
        </w:rPr>
      </w:r>
      <w:r w:rsidR="006A2C2F">
        <w:rPr>
          <w:sz w:val="19"/>
          <w:szCs w:val="19"/>
        </w:rPr>
        <w:fldChar w:fldCharType="separate"/>
      </w:r>
      <w:r w:rsidR="00C43128">
        <w:rPr>
          <w:sz w:val="19"/>
          <w:szCs w:val="19"/>
        </w:rPr>
        <w:t>6</w:t>
      </w:r>
      <w:r w:rsidR="006A2C2F">
        <w:rPr>
          <w:sz w:val="19"/>
          <w:szCs w:val="19"/>
        </w:rPr>
        <w:fldChar w:fldCharType="end"/>
      </w:r>
      <w:r w:rsidR="00DF0B01" w:rsidRPr="00662611">
        <w:rPr>
          <w:sz w:val="19"/>
          <w:szCs w:val="19"/>
        </w:rPr>
        <w:t xml:space="preserve"> are met), regardless of whether the assets were </w:t>
      </w:r>
      <w:r w:rsidR="0081148E" w:rsidRPr="00662611">
        <w:rPr>
          <w:sz w:val="19"/>
          <w:szCs w:val="19"/>
        </w:rPr>
        <w:t xml:space="preserve">already </w:t>
      </w:r>
      <w:r w:rsidR="00DF0B01" w:rsidRPr="00662611">
        <w:rPr>
          <w:sz w:val="19"/>
          <w:szCs w:val="19"/>
        </w:rPr>
        <w:t>recognised by the grantor</w:t>
      </w:r>
      <w:r w:rsidR="00661BFC" w:rsidRPr="00662611">
        <w:rPr>
          <w:sz w:val="19"/>
          <w:szCs w:val="19"/>
        </w:rPr>
        <w:t xml:space="preserve"> as intangible assets</w:t>
      </w:r>
      <w:r w:rsidR="00DF0B01" w:rsidRPr="00662611">
        <w:rPr>
          <w:sz w:val="19"/>
          <w:szCs w:val="19"/>
        </w:rPr>
        <w:t>.</w:t>
      </w:r>
    </w:p>
    <w:p w14:paraId="23687F3F" w14:textId="289F6B97" w:rsidR="00136664" w:rsidRPr="00662611" w:rsidRDefault="00661BFC" w:rsidP="00211353">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considered whether the </w:t>
      </w:r>
      <w:r w:rsidR="00136664" w:rsidRPr="00662611">
        <w:rPr>
          <w:sz w:val="19"/>
          <w:szCs w:val="19"/>
        </w:rPr>
        <w:t xml:space="preserve">recognition of previously unrecognised intangible assets </w:t>
      </w:r>
      <w:r w:rsidRPr="00662611">
        <w:rPr>
          <w:sz w:val="19"/>
          <w:szCs w:val="19"/>
        </w:rPr>
        <w:t xml:space="preserve">as service concession assets should result in revenue for the grantor. </w:t>
      </w:r>
      <w:r w:rsidR="00262062" w:rsidRPr="00662611">
        <w:rPr>
          <w:sz w:val="19"/>
          <w:szCs w:val="19"/>
        </w:rPr>
        <w:t>The Board decided that</w:t>
      </w:r>
      <w:r w:rsidR="00136664" w:rsidRPr="00662611">
        <w:rPr>
          <w:sz w:val="19"/>
          <w:szCs w:val="19"/>
        </w:rPr>
        <w:t xml:space="preserve"> </w:t>
      </w:r>
      <w:r w:rsidR="00262062" w:rsidRPr="00662611">
        <w:rPr>
          <w:sz w:val="19"/>
          <w:szCs w:val="19"/>
        </w:rPr>
        <w:t xml:space="preserve">the recognition of revenue would not be appropriate since the grantor </w:t>
      </w:r>
      <w:r w:rsidR="001777F1" w:rsidRPr="00662611">
        <w:rPr>
          <w:sz w:val="19"/>
          <w:szCs w:val="19"/>
        </w:rPr>
        <w:t xml:space="preserve">is not obtaining control of such assets for the first time, but </w:t>
      </w:r>
      <w:r w:rsidR="00262062" w:rsidRPr="00662611">
        <w:rPr>
          <w:sz w:val="19"/>
          <w:szCs w:val="19"/>
        </w:rPr>
        <w:t xml:space="preserve">continues to control such assets. Instead, </w:t>
      </w:r>
      <w:r w:rsidR="001777F1" w:rsidRPr="00662611">
        <w:rPr>
          <w:sz w:val="19"/>
          <w:szCs w:val="19"/>
        </w:rPr>
        <w:t xml:space="preserve">the Board concluded that </w:t>
      </w:r>
      <w:r w:rsidR="00262062" w:rsidRPr="00662611">
        <w:rPr>
          <w:sz w:val="19"/>
          <w:szCs w:val="19"/>
        </w:rPr>
        <w:t xml:space="preserve">the recognition is </w:t>
      </w:r>
      <w:r w:rsidR="00743D3D">
        <w:rPr>
          <w:sz w:val="19"/>
          <w:szCs w:val="19"/>
        </w:rPr>
        <w:t xml:space="preserve">like </w:t>
      </w:r>
      <w:r w:rsidR="00262062" w:rsidRPr="00662611">
        <w:rPr>
          <w:sz w:val="19"/>
          <w:szCs w:val="19"/>
        </w:rPr>
        <w:t xml:space="preserve">a remeasurement of the assets, </w:t>
      </w:r>
      <w:r w:rsidR="00FF4C34" w:rsidRPr="00662611">
        <w:rPr>
          <w:sz w:val="19"/>
          <w:szCs w:val="19"/>
        </w:rPr>
        <w:t>with a corresponding adjustment to</w:t>
      </w:r>
      <w:r w:rsidR="00262062" w:rsidRPr="00662611">
        <w:rPr>
          <w:sz w:val="19"/>
          <w:szCs w:val="19"/>
        </w:rPr>
        <w:t xml:space="preserve"> </w:t>
      </w:r>
      <w:r w:rsidR="00136664" w:rsidRPr="00662611">
        <w:rPr>
          <w:sz w:val="19"/>
          <w:szCs w:val="19"/>
        </w:rPr>
        <w:t>revaluation surplus</w:t>
      </w:r>
      <w:r w:rsidR="00FF4C34" w:rsidRPr="00662611">
        <w:rPr>
          <w:sz w:val="19"/>
          <w:szCs w:val="19"/>
        </w:rPr>
        <w:t>.</w:t>
      </w:r>
      <w:r w:rsidR="00136664" w:rsidRPr="00662611">
        <w:rPr>
          <w:sz w:val="19"/>
          <w:szCs w:val="19"/>
        </w:rPr>
        <w:t xml:space="preserve"> </w:t>
      </w:r>
      <w:r w:rsidR="00FF4C34" w:rsidRPr="00662611">
        <w:rPr>
          <w:sz w:val="19"/>
          <w:szCs w:val="19"/>
        </w:rPr>
        <w:t xml:space="preserve">This </w:t>
      </w:r>
      <w:r w:rsidR="00266A59">
        <w:rPr>
          <w:sz w:val="19"/>
          <w:szCs w:val="19"/>
        </w:rPr>
        <w:t>aligns</w:t>
      </w:r>
      <w:r w:rsidR="00FF4C34" w:rsidRPr="00662611">
        <w:rPr>
          <w:sz w:val="19"/>
          <w:szCs w:val="19"/>
        </w:rPr>
        <w:t xml:space="preserve"> with the grantor recognising a liability in respect of service concession assets provided by the operator, since the grantor obtains control of those assets only through the service concession arrangement.</w:t>
      </w:r>
      <w:r w:rsidR="00650C08" w:rsidRPr="00662611">
        <w:rPr>
          <w:sz w:val="19"/>
          <w:szCs w:val="19"/>
        </w:rPr>
        <w:t xml:space="preserve"> Those liabilities are reduced as revenue is recognised in accordance with the substance of the arrangement.</w:t>
      </w:r>
    </w:p>
    <w:p w14:paraId="72746FB9" w14:textId="5A3EF32D" w:rsidR="00211353" w:rsidRPr="00662611" w:rsidRDefault="00E3195B" w:rsidP="00211353">
      <w:pPr>
        <w:pStyle w:val="IE1"/>
        <w:numPr>
          <w:ilvl w:val="0"/>
          <w:numId w:val="18"/>
        </w:numPr>
        <w:tabs>
          <w:tab w:val="clear" w:pos="624"/>
        </w:tabs>
        <w:spacing w:after="100" w:line="240" w:lineRule="auto"/>
        <w:ind w:left="782" w:hanging="782"/>
        <w:jc w:val="both"/>
        <w:rPr>
          <w:sz w:val="19"/>
          <w:szCs w:val="19"/>
        </w:rPr>
      </w:pPr>
      <w:bookmarkStart w:id="122" w:name="_Ref486954443"/>
      <w:r w:rsidRPr="00662611">
        <w:rPr>
          <w:sz w:val="19"/>
          <w:szCs w:val="19"/>
        </w:rPr>
        <w:t xml:space="preserve">The Board noted that </w:t>
      </w:r>
      <w:r w:rsidR="00A45CAB" w:rsidRPr="00662611">
        <w:rPr>
          <w:sz w:val="19"/>
          <w:szCs w:val="19"/>
        </w:rPr>
        <w:t>a</w:t>
      </w:r>
      <w:r w:rsidRPr="00662611">
        <w:rPr>
          <w:sz w:val="19"/>
          <w:szCs w:val="19"/>
        </w:rPr>
        <w:t xml:space="preserve"> service co</w:t>
      </w:r>
      <w:r w:rsidR="0081148E" w:rsidRPr="00662611">
        <w:rPr>
          <w:sz w:val="19"/>
          <w:szCs w:val="19"/>
        </w:rPr>
        <w:t>ncession arrangement might encompass</w:t>
      </w:r>
      <w:r w:rsidRPr="00662611">
        <w:rPr>
          <w:sz w:val="19"/>
          <w:szCs w:val="19"/>
        </w:rPr>
        <w:t xml:space="preserve"> a business of the grantor</w:t>
      </w:r>
      <w:r w:rsidR="00A45CAB" w:rsidRPr="00662611">
        <w:rPr>
          <w:sz w:val="19"/>
          <w:szCs w:val="19"/>
        </w:rPr>
        <w:t>, as defined in AASB 3</w:t>
      </w:r>
      <w:r w:rsidR="0081148E" w:rsidRPr="00662611">
        <w:rPr>
          <w:sz w:val="19"/>
          <w:szCs w:val="19"/>
        </w:rPr>
        <w:t>. This raised</w:t>
      </w:r>
      <w:r w:rsidRPr="00662611">
        <w:rPr>
          <w:sz w:val="19"/>
          <w:szCs w:val="19"/>
        </w:rPr>
        <w:t xml:space="preserve"> the issue of whether the grantor should recognise internally generated goodwill as an asset </w:t>
      </w:r>
      <w:r w:rsidR="00136664" w:rsidRPr="00662611">
        <w:rPr>
          <w:sz w:val="19"/>
          <w:szCs w:val="19"/>
        </w:rPr>
        <w:t xml:space="preserve">of </w:t>
      </w:r>
      <w:r w:rsidRPr="00662611">
        <w:rPr>
          <w:sz w:val="19"/>
          <w:szCs w:val="19"/>
        </w:rPr>
        <w:t>the business.</w:t>
      </w:r>
      <w:r w:rsidR="00A45CAB" w:rsidRPr="00662611">
        <w:rPr>
          <w:sz w:val="19"/>
          <w:szCs w:val="19"/>
        </w:rPr>
        <w:t xml:space="preserve"> The Board considered whether to follow the approach in AASB 3 and require goodwill to be recognised by the grantor. Under this approach, the grantor would measure the business at fair value (current replacement cost) and allocate this amount to the identifiable assets (such as property, plant and equipment and identifiable intangible assets) in the business, measured at their fair value (current replacement cost), with the remaining amount allocated to internally generated goodwill</w:t>
      </w:r>
      <w:r w:rsidR="00FB25BE" w:rsidRPr="00662611">
        <w:rPr>
          <w:sz w:val="19"/>
          <w:szCs w:val="19"/>
        </w:rPr>
        <w:t xml:space="preserve"> after recognising any liabilities of the business</w:t>
      </w:r>
      <w:r w:rsidR="00A45CAB" w:rsidRPr="00662611">
        <w:rPr>
          <w:sz w:val="19"/>
          <w:szCs w:val="19"/>
        </w:rPr>
        <w:t>.</w:t>
      </w:r>
      <w:bookmarkEnd w:id="122"/>
    </w:p>
    <w:p w14:paraId="7D9277BC" w14:textId="46BCCD37" w:rsidR="00196BA2" w:rsidRPr="00662611" w:rsidRDefault="00BD1325" w:rsidP="001F6686">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acknowledged </w:t>
      </w:r>
      <w:r w:rsidR="00A104D4" w:rsidRPr="00662611">
        <w:rPr>
          <w:sz w:val="19"/>
          <w:szCs w:val="19"/>
        </w:rPr>
        <w:t>the</w:t>
      </w:r>
      <w:r w:rsidRPr="00662611">
        <w:rPr>
          <w:sz w:val="19"/>
          <w:szCs w:val="19"/>
        </w:rPr>
        <w:t xml:space="preserve"> conceptual merit </w:t>
      </w:r>
      <w:r w:rsidR="005A2A0E" w:rsidRPr="00662611">
        <w:rPr>
          <w:sz w:val="19"/>
          <w:szCs w:val="19"/>
        </w:rPr>
        <w:t>in</w:t>
      </w:r>
      <w:r w:rsidRPr="00662611">
        <w:rPr>
          <w:sz w:val="19"/>
          <w:szCs w:val="19"/>
        </w:rPr>
        <w:t xml:space="preserve"> </w:t>
      </w:r>
      <w:r w:rsidR="007404DC" w:rsidRPr="00662611">
        <w:rPr>
          <w:sz w:val="19"/>
          <w:szCs w:val="19"/>
        </w:rPr>
        <w:t xml:space="preserve">applying </w:t>
      </w:r>
      <w:r w:rsidRPr="00662611">
        <w:rPr>
          <w:sz w:val="19"/>
          <w:szCs w:val="19"/>
        </w:rPr>
        <w:t xml:space="preserve">the </w:t>
      </w:r>
      <w:r w:rsidR="007404DC" w:rsidRPr="00662611">
        <w:rPr>
          <w:sz w:val="19"/>
          <w:szCs w:val="19"/>
        </w:rPr>
        <w:t xml:space="preserve">AASB 3 </w:t>
      </w:r>
      <w:r w:rsidRPr="00662611">
        <w:rPr>
          <w:sz w:val="19"/>
          <w:szCs w:val="19"/>
        </w:rPr>
        <w:t xml:space="preserve">approach to identify the assets for recognition in a service concession arrangement, in that the grantor </w:t>
      </w:r>
      <w:r w:rsidR="005A2A0E" w:rsidRPr="00662611">
        <w:rPr>
          <w:sz w:val="19"/>
          <w:szCs w:val="19"/>
        </w:rPr>
        <w:t>has provided the operator with the right</w:t>
      </w:r>
      <w:r w:rsidR="007404DC" w:rsidRPr="00662611">
        <w:rPr>
          <w:sz w:val="19"/>
          <w:szCs w:val="19"/>
        </w:rPr>
        <w:t xml:space="preserve"> to </w:t>
      </w:r>
      <w:r w:rsidR="005A2A0E" w:rsidRPr="00662611">
        <w:rPr>
          <w:sz w:val="19"/>
          <w:szCs w:val="19"/>
        </w:rPr>
        <w:t xml:space="preserve">access the whole business (including </w:t>
      </w:r>
      <w:r w:rsidR="007404DC" w:rsidRPr="00662611">
        <w:rPr>
          <w:sz w:val="19"/>
          <w:szCs w:val="19"/>
        </w:rPr>
        <w:t xml:space="preserve">any </w:t>
      </w:r>
      <w:r w:rsidR="005A2A0E" w:rsidRPr="00662611">
        <w:rPr>
          <w:sz w:val="19"/>
          <w:szCs w:val="19"/>
        </w:rPr>
        <w:t xml:space="preserve">goodwill) for </w:t>
      </w:r>
      <w:r w:rsidR="007404DC" w:rsidRPr="00662611">
        <w:rPr>
          <w:sz w:val="19"/>
          <w:szCs w:val="19"/>
        </w:rPr>
        <w:t xml:space="preserve">the purpose of </w:t>
      </w:r>
      <w:r w:rsidR="005A2A0E" w:rsidRPr="00662611">
        <w:rPr>
          <w:sz w:val="19"/>
          <w:szCs w:val="19"/>
        </w:rPr>
        <w:t>providing public service</w:t>
      </w:r>
      <w:r w:rsidR="007404DC" w:rsidRPr="00662611">
        <w:rPr>
          <w:sz w:val="19"/>
          <w:szCs w:val="19"/>
        </w:rPr>
        <w:t>s</w:t>
      </w:r>
      <w:r w:rsidR="005A2A0E" w:rsidRPr="00662611">
        <w:rPr>
          <w:sz w:val="19"/>
          <w:szCs w:val="19"/>
        </w:rPr>
        <w:t xml:space="preserve">. However, </w:t>
      </w:r>
      <w:r w:rsidR="007404DC" w:rsidRPr="00662611">
        <w:rPr>
          <w:sz w:val="19"/>
          <w:szCs w:val="19"/>
        </w:rPr>
        <w:t xml:space="preserve">the Board noted that this </w:t>
      </w:r>
      <w:r w:rsidR="000066FD" w:rsidRPr="00662611">
        <w:rPr>
          <w:sz w:val="19"/>
          <w:szCs w:val="19"/>
        </w:rPr>
        <w:t>approach would give rise to difficulties</w:t>
      </w:r>
      <w:r w:rsidR="007404DC" w:rsidRPr="00662611">
        <w:rPr>
          <w:sz w:val="19"/>
          <w:szCs w:val="19"/>
        </w:rPr>
        <w:t xml:space="preserve"> in subsequently assessing goodwill annually for impairment under AASB 136 </w:t>
      </w:r>
      <w:r w:rsidR="00390EE9" w:rsidRPr="00662611">
        <w:rPr>
          <w:i/>
          <w:sz w:val="19"/>
          <w:szCs w:val="19"/>
        </w:rPr>
        <w:t>Impairment of Assets</w:t>
      </w:r>
      <w:r w:rsidR="007404DC" w:rsidRPr="00662611">
        <w:rPr>
          <w:sz w:val="19"/>
          <w:szCs w:val="19"/>
        </w:rPr>
        <w:t xml:space="preserve">, </w:t>
      </w:r>
      <w:r w:rsidR="00390EE9" w:rsidRPr="00662611">
        <w:rPr>
          <w:sz w:val="19"/>
          <w:szCs w:val="19"/>
        </w:rPr>
        <w:t xml:space="preserve">since the revenue to be recognised by the grantor under the service concession arrangement would be limited to the related liabilities recognised, rather than reflecting cash flows of the service concession assets. </w:t>
      </w:r>
      <w:r w:rsidR="0072154A" w:rsidRPr="00662611">
        <w:rPr>
          <w:sz w:val="19"/>
          <w:szCs w:val="19"/>
        </w:rPr>
        <w:t xml:space="preserve">The Board </w:t>
      </w:r>
      <w:r w:rsidR="00196BA2" w:rsidRPr="00662611">
        <w:rPr>
          <w:sz w:val="19"/>
          <w:szCs w:val="19"/>
        </w:rPr>
        <w:t xml:space="preserve">concluded that the approach </w:t>
      </w:r>
      <w:r w:rsidR="00B9185A" w:rsidRPr="00662611">
        <w:rPr>
          <w:sz w:val="19"/>
          <w:szCs w:val="19"/>
        </w:rPr>
        <w:t>in</w:t>
      </w:r>
      <w:r w:rsidR="00196BA2" w:rsidRPr="00662611">
        <w:rPr>
          <w:sz w:val="19"/>
          <w:szCs w:val="19"/>
        </w:rPr>
        <w:t xml:space="preserve"> AASB 3 would be difficult</w:t>
      </w:r>
      <w:r w:rsidR="00FB25BE" w:rsidRPr="00662611">
        <w:rPr>
          <w:sz w:val="19"/>
          <w:szCs w:val="19"/>
        </w:rPr>
        <w:t xml:space="preserve"> to apply in practice</w:t>
      </w:r>
      <w:r w:rsidR="00196BA2" w:rsidRPr="00662611">
        <w:rPr>
          <w:sz w:val="19"/>
          <w:szCs w:val="19"/>
        </w:rPr>
        <w:t xml:space="preserve">, with the costs likely to outweigh the benefits. Consequently, the Board decided not to apply the approach </w:t>
      </w:r>
      <w:r w:rsidR="002244F3" w:rsidRPr="00662611">
        <w:rPr>
          <w:sz w:val="19"/>
          <w:szCs w:val="19"/>
        </w:rPr>
        <w:t>in</w:t>
      </w:r>
      <w:r w:rsidR="00196BA2" w:rsidRPr="00662611">
        <w:rPr>
          <w:sz w:val="19"/>
          <w:szCs w:val="19"/>
        </w:rPr>
        <w:t xml:space="preserve"> AASB 3</w:t>
      </w:r>
      <w:r w:rsidR="00FB25BE" w:rsidRPr="00662611">
        <w:rPr>
          <w:sz w:val="19"/>
          <w:szCs w:val="19"/>
        </w:rPr>
        <w:t>.</w:t>
      </w:r>
      <w:r w:rsidR="00196BA2" w:rsidRPr="00662611">
        <w:rPr>
          <w:sz w:val="19"/>
          <w:szCs w:val="19"/>
        </w:rPr>
        <w:t xml:space="preserve"> </w:t>
      </w:r>
      <w:r w:rsidR="00FB25BE" w:rsidRPr="00662611">
        <w:rPr>
          <w:sz w:val="19"/>
          <w:szCs w:val="19"/>
        </w:rPr>
        <w:t>Instead</w:t>
      </w:r>
      <w:r w:rsidR="00196BA2" w:rsidRPr="00662611">
        <w:rPr>
          <w:sz w:val="19"/>
          <w:szCs w:val="19"/>
        </w:rPr>
        <w:t xml:space="preserve">, the grantor </w:t>
      </w:r>
      <w:r w:rsidR="00FB25BE" w:rsidRPr="00662611">
        <w:rPr>
          <w:sz w:val="19"/>
          <w:szCs w:val="19"/>
        </w:rPr>
        <w:t>is required by AASB </w:t>
      </w:r>
      <w:r w:rsidR="005F6667">
        <w:rPr>
          <w:sz w:val="19"/>
          <w:szCs w:val="19"/>
        </w:rPr>
        <w:t>1059</w:t>
      </w:r>
      <w:r w:rsidR="00FB25BE" w:rsidRPr="00662611">
        <w:rPr>
          <w:sz w:val="19"/>
          <w:szCs w:val="19"/>
        </w:rPr>
        <w:t xml:space="preserve"> to </w:t>
      </w:r>
      <w:r w:rsidR="00196BA2" w:rsidRPr="00662611">
        <w:rPr>
          <w:sz w:val="19"/>
          <w:szCs w:val="19"/>
        </w:rPr>
        <w:t xml:space="preserve">recognise only the </w:t>
      </w:r>
      <w:r w:rsidR="00FB25BE" w:rsidRPr="00662611">
        <w:rPr>
          <w:sz w:val="19"/>
          <w:szCs w:val="19"/>
        </w:rPr>
        <w:t xml:space="preserve">tangible </w:t>
      </w:r>
      <w:r w:rsidR="00196BA2" w:rsidRPr="00662611">
        <w:rPr>
          <w:sz w:val="19"/>
          <w:szCs w:val="19"/>
        </w:rPr>
        <w:t xml:space="preserve">assets </w:t>
      </w:r>
      <w:r w:rsidR="002244F3" w:rsidRPr="00662611">
        <w:rPr>
          <w:sz w:val="19"/>
          <w:szCs w:val="19"/>
        </w:rPr>
        <w:t xml:space="preserve">and intangible assets </w:t>
      </w:r>
      <w:r w:rsidR="00196BA2" w:rsidRPr="00662611">
        <w:rPr>
          <w:sz w:val="19"/>
          <w:szCs w:val="19"/>
        </w:rPr>
        <w:t xml:space="preserve">in the business, measured at </w:t>
      </w:r>
      <w:r w:rsidR="00FB25BE" w:rsidRPr="00662611">
        <w:rPr>
          <w:sz w:val="19"/>
          <w:szCs w:val="19"/>
        </w:rPr>
        <w:t>fair value (</w:t>
      </w:r>
      <w:r w:rsidR="00196BA2" w:rsidRPr="00662611">
        <w:rPr>
          <w:sz w:val="19"/>
          <w:szCs w:val="19"/>
        </w:rPr>
        <w:t>current replacement cost</w:t>
      </w:r>
      <w:r w:rsidR="00FB25BE" w:rsidRPr="00662611">
        <w:rPr>
          <w:sz w:val="19"/>
          <w:szCs w:val="19"/>
        </w:rPr>
        <w:t>) and liabilities of the business</w:t>
      </w:r>
      <w:r w:rsidR="00196BA2" w:rsidRPr="00662611">
        <w:rPr>
          <w:sz w:val="19"/>
          <w:szCs w:val="19"/>
        </w:rPr>
        <w:t>.</w:t>
      </w:r>
      <w:r w:rsidR="00FB25BE" w:rsidRPr="00662611">
        <w:rPr>
          <w:sz w:val="19"/>
          <w:szCs w:val="19"/>
        </w:rPr>
        <w:t xml:space="preserve"> Goodwill is not permitted to be recognised.</w:t>
      </w:r>
    </w:p>
    <w:p w14:paraId="7DF36816" w14:textId="73571FA6" w:rsidR="00A45CAB" w:rsidRPr="00662611" w:rsidRDefault="00D57978" w:rsidP="00A45CAB">
      <w:pPr>
        <w:pStyle w:val="IE1"/>
        <w:numPr>
          <w:ilvl w:val="0"/>
          <w:numId w:val="18"/>
        </w:numPr>
        <w:tabs>
          <w:tab w:val="clear" w:pos="624"/>
        </w:tabs>
        <w:spacing w:after="100" w:line="240" w:lineRule="auto"/>
        <w:ind w:left="782" w:hanging="782"/>
        <w:jc w:val="both"/>
        <w:rPr>
          <w:sz w:val="19"/>
          <w:szCs w:val="19"/>
        </w:rPr>
      </w:pPr>
      <w:r w:rsidRPr="00662611">
        <w:rPr>
          <w:sz w:val="19"/>
          <w:szCs w:val="19"/>
        </w:rPr>
        <w:lastRenderedPageBreak/>
        <w:t xml:space="preserve">The Board </w:t>
      </w:r>
      <w:r w:rsidR="00136664" w:rsidRPr="00662611">
        <w:rPr>
          <w:sz w:val="19"/>
          <w:szCs w:val="19"/>
        </w:rPr>
        <w:t>considered</w:t>
      </w:r>
      <w:r w:rsidRPr="00662611">
        <w:rPr>
          <w:sz w:val="19"/>
          <w:szCs w:val="19"/>
        </w:rPr>
        <w:t xml:space="preserve"> that </w:t>
      </w:r>
      <w:r w:rsidR="00A45CAB" w:rsidRPr="00662611">
        <w:rPr>
          <w:sz w:val="19"/>
          <w:szCs w:val="19"/>
        </w:rPr>
        <w:t xml:space="preserve">at the end of </w:t>
      </w:r>
      <w:r w:rsidRPr="00662611">
        <w:rPr>
          <w:sz w:val="19"/>
          <w:szCs w:val="19"/>
        </w:rPr>
        <w:t>a</w:t>
      </w:r>
      <w:r w:rsidR="00A45CAB" w:rsidRPr="00662611">
        <w:rPr>
          <w:sz w:val="19"/>
          <w:szCs w:val="19"/>
        </w:rPr>
        <w:t xml:space="preserve"> s</w:t>
      </w:r>
      <w:r w:rsidRPr="00662611">
        <w:rPr>
          <w:sz w:val="19"/>
          <w:szCs w:val="19"/>
        </w:rPr>
        <w:t xml:space="preserve">ervice concession arrangement an intangible service concession </w:t>
      </w:r>
      <w:r w:rsidR="00A45CAB" w:rsidRPr="00662611">
        <w:rPr>
          <w:sz w:val="19"/>
          <w:szCs w:val="19"/>
        </w:rPr>
        <w:t xml:space="preserve">asset should continue to be recognised as an intangible asset and accounted for in accordance with AASB 138, excluding the recognition criteria of AASB 138. The Board decided that AASB </w:t>
      </w:r>
      <w:r w:rsidR="005F6667">
        <w:rPr>
          <w:sz w:val="19"/>
          <w:szCs w:val="19"/>
        </w:rPr>
        <w:t>1059</w:t>
      </w:r>
      <w:r w:rsidR="00A45CAB" w:rsidRPr="00662611">
        <w:rPr>
          <w:sz w:val="19"/>
          <w:szCs w:val="19"/>
        </w:rPr>
        <w:t xml:space="preserve"> would override the recognition criteria of AASB 138, </w:t>
      </w:r>
      <w:r w:rsidRPr="00662611">
        <w:rPr>
          <w:sz w:val="19"/>
          <w:szCs w:val="19"/>
        </w:rPr>
        <w:t xml:space="preserve">so that an </w:t>
      </w:r>
      <w:r w:rsidR="00A45CAB" w:rsidRPr="00662611">
        <w:rPr>
          <w:sz w:val="19"/>
          <w:szCs w:val="19"/>
        </w:rPr>
        <w:t xml:space="preserve">intangible asset </w:t>
      </w:r>
      <w:r w:rsidRPr="00662611">
        <w:rPr>
          <w:sz w:val="19"/>
          <w:szCs w:val="19"/>
        </w:rPr>
        <w:t xml:space="preserve">would not be derecognised </w:t>
      </w:r>
      <w:r w:rsidR="00A45CAB" w:rsidRPr="00662611">
        <w:rPr>
          <w:sz w:val="19"/>
          <w:szCs w:val="19"/>
        </w:rPr>
        <w:t>at the end of the service concession arrangement</w:t>
      </w:r>
      <w:r w:rsidRPr="00662611">
        <w:rPr>
          <w:sz w:val="19"/>
          <w:szCs w:val="19"/>
        </w:rPr>
        <w:t xml:space="preserve"> </w:t>
      </w:r>
      <w:r w:rsidR="002402B4">
        <w:rPr>
          <w:sz w:val="19"/>
          <w:szCs w:val="19"/>
        </w:rPr>
        <w:t xml:space="preserve">merely </w:t>
      </w:r>
      <w:r w:rsidRPr="00662611">
        <w:rPr>
          <w:sz w:val="19"/>
          <w:szCs w:val="19"/>
        </w:rPr>
        <w:t xml:space="preserve">because it could not satisfy the recognition requirements of AASB 138. However, </w:t>
      </w:r>
      <w:proofErr w:type="gramStart"/>
      <w:r w:rsidRPr="00662611">
        <w:rPr>
          <w:sz w:val="19"/>
          <w:szCs w:val="19"/>
        </w:rPr>
        <w:t>t</w:t>
      </w:r>
      <w:r w:rsidR="00A45CAB" w:rsidRPr="00662611">
        <w:rPr>
          <w:sz w:val="19"/>
          <w:szCs w:val="19"/>
        </w:rPr>
        <w:t>he derecognition</w:t>
      </w:r>
      <w:proofErr w:type="gramEnd"/>
      <w:r w:rsidR="00A45CAB" w:rsidRPr="00662611">
        <w:rPr>
          <w:sz w:val="19"/>
          <w:szCs w:val="19"/>
        </w:rPr>
        <w:t xml:space="preserve"> criteria in AASB 138 would </w:t>
      </w:r>
      <w:r w:rsidRPr="00662611">
        <w:rPr>
          <w:sz w:val="19"/>
          <w:szCs w:val="19"/>
        </w:rPr>
        <w:t xml:space="preserve">apply, so that the grantor would be required to derecognise </w:t>
      </w:r>
      <w:r w:rsidR="00A45CAB" w:rsidRPr="00662611">
        <w:rPr>
          <w:sz w:val="19"/>
          <w:szCs w:val="19"/>
        </w:rPr>
        <w:t xml:space="preserve">the intangible asset </w:t>
      </w:r>
      <w:r w:rsidR="002402B4">
        <w:rPr>
          <w:sz w:val="19"/>
          <w:szCs w:val="19"/>
        </w:rPr>
        <w:t xml:space="preserve">if </w:t>
      </w:r>
      <w:r w:rsidR="00136664" w:rsidRPr="00662611">
        <w:rPr>
          <w:sz w:val="19"/>
          <w:szCs w:val="19"/>
        </w:rPr>
        <w:t>the grantor loses</w:t>
      </w:r>
      <w:r w:rsidRPr="00662611">
        <w:rPr>
          <w:sz w:val="19"/>
          <w:szCs w:val="19"/>
        </w:rPr>
        <w:t xml:space="preserve"> control of the asset.</w:t>
      </w:r>
    </w:p>
    <w:p w14:paraId="445D974B" w14:textId="42FC8AF9" w:rsidR="00A73F4C" w:rsidRPr="00662611" w:rsidRDefault="00A73F4C" w:rsidP="00A73F4C">
      <w:pPr>
        <w:pStyle w:val="IASBSectionTitle2Ind"/>
        <w:outlineLvl w:val="2"/>
      </w:pPr>
      <w:r>
        <w:t xml:space="preserve">Land under </w:t>
      </w:r>
      <w:r w:rsidR="00CE6A52">
        <w:t>road</w:t>
      </w:r>
      <w:r w:rsidR="00CE6A52" w:rsidRPr="00662611">
        <w:t>s</w:t>
      </w:r>
    </w:p>
    <w:p w14:paraId="53F4736F" w14:textId="0A1A27A6" w:rsidR="00A73F4C" w:rsidRDefault="00A73F4C" w:rsidP="00A73F4C">
      <w:pPr>
        <w:pStyle w:val="IE1"/>
        <w:numPr>
          <w:ilvl w:val="0"/>
          <w:numId w:val="18"/>
        </w:numPr>
        <w:tabs>
          <w:tab w:val="clear" w:pos="624"/>
        </w:tabs>
        <w:spacing w:after="100" w:line="240" w:lineRule="auto"/>
        <w:ind w:left="782" w:hanging="782"/>
        <w:jc w:val="both"/>
        <w:rPr>
          <w:sz w:val="19"/>
          <w:szCs w:val="19"/>
        </w:rPr>
      </w:pPr>
      <w:r>
        <w:rPr>
          <w:sz w:val="19"/>
          <w:szCs w:val="19"/>
        </w:rPr>
        <w:t xml:space="preserve">The Board noted that a service concession arrangement might involve land under roads. AASB 1051 </w:t>
      </w:r>
      <w:r w:rsidRPr="00A73F4C">
        <w:rPr>
          <w:i/>
          <w:sz w:val="19"/>
          <w:szCs w:val="19"/>
        </w:rPr>
        <w:t xml:space="preserve">Land </w:t>
      </w:r>
      <w:proofErr w:type="gramStart"/>
      <w:r w:rsidRPr="00A73F4C">
        <w:rPr>
          <w:i/>
          <w:sz w:val="19"/>
          <w:szCs w:val="19"/>
        </w:rPr>
        <w:t>Under</w:t>
      </w:r>
      <w:proofErr w:type="gramEnd"/>
      <w:r w:rsidRPr="00A73F4C">
        <w:rPr>
          <w:i/>
          <w:sz w:val="19"/>
          <w:szCs w:val="19"/>
        </w:rPr>
        <w:t xml:space="preserve"> Roads</w:t>
      </w:r>
      <w:r>
        <w:rPr>
          <w:sz w:val="19"/>
          <w:szCs w:val="19"/>
        </w:rPr>
        <w:t xml:space="preserve"> requires land under roads to be recognised </w:t>
      </w:r>
      <w:r w:rsidR="00E22241">
        <w:rPr>
          <w:sz w:val="19"/>
          <w:szCs w:val="19"/>
        </w:rPr>
        <w:t xml:space="preserve">as an asset </w:t>
      </w:r>
      <w:r>
        <w:rPr>
          <w:sz w:val="19"/>
          <w:szCs w:val="19"/>
        </w:rPr>
        <w:t>only by local governments, government departments, General Government Sectors and whole of governments</w:t>
      </w:r>
      <w:r w:rsidR="00E22241">
        <w:rPr>
          <w:sz w:val="19"/>
          <w:szCs w:val="19"/>
        </w:rPr>
        <w:t xml:space="preserve">, and only in respect of land under roads acquired after the end of the first reporting period that ended on or after 31 December 2007. AASB 1051 notes that AASB 116 applies to land under roads when recognised. The Board concluded that, to be consistent with the requirement in this Standard for a grantor to recognise previously unrecognised identifiable intangible assets that are controlled by the grantor as service concession assets, grantors would also be required to recognise land under roads </w:t>
      </w:r>
      <w:r w:rsidR="00C82454">
        <w:rPr>
          <w:sz w:val="19"/>
          <w:szCs w:val="19"/>
        </w:rPr>
        <w:t xml:space="preserve">as service concession assets </w:t>
      </w:r>
      <w:r w:rsidR="00E22241">
        <w:rPr>
          <w:sz w:val="19"/>
          <w:szCs w:val="19"/>
        </w:rPr>
        <w:t xml:space="preserve">when the </w:t>
      </w:r>
      <w:r w:rsidR="00C82454">
        <w:rPr>
          <w:sz w:val="19"/>
          <w:szCs w:val="19"/>
        </w:rPr>
        <w:t>control criteria</w:t>
      </w:r>
      <w:r w:rsidR="00E22241">
        <w:rPr>
          <w:sz w:val="19"/>
          <w:szCs w:val="19"/>
        </w:rPr>
        <w:t xml:space="preserve"> in </w:t>
      </w:r>
      <w:r w:rsidR="00C82454">
        <w:rPr>
          <w:sz w:val="19"/>
          <w:szCs w:val="19"/>
        </w:rPr>
        <w:t xml:space="preserve">paragraphs </w:t>
      </w:r>
      <w:r w:rsidR="00557587">
        <w:rPr>
          <w:sz w:val="19"/>
          <w:szCs w:val="19"/>
        </w:rPr>
        <w:fldChar w:fldCharType="begin"/>
      </w:r>
      <w:r w:rsidR="00557587">
        <w:rPr>
          <w:sz w:val="19"/>
          <w:szCs w:val="19"/>
        </w:rPr>
        <w:instrText xml:space="preserve"> REF _Ref475619556 \r \h </w:instrText>
      </w:r>
      <w:r w:rsidR="00557587">
        <w:rPr>
          <w:sz w:val="19"/>
          <w:szCs w:val="19"/>
        </w:rPr>
      </w:r>
      <w:r w:rsidR="00557587">
        <w:rPr>
          <w:sz w:val="19"/>
          <w:szCs w:val="19"/>
        </w:rPr>
        <w:fldChar w:fldCharType="separate"/>
      </w:r>
      <w:r w:rsidR="00C43128">
        <w:rPr>
          <w:sz w:val="19"/>
          <w:szCs w:val="19"/>
        </w:rPr>
        <w:t>5</w:t>
      </w:r>
      <w:r w:rsidR="00557587">
        <w:rPr>
          <w:sz w:val="19"/>
          <w:szCs w:val="19"/>
        </w:rPr>
        <w:fldChar w:fldCharType="end"/>
      </w:r>
      <w:r w:rsidR="00C82454">
        <w:rPr>
          <w:sz w:val="19"/>
          <w:szCs w:val="19"/>
        </w:rPr>
        <w:t xml:space="preserve"> or </w:t>
      </w:r>
      <w:r w:rsidR="00557587">
        <w:rPr>
          <w:sz w:val="19"/>
          <w:szCs w:val="19"/>
        </w:rPr>
        <w:fldChar w:fldCharType="begin"/>
      </w:r>
      <w:r w:rsidR="00557587">
        <w:rPr>
          <w:sz w:val="19"/>
          <w:szCs w:val="19"/>
        </w:rPr>
        <w:instrText xml:space="preserve"> REF _Ref486144882 \r \h </w:instrText>
      </w:r>
      <w:r w:rsidR="00557587">
        <w:rPr>
          <w:sz w:val="19"/>
          <w:szCs w:val="19"/>
        </w:rPr>
      </w:r>
      <w:r w:rsidR="00557587">
        <w:rPr>
          <w:sz w:val="19"/>
          <w:szCs w:val="19"/>
        </w:rPr>
        <w:fldChar w:fldCharType="separate"/>
      </w:r>
      <w:r w:rsidR="00C43128">
        <w:rPr>
          <w:sz w:val="19"/>
          <w:szCs w:val="19"/>
        </w:rPr>
        <w:t>6</w:t>
      </w:r>
      <w:r w:rsidR="00557587">
        <w:rPr>
          <w:sz w:val="19"/>
          <w:szCs w:val="19"/>
        </w:rPr>
        <w:fldChar w:fldCharType="end"/>
      </w:r>
      <w:r w:rsidR="00C82454">
        <w:rPr>
          <w:sz w:val="19"/>
          <w:szCs w:val="19"/>
        </w:rPr>
        <w:t xml:space="preserve"> were satisfied</w:t>
      </w:r>
      <w:r w:rsidR="00E22241">
        <w:rPr>
          <w:sz w:val="19"/>
          <w:szCs w:val="19"/>
        </w:rPr>
        <w:t>.</w:t>
      </w:r>
      <w:r w:rsidR="00C82454">
        <w:rPr>
          <w:sz w:val="19"/>
          <w:szCs w:val="19"/>
        </w:rPr>
        <w:t xml:space="preserve"> The Board decided that this requirement would apply to all grantors, not just grantors that were subject to AASB 1051.</w:t>
      </w:r>
    </w:p>
    <w:p w14:paraId="7D9277BD" w14:textId="77777777" w:rsidR="008645D2" w:rsidRPr="00662611" w:rsidRDefault="0029567F" w:rsidP="00F352A4">
      <w:pPr>
        <w:pStyle w:val="IASBSectionTitle1NonInd"/>
        <w:outlineLvl w:val="1"/>
      </w:pPr>
      <w:r w:rsidRPr="00662611">
        <w:t>Measurement of service concession assets</w:t>
      </w:r>
    </w:p>
    <w:p w14:paraId="15C73E4D" w14:textId="0F2166E3" w:rsidR="00F42779" w:rsidRDefault="002402B4" w:rsidP="00942FDB">
      <w:pPr>
        <w:pStyle w:val="IE1"/>
        <w:numPr>
          <w:ilvl w:val="0"/>
          <w:numId w:val="18"/>
        </w:numPr>
        <w:tabs>
          <w:tab w:val="clear" w:pos="624"/>
        </w:tabs>
        <w:spacing w:after="100" w:line="240" w:lineRule="auto"/>
        <w:ind w:left="782" w:hanging="782"/>
        <w:jc w:val="both"/>
        <w:rPr>
          <w:sz w:val="19"/>
          <w:szCs w:val="19"/>
        </w:rPr>
      </w:pPr>
      <w:r>
        <w:rPr>
          <w:sz w:val="19"/>
          <w:szCs w:val="19"/>
        </w:rPr>
        <w:t xml:space="preserve">The Standard addresses subsequent measurement of service concession assets by reference to AASB 116 and AASB 138, on the grounds that service concession arrangements </w:t>
      </w:r>
      <w:r w:rsidR="00DF3F26">
        <w:rPr>
          <w:sz w:val="19"/>
          <w:szCs w:val="19"/>
        </w:rPr>
        <w:t xml:space="preserve">relating to </w:t>
      </w:r>
      <w:r>
        <w:rPr>
          <w:sz w:val="19"/>
          <w:szCs w:val="19"/>
        </w:rPr>
        <w:t xml:space="preserve">other types of assets are unlikely. That does not prevent application of this Standard to other types of assets included within </w:t>
      </w:r>
      <w:r w:rsidR="00DF3F26">
        <w:rPr>
          <w:sz w:val="19"/>
          <w:szCs w:val="19"/>
        </w:rPr>
        <w:t>a</w:t>
      </w:r>
      <w:r>
        <w:rPr>
          <w:sz w:val="19"/>
          <w:szCs w:val="19"/>
        </w:rPr>
        <w:t xml:space="preserve"> service concession arrangement.</w:t>
      </w:r>
    </w:p>
    <w:p w14:paraId="7D9277BE"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considered the measurement of a service concession asset at fair value in accordance with AASB 13 in relation to</w:t>
      </w:r>
      <w:r w:rsidR="00692960" w:rsidRPr="00662611">
        <w:rPr>
          <w:sz w:val="19"/>
          <w:szCs w:val="19"/>
        </w:rPr>
        <w:t xml:space="preserve"> the characteristics of the asset and valuation techniques for measuring the fair value of the asset.</w:t>
      </w:r>
    </w:p>
    <w:p w14:paraId="7D9277BF" w14:textId="77777777" w:rsidR="00AC4827" w:rsidRPr="00662611" w:rsidRDefault="005A0AAF" w:rsidP="00F352A4">
      <w:pPr>
        <w:pStyle w:val="IASBSectionTitle2Ind"/>
        <w:outlineLvl w:val="2"/>
      </w:pPr>
      <w:r w:rsidRPr="00662611">
        <w:t>Characteristics of the asset</w:t>
      </w:r>
    </w:p>
    <w:p w14:paraId="7D9277C0" w14:textId="7B2F8EC9" w:rsidR="00C30964" w:rsidRPr="00662611" w:rsidRDefault="00C30964" w:rsidP="00C30964">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In considering the characteristics of the asset when measuring fair value, the Board noted AASB 13 requires the grantor to consider the characteristics of the service concession asset that market participants would take into account when pricing the asset at the measurement date. Characteristics include the condition and location of the asset as well as any restrictions on the sale, transfer or use of the asset. The effect of restrictions on the sale, transfer or use of the service concession asset depends on whether the restriction is deemed to be a characteristic of the asset or a characteristic of the grantor </w:t>
      </w:r>
      <w:r w:rsidR="00AB2AC3" w:rsidRPr="00662611">
        <w:rPr>
          <w:sz w:val="19"/>
          <w:szCs w:val="19"/>
        </w:rPr>
        <w:t xml:space="preserve">that </w:t>
      </w:r>
      <w:r w:rsidR="00520543" w:rsidRPr="00662611">
        <w:rPr>
          <w:sz w:val="19"/>
          <w:szCs w:val="19"/>
        </w:rPr>
        <w:t>control</w:t>
      </w:r>
      <w:r w:rsidR="00AB2AC3" w:rsidRPr="00662611">
        <w:rPr>
          <w:sz w:val="19"/>
          <w:szCs w:val="19"/>
        </w:rPr>
        <w:t>s</w:t>
      </w:r>
      <w:r w:rsidR="00520543" w:rsidRPr="00662611">
        <w:rPr>
          <w:sz w:val="19"/>
          <w:szCs w:val="19"/>
        </w:rPr>
        <w:t xml:space="preserve"> </w:t>
      </w:r>
      <w:r w:rsidRPr="00662611">
        <w:rPr>
          <w:sz w:val="19"/>
          <w:szCs w:val="19"/>
        </w:rPr>
        <w:t>the asset. Where a restriction</w:t>
      </w:r>
      <w:r w:rsidR="00AB2AC3" w:rsidRPr="00662611">
        <w:rPr>
          <w:sz w:val="19"/>
          <w:szCs w:val="19"/>
        </w:rPr>
        <w:t xml:space="preserve"> would</w:t>
      </w:r>
      <w:r w:rsidRPr="00662611">
        <w:rPr>
          <w:sz w:val="19"/>
          <w:szCs w:val="19"/>
        </w:rPr>
        <w:t xml:space="preserve"> transfer with the asset in an assumed sale or transfer, the restriction would generally be </w:t>
      </w:r>
      <w:r w:rsidR="00AC70F9">
        <w:rPr>
          <w:sz w:val="19"/>
          <w:szCs w:val="19"/>
        </w:rPr>
        <w:t xml:space="preserve">regarded as </w:t>
      </w:r>
      <w:r w:rsidRPr="00662611">
        <w:rPr>
          <w:sz w:val="19"/>
          <w:szCs w:val="19"/>
        </w:rPr>
        <w:t xml:space="preserve">a characteristic of the asset and likely to be considered by a market participant in pricing the asset. On the other hand, a restriction that is specific to the grantor and that would not transfer with the asset in an assumed sale would not be considered in measuring the fair value of the asset. Whether a restriction is a characteristic of the service concession asset or specific to the grantor requires judgement based on the specific facts and circumstances of the arrangement. </w:t>
      </w:r>
    </w:p>
    <w:p w14:paraId="7D9277C1" w14:textId="6A85A855" w:rsidR="00C30964" w:rsidRPr="00662611" w:rsidRDefault="007108B4" w:rsidP="00C30964">
      <w:pPr>
        <w:pStyle w:val="IE1"/>
        <w:numPr>
          <w:ilvl w:val="0"/>
          <w:numId w:val="18"/>
        </w:numPr>
        <w:tabs>
          <w:tab w:val="clear" w:pos="624"/>
        </w:tabs>
        <w:spacing w:after="100" w:line="240" w:lineRule="auto"/>
        <w:ind w:left="782" w:hanging="782"/>
        <w:jc w:val="both"/>
        <w:rPr>
          <w:sz w:val="19"/>
          <w:szCs w:val="19"/>
        </w:rPr>
      </w:pPr>
      <w:bookmarkStart w:id="123" w:name="_Ref476660229"/>
      <w:r w:rsidRPr="00662611">
        <w:rPr>
          <w:sz w:val="19"/>
          <w:szCs w:val="19"/>
        </w:rPr>
        <w:t xml:space="preserve">A </w:t>
      </w:r>
      <w:r w:rsidR="00C30964" w:rsidRPr="00662611">
        <w:rPr>
          <w:sz w:val="19"/>
          <w:szCs w:val="19"/>
        </w:rPr>
        <w:t xml:space="preserve">market participant </w:t>
      </w:r>
      <w:r w:rsidR="003C368C">
        <w:rPr>
          <w:sz w:val="19"/>
          <w:szCs w:val="19"/>
        </w:rPr>
        <w:t xml:space="preserve">may </w:t>
      </w:r>
      <w:r w:rsidR="00C30964" w:rsidRPr="00662611">
        <w:rPr>
          <w:sz w:val="19"/>
          <w:szCs w:val="19"/>
        </w:rPr>
        <w:t xml:space="preserve">consider that the right of access provided </w:t>
      </w:r>
      <w:r w:rsidR="005D3F93" w:rsidRPr="00662611">
        <w:rPr>
          <w:sz w:val="19"/>
          <w:szCs w:val="19"/>
        </w:rPr>
        <w:t xml:space="preserve">by the grantor </w:t>
      </w:r>
      <w:r w:rsidR="00C30964" w:rsidRPr="00662611">
        <w:rPr>
          <w:sz w:val="19"/>
          <w:szCs w:val="19"/>
        </w:rPr>
        <w:t>to the operator does not represent a restriction on the grantor’s use of the asset. In a service concession arrangement, control of the asset and therefore the right to use the asset is retained by the grantor (and transferred to the market participant in a hypothetical transaction). Under this view, the right of access provided to the operator would not represent a restriction on the use of the asset.</w:t>
      </w:r>
      <w:bookmarkEnd w:id="123"/>
    </w:p>
    <w:p w14:paraId="7D9277C2" w14:textId="77777777" w:rsidR="00C30964" w:rsidRPr="00662611" w:rsidRDefault="00C30964" w:rsidP="00C30964">
      <w:pPr>
        <w:pStyle w:val="IE1"/>
        <w:numPr>
          <w:ilvl w:val="0"/>
          <w:numId w:val="18"/>
        </w:numPr>
        <w:tabs>
          <w:tab w:val="clear" w:pos="624"/>
        </w:tabs>
        <w:spacing w:after="100" w:line="240" w:lineRule="auto"/>
        <w:ind w:left="782" w:hanging="782"/>
        <w:jc w:val="both"/>
        <w:rPr>
          <w:sz w:val="19"/>
          <w:szCs w:val="19"/>
        </w:rPr>
      </w:pPr>
      <w:bookmarkStart w:id="124" w:name="_Ref476733148"/>
      <w:r w:rsidRPr="00662611">
        <w:rPr>
          <w:sz w:val="19"/>
          <w:szCs w:val="19"/>
        </w:rPr>
        <w:t>Th</w:t>
      </w:r>
      <w:r w:rsidR="006D5108" w:rsidRPr="00662611">
        <w:rPr>
          <w:sz w:val="19"/>
          <w:szCs w:val="19"/>
        </w:rPr>
        <w:t>e</w:t>
      </w:r>
      <w:r w:rsidRPr="00662611">
        <w:rPr>
          <w:sz w:val="19"/>
          <w:szCs w:val="19"/>
        </w:rPr>
        <w:t xml:space="preserve"> assessment</w:t>
      </w:r>
      <w:r w:rsidR="006D5108" w:rsidRPr="00662611">
        <w:rPr>
          <w:sz w:val="19"/>
          <w:szCs w:val="19"/>
        </w:rPr>
        <w:t xml:space="preserve"> of restrictions</w:t>
      </w:r>
      <w:r w:rsidRPr="00662611">
        <w:rPr>
          <w:sz w:val="19"/>
          <w:szCs w:val="19"/>
        </w:rPr>
        <w:t xml:space="preserve"> is important for service concession arrangements involving the grant of a right to the operator </w:t>
      </w:r>
      <w:r w:rsidR="009027EF" w:rsidRPr="00662611">
        <w:rPr>
          <w:sz w:val="19"/>
          <w:szCs w:val="19"/>
        </w:rPr>
        <w:t xml:space="preserve">(GORTO) </w:t>
      </w:r>
      <w:r w:rsidRPr="00662611">
        <w:rPr>
          <w:sz w:val="19"/>
          <w:szCs w:val="19"/>
        </w:rPr>
        <w:t xml:space="preserve">model, where the grantor provides the operator with a right to charge the users of the service concession asset. To the extent that a market participant (acting in its economic best interest) would take into account </w:t>
      </w:r>
      <w:r w:rsidR="006D5DCB" w:rsidRPr="00662611">
        <w:rPr>
          <w:sz w:val="19"/>
          <w:szCs w:val="19"/>
        </w:rPr>
        <w:t xml:space="preserve">in measuring the fair value of the asset </w:t>
      </w:r>
      <w:r w:rsidRPr="00662611">
        <w:rPr>
          <w:sz w:val="19"/>
          <w:szCs w:val="19"/>
        </w:rPr>
        <w:t xml:space="preserve">the fact that a third-party operator has been granted a right to charge users, this could result in a different fair value compared to that for an equivalent asset without such a characteristic, such as the service concession asset under an arrangement that involves only the financial liability model. </w:t>
      </w:r>
      <w:r w:rsidR="006D5DCB" w:rsidRPr="00662611">
        <w:rPr>
          <w:sz w:val="19"/>
          <w:szCs w:val="19"/>
        </w:rPr>
        <w:t>In the latter case, any</w:t>
      </w:r>
      <w:r w:rsidRPr="00662611">
        <w:rPr>
          <w:sz w:val="19"/>
          <w:szCs w:val="19"/>
        </w:rPr>
        <w:t xml:space="preserve"> obligation to pay the operator under the financial liability model</w:t>
      </w:r>
      <w:r w:rsidR="00153DE5" w:rsidRPr="00662611">
        <w:rPr>
          <w:sz w:val="19"/>
          <w:szCs w:val="19"/>
        </w:rPr>
        <w:t xml:space="preserve"> that would be</w:t>
      </w:r>
      <w:r w:rsidRPr="00662611">
        <w:rPr>
          <w:sz w:val="19"/>
          <w:szCs w:val="19"/>
        </w:rPr>
        <w:t xml:space="preserve"> transferred to the market participant would be separately recognise</w:t>
      </w:r>
      <w:r w:rsidR="00680488" w:rsidRPr="00662611">
        <w:rPr>
          <w:sz w:val="19"/>
          <w:szCs w:val="19"/>
        </w:rPr>
        <w:t>d, not netted against the asset</w:t>
      </w:r>
      <w:r w:rsidRPr="00662611">
        <w:rPr>
          <w:sz w:val="19"/>
          <w:szCs w:val="19"/>
        </w:rPr>
        <w:t>.</w:t>
      </w:r>
      <w:bookmarkEnd w:id="124"/>
    </w:p>
    <w:p w14:paraId="7D9277C3"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lastRenderedPageBreak/>
        <w:t xml:space="preserve">The Board discussed the unit of account in AASB 13, which defines it as </w:t>
      </w:r>
      <w:r w:rsidR="00B47B82" w:rsidRPr="00662611">
        <w:rPr>
          <w:sz w:val="19"/>
          <w:szCs w:val="19"/>
        </w:rPr>
        <w:t>t</w:t>
      </w:r>
      <w:r w:rsidRPr="00662611">
        <w:rPr>
          <w:sz w:val="19"/>
          <w:szCs w:val="19"/>
        </w:rPr>
        <w:t xml:space="preserve">he level at which an asset or a liability is aggregated or disaggregated in a Standard for recognition purposes. The Board noted there are three possible bases for </w:t>
      </w:r>
      <w:r w:rsidR="00037ADC" w:rsidRPr="00662611">
        <w:rPr>
          <w:sz w:val="19"/>
          <w:szCs w:val="19"/>
        </w:rPr>
        <w:t>identifying</w:t>
      </w:r>
      <w:r w:rsidRPr="00662611">
        <w:rPr>
          <w:sz w:val="19"/>
          <w:szCs w:val="19"/>
        </w:rPr>
        <w:t xml:space="preserve"> a service concession asset: </w:t>
      </w:r>
      <w:r w:rsidR="00642195" w:rsidRPr="00662611">
        <w:rPr>
          <w:sz w:val="19"/>
          <w:szCs w:val="19"/>
        </w:rPr>
        <w:t>the service concession period, the economic life after the end of the arrangement</w:t>
      </w:r>
      <w:r w:rsidR="00BC0172" w:rsidRPr="00662611">
        <w:rPr>
          <w:sz w:val="19"/>
          <w:szCs w:val="19"/>
        </w:rPr>
        <w:t xml:space="preserve"> (the residual)</w:t>
      </w:r>
      <w:r w:rsidR="00642195" w:rsidRPr="00662611">
        <w:rPr>
          <w:sz w:val="19"/>
          <w:szCs w:val="19"/>
        </w:rPr>
        <w:t>, or both the concession period and any remaining economic life.</w:t>
      </w:r>
    </w:p>
    <w:p w14:paraId="7D9277C4" w14:textId="6AD5A64D" w:rsidR="005B43AD" w:rsidRPr="00662611" w:rsidRDefault="005B43AD" w:rsidP="005B43AD">
      <w:pPr>
        <w:pStyle w:val="IE1"/>
        <w:numPr>
          <w:ilvl w:val="0"/>
          <w:numId w:val="18"/>
        </w:numPr>
        <w:tabs>
          <w:tab w:val="clear" w:pos="624"/>
        </w:tabs>
        <w:spacing w:after="100" w:line="240" w:lineRule="auto"/>
        <w:ind w:left="782" w:hanging="782"/>
        <w:jc w:val="both"/>
        <w:rPr>
          <w:sz w:val="19"/>
          <w:szCs w:val="19"/>
        </w:rPr>
      </w:pPr>
      <w:bookmarkStart w:id="125" w:name="_Ref476733155"/>
      <w:r w:rsidRPr="00662611">
        <w:rPr>
          <w:sz w:val="19"/>
          <w:szCs w:val="19"/>
        </w:rPr>
        <w:t xml:space="preserve">The Board </w:t>
      </w:r>
      <w:r w:rsidR="00AC70F9">
        <w:rPr>
          <w:sz w:val="19"/>
          <w:szCs w:val="19"/>
        </w:rPr>
        <w:t>noted</w:t>
      </w:r>
      <w:r w:rsidRPr="00662611">
        <w:rPr>
          <w:sz w:val="19"/>
          <w:szCs w:val="19"/>
        </w:rPr>
        <w:t xml:space="preserve"> some may view the grant of a right to the operator to earn revenue from third-party users of the asset means that the </w:t>
      </w:r>
      <w:r w:rsidR="000F1039" w:rsidRPr="00662611">
        <w:rPr>
          <w:sz w:val="19"/>
          <w:szCs w:val="19"/>
        </w:rPr>
        <w:t xml:space="preserve">grantor’s </w:t>
      </w:r>
      <w:r w:rsidRPr="00662611">
        <w:rPr>
          <w:sz w:val="19"/>
          <w:szCs w:val="19"/>
        </w:rPr>
        <w:t xml:space="preserve">service concession asset is only the residual interest in the asset after the service concession period. Under this view, the grantor’s interest in the service concession period </w:t>
      </w:r>
      <w:r w:rsidR="00403862" w:rsidRPr="00662611">
        <w:rPr>
          <w:sz w:val="19"/>
          <w:szCs w:val="19"/>
        </w:rPr>
        <w:t>component</w:t>
      </w:r>
      <w:r w:rsidRPr="00662611">
        <w:rPr>
          <w:sz w:val="19"/>
          <w:szCs w:val="19"/>
        </w:rPr>
        <w:t xml:space="preserve"> of the asset is effectively derecognised, consistent with a rights and obligations approach.</w:t>
      </w:r>
      <w:bookmarkEnd w:id="125"/>
    </w:p>
    <w:p w14:paraId="7D9277C5" w14:textId="77777777" w:rsidR="005B43AD" w:rsidRPr="00662611" w:rsidRDefault="005B43AD" w:rsidP="005B43AD">
      <w:pPr>
        <w:pStyle w:val="IE1"/>
        <w:numPr>
          <w:ilvl w:val="0"/>
          <w:numId w:val="18"/>
        </w:numPr>
        <w:tabs>
          <w:tab w:val="clear" w:pos="624"/>
        </w:tabs>
        <w:spacing w:after="100" w:line="240" w:lineRule="auto"/>
        <w:ind w:left="782" w:hanging="782"/>
        <w:jc w:val="both"/>
        <w:rPr>
          <w:sz w:val="19"/>
          <w:szCs w:val="19"/>
        </w:rPr>
      </w:pPr>
      <w:bookmarkStart w:id="126" w:name="_Ref476733158"/>
      <w:r w:rsidRPr="00662611">
        <w:rPr>
          <w:sz w:val="19"/>
          <w:szCs w:val="19"/>
        </w:rPr>
        <w:t>In the development of IFRIC 12, the IFRIC decided that when the operator in a service concession arrangement does not have the right to control the underlying use of the asset, the operator instead has access to operate the asset to provide a service on behalf of the grantor. In essence, the operator acts as a service provider (IFRIC 12, paragraphs BC24</w:t>
      </w:r>
      <w:r w:rsidR="000C60A0" w:rsidRPr="00662611">
        <w:rPr>
          <w:sz w:val="19"/>
          <w:szCs w:val="19"/>
        </w:rPr>
        <w:t>–</w:t>
      </w:r>
      <w:r w:rsidRPr="00662611">
        <w:rPr>
          <w:sz w:val="19"/>
          <w:szCs w:val="19"/>
        </w:rPr>
        <w:t>BC25). Accordingly, it is the grantor that has control of the underlying use of the asset during both the service concession period and any residual period thereafter. The Board therefore concluded the unit of account is the entire service concession asset, not just the residual interest after the service concession arrangement ends.</w:t>
      </w:r>
      <w:bookmarkEnd w:id="126"/>
    </w:p>
    <w:p w14:paraId="7D9277C6" w14:textId="77777777" w:rsidR="00134682" w:rsidRPr="00662611" w:rsidRDefault="00134682" w:rsidP="00F352A4">
      <w:pPr>
        <w:pStyle w:val="IASBSectionTitle2Ind"/>
        <w:outlineLvl w:val="2"/>
        <w:rPr>
          <w:sz w:val="19"/>
          <w:szCs w:val="19"/>
        </w:rPr>
      </w:pPr>
      <w:r w:rsidRPr="00662611">
        <w:t>Valuation technique</w:t>
      </w:r>
      <w:r w:rsidR="000F7297" w:rsidRPr="00662611">
        <w:t>s</w:t>
      </w:r>
      <w:r w:rsidRPr="00662611">
        <w:t xml:space="preserve"> </w:t>
      </w:r>
      <w:r w:rsidR="000F7297" w:rsidRPr="00662611">
        <w:t>for</w:t>
      </w:r>
      <w:r w:rsidRPr="00662611">
        <w:t xml:space="preserve"> measur</w:t>
      </w:r>
      <w:r w:rsidR="000F7297" w:rsidRPr="00662611">
        <w:t>ing</w:t>
      </w:r>
      <w:r w:rsidRPr="00662611">
        <w:t xml:space="preserve"> fair value</w:t>
      </w:r>
    </w:p>
    <w:p w14:paraId="7D9277C7" w14:textId="77777777"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AASB 13 outlines three ‘widely used’ valuation techniques for measuring fair value (paragraph 62): the market approach, the income approach and the cost approach. AASB 13 does not specify which valuation technique is more appropriate. Instead, AASB 13 states that:</w:t>
      </w:r>
    </w:p>
    <w:p w14:paraId="7D9277C8" w14:textId="77777777" w:rsidR="00777EF3" w:rsidRPr="00662611" w:rsidRDefault="00777EF3" w:rsidP="003102C2">
      <w:pPr>
        <w:pStyle w:val="NumAG2"/>
        <w:numPr>
          <w:ilvl w:val="1"/>
          <w:numId w:val="34"/>
        </w:numPr>
        <w:tabs>
          <w:tab w:val="clear" w:pos="1247"/>
        </w:tabs>
        <w:ind w:left="1564" w:hanging="782"/>
        <w:rPr>
          <w:szCs w:val="19"/>
        </w:rPr>
      </w:pPr>
      <w:r w:rsidRPr="00662611">
        <w:rPr>
          <w:szCs w:val="19"/>
        </w:rPr>
        <w:t>an entity uses the valuation techniques that are appropriate in the circumstances and for which sufficient data are available to measure fair value, maximising the use of relevant observable inputs and minimising the use of unobservable inputs;</w:t>
      </w:r>
    </w:p>
    <w:p w14:paraId="7D9277C9" w14:textId="7346F4D0" w:rsidR="00777EF3" w:rsidRPr="00662611" w:rsidRDefault="004D7A49" w:rsidP="00850087">
      <w:pPr>
        <w:pStyle w:val="NumAG2"/>
        <w:tabs>
          <w:tab w:val="num" w:pos="1560"/>
        </w:tabs>
        <w:ind w:left="1564" w:hanging="782"/>
        <w:rPr>
          <w:szCs w:val="19"/>
        </w:rPr>
      </w:pPr>
      <w:r>
        <w:rPr>
          <w:szCs w:val="19"/>
        </w:rPr>
        <w:tab/>
      </w:r>
      <w:r w:rsidR="00777EF3" w:rsidRPr="00662611">
        <w:rPr>
          <w:szCs w:val="19"/>
        </w:rPr>
        <w:t>the inputs selected should be consistent with the characteristics of the asset or liability that market participants would take into account in a transaction for the asset or liability; and</w:t>
      </w:r>
    </w:p>
    <w:p w14:paraId="7D9277CA" w14:textId="31E1E54E" w:rsidR="00777EF3" w:rsidRPr="00662611" w:rsidRDefault="004D7A49" w:rsidP="00850087">
      <w:pPr>
        <w:pStyle w:val="NumAG2"/>
        <w:tabs>
          <w:tab w:val="num" w:pos="1560"/>
        </w:tabs>
        <w:ind w:left="1564" w:hanging="782"/>
        <w:rPr>
          <w:szCs w:val="19"/>
        </w:rPr>
      </w:pPr>
      <w:r>
        <w:rPr>
          <w:szCs w:val="19"/>
        </w:rPr>
        <w:tab/>
      </w:r>
      <w:proofErr w:type="gramStart"/>
      <w:r w:rsidR="00777EF3" w:rsidRPr="00662611">
        <w:rPr>
          <w:szCs w:val="19"/>
        </w:rPr>
        <w:t>the</w:t>
      </w:r>
      <w:proofErr w:type="gramEnd"/>
      <w:r w:rsidR="00777EF3" w:rsidRPr="00662611">
        <w:rPr>
          <w:szCs w:val="19"/>
        </w:rPr>
        <w:t xml:space="preserve"> fair value hierarchy (Level 1, 2 and 3 inputs) prioritises the inputs to the valuation techniques, not the valuation techniques used to measure fair value.</w:t>
      </w:r>
    </w:p>
    <w:p w14:paraId="7D9277CB" w14:textId="77777777" w:rsidR="00777EF3" w:rsidRPr="00662611" w:rsidRDefault="00777EF3" w:rsidP="007D155E">
      <w:pPr>
        <w:pStyle w:val="IASBSectionTitle3Ind"/>
      </w:pPr>
      <w:r w:rsidRPr="00662611">
        <w:t>Market approach</w:t>
      </w:r>
    </w:p>
    <w:p w14:paraId="7D9277CC" w14:textId="2159D4BB"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noted service concession assets are </w:t>
      </w:r>
      <w:r w:rsidR="00035497">
        <w:rPr>
          <w:sz w:val="19"/>
          <w:szCs w:val="19"/>
        </w:rPr>
        <w:t xml:space="preserve">subject to </w:t>
      </w:r>
      <w:r w:rsidRPr="00662611">
        <w:rPr>
          <w:sz w:val="19"/>
          <w:szCs w:val="19"/>
        </w:rPr>
        <w:t xml:space="preserve">terms and conditions determined on a project by project basis and are rarely exchanged between willing sellers and buyers. Accordingly, it is highly unlikely that the market approach would be applicable to measuring service concession assets, although this would depend on the facts and circumstances. </w:t>
      </w:r>
    </w:p>
    <w:p w14:paraId="7D9277CD" w14:textId="77777777" w:rsidR="00777EF3" w:rsidRPr="00662611" w:rsidRDefault="00777EF3" w:rsidP="007D155E">
      <w:pPr>
        <w:pStyle w:val="IASBSectionTitle3Ind"/>
        <w:rPr>
          <w:szCs w:val="22"/>
        </w:rPr>
      </w:pPr>
      <w:r w:rsidRPr="00662611">
        <w:rPr>
          <w:szCs w:val="22"/>
        </w:rPr>
        <w:t xml:space="preserve">Income </w:t>
      </w:r>
      <w:r w:rsidRPr="00662611">
        <w:t>approach</w:t>
      </w:r>
    </w:p>
    <w:p w14:paraId="7D9277CE" w14:textId="77777777"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The income approach converts future amounts (eg cash flows or income and expenses) to a single curren</w:t>
      </w:r>
      <w:r w:rsidR="0050579B" w:rsidRPr="00662611">
        <w:rPr>
          <w:sz w:val="19"/>
          <w:szCs w:val="19"/>
        </w:rPr>
        <w:t xml:space="preserve">t (ie discounted) amount. When </w:t>
      </w:r>
      <w:r w:rsidR="00F843E8" w:rsidRPr="00662611">
        <w:rPr>
          <w:sz w:val="19"/>
          <w:szCs w:val="19"/>
        </w:rPr>
        <w:t xml:space="preserve">the income approach is </w:t>
      </w:r>
      <w:r w:rsidR="00CE49F8" w:rsidRPr="00662611">
        <w:rPr>
          <w:sz w:val="19"/>
          <w:szCs w:val="19"/>
        </w:rPr>
        <w:t>used, the</w:t>
      </w:r>
      <w:r w:rsidRPr="00662611">
        <w:rPr>
          <w:sz w:val="19"/>
          <w:szCs w:val="19"/>
        </w:rPr>
        <w:t xml:space="preserve"> fair </w:t>
      </w:r>
      <w:r w:rsidR="00CE49F8" w:rsidRPr="00662611">
        <w:rPr>
          <w:sz w:val="19"/>
          <w:szCs w:val="19"/>
        </w:rPr>
        <w:t>value</w:t>
      </w:r>
      <w:r w:rsidRPr="00662611">
        <w:rPr>
          <w:sz w:val="19"/>
          <w:szCs w:val="19"/>
        </w:rPr>
        <w:t xml:space="preserve"> measurement </w:t>
      </w:r>
      <w:r w:rsidR="00E62189" w:rsidRPr="00662611">
        <w:rPr>
          <w:sz w:val="19"/>
          <w:szCs w:val="19"/>
        </w:rPr>
        <w:t xml:space="preserve">reflects </w:t>
      </w:r>
      <w:r w:rsidRPr="00662611">
        <w:rPr>
          <w:sz w:val="19"/>
          <w:szCs w:val="19"/>
        </w:rPr>
        <w:t xml:space="preserve">current market expectations about those future </w:t>
      </w:r>
      <w:r w:rsidR="00D44C79" w:rsidRPr="00662611">
        <w:rPr>
          <w:sz w:val="19"/>
          <w:szCs w:val="19"/>
        </w:rPr>
        <w:t>amounts</w:t>
      </w:r>
      <w:r w:rsidRPr="00662611">
        <w:rPr>
          <w:sz w:val="19"/>
          <w:szCs w:val="19"/>
        </w:rPr>
        <w:t xml:space="preserve"> (AASB 13, paragraph B10)</w:t>
      </w:r>
      <w:r w:rsidR="00E62189" w:rsidRPr="00662611">
        <w:rPr>
          <w:sz w:val="19"/>
          <w:szCs w:val="19"/>
        </w:rPr>
        <w:t>.</w:t>
      </w:r>
    </w:p>
    <w:p w14:paraId="7D9277CF" w14:textId="1196CBA4"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Service concession assets are used to provide goods or services to achieve public service objectives and </w:t>
      </w:r>
      <w:r w:rsidR="00224004" w:rsidRPr="00662611">
        <w:rPr>
          <w:sz w:val="19"/>
          <w:szCs w:val="19"/>
        </w:rPr>
        <w:t xml:space="preserve">consequently the prices that might be charged for those goods or services may be regulated. Price regulation would have the effect of restricting the </w:t>
      </w:r>
      <w:r w:rsidRPr="00662611">
        <w:rPr>
          <w:sz w:val="19"/>
          <w:szCs w:val="19"/>
        </w:rPr>
        <w:t xml:space="preserve">future cash flows </w:t>
      </w:r>
      <w:r w:rsidR="00224004" w:rsidRPr="00662611">
        <w:rPr>
          <w:sz w:val="19"/>
          <w:szCs w:val="19"/>
        </w:rPr>
        <w:t xml:space="preserve">that could </w:t>
      </w:r>
      <w:r w:rsidRPr="00662611">
        <w:rPr>
          <w:sz w:val="19"/>
          <w:szCs w:val="19"/>
        </w:rPr>
        <w:t>be obtained</w:t>
      </w:r>
      <w:r w:rsidR="00224004" w:rsidRPr="00662611">
        <w:rPr>
          <w:sz w:val="19"/>
          <w:szCs w:val="19"/>
        </w:rPr>
        <w:t xml:space="preserve"> from the assets</w:t>
      </w:r>
      <w:r w:rsidRPr="00662611">
        <w:rPr>
          <w:sz w:val="19"/>
          <w:szCs w:val="19"/>
        </w:rPr>
        <w:t xml:space="preserve">. The fees the operator can charge users may be at a significant discount and hence this would not reflect the fair value of the asset </w:t>
      </w:r>
      <w:r w:rsidR="00780BBE" w:rsidRPr="00662611">
        <w:rPr>
          <w:sz w:val="19"/>
          <w:szCs w:val="19"/>
        </w:rPr>
        <w:t>based on</w:t>
      </w:r>
      <w:r w:rsidR="00D44C79" w:rsidRPr="00662611">
        <w:rPr>
          <w:sz w:val="19"/>
          <w:szCs w:val="19"/>
        </w:rPr>
        <w:t xml:space="preserve"> </w:t>
      </w:r>
      <w:r w:rsidRPr="00662611">
        <w:rPr>
          <w:sz w:val="19"/>
          <w:szCs w:val="19"/>
        </w:rPr>
        <w:t>what a market participant may choose to charge under commercial terms. Service potential (ie capacity to provide future services) rather than future economic benefits (</w:t>
      </w:r>
      <w:r w:rsidR="00BC2E80" w:rsidRPr="00662611">
        <w:rPr>
          <w:sz w:val="19"/>
          <w:szCs w:val="19"/>
        </w:rPr>
        <w:t xml:space="preserve">ie </w:t>
      </w:r>
      <w:r w:rsidRPr="00662611">
        <w:rPr>
          <w:sz w:val="19"/>
          <w:szCs w:val="19"/>
        </w:rPr>
        <w:t>future cash flows) is likely to drive decisions regarding service concession assets.</w:t>
      </w:r>
    </w:p>
    <w:p w14:paraId="7D9277D0" w14:textId="61B0F006" w:rsidR="00777EF3" w:rsidRPr="00662611" w:rsidRDefault="00D20CF1"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The B</w:t>
      </w:r>
      <w:r w:rsidR="00777EF3" w:rsidRPr="00662611">
        <w:rPr>
          <w:sz w:val="19"/>
          <w:szCs w:val="19"/>
        </w:rPr>
        <w:t xml:space="preserve">oard considered whether the grantor’s contractual obligation to make a predetermined </w:t>
      </w:r>
      <w:r w:rsidR="00035497">
        <w:rPr>
          <w:sz w:val="19"/>
          <w:szCs w:val="19"/>
        </w:rPr>
        <w:t xml:space="preserve">payment or </w:t>
      </w:r>
      <w:r w:rsidR="00777EF3" w:rsidRPr="00662611">
        <w:rPr>
          <w:sz w:val="19"/>
          <w:szCs w:val="19"/>
        </w:rPr>
        <w:t>series of payments to the operator under the financial liability model could be a measure of the fair value of the asset. Where the grantor’s payments to the operator represent the price that the operator expects for the construction, development, acquisition or upgrade of a service concession asset based on the expectations of the cash flows which could be generated by the asset, this method may</w:t>
      </w:r>
      <w:r w:rsidR="00C72D52" w:rsidRPr="00662611">
        <w:rPr>
          <w:sz w:val="19"/>
          <w:szCs w:val="19"/>
        </w:rPr>
        <w:t xml:space="preserve"> </w:t>
      </w:r>
      <w:r w:rsidR="00777EF3" w:rsidRPr="00662611">
        <w:rPr>
          <w:sz w:val="19"/>
          <w:szCs w:val="19"/>
        </w:rPr>
        <w:t xml:space="preserve">be appropriate for determining fair value at initial recognition as a surrogate for the income approach. However, the cash payments promised to the operator under the financial liability model might have no direct relationship to the cash flows expected to be generated from the asset </w:t>
      </w:r>
      <w:r w:rsidR="006044C1" w:rsidRPr="00662611">
        <w:rPr>
          <w:sz w:val="19"/>
          <w:szCs w:val="19"/>
        </w:rPr>
        <w:t>(for example,</w:t>
      </w:r>
      <w:r w:rsidR="00777EF3" w:rsidRPr="00662611">
        <w:rPr>
          <w:sz w:val="19"/>
          <w:szCs w:val="19"/>
        </w:rPr>
        <w:t xml:space="preserve"> the grantor may choose not to charge users) and the income approach would not be appropriate.</w:t>
      </w:r>
    </w:p>
    <w:p w14:paraId="7D9277D1" w14:textId="0E42CE0C"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lastRenderedPageBreak/>
        <w:t xml:space="preserve">The Board </w:t>
      </w:r>
      <w:r w:rsidR="00700B5F">
        <w:rPr>
          <w:sz w:val="19"/>
          <w:szCs w:val="19"/>
        </w:rPr>
        <w:t xml:space="preserve">noted </w:t>
      </w:r>
      <w:r w:rsidRPr="00662611">
        <w:rPr>
          <w:sz w:val="19"/>
          <w:szCs w:val="19"/>
        </w:rPr>
        <w:t xml:space="preserve">some may view the grant of a right to the operator to earn revenue from third-party users of the asset </w:t>
      </w:r>
      <w:r w:rsidR="00BC2E80" w:rsidRPr="00662611">
        <w:rPr>
          <w:sz w:val="19"/>
          <w:szCs w:val="19"/>
        </w:rPr>
        <w:t xml:space="preserve">as </w:t>
      </w:r>
      <w:r w:rsidRPr="00662611">
        <w:rPr>
          <w:sz w:val="19"/>
          <w:szCs w:val="19"/>
        </w:rPr>
        <w:t xml:space="preserve">a restriction that a market participant would recognise when using the income approach (see also </w:t>
      </w:r>
      <w:r w:rsidR="00D20CF1" w:rsidRPr="00662611">
        <w:rPr>
          <w:sz w:val="19"/>
          <w:szCs w:val="19"/>
        </w:rPr>
        <w:t>paragraph</w:t>
      </w:r>
      <w:r w:rsidRPr="00662611">
        <w:rPr>
          <w:sz w:val="19"/>
          <w:szCs w:val="19"/>
        </w:rPr>
        <w:t xml:space="preserve"> </w:t>
      </w:r>
      <w:r w:rsidR="00BC2E80" w:rsidRPr="00662611">
        <w:rPr>
          <w:sz w:val="19"/>
          <w:szCs w:val="19"/>
        </w:rPr>
        <w:fldChar w:fldCharType="begin"/>
      </w:r>
      <w:r w:rsidR="00BC2E80" w:rsidRPr="00662611">
        <w:rPr>
          <w:sz w:val="19"/>
          <w:szCs w:val="19"/>
        </w:rPr>
        <w:instrText xml:space="preserve"> REF _Ref476733148 \r \h </w:instrText>
      </w:r>
      <w:r w:rsidR="00BC2E80" w:rsidRPr="00662611">
        <w:rPr>
          <w:sz w:val="19"/>
          <w:szCs w:val="19"/>
        </w:rPr>
      </w:r>
      <w:r w:rsidR="00BC2E80" w:rsidRPr="00662611">
        <w:rPr>
          <w:sz w:val="19"/>
          <w:szCs w:val="19"/>
        </w:rPr>
        <w:fldChar w:fldCharType="separate"/>
      </w:r>
      <w:r w:rsidR="00C43128">
        <w:rPr>
          <w:sz w:val="19"/>
          <w:szCs w:val="19"/>
        </w:rPr>
        <w:t>BC50</w:t>
      </w:r>
      <w:r w:rsidR="00BC2E80" w:rsidRPr="00662611">
        <w:rPr>
          <w:sz w:val="19"/>
          <w:szCs w:val="19"/>
        </w:rPr>
        <w:fldChar w:fldCharType="end"/>
      </w:r>
      <w:r w:rsidR="00BC2E80" w:rsidRPr="00662611">
        <w:rPr>
          <w:sz w:val="19"/>
          <w:szCs w:val="19"/>
        </w:rPr>
        <w:t>)</w:t>
      </w:r>
      <w:r w:rsidRPr="00662611">
        <w:rPr>
          <w:sz w:val="19"/>
          <w:szCs w:val="19"/>
        </w:rPr>
        <w:t xml:space="preserve">. </w:t>
      </w:r>
      <w:r w:rsidR="004C7CD9" w:rsidRPr="00662611">
        <w:rPr>
          <w:sz w:val="19"/>
          <w:szCs w:val="19"/>
        </w:rPr>
        <w:t>Under this view,</w:t>
      </w:r>
      <w:r w:rsidRPr="00662611">
        <w:rPr>
          <w:sz w:val="19"/>
          <w:szCs w:val="19"/>
        </w:rPr>
        <w:t xml:space="preserve"> the asset should be measured only in relation to </w:t>
      </w:r>
      <w:r w:rsidR="006044C1" w:rsidRPr="00662611">
        <w:rPr>
          <w:sz w:val="19"/>
          <w:szCs w:val="19"/>
        </w:rPr>
        <w:t xml:space="preserve">the </w:t>
      </w:r>
      <w:r w:rsidRPr="00662611">
        <w:rPr>
          <w:sz w:val="19"/>
          <w:szCs w:val="19"/>
        </w:rPr>
        <w:t xml:space="preserve">service potential </w:t>
      </w:r>
      <w:r w:rsidR="006044C1" w:rsidRPr="00662611">
        <w:rPr>
          <w:sz w:val="19"/>
          <w:szCs w:val="19"/>
        </w:rPr>
        <w:t xml:space="preserve">of the asset </w:t>
      </w:r>
      <w:r w:rsidRPr="00662611">
        <w:rPr>
          <w:sz w:val="19"/>
          <w:szCs w:val="19"/>
        </w:rPr>
        <w:t xml:space="preserve">after the service concession period has expired, ie at the fair value of the residual interest in the asset (see also </w:t>
      </w:r>
      <w:r w:rsidR="00D20CF1" w:rsidRPr="00662611">
        <w:rPr>
          <w:sz w:val="19"/>
          <w:szCs w:val="19"/>
        </w:rPr>
        <w:t>paragraph</w:t>
      </w:r>
      <w:r w:rsidR="004C7CD9" w:rsidRPr="00662611">
        <w:rPr>
          <w:sz w:val="19"/>
          <w:szCs w:val="19"/>
        </w:rPr>
        <w:t>s</w:t>
      </w:r>
      <w:r w:rsidRPr="00662611">
        <w:rPr>
          <w:sz w:val="19"/>
          <w:szCs w:val="19"/>
        </w:rPr>
        <w:t xml:space="preserve"> </w:t>
      </w:r>
      <w:r w:rsidR="00BC2E80" w:rsidRPr="00662611">
        <w:rPr>
          <w:sz w:val="19"/>
          <w:szCs w:val="19"/>
        </w:rPr>
        <w:fldChar w:fldCharType="begin"/>
      </w:r>
      <w:r w:rsidR="00BC2E80" w:rsidRPr="00662611">
        <w:rPr>
          <w:sz w:val="19"/>
          <w:szCs w:val="19"/>
        </w:rPr>
        <w:instrText xml:space="preserve"> REF _Ref476733155 \r \h </w:instrText>
      </w:r>
      <w:r w:rsidR="00BC2E80" w:rsidRPr="00662611">
        <w:rPr>
          <w:sz w:val="19"/>
          <w:szCs w:val="19"/>
        </w:rPr>
      </w:r>
      <w:r w:rsidR="00BC2E80" w:rsidRPr="00662611">
        <w:rPr>
          <w:sz w:val="19"/>
          <w:szCs w:val="19"/>
        </w:rPr>
        <w:fldChar w:fldCharType="separate"/>
      </w:r>
      <w:r w:rsidR="00C43128">
        <w:rPr>
          <w:sz w:val="19"/>
          <w:szCs w:val="19"/>
        </w:rPr>
        <w:t>BC52</w:t>
      </w:r>
      <w:r w:rsidR="00BC2E80" w:rsidRPr="00662611">
        <w:rPr>
          <w:sz w:val="19"/>
          <w:szCs w:val="19"/>
        </w:rPr>
        <w:fldChar w:fldCharType="end"/>
      </w:r>
      <w:r w:rsidR="00BC2E80" w:rsidRPr="00662611">
        <w:rPr>
          <w:sz w:val="19"/>
          <w:szCs w:val="19"/>
        </w:rPr>
        <w:t>–</w:t>
      </w:r>
      <w:r w:rsidR="00BC2E80" w:rsidRPr="00662611">
        <w:rPr>
          <w:sz w:val="19"/>
          <w:szCs w:val="19"/>
        </w:rPr>
        <w:fldChar w:fldCharType="begin"/>
      </w:r>
      <w:r w:rsidR="00BC2E80" w:rsidRPr="00662611">
        <w:rPr>
          <w:sz w:val="19"/>
          <w:szCs w:val="19"/>
        </w:rPr>
        <w:instrText xml:space="preserve"> REF _Ref476733158 \r \h </w:instrText>
      </w:r>
      <w:r w:rsidR="00BC2E80" w:rsidRPr="00662611">
        <w:rPr>
          <w:sz w:val="19"/>
          <w:szCs w:val="19"/>
        </w:rPr>
      </w:r>
      <w:r w:rsidR="00BC2E80" w:rsidRPr="00662611">
        <w:rPr>
          <w:sz w:val="19"/>
          <w:szCs w:val="19"/>
        </w:rPr>
        <w:fldChar w:fldCharType="separate"/>
      </w:r>
      <w:r w:rsidR="00C43128">
        <w:rPr>
          <w:sz w:val="19"/>
          <w:szCs w:val="19"/>
        </w:rPr>
        <w:t>BC53</w:t>
      </w:r>
      <w:r w:rsidR="00BC2E80" w:rsidRPr="00662611">
        <w:rPr>
          <w:sz w:val="19"/>
          <w:szCs w:val="19"/>
        </w:rPr>
        <w:fldChar w:fldCharType="end"/>
      </w:r>
      <w:r w:rsidRPr="00662611">
        <w:rPr>
          <w:sz w:val="19"/>
          <w:szCs w:val="19"/>
        </w:rPr>
        <w:t xml:space="preserve">). This is on the basis that the market participant buyer will not have the right to all the cash flows that could be generated by the asset as the right to the cash flows for the service concession period has been granted to the operator (effectively the service concession </w:t>
      </w:r>
      <w:r w:rsidR="00784F54" w:rsidRPr="00662611">
        <w:rPr>
          <w:sz w:val="19"/>
          <w:szCs w:val="19"/>
        </w:rPr>
        <w:t>period component</w:t>
      </w:r>
      <w:r w:rsidRPr="00662611">
        <w:rPr>
          <w:sz w:val="19"/>
          <w:szCs w:val="19"/>
        </w:rPr>
        <w:t xml:space="preserve"> of the asset </w:t>
      </w:r>
      <w:r w:rsidR="00C44C06" w:rsidRPr="00662611">
        <w:rPr>
          <w:sz w:val="19"/>
          <w:szCs w:val="19"/>
        </w:rPr>
        <w:t>would be</w:t>
      </w:r>
      <w:r w:rsidRPr="00662611">
        <w:rPr>
          <w:sz w:val="19"/>
          <w:szCs w:val="19"/>
        </w:rPr>
        <w:t xml:space="preserve"> derecognised). Under this view, the service concession asset’s fair value </w:t>
      </w:r>
      <w:r w:rsidR="00C44C06" w:rsidRPr="00662611">
        <w:rPr>
          <w:sz w:val="19"/>
          <w:szCs w:val="19"/>
        </w:rPr>
        <w:t xml:space="preserve">relates </w:t>
      </w:r>
      <w:r w:rsidRPr="00662611">
        <w:rPr>
          <w:sz w:val="19"/>
          <w:szCs w:val="19"/>
        </w:rPr>
        <w:t xml:space="preserve">only </w:t>
      </w:r>
      <w:r w:rsidR="00C44C06" w:rsidRPr="00662611">
        <w:rPr>
          <w:sz w:val="19"/>
          <w:szCs w:val="19"/>
        </w:rPr>
        <w:t xml:space="preserve">to </w:t>
      </w:r>
      <w:r w:rsidRPr="00662611">
        <w:rPr>
          <w:sz w:val="19"/>
          <w:szCs w:val="19"/>
        </w:rPr>
        <w:t xml:space="preserve">the cash flows that can be directly generated for the grantor by the asset. Consequently, the fair value of the asset </w:t>
      </w:r>
      <w:r w:rsidR="009244CE" w:rsidRPr="00662611">
        <w:rPr>
          <w:sz w:val="19"/>
          <w:szCs w:val="19"/>
        </w:rPr>
        <w:t>w</w:t>
      </w:r>
      <w:r w:rsidRPr="00662611">
        <w:rPr>
          <w:sz w:val="19"/>
          <w:szCs w:val="19"/>
        </w:rPr>
        <w:t xml:space="preserve">ould be measured at the asset’s residual value. </w:t>
      </w:r>
    </w:p>
    <w:p w14:paraId="7D9277D2" w14:textId="33E75A1B"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However, the Board noted a public sector entity uses a service concession asset’s capacity or service potential to provide goods or services to achieve public service objectives, replacing the asset irrespective of whether the replacement cost will be recovered by the expected cash flows that the asset may generate. </w:t>
      </w:r>
      <w:bookmarkStart w:id="127" w:name="_Ref476660084"/>
      <w:r w:rsidRPr="00662611">
        <w:rPr>
          <w:sz w:val="19"/>
          <w:szCs w:val="19"/>
        </w:rPr>
        <w:t xml:space="preserve">The Board also noted the view that the service potential of a service concession asset (such as a road) under a service concession arrangement involving the financial liability model and the service potential of an identical asset (such as a toll road) under a service concession arrangement involving </w:t>
      </w:r>
      <w:r w:rsidR="00010937">
        <w:rPr>
          <w:sz w:val="19"/>
          <w:szCs w:val="19"/>
        </w:rPr>
        <w:t xml:space="preserve">the </w:t>
      </w:r>
      <w:r w:rsidR="006F7C13" w:rsidRPr="00662611">
        <w:rPr>
          <w:sz w:val="19"/>
          <w:szCs w:val="19"/>
        </w:rPr>
        <w:t xml:space="preserve">GORTO </w:t>
      </w:r>
      <w:r w:rsidRPr="00662611">
        <w:rPr>
          <w:sz w:val="19"/>
          <w:szCs w:val="19"/>
        </w:rPr>
        <w:t>model is the same from the grantor’s perspective as both assets will provide the same utility to the public. Under this view, the fair value of the</w:t>
      </w:r>
      <w:r w:rsidR="00DC4D68" w:rsidRPr="00662611">
        <w:rPr>
          <w:sz w:val="19"/>
          <w:szCs w:val="19"/>
        </w:rPr>
        <w:t>se</w:t>
      </w:r>
      <w:r w:rsidRPr="00662611">
        <w:rPr>
          <w:sz w:val="19"/>
          <w:szCs w:val="19"/>
        </w:rPr>
        <w:t xml:space="preserve"> asset</w:t>
      </w:r>
      <w:r w:rsidR="00DC4D68" w:rsidRPr="00662611">
        <w:rPr>
          <w:sz w:val="19"/>
          <w:szCs w:val="19"/>
        </w:rPr>
        <w:t>s</w:t>
      </w:r>
      <w:r w:rsidRPr="00662611">
        <w:rPr>
          <w:sz w:val="19"/>
          <w:szCs w:val="19"/>
        </w:rPr>
        <w:t xml:space="preserve"> should therefore be measured consistently. </w:t>
      </w:r>
      <w:r w:rsidR="00D20CF1" w:rsidRPr="00662611">
        <w:rPr>
          <w:sz w:val="19"/>
          <w:szCs w:val="19"/>
        </w:rPr>
        <w:t xml:space="preserve">The </w:t>
      </w:r>
      <w:r w:rsidR="00E62189" w:rsidRPr="00662611">
        <w:rPr>
          <w:sz w:val="19"/>
          <w:szCs w:val="19"/>
        </w:rPr>
        <w:t>B</w:t>
      </w:r>
      <w:r w:rsidR="00D20CF1" w:rsidRPr="00662611">
        <w:rPr>
          <w:sz w:val="19"/>
          <w:szCs w:val="19"/>
        </w:rPr>
        <w:t>oard concluded that the fair value of the asset would be understated if it was measured at the fair value of the residual interest in the asset.</w:t>
      </w:r>
      <w:bookmarkEnd w:id="127"/>
    </w:p>
    <w:p w14:paraId="7D9277D3" w14:textId="11C2BCB0"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w:t>
      </w:r>
      <w:r w:rsidR="00750C08" w:rsidRPr="00662611">
        <w:rPr>
          <w:sz w:val="19"/>
          <w:szCs w:val="19"/>
        </w:rPr>
        <w:t>B</w:t>
      </w:r>
      <w:r w:rsidRPr="00662611">
        <w:rPr>
          <w:sz w:val="19"/>
          <w:szCs w:val="19"/>
        </w:rPr>
        <w:t>oard also noted its decision to recognise</w:t>
      </w:r>
      <w:r w:rsidR="002A60D4" w:rsidRPr="00662611">
        <w:rPr>
          <w:sz w:val="19"/>
          <w:szCs w:val="19"/>
        </w:rPr>
        <w:t>, under the GORTO model,</w:t>
      </w:r>
      <w:r w:rsidRPr="00662611">
        <w:rPr>
          <w:sz w:val="19"/>
          <w:szCs w:val="19"/>
        </w:rPr>
        <w:t xml:space="preserve"> a contract liability that is initially recognised and then </w:t>
      </w:r>
      <w:r w:rsidR="00643159" w:rsidRPr="00662611">
        <w:rPr>
          <w:sz w:val="19"/>
          <w:szCs w:val="19"/>
        </w:rPr>
        <w:t>reduced as revenue is recognised</w:t>
      </w:r>
      <w:r w:rsidRPr="00662611">
        <w:rPr>
          <w:sz w:val="19"/>
          <w:szCs w:val="19"/>
        </w:rPr>
        <w:t xml:space="preserve"> (see </w:t>
      </w:r>
      <w:r w:rsidR="00750C08" w:rsidRPr="00662611">
        <w:rPr>
          <w:sz w:val="19"/>
          <w:szCs w:val="19"/>
        </w:rPr>
        <w:t>paragraph</w:t>
      </w:r>
      <w:r w:rsidR="00D23D5D" w:rsidRPr="00662611">
        <w:rPr>
          <w:sz w:val="19"/>
          <w:szCs w:val="19"/>
        </w:rPr>
        <w:t xml:space="preserve">s </w:t>
      </w:r>
      <w:r w:rsidR="000F1039" w:rsidRPr="00662611">
        <w:rPr>
          <w:sz w:val="19"/>
          <w:szCs w:val="19"/>
        </w:rPr>
        <w:fldChar w:fldCharType="begin"/>
      </w:r>
      <w:r w:rsidR="000F1039" w:rsidRPr="00662611">
        <w:rPr>
          <w:sz w:val="19"/>
          <w:szCs w:val="19"/>
        </w:rPr>
        <w:instrText xml:space="preserve"> REF _Ref475620604 \r \h </w:instrText>
      </w:r>
      <w:r w:rsidR="000F1039" w:rsidRPr="00662611">
        <w:rPr>
          <w:sz w:val="19"/>
          <w:szCs w:val="19"/>
        </w:rPr>
      </w:r>
      <w:r w:rsidR="000F1039" w:rsidRPr="00662611">
        <w:rPr>
          <w:sz w:val="19"/>
          <w:szCs w:val="19"/>
        </w:rPr>
        <w:fldChar w:fldCharType="separate"/>
      </w:r>
      <w:r w:rsidR="00C43128">
        <w:rPr>
          <w:sz w:val="19"/>
          <w:szCs w:val="19"/>
        </w:rPr>
        <w:t>B71</w:t>
      </w:r>
      <w:r w:rsidR="000F1039" w:rsidRPr="00662611">
        <w:rPr>
          <w:sz w:val="19"/>
          <w:szCs w:val="19"/>
        </w:rPr>
        <w:fldChar w:fldCharType="end"/>
      </w:r>
      <w:r w:rsidR="00D23D5D" w:rsidRPr="00662611">
        <w:rPr>
          <w:sz w:val="19"/>
          <w:szCs w:val="19"/>
        </w:rPr>
        <w:t>–</w:t>
      </w:r>
      <w:r w:rsidR="000F1039" w:rsidRPr="00662611">
        <w:rPr>
          <w:sz w:val="19"/>
          <w:szCs w:val="19"/>
        </w:rPr>
        <w:fldChar w:fldCharType="begin"/>
      </w:r>
      <w:r w:rsidR="000F1039" w:rsidRPr="00662611">
        <w:rPr>
          <w:sz w:val="19"/>
          <w:szCs w:val="19"/>
        </w:rPr>
        <w:instrText xml:space="preserve"> REF _Ref475974061 \r \h </w:instrText>
      </w:r>
      <w:r w:rsidR="000F1039" w:rsidRPr="00662611">
        <w:rPr>
          <w:sz w:val="19"/>
          <w:szCs w:val="19"/>
        </w:rPr>
      </w:r>
      <w:r w:rsidR="000F1039" w:rsidRPr="00662611">
        <w:rPr>
          <w:sz w:val="19"/>
          <w:szCs w:val="19"/>
        </w:rPr>
        <w:fldChar w:fldCharType="separate"/>
      </w:r>
      <w:r w:rsidR="00C43128">
        <w:rPr>
          <w:sz w:val="19"/>
          <w:szCs w:val="19"/>
        </w:rPr>
        <w:t>B72</w:t>
      </w:r>
      <w:r w:rsidR="000F1039" w:rsidRPr="00662611">
        <w:rPr>
          <w:sz w:val="19"/>
          <w:szCs w:val="19"/>
        </w:rPr>
        <w:fldChar w:fldCharType="end"/>
      </w:r>
      <w:r w:rsidR="00750C08" w:rsidRPr="00662611">
        <w:rPr>
          <w:sz w:val="19"/>
          <w:szCs w:val="19"/>
        </w:rPr>
        <w:t xml:space="preserve"> and</w:t>
      </w:r>
      <w:r w:rsidR="008336E6" w:rsidRPr="00662611">
        <w:rPr>
          <w:sz w:val="19"/>
          <w:szCs w:val="19"/>
        </w:rPr>
        <w:t xml:space="preserve"> </w:t>
      </w:r>
      <w:r w:rsidR="008336E6" w:rsidRPr="00662611">
        <w:rPr>
          <w:sz w:val="19"/>
          <w:szCs w:val="19"/>
        </w:rPr>
        <w:fldChar w:fldCharType="begin"/>
      </w:r>
      <w:r w:rsidR="008336E6" w:rsidRPr="00662611">
        <w:rPr>
          <w:sz w:val="19"/>
          <w:szCs w:val="19"/>
        </w:rPr>
        <w:instrText xml:space="preserve"> REF _Ref477280302 \r \h </w:instrText>
      </w:r>
      <w:r w:rsidR="008336E6" w:rsidRPr="00662611">
        <w:rPr>
          <w:sz w:val="19"/>
          <w:szCs w:val="19"/>
        </w:rPr>
      </w:r>
      <w:r w:rsidR="008336E6" w:rsidRPr="00662611">
        <w:rPr>
          <w:sz w:val="19"/>
          <w:szCs w:val="19"/>
        </w:rPr>
        <w:fldChar w:fldCharType="separate"/>
      </w:r>
      <w:r w:rsidR="00C43128">
        <w:rPr>
          <w:sz w:val="19"/>
          <w:szCs w:val="19"/>
        </w:rPr>
        <w:t>BC80</w:t>
      </w:r>
      <w:r w:rsidR="008336E6" w:rsidRPr="00662611">
        <w:rPr>
          <w:sz w:val="19"/>
          <w:szCs w:val="19"/>
        </w:rPr>
        <w:fldChar w:fldCharType="end"/>
      </w:r>
      <w:r w:rsidR="00750C08" w:rsidRPr="00662611">
        <w:rPr>
          <w:sz w:val="19"/>
          <w:szCs w:val="19"/>
        </w:rPr>
        <w:t xml:space="preserve">). </w:t>
      </w:r>
      <w:r w:rsidR="000110B2" w:rsidRPr="00662611">
        <w:rPr>
          <w:sz w:val="19"/>
          <w:szCs w:val="19"/>
        </w:rPr>
        <w:t>The B</w:t>
      </w:r>
      <w:r w:rsidRPr="00662611">
        <w:rPr>
          <w:sz w:val="19"/>
          <w:szCs w:val="19"/>
        </w:rPr>
        <w:t xml:space="preserve">oard considered whether the amortisation profile of the contract liability should be determined </w:t>
      </w:r>
      <w:r w:rsidR="004E4C02" w:rsidRPr="00662611">
        <w:rPr>
          <w:sz w:val="19"/>
          <w:szCs w:val="19"/>
        </w:rPr>
        <w:t xml:space="preserve">so that the net balance of </w:t>
      </w:r>
      <w:r w:rsidRPr="00662611">
        <w:rPr>
          <w:sz w:val="19"/>
          <w:szCs w:val="19"/>
        </w:rPr>
        <w:t xml:space="preserve">the service concession asset and </w:t>
      </w:r>
      <w:r w:rsidR="004E4C02" w:rsidRPr="00662611">
        <w:rPr>
          <w:sz w:val="19"/>
          <w:szCs w:val="19"/>
        </w:rPr>
        <w:t xml:space="preserve">the </w:t>
      </w:r>
      <w:r w:rsidRPr="00662611">
        <w:rPr>
          <w:sz w:val="19"/>
          <w:szCs w:val="19"/>
        </w:rPr>
        <w:t>contract liability</w:t>
      </w:r>
      <w:r w:rsidR="004E4C02" w:rsidRPr="00662611">
        <w:rPr>
          <w:sz w:val="19"/>
          <w:szCs w:val="19"/>
        </w:rPr>
        <w:t xml:space="preserve"> approximate</w:t>
      </w:r>
      <w:r w:rsidR="00224004" w:rsidRPr="00662611">
        <w:rPr>
          <w:sz w:val="19"/>
          <w:szCs w:val="19"/>
        </w:rPr>
        <w:t>s</w:t>
      </w:r>
      <w:r w:rsidRPr="00662611">
        <w:rPr>
          <w:sz w:val="19"/>
          <w:szCs w:val="19"/>
        </w:rPr>
        <w:t xml:space="preserve"> the fair value of the r</w:t>
      </w:r>
      <w:r w:rsidR="00E62189" w:rsidRPr="00662611">
        <w:rPr>
          <w:sz w:val="19"/>
          <w:szCs w:val="19"/>
        </w:rPr>
        <w:t xml:space="preserve">esidual interest in the asset. </w:t>
      </w:r>
      <w:r w:rsidRPr="00662611">
        <w:rPr>
          <w:sz w:val="19"/>
          <w:szCs w:val="19"/>
        </w:rPr>
        <w:t>Whilst this would effectively mean a more consistent outcome with the financial liability model, the Board</w:t>
      </w:r>
      <w:r w:rsidR="004E4C02" w:rsidRPr="00662611">
        <w:rPr>
          <w:sz w:val="19"/>
          <w:szCs w:val="19"/>
        </w:rPr>
        <w:t xml:space="preserve"> considered this approach would be practically difficult, with the costs likely to outweigh the benefits. The Board also expected that</w:t>
      </w:r>
      <w:r w:rsidRPr="00662611">
        <w:rPr>
          <w:sz w:val="19"/>
          <w:szCs w:val="19"/>
        </w:rPr>
        <w:t xml:space="preserve"> in many instances there would not be a material difference </w:t>
      </w:r>
      <w:r w:rsidR="004E4C02" w:rsidRPr="00662611">
        <w:rPr>
          <w:sz w:val="19"/>
          <w:szCs w:val="19"/>
        </w:rPr>
        <w:t>between this</w:t>
      </w:r>
      <w:r w:rsidRPr="00662611">
        <w:rPr>
          <w:sz w:val="19"/>
          <w:szCs w:val="19"/>
        </w:rPr>
        <w:t xml:space="preserve"> net approach and amortisation </w:t>
      </w:r>
      <w:r w:rsidR="009244CE" w:rsidRPr="00662611">
        <w:rPr>
          <w:sz w:val="19"/>
          <w:szCs w:val="19"/>
        </w:rPr>
        <w:t xml:space="preserve">of the liability </w:t>
      </w:r>
      <w:r w:rsidRPr="00662611">
        <w:rPr>
          <w:sz w:val="19"/>
          <w:szCs w:val="19"/>
        </w:rPr>
        <w:t>on a time basis</w:t>
      </w:r>
      <w:r w:rsidR="00D63012" w:rsidRPr="00662611">
        <w:rPr>
          <w:sz w:val="19"/>
          <w:szCs w:val="19"/>
        </w:rPr>
        <w:t>.</w:t>
      </w:r>
      <w:r w:rsidR="00224004" w:rsidRPr="00662611">
        <w:rPr>
          <w:sz w:val="19"/>
          <w:szCs w:val="19"/>
        </w:rPr>
        <w:t xml:space="preserve"> The Board therefore concluded that this approach was not appropriate.</w:t>
      </w:r>
    </w:p>
    <w:p w14:paraId="7D9277D4" w14:textId="77777777" w:rsidR="00777EF3" w:rsidRPr="00662611" w:rsidRDefault="00777EF3" w:rsidP="007D155E">
      <w:pPr>
        <w:pStyle w:val="IASBSectionTitle3Ind"/>
      </w:pPr>
      <w:r w:rsidRPr="00662611">
        <w:t>Cost approach</w:t>
      </w:r>
    </w:p>
    <w:p w14:paraId="7D9277D5" w14:textId="379D67FF" w:rsidR="00777EF3" w:rsidRPr="00662611" w:rsidRDefault="00777EF3" w:rsidP="006B0387">
      <w:pPr>
        <w:pStyle w:val="IE1"/>
        <w:numPr>
          <w:ilvl w:val="0"/>
          <w:numId w:val="18"/>
        </w:numPr>
        <w:tabs>
          <w:tab w:val="clear" w:pos="624"/>
        </w:tabs>
        <w:spacing w:after="100" w:line="240" w:lineRule="auto"/>
        <w:ind w:left="782" w:hanging="782"/>
        <w:jc w:val="both"/>
        <w:rPr>
          <w:sz w:val="19"/>
          <w:szCs w:val="19"/>
        </w:rPr>
      </w:pPr>
      <w:r w:rsidRPr="005A45CF">
        <w:rPr>
          <w:sz w:val="19"/>
          <w:szCs w:val="19"/>
        </w:rPr>
        <w:t xml:space="preserve">The cost approach “reflects the amount that would be required currently to replace the service capacity of an asset (often referred to as current replacement cost)” (AASB 13, paragraph B8). This approach uses Level 2 and/or Level 3 inputs, which are observable or unobservable inputs. Current replacement cost is the “cost to a market participant buyer to acquire or construct a substitute asset of comparable utility, adjusted for obsolescence” (AASB 13, paragraph B9). The Board noted </w:t>
      </w:r>
      <w:r w:rsidR="00C773B6" w:rsidRPr="005A45CF">
        <w:rPr>
          <w:sz w:val="19"/>
          <w:szCs w:val="19"/>
        </w:rPr>
        <w:t xml:space="preserve">that </w:t>
      </w:r>
      <w:r w:rsidRPr="005A45CF">
        <w:rPr>
          <w:sz w:val="19"/>
          <w:szCs w:val="19"/>
        </w:rPr>
        <w:t xml:space="preserve">current replacement cost is often used to measure the fair value of assets that are used in combination with other assets or with other assets and liabilities. This is particularly relevant if the service concession asset is part of an integrated network of assets, such as the provision of a transport network. </w:t>
      </w:r>
    </w:p>
    <w:p w14:paraId="7D9277D7" w14:textId="687E7308" w:rsidR="00777EF3" w:rsidRPr="00740BE3" w:rsidRDefault="00777EF3" w:rsidP="00777EF3">
      <w:pPr>
        <w:pStyle w:val="IE1"/>
        <w:numPr>
          <w:ilvl w:val="0"/>
          <w:numId w:val="18"/>
        </w:numPr>
        <w:tabs>
          <w:tab w:val="clear" w:pos="624"/>
        </w:tabs>
        <w:spacing w:after="100" w:line="240" w:lineRule="auto"/>
        <w:ind w:left="782" w:hanging="782"/>
        <w:jc w:val="both"/>
        <w:rPr>
          <w:sz w:val="19"/>
          <w:szCs w:val="19"/>
        </w:rPr>
      </w:pPr>
      <w:r w:rsidRPr="00740BE3">
        <w:rPr>
          <w:sz w:val="19"/>
          <w:szCs w:val="19"/>
        </w:rPr>
        <w:t xml:space="preserve"> </w:t>
      </w:r>
      <w:bookmarkStart w:id="128" w:name="_Ref476993428"/>
      <w:r w:rsidRPr="00740BE3">
        <w:rPr>
          <w:sz w:val="19"/>
          <w:szCs w:val="19"/>
        </w:rPr>
        <w:t xml:space="preserve">The Board noted </w:t>
      </w:r>
      <w:r w:rsidR="00A02B0E" w:rsidRPr="00740BE3">
        <w:rPr>
          <w:sz w:val="19"/>
          <w:szCs w:val="19"/>
        </w:rPr>
        <w:t xml:space="preserve">(in paragraph </w:t>
      </w:r>
      <w:r w:rsidR="00A02B0E" w:rsidRPr="00740BE3">
        <w:rPr>
          <w:sz w:val="19"/>
          <w:szCs w:val="19"/>
        </w:rPr>
        <w:fldChar w:fldCharType="begin"/>
      </w:r>
      <w:r w:rsidR="00A02B0E" w:rsidRPr="00740BE3">
        <w:rPr>
          <w:sz w:val="19"/>
          <w:szCs w:val="19"/>
        </w:rPr>
        <w:instrText xml:space="preserve"> REF _Ref476660084 \r \h </w:instrText>
      </w:r>
      <w:r w:rsidR="00A02B0E" w:rsidRPr="00740BE3">
        <w:rPr>
          <w:sz w:val="19"/>
          <w:szCs w:val="19"/>
        </w:rPr>
      </w:r>
      <w:r w:rsidR="00A02B0E" w:rsidRPr="00740BE3">
        <w:rPr>
          <w:sz w:val="19"/>
          <w:szCs w:val="19"/>
        </w:rPr>
        <w:fldChar w:fldCharType="separate"/>
      </w:r>
      <w:r w:rsidR="00C43128">
        <w:rPr>
          <w:sz w:val="19"/>
          <w:szCs w:val="19"/>
        </w:rPr>
        <w:t>BC60</w:t>
      </w:r>
      <w:r w:rsidR="00A02B0E" w:rsidRPr="00740BE3">
        <w:rPr>
          <w:sz w:val="19"/>
          <w:szCs w:val="19"/>
        </w:rPr>
        <w:fldChar w:fldCharType="end"/>
      </w:r>
      <w:r w:rsidR="00A02B0E" w:rsidRPr="00740BE3">
        <w:rPr>
          <w:sz w:val="19"/>
          <w:szCs w:val="19"/>
        </w:rPr>
        <w:t>)</w:t>
      </w:r>
      <w:r w:rsidRPr="00740BE3">
        <w:rPr>
          <w:sz w:val="19"/>
          <w:szCs w:val="19"/>
        </w:rPr>
        <w:t xml:space="preserve"> a public sector entity uses a service concession asset’s capacity or service potential to provide goods or services to achieve public service objectives, replacing the asset irrespective of whether the replacement cost will be recovered by the expected cash flows that the asset may generate. This view would be consistent with measuring the asset using current replacement cost under the cost approach </w:t>
      </w:r>
      <w:r w:rsidR="002853ED" w:rsidRPr="00740BE3">
        <w:rPr>
          <w:sz w:val="19"/>
          <w:szCs w:val="19"/>
        </w:rPr>
        <w:t xml:space="preserve">in </w:t>
      </w:r>
      <w:r w:rsidRPr="00740BE3">
        <w:rPr>
          <w:sz w:val="19"/>
          <w:szCs w:val="19"/>
        </w:rPr>
        <w:t>AASB 13.</w:t>
      </w:r>
      <w:bookmarkEnd w:id="128"/>
      <w:r w:rsidRPr="00740BE3">
        <w:rPr>
          <w:sz w:val="19"/>
          <w:szCs w:val="19"/>
        </w:rPr>
        <w:t xml:space="preserve"> </w:t>
      </w:r>
    </w:p>
    <w:p w14:paraId="7D9277D8" w14:textId="334750C3" w:rsidR="00777EF3" w:rsidRPr="00662611" w:rsidRDefault="00BE5E74"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Additionally</w:t>
      </w:r>
      <w:r w:rsidR="000017CF" w:rsidRPr="00662611">
        <w:rPr>
          <w:sz w:val="19"/>
          <w:szCs w:val="19"/>
        </w:rPr>
        <w:t xml:space="preserve"> t</w:t>
      </w:r>
      <w:r w:rsidR="00777EF3" w:rsidRPr="00662611">
        <w:rPr>
          <w:sz w:val="19"/>
          <w:szCs w:val="19"/>
        </w:rPr>
        <w:t>he Board</w:t>
      </w:r>
      <w:r w:rsidR="000017CF" w:rsidRPr="00662611">
        <w:rPr>
          <w:sz w:val="19"/>
          <w:szCs w:val="19"/>
        </w:rPr>
        <w:t>’s</w:t>
      </w:r>
      <w:r w:rsidR="00777EF3" w:rsidRPr="00662611">
        <w:rPr>
          <w:sz w:val="19"/>
          <w:szCs w:val="19"/>
        </w:rPr>
        <w:t xml:space="preserve"> view </w:t>
      </w:r>
      <w:r w:rsidR="00497289" w:rsidRPr="00662611">
        <w:rPr>
          <w:sz w:val="19"/>
          <w:szCs w:val="19"/>
        </w:rPr>
        <w:t>(</w:t>
      </w:r>
      <w:r w:rsidR="000017CF" w:rsidRPr="00662611">
        <w:rPr>
          <w:sz w:val="19"/>
          <w:szCs w:val="19"/>
        </w:rPr>
        <w:t xml:space="preserve">in paragraph </w:t>
      </w:r>
      <w:r w:rsidR="00AE6D91" w:rsidRPr="00662611">
        <w:rPr>
          <w:sz w:val="19"/>
          <w:szCs w:val="19"/>
        </w:rPr>
        <w:fldChar w:fldCharType="begin"/>
      </w:r>
      <w:r w:rsidR="00AE6D91" w:rsidRPr="00662611">
        <w:rPr>
          <w:sz w:val="19"/>
          <w:szCs w:val="19"/>
        </w:rPr>
        <w:instrText xml:space="preserve"> REF _Ref476660084 \r \h </w:instrText>
      </w:r>
      <w:r w:rsidR="00AE6D91" w:rsidRPr="00662611">
        <w:rPr>
          <w:sz w:val="19"/>
          <w:szCs w:val="19"/>
        </w:rPr>
      </w:r>
      <w:r w:rsidR="00AE6D91" w:rsidRPr="00662611">
        <w:rPr>
          <w:sz w:val="19"/>
          <w:szCs w:val="19"/>
        </w:rPr>
        <w:fldChar w:fldCharType="separate"/>
      </w:r>
      <w:r w:rsidR="00C43128">
        <w:rPr>
          <w:sz w:val="19"/>
          <w:szCs w:val="19"/>
        </w:rPr>
        <w:t>BC60</w:t>
      </w:r>
      <w:r w:rsidR="00AE6D91" w:rsidRPr="00662611">
        <w:rPr>
          <w:sz w:val="19"/>
          <w:szCs w:val="19"/>
        </w:rPr>
        <w:fldChar w:fldCharType="end"/>
      </w:r>
      <w:r w:rsidR="00497289" w:rsidRPr="00662611">
        <w:rPr>
          <w:sz w:val="19"/>
          <w:szCs w:val="19"/>
        </w:rPr>
        <w:t>)</w:t>
      </w:r>
      <w:r w:rsidR="00AE6D91" w:rsidRPr="00662611">
        <w:rPr>
          <w:sz w:val="19"/>
          <w:szCs w:val="19"/>
        </w:rPr>
        <w:t xml:space="preserve"> </w:t>
      </w:r>
      <w:r w:rsidR="00497289" w:rsidRPr="00662611">
        <w:rPr>
          <w:sz w:val="19"/>
          <w:szCs w:val="19"/>
        </w:rPr>
        <w:t xml:space="preserve">is </w:t>
      </w:r>
      <w:r w:rsidR="00777EF3" w:rsidRPr="00662611">
        <w:rPr>
          <w:sz w:val="19"/>
          <w:szCs w:val="19"/>
        </w:rPr>
        <w:t xml:space="preserve">that the service potential of a service concession asset under a service concession arrangement involving the financial liability model and the service potential of an identical asset involving </w:t>
      </w:r>
      <w:r w:rsidR="00B56043" w:rsidRPr="00662611">
        <w:rPr>
          <w:sz w:val="19"/>
          <w:szCs w:val="19"/>
        </w:rPr>
        <w:t xml:space="preserve">the </w:t>
      </w:r>
      <w:r w:rsidR="00F25E16" w:rsidRPr="00662611">
        <w:rPr>
          <w:sz w:val="19"/>
          <w:szCs w:val="19"/>
        </w:rPr>
        <w:t>GORTO</w:t>
      </w:r>
      <w:r w:rsidR="00B56043" w:rsidRPr="00662611">
        <w:rPr>
          <w:sz w:val="19"/>
          <w:szCs w:val="19"/>
        </w:rPr>
        <w:t xml:space="preserve"> </w:t>
      </w:r>
      <w:r w:rsidR="00777EF3" w:rsidRPr="00662611">
        <w:rPr>
          <w:sz w:val="19"/>
          <w:szCs w:val="19"/>
        </w:rPr>
        <w:t>model is the same from the grantor’s perspective</w:t>
      </w:r>
      <w:r w:rsidR="00B56043" w:rsidRPr="00662611">
        <w:rPr>
          <w:sz w:val="19"/>
          <w:szCs w:val="19"/>
        </w:rPr>
        <w:t>,</w:t>
      </w:r>
      <w:r w:rsidR="00777EF3" w:rsidRPr="00662611">
        <w:rPr>
          <w:sz w:val="19"/>
          <w:szCs w:val="19"/>
        </w:rPr>
        <w:t xml:space="preserve"> as both assets will provide the same utility to the public. </w:t>
      </w:r>
      <w:r w:rsidR="006D4907" w:rsidRPr="00662611">
        <w:rPr>
          <w:sz w:val="19"/>
          <w:szCs w:val="19"/>
        </w:rPr>
        <w:t>T</w:t>
      </w:r>
      <w:r w:rsidR="00777EF3" w:rsidRPr="00662611">
        <w:rPr>
          <w:sz w:val="19"/>
          <w:szCs w:val="19"/>
        </w:rPr>
        <w:t>he fair value of the</w:t>
      </w:r>
      <w:r w:rsidR="00246F2A" w:rsidRPr="00662611">
        <w:rPr>
          <w:sz w:val="19"/>
          <w:szCs w:val="19"/>
        </w:rPr>
        <w:t>se</w:t>
      </w:r>
      <w:r w:rsidR="00777EF3" w:rsidRPr="00662611">
        <w:rPr>
          <w:sz w:val="19"/>
          <w:szCs w:val="19"/>
        </w:rPr>
        <w:t xml:space="preserve"> asset</w:t>
      </w:r>
      <w:r w:rsidR="00246F2A" w:rsidRPr="00662611">
        <w:rPr>
          <w:sz w:val="19"/>
          <w:szCs w:val="19"/>
        </w:rPr>
        <w:t>s</w:t>
      </w:r>
      <w:r w:rsidR="00777EF3" w:rsidRPr="00662611">
        <w:rPr>
          <w:sz w:val="19"/>
          <w:szCs w:val="19"/>
        </w:rPr>
        <w:t xml:space="preserve"> should therefore be measured consistently. </w:t>
      </w:r>
    </w:p>
    <w:p w14:paraId="7D9277D9" w14:textId="1CCBBB56" w:rsidR="00777EF3" w:rsidRPr="00662611" w:rsidRDefault="005A45CF" w:rsidP="00777EF3">
      <w:pPr>
        <w:pStyle w:val="IE1"/>
        <w:numPr>
          <w:ilvl w:val="0"/>
          <w:numId w:val="18"/>
        </w:numPr>
        <w:tabs>
          <w:tab w:val="clear" w:pos="624"/>
        </w:tabs>
        <w:spacing w:after="100" w:line="240" w:lineRule="auto"/>
        <w:ind w:left="782" w:hanging="782"/>
        <w:jc w:val="both"/>
        <w:rPr>
          <w:sz w:val="19"/>
          <w:szCs w:val="19"/>
        </w:rPr>
      </w:pPr>
      <w:r>
        <w:rPr>
          <w:sz w:val="19"/>
          <w:szCs w:val="19"/>
        </w:rPr>
        <w:t>U</w:t>
      </w:r>
      <w:r w:rsidR="00777EF3" w:rsidRPr="00662611">
        <w:rPr>
          <w:sz w:val="19"/>
          <w:szCs w:val="19"/>
        </w:rPr>
        <w:t xml:space="preserve">nlike the other valuation methodologies, current replacement cost would result in the same value under both </w:t>
      </w:r>
      <w:r w:rsidR="009F60C6" w:rsidRPr="00662611">
        <w:rPr>
          <w:sz w:val="19"/>
          <w:szCs w:val="19"/>
        </w:rPr>
        <w:t xml:space="preserve">the </w:t>
      </w:r>
      <w:r w:rsidR="00935A8F" w:rsidRPr="00662611">
        <w:rPr>
          <w:sz w:val="19"/>
          <w:szCs w:val="19"/>
        </w:rPr>
        <w:t xml:space="preserve">financial </w:t>
      </w:r>
      <w:r w:rsidR="00777EF3" w:rsidRPr="00662611">
        <w:rPr>
          <w:sz w:val="19"/>
          <w:szCs w:val="19"/>
        </w:rPr>
        <w:t>liability model</w:t>
      </w:r>
      <w:r w:rsidR="00935A8F" w:rsidRPr="00662611">
        <w:rPr>
          <w:sz w:val="19"/>
          <w:szCs w:val="19"/>
        </w:rPr>
        <w:t xml:space="preserve"> and </w:t>
      </w:r>
      <w:r w:rsidR="009F60C6" w:rsidRPr="00662611">
        <w:rPr>
          <w:sz w:val="19"/>
          <w:szCs w:val="19"/>
        </w:rPr>
        <w:t xml:space="preserve">the </w:t>
      </w:r>
      <w:r w:rsidR="00935A8F" w:rsidRPr="00662611">
        <w:rPr>
          <w:sz w:val="19"/>
          <w:szCs w:val="19"/>
        </w:rPr>
        <w:t>GORTO model</w:t>
      </w:r>
      <w:r w:rsidR="00777EF3" w:rsidRPr="00662611">
        <w:rPr>
          <w:sz w:val="19"/>
          <w:szCs w:val="19"/>
        </w:rPr>
        <w:t xml:space="preserve">. Current replacement cost would not include the restriction on the asset (see </w:t>
      </w:r>
      <w:r w:rsidR="005A7DB3" w:rsidRPr="00662611">
        <w:rPr>
          <w:sz w:val="19"/>
          <w:szCs w:val="19"/>
        </w:rPr>
        <w:t>paragraph</w:t>
      </w:r>
      <w:r w:rsidR="00954EEF" w:rsidRPr="00662611">
        <w:rPr>
          <w:sz w:val="19"/>
          <w:szCs w:val="19"/>
        </w:rPr>
        <w:t xml:space="preserve"> </w:t>
      </w:r>
      <w:r w:rsidR="00954EEF" w:rsidRPr="00662611">
        <w:rPr>
          <w:sz w:val="19"/>
          <w:szCs w:val="19"/>
        </w:rPr>
        <w:fldChar w:fldCharType="begin"/>
      </w:r>
      <w:r w:rsidR="00954EEF" w:rsidRPr="00662611">
        <w:rPr>
          <w:sz w:val="19"/>
          <w:szCs w:val="19"/>
        </w:rPr>
        <w:instrText xml:space="preserve"> REF _Ref476660229 \r \h </w:instrText>
      </w:r>
      <w:r w:rsidR="00954EEF" w:rsidRPr="00662611">
        <w:rPr>
          <w:sz w:val="19"/>
          <w:szCs w:val="19"/>
        </w:rPr>
      </w:r>
      <w:r w:rsidR="00954EEF" w:rsidRPr="00662611">
        <w:rPr>
          <w:sz w:val="19"/>
          <w:szCs w:val="19"/>
        </w:rPr>
        <w:fldChar w:fldCharType="separate"/>
      </w:r>
      <w:r w:rsidR="00C43128">
        <w:rPr>
          <w:sz w:val="19"/>
          <w:szCs w:val="19"/>
        </w:rPr>
        <w:t>BC49</w:t>
      </w:r>
      <w:r w:rsidR="00954EEF" w:rsidRPr="00662611">
        <w:rPr>
          <w:sz w:val="19"/>
          <w:szCs w:val="19"/>
        </w:rPr>
        <w:fldChar w:fldCharType="end"/>
      </w:r>
      <w:r w:rsidR="00777EF3" w:rsidRPr="00662611">
        <w:rPr>
          <w:sz w:val="19"/>
          <w:szCs w:val="19"/>
        </w:rPr>
        <w:t xml:space="preserve">) of </w:t>
      </w:r>
      <w:r w:rsidR="009F60C6" w:rsidRPr="00662611">
        <w:rPr>
          <w:sz w:val="19"/>
          <w:szCs w:val="19"/>
        </w:rPr>
        <w:t xml:space="preserve">the grantor </w:t>
      </w:r>
      <w:r w:rsidR="00777EF3" w:rsidRPr="00662611">
        <w:rPr>
          <w:sz w:val="19"/>
          <w:szCs w:val="19"/>
        </w:rPr>
        <w:t xml:space="preserve">having granted the operator the right to charge users as the restriction relates to future cash flows from the asset rather than </w:t>
      </w:r>
      <w:r w:rsidR="00EE58E5" w:rsidRPr="00662611">
        <w:rPr>
          <w:sz w:val="19"/>
          <w:szCs w:val="19"/>
        </w:rPr>
        <w:t xml:space="preserve">the </w:t>
      </w:r>
      <w:r w:rsidR="00777EF3" w:rsidRPr="00662611">
        <w:rPr>
          <w:sz w:val="19"/>
          <w:szCs w:val="19"/>
        </w:rPr>
        <w:t xml:space="preserve">costs to replace the asset to provide its current service potential. The </w:t>
      </w:r>
      <w:r w:rsidR="005A7DB3" w:rsidRPr="00662611">
        <w:rPr>
          <w:sz w:val="19"/>
          <w:szCs w:val="19"/>
        </w:rPr>
        <w:t>B</w:t>
      </w:r>
      <w:r w:rsidR="00777EF3" w:rsidRPr="00662611">
        <w:rPr>
          <w:sz w:val="19"/>
          <w:szCs w:val="19"/>
        </w:rPr>
        <w:t>oard’s considerations of whether the granting of the right to future cash flows should be recognised as a separate liability are set out in</w:t>
      </w:r>
      <w:r w:rsidR="009F60C6" w:rsidRPr="00662611">
        <w:rPr>
          <w:sz w:val="19"/>
          <w:szCs w:val="19"/>
        </w:rPr>
        <w:t xml:space="preserve"> paragraph</w:t>
      </w:r>
      <w:r w:rsidR="00D964A8" w:rsidRPr="00662611">
        <w:rPr>
          <w:sz w:val="19"/>
          <w:szCs w:val="19"/>
        </w:rPr>
        <w:t xml:space="preserve">s </w:t>
      </w:r>
      <w:r w:rsidR="00D964A8" w:rsidRPr="00662611">
        <w:rPr>
          <w:sz w:val="19"/>
          <w:szCs w:val="19"/>
        </w:rPr>
        <w:fldChar w:fldCharType="begin"/>
      </w:r>
      <w:r w:rsidR="00D964A8" w:rsidRPr="00662611">
        <w:rPr>
          <w:sz w:val="19"/>
          <w:szCs w:val="19"/>
        </w:rPr>
        <w:instrText xml:space="preserve"> REF _Ref477286150 \r \h </w:instrText>
      </w:r>
      <w:r w:rsidR="00D964A8" w:rsidRPr="00662611">
        <w:rPr>
          <w:sz w:val="19"/>
          <w:szCs w:val="19"/>
        </w:rPr>
      </w:r>
      <w:r w:rsidR="00D964A8" w:rsidRPr="00662611">
        <w:rPr>
          <w:sz w:val="19"/>
          <w:szCs w:val="19"/>
        </w:rPr>
        <w:fldChar w:fldCharType="separate"/>
      </w:r>
      <w:r w:rsidR="00C43128">
        <w:rPr>
          <w:sz w:val="19"/>
          <w:szCs w:val="19"/>
        </w:rPr>
        <w:t>BC79</w:t>
      </w:r>
      <w:r w:rsidR="00D964A8" w:rsidRPr="00662611">
        <w:rPr>
          <w:sz w:val="19"/>
          <w:szCs w:val="19"/>
        </w:rPr>
        <w:fldChar w:fldCharType="end"/>
      </w:r>
      <w:r w:rsidR="00D964A8" w:rsidRPr="00662611">
        <w:rPr>
          <w:sz w:val="19"/>
          <w:szCs w:val="19"/>
        </w:rPr>
        <w:t>–</w:t>
      </w:r>
      <w:r w:rsidR="00D964A8" w:rsidRPr="00662611">
        <w:rPr>
          <w:sz w:val="19"/>
          <w:szCs w:val="19"/>
        </w:rPr>
        <w:fldChar w:fldCharType="begin"/>
      </w:r>
      <w:r w:rsidR="00D964A8" w:rsidRPr="00662611">
        <w:rPr>
          <w:sz w:val="19"/>
          <w:szCs w:val="19"/>
        </w:rPr>
        <w:instrText xml:space="preserve"> REF _Ref477280302 \r \h </w:instrText>
      </w:r>
      <w:r w:rsidR="00D964A8" w:rsidRPr="00662611">
        <w:rPr>
          <w:sz w:val="19"/>
          <w:szCs w:val="19"/>
        </w:rPr>
      </w:r>
      <w:r w:rsidR="00D964A8" w:rsidRPr="00662611">
        <w:rPr>
          <w:sz w:val="19"/>
          <w:szCs w:val="19"/>
        </w:rPr>
        <w:fldChar w:fldCharType="separate"/>
      </w:r>
      <w:r w:rsidR="00C43128">
        <w:rPr>
          <w:sz w:val="19"/>
          <w:szCs w:val="19"/>
        </w:rPr>
        <w:t>BC80</w:t>
      </w:r>
      <w:r w:rsidR="00D964A8" w:rsidRPr="00662611">
        <w:rPr>
          <w:sz w:val="19"/>
          <w:szCs w:val="19"/>
        </w:rPr>
        <w:fldChar w:fldCharType="end"/>
      </w:r>
      <w:r w:rsidR="00777EF3" w:rsidRPr="00662611">
        <w:rPr>
          <w:sz w:val="19"/>
          <w:szCs w:val="19"/>
        </w:rPr>
        <w:t>.</w:t>
      </w:r>
    </w:p>
    <w:p w14:paraId="7D9277DA" w14:textId="0435C33F"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bookmarkStart w:id="129" w:name="_Ref476993431"/>
      <w:bookmarkStart w:id="130" w:name="_Ref484792678"/>
      <w:r w:rsidRPr="00662611">
        <w:rPr>
          <w:sz w:val="19"/>
          <w:szCs w:val="19"/>
        </w:rPr>
        <w:t xml:space="preserve">The Board concluded a service concession asset is </w:t>
      </w:r>
      <w:r w:rsidR="00740BE3">
        <w:rPr>
          <w:sz w:val="19"/>
          <w:szCs w:val="19"/>
        </w:rPr>
        <w:t xml:space="preserve">an </w:t>
      </w:r>
      <w:r w:rsidRPr="00662611">
        <w:rPr>
          <w:sz w:val="19"/>
          <w:szCs w:val="19"/>
        </w:rPr>
        <w:t>asset that is obtained through construction, development, acquisition</w:t>
      </w:r>
      <w:r w:rsidR="005A45CF">
        <w:rPr>
          <w:sz w:val="19"/>
          <w:szCs w:val="19"/>
        </w:rPr>
        <w:t xml:space="preserve">, </w:t>
      </w:r>
      <w:r w:rsidRPr="00662611">
        <w:rPr>
          <w:sz w:val="19"/>
          <w:szCs w:val="19"/>
        </w:rPr>
        <w:t>upgrade</w:t>
      </w:r>
      <w:r w:rsidR="005A45CF">
        <w:rPr>
          <w:sz w:val="19"/>
          <w:szCs w:val="19"/>
        </w:rPr>
        <w:t xml:space="preserve"> or replacement of a major component</w:t>
      </w:r>
      <w:r w:rsidRPr="00662611">
        <w:rPr>
          <w:sz w:val="19"/>
          <w:szCs w:val="19"/>
        </w:rPr>
        <w:t xml:space="preserve"> of </w:t>
      </w:r>
      <w:r w:rsidR="00740BE3">
        <w:rPr>
          <w:sz w:val="19"/>
          <w:szCs w:val="19"/>
        </w:rPr>
        <w:t xml:space="preserve">an </w:t>
      </w:r>
      <w:r w:rsidRPr="00662611">
        <w:rPr>
          <w:sz w:val="19"/>
          <w:szCs w:val="19"/>
        </w:rPr>
        <w:t xml:space="preserve">asset. The asset’s capacity or service potential is used to achieve public service objectives irrespective of whether the cost of the asset will be recovered by the expected cash flows that the asset may generate. The Board therefore concluded </w:t>
      </w:r>
      <w:r w:rsidRPr="00662611">
        <w:rPr>
          <w:sz w:val="19"/>
          <w:szCs w:val="19"/>
        </w:rPr>
        <w:lastRenderedPageBreak/>
        <w:t>that it is appropriate to initially measure service concession assets at fair value using only current replacement cost under the cost approach to fair value.</w:t>
      </w:r>
      <w:bookmarkEnd w:id="129"/>
      <w:r w:rsidRPr="00662611">
        <w:rPr>
          <w:sz w:val="19"/>
          <w:szCs w:val="19"/>
        </w:rPr>
        <w:t xml:space="preserve"> </w:t>
      </w:r>
      <w:r w:rsidR="00420E56" w:rsidRPr="00662611">
        <w:rPr>
          <w:sz w:val="19"/>
          <w:szCs w:val="19"/>
        </w:rPr>
        <w:t>The Board noted that this approach applies to for-profit public sector grantors as well as to not-for-profit public sector grantors, given the objective of the Standard. The Board preferred the same measurement basis for all public sector grantors, even though it is possible that a for-profit grantor might hold service concession assets for both their service potential and their future cash flows.</w:t>
      </w:r>
      <w:bookmarkEnd w:id="130"/>
    </w:p>
    <w:p w14:paraId="7D9277DB" w14:textId="1D8FFC57" w:rsidR="00D6407B" w:rsidRPr="00662611" w:rsidRDefault="00010937" w:rsidP="00B8585A">
      <w:pPr>
        <w:pStyle w:val="IASBSectionTitle2Ind"/>
        <w:outlineLvl w:val="2"/>
      </w:pPr>
      <w:r>
        <w:t>M</w:t>
      </w:r>
      <w:r w:rsidRPr="00662611">
        <w:t xml:space="preserve">easuring </w:t>
      </w:r>
      <w:r w:rsidR="00D6407B" w:rsidRPr="00662611">
        <w:t>reclassified assets at fair value</w:t>
      </w:r>
    </w:p>
    <w:p w14:paraId="7D9277DC" w14:textId="4D6AF279"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deliberated whether an existing asset of a grantor that is reclassified as a service concession asset should be measured </w:t>
      </w:r>
      <w:r w:rsidR="003844CA">
        <w:rPr>
          <w:sz w:val="19"/>
          <w:szCs w:val="19"/>
        </w:rPr>
        <w:t xml:space="preserve">at </w:t>
      </w:r>
      <w:r w:rsidRPr="00662611">
        <w:rPr>
          <w:sz w:val="19"/>
          <w:szCs w:val="19"/>
        </w:rPr>
        <w:t>current replacement cost in accordance with the cost approach to fair value in AASB 13. The Board concluded the reclassification of the grantor’s existing asset represents a change in the nature of the asset (even an intangible asset) to a service concession asset and should therefore be measured on the same basis as a service concession asset acquired through the operator.</w:t>
      </w:r>
    </w:p>
    <w:p w14:paraId="7D9277DD" w14:textId="4EB97E8A" w:rsidR="00777EF3" w:rsidRPr="00662611" w:rsidRDefault="00777EF3" w:rsidP="00777EF3">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acknowledged the requirement for a grantor to initially measure a service concession asset at fair value (current replacement cost) in accordance with the cost approach in AASB 13 may result in a for-profit grantor not being able to state that its financial statements comply with IFRS Standards. This is because AASB 13 (and the corresponding IFRS 13</w:t>
      </w:r>
      <w:r w:rsidR="0053471B" w:rsidRPr="00662611">
        <w:rPr>
          <w:sz w:val="19"/>
          <w:szCs w:val="19"/>
        </w:rPr>
        <w:t xml:space="preserve"> </w:t>
      </w:r>
      <w:r w:rsidR="0053471B" w:rsidRPr="00662611">
        <w:rPr>
          <w:i/>
          <w:sz w:val="19"/>
          <w:szCs w:val="19"/>
        </w:rPr>
        <w:t>Fair Value Measurement</w:t>
      </w:r>
      <w:r w:rsidRPr="00662611">
        <w:rPr>
          <w:sz w:val="19"/>
          <w:szCs w:val="19"/>
        </w:rPr>
        <w:t>) permits other valuation techniques (see paragraphs</w:t>
      </w:r>
      <w:r w:rsidR="00DA22A1" w:rsidRPr="00662611">
        <w:rPr>
          <w:sz w:val="19"/>
          <w:szCs w:val="19"/>
        </w:rPr>
        <w:t> </w:t>
      </w:r>
      <w:r w:rsidR="00DA22A1" w:rsidRPr="00662611">
        <w:rPr>
          <w:sz w:val="19"/>
          <w:szCs w:val="19"/>
        </w:rPr>
        <w:fldChar w:fldCharType="begin"/>
      </w:r>
      <w:r w:rsidR="00DA22A1" w:rsidRPr="00662611">
        <w:rPr>
          <w:sz w:val="19"/>
          <w:szCs w:val="19"/>
        </w:rPr>
        <w:instrText xml:space="preserve"> REF _Ref475976110 \r \h </w:instrText>
      </w:r>
      <w:r w:rsidR="00DA22A1" w:rsidRPr="00662611">
        <w:rPr>
          <w:sz w:val="19"/>
          <w:szCs w:val="19"/>
        </w:rPr>
      </w:r>
      <w:r w:rsidR="00DA22A1" w:rsidRPr="00662611">
        <w:rPr>
          <w:sz w:val="19"/>
          <w:szCs w:val="19"/>
        </w:rPr>
        <w:fldChar w:fldCharType="separate"/>
      </w:r>
      <w:r w:rsidR="00C43128">
        <w:rPr>
          <w:sz w:val="19"/>
          <w:szCs w:val="19"/>
        </w:rPr>
        <w:t>BC124</w:t>
      </w:r>
      <w:r w:rsidR="00DA22A1" w:rsidRPr="00662611">
        <w:rPr>
          <w:sz w:val="19"/>
          <w:szCs w:val="19"/>
        </w:rPr>
        <w:fldChar w:fldCharType="end"/>
      </w:r>
      <w:r w:rsidR="00DA22A1" w:rsidRPr="00662611">
        <w:rPr>
          <w:sz w:val="19"/>
          <w:szCs w:val="19"/>
        </w:rPr>
        <w:t>–</w:t>
      </w:r>
      <w:r w:rsidR="00DA22A1" w:rsidRPr="00662611">
        <w:rPr>
          <w:sz w:val="19"/>
          <w:szCs w:val="19"/>
        </w:rPr>
        <w:fldChar w:fldCharType="begin"/>
      </w:r>
      <w:r w:rsidR="00DA22A1" w:rsidRPr="00662611">
        <w:rPr>
          <w:sz w:val="19"/>
          <w:szCs w:val="19"/>
        </w:rPr>
        <w:instrText xml:space="preserve"> REF _Ref475976112 \r \h </w:instrText>
      </w:r>
      <w:r w:rsidR="00DA22A1" w:rsidRPr="00662611">
        <w:rPr>
          <w:sz w:val="19"/>
          <w:szCs w:val="19"/>
        </w:rPr>
      </w:r>
      <w:r w:rsidR="00DA22A1" w:rsidRPr="00662611">
        <w:rPr>
          <w:sz w:val="19"/>
          <w:szCs w:val="19"/>
        </w:rPr>
        <w:fldChar w:fldCharType="separate"/>
      </w:r>
      <w:r w:rsidR="00C43128">
        <w:rPr>
          <w:sz w:val="19"/>
          <w:szCs w:val="19"/>
        </w:rPr>
        <w:t>BC125</w:t>
      </w:r>
      <w:r w:rsidR="00DA22A1" w:rsidRPr="00662611">
        <w:rPr>
          <w:sz w:val="19"/>
          <w:szCs w:val="19"/>
        </w:rPr>
        <w:fldChar w:fldCharType="end"/>
      </w:r>
      <w:r w:rsidRPr="00662611">
        <w:rPr>
          <w:sz w:val="19"/>
          <w:szCs w:val="19"/>
        </w:rPr>
        <w:t>).</w:t>
      </w:r>
    </w:p>
    <w:p w14:paraId="7D9277DE" w14:textId="1AE4DF0E" w:rsidR="003862D4" w:rsidRPr="00662611" w:rsidRDefault="00561A47" w:rsidP="00942FDB">
      <w:pPr>
        <w:pStyle w:val="IE1"/>
        <w:numPr>
          <w:ilvl w:val="0"/>
          <w:numId w:val="18"/>
        </w:numPr>
        <w:tabs>
          <w:tab w:val="clear" w:pos="624"/>
        </w:tabs>
        <w:spacing w:after="100" w:line="240" w:lineRule="auto"/>
        <w:ind w:left="782" w:hanging="782"/>
        <w:jc w:val="both"/>
        <w:rPr>
          <w:sz w:val="19"/>
          <w:szCs w:val="19"/>
        </w:rPr>
      </w:pPr>
      <w:bookmarkStart w:id="131" w:name="_Ref475959158"/>
      <w:bookmarkStart w:id="132" w:name="_Ref477283066"/>
      <w:r w:rsidRPr="00662611">
        <w:rPr>
          <w:sz w:val="19"/>
          <w:szCs w:val="19"/>
        </w:rPr>
        <w:t>T</w:t>
      </w:r>
      <w:r w:rsidR="003862D4" w:rsidRPr="00662611">
        <w:rPr>
          <w:sz w:val="19"/>
          <w:szCs w:val="19"/>
        </w:rPr>
        <w:t xml:space="preserve">he Board decided </w:t>
      </w:r>
      <w:r w:rsidRPr="00662611">
        <w:rPr>
          <w:sz w:val="19"/>
          <w:szCs w:val="19"/>
        </w:rPr>
        <w:t xml:space="preserve">not to provide additional </w:t>
      </w:r>
      <w:r w:rsidR="003862D4" w:rsidRPr="00662611">
        <w:rPr>
          <w:sz w:val="19"/>
          <w:szCs w:val="19"/>
        </w:rPr>
        <w:t>guidance on the measurement of a service concession asset</w:t>
      </w:r>
      <w:r w:rsidRPr="00662611">
        <w:rPr>
          <w:sz w:val="19"/>
          <w:szCs w:val="19"/>
        </w:rPr>
        <w:t xml:space="preserve"> on the grounds that this would best be developed in the future through</w:t>
      </w:r>
      <w:r w:rsidR="003862D4" w:rsidRPr="00662611">
        <w:rPr>
          <w:sz w:val="19"/>
          <w:szCs w:val="19"/>
        </w:rPr>
        <w:t xml:space="preserve"> a separate project on the </w:t>
      </w:r>
      <w:r w:rsidR="00EF238F" w:rsidRPr="00662611">
        <w:rPr>
          <w:sz w:val="19"/>
          <w:szCs w:val="19"/>
        </w:rPr>
        <w:t>measurement</w:t>
      </w:r>
      <w:r w:rsidR="003862D4" w:rsidRPr="00662611">
        <w:rPr>
          <w:sz w:val="19"/>
          <w:szCs w:val="19"/>
        </w:rPr>
        <w:t xml:space="preserve"> of public sector assets.</w:t>
      </w:r>
      <w:bookmarkEnd w:id="131"/>
      <w:r w:rsidR="00EF73C3" w:rsidRPr="00662611">
        <w:rPr>
          <w:sz w:val="19"/>
          <w:szCs w:val="19"/>
        </w:rPr>
        <w:t xml:space="preserve"> </w:t>
      </w:r>
      <w:bookmarkStart w:id="133" w:name="_Ref476334797"/>
      <w:r w:rsidR="003862D4" w:rsidRPr="00662611">
        <w:rPr>
          <w:sz w:val="19"/>
          <w:szCs w:val="19"/>
        </w:rPr>
        <w:t xml:space="preserve">The Board </w:t>
      </w:r>
      <w:r w:rsidR="00EF238F" w:rsidRPr="00662611">
        <w:rPr>
          <w:sz w:val="19"/>
          <w:szCs w:val="19"/>
        </w:rPr>
        <w:t xml:space="preserve">also </w:t>
      </w:r>
      <w:r w:rsidR="003862D4" w:rsidRPr="00662611">
        <w:rPr>
          <w:sz w:val="19"/>
          <w:szCs w:val="19"/>
        </w:rPr>
        <w:t xml:space="preserve">considered whether the Standard should include additional guidance in the following areas and decided there is sufficient guidance in the Standard and/or </w:t>
      </w:r>
      <w:r w:rsidR="003844CA">
        <w:rPr>
          <w:sz w:val="19"/>
          <w:szCs w:val="19"/>
        </w:rPr>
        <w:t xml:space="preserve">other </w:t>
      </w:r>
      <w:r w:rsidR="003862D4" w:rsidRPr="00662611">
        <w:rPr>
          <w:sz w:val="19"/>
          <w:szCs w:val="19"/>
        </w:rPr>
        <w:t>Standards:</w:t>
      </w:r>
      <w:bookmarkEnd w:id="132"/>
      <w:bookmarkEnd w:id="133"/>
    </w:p>
    <w:p w14:paraId="7D9277DF" w14:textId="594DE06B" w:rsidR="003862D4" w:rsidRPr="00662611" w:rsidRDefault="003862D4" w:rsidP="003102C2">
      <w:pPr>
        <w:pStyle w:val="Default"/>
        <w:numPr>
          <w:ilvl w:val="0"/>
          <w:numId w:val="26"/>
        </w:numPr>
        <w:spacing w:after="100"/>
        <w:ind w:left="1564" w:hanging="782"/>
        <w:jc w:val="both"/>
        <w:rPr>
          <w:sz w:val="19"/>
          <w:szCs w:val="19"/>
        </w:rPr>
      </w:pPr>
      <w:r w:rsidRPr="00662611">
        <w:rPr>
          <w:sz w:val="19"/>
          <w:szCs w:val="19"/>
        </w:rPr>
        <w:t xml:space="preserve">determination of the fair value of a partly constructed asset – the Board noted there </w:t>
      </w:r>
      <w:r w:rsidR="001C4C79" w:rsidRPr="00662611">
        <w:rPr>
          <w:sz w:val="19"/>
          <w:szCs w:val="19"/>
        </w:rPr>
        <w:t xml:space="preserve">is </w:t>
      </w:r>
      <w:r w:rsidRPr="00662611">
        <w:rPr>
          <w:sz w:val="19"/>
          <w:szCs w:val="19"/>
        </w:rPr>
        <w:t xml:space="preserve">a broad range of techniques in AASB 15 </w:t>
      </w:r>
      <w:r w:rsidRPr="00662611">
        <w:rPr>
          <w:i/>
          <w:sz w:val="19"/>
          <w:szCs w:val="19"/>
        </w:rPr>
        <w:t>Revenue from Contracts with Customers</w:t>
      </w:r>
      <w:r w:rsidR="00740BE3">
        <w:rPr>
          <w:sz w:val="19"/>
          <w:szCs w:val="19"/>
        </w:rPr>
        <w:t xml:space="preserve"> </w:t>
      </w:r>
      <w:r w:rsidRPr="00662611">
        <w:rPr>
          <w:sz w:val="19"/>
          <w:szCs w:val="19"/>
        </w:rPr>
        <w:t>that</w:t>
      </w:r>
      <w:r w:rsidR="001C4C79" w:rsidRPr="00662611">
        <w:rPr>
          <w:sz w:val="19"/>
          <w:szCs w:val="19"/>
        </w:rPr>
        <w:t>,</w:t>
      </w:r>
      <w:r w:rsidRPr="00662611">
        <w:rPr>
          <w:sz w:val="19"/>
          <w:szCs w:val="19"/>
        </w:rPr>
        <w:t xml:space="preserve"> depending on the nature of the contract, </w:t>
      </w:r>
      <w:r w:rsidR="005A45CF">
        <w:rPr>
          <w:sz w:val="19"/>
          <w:szCs w:val="19"/>
        </w:rPr>
        <w:t xml:space="preserve">could </w:t>
      </w:r>
      <w:r w:rsidRPr="00662611">
        <w:rPr>
          <w:sz w:val="19"/>
          <w:szCs w:val="19"/>
        </w:rPr>
        <w:t>be used to establish the fair value of a partly constructed asset</w:t>
      </w:r>
      <w:r w:rsidR="001C4C79" w:rsidRPr="00662611">
        <w:rPr>
          <w:sz w:val="19"/>
          <w:szCs w:val="19"/>
        </w:rPr>
        <w:t>;</w:t>
      </w:r>
    </w:p>
    <w:p w14:paraId="7D9277E0" w14:textId="189D470A" w:rsidR="003862D4" w:rsidRPr="00662611" w:rsidRDefault="005A45CF" w:rsidP="003102C2">
      <w:pPr>
        <w:pStyle w:val="Default"/>
        <w:numPr>
          <w:ilvl w:val="0"/>
          <w:numId w:val="26"/>
        </w:numPr>
        <w:spacing w:after="100"/>
        <w:ind w:left="1564" w:hanging="782"/>
        <w:jc w:val="both"/>
        <w:rPr>
          <w:sz w:val="19"/>
          <w:szCs w:val="19"/>
        </w:rPr>
      </w:pPr>
      <w:proofErr w:type="gramStart"/>
      <w:r>
        <w:rPr>
          <w:sz w:val="19"/>
          <w:szCs w:val="19"/>
        </w:rPr>
        <w:t>the</w:t>
      </w:r>
      <w:proofErr w:type="gramEnd"/>
      <w:r>
        <w:rPr>
          <w:sz w:val="19"/>
          <w:szCs w:val="19"/>
        </w:rPr>
        <w:t xml:space="preserve"> valuation approach for </w:t>
      </w:r>
      <w:r w:rsidR="003862D4" w:rsidRPr="00662611">
        <w:rPr>
          <w:sz w:val="19"/>
          <w:szCs w:val="19"/>
        </w:rPr>
        <w:t>intangible service concession asset</w:t>
      </w:r>
      <w:r>
        <w:rPr>
          <w:sz w:val="19"/>
          <w:szCs w:val="19"/>
        </w:rPr>
        <w:t>s</w:t>
      </w:r>
      <w:r w:rsidR="003862D4" w:rsidRPr="00662611">
        <w:rPr>
          <w:sz w:val="19"/>
          <w:szCs w:val="19"/>
        </w:rPr>
        <w:t xml:space="preserve"> – the Board </w:t>
      </w:r>
      <w:r w:rsidR="0083019A" w:rsidRPr="00662611">
        <w:rPr>
          <w:sz w:val="19"/>
          <w:szCs w:val="19"/>
        </w:rPr>
        <w:t xml:space="preserve">decided </w:t>
      </w:r>
      <w:r w:rsidR="003862D4" w:rsidRPr="00662611">
        <w:rPr>
          <w:sz w:val="19"/>
          <w:szCs w:val="19"/>
        </w:rPr>
        <w:t xml:space="preserve">intangible service concession </w:t>
      </w:r>
      <w:r w:rsidR="0083019A" w:rsidRPr="00662611">
        <w:rPr>
          <w:sz w:val="19"/>
          <w:szCs w:val="19"/>
        </w:rPr>
        <w:t>asset</w:t>
      </w:r>
      <w:r w:rsidR="0079087B" w:rsidRPr="00662611">
        <w:rPr>
          <w:sz w:val="19"/>
          <w:szCs w:val="19"/>
        </w:rPr>
        <w:t>s</w:t>
      </w:r>
      <w:r w:rsidR="0083019A" w:rsidRPr="00662611">
        <w:rPr>
          <w:sz w:val="19"/>
          <w:szCs w:val="19"/>
        </w:rPr>
        <w:t xml:space="preserve"> </w:t>
      </w:r>
      <w:r w:rsidR="003862D4" w:rsidRPr="00662611">
        <w:rPr>
          <w:sz w:val="19"/>
          <w:szCs w:val="19"/>
        </w:rPr>
        <w:t>should not be</w:t>
      </w:r>
      <w:r w:rsidR="0083019A" w:rsidRPr="00662611">
        <w:rPr>
          <w:sz w:val="19"/>
          <w:szCs w:val="19"/>
        </w:rPr>
        <w:t xml:space="preserve"> treated</w:t>
      </w:r>
      <w:r w:rsidR="003862D4" w:rsidRPr="00662611">
        <w:rPr>
          <w:sz w:val="19"/>
          <w:szCs w:val="19"/>
        </w:rPr>
        <w:t xml:space="preserve"> different</w:t>
      </w:r>
      <w:r w:rsidR="0083019A" w:rsidRPr="00662611">
        <w:rPr>
          <w:sz w:val="19"/>
          <w:szCs w:val="19"/>
        </w:rPr>
        <w:t>ly</w:t>
      </w:r>
      <w:r w:rsidR="003862D4" w:rsidRPr="00662611">
        <w:rPr>
          <w:sz w:val="19"/>
          <w:szCs w:val="19"/>
        </w:rPr>
        <w:t xml:space="preserve"> </w:t>
      </w:r>
      <w:r w:rsidR="003844CA">
        <w:rPr>
          <w:sz w:val="19"/>
          <w:szCs w:val="19"/>
        </w:rPr>
        <w:t xml:space="preserve">from </w:t>
      </w:r>
      <w:r w:rsidR="003862D4" w:rsidRPr="00662611">
        <w:rPr>
          <w:sz w:val="19"/>
          <w:szCs w:val="19"/>
        </w:rPr>
        <w:t>tangible service concession assets</w:t>
      </w:r>
      <w:r w:rsidR="0083019A" w:rsidRPr="00662611">
        <w:rPr>
          <w:sz w:val="19"/>
          <w:szCs w:val="19"/>
        </w:rPr>
        <w:t xml:space="preserve"> on initial recognition</w:t>
      </w:r>
      <w:r w:rsidR="003862D4" w:rsidRPr="00662611">
        <w:rPr>
          <w:sz w:val="19"/>
          <w:szCs w:val="19"/>
        </w:rPr>
        <w:t>.</w:t>
      </w:r>
      <w:r w:rsidR="0079087B" w:rsidRPr="00662611">
        <w:rPr>
          <w:sz w:val="19"/>
          <w:szCs w:val="19"/>
        </w:rPr>
        <w:t xml:space="preserve"> In both cases,</w:t>
      </w:r>
      <w:r w:rsidR="003862D4" w:rsidRPr="00662611">
        <w:rPr>
          <w:sz w:val="19"/>
          <w:szCs w:val="19"/>
        </w:rPr>
        <w:t xml:space="preserve"> the asset’s capacity or service potential is used to achieve public service objectives irrespective of whether the cost of the asset will be recovered by the expected cash flows that the asset may generate. Consequently, the </w:t>
      </w:r>
      <w:r w:rsidR="005C7EFC" w:rsidRPr="00662611">
        <w:rPr>
          <w:sz w:val="19"/>
          <w:szCs w:val="19"/>
        </w:rPr>
        <w:t xml:space="preserve">measurement </w:t>
      </w:r>
      <w:r w:rsidR="003862D4" w:rsidRPr="00662611">
        <w:rPr>
          <w:sz w:val="19"/>
          <w:szCs w:val="19"/>
        </w:rPr>
        <w:t>of the asset at initial recognition should not be affected by whether the service concession asset is a tangible or intangible asset</w:t>
      </w:r>
      <w:r w:rsidR="005C7EFC" w:rsidRPr="00662611">
        <w:rPr>
          <w:sz w:val="19"/>
          <w:szCs w:val="19"/>
        </w:rPr>
        <w:t>; and</w:t>
      </w:r>
    </w:p>
    <w:p w14:paraId="7D9277E1" w14:textId="331FC61F" w:rsidR="003862D4" w:rsidRPr="00662611" w:rsidRDefault="003862D4" w:rsidP="003102C2">
      <w:pPr>
        <w:pStyle w:val="Default"/>
        <w:numPr>
          <w:ilvl w:val="0"/>
          <w:numId w:val="26"/>
        </w:numPr>
        <w:spacing w:after="100"/>
        <w:ind w:left="1564" w:hanging="782"/>
        <w:jc w:val="both"/>
        <w:rPr>
          <w:sz w:val="19"/>
          <w:szCs w:val="19"/>
        </w:rPr>
      </w:pPr>
      <w:r w:rsidRPr="00662611">
        <w:rPr>
          <w:sz w:val="19"/>
          <w:szCs w:val="19"/>
        </w:rPr>
        <w:t xml:space="preserve">accounting for economic obsolescence in determining the fair value of the asset – </w:t>
      </w:r>
      <w:r w:rsidR="004643D2" w:rsidRPr="00662611">
        <w:rPr>
          <w:sz w:val="19"/>
          <w:szCs w:val="19"/>
        </w:rPr>
        <w:t xml:space="preserve">as noted in paragraph </w:t>
      </w:r>
      <w:r w:rsidR="004643D2" w:rsidRPr="00662611">
        <w:rPr>
          <w:sz w:val="19"/>
          <w:szCs w:val="19"/>
        </w:rPr>
        <w:fldChar w:fldCharType="begin"/>
      </w:r>
      <w:r w:rsidR="004643D2" w:rsidRPr="00662611">
        <w:rPr>
          <w:sz w:val="19"/>
          <w:szCs w:val="19"/>
        </w:rPr>
        <w:instrText xml:space="preserve"> REF _Ref484792678 \r \h </w:instrText>
      </w:r>
      <w:r w:rsidR="004643D2" w:rsidRPr="00662611">
        <w:rPr>
          <w:sz w:val="19"/>
          <w:szCs w:val="19"/>
        </w:rPr>
      </w:r>
      <w:r w:rsidR="004643D2" w:rsidRPr="00662611">
        <w:rPr>
          <w:sz w:val="19"/>
          <w:szCs w:val="19"/>
        </w:rPr>
        <w:fldChar w:fldCharType="separate"/>
      </w:r>
      <w:r w:rsidR="00C43128">
        <w:rPr>
          <w:sz w:val="19"/>
          <w:szCs w:val="19"/>
        </w:rPr>
        <w:t>BC66</w:t>
      </w:r>
      <w:r w:rsidR="004643D2" w:rsidRPr="00662611">
        <w:rPr>
          <w:sz w:val="19"/>
          <w:szCs w:val="19"/>
        </w:rPr>
        <w:fldChar w:fldCharType="end"/>
      </w:r>
      <w:r w:rsidR="004643D2" w:rsidRPr="00662611">
        <w:rPr>
          <w:sz w:val="19"/>
          <w:szCs w:val="19"/>
        </w:rPr>
        <w:t xml:space="preserve">, </w:t>
      </w:r>
      <w:r w:rsidRPr="00662611">
        <w:rPr>
          <w:sz w:val="19"/>
          <w:szCs w:val="19"/>
        </w:rPr>
        <w:t xml:space="preserve">the Board </w:t>
      </w:r>
      <w:r w:rsidR="005C7EFC" w:rsidRPr="00662611">
        <w:rPr>
          <w:sz w:val="19"/>
          <w:szCs w:val="19"/>
        </w:rPr>
        <w:t>concluded that</w:t>
      </w:r>
      <w:r w:rsidRPr="00662611">
        <w:rPr>
          <w:sz w:val="19"/>
          <w:szCs w:val="19"/>
        </w:rPr>
        <w:t xml:space="preserve"> the fair value of a service concession asset</w:t>
      </w:r>
      <w:r w:rsidR="004643D2" w:rsidRPr="00662611">
        <w:rPr>
          <w:sz w:val="19"/>
          <w:szCs w:val="19"/>
        </w:rPr>
        <w:t xml:space="preserve"> should be measured using the cost approach</w:t>
      </w:r>
      <w:r w:rsidRPr="00662611">
        <w:rPr>
          <w:sz w:val="19"/>
          <w:szCs w:val="19"/>
        </w:rPr>
        <w:t xml:space="preserve">. The cost approach (the current replacement cost) reflects the amount required currently </w:t>
      </w:r>
      <w:r w:rsidR="004643D2" w:rsidRPr="00662611">
        <w:rPr>
          <w:sz w:val="19"/>
          <w:szCs w:val="19"/>
        </w:rPr>
        <w:t xml:space="preserve">to </w:t>
      </w:r>
      <w:r w:rsidRPr="00662611">
        <w:rPr>
          <w:sz w:val="19"/>
          <w:szCs w:val="19"/>
        </w:rPr>
        <w:t xml:space="preserve">replace the service capacity of an asset. Current replacement cost takes </w:t>
      </w:r>
      <w:r w:rsidR="005C7EFC" w:rsidRPr="00662611">
        <w:rPr>
          <w:sz w:val="19"/>
          <w:szCs w:val="19"/>
        </w:rPr>
        <w:t xml:space="preserve">obsolescence </w:t>
      </w:r>
      <w:r w:rsidRPr="00662611">
        <w:rPr>
          <w:sz w:val="19"/>
          <w:szCs w:val="19"/>
        </w:rPr>
        <w:t>into consideration. AASB 13 provides examples of obsolescence</w:t>
      </w:r>
      <w:r w:rsidR="0037538A" w:rsidRPr="00662611">
        <w:rPr>
          <w:sz w:val="19"/>
          <w:szCs w:val="19"/>
        </w:rPr>
        <w:t>, such</w:t>
      </w:r>
      <w:r w:rsidRPr="00662611">
        <w:rPr>
          <w:sz w:val="19"/>
          <w:szCs w:val="19"/>
        </w:rPr>
        <w:t xml:space="preserve"> </w:t>
      </w:r>
      <w:r w:rsidR="005C7EFC" w:rsidRPr="00662611">
        <w:rPr>
          <w:sz w:val="19"/>
          <w:szCs w:val="19"/>
        </w:rPr>
        <w:t>as</w:t>
      </w:r>
      <w:r w:rsidRPr="00662611">
        <w:rPr>
          <w:sz w:val="19"/>
          <w:szCs w:val="19"/>
        </w:rPr>
        <w:t xml:space="preserve"> physical deterioration, functional (technological) obsolescence and economic (external) obsolescence</w:t>
      </w:r>
      <w:r w:rsidR="005C7EFC" w:rsidRPr="00662611">
        <w:rPr>
          <w:sz w:val="19"/>
          <w:szCs w:val="19"/>
        </w:rPr>
        <w:t>,</w:t>
      </w:r>
      <w:r w:rsidRPr="00662611">
        <w:rPr>
          <w:sz w:val="19"/>
          <w:szCs w:val="19"/>
        </w:rPr>
        <w:t xml:space="preserve"> and </w:t>
      </w:r>
      <w:r w:rsidR="005C7EFC" w:rsidRPr="00662611">
        <w:rPr>
          <w:sz w:val="19"/>
          <w:szCs w:val="19"/>
        </w:rPr>
        <w:t xml:space="preserve">notes that it </w:t>
      </w:r>
      <w:r w:rsidRPr="00662611">
        <w:rPr>
          <w:sz w:val="19"/>
          <w:szCs w:val="19"/>
        </w:rPr>
        <w:t>is broader than depreciation.</w:t>
      </w:r>
    </w:p>
    <w:p w14:paraId="5F440E02" w14:textId="77777777" w:rsidR="00D57978" w:rsidRPr="00662611" w:rsidRDefault="00D57978" w:rsidP="00D57978">
      <w:pPr>
        <w:pStyle w:val="IASBSectionTitle2Ind"/>
      </w:pPr>
      <w:r w:rsidRPr="00662611">
        <w:t>Intangible assets</w:t>
      </w:r>
    </w:p>
    <w:p w14:paraId="50DA55AA" w14:textId="78441FCF" w:rsidR="00D57978" w:rsidRPr="00662611" w:rsidRDefault="00D57978" w:rsidP="00D57978">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decided that after the initial recognition of an intangible service concession asset, it should be accounted for in accordance with AASB 138, subject to the provisos in paragraph </w:t>
      </w:r>
      <w:r w:rsidR="006A2C2F">
        <w:rPr>
          <w:sz w:val="19"/>
          <w:szCs w:val="19"/>
        </w:rPr>
        <w:fldChar w:fldCharType="begin"/>
      </w:r>
      <w:r w:rsidR="006A2C2F">
        <w:rPr>
          <w:sz w:val="19"/>
          <w:szCs w:val="19"/>
        </w:rPr>
        <w:instrText xml:space="preserve"> REF _Ref486145440 \r \h </w:instrText>
      </w:r>
      <w:r w:rsidR="006A2C2F">
        <w:rPr>
          <w:sz w:val="19"/>
          <w:szCs w:val="19"/>
        </w:rPr>
      </w:r>
      <w:r w:rsidR="006A2C2F">
        <w:rPr>
          <w:sz w:val="19"/>
          <w:szCs w:val="19"/>
        </w:rPr>
        <w:fldChar w:fldCharType="separate"/>
      </w:r>
      <w:r w:rsidR="00C43128">
        <w:rPr>
          <w:sz w:val="19"/>
          <w:szCs w:val="19"/>
        </w:rPr>
        <w:t>9</w:t>
      </w:r>
      <w:r w:rsidR="006A2C2F">
        <w:rPr>
          <w:sz w:val="19"/>
          <w:szCs w:val="19"/>
        </w:rPr>
        <w:fldChar w:fldCharType="end"/>
      </w:r>
      <w:r w:rsidRPr="00662611">
        <w:rPr>
          <w:sz w:val="19"/>
          <w:szCs w:val="19"/>
        </w:rPr>
        <w:t xml:space="preserve"> of this Standard. The depreciable amount of the intangible asset would be amortised over its useful life. However, if the grantor elected </w:t>
      </w:r>
      <w:r w:rsidR="00FF6010">
        <w:rPr>
          <w:sz w:val="19"/>
          <w:szCs w:val="19"/>
        </w:rPr>
        <w:t xml:space="preserve">(or was required) </w:t>
      </w:r>
      <w:r w:rsidRPr="00662611">
        <w:rPr>
          <w:sz w:val="19"/>
          <w:szCs w:val="19"/>
        </w:rPr>
        <w:t>to measure the asset under the revaluation model, current replacement cost would continue to be used as the basis for fair value measurement, overriding the active market requirements in AASB 138 for the revaluation of intangible assets. The Board noted this approach is consistent with its decision to measure an asset at fair value (current replacement cost) on the basis of the asset’s service potential, rather than on the basis of whether there is an active market for the fair value of the asset.</w:t>
      </w:r>
    </w:p>
    <w:p w14:paraId="7D9277E2" w14:textId="77777777" w:rsidR="008645D2" w:rsidRPr="00662611" w:rsidRDefault="008B6A16" w:rsidP="00F352A4">
      <w:pPr>
        <w:pStyle w:val="IASBSectionTitle1NonInd"/>
        <w:outlineLvl w:val="1"/>
      </w:pPr>
      <w:r w:rsidRPr="00662611">
        <w:t xml:space="preserve">Recognition </w:t>
      </w:r>
      <w:r w:rsidR="0012187D" w:rsidRPr="00662611">
        <w:t xml:space="preserve">and measurement </w:t>
      </w:r>
      <w:r w:rsidRPr="00662611">
        <w:t>of a liability</w:t>
      </w:r>
    </w:p>
    <w:p w14:paraId="7D9277E3" w14:textId="77777777" w:rsidR="003862D4" w:rsidRPr="00662611" w:rsidRDefault="008B6A16" w:rsidP="00A854C0">
      <w:pPr>
        <w:pStyle w:val="IASBSectionTitle2Ind"/>
        <w:outlineLvl w:val="2"/>
      </w:pPr>
      <w:r w:rsidRPr="00662611">
        <w:t>Financial liability model</w:t>
      </w:r>
    </w:p>
    <w:p w14:paraId="7D9277E4"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considered issues relating to the recognition of a financial liability and, consistent with </w:t>
      </w:r>
      <w:r w:rsidR="00114A94" w:rsidRPr="00662611">
        <w:rPr>
          <w:sz w:val="19"/>
          <w:szCs w:val="19"/>
        </w:rPr>
        <w:t xml:space="preserve">the key principles of </w:t>
      </w:r>
      <w:r w:rsidRPr="00662611">
        <w:rPr>
          <w:sz w:val="19"/>
          <w:szCs w:val="19"/>
        </w:rPr>
        <w:t xml:space="preserve">IPSAS 32, decided that a financial liability should be recognised when the grantor has </w:t>
      </w:r>
      <w:r w:rsidR="00665954" w:rsidRPr="00662611">
        <w:rPr>
          <w:sz w:val="19"/>
          <w:szCs w:val="19"/>
        </w:rPr>
        <w:t xml:space="preserve">a contractual obligation to deliver cash or another </w:t>
      </w:r>
      <w:r w:rsidR="0037538A" w:rsidRPr="00662611">
        <w:rPr>
          <w:sz w:val="19"/>
          <w:szCs w:val="19"/>
        </w:rPr>
        <w:t xml:space="preserve">financial </w:t>
      </w:r>
      <w:r w:rsidR="00665954" w:rsidRPr="00662611">
        <w:rPr>
          <w:sz w:val="19"/>
          <w:szCs w:val="19"/>
        </w:rPr>
        <w:t xml:space="preserve">asset </w:t>
      </w:r>
      <w:r w:rsidRPr="00662611">
        <w:rPr>
          <w:sz w:val="19"/>
          <w:szCs w:val="19"/>
        </w:rPr>
        <w:t>to the operator.</w:t>
      </w:r>
    </w:p>
    <w:p w14:paraId="7D9277E5" w14:textId="64BAFD5B"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lastRenderedPageBreak/>
        <w:t>A financial liability arises when the grantor is obligated to make a determinable</w:t>
      </w:r>
      <w:r w:rsidR="004024EF">
        <w:rPr>
          <w:sz w:val="19"/>
          <w:szCs w:val="19"/>
        </w:rPr>
        <w:t xml:space="preserve"> payment or</w:t>
      </w:r>
      <w:r w:rsidRPr="00662611">
        <w:rPr>
          <w:sz w:val="19"/>
          <w:szCs w:val="19"/>
        </w:rPr>
        <w:t xml:space="preserve"> series of payments to the operator. The Board agreed with the IPSASB conclusion that when there is a determinable </w:t>
      </w:r>
      <w:r w:rsidR="002F2014">
        <w:rPr>
          <w:sz w:val="19"/>
          <w:szCs w:val="19"/>
        </w:rPr>
        <w:t xml:space="preserve">payment or </w:t>
      </w:r>
      <w:r w:rsidRPr="00662611">
        <w:rPr>
          <w:sz w:val="19"/>
          <w:szCs w:val="19"/>
        </w:rPr>
        <w:t>series of payments of cash or cash equivalents, the payments should be allocated as a reduction of the liability, an imputed finance charge</w:t>
      </w:r>
      <w:r w:rsidR="009112E7" w:rsidRPr="00662611">
        <w:rPr>
          <w:sz w:val="19"/>
          <w:szCs w:val="19"/>
        </w:rPr>
        <w:t xml:space="preserve"> (if any)</w:t>
      </w:r>
      <w:r w:rsidRPr="00662611">
        <w:rPr>
          <w:sz w:val="19"/>
          <w:szCs w:val="19"/>
        </w:rPr>
        <w:t>, and charges for services provided by the operator under the service concession arrangement.</w:t>
      </w:r>
      <w:r w:rsidR="00974142" w:rsidRPr="00662611">
        <w:rPr>
          <w:sz w:val="19"/>
          <w:szCs w:val="19"/>
        </w:rPr>
        <w:t xml:space="preserve"> </w:t>
      </w:r>
      <w:r w:rsidR="00075C05">
        <w:rPr>
          <w:sz w:val="19"/>
          <w:szCs w:val="19"/>
        </w:rPr>
        <w:t>T</w:t>
      </w:r>
      <w:r w:rsidR="00974142" w:rsidRPr="00662611">
        <w:rPr>
          <w:sz w:val="19"/>
          <w:szCs w:val="19"/>
        </w:rPr>
        <w:t>he Board determined that wherever possible</w:t>
      </w:r>
      <w:r w:rsidR="00C8021A" w:rsidRPr="00662611">
        <w:rPr>
          <w:sz w:val="19"/>
          <w:szCs w:val="19"/>
        </w:rPr>
        <w:t xml:space="preserve"> the existing guidance in AASB 9 </w:t>
      </w:r>
      <w:r w:rsidR="00FC7508" w:rsidRPr="00662611">
        <w:rPr>
          <w:i/>
          <w:sz w:val="19"/>
          <w:szCs w:val="19"/>
        </w:rPr>
        <w:t>Financial Instruments</w:t>
      </w:r>
      <w:r w:rsidR="00FC7508" w:rsidRPr="00662611">
        <w:rPr>
          <w:sz w:val="19"/>
          <w:szCs w:val="19"/>
        </w:rPr>
        <w:t xml:space="preserve"> </w:t>
      </w:r>
      <w:r w:rsidR="00C8021A" w:rsidRPr="00662611">
        <w:rPr>
          <w:sz w:val="19"/>
          <w:szCs w:val="19"/>
        </w:rPr>
        <w:t>should apply</w:t>
      </w:r>
      <w:r w:rsidR="00FC7508" w:rsidRPr="00662611">
        <w:rPr>
          <w:sz w:val="19"/>
          <w:szCs w:val="19"/>
        </w:rPr>
        <w:t>.</w:t>
      </w:r>
    </w:p>
    <w:p w14:paraId="7D9277E6" w14:textId="17C956DC" w:rsidR="0031772C" w:rsidRPr="00662611" w:rsidRDefault="003862D4" w:rsidP="00295A41">
      <w:pPr>
        <w:pStyle w:val="IE1"/>
        <w:numPr>
          <w:ilvl w:val="0"/>
          <w:numId w:val="18"/>
        </w:numPr>
        <w:tabs>
          <w:tab w:val="clear" w:pos="624"/>
        </w:tabs>
        <w:spacing w:after="100" w:line="240" w:lineRule="auto"/>
        <w:ind w:left="782" w:hanging="782"/>
        <w:jc w:val="both"/>
        <w:rPr>
          <w:sz w:val="19"/>
          <w:szCs w:val="19"/>
        </w:rPr>
      </w:pPr>
      <w:bookmarkStart w:id="134" w:name="_Ref476928531"/>
      <w:bookmarkStart w:id="135" w:name="_Ref477251966"/>
      <w:r w:rsidRPr="00662611">
        <w:rPr>
          <w:sz w:val="19"/>
          <w:szCs w:val="19"/>
        </w:rPr>
        <w:t xml:space="preserve">The Board considered </w:t>
      </w:r>
      <w:r w:rsidR="007206F6" w:rsidRPr="00662611">
        <w:rPr>
          <w:sz w:val="19"/>
          <w:szCs w:val="19"/>
        </w:rPr>
        <w:t xml:space="preserve">whether a financial </w:t>
      </w:r>
      <w:r w:rsidRPr="00662611">
        <w:rPr>
          <w:sz w:val="19"/>
          <w:szCs w:val="19"/>
        </w:rPr>
        <w:t xml:space="preserve">liability </w:t>
      </w:r>
      <w:r w:rsidR="007206F6" w:rsidRPr="00662611">
        <w:rPr>
          <w:sz w:val="19"/>
          <w:szCs w:val="19"/>
        </w:rPr>
        <w:t xml:space="preserve">arises </w:t>
      </w:r>
      <w:r w:rsidR="004B3D1B" w:rsidRPr="00662611">
        <w:rPr>
          <w:sz w:val="19"/>
          <w:szCs w:val="19"/>
        </w:rPr>
        <w:t>whe</w:t>
      </w:r>
      <w:r w:rsidR="00B70894" w:rsidRPr="00662611">
        <w:rPr>
          <w:sz w:val="19"/>
          <w:szCs w:val="19"/>
        </w:rPr>
        <w:t>n</w:t>
      </w:r>
      <w:r w:rsidR="004B3D1B" w:rsidRPr="00662611">
        <w:rPr>
          <w:sz w:val="19"/>
          <w:szCs w:val="19"/>
        </w:rPr>
        <w:t xml:space="preserve"> </w:t>
      </w:r>
      <w:r w:rsidRPr="00662611">
        <w:rPr>
          <w:sz w:val="19"/>
          <w:szCs w:val="19"/>
        </w:rPr>
        <w:t xml:space="preserve">an arrangement </w:t>
      </w:r>
      <w:r w:rsidR="007206F6" w:rsidRPr="00662611">
        <w:rPr>
          <w:sz w:val="19"/>
          <w:szCs w:val="19"/>
        </w:rPr>
        <w:t xml:space="preserve">requires </w:t>
      </w:r>
      <w:r w:rsidRPr="00662611">
        <w:rPr>
          <w:sz w:val="19"/>
          <w:szCs w:val="19"/>
        </w:rPr>
        <w:t xml:space="preserve">the grantor </w:t>
      </w:r>
      <w:r w:rsidR="007206F6" w:rsidRPr="00662611">
        <w:rPr>
          <w:sz w:val="19"/>
          <w:szCs w:val="19"/>
        </w:rPr>
        <w:t xml:space="preserve">to </w:t>
      </w:r>
      <w:r w:rsidRPr="00662611">
        <w:rPr>
          <w:sz w:val="19"/>
          <w:szCs w:val="19"/>
        </w:rPr>
        <w:t xml:space="preserve">make payments to the operator based on third-party usage of the service concession asset </w:t>
      </w:r>
      <w:r w:rsidR="00533937" w:rsidRPr="00662611">
        <w:rPr>
          <w:sz w:val="19"/>
          <w:szCs w:val="19"/>
        </w:rPr>
        <w:t xml:space="preserve">without guaranteeing </w:t>
      </w:r>
      <w:r w:rsidRPr="00662611">
        <w:rPr>
          <w:sz w:val="19"/>
          <w:szCs w:val="19"/>
        </w:rPr>
        <w:t xml:space="preserve">a minimum amount to the operator. </w:t>
      </w:r>
      <w:bookmarkStart w:id="136" w:name="_Ref476334955"/>
      <w:bookmarkEnd w:id="134"/>
      <w:r w:rsidR="00B121A7" w:rsidRPr="00662611">
        <w:rPr>
          <w:sz w:val="19"/>
          <w:szCs w:val="19"/>
        </w:rPr>
        <w:t xml:space="preserve">The Board considered the application of </w:t>
      </w:r>
      <w:r w:rsidR="0049764B" w:rsidRPr="00662611">
        <w:rPr>
          <w:sz w:val="19"/>
          <w:szCs w:val="19"/>
        </w:rPr>
        <w:t xml:space="preserve">the </w:t>
      </w:r>
      <w:r w:rsidRPr="00662611">
        <w:rPr>
          <w:sz w:val="19"/>
          <w:szCs w:val="19"/>
        </w:rPr>
        <w:t xml:space="preserve">financial liability model </w:t>
      </w:r>
      <w:r w:rsidR="00580D9E" w:rsidRPr="00662611">
        <w:rPr>
          <w:sz w:val="19"/>
          <w:szCs w:val="19"/>
        </w:rPr>
        <w:t xml:space="preserve">to </w:t>
      </w:r>
      <w:r w:rsidR="00C64320" w:rsidRPr="00662611">
        <w:rPr>
          <w:sz w:val="19"/>
          <w:szCs w:val="19"/>
        </w:rPr>
        <w:t xml:space="preserve">this </w:t>
      </w:r>
      <w:r w:rsidR="00A9032F" w:rsidRPr="00662611">
        <w:rPr>
          <w:sz w:val="19"/>
          <w:szCs w:val="19"/>
        </w:rPr>
        <w:t xml:space="preserve">case </w:t>
      </w:r>
      <w:r w:rsidRPr="00662611">
        <w:rPr>
          <w:sz w:val="19"/>
          <w:szCs w:val="19"/>
        </w:rPr>
        <w:t xml:space="preserve">by </w:t>
      </w:r>
      <w:r w:rsidR="00A9032F" w:rsidRPr="00662611">
        <w:rPr>
          <w:sz w:val="19"/>
          <w:szCs w:val="19"/>
        </w:rPr>
        <w:t xml:space="preserve">assessing </w:t>
      </w:r>
      <w:r w:rsidRPr="00662611">
        <w:rPr>
          <w:sz w:val="19"/>
          <w:szCs w:val="19"/>
        </w:rPr>
        <w:t xml:space="preserve">the notion that the grantor may not have a contractual obligation to pay the operator specified or determinable amounts at the inception of the arrangement </w:t>
      </w:r>
      <w:r w:rsidR="00A9032F" w:rsidRPr="00662611">
        <w:rPr>
          <w:sz w:val="19"/>
          <w:szCs w:val="19"/>
        </w:rPr>
        <w:t>as</w:t>
      </w:r>
      <w:r w:rsidRPr="00662611">
        <w:rPr>
          <w:sz w:val="19"/>
          <w:szCs w:val="19"/>
        </w:rPr>
        <w:t xml:space="preserve"> specified in paragraph</w:t>
      </w:r>
      <w:r w:rsidR="00580D9E" w:rsidRPr="00662611">
        <w:rPr>
          <w:sz w:val="19"/>
          <w:szCs w:val="19"/>
        </w:rPr>
        <w:t> </w:t>
      </w:r>
      <w:r w:rsidRPr="00662611">
        <w:rPr>
          <w:sz w:val="19"/>
          <w:szCs w:val="19"/>
        </w:rPr>
        <w:fldChar w:fldCharType="begin"/>
      </w:r>
      <w:r w:rsidRPr="00662611">
        <w:rPr>
          <w:sz w:val="19"/>
          <w:szCs w:val="19"/>
        </w:rPr>
        <w:instrText xml:space="preserve"> REF _Ref468376796 \r \h </w:instrText>
      </w:r>
      <w:r w:rsidR="00295A41" w:rsidRPr="00662611">
        <w:rPr>
          <w:sz w:val="19"/>
          <w:szCs w:val="19"/>
        </w:rPr>
        <w:instrText xml:space="preserve"> \* MERGEFORMAT </w:instrText>
      </w:r>
      <w:r w:rsidRPr="00662611">
        <w:rPr>
          <w:sz w:val="19"/>
          <w:szCs w:val="19"/>
        </w:rPr>
      </w:r>
      <w:r w:rsidRPr="00662611">
        <w:rPr>
          <w:sz w:val="19"/>
          <w:szCs w:val="19"/>
        </w:rPr>
        <w:fldChar w:fldCharType="separate"/>
      </w:r>
      <w:r w:rsidR="00C43128">
        <w:rPr>
          <w:sz w:val="19"/>
          <w:szCs w:val="19"/>
        </w:rPr>
        <w:t>15</w:t>
      </w:r>
      <w:r w:rsidRPr="00662611">
        <w:rPr>
          <w:sz w:val="19"/>
          <w:szCs w:val="19"/>
        </w:rPr>
        <w:fldChar w:fldCharType="end"/>
      </w:r>
      <w:r w:rsidRPr="00662611">
        <w:rPr>
          <w:sz w:val="19"/>
          <w:szCs w:val="19"/>
        </w:rPr>
        <w:t xml:space="preserve">. </w:t>
      </w:r>
      <w:r w:rsidR="00CA67ED" w:rsidRPr="00662611">
        <w:rPr>
          <w:sz w:val="19"/>
          <w:szCs w:val="19"/>
        </w:rPr>
        <w:t xml:space="preserve">As noted in paragraph </w:t>
      </w:r>
      <w:r w:rsidRPr="00662611">
        <w:rPr>
          <w:sz w:val="19"/>
          <w:szCs w:val="19"/>
        </w:rPr>
        <w:fldChar w:fldCharType="begin"/>
      </w:r>
      <w:r w:rsidRPr="00662611">
        <w:rPr>
          <w:sz w:val="19"/>
          <w:szCs w:val="19"/>
        </w:rPr>
        <w:instrText xml:space="preserve"> REF _Ref468378758 \r \h </w:instrText>
      </w:r>
      <w:r w:rsidR="00295A41" w:rsidRPr="00662611">
        <w:rPr>
          <w:sz w:val="19"/>
          <w:szCs w:val="19"/>
        </w:rPr>
        <w:instrText xml:space="preserve"> \* MERGEFORMAT </w:instrText>
      </w:r>
      <w:r w:rsidRPr="00662611">
        <w:rPr>
          <w:sz w:val="19"/>
          <w:szCs w:val="19"/>
        </w:rPr>
      </w:r>
      <w:r w:rsidRPr="00662611">
        <w:rPr>
          <w:sz w:val="19"/>
          <w:szCs w:val="19"/>
        </w:rPr>
        <w:fldChar w:fldCharType="separate"/>
      </w:r>
      <w:r w:rsidR="00C43128">
        <w:rPr>
          <w:sz w:val="19"/>
          <w:szCs w:val="19"/>
        </w:rPr>
        <w:t>B63</w:t>
      </w:r>
      <w:r w:rsidRPr="00662611">
        <w:rPr>
          <w:sz w:val="19"/>
          <w:szCs w:val="19"/>
        </w:rPr>
        <w:fldChar w:fldCharType="end"/>
      </w:r>
      <w:r w:rsidR="00024677" w:rsidRPr="00662611">
        <w:rPr>
          <w:sz w:val="19"/>
          <w:szCs w:val="19"/>
        </w:rPr>
        <w:t>,</w:t>
      </w:r>
      <w:r w:rsidRPr="00662611">
        <w:rPr>
          <w:sz w:val="19"/>
          <w:szCs w:val="19"/>
        </w:rPr>
        <w:t xml:space="preserve"> the grantor has a </w:t>
      </w:r>
      <w:r w:rsidR="00B121A7" w:rsidRPr="00662611">
        <w:rPr>
          <w:sz w:val="19"/>
          <w:szCs w:val="19"/>
        </w:rPr>
        <w:t>financial liability if it does not have an unconditional ability to avoid the obligation</w:t>
      </w:r>
      <w:r w:rsidR="00C64320" w:rsidRPr="00662611">
        <w:rPr>
          <w:sz w:val="19"/>
          <w:szCs w:val="19"/>
        </w:rPr>
        <w:t xml:space="preserve"> to make the payments to the operator</w:t>
      </w:r>
      <w:r w:rsidR="00B121A7" w:rsidRPr="00662611">
        <w:rPr>
          <w:sz w:val="19"/>
          <w:szCs w:val="19"/>
        </w:rPr>
        <w:t xml:space="preserve">. The grantor is not able to avoid the payments as it cannot control the usage of the service concession asset by third parties, </w:t>
      </w:r>
      <w:r w:rsidR="00B47CCC" w:rsidRPr="00662611">
        <w:rPr>
          <w:sz w:val="19"/>
          <w:szCs w:val="19"/>
        </w:rPr>
        <w:t xml:space="preserve">and </w:t>
      </w:r>
      <w:r w:rsidR="00B121A7" w:rsidRPr="00662611">
        <w:rPr>
          <w:sz w:val="19"/>
          <w:szCs w:val="19"/>
        </w:rPr>
        <w:t xml:space="preserve">any attempt to restrict usage </w:t>
      </w:r>
      <w:r w:rsidR="00B47CCC" w:rsidRPr="00662611">
        <w:rPr>
          <w:sz w:val="19"/>
          <w:szCs w:val="19"/>
        </w:rPr>
        <w:t>may</w:t>
      </w:r>
      <w:r w:rsidR="00B121A7" w:rsidRPr="00662611">
        <w:rPr>
          <w:sz w:val="19"/>
          <w:szCs w:val="19"/>
        </w:rPr>
        <w:t xml:space="preserve"> result in penalties under the arrangement.</w:t>
      </w:r>
      <w:r w:rsidR="00D773F4" w:rsidRPr="00662611">
        <w:rPr>
          <w:sz w:val="19"/>
          <w:szCs w:val="19"/>
        </w:rPr>
        <w:t xml:space="preserve"> The amount</w:t>
      </w:r>
      <w:r w:rsidR="0003039E" w:rsidRPr="00662611">
        <w:rPr>
          <w:sz w:val="19"/>
          <w:szCs w:val="19"/>
        </w:rPr>
        <w:t>s</w:t>
      </w:r>
      <w:r w:rsidR="00D773F4" w:rsidRPr="00662611">
        <w:rPr>
          <w:sz w:val="19"/>
          <w:szCs w:val="19"/>
        </w:rPr>
        <w:t xml:space="preserve"> payable </w:t>
      </w:r>
      <w:r w:rsidR="007B08E8" w:rsidRPr="00662611">
        <w:rPr>
          <w:sz w:val="19"/>
          <w:szCs w:val="19"/>
        </w:rPr>
        <w:t xml:space="preserve">by the grantor to the operator </w:t>
      </w:r>
      <w:r w:rsidR="00D773F4" w:rsidRPr="00662611">
        <w:rPr>
          <w:sz w:val="19"/>
          <w:szCs w:val="19"/>
        </w:rPr>
        <w:t>a</w:t>
      </w:r>
      <w:r w:rsidR="00252338" w:rsidRPr="00662611">
        <w:rPr>
          <w:sz w:val="19"/>
          <w:szCs w:val="19"/>
        </w:rPr>
        <w:t>r</w:t>
      </w:r>
      <w:r w:rsidR="00D773F4" w:rsidRPr="00662611">
        <w:rPr>
          <w:sz w:val="19"/>
          <w:szCs w:val="19"/>
        </w:rPr>
        <w:t>e con</w:t>
      </w:r>
      <w:r w:rsidR="00B47CCC" w:rsidRPr="00662611">
        <w:rPr>
          <w:sz w:val="19"/>
          <w:szCs w:val="19"/>
        </w:rPr>
        <w:t>tingent upon the level of third-</w:t>
      </w:r>
      <w:r w:rsidR="00D773F4" w:rsidRPr="00662611">
        <w:rPr>
          <w:sz w:val="19"/>
          <w:szCs w:val="19"/>
        </w:rPr>
        <w:t>party usage</w:t>
      </w:r>
      <w:r w:rsidR="00252338" w:rsidRPr="00662611">
        <w:rPr>
          <w:sz w:val="19"/>
          <w:szCs w:val="19"/>
        </w:rPr>
        <w:t xml:space="preserve"> of the service concession asset</w:t>
      </w:r>
      <w:r w:rsidR="00D773F4" w:rsidRPr="00662611">
        <w:rPr>
          <w:sz w:val="19"/>
          <w:szCs w:val="19"/>
        </w:rPr>
        <w:t xml:space="preserve">. </w:t>
      </w:r>
      <w:r w:rsidR="0003039E" w:rsidRPr="00662611">
        <w:rPr>
          <w:sz w:val="19"/>
          <w:szCs w:val="19"/>
        </w:rPr>
        <w:t>P</w:t>
      </w:r>
      <w:r w:rsidR="00D773F4" w:rsidRPr="00662611">
        <w:rPr>
          <w:sz w:val="19"/>
          <w:szCs w:val="19"/>
        </w:rPr>
        <w:t xml:space="preserve">aragraph </w:t>
      </w:r>
      <w:r w:rsidR="004802B4" w:rsidRPr="00662611">
        <w:rPr>
          <w:sz w:val="19"/>
          <w:szCs w:val="19"/>
        </w:rPr>
        <w:t xml:space="preserve">25 </w:t>
      </w:r>
      <w:r w:rsidR="00D773F4" w:rsidRPr="00662611">
        <w:rPr>
          <w:sz w:val="19"/>
          <w:szCs w:val="19"/>
        </w:rPr>
        <w:t xml:space="preserve">of AASB 132 </w:t>
      </w:r>
      <w:r w:rsidR="00D773F4" w:rsidRPr="00662611">
        <w:rPr>
          <w:i/>
          <w:sz w:val="19"/>
          <w:szCs w:val="19"/>
        </w:rPr>
        <w:t>Financial Instruments: Presentation</w:t>
      </w:r>
      <w:r w:rsidR="0003039E" w:rsidRPr="00662611">
        <w:rPr>
          <w:sz w:val="19"/>
          <w:szCs w:val="19"/>
        </w:rPr>
        <w:t xml:space="preserve"> affirms this view</w:t>
      </w:r>
      <w:r w:rsidR="00D773F4" w:rsidRPr="00662611">
        <w:rPr>
          <w:sz w:val="19"/>
          <w:szCs w:val="19"/>
        </w:rPr>
        <w:t xml:space="preserve"> </w:t>
      </w:r>
      <w:r w:rsidR="0003039E" w:rsidRPr="00662611">
        <w:rPr>
          <w:sz w:val="19"/>
          <w:szCs w:val="19"/>
        </w:rPr>
        <w:t xml:space="preserve">that a grantor </w:t>
      </w:r>
      <w:r w:rsidR="006E6FBA" w:rsidRPr="00662611">
        <w:rPr>
          <w:sz w:val="19"/>
          <w:szCs w:val="19"/>
        </w:rPr>
        <w:t>may</w:t>
      </w:r>
      <w:r w:rsidR="0003039E" w:rsidRPr="00662611">
        <w:rPr>
          <w:sz w:val="19"/>
          <w:szCs w:val="19"/>
        </w:rPr>
        <w:t xml:space="preserve"> have a contractual obligation in the form of a financial liability when</w:t>
      </w:r>
      <w:r w:rsidR="00D773F4" w:rsidRPr="00662611">
        <w:rPr>
          <w:sz w:val="19"/>
          <w:szCs w:val="19"/>
        </w:rPr>
        <w:t xml:space="preserve"> the amounts are not specified or determinable at inception</w:t>
      </w:r>
      <w:r w:rsidR="006E6FBA" w:rsidRPr="00662611">
        <w:rPr>
          <w:sz w:val="19"/>
          <w:szCs w:val="19"/>
        </w:rPr>
        <w:t xml:space="preserve"> </w:t>
      </w:r>
      <w:r w:rsidR="00A6444D" w:rsidRPr="00662611">
        <w:rPr>
          <w:sz w:val="19"/>
          <w:szCs w:val="19"/>
        </w:rPr>
        <w:t>but are contingent o</w:t>
      </w:r>
      <w:r w:rsidR="006E6FBA" w:rsidRPr="00662611">
        <w:rPr>
          <w:sz w:val="19"/>
          <w:szCs w:val="19"/>
        </w:rPr>
        <w:t>n the occurrence or non-occurrence of uncertain future events</w:t>
      </w:r>
      <w:r w:rsidR="00D773F4" w:rsidRPr="00662611">
        <w:rPr>
          <w:sz w:val="19"/>
          <w:szCs w:val="19"/>
        </w:rPr>
        <w:t>.</w:t>
      </w:r>
      <w:r w:rsidRPr="00662611">
        <w:rPr>
          <w:sz w:val="19"/>
          <w:szCs w:val="19"/>
        </w:rPr>
        <w:t xml:space="preserve"> The Board also </w:t>
      </w:r>
      <w:r w:rsidR="00670A36" w:rsidRPr="00662611">
        <w:rPr>
          <w:sz w:val="19"/>
          <w:szCs w:val="19"/>
        </w:rPr>
        <w:t xml:space="preserve">decided </w:t>
      </w:r>
      <w:r w:rsidRPr="00662611">
        <w:rPr>
          <w:sz w:val="19"/>
          <w:szCs w:val="19"/>
        </w:rPr>
        <w:t>that AASB</w:t>
      </w:r>
      <w:r w:rsidR="001F3E33" w:rsidRPr="00662611">
        <w:rPr>
          <w:sz w:val="19"/>
          <w:szCs w:val="19"/>
        </w:rPr>
        <w:t> </w:t>
      </w:r>
      <w:r w:rsidRPr="00662611">
        <w:rPr>
          <w:sz w:val="19"/>
          <w:szCs w:val="19"/>
        </w:rPr>
        <w:t>9</w:t>
      </w:r>
      <w:r w:rsidR="00BD4C87" w:rsidRPr="00662611">
        <w:rPr>
          <w:sz w:val="19"/>
          <w:szCs w:val="19"/>
        </w:rPr>
        <w:t xml:space="preserve"> </w:t>
      </w:r>
      <w:r w:rsidR="00986E76" w:rsidRPr="00662611">
        <w:rPr>
          <w:sz w:val="19"/>
          <w:szCs w:val="19"/>
        </w:rPr>
        <w:t xml:space="preserve">should be applied to the </w:t>
      </w:r>
      <w:r w:rsidRPr="00662611">
        <w:rPr>
          <w:sz w:val="19"/>
          <w:szCs w:val="19"/>
        </w:rPr>
        <w:t xml:space="preserve">accounting for the financial liability subsequent to its initial recognition. Accordingly, the Board decided that, </w:t>
      </w:r>
      <w:r w:rsidR="00ED26EA" w:rsidRPr="00662611">
        <w:rPr>
          <w:sz w:val="19"/>
          <w:szCs w:val="19"/>
        </w:rPr>
        <w:t xml:space="preserve">for </w:t>
      </w:r>
      <w:r w:rsidRPr="00662611">
        <w:rPr>
          <w:sz w:val="19"/>
          <w:szCs w:val="19"/>
        </w:rPr>
        <w:t xml:space="preserve">the arrangement under consideration, the financial liability model should be applied </w:t>
      </w:r>
      <w:r w:rsidR="00FF4DA7" w:rsidRPr="00662611">
        <w:rPr>
          <w:sz w:val="19"/>
          <w:szCs w:val="19"/>
        </w:rPr>
        <w:t>(as set out in paragraph</w:t>
      </w:r>
      <w:r w:rsidR="004643D2" w:rsidRPr="00662611">
        <w:rPr>
          <w:sz w:val="19"/>
          <w:szCs w:val="19"/>
        </w:rPr>
        <w:t xml:space="preserve"> </w:t>
      </w:r>
      <w:r w:rsidR="004643D2" w:rsidRPr="00662611">
        <w:rPr>
          <w:sz w:val="19"/>
          <w:szCs w:val="19"/>
        </w:rPr>
        <w:fldChar w:fldCharType="begin"/>
      </w:r>
      <w:r w:rsidR="004643D2" w:rsidRPr="00662611">
        <w:rPr>
          <w:sz w:val="19"/>
          <w:szCs w:val="19"/>
        </w:rPr>
        <w:instrText xml:space="preserve"> REF _Ref484793039 \r \h </w:instrText>
      </w:r>
      <w:r w:rsidR="004643D2" w:rsidRPr="00662611">
        <w:rPr>
          <w:sz w:val="19"/>
          <w:szCs w:val="19"/>
        </w:rPr>
      </w:r>
      <w:r w:rsidR="004643D2" w:rsidRPr="00662611">
        <w:rPr>
          <w:sz w:val="19"/>
          <w:szCs w:val="19"/>
        </w:rPr>
        <w:fldChar w:fldCharType="separate"/>
      </w:r>
      <w:r w:rsidR="00C43128">
        <w:rPr>
          <w:sz w:val="19"/>
          <w:szCs w:val="19"/>
        </w:rPr>
        <w:t>16(a)</w:t>
      </w:r>
      <w:r w:rsidR="004643D2" w:rsidRPr="00662611">
        <w:rPr>
          <w:sz w:val="19"/>
          <w:szCs w:val="19"/>
        </w:rPr>
        <w:fldChar w:fldCharType="end"/>
      </w:r>
      <w:r w:rsidR="00FF4DA7" w:rsidRPr="00662611">
        <w:rPr>
          <w:sz w:val="19"/>
          <w:szCs w:val="19"/>
        </w:rPr>
        <w:t>)</w:t>
      </w:r>
      <w:r w:rsidR="00A6444D" w:rsidRPr="00662611">
        <w:rPr>
          <w:sz w:val="19"/>
          <w:szCs w:val="19"/>
        </w:rPr>
        <w:t>,</w:t>
      </w:r>
      <w:r w:rsidR="00FF4DA7" w:rsidRPr="00662611">
        <w:rPr>
          <w:sz w:val="19"/>
          <w:szCs w:val="19"/>
        </w:rPr>
        <w:t xml:space="preserve"> </w:t>
      </w:r>
      <w:r w:rsidRPr="00662611">
        <w:rPr>
          <w:sz w:val="19"/>
          <w:szCs w:val="19"/>
        </w:rPr>
        <w:t>with the financial liability initially recognised at the same amount as the fair value of the service concession asset</w:t>
      </w:r>
      <w:r w:rsidR="002336B0" w:rsidRPr="00662611">
        <w:rPr>
          <w:sz w:val="19"/>
          <w:szCs w:val="19"/>
        </w:rPr>
        <w:t>,</w:t>
      </w:r>
      <w:r w:rsidRPr="00662611">
        <w:rPr>
          <w:sz w:val="19"/>
          <w:szCs w:val="19"/>
        </w:rPr>
        <w:t xml:space="preserve"> and </w:t>
      </w:r>
      <w:r w:rsidR="0022167A" w:rsidRPr="00662611">
        <w:rPr>
          <w:sz w:val="19"/>
          <w:szCs w:val="19"/>
        </w:rPr>
        <w:t xml:space="preserve">the grantor </w:t>
      </w:r>
      <w:r w:rsidR="00BD3C3D" w:rsidRPr="00662611">
        <w:rPr>
          <w:sz w:val="19"/>
          <w:szCs w:val="19"/>
        </w:rPr>
        <w:t xml:space="preserve">applying </w:t>
      </w:r>
      <w:r w:rsidR="0022167A" w:rsidRPr="00662611">
        <w:rPr>
          <w:sz w:val="19"/>
          <w:szCs w:val="19"/>
        </w:rPr>
        <w:t>AASB </w:t>
      </w:r>
      <w:r w:rsidRPr="00662611">
        <w:rPr>
          <w:sz w:val="19"/>
          <w:szCs w:val="19"/>
        </w:rPr>
        <w:t xml:space="preserve">9 </w:t>
      </w:r>
      <w:r w:rsidR="00BC4EAD" w:rsidRPr="00662611">
        <w:rPr>
          <w:sz w:val="19"/>
          <w:szCs w:val="19"/>
        </w:rPr>
        <w:t xml:space="preserve">subsequently </w:t>
      </w:r>
      <w:r w:rsidRPr="00662611">
        <w:rPr>
          <w:sz w:val="19"/>
          <w:szCs w:val="19"/>
        </w:rPr>
        <w:t xml:space="preserve">to the accounting </w:t>
      </w:r>
      <w:r w:rsidR="00C648F3" w:rsidRPr="00662611">
        <w:rPr>
          <w:sz w:val="19"/>
          <w:szCs w:val="19"/>
        </w:rPr>
        <w:t xml:space="preserve">for </w:t>
      </w:r>
      <w:r w:rsidRPr="00662611">
        <w:rPr>
          <w:sz w:val="19"/>
          <w:szCs w:val="19"/>
        </w:rPr>
        <w:t>the financial liability.</w:t>
      </w:r>
      <w:bookmarkEnd w:id="136"/>
      <w:r w:rsidRPr="00662611">
        <w:rPr>
          <w:sz w:val="19"/>
          <w:szCs w:val="19"/>
        </w:rPr>
        <w:t xml:space="preserve"> </w:t>
      </w:r>
      <w:r w:rsidR="0033752E" w:rsidRPr="00662611">
        <w:rPr>
          <w:sz w:val="19"/>
          <w:szCs w:val="19"/>
        </w:rPr>
        <w:t>The Board noted this view is consistent with its decision to not include in ED 261</w:t>
      </w:r>
      <w:r w:rsidR="002A5C14">
        <w:rPr>
          <w:sz w:val="19"/>
          <w:szCs w:val="19"/>
        </w:rPr>
        <w:t xml:space="preserve"> or AASB </w:t>
      </w:r>
      <w:r w:rsidR="005F6667">
        <w:rPr>
          <w:sz w:val="19"/>
          <w:szCs w:val="19"/>
        </w:rPr>
        <w:t>1059</w:t>
      </w:r>
      <w:r w:rsidR="0033752E" w:rsidRPr="00662611">
        <w:rPr>
          <w:sz w:val="19"/>
          <w:szCs w:val="19"/>
        </w:rPr>
        <w:t xml:space="preserve"> the guidance in paragraph AG49 of IPSAS 32 relating to treating shadow tolls payable by the grantor as payments for the usage and not the acquisition of the service concession asset.</w:t>
      </w:r>
      <w:bookmarkEnd w:id="135"/>
    </w:p>
    <w:p w14:paraId="7D9277E7" w14:textId="3601D1DC" w:rsidR="00875727" w:rsidRPr="00662611" w:rsidRDefault="003862D4" w:rsidP="00942FDB">
      <w:pPr>
        <w:pStyle w:val="IE1"/>
        <w:numPr>
          <w:ilvl w:val="0"/>
          <w:numId w:val="18"/>
        </w:numPr>
        <w:tabs>
          <w:tab w:val="clear" w:pos="624"/>
        </w:tabs>
        <w:spacing w:after="100" w:line="240" w:lineRule="auto"/>
        <w:ind w:left="782" w:hanging="782"/>
        <w:jc w:val="both"/>
        <w:rPr>
          <w:sz w:val="19"/>
          <w:szCs w:val="19"/>
        </w:rPr>
      </w:pPr>
      <w:bookmarkStart w:id="137" w:name="_Ref477251961"/>
      <w:r w:rsidRPr="00662611">
        <w:rPr>
          <w:sz w:val="19"/>
          <w:szCs w:val="19"/>
        </w:rPr>
        <w:t xml:space="preserve">The Board noted that </w:t>
      </w:r>
      <w:r w:rsidR="00D40395" w:rsidRPr="00662611">
        <w:rPr>
          <w:sz w:val="19"/>
          <w:szCs w:val="19"/>
        </w:rPr>
        <w:t xml:space="preserve">the </w:t>
      </w:r>
      <w:r w:rsidRPr="00662611">
        <w:rPr>
          <w:sz w:val="19"/>
          <w:szCs w:val="19"/>
        </w:rPr>
        <w:t xml:space="preserve">approach </w:t>
      </w:r>
      <w:r w:rsidR="00075C05">
        <w:rPr>
          <w:sz w:val="19"/>
          <w:szCs w:val="19"/>
        </w:rPr>
        <w:t xml:space="preserve">described </w:t>
      </w:r>
      <w:r w:rsidR="00D40395" w:rsidRPr="00662611">
        <w:rPr>
          <w:sz w:val="19"/>
          <w:szCs w:val="19"/>
        </w:rPr>
        <w:t xml:space="preserve">in paragraph </w:t>
      </w:r>
      <w:r w:rsidR="00266C2D" w:rsidRPr="00662611">
        <w:rPr>
          <w:sz w:val="19"/>
          <w:szCs w:val="19"/>
        </w:rPr>
        <w:fldChar w:fldCharType="begin"/>
      </w:r>
      <w:r w:rsidR="00266C2D" w:rsidRPr="00662611">
        <w:rPr>
          <w:sz w:val="19"/>
          <w:szCs w:val="19"/>
        </w:rPr>
        <w:instrText xml:space="preserve"> REF _Ref477251966 \r \h </w:instrText>
      </w:r>
      <w:r w:rsidR="00266C2D" w:rsidRPr="00662611">
        <w:rPr>
          <w:sz w:val="19"/>
          <w:szCs w:val="19"/>
        </w:rPr>
      </w:r>
      <w:r w:rsidR="00266C2D" w:rsidRPr="00662611">
        <w:rPr>
          <w:sz w:val="19"/>
          <w:szCs w:val="19"/>
        </w:rPr>
        <w:fldChar w:fldCharType="separate"/>
      </w:r>
      <w:r w:rsidR="00C43128">
        <w:rPr>
          <w:sz w:val="19"/>
          <w:szCs w:val="19"/>
        </w:rPr>
        <w:t>BC73</w:t>
      </w:r>
      <w:r w:rsidR="00266C2D" w:rsidRPr="00662611">
        <w:rPr>
          <w:sz w:val="19"/>
          <w:szCs w:val="19"/>
        </w:rPr>
        <w:fldChar w:fldCharType="end"/>
      </w:r>
      <w:r w:rsidR="008B79D9" w:rsidRPr="00662611">
        <w:rPr>
          <w:sz w:val="19"/>
          <w:szCs w:val="19"/>
        </w:rPr>
        <w:t xml:space="preserve"> </w:t>
      </w:r>
      <w:r w:rsidRPr="00662611">
        <w:rPr>
          <w:sz w:val="19"/>
          <w:szCs w:val="19"/>
        </w:rPr>
        <w:t xml:space="preserve">may result in asymmetry in accounting for the same arrangement by the operator. </w:t>
      </w:r>
      <w:r w:rsidR="00875727" w:rsidRPr="00662611">
        <w:rPr>
          <w:sz w:val="19"/>
          <w:szCs w:val="19"/>
        </w:rPr>
        <w:t xml:space="preserve">This is due to AASB Interpretation 12 </w:t>
      </w:r>
      <w:r w:rsidR="00FB12D1" w:rsidRPr="00662611">
        <w:rPr>
          <w:sz w:val="19"/>
          <w:szCs w:val="19"/>
        </w:rPr>
        <w:t xml:space="preserve">(paragraph 16) </w:t>
      </w:r>
      <w:r w:rsidR="00CA5B28" w:rsidRPr="00662611">
        <w:rPr>
          <w:sz w:val="19"/>
          <w:szCs w:val="19"/>
        </w:rPr>
        <w:t xml:space="preserve">permitting </w:t>
      </w:r>
      <w:r w:rsidR="008B3095" w:rsidRPr="00662611">
        <w:rPr>
          <w:sz w:val="19"/>
          <w:szCs w:val="19"/>
        </w:rPr>
        <w:t>the</w:t>
      </w:r>
      <w:r w:rsidR="008B16E2" w:rsidRPr="00662611">
        <w:rPr>
          <w:sz w:val="19"/>
          <w:szCs w:val="19"/>
        </w:rPr>
        <w:t xml:space="preserve"> operator </w:t>
      </w:r>
      <w:r w:rsidR="00CA5B28" w:rsidRPr="00662611">
        <w:rPr>
          <w:sz w:val="19"/>
          <w:szCs w:val="19"/>
        </w:rPr>
        <w:t xml:space="preserve">to </w:t>
      </w:r>
      <w:r w:rsidR="008B16E2" w:rsidRPr="00662611">
        <w:rPr>
          <w:sz w:val="19"/>
          <w:szCs w:val="19"/>
        </w:rPr>
        <w:t xml:space="preserve">recognise </w:t>
      </w:r>
      <w:r w:rsidR="00F0135E" w:rsidRPr="00662611">
        <w:rPr>
          <w:sz w:val="19"/>
          <w:szCs w:val="19"/>
        </w:rPr>
        <w:t xml:space="preserve">a financial asset </w:t>
      </w:r>
      <w:r w:rsidR="00CA5B28" w:rsidRPr="00662611">
        <w:rPr>
          <w:sz w:val="19"/>
          <w:szCs w:val="19"/>
        </w:rPr>
        <w:t xml:space="preserve">only </w:t>
      </w:r>
      <w:r w:rsidR="00F0135E" w:rsidRPr="00662611">
        <w:rPr>
          <w:sz w:val="19"/>
          <w:szCs w:val="19"/>
        </w:rPr>
        <w:t>to the extent that it has an unconditional present right to receive cash from or at the direction of the grantor. The operator has a</w:t>
      </w:r>
      <w:r w:rsidR="007D61D3" w:rsidRPr="00662611">
        <w:rPr>
          <w:sz w:val="19"/>
          <w:szCs w:val="19"/>
        </w:rPr>
        <w:t>n unconditional</w:t>
      </w:r>
      <w:r w:rsidR="00F0135E" w:rsidRPr="00662611">
        <w:rPr>
          <w:sz w:val="19"/>
          <w:szCs w:val="19"/>
        </w:rPr>
        <w:t xml:space="preserve"> contractual right to receive cash if the grantor contractually guarantees the operator’s cash flows.</w:t>
      </w:r>
      <w:r w:rsidRPr="00662611">
        <w:rPr>
          <w:sz w:val="19"/>
          <w:szCs w:val="19"/>
        </w:rPr>
        <w:t xml:space="preserve"> </w:t>
      </w:r>
      <w:r w:rsidR="007D61D3" w:rsidRPr="00662611">
        <w:rPr>
          <w:sz w:val="19"/>
          <w:szCs w:val="19"/>
        </w:rPr>
        <w:t>In the absence of a guarantee from the grantor, the operator’s contractual right is conditional on third-party usage of the service concession asset, and the operator recognises an intangible asset rather than a financial asset. T</w:t>
      </w:r>
      <w:r w:rsidRPr="00662611">
        <w:rPr>
          <w:sz w:val="19"/>
          <w:szCs w:val="19"/>
        </w:rPr>
        <w:t>he Board conclude</w:t>
      </w:r>
      <w:r w:rsidR="00C60001" w:rsidRPr="00662611">
        <w:rPr>
          <w:sz w:val="19"/>
          <w:szCs w:val="19"/>
        </w:rPr>
        <w:t>d</w:t>
      </w:r>
      <w:r w:rsidRPr="00662611">
        <w:rPr>
          <w:sz w:val="19"/>
          <w:szCs w:val="19"/>
        </w:rPr>
        <w:t xml:space="preserve"> the principles appropriate to </w:t>
      </w:r>
      <w:r w:rsidR="00FB12D1" w:rsidRPr="00662611">
        <w:rPr>
          <w:sz w:val="19"/>
          <w:szCs w:val="19"/>
        </w:rPr>
        <w:t xml:space="preserve">this </w:t>
      </w:r>
      <w:r w:rsidRPr="00662611">
        <w:rPr>
          <w:sz w:val="19"/>
          <w:szCs w:val="19"/>
        </w:rPr>
        <w:t xml:space="preserve">Standard are more important than achieving symmetry in accounting by </w:t>
      </w:r>
      <w:r w:rsidR="00E53F2B" w:rsidRPr="00662611">
        <w:rPr>
          <w:sz w:val="19"/>
          <w:szCs w:val="19"/>
        </w:rPr>
        <w:t xml:space="preserve">the </w:t>
      </w:r>
      <w:r w:rsidRPr="00662611">
        <w:rPr>
          <w:sz w:val="19"/>
          <w:szCs w:val="19"/>
        </w:rPr>
        <w:t xml:space="preserve">parties to the </w:t>
      </w:r>
      <w:r w:rsidR="00E53F2B" w:rsidRPr="00662611">
        <w:rPr>
          <w:sz w:val="19"/>
          <w:szCs w:val="19"/>
        </w:rPr>
        <w:t xml:space="preserve">service concession </w:t>
      </w:r>
      <w:r w:rsidRPr="00662611">
        <w:rPr>
          <w:sz w:val="19"/>
          <w:szCs w:val="19"/>
        </w:rPr>
        <w:t>arrangement.</w:t>
      </w:r>
      <w:bookmarkEnd w:id="137"/>
    </w:p>
    <w:p w14:paraId="7D9277E8" w14:textId="48757DBD" w:rsidR="003862D4" w:rsidRPr="00662611" w:rsidRDefault="00E012A1" w:rsidP="00942FDB">
      <w:pPr>
        <w:pStyle w:val="IE1"/>
        <w:numPr>
          <w:ilvl w:val="0"/>
          <w:numId w:val="18"/>
        </w:numPr>
        <w:tabs>
          <w:tab w:val="clear" w:pos="624"/>
        </w:tabs>
        <w:spacing w:after="100" w:line="240" w:lineRule="auto"/>
        <w:ind w:left="782" w:hanging="782"/>
        <w:jc w:val="both"/>
        <w:rPr>
          <w:sz w:val="19"/>
          <w:szCs w:val="19"/>
        </w:rPr>
      </w:pPr>
      <w:bookmarkStart w:id="138" w:name="_Ref475630283"/>
      <w:r w:rsidRPr="00662611">
        <w:rPr>
          <w:sz w:val="19"/>
          <w:szCs w:val="19"/>
        </w:rPr>
        <w:t xml:space="preserve">Consistent with AASB Interpretation 12, </w:t>
      </w:r>
      <w:r w:rsidR="000266A8" w:rsidRPr="00662611">
        <w:rPr>
          <w:sz w:val="19"/>
          <w:szCs w:val="19"/>
        </w:rPr>
        <w:t>this Standard</w:t>
      </w:r>
      <w:r w:rsidRPr="00662611">
        <w:rPr>
          <w:sz w:val="19"/>
          <w:szCs w:val="19"/>
        </w:rPr>
        <w:t xml:space="preserve"> requires the </w:t>
      </w:r>
      <w:r w:rsidR="00CE7A5D" w:rsidRPr="00662611">
        <w:rPr>
          <w:sz w:val="19"/>
          <w:szCs w:val="19"/>
        </w:rPr>
        <w:t xml:space="preserve">application of the </w:t>
      </w:r>
      <w:r w:rsidRPr="00662611">
        <w:rPr>
          <w:sz w:val="19"/>
          <w:szCs w:val="19"/>
        </w:rPr>
        <w:t xml:space="preserve">financial instrument Standards to the financial liability recognised under paragraph </w:t>
      </w:r>
      <w:r w:rsidR="009D661E" w:rsidRPr="00662611">
        <w:rPr>
          <w:sz w:val="19"/>
          <w:szCs w:val="19"/>
        </w:rPr>
        <w:fldChar w:fldCharType="begin"/>
      </w:r>
      <w:r w:rsidR="009D661E" w:rsidRPr="00662611">
        <w:rPr>
          <w:sz w:val="19"/>
          <w:szCs w:val="19"/>
        </w:rPr>
        <w:instrText xml:space="preserve"> REF _Ref475620374 \r \h </w:instrText>
      </w:r>
      <w:r w:rsidR="009D661E" w:rsidRPr="00662611">
        <w:rPr>
          <w:sz w:val="19"/>
          <w:szCs w:val="19"/>
        </w:rPr>
      </w:r>
      <w:r w:rsidR="009D661E" w:rsidRPr="00662611">
        <w:rPr>
          <w:sz w:val="19"/>
          <w:szCs w:val="19"/>
        </w:rPr>
        <w:fldChar w:fldCharType="separate"/>
      </w:r>
      <w:r w:rsidR="00C43128">
        <w:rPr>
          <w:sz w:val="19"/>
          <w:szCs w:val="19"/>
        </w:rPr>
        <w:t>11</w:t>
      </w:r>
      <w:r w:rsidR="009D661E" w:rsidRPr="00662611">
        <w:rPr>
          <w:sz w:val="19"/>
          <w:szCs w:val="19"/>
        </w:rPr>
        <w:fldChar w:fldCharType="end"/>
      </w:r>
      <w:r w:rsidRPr="00662611">
        <w:rPr>
          <w:sz w:val="19"/>
          <w:szCs w:val="19"/>
        </w:rPr>
        <w:t>, except where this Standard</w:t>
      </w:r>
      <w:r w:rsidR="002F2014">
        <w:rPr>
          <w:sz w:val="19"/>
          <w:szCs w:val="19"/>
        </w:rPr>
        <w:t xml:space="preserve"> requires otherwise</w:t>
      </w:r>
      <w:r w:rsidRPr="00662611">
        <w:rPr>
          <w:sz w:val="19"/>
          <w:szCs w:val="19"/>
        </w:rPr>
        <w:t>.</w:t>
      </w:r>
      <w:r w:rsidR="004A0FCA" w:rsidRPr="00662611">
        <w:rPr>
          <w:sz w:val="19"/>
          <w:szCs w:val="19"/>
        </w:rPr>
        <w:t xml:space="preserve"> </w:t>
      </w:r>
      <w:r w:rsidR="00D125BC">
        <w:rPr>
          <w:sz w:val="19"/>
          <w:szCs w:val="19"/>
        </w:rPr>
        <w:t>I</w:t>
      </w:r>
      <w:r w:rsidR="00675A35" w:rsidRPr="00662611">
        <w:rPr>
          <w:sz w:val="19"/>
          <w:szCs w:val="19"/>
        </w:rPr>
        <w:t>n deliberating</w:t>
      </w:r>
      <w:r w:rsidR="004A0FCA" w:rsidRPr="00662611">
        <w:rPr>
          <w:sz w:val="19"/>
          <w:szCs w:val="19"/>
        </w:rPr>
        <w:t xml:space="preserve"> the application of the financial instrument Standards to the recognition of a financial liability</w:t>
      </w:r>
      <w:r w:rsidR="002F2014">
        <w:rPr>
          <w:sz w:val="19"/>
          <w:szCs w:val="19"/>
        </w:rPr>
        <w:t>,</w:t>
      </w:r>
      <w:r w:rsidR="00D125BC">
        <w:rPr>
          <w:sz w:val="19"/>
          <w:szCs w:val="19"/>
        </w:rPr>
        <w:t xml:space="preserve"> the Board</w:t>
      </w:r>
      <w:r w:rsidR="004A0FCA" w:rsidRPr="00662611">
        <w:rPr>
          <w:sz w:val="19"/>
          <w:szCs w:val="19"/>
        </w:rPr>
        <w:t xml:space="preserve"> considered the </w:t>
      </w:r>
      <w:r w:rsidR="00295EA5" w:rsidRPr="00662611">
        <w:rPr>
          <w:sz w:val="19"/>
          <w:szCs w:val="19"/>
        </w:rPr>
        <w:t>following:</w:t>
      </w:r>
      <w:bookmarkEnd w:id="138"/>
    </w:p>
    <w:p w14:paraId="00D271E1" w14:textId="2ED3F1EB" w:rsidR="00654879" w:rsidRPr="00662611" w:rsidRDefault="00654879" w:rsidP="00942FDB">
      <w:pPr>
        <w:pStyle w:val="IE2"/>
        <w:numPr>
          <w:ilvl w:val="1"/>
          <w:numId w:val="18"/>
        </w:numPr>
        <w:tabs>
          <w:tab w:val="clear" w:pos="1247"/>
        </w:tabs>
        <w:spacing w:after="100" w:line="240" w:lineRule="auto"/>
        <w:ind w:left="1564" w:hanging="782"/>
        <w:jc w:val="both"/>
        <w:rPr>
          <w:sz w:val="19"/>
          <w:szCs w:val="19"/>
        </w:rPr>
      </w:pPr>
      <w:bookmarkStart w:id="139" w:name="_Ref475972688"/>
      <w:bookmarkStart w:id="140" w:name="_Ref475630266"/>
      <w:proofErr w:type="gramStart"/>
      <w:r w:rsidRPr="00662611">
        <w:rPr>
          <w:sz w:val="19"/>
          <w:szCs w:val="19"/>
        </w:rPr>
        <w:t>whether</w:t>
      </w:r>
      <w:proofErr w:type="gramEnd"/>
      <w:r w:rsidRPr="00662611">
        <w:rPr>
          <w:sz w:val="19"/>
          <w:szCs w:val="19"/>
        </w:rPr>
        <w:t xml:space="preserve"> the financial liability should be measured in accordance with AASB 9 rather than measured initially at the same amount as the service concession asset</w:t>
      </w:r>
      <w:r w:rsidR="000B1CF3" w:rsidRPr="00662611">
        <w:rPr>
          <w:sz w:val="19"/>
          <w:szCs w:val="19"/>
        </w:rPr>
        <w:t xml:space="preserve"> (current replacement cost)</w:t>
      </w:r>
      <w:r w:rsidRPr="00662611">
        <w:rPr>
          <w:sz w:val="19"/>
          <w:szCs w:val="19"/>
        </w:rPr>
        <w:t xml:space="preserve">. The Board </w:t>
      </w:r>
      <w:r w:rsidR="000B1CF3" w:rsidRPr="00662611">
        <w:rPr>
          <w:sz w:val="19"/>
          <w:szCs w:val="19"/>
        </w:rPr>
        <w:t xml:space="preserve">noted that consistent with AASB 9 there is no day-one gain or loss to be recognised, and </w:t>
      </w:r>
      <w:r w:rsidRPr="00662611">
        <w:rPr>
          <w:sz w:val="19"/>
          <w:szCs w:val="19"/>
        </w:rPr>
        <w:t xml:space="preserve">concluded that </w:t>
      </w:r>
      <w:r w:rsidR="000B1CF3" w:rsidRPr="00662611">
        <w:rPr>
          <w:sz w:val="19"/>
          <w:szCs w:val="19"/>
        </w:rPr>
        <w:t>the costs of separately measuring the fair value of the financial liability would outweigh the benefits of doing so;</w:t>
      </w:r>
    </w:p>
    <w:p w14:paraId="7D9277E9" w14:textId="3CD3094C" w:rsidR="00AD6094" w:rsidRPr="00662611" w:rsidRDefault="00CE7A5D"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whether</w:t>
      </w:r>
      <w:proofErr w:type="gramEnd"/>
      <w:r w:rsidRPr="00662611">
        <w:rPr>
          <w:sz w:val="19"/>
          <w:szCs w:val="19"/>
        </w:rPr>
        <w:t xml:space="preserve"> to retain, in paragraph </w:t>
      </w:r>
      <w:r w:rsidR="00FB12D1" w:rsidRPr="00662611">
        <w:rPr>
          <w:sz w:val="19"/>
          <w:szCs w:val="19"/>
        </w:rPr>
        <w:fldChar w:fldCharType="begin"/>
      </w:r>
      <w:r w:rsidR="00FB12D1" w:rsidRPr="00662611">
        <w:rPr>
          <w:sz w:val="19"/>
          <w:szCs w:val="19"/>
        </w:rPr>
        <w:instrText xml:space="preserve"> REF _Ref475620528 \r \h </w:instrText>
      </w:r>
      <w:r w:rsidR="00FB12D1" w:rsidRPr="00662611">
        <w:rPr>
          <w:sz w:val="19"/>
          <w:szCs w:val="19"/>
        </w:rPr>
      </w:r>
      <w:r w:rsidR="00FB12D1" w:rsidRPr="00662611">
        <w:rPr>
          <w:sz w:val="19"/>
          <w:szCs w:val="19"/>
        </w:rPr>
        <w:fldChar w:fldCharType="separate"/>
      </w:r>
      <w:r w:rsidR="00C43128">
        <w:rPr>
          <w:sz w:val="19"/>
          <w:szCs w:val="19"/>
        </w:rPr>
        <w:t>18</w:t>
      </w:r>
      <w:r w:rsidR="00FB12D1" w:rsidRPr="00662611">
        <w:rPr>
          <w:sz w:val="19"/>
          <w:szCs w:val="19"/>
        </w:rPr>
        <w:fldChar w:fldCharType="end"/>
      </w:r>
      <w:r w:rsidRPr="00662611">
        <w:rPr>
          <w:sz w:val="19"/>
          <w:szCs w:val="19"/>
        </w:rPr>
        <w:t xml:space="preserve">, the requirement </w:t>
      </w:r>
      <w:r w:rsidR="001F2DBC" w:rsidRPr="00662611">
        <w:rPr>
          <w:sz w:val="19"/>
          <w:szCs w:val="19"/>
        </w:rPr>
        <w:t xml:space="preserve">proposed in ED 261 </w:t>
      </w:r>
      <w:r w:rsidR="00490B7F" w:rsidRPr="00662611">
        <w:rPr>
          <w:sz w:val="19"/>
          <w:szCs w:val="19"/>
        </w:rPr>
        <w:t>that</w:t>
      </w:r>
      <w:r w:rsidR="009834C1" w:rsidRPr="00662611">
        <w:rPr>
          <w:sz w:val="19"/>
          <w:szCs w:val="19"/>
        </w:rPr>
        <w:t xml:space="preserve"> the grantor </w:t>
      </w:r>
      <w:r w:rsidRPr="00662611">
        <w:rPr>
          <w:sz w:val="19"/>
          <w:szCs w:val="19"/>
        </w:rPr>
        <w:t>allocate</w:t>
      </w:r>
      <w:r w:rsidR="009834C1" w:rsidRPr="00662611">
        <w:rPr>
          <w:sz w:val="19"/>
          <w:szCs w:val="19"/>
        </w:rPr>
        <w:t>s</w:t>
      </w:r>
      <w:r w:rsidRPr="00662611">
        <w:rPr>
          <w:sz w:val="19"/>
          <w:szCs w:val="19"/>
        </w:rPr>
        <w:t xml:space="preserve"> the payments to the operator under the contract and </w:t>
      </w:r>
      <w:r w:rsidR="00D07742" w:rsidRPr="00662611">
        <w:rPr>
          <w:sz w:val="19"/>
          <w:szCs w:val="19"/>
        </w:rPr>
        <w:t xml:space="preserve">accounts </w:t>
      </w:r>
      <w:r w:rsidR="0011525C" w:rsidRPr="00662611">
        <w:rPr>
          <w:sz w:val="19"/>
          <w:szCs w:val="19"/>
        </w:rPr>
        <w:t xml:space="preserve">separately </w:t>
      </w:r>
      <w:r w:rsidRPr="00662611">
        <w:rPr>
          <w:sz w:val="19"/>
          <w:szCs w:val="19"/>
        </w:rPr>
        <w:t xml:space="preserve">for </w:t>
      </w:r>
      <w:r w:rsidR="0011525C" w:rsidRPr="00662611">
        <w:rPr>
          <w:sz w:val="19"/>
          <w:szCs w:val="19"/>
        </w:rPr>
        <w:t>the</w:t>
      </w:r>
      <w:r w:rsidRPr="00662611">
        <w:rPr>
          <w:sz w:val="19"/>
          <w:szCs w:val="19"/>
        </w:rPr>
        <w:t xml:space="preserve"> finance charge</w:t>
      </w:r>
      <w:r w:rsidR="00D9580F" w:rsidRPr="00662611">
        <w:rPr>
          <w:sz w:val="19"/>
          <w:szCs w:val="19"/>
        </w:rPr>
        <w:t xml:space="preserve">. The Board </w:t>
      </w:r>
      <w:r w:rsidR="009D661E" w:rsidRPr="00662611">
        <w:rPr>
          <w:sz w:val="19"/>
          <w:szCs w:val="19"/>
        </w:rPr>
        <w:t>noted</w:t>
      </w:r>
      <w:r w:rsidR="00D9580F" w:rsidRPr="00662611">
        <w:rPr>
          <w:sz w:val="19"/>
          <w:szCs w:val="19"/>
        </w:rPr>
        <w:t xml:space="preserve"> this proposed requirement would </w:t>
      </w:r>
      <w:r w:rsidR="00E96F12" w:rsidRPr="00662611">
        <w:rPr>
          <w:sz w:val="19"/>
          <w:szCs w:val="19"/>
        </w:rPr>
        <w:t>apply</w:t>
      </w:r>
      <w:r w:rsidR="00D9580F" w:rsidRPr="00662611">
        <w:rPr>
          <w:sz w:val="19"/>
          <w:szCs w:val="19"/>
        </w:rPr>
        <w:t xml:space="preserve"> if the financial liability is subsequently measured at amortised cost in accordance with AASB 9. However, AASB 9 permits other methods in the subsequent measurement of</w:t>
      </w:r>
      <w:r w:rsidR="00F6059F" w:rsidRPr="00662611">
        <w:rPr>
          <w:sz w:val="19"/>
          <w:szCs w:val="19"/>
        </w:rPr>
        <w:t xml:space="preserve"> a</w:t>
      </w:r>
      <w:r w:rsidR="00D9580F" w:rsidRPr="00662611">
        <w:rPr>
          <w:sz w:val="19"/>
          <w:szCs w:val="19"/>
        </w:rPr>
        <w:t xml:space="preserve"> financial liability, such as fair value through profit or loss</w:t>
      </w:r>
      <w:r w:rsidR="0077575E" w:rsidRPr="00662611">
        <w:rPr>
          <w:sz w:val="19"/>
          <w:szCs w:val="19"/>
        </w:rPr>
        <w:t>. The subsequent measurement of a financial liability at fair value through profit or loss would not require separate accounting for a finance charge.</w:t>
      </w:r>
      <w:r w:rsidR="00F6059F" w:rsidRPr="00662611">
        <w:rPr>
          <w:sz w:val="19"/>
          <w:szCs w:val="19"/>
        </w:rPr>
        <w:t xml:space="preserve"> </w:t>
      </w:r>
      <w:r w:rsidR="0013253C" w:rsidRPr="00662611">
        <w:rPr>
          <w:sz w:val="19"/>
          <w:szCs w:val="19"/>
        </w:rPr>
        <w:t xml:space="preserve">The Board </w:t>
      </w:r>
      <w:r w:rsidR="00831A50" w:rsidRPr="00662611">
        <w:rPr>
          <w:sz w:val="19"/>
          <w:szCs w:val="19"/>
        </w:rPr>
        <w:t>decided</w:t>
      </w:r>
      <w:r w:rsidR="00B259A4" w:rsidRPr="00662611">
        <w:rPr>
          <w:sz w:val="19"/>
          <w:szCs w:val="19"/>
        </w:rPr>
        <w:t xml:space="preserve">, given AASB 9 </w:t>
      </w:r>
      <w:r w:rsidR="00996C7F" w:rsidRPr="00662611">
        <w:rPr>
          <w:sz w:val="19"/>
          <w:szCs w:val="19"/>
        </w:rPr>
        <w:t>addresses</w:t>
      </w:r>
      <w:r w:rsidR="00B259A4" w:rsidRPr="00662611">
        <w:rPr>
          <w:sz w:val="19"/>
          <w:szCs w:val="19"/>
        </w:rPr>
        <w:t xml:space="preserve"> the separate accounting </w:t>
      </w:r>
      <w:r w:rsidR="003B4758" w:rsidRPr="00662611">
        <w:rPr>
          <w:sz w:val="19"/>
          <w:szCs w:val="19"/>
        </w:rPr>
        <w:t>for</w:t>
      </w:r>
      <w:r w:rsidR="00B259A4" w:rsidRPr="00662611">
        <w:rPr>
          <w:sz w:val="19"/>
          <w:szCs w:val="19"/>
        </w:rPr>
        <w:t xml:space="preserve"> a finance charge, it is sufficient for </w:t>
      </w:r>
      <w:r w:rsidR="00D125BC">
        <w:rPr>
          <w:sz w:val="19"/>
          <w:szCs w:val="19"/>
        </w:rPr>
        <w:t xml:space="preserve">AASB </w:t>
      </w:r>
      <w:r w:rsidR="005F6667">
        <w:rPr>
          <w:sz w:val="19"/>
          <w:szCs w:val="19"/>
        </w:rPr>
        <w:t>1059</w:t>
      </w:r>
      <w:r w:rsidR="00D125BC">
        <w:rPr>
          <w:sz w:val="19"/>
          <w:szCs w:val="19"/>
        </w:rPr>
        <w:t xml:space="preserve"> </w:t>
      </w:r>
      <w:r w:rsidR="00B259A4" w:rsidRPr="00662611">
        <w:rPr>
          <w:sz w:val="19"/>
          <w:szCs w:val="19"/>
        </w:rPr>
        <w:t>to refer to the financial instrument Standards</w:t>
      </w:r>
      <w:r w:rsidR="00EB5CB0" w:rsidRPr="00662611">
        <w:rPr>
          <w:sz w:val="19"/>
          <w:szCs w:val="19"/>
        </w:rPr>
        <w:t xml:space="preserve"> in this respect without providing</w:t>
      </w:r>
      <w:r w:rsidR="00AD6094" w:rsidRPr="00662611">
        <w:rPr>
          <w:sz w:val="19"/>
          <w:szCs w:val="19"/>
        </w:rPr>
        <w:t xml:space="preserve"> additional guidance</w:t>
      </w:r>
      <w:r w:rsidR="002510C4" w:rsidRPr="00662611">
        <w:rPr>
          <w:sz w:val="19"/>
          <w:szCs w:val="19"/>
        </w:rPr>
        <w:t xml:space="preserve">; </w:t>
      </w:r>
      <w:bookmarkEnd w:id="139"/>
    </w:p>
    <w:bookmarkEnd w:id="140"/>
    <w:p w14:paraId="7D9277EA" w14:textId="569B9B9D" w:rsidR="00272D13" w:rsidRPr="00662611" w:rsidRDefault="001B2DEF"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whether</w:t>
      </w:r>
      <w:proofErr w:type="gramEnd"/>
      <w:r w:rsidRPr="00662611">
        <w:rPr>
          <w:sz w:val="19"/>
          <w:szCs w:val="19"/>
        </w:rPr>
        <w:t xml:space="preserve"> to retain the guidance </w:t>
      </w:r>
      <w:r w:rsidR="00E722B2" w:rsidRPr="00662611">
        <w:rPr>
          <w:sz w:val="19"/>
          <w:szCs w:val="19"/>
        </w:rPr>
        <w:t xml:space="preserve">proposed </w:t>
      </w:r>
      <w:r w:rsidR="0064602B" w:rsidRPr="00662611">
        <w:rPr>
          <w:sz w:val="19"/>
          <w:szCs w:val="19"/>
        </w:rPr>
        <w:t xml:space="preserve">in ED 261 </w:t>
      </w:r>
      <w:r w:rsidR="00C542C1" w:rsidRPr="00662611">
        <w:rPr>
          <w:sz w:val="19"/>
          <w:szCs w:val="19"/>
        </w:rPr>
        <w:t xml:space="preserve">relating to </w:t>
      </w:r>
      <w:r w:rsidR="0064602B" w:rsidRPr="00662611">
        <w:rPr>
          <w:sz w:val="19"/>
          <w:szCs w:val="19"/>
        </w:rPr>
        <w:t>the appropriate interest</w:t>
      </w:r>
      <w:r w:rsidR="00DE203D" w:rsidRPr="00662611">
        <w:rPr>
          <w:sz w:val="19"/>
          <w:szCs w:val="19"/>
        </w:rPr>
        <w:t xml:space="preserve"> rate </w:t>
      </w:r>
      <w:r w:rsidR="0064602B" w:rsidRPr="00662611">
        <w:rPr>
          <w:sz w:val="19"/>
          <w:szCs w:val="19"/>
        </w:rPr>
        <w:t>for determining the finance charge</w:t>
      </w:r>
      <w:r w:rsidR="00E722B2" w:rsidRPr="00662611">
        <w:rPr>
          <w:sz w:val="19"/>
          <w:szCs w:val="19"/>
        </w:rPr>
        <w:t xml:space="preserve"> (if any)</w:t>
      </w:r>
      <w:r w:rsidR="0064602B" w:rsidRPr="00662611">
        <w:rPr>
          <w:sz w:val="19"/>
          <w:szCs w:val="19"/>
        </w:rPr>
        <w:t>.</w:t>
      </w:r>
      <w:r w:rsidR="00C542C1" w:rsidRPr="00662611">
        <w:rPr>
          <w:sz w:val="19"/>
          <w:szCs w:val="19"/>
        </w:rPr>
        <w:t xml:space="preserve"> </w:t>
      </w:r>
      <w:r w:rsidR="00272D13" w:rsidRPr="00662611">
        <w:rPr>
          <w:sz w:val="19"/>
          <w:szCs w:val="19"/>
        </w:rPr>
        <w:t xml:space="preserve">The Board decided to replace the reference in ED 261 to determining the finance charge using the rate implicit in the arrangement. The Standard (paragraph </w:t>
      </w:r>
      <w:r w:rsidR="00654879" w:rsidRPr="00662611">
        <w:rPr>
          <w:sz w:val="19"/>
          <w:szCs w:val="19"/>
        </w:rPr>
        <w:fldChar w:fldCharType="begin"/>
      </w:r>
      <w:r w:rsidR="00654879" w:rsidRPr="00662611">
        <w:rPr>
          <w:sz w:val="19"/>
          <w:szCs w:val="19"/>
        </w:rPr>
        <w:instrText xml:space="preserve"> REF _Ref475631766 \r \h </w:instrText>
      </w:r>
      <w:r w:rsidR="00654879" w:rsidRPr="00662611">
        <w:rPr>
          <w:sz w:val="19"/>
          <w:szCs w:val="19"/>
        </w:rPr>
      </w:r>
      <w:r w:rsidR="00654879" w:rsidRPr="00662611">
        <w:rPr>
          <w:sz w:val="19"/>
          <w:szCs w:val="19"/>
        </w:rPr>
        <w:fldChar w:fldCharType="separate"/>
      </w:r>
      <w:r w:rsidR="00C43128">
        <w:rPr>
          <w:sz w:val="19"/>
          <w:szCs w:val="19"/>
        </w:rPr>
        <w:t>B67</w:t>
      </w:r>
      <w:r w:rsidR="00654879" w:rsidRPr="00662611">
        <w:rPr>
          <w:sz w:val="19"/>
          <w:szCs w:val="19"/>
        </w:rPr>
        <w:fldChar w:fldCharType="end"/>
      </w:r>
      <w:r w:rsidR="00272D13" w:rsidRPr="00662611">
        <w:rPr>
          <w:sz w:val="19"/>
          <w:szCs w:val="19"/>
        </w:rPr>
        <w:t>) instead refers to determining the finance charge using the effective interest method when the financial liability is subsequently measured at amortised cost in accordance with AASB 9</w:t>
      </w:r>
      <w:r w:rsidR="00784F15" w:rsidRPr="00662611">
        <w:rPr>
          <w:sz w:val="19"/>
          <w:szCs w:val="19"/>
        </w:rPr>
        <w:t>; and</w:t>
      </w:r>
    </w:p>
    <w:p w14:paraId="7D9277EB" w14:textId="2AADC395" w:rsidR="00FA1DC4" w:rsidRPr="00662611" w:rsidRDefault="006A1789"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lastRenderedPageBreak/>
        <w:t>whether</w:t>
      </w:r>
      <w:proofErr w:type="gramEnd"/>
      <w:r w:rsidRPr="00662611">
        <w:rPr>
          <w:sz w:val="19"/>
          <w:szCs w:val="19"/>
        </w:rPr>
        <w:t xml:space="preserve"> to </w:t>
      </w:r>
      <w:r w:rsidR="0043130F" w:rsidRPr="00662611">
        <w:rPr>
          <w:sz w:val="19"/>
          <w:szCs w:val="19"/>
        </w:rPr>
        <w:t xml:space="preserve">include </w:t>
      </w:r>
      <w:r w:rsidRPr="00662611">
        <w:rPr>
          <w:sz w:val="19"/>
          <w:szCs w:val="19"/>
        </w:rPr>
        <w:t>guidance relating to the appropriate interest rate for initially measuring the financial liability component in a hybrid arrangement</w:t>
      </w:r>
      <w:r w:rsidR="00CE3F50" w:rsidRPr="00662611">
        <w:rPr>
          <w:sz w:val="19"/>
          <w:szCs w:val="19"/>
        </w:rPr>
        <w:t>, since the financial liability component is measured first, and an interest rate is needed in order to discount the expected future cash flows to a present value</w:t>
      </w:r>
      <w:r w:rsidRPr="00662611">
        <w:rPr>
          <w:sz w:val="19"/>
          <w:szCs w:val="19"/>
        </w:rPr>
        <w:t>. T</w:t>
      </w:r>
      <w:r w:rsidR="00FA1DC4" w:rsidRPr="00662611">
        <w:rPr>
          <w:sz w:val="19"/>
          <w:szCs w:val="19"/>
        </w:rPr>
        <w:t xml:space="preserve">he Board decided to include application guidance (see paragraph </w:t>
      </w:r>
      <w:r w:rsidR="00FA1DC4" w:rsidRPr="00662611">
        <w:rPr>
          <w:sz w:val="19"/>
          <w:szCs w:val="19"/>
        </w:rPr>
        <w:fldChar w:fldCharType="begin"/>
      </w:r>
      <w:r w:rsidR="00FA1DC4" w:rsidRPr="00662611">
        <w:rPr>
          <w:sz w:val="19"/>
          <w:szCs w:val="19"/>
        </w:rPr>
        <w:instrText xml:space="preserve"> REF _Ref475630638 \r \h </w:instrText>
      </w:r>
      <w:r w:rsidR="00FA1DC4" w:rsidRPr="00662611">
        <w:rPr>
          <w:sz w:val="19"/>
          <w:szCs w:val="19"/>
        </w:rPr>
      </w:r>
      <w:r w:rsidR="00FA1DC4" w:rsidRPr="00662611">
        <w:rPr>
          <w:sz w:val="19"/>
          <w:szCs w:val="19"/>
        </w:rPr>
        <w:fldChar w:fldCharType="separate"/>
      </w:r>
      <w:r w:rsidR="00C43128">
        <w:rPr>
          <w:sz w:val="19"/>
          <w:szCs w:val="19"/>
        </w:rPr>
        <w:t>B64</w:t>
      </w:r>
      <w:r w:rsidR="00FA1DC4" w:rsidRPr="00662611">
        <w:rPr>
          <w:sz w:val="19"/>
          <w:szCs w:val="19"/>
        </w:rPr>
        <w:fldChar w:fldCharType="end"/>
      </w:r>
      <w:r w:rsidR="00FA1DC4" w:rsidRPr="00662611">
        <w:rPr>
          <w:sz w:val="19"/>
          <w:szCs w:val="19"/>
        </w:rPr>
        <w:t xml:space="preserve">) that the grantor shall, in the first instance, use the contractually specified interest rate in the arrangement to initially measure the financial liability component of a hybrid arrangement in accordance with AASB 9. If it is not practicable to determine the contractually specified interest rate, the grantor </w:t>
      </w:r>
      <w:r w:rsidR="0043130F" w:rsidRPr="00662611">
        <w:rPr>
          <w:sz w:val="19"/>
          <w:szCs w:val="19"/>
        </w:rPr>
        <w:t xml:space="preserve">would </w:t>
      </w:r>
      <w:r w:rsidR="00FA1DC4" w:rsidRPr="00662611">
        <w:rPr>
          <w:sz w:val="19"/>
          <w:szCs w:val="19"/>
        </w:rPr>
        <w:t>determine the appropriate rate using the prevailing market rate(s) of interest for a similar instrument with a similar credit rating</w:t>
      </w:r>
      <w:r w:rsidR="00A60152" w:rsidRPr="00662611">
        <w:rPr>
          <w:sz w:val="19"/>
          <w:szCs w:val="19"/>
        </w:rPr>
        <w:t>, following the requirements of AASB 9</w:t>
      </w:r>
      <w:r w:rsidR="00FA1DC4" w:rsidRPr="00662611">
        <w:rPr>
          <w:sz w:val="19"/>
          <w:szCs w:val="19"/>
        </w:rPr>
        <w:t>.</w:t>
      </w:r>
      <w:r w:rsidR="00541574" w:rsidRPr="00662611">
        <w:rPr>
          <w:sz w:val="19"/>
          <w:szCs w:val="19"/>
        </w:rPr>
        <w:t xml:space="preserve"> </w:t>
      </w:r>
      <w:r w:rsidR="009244FD" w:rsidRPr="00662611">
        <w:rPr>
          <w:sz w:val="19"/>
          <w:szCs w:val="19"/>
        </w:rPr>
        <w:t>Examples of rates for a similar instrument include the operator’s cos</w:t>
      </w:r>
      <w:r w:rsidR="00C07B94" w:rsidRPr="00662611">
        <w:rPr>
          <w:sz w:val="19"/>
          <w:szCs w:val="19"/>
        </w:rPr>
        <w:t>t</w:t>
      </w:r>
      <w:r w:rsidR="009244FD" w:rsidRPr="00662611">
        <w:rPr>
          <w:sz w:val="19"/>
          <w:szCs w:val="19"/>
        </w:rPr>
        <w:t xml:space="preserve"> of capita</w:t>
      </w:r>
      <w:r w:rsidR="00FD67B0" w:rsidRPr="00662611">
        <w:rPr>
          <w:sz w:val="19"/>
          <w:szCs w:val="19"/>
        </w:rPr>
        <w:t>l</w:t>
      </w:r>
      <w:r w:rsidR="009244FD" w:rsidRPr="00662611">
        <w:rPr>
          <w:sz w:val="19"/>
          <w:szCs w:val="19"/>
        </w:rPr>
        <w:t xml:space="preserve"> specific to the service concession </w:t>
      </w:r>
      <w:r w:rsidR="00FD67B0" w:rsidRPr="00662611">
        <w:rPr>
          <w:sz w:val="19"/>
          <w:szCs w:val="19"/>
        </w:rPr>
        <w:t>asset</w:t>
      </w:r>
      <w:r w:rsidR="009244FD" w:rsidRPr="00662611">
        <w:rPr>
          <w:sz w:val="19"/>
          <w:szCs w:val="19"/>
        </w:rPr>
        <w:t>, the grantor’s incremental borrowing rate, or another rate appropriate to the terms and conditions of the arrangement.</w:t>
      </w:r>
    </w:p>
    <w:p w14:paraId="7D9277EC" w14:textId="77777777" w:rsidR="003862D4" w:rsidRPr="00662611" w:rsidRDefault="003862D4" w:rsidP="00A854C0">
      <w:pPr>
        <w:pStyle w:val="IASBSectionTitle2Ind"/>
        <w:outlineLvl w:val="2"/>
      </w:pPr>
      <w:r w:rsidRPr="00662611">
        <w:t xml:space="preserve">Grant of a right to the operator </w:t>
      </w:r>
      <w:r w:rsidR="00502F86" w:rsidRPr="00662611">
        <w:t xml:space="preserve">(GORTO) </w:t>
      </w:r>
      <w:r w:rsidRPr="00662611">
        <w:t>model</w:t>
      </w:r>
    </w:p>
    <w:p w14:paraId="7D9277ED" w14:textId="1E8D7D0A" w:rsidR="003862D4" w:rsidRPr="00662611" w:rsidRDefault="00D125BC" w:rsidP="00942FDB">
      <w:pPr>
        <w:pStyle w:val="IE1"/>
        <w:numPr>
          <w:ilvl w:val="0"/>
          <w:numId w:val="18"/>
        </w:numPr>
        <w:tabs>
          <w:tab w:val="clear" w:pos="624"/>
        </w:tabs>
        <w:spacing w:after="100" w:line="240" w:lineRule="auto"/>
        <w:ind w:left="782" w:hanging="782"/>
        <w:jc w:val="both"/>
        <w:rPr>
          <w:sz w:val="19"/>
          <w:szCs w:val="19"/>
        </w:rPr>
      </w:pPr>
      <w:r>
        <w:rPr>
          <w:sz w:val="19"/>
          <w:szCs w:val="19"/>
        </w:rPr>
        <w:t>The</w:t>
      </w:r>
      <w:r w:rsidRPr="00662611">
        <w:rPr>
          <w:sz w:val="19"/>
          <w:szCs w:val="19"/>
        </w:rPr>
        <w:t xml:space="preserve"> </w:t>
      </w:r>
      <w:r w:rsidR="0092538A" w:rsidRPr="00662611">
        <w:rPr>
          <w:sz w:val="19"/>
          <w:szCs w:val="19"/>
        </w:rPr>
        <w:t xml:space="preserve">GORTO model applies when the grantor grants the operator the right to earn revenue from third-party users of the service concession asset. </w:t>
      </w:r>
      <w:r w:rsidR="003862D4" w:rsidRPr="00662611">
        <w:rPr>
          <w:sz w:val="19"/>
          <w:szCs w:val="19"/>
        </w:rPr>
        <w:t xml:space="preserve">Under the </w:t>
      </w:r>
      <w:r w:rsidR="00BA728E" w:rsidRPr="00662611">
        <w:rPr>
          <w:sz w:val="19"/>
          <w:szCs w:val="19"/>
        </w:rPr>
        <w:t xml:space="preserve">GORTO </w:t>
      </w:r>
      <w:r w:rsidR="003862D4" w:rsidRPr="00662611">
        <w:rPr>
          <w:sz w:val="19"/>
          <w:szCs w:val="19"/>
        </w:rPr>
        <w:t>model, the grantor transfer</w:t>
      </w:r>
      <w:r w:rsidR="00893F40">
        <w:rPr>
          <w:sz w:val="19"/>
          <w:szCs w:val="19"/>
        </w:rPr>
        <w:t>s</w:t>
      </w:r>
      <w:r w:rsidR="003862D4" w:rsidRPr="00662611">
        <w:rPr>
          <w:sz w:val="19"/>
          <w:szCs w:val="19"/>
        </w:rPr>
        <w:t xml:space="preserve"> to the operator an intangible asset (being a right to charge users of the service concession asset) in exchange for </w:t>
      </w:r>
      <w:r w:rsidR="00E2552A" w:rsidRPr="00662611">
        <w:rPr>
          <w:sz w:val="19"/>
          <w:szCs w:val="19"/>
        </w:rPr>
        <w:t xml:space="preserve">the construction, development, </w:t>
      </w:r>
      <w:r w:rsidR="003862D4" w:rsidRPr="00662611">
        <w:rPr>
          <w:sz w:val="19"/>
          <w:szCs w:val="19"/>
        </w:rPr>
        <w:t xml:space="preserve">acquisition or upgrade of a service concession asset and the provision of related future services. The Board considered whether the grantor should </w:t>
      </w:r>
      <w:r w:rsidR="00893F40">
        <w:rPr>
          <w:sz w:val="19"/>
          <w:szCs w:val="19"/>
        </w:rPr>
        <w:t xml:space="preserve">initially </w:t>
      </w:r>
      <w:r w:rsidR="003862D4" w:rsidRPr="00662611">
        <w:rPr>
          <w:sz w:val="19"/>
          <w:szCs w:val="19"/>
        </w:rPr>
        <w:t xml:space="preserve">recognise revenue or a liability when it obtains control of the service concession asset arising from a service concession arrangement. The Board noted that IPSAS 32 requires a grantor to </w:t>
      </w:r>
      <w:r w:rsidR="00893F40">
        <w:rPr>
          <w:sz w:val="19"/>
          <w:szCs w:val="19"/>
        </w:rPr>
        <w:t xml:space="preserve">initially </w:t>
      </w:r>
      <w:r w:rsidR="003862D4" w:rsidRPr="00662611">
        <w:rPr>
          <w:sz w:val="19"/>
          <w:szCs w:val="19"/>
        </w:rPr>
        <w:t xml:space="preserve">recognise a liability when the grantor recognises the service concession asset. </w:t>
      </w:r>
      <w:r w:rsidR="007C4978">
        <w:rPr>
          <w:sz w:val="19"/>
          <w:szCs w:val="19"/>
        </w:rPr>
        <w:t>G</w:t>
      </w:r>
      <w:r w:rsidR="003862D4" w:rsidRPr="00662611">
        <w:rPr>
          <w:sz w:val="19"/>
          <w:szCs w:val="19"/>
        </w:rPr>
        <w:t>iven its policy of transaction neutrality, the Board considered whether the requirements of Australian Accounting Standards, specifically the application of AASB 15 either directly or by analogy, would support:</w:t>
      </w:r>
    </w:p>
    <w:p w14:paraId="7D9277EE" w14:textId="77777777" w:rsidR="003862D4" w:rsidRPr="00662611" w:rsidRDefault="003862D4" w:rsidP="002704B7">
      <w:pPr>
        <w:pStyle w:val="IASBNormalnparaL1"/>
        <w:numPr>
          <w:ilvl w:val="0"/>
          <w:numId w:val="20"/>
        </w:numPr>
        <w:spacing w:before="0" w:after="100"/>
        <w:ind w:left="1564" w:hanging="782"/>
      </w:pPr>
      <w:r w:rsidRPr="00662611">
        <w:t>the recognition of a liability (consistent with IPSAS 32); or</w:t>
      </w:r>
    </w:p>
    <w:p w14:paraId="7D9277EF" w14:textId="77777777" w:rsidR="003862D4" w:rsidRPr="00662611" w:rsidRDefault="003862D4" w:rsidP="002704B7">
      <w:pPr>
        <w:pStyle w:val="IASBNormalnparaL1"/>
        <w:numPr>
          <w:ilvl w:val="0"/>
          <w:numId w:val="20"/>
        </w:numPr>
        <w:spacing w:before="0" w:after="100"/>
        <w:ind w:left="1564" w:hanging="782"/>
      </w:pPr>
      <w:proofErr w:type="gramStart"/>
      <w:r w:rsidRPr="00662611">
        <w:t>the</w:t>
      </w:r>
      <w:proofErr w:type="gramEnd"/>
      <w:r w:rsidRPr="00662611">
        <w:t xml:space="preserve"> recognition of revenue </w:t>
      </w:r>
      <w:r w:rsidR="00CD7681" w:rsidRPr="00662611">
        <w:t xml:space="preserve">on the basis that </w:t>
      </w:r>
      <w:r w:rsidRPr="00662611">
        <w:t>the grantor has no remaining obligations to the operator once it has transferred to the operator the right to charge users.</w:t>
      </w:r>
    </w:p>
    <w:p w14:paraId="7D9277F0" w14:textId="428194F2" w:rsidR="003862D4" w:rsidRPr="00662611" w:rsidRDefault="00E9696C" w:rsidP="00942FDB">
      <w:pPr>
        <w:pStyle w:val="IE1"/>
        <w:numPr>
          <w:ilvl w:val="0"/>
          <w:numId w:val="18"/>
        </w:numPr>
        <w:tabs>
          <w:tab w:val="clear" w:pos="624"/>
        </w:tabs>
        <w:spacing w:after="100" w:line="240" w:lineRule="auto"/>
        <w:ind w:left="782" w:hanging="782"/>
        <w:jc w:val="both"/>
        <w:rPr>
          <w:sz w:val="19"/>
          <w:szCs w:val="19"/>
        </w:rPr>
      </w:pPr>
      <w:r>
        <w:rPr>
          <w:sz w:val="19"/>
          <w:szCs w:val="19"/>
        </w:rPr>
        <w:t>T</w:t>
      </w:r>
      <w:r w:rsidR="003862D4" w:rsidRPr="00662611">
        <w:rPr>
          <w:sz w:val="19"/>
          <w:szCs w:val="19"/>
        </w:rPr>
        <w:t xml:space="preserve">he Board concluded that, from a grantor’s perspective, </w:t>
      </w:r>
      <w:r w:rsidR="00175FBB" w:rsidRPr="00662611">
        <w:rPr>
          <w:sz w:val="19"/>
          <w:szCs w:val="19"/>
        </w:rPr>
        <w:t xml:space="preserve">the application of AASB 15 without further guidance may lead to </w:t>
      </w:r>
      <w:r w:rsidR="00EC1523" w:rsidRPr="00662611">
        <w:rPr>
          <w:sz w:val="19"/>
          <w:szCs w:val="19"/>
        </w:rPr>
        <w:t>divergence in</w:t>
      </w:r>
      <w:r w:rsidR="00162ED0" w:rsidRPr="00662611">
        <w:rPr>
          <w:sz w:val="19"/>
          <w:szCs w:val="19"/>
        </w:rPr>
        <w:t xml:space="preserve"> accounting for a service concession arrangement</w:t>
      </w:r>
      <w:r w:rsidR="0052481D" w:rsidRPr="00662611">
        <w:rPr>
          <w:sz w:val="19"/>
          <w:szCs w:val="19"/>
        </w:rPr>
        <w:t>,</w:t>
      </w:r>
      <w:r w:rsidR="00162ED0" w:rsidRPr="00662611">
        <w:rPr>
          <w:sz w:val="19"/>
          <w:szCs w:val="19"/>
        </w:rPr>
        <w:t xml:space="preserve"> as significant </w:t>
      </w:r>
      <w:r w:rsidR="003862D4" w:rsidRPr="00662611">
        <w:rPr>
          <w:sz w:val="19"/>
          <w:szCs w:val="19"/>
        </w:rPr>
        <w:t xml:space="preserve">judgement </w:t>
      </w:r>
      <w:r w:rsidR="001B6781" w:rsidRPr="00662611">
        <w:rPr>
          <w:sz w:val="19"/>
          <w:szCs w:val="19"/>
        </w:rPr>
        <w:t xml:space="preserve">would be </w:t>
      </w:r>
      <w:r w:rsidR="003862D4" w:rsidRPr="00662611">
        <w:rPr>
          <w:sz w:val="19"/>
          <w:szCs w:val="19"/>
        </w:rPr>
        <w:t>required to determine whether a service concession arrangement in which the grantor transfer</w:t>
      </w:r>
      <w:r>
        <w:rPr>
          <w:sz w:val="19"/>
          <w:szCs w:val="19"/>
        </w:rPr>
        <w:t>s</w:t>
      </w:r>
      <w:r w:rsidR="003862D4" w:rsidRPr="00662611">
        <w:rPr>
          <w:sz w:val="19"/>
          <w:szCs w:val="19"/>
        </w:rPr>
        <w:t xml:space="preserve"> an intangible asset to the operator </w:t>
      </w:r>
      <w:r w:rsidR="00631EDD" w:rsidRPr="00662611">
        <w:rPr>
          <w:sz w:val="19"/>
          <w:szCs w:val="19"/>
        </w:rPr>
        <w:t>is</w:t>
      </w:r>
      <w:r w:rsidR="00EC566F" w:rsidRPr="00662611">
        <w:rPr>
          <w:sz w:val="19"/>
          <w:szCs w:val="19"/>
        </w:rPr>
        <w:t xml:space="preserve"> </w:t>
      </w:r>
      <w:r w:rsidR="003862D4" w:rsidRPr="00662611">
        <w:rPr>
          <w:sz w:val="19"/>
          <w:szCs w:val="19"/>
        </w:rPr>
        <w:t>within the scope of AASB 15.</w:t>
      </w:r>
      <w:r w:rsidR="00EC566F" w:rsidRPr="00662611">
        <w:rPr>
          <w:sz w:val="19"/>
          <w:szCs w:val="19"/>
        </w:rPr>
        <w:t xml:space="preserve"> The Board noted differing views on whether a service concession arrangement involves a contract with a customer</w:t>
      </w:r>
      <w:r w:rsidR="00D83035" w:rsidRPr="00662611">
        <w:rPr>
          <w:sz w:val="19"/>
          <w:szCs w:val="19"/>
        </w:rPr>
        <w:t xml:space="preserve"> </w:t>
      </w:r>
      <w:r w:rsidR="004F2956" w:rsidRPr="00662611">
        <w:rPr>
          <w:sz w:val="19"/>
          <w:szCs w:val="19"/>
        </w:rPr>
        <w:t>(</w:t>
      </w:r>
      <w:r w:rsidR="00D83035" w:rsidRPr="00662611">
        <w:rPr>
          <w:sz w:val="19"/>
          <w:szCs w:val="19"/>
        </w:rPr>
        <w:t>ie</w:t>
      </w:r>
      <w:r w:rsidR="00EF4ABF" w:rsidRPr="00662611">
        <w:rPr>
          <w:sz w:val="19"/>
          <w:szCs w:val="19"/>
        </w:rPr>
        <w:t xml:space="preserve"> </w:t>
      </w:r>
      <w:r w:rsidR="00FA6296" w:rsidRPr="00662611">
        <w:rPr>
          <w:sz w:val="19"/>
          <w:szCs w:val="19"/>
        </w:rPr>
        <w:t xml:space="preserve">whether </w:t>
      </w:r>
      <w:r w:rsidR="00EF4ABF" w:rsidRPr="00662611">
        <w:rPr>
          <w:sz w:val="19"/>
          <w:szCs w:val="19"/>
        </w:rPr>
        <w:t xml:space="preserve">the right to charge users is considered a licence, </w:t>
      </w:r>
      <w:r w:rsidR="001B6781" w:rsidRPr="00662611">
        <w:rPr>
          <w:sz w:val="19"/>
          <w:szCs w:val="19"/>
        </w:rPr>
        <w:t xml:space="preserve">whether </w:t>
      </w:r>
      <w:r w:rsidR="00EF4ABF" w:rsidRPr="00662611">
        <w:rPr>
          <w:sz w:val="19"/>
          <w:szCs w:val="19"/>
        </w:rPr>
        <w:t xml:space="preserve">the operator </w:t>
      </w:r>
      <w:r w:rsidR="001B6781" w:rsidRPr="00662611">
        <w:rPr>
          <w:sz w:val="19"/>
          <w:szCs w:val="19"/>
        </w:rPr>
        <w:t>is</w:t>
      </w:r>
      <w:r w:rsidR="00D83035" w:rsidRPr="00662611">
        <w:rPr>
          <w:sz w:val="19"/>
          <w:szCs w:val="19"/>
        </w:rPr>
        <w:t xml:space="preserve"> considered a customer, or </w:t>
      </w:r>
      <w:r w:rsidR="001B6781" w:rsidRPr="00662611">
        <w:rPr>
          <w:sz w:val="19"/>
          <w:szCs w:val="19"/>
        </w:rPr>
        <w:t>whether</w:t>
      </w:r>
      <w:r w:rsidR="00D83035" w:rsidRPr="00662611">
        <w:rPr>
          <w:sz w:val="19"/>
          <w:szCs w:val="19"/>
        </w:rPr>
        <w:t xml:space="preserve"> the ordinary activities of government </w:t>
      </w:r>
      <w:r w:rsidR="00FF619C" w:rsidRPr="00662611">
        <w:rPr>
          <w:sz w:val="19"/>
          <w:szCs w:val="19"/>
        </w:rPr>
        <w:t>include undertaking</w:t>
      </w:r>
      <w:r w:rsidR="00D83035" w:rsidRPr="00662611">
        <w:rPr>
          <w:sz w:val="19"/>
          <w:szCs w:val="19"/>
        </w:rPr>
        <w:t xml:space="preserve"> service concession arrangements</w:t>
      </w:r>
      <w:r w:rsidR="00FF619C" w:rsidRPr="00662611">
        <w:rPr>
          <w:sz w:val="19"/>
          <w:szCs w:val="19"/>
        </w:rPr>
        <w:t xml:space="preserve"> as a grantor</w:t>
      </w:r>
      <w:r w:rsidR="004F2956" w:rsidRPr="00662611">
        <w:rPr>
          <w:sz w:val="19"/>
          <w:szCs w:val="19"/>
        </w:rPr>
        <w:t>)</w:t>
      </w:r>
      <w:r w:rsidR="00D83035" w:rsidRPr="00662611">
        <w:rPr>
          <w:sz w:val="19"/>
          <w:szCs w:val="19"/>
        </w:rPr>
        <w:t>, and depending on the specific facts and circumstances some service concession arrangement</w:t>
      </w:r>
      <w:r w:rsidR="00A119CC" w:rsidRPr="00662611">
        <w:rPr>
          <w:sz w:val="19"/>
          <w:szCs w:val="19"/>
        </w:rPr>
        <w:t xml:space="preserve">s </w:t>
      </w:r>
      <w:r w:rsidR="0057652B" w:rsidRPr="00662611">
        <w:rPr>
          <w:sz w:val="19"/>
          <w:szCs w:val="19"/>
        </w:rPr>
        <w:t>might</w:t>
      </w:r>
      <w:r w:rsidR="00A119CC" w:rsidRPr="00662611">
        <w:rPr>
          <w:sz w:val="19"/>
          <w:szCs w:val="19"/>
        </w:rPr>
        <w:t xml:space="preserve"> be a righ</w:t>
      </w:r>
      <w:r w:rsidR="00531AD2" w:rsidRPr="00662611">
        <w:rPr>
          <w:sz w:val="19"/>
          <w:szCs w:val="19"/>
        </w:rPr>
        <w:t>t</w:t>
      </w:r>
      <w:r w:rsidR="0057652B" w:rsidRPr="00662611">
        <w:rPr>
          <w:sz w:val="19"/>
          <w:szCs w:val="19"/>
        </w:rPr>
        <w:t>-of-</w:t>
      </w:r>
      <w:r w:rsidR="00D83035" w:rsidRPr="00662611">
        <w:rPr>
          <w:sz w:val="19"/>
          <w:szCs w:val="19"/>
        </w:rPr>
        <w:t>use licence and others a right of access.</w:t>
      </w:r>
      <w:r w:rsidR="003862D4" w:rsidRPr="00662611">
        <w:rPr>
          <w:sz w:val="19"/>
          <w:szCs w:val="19"/>
        </w:rPr>
        <w:t xml:space="preserve"> The Board </w:t>
      </w:r>
      <w:r w:rsidR="002F3AFD" w:rsidRPr="00662611">
        <w:rPr>
          <w:sz w:val="19"/>
          <w:szCs w:val="19"/>
        </w:rPr>
        <w:t xml:space="preserve">preferred the view </w:t>
      </w:r>
      <w:r w:rsidR="003862D4" w:rsidRPr="00662611">
        <w:rPr>
          <w:sz w:val="19"/>
          <w:szCs w:val="19"/>
        </w:rPr>
        <w:t xml:space="preserve">that the </w:t>
      </w:r>
      <w:r w:rsidR="00FA6296" w:rsidRPr="00662611">
        <w:rPr>
          <w:sz w:val="19"/>
          <w:szCs w:val="19"/>
        </w:rPr>
        <w:t xml:space="preserve">substance of the transaction appears more akin to </w:t>
      </w:r>
      <w:r w:rsidR="003862D4" w:rsidRPr="00662611">
        <w:rPr>
          <w:sz w:val="19"/>
          <w:szCs w:val="19"/>
        </w:rPr>
        <w:t>financing the construction of the service concession asset</w:t>
      </w:r>
      <w:r w:rsidR="00522782" w:rsidRPr="00662611">
        <w:rPr>
          <w:sz w:val="19"/>
          <w:szCs w:val="19"/>
        </w:rPr>
        <w:t>, rather than a contract with a customer.</w:t>
      </w:r>
    </w:p>
    <w:p w14:paraId="7D9277F1" w14:textId="08740250" w:rsidR="003C3D8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w:t>
      </w:r>
      <w:r w:rsidR="008F578F" w:rsidRPr="00662611">
        <w:rPr>
          <w:sz w:val="19"/>
          <w:szCs w:val="19"/>
        </w:rPr>
        <w:t xml:space="preserve">also </w:t>
      </w:r>
      <w:r w:rsidRPr="00662611">
        <w:rPr>
          <w:sz w:val="19"/>
          <w:szCs w:val="19"/>
        </w:rPr>
        <w:t xml:space="preserve">noted, in a service concession arrangement, the grantor makes promises, either explicitly or implicitly, to undertake activities in relation to the service concession asset that will benefit the operator. This reflects the fact that a service concession asset is controlled and managed by the </w:t>
      </w:r>
      <w:r w:rsidR="002F2014">
        <w:rPr>
          <w:sz w:val="19"/>
          <w:szCs w:val="19"/>
        </w:rPr>
        <w:t>grantor</w:t>
      </w:r>
      <w:r w:rsidR="002F2014" w:rsidRPr="00662611">
        <w:rPr>
          <w:sz w:val="19"/>
          <w:szCs w:val="19"/>
        </w:rPr>
        <w:t xml:space="preserve"> </w:t>
      </w:r>
      <w:r w:rsidRPr="00662611">
        <w:rPr>
          <w:sz w:val="19"/>
          <w:szCs w:val="19"/>
        </w:rPr>
        <w:t xml:space="preserve">to provide public services. </w:t>
      </w:r>
      <w:r w:rsidR="00266734" w:rsidRPr="00662611">
        <w:rPr>
          <w:sz w:val="19"/>
          <w:szCs w:val="19"/>
        </w:rPr>
        <w:t>T</w:t>
      </w:r>
      <w:r w:rsidRPr="00662611">
        <w:rPr>
          <w:sz w:val="19"/>
          <w:szCs w:val="19"/>
        </w:rPr>
        <w:t xml:space="preserve">he Board </w:t>
      </w:r>
      <w:r w:rsidR="00AF0E19" w:rsidRPr="00662611">
        <w:rPr>
          <w:sz w:val="19"/>
          <w:szCs w:val="19"/>
        </w:rPr>
        <w:t>acknowledge</w:t>
      </w:r>
      <w:r w:rsidR="00EC317A" w:rsidRPr="00662611">
        <w:rPr>
          <w:sz w:val="19"/>
          <w:szCs w:val="19"/>
        </w:rPr>
        <w:t>d</w:t>
      </w:r>
      <w:r w:rsidR="00AF0E19" w:rsidRPr="00662611">
        <w:rPr>
          <w:sz w:val="19"/>
          <w:szCs w:val="19"/>
        </w:rPr>
        <w:t xml:space="preserve"> </w:t>
      </w:r>
      <w:r w:rsidRPr="00662611">
        <w:rPr>
          <w:sz w:val="19"/>
          <w:szCs w:val="19"/>
        </w:rPr>
        <w:t xml:space="preserve">that the </w:t>
      </w:r>
      <w:r w:rsidR="00266734" w:rsidRPr="00662611">
        <w:rPr>
          <w:sz w:val="19"/>
          <w:szCs w:val="19"/>
        </w:rPr>
        <w:t xml:space="preserve">grantor’s </w:t>
      </w:r>
      <w:r w:rsidRPr="00662611">
        <w:rPr>
          <w:sz w:val="19"/>
          <w:szCs w:val="19"/>
        </w:rPr>
        <w:t xml:space="preserve">promise, or the operator’s expectation, that the grantor will undertake activities that benefit the operator </w:t>
      </w:r>
      <w:r w:rsidR="00266734" w:rsidRPr="00662611">
        <w:rPr>
          <w:sz w:val="19"/>
          <w:szCs w:val="19"/>
        </w:rPr>
        <w:t xml:space="preserve">may </w:t>
      </w:r>
      <w:r w:rsidRPr="00662611">
        <w:rPr>
          <w:sz w:val="19"/>
          <w:szCs w:val="19"/>
        </w:rPr>
        <w:t xml:space="preserve">in some instances be comparable to promises made by a licensor or expectations of a licensee that the licensor will undertake activities in relation to intellectual property that will benefit the licensee. AASB 15 identifies </w:t>
      </w:r>
      <w:r w:rsidR="00266734" w:rsidRPr="00662611">
        <w:rPr>
          <w:sz w:val="19"/>
          <w:szCs w:val="19"/>
        </w:rPr>
        <w:t xml:space="preserve">such </w:t>
      </w:r>
      <w:r w:rsidRPr="00662611">
        <w:rPr>
          <w:sz w:val="19"/>
          <w:szCs w:val="19"/>
        </w:rPr>
        <w:t xml:space="preserve">licences </w:t>
      </w:r>
      <w:r w:rsidR="006212DB" w:rsidRPr="00662611">
        <w:rPr>
          <w:sz w:val="19"/>
          <w:szCs w:val="19"/>
        </w:rPr>
        <w:t xml:space="preserve">as </w:t>
      </w:r>
      <w:r w:rsidRPr="00662611">
        <w:rPr>
          <w:sz w:val="19"/>
          <w:szCs w:val="19"/>
        </w:rPr>
        <w:t xml:space="preserve">licences that provide the licensee with a right to access the underlying intellectual property. AASB 15 specifies that </w:t>
      </w:r>
      <w:r w:rsidR="00266734" w:rsidRPr="00662611">
        <w:rPr>
          <w:sz w:val="19"/>
          <w:szCs w:val="19"/>
        </w:rPr>
        <w:t xml:space="preserve">the </w:t>
      </w:r>
      <w:r w:rsidRPr="00662611">
        <w:rPr>
          <w:sz w:val="19"/>
          <w:szCs w:val="19"/>
        </w:rPr>
        <w:t>promise of a right to access intellectual property is a performance obligation t</w:t>
      </w:r>
      <w:r w:rsidR="00F63A57" w:rsidRPr="00662611">
        <w:rPr>
          <w:sz w:val="19"/>
          <w:szCs w:val="19"/>
        </w:rPr>
        <w:t>hat is satisfied over time and</w:t>
      </w:r>
      <w:r w:rsidRPr="00662611">
        <w:rPr>
          <w:sz w:val="19"/>
          <w:szCs w:val="19"/>
        </w:rPr>
        <w:t xml:space="preserve"> the licensor would recognise a contract liability for its remaining performance obligation to provide access. </w:t>
      </w:r>
    </w:p>
    <w:p w14:paraId="7D9277F2" w14:textId="657A564F" w:rsidR="003C3D84" w:rsidRPr="00662611" w:rsidRDefault="003C3D84" w:rsidP="00942FDB">
      <w:pPr>
        <w:pStyle w:val="IE1"/>
        <w:numPr>
          <w:ilvl w:val="0"/>
          <w:numId w:val="18"/>
        </w:numPr>
        <w:tabs>
          <w:tab w:val="clear" w:pos="624"/>
        </w:tabs>
        <w:spacing w:after="100" w:line="240" w:lineRule="auto"/>
        <w:ind w:left="782" w:hanging="782"/>
        <w:jc w:val="both"/>
        <w:rPr>
          <w:sz w:val="19"/>
          <w:szCs w:val="19"/>
        </w:rPr>
      </w:pPr>
      <w:bookmarkStart w:id="141" w:name="_Ref477286150"/>
      <w:r w:rsidRPr="00662611">
        <w:rPr>
          <w:sz w:val="19"/>
          <w:szCs w:val="19"/>
        </w:rPr>
        <w:t xml:space="preserve">The Board </w:t>
      </w:r>
      <w:r w:rsidR="00B42934" w:rsidRPr="00662611">
        <w:rPr>
          <w:sz w:val="19"/>
          <w:szCs w:val="19"/>
        </w:rPr>
        <w:t>decided</w:t>
      </w:r>
      <w:r w:rsidRPr="00662611">
        <w:rPr>
          <w:sz w:val="19"/>
          <w:szCs w:val="19"/>
        </w:rPr>
        <w:t xml:space="preserve"> that facts and circumstances would need to be assessed for each arrangement to determine whether </w:t>
      </w:r>
      <w:r w:rsidR="00211617" w:rsidRPr="00662611">
        <w:rPr>
          <w:sz w:val="19"/>
          <w:szCs w:val="19"/>
        </w:rPr>
        <w:t xml:space="preserve">the arrangement represented </w:t>
      </w:r>
      <w:r w:rsidRPr="00662611">
        <w:rPr>
          <w:sz w:val="19"/>
          <w:szCs w:val="19"/>
        </w:rPr>
        <w:t xml:space="preserve">a </w:t>
      </w:r>
      <w:r w:rsidR="00211617" w:rsidRPr="00662611">
        <w:rPr>
          <w:sz w:val="19"/>
          <w:szCs w:val="19"/>
        </w:rPr>
        <w:t>right-of-</w:t>
      </w:r>
      <w:r w:rsidRPr="00662611">
        <w:rPr>
          <w:sz w:val="19"/>
          <w:szCs w:val="19"/>
        </w:rPr>
        <w:t>access licence</w:t>
      </w:r>
      <w:r w:rsidR="00211617" w:rsidRPr="00662611">
        <w:rPr>
          <w:sz w:val="19"/>
          <w:szCs w:val="19"/>
        </w:rPr>
        <w:t xml:space="preserve"> or a right-of-use licence</w:t>
      </w:r>
      <w:r w:rsidRPr="00662611">
        <w:rPr>
          <w:sz w:val="19"/>
          <w:szCs w:val="19"/>
        </w:rPr>
        <w:t>. The Board preferred all service concession arrangements</w:t>
      </w:r>
      <w:r w:rsidR="00CA4A44" w:rsidRPr="00662611">
        <w:rPr>
          <w:sz w:val="19"/>
          <w:szCs w:val="19"/>
        </w:rPr>
        <w:t xml:space="preserve"> </w:t>
      </w:r>
      <w:r w:rsidR="00C564C9" w:rsidRPr="00662611">
        <w:rPr>
          <w:sz w:val="19"/>
          <w:szCs w:val="19"/>
        </w:rPr>
        <w:t xml:space="preserve">to </w:t>
      </w:r>
      <w:r w:rsidR="00CA4A44" w:rsidRPr="00662611">
        <w:rPr>
          <w:sz w:val="19"/>
          <w:szCs w:val="19"/>
        </w:rPr>
        <w:t xml:space="preserve">be treated the same way, as it did not see the substance of </w:t>
      </w:r>
      <w:r w:rsidR="00E9696C">
        <w:rPr>
          <w:sz w:val="19"/>
          <w:szCs w:val="19"/>
        </w:rPr>
        <w:t xml:space="preserve">service concession </w:t>
      </w:r>
      <w:r w:rsidR="00CA4A44" w:rsidRPr="00662611">
        <w:rPr>
          <w:sz w:val="19"/>
          <w:szCs w:val="19"/>
        </w:rPr>
        <w:t xml:space="preserve">arrangements being different in respect to commitments under the arrangements. The Board also noted that recognising revenue immediately on a </w:t>
      </w:r>
      <w:r w:rsidR="00D0493D" w:rsidRPr="00662611">
        <w:rPr>
          <w:sz w:val="19"/>
          <w:szCs w:val="19"/>
        </w:rPr>
        <w:t>service concession asset</w:t>
      </w:r>
      <w:r w:rsidR="00CA4A44" w:rsidRPr="00662611">
        <w:rPr>
          <w:sz w:val="19"/>
          <w:szCs w:val="19"/>
        </w:rPr>
        <w:t xml:space="preserve"> that would otherwise be considered loss</w:t>
      </w:r>
      <w:r w:rsidR="000163D0" w:rsidRPr="00662611">
        <w:rPr>
          <w:sz w:val="19"/>
          <w:szCs w:val="19"/>
        </w:rPr>
        <w:t xml:space="preserve"> </w:t>
      </w:r>
      <w:r w:rsidR="00CA4A44" w:rsidRPr="00662611">
        <w:rPr>
          <w:sz w:val="19"/>
          <w:szCs w:val="19"/>
        </w:rPr>
        <w:t xml:space="preserve">making from a cashflow perspective would not </w:t>
      </w:r>
      <w:r w:rsidR="003F1C04" w:rsidRPr="00662611">
        <w:rPr>
          <w:sz w:val="19"/>
          <w:szCs w:val="19"/>
        </w:rPr>
        <w:t xml:space="preserve">reflect the economic substance </w:t>
      </w:r>
      <w:r w:rsidR="00CA4A44" w:rsidRPr="00662611">
        <w:rPr>
          <w:sz w:val="19"/>
          <w:szCs w:val="19"/>
        </w:rPr>
        <w:t>o</w:t>
      </w:r>
      <w:r w:rsidR="003F1C04" w:rsidRPr="00662611">
        <w:rPr>
          <w:sz w:val="19"/>
          <w:szCs w:val="19"/>
        </w:rPr>
        <w:t>f</w:t>
      </w:r>
      <w:r w:rsidR="00CA4A44" w:rsidRPr="00662611">
        <w:rPr>
          <w:sz w:val="19"/>
          <w:szCs w:val="19"/>
        </w:rPr>
        <w:t xml:space="preserve"> the arrangement and would overstate current year </w:t>
      </w:r>
      <w:r w:rsidR="00D0493D" w:rsidRPr="00662611">
        <w:rPr>
          <w:sz w:val="19"/>
          <w:szCs w:val="19"/>
        </w:rPr>
        <w:t xml:space="preserve">financial </w:t>
      </w:r>
      <w:r w:rsidR="00CA4A44" w:rsidRPr="00662611">
        <w:rPr>
          <w:sz w:val="19"/>
          <w:szCs w:val="19"/>
        </w:rPr>
        <w:t xml:space="preserve">performance. </w:t>
      </w:r>
      <w:r w:rsidR="00E8499C" w:rsidRPr="00662611">
        <w:rPr>
          <w:sz w:val="19"/>
          <w:szCs w:val="19"/>
        </w:rPr>
        <w:t xml:space="preserve">The Board </w:t>
      </w:r>
      <w:r w:rsidR="00CB523E">
        <w:rPr>
          <w:sz w:val="19"/>
          <w:szCs w:val="19"/>
        </w:rPr>
        <w:t xml:space="preserve">further </w:t>
      </w:r>
      <w:r w:rsidR="00E8499C" w:rsidRPr="00662611">
        <w:rPr>
          <w:sz w:val="19"/>
          <w:szCs w:val="19"/>
        </w:rPr>
        <w:t xml:space="preserve">noted that immediate recognition of revenue </w:t>
      </w:r>
      <w:r w:rsidR="00B52330" w:rsidRPr="00662611">
        <w:rPr>
          <w:sz w:val="19"/>
          <w:szCs w:val="19"/>
        </w:rPr>
        <w:t xml:space="preserve">(rather than a liability) </w:t>
      </w:r>
      <w:r w:rsidR="00E8499C" w:rsidRPr="00662611">
        <w:rPr>
          <w:sz w:val="19"/>
          <w:szCs w:val="19"/>
        </w:rPr>
        <w:t xml:space="preserve">would result in overstatement of the </w:t>
      </w:r>
      <w:r w:rsidR="00B52330" w:rsidRPr="00662611">
        <w:rPr>
          <w:sz w:val="19"/>
          <w:szCs w:val="19"/>
        </w:rPr>
        <w:t xml:space="preserve">financial position </w:t>
      </w:r>
      <w:r w:rsidR="00E8499C" w:rsidRPr="00662611">
        <w:rPr>
          <w:sz w:val="19"/>
          <w:szCs w:val="19"/>
        </w:rPr>
        <w:t>as the requirement to use current replacement cost</w:t>
      </w:r>
      <w:r w:rsidR="00FB7EF7" w:rsidRPr="00662611">
        <w:rPr>
          <w:sz w:val="19"/>
          <w:szCs w:val="19"/>
        </w:rPr>
        <w:t xml:space="preserve"> as fair value recognises the asset</w:t>
      </w:r>
      <w:r w:rsidR="00B52330" w:rsidRPr="00662611">
        <w:rPr>
          <w:sz w:val="19"/>
          <w:szCs w:val="19"/>
        </w:rPr>
        <w:t xml:space="preserve"> in full</w:t>
      </w:r>
      <w:r w:rsidR="00FB7EF7" w:rsidRPr="00662611">
        <w:rPr>
          <w:sz w:val="19"/>
          <w:szCs w:val="19"/>
        </w:rPr>
        <w:t xml:space="preserve">, even though the right to charge users </w:t>
      </w:r>
      <w:r w:rsidR="001B642B" w:rsidRPr="00662611">
        <w:rPr>
          <w:sz w:val="19"/>
          <w:szCs w:val="19"/>
        </w:rPr>
        <w:t xml:space="preserve">of the asset </w:t>
      </w:r>
      <w:r w:rsidR="00FB7EF7" w:rsidRPr="00662611">
        <w:rPr>
          <w:sz w:val="19"/>
          <w:szCs w:val="19"/>
        </w:rPr>
        <w:t xml:space="preserve">has been transferred to the </w:t>
      </w:r>
      <w:r w:rsidR="00B52330" w:rsidRPr="00662611">
        <w:rPr>
          <w:sz w:val="19"/>
          <w:szCs w:val="19"/>
        </w:rPr>
        <w:t>operator</w:t>
      </w:r>
      <w:r w:rsidR="00FB7EF7" w:rsidRPr="00662611">
        <w:rPr>
          <w:sz w:val="19"/>
          <w:szCs w:val="19"/>
        </w:rPr>
        <w:t>.</w:t>
      </w:r>
      <w:bookmarkEnd w:id="141"/>
    </w:p>
    <w:p w14:paraId="7D9277F3"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bookmarkStart w:id="142" w:name="_Ref477280302"/>
      <w:r w:rsidRPr="00662611">
        <w:rPr>
          <w:sz w:val="19"/>
          <w:szCs w:val="19"/>
        </w:rPr>
        <w:lastRenderedPageBreak/>
        <w:t xml:space="preserve">Consequently, the Board concluded the grantor’s </w:t>
      </w:r>
      <w:r w:rsidR="00DF0494" w:rsidRPr="00662611">
        <w:rPr>
          <w:sz w:val="19"/>
          <w:szCs w:val="19"/>
        </w:rPr>
        <w:t xml:space="preserve">promises </w:t>
      </w:r>
      <w:r w:rsidRPr="00662611">
        <w:rPr>
          <w:sz w:val="19"/>
          <w:szCs w:val="19"/>
        </w:rPr>
        <w:t>to undertake activities in relation to the service concession asset that will benefit the operator should also be accounted similarly to a contract liability. The grantor would subsequently recognise revenue as the ‘access’ is provided to the operator over the service concession period.</w:t>
      </w:r>
      <w:bookmarkEnd w:id="142"/>
      <w:r w:rsidRPr="00662611">
        <w:rPr>
          <w:sz w:val="19"/>
          <w:szCs w:val="19"/>
        </w:rPr>
        <w:t xml:space="preserve"> </w:t>
      </w:r>
    </w:p>
    <w:p w14:paraId="7D9277F4"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bookmarkStart w:id="143" w:name="_Ref477280305"/>
      <w:r w:rsidRPr="00662611">
        <w:rPr>
          <w:sz w:val="19"/>
          <w:szCs w:val="19"/>
        </w:rPr>
        <w:t xml:space="preserve">In some service concession arrangements, the right to charge users is described as a licence. The Board noted that </w:t>
      </w:r>
      <w:r w:rsidR="008A48B1" w:rsidRPr="00662611">
        <w:rPr>
          <w:sz w:val="19"/>
          <w:szCs w:val="19"/>
        </w:rPr>
        <w:t xml:space="preserve">accounting for licences other than those relating to service concession arrangements </w:t>
      </w:r>
      <w:r w:rsidR="00DF0494" w:rsidRPr="00662611">
        <w:rPr>
          <w:sz w:val="19"/>
          <w:szCs w:val="19"/>
        </w:rPr>
        <w:t xml:space="preserve">should be subject to </w:t>
      </w:r>
      <w:r w:rsidR="008A4D2B" w:rsidRPr="00662611">
        <w:rPr>
          <w:sz w:val="19"/>
          <w:szCs w:val="19"/>
        </w:rPr>
        <w:t>further research to inform the Board as to whether a separate project would be required.</w:t>
      </w:r>
      <w:r w:rsidR="008120B9" w:rsidRPr="00662611">
        <w:rPr>
          <w:sz w:val="19"/>
          <w:szCs w:val="19"/>
        </w:rPr>
        <w:t xml:space="preserve"> Determining whether a particular licence granted by a government is within the scope of AASB 15 would depend on the facts and circumstances.</w:t>
      </w:r>
      <w:bookmarkEnd w:id="143"/>
    </w:p>
    <w:p w14:paraId="7D9277F5" w14:textId="51F54B96" w:rsidR="002842F1" w:rsidRPr="00662611" w:rsidRDefault="008120B9"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Gi</w:t>
      </w:r>
      <w:r w:rsidR="002842F1" w:rsidRPr="00662611">
        <w:rPr>
          <w:sz w:val="19"/>
          <w:szCs w:val="19"/>
        </w:rPr>
        <w:t>ven the importance of service concession arrangements to governments and the lack of accounting guidance for such arrangements</w:t>
      </w:r>
      <w:r w:rsidR="00CB523E">
        <w:rPr>
          <w:sz w:val="19"/>
          <w:szCs w:val="19"/>
        </w:rPr>
        <w:t xml:space="preserve"> in the absence of AASB </w:t>
      </w:r>
      <w:r w:rsidR="005F6667">
        <w:rPr>
          <w:sz w:val="19"/>
          <w:szCs w:val="19"/>
        </w:rPr>
        <w:t>1059</w:t>
      </w:r>
      <w:r w:rsidR="002842F1" w:rsidRPr="00662611">
        <w:rPr>
          <w:sz w:val="19"/>
          <w:szCs w:val="19"/>
        </w:rPr>
        <w:t>, the Board decided that service concession arrangements should be treated separately from other l</w:t>
      </w:r>
      <w:r w:rsidR="007F0B9E" w:rsidRPr="00662611">
        <w:rPr>
          <w:sz w:val="19"/>
          <w:szCs w:val="19"/>
        </w:rPr>
        <w:t>icences granted by governments</w:t>
      </w:r>
      <w:r w:rsidR="002842F1" w:rsidRPr="00662611">
        <w:rPr>
          <w:sz w:val="19"/>
          <w:szCs w:val="19"/>
        </w:rPr>
        <w:t>.</w:t>
      </w:r>
    </w:p>
    <w:p w14:paraId="7D9277F6" w14:textId="5827A701"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considered whether the Standard should include additional guidance on the principle-based approach to recognising revenue under the </w:t>
      </w:r>
      <w:r w:rsidR="00B7254E" w:rsidRPr="00662611">
        <w:rPr>
          <w:sz w:val="19"/>
          <w:szCs w:val="19"/>
        </w:rPr>
        <w:t xml:space="preserve">GORTO </w:t>
      </w:r>
      <w:r w:rsidRPr="00662611">
        <w:rPr>
          <w:sz w:val="19"/>
          <w:szCs w:val="19"/>
        </w:rPr>
        <w:t xml:space="preserve">model. </w:t>
      </w:r>
      <w:r w:rsidR="00376A00" w:rsidRPr="00662611">
        <w:rPr>
          <w:sz w:val="19"/>
          <w:szCs w:val="19"/>
        </w:rPr>
        <w:t xml:space="preserve">The Standard (paragraph </w:t>
      </w:r>
      <w:r w:rsidR="00245B99">
        <w:rPr>
          <w:sz w:val="19"/>
          <w:szCs w:val="19"/>
        </w:rPr>
        <w:fldChar w:fldCharType="begin"/>
      </w:r>
      <w:r w:rsidR="00245B99">
        <w:rPr>
          <w:sz w:val="19"/>
          <w:szCs w:val="19"/>
        </w:rPr>
        <w:instrText xml:space="preserve"> REF _Ref475631596 \r \h </w:instrText>
      </w:r>
      <w:r w:rsidR="00245B99">
        <w:rPr>
          <w:sz w:val="19"/>
          <w:szCs w:val="19"/>
        </w:rPr>
      </w:r>
      <w:r w:rsidR="00245B99">
        <w:rPr>
          <w:sz w:val="19"/>
          <w:szCs w:val="19"/>
        </w:rPr>
        <w:fldChar w:fldCharType="separate"/>
      </w:r>
      <w:r w:rsidR="00C43128">
        <w:rPr>
          <w:sz w:val="19"/>
          <w:szCs w:val="19"/>
        </w:rPr>
        <w:t>22</w:t>
      </w:r>
      <w:r w:rsidR="00245B99">
        <w:rPr>
          <w:sz w:val="19"/>
          <w:szCs w:val="19"/>
        </w:rPr>
        <w:fldChar w:fldCharType="end"/>
      </w:r>
      <w:r w:rsidR="00376A00" w:rsidRPr="00662611">
        <w:rPr>
          <w:sz w:val="19"/>
          <w:szCs w:val="19"/>
        </w:rPr>
        <w:t xml:space="preserve">) specifies that the grantor recognises revenue and reduces the GORTO liability according to the economic substance </w:t>
      </w:r>
      <w:r w:rsidR="009129B4" w:rsidRPr="00662611">
        <w:rPr>
          <w:sz w:val="19"/>
          <w:szCs w:val="19"/>
        </w:rPr>
        <w:t xml:space="preserve">of </w:t>
      </w:r>
      <w:r w:rsidR="00376A00" w:rsidRPr="00662611">
        <w:rPr>
          <w:sz w:val="19"/>
          <w:szCs w:val="19"/>
        </w:rPr>
        <w:t xml:space="preserve">the arrangement. </w:t>
      </w:r>
      <w:r w:rsidRPr="00662611">
        <w:rPr>
          <w:sz w:val="19"/>
          <w:szCs w:val="19"/>
        </w:rPr>
        <w:t>The Board assessed the following options of whether to:</w:t>
      </w:r>
    </w:p>
    <w:p w14:paraId="7D9277F7" w14:textId="77777777" w:rsidR="003862D4" w:rsidRPr="00662611" w:rsidRDefault="003862D4" w:rsidP="003102C2">
      <w:pPr>
        <w:pStyle w:val="IASBNormalnparaL1"/>
        <w:numPr>
          <w:ilvl w:val="0"/>
          <w:numId w:val="28"/>
        </w:numPr>
        <w:spacing w:before="0" w:after="100"/>
        <w:ind w:left="1564" w:hanging="782"/>
      </w:pPr>
      <w:proofErr w:type="gramStart"/>
      <w:r w:rsidRPr="00662611">
        <w:t>require</w:t>
      </w:r>
      <w:proofErr w:type="gramEnd"/>
      <w:r w:rsidRPr="00662611">
        <w:t xml:space="preserve"> revenue to be recognised on a systematic and rational basis using the straight</w:t>
      </w:r>
      <w:r w:rsidR="00837B95" w:rsidRPr="00662611">
        <w:t>-</w:t>
      </w:r>
      <w:r w:rsidRPr="00662611">
        <w:t>line method. This option would eliminate</w:t>
      </w:r>
      <w:r w:rsidR="00CA6002" w:rsidRPr="00662611">
        <w:t xml:space="preserve"> divergent approaches to</w:t>
      </w:r>
      <w:r w:rsidRPr="00662611">
        <w:t xml:space="preserve"> recognising revenue but would not be consistent with the objective of the Board to develop a principle-based accounting standard; or</w:t>
      </w:r>
    </w:p>
    <w:p w14:paraId="7D9277F8" w14:textId="6734F408" w:rsidR="003862D4" w:rsidRPr="00662611" w:rsidRDefault="003862D4" w:rsidP="003102C2">
      <w:pPr>
        <w:pStyle w:val="IASBNormalnparaL1"/>
        <w:numPr>
          <w:ilvl w:val="0"/>
          <w:numId w:val="28"/>
        </w:numPr>
        <w:spacing w:before="0" w:after="100"/>
        <w:ind w:left="1564" w:hanging="782"/>
      </w:pPr>
      <w:proofErr w:type="gramStart"/>
      <w:r w:rsidRPr="00662611">
        <w:t>not</w:t>
      </w:r>
      <w:proofErr w:type="gramEnd"/>
      <w:r w:rsidRPr="00662611">
        <w:t xml:space="preserve"> provide additional guidance in the final Standard on the basis there is sufficient guidance in the Standard. Paragraph </w:t>
      </w:r>
      <w:r w:rsidR="0032476E" w:rsidRPr="00662611">
        <w:fldChar w:fldCharType="begin"/>
      </w:r>
      <w:r w:rsidR="0032476E" w:rsidRPr="00662611">
        <w:instrText xml:space="preserve"> REF _Ref475620604 \r \h </w:instrText>
      </w:r>
      <w:r w:rsidR="0032476E" w:rsidRPr="00662611">
        <w:fldChar w:fldCharType="separate"/>
      </w:r>
      <w:r w:rsidR="00C43128">
        <w:t>B71</w:t>
      </w:r>
      <w:r w:rsidR="0032476E" w:rsidRPr="00662611">
        <w:fldChar w:fldCharType="end"/>
      </w:r>
      <w:r w:rsidRPr="00662611">
        <w:t xml:space="preserve"> requires revenue to be recognised and </w:t>
      </w:r>
      <w:r w:rsidR="009129B4" w:rsidRPr="00662611">
        <w:t xml:space="preserve">the </w:t>
      </w:r>
      <w:r w:rsidRPr="00662611">
        <w:t>liability reduced based on the economic substance of the arrangement, usually as access to the service concession asset is provided to the operator over the term of the service concession arrangement.</w:t>
      </w:r>
    </w:p>
    <w:p w14:paraId="7D9277F9" w14:textId="77777777" w:rsidR="003862D4" w:rsidRPr="00662611" w:rsidRDefault="003862D4" w:rsidP="005F424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decided</w:t>
      </w:r>
      <w:r w:rsidR="00CA6002" w:rsidRPr="00662611">
        <w:rPr>
          <w:sz w:val="19"/>
          <w:szCs w:val="19"/>
        </w:rPr>
        <w:t xml:space="preserve"> not to add</w:t>
      </w:r>
      <w:r w:rsidRPr="00662611">
        <w:rPr>
          <w:sz w:val="19"/>
          <w:szCs w:val="19"/>
        </w:rPr>
        <w:t xml:space="preserve"> additional guidance</w:t>
      </w:r>
      <w:r w:rsidR="00CA6002" w:rsidRPr="00662611">
        <w:rPr>
          <w:sz w:val="19"/>
          <w:szCs w:val="19"/>
        </w:rPr>
        <w:t>. R</w:t>
      </w:r>
      <w:r w:rsidRPr="00662611">
        <w:rPr>
          <w:sz w:val="19"/>
          <w:szCs w:val="19"/>
        </w:rPr>
        <w:t>evenue recognition should be based on the economic substance of the specific arrangement</w:t>
      </w:r>
      <w:r w:rsidR="00CA6002" w:rsidRPr="00662611">
        <w:rPr>
          <w:sz w:val="19"/>
          <w:szCs w:val="19"/>
        </w:rPr>
        <w:t xml:space="preserve"> as</w:t>
      </w:r>
      <w:r w:rsidRPr="00662611">
        <w:rPr>
          <w:sz w:val="19"/>
          <w:szCs w:val="19"/>
        </w:rPr>
        <w:t xml:space="preserve"> assessed by the grantor and </w:t>
      </w:r>
      <w:r w:rsidR="00CA6002" w:rsidRPr="00662611">
        <w:rPr>
          <w:sz w:val="19"/>
          <w:szCs w:val="19"/>
        </w:rPr>
        <w:t xml:space="preserve">should </w:t>
      </w:r>
      <w:r w:rsidRPr="00662611">
        <w:rPr>
          <w:sz w:val="19"/>
          <w:szCs w:val="19"/>
        </w:rPr>
        <w:t>not be prescribed by the Board.</w:t>
      </w:r>
    </w:p>
    <w:p w14:paraId="7D9277FA" w14:textId="77777777" w:rsidR="003862D4" w:rsidRPr="00662611" w:rsidRDefault="003862D4" w:rsidP="00A854C0">
      <w:pPr>
        <w:pStyle w:val="IASBSectionTitle2Ind"/>
        <w:outlineLvl w:val="2"/>
      </w:pPr>
      <w:r w:rsidRPr="00662611">
        <w:t>Other liability recognition and measurement models</w:t>
      </w:r>
    </w:p>
    <w:p w14:paraId="7D9277FB" w14:textId="77777777" w:rsidR="003862D4" w:rsidRPr="00662611" w:rsidRDefault="003862D4" w:rsidP="005F424B">
      <w:pPr>
        <w:pStyle w:val="IE1"/>
        <w:numPr>
          <w:ilvl w:val="0"/>
          <w:numId w:val="18"/>
        </w:numPr>
        <w:tabs>
          <w:tab w:val="clear" w:pos="624"/>
        </w:tabs>
        <w:spacing w:after="100" w:line="240" w:lineRule="auto"/>
        <w:ind w:left="771" w:hanging="771"/>
        <w:jc w:val="both"/>
        <w:rPr>
          <w:sz w:val="19"/>
          <w:szCs w:val="19"/>
        </w:rPr>
      </w:pPr>
      <w:r w:rsidRPr="00662611">
        <w:rPr>
          <w:sz w:val="19"/>
          <w:szCs w:val="19"/>
        </w:rPr>
        <w:t xml:space="preserve">The Board considered the following alternative recognition and measurement models to the </w:t>
      </w:r>
      <w:r w:rsidR="005305C5" w:rsidRPr="00662611">
        <w:rPr>
          <w:sz w:val="19"/>
          <w:szCs w:val="19"/>
        </w:rPr>
        <w:t>GORTO</w:t>
      </w:r>
      <w:r w:rsidRPr="00662611">
        <w:rPr>
          <w:sz w:val="19"/>
          <w:szCs w:val="19"/>
        </w:rPr>
        <w:t xml:space="preserve"> model:</w:t>
      </w:r>
    </w:p>
    <w:p w14:paraId="7D9277FC" w14:textId="77777777" w:rsidR="003862D4" w:rsidRPr="00662611" w:rsidRDefault="003862D4" w:rsidP="003102C2">
      <w:pPr>
        <w:pStyle w:val="NumAG2"/>
        <w:numPr>
          <w:ilvl w:val="1"/>
          <w:numId w:val="46"/>
        </w:numPr>
        <w:tabs>
          <w:tab w:val="clear" w:pos="1247"/>
        </w:tabs>
        <w:ind w:left="1564" w:hanging="782"/>
      </w:pPr>
      <w:r w:rsidRPr="00662611">
        <w:t xml:space="preserve">applying the financial liability model to all service concession arrangements; </w:t>
      </w:r>
    </w:p>
    <w:p w14:paraId="7D9277FD" w14:textId="77777777" w:rsidR="003862D4" w:rsidRPr="00662611" w:rsidRDefault="003862D4" w:rsidP="00FD581A">
      <w:pPr>
        <w:pStyle w:val="NumAG2"/>
        <w:tabs>
          <w:tab w:val="clear" w:pos="1247"/>
          <w:tab w:val="num" w:pos="1560"/>
        </w:tabs>
        <w:ind w:left="1564" w:hanging="782"/>
      </w:pPr>
      <w:r w:rsidRPr="00662611">
        <w:t>accounting for the assets of the arrangement and not the right to charge users for the use of the service concession asset that has been granted by the grantor to the operator; and</w:t>
      </w:r>
    </w:p>
    <w:p w14:paraId="7D9277FE" w14:textId="77777777" w:rsidR="003862D4" w:rsidRPr="00662611" w:rsidRDefault="003862D4" w:rsidP="00FD581A">
      <w:pPr>
        <w:pStyle w:val="NumAG2"/>
        <w:tabs>
          <w:tab w:val="clear" w:pos="1247"/>
          <w:tab w:val="num" w:pos="1560"/>
        </w:tabs>
        <w:ind w:left="1564" w:hanging="782"/>
      </w:pPr>
      <w:proofErr w:type="gramStart"/>
      <w:r w:rsidRPr="00662611">
        <w:t>application</w:t>
      </w:r>
      <w:proofErr w:type="gramEnd"/>
      <w:r w:rsidRPr="00662611">
        <w:t xml:space="preserve"> of AASB 140 </w:t>
      </w:r>
      <w:r w:rsidRPr="00662611">
        <w:rPr>
          <w:i/>
        </w:rPr>
        <w:t>Investment Property</w:t>
      </w:r>
      <w:r w:rsidRPr="00662611">
        <w:t xml:space="preserve"> by analogy.</w:t>
      </w:r>
    </w:p>
    <w:p w14:paraId="7D9277FF" w14:textId="77777777" w:rsidR="003862D4" w:rsidRPr="00662611" w:rsidRDefault="00CA6002" w:rsidP="00942FDB">
      <w:pPr>
        <w:pStyle w:val="IE1"/>
        <w:numPr>
          <w:ilvl w:val="0"/>
          <w:numId w:val="18"/>
        </w:numPr>
        <w:tabs>
          <w:tab w:val="clear" w:pos="624"/>
        </w:tabs>
        <w:spacing w:after="100" w:line="240" w:lineRule="auto"/>
        <w:ind w:left="782" w:hanging="782"/>
        <w:jc w:val="both"/>
        <w:rPr>
          <w:sz w:val="19"/>
          <w:szCs w:val="19"/>
        </w:rPr>
      </w:pPr>
      <w:bookmarkStart w:id="144" w:name="_Ref476335743"/>
      <w:r w:rsidRPr="00662611">
        <w:rPr>
          <w:sz w:val="19"/>
          <w:szCs w:val="19"/>
        </w:rPr>
        <w:t>I</w:t>
      </w:r>
      <w:r w:rsidR="003862D4" w:rsidRPr="00662611">
        <w:rPr>
          <w:sz w:val="19"/>
          <w:szCs w:val="19"/>
        </w:rPr>
        <w:t xml:space="preserve">n analysing whether the financial liability model </w:t>
      </w:r>
      <w:r w:rsidR="00023512" w:rsidRPr="00662611">
        <w:rPr>
          <w:sz w:val="19"/>
          <w:szCs w:val="19"/>
        </w:rPr>
        <w:t xml:space="preserve">could </w:t>
      </w:r>
      <w:r w:rsidR="003862D4" w:rsidRPr="00662611">
        <w:rPr>
          <w:sz w:val="19"/>
          <w:szCs w:val="19"/>
        </w:rPr>
        <w:t>be applied to all service concession arrangements</w:t>
      </w:r>
      <w:r w:rsidRPr="00662611">
        <w:rPr>
          <w:sz w:val="19"/>
          <w:szCs w:val="19"/>
        </w:rPr>
        <w:t>, the Board</w:t>
      </w:r>
      <w:r w:rsidR="003862D4" w:rsidRPr="00662611">
        <w:rPr>
          <w:sz w:val="19"/>
          <w:szCs w:val="19"/>
        </w:rPr>
        <w:t xml:space="preserve"> considered:</w:t>
      </w:r>
      <w:bookmarkEnd w:id="144"/>
    </w:p>
    <w:p w14:paraId="7D927800" w14:textId="62E96C1A" w:rsidR="003862D4" w:rsidRPr="00662611" w:rsidRDefault="00CA6002" w:rsidP="003102C2">
      <w:pPr>
        <w:pStyle w:val="NumAG2"/>
        <w:numPr>
          <w:ilvl w:val="1"/>
          <w:numId w:val="47"/>
        </w:numPr>
        <w:tabs>
          <w:tab w:val="clear" w:pos="1247"/>
        </w:tabs>
        <w:ind w:left="1564" w:hanging="782"/>
      </w:pPr>
      <w:proofErr w:type="gramStart"/>
      <w:r w:rsidRPr="00662611">
        <w:t>whether</w:t>
      </w:r>
      <w:proofErr w:type="gramEnd"/>
      <w:r w:rsidRPr="00662611">
        <w:t xml:space="preserve"> </w:t>
      </w:r>
      <w:r w:rsidR="003862D4" w:rsidRPr="00662611">
        <w:t xml:space="preserve">the </w:t>
      </w:r>
      <w:r w:rsidR="002A0249">
        <w:t xml:space="preserve">nature of the </w:t>
      </w:r>
      <w:r w:rsidR="003862D4" w:rsidRPr="00662611">
        <w:t>party (the grantor or the users of the service concession</w:t>
      </w:r>
      <w:r w:rsidRPr="00662611">
        <w:t xml:space="preserve"> asset</w:t>
      </w:r>
      <w:r w:rsidR="003862D4" w:rsidRPr="00662611">
        <w:t>) that makes the payment to the operator determines the accounting model for the grantor to recognise a service concession liability. Consistent with</w:t>
      </w:r>
      <w:r w:rsidR="00F95217" w:rsidRPr="00662611">
        <w:t xml:space="preserve"> AASB</w:t>
      </w:r>
      <w:r w:rsidR="003862D4" w:rsidRPr="00662611">
        <w:t xml:space="preserve"> </w:t>
      </w:r>
      <w:r w:rsidRPr="00662611">
        <w:t xml:space="preserve">Interpretation </w:t>
      </w:r>
      <w:r w:rsidR="003862D4" w:rsidRPr="00662611">
        <w:t>12, the Board concluded the party that has the responsibility to make payments to the operator is important in determining the accounting model for the grantor’s recognition of the liability. This view takes into accou</w:t>
      </w:r>
      <w:r w:rsidR="00543982" w:rsidRPr="00662611">
        <w:t>nt who bears the demand risk (i</w:t>
      </w:r>
      <w:r w:rsidR="003862D4" w:rsidRPr="00662611">
        <w:t xml:space="preserve">e the ability and willingness of the users to </w:t>
      </w:r>
      <w:r w:rsidRPr="00662611">
        <w:t xml:space="preserve">use and </w:t>
      </w:r>
      <w:r w:rsidR="003862D4" w:rsidRPr="00662611">
        <w:t xml:space="preserve">pay for the services). This view is consistent with the models in this Standard and mirrors the requirements of </w:t>
      </w:r>
      <w:r w:rsidR="00F95217" w:rsidRPr="00662611">
        <w:t xml:space="preserve">AASB </w:t>
      </w:r>
      <w:r w:rsidRPr="00662611">
        <w:t xml:space="preserve">Interpretation </w:t>
      </w:r>
      <w:r w:rsidR="003862D4" w:rsidRPr="00662611">
        <w:t xml:space="preserve">12. That is, under the financial liability model, the grantor is the party with the primary responsibility to make payments to the operator for the services. This contrasts with the </w:t>
      </w:r>
      <w:r w:rsidR="001C0949" w:rsidRPr="00662611">
        <w:t xml:space="preserve">GORTO </w:t>
      </w:r>
      <w:r w:rsidR="003862D4" w:rsidRPr="00662611">
        <w:t xml:space="preserve">model, where the operator is the party that bears the demand risks. Accordingly, the use of different models (ie </w:t>
      </w:r>
      <w:r w:rsidRPr="00662611">
        <w:t xml:space="preserve">the </w:t>
      </w:r>
      <w:r w:rsidR="003862D4" w:rsidRPr="00662611">
        <w:t xml:space="preserve">financial liability model and </w:t>
      </w:r>
      <w:r w:rsidR="0043203A" w:rsidRPr="00662611">
        <w:t xml:space="preserve">the </w:t>
      </w:r>
      <w:r w:rsidR="001C0949" w:rsidRPr="00662611">
        <w:t xml:space="preserve">GORTO </w:t>
      </w:r>
      <w:r w:rsidR="003862D4" w:rsidRPr="00662611">
        <w:t>model) to account for the liability is more appropriate</w:t>
      </w:r>
      <w:r w:rsidR="004C15C4" w:rsidRPr="00662611">
        <w:t>; and</w:t>
      </w:r>
    </w:p>
    <w:p w14:paraId="7D927801" w14:textId="2DF0D2F4" w:rsidR="003862D4" w:rsidRPr="00662611" w:rsidRDefault="0043203A" w:rsidP="00850087">
      <w:pPr>
        <w:pStyle w:val="NumAG2"/>
        <w:tabs>
          <w:tab w:val="clear" w:pos="1247"/>
        </w:tabs>
        <w:ind w:left="1564" w:hanging="782"/>
      </w:pPr>
      <w:proofErr w:type="gramStart"/>
      <w:r w:rsidRPr="00662611">
        <w:t>whether</w:t>
      </w:r>
      <w:proofErr w:type="gramEnd"/>
      <w:r w:rsidRPr="00662611">
        <w:t xml:space="preserve"> </w:t>
      </w:r>
      <w:r w:rsidR="003862D4" w:rsidRPr="00662611">
        <w:t xml:space="preserve">the grantor has a financial liability </w:t>
      </w:r>
      <w:r w:rsidRPr="00662611">
        <w:t xml:space="preserve">when </w:t>
      </w:r>
      <w:r w:rsidR="003862D4" w:rsidRPr="00662611">
        <w:t xml:space="preserve">the operator has been granted the right to charge third-party users for the use of the asset. The Board concluded that the grantor </w:t>
      </w:r>
      <w:r w:rsidRPr="00662611">
        <w:t xml:space="preserve">does not have a financial liability </w:t>
      </w:r>
      <w:r w:rsidR="003862D4" w:rsidRPr="00662611">
        <w:t xml:space="preserve">under </w:t>
      </w:r>
      <w:r w:rsidR="005F2BDD" w:rsidRPr="00662611">
        <w:t>GORTO</w:t>
      </w:r>
      <w:r w:rsidR="003862D4" w:rsidRPr="00662611">
        <w:t xml:space="preserve"> arrangement</w:t>
      </w:r>
      <w:r w:rsidR="00377DC9" w:rsidRPr="00662611">
        <w:t>s</w:t>
      </w:r>
      <w:r w:rsidRPr="00662611">
        <w:t>.</w:t>
      </w:r>
      <w:r w:rsidR="003862D4" w:rsidRPr="00662611">
        <w:t xml:space="preserve"> That is, the grantor does not have a contractual obligation to deliver cash or another financial asset to the operator nor exchange financial assets or financial </w:t>
      </w:r>
      <w:r w:rsidRPr="00662611">
        <w:t xml:space="preserve">liabilities </w:t>
      </w:r>
      <w:r w:rsidR="003862D4" w:rsidRPr="00662611">
        <w:t>with the operator under potentially unfavourable conditions.</w:t>
      </w:r>
    </w:p>
    <w:p w14:paraId="7D927802" w14:textId="1B2F88FE" w:rsidR="005F285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considered whether the more appropriate approach under the </w:t>
      </w:r>
      <w:r w:rsidR="005F2BDD" w:rsidRPr="00662611">
        <w:rPr>
          <w:sz w:val="19"/>
          <w:szCs w:val="19"/>
        </w:rPr>
        <w:t xml:space="preserve">GORTO </w:t>
      </w:r>
      <w:r w:rsidRPr="00662611">
        <w:rPr>
          <w:sz w:val="19"/>
          <w:szCs w:val="19"/>
        </w:rPr>
        <w:t xml:space="preserve">model is to recognise only the cash flows that the </w:t>
      </w:r>
      <w:r w:rsidR="0043203A" w:rsidRPr="00662611">
        <w:rPr>
          <w:sz w:val="19"/>
          <w:szCs w:val="19"/>
        </w:rPr>
        <w:t xml:space="preserve">service concession </w:t>
      </w:r>
      <w:r w:rsidRPr="00662611">
        <w:rPr>
          <w:sz w:val="19"/>
          <w:szCs w:val="19"/>
        </w:rPr>
        <w:t xml:space="preserve">asset can </w:t>
      </w:r>
      <w:r w:rsidR="0043203A" w:rsidRPr="00662611">
        <w:rPr>
          <w:sz w:val="19"/>
          <w:szCs w:val="19"/>
        </w:rPr>
        <w:t xml:space="preserve">generate </w:t>
      </w:r>
      <w:r w:rsidRPr="00662611">
        <w:rPr>
          <w:sz w:val="19"/>
          <w:szCs w:val="19"/>
        </w:rPr>
        <w:t>directly (</w:t>
      </w:r>
      <w:r w:rsidR="0043203A" w:rsidRPr="00662611">
        <w:rPr>
          <w:sz w:val="19"/>
          <w:szCs w:val="19"/>
        </w:rPr>
        <w:t xml:space="preserve">the </w:t>
      </w:r>
      <w:r w:rsidRPr="00662611">
        <w:rPr>
          <w:sz w:val="19"/>
          <w:szCs w:val="19"/>
        </w:rPr>
        <w:t>residual cash flows to the grantor). The implication is that the fair value of the asset could be measured at the asset’s residual value</w:t>
      </w:r>
      <w:r w:rsidR="00F45ABE" w:rsidRPr="00662611">
        <w:rPr>
          <w:sz w:val="19"/>
          <w:szCs w:val="19"/>
        </w:rPr>
        <w:t xml:space="preserve"> (which could be zero)</w:t>
      </w:r>
      <w:r w:rsidR="0043203A" w:rsidRPr="00662611">
        <w:rPr>
          <w:sz w:val="19"/>
          <w:szCs w:val="19"/>
        </w:rPr>
        <w:t>,</w:t>
      </w:r>
      <w:r w:rsidRPr="00662611">
        <w:rPr>
          <w:sz w:val="19"/>
          <w:szCs w:val="19"/>
        </w:rPr>
        <w:t xml:space="preserve"> </w:t>
      </w:r>
      <w:r w:rsidR="0043203A" w:rsidRPr="00662611">
        <w:rPr>
          <w:sz w:val="19"/>
          <w:szCs w:val="19"/>
        </w:rPr>
        <w:t xml:space="preserve">excluding </w:t>
      </w:r>
      <w:r w:rsidRPr="00662611">
        <w:rPr>
          <w:sz w:val="19"/>
          <w:szCs w:val="19"/>
        </w:rPr>
        <w:t xml:space="preserve">the cash flows generated by the asset that have been granted to the operator. </w:t>
      </w:r>
      <w:r w:rsidR="00F45ABE" w:rsidRPr="00662611">
        <w:rPr>
          <w:sz w:val="19"/>
          <w:szCs w:val="19"/>
        </w:rPr>
        <w:t>However, t</w:t>
      </w:r>
      <w:r w:rsidR="00055DA1" w:rsidRPr="00662611">
        <w:rPr>
          <w:sz w:val="19"/>
          <w:szCs w:val="19"/>
        </w:rPr>
        <w:t>he Board conclude</w:t>
      </w:r>
      <w:r w:rsidR="00F45ABE" w:rsidRPr="00662611">
        <w:rPr>
          <w:sz w:val="19"/>
          <w:szCs w:val="19"/>
        </w:rPr>
        <w:t>d</w:t>
      </w:r>
      <w:r w:rsidR="00055DA1" w:rsidRPr="00662611">
        <w:rPr>
          <w:sz w:val="19"/>
          <w:szCs w:val="19"/>
        </w:rPr>
        <w:t xml:space="preserve"> t</w:t>
      </w:r>
      <w:r w:rsidR="00053A01" w:rsidRPr="00662611">
        <w:rPr>
          <w:sz w:val="19"/>
          <w:szCs w:val="19"/>
        </w:rPr>
        <w:t>hat</w:t>
      </w:r>
      <w:r w:rsidR="00055DA1" w:rsidRPr="00662611">
        <w:rPr>
          <w:sz w:val="19"/>
          <w:szCs w:val="19"/>
        </w:rPr>
        <w:t xml:space="preserve"> </w:t>
      </w:r>
      <w:r w:rsidR="00F45ABE" w:rsidRPr="00662611">
        <w:rPr>
          <w:sz w:val="19"/>
          <w:szCs w:val="19"/>
        </w:rPr>
        <w:t xml:space="preserve">the fair value of the asset should be measured </w:t>
      </w:r>
      <w:r w:rsidR="00055DA1" w:rsidRPr="00662611">
        <w:rPr>
          <w:sz w:val="19"/>
          <w:szCs w:val="19"/>
        </w:rPr>
        <w:t xml:space="preserve">using the current </w:t>
      </w:r>
      <w:r w:rsidR="00055DA1" w:rsidRPr="00662611">
        <w:rPr>
          <w:sz w:val="19"/>
          <w:szCs w:val="19"/>
        </w:rPr>
        <w:lastRenderedPageBreak/>
        <w:t xml:space="preserve">replacement cost under the cost approach irrespective of whether the cost of replacing the asset will be recovered by the expected </w:t>
      </w:r>
      <w:r w:rsidR="00662611" w:rsidRPr="00662611">
        <w:rPr>
          <w:sz w:val="19"/>
          <w:szCs w:val="19"/>
        </w:rPr>
        <w:t>cash flows</w:t>
      </w:r>
      <w:r w:rsidR="00055DA1" w:rsidRPr="00662611">
        <w:rPr>
          <w:sz w:val="19"/>
          <w:szCs w:val="19"/>
        </w:rPr>
        <w:t xml:space="preserve"> that the asset may generate (see paragrap</w:t>
      </w:r>
      <w:r w:rsidR="00C85082" w:rsidRPr="00662611">
        <w:rPr>
          <w:sz w:val="19"/>
          <w:szCs w:val="19"/>
        </w:rPr>
        <w:t>h</w:t>
      </w:r>
      <w:r w:rsidR="00A17A35" w:rsidRPr="00662611">
        <w:rPr>
          <w:sz w:val="19"/>
          <w:szCs w:val="19"/>
        </w:rPr>
        <w:t>s</w:t>
      </w:r>
      <w:r w:rsidR="00AF22F5" w:rsidRPr="00662611">
        <w:rPr>
          <w:sz w:val="19"/>
          <w:szCs w:val="19"/>
        </w:rPr>
        <w:t xml:space="preserve"> </w:t>
      </w:r>
      <w:r w:rsidR="00AF22F5" w:rsidRPr="00662611">
        <w:rPr>
          <w:sz w:val="19"/>
          <w:szCs w:val="19"/>
        </w:rPr>
        <w:fldChar w:fldCharType="begin"/>
      </w:r>
      <w:r w:rsidR="00AF22F5" w:rsidRPr="00662611">
        <w:rPr>
          <w:sz w:val="19"/>
          <w:szCs w:val="19"/>
        </w:rPr>
        <w:instrText xml:space="preserve"> REF _Ref476993428 \r \h </w:instrText>
      </w:r>
      <w:r w:rsidR="00AF22F5" w:rsidRPr="00662611">
        <w:rPr>
          <w:sz w:val="19"/>
          <w:szCs w:val="19"/>
        </w:rPr>
      </w:r>
      <w:r w:rsidR="00AF22F5" w:rsidRPr="00662611">
        <w:rPr>
          <w:sz w:val="19"/>
          <w:szCs w:val="19"/>
        </w:rPr>
        <w:fldChar w:fldCharType="separate"/>
      </w:r>
      <w:r w:rsidR="00C43128">
        <w:rPr>
          <w:sz w:val="19"/>
          <w:szCs w:val="19"/>
        </w:rPr>
        <w:t>BC63</w:t>
      </w:r>
      <w:r w:rsidR="00AF22F5" w:rsidRPr="00662611">
        <w:rPr>
          <w:sz w:val="19"/>
          <w:szCs w:val="19"/>
        </w:rPr>
        <w:fldChar w:fldCharType="end"/>
      </w:r>
      <w:r w:rsidR="00055DA1" w:rsidRPr="00662611">
        <w:rPr>
          <w:sz w:val="19"/>
          <w:szCs w:val="19"/>
        </w:rPr>
        <w:t>–</w:t>
      </w:r>
      <w:r w:rsidR="00AF22F5" w:rsidRPr="00662611">
        <w:rPr>
          <w:sz w:val="19"/>
          <w:szCs w:val="19"/>
        </w:rPr>
        <w:fldChar w:fldCharType="begin"/>
      </w:r>
      <w:r w:rsidR="00AF22F5" w:rsidRPr="00662611">
        <w:rPr>
          <w:sz w:val="19"/>
          <w:szCs w:val="19"/>
        </w:rPr>
        <w:instrText xml:space="preserve"> REF _Ref476993431 \r \h </w:instrText>
      </w:r>
      <w:r w:rsidR="00AF22F5" w:rsidRPr="00662611">
        <w:rPr>
          <w:sz w:val="19"/>
          <w:szCs w:val="19"/>
        </w:rPr>
      </w:r>
      <w:r w:rsidR="00AF22F5" w:rsidRPr="00662611">
        <w:rPr>
          <w:sz w:val="19"/>
          <w:szCs w:val="19"/>
        </w:rPr>
        <w:fldChar w:fldCharType="separate"/>
      </w:r>
      <w:r w:rsidR="00C43128">
        <w:rPr>
          <w:sz w:val="19"/>
          <w:szCs w:val="19"/>
        </w:rPr>
        <w:t>BC66</w:t>
      </w:r>
      <w:r w:rsidR="00AF22F5" w:rsidRPr="00662611">
        <w:rPr>
          <w:sz w:val="19"/>
          <w:szCs w:val="19"/>
        </w:rPr>
        <w:fldChar w:fldCharType="end"/>
      </w:r>
      <w:r w:rsidR="00055DA1" w:rsidRPr="00662611">
        <w:rPr>
          <w:sz w:val="19"/>
          <w:szCs w:val="19"/>
        </w:rPr>
        <w:t>)</w:t>
      </w:r>
      <w:r w:rsidR="00AF22F5" w:rsidRPr="00662611">
        <w:rPr>
          <w:sz w:val="19"/>
          <w:szCs w:val="19"/>
        </w:rPr>
        <w:t>.</w:t>
      </w:r>
      <w:r w:rsidR="00A17A35" w:rsidRPr="00662611">
        <w:rPr>
          <w:sz w:val="19"/>
          <w:szCs w:val="19"/>
        </w:rPr>
        <w:t xml:space="preserve"> In addition, the grantor would recognise a GORTO contract liability (see paragraphs</w:t>
      </w:r>
      <w:r w:rsidR="00BD2D18" w:rsidRPr="00662611">
        <w:rPr>
          <w:sz w:val="19"/>
          <w:szCs w:val="19"/>
        </w:rPr>
        <w:t xml:space="preserve"> </w:t>
      </w:r>
      <w:r w:rsidR="00BD2D18" w:rsidRPr="00662611">
        <w:rPr>
          <w:sz w:val="19"/>
          <w:szCs w:val="19"/>
        </w:rPr>
        <w:fldChar w:fldCharType="begin"/>
      </w:r>
      <w:r w:rsidR="00BD2D18" w:rsidRPr="00662611">
        <w:rPr>
          <w:sz w:val="19"/>
          <w:szCs w:val="19"/>
        </w:rPr>
        <w:instrText xml:space="preserve"> REF _Ref477286150 \r \h </w:instrText>
      </w:r>
      <w:r w:rsidR="00BD2D18" w:rsidRPr="00662611">
        <w:rPr>
          <w:sz w:val="19"/>
          <w:szCs w:val="19"/>
        </w:rPr>
      </w:r>
      <w:r w:rsidR="00BD2D18" w:rsidRPr="00662611">
        <w:rPr>
          <w:sz w:val="19"/>
          <w:szCs w:val="19"/>
        </w:rPr>
        <w:fldChar w:fldCharType="separate"/>
      </w:r>
      <w:r w:rsidR="00C43128">
        <w:rPr>
          <w:sz w:val="19"/>
          <w:szCs w:val="19"/>
        </w:rPr>
        <w:t>BC79</w:t>
      </w:r>
      <w:r w:rsidR="00BD2D18" w:rsidRPr="00662611">
        <w:rPr>
          <w:sz w:val="19"/>
          <w:szCs w:val="19"/>
        </w:rPr>
        <w:fldChar w:fldCharType="end"/>
      </w:r>
      <w:r w:rsidR="00A17A35" w:rsidRPr="00662611">
        <w:rPr>
          <w:sz w:val="19"/>
          <w:szCs w:val="19"/>
        </w:rPr>
        <w:t>–</w:t>
      </w:r>
      <w:r w:rsidR="00BD2D18" w:rsidRPr="00662611">
        <w:rPr>
          <w:sz w:val="19"/>
          <w:szCs w:val="19"/>
        </w:rPr>
        <w:fldChar w:fldCharType="begin"/>
      </w:r>
      <w:r w:rsidR="00BD2D18" w:rsidRPr="00662611">
        <w:rPr>
          <w:sz w:val="19"/>
          <w:szCs w:val="19"/>
        </w:rPr>
        <w:instrText xml:space="preserve"> REF _Ref477280302 \r \h </w:instrText>
      </w:r>
      <w:r w:rsidR="00BD2D18" w:rsidRPr="00662611">
        <w:rPr>
          <w:sz w:val="19"/>
          <w:szCs w:val="19"/>
        </w:rPr>
      </w:r>
      <w:r w:rsidR="00BD2D18" w:rsidRPr="00662611">
        <w:rPr>
          <w:sz w:val="19"/>
          <w:szCs w:val="19"/>
        </w:rPr>
        <w:fldChar w:fldCharType="separate"/>
      </w:r>
      <w:r w:rsidR="00C43128">
        <w:rPr>
          <w:sz w:val="19"/>
          <w:szCs w:val="19"/>
        </w:rPr>
        <w:t>BC80</w:t>
      </w:r>
      <w:r w:rsidR="00BD2D18" w:rsidRPr="00662611">
        <w:rPr>
          <w:sz w:val="19"/>
          <w:szCs w:val="19"/>
        </w:rPr>
        <w:fldChar w:fldCharType="end"/>
      </w:r>
      <w:r w:rsidR="00A575EC" w:rsidRPr="00662611">
        <w:rPr>
          <w:sz w:val="19"/>
          <w:szCs w:val="19"/>
        </w:rPr>
        <w:t>).</w:t>
      </w:r>
    </w:p>
    <w:p w14:paraId="7D927803" w14:textId="5A97BF41"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bookmarkStart w:id="145" w:name="_Ref476321180"/>
      <w:r w:rsidRPr="00662611">
        <w:rPr>
          <w:sz w:val="19"/>
          <w:szCs w:val="19"/>
        </w:rPr>
        <w:t xml:space="preserve">The Board also considered the application of AASB 140 by analogy to address the implication of measuring the asset’s fair value based on only the cash flows that are directly generated by the service concession asset </w:t>
      </w:r>
      <w:r w:rsidR="0043203A" w:rsidRPr="00662611">
        <w:rPr>
          <w:sz w:val="19"/>
          <w:szCs w:val="19"/>
        </w:rPr>
        <w:t xml:space="preserve">for the grantor. </w:t>
      </w:r>
      <w:r w:rsidR="00216494" w:rsidRPr="00662611">
        <w:rPr>
          <w:sz w:val="19"/>
          <w:szCs w:val="19"/>
        </w:rPr>
        <w:t xml:space="preserve">Although </w:t>
      </w:r>
      <w:r w:rsidRPr="00662611">
        <w:rPr>
          <w:sz w:val="19"/>
          <w:szCs w:val="19"/>
        </w:rPr>
        <w:t xml:space="preserve">this approach </w:t>
      </w:r>
      <w:r w:rsidR="0043203A" w:rsidRPr="00662611">
        <w:rPr>
          <w:sz w:val="19"/>
          <w:szCs w:val="19"/>
        </w:rPr>
        <w:t xml:space="preserve">might be </w:t>
      </w:r>
      <w:r w:rsidRPr="00662611">
        <w:rPr>
          <w:sz w:val="19"/>
          <w:szCs w:val="19"/>
        </w:rPr>
        <w:t>appropriate under AASB 13, the resulting fair value of the service concession asset</w:t>
      </w:r>
      <w:r w:rsidR="000174FA" w:rsidRPr="00662611">
        <w:rPr>
          <w:sz w:val="19"/>
          <w:szCs w:val="19"/>
        </w:rPr>
        <w:t xml:space="preserve"> would be understated in relation to the service concession arrangement</w:t>
      </w:r>
      <w:r w:rsidRPr="00662611">
        <w:rPr>
          <w:sz w:val="19"/>
          <w:szCs w:val="19"/>
        </w:rPr>
        <w:t xml:space="preserve">. The </w:t>
      </w:r>
      <w:r w:rsidR="00216494" w:rsidRPr="00662611">
        <w:rPr>
          <w:sz w:val="19"/>
          <w:szCs w:val="19"/>
        </w:rPr>
        <w:t xml:space="preserve">application </w:t>
      </w:r>
      <w:r w:rsidRPr="00662611">
        <w:rPr>
          <w:sz w:val="19"/>
          <w:szCs w:val="19"/>
        </w:rPr>
        <w:t>of AASB 140 by analogy attempts to overcome this.</w:t>
      </w:r>
      <w:bookmarkEnd w:id="145"/>
    </w:p>
    <w:p w14:paraId="7D927804" w14:textId="7AF503E9" w:rsidR="00233DD5" w:rsidRPr="00662611" w:rsidRDefault="00E220AA" w:rsidP="00D007F6">
      <w:pPr>
        <w:pStyle w:val="IE1"/>
        <w:numPr>
          <w:ilvl w:val="0"/>
          <w:numId w:val="18"/>
        </w:numPr>
        <w:tabs>
          <w:tab w:val="clear" w:pos="624"/>
        </w:tabs>
        <w:spacing w:after="100" w:line="240" w:lineRule="auto"/>
        <w:ind w:left="782" w:hanging="782"/>
        <w:jc w:val="both"/>
        <w:rPr>
          <w:sz w:val="19"/>
          <w:szCs w:val="19"/>
        </w:rPr>
      </w:pPr>
      <w:r w:rsidRPr="00662611">
        <w:rPr>
          <w:sz w:val="19"/>
          <w:szCs w:val="19"/>
        </w:rPr>
        <w:t>U</w:t>
      </w:r>
      <w:r w:rsidR="006A4B09" w:rsidRPr="00662611">
        <w:rPr>
          <w:sz w:val="19"/>
          <w:szCs w:val="19"/>
        </w:rPr>
        <w:t xml:space="preserve">nder AASB 140, </w:t>
      </w:r>
      <w:r w:rsidR="00D007F6" w:rsidRPr="00662611">
        <w:rPr>
          <w:sz w:val="19"/>
          <w:szCs w:val="19"/>
        </w:rPr>
        <w:t xml:space="preserve">the fair value of investment property </w:t>
      </w:r>
      <w:r w:rsidR="006A4B09" w:rsidRPr="00662611">
        <w:rPr>
          <w:sz w:val="19"/>
          <w:szCs w:val="19"/>
        </w:rPr>
        <w:t xml:space="preserve">reflects expected </w:t>
      </w:r>
      <w:r w:rsidR="00216494" w:rsidRPr="00662611">
        <w:rPr>
          <w:sz w:val="19"/>
          <w:szCs w:val="19"/>
        </w:rPr>
        <w:t xml:space="preserve">future </w:t>
      </w:r>
      <w:r w:rsidR="006A4B09" w:rsidRPr="00662611">
        <w:rPr>
          <w:sz w:val="19"/>
          <w:szCs w:val="19"/>
        </w:rPr>
        <w:t>cash flows</w:t>
      </w:r>
      <w:r w:rsidR="00A151B9" w:rsidRPr="00662611">
        <w:rPr>
          <w:sz w:val="19"/>
          <w:szCs w:val="19"/>
        </w:rPr>
        <w:t>, including any future rental receipts</w:t>
      </w:r>
      <w:r w:rsidR="006A4B09" w:rsidRPr="00662611">
        <w:rPr>
          <w:sz w:val="19"/>
          <w:szCs w:val="19"/>
        </w:rPr>
        <w:t>.</w:t>
      </w:r>
      <w:r w:rsidR="00216494" w:rsidRPr="00662611">
        <w:rPr>
          <w:sz w:val="19"/>
          <w:szCs w:val="19"/>
        </w:rPr>
        <w:t xml:space="preserve"> </w:t>
      </w:r>
      <w:r w:rsidR="00A151B9" w:rsidRPr="00662611">
        <w:rPr>
          <w:sz w:val="19"/>
          <w:szCs w:val="19"/>
        </w:rPr>
        <w:t xml:space="preserve">AASB 140 (paragraph 50) makes clear that in determining the carrying amount of investment property under the fair value model, it is necessary to </w:t>
      </w:r>
      <w:r w:rsidR="00CD4294" w:rsidRPr="00662611">
        <w:rPr>
          <w:sz w:val="19"/>
          <w:szCs w:val="19"/>
        </w:rPr>
        <w:t xml:space="preserve">avoid </w:t>
      </w:r>
      <w:r w:rsidR="00A151B9" w:rsidRPr="00662611">
        <w:rPr>
          <w:sz w:val="19"/>
          <w:szCs w:val="19"/>
        </w:rPr>
        <w:t>double-count</w:t>
      </w:r>
      <w:r w:rsidR="00CD4294" w:rsidRPr="00662611">
        <w:rPr>
          <w:sz w:val="19"/>
          <w:szCs w:val="19"/>
        </w:rPr>
        <w:t>ing</w:t>
      </w:r>
      <w:r w:rsidR="00A151B9" w:rsidRPr="00662611">
        <w:rPr>
          <w:sz w:val="19"/>
          <w:szCs w:val="19"/>
        </w:rPr>
        <w:t xml:space="preserve"> assets or liabilities that are recognised separately, such as prepaid or accrued rental income and lease incentives. In such cases, the fair value (carrying amount) of the investment property is adjusted so that in total the combination of all related amounts gives the fair value of the investment property.</w:t>
      </w:r>
    </w:p>
    <w:p w14:paraId="7D927805" w14:textId="5F92AA50" w:rsidR="00233DD5" w:rsidRPr="00662611" w:rsidRDefault="00233DD5" w:rsidP="00233DD5">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w:t>
      </w:r>
      <w:r w:rsidR="00E220AA" w:rsidRPr="00662611">
        <w:rPr>
          <w:sz w:val="19"/>
          <w:szCs w:val="19"/>
        </w:rPr>
        <w:t xml:space="preserve">considered </w:t>
      </w:r>
      <w:r w:rsidR="00BB416E" w:rsidRPr="00662611">
        <w:rPr>
          <w:sz w:val="19"/>
          <w:szCs w:val="19"/>
        </w:rPr>
        <w:t xml:space="preserve">that </w:t>
      </w:r>
      <w:r w:rsidR="003964F1" w:rsidRPr="00662611">
        <w:rPr>
          <w:sz w:val="19"/>
          <w:szCs w:val="19"/>
        </w:rPr>
        <w:t xml:space="preserve">to apply </w:t>
      </w:r>
      <w:r w:rsidRPr="00662611">
        <w:rPr>
          <w:sz w:val="19"/>
          <w:szCs w:val="19"/>
        </w:rPr>
        <w:t xml:space="preserve">the AASB 140 approach to the GORTO model, the fair value of the service concession asset </w:t>
      </w:r>
      <w:r w:rsidR="00E220AA" w:rsidRPr="00662611">
        <w:rPr>
          <w:sz w:val="19"/>
          <w:szCs w:val="19"/>
        </w:rPr>
        <w:t xml:space="preserve">would </w:t>
      </w:r>
      <w:r w:rsidR="003964F1" w:rsidRPr="00662611">
        <w:rPr>
          <w:sz w:val="19"/>
          <w:szCs w:val="19"/>
        </w:rPr>
        <w:t xml:space="preserve">first </w:t>
      </w:r>
      <w:r w:rsidR="00E220AA" w:rsidRPr="00662611">
        <w:rPr>
          <w:sz w:val="19"/>
          <w:szCs w:val="19"/>
        </w:rPr>
        <w:t>be</w:t>
      </w:r>
      <w:r w:rsidRPr="00662611">
        <w:rPr>
          <w:sz w:val="19"/>
          <w:szCs w:val="19"/>
        </w:rPr>
        <w:t xml:space="preserve"> determined </w:t>
      </w:r>
      <w:r w:rsidR="003964F1" w:rsidRPr="00662611">
        <w:rPr>
          <w:sz w:val="19"/>
          <w:szCs w:val="19"/>
        </w:rPr>
        <w:t xml:space="preserve">on a gross basis (ie current replacement cost for the full service potential of the asset). Then a GORTO contract liability would be recognised, so that in total the combination of the service concession asset and the liability would give on a net basis </w:t>
      </w:r>
      <w:r w:rsidR="00CD4294" w:rsidRPr="00662611">
        <w:rPr>
          <w:sz w:val="19"/>
          <w:szCs w:val="19"/>
        </w:rPr>
        <w:t>the appropriate measure of the service concession asset, reflecting the cash flows expected to be generated for the grantor. This approach would avoid measuring the service concession asset at a net amount</w:t>
      </w:r>
      <w:r w:rsidR="00C35F78" w:rsidRPr="00662611">
        <w:rPr>
          <w:sz w:val="19"/>
          <w:szCs w:val="19"/>
        </w:rPr>
        <w:t>, such as the residual value of the asset</w:t>
      </w:r>
      <w:r w:rsidR="00CD4294" w:rsidRPr="00662611">
        <w:rPr>
          <w:sz w:val="19"/>
          <w:szCs w:val="19"/>
        </w:rPr>
        <w:t>.</w:t>
      </w:r>
    </w:p>
    <w:p w14:paraId="7D927806" w14:textId="7014D616" w:rsidR="00233DD5" w:rsidRPr="00662611" w:rsidRDefault="00233DD5" w:rsidP="00233DD5">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However, </w:t>
      </w:r>
      <w:r w:rsidR="00064959" w:rsidRPr="00662611">
        <w:rPr>
          <w:sz w:val="19"/>
          <w:szCs w:val="19"/>
        </w:rPr>
        <w:t xml:space="preserve">the Board </w:t>
      </w:r>
      <w:r w:rsidR="0022482A" w:rsidRPr="00662611">
        <w:rPr>
          <w:sz w:val="19"/>
          <w:szCs w:val="19"/>
        </w:rPr>
        <w:t>decided that</w:t>
      </w:r>
      <w:r w:rsidR="00E317DD" w:rsidRPr="00662611">
        <w:rPr>
          <w:sz w:val="19"/>
          <w:szCs w:val="19"/>
        </w:rPr>
        <w:t xml:space="preserve"> the investment property model </w:t>
      </w:r>
      <w:r w:rsidR="00376DE8" w:rsidRPr="00662611">
        <w:rPr>
          <w:sz w:val="19"/>
          <w:szCs w:val="19"/>
        </w:rPr>
        <w:t xml:space="preserve">should </w:t>
      </w:r>
      <w:r w:rsidR="0022482A" w:rsidRPr="00662611">
        <w:rPr>
          <w:sz w:val="19"/>
          <w:szCs w:val="19"/>
        </w:rPr>
        <w:t xml:space="preserve">not </w:t>
      </w:r>
      <w:r w:rsidRPr="00662611">
        <w:rPr>
          <w:sz w:val="19"/>
          <w:szCs w:val="19"/>
        </w:rPr>
        <w:t>be applied by analogy</w:t>
      </w:r>
      <w:r w:rsidR="0022482A" w:rsidRPr="00662611">
        <w:rPr>
          <w:sz w:val="19"/>
          <w:szCs w:val="19"/>
        </w:rPr>
        <w:t>.</w:t>
      </w:r>
      <w:r w:rsidR="00CD4294" w:rsidRPr="00662611">
        <w:rPr>
          <w:sz w:val="19"/>
          <w:szCs w:val="19"/>
        </w:rPr>
        <w:t xml:space="preserve"> The Board concluded </w:t>
      </w:r>
      <w:r w:rsidR="00C35F78" w:rsidRPr="00662611">
        <w:rPr>
          <w:sz w:val="19"/>
          <w:szCs w:val="19"/>
        </w:rPr>
        <w:t xml:space="preserve">(see paragraph </w:t>
      </w:r>
      <w:r w:rsidR="00C35F78" w:rsidRPr="00662611">
        <w:rPr>
          <w:sz w:val="19"/>
          <w:szCs w:val="19"/>
        </w:rPr>
        <w:fldChar w:fldCharType="begin"/>
      </w:r>
      <w:r w:rsidR="00C35F78" w:rsidRPr="00662611">
        <w:rPr>
          <w:sz w:val="19"/>
          <w:szCs w:val="19"/>
        </w:rPr>
        <w:instrText xml:space="preserve"> REF _Ref484792678 \r \h </w:instrText>
      </w:r>
      <w:r w:rsidR="00C35F78" w:rsidRPr="00662611">
        <w:rPr>
          <w:sz w:val="19"/>
          <w:szCs w:val="19"/>
        </w:rPr>
      </w:r>
      <w:r w:rsidR="00C35F78" w:rsidRPr="00662611">
        <w:rPr>
          <w:sz w:val="19"/>
          <w:szCs w:val="19"/>
        </w:rPr>
        <w:fldChar w:fldCharType="separate"/>
      </w:r>
      <w:r w:rsidR="00C43128">
        <w:rPr>
          <w:sz w:val="19"/>
          <w:szCs w:val="19"/>
        </w:rPr>
        <w:t>BC66</w:t>
      </w:r>
      <w:r w:rsidR="00C35F78" w:rsidRPr="00662611">
        <w:rPr>
          <w:sz w:val="19"/>
          <w:szCs w:val="19"/>
        </w:rPr>
        <w:fldChar w:fldCharType="end"/>
      </w:r>
      <w:r w:rsidR="00C35F78" w:rsidRPr="00662611">
        <w:rPr>
          <w:sz w:val="19"/>
          <w:szCs w:val="19"/>
        </w:rPr>
        <w:t xml:space="preserve">) </w:t>
      </w:r>
      <w:r w:rsidR="00CD4294" w:rsidRPr="00662611">
        <w:rPr>
          <w:sz w:val="19"/>
          <w:szCs w:val="19"/>
        </w:rPr>
        <w:t>that service concession assets should be measured at fair value (current replacement cost) in relation to the service potential of the asset</w:t>
      </w:r>
      <w:r w:rsidR="00C35F78" w:rsidRPr="00662611">
        <w:rPr>
          <w:sz w:val="19"/>
          <w:szCs w:val="19"/>
        </w:rPr>
        <w:t xml:space="preserve">, rather than reflecting only the </w:t>
      </w:r>
      <w:r w:rsidR="0015501C" w:rsidRPr="00662611">
        <w:rPr>
          <w:sz w:val="19"/>
          <w:szCs w:val="19"/>
        </w:rPr>
        <w:t xml:space="preserve">expected </w:t>
      </w:r>
      <w:r w:rsidR="00C35F78" w:rsidRPr="00662611">
        <w:rPr>
          <w:sz w:val="19"/>
          <w:szCs w:val="19"/>
        </w:rPr>
        <w:t xml:space="preserve">future cash flows </w:t>
      </w:r>
      <w:r w:rsidR="0015501C" w:rsidRPr="00662611">
        <w:rPr>
          <w:sz w:val="19"/>
          <w:szCs w:val="19"/>
        </w:rPr>
        <w:t xml:space="preserve">for </w:t>
      </w:r>
      <w:r w:rsidR="00C35F78" w:rsidRPr="00662611">
        <w:rPr>
          <w:sz w:val="19"/>
          <w:szCs w:val="19"/>
        </w:rPr>
        <w:t>the grantor.</w:t>
      </w:r>
    </w:p>
    <w:p w14:paraId="7D927807" w14:textId="77777777" w:rsidR="003862D4" w:rsidRPr="00662611" w:rsidRDefault="003862D4" w:rsidP="00A854C0">
      <w:pPr>
        <w:pStyle w:val="IASBSectionTitle2Ind"/>
        <w:outlineLvl w:val="2"/>
      </w:pPr>
      <w:r w:rsidRPr="00662611">
        <w:t>Dividing an arrangement</w:t>
      </w:r>
    </w:p>
    <w:p w14:paraId="7D927808" w14:textId="460712D5" w:rsidR="003862D4" w:rsidRPr="00662611" w:rsidRDefault="002A0249" w:rsidP="00942FDB">
      <w:pPr>
        <w:pStyle w:val="IE1"/>
        <w:numPr>
          <w:ilvl w:val="0"/>
          <w:numId w:val="18"/>
        </w:numPr>
        <w:tabs>
          <w:tab w:val="clear" w:pos="624"/>
        </w:tabs>
        <w:spacing w:after="100" w:line="240" w:lineRule="auto"/>
        <w:ind w:left="782" w:hanging="782"/>
        <w:jc w:val="both"/>
        <w:rPr>
          <w:sz w:val="19"/>
          <w:szCs w:val="19"/>
        </w:rPr>
      </w:pPr>
      <w:bookmarkStart w:id="146" w:name="_Ref477337454"/>
      <w:r>
        <w:rPr>
          <w:sz w:val="19"/>
          <w:szCs w:val="19"/>
        </w:rPr>
        <w:t>In response to constituents’ comments, t</w:t>
      </w:r>
      <w:r w:rsidR="003862D4" w:rsidRPr="00662611">
        <w:rPr>
          <w:sz w:val="19"/>
          <w:szCs w:val="19"/>
        </w:rPr>
        <w:t>he Board decided to</w:t>
      </w:r>
      <w:r w:rsidR="009941C0" w:rsidRPr="00662611">
        <w:rPr>
          <w:sz w:val="19"/>
          <w:szCs w:val="19"/>
        </w:rPr>
        <w:t xml:space="preserve"> revise the approach to dividing a hybrid arrangement that had been proposed in ED</w:t>
      </w:r>
      <w:r w:rsidR="007D63FD" w:rsidRPr="00662611">
        <w:rPr>
          <w:sz w:val="19"/>
          <w:szCs w:val="19"/>
        </w:rPr>
        <w:t> </w:t>
      </w:r>
      <w:r w:rsidR="009941C0" w:rsidRPr="00662611">
        <w:rPr>
          <w:sz w:val="19"/>
          <w:szCs w:val="19"/>
        </w:rPr>
        <w:t>261. Instead of noting that each component of the service concession liability should be measured at fair value, the Standard requires that:</w:t>
      </w:r>
      <w:bookmarkEnd w:id="146"/>
    </w:p>
    <w:p w14:paraId="7D927809" w14:textId="77777777" w:rsidR="003862D4" w:rsidRPr="00B12FCE" w:rsidRDefault="003862D4" w:rsidP="003102C2">
      <w:pPr>
        <w:pStyle w:val="NumAG2"/>
        <w:numPr>
          <w:ilvl w:val="1"/>
          <w:numId w:val="45"/>
        </w:numPr>
        <w:tabs>
          <w:tab w:val="clear" w:pos="1247"/>
        </w:tabs>
        <w:ind w:left="1564" w:hanging="782"/>
        <w:rPr>
          <w:szCs w:val="19"/>
        </w:rPr>
      </w:pPr>
      <w:r w:rsidRPr="00B12FCE">
        <w:rPr>
          <w:szCs w:val="19"/>
        </w:rPr>
        <w:t xml:space="preserve">the liability recognised </w:t>
      </w:r>
      <w:r w:rsidR="009941C0" w:rsidRPr="00B12FCE">
        <w:rPr>
          <w:szCs w:val="19"/>
        </w:rPr>
        <w:t xml:space="preserve">under </w:t>
      </w:r>
      <w:r w:rsidRPr="00B12FCE">
        <w:rPr>
          <w:szCs w:val="19"/>
        </w:rPr>
        <w:t>a hybrid arrangement is initially measured at the same amount as the fair value</w:t>
      </w:r>
      <w:r w:rsidR="00520F10" w:rsidRPr="00B12FCE">
        <w:rPr>
          <w:szCs w:val="19"/>
        </w:rPr>
        <w:t xml:space="preserve"> (current replacement cost)</w:t>
      </w:r>
      <w:r w:rsidRPr="00B12FCE">
        <w:rPr>
          <w:szCs w:val="19"/>
        </w:rPr>
        <w:t xml:space="preserve"> of the service concession asset;</w:t>
      </w:r>
      <w:r w:rsidR="003E03C5" w:rsidRPr="00B12FCE">
        <w:rPr>
          <w:szCs w:val="19"/>
        </w:rPr>
        <w:t xml:space="preserve"> and</w:t>
      </w:r>
    </w:p>
    <w:p w14:paraId="7D92780A" w14:textId="77777777" w:rsidR="002009C7" w:rsidRPr="00662611" w:rsidRDefault="009941C0" w:rsidP="003102C2">
      <w:pPr>
        <w:pStyle w:val="NumAG2"/>
        <w:numPr>
          <w:ilvl w:val="1"/>
          <w:numId w:val="34"/>
        </w:numPr>
        <w:tabs>
          <w:tab w:val="clear" w:pos="1247"/>
        </w:tabs>
        <w:ind w:left="1564" w:hanging="782"/>
        <w:rPr>
          <w:szCs w:val="19"/>
        </w:rPr>
      </w:pPr>
      <w:bookmarkStart w:id="147" w:name="_Ref477337448"/>
      <w:bookmarkStart w:id="148" w:name="_Ref475698063"/>
      <w:proofErr w:type="gramStart"/>
      <w:r w:rsidRPr="00662611">
        <w:rPr>
          <w:szCs w:val="19"/>
        </w:rPr>
        <w:t>the</w:t>
      </w:r>
      <w:proofErr w:type="gramEnd"/>
      <w:r w:rsidRPr="00662611">
        <w:rPr>
          <w:szCs w:val="19"/>
        </w:rPr>
        <w:t xml:space="preserve"> </w:t>
      </w:r>
      <w:r w:rsidR="002009C7" w:rsidRPr="00662611">
        <w:rPr>
          <w:szCs w:val="19"/>
        </w:rPr>
        <w:t xml:space="preserve">method </w:t>
      </w:r>
      <w:r w:rsidR="00604834" w:rsidRPr="00662611">
        <w:rPr>
          <w:szCs w:val="19"/>
        </w:rPr>
        <w:t xml:space="preserve">for </w:t>
      </w:r>
      <w:r w:rsidR="002009C7" w:rsidRPr="00662611">
        <w:rPr>
          <w:szCs w:val="19"/>
        </w:rPr>
        <w:t xml:space="preserve">dividing the liability </w:t>
      </w:r>
      <w:r w:rsidR="00604834" w:rsidRPr="00662611">
        <w:rPr>
          <w:szCs w:val="19"/>
        </w:rPr>
        <w:t xml:space="preserve">under </w:t>
      </w:r>
      <w:r w:rsidR="002009C7" w:rsidRPr="00662611">
        <w:rPr>
          <w:szCs w:val="19"/>
        </w:rPr>
        <w:t xml:space="preserve">a hybrid arrangement is to </w:t>
      </w:r>
      <w:r w:rsidRPr="00662611">
        <w:rPr>
          <w:szCs w:val="19"/>
        </w:rPr>
        <w:t>determine</w:t>
      </w:r>
      <w:r w:rsidR="002009C7" w:rsidRPr="00662611">
        <w:rPr>
          <w:szCs w:val="19"/>
        </w:rPr>
        <w:t xml:space="preserve"> the financial liability </w:t>
      </w:r>
      <w:r w:rsidRPr="00662611">
        <w:rPr>
          <w:szCs w:val="19"/>
        </w:rPr>
        <w:t xml:space="preserve">part </w:t>
      </w:r>
      <w:r w:rsidR="002009C7" w:rsidRPr="00662611">
        <w:rPr>
          <w:szCs w:val="19"/>
        </w:rPr>
        <w:t xml:space="preserve">of the liability first, with the remainder of the fair value (current replacement cost) of the service concession asset allocated to the </w:t>
      </w:r>
      <w:r w:rsidRPr="00662611">
        <w:rPr>
          <w:szCs w:val="19"/>
        </w:rPr>
        <w:t>part related to the grant of the right to the operator.</w:t>
      </w:r>
      <w:bookmarkEnd w:id="147"/>
      <w:r w:rsidRPr="00662611">
        <w:rPr>
          <w:szCs w:val="19"/>
        </w:rPr>
        <w:t xml:space="preserve"> </w:t>
      </w:r>
      <w:bookmarkEnd w:id="148"/>
    </w:p>
    <w:p w14:paraId="7D92780B" w14:textId="1AAB259D" w:rsidR="003862D4" w:rsidRPr="00662611" w:rsidRDefault="00677A5F"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in making the</w:t>
      </w:r>
      <w:r w:rsidR="002009C7" w:rsidRPr="00662611">
        <w:rPr>
          <w:sz w:val="19"/>
          <w:szCs w:val="19"/>
        </w:rPr>
        <w:t xml:space="preserve"> decision</w:t>
      </w:r>
      <w:r w:rsidRPr="00662611">
        <w:rPr>
          <w:sz w:val="19"/>
          <w:szCs w:val="19"/>
        </w:rPr>
        <w:t xml:space="preserve"> in paragraph</w:t>
      </w:r>
      <w:r w:rsidR="00060619" w:rsidRPr="00662611">
        <w:rPr>
          <w:sz w:val="19"/>
          <w:szCs w:val="19"/>
        </w:rPr>
        <w:t xml:space="preserve"> </w:t>
      </w:r>
      <w:r w:rsidR="006B16B3" w:rsidRPr="00662611">
        <w:rPr>
          <w:sz w:val="19"/>
          <w:szCs w:val="19"/>
        </w:rPr>
        <w:fldChar w:fldCharType="begin"/>
      </w:r>
      <w:r w:rsidR="006B16B3" w:rsidRPr="00662611">
        <w:rPr>
          <w:sz w:val="19"/>
          <w:szCs w:val="19"/>
        </w:rPr>
        <w:instrText xml:space="preserve"> REF _Ref477337454 \r \h  \* MERGEFORMAT </w:instrText>
      </w:r>
      <w:r w:rsidR="006B16B3" w:rsidRPr="00662611">
        <w:rPr>
          <w:sz w:val="19"/>
          <w:szCs w:val="19"/>
        </w:rPr>
      </w:r>
      <w:r w:rsidR="006B16B3" w:rsidRPr="00662611">
        <w:rPr>
          <w:sz w:val="19"/>
          <w:szCs w:val="19"/>
        </w:rPr>
        <w:fldChar w:fldCharType="separate"/>
      </w:r>
      <w:r w:rsidR="00C43128">
        <w:rPr>
          <w:sz w:val="19"/>
          <w:szCs w:val="19"/>
        </w:rPr>
        <w:t>BC92</w:t>
      </w:r>
      <w:r w:rsidR="006B16B3" w:rsidRPr="00662611">
        <w:rPr>
          <w:sz w:val="19"/>
          <w:szCs w:val="19"/>
        </w:rPr>
        <w:fldChar w:fldCharType="end"/>
      </w:r>
      <w:r w:rsidR="006B16B3" w:rsidRPr="00662611">
        <w:rPr>
          <w:sz w:val="19"/>
          <w:szCs w:val="19"/>
        </w:rPr>
        <w:fldChar w:fldCharType="begin"/>
      </w:r>
      <w:r w:rsidR="006B16B3" w:rsidRPr="00662611">
        <w:rPr>
          <w:sz w:val="19"/>
          <w:szCs w:val="19"/>
        </w:rPr>
        <w:instrText xml:space="preserve"> REF _Ref477337448 \r \h  \* MERGEFORMAT </w:instrText>
      </w:r>
      <w:r w:rsidR="006B16B3" w:rsidRPr="00662611">
        <w:rPr>
          <w:sz w:val="19"/>
          <w:szCs w:val="19"/>
        </w:rPr>
      </w:r>
      <w:r w:rsidR="006B16B3" w:rsidRPr="00662611">
        <w:rPr>
          <w:sz w:val="19"/>
          <w:szCs w:val="19"/>
        </w:rPr>
        <w:fldChar w:fldCharType="separate"/>
      </w:r>
      <w:r w:rsidR="00C43128">
        <w:rPr>
          <w:sz w:val="19"/>
          <w:szCs w:val="19"/>
        </w:rPr>
        <w:t>(b)</w:t>
      </w:r>
      <w:r w:rsidR="006B16B3" w:rsidRPr="00662611">
        <w:rPr>
          <w:sz w:val="19"/>
          <w:szCs w:val="19"/>
        </w:rPr>
        <w:fldChar w:fldCharType="end"/>
      </w:r>
      <w:r w:rsidR="002009C7" w:rsidRPr="00662611">
        <w:rPr>
          <w:sz w:val="19"/>
          <w:szCs w:val="19"/>
        </w:rPr>
        <w:t xml:space="preserve">, considered whether </w:t>
      </w:r>
      <w:r w:rsidR="00373A7C" w:rsidRPr="00662611">
        <w:rPr>
          <w:sz w:val="19"/>
          <w:szCs w:val="19"/>
        </w:rPr>
        <w:t>the amount</w:t>
      </w:r>
      <w:r w:rsidR="009941C0" w:rsidRPr="00662611">
        <w:rPr>
          <w:sz w:val="19"/>
          <w:szCs w:val="19"/>
        </w:rPr>
        <w:t>s</w:t>
      </w:r>
      <w:r w:rsidR="00373A7C" w:rsidRPr="00662611">
        <w:rPr>
          <w:sz w:val="19"/>
          <w:szCs w:val="19"/>
        </w:rPr>
        <w:t xml:space="preserve"> allocated </w:t>
      </w:r>
      <w:r w:rsidR="002A0249">
        <w:rPr>
          <w:sz w:val="19"/>
          <w:szCs w:val="19"/>
        </w:rPr>
        <w:t xml:space="preserve">to the  financial liability and the </w:t>
      </w:r>
      <w:r w:rsidR="00F729AB" w:rsidRPr="00662611">
        <w:rPr>
          <w:sz w:val="19"/>
          <w:szCs w:val="19"/>
        </w:rPr>
        <w:t xml:space="preserve">GORTO </w:t>
      </w:r>
      <w:r w:rsidR="009941C0" w:rsidRPr="00662611">
        <w:rPr>
          <w:sz w:val="19"/>
          <w:szCs w:val="19"/>
        </w:rPr>
        <w:t xml:space="preserve">liability </w:t>
      </w:r>
      <w:r w:rsidR="00373A7C" w:rsidRPr="00662611">
        <w:rPr>
          <w:sz w:val="19"/>
          <w:szCs w:val="19"/>
        </w:rPr>
        <w:t>should depend on the entity</w:t>
      </w:r>
      <w:r w:rsidR="001015A9" w:rsidRPr="00662611">
        <w:rPr>
          <w:sz w:val="19"/>
          <w:szCs w:val="19"/>
        </w:rPr>
        <w:t>’s ability</w:t>
      </w:r>
      <w:r w:rsidR="00373A7C" w:rsidRPr="00662611">
        <w:rPr>
          <w:sz w:val="19"/>
          <w:szCs w:val="19"/>
        </w:rPr>
        <w:t xml:space="preserve"> to determine the fair value of the service concession asset to be accounted for</w:t>
      </w:r>
      <w:r w:rsidR="009941C0" w:rsidRPr="00662611">
        <w:rPr>
          <w:sz w:val="19"/>
          <w:szCs w:val="19"/>
        </w:rPr>
        <w:t xml:space="preserve"> in relation to</w:t>
      </w:r>
      <w:r w:rsidR="00373A7C" w:rsidRPr="00662611">
        <w:rPr>
          <w:sz w:val="19"/>
          <w:szCs w:val="19"/>
        </w:rPr>
        <w:t xml:space="preserve"> each </w:t>
      </w:r>
      <w:r w:rsidR="00346742" w:rsidRPr="00662611">
        <w:rPr>
          <w:sz w:val="19"/>
          <w:szCs w:val="19"/>
        </w:rPr>
        <w:t xml:space="preserve">liability </w:t>
      </w:r>
      <w:r w:rsidR="00373A7C" w:rsidRPr="00662611">
        <w:rPr>
          <w:sz w:val="19"/>
          <w:szCs w:val="19"/>
        </w:rPr>
        <w:t>model in t</w:t>
      </w:r>
      <w:r w:rsidR="00F729AB" w:rsidRPr="00662611">
        <w:rPr>
          <w:sz w:val="19"/>
          <w:szCs w:val="19"/>
        </w:rPr>
        <w:t xml:space="preserve">he hybrid arrangement. </w:t>
      </w:r>
      <w:r w:rsidR="009941C0" w:rsidRPr="00662611">
        <w:rPr>
          <w:sz w:val="19"/>
          <w:szCs w:val="19"/>
        </w:rPr>
        <w:t xml:space="preserve">For example, if </w:t>
      </w:r>
      <w:r w:rsidR="00705635" w:rsidRPr="00662611">
        <w:rPr>
          <w:sz w:val="19"/>
          <w:szCs w:val="19"/>
        </w:rPr>
        <w:t>the fair value of the service concession asset</w:t>
      </w:r>
      <w:r w:rsidR="009941C0" w:rsidRPr="00662611">
        <w:rPr>
          <w:sz w:val="19"/>
          <w:szCs w:val="19"/>
        </w:rPr>
        <w:t xml:space="preserve"> related to the grant of the right to the operator could</w:t>
      </w:r>
      <w:r w:rsidR="00705635" w:rsidRPr="00662611">
        <w:rPr>
          <w:sz w:val="19"/>
          <w:szCs w:val="19"/>
        </w:rPr>
        <w:t xml:space="preserve"> be reliably determined, </w:t>
      </w:r>
      <w:r w:rsidR="009941C0" w:rsidRPr="00662611">
        <w:rPr>
          <w:sz w:val="19"/>
          <w:szCs w:val="19"/>
        </w:rPr>
        <w:t xml:space="preserve">a </w:t>
      </w:r>
      <w:r w:rsidR="00705635" w:rsidRPr="00662611">
        <w:rPr>
          <w:sz w:val="19"/>
          <w:szCs w:val="19"/>
        </w:rPr>
        <w:t xml:space="preserve">method of dividing the hybrid arrangement </w:t>
      </w:r>
      <w:r w:rsidR="00CB16CA" w:rsidRPr="00662611">
        <w:rPr>
          <w:sz w:val="19"/>
          <w:szCs w:val="19"/>
        </w:rPr>
        <w:t xml:space="preserve">might be </w:t>
      </w:r>
      <w:r w:rsidR="00705635" w:rsidRPr="00662611">
        <w:rPr>
          <w:sz w:val="19"/>
          <w:szCs w:val="19"/>
        </w:rPr>
        <w:t>to allocate this amount to the GORTO</w:t>
      </w:r>
      <w:r w:rsidR="00CB16CA" w:rsidRPr="00662611">
        <w:rPr>
          <w:sz w:val="19"/>
          <w:szCs w:val="19"/>
        </w:rPr>
        <w:t xml:space="preserve"> liability</w:t>
      </w:r>
      <w:r w:rsidR="00705635" w:rsidRPr="00662611">
        <w:rPr>
          <w:sz w:val="19"/>
          <w:szCs w:val="19"/>
        </w:rPr>
        <w:t>, with the remainder of the</w:t>
      </w:r>
      <w:r w:rsidR="00CB16CA" w:rsidRPr="00662611">
        <w:rPr>
          <w:sz w:val="19"/>
          <w:szCs w:val="19"/>
        </w:rPr>
        <w:t xml:space="preserve"> total liability</w:t>
      </w:r>
      <w:r w:rsidR="00705635" w:rsidRPr="00662611">
        <w:rPr>
          <w:sz w:val="19"/>
          <w:szCs w:val="19"/>
        </w:rPr>
        <w:t xml:space="preserve"> to be allocated to the financial liability</w:t>
      </w:r>
      <w:r w:rsidR="00CB16CA" w:rsidRPr="00662611">
        <w:rPr>
          <w:sz w:val="19"/>
          <w:szCs w:val="19"/>
        </w:rPr>
        <w:t>.</w:t>
      </w:r>
      <w:r w:rsidR="00E82957" w:rsidRPr="00662611">
        <w:rPr>
          <w:sz w:val="19"/>
          <w:szCs w:val="19"/>
        </w:rPr>
        <w:t xml:space="preserve"> However, the Board took the view that it would be difficult to determine fair values for the portions of a service concession asset related to each of the two liabilities, if it </w:t>
      </w:r>
      <w:r w:rsidR="004D0865">
        <w:rPr>
          <w:sz w:val="19"/>
          <w:szCs w:val="19"/>
        </w:rPr>
        <w:t xml:space="preserve">were </w:t>
      </w:r>
      <w:r w:rsidR="00E82957" w:rsidRPr="00662611">
        <w:rPr>
          <w:sz w:val="19"/>
          <w:szCs w:val="19"/>
        </w:rPr>
        <w:t>possible. Similarly, it would be difficult to determine fair values for both liabilities directly, to allow the fair value (current replacement cost) of the service concession asset to be allocated to each liability based on their relative fair values</w:t>
      </w:r>
      <w:r w:rsidR="00384981" w:rsidRPr="00662611">
        <w:rPr>
          <w:sz w:val="19"/>
          <w:szCs w:val="19"/>
        </w:rPr>
        <w:t>,</w:t>
      </w:r>
      <w:r w:rsidR="00E82957" w:rsidRPr="00662611">
        <w:rPr>
          <w:sz w:val="19"/>
          <w:szCs w:val="19"/>
        </w:rPr>
        <w:t xml:space="preserve"> following the approach in AASB 15 to a</w:t>
      </w:r>
      <w:r w:rsidR="00384981" w:rsidRPr="00662611">
        <w:rPr>
          <w:sz w:val="19"/>
          <w:szCs w:val="19"/>
        </w:rPr>
        <w:t xml:space="preserve">llocating the transaction price to performance obligations. Furthermore, since the liability is not measured directly at fair value under the financial liability model (see paragraph </w:t>
      </w:r>
      <w:r w:rsidR="00384981" w:rsidRPr="00662611">
        <w:rPr>
          <w:sz w:val="19"/>
          <w:szCs w:val="19"/>
        </w:rPr>
        <w:fldChar w:fldCharType="begin"/>
      </w:r>
      <w:r w:rsidR="00384981" w:rsidRPr="00662611">
        <w:rPr>
          <w:sz w:val="19"/>
          <w:szCs w:val="19"/>
        </w:rPr>
        <w:instrText xml:space="preserve"> REF _Ref475630283 \r \h </w:instrText>
      </w:r>
      <w:r w:rsidR="00384981" w:rsidRPr="00662611">
        <w:rPr>
          <w:sz w:val="19"/>
          <w:szCs w:val="19"/>
        </w:rPr>
      </w:r>
      <w:r w:rsidR="00384981" w:rsidRPr="00662611">
        <w:rPr>
          <w:sz w:val="19"/>
          <w:szCs w:val="19"/>
        </w:rPr>
        <w:fldChar w:fldCharType="separate"/>
      </w:r>
      <w:r w:rsidR="00C43128">
        <w:rPr>
          <w:sz w:val="19"/>
          <w:szCs w:val="19"/>
        </w:rPr>
        <w:t>BC75</w:t>
      </w:r>
      <w:r w:rsidR="00384981" w:rsidRPr="00662611">
        <w:rPr>
          <w:sz w:val="19"/>
          <w:szCs w:val="19"/>
        </w:rPr>
        <w:fldChar w:fldCharType="end"/>
      </w:r>
      <w:r w:rsidR="00384981" w:rsidRPr="00662611">
        <w:rPr>
          <w:sz w:val="19"/>
          <w:szCs w:val="19"/>
        </w:rPr>
        <w:t>), it would be inappropriate to require such measurement in relation to recognising a hybrid arrangement.</w:t>
      </w:r>
    </w:p>
    <w:p w14:paraId="0360AD5A" w14:textId="5B6E4D9C" w:rsidR="00E82957" w:rsidRPr="00662611" w:rsidRDefault="00E82957"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concluded the appropriate approach would be to measure the financial liability part of the </w:t>
      </w:r>
      <w:r w:rsidR="00291FB1" w:rsidRPr="00662611">
        <w:rPr>
          <w:sz w:val="19"/>
          <w:szCs w:val="19"/>
        </w:rPr>
        <w:t xml:space="preserve">total </w:t>
      </w:r>
      <w:r w:rsidRPr="00662611">
        <w:rPr>
          <w:sz w:val="19"/>
          <w:szCs w:val="19"/>
        </w:rPr>
        <w:t>liability first, with the remainder of the total liability allocated to the GORTO part of the liability.</w:t>
      </w:r>
      <w:r w:rsidR="00291FB1" w:rsidRPr="00662611">
        <w:rPr>
          <w:sz w:val="19"/>
          <w:szCs w:val="19"/>
        </w:rPr>
        <w:t xml:space="preserve"> This approach avoids understating </w:t>
      </w:r>
      <w:r w:rsidR="00384981" w:rsidRPr="00662611">
        <w:rPr>
          <w:sz w:val="19"/>
          <w:szCs w:val="19"/>
        </w:rPr>
        <w:t xml:space="preserve">the financial liability, which </w:t>
      </w:r>
      <w:r w:rsidR="00291FB1" w:rsidRPr="00662611">
        <w:rPr>
          <w:sz w:val="19"/>
          <w:szCs w:val="19"/>
        </w:rPr>
        <w:t>might occur if the GORTO liability is measured first. Overstatement of the GORTO liability would mean overstatement of the revenues recognised by the grantor under the service concession arrangement.</w:t>
      </w:r>
      <w:r w:rsidR="004D0865">
        <w:rPr>
          <w:sz w:val="19"/>
          <w:szCs w:val="19"/>
        </w:rPr>
        <w:t xml:space="preserve"> The financial liability is measured and recognised first, even where the service concession asset is under construction. This is illustrated in Example 8 of the Illustrative Examples accompanying this Standard.</w:t>
      </w:r>
    </w:p>
    <w:p w14:paraId="7D92780C" w14:textId="77777777" w:rsidR="00F524AD" w:rsidRPr="00662611" w:rsidRDefault="002B4847" w:rsidP="00A854C0">
      <w:pPr>
        <w:pStyle w:val="IASBSectionTitle1NonInd"/>
        <w:outlineLvl w:val="1"/>
      </w:pPr>
      <w:r w:rsidRPr="00662611">
        <w:lastRenderedPageBreak/>
        <w:t>Accounting issues addressed in other Australian Accounting Standards</w:t>
      </w:r>
    </w:p>
    <w:p w14:paraId="7D92780D" w14:textId="3F59DDF5" w:rsidR="003862D4" w:rsidRPr="00662611" w:rsidRDefault="009106B6" w:rsidP="00942FDB">
      <w:pPr>
        <w:pStyle w:val="IE1"/>
        <w:numPr>
          <w:ilvl w:val="0"/>
          <w:numId w:val="18"/>
        </w:numPr>
        <w:tabs>
          <w:tab w:val="clear" w:pos="624"/>
        </w:tabs>
        <w:spacing w:after="100" w:line="240" w:lineRule="auto"/>
        <w:ind w:left="782" w:hanging="782"/>
        <w:jc w:val="both"/>
        <w:rPr>
          <w:sz w:val="19"/>
          <w:szCs w:val="19"/>
        </w:rPr>
      </w:pPr>
      <w:bookmarkStart w:id="149" w:name="_Ref475712582"/>
      <w:r w:rsidRPr="00662611">
        <w:rPr>
          <w:sz w:val="19"/>
          <w:szCs w:val="19"/>
        </w:rPr>
        <w:t>Due to</w:t>
      </w:r>
      <w:r w:rsidR="003862D4" w:rsidRPr="00662611">
        <w:rPr>
          <w:sz w:val="19"/>
          <w:szCs w:val="19"/>
        </w:rPr>
        <w:t xml:space="preserve"> the complexity of many service concession arrangements, there may be additional accounting issues related to certain terms in the contract (for example, revenues, expenses, guarantees and contingencies). The Board </w:t>
      </w:r>
      <w:r w:rsidR="00FF4854" w:rsidRPr="00662611">
        <w:rPr>
          <w:sz w:val="19"/>
          <w:szCs w:val="19"/>
        </w:rPr>
        <w:t xml:space="preserve">decided </w:t>
      </w:r>
      <w:r w:rsidR="003862D4" w:rsidRPr="00662611">
        <w:rPr>
          <w:sz w:val="19"/>
          <w:szCs w:val="19"/>
        </w:rPr>
        <w:t>that it was not necessary to repeat in this Standard</w:t>
      </w:r>
      <w:r w:rsidR="00FF4854" w:rsidRPr="00662611">
        <w:rPr>
          <w:sz w:val="19"/>
          <w:szCs w:val="19"/>
        </w:rPr>
        <w:t xml:space="preserve"> guidance that appears in other Standards</w:t>
      </w:r>
      <w:r w:rsidR="003862D4" w:rsidRPr="00662611">
        <w:rPr>
          <w:sz w:val="19"/>
          <w:szCs w:val="19"/>
        </w:rPr>
        <w:t xml:space="preserve">. Accordingly, when </w:t>
      </w:r>
      <w:r w:rsidR="00DF4F52">
        <w:rPr>
          <w:sz w:val="19"/>
          <w:szCs w:val="19"/>
        </w:rPr>
        <w:t xml:space="preserve">another </w:t>
      </w:r>
      <w:r w:rsidR="003862D4" w:rsidRPr="00662611">
        <w:rPr>
          <w:sz w:val="19"/>
          <w:szCs w:val="19"/>
        </w:rPr>
        <w:t xml:space="preserve">Australian Accounting Standard specifies the accounting and reporting for a component of a service concession arrangement, this Standard references the specific Standard </w:t>
      </w:r>
      <w:r w:rsidR="00FF4854" w:rsidRPr="00662611">
        <w:rPr>
          <w:sz w:val="19"/>
          <w:szCs w:val="19"/>
        </w:rPr>
        <w:t xml:space="preserve">without necessarily providing </w:t>
      </w:r>
      <w:r w:rsidR="003862D4" w:rsidRPr="00662611">
        <w:rPr>
          <w:sz w:val="19"/>
          <w:szCs w:val="19"/>
        </w:rPr>
        <w:t xml:space="preserve">additional guidance. However, the Board noted some cases (for example, revenue recognition) when the application of </w:t>
      </w:r>
      <w:r w:rsidR="00FF4854" w:rsidRPr="00662611">
        <w:rPr>
          <w:sz w:val="19"/>
          <w:szCs w:val="19"/>
        </w:rPr>
        <w:t xml:space="preserve">another </w:t>
      </w:r>
      <w:r w:rsidR="003862D4" w:rsidRPr="00662611">
        <w:rPr>
          <w:sz w:val="19"/>
          <w:szCs w:val="19"/>
        </w:rPr>
        <w:t xml:space="preserve">Standard </w:t>
      </w:r>
      <w:r w:rsidR="00FF4854" w:rsidRPr="00662611">
        <w:rPr>
          <w:sz w:val="19"/>
          <w:szCs w:val="19"/>
        </w:rPr>
        <w:t xml:space="preserve">might </w:t>
      </w:r>
      <w:r w:rsidR="003862D4" w:rsidRPr="00662611">
        <w:rPr>
          <w:sz w:val="19"/>
          <w:szCs w:val="19"/>
        </w:rPr>
        <w:t>be difficult</w:t>
      </w:r>
      <w:r w:rsidR="00BD4054" w:rsidRPr="00662611">
        <w:rPr>
          <w:sz w:val="19"/>
          <w:szCs w:val="19"/>
        </w:rPr>
        <w:t>,</w:t>
      </w:r>
      <w:r w:rsidR="003862D4" w:rsidRPr="00662611">
        <w:rPr>
          <w:sz w:val="19"/>
          <w:szCs w:val="19"/>
        </w:rPr>
        <w:t xml:space="preserve"> given certain unique features in service concession arrangements. To </w:t>
      </w:r>
      <w:r w:rsidR="00DF4F52">
        <w:rPr>
          <w:sz w:val="19"/>
          <w:szCs w:val="19"/>
        </w:rPr>
        <w:t xml:space="preserve">facilitate </w:t>
      </w:r>
      <w:r w:rsidR="003862D4" w:rsidRPr="00662611">
        <w:rPr>
          <w:sz w:val="19"/>
          <w:szCs w:val="19"/>
        </w:rPr>
        <w:t xml:space="preserve">consistent implementation of this Standard, the Board decided to provide additional guidance on </w:t>
      </w:r>
      <w:r w:rsidR="00FF4854" w:rsidRPr="00662611">
        <w:rPr>
          <w:sz w:val="19"/>
          <w:szCs w:val="19"/>
        </w:rPr>
        <w:t xml:space="preserve">applying </w:t>
      </w:r>
      <w:r w:rsidR="003862D4" w:rsidRPr="00662611">
        <w:rPr>
          <w:sz w:val="19"/>
          <w:szCs w:val="19"/>
        </w:rPr>
        <w:t>the principles in other Standards</w:t>
      </w:r>
      <w:r w:rsidR="00FF4854" w:rsidRPr="00662611">
        <w:rPr>
          <w:sz w:val="19"/>
          <w:szCs w:val="19"/>
        </w:rPr>
        <w:t xml:space="preserve"> when appropriate</w:t>
      </w:r>
      <w:r w:rsidR="003862D4" w:rsidRPr="00662611">
        <w:rPr>
          <w:sz w:val="19"/>
          <w:szCs w:val="19"/>
        </w:rPr>
        <w:t>.</w:t>
      </w:r>
      <w:bookmarkEnd w:id="149"/>
    </w:p>
    <w:p w14:paraId="7D92780E" w14:textId="77777777" w:rsidR="009941C0" w:rsidRPr="00662611" w:rsidRDefault="009941C0" w:rsidP="009941C0">
      <w:pPr>
        <w:pStyle w:val="IASBSectionTitle2Ind"/>
      </w:pPr>
      <w:r w:rsidRPr="00662611">
        <w:t>Other revenues</w:t>
      </w:r>
    </w:p>
    <w:p w14:paraId="7D92780F" w14:textId="77777777" w:rsidR="009941C0" w:rsidRPr="00662611" w:rsidRDefault="009941C0" w:rsidP="009941C0">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w:t>
      </w:r>
      <w:r w:rsidR="00CB16CA" w:rsidRPr="00662611">
        <w:rPr>
          <w:sz w:val="19"/>
          <w:szCs w:val="19"/>
        </w:rPr>
        <w:t>Board</w:t>
      </w:r>
      <w:r w:rsidRPr="00662611">
        <w:rPr>
          <w:sz w:val="19"/>
          <w:szCs w:val="19"/>
        </w:rPr>
        <w:t xml:space="preserve"> considered whether to include</w:t>
      </w:r>
      <w:r w:rsidR="00FF4854" w:rsidRPr="00662611">
        <w:rPr>
          <w:sz w:val="19"/>
          <w:szCs w:val="19"/>
        </w:rPr>
        <w:t xml:space="preserve"> in this Standard</w:t>
      </w:r>
      <w:r w:rsidRPr="00662611">
        <w:rPr>
          <w:sz w:val="19"/>
          <w:szCs w:val="19"/>
        </w:rPr>
        <w:t xml:space="preserve"> the Application Guidance paragraphs AG55–AG64 of IPSAS 32 for other revenues</w:t>
      </w:r>
      <w:r w:rsidR="00CB16CA" w:rsidRPr="00662611">
        <w:rPr>
          <w:sz w:val="19"/>
          <w:szCs w:val="19"/>
        </w:rPr>
        <w:t xml:space="preserve">. </w:t>
      </w:r>
      <w:r w:rsidRPr="00662611">
        <w:rPr>
          <w:sz w:val="19"/>
          <w:szCs w:val="19"/>
        </w:rPr>
        <w:t>Other re</w:t>
      </w:r>
      <w:r w:rsidR="00CB16CA" w:rsidRPr="00662611">
        <w:rPr>
          <w:sz w:val="19"/>
          <w:szCs w:val="19"/>
        </w:rPr>
        <w:t>venues</w:t>
      </w:r>
      <w:r w:rsidRPr="00662611">
        <w:rPr>
          <w:sz w:val="19"/>
          <w:szCs w:val="19"/>
        </w:rPr>
        <w:t xml:space="preserve"> relate to compensation by the operator to the grantor for access to the service concession asset by providing the grantor with a series of predetermined inflows of resources, including the following:</w:t>
      </w:r>
    </w:p>
    <w:p w14:paraId="7D927810" w14:textId="77777777" w:rsidR="009941C0" w:rsidRPr="00662611" w:rsidRDefault="009941C0" w:rsidP="002704B7">
      <w:pPr>
        <w:pStyle w:val="IASBNormalnparaL1"/>
        <w:numPr>
          <w:ilvl w:val="0"/>
          <w:numId w:val="21"/>
        </w:numPr>
        <w:spacing w:before="0" w:after="100"/>
        <w:ind w:left="1564" w:hanging="782"/>
      </w:pPr>
      <w:r w:rsidRPr="00662611">
        <w:t>an upfront payment or a stream of payments;</w:t>
      </w:r>
    </w:p>
    <w:p w14:paraId="7D927811" w14:textId="77777777" w:rsidR="009941C0" w:rsidRPr="00662611" w:rsidRDefault="009941C0" w:rsidP="002704B7">
      <w:pPr>
        <w:pStyle w:val="IASBNormalnparaL1"/>
        <w:numPr>
          <w:ilvl w:val="0"/>
          <w:numId w:val="21"/>
        </w:numPr>
        <w:spacing w:before="0" w:after="100"/>
        <w:ind w:left="1564" w:hanging="782"/>
      </w:pPr>
      <w:r w:rsidRPr="00662611">
        <w:t>revenue-sharing provisions;</w:t>
      </w:r>
    </w:p>
    <w:p w14:paraId="7D927812" w14:textId="77777777" w:rsidR="009941C0" w:rsidRPr="00662611" w:rsidRDefault="009941C0" w:rsidP="002704B7">
      <w:pPr>
        <w:pStyle w:val="IASBNormalnparaL1"/>
        <w:numPr>
          <w:ilvl w:val="0"/>
          <w:numId w:val="21"/>
        </w:numPr>
        <w:spacing w:before="0" w:after="100"/>
        <w:ind w:left="1564" w:hanging="782"/>
      </w:pPr>
      <w:r w:rsidRPr="00662611">
        <w:t>a reduction in a predetermined series of payments the grantor is required to make to the operator; and</w:t>
      </w:r>
    </w:p>
    <w:p w14:paraId="7D927813" w14:textId="77777777" w:rsidR="009941C0" w:rsidRPr="00662611" w:rsidRDefault="009941C0" w:rsidP="002704B7">
      <w:pPr>
        <w:pStyle w:val="IASBNormalnparaL1"/>
        <w:numPr>
          <w:ilvl w:val="0"/>
          <w:numId w:val="21"/>
        </w:numPr>
        <w:spacing w:before="0" w:after="100"/>
        <w:ind w:left="1564" w:hanging="782"/>
      </w:pPr>
      <w:proofErr w:type="gramStart"/>
      <w:r w:rsidRPr="00662611">
        <w:t>rent</w:t>
      </w:r>
      <w:proofErr w:type="gramEnd"/>
      <w:r w:rsidRPr="00662611">
        <w:t xml:space="preserve"> payments for providing the operator access to a revenue-generating asset.</w:t>
      </w:r>
    </w:p>
    <w:p w14:paraId="7D927814" w14:textId="77777777" w:rsidR="009941C0" w:rsidRPr="00662611" w:rsidRDefault="009941C0" w:rsidP="009941C0">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decided this guidance was not necessary in the Australian context as the existing revenue recognition guidance in Australian Accounting Standards was sufficient.</w:t>
      </w:r>
    </w:p>
    <w:p w14:paraId="047B6EA0" w14:textId="5A67A254" w:rsidR="0083550E" w:rsidRDefault="00F82DC2" w:rsidP="009941C0">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In setting the requirement in paragraph </w:t>
      </w:r>
      <w:r w:rsidRPr="00662611">
        <w:rPr>
          <w:sz w:val="19"/>
          <w:szCs w:val="19"/>
        </w:rPr>
        <w:fldChar w:fldCharType="begin"/>
      </w:r>
      <w:r w:rsidRPr="00662611">
        <w:rPr>
          <w:sz w:val="19"/>
          <w:szCs w:val="19"/>
        </w:rPr>
        <w:instrText xml:space="preserve"> REF _Ref475620367 \r \h </w:instrText>
      </w:r>
      <w:r w:rsidRPr="00662611">
        <w:rPr>
          <w:sz w:val="19"/>
          <w:szCs w:val="19"/>
        </w:rPr>
      </w:r>
      <w:r w:rsidRPr="00662611">
        <w:rPr>
          <w:sz w:val="19"/>
          <w:szCs w:val="19"/>
        </w:rPr>
        <w:fldChar w:fldCharType="separate"/>
      </w:r>
      <w:r w:rsidR="00C43128">
        <w:rPr>
          <w:sz w:val="19"/>
          <w:szCs w:val="19"/>
        </w:rPr>
        <w:t>12</w:t>
      </w:r>
      <w:r w:rsidRPr="00662611">
        <w:rPr>
          <w:sz w:val="19"/>
          <w:szCs w:val="19"/>
        </w:rPr>
        <w:fldChar w:fldCharType="end"/>
      </w:r>
      <w:r w:rsidRPr="00662611">
        <w:rPr>
          <w:sz w:val="19"/>
          <w:szCs w:val="19"/>
        </w:rPr>
        <w:t>, the Board noted deliberations by the IFRS Interpretations Committee on IFRIC 12 with respect to payments by the operator to the grantor. The Board concluded no additional guidance was necessary in relation to the requirement that the grantor recognise the liability initially at the same amount as the service concession asset, adjusted by the amount of any other consideration from the grantor to the operator, or from the operator to the grantor.</w:t>
      </w:r>
    </w:p>
    <w:p w14:paraId="7D927815" w14:textId="71002C41" w:rsidR="00F82DC2" w:rsidRDefault="0083550E" w:rsidP="009941C0">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observed that adjusting the liability for additional consideration from the operator to the grantor differed from the approach set out in an IFRIC agenda decision (July 2016). The IFRIC agenda decision noted that </w:t>
      </w:r>
      <w:r w:rsidR="00C50481" w:rsidRPr="00662611">
        <w:rPr>
          <w:sz w:val="19"/>
          <w:szCs w:val="19"/>
        </w:rPr>
        <w:t xml:space="preserve">where the operator recognised a financial asset under a service concession arrangement, </w:t>
      </w:r>
      <w:r w:rsidRPr="00662611">
        <w:rPr>
          <w:sz w:val="19"/>
          <w:szCs w:val="19"/>
        </w:rPr>
        <w:t xml:space="preserve">the operator would account for the payments to the grantor as a reduction of the transaction price, reducing the operator’s revenue. </w:t>
      </w:r>
      <w:r w:rsidR="00C50481" w:rsidRPr="00662611">
        <w:rPr>
          <w:sz w:val="19"/>
          <w:szCs w:val="19"/>
        </w:rPr>
        <w:t>Under this Standard, the payments from the operator would increase the grantor’s liability, rather than reduc</w:t>
      </w:r>
      <w:r w:rsidR="004301F8" w:rsidRPr="00662611">
        <w:rPr>
          <w:sz w:val="19"/>
          <w:szCs w:val="19"/>
        </w:rPr>
        <w:t>e</w:t>
      </w:r>
      <w:r w:rsidR="00C50481" w:rsidRPr="00662611">
        <w:rPr>
          <w:sz w:val="19"/>
          <w:szCs w:val="19"/>
        </w:rPr>
        <w:t xml:space="preserve"> the carrying amount of the service concession asset</w:t>
      </w:r>
      <w:r w:rsidR="002C2B57" w:rsidRPr="00662611">
        <w:rPr>
          <w:sz w:val="19"/>
          <w:szCs w:val="19"/>
        </w:rPr>
        <w:t xml:space="preserve">. The asset </w:t>
      </w:r>
      <w:r w:rsidR="00C50481" w:rsidRPr="00662611">
        <w:rPr>
          <w:sz w:val="19"/>
          <w:szCs w:val="19"/>
        </w:rPr>
        <w:t>is measured at fair value (current replacement cost)</w:t>
      </w:r>
      <w:r w:rsidR="004301F8" w:rsidRPr="00662611">
        <w:rPr>
          <w:sz w:val="19"/>
          <w:szCs w:val="19"/>
        </w:rPr>
        <w:t xml:space="preserve"> as a fundamental principle of this Standard</w:t>
      </w:r>
      <w:r w:rsidR="002C2B57" w:rsidRPr="00662611">
        <w:rPr>
          <w:sz w:val="19"/>
          <w:szCs w:val="19"/>
        </w:rPr>
        <w:t>, in order to reflect the service potential of the asset rather than future cash flows</w:t>
      </w:r>
      <w:r w:rsidR="00C50481" w:rsidRPr="00662611">
        <w:rPr>
          <w:sz w:val="19"/>
          <w:szCs w:val="19"/>
        </w:rPr>
        <w:t>. The adjustment to the liability affects the grantor’s revenue based on the pattern of revenue recognition during the period of the service concession arrangement.</w:t>
      </w:r>
    </w:p>
    <w:p w14:paraId="413099AE" w14:textId="77777777" w:rsidR="005318B1" w:rsidRDefault="005318B1" w:rsidP="005318B1">
      <w:pPr>
        <w:pStyle w:val="IASBSectionTitle1NonInd"/>
        <w:outlineLvl w:val="1"/>
      </w:pPr>
      <w:r>
        <w:t>Disclosures</w:t>
      </w:r>
    </w:p>
    <w:p w14:paraId="04007999" w14:textId="2C412463" w:rsidR="00045E9C" w:rsidRDefault="003B5D1E" w:rsidP="00045E9C">
      <w:pPr>
        <w:pStyle w:val="IE1"/>
        <w:numPr>
          <w:ilvl w:val="0"/>
          <w:numId w:val="18"/>
        </w:numPr>
        <w:tabs>
          <w:tab w:val="clear" w:pos="624"/>
        </w:tabs>
        <w:spacing w:after="100" w:line="240" w:lineRule="auto"/>
        <w:ind w:left="782" w:hanging="782"/>
        <w:jc w:val="both"/>
        <w:rPr>
          <w:sz w:val="19"/>
          <w:szCs w:val="19"/>
        </w:rPr>
      </w:pPr>
      <w:r>
        <w:rPr>
          <w:sz w:val="19"/>
          <w:szCs w:val="19"/>
        </w:rPr>
        <w:t>The Board proposed in ED 261 only minor changes to the disclosure requirements in IPSAS 32. In finalising the Standard, the Board added the objective of the disclosure requirements</w:t>
      </w:r>
      <w:r w:rsidR="009D527B">
        <w:rPr>
          <w:sz w:val="19"/>
          <w:szCs w:val="19"/>
        </w:rPr>
        <w:t xml:space="preserve"> to paragraph </w:t>
      </w:r>
      <w:r w:rsidR="009D527B">
        <w:rPr>
          <w:sz w:val="19"/>
          <w:szCs w:val="19"/>
        </w:rPr>
        <w:fldChar w:fldCharType="begin"/>
      </w:r>
      <w:r w:rsidR="009D527B">
        <w:rPr>
          <w:sz w:val="19"/>
          <w:szCs w:val="19"/>
        </w:rPr>
        <w:instrText xml:space="preserve"> REF _Ref475620960 \r \h </w:instrText>
      </w:r>
      <w:r w:rsidR="009D527B">
        <w:rPr>
          <w:sz w:val="19"/>
          <w:szCs w:val="19"/>
        </w:rPr>
      </w:r>
      <w:r w:rsidR="009D527B">
        <w:rPr>
          <w:sz w:val="19"/>
          <w:szCs w:val="19"/>
        </w:rPr>
        <w:fldChar w:fldCharType="separate"/>
      </w:r>
      <w:r w:rsidR="00C43128">
        <w:rPr>
          <w:sz w:val="19"/>
          <w:szCs w:val="19"/>
        </w:rPr>
        <w:t>28</w:t>
      </w:r>
      <w:r w:rsidR="009D527B">
        <w:rPr>
          <w:sz w:val="19"/>
          <w:szCs w:val="19"/>
        </w:rPr>
        <w:fldChar w:fldCharType="end"/>
      </w:r>
      <w:r>
        <w:rPr>
          <w:sz w:val="19"/>
          <w:szCs w:val="19"/>
        </w:rPr>
        <w:t xml:space="preserve">, </w:t>
      </w:r>
      <w:r w:rsidR="009D527B">
        <w:rPr>
          <w:sz w:val="19"/>
          <w:szCs w:val="19"/>
        </w:rPr>
        <w:t xml:space="preserve">and clarified in paragraph </w:t>
      </w:r>
      <w:r w:rsidR="009D527B">
        <w:rPr>
          <w:sz w:val="19"/>
          <w:szCs w:val="19"/>
        </w:rPr>
        <w:fldChar w:fldCharType="begin"/>
      </w:r>
      <w:r w:rsidR="009D527B">
        <w:rPr>
          <w:sz w:val="19"/>
          <w:szCs w:val="19"/>
        </w:rPr>
        <w:instrText xml:space="preserve"> REF _Ref475631728 \r \h </w:instrText>
      </w:r>
      <w:r w:rsidR="009D527B">
        <w:rPr>
          <w:sz w:val="19"/>
          <w:szCs w:val="19"/>
        </w:rPr>
      </w:r>
      <w:r w:rsidR="009D527B">
        <w:rPr>
          <w:sz w:val="19"/>
          <w:szCs w:val="19"/>
        </w:rPr>
        <w:fldChar w:fldCharType="separate"/>
      </w:r>
      <w:r w:rsidR="00C43128">
        <w:rPr>
          <w:sz w:val="19"/>
          <w:szCs w:val="19"/>
        </w:rPr>
        <w:t>29</w:t>
      </w:r>
      <w:r w:rsidR="009D527B">
        <w:rPr>
          <w:sz w:val="19"/>
          <w:szCs w:val="19"/>
        </w:rPr>
        <w:fldChar w:fldCharType="end"/>
      </w:r>
      <w:r w:rsidR="009D527B">
        <w:rPr>
          <w:sz w:val="19"/>
          <w:szCs w:val="19"/>
        </w:rPr>
        <w:t xml:space="preserve"> the flexibility for a grantor to classify service concession assets across more than one class of assets for the purposes of AASB 116 or AASB 138, as appropriate, and for the disclosures required by this Standard.</w:t>
      </w:r>
    </w:p>
    <w:p w14:paraId="7D927816" w14:textId="77777777" w:rsidR="00F524AD" w:rsidRPr="00662611" w:rsidRDefault="002B4847" w:rsidP="00A854C0">
      <w:pPr>
        <w:pStyle w:val="IASBSectionTitle1NonInd"/>
        <w:outlineLvl w:val="1"/>
      </w:pPr>
      <w:r w:rsidRPr="00662611">
        <w:t>Transition</w:t>
      </w:r>
    </w:p>
    <w:p w14:paraId="7D927817" w14:textId="75A4DE8F"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This Standard re</w:t>
      </w:r>
      <w:r w:rsidR="00AF5DB0" w:rsidRPr="00662611">
        <w:rPr>
          <w:sz w:val="19"/>
          <w:szCs w:val="19"/>
        </w:rPr>
        <w:t xml:space="preserve">quires an entity to apply </w:t>
      </w:r>
      <w:r w:rsidR="00FF4854" w:rsidRPr="00662611">
        <w:rPr>
          <w:sz w:val="19"/>
          <w:szCs w:val="19"/>
        </w:rPr>
        <w:t xml:space="preserve">the </w:t>
      </w:r>
      <w:r w:rsidRPr="00662611">
        <w:rPr>
          <w:sz w:val="19"/>
          <w:szCs w:val="19"/>
        </w:rPr>
        <w:t xml:space="preserve">Standard retrospectively </w:t>
      </w:r>
      <w:r w:rsidR="00FF4854" w:rsidRPr="00662611">
        <w:rPr>
          <w:sz w:val="19"/>
          <w:szCs w:val="19"/>
        </w:rPr>
        <w:t xml:space="preserve">either </w:t>
      </w:r>
      <w:r w:rsidRPr="00662611">
        <w:rPr>
          <w:sz w:val="19"/>
          <w:szCs w:val="19"/>
        </w:rPr>
        <w:t xml:space="preserve">in accordance with AASB 108 or </w:t>
      </w:r>
      <w:r w:rsidR="00FF4854" w:rsidRPr="00662611">
        <w:rPr>
          <w:sz w:val="19"/>
          <w:szCs w:val="19"/>
        </w:rPr>
        <w:t xml:space="preserve">under a </w:t>
      </w:r>
      <w:r w:rsidR="001F1231">
        <w:rPr>
          <w:sz w:val="19"/>
          <w:szCs w:val="19"/>
        </w:rPr>
        <w:t xml:space="preserve">simplified </w:t>
      </w:r>
      <w:r w:rsidR="00FF4854" w:rsidRPr="00662611">
        <w:rPr>
          <w:sz w:val="19"/>
          <w:szCs w:val="19"/>
        </w:rPr>
        <w:t xml:space="preserve">approach </w:t>
      </w:r>
      <w:r w:rsidRPr="00662611">
        <w:rPr>
          <w:sz w:val="19"/>
          <w:szCs w:val="19"/>
        </w:rPr>
        <w:t>from the beginning of the earliest period for which comparative information is presented in the financial statements</w:t>
      </w:r>
      <w:r w:rsidR="00FF4854" w:rsidRPr="00662611">
        <w:rPr>
          <w:sz w:val="19"/>
          <w:szCs w:val="19"/>
        </w:rPr>
        <w:t xml:space="preserve"> (the date of initial application)</w:t>
      </w:r>
      <w:r w:rsidRPr="00662611">
        <w:rPr>
          <w:sz w:val="19"/>
          <w:szCs w:val="19"/>
        </w:rPr>
        <w:t>.</w:t>
      </w:r>
      <w:r w:rsidR="00FF4854" w:rsidRPr="00662611">
        <w:rPr>
          <w:sz w:val="19"/>
          <w:szCs w:val="19"/>
        </w:rPr>
        <w:t xml:space="preserve"> The modified retrospective approach requires a grantor to </w:t>
      </w:r>
      <w:r w:rsidR="00B70B0A" w:rsidRPr="00662611">
        <w:rPr>
          <w:sz w:val="19"/>
          <w:szCs w:val="19"/>
        </w:rPr>
        <w:t>recognise and measure service concession assets and related liabilities at the date of initial application</w:t>
      </w:r>
      <w:r w:rsidR="00824DCE" w:rsidRPr="00662611">
        <w:rPr>
          <w:sz w:val="19"/>
          <w:szCs w:val="19"/>
        </w:rPr>
        <w:t>, rather than at an earlier date</w:t>
      </w:r>
      <w:r w:rsidR="00B70B0A" w:rsidRPr="00662611">
        <w:rPr>
          <w:sz w:val="19"/>
          <w:szCs w:val="19"/>
        </w:rPr>
        <w:t>.</w:t>
      </w:r>
    </w:p>
    <w:p w14:paraId="7D927818" w14:textId="4C941EA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lastRenderedPageBreak/>
        <w:t>The general requirement in AASB 108 is that accounting policy changes should be accounted for retrospectively, except to the extent that retrospective application would be impracticable. The Board noted that there are two aspects to retrospective application: reclassification and measurement. The Board took a similar view to the IPSASB that it will usually be practicable to determine retrospectively the appropriate classification of all amounts previously included in a grantor’s statement of financial position, but that retrospective measurement of service concession assets might not always be practicable, particularly if an entity has not previously recognised service concession assets and related liabilities, revenues and expenses.</w:t>
      </w:r>
    </w:p>
    <w:p w14:paraId="7D927819" w14:textId="2B97601F" w:rsidR="003862D4" w:rsidRPr="00662611" w:rsidRDefault="00B70B0A"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As proposed in ED 261, the Board decided that </w:t>
      </w:r>
      <w:r w:rsidR="00824DCE" w:rsidRPr="00662611">
        <w:rPr>
          <w:sz w:val="19"/>
          <w:szCs w:val="19"/>
        </w:rPr>
        <w:t xml:space="preserve">the modified retrospective approach </w:t>
      </w:r>
      <w:r w:rsidR="00E71637" w:rsidRPr="00662611">
        <w:rPr>
          <w:sz w:val="19"/>
          <w:szCs w:val="19"/>
        </w:rPr>
        <w:t>sh</w:t>
      </w:r>
      <w:r w:rsidRPr="00662611">
        <w:rPr>
          <w:sz w:val="19"/>
          <w:szCs w:val="19"/>
        </w:rPr>
        <w:t>ould be available to grantors that have previously recognised service concession assets and related liabilities, as well as to grantors that have not done so. This contrasts with IPSAS 32, which limits this option to grantors that have not previously recognised service concession assets and liabilities.</w:t>
      </w:r>
      <w:r w:rsidR="0026499D">
        <w:rPr>
          <w:sz w:val="19"/>
          <w:szCs w:val="19"/>
        </w:rPr>
        <w:t xml:space="preserve"> The Board concluded that </w:t>
      </w:r>
      <w:r w:rsidR="009D527B">
        <w:rPr>
          <w:sz w:val="19"/>
          <w:szCs w:val="19"/>
        </w:rPr>
        <w:t xml:space="preserve">since </w:t>
      </w:r>
      <w:r w:rsidR="0026499D">
        <w:rPr>
          <w:sz w:val="19"/>
          <w:szCs w:val="19"/>
        </w:rPr>
        <w:t xml:space="preserve">the retrospective restatement of service concession assets might not always be practicable, the modified approach </w:t>
      </w:r>
      <w:r w:rsidR="009D527B">
        <w:rPr>
          <w:sz w:val="19"/>
          <w:szCs w:val="19"/>
        </w:rPr>
        <w:t xml:space="preserve">would be made </w:t>
      </w:r>
      <w:r w:rsidR="0026499D">
        <w:rPr>
          <w:sz w:val="19"/>
          <w:szCs w:val="19"/>
        </w:rPr>
        <w:t>available to all grantors.</w:t>
      </w:r>
    </w:p>
    <w:p w14:paraId="7D92781A" w14:textId="52DC59FE" w:rsidR="00824DCE" w:rsidRPr="00662611" w:rsidRDefault="00824DCE"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Under the modified retrospective approach (see paragraph </w:t>
      </w:r>
      <w:r w:rsidR="00245B99">
        <w:rPr>
          <w:sz w:val="19"/>
          <w:szCs w:val="19"/>
        </w:rPr>
        <w:fldChar w:fldCharType="begin"/>
      </w:r>
      <w:r w:rsidR="00245B99">
        <w:rPr>
          <w:sz w:val="19"/>
          <w:szCs w:val="19"/>
        </w:rPr>
        <w:instrText xml:space="preserve"> REF _Ref475632049 \r \h </w:instrText>
      </w:r>
      <w:r w:rsidR="00245B99">
        <w:rPr>
          <w:sz w:val="19"/>
          <w:szCs w:val="19"/>
        </w:rPr>
      </w:r>
      <w:r w:rsidR="00245B99">
        <w:rPr>
          <w:sz w:val="19"/>
          <w:szCs w:val="19"/>
        </w:rPr>
        <w:fldChar w:fldCharType="separate"/>
      </w:r>
      <w:r w:rsidR="00C43128">
        <w:rPr>
          <w:sz w:val="19"/>
          <w:szCs w:val="19"/>
        </w:rPr>
        <w:t>C4</w:t>
      </w:r>
      <w:r w:rsidR="00245B99">
        <w:rPr>
          <w:sz w:val="19"/>
          <w:szCs w:val="19"/>
        </w:rPr>
        <w:fldChar w:fldCharType="end"/>
      </w:r>
      <w:r w:rsidRPr="00662611">
        <w:rPr>
          <w:sz w:val="19"/>
          <w:szCs w:val="19"/>
        </w:rPr>
        <w:t xml:space="preserve"> of the Standard), the deemed cost of service concession assets is measured at fair value (current replacement cost) at the date of initial application. The Board decided </w:t>
      </w:r>
      <w:r w:rsidR="00E71637" w:rsidRPr="00662611">
        <w:rPr>
          <w:sz w:val="19"/>
          <w:szCs w:val="19"/>
        </w:rPr>
        <w:t xml:space="preserve">this </w:t>
      </w:r>
      <w:r w:rsidRPr="00662611">
        <w:rPr>
          <w:sz w:val="19"/>
          <w:szCs w:val="19"/>
        </w:rPr>
        <w:t xml:space="preserve">measurement </w:t>
      </w:r>
      <w:r w:rsidR="00E71637" w:rsidRPr="00662611">
        <w:rPr>
          <w:sz w:val="19"/>
          <w:szCs w:val="19"/>
        </w:rPr>
        <w:t xml:space="preserve">basis </w:t>
      </w:r>
      <w:r w:rsidRPr="00662611">
        <w:rPr>
          <w:sz w:val="19"/>
          <w:szCs w:val="19"/>
        </w:rPr>
        <w:t xml:space="preserve">should also apply to </w:t>
      </w:r>
      <w:r w:rsidR="0099288D" w:rsidRPr="00662611">
        <w:rPr>
          <w:sz w:val="19"/>
          <w:szCs w:val="19"/>
        </w:rPr>
        <w:t>assets of the grantor that a</w:t>
      </w:r>
      <w:r w:rsidR="00E71637" w:rsidRPr="00662611">
        <w:rPr>
          <w:sz w:val="19"/>
          <w:szCs w:val="19"/>
        </w:rPr>
        <w:t xml:space="preserve">re reclassified as service concession assets on initial application of the Standard, thus requiring the remeasurement of such assets. The Board noted that this would be consistent with the requirement in paragraph </w:t>
      </w:r>
      <w:r w:rsidR="00245B99">
        <w:rPr>
          <w:sz w:val="19"/>
          <w:szCs w:val="19"/>
        </w:rPr>
        <w:fldChar w:fldCharType="begin"/>
      </w:r>
      <w:r w:rsidR="00245B99">
        <w:rPr>
          <w:sz w:val="19"/>
          <w:szCs w:val="19"/>
        </w:rPr>
        <w:instrText xml:space="preserve"> REF _Ref486145413 \r \h </w:instrText>
      </w:r>
      <w:r w:rsidR="00245B99">
        <w:rPr>
          <w:sz w:val="19"/>
          <w:szCs w:val="19"/>
        </w:rPr>
      </w:r>
      <w:r w:rsidR="00245B99">
        <w:rPr>
          <w:sz w:val="19"/>
          <w:szCs w:val="19"/>
        </w:rPr>
        <w:fldChar w:fldCharType="separate"/>
      </w:r>
      <w:r w:rsidR="00C43128">
        <w:rPr>
          <w:sz w:val="19"/>
          <w:szCs w:val="19"/>
        </w:rPr>
        <w:t>8</w:t>
      </w:r>
      <w:r w:rsidR="00245B99">
        <w:rPr>
          <w:sz w:val="19"/>
          <w:szCs w:val="19"/>
        </w:rPr>
        <w:fldChar w:fldCharType="end"/>
      </w:r>
      <w:r w:rsidR="00E71637" w:rsidRPr="00662611">
        <w:rPr>
          <w:sz w:val="19"/>
          <w:szCs w:val="19"/>
        </w:rPr>
        <w:t xml:space="preserve"> for grantors to measure existing assets </w:t>
      </w:r>
      <w:r w:rsidR="0099288D" w:rsidRPr="00662611">
        <w:rPr>
          <w:sz w:val="19"/>
          <w:szCs w:val="19"/>
        </w:rPr>
        <w:t>that a</w:t>
      </w:r>
      <w:r w:rsidR="00E71637" w:rsidRPr="00662611">
        <w:rPr>
          <w:sz w:val="19"/>
          <w:szCs w:val="19"/>
        </w:rPr>
        <w:t xml:space="preserve">re reclassified as service concession assets at current replacement cost in accordance with the cost approach </w:t>
      </w:r>
      <w:r w:rsidR="00C457AF" w:rsidRPr="00662611">
        <w:rPr>
          <w:sz w:val="19"/>
          <w:szCs w:val="19"/>
        </w:rPr>
        <w:t>to fair value at the date of reclassification. ED 261 had not proposed any remeasurement for reclassified assets.</w:t>
      </w:r>
    </w:p>
    <w:p w14:paraId="0220A467" w14:textId="39475E64" w:rsidR="00C21987" w:rsidRDefault="00C21987" w:rsidP="00942FDB">
      <w:pPr>
        <w:pStyle w:val="IE1"/>
        <w:numPr>
          <w:ilvl w:val="0"/>
          <w:numId w:val="18"/>
        </w:numPr>
        <w:tabs>
          <w:tab w:val="clear" w:pos="624"/>
        </w:tabs>
        <w:spacing w:after="100" w:line="240" w:lineRule="auto"/>
        <w:ind w:left="782" w:hanging="782"/>
        <w:jc w:val="both"/>
        <w:rPr>
          <w:sz w:val="19"/>
          <w:szCs w:val="19"/>
        </w:rPr>
      </w:pPr>
      <w:r>
        <w:rPr>
          <w:sz w:val="19"/>
          <w:szCs w:val="19"/>
        </w:rPr>
        <w:t xml:space="preserve">The Board considered the approach to the initial recognition by a grantor of previously unrecognised identifiable intangible assets and land under roads as service concession assets on transition, and concluded that no additional transition relief was required. A grantor </w:t>
      </w:r>
      <w:r w:rsidR="0054470A">
        <w:rPr>
          <w:sz w:val="19"/>
          <w:szCs w:val="19"/>
        </w:rPr>
        <w:t>may</w:t>
      </w:r>
      <w:r>
        <w:rPr>
          <w:sz w:val="19"/>
          <w:szCs w:val="19"/>
        </w:rPr>
        <w:t xml:space="preserve"> </w:t>
      </w:r>
      <w:r w:rsidR="0054470A">
        <w:rPr>
          <w:sz w:val="19"/>
          <w:szCs w:val="19"/>
        </w:rPr>
        <w:t xml:space="preserve">elect to apply the modified </w:t>
      </w:r>
      <w:r>
        <w:rPr>
          <w:sz w:val="19"/>
          <w:szCs w:val="19"/>
        </w:rPr>
        <w:t xml:space="preserve">retrospective </w:t>
      </w:r>
      <w:r w:rsidR="0054470A">
        <w:rPr>
          <w:sz w:val="19"/>
          <w:szCs w:val="19"/>
        </w:rPr>
        <w:t xml:space="preserve">approach, requiring measurement of service concession assets at the date of initial application of the Standard, to simplify the </w:t>
      </w:r>
      <w:r>
        <w:rPr>
          <w:sz w:val="19"/>
          <w:szCs w:val="19"/>
        </w:rPr>
        <w:t xml:space="preserve">measurement </w:t>
      </w:r>
      <w:r w:rsidR="0054470A">
        <w:rPr>
          <w:sz w:val="19"/>
          <w:szCs w:val="19"/>
        </w:rPr>
        <w:t>of such assets.</w:t>
      </w:r>
    </w:p>
    <w:p w14:paraId="7D92781B" w14:textId="766B7A2D" w:rsidR="00FF3739" w:rsidRPr="00662611" w:rsidRDefault="00FF3739"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decided to clarify in the Standard the approach to measuring </w:t>
      </w:r>
      <w:r w:rsidR="00894531">
        <w:rPr>
          <w:sz w:val="19"/>
          <w:szCs w:val="19"/>
        </w:rPr>
        <w:t xml:space="preserve">a </w:t>
      </w:r>
      <w:r w:rsidRPr="00662611">
        <w:rPr>
          <w:sz w:val="19"/>
          <w:szCs w:val="19"/>
        </w:rPr>
        <w:t xml:space="preserve">liability </w:t>
      </w:r>
      <w:r w:rsidR="00894531">
        <w:rPr>
          <w:sz w:val="19"/>
          <w:szCs w:val="19"/>
        </w:rPr>
        <w:t xml:space="preserve">under the GORTO model </w:t>
      </w:r>
      <w:r w:rsidRPr="00662611">
        <w:rPr>
          <w:sz w:val="19"/>
          <w:szCs w:val="19"/>
        </w:rPr>
        <w:t xml:space="preserve">when the grantor adopts the modified retrospective transition approach. The starting point is to measure the fair value (current replacement cost) of the service concession asset at the date of initial application, and then adjust that measure to reflect that part of the term of the service concession arrangement has passed. There were different views as to how to make that adjustment. The Board </w:t>
      </w:r>
      <w:r w:rsidR="00965A8D" w:rsidRPr="00662611">
        <w:rPr>
          <w:sz w:val="19"/>
          <w:szCs w:val="19"/>
        </w:rPr>
        <w:t>concluded</w:t>
      </w:r>
      <w:r w:rsidRPr="00662611">
        <w:rPr>
          <w:sz w:val="19"/>
          <w:szCs w:val="19"/>
        </w:rPr>
        <w:t xml:space="preserve"> that the adjustment should reflect the remaining service concession period relative to the remaining economic life of the service concession asset</w:t>
      </w:r>
      <w:r w:rsidR="00965A8D" w:rsidRPr="00662611">
        <w:rPr>
          <w:sz w:val="19"/>
          <w:szCs w:val="19"/>
        </w:rPr>
        <w:t>, on the grounds that the current measurement of the asset represented the future benefits inherent in the asset. The Board decided to include an example to illustrate the adjustment required.</w:t>
      </w:r>
    </w:p>
    <w:p w14:paraId="7D92781C" w14:textId="143B0949"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Standard requires that any </w:t>
      </w:r>
      <w:r w:rsidR="0099288D" w:rsidRPr="00662611">
        <w:rPr>
          <w:sz w:val="19"/>
          <w:szCs w:val="19"/>
        </w:rPr>
        <w:t xml:space="preserve">net adjustment to the carrying amounts of assets and liabilities </w:t>
      </w:r>
      <w:r w:rsidRPr="00662611">
        <w:rPr>
          <w:sz w:val="19"/>
          <w:szCs w:val="19"/>
        </w:rPr>
        <w:t xml:space="preserve">is recognised </w:t>
      </w:r>
      <w:r w:rsidR="001F712D" w:rsidRPr="00662611">
        <w:rPr>
          <w:sz w:val="19"/>
          <w:szCs w:val="19"/>
        </w:rPr>
        <w:t>as an adjustment to the opening balance of accumulated surplus (deficiency) at the date of initial application</w:t>
      </w:r>
      <w:r w:rsidRPr="00662611">
        <w:rPr>
          <w:sz w:val="19"/>
          <w:szCs w:val="19"/>
        </w:rPr>
        <w:t xml:space="preserve">. </w:t>
      </w:r>
      <w:r w:rsidR="0099288D" w:rsidRPr="00662611">
        <w:rPr>
          <w:sz w:val="19"/>
          <w:szCs w:val="19"/>
        </w:rPr>
        <w:t xml:space="preserve">Accordingly, </w:t>
      </w:r>
      <w:r w:rsidRPr="00662611">
        <w:rPr>
          <w:sz w:val="19"/>
          <w:szCs w:val="19"/>
        </w:rPr>
        <w:t xml:space="preserve">the Standard requires that if the </w:t>
      </w:r>
      <w:r w:rsidR="00E8621D" w:rsidRPr="00662611">
        <w:rPr>
          <w:sz w:val="19"/>
          <w:szCs w:val="19"/>
        </w:rPr>
        <w:t xml:space="preserve">grantor </w:t>
      </w:r>
      <w:r w:rsidR="00894531">
        <w:rPr>
          <w:sz w:val="19"/>
          <w:szCs w:val="19"/>
        </w:rPr>
        <w:t xml:space="preserve">elects </w:t>
      </w:r>
      <w:r w:rsidRPr="00662611">
        <w:rPr>
          <w:sz w:val="19"/>
          <w:szCs w:val="19"/>
        </w:rPr>
        <w:t>as its accounting policy the revaluation model in AASB 116 or AASB 138</w:t>
      </w:r>
      <w:r w:rsidR="00894531">
        <w:rPr>
          <w:sz w:val="19"/>
          <w:szCs w:val="19"/>
        </w:rPr>
        <w:t xml:space="preserve"> (or is required to adopt that policy)</w:t>
      </w:r>
      <w:r w:rsidRPr="00662611">
        <w:rPr>
          <w:sz w:val="19"/>
          <w:szCs w:val="19"/>
        </w:rPr>
        <w:t xml:space="preserve">, </w:t>
      </w:r>
      <w:r w:rsidR="0099288D" w:rsidRPr="00662611">
        <w:rPr>
          <w:sz w:val="19"/>
          <w:szCs w:val="19"/>
        </w:rPr>
        <w:t xml:space="preserve">any relevant </w:t>
      </w:r>
      <w:r w:rsidR="00E8621D" w:rsidRPr="00662611">
        <w:rPr>
          <w:sz w:val="19"/>
          <w:szCs w:val="19"/>
        </w:rPr>
        <w:t xml:space="preserve">adjustment </w:t>
      </w:r>
      <w:r w:rsidRPr="00662611">
        <w:rPr>
          <w:sz w:val="19"/>
          <w:szCs w:val="19"/>
        </w:rPr>
        <w:t>is included in</w:t>
      </w:r>
      <w:r w:rsidR="00E8621D" w:rsidRPr="00662611">
        <w:rPr>
          <w:sz w:val="19"/>
          <w:szCs w:val="19"/>
        </w:rPr>
        <w:t xml:space="preserve"> accumulated surplus (deficiency) and not revaluation surplus</w:t>
      </w:r>
      <w:r w:rsidRPr="00662611">
        <w:rPr>
          <w:sz w:val="19"/>
          <w:szCs w:val="19"/>
        </w:rPr>
        <w:t xml:space="preserve">. The Board noted that </w:t>
      </w:r>
      <w:r w:rsidR="0099288D" w:rsidRPr="00662611">
        <w:rPr>
          <w:sz w:val="19"/>
          <w:szCs w:val="19"/>
        </w:rPr>
        <w:t xml:space="preserve">the amount of such an adjustment </w:t>
      </w:r>
      <w:r w:rsidRPr="00662611">
        <w:rPr>
          <w:sz w:val="19"/>
          <w:szCs w:val="19"/>
        </w:rPr>
        <w:t xml:space="preserve">could not be used to offset future changes in the values of an asset or liability. This is consistent with the treatment in AASB 108 for a change in accounting policy. However, this differs from the approach permitted by IPSAS 32, where </w:t>
      </w:r>
      <w:r w:rsidR="0099288D" w:rsidRPr="00662611">
        <w:rPr>
          <w:sz w:val="19"/>
          <w:szCs w:val="19"/>
        </w:rPr>
        <w:t xml:space="preserve">such an adjustment would be </w:t>
      </w:r>
      <w:r w:rsidRPr="00662611">
        <w:rPr>
          <w:sz w:val="19"/>
          <w:szCs w:val="19"/>
        </w:rPr>
        <w:t>included in revaluation surplus.</w:t>
      </w:r>
    </w:p>
    <w:p w14:paraId="7D92781D" w14:textId="77777777" w:rsidR="00F524AD" w:rsidRPr="00662611" w:rsidRDefault="002B4847" w:rsidP="00A854C0">
      <w:pPr>
        <w:pStyle w:val="IASBSectionTitle1NonInd"/>
        <w:outlineLvl w:val="1"/>
      </w:pPr>
      <w:r w:rsidRPr="00662611">
        <w:t>Effective date</w:t>
      </w:r>
    </w:p>
    <w:p w14:paraId="7D92781E" w14:textId="77777777" w:rsidR="003862D4" w:rsidRPr="00662611" w:rsidRDefault="00C23F83"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The Board </w:t>
      </w:r>
      <w:r w:rsidR="00BD5C79" w:rsidRPr="00662611">
        <w:rPr>
          <w:sz w:val="19"/>
          <w:szCs w:val="19"/>
        </w:rPr>
        <w:t xml:space="preserve">noted that ED 261 had proposed an effective date of annual reporting periods beginning on or after 1 January 2017, which was no longer feasible. The Board </w:t>
      </w:r>
      <w:r w:rsidRPr="00662611">
        <w:rPr>
          <w:sz w:val="19"/>
          <w:szCs w:val="19"/>
        </w:rPr>
        <w:t xml:space="preserve">decided the effective date of the Standard </w:t>
      </w:r>
      <w:r w:rsidR="00BD5C79" w:rsidRPr="00662611">
        <w:rPr>
          <w:sz w:val="19"/>
          <w:szCs w:val="19"/>
        </w:rPr>
        <w:t xml:space="preserve">should be </w:t>
      </w:r>
      <w:r w:rsidRPr="00662611">
        <w:rPr>
          <w:sz w:val="19"/>
          <w:szCs w:val="19"/>
        </w:rPr>
        <w:t xml:space="preserve">annual reporting periods beginning </w:t>
      </w:r>
      <w:r w:rsidR="00BD5C79" w:rsidRPr="00662611">
        <w:rPr>
          <w:sz w:val="19"/>
          <w:szCs w:val="19"/>
        </w:rPr>
        <w:t xml:space="preserve">on or after </w:t>
      </w:r>
      <w:r w:rsidRPr="00662611">
        <w:rPr>
          <w:sz w:val="19"/>
          <w:szCs w:val="19"/>
        </w:rPr>
        <w:t>1</w:t>
      </w:r>
      <w:r w:rsidR="006566CE" w:rsidRPr="00662611">
        <w:rPr>
          <w:sz w:val="19"/>
          <w:szCs w:val="19"/>
        </w:rPr>
        <w:t> </w:t>
      </w:r>
      <w:r w:rsidRPr="00662611">
        <w:rPr>
          <w:sz w:val="19"/>
          <w:szCs w:val="19"/>
        </w:rPr>
        <w:t>January</w:t>
      </w:r>
      <w:r w:rsidR="00BD5C79" w:rsidRPr="00662611">
        <w:rPr>
          <w:sz w:val="19"/>
          <w:szCs w:val="19"/>
        </w:rPr>
        <w:t xml:space="preserve"> </w:t>
      </w:r>
      <w:r w:rsidRPr="00662611">
        <w:rPr>
          <w:sz w:val="19"/>
          <w:szCs w:val="19"/>
        </w:rPr>
        <w:t>2019</w:t>
      </w:r>
      <w:r w:rsidR="00BD5C79" w:rsidRPr="00662611">
        <w:rPr>
          <w:sz w:val="19"/>
          <w:szCs w:val="19"/>
        </w:rPr>
        <w:t>,</w:t>
      </w:r>
      <w:r w:rsidR="004A408C" w:rsidRPr="00662611">
        <w:rPr>
          <w:sz w:val="19"/>
          <w:szCs w:val="19"/>
        </w:rPr>
        <w:t xml:space="preserve"> on the basis that</w:t>
      </w:r>
      <w:r w:rsidR="00032368" w:rsidRPr="00662611">
        <w:rPr>
          <w:sz w:val="19"/>
          <w:szCs w:val="19"/>
        </w:rPr>
        <w:t xml:space="preserve"> </w:t>
      </w:r>
      <w:r w:rsidR="00BD5C79" w:rsidRPr="00662611">
        <w:rPr>
          <w:sz w:val="19"/>
          <w:szCs w:val="19"/>
        </w:rPr>
        <w:t xml:space="preserve">that date </w:t>
      </w:r>
      <w:r w:rsidR="00032368" w:rsidRPr="00662611">
        <w:rPr>
          <w:sz w:val="19"/>
          <w:szCs w:val="19"/>
        </w:rPr>
        <w:t>would</w:t>
      </w:r>
      <w:r w:rsidR="004A408C" w:rsidRPr="00662611">
        <w:rPr>
          <w:sz w:val="19"/>
          <w:szCs w:val="19"/>
        </w:rPr>
        <w:t>:</w:t>
      </w:r>
    </w:p>
    <w:p w14:paraId="7D92781F" w14:textId="37DFEF71" w:rsidR="004A408C" w:rsidRPr="00662611" w:rsidRDefault="00894531" w:rsidP="00942FDB">
      <w:pPr>
        <w:pStyle w:val="IE2"/>
        <w:numPr>
          <w:ilvl w:val="1"/>
          <w:numId w:val="18"/>
        </w:numPr>
        <w:tabs>
          <w:tab w:val="clear" w:pos="1247"/>
        </w:tabs>
        <w:spacing w:after="100" w:line="240" w:lineRule="auto"/>
        <w:ind w:left="1564" w:hanging="782"/>
        <w:jc w:val="both"/>
        <w:rPr>
          <w:sz w:val="19"/>
          <w:szCs w:val="19"/>
        </w:rPr>
      </w:pPr>
      <w:proofErr w:type="gramStart"/>
      <w:r>
        <w:rPr>
          <w:sz w:val="19"/>
          <w:szCs w:val="19"/>
        </w:rPr>
        <w:t>effectively</w:t>
      </w:r>
      <w:proofErr w:type="gramEnd"/>
      <w:r>
        <w:rPr>
          <w:sz w:val="19"/>
          <w:szCs w:val="19"/>
        </w:rPr>
        <w:t xml:space="preserve"> </w:t>
      </w:r>
      <w:r w:rsidR="00032368" w:rsidRPr="00662611">
        <w:rPr>
          <w:sz w:val="19"/>
          <w:szCs w:val="19"/>
        </w:rPr>
        <w:t>provide two years, from the issue date, for implementing the Standard for entities that have a 30 June reporting date. This aligns with constituents’ comment</w:t>
      </w:r>
      <w:r w:rsidR="00BD5C79" w:rsidRPr="00662611">
        <w:rPr>
          <w:sz w:val="19"/>
          <w:szCs w:val="19"/>
        </w:rPr>
        <w:t>s</w:t>
      </w:r>
      <w:r w:rsidR="00032368" w:rsidRPr="00662611">
        <w:rPr>
          <w:sz w:val="19"/>
          <w:szCs w:val="19"/>
        </w:rPr>
        <w:t xml:space="preserve"> that th</w:t>
      </w:r>
      <w:r w:rsidR="006566CE" w:rsidRPr="00662611">
        <w:rPr>
          <w:sz w:val="19"/>
          <w:szCs w:val="19"/>
        </w:rPr>
        <w:t>is</w:t>
      </w:r>
      <w:r w:rsidR="00032368" w:rsidRPr="00662611">
        <w:rPr>
          <w:sz w:val="19"/>
          <w:szCs w:val="19"/>
        </w:rPr>
        <w:t xml:space="preserve"> Standard will need a significant amount of time to implement; and</w:t>
      </w:r>
    </w:p>
    <w:p w14:paraId="7D927820" w14:textId="4B7ED1D5" w:rsidR="00032368" w:rsidRPr="00662611" w:rsidRDefault="00BD5C79"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align</w:t>
      </w:r>
      <w:proofErr w:type="gramEnd"/>
      <w:r w:rsidRPr="00662611">
        <w:rPr>
          <w:sz w:val="19"/>
          <w:szCs w:val="19"/>
        </w:rPr>
        <w:t xml:space="preserve"> with the </w:t>
      </w:r>
      <w:r w:rsidR="00032368" w:rsidRPr="00662611">
        <w:rPr>
          <w:sz w:val="19"/>
          <w:szCs w:val="19"/>
        </w:rPr>
        <w:t xml:space="preserve">effective date </w:t>
      </w:r>
      <w:r w:rsidRPr="00662611">
        <w:rPr>
          <w:sz w:val="19"/>
          <w:szCs w:val="19"/>
        </w:rPr>
        <w:t xml:space="preserve">of </w:t>
      </w:r>
      <w:r w:rsidR="00032368" w:rsidRPr="00662611">
        <w:rPr>
          <w:sz w:val="19"/>
          <w:szCs w:val="19"/>
        </w:rPr>
        <w:t>AASB 15 and AASB 1058</w:t>
      </w:r>
      <w:r w:rsidRPr="00662611">
        <w:rPr>
          <w:sz w:val="19"/>
          <w:szCs w:val="19"/>
        </w:rPr>
        <w:t xml:space="preserve"> </w:t>
      </w:r>
      <w:r w:rsidRPr="00662611">
        <w:rPr>
          <w:i/>
          <w:sz w:val="19"/>
          <w:szCs w:val="19"/>
        </w:rPr>
        <w:t>Income of Not-for-Profit Entities</w:t>
      </w:r>
      <w:r w:rsidR="00032368" w:rsidRPr="00662611">
        <w:rPr>
          <w:sz w:val="19"/>
          <w:szCs w:val="19"/>
        </w:rPr>
        <w:t xml:space="preserve">, which this Standard cross-references </w:t>
      </w:r>
      <w:r w:rsidR="006566CE" w:rsidRPr="00662611">
        <w:rPr>
          <w:sz w:val="19"/>
          <w:szCs w:val="19"/>
        </w:rPr>
        <w:t>(see</w:t>
      </w:r>
      <w:r w:rsidR="00032368" w:rsidRPr="00662611">
        <w:rPr>
          <w:sz w:val="19"/>
          <w:szCs w:val="19"/>
        </w:rPr>
        <w:t xml:space="preserve"> paragraph </w:t>
      </w:r>
      <w:r w:rsidR="00032368" w:rsidRPr="00662611">
        <w:rPr>
          <w:sz w:val="19"/>
          <w:szCs w:val="19"/>
        </w:rPr>
        <w:fldChar w:fldCharType="begin"/>
      </w:r>
      <w:r w:rsidR="00032368" w:rsidRPr="00662611">
        <w:rPr>
          <w:sz w:val="19"/>
          <w:szCs w:val="19"/>
        </w:rPr>
        <w:instrText xml:space="preserve"> REF _Ref475713632 \r \h </w:instrText>
      </w:r>
      <w:r w:rsidR="00032368" w:rsidRPr="00662611">
        <w:rPr>
          <w:sz w:val="19"/>
          <w:szCs w:val="19"/>
        </w:rPr>
      </w:r>
      <w:r w:rsidR="00032368" w:rsidRPr="00662611">
        <w:rPr>
          <w:sz w:val="19"/>
          <w:szCs w:val="19"/>
        </w:rPr>
        <w:fldChar w:fldCharType="separate"/>
      </w:r>
      <w:r w:rsidR="00C43128">
        <w:rPr>
          <w:sz w:val="19"/>
          <w:szCs w:val="19"/>
        </w:rPr>
        <w:t>27</w:t>
      </w:r>
      <w:r w:rsidR="00032368" w:rsidRPr="00662611">
        <w:rPr>
          <w:sz w:val="19"/>
          <w:szCs w:val="19"/>
        </w:rPr>
        <w:fldChar w:fldCharType="end"/>
      </w:r>
      <w:r w:rsidR="006566CE" w:rsidRPr="00662611">
        <w:rPr>
          <w:sz w:val="19"/>
          <w:szCs w:val="19"/>
        </w:rPr>
        <w:t>)</w:t>
      </w:r>
      <w:r w:rsidR="00032368" w:rsidRPr="00662611">
        <w:rPr>
          <w:sz w:val="19"/>
          <w:szCs w:val="19"/>
        </w:rPr>
        <w:t xml:space="preserve">. </w:t>
      </w:r>
      <w:r w:rsidR="007508DA" w:rsidRPr="00662611">
        <w:rPr>
          <w:sz w:val="19"/>
          <w:szCs w:val="19"/>
        </w:rPr>
        <w:t xml:space="preserve">Although </w:t>
      </w:r>
      <w:r w:rsidR="00032368" w:rsidRPr="00662611">
        <w:rPr>
          <w:sz w:val="19"/>
          <w:szCs w:val="19"/>
        </w:rPr>
        <w:t xml:space="preserve">the effective date of this Standard need not align with </w:t>
      </w:r>
      <w:r w:rsidRPr="00662611">
        <w:rPr>
          <w:sz w:val="19"/>
          <w:szCs w:val="19"/>
        </w:rPr>
        <w:t xml:space="preserve">those </w:t>
      </w:r>
      <w:r w:rsidR="00032368" w:rsidRPr="00662611">
        <w:rPr>
          <w:sz w:val="19"/>
          <w:szCs w:val="19"/>
        </w:rPr>
        <w:t xml:space="preserve">Standards, the Board </w:t>
      </w:r>
      <w:r w:rsidR="002C081F" w:rsidRPr="00662611">
        <w:rPr>
          <w:sz w:val="19"/>
          <w:szCs w:val="19"/>
        </w:rPr>
        <w:t xml:space="preserve">considered having the same effective date </w:t>
      </w:r>
      <w:r w:rsidR="00032368" w:rsidRPr="00662611">
        <w:rPr>
          <w:sz w:val="19"/>
          <w:szCs w:val="19"/>
        </w:rPr>
        <w:t xml:space="preserve">would assist grantors in the overall implementation </w:t>
      </w:r>
      <w:r w:rsidR="002C081F" w:rsidRPr="00662611">
        <w:rPr>
          <w:sz w:val="19"/>
          <w:szCs w:val="19"/>
        </w:rPr>
        <w:t>of the Standards</w:t>
      </w:r>
      <w:r w:rsidR="00032368" w:rsidRPr="00662611">
        <w:rPr>
          <w:sz w:val="19"/>
          <w:szCs w:val="19"/>
        </w:rPr>
        <w:t>.</w:t>
      </w:r>
    </w:p>
    <w:p w14:paraId="7D927821" w14:textId="77777777" w:rsidR="003862D4" w:rsidRPr="00662611" w:rsidRDefault="003862D4" w:rsidP="00A854C0">
      <w:pPr>
        <w:pStyle w:val="IASBSectionTitle1NonInd"/>
        <w:outlineLvl w:val="1"/>
      </w:pPr>
      <w:r w:rsidRPr="00662611">
        <w:lastRenderedPageBreak/>
        <w:t>GAAP/GFS convergence</w:t>
      </w:r>
    </w:p>
    <w:p w14:paraId="7D927822" w14:textId="77777777" w:rsidR="003862D4" w:rsidRPr="00662611" w:rsidRDefault="00094977"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discussed implications of its decisions on GAAP/GFS harmonisation.</w:t>
      </w:r>
      <w:r w:rsidR="007148B1" w:rsidRPr="00662611">
        <w:rPr>
          <w:sz w:val="19"/>
          <w:szCs w:val="19"/>
        </w:rPr>
        <w:t xml:space="preserve"> The Board noted that </w:t>
      </w:r>
      <w:r w:rsidR="00B7693D" w:rsidRPr="00662611">
        <w:rPr>
          <w:sz w:val="19"/>
          <w:szCs w:val="19"/>
        </w:rPr>
        <w:t xml:space="preserve">key </w:t>
      </w:r>
      <w:r w:rsidR="007148B1" w:rsidRPr="00662611">
        <w:rPr>
          <w:sz w:val="19"/>
          <w:szCs w:val="19"/>
        </w:rPr>
        <w:t>differences between Generally Accepted Accounting Principles (GAAP) and Government Finance Statistics (GFS) may arise in relation to the following:</w:t>
      </w:r>
    </w:p>
    <w:p w14:paraId="7D927823" w14:textId="77777777" w:rsidR="00291DDD" w:rsidRPr="00662611" w:rsidRDefault="00291DDD" w:rsidP="00942FDB">
      <w:pPr>
        <w:pStyle w:val="IE2"/>
        <w:numPr>
          <w:ilvl w:val="1"/>
          <w:numId w:val="18"/>
        </w:numPr>
        <w:tabs>
          <w:tab w:val="clear" w:pos="1247"/>
        </w:tabs>
        <w:spacing w:after="100" w:line="240" w:lineRule="auto"/>
        <w:ind w:left="1564" w:hanging="782"/>
        <w:jc w:val="both"/>
        <w:rPr>
          <w:sz w:val="19"/>
          <w:szCs w:val="19"/>
        </w:rPr>
      </w:pPr>
      <w:r w:rsidRPr="00662611">
        <w:rPr>
          <w:sz w:val="19"/>
          <w:szCs w:val="19"/>
        </w:rPr>
        <w:t xml:space="preserve">service concession arrangement </w:t>
      </w:r>
      <w:r w:rsidR="00EF5185" w:rsidRPr="00662611">
        <w:rPr>
          <w:sz w:val="19"/>
          <w:szCs w:val="19"/>
        </w:rPr>
        <w:t xml:space="preserve">terminology </w:t>
      </w:r>
      <w:r w:rsidRPr="00662611">
        <w:rPr>
          <w:sz w:val="19"/>
          <w:szCs w:val="19"/>
        </w:rPr>
        <w:t>– GFS refers to such arrangements as ‘Public Private Partnerships’ (PPP);</w:t>
      </w:r>
    </w:p>
    <w:p w14:paraId="7D927824" w14:textId="77777777" w:rsidR="007148B1" w:rsidRPr="00662611" w:rsidRDefault="00AD1F89" w:rsidP="00942FDB">
      <w:pPr>
        <w:pStyle w:val="IE2"/>
        <w:numPr>
          <w:ilvl w:val="1"/>
          <w:numId w:val="18"/>
        </w:numPr>
        <w:tabs>
          <w:tab w:val="clear" w:pos="1247"/>
        </w:tabs>
        <w:spacing w:after="100" w:line="240" w:lineRule="auto"/>
        <w:ind w:left="1564" w:hanging="782"/>
        <w:jc w:val="both"/>
        <w:rPr>
          <w:sz w:val="19"/>
          <w:szCs w:val="19"/>
        </w:rPr>
      </w:pPr>
      <w:r w:rsidRPr="00662611">
        <w:rPr>
          <w:sz w:val="19"/>
          <w:szCs w:val="19"/>
        </w:rPr>
        <w:t>assessment of</w:t>
      </w:r>
      <w:r w:rsidR="00677C82" w:rsidRPr="00662611">
        <w:rPr>
          <w:sz w:val="19"/>
          <w:szCs w:val="19"/>
        </w:rPr>
        <w:t xml:space="preserve"> whether the grantor recognises </w:t>
      </w:r>
      <w:r w:rsidRPr="00662611">
        <w:rPr>
          <w:sz w:val="19"/>
          <w:szCs w:val="19"/>
        </w:rPr>
        <w:t>a</w:t>
      </w:r>
      <w:r w:rsidR="00677C82" w:rsidRPr="00662611">
        <w:rPr>
          <w:sz w:val="19"/>
          <w:szCs w:val="19"/>
        </w:rPr>
        <w:t xml:space="preserve"> service concession asset – assessment is based on </w:t>
      </w:r>
      <w:r w:rsidRPr="00662611">
        <w:rPr>
          <w:sz w:val="19"/>
          <w:szCs w:val="19"/>
        </w:rPr>
        <w:t xml:space="preserve">the </w:t>
      </w:r>
      <w:r w:rsidR="00677C82" w:rsidRPr="00662611">
        <w:rPr>
          <w:sz w:val="19"/>
          <w:szCs w:val="19"/>
        </w:rPr>
        <w:t>risks and rewards approach under GFS rather than the control and regulation approach in this Standard;</w:t>
      </w:r>
    </w:p>
    <w:p w14:paraId="7D927825" w14:textId="77777777" w:rsidR="003E6775" w:rsidRPr="00662611" w:rsidRDefault="00050B30"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accounting</w:t>
      </w:r>
      <w:proofErr w:type="gramEnd"/>
      <w:r w:rsidRPr="00662611">
        <w:rPr>
          <w:sz w:val="19"/>
          <w:szCs w:val="19"/>
        </w:rPr>
        <w:t xml:space="preserve"> for a service concession arrangement –</w:t>
      </w:r>
      <w:r w:rsidR="00AE7964" w:rsidRPr="00662611">
        <w:rPr>
          <w:sz w:val="19"/>
          <w:szCs w:val="19"/>
        </w:rPr>
        <w:t xml:space="preserve"> </w:t>
      </w:r>
      <w:r w:rsidRPr="00662611">
        <w:rPr>
          <w:sz w:val="19"/>
          <w:szCs w:val="19"/>
        </w:rPr>
        <w:t xml:space="preserve">the </w:t>
      </w:r>
      <w:r w:rsidR="00AE7964" w:rsidRPr="00662611">
        <w:rPr>
          <w:sz w:val="19"/>
          <w:szCs w:val="19"/>
        </w:rPr>
        <w:t>arrangement is accounted for</w:t>
      </w:r>
      <w:r w:rsidRPr="00662611">
        <w:rPr>
          <w:sz w:val="19"/>
          <w:szCs w:val="19"/>
        </w:rPr>
        <w:t xml:space="preserve"> as a </w:t>
      </w:r>
      <w:r w:rsidR="00AE7964" w:rsidRPr="00662611">
        <w:rPr>
          <w:sz w:val="19"/>
          <w:szCs w:val="19"/>
        </w:rPr>
        <w:t xml:space="preserve">finance </w:t>
      </w:r>
      <w:r w:rsidRPr="00662611">
        <w:rPr>
          <w:sz w:val="19"/>
          <w:szCs w:val="19"/>
        </w:rPr>
        <w:t xml:space="preserve">lease </w:t>
      </w:r>
      <w:r w:rsidR="003A5764" w:rsidRPr="00662611">
        <w:rPr>
          <w:sz w:val="19"/>
          <w:szCs w:val="19"/>
        </w:rPr>
        <w:t xml:space="preserve">under GFS, but with some differences to </w:t>
      </w:r>
      <w:r w:rsidRPr="00662611">
        <w:rPr>
          <w:sz w:val="19"/>
          <w:szCs w:val="19"/>
        </w:rPr>
        <w:t>AASB 16</w:t>
      </w:r>
      <w:r w:rsidR="00ED1272" w:rsidRPr="00662611">
        <w:rPr>
          <w:sz w:val="19"/>
          <w:szCs w:val="19"/>
        </w:rPr>
        <w:t xml:space="preserve">. The difference in accounting will likely result in differences </w:t>
      </w:r>
      <w:r w:rsidR="003A5764" w:rsidRPr="00662611">
        <w:rPr>
          <w:sz w:val="19"/>
          <w:szCs w:val="19"/>
        </w:rPr>
        <w:t xml:space="preserve">between GAAP and GFS </w:t>
      </w:r>
      <w:r w:rsidR="00ED1272" w:rsidRPr="00662611">
        <w:rPr>
          <w:sz w:val="19"/>
          <w:szCs w:val="19"/>
        </w:rPr>
        <w:t xml:space="preserve">in the </w:t>
      </w:r>
      <w:r w:rsidR="003A5764" w:rsidRPr="00662611">
        <w:rPr>
          <w:sz w:val="19"/>
          <w:szCs w:val="19"/>
        </w:rPr>
        <w:t xml:space="preserve">amounts </w:t>
      </w:r>
      <w:r w:rsidR="00ED1272" w:rsidRPr="00662611">
        <w:rPr>
          <w:sz w:val="19"/>
          <w:szCs w:val="19"/>
        </w:rPr>
        <w:t>of the asset</w:t>
      </w:r>
      <w:r w:rsidR="003A5764" w:rsidRPr="00662611">
        <w:rPr>
          <w:sz w:val="19"/>
          <w:szCs w:val="19"/>
        </w:rPr>
        <w:t>s</w:t>
      </w:r>
      <w:r w:rsidR="00ED1272" w:rsidRPr="00662611">
        <w:rPr>
          <w:sz w:val="19"/>
          <w:szCs w:val="19"/>
        </w:rPr>
        <w:t xml:space="preserve"> and </w:t>
      </w:r>
      <w:r w:rsidR="003A5764" w:rsidRPr="00662611">
        <w:rPr>
          <w:sz w:val="19"/>
          <w:szCs w:val="19"/>
        </w:rPr>
        <w:t xml:space="preserve">liabilities </w:t>
      </w:r>
      <w:r w:rsidR="00ED1272" w:rsidRPr="00662611">
        <w:rPr>
          <w:sz w:val="19"/>
          <w:szCs w:val="19"/>
        </w:rPr>
        <w:t xml:space="preserve">recognised </w:t>
      </w:r>
      <w:r w:rsidR="003A5764" w:rsidRPr="00662611">
        <w:rPr>
          <w:sz w:val="19"/>
          <w:szCs w:val="19"/>
        </w:rPr>
        <w:t xml:space="preserve">both </w:t>
      </w:r>
      <w:r w:rsidR="00ED1272" w:rsidRPr="00662611">
        <w:rPr>
          <w:sz w:val="19"/>
          <w:szCs w:val="19"/>
        </w:rPr>
        <w:t>initially and during the term of the arrangement;</w:t>
      </w:r>
    </w:p>
    <w:p w14:paraId="7D927826" w14:textId="29AB569E" w:rsidR="00677C82" w:rsidRPr="00662611" w:rsidRDefault="003A5764"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revaluation</w:t>
      </w:r>
      <w:proofErr w:type="gramEnd"/>
      <w:r w:rsidRPr="00662611">
        <w:rPr>
          <w:sz w:val="19"/>
          <w:szCs w:val="19"/>
        </w:rPr>
        <w:t xml:space="preserve"> of </w:t>
      </w:r>
      <w:r w:rsidR="003E6775" w:rsidRPr="00662611">
        <w:rPr>
          <w:sz w:val="19"/>
          <w:szCs w:val="19"/>
        </w:rPr>
        <w:t>service concession asset</w:t>
      </w:r>
      <w:r w:rsidRPr="00662611">
        <w:rPr>
          <w:sz w:val="19"/>
          <w:szCs w:val="19"/>
        </w:rPr>
        <w:t>s</w:t>
      </w:r>
      <w:r w:rsidR="003E6775" w:rsidRPr="00662611">
        <w:rPr>
          <w:sz w:val="19"/>
          <w:szCs w:val="19"/>
        </w:rPr>
        <w:t xml:space="preserve"> – GFS requires the asset to be measured using the revaluation model. This Standard references AASB 116 and AASB 138, which permit the cost and revaluation model</w:t>
      </w:r>
      <w:r w:rsidRPr="00662611">
        <w:rPr>
          <w:sz w:val="19"/>
          <w:szCs w:val="19"/>
        </w:rPr>
        <w:t>s</w:t>
      </w:r>
      <w:r w:rsidR="00894531">
        <w:rPr>
          <w:sz w:val="19"/>
          <w:szCs w:val="19"/>
        </w:rPr>
        <w:t xml:space="preserve">. AASB 1049 </w:t>
      </w:r>
      <w:r w:rsidR="00894531" w:rsidRPr="00662611">
        <w:rPr>
          <w:i/>
          <w:sz w:val="19"/>
          <w:szCs w:val="19"/>
        </w:rPr>
        <w:t>Whole of Government and General Government Sector Financial Reporting</w:t>
      </w:r>
      <w:r w:rsidR="00894531">
        <w:rPr>
          <w:sz w:val="19"/>
          <w:szCs w:val="19"/>
        </w:rPr>
        <w:t xml:space="preserve"> requires fair value measurement and </w:t>
      </w:r>
      <w:r w:rsidR="005318B1">
        <w:rPr>
          <w:sz w:val="19"/>
          <w:szCs w:val="19"/>
        </w:rPr>
        <w:t xml:space="preserve">the </w:t>
      </w:r>
      <w:r w:rsidR="00894531">
        <w:rPr>
          <w:sz w:val="19"/>
          <w:szCs w:val="19"/>
        </w:rPr>
        <w:t>revaluation of assets consistent with the market value measurement requirements of GFS</w:t>
      </w:r>
      <w:r w:rsidR="00F02814" w:rsidRPr="00662611">
        <w:rPr>
          <w:sz w:val="19"/>
          <w:szCs w:val="19"/>
        </w:rPr>
        <w:t>;</w:t>
      </w:r>
      <w:r w:rsidR="003E6775" w:rsidRPr="00662611">
        <w:rPr>
          <w:sz w:val="19"/>
          <w:szCs w:val="19"/>
        </w:rPr>
        <w:t xml:space="preserve"> </w:t>
      </w:r>
      <w:r w:rsidR="00B7693D" w:rsidRPr="00662611">
        <w:rPr>
          <w:sz w:val="19"/>
          <w:szCs w:val="19"/>
        </w:rPr>
        <w:t>and</w:t>
      </w:r>
    </w:p>
    <w:p w14:paraId="7D927827" w14:textId="77777777" w:rsidR="00291DDD" w:rsidRPr="00662611" w:rsidRDefault="003A5764"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the</w:t>
      </w:r>
      <w:proofErr w:type="gramEnd"/>
      <w:r w:rsidRPr="00662611">
        <w:rPr>
          <w:sz w:val="19"/>
          <w:szCs w:val="19"/>
        </w:rPr>
        <w:t xml:space="preserve"> </w:t>
      </w:r>
      <w:r w:rsidR="00291DDD" w:rsidRPr="00662611">
        <w:rPr>
          <w:sz w:val="19"/>
          <w:szCs w:val="19"/>
        </w:rPr>
        <w:t xml:space="preserve">liability recognised under the GORTO model – GFS acknowledges the GORTO model but does not provide specific accounting requirements. Instead, GFS notes most </w:t>
      </w:r>
      <w:r w:rsidR="00B7693D" w:rsidRPr="00662611">
        <w:rPr>
          <w:sz w:val="19"/>
          <w:szCs w:val="19"/>
        </w:rPr>
        <w:t>PPPs are unique and the accounting is to be considered on a case by case basis.</w:t>
      </w:r>
    </w:p>
    <w:p w14:paraId="7D927828" w14:textId="1ED0995C" w:rsidR="007148B1" w:rsidRPr="00662611" w:rsidRDefault="007D4F2B"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The Board weighed its policy on GAAP/GFS harmonisation against its policy of transaction neutrality. The Board observed that some areas of potential difference were</w:t>
      </w:r>
      <w:r w:rsidR="00853646" w:rsidRPr="00662611">
        <w:rPr>
          <w:sz w:val="19"/>
          <w:szCs w:val="19"/>
        </w:rPr>
        <w:t xml:space="preserve"> known when developing AASB 1049. Others are driven by a difference in the underlying principles. Further, some differences could only be addressed by </w:t>
      </w:r>
      <w:r w:rsidR="000F5FE8" w:rsidRPr="00662611">
        <w:rPr>
          <w:sz w:val="19"/>
          <w:szCs w:val="19"/>
        </w:rPr>
        <w:t>making</w:t>
      </w:r>
      <w:r w:rsidR="00853646" w:rsidRPr="00662611">
        <w:rPr>
          <w:sz w:val="19"/>
          <w:szCs w:val="19"/>
        </w:rPr>
        <w:t xml:space="preserve"> changes to the underlying principles in AASB</w:t>
      </w:r>
      <w:r w:rsidR="000F5FE8" w:rsidRPr="00662611">
        <w:rPr>
          <w:sz w:val="19"/>
          <w:szCs w:val="19"/>
        </w:rPr>
        <w:t> </w:t>
      </w:r>
      <w:r w:rsidR="005F6667">
        <w:rPr>
          <w:sz w:val="19"/>
          <w:szCs w:val="19"/>
        </w:rPr>
        <w:t>1059</w:t>
      </w:r>
      <w:r w:rsidR="00853646" w:rsidRPr="00662611">
        <w:rPr>
          <w:sz w:val="19"/>
          <w:szCs w:val="19"/>
        </w:rPr>
        <w:t>.</w:t>
      </w:r>
    </w:p>
    <w:p w14:paraId="7D927829" w14:textId="3F3AD077" w:rsidR="00853646" w:rsidRPr="00662611" w:rsidRDefault="00853646"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On balance, the Board considered that it was </w:t>
      </w:r>
      <w:r w:rsidR="000F5FE8" w:rsidRPr="00662611">
        <w:rPr>
          <w:sz w:val="19"/>
          <w:szCs w:val="19"/>
        </w:rPr>
        <w:t xml:space="preserve">not </w:t>
      </w:r>
      <w:r w:rsidRPr="00662611">
        <w:rPr>
          <w:sz w:val="19"/>
          <w:szCs w:val="19"/>
        </w:rPr>
        <w:t xml:space="preserve">necessary </w:t>
      </w:r>
      <w:r w:rsidR="000F5FE8" w:rsidRPr="00662611">
        <w:rPr>
          <w:sz w:val="19"/>
          <w:szCs w:val="19"/>
        </w:rPr>
        <w:t xml:space="preserve">to amend its decisions </w:t>
      </w:r>
      <w:r w:rsidR="009F4824" w:rsidRPr="00662611">
        <w:rPr>
          <w:sz w:val="19"/>
          <w:szCs w:val="19"/>
        </w:rPr>
        <w:t xml:space="preserve">reflected </w:t>
      </w:r>
      <w:r w:rsidR="000F5FE8" w:rsidRPr="00662611">
        <w:rPr>
          <w:sz w:val="19"/>
          <w:szCs w:val="19"/>
        </w:rPr>
        <w:t>in AASB </w:t>
      </w:r>
      <w:r w:rsidR="005F6667">
        <w:rPr>
          <w:sz w:val="19"/>
          <w:szCs w:val="19"/>
        </w:rPr>
        <w:t>1059</w:t>
      </w:r>
      <w:r w:rsidR="000F5FE8" w:rsidRPr="00662611">
        <w:rPr>
          <w:sz w:val="19"/>
          <w:szCs w:val="19"/>
        </w:rPr>
        <w:t xml:space="preserve"> in order to </w:t>
      </w:r>
      <w:r w:rsidR="009F4824" w:rsidRPr="00662611">
        <w:rPr>
          <w:sz w:val="19"/>
          <w:szCs w:val="19"/>
        </w:rPr>
        <w:t xml:space="preserve">better </w:t>
      </w:r>
      <w:r w:rsidR="000F5FE8" w:rsidRPr="00662611">
        <w:rPr>
          <w:sz w:val="19"/>
          <w:szCs w:val="19"/>
        </w:rPr>
        <w:t xml:space="preserve">achieve GAAP/GFS harmonisation. The Board noted </w:t>
      </w:r>
      <w:r w:rsidR="00BA327A" w:rsidRPr="00662611">
        <w:rPr>
          <w:sz w:val="19"/>
          <w:szCs w:val="19"/>
        </w:rPr>
        <w:t xml:space="preserve">that AASB 1049 will require entities to identify and explain any </w:t>
      </w:r>
      <w:r w:rsidR="009F4824" w:rsidRPr="00662611">
        <w:rPr>
          <w:sz w:val="19"/>
          <w:szCs w:val="19"/>
        </w:rPr>
        <w:t xml:space="preserve">material </w:t>
      </w:r>
      <w:r w:rsidR="00BA327A" w:rsidRPr="00662611">
        <w:rPr>
          <w:sz w:val="19"/>
          <w:szCs w:val="19"/>
        </w:rPr>
        <w:t xml:space="preserve">differences arising from different requirements in GAAP as compared </w:t>
      </w:r>
      <w:r w:rsidR="007447BB" w:rsidRPr="00662611">
        <w:rPr>
          <w:sz w:val="19"/>
          <w:szCs w:val="19"/>
        </w:rPr>
        <w:t xml:space="preserve">with </w:t>
      </w:r>
      <w:r w:rsidR="00BA327A" w:rsidRPr="00662611">
        <w:rPr>
          <w:sz w:val="19"/>
          <w:szCs w:val="19"/>
        </w:rPr>
        <w:t>GFS.</w:t>
      </w:r>
    </w:p>
    <w:p w14:paraId="7D92782A" w14:textId="77777777" w:rsidR="003862D4" w:rsidRPr="00662611" w:rsidRDefault="003862D4" w:rsidP="00A854C0">
      <w:pPr>
        <w:pStyle w:val="IASBSectionTitle1NonInd"/>
        <w:outlineLvl w:val="1"/>
      </w:pPr>
      <w:r w:rsidRPr="00662611">
        <w:t>Comparison with IPSAS 32</w:t>
      </w:r>
    </w:p>
    <w:p w14:paraId="7D92782B"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This Standard incorporates the key requirements of IPSAS 32</w:t>
      </w:r>
      <w:r w:rsidR="00E4458C" w:rsidRPr="00662611">
        <w:rPr>
          <w:sz w:val="19"/>
          <w:szCs w:val="19"/>
        </w:rPr>
        <w:t>,</w:t>
      </w:r>
      <w:r w:rsidRPr="00662611">
        <w:rPr>
          <w:sz w:val="19"/>
          <w:szCs w:val="19"/>
        </w:rPr>
        <w:t xml:space="preserve"> with the main differences detailed in the paragraphs below.</w:t>
      </w:r>
    </w:p>
    <w:p w14:paraId="7D92782C" w14:textId="77777777" w:rsidR="003862D4" w:rsidRPr="00662611" w:rsidRDefault="003862D4" w:rsidP="00A854C0">
      <w:pPr>
        <w:pStyle w:val="IASBSectionTitle2Ind"/>
        <w:outlineLvl w:val="2"/>
      </w:pPr>
      <w:r w:rsidRPr="00662611">
        <w:t>Scope</w:t>
      </w:r>
    </w:p>
    <w:p w14:paraId="7D92782D" w14:textId="77777777"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applies to all public sector entities </w:t>
      </w:r>
      <w:r w:rsidR="0098215A" w:rsidRPr="00662611">
        <w:rPr>
          <w:sz w:val="19"/>
          <w:szCs w:val="19"/>
        </w:rPr>
        <w:t xml:space="preserve">in both the for-profit and not-for-profit sectors. This </w:t>
      </w:r>
      <w:r w:rsidRPr="00662611">
        <w:rPr>
          <w:sz w:val="19"/>
          <w:szCs w:val="19"/>
        </w:rPr>
        <w:t>is wider than the scope of IPSAS</w:t>
      </w:r>
      <w:r w:rsidR="009872DC" w:rsidRPr="00662611">
        <w:rPr>
          <w:sz w:val="19"/>
          <w:szCs w:val="19"/>
        </w:rPr>
        <w:t> </w:t>
      </w:r>
      <w:r w:rsidRPr="00662611">
        <w:rPr>
          <w:sz w:val="19"/>
          <w:szCs w:val="19"/>
        </w:rPr>
        <w:t>32</w:t>
      </w:r>
      <w:r w:rsidR="0098215A" w:rsidRPr="00662611">
        <w:rPr>
          <w:sz w:val="19"/>
          <w:szCs w:val="19"/>
        </w:rPr>
        <w:t xml:space="preserve">, which </w:t>
      </w:r>
      <w:r w:rsidRPr="00662611">
        <w:rPr>
          <w:sz w:val="19"/>
          <w:szCs w:val="19"/>
        </w:rPr>
        <w:t xml:space="preserve">applies to public sector </w:t>
      </w:r>
      <w:r w:rsidR="001F46E5" w:rsidRPr="00662611">
        <w:rPr>
          <w:sz w:val="19"/>
          <w:szCs w:val="19"/>
        </w:rPr>
        <w:t>not-for-profit entities</w:t>
      </w:r>
      <w:r w:rsidRPr="00662611">
        <w:rPr>
          <w:sz w:val="19"/>
          <w:szCs w:val="19"/>
        </w:rPr>
        <w:t xml:space="preserve">. </w:t>
      </w:r>
    </w:p>
    <w:p w14:paraId="7D92782E" w14:textId="77777777" w:rsidR="003862D4" w:rsidRPr="00662611" w:rsidRDefault="003862D4" w:rsidP="00A854C0">
      <w:pPr>
        <w:pStyle w:val="IASBSectionTitle2Ind"/>
        <w:outlineLvl w:val="2"/>
      </w:pPr>
      <w:r w:rsidRPr="00662611">
        <w:t>Recognition and measurement of service concession assets</w:t>
      </w:r>
    </w:p>
    <w:p w14:paraId="7D92782F" w14:textId="77777777" w:rsidR="00F37B2D" w:rsidRPr="00662611" w:rsidRDefault="00F73D82"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This Standard includes Application Guidance</w:t>
      </w:r>
      <w:r w:rsidR="009730D0" w:rsidRPr="00662611">
        <w:rPr>
          <w:sz w:val="19"/>
          <w:szCs w:val="19"/>
        </w:rPr>
        <w:t xml:space="preserve"> on the following matters, which is</w:t>
      </w:r>
      <w:r w:rsidRPr="00662611">
        <w:rPr>
          <w:sz w:val="19"/>
          <w:szCs w:val="19"/>
        </w:rPr>
        <w:t xml:space="preserve"> addition</w:t>
      </w:r>
      <w:r w:rsidR="009730D0" w:rsidRPr="00662611">
        <w:rPr>
          <w:sz w:val="19"/>
          <w:szCs w:val="19"/>
        </w:rPr>
        <w:t>al</w:t>
      </w:r>
      <w:r w:rsidRPr="00662611">
        <w:rPr>
          <w:sz w:val="19"/>
          <w:szCs w:val="19"/>
        </w:rPr>
        <w:t xml:space="preserve"> to </w:t>
      </w:r>
      <w:r w:rsidR="009730D0" w:rsidRPr="00662611">
        <w:rPr>
          <w:sz w:val="19"/>
          <w:szCs w:val="19"/>
        </w:rPr>
        <w:t xml:space="preserve">that in </w:t>
      </w:r>
      <w:r w:rsidRPr="00662611">
        <w:rPr>
          <w:sz w:val="19"/>
          <w:szCs w:val="19"/>
        </w:rPr>
        <w:t>IPSAS 32</w:t>
      </w:r>
      <w:r w:rsidR="00F37B2D" w:rsidRPr="00662611">
        <w:rPr>
          <w:sz w:val="19"/>
          <w:szCs w:val="19"/>
        </w:rPr>
        <w:t>:</w:t>
      </w:r>
    </w:p>
    <w:p w14:paraId="7D927830" w14:textId="77777777" w:rsidR="00F73D82" w:rsidRPr="00662611" w:rsidRDefault="009730D0" w:rsidP="00942FDB">
      <w:pPr>
        <w:pStyle w:val="IE2"/>
        <w:numPr>
          <w:ilvl w:val="1"/>
          <w:numId w:val="18"/>
        </w:numPr>
        <w:tabs>
          <w:tab w:val="clear" w:pos="1247"/>
        </w:tabs>
        <w:spacing w:after="100" w:line="240" w:lineRule="auto"/>
        <w:ind w:left="1564" w:hanging="782"/>
        <w:jc w:val="both"/>
        <w:rPr>
          <w:sz w:val="19"/>
          <w:szCs w:val="19"/>
        </w:rPr>
      </w:pPr>
      <w:r w:rsidRPr="00662611">
        <w:rPr>
          <w:sz w:val="19"/>
          <w:szCs w:val="19"/>
        </w:rPr>
        <w:t xml:space="preserve">the </w:t>
      </w:r>
      <w:r w:rsidR="00A71798" w:rsidRPr="00662611">
        <w:rPr>
          <w:sz w:val="19"/>
          <w:szCs w:val="19"/>
        </w:rPr>
        <w:t>fundamental principle of control of a service concession asset, including guidance on:</w:t>
      </w:r>
    </w:p>
    <w:p w14:paraId="7D927831" w14:textId="77777777" w:rsidR="00F73D82" w:rsidRPr="00662611" w:rsidRDefault="00A71798" w:rsidP="003102C2">
      <w:pPr>
        <w:pStyle w:val="IASBNormalnparaL1"/>
        <w:numPr>
          <w:ilvl w:val="0"/>
          <w:numId w:val="36"/>
        </w:numPr>
        <w:spacing w:before="0" w:after="100"/>
        <w:ind w:left="2347" w:hanging="782"/>
      </w:pPr>
      <w:r w:rsidRPr="00662611">
        <w:t>when the grantor would control the service concession asset in an environment where the services provided and/or the service pricing is regulated by a third-party regulator;</w:t>
      </w:r>
    </w:p>
    <w:p w14:paraId="7D927832" w14:textId="77777777" w:rsidR="00A71798" w:rsidRPr="00662611" w:rsidRDefault="00A71798" w:rsidP="003102C2">
      <w:pPr>
        <w:pStyle w:val="IASBNormalnparaL1"/>
        <w:numPr>
          <w:ilvl w:val="0"/>
          <w:numId w:val="36"/>
        </w:numPr>
        <w:spacing w:before="0" w:after="100"/>
        <w:ind w:left="2347" w:hanging="782"/>
      </w:pPr>
      <w:r w:rsidRPr="00662611">
        <w:t>the need to assess whether long-term leases, outsourcing or privatisation arrangement</w:t>
      </w:r>
      <w:r w:rsidR="009730D0" w:rsidRPr="00662611">
        <w:t>s</w:t>
      </w:r>
      <w:r w:rsidRPr="00662611">
        <w:t xml:space="preserve"> are within the scope of this Standard; and</w:t>
      </w:r>
    </w:p>
    <w:p w14:paraId="7D927833" w14:textId="77777777" w:rsidR="00A71798" w:rsidRPr="00662611" w:rsidRDefault="00A71798" w:rsidP="003102C2">
      <w:pPr>
        <w:pStyle w:val="IASBNormalnparaL1"/>
        <w:numPr>
          <w:ilvl w:val="0"/>
          <w:numId w:val="36"/>
        </w:numPr>
        <w:spacing w:before="0" w:after="100"/>
        <w:ind w:left="2347" w:hanging="782"/>
      </w:pPr>
      <w:r w:rsidRPr="00662611">
        <w:t>changes in the grantor’s control of the service concession asset</w:t>
      </w:r>
      <w:r w:rsidR="00A9029D" w:rsidRPr="00662611">
        <w:t>;</w:t>
      </w:r>
      <w:r w:rsidR="006A0F7D" w:rsidRPr="00662611">
        <w:t xml:space="preserve"> and</w:t>
      </w:r>
    </w:p>
    <w:p w14:paraId="7D927834" w14:textId="77777777" w:rsidR="00F37B2D" w:rsidRPr="00662611" w:rsidRDefault="009730D0" w:rsidP="00942FDB">
      <w:pPr>
        <w:pStyle w:val="IE2"/>
        <w:numPr>
          <w:ilvl w:val="1"/>
          <w:numId w:val="18"/>
        </w:numPr>
        <w:tabs>
          <w:tab w:val="clear" w:pos="1247"/>
        </w:tabs>
        <w:spacing w:after="100" w:line="240" w:lineRule="auto"/>
        <w:ind w:left="1564" w:hanging="782"/>
        <w:jc w:val="both"/>
        <w:rPr>
          <w:sz w:val="19"/>
          <w:szCs w:val="19"/>
        </w:rPr>
      </w:pPr>
      <w:proofErr w:type="gramStart"/>
      <w:r w:rsidRPr="00662611">
        <w:rPr>
          <w:sz w:val="19"/>
          <w:szCs w:val="19"/>
        </w:rPr>
        <w:t>the</w:t>
      </w:r>
      <w:proofErr w:type="gramEnd"/>
      <w:r w:rsidRPr="00662611">
        <w:rPr>
          <w:sz w:val="19"/>
          <w:szCs w:val="19"/>
        </w:rPr>
        <w:t xml:space="preserve"> </w:t>
      </w:r>
      <w:r w:rsidR="00A9029D" w:rsidRPr="00662611">
        <w:rPr>
          <w:sz w:val="19"/>
          <w:szCs w:val="19"/>
        </w:rPr>
        <w:t xml:space="preserve">relationship between the residual interest of the asset at the end of the service concession arrangement and </w:t>
      </w:r>
      <w:r w:rsidR="00C427BD" w:rsidRPr="00662611">
        <w:rPr>
          <w:sz w:val="19"/>
          <w:szCs w:val="19"/>
        </w:rPr>
        <w:t xml:space="preserve">a </w:t>
      </w:r>
      <w:r w:rsidR="00A9029D" w:rsidRPr="00662611">
        <w:rPr>
          <w:sz w:val="19"/>
          <w:szCs w:val="19"/>
        </w:rPr>
        <w:t>whole-of-life asset</w:t>
      </w:r>
      <w:r w:rsidR="006A0F7D" w:rsidRPr="00662611">
        <w:rPr>
          <w:sz w:val="19"/>
          <w:szCs w:val="19"/>
        </w:rPr>
        <w:t>.</w:t>
      </w:r>
    </w:p>
    <w:p w14:paraId="7D927835" w14:textId="1648799E" w:rsidR="00B0162A"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lastRenderedPageBreak/>
        <w:t xml:space="preserve">This Standard </w:t>
      </w:r>
      <w:r w:rsidR="00EE0311" w:rsidRPr="00662611">
        <w:rPr>
          <w:sz w:val="19"/>
          <w:szCs w:val="19"/>
        </w:rPr>
        <w:t xml:space="preserve">requires </w:t>
      </w:r>
      <w:r w:rsidRPr="00662611">
        <w:rPr>
          <w:sz w:val="19"/>
          <w:szCs w:val="19"/>
        </w:rPr>
        <w:t xml:space="preserve">the grantor </w:t>
      </w:r>
      <w:r w:rsidR="00EE0311" w:rsidRPr="00662611">
        <w:rPr>
          <w:sz w:val="19"/>
          <w:szCs w:val="19"/>
        </w:rPr>
        <w:t xml:space="preserve">to </w:t>
      </w:r>
      <w:r w:rsidRPr="00662611">
        <w:rPr>
          <w:sz w:val="19"/>
          <w:szCs w:val="19"/>
        </w:rPr>
        <w:t xml:space="preserve">initially measure the service concession asset at </w:t>
      </w:r>
      <w:r w:rsidR="00EE0311" w:rsidRPr="00662611">
        <w:rPr>
          <w:sz w:val="19"/>
          <w:szCs w:val="19"/>
        </w:rPr>
        <w:t>current replacement cost in accordance with the cost approach to</w:t>
      </w:r>
      <w:r w:rsidRPr="00662611">
        <w:rPr>
          <w:sz w:val="19"/>
          <w:szCs w:val="19"/>
        </w:rPr>
        <w:t xml:space="preserve"> fair value</w:t>
      </w:r>
      <w:r w:rsidR="00EE0311" w:rsidRPr="00662611">
        <w:rPr>
          <w:sz w:val="19"/>
          <w:szCs w:val="19"/>
        </w:rPr>
        <w:t xml:space="preserve"> in AASB 13</w:t>
      </w:r>
      <w:r w:rsidRPr="00662611">
        <w:rPr>
          <w:sz w:val="19"/>
          <w:szCs w:val="19"/>
        </w:rPr>
        <w:t xml:space="preserve">. IPSAS 32 </w:t>
      </w:r>
      <w:r w:rsidR="00A13AFA" w:rsidRPr="00662611">
        <w:rPr>
          <w:sz w:val="19"/>
          <w:szCs w:val="19"/>
        </w:rPr>
        <w:t xml:space="preserve">instead </w:t>
      </w:r>
      <w:r w:rsidR="00EE0311" w:rsidRPr="00662611">
        <w:rPr>
          <w:sz w:val="19"/>
          <w:szCs w:val="19"/>
        </w:rPr>
        <w:t>specifies measurement of fair value generally</w:t>
      </w:r>
      <w:r w:rsidR="00894531">
        <w:rPr>
          <w:sz w:val="19"/>
          <w:szCs w:val="19"/>
        </w:rPr>
        <w:t xml:space="preserve"> –</w:t>
      </w:r>
      <w:r w:rsidR="002F6D08" w:rsidRPr="00662611">
        <w:rPr>
          <w:sz w:val="19"/>
          <w:szCs w:val="19"/>
        </w:rPr>
        <w:t xml:space="preserve"> there is no IPSAS corresponding to AASB 13</w:t>
      </w:r>
      <w:r w:rsidR="00EE0311" w:rsidRPr="00662611">
        <w:rPr>
          <w:sz w:val="19"/>
          <w:szCs w:val="19"/>
        </w:rPr>
        <w:t>.</w:t>
      </w:r>
    </w:p>
    <w:p w14:paraId="7D927836" w14:textId="043F7C9B" w:rsidR="00B0162A" w:rsidRPr="00662611" w:rsidRDefault="00794E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requires </w:t>
      </w:r>
      <w:r w:rsidR="00931442" w:rsidRPr="00662611">
        <w:rPr>
          <w:sz w:val="19"/>
          <w:szCs w:val="19"/>
        </w:rPr>
        <w:t>an existing asset of the grantor</w:t>
      </w:r>
      <w:r w:rsidR="003F4531" w:rsidRPr="00662611">
        <w:rPr>
          <w:sz w:val="19"/>
          <w:szCs w:val="19"/>
        </w:rPr>
        <w:t>, including a previously unrecognised identifiable intangible asset</w:t>
      </w:r>
      <w:r w:rsidR="005318B1">
        <w:rPr>
          <w:sz w:val="19"/>
          <w:szCs w:val="19"/>
        </w:rPr>
        <w:t xml:space="preserve"> or land under roads</w:t>
      </w:r>
      <w:r w:rsidR="003F4531" w:rsidRPr="00662611">
        <w:rPr>
          <w:sz w:val="19"/>
          <w:szCs w:val="19"/>
        </w:rPr>
        <w:t>,</w:t>
      </w:r>
      <w:r w:rsidR="00931442" w:rsidRPr="00662611">
        <w:rPr>
          <w:sz w:val="19"/>
          <w:szCs w:val="19"/>
        </w:rPr>
        <w:t xml:space="preserve"> that is reclassified as a service concession asset </w:t>
      </w:r>
      <w:r w:rsidR="002F6D08" w:rsidRPr="00662611">
        <w:rPr>
          <w:sz w:val="19"/>
          <w:szCs w:val="19"/>
        </w:rPr>
        <w:t xml:space="preserve">to be </w:t>
      </w:r>
      <w:r w:rsidR="00931442" w:rsidRPr="00662611">
        <w:rPr>
          <w:sz w:val="19"/>
          <w:szCs w:val="19"/>
        </w:rPr>
        <w:t>measured at fair value (current replacement cost) at the date of reclassification</w:t>
      </w:r>
      <w:r w:rsidR="00DA5148" w:rsidRPr="00662611">
        <w:rPr>
          <w:sz w:val="19"/>
          <w:szCs w:val="19"/>
        </w:rPr>
        <w:t>. IPSAS </w:t>
      </w:r>
      <w:r w:rsidR="00931442" w:rsidRPr="00662611">
        <w:rPr>
          <w:sz w:val="19"/>
          <w:szCs w:val="19"/>
        </w:rPr>
        <w:t xml:space="preserve">32 does not </w:t>
      </w:r>
      <w:r w:rsidR="00894531">
        <w:rPr>
          <w:sz w:val="19"/>
          <w:szCs w:val="19"/>
        </w:rPr>
        <w:t xml:space="preserve">permit </w:t>
      </w:r>
      <w:r w:rsidR="003F4531" w:rsidRPr="00662611">
        <w:rPr>
          <w:sz w:val="19"/>
          <w:szCs w:val="19"/>
        </w:rPr>
        <w:t xml:space="preserve">such </w:t>
      </w:r>
      <w:r w:rsidR="00931442" w:rsidRPr="00662611">
        <w:rPr>
          <w:sz w:val="19"/>
          <w:szCs w:val="19"/>
        </w:rPr>
        <w:t>measurement</w:t>
      </w:r>
      <w:r w:rsidR="00BE48C2" w:rsidRPr="00662611">
        <w:rPr>
          <w:sz w:val="19"/>
          <w:szCs w:val="19"/>
        </w:rPr>
        <w:t xml:space="preserve"> or the recognition of previously unrecognised identifiable intangible assets</w:t>
      </w:r>
      <w:r w:rsidR="00894531">
        <w:rPr>
          <w:sz w:val="19"/>
          <w:szCs w:val="19"/>
        </w:rPr>
        <w:t xml:space="preserve"> or land under roads</w:t>
      </w:r>
      <w:r w:rsidRPr="00662611">
        <w:rPr>
          <w:sz w:val="19"/>
          <w:szCs w:val="19"/>
        </w:rPr>
        <w:t>.</w:t>
      </w:r>
    </w:p>
    <w:p w14:paraId="7D927837" w14:textId="77777777" w:rsidR="00A543F2" w:rsidRPr="00662611" w:rsidRDefault="00A543F2" w:rsidP="004D573E">
      <w:pPr>
        <w:pStyle w:val="IASBSectionTitle2Ind"/>
        <w:outlineLvl w:val="2"/>
      </w:pPr>
      <w:r w:rsidRPr="00662611">
        <w:t>Recognition and measurement of liabilities</w:t>
      </w:r>
    </w:p>
    <w:p w14:paraId="7D927838" w14:textId="391D30C1" w:rsidR="00B0162A" w:rsidRPr="00662611" w:rsidRDefault="00794E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This Standard</w:t>
      </w:r>
      <w:r w:rsidR="00931442" w:rsidRPr="00662611">
        <w:rPr>
          <w:sz w:val="19"/>
          <w:szCs w:val="19"/>
        </w:rPr>
        <w:t xml:space="preserve"> requires the grantor to recognise a financial liability </w:t>
      </w:r>
      <w:r w:rsidR="002F6D08" w:rsidRPr="00662611">
        <w:rPr>
          <w:sz w:val="19"/>
          <w:szCs w:val="19"/>
        </w:rPr>
        <w:t xml:space="preserve">when </w:t>
      </w:r>
      <w:r w:rsidR="00931442" w:rsidRPr="00662611">
        <w:rPr>
          <w:sz w:val="19"/>
          <w:szCs w:val="19"/>
        </w:rPr>
        <w:t xml:space="preserve">the grantor has a contractual obligation to pay cash to the operator for third-party usage of a service concession asset, with or without guaranteeing a minimum amount to the operator. IPSAS 32 refers to such an arrangement as a ‘shadow toll’ arrangement and requires the grantor to account for the payments as an expense </w:t>
      </w:r>
      <w:r w:rsidR="00BE48C2" w:rsidRPr="00662611">
        <w:rPr>
          <w:sz w:val="19"/>
          <w:szCs w:val="19"/>
        </w:rPr>
        <w:t xml:space="preserve">when paid </w:t>
      </w:r>
      <w:r w:rsidR="00931442" w:rsidRPr="00662611">
        <w:rPr>
          <w:sz w:val="19"/>
          <w:szCs w:val="19"/>
        </w:rPr>
        <w:t xml:space="preserve">instead of recognising a </w:t>
      </w:r>
      <w:r w:rsidR="00BE48C2" w:rsidRPr="00662611">
        <w:rPr>
          <w:sz w:val="19"/>
          <w:szCs w:val="19"/>
        </w:rPr>
        <w:t xml:space="preserve">financial </w:t>
      </w:r>
      <w:r w:rsidR="00931442" w:rsidRPr="00662611">
        <w:rPr>
          <w:sz w:val="19"/>
          <w:szCs w:val="19"/>
        </w:rPr>
        <w:t>liability</w:t>
      </w:r>
      <w:r w:rsidR="00BE48C2" w:rsidRPr="00662611">
        <w:rPr>
          <w:sz w:val="19"/>
          <w:szCs w:val="19"/>
        </w:rPr>
        <w:t xml:space="preserve"> at the commencement of the service concession arrangement</w:t>
      </w:r>
      <w:r w:rsidRPr="00662611">
        <w:rPr>
          <w:sz w:val="19"/>
          <w:szCs w:val="19"/>
        </w:rPr>
        <w:t>.</w:t>
      </w:r>
    </w:p>
    <w:p w14:paraId="7D927839" w14:textId="2FA5D590" w:rsidR="006A0F7D" w:rsidRPr="00662611" w:rsidRDefault="003F68CC"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references the application of the financial instrument Standards to a financial liability, while IPSAS 32 explicitly requires the grantor to allocate the payments to the operator under the contract as a reduction in the liability recognised, a finance charge and charges for services. </w:t>
      </w:r>
      <w:r w:rsidR="00B100AF" w:rsidRPr="00662611">
        <w:rPr>
          <w:sz w:val="19"/>
          <w:szCs w:val="19"/>
        </w:rPr>
        <w:t xml:space="preserve">Additionally, IPSAS 32 </w:t>
      </w:r>
      <w:r w:rsidR="00E34DD9" w:rsidRPr="00662611">
        <w:rPr>
          <w:sz w:val="19"/>
          <w:szCs w:val="19"/>
        </w:rPr>
        <w:t>provides guidance</w:t>
      </w:r>
      <w:r w:rsidR="0048297B" w:rsidRPr="00662611">
        <w:rPr>
          <w:sz w:val="19"/>
          <w:szCs w:val="19"/>
        </w:rPr>
        <w:t xml:space="preserve"> that the finance charge is determined based on the operator’s cost of capital specific to the service concession asset</w:t>
      </w:r>
      <w:r w:rsidR="00E172B8" w:rsidRPr="00662611">
        <w:rPr>
          <w:sz w:val="19"/>
          <w:szCs w:val="19"/>
        </w:rPr>
        <w:t>,</w:t>
      </w:r>
      <w:r w:rsidR="0048297B" w:rsidRPr="00662611">
        <w:rPr>
          <w:sz w:val="19"/>
          <w:szCs w:val="19"/>
        </w:rPr>
        <w:t xml:space="preserve"> if this is practicable to determine. If this is not practicable, the rate implicit in the arrangement, the grantor’s incremental borrowing rate, or another rate appropriate to the terms and conditions of the arrangement is used. </w:t>
      </w:r>
      <w:r w:rsidR="00E172B8" w:rsidRPr="00662611">
        <w:rPr>
          <w:sz w:val="19"/>
          <w:szCs w:val="19"/>
        </w:rPr>
        <w:t xml:space="preserve">In contrast, this </w:t>
      </w:r>
      <w:r w:rsidR="0048297B" w:rsidRPr="00662611">
        <w:rPr>
          <w:sz w:val="19"/>
          <w:szCs w:val="19"/>
        </w:rPr>
        <w:t xml:space="preserve">Standard provides guidance </w:t>
      </w:r>
      <w:r w:rsidR="00E172B8" w:rsidRPr="00662611">
        <w:rPr>
          <w:sz w:val="19"/>
          <w:szCs w:val="19"/>
        </w:rPr>
        <w:t xml:space="preserve">that the grantor uses the contractually specified interest rate in the arrangement to initially measure the </w:t>
      </w:r>
      <w:r w:rsidR="0048297B" w:rsidRPr="00662611">
        <w:rPr>
          <w:sz w:val="19"/>
          <w:szCs w:val="19"/>
        </w:rPr>
        <w:t xml:space="preserve">financial liability component for the purpose of dividing a hybrid arrangement. </w:t>
      </w:r>
      <w:r w:rsidR="00E172B8" w:rsidRPr="00662611">
        <w:rPr>
          <w:sz w:val="19"/>
          <w:szCs w:val="19"/>
        </w:rPr>
        <w:t xml:space="preserve">Where </w:t>
      </w:r>
      <w:r w:rsidR="000636C7" w:rsidRPr="00662611">
        <w:rPr>
          <w:sz w:val="19"/>
          <w:szCs w:val="19"/>
        </w:rPr>
        <w:t>this is not</w:t>
      </w:r>
      <w:r w:rsidR="0048297B" w:rsidRPr="00662611">
        <w:rPr>
          <w:sz w:val="19"/>
          <w:szCs w:val="19"/>
        </w:rPr>
        <w:t xml:space="preserve"> practicable</w:t>
      </w:r>
      <w:r w:rsidR="000636C7" w:rsidRPr="00662611">
        <w:rPr>
          <w:sz w:val="19"/>
          <w:szCs w:val="19"/>
        </w:rPr>
        <w:t xml:space="preserve">, </w:t>
      </w:r>
      <w:r w:rsidR="0048297B" w:rsidRPr="00662611">
        <w:rPr>
          <w:sz w:val="19"/>
          <w:szCs w:val="19"/>
        </w:rPr>
        <w:t>prevailing market rate(s) of interest for a similar instrument with similar credit ratings</w:t>
      </w:r>
      <w:r w:rsidR="001C4A26" w:rsidRPr="00662611">
        <w:rPr>
          <w:sz w:val="19"/>
          <w:szCs w:val="19"/>
        </w:rPr>
        <w:t xml:space="preserve"> </w:t>
      </w:r>
      <w:r w:rsidR="00E172B8" w:rsidRPr="00662611">
        <w:rPr>
          <w:sz w:val="19"/>
          <w:szCs w:val="19"/>
        </w:rPr>
        <w:t xml:space="preserve">are applied, </w:t>
      </w:r>
      <w:r w:rsidR="001C4A26" w:rsidRPr="00662611">
        <w:rPr>
          <w:sz w:val="19"/>
          <w:szCs w:val="19"/>
        </w:rPr>
        <w:t>as required by the financial instrument Standards.</w:t>
      </w:r>
    </w:p>
    <w:p w14:paraId="7D92783A" w14:textId="04770972" w:rsidR="00B100AF" w:rsidRPr="00662611" w:rsidRDefault="000636C7"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requires the </w:t>
      </w:r>
      <w:r w:rsidR="0012412C" w:rsidRPr="00662611">
        <w:rPr>
          <w:sz w:val="19"/>
          <w:szCs w:val="19"/>
        </w:rPr>
        <w:t xml:space="preserve">grantor in a </w:t>
      </w:r>
      <w:r w:rsidR="00B100AF" w:rsidRPr="00662611">
        <w:rPr>
          <w:sz w:val="19"/>
          <w:szCs w:val="19"/>
        </w:rPr>
        <w:t>hybrid arrangement</w:t>
      </w:r>
      <w:r w:rsidR="0012412C" w:rsidRPr="00662611">
        <w:rPr>
          <w:sz w:val="19"/>
          <w:szCs w:val="19"/>
        </w:rPr>
        <w:t xml:space="preserve"> to measure the financial liability first, </w:t>
      </w:r>
      <w:r w:rsidR="00E172B8" w:rsidRPr="00662611">
        <w:rPr>
          <w:sz w:val="19"/>
          <w:szCs w:val="19"/>
        </w:rPr>
        <w:t xml:space="preserve">with </w:t>
      </w:r>
      <w:r w:rsidR="0012412C" w:rsidRPr="00662611">
        <w:rPr>
          <w:sz w:val="19"/>
          <w:szCs w:val="19"/>
        </w:rPr>
        <w:t xml:space="preserve">the remainder of the total liability allocated to the </w:t>
      </w:r>
      <w:r w:rsidR="00E172B8" w:rsidRPr="00662611">
        <w:rPr>
          <w:sz w:val="19"/>
          <w:szCs w:val="19"/>
        </w:rPr>
        <w:t xml:space="preserve">liability related to the </w:t>
      </w:r>
      <w:r w:rsidR="0012412C" w:rsidRPr="00662611">
        <w:rPr>
          <w:sz w:val="19"/>
          <w:szCs w:val="19"/>
        </w:rPr>
        <w:t xml:space="preserve">grant of the right to the operator. </w:t>
      </w:r>
      <w:r w:rsidR="00834421" w:rsidRPr="00662611">
        <w:rPr>
          <w:sz w:val="19"/>
          <w:szCs w:val="19"/>
        </w:rPr>
        <w:t xml:space="preserve">IPSAS 32 requires the grantor to </w:t>
      </w:r>
      <w:r w:rsidR="00C722CF" w:rsidRPr="00662611">
        <w:rPr>
          <w:sz w:val="19"/>
          <w:szCs w:val="19"/>
        </w:rPr>
        <w:t>account</w:t>
      </w:r>
      <w:r w:rsidR="00834421" w:rsidRPr="00662611">
        <w:rPr>
          <w:sz w:val="19"/>
          <w:szCs w:val="19"/>
        </w:rPr>
        <w:t xml:space="preserve"> for </w:t>
      </w:r>
      <w:r w:rsidR="00C42A2D" w:rsidRPr="00662611">
        <w:rPr>
          <w:sz w:val="19"/>
          <w:szCs w:val="19"/>
        </w:rPr>
        <w:t xml:space="preserve">the </w:t>
      </w:r>
      <w:r w:rsidR="00834421" w:rsidRPr="00662611">
        <w:rPr>
          <w:sz w:val="19"/>
          <w:szCs w:val="19"/>
        </w:rPr>
        <w:t xml:space="preserve">liability in a hybrid arrangement in accordance with the liability </w:t>
      </w:r>
      <w:r w:rsidR="004B7AB9" w:rsidRPr="00662611">
        <w:rPr>
          <w:sz w:val="19"/>
          <w:szCs w:val="19"/>
        </w:rPr>
        <w:t>recognition</w:t>
      </w:r>
      <w:r w:rsidR="00FE1B38" w:rsidRPr="00662611">
        <w:rPr>
          <w:sz w:val="19"/>
          <w:szCs w:val="19"/>
        </w:rPr>
        <w:t xml:space="preserve"> requirements</w:t>
      </w:r>
      <w:r w:rsidR="004B7AB9" w:rsidRPr="00662611">
        <w:rPr>
          <w:sz w:val="19"/>
          <w:szCs w:val="19"/>
        </w:rPr>
        <w:t xml:space="preserve"> in </w:t>
      </w:r>
      <w:r w:rsidR="00894531">
        <w:rPr>
          <w:sz w:val="19"/>
          <w:szCs w:val="19"/>
        </w:rPr>
        <w:t xml:space="preserve">IPSAS 32 </w:t>
      </w:r>
      <w:r w:rsidR="00834421" w:rsidRPr="00662611">
        <w:rPr>
          <w:sz w:val="19"/>
          <w:szCs w:val="19"/>
        </w:rPr>
        <w:t>generally.</w:t>
      </w:r>
    </w:p>
    <w:p w14:paraId="7D92783B" w14:textId="77777777" w:rsidR="00D505C9" w:rsidRPr="00662611" w:rsidRDefault="00D505C9" w:rsidP="004D573E">
      <w:pPr>
        <w:pStyle w:val="IASBSectionTitle2Ind"/>
        <w:outlineLvl w:val="2"/>
      </w:pPr>
      <w:r w:rsidRPr="00662611">
        <w:t>Other revenues</w:t>
      </w:r>
    </w:p>
    <w:p w14:paraId="7D92783C" w14:textId="77777777" w:rsidR="00931442" w:rsidRPr="00662611" w:rsidRDefault="00931442"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IPSAS 32 includes additional application guidance for other revenues</w:t>
      </w:r>
      <w:r w:rsidR="00D505C9" w:rsidRPr="00662611">
        <w:rPr>
          <w:sz w:val="19"/>
          <w:szCs w:val="19"/>
        </w:rPr>
        <w:t>, which is not included in this Standard</w:t>
      </w:r>
      <w:r w:rsidRPr="00662611">
        <w:rPr>
          <w:sz w:val="19"/>
          <w:szCs w:val="19"/>
        </w:rPr>
        <w:t>. Other revenues relate to compensation by the operator to the grantor for access to the service concession asset by providing the grantor with a series of predetermined inflows of resources such as an upfront payment or a stream of payments (eg rent payments) and revenue-sharing provisions.</w:t>
      </w:r>
      <w:r w:rsidR="00D505C9" w:rsidRPr="00662611">
        <w:rPr>
          <w:sz w:val="19"/>
          <w:szCs w:val="19"/>
        </w:rPr>
        <w:t xml:space="preserve"> This Standard instead references AASB 15 and AASB 1058</w:t>
      </w:r>
      <w:r w:rsidR="00C42F75" w:rsidRPr="00662611">
        <w:rPr>
          <w:sz w:val="19"/>
          <w:szCs w:val="19"/>
        </w:rPr>
        <w:t xml:space="preserve"> </w:t>
      </w:r>
      <w:r w:rsidR="00D505C9" w:rsidRPr="00662611">
        <w:rPr>
          <w:sz w:val="19"/>
          <w:szCs w:val="19"/>
        </w:rPr>
        <w:t>for application.</w:t>
      </w:r>
    </w:p>
    <w:p w14:paraId="7D92783D" w14:textId="77777777" w:rsidR="00FA7907" w:rsidRPr="00662611" w:rsidRDefault="00FA7907" w:rsidP="004D573E">
      <w:pPr>
        <w:pStyle w:val="IASBSectionTitle2Ind"/>
        <w:outlineLvl w:val="2"/>
      </w:pPr>
      <w:r w:rsidRPr="00662611">
        <w:t>Definitions</w:t>
      </w:r>
    </w:p>
    <w:p w14:paraId="7D92783E" w14:textId="65B211DC"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This Standard modifies the defined terms of IPS</w:t>
      </w:r>
      <w:r w:rsidR="00D46AF8">
        <w:rPr>
          <w:sz w:val="19"/>
          <w:szCs w:val="19"/>
        </w:rPr>
        <w:t xml:space="preserve">AS </w:t>
      </w:r>
      <w:r w:rsidRPr="00662611">
        <w:rPr>
          <w:sz w:val="19"/>
          <w:szCs w:val="19"/>
        </w:rPr>
        <w:t>32. This Standard:</w:t>
      </w:r>
    </w:p>
    <w:p w14:paraId="7D92783F" w14:textId="289D03E3" w:rsidR="003862D4" w:rsidRPr="00662611" w:rsidRDefault="003862D4" w:rsidP="002704B7">
      <w:pPr>
        <w:pStyle w:val="IASBNormalnparaL1"/>
        <w:numPr>
          <w:ilvl w:val="0"/>
          <w:numId w:val="22"/>
        </w:numPr>
        <w:spacing w:before="0" w:after="100"/>
        <w:ind w:left="1564" w:hanging="782"/>
      </w:pPr>
      <w:r w:rsidRPr="00662611">
        <w:t>replaces the IPSAS</w:t>
      </w:r>
      <w:r w:rsidR="00D46AF8">
        <w:t xml:space="preserve"> </w:t>
      </w:r>
      <w:r w:rsidRPr="00662611">
        <w:t>32 term ‘binding arrangement’, which “describes contracts and other arrangements that confer similar rights and obligations on the parties to it as if they were in the form of a contract”, with the term ‘contract’, which is defined as an “agreement between two or more parties that creates enforceable rights and obligations”</w:t>
      </w:r>
      <w:r w:rsidR="00612724" w:rsidRPr="00662611">
        <w:t xml:space="preserve">. This Standard also provides Application Guidance on the term </w:t>
      </w:r>
      <w:r w:rsidR="00763C24" w:rsidRPr="00662611">
        <w:t>‘</w:t>
      </w:r>
      <w:r w:rsidR="00612724" w:rsidRPr="00662611">
        <w:t>contract</w:t>
      </w:r>
      <w:r w:rsidR="00763C24" w:rsidRPr="00662611">
        <w:t>’</w:t>
      </w:r>
      <w:r w:rsidRPr="00662611">
        <w:t>;</w:t>
      </w:r>
    </w:p>
    <w:p w14:paraId="7D927840" w14:textId="4A73C351" w:rsidR="003862D4" w:rsidRPr="00662611" w:rsidRDefault="00D46AF8" w:rsidP="002704B7">
      <w:pPr>
        <w:pStyle w:val="IASBNormalnparaL1"/>
        <w:numPr>
          <w:ilvl w:val="0"/>
          <w:numId w:val="22"/>
        </w:numPr>
        <w:spacing w:before="0" w:after="100"/>
        <w:ind w:left="1564" w:hanging="782"/>
      </w:pPr>
      <w:r>
        <w:t xml:space="preserve">modifies the IPSAS </w:t>
      </w:r>
      <w:r w:rsidR="003862D4" w:rsidRPr="00662611">
        <w:t xml:space="preserve">32 definition of a ‘grantor’ to refer to </w:t>
      </w:r>
      <w:r w:rsidR="00E172B8" w:rsidRPr="00662611">
        <w:t xml:space="preserve">the grantor granting a </w:t>
      </w:r>
      <w:r w:rsidR="003862D4" w:rsidRPr="00662611">
        <w:t xml:space="preserve">‘right to access’ </w:t>
      </w:r>
      <w:r w:rsidR="00C10F79" w:rsidRPr="00662611">
        <w:t xml:space="preserve">the service concession asset </w:t>
      </w:r>
      <w:r w:rsidR="00E172B8" w:rsidRPr="00662611">
        <w:t xml:space="preserve">to the operator, </w:t>
      </w:r>
      <w:r w:rsidR="003862D4" w:rsidRPr="00662611">
        <w:t xml:space="preserve">rather than </w:t>
      </w:r>
      <w:r w:rsidR="00E172B8" w:rsidRPr="00662611">
        <w:t xml:space="preserve">a </w:t>
      </w:r>
      <w:r w:rsidR="003862D4" w:rsidRPr="00662611">
        <w:t>‘right to use’</w:t>
      </w:r>
      <w:r w:rsidR="00C10F79" w:rsidRPr="00662611">
        <w:t xml:space="preserve"> the asset</w:t>
      </w:r>
      <w:r w:rsidR="003862D4" w:rsidRPr="00662611">
        <w:t>;</w:t>
      </w:r>
    </w:p>
    <w:p w14:paraId="46FEAFBE" w14:textId="4892B518" w:rsidR="00A829AB" w:rsidRDefault="00D46AF8" w:rsidP="002704B7">
      <w:pPr>
        <w:pStyle w:val="IASBNormalnparaL1"/>
        <w:numPr>
          <w:ilvl w:val="0"/>
          <w:numId w:val="22"/>
        </w:numPr>
        <w:spacing w:before="0" w:after="100"/>
        <w:ind w:left="1564" w:hanging="782"/>
      </w:pPr>
      <w:r>
        <w:t xml:space="preserve">modifies the IPSAS </w:t>
      </w:r>
      <w:r w:rsidR="003862D4" w:rsidRPr="00662611">
        <w:t xml:space="preserve">32 definition of an ‘operator’ from an entity that “uses the service concession asset” to an entity that has a “right </w:t>
      </w:r>
      <w:r w:rsidR="00305939">
        <w:t>of</w:t>
      </w:r>
      <w:r w:rsidR="00305939" w:rsidRPr="00662611">
        <w:t xml:space="preserve"> </w:t>
      </w:r>
      <w:r w:rsidR="003862D4" w:rsidRPr="00662611">
        <w:t xml:space="preserve">access </w:t>
      </w:r>
      <w:r w:rsidR="00305939">
        <w:t>to</w:t>
      </w:r>
      <w:r w:rsidR="003862D4" w:rsidRPr="00662611">
        <w:t xml:space="preserve"> the service concession asset”; </w:t>
      </w:r>
    </w:p>
    <w:p w14:paraId="7C017ED6" w14:textId="77777777" w:rsidR="00D46AF8" w:rsidRDefault="00A829AB" w:rsidP="002704B7">
      <w:pPr>
        <w:pStyle w:val="IASBNormalnparaL1"/>
        <w:numPr>
          <w:ilvl w:val="0"/>
          <w:numId w:val="22"/>
        </w:numPr>
        <w:spacing w:before="0" w:after="100"/>
        <w:ind w:left="1564" w:hanging="782"/>
      </w:pPr>
      <w:r>
        <w:t xml:space="preserve">modifies the IPSAS 32 definition of </w:t>
      </w:r>
      <w:r w:rsidR="005318B1">
        <w:t>‘</w:t>
      </w:r>
      <w:r>
        <w:t>service concession arrangement</w:t>
      </w:r>
      <w:r w:rsidR="005318B1">
        <w:t>’</w:t>
      </w:r>
      <w:r w:rsidR="00121D78">
        <w:t xml:space="preserve"> to require the operator to be</w:t>
      </w:r>
      <w:r w:rsidR="00121D78" w:rsidRPr="00121D78">
        <w:t xml:space="preserve"> responsible for at least some of the management of the public services provided through the </w:t>
      </w:r>
      <w:r w:rsidR="00471BB9">
        <w:t xml:space="preserve">service concession </w:t>
      </w:r>
      <w:r w:rsidR="00121D78" w:rsidRPr="00121D78">
        <w:t xml:space="preserve">asset </w:t>
      </w:r>
      <w:r w:rsidR="003862D4" w:rsidRPr="00662611">
        <w:t>and</w:t>
      </w:r>
      <w:r w:rsidR="00121D78" w:rsidRPr="00121D78">
        <w:t xml:space="preserve"> not act merely as an agent on behalf of the grantor</w:t>
      </w:r>
      <w:r w:rsidR="00121D78">
        <w:t xml:space="preserve">. IPSAS 32 identifies this only as a common feature of a service concession arrangement; </w:t>
      </w:r>
    </w:p>
    <w:p w14:paraId="11D1B482" w14:textId="160D42F9" w:rsidR="00883453" w:rsidRDefault="00883453" w:rsidP="002704B7">
      <w:pPr>
        <w:pStyle w:val="IASBNormalnparaL1"/>
        <w:numPr>
          <w:ilvl w:val="0"/>
          <w:numId w:val="22"/>
        </w:numPr>
        <w:spacing w:before="0" w:after="100"/>
        <w:ind w:left="1564" w:hanging="782"/>
      </w:pPr>
      <w:r w:rsidRPr="00662611">
        <w:t>modifies the IPSAS</w:t>
      </w:r>
      <w:r>
        <w:t xml:space="preserve"> </w:t>
      </w:r>
      <w:r w:rsidRPr="00662611">
        <w:t xml:space="preserve">32 definition of </w:t>
      </w:r>
      <w:r>
        <w:t>‘service concession asset’ to expressly include major component replacements and previously unrecognised identifiable intangible assets and land under roads, and to exclude goodwill; and</w:t>
      </w:r>
    </w:p>
    <w:p w14:paraId="0AE2E30C" w14:textId="77777777" w:rsidR="00883453" w:rsidRDefault="00883453" w:rsidP="00883453">
      <w:pPr>
        <w:pStyle w:val="IASBNormalnparaL1"/>
        <w:numPr>
          <w:ilvl w:val="0"/>
          <w:numId w:val="22"/>
        </w:numPr>
        <w:spacing w:before="0" w:after="100"/>
        <w:ind w:hanging="782"/>
        <w:rPr>
          <w:szCs w:val="24"/>
        </w:rPr>
      </w:pPr>
      <w:proofErr w:type="gramStart"/>
      <w:r w:rsidRPr="00662611">
        <w:lastRenderedPageBreak/>
        <w:t>provides</w:t>
      </w:r>
      <w:proofErr w:type="gramEnd"/>
      <w:r w:rsidRPr="00662611">
        <w:t xml:space="preserve"> guidance on the term ‘publi</w:t>
      </w:r>
      <w:r>
        <w:t xml:space="preserve">c service’ that is not in IPSAS </w:t>
      </w:r>
      <w:r w:rsidRPr="00662611">
        <w:t>32.</w:t>
      </w:r>
    </w:p>
    <w:p w14:paraId="7D927843" w14:textId="77777777" w:rsidR="00C10F79" w:rsidRPr="00662611" w:rsidRDefault="00C10F79" w:rsidP="00C10F79">
      <w:pPr>
        <w:pStyle w:val="IASBSectionTitle2Ind"/>
        <w:outlineLvl w:val="2"/>
      </w:pPr>
      <w:r w:rsidRPr="00662611">
        <w:t>Transition</w:t>
      </w:r>
    </w:p>
    <w:p w14:paraId="7D927844" w14:textId="5B6BD9DF" w:rsidR="003862D4" w:rsidRPr="00662611" w:rsidRDefault="003862D4"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modifies </w:t>
      </w:r>
      <w:r w:rsidR="009464BC" w:rsidRPr="00662611">
        <w:rPr>
          <w:sz w:val="19"/>
          <w:szCs w:val="19"/>
        </w:rPr>
        <w:t xml:space="preserve">the </w:t>
      </w:r>
      <w:r w:rsidR="00ED7C8A" w:rsidRPr="00662611">
        <w:rPr>
          <w:sz w:val="19"/>
          <w:szCs w:val="19"/>
        </w:rPr>
        <w:t xml:space="preserve">transition </w:t>
      </w:r>
      <w:r w:rsidR="00C10F79" w:rsidRPr="00662611">
        <w:rPr>
          <w:sz w:val="19"/>
          <w:szCs w:val="19"/>
        </w:rPr>
        <w:t xml:space="preserve">approach </w:t>
      </w:r>
      <w:r w:rsidRPr="00662611">
        <w:rPr>
          <w:sz w:val="19"/>
          <w:szCs w:val="19"/>
        </w:rPr>
        <w:t>of IPSAS 32 to require</w:t>
      </w:r>
      <w:r w:rsidR="00C10F79" w:rsidRPr="00662611">
        <w:rPr>
          <w:sz w:val="19"/>
          <w:szCs w:val="19"/>
        </w:rPr>
        <w:t xml:space="preserve"> any net adjustment on transition </w:t>
      </w:r>
      <w:r w:rsidRPr="00662611">
        <w:rPr>
          <w:sz w:val="19"/>
          <w:szCs w:val="19"/>
        </w:rPr>
        <w:t xml:space="preserve">to be included </w:t>
      </w:r>
      <w:r w:rsidR="005B74EC" w:rsidRPr="00662611">
        <w:rPr>
          <w:sz w:val="19"/>
          <w:szCs w:val="19"/>
        </w:rPr>
        <w:t>as an adjustment to the opening balance of accumulated surplus (deficiency) at the date of initial application</w:t>
      </w:r>
      <w:r w:rsidRPr="00662611">
        <w:rPr>
          <w:sz w:val="19"/>
          <w:szCs w:val="19"/>
        </w:rPr>
        <w:t xml:space="preserve">. IPSAS 32 requires </w:t>
      </w:r>
      <w:r w:rsidR="00C10F79" w:rsidRPr="00662611">
        <w:rPr>
          <w:sz w:val="19"/>
          <w:szCs w:val="19"/>
        </w:rPr>
        <w:t xml:space="preserve">a relevant adjustment </w:t>
      </w:r>
      <w:r w:rsidRPr="00662611">
        <w:rPr>
          <w:sz w:val="19"/>
          <w:szCs w:val="19"/>
        </w:rPr>
        <w:t>to be included in revaluation surplus when the revaluation model is applied.</w:t>
      </w:r>
      <w:r w:rsidR="004E17AB">
        <w:rPr>
          <w:sz w:val="19"/>
          <w:szCs w:val="19"/>
        </w:rPr>
        <w:t xml:space="preserve"> Unlike IPSAS 32, this Standard also permits a grantor that has previously recognised service concession assets and related liabilities to apply the Standard retrospectively in accordance with the modified retrospective approach.</w:t>
      </w:r>
    </w:p>
    <w:p w14:paraId="7D927845" w14:textId="2B83DEA2" w:rsidR="005A3080" w:rsidRPr="00662611" w:rsidRDefault="005A3080" w:rsidP="004D573E">
      <w:pPr>
        <w:pStyle w:val="IASBSectionTitle2Ind"/>
        <w:outlineLvl w:val="2"/>
      </w:pPr>
      <w:r w:rsidRPr="00662611">
        <w:t xml:space="preserve">Illustrative </w:t>
      </w:r>
      <w:r w:rsidR="00C10F79" w:rsidRPr="00662611">
        <w:t>examples</w:t>
      </w:r>
    </w:p>
    <w:p w14:paraId="7D927846" w14:textId="4C78CA7E" w:rsidR="005A3080" w:rsidRPr="00662611" w:rsidRDefault="005A3080"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includes </w:t>
      </w:r>
      <w:r w:rsidR="00C10F79" w:rsidRPr="00662611">
        <w:rPr>
          <w:sz w:val="19"/>
          <w:szCs w:val="19"/>
        </w:rPr>
        <w:t xml:space="preserve">some differences in </w:t>
      </w:r>
      <w:r w:rsidRPr="00662611">
        <w:rPr>
          <w:sz w:val="19"/>
          <w:szCs w:val="19"/>
        </w:rPr>
        <w:t xml:space="preserve">the </w:t>
      </w:r>
      <w:r w:rsidR="00C10F79" w:rsidRPr="00662611">
        <w:rPr>
          <w:sz w:val="19"/>
          <w:szCs w:val="19"/>
        </w:rPr>
        <w:t xml:space="preserve">illustrative examples </w:t>
      </w:r>
      <w:r w:rsidR="00BE48C2" w:rsidRPr="00662611">
        <w:rPr>
          <w:sz w:val="19"/>
          <w:szCs w:val="19"/>
        </w:rPr>
        <w:t xml:space="preserve">based on those in </w:t>
      </w:r>
      <w:r w:rsidR="00C10F79" w:rsidRPr="00662611">
        <w:rPr>
          <w:sz w:val="19"/>
          <w:szCs w:val="19"/>
        </w:rPr>
        <w:t xml:space="preserve">IPSAS 32, </w:t>
      </w:r>
      <w:r w:rsidR="00BE48C2" w:rsidRPr="00662611">
        <w:rPr>
          <w:sz w:val="19"/>
          <w:szCs w:val="19"/>
        </w:rPr>
        <w:t xml:space="preserve">such </w:t>
      </w:r>
      <w:r w:rsidR="00C10F79" w:rsidRPr="00662611">
        <w:rPr>
          <w:sz w:val="19"/>
          <w:szCs w:val="19"/>
        </w:rPr>
        <w:t>as</w:t>
      </w:r>
      <w:r w:rsidRPr="00662611">
        <w:rPr>
          <w:sz w:val="19"/>
          <w:szCs w:val="19"/>
        </w:rPr>
        <w:t>:</w:t>
      </w:r>
    </w:p>
    <w:p w14:paraId="4D5B7F92" w14:textId="3F3A3BCD" w:rsidR="002608C3" w:rsidRPr="00662611" w:rsidRDefault="002608C3" w:rsidP="003102C2">
      <w:pPr>
        <w:pStyle w:val="IASBNormalnparaL1"/>
        <w:numPr>
          <w:ilvl w:val="0"/>
          <w:numId w:val="44"/>
        </w:numPr>
        <w:spacing w:before="0" w:after="100"/>
        <w:ind w:left="1564" w:hanging="782"/>
      </w:pPr>
      <w:r w:rsidRPr="00662611">
        <w:t xml:space="preserve">the examples of the financial liability model (Example 6) and the grant of a right to the operator model (Example 7) both include </w:t>
      </w:r>
      <w:r w:rsidR="00305939">
        <w:t xml:space="preserve">a funding </w:t>
      </w:r>
      <w:r w:rsidR="00471BB9">
        <w:t xml:space="preserve">cost </w:t>
      </w:r>
      <w:r w:rsidRPr="00662611">
        <w:t xml:space="preserve">in the measurement of the service concession asset at fair value (current replacement cost), whereas the corresponding IPSAS 32 examples do not. Consequently, Examples 6 and 7 in this Standard both show the service concession asset and the liability measured initially at the same amount, which is not the case for the financial liability example </w:t>
      </w:r>
      <w:r w:rsidR="0071257F" w:rsidRPr="00662611">
        <w:t xml:space="preserve">(Example 1) </w:t>
      </w:r>
      <w:r w:rsidRPr="00662611">
        <w:t>in IPSAS 32; and</w:t>
      </w:r>
    </w:p>
    <w:p w14:paraId="7D927847" w14:textId="497F2C0D" w:rsidR="005A3080" w:rsidRDefault="0071257F" w:rsidP="003102C2">
      <w:pPr>
        <w:pStyle w:val="IASBNormalnparaL1"/>
        <w:numPr>
          <w:ilvl w:val="0"/>
          <w:numId w:val="44"/>
        </w:numPr>
        <w:spacing w:before="0" w:after="100"/>
        <w:ind w:left="1564" w:hanging="782"/>
      </w:pPr>
      <w:proofErr w:type="gramStart"/>
      <w:r w:rsidRPr="00662611">
        <w:t>in</w:t>
      </w:r>
      <w:proofErr w:type="gramEnd"/>
      <w:r w:rsidRPr="00662611">
        <w:t xml:space="preserve"> Example 7, no revenue is recognised by the grantor in relation to the replacement of a major component of the service concession asset until the replacement occurs. The corresponding IPSAS 32 example (Example 2) allocates all revenue evenly over the term of the service concession arrangement.</w:t>
      </w:r>
    </w:p>
    <w:p w14:paraId="01DE7174" w14:textId="69B2BD70" w:rsidR="00DE3757" w:rsidRPr="00662611" w:rsidRDefault="00DE3757" w:rsidP="00DE3757">
      <w:pPr>
        <w:spacing w:after="100"/>
        <w:ind w:left="782"/>
        <w:jc w:val="both"/>
      </w:pPr>
      <w:r>
        <w:t xml:space="preserve">The Standard also includes additional implementation guidance examples to illustrate </w:t>
      </w:r>
      <w:r w:rsidR="005972F5">
        <w:t xml:space="preserve">the </w:t>
      </w:r>
      <w:r>
        <w:t xml:space="preserve">differences between </w:t>
      </w:r>
      <w:r w:rsidR="005972F5">
        <w:rPr>
          <w:szCs w:val="19"/>
        </w:rPr>
        <w:t>service concession arrangements and other types of arrangements</w:t>
      </w:r>
      <w:r w:rsidR="005972F5">
        <w:t>.</w:t>
      </w:r>
    </w:p>
    <w:p w14:paraId="7D927849" w14:textId="77777777" w:rsidR="00931442" w:rsidRPr="00662611" w:rsidRDefault="00931442" w:rsidP="004D573E">
      <w:pPr>
        <w:pStyle w:val="IASBSectionTitle1NonInd"/>
        <w:outlineLvl w:val="1"/>
      </w:pPr>
      <w:r w:rsidRPr="00662611">
        <w:t xml:space="preserve">Comparison with </w:t>
      </w:r>
      <w:r w:rsidR="008825A8" w:rsidRPr="00662611">
        <w:t>IFRS Standards</w:t>
      </w:r>
    </w:p>
    <w:p w14:paraId="7D92784A" w14:textId="3814F865" w:rsidR="00931442" w:rsidRPr="00245B99" w:rsidRDefault="00931442" w:rsidP="00942FDB">
      <w:pPr>
        <w:pStyle w:val="IE1"/>
        <w:numPr>
          <w:ilvl w:val="0"/>
          <w:numId w:val="18"/>
        </w:numPr>
        <w:tabs>
          <w:tab w:val="clear" w:pos="624"/>
        </w:tabs>
        <w:spacing w:after="100" w:line="240" w:lineRule="auto"/>
        <w:ind w:left="782" w:hanging="782"/>
        <w:jc w:val="both"/>
        <w:rPr>
          <w:sz w:val="19"/>
          <w:szCs w:val="19"/>
        </w:rPr>
      </w:pPr>
      <w:bookmarkStart w:id="150" w:name="_Ref475976110"/>
      <w:r w:rsidRPr="00245B99">
        <w:rPr>
          <w:sz w:val="19"/>
          <w:szCs w:val="19"/>
        </w:rPr>
        <w:t xml:space="preserve">Entities that comply with </w:t>
      </w:r>
      <w:r w:rsidR="008825A8" w:rsidRPr="00245B99">
        <w:rPr>
          <w:sz w:val="19"/>
          <w:szCs w:val="19"/>
        </w:rPr>
        <w:t>this Standard</w:t>
      </w:r>
      <w:r w:rsidRPr="00245B99">
        <w:rPr>
          <w:sz w:val="19"/>
          <w:szCs w:val="19"/>
        </w:rPr>
        <w:t xml:space="preserve"> may not be in compliance with </w:t>
      </w:r>
      <w:r w:rsidR="00686BC1" w:rsidRPr="00245B99">
        <w:rPr>
          <w:sz w:val="19"/>
          <w:szCs w:val="19"/>
        </w:rPr>
        <w:t xml:space="preserve">IFRS </w:t>
      </w:r>
      <w:r w:rsidRPr="00245B99">
        <w:rPr>
          <w:sz w:val="19"/>
          <w:szCs w:val="19"/>
        </w:rPr>
        <w:t>Standards issued by the IASB. The IASB has issued IFRIC Interpretation</w:t>
      </w:r>
      <w:r w:rsidR="00305939">
        <w:rPr>
          <w:sz w:val="19"/>
          <w:szCs w:val="19"/>
        </w:rPr>
        <w:t xml:space="preserve"> 12</w:t>
      </w:r>
      <w:r w:rsidRPr="00245B99">
        <w:rPr>
          <w:sz w:val="19"/>
          <w:szCs w:val="19"/>
        </w:rPr>
        <w:t xml:space="preserve"> addressing the accounting by operators of </w:t>
      </w:r>
      <w:r w:rsidR="00C056F4">
        <w:rPr>
          <w:sz w:val="19"/>
          <w:szCs w:val="19"/>
        </w:rPr>
        <w:t xml:space="preserve">public-to-private </w:t>
      </w:r>
      <w:r w:rsidRPr="00245B99">
        <w:rPr>
          <w:sz w:val="19"/>
          <w:szCs w:val="19"/>
        </w:rPr>
        <w:t>service concession arrangements but has not issued a pronouncement regarding the accounting by grantors.</w:t>
      </w:r>
      <w:bookmarkEnd w:id="150"/>
      <w:r w:rsidR="00A27DDE" w:rsidRPr="00245B99">
        <w:rPr>
          <w:sz w:val="19"/>
          <w:szCs w:val="19"/>
        </w:rPr>
        <w:t xml:space="preserve"> </w:t>
      </w:r>
      <w:r w:rsidR="00460D42" w:rsidRPr="00245B99">
        <w:rPr>
          <w:sz w:val="19"/>
          <w:szCs w:val="19"/>
        </w:rPr>
        <w:t>The</w:t>
      </w:r>
      <w:r w:rsidR="00B25DD8" w:rsidRPr="00245B99">
        <w:rPr>
          <w:sz w:val="19"/>
          <w:szCs w:val="19"/>
        </w:rPr>
        <w:t xml:space="preserve"> following paragraphs</w:t>
      </w:r>
      <w:r w:rsidR="00460D42" w:rsidRPr="00245B99">
        <w:rPr>
          <w:sz w:val="19"/>
          <w:szCs w:val="19"/>
        </w:rPr>
        <w:t xml:space="preserve"> </w:t>
      </w:r>
      <w:r w:rsidR="00B25DD8" w:rsidRPr="00245B99">
        <w:rPr>
          <w:sz w:val="19"/>
          <w:szCs w:val="19"/>
        </w:rPr>
        <w:t xml:space="preserve">set out </w:t>
      </w:r>
      <w:r w:rsidR="00A27DDE" w:rsidRPr="00245B99">
        <w:rPr>
          <w:sz w:val="19"/>
          <w:szCs w:val="19"/>
        </w:rPr>
        <w:t xml:space="preserve">requirements in this Standard for the accounting by grantors </w:t>
      </w:r>
      <w:r w:rsidR="00460D42" w:rsidRPr="00245B99">
        <w:rPr>
          <w:sz w:val="19"/>
          <w:szCs w:val="19"/>
        </w:rPr>
        <w:t xml:space="preserve">that </w:t>
      </w:r>
      <w:r w:rsidR="00A27DDE" w:rsidRPr="00245B99">
        <w:rPr>
          <w:sz w:val="19"/>
          <w:szCs w:val="19"/>
        </w:rPr>
        <w:t xml:space="preserve">may not be </w:t>
      </w:r>
      <w:r w:rsidR="00B25DD8" w:rsidRPr="00245B99">
        <w:rPr>
          <w:sz w:val="19"/>
          <w:szCs w:val="19"/>
        </w:rPr>
        <w:t>compliant</w:t>
      </w:r>
      <w:r w:rsidR="00A27DDE" w:rsidRPr="00245B99">
        <w:rPr>
          <w:sz w:val="19"/>
          <w:szCs w:val="19"/>
        </w:rPr>
        <w:t xml:space="preserve"> with IFRS Standards. </w:t>
      </w:r>
      <w:r w:rsidR="00B25DD8" w:rsidRPr="00245B99">
        <w:rPr>
          <w:sz w:val="19"/>
          <w:szCs w:val="19"/>
        </w:rPr>
        <w:t xml:space="preserve">A </w:t>
      </w:r>
      <w:r w:rsidR="00A27DDE" w:rsidRPr="00245B99">
        <w:rPr>
          <w:sz w:val="19"/>
          <w:szCs w:val="19"/>
        </w:rPr>
        <w:t xml:space="preserve">grantor that is a for-profit entity would not be able to state that its financial statements comply with IFRS Standards if </w:t>
      </w:r>
      <w:r w:rsidR="00460D42" w:rsidRPr="00245B99">
        <w:rPr>
          <w:sz w:val="19"/>
          <w:szCs w:val="19"/>
        </w:rPr>
        <w:t>it applies requirements that are not compliant with IFRS Standards.</w:t>
      </w:r>
    </w:p>
    <w:p w14:paraId="7D92784B" w14:textId="60008DCB" w:rsidR="00931442" w:rsidRPr="00245B99" w:rsidRDefault="008825A8" w:rsidP="00942FDB">
      <w:pPr>
        <w:pStyle w:val="IE1"/>
        <w:numPr>
          <w:ilvl w:val="0"/>
          <w:numId w:val="18"/>
        </w:numPr>
        <w:tabs>
          <w:tab w:val="clear" w:pos="624"/>
        </w:tabs>
        <w:spacing w:after="100" w:line="240" w:lineRule="auto"/>
        <w:ind w:left="782" w:hanging="782"/>
        <w:jc w:val="both"/>
        <w:rPr>
          <w:sz w:val="19"/>
          <w:szCs w:val="19"/>
        </w:rPr>
      </w:pPr>
      <w:bookmarkStart w:id="151" w:name="_Ref475976112"/>
      <w:r w:rsidRPr="00245B99">
        <w:rPr>
          <w:sz w:val="19"/>
          <w:szCs w:val="19"/>
        </w:rPr>
        <w:t>This Standard</w:t>
      </w:r>
      <w:r w:rsidR="00931442" w:rsidRPr="00245B99">
        <w:rPr>
          <w:sz w:val="19"/>
          <w:szCs w:val="19"/>
        </w:rPr>
        <w:t xml:space="preserve"> requires a grantor to initially measure a service concession asset at current replacement cost in accordance with the cost approach to fair value in AASB 13. However, AASB 13 and the corresponding IFRS 13 do not specify which valuation technique to use. Instead IFRS 13 requires the use of valuation techniques that are appropriate in the circumstances and for which sufficient data are available to measure fair value, maximising the use of relevant observable inputs and minimising the use of unobservable inputs. Three widely used valuation techniques set out in IFRS 13 are the market approach, the cost approach and the income approach. The requirement of </w:t>
      </w:r>
      <w:r w:rsidRPr="00245B99">
        <w:rPr>
          <w:sz w:val="19"/>
          <w:szCs w:val="19"/>
        </w:rPr>
        <w:t>this Standard</w:t>
      </w:r>
      <w:r w:rsidR="00931442" w:rsidRPr="00245B99">
        <w:rPr>
          <w:sz w:val="19"/>
          <w:szCs w:val="19"/>
        </w:rPr>
        <w:t xml:space="preserve"> to initially measure a service concession asset at current replacement cost in accordance with the cost approach may not be compliant with IFRS 13. .</w:t>
      </w:r>
      <w:bookmarkEnd w:id="151"/>
    </w:p>
    <w:p w14:paraId="19247A57" w14:textId="4B852707" w:rsidR="0053471B" w:rsidRPr="00245B99" w:rsidRDefault="00357D56" w:rsidP="00942FDB">
      <w:pPr>
        <w:pStyle w:val="IE1"/>
        <w:numPr>
          <w:ilvl w:val="0"/>
          <w:numId w:val="18"/>
        </w:numPr>
        <w:tabs>
          <w:tab w:val="clear" w:pos="624"/>
        </w:tabs>
        <w:spacing w:after="100" w:line="240" w:lineRule="auto"/>
        <w:ind w:left="782" w:hanging="782"/>
        <w:jc w:val="both"/>
        <w:rPr>
          <w:sz w:val="19"/>
          <w:szCs w:val="19"/>
        </w:rPr>
      </w:pPr>
      <w:r w:rsidRPr="00245B99">
        <w:rPr>
          <w:sz w:val="19"/>
          <w:szCs w:val="19"/>
        </w:rPr>
        <w:t xml:space="preserve">This Standard requires a grantor to recognise an identifiable intangible asset as a service concession asset where the grantor controls the asset as set out in paragraph </w:t>
      </w:r>
      <w:r w:rsidR="00E77062" w:rsidRPr="00245B99">
        <w:rPr>
          <w:sz w:val="19"/>
          <w:szCs w:val="19"/>
        </w:rPr>
        <w:fldChar w:fldCharType="begin"/>
      </w:r>
      <w:r w:rsidR="00E77062" w:rsidRPr="00245B99">
        <w:rPr>
          <w:sz w:val="19"/>
          <w:szCs w:val="19"/>
        </w:rPr>
        <w:instrText xml:space="preserve"> REF _Ref475619556 \r \h  \* MERGEFORMAT </w:instrText>
      </w:r>
      <w:r w:rsidR="00E77062" w:rsidRPr="00245B99">
        <w:rPr>
          <w:sz w:val="19"/>
          <w:szCs w:val="19"/>
        </w:rPr>
      </w:r>
      <w:r w:rsidR="00E77062" w:rsidRPr="00245B99">
        <w:rPr>
          <w:sz w:val="19"/>
          <w:szCs w:val="19"/>
        </w:rPr>
        <w:fldChar w:fldCharType="separate"/>
      </w:r>
      <w:r w:rsidR="00C43128">
        <w:rPr>
          <w:sz w:val="19"/>
          <w:szCs w:val="19"/>
        </w:rPr>
        <w:t>5</w:t>
      </w:r>
      <w:r w:rsidR="00E77062" w:rsidRPr="00245B99">
        <w:rPr>
          <w:sz w:val="19"/>
          <w:szCs w:val="19"/>
        </w:rPr>
        <w:fldChar w:fldCharType="end"/>
      </w:r>
      <w:r w:rsidRPr="00245B99">
        <w:rPr>
          <w:sz w:val="19"/>
          <w:szCs w:val="19"/>
        </w:rPr>
        <w:t xml:space="preserve"> or </w:t>
      </w:r>
      <w:r w:rsidR="00245B99" w:rsidRPr="00245B99">
        <w:rPr>
          <w:sz w:val="19"/>
          <w:szCs w:val="19"/>
        </w:rPr>
        <w:fldChar w:fldCharType="begin"/>
      </w:r>
      <w:r w:rsidR="00245B99" w:rsidRPr="00245B99">
        <w:rPr>
          <w:sz w:val="19"/>
          <w:szCs w:val="19"/>
        </w:rPr>
        <w:instrText xml:space="preserve"> REF _Ref486144882 \r \h </w:instrText>
      </w:r>
      <w:r w:rsidR="00245B99">
        <w:rPr>
          <w:sz w:val="19"/>
          <w:szCs w:val="19"/>
        </w:rPr>
        <w:instrText xml:space="preserve"> \* MERGEFORMAT </w:instrText>
      </w:r>
      <w:r w:rsidR="00245B99" w:rsidRPr="00245B99">
        <w:rPr>
          <w:sz w:val="19"/>
          <w:szCs w:val="19"/>
        </w:rPr>
      </w:r>
      <w:r w:rsidR="00245B99" w:rsidRPr="00245B99">
        <w:rPr>
          <w:sz w:val="19"/>
          <w:szCs w:val="19"/>
        </w:rPr>
        <w:fldChar w:fldCharType="separate"/>
      </w:r>
      <w:r w:rsidR="00C43128">
        <w:rPr>
          <w:sz w:val="19"/>
          <w:szCs w:val="19"/>
        </w:rPr>
        <w:t>6</w:t>
      </w:r>
      <w:r w:rsidR="00245B99" w:rsidRPr="00245B99">
        <w:rPr>
          <w:sz w:val="19"/>
          <w:szCs w:val="19"/>
        </w:rPr>
        <w:fldChar w:fldCharType="end"/>
      </w:r>
      <w:r w:rsidRPr="00245B99">
        <w:rPr>
          <w:sz w:val="19"/>
          <w:szCs w:val="19"/>
        </w:rPr>
        <w:t xml:space="preserve">, even if the asset does not qualify for recognition under AASB 138/IAS 38 </w:t>
      </w:r>
      <w:r w:rsidRPr="00245B99">
        <w:rPr>
          <w:i/>
          <w:sz w:val="19"/>
          <w:szCs w:val="19"/>
        </w:rPr>
        <w:t>Intangible Assets</w:t>
      </w:r>
      <w:r w:rsidRPr="00245B99">
        <w:rPr>
          <w:sz w:val="19"/>
          <w:szCs w:val="19"/>
        </w:rPr>
        <w:t xml:space="preserve">. </w:t>
      </w:r>
      <w:r w:rsidR="00B25DD8" w:rsidRPr="00245B99">
        <w:rPr>
          <w:sz w:val="19"/>
          <w:szCs w:val="19"/>
        </w:rPr>
        <w:t xml:space="preserve">This approach is explained in paragraph </w:t>
      </w:r>
      <w:r w:rsidR="00B25DD8" w:rsidRPr="00245B99">
        <w:rPr>
          <w:sz w:val="19"/>
          <w:szCs w:val="19"/>
        </w:rPr>
        <w:fldChar w:fldCharType="begin"/>
      </w:r>
      <w:r w:rsidR="00B25DD8" w:rsidRPr="00245B99">
        <w:rPr>
          <w:sz w:val="19"/>
          <w:szCs w:val="19"/>
        </w:rPr>
        <w:instrText xml:space="preserve"> REF _Ref484705581 \r \h </w:instrText>
      </w:r>
      <w:r w:rsidR="00245B99">
        <w:rPr>
          <w:sz w:val="19"/>
          <w:szCs w:val="19"/>
        </w:rPr>
        <w:instrText xml:space="preserve"> \* MERGEFORMAT </w:instrText>
      </w:r>
      <w:r w:rsidR="00B25DD8" w:rsidRPr="00245B99">
        <w:rPr>
          <w:sz w:val="19"/>
          <w:szCs w:val="19"/>
        </w:rPr>
      </w:r>
      <w:r w:rsidR="00B25DD8" w:rsidRPr="00245B99">
        <w:rPr>
          <w:sz w:val="19"/>
          <w:szCs w:val="19"/>
        </w:rPr>
        <w:fldChar w:fldCharType="separate"/>
      </w:r>
      <w:r w:rsidR="00C43128">
        <w:rPr>
          <w:sz w:val="19"/>
          <w:szCs w:val="19"/>
        </w:rPr>
        <w:t>BC39</w:t>
      </w:r>
      <w:r w:rsidR="00B25DD8" w:rsidRPr="00245B99">
        <w:rPr>
          <w:sz w:val="19"/>
          <w:szCs w:val="19"/>
        </w:rPr>
        <w:fldChar w:fldCharType="end"/>
      </w:r>
      <w:r w:rsidR="00B25DD8" w:rsidRPr="00245B99">
        <w:rPr>
          <w:sz w:val="19"/>
          <w:szCs w:val="19"/>
        </w:rPr>
        <w:t>.</w:t>
      </w:r>
    </w:p>
    <w:p w14:paraId="1A899182" w14:textId="14858835" w:rsidR="00357D56" w:rsidRPr="00245B99" w:rsidRDefault="00B25DD8" w:rsidP="00357D56">
      <w:pPr>
        <w:pStyle w:val="IE1"/>
        <w:numPr>
          <w:ilvl w:val="0"/>
          <w:numId w:val="18"/>
        </w:numPr>
        <w:tabs>
          <w:tab w:val="clear" w:pos="624"/>
        </w:tabs>
        <w:spacing w:after="100" w:line="240" w:lineRule="auto"/>
        <w:ind w:left="782" w:hanging="782"/>
        <w:jc w:val="both"/>
        <w:rPr>
          <w:sz w:val="19"/>
          <w:szCs w:val="19"/>
        </w:rPr>
      </w:pPr>
      <w:bookmarkStart w:id="152" w:name="_Ref484771331"/>
      <w:r w:rsidRPr="00245B99">
        <w:rPr>
          <w:sz w:val="19"/>
          <w:szCs w:val="19"/>
        </w:rPr>
        <w:t xml:space="preserve">Under this Standard, a grantor recognises revenue from granting a right to the operator over the term of the service concession arrangement on an appropriate basis. This may not be compliant with </w:t>
      </w:r>
      <w:r w:rsidR="002957A3" w:rsidRPr="00245B99">
        <w:rPr>
          <w:sz w:val="19"/>
          <w:szCs w:val="19"/>
        </w:rPr>
        <w:t xml:space="preserve">the permitted approaches to revenue recognition for licences of intellectual property, if </w:t>
      </w:r>
      <w:r w:rsidRPr="00245B99">
        <w:rPr>
          <w:sz w:val="19"/>
          <w:szCs w:val="19"/>
        </w:rPr>
        <w:t xml:space="preserve">IFRS 15 </w:t>
      </w:r>
      <w:r w:rsidRPr="00245B99">
        <w:rPr>
          <w:i/>
          <w:sz w:val="19"/>
          <w:szCs w:val="19"/>
        </w:rPr>
        <w:t>Revenue from Contracts with Customers</w:t>
      </w:r>
      <w:r w:rsidR="002957A3" w:rsidRPr="00245B99">
        <w:rPr>
          <w:sz w:val="19"/>
          <w:szCs w:val="19"/>
        </w:rPr>
        <w:t xml:space="preserve"> </w:t>
      </w:r>
      <w:r w:rsidRPr="00245B99">
        <w:rPr>
          <w:sz w:val="19"/>
          <w:szCs w:val="19"/>
        </w:rPr>
        <w:t>appl</w:t>
      </w:r>
      <w:r w:rsidR="002957A3" w:rsidRPr="00245B99">
        <w:rPr>
          <w:sz w:val="19"/>
          <w:szCs w:val="19"/>
        </w:rPr>
        <w:t>ied</w:t>
      </w:r>
      <w:r w:rsidRPr="00245B99">
        <w:rPr>
          <w:sz w:val="19"/>
          <w:szCs w:val="19"/>
        </w:rPr>
        <w:t xml:space="preserve"> in the absence of grantor accounting requirements</w:t>
      </w:r>
      <w:r w:rsidR="002957A3" w:rsidRPr="00245B99">
        <w:rPr>
          <w:sz w:val="19"/>
          <w:szCs w:val="19"/>
        </w:rPr>
        <w:t xml:space="preserve">. In developing this Standard, the Board </w:t>
      </w:r>
      <w:r w:rsidR="00F84E78" w:rsidRPr="00245B99">
        <w:rPr>
          <w:sz w:val="19"/>
          <w:szCs w:val="19"/>
        </w:rPr>
        <w:t xml:space="preserve">decided not </w:t>
      </w:r>
      <w:r w:rsidR="002957A3" w:rsidRPr="00245B99">
        <w:rPr>
          <w:sz w:val="19"/>
          <w:szCs w:val="19"/>
        </w:rPr>
        <w:t xml:space="preserve">to </w:t>
      </w:r>
      <w:r w:rsidR="00F84E78" w:rsidRPr="00245B99">
        <w:rPr>
          <w:sz w:val="19"/>
          <w:szCs w:val="19"/>
        </w:rPr>
        <w:t>apply the licence revenue requirements of AASB 15 by analogy.</w:t>
      </w:r>
      <w:bookmarkEnd w:id="152"/>
    </w:p>
    <w:p w14:paraId="7D92784C" w14:textId="77777777" w:rsidR="00931442" w:rsidRPr="00662611" w:rsidRDefault="00931442" w:rsidP="004D573E">
      <w:pPr>
        <w:pStyle w:val="IASBSectionTitle1NonInd"/>
        <w:outlineLvl w:val="1"/>
      </w:pPr>
      <w:r w:rsidRPr="00662611">
        <w:t>Comparison with AASB Interpretation 12</w:t>
      </w:r>
    </w:p>
    <w:p w14:paraId="7D92784D" w14:textId="283F6BB3" w:rsidR="00432D58" w:rsidRPr="00662611" w:rsidRDefault="00931442"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w:t>
      </w:r>
      <w:r w:rsidR="00305939">
        <w:rPr>
          <w:sz w:val="19"/>
          <w:szCs w:val="19"/>
        </w:rPr>
        <w:t xml:space="preserve">addresses </w:t>
      </w:r>
      <w:r w:rsidRPr="00662611">
        <w:rPr>
          <w:sz w:val="19"/>
          <w:szCs w:val="19"/>
        </w:rPr>
        <w:t>the key requirements of AASB Interpretation 12 from a grantor’s perspective</w:t>
      </w:r>
      <w:r w:rsidR="001E6E8D" w:rsidRPr="00662611">
        <w:rPr>
          <w:sz w:val="19"/>
          <w:szCs w:val="19"/>
        </w:rPr>
        <w:t xml:space="preserve">, in particular the criteria for the recognition of a service concession asset in paragraphs </w:t>
      </w:r>
      <w:r w:rsidR="001E6E8D" w:rsidRPr="00662611">
        <w:rPr>
          <w:sz w:val="19"/>
          <w:szCs w:val="19"/>
        </w:rPr>
        <w:fldChar w:fldCharType="begin"/>
      </w:r>
      <w:r w:rsidR="001E6E8D" w:rsidRPr="00662611">
        <w:rPr>
          <w:sz w:val="19"/>
          <w:szCs w:val="19"/>
        </w:rPr>
        <w:instrText xml:space="preserve"> REF _Ref475619556 \r \h </w:instrText>
      </w:r>
      <w:r w:rsidR="006627B7" w:rsidRPr="00662611">
        <w:rPr>
          <w:sz w:val="19"/>
          <w:szCs w:val="19"/>
        </w:rPr>
        <w:instrText xml:space="preserve"> \* MERGEFORMAT </w:instrText>
      </w:r>
      <w:r w:rsidR="001E6E8D" w:rsidRPr="00662611">
        <w:rPr>
          <w:sz w:val="19"/>
          <w:szCs w:val="19"/>
        </w:rPr>
      </w:r>
      <w:r w:rsidR="001E6E8D" w:rsidRPr="00662611">
        <w:rPr>
          <w:sz w:val="19"/>
          <w:szCs w:val="19"/>
        </w:rPr>
        <w:fldChar w:fldCharType="separate"/>
      </w:r>
      <w:r w:rsidR="00C43128">
        <w:rPr>
          <w:sz w:val="19"/>
          <w:szCs w:val="19"/>
        </w:rPr>
        <w:t>5</w:t>
      </w:r>
      <w:r w:rsidR="001E6E8D" w:rsidRPr="00662611">
        <w:rPr>
          <w:sz w:val="19"/>
          <w:szCs w:val="19"/>
        </w:rPr>
        <w:fldChar w:fldCharType="end"/>
      </w:r>
      <w:r w:rsidR="001E6E8D" w:rsidRPr="00662611">
        <w:rPr>
          <w:sz w:val="19"/>
          <w:szCs w:val="19"/>
        </w:rPr>
        <w:t xml:space="preserve"> and </w:t>
      </w:r>
      <w:r w:rsidR="001E6E8D" w:rsidRPr="00662611">
        <w:rPr>
          <w:sz w:val="19"/>
          <w:szCs w:val="19"/>
        </w:rPr>
        <w:fldChar w:fldCharType="begin"/>
      </w:r>
      <w:r w:rsidR="001E6E8D" w:rsidRPr="00662611">
        <w:rPr>
          <w:sz w:val="19"/>
          <w:szCs w:val="19"/>
        </w:rPr>
        <w:instrText xml:space="preserve"> REF _Ref475619569 \r \h </w:instrText>
      </w:r>
      <w:r w:rsidR="006627B7" w:rsidRPr="00662611">
        <w:rPr>
          <w:sz w:val="19"/>
          <w:szCs w:val="19"/>
        </w:rPr>
        <w:instrText xml:space="preserve"> \* MERGEFORMAT </w:instrText>
      </w:r>
      <w:r w:rsidR="001E6E8D" w:rsidRPr="00662611">
        <w:rPr>
          <w:sz w:val="19"/>
          <w:szCs w:val="19"/>
        </w:rPr>
      </w:r>
      <w:r w:rsidR="001E6E8D" w:rsidRPr="00662611">
        <w:rPr>
          <w:sz w:val="19"/>
          <w:szCs w:val="19"/>
        </w:rPr>
        <w:fldChar w:fldCharType="separate"/>
      </w:r>
      <w:r w:rsidR="00C43128">
        <w:rPr>
          <w:sz w:val="19"/>
          <w:szCs w:val="19"/>
        </w:rPr>
        <w:t>6</w:t>
      </w:r>
      <w:r w:rsidR="001E6E8D" w:rsidRPr="00662611">
        <w:rPr>
          <w:sz w:val="19"/>
          <w:szCs w:val="19"/>
        </w:rPr>
        <w:fldChar w:fldCharType="end"/>
      </w:r>
      <w:r w:rsidR="001E6E8D" w:rsidRPr="00662611">
        <w:rPr>
          <w:sz w:val="19"/>
          <w:szCs w:val="19"/>
        </w:rPr>
        <w:t>. T</w:t>
      </w:r>
      <w:r w:rsidRPr="00662611">
        <w:rPr>
          <w:sz w:val="19"/>
          <w:szCs w:val="19"/>
        </w:rPr>
        <w:t xml:space="preserve">he main differences </w:t>
      </w:r>
      <w:r w:rsidR="001E6E8D" w:rsidRPr="00662611">
        <w:rPr>
          <w:sz w:val="19"/>
          <w:szCs w:val="19"/>
        </w:rPr>
        <w:t xml:space="preserve">between this Standard and AASB Interpretation 12 are </w:t>
      </w:r>
      <w:r w:rsidRPr="00662611">
        <w:rPr>
          <w:sz w:val="19"/>
          <w:szCs w:val="19"/>
        </w:rPr>
        <w:t>detailed in the paragraphs below.</w:t>
      </w:r>
    </w:p>
    <w:p w14:paraId="7D92784E" w14:textId="675CBEC6" w:rsidR="00341458" w:rsidRPr="00662611" w:rsidRDefault="00341458"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lastRenderedPageBreak/>
        <w:t>The scope of this Standard does not explicitly state whether the operator should be a public or private sector entity. This contrasts with AASB Interpretation 12</w:t>
      </w:r>
      <w:r w:rsidR="00E3647D" w:rsidRPr="00662611">
        <w:rPr>
          <w:sz w:val="19"/>
          <w:szCs w:val="19"/>
        </w:rPr>
        <w:t>,</w:t>
      </w:r>
      <w:r w:rsidRPr="00662611">
        <w:rPr>
          <w:sz w:val="19"/>
          <w:szCs w:val="19"/>
        </w:rPr>
        <w:t xml:space="preserve"> which states that </w:t>
      </w:r>
      <w:r w:rsidR="00E3647D" w:rsidRPr="00662611">
        <w:rPr>
          <w:sz w:val="19"/>
          <w:szCs w:val="19"/>
        </w:rPr>
        <w:t xml:space="preserve">the Interpretation gives guidance on the accounting by operators for public-to-private service concession arrangements </w:t>
      </w:r>
      <w:r w:rsidRPr="00662611">
        <w:rPr>
          <w:sz w:val="19"/>
          <w:szCs w:val="19"/>
        </w:rPr>
        <w:t>(paragraph </w:t>
      </w:r>
      <w:r w:rsidR="00E77062">
        <w:rPr>
          <w:sz w:val="19"/>
          <w:szCs w:val="19"/>
        </w:rPr>
        <w:fldChar w:fldCharType="begin"/>
      </w:r>
      <w:r w:rsidR="00E77062">
        <w:rPr>
          <w:sz w:val="19"/>
          <w:szCs w:val="19"/>
        </w:rPr>
        <w:instrText xml:space="preserve"> REF _Ref475621194 \r \h </w:instrText>
      </w:r>
      <w:r w:rsidR="00E77062">
        <w:rPr>
          <w:sz w:val="19"/>
          <w:szCs w:val="19"/>
        </w:rPr>
      </w:r>
      <w:r w:rsidR="00E77062">
        <w:rPr>
          <w:sz w:val="19"/>
          <w:szCs w:val="19"/>
        </w:rPr>
        <w:fldChar w:fldCharType="separate"/>
      </w:r>
      <w:r w:rsidR="00C43128">
        <w:rPr>
          <w:sz w:val="19"/>
          <w:szCs w:val="19"/>
        </w:rPr>
        <w:t>4</w:t>
      </w:r>
      <w:r w:rsidR="00E77062">
        <w:rPr>
          <w:sz w:val="19"/>
          <w:szCs w:val="19"/>
        </w:rPr>
        <w:fldChar w:fldCharType="end"/>
      </w:r>
      <w:r w:rsidRPr="00662611">
        <w:rPr>
          <w:sz w:val="19"/>
          <w:szCs w:val="19"/>
        </w:rPr>
        <w:t>).</w:t>
      </w:r>
    </w:p>
    <w:p w14:paraId="7D92784F" w14:textId="24137A09" w:rsidR="00341458" w:rsidRPr="00662611" w:rsidRDefault="00341458"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This Standard applies to arrangements involving a ‘service concession asset’, including intangible assets and land</w:t>
      </w:r>
      <w:r w:rsidR="00305939">
        <w:rPr>
          <w:sz w:val="19"/>
          <w:szCs w:val="19"/>
        </w:rPr>
        <w:t xml:space="preserve"> under roads</w:t>
      </w:r>
      <w:r w:rsidRPr="00662611">
        <w:rPr>
          <w:sz w:val="19"/>
          <w:szCs w:val="19"/>
        </w:rPr>
        <w:t>. This is broader than AASB Interpretation 12, which is applicable to infrastructure</w:t>
      </w:r>
      <w:r w:rsidR="00305939">
        <w:rPr>
          <w:sz w:val="19"/>
          <w:szCs w:val="19"/>
        </w:rPr>
        <w:t xml:space="preserve"> but does not refer </w:t>
      </w:r>
      <w:r w:rsidR="00C056F4">
        <w:rPr>
          <w:sz w:val="19"/>
          <w:szCs w:val="19"/>
        </w:rPr>
        <w:t xml:space="preserve">explicitly </w:t>
      </w:r>
      <w:r w:rsidR="00305939">
        <w:rPr>
          <w:sz w:val="19"/>
          <w:szCs w:val="19"/>
        </w:rPr>
        <w:t>to such assets</w:t>
      </w:r>
      <w:r w:rsidRPr="00662611">
        <w:rPr>
          <w:sz w:val="19"/>
          <w:szCs w:val="19"/>
        </w:rPr>
        <w:t>.</w:t>
      </w:r>
    </w:p>
    <w:p w14:paraId="7D927850" w14:textId="77777777" w:rsidR="001E6E8D" w:rsidRPr="00662611" w:rsidRDefault="0011382C" w:rsidP="00942FDB">
      <w:pPr>
        <w:pStyle w:val="IE1"/>
        <w:numPr>
          <w:ilvl w:val="0"/>
          <w:numId w:val="18"/>
        </w:numPr>
        <w:tabs>
          <w:tab w:val="clear" w:pos="624"/>
        </w:tabs>
        <w:spacing w:after="100" w:line="240" w:lineRule="auto"/>
        <w:ind w:left="782" w:hanging="782"/>
        <w:jc w:val="both"/>
        <w:rPr>
          <w:sz w:val="19"/>
          <w:szCs w:val="19"/>
        </w:rPr>
      </w:pPr>
      <w:r w:rsidRPr="00662611">
        <w:rPr>
          <w:sz w:val="19"/>
          <w:szCs w:val="19"/>
        </w:rPr>
        <w:t xml:space="preserve">This Standard requires the grantor to recognise a financial liability </w:t>
      </w:r>
      <w:r w:rsidR="00E3647D" w:rsidRPr="00662611">
        <w:rPr>
          <w:sz w:val="19"/>
          <w:szCs w:val="19"/>
        </w:rPr>
        <w:t xml:space="preserve">when </w:t>
      </w:r>
      <w:r w:rsidRPr="00662611">
        <w:rPr>
          <w:sz w:val="19"/>
          <w:szCs w:val="19"/>
        </w:rPr>
        <w:t xml:space="preserve">the grantor has a contractual obligation to pay cash to the operator for third-party usage of a service concession asset, with or without guaranteeing a minimum amount to the operator. This contrasts with </w:t>
      </w:r>
      <w:r w:rsidR="00E3647D" w:rsidRPr="00662611">
        <w:rPr>
          <w:sz w:val="19"/>
          <w:szCs w:val="19"/>
        </w:rPr>
        <w:t xml:space="preserve">AASB </w:t>
      </w:r>
      <w:r w:rsidRPr="00662611">
        <w:rPr>
          <w:sz w:val="19"/>
          <w:szCs w:val="19"/>
        </w:rPr>
        <w:t xml:space="preserve">Interpretation </w:t>
      </w:r>
      <w:r w:rsidR="00E3647D" w:rsidRPr="00662611">
        <w:rPr>
          <w:sz w:val="19"/>
          <w:szCs w:val="19"/>
        </w:rPr>
        <w:t>12</w:t>
      </w:r>
      <w:r w:rsidR="00291466" w:rsidRPr="00662611">
        <w:rPr>
          <w:sz w:val="19"/>
          <w:szCs w:val="19"/>
        </w:rPr>
        <w:t>,</w:t>
      </w:r>
      <w:r w:rsidR="00E3647D" w:rsidRPr="00662611">
        <w:rPr>
          <w:sz w:val="19"/>
          <w:szCs w:val="19"/>
        </w:rPr>
        <w:t xml:space="preserve"> </w:t>
      </w:r>
      <w:r w:rsidR="00291466" w:rsidRPr="00662611">
        <w:rPr>
          <w:sz w:val="19"/>
          <w:szCs w:val="19"/>
        </w:rPr>
        <w:t xml:space="preserve">which links </w:t>
      </w:r>
      <w:r w:rsidRPr="00662611">
        <w:rPr>
          <w:sz w:val="19"/>
          <w:szCs w:val="19"/>
        </w:rPr>
        <w:t xml:space="preserve">the recognition of a financial asset by an operator to </w:t>
      </w:r>
      <w:r w:rsidR="00291466" w:rsidRPr="00662611">
        <w:rPr>
          <w:sz w:val="19"/>
          <w:szCs w:val="19"/>
        </w:rPr>
        <w:t xml:space="preserve">a </w:t>
      </w:r>
      <w:r w:rsidRPr="00662611">
        <w:rPr>
          <w:sz w:val="19"/>
          <w:szCs w:val="19"/>
        </w:rPr>
        <w:t>guarantee of the cash flows</w:t>
      </w:r>
      <w:r w:rsidR="00291466" w:rsidRPr="00662611">
        <w:rPr>
          <w:sz w:val="19"/>
          <w:szCs w:val="19"/>
        </w:rPr>
        <w:t xml:space="preserve"> by the grantor</w:t>
      </w:r>
      <w:r w:rsidRPr="00662611">
        <w:rPr>
          <w:sz w:val="19"/>
          <w:szCs w:val="19"/>
        </w:rPr>
        <w:t xml:space="preserve">. </w:t>
      </w:r>
      <w:r w:rsidR="00291466" w:rsidRPr="00662611">
        <w:rPr>
          <w:sz w:val="19"/>
          <w:szCs w:val="19"/>
        </w:rPr>
        <w:t xml:space="preserve">Under </w:t>
      </w:r>
      <w:r w:rsidR="00115B2F" w:rsidRPr="00662611">
        <w:rPr>
          <w:sz w:val="19"/>
          <w:szCs w:val="19"/>
        </w:rPr>
        <w:t>Interpretation</w:t>
      </w:r>
      <w:r w:rsidRPr="00662611">
        <w:rPr>
          <w:sz w:val="19"/>
          <w:szCs w:val="19"/>
        </w:rPr>
        <w:t xml:space="preserve"> 12</w:t>
      </w:r>
      <w:r w:rsidR="00291466" w:rsidRPr="00662611">
        <w:rPr>
          <w:sz w:val="19"/>
          <w:szCs w:val="19"/>
        </w:rPr>
        <w:t>,</w:t>
      </w:r>
      <w:r w:rsidRPr="00662611">
        <w:rPr>
          <w:sz w:val="19"/>
          <w:szCs w:val="19"/>
        </w:rPr>
        <w:t xml:space="preserve"> the operator’s cash flows are conditional on usage when it has no such guarantee.</w:t>
      </w:r>
    </w:p>
    <w:sectPr w:rsidR="001E6E8D" w:rsidRPr="00662611" w:rsidSect="00F639D2">
      <w:footerReference w:type="default" r:id="rId41"/>
      <w:pgSz w:w="11907" w:h="1683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92787E" w15:done="0"/>
  <w15:commentEx w15:paraId="7D927881" w15:done="0"/>
  <w15:commentEx w15:paraId="7D9278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27881" w16cid:durableId="1CFAB9E3"/>
  <w16cid:commentId w16cid:paraId="7D927884" w16cid:durableId="1CFAB9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36017" w14:textId="77777777" w:rsidR="006C5212" w:rsidRDefault="006C5212">
      <w:r>
        <w:separator/>
      </w:r>
    </w:p>
  </w:endnote>
  <w:endnote w:type="continuationSeparator" w:id="0">
    <w:p w14:paraId="5525FD17" w14:textId="77777777" w:rsidR="006C5212" w:rsidRDefault="006C5212">
      <w:r>
        <w:continuationSeparator/>
      </w:r>
    </w:p>
  </w:endnote>
  <w:endnote w:type="continuationNotice" w:id="1">
    <w:p w14:paraId="0928DFB2" w14:textId="77777777" w:rsidR="006C5212" w:rsidRDefault="006C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9D" w14:textId="77777777" w:rsidR="006C5212" w:rsidRDefault="006C521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9" w14:textId="77777777" w:rsidR="006C5212" w:rsidRPr="00812A96" w:rsidRDefault="006C5212" w:rsidP="00812A9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B" w14:textId="77777777" w:rsidR="006C5212" w:rsidRPr="00812A96" w:rsidRDefault="006C5212" w:rsidP="00812A9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C" w14:textId="5B541470" w:rsidR="006C5212" w:rsidRPr="00812A96" w:rsidRDefault="006C5212"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sidRPr="00812A96">
      <w:rPr>
        <w:b/>
      </w:rPr>
      <w:t xml:space="preserve"> </w:t>
    </w:r>
    <w:r>
      <w:rPr>
        <w:b/>
      </w:rPr>
      <w:t>1059</w:t>
    </w:r>
    <w:r w:rsidRPr="00812A96">
      <w:rPr>
        <w:b/>
      </w:rPr>
      <w:tab/>
    </w:r>
    <w:r>
      <w:fldChar w:fldCharType="begin"/>
    </w:r>
    <w:r>
      <w:instrText xml:space="preserve"> PAGE </w:instrText>
    </w:r>
    <w:r>
      <w:fldChar w:fldCharType="separate"/>
    </w:r>
    <w:r w:rsidR="00006562">
      <w:rPr>
        <w:noProof/>
      </w:rPr>
      <w:t>20</w:t>
    </w:r>
    <w:r>
      <w:fldChar w:fldCharType="end"/>
    </w:r>
    <w:r w:rsidRPr="00812A96">
      <w:rPr>
        <w:b/>
      </w:rPr>
      <w:tab/>
    </w:r>
    <w:r>
      <w:rPr>
        <w:b/>
      </w:rPr>
      <w:t>APPENDIX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E" w14:textId="77777777" w:rsidR="006C5212" w:rsidRPr="00812A96" w:rsidRDefault="006C5212" w:rsidP="00812A9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F" w14:textId="0E3D0047" w:rsidR="006C5212" w:rsidRPr="00812A96" w:rsidRDefault="006C5212" w:rsidP="00223DBB">
    <w:pPr>
      <w:pStyle w:val="Footer"/>
      <w:rPr>
        <w:b/>
      </w:rPr>
    </w:pPr>
    <w:r>
      <w:rPr>
        <w:b/>
      </w:rPr>
      <w:fldChar w:fldCharType="begin" w:fldLock="1"/>
    </w:r>
    <w:r>
      <w:rPr>
        <w:b/>
      </w:rPr>
      <w:instrText xml:space="preserve"> REF DocTypeAbb \* charformat </w:instrText>
    </w:r>
    <w:r>
      <w:rPr>
        <w:b/>
      </w:rPr>
      <w:fldChar w:fldCharType="separate"/>
    </w:r>
    <w:r w:rsidRPr="00544B0F">
      <w:rPr>
        <w:b/>
      </w:rPr>
      <w:t>AASB</w:t>
    </w:r>
    <w:r>
      <w:rPr>
        <w:b/>
      </w:rPr>
      <w:fldChar w:fldCharType="end"/>
    </w:r>
    <w:r w:rsidRPr="00812A96">
      <w:rPr>
        <w:b/>
      </w:rPr>
      <w:t xml:space="preserve"> </w:t>
    </w:r>
    <w:r>
      <w:rPr>
        <w:b/>
      </w:rPr>
      <w:fldChar w:fldCharType="begin" w:fldLock="1"/>
    </w:r>
    <w:r>
      <w:rPr>
        <w:b/>
      </w:rPr>
      <w:instrText xml:space="preserve"> REF \* charformat DocNo </w:instrText>
    </w:r>
    <w:r>
      <w:rPr>
        <w:b/>
      </w:rPr>
      <w:fldChar w:fldCharType="separate"/>
    </w:r>
    <w:r>
      <w:rPr>
        <w:b/>
      </w:rPr>
      <w:t>1059</w:t>
    </w:r>
    <w:r>
      <w:rPr>
        <w:b/>
      </w:rPr>
      <w:fldChar w:fldCharType="end"/>
    </w:r>
    <w:r w:rsidRPr="00812A96">
      <w:rPr>
        <w:b/>
      </w:rPr>
      <w:tab/>
    </w:r>
    <w:r>
      <w:fldChar w:fldCharType="begin"/>
    </w:r>
    <w:r>
      <w:instrText xml:space="preserve"> PAGE </w:instrText>
    </w:r>
    <w:r>
      <w:fldChar w:fldCharType="separate"/>
    </w:r>
    <w:r w:rsidR="00006562">
      <w:rPr>
        <w:noProof/>
      </w:rPr>
      <w:t>25</w:t>
    </w:r>
    <w:r>
      <w:fldChar w:fldCharType="end"/>
    </w:r>
    <w:r w:rsidRPr="00812A96">
      <w:rPr>
        <w:b/>
      </w:rPr>
      <w:tab/>
    </w:r>
    <w:r>
      <w:rPr>
        <w:b/>
      </w:rPr>
      <w:t>APPENDIX C</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B0" w14:textId="23DEBB85" w:rsidR="006C5212" w:rsidRPr="00812A96" w:rsidRDefault="006C5212" w:rsidP="00223DBB">
    <w:pPr>
      <w:pStyle w:val="Footer"/>
      <w:rPr>
        <w:b/>
      </w:rPr>
    </w:pPr>
    <w:r>
      <w:rPr>
        <w:b/>
      </w:rPr>
      <w:fldChar w:fldCharType="begin" w:fldLock="1"/>
    </w:r>
    <w:r>
      <w:rPr>
        <w:b/>
      </w:rPr>
      <w:instrText xml:space="preserve"> REF DocTypeAbb \* charformat </w:instrText>
    </w:r>
    <w:r>
      <w:rPr>
        <w:b/>
      </w:rPr>
      <w:fldChar w:fldCharType="separate"/>
    </w:r>
    <w:r w:rsidRPr="00544B0F">
      <w:rPr>
        <w:b/>
      </w:rPr>
      <w:t>AASB</w:t>
    </w:r>
    <w:r>
      <w:rPr>
        <w:b/>
      </w:rPr>
      <w:fldChar w:fldCharType="end"/>
    </w:r>
    <w:r w:rsidRPr="00812A96">
      <w:rPr>
        <w:b/>
      </w:rPr>
      <w:t xml:space="preserve"> </w:t>
    </w:r>
    <w:r>
      <w:rPr>
        <w:b/>
      </w:rPr>
      <w:fldChar w:fldCharType="begin" w:fldLock="1"/>
    </w:r>
    <w:r>
      <w:rPr>
        <w:b/>
      </w:rPr>
      <w:instrText xml:space="preserve"> REF \* charformat DocNo </w:instrText>
    </w:r>
    <w:r>
      <w:rPr>
        <w:b/>
      </w:rPr>
      <w:fldChar w:fldCharType="separate"/>
    </w:r>
    <w:r>
      <w:rPr>
        <w:b/>
      </w:rPr>
      <w:t>1059</w:t>
    </w:r>
    <w:r>
      <w:rPr>
        <w:b/>
      </w:rPr>
      <w:fldChar w:fldCharType="end"/>
    </w:r>
    <w:r w:rsidRPr="00812A96">
      <w:rPr>
        <w:b/>
      </w:rPr>
      <w:tab/>
    </w:r>
    <w:r>
      <w:fldChar w:fldCharType="begin"/>
    </w:r>
    <w:r>
      <w:instrText xml:space="preserve"> PAGE </w:instrText>
    </w:r>
    <w:r>
      <w:fldChar w:fldCharType="separate"/>
    </w:r>
    <w:r w:rsidR="00006562">
      <w:rPr>
        <w:noProof/>
      </w:rPr>
      <w:t>27</w:t>
    </w:r>
    <w:r>
      <w:fldChar w:fldCharType="end"/>
    </w:r>
    <w:r w:rsidRPr="00812A96">
      <w:rPr>
        <w:b/>
      </w:rPr>
      <w:tab/>
    </w:r>
    <w:r>
      <w:rPr>
        <w:b/>
      </w:rPr>
      <w:t>APPENDIX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B1" w14:textId="70314701" w:rsidR="006C5212" w:rsidRPr="00812A96" w:rsidRDefault="006C5212"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Pr>
        <w:b/>
      </w:rPr>
      <w:t xml:space="preserve"> 1059</w:t>
    </w:r>
    <w:r w:rsidRPr="00812A96">
      <w:rPr>
        <w:b/>
      </w:rPr>
      <w:tab/>
    </w:r>
    <w:r>
      <w:fldChar w:fldCharType="begin"/>
    </w:r>
    <w:r>
      <w:instrText xml:space="preserve"> PAGE </w:instrText>
    </w:r>
    <w:r>
      <w:fldChar w:fldCharType="separate"/>
    </w:r>
    <w:r w:rsidR="00006562">
      <w:rPr>
        <w:noProof/>
      </w:rPr>
      <w:t>28</w:t>
    </w:r>
    <w:r>
      <w:fldChar w:fldCharType="end"/>
    </w:r>
    <w:r w:rsidRPr="00812A96">
      <w:rPr>
        <w:b/>
      </w:rPr>
      <w:tab/>
    </w:r>
    <w:r>
      <w:rPr>
        <w:b/>
      </w:rPr>
      <w:t>IMPLEMENTATION GUIDANCE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B2" w14:textId="5424B3C9" w:rsidR="006C5212" w:rsidRPr="00812A96" w:rsidRDefault="006C5212"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Pr>
        <w:b/>
      </w:rPr>
      <w:t xml:space="preserve"> 1059</w:t>
    </w:r>
    <w:r w:rsidRPr="00812A96">
      <w:rPr>
        <w:b/>
      </w:rPr>
      <w:tab/>
    </w:r>
    <w:r>
      <w:fldChar w:fldCharType="begin"/>
    </w:r>
    <w:r>
      <w:instrText xml:space="preserve"> PAGE </w:instrText>
    </w:r>
    <w:r>
      <w:fldChar w:fldCharType="separate"/>
    </w:r>
    <w:r w:rsidR="00006562">
      <w:rPr>
        <w:noProof/>
      </w:rPr>
      <w:t>46</w:t>
    </w:r>
    <w:r>
      <w:fldChar w:fldCharType="end"/>
    </w:r>
    <w:r w:rsidRPr="00812A96">
      <w:rPr>
        <w:b/>
      </w:rPr>
      <w:tab/>
    </w:r>
    <w:r>
      <w:rPr>
        <w:b/>
      </w:rPr>
      <w:t>ILLUSTRATIVE EXAMPLES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B4" w14:textId="12B0B427" w:rsidR="006C5212" w:rsidRDefault="006C5212" w:rsidP="00F639D2">
    <w:pPr>
      <w:pStyle w:val="Foote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Pr>
        <w:b/>
      </w:rPr>
      <w:t xml:space="preserve"> 1059</w:t>
    </w:r>
    <w:r>
      <w:tab/>
    </w:r>
    <w:r>
      <w:fldChar w:fldCharType="begin"/>
    </w:r>
    <w:r>
      <w:instrText xml:space="preserve"> page </w:instrText>
    </w:r>
    <w:r>
      <w:fldChar w:fldCharType="separate"/>
    </w:r>
    <w:r w:rsidR="00006562">
      <w:rPr>
        <w:noProof/>
      </w:rPr>
      <w:t>67</w:t>
    </w:r>
    <w:r>
      <w:fldChar w:fldCharType="end"/>
    </w:r>
    <w:r>
      <w:tab/>
    </w:r>
    <w:r>
      <w:rPr>
        <w:b/>
      </w:rPr>
      <w:t>BASIS FOR CONCLUSIONS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9E" w14:textId="7FCEC05F" w:rsidR="006C5212" w:rsidRDefault="006C521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fldLock="1"/>
    </w:r>
    <w:r>
      <w:rPr>
        <w:b/>
      </w:rPr>
      <w:instrText xml:space="preserve"> REF \* charformat DocNo </w:instrText>
    </w:r>
    <w:r>
      <w:rPr>
        <w:b/>
      </w:rPr>
      <w:fldChar w:fldCharType="separate"/>
    </w:r>
    <w:r>
      <w:rPr>
        <w:b/>
      </w:rPr>
      <w:t>1059</w:t>
    </w:r>
    <w:r>
      <w:rPr>
        <w:b/>
      </w:rPr>
      <w:fldChar w:fldCharType="end"/>
    </w:r>
    <w:r>
      <w:tab/>
    </w:r>
    <w:r>
      <w:fldChar w:fldCharType="begin"/>
    </w:r>
    <w:r>
      <w:instrText xml:space="preserve"> page </w:instrText>
    </w:r>
    <w:r>
      <w:fldChar w:fldCharType="separate"/>
    </w:r>
    <w:r w:rsidR="005C322B">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0" w14:textId="77777777" w:rsidR="006C5212" w:rsidRDefault="006C52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1" w14:textId="3E4E701B" w:rsidR="006C5212" w:rsidRPr="00705552" w:rsidRDefault="006C5212" w:rsidP="00945090">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fldLock="1"/>
    </w:r>
    <w:r>
      <w:rPr>
        <w:b/>
      </w:rPr>
      <w:instrText xml:space="preserve"> REF \* charformat DocNo </w:instrText>
    </w:r>
    <w:r>
      <w:rPr>
        <w:b/>
      </w:rPr>
      <w:fldChar w:fldCharType="separate"/>
    </w:r>
    <w:r>
      <w:rPr>
        <w:b/>
      </w:rPr>
      <w:t>1059</w:t>
    </w:r>
    <w:r>
      <w:rPr>
        <w:b/>
      </w:rPr>
      <w:fldChar w:fldCharType="end"/>
    </w:r>
    <w:r>
      <w:tab/>
    </w:r>
    <w:r>
      <w:fldChar w:fldCharType="begin"/>
    </w:r>
    <w:r>
      <w:instrText xml:space="preserve"> page </w:instrText>
    </w:r>
    <w:r>
      <w:fldChar w:fldCharType="separate"/>
    </w:r>
    <w:r w:rsidR="003618BD">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2" w14:textId="5381D606" w:rsidR="006C5212" w:rsidRDefault="006C5212" w:rsidP="0094509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fldLock="1"/>
    </w:r>
    <w:r>
      <w:rPr>
        <w:b/>
      </w:rPr>
      <w:instrText xml:space="preserve"> REF \* charformat DocNo </w:instrText>
    </w:r>
    <w:r>
      <w:rPr>
        <w:b/>
      </w:rPr>
      <w:fldChar w:fldCharType="separate"/>
    </w:r>
    <w:r>
      <w:rPr>
        <w:b/>
      </w:rPr>
      <w:t>1059</w:t>
    </w:r>
    <w:r>
      <w:rPr>
        <w:b/>
      </w:rPr>
      <w:fldChar w:fldCharType="end"/>
    </w:r>
    <w:r>
      <w:tab/>
    </w:r>
    <w:r>
      <w:fldChar w:fldCharType="begin"/>
    </w:r>
    <w:r>
      <w:instrText xml:space="preserve"> page </w:instrText>
    </w:r>
    <w:r>
      <w:fldChar w:fldCharType="separate"/>
    </w:r>
    <w:r w:rsidR="003618BD">
      <w:rPr>
        <w:noProof/>
      </w:rPr>
      <w:t>5</w:t>
    </w:r>
    <w:r>
      <w:fldChar w:fldCharType="end"/>
    </w:r>
    <w:r>
      <w:tab/>
    </w:r>
    <w:r>
      <w:rPr>
        <w:b/>
      </w:rPr>
      <w:t>PREFACE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3" w14:textId="100DF0E5" w:rsidR="006C5212" w:rsidRDefault="006C5212" w:rsidP="0094509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44B0F">
      <w:rPr>
        <w:b/>
      </w:rPr>
      <w:t>AASB</w:t>
    </w:r>
    <w:r w:rsidRPr="00705552">
      <w:rPr>
        <w:b/>
      </w:rPr>
      <w:fldChar w:fldCharType="end"/>
    </w:r>
    <w:r w:rsidRPr="00705552">
      <w:rPr>
        <w:b/>
      </w:rPr>
      <w:t xml:space="preserve"> </w:t>
    </w:r>
    <w:r>
      <w:rPr>
        <w:b/>
      </w:rPr>
      <w:fldChar w:fldCharType="begin" w:fldLock="1"/>
    </w:r>
    <w:r>
      <w:rPr>
        <w:b/>
      </w:rPr>
      <w:instrText xml:space="preserve"> REF \* charformat DocNo </w:instrText>
    </w:r>
    <w:r>
      <w:rPr>
        <w:b/>
      </w:rPr>
      <w:fldChar w:fldCharType="separate"/>
    </w:r>
    <w:r>
      <w:rPr>
        <w:b/>
      </w:rPr>
      <w:t>1059</w:t>
    </w:r>
    <w:r>
      <w:rPr>
        <w:b/>
      </w:rPr>
      <w:fldChar w:fldCharType="end"/>
    </w:r>
    <w:r>
      <w:tab/>
    </w:r>
    <w:r>
      <w:fldChar w:fldCharType="begin"/>
    </w:r>
    <w:r>
      <w:instrText xml:space="preserve"> page </w:instrText>
    </w:r>
    <w:r>
      <w:fldChar w:fldCharType="separate"/>
    </w:r>
    <w:r w:rsidR="003618BD">
      <w:rPr>
        <w:noProof/>
      </w:rPr>
      <w:t>6</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4" w14:textId="6DE29409" w:rsidR="006C5212" w:rsidRPr="00812A96" w:rsidRDefault="006C5212"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Pr>
        <w:b/>
      </w:rPr>
      <w:t xml:space="preserve"> 1059</w:t>
    </w:r>
    <w:r w:rsidRPr="00812A96">
      <w:rPr>
        <w:b/>
      </w:rPr>
      <w:tab/>
    </w:r>
    <w:r>
      <w:fldChar w:fldCharType="begin"/>
    </w:r>
    <w:r>
      <w:instrText xml:space="preserve"> PAGE </w:instrText>
    </w:r>
    <w:r>
      <w:fldChar w:fldCharType="separate"/>
    </w:r>
    <w:r w:rsidR="00006562">
      <w:rPr>
        <w:noProof/>
      </w:rPr>
      <w:t>9</w:t>
    </w:r>
    <w:r>
      <w:fldChar w:fldCharType="end"/>
    </w:r>
    <w:r w:rsidRPr="00812A96">
      <w:rPr>
        <w:b/>
      </w:rPr>
      <w:tab/>
    </w:r>
    <w:r>
      <w:rPr>
        <w:b/>
      </w:rPr>
      <w:fldChar w:fldCharType="begin" w:fldLock="1"/>
    </w:r>
    <w:r>
      <w:rPr>
        <w:b/>
      </w:rPr>
      <w:instrText xml:space="preserve"> REF DocType \* charformat \* upper </w:instrText>
    </w:r>
    <w:r>
      <w:rPr>
        <w:b/>
      </w:rPr>
      <w:fldChar w:fldCharType="separate"/>
    </w:r>
    <w:r w:rsidRPr="005312D4">
      <w:rPr>
        <w:b/>
      </w:rPr>
      <w:t>STANDARD</w:t>
    </w:r>
    <w:r>
      <w:rPr>
        <w:b/>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6" w14:textId="77777777" w:rsidR="006C5212" w:rsidRPr="00812A96" w:rsidRDefault="006C5212" w:rsidP="00812A9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7" w14:textId="0A6DB6CB" w:rsidR="006C5212" w:rsidRPr="00812A96" w:rsidRDefault="006C5212"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Pr>
        <w:b/>
      </w:rPr>
      <w:t xml:space="preserve"> 1059</w:t>
    </w:r>
    <w:r w:rsidRPr="00812A96">
      <w:rPr>
        <w:b/>
      </w:rPr>
      <w:tab/>
    </w:r>
    <w:r>
      <w:fldChar w:fldCharType="begin"/>
    </w:r>
    <w:r>
      <w:instrText xml:space="preserve"> PAGE </w:instrText>
    </w:r>
    <w:r>
      <w:fldChar w:fldCharType="separate"/>
    </w:r>
    <w:r w:rsidR="003618BD">
      <w:rPr>
        <w:noProof/>
      </w:rPr>
      <w:t>11</w:t>
    </w:r>
    <w:r>
      <w:fldChar w:fldCharType="end"/>
    </w:r>
    <w:r w:rsidRPr="00812A96">
      <w:rPr>
        <w:b/>
      </w:rPr>
      <w:tab/>
    </w:r>
    <w:r>
      <w:rPr>
        <w:b/>
      </w:rPr>
      <w:t>APPENDIX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0063C" w14:textId="77777777" w:rsidR="006C5212" w:rsidRDefault="006C5212">
      <w:r>
        <w:separator/>
      </w:r>
    </w:p>
  </w:footnote>
  <w:footnote w:type="continuationSeparator" w:id="0">
    <w:p w14:paraId="61D6680D" w14:textId="77777777" w:rsidR="006C5212" w:rsidRDefault="006C5212">
      <w:r>
        <w:continuationSeparator/>
      </w:r>
    </w:p>
  </w:footnote>
  <w:footnote w:type="continuationNotice" w:id="1">
    <w:p w14:paraId="5B1A2E3C" w14:textId="77777777" w:rsidR="006C5212" w:rsidRDefault="006C52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99" w14:textId="513D77F8" w:rsidR="006C5212" w:rsidRDefault="006C5212" w:rsidP="008172EC">
    <w:pPr>
      <w:pStyle w:val="Header"/>
      <w:jc w:val="center"/>
      <w:rPr>
        <w:b/>
        <w:lang w:val="en-US"/>
      </w:rPr>
    </w:pPr>
    <w:r w:rsidRPr="006E7A8C">
      <w:rPr>
        <w:noProof/>
        <w:color w:val="FF0000"/>
        <w:lang w:eastAsia="en-AU"/>
      </w:rPr>
      <w:drawing>
        <wp:anchor distT="0" distB="0" distL="114300" distR="114300" simplePos="0" relativeHeight="251658240" behindDoc="1" locked="0" layoutInCell="1" allowOverlap="1" wp14:anchorId="7D9278B5" wp14:editId="7D9278B6">
          <wp:simplePos x="0" y="0"/>
          <wp:positionH relativeFrom="page">
            <wp:posOffset>1008380</wp:posOffset>
          </wp:positionH>
          <wp:positionV relativeFrom="page">
            <wp:posOffset>3577590</wp:posOffset>
          </wp:positionV>
          <wp:extent cx="4949825" cy="4342765"/>
          <wp:effectExtent l="0" t="0" r="3175" b="635"/>
          <wp:wrapNone/>
          <wp:docPr id="2"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p>
  <w:p w14:paraId="7D92789A" w14:textId="77777777" w:rsidR="006C5212" w:rsidRDefault="006C5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9B" w14:textId="77777777" w:rsidR="006C5212" w:rsidRDefault="006C5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9C" w14:textId="4B508BB4" w:rsidR="006C5212" w:rsidRDefault="006C5212" w:rsidP="00AE5D64">
    <w:pPr>
      <w:pStyle w:val="Header"/>
      <w:jc w:val="center"/>
      <w:rPr>
        <w:b/>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9F" w14:textId="77777777" w:rsidR="006C5212" w:rsidRDefault="006C52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5" w14:textId="77777777" w:rsidR="006C5212" w:rsidRPr="00812A96" w:rsidRDefault="006C5212" w:rsidP="00812A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8" w14:textId="77777777" w:rsidR="006C5212" w:rsidRPr="00812A96" w:rsidRDefault="006C5212" w:rsidP="00812A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A" w14:textId="77777777" w:rsidR="006C5212" w:rsidRPr="00812A96" w:rsidRDefault="006C5212" w:rsidP="00812A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78AD" w14:textId="77777777" w:rsidR="006C5212" w:rsidRPr="00812A96" w:rsidRDefault="006C5212" w:rsidP="00812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A1D"/>
    <w:multiLevelType w:val="multilevel"/>
    <w:tmpl w:val="E1E6CC8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9A5CE4"/>
    <w:multiLevelType w:val="multilevel"/>
    <w:tmpl w:val="C3841212"/>
    <w:lvl w:ilvl="0">
      <w:start w:val="1"/>
      <w:numFmt w:val="decimal"/>
      <w:lvlText w:val="%1"/>
      <w:lvlJc w:val="left"/>
      <w:pPr>
        <w:tabs>
          <w:tab w:val="num" w:pos="510"/>
        </w:tabs>
        <w:ind w:left="510" w:hanging="510"/>
      </w:pPr>
      <w:rPr>
        <w:rFonts w:hint="default"/>
        <w:u w:val="none"/>
      </w:rPr>
    </w:lvl>
    <w:lvl w:ilvl="1">
      <w:start w:val="1"/>
      <w:numFmt w:val="lowerLetter"/>
      <w:lvlText w:val="(%2)"/>
      <w:lvlJc w:val="left"/>
      <w:pPr>
        <w:tabs>
          <w:tab w:val="num" w:pos="1021"/>
        </w:tabs>
        <w:ind w:left="1021" w:hanging="511"/>
      </w:pPr>
      <w:rPr>
        <w:rFonts w:hint="default"/>
        <w:b/>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
    <w:nsid w:val="13E035C2"/>
    <w:multiLevelType w:val="multilevel"/>
    <w:tmpl w:val="AE94D4F6"/>
    <w:lvl w:ilvl="0">
      <w:start w:val="1"/>
      <w:numFmt w:val="decimal"/>
      <w:pStyle w:val="NumAG1"/>
      <w:lvlText w:val="B%1"/>
      <w:lvlJc w:val="left"/>
      <w:pPr>
        <w:tabs>
          <w:tab w:val="num" w:pos="3602"/>
        </w:tabs>
        <w:ind w:left="3602" w:hanging="624"/>
      </w:pPr>
      <w:rPr>
        <w:rFonts w:hint="default"/>
        <w:b w:val="0"/>
        <w:bCs w:val="0"/>
        <w:u w:val="none"/>
      </w:rPr>
    </w:lvl>
    <w:lvl w:ilvl="1">
      <w:start w:val="1"/>
      <w:numFmt w:val="lowerLetter"/>
      <w:pStyle w:val="NumAG2"/>
      <w:lvlText w:val="(%2)"/>
      <w:lvlJc w:val="left"/>
      <w:pPr>
        <w:tabs>
          <w:tab w:val="num" w:pos="1247"/>
        </w:tabs>
        <w:ind w:left="1247" w:hanging="623"/>
      </w:pPr>
      <w:rPr>
        <w:rFonts w:hint="default"/>
        <w:b w:val="0"/>
        <w:bCs w:val="0"/>
        <w:u w:val="none"/>
      </w:rPr>
    </w:lvl>
    <w:lvl w:ilvl="2">
      <w:start w:val="1"/>
      <w:numFmt w:val="lowerRoman"/>
      <w:pStyle w:val="NumAG3"/>
      <w:lvlText w:val="(%3)"/>
      <w:lvlJc w:val="left"/>
      <w:pPr>
        <w:tabs>
          <w:tab w:val="num" w:pos="1871"/>
        </w:tabs>
        <w:ind w:left="1871" w:hanging="624"/>
      </w:pPr>
      <w:rPr>
        <w:rFonts w:hint="default"/>
        <w:b w:val="0"/>
        <w:bCs w:val="0"/>
        <w:u w:val="none"/>
      </w:rPr>
    </w:lvl>
    <w:lvl w:ilvl="3">
      <w:start w:val="1"/>
      <w:numFmt w:val="upperLetter"/>
      <w:pStyle w:val="NumAG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15494054"/>
    <w:multiLevelType w:val="multilevel"/>
    <w:tmpl w:val="3170FD08"/>
    <w:lvl w:ilvl="0">
      <w:start w:val="1"/>
      <w:numFmt w:val="bullet"/>
      <w:lvlText w:val=""/>
      <w:lvlJc w:val="left"/>
      <w:pPr>
        <w:tabs>
          <w:tab w:val="num" w:pos="782"/>
        </w:tabs>
        <w:ind w:left="782" w:hanging="782"/>
      </w:pPr>
      <w:rPr>
        <w:rFonts w:ascii="Symbol" w:hAnsi="Symbol"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7734AD0"/>
    <w:multiLevelType w:val="hybridMultilevel"/>
    <w:tmpl w:val="921820BE"/>
    <w:lvl w:ilvl="0" w:tplc="0C090001">
      <w:start w:val="1"/>
      <w:numFmt w:val="bullet"/>
      <w:lvlText w:val=""/>
      <w:lvlJc w:val="left"/>
      <w:pPr>
        <w:ind w:left="2284" w:hanging="360"/>
      </w:pPr>
      <w:rPr>
        <w:rFonts w:ascii="Symbol" w:hAnsi="Symbol" w:hint="default"/>
      </w:rPr>
    </w:lvl>
    <w:lvl w:ilvl="1" w:tplc="0C090003" w:tentative="1">
      <w:start w:val="1"/>
      <w:numFmt w:val="bullet"/>
      <w:lvlText w:val="o"/>
      <w:lvlJc w:val="left"/>
      <w:pPr>
        <w:ind w:left="3004" w:hanging="360"/>
      </w:pPr>
      <w:rPr>
        <w:rFonts w:ascii="Courier New" w:hAnsi="Courier New" w:cs="Courier New" w:hint="default"/>
      </w:rPr>
    </w:lvl>
    <w:lvl w:ilvl="2" w:tplc="0C090005" w:tentative="1">
      <w:start w:val="1"/>
      <w:numFmt w:val="bullet"/>
      <w:lvlText w:val=""/>
      <w:lvlJc w:val="left"/>
      <w:pPr>
        <w:ind w:left="3724" w:hanging="360"/>
      </w:pPr>
      <w:rPr>
        <w:rFonts w:ascii="Wingdings" w:hAnsi="Wingdings" w:hint="default"/>
      </w:rPr>
    </w:lvl>
    <w:lvl w:ilvl="3" w:tplc="0C090001" w:tentative="1">
      <w:start w:val="1"/>
      <w:numFmt w:val="bullet"/>
      <w:lvlText w:val=""/>
      <w:lvlJc w:val="left"/>
      <w:pPr>
        <w:ind w:left="4444" w:hanging="360"/>
      </w:pPr>
      <w:rPr>
        <w:rFonts w:ascii="Symbol" w:hAnsi="Symbol" w:hint="default"/>
      </w:rPr>
    </w:lvl>
    <w:lvl w:ilvl="4" w:tplc="0C090003" w:tentative="1">
      <w:start w:val="1"/>
      <w:numFmt w:val="bullet"/>
      <w:lvlText w:val="o"/>
      <w:lvlJc w:val="left"/>
      <w:pPr>
        <w:ind w:left="5164" w:hanging="360"/>
      </w:pPr>
      <w:rPr>
        <w:rFonts w:ascii="Courier New" w:hAnsi="Courier New" w:cs="Courier New" w:hint="default"/>
      </w:rPr>
    </w:lvl>
    <w:lvl w:ilvl="5" w:tplc="0C090005" w:tentative="1">
      <w:start w:val="1"/>
      <w:numFmt w:val="bullet"/>
      <w:lvlText w:val=""/>
      <w:lvlJc w:val="left"/>
      <w:pPr>
        <w:ind w:left="5884" w:hanging="360"/>
      </w:pPr>
      <w:rPr>
        <w:rFonts w:ascii="Wingdings" w:hAnsi="Wingdings" w:hint="default"/>
      </w:rPr>
    </w:lvl>
    <w:lvl w:ilvl="6" w:tplc="0C090001" w:tentative="1">
      <w:start w:val="1"/>
      <w:numFmt w:val="bullet"/>
      <w:lvlText w:val=""/>
      <w:lvlJc w:val="left"/>
      <w:pPr>
        <w:ind w:left="6604" w:hanging="360"/>
      </w:pPr>
      <w:rPr>
        <w:rFonts w:ascii="Symbol" w:hAnsi="Symbol" w:hint="default"/>
      </w:rPr>
    </w:lvl>
    <w:lvl w:ilvl="7" w:tplc="0C090003" w:tentative="1">
      <w:start w:val="1"/>
      <w:numFmt w:val="bullet"/>
      <w:lvlText w:val="o"/>
      <w:lvlJc w:val="left"/>
      <w:pPr>
        <w:ind w:left="7324" w:hanging="360"/>
      </w:pPr>
      <w:rPr>
        <w:rFonts w:ascii="Courier New" w:hAnsi="Courier New" w:cs="Courier New" w:hint="default"/>
      </w:rPr>
    </w:lvl>
    <w:lvl w:ilvl="8" w:tplc="0C090005" w:tentative="1">
      <w:start w:val="1"/>
      <w:numFmt w:val="bullet"/>
      <w:lvlText w:val=""/>
      <w:lvlJc w:val="left"/>
      <w:pPr>
        <w:ind w:left="8044" w:hanging="360"/>
      </w:pPr>
      <w:rPr>
        <w:rFonts w:ascii="Wingdings" w:hAnsi="Wingdings" w:hint="default"/>
      </w:rPr>
    </w:lvl>
  </w:abstractNum>
  <w:abstractNum w:abstractNumId="6">
    <w:nsid w:val="1B856AF3"/>
    <w:multiLevelType w:val="hybridMultilevel"/>
    <w:tmpl w:val="EB7E02DC"/>
    <w:lvl w:ilvl="0" w:tplc="B9906944">
      <w:start w:val="1"/>
      <w:numFmt w:val="lowerRoman"/>
      <w:lvlText w:val="(%1)"/>
      <w:lvlJc w:val="left"/>
      <w:pPr>
        <w:ind w:left="1502" w:hanging="360"/>
      </w:pPr>
      <w:rPr>
        <w:rFonts w:ascii="Times New Roman" w:hAnsi="Times New Roman" w:cs="Times New Roman" w:hint="default"/>
        <w:b w:val="0"/>
        <w:i w:val="0"/>
        <w:sz w:val="19"/>
      </w:rPr>
    </w:lvl>
    <w:lvl w:ilvl="1" w:tplc="0C090019" w:tentative="1">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7">
    <w:nsid w:val="1D2E33A7"/>
    <w:multiLevelType w:val="hybridMultilevel"/>
    <w:tmpl w:val="20C237F4"/>
    <w:lvl w:ilvl="0" w:tplc="55564156">
      <w:start w:val="1"/>
      <w:numFmt w:val="decimal"/>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7C613A"/>
    <w:multiLevelType w:val="multilevel"/>
    <w:tmpl w:val="78BAEC18"/>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9">
    <w:nsid w:val="210C04CF"/>
    <w:multiLevelType w:val="multilevel"/>
    <w:tmpl w:val="1728B68A"/>
    <w:numStyleLink w:val="INNos"/>
  </w:abstractNum>
  <w:abstractNum w:abstractNumId="10">
    <w:nsid w:val="221A058F"/>
    <w:multiLevelType w:val="hybridMultilevel"/>
    <w:tmpl w:val="09E045B2"/>
    <w:lvl w:ilvl="0" w:tplc="37E4890C">
      <w:start w:val="1"/>
      <w:numFmt w:val="lowerLetter"/>
      <w:lvlText w:val="(%1)"/>
      <w:lvlJc w:val="left"/>
      <w:pPr>
        <w:ind w:left="1562" w:hanging="780"/>
      </w:pPr>
      <w:rPr>
        <w:rFonts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1">
    <w:nsid w:val="24A91AD6"/>
    <w:multiLevelType w:val="multilevel"/>
    <w:tmpl w:val="CDC6D388"/>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12">
    <w:nsid w:val="2576465B"/>
    <w:multiLevelType w:val="multilevel"/>
    <w:tmpl w:val="A7E444FC"/>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5F1445F"/>
    <w:multiLevelType w:val="hybridMultilevel"/>
    <w:tmpl w:val="68609B4C"/>
    <w:lvl w:ilvl="0" w:tplc="7BFE3A6C">
      <w:start w:val="1"/>
      <w:numFmt w:val="lowerLetter"/>
      <w:lvlText w:val="(%1)"/>
      <w:lvlJc w:val="left"/>
      <w:pPr>
        <w:ind w:left="1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680E6A"/>
    <w:multiLevelType w:val="multilevel"/>
    <w:tmpl w:val="4AC27B8A"/>
    <w:styleLink w:val="IENos"/>
    <w:lvl w:ilvl="0">
      <w:start w:val="1"/>
      <w:numFmt w:val="decimal"/>
      <w:lvlText w:val="IE%1"/>
      <w:lvlJc w:val="left"/>
      <w:pPr>
        <w:ind w:left="510" w:hanging="510"/>
      </w:pPr>
      <w:rPr>
        <w:rFonts w:hint="default"/>
      </w:rPr>
    </w:lvl>
    <w:lvl w:ilvl="1">
      <w:start w:val="1"/>
      <w:numFmt w:val="lowerLetter"/>
      <w:lvlText w:val="(%2)"/>
      <w:lvlJc w:val="left"/>
      <w:pPr>
        <w:tabs>
          <w:tab w:val="num" w:pos="1021"/>
        </w:tabs>
        <w:ind w:left="1020" w:hanging="510"/>
      </w:pPr>
      <w:rPr>
        <w:rFonts w:hint="default"/>
      </w:rPr>
    </w:lvl>
    <w:lvl w:ilvl="2">
      <w:start w:val="1"/>
      <w:numFmt w:val="lowerRoman"/>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5">
    <w:nsid w:val="2EFB0EF3"/>
    <w:multiLevelType w:val="hybridMultilevel"/>
    <w:tmpl w:val="C2F01954"/>
    <w:lvl w:ilvl="0" w:tplc="2AF0A282">
      <w:start w:val="1"/>
      <w:numFmt w:val="lowerLetter"/>
      <w:lvlText w:val="(%1)"/>
      <w:lvlJc w:val="left"/>
      <w:pPr>
        <w:ind w:left="1142" w:hanging="360"/>
      </w:pPr>
      <w:rPr>
        <w:rFonts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6">
    <w:nsid w:val="2F1740E7"/>
    <w:multiLevelType w:val="multilevel"/>
    <w:tmpl w:val="31D07C5C"/>
    <w:lvl w:ilvl="0">
      <w:start w:val="1"/>
      <w:numFmt w:val="decimal"/>
      <w:lvlText w:val="%1"/>
      <w:lvlJc w:val="left"/>
      <w:pPr>
        <w:ind w:left="782" w:hanging="782"/>
      </w:pPr>
      <w:rPr>
        <w:rFonts w:hint="default"/>
      </w:rPr>
    </w:lvl>
    <w:lvl w:ilvl="1">
      <w:start w:val="1"/>
      <w:numFmt w:val="lowerLetter"/>
      <w:lvlText w:val="(%2)"/>
      <w:lvlJc w:val="left"/>
      <w:pPr>
        <w:ind w:left="2060" w:hanging="783"/>
      </w:pPr>
      <w:rPr>
        <w:rFonts w:hint="default"/>
      </w:rPr>
    </w:lvl>
    <w:lvl w:ilvl="2">
      <w:start w:val="1"/>
      <w:numFmt w:val="lowerRoman"/>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9">
    <w:nsid w:val="318C7522"/>
    <w:multiLevelType w:val="hybridMultilevel"/>
    <w:tmpl w:val="B99E8408"/>
    <w:lvl w:ilvl="0" w:tplc="A91E7BA8">
      <w:start w:val="1"/>
      <w:numFmt w:val="lowerLetter"/>
      <w:lvlText w:val="(%1)"/>
      <w:lvlJc w:val="left"/>
      <w:pPr>
        <w:ind w:left="2138" w:hanging="360"/>
      </w:pPr>
      <w:rPr>
        <w:rFonts w:ascii="Times New Roman" w:hAnsi="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8C17C6C"/>
    <w:multiLevelType w:val="hybridMultilevel"/>
    <w:tmpl w:val="83BAE4E2"/>
    <w:lvl w:ilvl="0" w:tplc="6B54DBB2">
      <w:start w:val="1"/>
      <w:numFmt w:val="lowerLetter"/>
      <w:pStyle w:val="IASBNormalL1P"/>
      <w:lvlText w:val="(%1)"/>
      <w:lvlJc w:val="left"/>
      <w:pPr>
        <w:ind w:left="1502" w:hanging="360"/>
      </w:pPr>
      <w:rPr>
        <w:rFonts w:hint="default"/>
      </w:rPr>
    </w:lvl>
    <w:lvl w:ilvl="1" w:tplc="0C090019" w:tentative="1">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21">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CB143B"/>
    <w:multiLevelType w:val="hybridMultilevel"/>
    <w:tmpl w:val="9A8ECE42"/>
    <w:lvl w:ilvl="0" w:tplc="531A9C8E">
      <w:start w:val="1"/>
      <w:numFmt w:val="lowerLetter"/>
      <w:lvlText w:val="(%1)"/>
      <w:lvlJc w:val="left"/>
      <w:pPr>
        <w:ind w:left="2138" w:hanging="360"/>
      </w:pPr>
      <w:rPr>
        <w:rFonts w:ascii="Times New Roman" w:hAnsi="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A816CF"/>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2C66C39"/>
    <w:multiLevelType w:val="hybridMultilevel"/>
    <w:tmpl w:val="2A9034D0"/>
    <w:lvl w:ilvl="0" w:tplc="0C090001">
      <w:start w:val="1"/>
      <w:numFmt w:val="bullet"/>
      <w:lvlText w:val=""/>
      <w:lvlJc w:val="left"/>
      <w:pPr>
        <w:ind w:left="2285" w:hanging="360"/>
      </w:pPr>
      <w:rPr>
        <w:rFonts w:ascii="Symbol" w:hAnsi="Symbol" w:hint="default"/>
      </w:rPr>
    </w:lvl>
    <w:lvl w:ilvl="1" w:tplc="0C090003" w:tentative="1">
      <w:start w:val="1"/>
      <w:numFmt w:val="bullet"/>
      <w:lvlText w:val="o"/>
      <w:lvlJc w:val="left"/>
      <w:pPr>
        <w:ind w:left="3005" w:hanging="360"/>
      </w:pPr>
      <w:rPr>
        <w:rFonts w:ascii="Courier New" w:hAnsi="Courier New" w:cs="Courier New" w:hint="default"/>
      </w:rPr>
    </w:lvl>
    <w:lvl w:ilvl="2" w:tplc="0C090005" w:tentative="1">
      <w:start w:val="1"/>
      <w:numFmt w:val="bullet"/>
      <w:lvlText w:val=""/>
      <w:lvlJc w:val="left"/>
      <w:pPr>
        <w:ind w:left="3725" w:hanging="360"/>
      </w:pPr>
      <w:rPr>
        <w:rFonts w:ascii="Wingdings" w:hAnsi="Wingdings" w:hint="default"/>
      </w:rPr>
    </w:lvl>
    <w:lvl w:ilvl="3" w:tplc="0C090001" w:tentative="1">
      <w:start w:val="1"/>
      <w:numFmt w:val="bullet"/>
      <w:lvlText w:val=""/>
      <w:lvlJc w:val="left"/>
      <w:pPr>
        <w:ind w:left="4445" w:hanging="360"/>
      </w:pPr>
      <w:rPr>
        <w:rFonts w:ascii="Symbol" w:hAnsi="Symbol" w:hint="default"/>
      </w:rPr>
    </w:lvl>
    <w:lvl w:ilvl="4" w:tplc="0C090003" w:tentative="1">
      <w:start w:val="1"/>
      <w:numFmt w:val="bullet"/>
      <w:lvlText w:val="o"/>
      <w:lvlJc w:val="left"/>
      <w:pPr>
        <w:ind w:left="5165" w:hanging="360"/>
      </w:pPr>
      <w:rPr>
        <w:rFonts w:ascii="Courier New" w:hAnsi="Courier New" w:cs="Courier New" w:hint="default"/>
      </w:rPr>
    </w:lvl>
    <w:lvl w:ilvl="5" w:tplc="0C090005" w:tentative="1">
      <w:start w:val="1"/>
      <w:numFmt w:val="bullet"/>
      <w:lvlText w:val=""/>
      <w:lvlJc w:val="left"/>
      <w:pPr>
        <w:ind w:left="5885" w:hanging="360"/>
      </w:pPr>
      <w:rPr>
        <w:rFonts w:ascii="Wingdings" w:hAnsi="Wingdings" w:hint="default"/>
      </w:rPr>
    </w:lvl>
    <w:lvl w:ilvl="6" w:tplc="0C090001" w:tentative="1">
      <w:start w:val="1"/>
      <w:numFmt w:val="bullet"/>
      <w:lvlText w:val=""/>
      <w:lvlJc w:val="left"/>
      <w:pPr>
        <w:ind w:left="6605" w:hanging="360"/>
      </w:pPr>
      <w:rPr>
        <w:rFonts w:ascii="Symbol" w:hAnsi="Symbol" w:hint="default"/>
      </w:rPr>
    </w:lvl>
    <w:lvl w:ilvl="7" w:tplc="0C090003" w:tentative="1">
      <w:start w:val="1"/>
      <w:numFmt w:val="bullet"/>
      <w:lvlText w:val="o"/>
      <w:lvlJc w:val="left"/>
      <w:pPr>
        <w:ind w:left="7325" w:hanging="360"/>
      </w:pPr>
      <w:rPr>
        <w:rFonts w:ascii="Courier New" w:hAnsi="Courier New" w:cs="Courier New" w:hint="default"/>
      </w:rPr>
    </w:lvl>
    <w:lvl w:ilvl="8" w:tplc="0C090005" w:tentative="1">
      <w:start w:val="1"/>
      <w:numFmt w:val="bullet"/>
      <w:lvlText w:val=""/>
      <w:lvlJc w:val="left"/>
      <w:pPr>
        <w:ind w:left="8045" w:hanging="360"/>
      </w:pPr>
      <w:rPr>
        <w:rFonts w:ascii="Wingdings" w:hAnsi="Wingdings" w:hint="default"/>
      </w:rPr>
    </w:lvl>
  </w:abstractNum>
  <w:abstractNum w:abstractNumId="25">
    <w:nsid w:val="47BE07ED"/>
    <w:multiLevelType w:val="multilevel"/>
    <w:tmpl w:val="6AC45D0E"/>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980663E"/>
    <w:multiLevelType w:val="hybridMultilevel"/>
    <w:tmpl w:val="534E6522"/>
    <w:lvl w:ilvl="0" w:tplc="BBDEAD1C">
      <w:start w:val="1"/>
      <w:numFmt w:val="lowerLetter"/>
      <w:lvlText w:val="(%1)"/>
      <w:lvlJc w:val="left"/>
      <w:pPr>
        <w:ind w:left="1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1E0EDE"/>
    <w:multiLevelType w:val="hybridMultilevel"/>
    <w:tmpl w:val="CA5261B0"/>
    <w:lvl w:ilvl="0" w:tplc="81842904">
      <w:start w:val="14"/>
      <w:numFmt w:val="decimal"/>
      <w:pStyle w:val="IASB"/>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5A3B64"/>
    <w:multiLevelType w:val="hybridMultilevel"/>
    <w:tmpl w:val="579C5020"/>
    <w:lvl w:ilvl="0" w:tplc="647C5DD8">
      <w:start w:val="1"/>
      <w:numFmt w:val="lowerLetter"/>
      <w:lvlText w:val="(%1)"/>
      <w:lvlJc w:val="left"/>
      <w:pPr>
        <w:ind w:left="720" w:hanging="360"/>
      </w:pPr>
      <w:rPr>
        <w:rFonts w:hint="default"/>
      </w:rPr>
    </w:lvl>
    <w:lvl w:ilvl="1" w:tplc="005048D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0812F3"/>
    <w:multiLevelType w:val="multilevel"/>
    <w:tmpl w:val="F864B64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0">
    <w:nsid w:val="57313A0C"/>
    <w:multiLevelType w:val="hybridMultilevel"/>
    <w:tmpl w:val="7BCE2B5E"/>
    <w:lvl w:ilvl="0" w:tplc="6EFC54C8">
      <w:start w:val="1"/>
      <w:numFmt w:val="lowerLetter"/>
      <w:lvlText w:val="(%1)"/>
      <w:lvlJc w:val="left"/>
      <w:pPr>
        <w:ind w:left="1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B970BE5"/>
    <w:multiLevelType w:val="hybridMultilevel"/>
    <w:tmpl w:val="1B1438F8"/>
    <w:lvl w:ilvl="0" w:tplc="9A2AD6B6">
      <w:start w:val="1"/>
      <w:numFmt w:val="lowerLetter"/>
      <w:lvlText w:val="(%1)"/>
      <w:lvlJc w:val="left"/>
      <w:pPr>
        <w:ind w:left="1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542243"/>
    <w:multiLevelType w:val="multilevel"/>
    <w:tmpl w:val="3F6CA2C2"/>
    <w:lvl w:ilvl="0">
      <w:start w:val="1"/>
      <w:numFmt w:val="decimal"/>
      <w:pStyle w:val="NumPlain1"/>
      <w:lvlText w:val="%1"/>
      <w:lvlJc w:val="left"/>
      <w:pPr>
        <w:tabs>
          <w:tab w:val="num" w:pos="510"/>
        </w:tabs>
        <w:ind w:left="510" w:hanging="510"/>
      </w:pPr>
      <w:rPr>
        <w:rFonts w:hint="default"/>
        <w:u w:val="none"/>
      </w:rPr>
    </w:lvl>
    <w:lvl w:ilvl="1">
      <w:start w:val="1"/>
      <w:numFmt w:val="lowerLetter"/>
      <w:pStyle w:val="NumBoldA2"/>
      <w:lvlText w:val="(%2)"/>
      <w:lvlJc w:val="left"/>
      <w:pPr>
        <w:tabs>
          <w:tab w:val="num" w:pos="1021"/>
        </w:tabs>
        <w:ind w:left="1021" w:hanging="511"/>
      </w:pPr>
      <w:rPr>
        <w:rFonts w:hint="default"/>
        <w:b/>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3">
    <w:nsid w:val="6A075027"/>
    <w:multiLevelType w:val="multilevel"/>
    <w:tmpl w:val="1728B68A"/>
    <w:styleLink w:val="INNos"/>
    <w:lvl w:ilvl="0">
      <w:start w:val="1"/>
      <w:numFmt w:val="decimal"/>
      <w:pStyle w:val="IN1"/>
      <w:lvlText w:val="IN%1"/>
      <w:lvlJc w:val="left"/>
      <w:pPr>
        <w:ind w:left="510" w:hanging="510"/>
      </w:pPr>
      <w:rPr>
        <w:rFonts w:hint="default"/>
      </w:rPr>
    </w:lvl>
    <w:lvl w:ilvl="1">
      <w:start w:val="1"/>
      <w:numFmt w:val="lowerLetter"/>
      <w:pStyle w:val="IN2"/>
      <w:lvlText w:val="(%2)"/>
      <w:lvlJc w:val="left"/>
      <w:pPr>
        <w:tabs>
          <w:tab w:val="num" w:pos="1021"/>
        </w:tabs>
        <w:ind w:left="1020" w:hanging="510"/>
      </w:pPr>
      <w:rPr>
        <w:rFonts w:hint="default"/>
      </w:rPr>
    </w:lvl>
    <w:lvl w:ilvl="2">
      <w:start w:val="1"/>
      <w:numFmt w:val="lowerRoman"/>
      <w:pStyle w:val="IN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34">
    <w:nsid w:val="6A3F4E04"/>
    <w:multiLevelType w:val="hybridMultilevel"/>
    <w:tmpl w:val="68609B4C"/>
    <w:lvl w:ilvl="0" w:tplc="7BFE3A6C">
      <w:start w:val="1"/>
      <w:numFmt w:val="lowerLetter"/>
      <w:lvlText w:val="(%1)"/>
      <w:lvlJc w:val="left"/>
      <w:pPr>
        <w:ind w:left="1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322A26"/>
    <w:multiLevelType w:val="hybridMultilevel"/>
    <w:tmpl w:val="7BCE2B5E"/>
    <w:lvl w:ilvl="0" w:tplc="6EFC54C8">
      <w:start w:val="1"/>
      <w:numFmt w:val="lowerLetter"/>
      <w:lvlText w:val="(%1)"/>
      <w:lvlJc w:val="left"/>
      <w:pPr>
        <w:ind w:left="1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FD6AF2"/>
    <w:multiLevelType w:val="hybridMultilevel"/>
    <w:tmpl w:val="C32E777C"/>
    <w:lvl w:ilvl="0" w:tplc="5A9EE6A4">
      <w:start w:val="1"/>
      <w:numFmt w:val="decimal"/>
      <w:pStyle w:val="IASBNormalnparaP"/>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E783F74"/>
    <w:multiLevelType w:val="hybridMultilevel"/>
    <w:tmpl w:val="29007082"/>
    <w:lvl w:ilvl="0" w:tplc="C3148084">
      <w:start w:val="1"/>
      <w:numFmt w:val="lowerLetter"/>
      <w:lvlText w:val="(%1)"/>
      <w:lvlJc w:val="left"/>
      <w:pPr>
        <w:ind w:left="1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B25B01"/>
    <w:multiLevelType w:val="hybridMultilevel"/>
    <w:tmpl w:val="E8D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36"/>
  </w:num>
  <w:num w:numId="4">
    <w:abstractNumId w:val="32"/>
  </w:num>
  <w:num w:numId="5">
    <w:abstractNumId w:val="27"/>
  </w:num>
  <w:num w:numId="6">
    <w:abstractNumId w:val="11"/>
  </w:num>
  <w:num w:numId="7">
    <w:abstractNumId w:val="33"/>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9"/>
  </w:num>
  <w:num w:numId="13">
    <w:abstractNumId w:val="31"/>
  </w:num>
  <w:num w:numId="14">
    <w:abstractNumId w:val="14"/>
  </w:num>
  <w:num w:numId="15">
    <w:abstractNumId w:val="8"/>
  </w:num>
  <w:num w:numId="16">
    <w:abstractNumId w:val="0"/>
  </w:num>
  <w:num w:numId="17">
    <w:abstractNumId w:val="18"/>
  </w:num>
  <w:num w:numId="18">
    <w:abstractNumId w:val="8"/>
    <w:lvlOverride w:ilvl="0">
      <w:lvl w:ilvl="0">
        <w:start w:val="1"/>
        <w:numFmt w:val="decimal"/>
        <w:pStyle w:val="IE1"/>
        <w:lvlText w:val="BC%1"/>
        <w:lvlJc w:val="left"/>
        <w:pPr>
          <w:tabs>
            <w:tab w:val="num" w:pos="624"/>
          </w:tabs>
          <w:ind w:left="624" w:hanging="624"/>
        </w:pPr>
        <w:rPr>
          <w:rFonts w:hint="default"/>
          <w:b w:val="0"/>
          <w:bCs w:val="0"/>
          <w:u w:val="none"/>
        </w:rPr>
      </w:lvl>
    </w:lvlOverride>
    <w:lvlOverride w:ilvl="1">
      <w:lvl w:ilvl="1">
        <w:start w:val="1"/>
        <w:numFmt w:val="lowerLetter"/>
        <w:pStyle w:val="IE2"/>
        <w:lvlText w:val="(%2)"/>
        <w:lvlJc w:val="left"/>
        <w:pPr>
          <w:tabs>
            <w:tab w:val="num" w:pos="1247"/>
          </w:tabs>
          <w:ind w:left="1247" w:hanging="623"/>
        </w:pPr>
        <w:rPr>
          <w:rFonts w:hint="default"/>
          <w:b w:val="0"/>
          <w:bCs w:val="0"/>
          <w:u w:val="none"/>
        </w:rPr>
      </w:lvl>
    </w:lvlOverride>
    <w:lvlOverride w:ilvl="2">
      <w:lvl w:ilvl="2">
        <w:start w:val="1"/>
        <w:numFmt w:val="lowerRoman"/>
        <w:pStyle w:val="IE3"/>
        <w:lvlText w:val="(%3)"/>
        <w:lvlJc w:val="left"/>
        <w:pPr>
          <w:tabs>
            <w:tab w:val="num" w:pos="1871"/>
          </w:tabs>
          <w:ind w:left="1871" w:hanging="624"/>
        </w:pPr>
        <w:rPr>
          <w:rFonts w:hint="default"/>
          <w:b w:val="0"/>
          <w:bCs w:val="0"/>
          <w:u w:val="none"/>
        </w:rPr>
      </w:lvl>
    </w:lvlOverride>
    <w:lvlOverride w:ilvl="3">
      <w:lvl w:ilvl="3">
        <w:start w:val="1"/>
        <w:numFmt w:val="upperLetter"/>
        <w:lvlText w:val="(%4)"/>
        <w:lvlJc w:val="left"/>
        <w:pPr>
          <w:tabs>
            <w:tab w:val="num" w:pos="2495"/>
          </w:tabs>
          <w:ind w:left="2495" w:hanging="624"/>
        </w:pPr>
        <w:rPr>
          <w:rFonts w:hint="default"/>
          <w:b w:val="0"/>
          <w:bCs w:val="0"/>
          <w:u w:val="none"/>
        </w:rPr>
      </w:lvl>
    </w:lvlOverride>
    <w:lvlOverride w:ilvl="4">
      <w:lvl w:ilvl="4">
        <w:start w:val="1"/>
        <w:numFmt w:val="upperRoman"/>
        <w:lvlText w:val="%5"/>
        <w:lvlJc w:val="left"/>
        <w:pPr>
          <w:tabs>
            <w:tab w:val="num" w:pos="3543"/>
          </w:tabs>
          <w:ind w:left="3543" w:hanging="708"/>
        </w:pPr>
        <w:rPr>
          <w:rFonts w:hint="default"/>
          <w:b w:val="0"/>
          <w:bCs w:val="0"/>
          <w:u w:val="none"/>
        </w:rPr>
      </w:lvl>
    </w:lvlOverride>
    <w:lvlOverride w:ilvl="5">
      <w:lvl w:ilvl="5">
        <w:start w:val="1"/>
        <w:numFmt w:val="decimal"/>
        <w:lvlText w:val="%6"/>
        <w:lvlJc w:val="left"/>
        <w:pPr>
          <w:tabs>
            <w:tab w:val="num" w:pos="4253"/>
          </w:tabs>
          <w:ind w:left="4253" w:hanging="709"/>
        </w:pPr>
        <w:rPr>
          <w:rFonts w:hint="default"/>
        </w:rPr>
      </w:lvl>
    </w:lvlOverride>
    <w:lvlOverride w:ilvl="6">
      <w:lvl w:ilvl="6">
        <w:start w:val="1"/>
        <w:numFmt w:val="lowerLetter"/>
        <w:lvlText w:val="%7)"/>
        <w:lvlJc w:val="left"/>
        <w:pPr>
          <w:tabs>
            <w:tab w:val="num" w:pos="4961"/>
          </w:tabs>
          <w:ind w:left="4961" w:hanging="708"/>
        </w:pPr>
        <w:rPr>
          <w:rFonts w:hint="default"/>
        </w:rPr>
      </w:lvl>
    </w:lvlOverride>
    <w:lvlOverride w:ilvl="7">
      <w:lvl w:ilvl="7">
        <w:start w:val="1"/>
        <w:numFmt w:val="lowerRoman"/>
        <w:lvlText w:val="%8)"/>
        <w:lvlJc w:val="left"/>
        <w:pPr>
          <w:tabs>
            <w:tab w:val="num" w:pos="5670"/>
          </w:tabs>
          <w:ind w:left="5670" w:hanging="709"/>
        </w:pPr>
        <w:rPr>
          <w:rFonts w:hint="default"/>
        </w:rPr>
      </w:lvl>
    </w:lvlOverride>
    <w:lvlOverride w:ilvl="8">
      <w:lvl w:ilvl="8">
        <w:start w:val="1"/>
        <w:numFmt w:val="lowerRoman"/>
        <w:lvlText w:val="%9)"/>
        <w:lvlJc w:val="left"/>
        <w:pPr>
          <w:tabs>
            <w:tab w:val="num" w:pos="6379"/>
          </w:tabs>
          <w:ind w:left="6379" w:hanging="709"/>
        </w:pPr>
        <w:rPr>
          <w:rFonts w:hint="default"/>
        </w:rPr>
      </w:lvl>
    </w:lvlOverride>
  </w:num>
  <w:num w:numId="19">
    <w:abstractNumId w:val="26"/>
  </w:num>
  <w:num w:numId="20">
    <w:abstractNumId w:val="35"/>
  </w:num>
  <w:num w:numId="21">
    <w:abstractNumId w:val="37"/>
  </w:num>
  <w:num w:numId="22">
    <w:abstractNumId w:val="34"/>
  </w:num>
  <w:num w:numId="23">
    <w:abstractNumId w:val="19"/>
  </w:num>
  <w:num w:numId="24">
    <w:abstractNumId w:val="22"/>
  </w:num>
  <w:num w:numId="25">
    <w:abstractNumId w:val="8"/>
    <w:lvlOverride w:ilvl="0">
      <w:startOverride w:val="1"/>
      <w:lvl w:ilvl="0">
        <w:start w:val="1"/>
        <w:numFmt w:val="decimal"/>
        <w:pStyle w:val="IE1"/>
        <w:lvlText w:val="BC%1"/>
        <w:lvlJc w:val="left"/>
        <w:pPr>
          <w:tabs>
            <w:tab w:val="num" w:pos="624"/>
          </w:tabs>
          <w:ind w:left="624" w:hanging="624"/>
        </w:pPr>
        <w:rPr>
          <w:rFonts w:hint="default"/>
          <w:b w:val="0"/>
          <w:bCs w:val="0"/>
          <w:u w:val="none"/>
        </w:rPr>
      </w:lvl>
    </w:lvlOverride>
    <w:lvlOverride w:ilvl="1">
      <w:startOverride w:val="1"/>
      <w:lvl w:ilvl="1">
        <w:start w:val="1"/>
        <w:numFmt w:val="lowerLetter"/>
        <w:pStyle w:val="IE2"/>
        <w:lvlText w:val="(%2)"/>
        <w:lvlJc w:val="left"/>
        <w:pPr>
          <w:tabs>
            <w:tab w:val="num" w:pos="1247"/>
          </w:tabs>
          <w:ind w:left="1247" w:hanging="623"/>
        </w:pPr>
        <w:rPr>
          <w:rFonts w:hint="default"/>
          <w:b w:val="0"/>
          <w:bCs w:val="0"/>
          <w:u w:val="none"/>
        </w:rPr>
      </w:lvl>
    </w:lvlOverride>
    <w:lvlOverride w:ilvl="2">
      <w:startOverride w:val="1"/>
      <w:lvl w:ilvl="2">
        <w:start w:val="1"/>
        <w:numFmt w:val="lowerRoman"/>
        <w:pStyle w:val="IE3"/>
        <w:lvlText w:val="(%3)"/>
        <w:lvlJc w:val="left"/>
        <w:pPr>
          <w:tabs>
            <w:tab w:val="num" w:pos="1871"/>
          </w:tabs>
          <w:ind w:left="1871" w:hanging="624"/>
        </w:pPr>
        <w:rPr>
          <w:rFonts w:hint="default"/>
          <w:b w:val="0"/>
          <w:bCs w:val="0"/>
          <w:u w:val="none"/>
        </w:rPr>
      </w:lvl>
    </w:lvlOverride>
    <w:lvlOverride w:ilvl="3">
      <w:startOverride w:val="1"/>
      <w:lvl w:ilvl="3">
        <w:start w:val="1"/>
        <w:numFmt w:val="upperLetter"/>
        <w:lvlText w:val="(%4)"/>
        <w:lvlJc w:val="left"/>
        <w:pPr>
          <w:tabs>
            <w:tab w:val="num" w:pos="2495"/>
          </w:tabs>
          <w:ind w:left="2495" w:hanging="624"/>
        </w:pPr>
        <w:rPr>
          <w:rFonts w:hint="default"/>
          <w:b w:val="0"/>
          <w:bCs w:val="0"/>
          <w:u w:val="none"/>
        </w:rPr>
      </w:lvl>
    </w:lvlOverride>
    <w:lvlOverride w:ilvl="4">
      <w:startOverride w:val="1"/>
      <w:lvl w:ilvl="4">
        <w:start w:val="1"/>
        <w:numFmt w:val="upperRoman"/>
        <w:lvlText w:val="%5"/>
        <w:lvlJc w:val="left"/>
        <w:pPr>
          <w:tabs>
            <w:tab w:val="num" w:pos="3543"/>
          </w:tabs>
          <w:ind w:left="3543" w:hanging="708"/>
        </w:pPr>
        <w:rPr>
          <w:rFonts w:hint="default"/>
          <w:b w:val="0"/>
          <w:bCs w:val="0"/>
          <w:u w:val="none"/>
        </w:rPr>
      </w:lvl>
    </w:lvlOverride>
    <w:lvlOverride w:ilvl="5">
      <w:startOverride w:val="1"/>
      <w:lvl w:ilvl="5">
        <w:start w:val="1"/>
        <w:numFmt w:val="decimal"/>
        <w:lvlText w:val="%6"/>
        <w:lvlJc w:val="left"/>
        <w:pPr>
          <w:tabs>
            <w:tab w:val="num" w:pos="4253"/>
          </w:tabs>
          <w:ind w:left="4253" w:hanging="709"/>
        </w:pPr>
        <w:rPr>
          <w:rFonts w:hint="default"/>
        </w:rPr>
      </w:lvl>
    </w:lvlOverride>
    <w:lvlOverride w:ilvl="6">
      <w:startOverride w:val="1"/>
      <w:lvl w:ilvl="6">
        <w:start w:val="1"/>
        <w:numFmt w:val="lowerLetter"/>
        <w:lvlText w:val="%7)"/>
        <w:lvlJc w:val="left"/>
        <w:pPr>
          <w:tabs>
            <w:tab w:val="num" w:pos="4961"/>
          </w:tabs>
          <w:ind w:left="4961" w:hanging="708"/>
        </w:pPr>
        <w:rPr>
          <w:rFonts w:hint="default"/>
        </w:rPr>
      </w:lvl>
    </w:lvlOverride>
    <w:lvlOverride w:ilvl="7">
      <w:startOverride w:val="1"/>
      <w:lvl w:ilvl="7">
        <w:start w:val="1"/>
        <w:numFmt w:val="lowerRoman"/>
        <w:lvlText w:val="%8)"/>
        <w:lvlJc w:val="left"/>
        <w:pPr>
          <w:tabs>
            <w:tab w:val="num" w:pos="5670"/>
          </w:tabs>
          <w:ind w:left="5670" w:hanging="709"/>
        </w:pPr>
        <w:rPr>
          <w:rFonts w:hint="default"/>
        </w:rPr>
      </w:lvl>
    </w:lvlOverride>
    <w:lvlOverride w:ilvl="8">
      <w:startOverride w:val="1"/>
      <w:lvl w:ilvl="8">
        <w:start w:val="1"/>
        <w:numFmt w:val="lowerRoman"/>
        <w:lvlText w:val="%9)"/>
        <w:lvlJc w:val="left"/>
        <w:pPr>
          <w:tabs>
            <w:tab w:val="num" w:pos="6379"/>
          </w:tabs>
          <w:ind w:left="6379" w:hanging="709"/>
        </w:pPr>
        <w:rPr>
          <w:rFonts w:hint="default"/>
        </w:rPr>
      </w:lvl>
    </w:lvlOverride>
  </w:num>
  <w:num w:numId="26">
    <w:abstractNumId w:val="10"/>
  </w:num>
  <w:num w:numId="27">
    <w:abstractNumId w:val="3"/>
  </w:num>
  <w:num w:numId="28">
    <w:abstractNumId w:val="30"/>
  </w:num>
  <w:num w:numId="29">
    <w:abstractNumId w:val="20"/>
  </w:num>
  <w:num w:numId="30">
    <w:abstractNumId w:val="17"/>
  </w:num>
  <w:num w:numId="31">
    <w:abstractNumId w:val="28"/>
  </w:num>
  <w:num w:numId="32">
    <w:abstractNumId w:val="7"/>
  </w:num>
  <w:num w:numId="33">
    <w:abstractNumId w:val="4"/>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6"/>
  </w:num>
  <w:num w:numId="37">
    <w:abstractNumId w:val="15"/>
  </w:num>
  <w:num w:numId="38">
    <w:abstractNumId w:val="1"/>
  </w:num>
  <w:num w:numId="39">
    <w:abstractNumId w:val="5"/>
  </w:num>
  <w:num w:numId="40">
    <w:abstractNumId w:val="2"/>
  </w:num>
  <w:num w:numId="41">
    <w:abstractNumId w:val="2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3"/>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M. Anstis">
    <w15:presenceInfo w15:providerId="None" w15:userId="Clark M. Ans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SortMethod w:val="0000"/>
  <w:doNotTrackMoves/>
  <w:doNotTrackFormatting/>
  <w:defaultTabStop w:val="77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F4"/>
    <w:rsid w:val="000017CF"/>
    <w:rsid w:val="00001F46"/>
    <w:rsid w:val="00002140"/>
    <w:rsid w:val="000022DE"/>
    <w:rsid w:val="00002990"/>
    <w:rsid w:val="000032C4"/>
    <w:rsid w:val="00003469"/>
    <w:rsid w:val="000035B0"/>
    <w:rsid w:val="00004188"/>
    <w:rsid w:val="00004437"/>
    <w:rsid w:val="000047C4"/>
    <w:rsid w:val="000048B3"/>
    <w:rsid w:val="00005031"/>
    <w:rsid w:val="00005742"/>
    <w:rsid w:val="00005C2D"/>
    <w:rsid w:val="0000606C"/>
    <w:rsid w:val="00006562"/>
    <w:rsid w:val="000066FD"/>
    <w:rsid w:val="00006AF7"/>
    <w:rsid w:val="000073E4"/>
    <w:rsid w:val="00007AA8"/>
    <w:rsid w:val="00007EC9"/>
    <w:rsid w:val="000108BB"/>
    <w:rsid w:val="00010937"/>
    <w:rsid w:val="00010AB5"/>
    <w:rsid w:val="00010B57"/>
    <w:rsid w:val="00010FDF"/>
    <w:rsid w:val="0001106C"/>
    <w:rsid w:val="000110B2"/>
    <w:rsid w:val="0001173F"/>
    <w:rsid w:val="00012026"/>
    <w:rsid w:val="000120B7"/>
    <w:rsid w:val="00012282"/>
    <w:rsid w:val="00012484"/>
    <w:rsid w:val="00012B95"/>
    <w:rsid w:val="00012BDF"/>
    <w:rsid w:val="00012E0E"/>
    <w:rsid w:val="00013527"/>
    <w:rsid w:val="00013967"/>
    <w:rsid w:val="00014131"/>
    <w:rsid w:val="000149A3"/>
    <w:rsid w:val="00014AEB"/>
    <w:rsid w:val="00014C8E"/>
    <w:rsid w:val="00014E17"/>
    <w:rsid w:val="00014F71"/>
    <w:rsid w:val="000151B9"/>
    <w:rsid w:val="0001595E"/>
    <w:rsid w:val="00015B7E"/>
    <w:rsid w:val="00016043"/>
    <w:rsid w:val="000163D0"/>
    <w:rsid w:val="00016710"/>
    <w:rsid w:val="00016849"/>
    <w:rsid w:val="00016C3C"/>
    <w:rsid w:val="00017123"/>
    <w:rsid w:val="0001713F"/>
    <w:rsid w:val="0001725B"/>
    <w:rsid w:val="000174FA"/>
    <w:rsid w:val="0001779B"/>
    <w:rsid w:val="000179A9"/>
    <w:rsid w:val="00017D64"/>
    <w:rsid w:val="00017F29"/>
    <w:rsid w:val="000200D4"/>
    <w:rsid w:val="0002042A"/>
    <w:rsid w:val="000211B8"/>
    <w:rsid w:val="00021F27"/>
    <w:rsid w:val="000224C0"/>
    <w:rsid w:val="00022FE1"/>
    <w:rsid w:val="00023512"/>
    <w:rsid w:val="00024121"/>
    <w:rsid w:val="00024580"/>
    <w:rsid w:val="00024677"/>
    <w:rsid w:val="000246A2"/>
    <w:rsid w:val="00024B18"/>
    <w:rsid w:val="00024BCA"/>
    <w:rsid w:val="00025251"/>
    <w:rsid w:val="000266A8"/>
    <w:rsid w:val="000266AF"/>
    <w:rsid w:val="000267FC"/>
    <w:rsid w:val="00026D48"/>
    <w:rsid w:val="00026ED3"/>
    <w:rsid w:val="000275F2"/>
    <w:rsid w:val="00027C08"/>
    <w:rsid w:val="0003039E"/>
    <w:rsid w:val="000304C9"/>
    <w:rsid w:val="00030E08"/>
    <w:rsid w:val="000316CD"/>
    <w:rsid w:val="0003190B"/>
    <w:rsid w:val="00031A32"/>
    <w:rsid w:val="00031BCE"/>
    <w:rsid w:val="00031C12"/>
    <w:rsid w:val="000320E8"/>
    <w:rsid w:val="00032368"/>
    <w:rsid w:val="00033030"/>
    <w:rsid w:val="000335DD"/>
    <w:rsid w:val="000338EA"/>
    <w:rsid w:val="00033B67"/>
    <w:rsid w:val="00033D3F"/>
    <w:rsid w:val="000345AB"/>
    <w:rsid w:val="00034A24"/>
    <w:rsid w:val="00034BB3"/>
    <w:rsid w:val="00034C3E"/>
    <w:rsid w:val="00034EBC"/>
    <w:rsid w:val="00035161"/>
    <w:rsid w:val="00035497"/>
    <w:rsid w:val="00035C5F"/>
    <w:rsid w:val="000366A6"/>
    <w:rsid w:val="0003690C"/>
    <w:rsid w:val="00036D62"/>
    <w:rsid w:val="00036DDD"/>
    <w:rsid w:val="000371F4"/>
    <w:rsid w:val="00037ADC"/>
    <w:rsid w:val="00037B2E"/>
    <w:rsid w:val="000401FF"/>
    <w:rsid w:val="000408C0"/>
    <w:rsid w:val="00040B49"/>
    <w:rsid w:val="000418DE"/>
    <w:rsid w:val="000419DF"/>
    <w:rsid w:val="000419F2"/>
    <w:rsid w:val="000428CB"/>
    <w:rsid w:val="00042EDE"/>
    <w:rsid w:val="00043988"/>
    <w:rsid w:val="0004445B"/>
    <w:rsid w:val="000445EF"/>
    <w:rsid w:val="000453FD"/>
    <w:rsid w:val="00045E9C"/>
    <w:rsid w:val="00046228"/>
    <w:rsid w:val="00046D16"/>
    <w:rsid w:val="0005070E"/>
    <w:rsid w:val="000509E3"/>
    <w:rsid w:val="00050B30"/>
    <w:rsid w:val="00050FD1"/>
    <w:rsid w:val="00051228"/>
    <w:rsid w:val="0005170B"/>
    <w:rsid w:val="000518E0"/>
    <w:rsid w:val="00051FEC"/>
    <w:rsid w:val="00052A94"/>
    <w:rsid w:val="00053251"/>
    <w:rsid w:val="0005328A"/>
    <w:rsid w:val="000536EA"/>
    <w:rsid w:val="00053A01"/>
    <w:rsid w:val="00053B3B"/>
    <w:rsid w:val="00053E9B"/>
    <w:rsid w:val="00054631"/>
    <w:rsid w:val="00054739"/>
    <w:rsid w:val="00054A49"/>
    <w:rsid w:val="00054FF7"/>
    <w:rsid w:val="00055DA1"/>
    <w:rsid w:val="00056354"/>
    <w:rsid w:val="0005679B"/>
    <w:rsid w:val="00056AD2"/>
    <w:rsid w:val="0005743B"/>
    <w:rsid w:val="00057A9A"/>
    <w:rsid w:val="00057BB4"/>
    <w:rsid w:val="00060276"/>
    <w:rsid w:val="00060619"/>
    <w:rsid w:val="00060ED1"/>
    <w:rsid w:val="00061BA3"/>
    <w:rsid w:val="00061FB4"/>
    <w:rsid w:val="0006207D"/>
    <w:rsid w:val="000627B8"/>
    <w:rsid w:val="00062BD2"/>
    <w:rsid w:val="00062CBC"/>
    <w:rsid w:val="00063137"/>
    <w:rsid w:val="000636C7"/>
    <w:rsid w:val="00063BFD"/>
    <w:rsid w:val="00063CBD"/>
    <w:rsid w:val="00064146"/>
    <w:rsid w:val="000647D1"/>
    <w:rsid w:val="00064959"/>
    <w:rsid w:val="00064A56"/>
    <w:rsid w:val="00064B7E"/>
    <w:rsid w:val="00065DFB"/>
    <w:rsid w:val="00066372"/>
    <w:rsid w:val="00066430"/>
    <w:rsid w:val="0006663E"/>
    <w:rsid w:val="0006676B"/>
    <w:rsid w:val="00066797"/>
    <w:rsid w:val="000668E7"/>
    <w:rsid w:val="00066B11"/>
    <w:rsid w:val="00066C22"/>
    <w:rsid w:val="00066E73"/>
    <w:rsid w:val="0006713F"/>
    <w:rsid w:val="000674B6"/>
    <w:rsid w:val="000675A0"/>
    <w:rsid w:val="000675B8"/>
    <w:rsid w:val="00067649"/>
    <w:rsid w:val="0006777F"/>
    <w:rsid w:val="00067F38"/>
    <w:rsid w:val="00070A38"/>
    <w:rsid w:val="0007120E"/>
    <w:rsid w:val="00071B02"/>
    <w:rsid w:val="00071EBE"/>
    <w:rsid w:val="00071F82"/>
    <w:rsid w:val="00072732"/>
    <w:rsid w:val="00072DAB"/>
    <w:rsid w:val="00073102"/>
    <w:rsid w:val="000733DE"/>
    <w:rsid w:val="00074188"/>
    <w:rsid w:val="00074575"/>
    <w:rsid w:val="00074588"/>
    <w:rsid w:val="00074CF8"/>
    <w:rsid w:val="00074D14"/>
    <w:rsid w:val="00074D2E"/>
    <w:rsid w:val="0007528B"/>
    <w:rsid w:val="0007541D"/>
    <w:rsid w:val="0007544F"/>
    <w:rsid w:val="0007547E"/>
    <w:rsid w:val="00075C05"/>
    <w:rsid w:val="000764FA"/>
    <w:rsid w:val="00076892"/>
    <w:rsid w:val="00076D08"/>
    <w:rsid w:val="00077714"/>
    <w:rsid w:val="00077899"/>
    <w:rsid w:val="00081506"/>
    <w:rsid w:val="000825FB"/>
    <w:rsid w:val="00082A53"/>
    <w:rsid w:val="00082D8A"/>
    <w:rsid w:val="00083187"/>
    <w:rsid w:val="0008375F"/>
    <w:rsid w:val="00084553"/>
    <w:rsid w:val="00084D4C"/>
    <w:rsid w:val="00084DAC"/>
    <w:rsid w:val="000852ED"/>
    <w:rsid w:val="00085613"/>
    <w:rsid w:val="0008580A"/>
    <w:rsid w:val="00086613"/>
    <w:rsid w:val="00086D23"/>
    <w:rsid w:val="00086D99"/>
    <w:rsid w:val="000871DE"/>
    <w:rsid w:val="000872F3"/>
    <w:rsid w:val="00087DDB"/>
    <w:rsid w:val="00087F48"/>
    <w:rsid w:val="00090191"/>
    <w:rsid w:val="00090612"/>
    <w:rsid w:val="00090A94"/>
    <w:rsid w:val="000914C8"/>
    <w:rsid w:val="000917E9"/>
    <w:rsid w:val="00091BED"/>
    <w:rsid w:val="00091D87"/>
    <w:rsid w:val="00093773"/>
    <w:rsid w:val="00093867"/>
    <w:rsid w:val="00093A2F"/>
    <w:rsid w:val="00093DEF"/>
    <w:rsid w:val="000945C4"/>
    <w:rsid w:val="000945C6"/>
    <w:rsid w:val="00094977"/>
    <w:rsid w:val="00094AE3"/>
    <w:rsid w:val="00094CA7"/>
    <w:rsid w:val="00094D3A"/>
    <w:rsid w:val="00095017"/>
    <w:rsid w:val="000958B7"/>
    <w:rsid w:val="00095C52"/>
    <w:rsid w:val="000963C1"/>
    <w:rsid w:val="000963C6"/>
    <w:rsid w:val="00096665"/>
    <w:rsid w:val="000978A0"/>
    <w:rsid w:val="000A0264"/>
    <w:rsid w:val="000A030A"/>
    <w:rsid w:val="000A08FD"/>
    <w:rsid w:val="000A1003"/>
    <w:rsid w:val="000A1904"/>
    <w:rsid w:val="000A2024"/>
    <w:rsid w:val="000A2041"/>
    <w:rsid w:val="000A53EA"/>
    <w:rsid w:val="000A6479"/>
    <w:rsid w:val="000A66F8"/>
    <w:rsid w:val="000A675A"/>
    <w:rsid w:val="000A6C8C"/>
    <w:rsid w:val="000A71DE"/>
    <w:rsid w:val="000A76DF"/>
    <w:rsid w:val="000A7947"/>
    <w:rsid w:val="000B03BB"/>
    <w:rsid w:val="000B07F7"/>
    <w:rsid w:val="000B0D69"/>
    <w:rsid w:val="000B1478"/>
    <w:rsid w:val="000B1694"/>
    <w:rsid w:val="000B1A32"/>
    <w:rsid w:val="000B1CF3"/>
    <w:rsid w:val="000B2356"/>
    <w:rsid w:val="000B2A9F"/>
    <w:rsid w:val="000B3FA2"/>
    <w:rsid w:val="000B41E4"/>
    <w:rsid w:val="000B4600"/>
    <w:rsid w:val="000B462C"/>
    <w:rsid w:val="000B47D3"/>
    <w:rsid w:val="000B48C5"/>
    <w:rsid w:val="000B4C37"/>
    <w:rsid w:val="000B4EC8"/>
    <w:rsid w:val="000B5066"/>
    <w:rsid w:val="000B533A"/>
    <w:rsid w:val="000B59B1"/>
    <w:rsid w:val="000B5B6B"/>
    <w:rsid w:val="000B5F9C"/>
    <w:rsid w:val="000B6462"/>
    <w:rsid w:val="000B650C"/>
    <w:rsid w:val="000B6622"/>
    <w:rsid w:val="000B6795"/>
    <w:rsid w:val="000B69DA"/>
    <w:rsid w:val="000B7314"/>
    <w:rsid w:val="000B7457"/>
    <w:rsid w:val="000B760A"/>
    <w:rsid w:val="000B777B"/>
    <w:rsid w:val="000B7A66"/>
    <w:rsid w:val="000C0084"/>
    <w:rsid w:val="000C00EA"/>
    <w:rsid w:val="000C02E9"/>
    <w:rsid w:val="000C06BE"/>
    <w:rsid w:val="000C079D"/>
    <w:rsid w:val="000C0903"/>
    <w:rsid w:val="000C0F54"/>
    <w:rsid w:val="000C108D"/>
    <w:rsid w:val="000C1872"/>
    <w:rsid w:val="000C1C9B"/>
    <w:rsid w:val="000C20C0"/>
    <w:rsid w:val="000C272F"/>
    <w:rsid w:val="000C2EBA"/>
    <w:rsid w:val="000C327D"/>
    <w:rsid w:val="000C406E"/>
    <w:rsid w:val="000C5576"/>
    <w:rsid w:val="000C558D"/>
    <w:rsid w:val="000C5753"/>
    <w:rsid w:val="000C578F"/>
    <w:rsid w:val="000C58FD"/>
    <w:rsid w:val="000C5AC7"/>
    <w:rsid w:val="000C6044"/>
    <w:rsid w:val="000C60A0"/>
    <w:rsid w:val="000C6251"/>
    <w:rsid w:val="000C6D84"/>
    <w:rsid w:val="000C716C"/>
    <w:rsid w:val="000C7982"/>
    <w:rsid w:val="000C7B91"/>
    <w:rsid w:val="000C7DE0"/>
    <w:rsid w:val="000D0153"/>
    <w:rsid w:val="000D045B"/>
    <w:rsid w:val="000D1878"/>
    <w:rsid w:val="000D199B"/>
    <w:rsid w:val="000D19B0"/>
    <w:rsid w:val="000D290E"/>
    <w:rsid w:val="000D322E"/>
    <w:rsid w:val="000D353F"/>
    <w:rsid w:val="000D3886"/>
    <w:rsid w:val="000D4715"/>
    <w:rsid w:val="000D57CB"/>
    <w:rsid w:val="000D5CB0"/>
    <w:rsid w:val="000D5F05"/>
    <w:rsid w:val="000D6208"/>
    <w:rsid w:val="000D6E87"/>
    <w:rsid w:val="000D705C"/>
    <w:rsid w:val="000D7E6D"/>
    <w:rsid w:val="000E024F"/>
    <w:rsid w:val="000E025F"/>
    <w:rsid w:val="000E0625"/>
    <w:rsid w:val="000E1243"/>
    <w:rsid w:val="000E1258"/>
    <w:rsid w:val="000E13A7"/>
    <w:rsid w:val="000E1687"/>
    <w:rsid w:val="000E180C"/>
    <w:rsid w:val="000E1C76"/>
    <w:rsid w:val="000E1D78"/>
    <w:rsid w:val="000E1F1D"/>
    <w:rsid w:val="000E1F37"/>
    <w:rsid w:val="000E2681"/>
    <w:rsid w:val="000E2712"/>
    <w:rsid w:val="000E32E7"/>
    <w:rsid w:val="000E39A7"/>
    <w:rsid w:val="000E3E37"/>
    <w:rsid w:val="000E3EB6"/>
    <w:rsid w:val="000E3FC9"/>
    <w:rsid w:val="000E47D6"/>
    <w:rsid w:val="000E49F1"/>
    <w:rsid w:val="000E4A65"/>
    <w:rsid w:val="000E51AA"/>
    <w:rsid w:val="000E5BBA"/>
    <w:rsid w:val="000E684E"/>
    <w:rsid w:val="000E7119"/>
    <w:rsid w:val="000E7196"/>
    <w:rsid w:val="000E74B9"/>
    <w:rsid w:val="000E7B1B"/>
    <w:rsid w:val="000E7B7F"/>
    <w:rsid w:val="000E7FFE"/>
    <w:rsid w:val="000F0718"/>
    <w:rsid w:val="000F08BD"/>
    <w:rsid w:val="000F092C"/>
    <w:rsid w:val="000F1039"/>
    <w:rsid w:val="000F11FE"/>
    <w:rsid w:val="000F128C"/>
    <w:rsid w:val="000F1428"/>
    <w:rsid w:val="000F1686"/>
    <w:rsid w:val="000F1A53"/>
    <w:rsid w:val="000F22C2"/>
    <w:rsid w:val="000F24FD"/>
    <w:rsid w:val="000F25EA"/>
    <w:rsid w:val="000F3112"/>
    <w:rsid w:val="000F4767"/>
    <w:rsid w:val="000F4AD9"/>
    <w:rsid w:val="000F5AFD"/>
    <w:rsid w:val="000F5FE8"/>
    <w:rsid w:val="000F6FBB"/>
    <w:rsid w:val="000F7297"/>
    <w:rsid w:val="00100528"/>
    <w:rsid w:val="00100792"/>
    <w:rsid w:val="001015A9"/>
    <w:rsid w:val="001018AE"/>
    <w:rsid w:val="00101B58"/>
    <w:rsid w:val="00101EE1"/>
    <w:rsid w:val="001020A7"/>
    <w:rsid w:val="00102102"/>
    <w:rsid w:val="0010270F"/>
    <w:rsid w:val="00102A94"/>
    <w:rsid w:val="0010356F"/>
    <w:rsid w:val="001036D2"/>
    <w:rsid w:val="00103AFE"/>
    <w:rsid w:val="00103E1E"/>
    <w:rsid w:val="001045AB"/>
    <w:rsid w:val="00104B1C"/>
    <w:rsid w:val="00105215"/>
    <w:rsid w:val="00105361"/>
    <w:rsid w:val="0010546A"/>
    <w:rsid w:val="001055C9"/>
    <w:rsid w:val="001058FB"/>
    <w:rsid w:val="00106573"/>
    <w:rsid w:val="00106778"/>
    <w:rsid w:val="00106D35"/>
    <w:rsid w:val="00106F1C"/>
    <w:rsid w:val="00106F8B"/>
    <w:rsid w:val="001075BD"/>
    <w:rsid w:val="001105CC"/>
    <w:rsid w:val="001113B4"/>
    <w:rsid w:val="001123FE"/>
    <w:rsid w:val="00112FCA"/>
    <w:rsid w:val="0011382C"/>
    <w:rsid w:val="00113A85"/>
    <w:rsid w:val="00113FDC"/>
    <w:rsid w:val="0011424E"/>
    <w:rsid w:val="0011486B"/>
    <w:rsid w:val="00114A94"/>
    <w:rsid w:val="001151A9"/>
    <w:rsid w:val="0011525C"/>
    <w:rsid w:val="00115A27"/>
    <w:rsid w:val="00115B2F"/>
    <w:rsid w:val="0011701A"/>
    <w:rsid w:val="00117160"/>
    <w:rsid w:val="00117864"/>
    <w:rsid w:val="00120EC5"/>
    <w:rsid w:val="001215D9"/>
    <w:rsid w:val="0012187D"/>
    <w:rsid w:val="00121921"/>
    <w:rsid w:val="00121D78"/>
    <w:rsid w:val="0012412C"/>
    <w:rsid w:val="0012428D"/>
    <w:rsid w:val="00124D18"/>
    <w:rsid w:val="00125970"/>
    <w:rsid w:val="00126527"/>
    <w:rsid w:val="00126BF1"/>
    <w:rsid w:val="00126EA2"/>
    <w:rsid w:val="001273BD"/>
    <w:rsid w:val="00127517"/>
    <w:rsid w:val="00127F64"/>
    <w:rsid w:val="001304AD"/>
    <w:rsid w:val="00130569"/>
    <w:rsid w:val="001308C3"/>
    <w:rsid w:val="00131045"/>
    <w:rsid w:val="00131DE3"/>
    <w:rsid w:val="0013253C"/>
    <w:rsid w:val="00132914"/>
    <w:rsid w:val="00133226"/>
    <w:rsid w:val="0013338D"/>
    <w:rsid w:val="001334EB"/>
    <w:rsid w:val="00133D1C"/>
    <w:rsid w:val="00133F6A"/>
    <w:rsid w:val="001340FC"/>
    <w:rsid w:val="0013417B"/>
    <w:rsid w:val="00134545"/>
    <w:rsid w:val="00134682"/>
    <w:rsid w:val="00135642"/>
    <w:rsid w:val="00135A0D"/>
    <w:rsid w:val="00135A11"/>
    <w:rsid w:val="00136122"/>
    <w:rsid w:val="00136664"/>
    <w:rsid w:val="001367D5"/>
    <w:rsid w:val="00136D92"/>
    <w:rsid w:val="00137075"/>
    <w:rsid w:val="00140061"/>
    <w:rsid w:val="00140231"/>
    <w:rsid w:val="0014081B"/>
    <w:rsid w:val="00140A11"/>
    <w:rsid w:val="00140B9C"/>
    <w:rsid w:val="00140D04"/>
    <w:rsid w:val="001410D1"/>
    <w:rsid w:val="00141458"/>
    <w:rsid w:val="001415B8"/>
    <w:rsid w:val="0014200C"/>
    <w:rsid w:val="0014218F"/>
    <w:rsid w:val="0014257D"/>
    <w:rsid w:val="00142941"/>
    <w:rsid w:val="00142944"/>
    <w:rsid w:val="001432C6"/>
    <w:rsid w:val="001432D9"/>
    <w:rsid w:val="001437AC"/>
    <w:rsid w:val="00143825"/>
    <w:rsid w:val="00143A33"/>
    <w:rsid w:val="00144177"/>
    <w:rsid w:val="001443EB"/>
    <w:rsid w:val="001445EF"/>
    <w:rsid w:val="0014512D"/>
    <w:rsid w:val="001453AA"/>
    <w:rsid w:val="0014550C"/>
    <w:rsid w:val="001458EC"/>
    <w:rsid w:val="0014651B"/>
    <w:rsid w:val="001466A4"/>
    <w:rsid w:val="00146F9C"/>
    <w:rsid w:val="001473DA"/>
    <w:rsid w:val="0014774A"/>
    <w:rsid w:val="0015070C"/>
    <w:rsid w:val="00151365"/>
    <w:rsid w:val="00151F78"/>
    <w:rsid w:val="0015211E"/>
    <w:rsid w:val="00152339"/>
    <w:rsid w:val="001528B9"/>
    <w:rsid w:val="00152A2E"/>
    <w:rsid w:val="00152A5D"/>
    <w:rsid w:val="00152EF5"/>
    <w:rsid w:val="001530E0"/>
    <w:rsid w:val="00153664"/>
    <w:rsid w:val="00153DE5"/>
    <w:rsid w:val="001543CE"/>
    <w:rsid w:val="00154D4D"/>
    <w:rsid w:val="0015501C"/>
    <w:rsid w:val="0015577E"/>
    <w:rsid w:val="00156975"/>
    <w:rsid w:val="00156BA2"/>
    <w:rsid w:val="00156BFE"/>
    <w:rsid w:val="0015790A"/>
    <w:rsid w:val="00157BC1"/>
    <w:rsid w:val="00157C93"/>
    <w:rsid w:val="00157D54"/>
    <w:rsid w:val="001604F1"/>
    <w:rsid w:val="0016093D"/>
    <w:rsid w:val="001609E1"/>
    <w:rsid w:val="00160BE8"/>
    <w:rsid w:val="0016104F"/>
    <w:rsid w:val="001615A4"/>
    <w:rsid w:val="001619BA"/>
    <w:rsid w:val="00161CF4"/>
    <w:rsid w:val="00161DF3"/>
    <w:rsid w:val="001629AC"/>
    <w:rsid w:val="00162D55"/>
    <w:rsid w:val="00162ED0"/>
    <w:rsid w:val="00163046"/>
    <w:rsid w:val="001632A3"/>
    <w:rsid w:val="00163359"/>
    <w:rsid w:val="0016350C"/>
    <w:rsid w:val="001637F9"/>
    <w:rsid w:val="00163A97"/>
    <w:rsid w:val="00163BDE"/>
    <w:rsid w:val="00163D6B"/>
    <w:rsid w:val="001643FA"/>
    <w:rsid w:val="001647F1"/>
    <w:rsid w:val="001648FF"/>
    <w:rsid w:val="0016498C"/>
    <w:rsid w:val="00164AB4"/>
    <w:rsid w:val="0016592B"/>
    <w:rsid w:val="00165DEF"/>
    <w:rsid w:val="00166277"/>
    <w:rsid w:val="00166329"/>
    <w:rsid w:val="00166E18"/>
    <w:rsid w:val="00166EBD"/>
    <w:rsid w:val="00167588"/>
    <w:rsid w:val="00167ECC"/>
    <w:rsid w:val="00167F64"/>
    <w:rsid w:val="001702A8"/>
    <w:rsid w:val="00170C15"/>
    <w:rsid w:val="00171101"/>
    <w:rsid w:val="00171504"/>
    <w:rsid w:val="001718BC"/>
    <w:rsid w:val="0017293F"/>
    <w:rsid w:val="0017304E"/>
    <w:rsid w:val="001736AA"/>
    <w:rsid w:val="001742B5"/>
    <w:rsid w:val="00175003"/>
    <w:rsid w:val="00175172"/>
    <w:rsid w:val="0017576E"/>
    <w:rsid w:val="0017594C"/>
    <w:rsid w:val="00175FBB"/>
    <w:rsid w:val="00176565"/>
    <w:rsid w:val="00177601"/>
    <w:rsid w:val="001777F1"/>
    <w:rsid w:val="0018080C"/>
    <w:rsid w:val="00180B95"/>
    <w:rsid w:val="001810E5"/>
    <w:rsid w:val="001811A0"/>
    <w:rsid w:val="0018229F"/>
    <w:rsid w:val="001823B3"/>
    <w:rsid w:val="00182618"/>
    <w:rsid w:val="00182AE2"/>
    <w:rsid w:val="0018388B"/>
    <w:rsid w:val="00184673"/>
    <w:rsid w:val="001848AB"/>
    <w:rsid w:val="001851D5"/>
    <w:rsid w:val="00185771"/>
    <w:rsid w:val="00185BF0"/>
    <w:rsid w:val="00186A36"/>
    <w:rsid w:val="00186B1A"/>
    <w:rsid w:val="001870D4"/>
    <w:rsid w:val="001870E6"/>
    <w:rsid w:val="00187B2E"/>
    <w:rsid w:val="00187B7C"/>
    <w:rsid w:val="001900C0"/>
    <w:rsid w:val="001903DA"/>
    <w:rsid w:val="00190560"/>
    <w:rsid w:val="00190A74"/>
    <w:rsid w:val="00190BE7"/>
    <w:rsid w:val="00190E1D"/>
    <w:rsid w:val="001914B4"/>
    <w:rsid w:val="001915ED"/>
    <w:rsid w:val="00191D93"/>
    <w:rsid w:val="00191ECC"/>
    <w:rsid w:val="0019299D"/>
    <w:rsid w:val="001929B3"/>
    <w:rsid w:val="00192B98"/>
    <w:rsid w:val="00193436"/>
    <w:rsid w:val="0019465C"/>
    <w:rsid w:val="00195622"/>
    <w:rsid w:val="00195AB1"/>
    <w:rsid w:val="00195BF4"/>
    <w:rsid w:val="0019640E"/>
    <w:rsid w:val="00196BA2"/>
    <w:rsid w:val="00196D15"/>
    <w:rsid w:val="001971E6"/>
    <w:rsid w:val="00197457"/>
    <w:rsid w:val="0019749A"/>
    <w:rsid w:val="00197949"/>
    <w:rsid w:val="00197DA5"/>
    <w:rsid w:val="001A0267"/>
    <w:rsid w:val="001A082D"/>
    <w:rsid w:val="001A09D1"/>
    <w:rsid w:val="001A10DE"/>
    <w:rsid w:val="001A1B71"/>
    <w:rsid w:val="001A2075"/>
    <w:rsid w:val="001A20C9"/>
    <w:rsid w:val="001A2697"/>
    <w:rsid w:val="001A2A40"/>
    <w:rsid w:val="001A342F"/>
    <w:rsid w:val="001A46D7"/>
    <w:rsid w:val="001A4A88"/>
    <w:rsid w:val="001A4EDA"/>
    <w:rsid w:val="001A582A"/>
    <w:rsid w:val="001A5CDA"/>
    <w:rsid w:val="001A617E"/>
    <w:rsid w:val="001A6589"/>
    <w:rsid w:val="001A6642"/>
    <w:rsid w:val="001A6A53"/>
    <w:rsid w:val="001A6A91"/>
    <w:rsid w:val="001A6B14"/>
    <w:rsid w:val="001A6CC8"/>
    <w:rsid w:val="001A756E"/>
    <w:rsid w:val="001A75A1"/>
    <w:rsid w:val="001B091F"/>
    <w:rsid w:val="001B0AA1"/>
    <w:rsid w:val="001B1561"/>
    <w:rsid w:val="001B1D46"/>
    <w:rsid w:val="001B2250"/>
    <w:rsid w:val="001B2452"/>
    <w:rsid w:val="001B291F"/>
    <w:rsid w:val="001B2DEF"/>
    <w:rsid w:val="001B3356"/>
    <w:rsid w:val="001B35CB"/>
    <w:rsid w:val="001B42EE"/>
    <w:rsid w:val="001B435C"/>
    <w:rsid w:val="001B4655"/>
    <w:rsid w:val="001B4B02"/>
    <w:rsid w:val="001B4C6B"/>
    <w:rsid w:val="001B5114"/>
    <w:rsid w:val="001B5279"/>
    <w:rsid w:val="001B55F3"/>
    <w:rsid w:val="001B5C50"/>
    <w:rsid w:val="001B6056"/>
    <w:rsid w:val="001B640F"/>
    <w:rsid w:val="001B642B"/>
    <w:rsid w:val="001B651B"/>
    <w:rsid w:val="001B6781"/>
    <w:rsid w:val="001B6B45"/>
    <w:rsid w:val="001B6B6D"/>
    <w:rsid w:val="001B6DF4"/>
    <w:rsid w:val="001B6EF5"/>
    <w:rsid w:val="001B741C"/>
    <w:rsid w:val="001C008B"/>
    <w:rsid w:val="001C03D8"/>
    <w:rsid w:val="001C062C"/>
    <w:rsid w:val="001C0949"/>
    <w:rsid w:val="001C1239"/>
    <w:rsid w:val="001C1A0B"/>
    <w:rsid w:val="001C1D97"/>
    <w:rsid w:val="001C1EC0"/>
    <w:rsid w:val="001C28D1"/>
    <w:rsid w:val="001C342F"/>
    <w:rsid w:val="001C3C66"/>
    <w:rsid w:val="001C3DC0"/>
    <w:rsid w:val="001C433A"/>
    <w:rsid w:val="001C4A26"/>
    <w:rsid w:val="001C4C79"/>
    <w:rsid w:val="001C52B5"/>
    <w:rsid w:val="001C59F4"/>
    <w:rsid w:val="001C5F59"/>
    <w:rsid w:val="001C6CBB"/>
    <w:rsid w:val="001C6D8E"/>
    <w:rsid w:val="001C71F3"/>
    <w:rsid w:val="001C7887"/>
    <w:rsid w:val="001C7FBA"/>
    <w:rsid w:val="001D0295"/>
    <w:rsid w:val="001D053F"/>
    <w:rsid w:val="001D082E"/>
    <w:rsid w:val="001D13ED"/>
    <w:rsid w:val="001D1463"/>
    <w:rsid w:val="001D17C0"/>
    <w:rsid w:val="001D20FF"/>
    <w:rsid w:val="001D2C92"/>
    <w:rsid w:val="001D331C"/>
    <w:rsid w:val="001D3355"/>
    <w:rsid w:val="001D3A02"/>
    <w:rsid w:val="001D3A14"/>
    <w:rsid w:val="001D3D94"/>
    <w:rsid w:val="001D3E5E"/>
    <w:rsid w:val="001D46AC"/>
    <w:rsid w:val="001D4A6A"/>
    <w:rsid w:val="001D515C"/>
    <w:rsid w:val="001D537D"/>
    <w:rsid w:val="001D5BF8"/>
    <w:rsid w:val="001D5F33"/>
    <w:rsid w:val="001D5F74"/>
    <w:rsid w:val="001D6589"/>
    <w:rsid w:val="001D6D02"/>
    <w:rsid w:val="001D7147"/>
    <w:rsid w:val="001D758C"/>
    <w:rsid w:val="001D7C81"/>
    <w:rsid w:val="001D7FD0"/>
    <w:rsid w:val="001D7FFC"/>
    <w:rsid w:val="001E036B"/>
    <w:rsid w:val="001E1C17"/>
    <w:rsid w:val="001E270D"/>
    <w:rsid w:val="001E2B1D"/>
    <w:rsid w:val="001E2B41"/>
    <w:rsid w:val="001E2D39"/>
    <w:rsid w:val="001E3608"/>
    <w:rsid w:val="001E497F"/>
    <w:rsid w:val="001E5636"/>
    <w:rsid w:val="001E5B20"/>
    <w:rsid w:val="001E5E41"/>
    <w:rsid w:val="001E647A"/>
    <w:rsid w:val="001E6CFF"/>
    <w:rsid w:val="001E6E8D"/>
    <w:rsid w:val="001E758E"/>
    <w:rsid w:val="001E7802"/>
    <w:rsid w:val="001F04AA"/>
    <w:rsid w:val="001F081E"/>
    <w:rsid w:val="001F0831"/>
    <w:rsid w:val="001F0BC9"/>
    <w:rsid w:val="001F1015"/>
    <w:rsid w:val="001F1231"/>
    <w:rsid w:val="001F1298"/>
    <w:rsid w:val="001F1691"/>
    <w:rsid w:val="001F17C0"/>
    <w:rsid w:val="001F2340"/>
    <w:rsid w:val="001F2786"/>
    <w:rsid w:val="001F2DBC"/>
    <w:rsid w:val="001F3570"/>
    <w:rsid w:val="001F36D7"/>
    <w:rsid w:val="001F3784"/>
    <w:rsid w:val="001F378A"/>
    <w:rsid w:val="001F3A68"/>
    <w:rsid w:val="001F3ADE"/>
    <w:rsid w:val="001F3E33"/>
    <w:rsid w:val="001F3F89"/>
    <w:rsid w:val="001F41B1"/>
    <w:rsid w:val="001F46E5"/>
    <w:rsid w:val="001F499C"/>
    <w:rsid w:val="001F505D"/>
    <w:rsid w:val="001F55FF"/>
    <w:rsid w:val="001F6686"/>
    <w:rsid w:val="001F68A1"/>
    <w:rsid w:val="001F69FC"/>
    <w:rsid w:val="001F712D"/>
    <w:rsid w:val="001F7B39"/>
    <w:rsid w:val="0020044E"/>
    <w:rsid w:val="002009C7"/>
    <w:rsid w:val="0020147F"/>
    <w:rsid w:val="00201855"/>
    <w:rsid w:val="002024D9"/>
    <w:rsid w:val="00202662"/>
    <w:rsid w:val="00202861"/>
    <w:rsid w:val="002029A9"/>
    <w:rsid w:val="002034C1"/>
    <w:rsid w:val="00203964"/>
    <w:rsid w:val="0020416A"/>
    <w:rsid w:val="00204693"/>
    <w:rsid w:val="00204837"/>
    <w:rsid w:val="002048C6"/>
    <w:rsid w:val="00204AFD"/>
    <w:rsid w:val="00204C14"/>
    <w:rsid w:val="00204DC7"/>
    <w:rsid w:val="00205797"/>
    <w:rsid w:val="0020595F"/>
    <w:rsid w:val="00205CF6"/>
    <w:rsid w:val="00205ED3"/>
    <w:rsid w:val="00206F90"/>
    <w:rsid w:val="00206FA6"/>
    <w:rsid w:val="00207502"/>
    <w:rsid w:val="00207517"/>
    <w:rsid w:val="00207679"/>
    <w:rsid w:val="00207B3A"/>
    <w:rsid w:val="00210171"/>
    <w:rsid w:val="00211353"/>
    <w:rsid w:val="00211617"/>
    <w:rsid w:val="00211755"/>
    <w:rsid w:val="00211967"/>
    <w:rsid w:val="00211A14"/>
    <w:rsid w:val="00211C73"/>
    <w:rsid w:val="00212024"/>
    <w:rsid w:val="00212204"/>
    <w:rsid w:val="002122A7"/>
    <w:rsid w:val="00212F53"/>
    <w:rsid w:val="00213739"/>
    <w:rsid w:val="00213ABA"/>
    <w:rsid w:val="0021434D"/>
    <w:rsid w:val="00214510"/>
    <w:rsid w:val="00214985"/>
    <w:rsid w:val="00214B6F"/>
    <w:rsid w:val="00214D24"/>
    <w:rsid w:val="00215342"/>
    <w:rsid w:val="00215530"/>
    <w:rsid w:val="002159C6"/>
    <w:rsid w:val="002159CB"/>
    <w:rsid w:val="00215E5F"/>
    <w:rsid w:val="002163EF"/>
    <w:rsid w:val="00216494"/>
    <w:rsid w:val="0021653A"/>
    <w:rsid w:val="00217203"/>
    <w:rsid w:val="002172BC"/>
    <w:rsid w:val="00217723"/>
    <w:rsid w:val="00217A89"/>
    <w:rsid w:val="00217DD1"/>
    <w:rsid w:val="00217E57"/>
    <w:rsid w:val="0022085B"/>
    <w:rsid w:val="002208BA"/>
    <w:rsid w:val="002209A5"/>
    <w:rsid w:val="00221323"/>
    <w:rsid w:val="00221481"/>
    <w:rsid w:val="0022167A"/>
    <w:rsid w:val="00221B08"/>
    <w:rsid w:val="00221CDE"/>
    <w:rsid w:val="00222959"/>
    <w:rsid w:val="00222AC9"/>
    <w:rsid w:val="00222AFE"/>
    <w:rsid w:val="00223006"/>
    <w:rsid w:val="002234C3"/>
    <w:rsid w:val="002234C5"/>
    <w:rsid w:val="00223731"/>
    <w:rsid w:val="00223DBB"/>
    <w:rsid w:val="00224004"/>
    <w:rsid w:val="002244F3"/>
    <w:rsid w:val="0022463A"/>
    <w:rsid w:val="0022482A"/>
    <w:rsid w:val="00224B0D"/>
    <w:rsid w:val="002255FC"/>
    <w:rsid w:val="0022592B"/>
    <w:rsid w:val="002259DC"/>
    <w:rsid w:val="00225A2A"/>
    <w:rsid w:val="00225D3E"/>
    <w:rsid w:val="00225E85"/>
    <w:rsid w:val="00226205"/>
    <w:rsid w:val="00226B81"/>
    <w:rsid w:val="00227756"/>
    <w:rsid w:val="002302D8"/>
    <w:rsid w:val="00230F82"/>
    <w:rsid w:val="00232840"/>
    <w:rsid w:val="00232F57"/>
    <w:rsid w:val="002336B0"/>
    <w:rsid w:val="00233DD5"/>
    <w:rsid w:val="00233FCE"/>
    <w:rsid w:val="00234A46"/>
    <w:rsid w:val="00234AD7"/>
    <w:rsid w:val="00234B02"/>
    <w:rsid w:val="00234E8A"/>
    <w:rsid w:val="0023532D"/>
    <w:rsid w:val="0023670E"/>
    <w:rsid w:val="002369FD"/>
    <w:rsid w:val="00237E5B"/>
    <w:rsid w:val="00237FB1"/>
    <w:rsid w:val="00240074"/>
    <w:rsid w:val="002402B4"/>
    <w:rsid w:val="002408C2"/>
    <w:rsid w:val="00240CB7"/>
    <w:rsid w:val="00240D15"/>
    <w:rsid w:val="00241E2A"/>
    <w:rsid w:val="00242A8D"/>
    <w:rsid w:val="00242BBD"/>
    <w:rsid w:val="00243195"/>
    <w:rsid w:val="00243CBC"/>
    <w:rsid w:val="002445D4"/>
    <w:rsid w:val="00245681"/>
    <w:rsid w:val="00245B99"/>
    <w:rsid w:val="00245D0A"/>
    <w:rsid w:val="00246714"/>
    <w:rsid w:val="00246F2A"/>
    <w:rsid w:val="00247027"/>
    <w:rsid w:val="00247082"/>
    <w:rsid w:val="002510C4"/>
    <w:rsid w:val="00251B1A"/>
    <w:rsid w:val="00251F71"/>
    <w:rsid w:val="00252338"/>
    <w:rsid w:val="00252360"/>
    <w:rsid w:val="00252590"/>
    <w:rsid w:val="00252831"/>
    <w:rsid w:val="00252C35"/>
    <w:rsid w:val="00252C56"/>
    <w:rsid w:val="00252FAE"/>
    <w:rsid w:val="00254193"/>
    <w:rsid w:val="00254FD8"/>
    <w:rsid w:val="0025528C"/>
    <w:rsid w:val="0025556A"/>
    <w:rsid w:val="00255583"/>
    <w:rsid w:val="00255B87"/>
    <w:rsid w:val="00256784"/>
    <w:rsid w:val="002568B0"/>
    <w:rsid w:val="00256AD6"/>
    <w:rsid w:val="00257438"/>
    <w:rsid w:val="00257604"/>
    <w:rsid w:val="00257BFF"/>
    <w:rsid w:val="00257DF7"/>
    <w:rsid w:val="0026004A"/>
    <w:rsid w:val="00260290"/>
    <w:rsid w:val="00260668"/>
    <w:rsid w:val="002608C3"/>
    <w:rsid w:val="00260913"/>
    <w:rsid w:val="00260CC3"/>
    <w:rsid w:val="002611F6"/>
    <w:rsid w:val="0026143C"/>
    <w:rsid w:val="00261521"/>
    <w:rsid w:val="00261955"/>
    <w:rsid w:val="00262062"/>
    <w:rsid w:val="002626A3"/>
    <w:rsid w:val="0026299B"/>
    <w:rsid w:val="00262A28"/>
    <w:rsid w:val="0026313B"/>
    <w:rsid w:val="00263231"/>
    <w:rsid w:val="00263260"/>
    <w:rsid w:val="002634CC"/>
    <w:rsid w:val="0026360E"/>
    <w:rsid w:val="00263892"/>
    <w:rsid w:val="002646F4"/>
    <w:rsid w:val="0026499D"/>
    <w:rsid w:val="002654A4"/>
    <w:rsid w:val="00265A8F"/>
    <w:rsid w:val="00266014"/>
    <w:rsid w:val="00266397"/>
    <w:rsid w:val="00266734"/>
    <w:rsid w:val="00266A59"/>
    <w:rsid w:val="00266C2D"/>
    <w:rsid w:val="0026701C"/>
    <w:rsid w:val="00267097"/>
    <w:rsid w:val="00267224"/>
    <w:rsid w:val="002678F0"/>
    <w:rsid w:val="00267908"/>
    <w:rsid w:val="00267C7A"/>
    <w:rsid w:val="00267E13"/>
    <w:rsid w:val="00267ED3"/>
    <w:rsid w:val="00270152"/>
    <w:rsid w:val="002704B7"/>
    <w:rsid w:val="0027051E"/>
    <w:rsid w:val="00270DF2"/>
    <w:rsid w:val="00271407"/>
    <w:rsid w:val="00271B87"/>
    <w:rsid w:val="00271C76"/>
    <w:rsid w:val="00272219"/>
    <w:rsid w:val="00272AE5"/>
    <w:rsid w:val="00272D13"/>
    <w:rsid w:val="00272DC7"/>
    <w:rsid w:val="00272F30"/>
    <w:rsid w:val="002736B7"/>
    <w:rsid w:val="002738EB"/>
    <w:rsid w:val="00273AF9"/>
    <w:rsid w:val="002744A4"/>
    <w:rsid w:val="0027475D"/>
    <w:rsid w:val="00274897"/>
    <w:rsid w:val="002748C1"/>
    <w:rsid w:val="00274F66"/>
    <w:rsid w:val="0027554A"/>
    <w:rsid w:val="00275561"/>
    <w:rsid w:val="0027560E"/>
    <w:rsid w:val="00275A65"/>
    <w:rsid w:val="00275B2C"/>
    <w:rsid w:val="00275CA8"/>
    <w:rsid w:val="002761A6"/>
    <w:rsid w:val="0027693E"/>
    <w:rsid w:val="00277150"/>
    <w:rsid w:val="0027719C"/>
    <w:rsid w:val="00277356"/>
    <w:rsid w:val="00277D22"/>
    <w:rsid w:val="0028011D"/>
    <w:rsid w:val="002801CD"/>
    <w:rsid w:val="00281424"/>
    <w:rsid w:val="0028142E"/>
    <w:rsid w:val="002821C2"/>
    <w:rsid w:val="002824CB"/>
    <w:rsid w:val="002827BF"/>
    <w:rsid w:val="00282898"/>
    <w:rsid w:val="00283073"/>
    <w:rsid w:val="002834FD"/>
    <w:rsid w:val="00283694"/>
    <w:rsid w:val="002842F1"/>
    <w:rsid w:val="0028448D"/>
    <w:rsid w:val="002853ED"/>
    <w:rsid w:val="00285C48"/>
    <w:rsid w:val="00285E27"/>
    <w:rsid w:val="0028696F"/>
    <w:rsid w:val="0028776F"/>
    <w:rsid w:val="002877DD"/>
    <w:rsid w:val="00287AC1"/>
    <w:rsid w:val="00287EDB"/>
    <w:rsid w:val="002904AE"/>
    <w:rsid w:val="002904C0"/>
    <w:rsid w:val="0029050C"/>
    <w:rsid w:val="00290B05"/>
    <w:rsid w:val="00290C96"/>
    <w:rsid w:val="00290F6D"/>
    <w:rsid w:val="00290F75"/>
    <w:rsid w:val="00291466"/>
    <w:rsid w:val="00291740"/>
    <w:rsid w:val="00291CB4"/>
    <w:rsid w:val="00291DDD"/>
    <w:rsid w:val="00291FB1"/>
    <w:rsid w:val="002923F1"/>
    <w:rsid w:val="0029307C"/>
    <w:rsid w:val="00293470"/>
    <w:rsid w:val="002937CF"/>
    <w:rsid w:val="002939E7"/>
    <w:rsid w:val="00293B89"/>
    <w:rsid w:val="00294E33"/>
    <w:rsid w:val="0029567F"/>
    <w:rsid w:val="0029571E"/>
    <w:rsid w:val="002957A3"/>
    <w:rsid w:val="00295A41"/>
    <w:rsid w:val="00295CD6"/>
    <w:rsid w:val="00295CED"/>
    <w:rsid w:val="00295EA1"/>
    <w:rsid w:val="00295EA5"/>
    <w:rsid w:val="00295F13"/>
    <w:rsid w:val="0029657E"/>
    <w:rsid w:val="00296D8B"/>
    <w:rsid w:val="00296E15"/>
    <w:rsid w:val="00297D2C"/>
    <w:rsid w:val="00297D8F"/>
    <w:rsid w:val="002A0249"/>
    <w:rsid w:val="002A0449"/>
    <w:rsid w:val="002A04B5"/>
    <w:rsid w:val="002A0D15"/>
    <w:rsid w:val="002A1711"/>
    <w:rsid w:val="002A191D"/>
    <w:rsid w:val="002A2246"/>
    <w:rsid w:val="002A30BF"/>
    <w:rsid w:val="002A350B"/>
    <w:rsid w:val="002A3B8D"/>
    <w:rsid w:val="002A3CA4"/>
    <w:rsid w:val="002A3CC1"/>
    <w:rsid w:val="002A3E04"/>
    <w:rsid w:val="002A4D71"/>
    <w:rsid w:val="002A4DAA"/>
    <w:rsid w:val="002A4EE2"/>
    <w:rsid w:val="002A5BE1"/>
    <w:rsid w:val="002A5C14"/>
    <w:rsid w:val="002A5EC5"/>
    <w:rsid w:val="002A60D4"/>
    <w:rsid w:val="002A638B"/>
    <w:rsid w:val="002A6B71"/>
    <w:rsid w:val="002A6C13"/>
    <w:rsid w:val="002A6E64"/>
    <w:rsid w:val="002A7A93"/>
    <w:rsid w:val="002B000E"/>
    <w:rsid w:val="002B003C"/>
    <w:rsid w:val="002B03FB"/>
    <w:rsid w:val="002B04E7"/>
    <w:rsid w:val="002B09CA"/>
    <w:rsid w:val="002B1AAE"/>
    <w:rsid w:val="002B1E86"/>
    <w:rsid w:val="002B225E"/>
    <w:rsid w:val="002B23B4"/>
    <w:rsid w:val="002B2AD5"/>
    <w:rsid w:val="002B2D7F"/>
    <w:rsid w:val="002B2FAA"/>
    <w:rsid w:val="002B3157"/>
    <w:rsid w:val="002B3261"/>
    <w:rsid w:val="002B35F4"/>
    <w:rsid w:val="002B4847"/>
    <w:rsid w:val="002B4BB1"/>
    <w:rsid w:val="002B58AA"/>
    <w:rsid w:val="002B58F6"/>
    <w:rsid w:val="002B5CCC"/>
    <w:rsid w:val="002B5D0B"/>
    <w:rsid w:val="002B620B"/>
    <w:rsid w:val="002B68F4"/>
    <w:rsid w:val="002B6D79"/>
    <w:rsid w:val="002B6E61"/>
    <w:rsid w:val="002B6E64"/>
    <w:rsid w:val="002B73CE"/>
    <w:rsid w:val="002B75EE"/>
    <w:rsid w:val="002B787D"/>
    <w:rsid w:val="002B791A"/>
    <w:rsid w:val="002B795E"/>
    <w:rsid w:val="002B7D89"/>
    <w:rsid w:val="002B7FC2"/>
    <w:rsid w:val="002B7FE1"/>
    <w:rsid w:val="002C02A7"/>
    <w:rsid w:val="002C07BB"/>
    <w:rsid w:val="002C081F"/>
    <w:rsid w:val="002C0BCE"/>
    <w:rsid w:val="002C0DD5"/>
    <w:rsid w:val="002C0F26"/>
    <w:rsid w:val="002C11DB"/>
    <w:rsid w:val="002C180C"/>
    <w:rsid w:val="002C1818"/>
    <w:rsid w:val="002C2B57"/>
    <w:rsid w:val="002C3937"/>
    <w:rsid w:val="002C3968"/>
    <w:rsid w:val="002C49F5"/>
    <w:rsid w:val="002C5132"/>
    <w:rsid w:val="002C54A8"/>
    <w:rsid w:val="002C5635"/>
    <w:rsid w:val="002C57B9"/>
    <w:rsid w:val="002C5F60"/>
    <w:rsid w:val="002C62F1"/>
    <w:rsid w:val="002C674E"/>
    <w:rsid w:val="002C6E6C"/>
    <w:rsid w:val="002C7996"/>
    <w:rsid w:val="002D0AEC"/>
    <w:rsid w:val="002D0C71"/>
    <w:rsid w:val="002D1311"/>
    <w:rsid w:val="002D19B1"/>
    <w:rsid w:val="002D1B94"/>
    <w:rsid w:val="002D1E89"/>
    <w:rsid w:val="002D1F26"/>
    <w:rsid w:val="002D2711"/>
    <w:rsid w:val="002D284A"/>
    <w:rsid w:val="002D2DDD"/>
    <w:rsid w:val="002D2F59"/>
    <w:rsid w:val="002D2F70"/>
    <w:rsid w:val="002D3B13"/>
    <w:rsid w:val="002D46BF"/>
    <w:rsid w:val="002D4FBB"/>
    <w:rsid w:val="002D5A22"/>
    <w:rsid w:val="002D5A3F"/>
    <w:rsid w:val="002D5F78"/>
    <w:rsid w:val="002D6021"/>
    <w:rsid w:val="002D697D"/>
    <w:rsid w:val="002D6D0D"/>
    <w:rsid w:val="002D6DB6"/>
    <w:rsid w:val="002D7502"/>
    <w:rsid w:val="002E03AF"/>
    <w:rsid w:val="002E0607"/>
    <w:rsid w:val="002E0E77"/>
    <w:rsid w:val="002E10F5"/>
    <w:rsid w:val="002E142E"/>
    <w:rsid w:val="002E191A"/>
    <w:rsid w:val="002E2282"/>
    <w:rsid w:val="002E28F9"/>
    <w:rsid w:val="002E3262"/>
    <w:rsid w:val="002E3E78"/>
    <w:rsid w:val="002E4264"/>
    <w:rsid w:val="002E4D36"/>
    <w:rsid w:val="002E51CE"/>
    <w:rsid w:val="002E597B"/>
    <w:rsid w:val="002E6C70"/>
    <w:rsid w:val="002E6EB0"/>
    <w:rsid w:val="002E6F08"/>
    <w:rsid w:val="002E72FB"/>
    <w:rsid w:val="002E77AB"/>
    <w:rsid w:val="002E7C39"/>
    <w:rsid w:val="002F0C2D"/>
    <w:rsid w:val="002F1566"/>
    <w:rsid w:val="002F16F4"/>
    <w:rsid w:val="002F1A35"/>
    <w:rsid w:val="002F1A77"/>
    <w:rsid w:val="002F1DC7"/>
    <w:rsid w:val="002F1F85"/>
    <w:rsid w:val="002F2014"/>
    <w:rsid w:val="002F229B"/>
    <w:rsid w:val="002F22A8"/>
    <w:rsid w:val="002F2933"/>
    <w:rsid w:val="002F2A8E"/>
    <w:rsid w:val="002F3333"/>
    <w:rsid w:val="002F37CB"/>
    <w:rsid w:val="002F393C"/>
    <w:rsid w:val="002F3AFD"/>
    <w:rsid w:val="002F3C0F"/>
    <w:rsid w:val="002F3E32"/>
    <w:rsid w:val="002F3E9D"/>
    <w:rsid w:val="002F4187"/>
    <w:rsid w:val="002F43A5"/>
    <w:rsid w:val="002F55E6"/>
    <w:rsid w:val="002F5666"/>
    <w:rsid w:val="002F5789"/>
    <w:rsid w:val="002F6753"/>
    <w:rsid w:val="002F693C"/>
    <w:rsid w:val="002F698A"/>
    <w:rsid w:val="002F6D08"/>
    <w:rsid w:val="002F6DF3"/>
    <w:rsid w:val="002F715A"/>
    <w:rsid w:val="002F7196"/>
    <w:rsid w:val="00300333"/>
    <w:rsid w:val="0030089B"/>
    <w:rsid w:val="00300E79"/>
    <w:rsid w:val="0030145D"/>
    <w:rsid w:val="00301F17"/>
    <w:rsid w:val="00303083"/>
    <w:rsid w:val="003031A3"/>
    <w:rsid w:val="0030436C"/>
    <w:rsid w:val="0030490C"/>
    <w:rsid w:val="00304AD6"/>
    <w:rsid w:val="00304FE3"/>
    <w:rsid w:val="003052BE"/>
    <w:rsid w:val="00305939"/>
    <w:rsid w:val="0030646F"/>
    <w:rsid w:val="00306741"/>
    <w:rsid w:val="00306B84"/>
    <w:rsid w:val="00307460"/>
    <w:rsid w:val="0030767A"/>
    <w:rsid w:val="003076B5"/>
    <w:rsid w:val="003102C2"/>
    <w:rsid w:val="00311037"/>
    <w:rsid w:val="003111F1"/>
    <w:rsid w:val="0031187B"/>
    <w:rsid w:val="003121ED"/>
    <w:rsid w:val="003126B4"/>
    <w:rsid w:val="00312919"/>
    <w:rsid w:val="00312BE0"/>
    <w:rsid w:val="00312E8E"/>
    <w:rsid w:val="0031331B"/>
    <w:rsid w:val="00313A18"/>
    <w:rsid w:val="00313EA7"/>
    <w:rsid w:val="00314542"/>
    <w:rsid w:val="00314F59"/>
    <w:rsid w:val="00315C62"/>
    <w:rsid w:val="00315D9B"/>
    <w:rsid w:val="0031605C"/>
    <w:rsid w:val="003166E8"/>
    <w:rsid w:val="00316F34"/>
    <w:rsid w:val="0031748F"/>
    <w:rsid w:val="003175A2"/>
    <w:rsid w:val="0031772C"/>
    <w:rsid w:val="003177F0"/>
    <w:rsid w:val="00320689"/>
    <w:rsid w:val="00320BD4"/>
    <w:rsid w:val="00321921"/>
    <w:rsid w:val="00321FFD"/>
    <w:rsid w:val="00322212"/>
    <w:rsid w:val="0032253C"/>
    <w:rsid w:val="00322B30"/>
    <w:rsid w:val="00322BBB"/>
    <w:rsid w:val="00322DB8"/>
    <w:rsid w:val="0032347F"/>
    <w:rsid w:val="003238B7"/>
    <w:rsid w:val="00323FDB"/>
    <w:rsid w:val="00324032"/>
    <w:rsid w:val="00324637"/>
    <w:rsid w:val="0032476E"/>
    <w:rsid w:val="003247F9"/>
    <w:rsid w:val="00324C3A"/>
    <w:rsid w:val="00324CAD"/>
    <w:rsid w:val="00324ECE"/>
    <w:rsid w:val="003250BC"/>
    <w:rsid w:val="003251AD"/>
    <w:rsid w:val="003254A0"/>
    <w:rsid w:val="003256A5"/>
    <w:rsid w:val="003256B5"/>
    <w:rsid w:val="003266BF"/>
    <w:rsid w:val="00326729"/>
    <w:rsid w:val="00326907"/>
    <w:rsid w:val="00326D57"/>
    <w:rsid w:val="0032709D"/>
    <w:rsid w:val="0032759E"/>
    <w:rsid w:val="0032763A"/>
    <w:rsid w:val="00327A18"/>
    <w:rsid w:val="00330945"/>
    <w:rsid w:val="00331394"/>
    <w:rsid w:val="003320AF"/>
    <w:rsid w:val="003324BC"/>
    <w:rsid w:val="0033268F"/>
    <w:rsid w:val="003329C8"/>
    <w:rsid w:val="00332D1D"/>
    <w:rsid w:val="00332D36"/>
    <w:rsid w:val="00333103"/>
    <w:rsid w:val="003331C0"/>
    <w:rsid w:val="00333EFB"/>
    <w:rsid w:val="00334157"/>
    <w:rsid w:val="003344C1"/>
    <w:rsid w:val="003347EE"/>
    <w:rsid w:val="00334CCB"/>
    <w:rsid w:val="00335273"/>
    <w:rsid w:val="003358DA"/>
    <w:rsid w:val="00335C77"/>
    <w:rsid w:val="00336328"/>
    <w:rsid w:val="00336741"/>
    <w:rsid w:val="00337516"/>
    <w:rsid w:val="0033752E"/>
    <w:rsid w:val="003377C1"/>
    <w:rsid w:val="00337823"/>
    <w:rsid w:val="003403FC"/>
    <w:rsid w:val="003404ED"/>
    <w:rsid w:val="003409EE"/>
    <w:rsid w:val="00340CD9"/>
    <w:rsid w:val="003412AD"/>
    <w:rsid w:val="00341340"/>
    <w:rsid w:val="003413A3"/>
    <w:rsid w:val="00341458"/>
    <w:rsid w:val="003418FB"/>
    <w:rsid w:val="00341975"/>
    <w:rsid w:val="00341E9C"/>
    <w:rsid w:val="00341F55"/>
    <w:rsid w:val="00341F7E"/>
    <w:rsid w:val="003421A7"/>
    <w:rsid w:val="00342C98"/>
    <w:rsid w:val="00342DD0"/>
    <w:rsid w:val="00343530"/>
    <w:rsid w:val="003436E5"/>
    <w:rsid w:val="003439E5"/>
    <w:rsid w:val="0034412B"/>
    <w:rsid w:val="003445A2"/>
    <w:rsid w:val="00345254"/>
    <w:rsid w:val="0034540E"/>
    <w:rsid w:val="00345ACF"/>
    <w:rsid w:val="00346742"/>
    <w:rsid w:val="00346F11"/>
    <w:rsid w:val="00347083"/>
    <w:rsid w:val="00347844"/>
    <w:rsid w:val="00347D48"/>
    <w:rsid w:val="00350145"/>
    <w:rsid w:val="00350272"/>
    <w:rsid w:val="003503D7"/>
    <w:rsid w:val="0035067A"/>
    <w:rsid w:val="00350B3E"/>
    <w:rsid w:val="00350E2C"/>
    <w:rsid w:val="00350EE2"/>
    <w:rsid w:val="00350FD3"/>
    <w:rsid w:val="00351632"/>
    <w:rsid w:val="0035212F"/>
    <w:rsid w:val="003524CD"/>
    <w:rsid w:val="0035287B"/>
    <w:rsid w:val="00353010"/>
    <w:rsid w:val="003531B9"/>
    <w:rsid w:val="003536DA"/>
    <w:rsid w:val="0035374A"/>
    <w:rsid w:val="00353CC4"/>
    <w:rsid w:val="00353E21"/>
    <w:rsid w:val="00354B27"/>
    <w:rsid w:val="00354BFC"/>
    <w:rsid w:val="0035521D"/>
    <w:rsid w:val="0035564D"/>
    <w:rsid w:val="003561D8"/>
    <w:rsid w:val="00356D40"/>
    <w:rsid w:val="00357196"/>
    <w:rsid w:val="003575C6"/>
    <w:rsid w:val="003575F2"/>
    <w:rsid w:val="00357940"/>
    <w:rsid w:val="00357ABF"/>
    <w:rsid w:val="00357D56"/>
    <w:rsid w:val="0036015D"/>
    <w:rsid w:val="0036045E"/>
    <w:rsid w:val="0036061D"/>
    <w:rsid w:val="00360A3B"/>
    <w:rsid w:val="00361086"/>
    <w:rsid w:val="003614BA"/>
    <w:rsid w:val="003617A6"/>
    <w:rsid w:val="003617F7"/>
    <w:rsid w:val="003618BD"/>
    <w:rsid w:val="00361DBE"/>
    <w:rsid w:val="00362493"/>
    <w:rsid w:val="0036260D"/>
    <w:rsid w:val="0036280B"/>
    <w:rsid w:val="00362C48"/>
    <w:rsid w:val="00362D70"/>
    <w:rsid w:val="00363344"/>
    <w:rsid w:val="003633AA"/>
    <w:rsid w:val="00363577"/>
    <w:rsid w:val="00363C6B"/>
    <w:rsid w:val="00364406"/>
    <w:rsid w:val="00364751"/>
    <w:rsid w:val="00364E1C"/>
    <w:rsid w:val="003655C6"/>
    <w:rsid w:val="00365A0D"/>
    <w:rsid w:val="00365FCE"/>
    <w:rsid w:val="0036626B"/>
    <w:rsid w:val="00366AEB"/>
    <w:rsid w:val="00366CE8"/>
    <w:rsid w:val="0036708F"/>
    <w:rsid w:val="003675E6"/>
    <w:rsid w:val="0037091C"/>
    <w:rsid w:val="00370CA9"/>
    <w:rsid w:val="00370D75"/>
    <w:rsid w:val="00370ECB"/>
    <w:rsid w:val="00371B62"/>
    <w:rsid w:val="00371FFE"/>
    <w:rsid w:val="003721D7"/>
    <w:rsid w:val="0037234F"/>
    <w:rsid w:val="00373A7C"/>
    <w:rsid w:val="00374033"/>
    <w:rsid w:val="00374201"/>
    <w:rsid w:val="0037461D"/>
    <w:rsid w:val="003746B5"/>
    <w:rsid w:val="00375344"/>
    <w:rsid w:val="0037538A"/>
    <w:rsid w:val="00375DC0"/>
    <w:rsid w:val="00375DFC"/>
    <w:rsid w:val="00375E2C"/>
    <w:rsid w:val="00376103"/>
    <w:rsid w:val="003764FB"/>
    <w:rsid w:val="003768FE"/>
    <w:rsid w:val="00376A00"/>
    <w:rsid w:val="00376B35"/>
    <w:rsid w:val="00376DE8"/>
    <w:rsid w:val="00376FC8"/>
    <w:rsid w:val="00377CBF"/>
    <w:rsid w:val="00377DC9"/>
    <w:rsid w:val="003801E2"/>
    <w:rsid w:val="003802A1"/>
    <w:rsid w:val="00380815"/>
    <w:rsid w:val="00380DA8"/>
    <w:rsid w:val="0038214E"/>
    <w:rsid w:val="0038240E"/>
    <w:rsid w:val="00383C79"/>
    <w:rsid w:val="00384088"/>
    <w:rsid w:val="003841D8"/>
    <w:rsid w:val="003841FA"/>
    <w:rsid w:val="003844CA"/>
    <w:rsid w:val="00384981"/>
    <w:rsid w:val="00384E8E"/>
    <w:rsid w:val="0038521E"/>
    <w:rsid w:val="0038524A"/>
    <w:rsid w:val="003853F3"/>
    <w:rsid w:val="003858CE"/>
    <w:rsid w:val="00385B22"/>
    <w:rsid w:val="00385C69"/>
    <w:rsid w:val="0038610A"/>
    <w:rsid w:val="003862D4"/>
    <w:rsid w:val="00386CE1"/>
    <w:rsid w:val="00386EE4"/>
    <w:rsid w:val="00387169"/>
    <w:rsid w:val="00387B36"/>
    <w:rsid w:val="0039088C"/>
    <w:rsid w:val="00390D47"/>
    <w:rsid w:val="00390EE9"/>
    <w:rsid w:val="00391BD3"/>
    <w:rsid w:val="00391C8A"/>
    <w:rsid w:val="00391EFB"/>
    <w:rsid w:val="00391FAE"/>
    <w:rsid w:val="00392C9D"/>
    <w:rsid w:val="003932DA"/>
    <w:rsid w:val="0039357B"/>
    <w:rsid w:val="00393CE4"/>
    <w:rsid w:val="003940C6"/>
    <w:rsid w:val="00394342"/>
    <w:rsid w:val="003946A1"/>
    <w:rsid w:val="003950F7"/>
    <w:rsid w:val="0039565D"/>
    <w:rsid w:val="00395802"/>
    <w:rsid w:val="00395DE8"/>
    <w:rsid w:val="00395E68"/>
    <w:rsid w:val="00395F26"/>
    <w:rsid w:val="00396227"/>
    <w:rsid w:val="003964F1"/>
    <w:rsid w:val="00396ADC"/>
    <w:rsid w:val="00396B02"/>
    <w:rsid w:val="00396C4E"/>
    <w:rsid w:val="00396EAE"/>
    <w:rsid w:val="00396EBC"/>
    <w:rsid w:val="00397490"/>
    <w:rsid w:val="0039749F"/>
    <w:rsid w:val="00397B3C"/>
    <w:rsid w:val="003A0104"/>
    <w:rsid w:val="003A01CF"/>
    <w:rsid w:val="003A040D"/>
    <w:rsid w:val="003A0EAC"/>
    <w:rsid w:val="003A1DBB"/>
    <w:rsid w:val="003A1EAC"/>
    <w:rsid w:val="003A2545"/>
    <w:rsid w:val="003A2DC0"/>
    <w:rsid w:val="003A31FE"/>
    <w:rsid w:val="003A3251"/>
    <w:rsid w:val="003A3600"/>
    <w:rsid w:val="003A3623"/>
    <w:rsid w:val="003A3D9F"/>
    <w:rsid w:val="003A408C"/>
    <w:rsid w:val="003A424B"/>
    <w:rsid w:val="003A46DC"/>
    <w:rsid w:val="003A4967"/>
    <w:rsid w:val="003A5213"/>
    <w:rsid w:val="003A53AA"/>
    <w:rsid w:val="003A5764"/>
    <w:rsid w:val="003A5C2E"/>
    <w:rsid w:val="003A628D"/>
    <w:rsid w:val="003A6E63"/>
    <w:rsid w:val="003A7622"/>
    <w:rsid w:val="003A7655"/>
    <w:rsid w:val="003A791C"/>
    <w:rsid w:val="003A7F80"/>
    <w:rsid w:val="003A7FC7"/>
    <w:rsid w:val="003B0045"/>
    <w:rsid w:val="003B0554"/>
    <w:rsid w:val="003B0868"/>
    <w:rsid w:val="003B1226"/>
    <w:rsid w:val="003B1370"/>
    <w:rsid w:val="003B151E"/>
    <w:rsid w:val="003B151F"/>
    <w:rsid w:val="003B16AE"/>
    <w:rsid w:val="003B1ADB"/>
    <w:rsid w:val="003B1B18"/>
    <w:rsid w:val="003B2334"/>
    <w:rsid w:val="003B274A"/>
    <w:rsid w:val="003B275E"/>
    <w:rsid w:val="003B2F7B"/>
    <w:rsid w:val="003B34D6"/>
    <w:rsid w:val="003B3697"/>
    <w:rsid w:val="003B3952"/>
    <w:rsid w:val="003B3DA2"/>
    <w:rsid w:val="003B41A3"/>
    <w:rsid w:val="003B4258"/>
    <w:rsid w:val="003B42A8"/>
    <w:rsid w:val="003B4510"/>
    <w:rsid w:val="003B4758"/>
    <w:rsid w:val="003B4769"/>
    <w:rsid w:val="003B47CC"/>
    <w:rsid w:val="003B4A50"/>
    <w:rsid w:val="003B4C0D"/>
    <w:rsid w:val="003B5382"/>
    <w:rsid w:val="003B5606"/>
    <w:rsid w:val="003B5D1E"/>
    <w:rsid w:val="003B5EC7"/>
    <w:rsid w:val="003B638E"/>
    <w:rsid w:val="003B682B"/>
    <w:rsid w:val="003B7437"/>
    <w:rsid w:val="003B778C"/>
    <w:rsid w:val="003B793D"/>
    <w:rsid w:val="003B798A"/>
    <w:rsid w:val="003B7C6C"/>
    <w:rsid w:val="003C0CC6"/>
    <w:rsid w:val="003C1880"/>
    <w:rsid w:val="003C1EFB"/>
    <w:rsid w:val="003C212F"/>
    <w:rsid w:val="003C2514"/>
    <w:rsid w:val="003C368C"/>
    <w:rsid w:val="003C3BC4"/>
    <w:rsid w:val="003C3D84"/>
    <w:rsid w:val="003C4518"/>
    <w:rsid w:val="003C4543"/>
    <w:rsid w:val="003C4B1F"/>
    <w:rsid w:val="003C4D31"/>
    <w:rsid w:val="003C4F83"/>
    <w:rsid w:val="003C4FC8"/>
    <w:rsid w:val="003C50B9"/>
    <w:rsid w:val="003C5409"/>
    <w:rsid w:val="003C5C38"/>
    <w:rsid w:val="003C5D8E"/>
    <w:rsid w:val="003C6192"/>
    <w:rsid w:val="003C61D2"/>
    <w:rsid w:val="003C6422"/>
    <w:rsid w:val="003C6783"/>
    <w:rsid w:val="003C6EDC"/>
    <w:rsid w:val="003C6F97"/>
    <w:rsid w:val="003C7283"/>
    <w:rsid w:val="003C73D3"/>
    <w:rsid w:val="003C74C2"/>
    <w:rsid w:val="003C74CB"/>
    <w:rsid w:val="003C77C8"/>
    <w:rsid w:val="003C79F3"/>
    <w:rsid w:val="003D0417"/>
    <w:rsid w:val="003D2653"/>
    <w:rsid w:val="003D3393"/>
    <w:rsid w:val="003D36A6"/>
    <w:rsid w:val="003D3944"/>
    <w:rsid w:val="003D412B"/>
    <w:rsid w:val="003D4A21"/>
    <w:rsid w:val="003D4B98"/>
    <w:rsid w:val="003D5157"/>
    <w:rsid w:val="003D51E7"/>
    <w:rsid w:val="003D56FC"/>
    <w:rsid w:val="003D5795"/>
    <w:rsid w:val="003D5B37"/>
    <w:rsid w:val="003D600D"/>
    <w:rsid w:val="003D6380"/>
    <w:rsid w:val="003D6539"/>
    <w:rsid w:val="003D661A"/>
    <w:rsid w:val="003D67AE"/>
    <w:rsid w:val="003D74FE"/>
    <w:rsid w:val="003D7A5F"/>
    <w:rsid w:val="003D7D6E"/>
    <w:rsid w:val="003D7E8B"/>
    <w:rsid w:val="003D7F31"/>
    <w:rsid w:val="003E03C5"/>
    <w:rsid w:val="003E08EB"/>
    <w:rsid w:val="003E111D"/>
    <w:rsid w:val="003E1811"/>
    <w:rsid w:val="003E1D76"/>
    <w:rsid w:val="003E1E97"/>
    <w:rsid w:val="003E1EB1"/>
    <w:rsid w:val="003E2036"/>
    <w:rsid w:val="003E2777"/>
    <w:rsid w:val="003E2819"/>
    <w:rsid w:val="003E2E23"/>
    <w:rsid w:val="003E2E37"/>
    <w:rsid w:val="003E2F35"/>
    <w:rsid w:val="003E3140"/>
    <w:rsid w:val="003E3BA0"/>
    <w:rsid w:val="003E4550"/>
    <w:rsid w:val="003E4A4D"/>
    <w:rsid w:val="003E4C93"/>
    <w:rsid w:val="003E5011"/>
    <w:rsid w:val="003E5381"/>
    <w:rsid w:val="003E548A"/>
    <w:rsid w:val="003E54AA"/>
    <w:rsid w:val="003E5507"/>
    <w:rsid w:val="003E55AD"/>
    <w:rsid w:val="003E66B5"/>
    <w:rsid w:val="003E675A"/>
    <w:rsid w:val="003E6775"/>
    <w:rsid w:val="003E68A9"/>
    <w:rsid w:val="003E6A3F"/>
    <w:rsid w:val="003E70A6"/>
    <w:rsid w:val="003E75DB"/>
    <w:rsid w:val="003E7B39"/>
    <w:rsid w:val="003E7BC8"/>
    <w:rsid w:val="003E7C2B"/>
    <w:rsid w:val="003E7F77"/>
    <w:rsid w:val="003E7FA6"/>
    <w:rsid w:val="003F0B7C"/>
    <w:rsid w:val="003F0F7C"/>
    <w:rsid w:val="003F15E3"/>
    <w:rsid w:val="003F165B"/>
    <w:rsid w:val="003F199C"/>
    <w:rsid w:val="003F1C04"/>
    <w:rsid w:val="003F29FC"/>
    <w:rsid w:val="003F2F63"/>
    <w:rsid w:val="003F3F5C"/>
    <w:rsid w:val="003F4009"/>
    <w:rsid w:val="003F4531"/>
    <w:rsid w:val="003F454B"/>
    <w:rsid w:val="003F47DF"/>
    <w:rsid w:val="003F497D"/>
    <w:rsid w:val="003F4E69"/>
    <w:rsid w:val="003F52EC"/>
    <w:rsid w:val="003F587E"/>
    <w:rsid w:val="003F674B"/>
    <w:rsid w:val="003F679B"/>
    <w:rsid w:val="003F68B3"/>
    <w:rsid w:val="003F68CC"/>
    <w:rsid w:val="003F6CF6"/>
    <w:rsid w:val="003F7F8A"/>
    <w:rsid w:val="00400193"/>
    <w:rsid w:val="0040093B"/>
    <w:rsid w:val="00400CEB"/>
    <w:rsid w:val="004018BE"/>
    <w:rsid w:val="00401DE2"/>
    <w:rsid w:val="004020E6"/>
    <w:rsid w:val="004024EF"/>
    <w:rsid w:val="004028CB"/>
    <w:rsid w:val="00402B9A"/>
    <w:rsid w:val="00403071"/>
    <w:rsid w:val="00403307"/>
    <w:rsid w:val="00403565"/>
    <w:rsid w:val="00403768"/>
    <w:rsid w:val="00403862"/>
    <w:rsid w:val="00403DE0"/>
    <w:rsid w:val="00404227"/>
    <w:rsid w:val="0040455C"/>
    <w:rsid w:val="004052E3"/>
    <w:rsid w:val="00405384"/>
    <w:rsid w:val="00405BE4"/>
    <w:rsid w:val="00405C6E"/>
    <w:rsid w:val="00405CDE"/>
    <w:rsid w:val="00405FC5"/>
    <w:rsid w:val="0040629E"/>
    <w:rsid w:val="004063E5"/>
    <w:rsid w:val="004064C1"/>
    <w:rsid w:val="004064F7"/>
    <w:rsid w:val="00406F4D"/>
    <w:rsid w:val="00407717"/>
    <w:rsid w:val="004078AB"/>
    <w:rsid w:val="00407D53"/>
    <w:rsid w:val="00410475"/>
    <w:rsid w:val="00410771"/>
    <w:rsid w:val="00410863"/>
    <w:rsid w:val="00410F2A"/>
    <w:rsid w:val="004112F3"/>
    <w:rsid w:val="00411676"/>
    <w:rsid w:val="004117E1"/>
    <w:rsid w:val="00411B4A"/>
    <w:rsid w:val="004120C6"/>
    <w:rsid w:val="00412298"/>
    <w:rsid w:val="00412572"/>
    <w:rsid w:val="00412EF6"/>
    <w:rsid w:val="00412F26"/>
    <w:rsid w:val="004135A8"/>
    <w:rsid w:val="00413636"/>
    <w:rsid w:val="00414436"/>
    <w:rsid w:val="00414D76"/>
    <w:rsid w:val="00415768"/>
    <w:rsid w:val="00415E90"/>
    <w:rsid w:val="00415FB3"/>
    <w:rsid w:val="00416525"/>
    <w:rsid w:val="00416580"/>
    <w:rsid w:val="0041665E"/>
    <w:rsid w:val="0041668F"/>
    <w:rsid w:val="00416CA0"/>
    <w:rsid w:val="00416CE0"/>
    <w:rsid w:val="00417E1B"/>
    <w:rsid w:val="00417F5C"/>
    <w:rsid w:val="004204DA"/>
    <w:rsid w:val="00420957"/>
    <w:rsid w:val="00420B42"/>
    <w:rsid w:val="00420BC1"/>
    <w:rsid w:val="00420E56"/>
    <w:rsid w:val="00420F23"/>
    <w:rsid w:val="004215E4"/>
    <w:rsid w:val="00421759"/>
    <w:rsid w:val="00423638"/>
    <w:rsid w:val="0042371B"/>
    <w:rsid w:val="00423B75"/>
    <w:rsid w:val="00424756"/>
    <w:rsid w:val="004256AF"/>
    <w:rsid w:val="004257D6"/>
    <w:rsid w:val="0042590F"/>
    <w:rsid w:val="00425B28"/>
    <w:rsid w:val="00425FA3"/>
    <w:rsid w:val="00426767"/>
    <w:rsid w:val="0042676F"/>
    <w:rsid w:val="00426B09"/>
    <w:rsid w:val="00426E67"/>
    <w:rsid w:val="00426F54"/>
    <w:rsid w:val="00426F9C"/>
    <w:rsid w:val="004276F5"/>
    <w:rsid w:val="00427781"/>
    <w:rsid w:val="004301B2"/>
    <w:rsid w:val="004301F8"/>
    <w:rsid w:val="00430BB0"/>
    <w:rsid w:val="00430DCD"/>
    <w:rsid w:val="0043130F"/>
    <w:rsid w:val="00431CCA"/>
    <w:rsid w:val="00431F05"/>
    <w:rsid w:val="00432006"/>
    <w:rsid w:val="0043203A"/>
    <w:rsid w:val="00432047"/>
    <w:rsid w:val="0043263A"/>
    <w:rsid w:val="00432D58"/>
    <w:rsid w:val="00433752"/>
    <w:rsid w:val="00433B64"/>
    <w:rsid w:val="00434659"/>
    <w:rsid w:val="00435342"/>
    <w:rsid w:val="00435560"/>
    <w:rsid w:val="00435CE4"/>
    <w:rsid w:val="00435FB3"/>
    <w:rsid w:val="00436268"/>
    <w:rsid w:val="00436283"/>
    <w:rsid w:val="0043648D"/>
    <w:rsid w:val="00436576"/>
    <w:rsid w:val="004367CB"/>
    <w:rsid w:val="00436E21"/>
    <w:rsid w:val="0043723B"/>
    <w:rsid w:val="0043741C"/>
    <w:rsid w:val="004374B1"/>
    <w:rsid w:val="0043776E"/>
    <w:rsid w:val="00437B05"/>
    <w:rsid w:val="00440193"/>
    <w:rsid w:val="00440D35"/>
    <w:rsid w:val="00440E26"/>
    <w:rsid w:val="0044119C"/>
    <w:rsid w:val="00441901"/>
    <w:rsid w:val="00441C97"/>
    <w:rsid w:val="00441E44"/>
    <w:rsid w:val="00441EFC"/>
    <w:rsid w:val="00442097"/>
    <w:rsid w:val="00442458"/>
    <w:rsid w:val="00442A76"/>
    <w:rsid w:val="00442E90"/>
    <w:rsid w:val="00442EB1"/>
    <w:rsid w:val="00443672"/>
    <w:rsid w:val="00444546"/>
    <w:rsid w:val="004448C5"/>
    <w:rsid w:val="00444BC8"/>
    <w:rsid w:val="00444FBB"/>
    <w:rsid w:val="004450B4"/>
    <w:rsid w:val="00445B81"/>
    <w:rsid w:val="00445E0D"/>
    <w:rsid w:val="00446047"/>
    <w:rsid w:val="00446369"/>
    <w:rsid w:val="00446E91"/>
    <w:rsid w:val="00446F60"/>
    <w:rsid w:val="0044721F"/>
    <w:rsid w:val="00447EDF"/>
    <w:rsid w:val="004501C9"/>
    <w:rsid w:val="00450230"/>
    <w:rsid w:val="004509F0"/>
    <w:rsid w:val="00450CB0"/>
    <w:rsid w:val="004517A2"/>
    <w:rsid w:val="00451CE0"/>
    <w:rsid w:val="00451F96"/>
    <w:rsid w:val="004521F8"/>
    <w:rsid w:val="00452845"/>
    <w:rsid w:val="00452B30"/>
    <w:rsid w:val="00452C1A"/>
    <w:rsid w:val="004530EF"/>
    <w:rsid w:val="00453557"/>
    <w:rsid w:val="004539D9"/>
    <w:rsid w:val="00453C83"/>
    <w:rsid w:val="00453D36"/>
    <w:rsid w:val="00454C0A"/>
    <w:rsid w:val="00454C56"/>
    <w:rsid w:val="0045523F"/>
    <w:rsid w:val="0045548F"/>
    <w:rsid w:val="00455FB8"/>
    <w:rsid w:val="00456AA5"/>
    <w:rsid w:val="00456B29"/>
    <w:rsid w:val="00456CF5"/>
    <w:rsid w:val="00456FF2"/>
    <w:rsid w:val="004572A8"/>
    <w:rsid w:val="004576E8"/>
    <w:rsid w:val="0045794B"/>
    <w:rsid w:val="00457C66"/>
    <w:rsid w:val="00460032"/>
    <w:rsid w:val="004600E3"/>
    <w:rsid w:val="004602D8"/>
    <w:rsid w:val="00460391"/>
    <w:rsid w:val="004603DB"/>
    <w:rsid w:val="004608CA"/>
    <w:rsid w:val="00460D42"/>
    <w:rsid w:val="00461205"/>
    <w:rsid w:val="00461D5A"/>
    <w:rsid w:val="0046204A"/>
    <w:rsid w:val="00462121"/>
    <w:rsid w:val="004634B0"/>
    <w:rsid w:val="00463759"/>
    <w:rsid w:val="00463AF6"/>
    <w:rsid w:val="00463D4A"/>
    <w:rsid w:val="0046401C"/>
    <w:rsid w:val="004640A7"/>
    <w:rsid w:val="004643D2"/>
    <w:rsid w:val="0046494E"/>
    <w:rsid w:val="00464A59"/>
    <w:rsid w:val="00465A31"/>
    <w:rsid w:val="004662D0"/>
    <w:rsid w:val="00466A2C"/>
    <w:rsid w:val="00466FD6"/>
    <w:rsid w:val="00467561"/>
    <w:rsid w:val="00467B0E"/>
    <w:rsid w:val="00467DCE"/>
    <w:rsid w:val="00467FE7"/>
    <w:rsid w:val="004705FF"/>
    <w:rsid w:val="00470A38"/>
    <w:rsid w:val="00470B47"/>
    <w:rsid w:val="00471AA7"/>
    <w:rsid w:val="00471BB9"/>
    <w:rsid w:val="004725F8"/>
    <w:rsid w:val="00472720"/>
    <w:rsid w:val="004732A6"/>
    <w:rsid w:val="00473B55"/>
    <w:rsid w:val="00473CFE"/>
    <w:rsid w:val="00474D92"/>
    <w:rsid w:val="00474DFE"/>
    <w:rsid w:val="00474E03"/>
    <w:rsid w:val="00475267"/>
    <w:rsid w:val="0047580A"/>
    <w:rsid w:val="0047613C"/>
    <w:rsid w:val="0047639B"/>
    <w:rsid w:val="0047656B"/>
    <w:rsid w:val="0047685D"/>
    <w:rsid w:val="004769C5"/>
    <w:rsid w:val="00476A7A"/>
    <w:rsid w:val="00476AA7"/>
    <w:rsid w:val="00476DD0"/>
    <w:rsid w:val="0048007A"/>
    <w:rsid w:val="004802B4"/>
    <w:rsid w:val="00480313"/>
    <w:rsid w:val="00480359"/>
    <w:rsid w:val="004806B7"/>
    <w:rsid w:val="004807B1"/>
    <w:rsid w:val="00481222"/>
    <w:rsid w:val="004815EE"/>
    <w:rsid w:val="00482926"/>
    <w:rsid w:val="0048297B"/>
    <w:rsid w:val="00483069"/>
    <w:rsid w:val="004833E2"/>
    <w:rsid w:val="00483793"/>
    <w:rsid w:val="00483D1C"/>
    <w:rsid w:val="0048447F"/>
    <w:rsid w:val="004846A4"/>
    <w:rsid w:val="00484856"/>
    <w:rsid w:val="00484DD1"/>
    <w:rsid w:val="0048575F"/>
    <w:rsid w:val="00485F65"/>
    <w:rsid w:val="00486707"/>
    <w:rsid w:val="00486F23"/>
    <w:rsid w:val="0048727A"/>
    <w:rsid w:val="004877D4"/>
    <w:rsid w:val="004878A7"/>
    <w:rsid w:val="00487B6A"/>
    <w:rsid w:val="004900FF"/>
    <w:rsid w:val="00490802"/>
    <w:rsid w:val="00490892"/>
    <w:rsid w:val="00490B7F"/>
    <w:rsid w:val="00490BDC"/>
    <w:rsid w:val="00490C9F"/>
    <w:rsid w:val="00491613"/>
    <w:rsid w:val="00491780"/>
    <w:rsid w:val="00491A4A"/>
    <w:rsid w:val="00491D91"/>
    <w:rsid w:val="00492380"/>
    <w:rsid w:val="004931E2"/>
    <w:rsid w:val="004933E7"/>
    <w:rsid w:val="00494B26"/>
    <w:rsid w:val="00494CB1"/>
    <w:rsid w:val="004952D8"/>
    <w:rsid w:val="00495453"/>
    <w:rsid w:val="00495A08"/>
    <w:rsid w:val="00495E0B"/>
    <w:rsid w:val="0049622A"/>
    <w:rsid w:val="00496607"/>
    <w:rsid w:val="00496F4F"/>
    <w:rsid w:val="00497289"/>
    <w:rsid w:val="00497589"/>
    <w:rsid w:val="0049764B"/>
    <w:rsid w:val="00497881"/>
    <w:rsid w:val="00497DD5"/>
    <w:rsid w:val="00497E08"/>
    <w:rsid w:val="004A0799"/>
    <w:rsid w:val="004A0C0A"/>
    <w:rsid w:val="004A0C0E"/>
    <w:rsid w:val="004A0EB1"/>
    <w:rsid w:val="004A0F41"/>
    <w:rsid w:val="004A0FCA"/>
    <w:rsid w:val="004A10B1"/>
    <w:rsid w:val="004A196D"/>
    <w:rsid w:val="004A1A43"/>
    <w:rsid w:val="004A1A9C"/>
    <w:rsid w:val="004A1CB4"/>
    <w:rsid w:val="004A25AC"/>
    <w:rsid w:val="004A2675"/>
    <w:rsid w:val="004A27EA"/>
    <w:rsid w:val="004A3057"/>
    <w:rsid w:val="004A3322"/>
    <w:rsid w:val="004A3506"/>
    <w:rsid w:val="004A36E1"/>
    <w:rsid w:val="004A3751"/>
    <w:rsid w:val="004A3A43"/>
    <w:rsid w:val="004A3C52"/>
    <w:rsid w:val="004A3C56"/>
    <w:rsid w:val="004A408C"/>
    <w:rsid w:val="004A4A12"/>
    <w:rsid w:val="004A5181"/>
    <w:rsid w:val="004A631C"/>
    <w:rsid w:val="004A6362"/>
    <w:rsid w:val="004A6806"/>
    <w:rsid w:val="004A6AFA"/>
    <w:rsid w:val="004A6C3B"/>
    <w:rsid w:val="004A74FE"/>
    <w:rsid w:val="004A7668"/>
    <w:rsid w:val="004A7CC7"/>
    <w:rsid w:val="004B0067"/>
    <w:rsid w:val="004B0106"/>
    <w:rsid w:val="004B06E4"/>
    <w:rsid w:val="004B0BF7"/>
    <w:rsid w:val="004B1B76"/>
    <w:rsid w:val="004B203F"/>
    <w:rsid w:val="004B222A"/>
    <w:rsid w:val="004B2DDF"/>
    <w:rsid w:val="004B32CB"/>
    <w:rsid w:val="004B3D1B"/>
    <w:rsid w:val="004B3EAB"/>
    <w:rsid w:val="004B3EE2"/>
    <w:rsid w:val="004B454C"/>
    <w:rsid w:val="004B4579"/>
    <w:rsid w:val="004B45EF"/>
    <w:rsid w:val="004B4C39"/>
    <w:rsid w:val="004B4E32"/>
    <w:rsid w:val="004B550F"/>
    <w:rsid w:val="004B590D"/>
    <w:rsid w:val="004B5960"/>
    <w:rsid w:val="004B5DF0"/>
    <w:rsid w:val="004B63C7"/>
    <w:rsid w:val="004B657B"/>
    <w:rsid w:val="004B6623"/>
    <w:rsid w:val="004B6AF0"/>
    <w:rsid w:val="004B7033"/>
    <w:rsid w:val="004B7AB9"/>
    <w:rsid w:val="004C0751"/>
    <w:rsid w:val="004C0F2D"/>
    <w:rsid w:val="004C14B7"/>
    <w:rsid w:val="004C152D"/>
    <w:rsid w:val="004C15C4"/>
    <w:rsid w:val="004C185A"/>
    <w:rsid w:val="004C191B"/>
    <w:rsid w:val="004C2442"/>
    <w:rsid w:val="004C295B"/>
    <w:rsid w:val="004C2CF5"/>
    <w:rsid w:val="004C2E0B"/>
    <w:rsid w:val="004C2E1F"/>
    <w:rsid w:val="004C39CA"/>
    <w:rsid w:val="004C3A8E"/>
    <w:rsid w:val="004C4F7E"/>
    <w:rsid w:val="004C533D"/>
    <w:rsid w:val="004C55E1"/>
    <w:rsid w:val="004C5AF1"/>
    <w:rsid w:val="004C5ECA"/>
    <w:rsid w:val="004C6E9B"/>
    <w:rsid w:val="004C7039"/>
    <w:rsid w:val="004C725F"/>
    <w:rsid w:val="004C73C1"/>
    <w:rsid w:val="004C7CD9"/>
    <w:rsid w:val="004D0552"/>
    <w:rsid w:val="004D0644"/>
    <w:rsid w:val="004D0865"/>
    <w:rsid w:val="004D0A66"/>
    <w:rsid w:val="004D0FC5"/>
    <w:rsid w:val="004D112E"/>
    <w:rsid w:val="004D1409"/>
    <w:rsid w:val="004D15AC"/>
    <w:rsid w:val="004D1D62"/>
    <w:rsid w:val="004D2353"/>
    <w:rsid w:val="004D23BD"/>
    <w:rsid w:val="004D2BE4"/>
    <w:rsid w:val="004D2E57"/>
    <w:rsid w:val="004D3D83"/>
    <w:rsid w:val="004D3DB5"/>
    <w:rsid w:val="004D408A"/>
    <w:rsid w:val="004D4DA6"/>
    <w:rsid w:val="004D4F1E"/>
    <w:rsid w:val="004D533B"/>
    <w:rsid w:val="004D573E"/>
    <w:rsid w:val="004D59FD"/>
    <w:rsid w:val="004D5ECC"/>
    <w:rsid w:val="004D600D"/>
    <w:rsid w:val="004D6708"/>
    <w:rsid w:val="004D6CA0"/>
    <w:rsid w:val="004D6F76"/>
    <w:rsid w:val="004D6FB8"/>
    <w:rsid w:val="004D6FCC"/>
    <w:rsid w:val="004D71CF"/>
    <w:rsid w:val="004D799A"/>
    <w:rsid w:val="004D7A49"/>
    <w:rsid w:val="004D7B56"/>
    <w:rsid w:val="004E01E0"/>
    <w:rsid w:val="004E057D"/>
    <w:rsid w:val="004E06C3"/>
    <w:rsid w:val="004E0BA5"/>
    <w:rsid w:val="004E1575"/>
    <w:rsid w:val="004E15DB"/>
    <w:rsid w:val="004E17AB"/>
    <w:rsid w:val="004E1D9A"/>
    <w:rsid w:val="004E1EE0"/>
    <w:rsid w:val="004E2062"/>
    <w:rsid w:val="004E2194"/>
    <w:rsid w:val="004E2CB2"/>
    <w:rsid w:val="004E2E0D"/>
    <w:rsid w:val="004E31CA"/>
    <w:rsid w:val="004E3B30"/>
    <w:rsid w:val="004E3B98"/>
    <w:rsid w:val="004E4148"/>
    <w:rsid w:val="004E4271"/>
    <w:rsid w:val="004E4C02"/>
    <w:rsid w:val="004E4F82"/>
    <w:rsid w:val="004E6171"/>
    <w:rsid w:val="004E65B4"/>
    <w:rsid w:val="004E6702"/>
    <w:rsid w:val="004E6783"/>
    <w:rsid w:val="004E728C"/>
    <w:rsid w:val="004E7469"/>
    <w:rsid w:val="004E7A45"/>
    <w:rsid w:val="004E7D9C"/>
    <w:rsid w:val="004E7F04"/>
    <w:rsid w:val="004F0264"/>
    <w:rsid w:val="004F05C9"/>
    <w:rsid w:val="004F09D3"/>
    <w:rsid w:val="004F0E72"/>
    <w:rsid w:val="004F0F54"/>
    <w:rsid w:val="004F1031"/>
    <w:rsid w:val="004F15AE"/>
    <w:rsid w:val="004F1E2A"/>
    <w:rsid w:val="004F1EDE"/>
    <w:rsid w:val="004F2956"/>
    <w:rsid w:val="004F29B8"/>
    <w:rsid w:val="004F32BB"/>
    <w:rsid w:val="004F3A82"/>
    <w:rsid w:val="004F3AB8"/>
    <w:rsid w:val="004F46C2"/>
    <w:rsid w:val="004F4716"/>
    <w:rsid w:val="004F4A40"/>
    <w:rsid w:val="004F4BED"/>
    <w:rsid w:val="004F5639"/>
    <w:rsid w:val="004F60F1"/>
    <w:rsid w:val="004F6548"/>
    <w:rsid w:val="004F70BB"/>
    <w:rsid w:val="004F7D8A"/>
    <w:rsid w:val="005002DE"/>
    <w:rsid w:val="0050050D"/>
    <w:rsid w:val="00500BE1"/>
    <w:rsid w:val="00501867"/>
    <w:rsid w:val="005019A8"/>
    <w:rsid w:val="00501AC4"/>
    <w:rsid w:val="00501ACD"/>
    <w:rsid w:val="00501E5B"/>
    <w:rsid w:val="00501F96"/>
    <w:rsid w:val="005022CD"/>
    <w:rsid w:val="005027A6"/>
    <w:rsid w:val="00502C71"/>
    <w:rsid w:val="00502CCD"/>
    <w:rsid w:val="00502D56"/>
    <w:rsid w:val="00502F86"/>
    <w:rsid w:val="005032AC"/>
    <w:rsid w:val="00503465"/>
    <w:rsid w:val="005037CF"/>
    <w:rsid w:val="005039E0"/>
    <w:rsid w:val="00503E5C"/>
    <w:rsid w:val="00503F73"/>
    <w:rsid w:val="005043B8"/>
    <w:rsid w:val="00504B00"/>
    <w:rsid w:val="00504E4F"/>
    <w:rsid w:val="005051F6"/>
    <w:rsid w:val="0050579B"/>
    <w:rsid w:val="00505DD1"/>
    <w:rsid w:val="00506015"/>
    <w:rsid w:val="005064B1"/>
    <w:rsid w:val="005070D9"/>
    <w:rsid w:val="00507828"/>
    <w:rsid w:val="00507B93"/>
    <w:rsid w:val="0051005F"/>
    <w:rsid w:val="005102C2"/>
    <w:rsid w:val="00510534"/>
    <w:rsid w:val="00510584"/>
    <w:rsid w:val="00510A9B"/>
    <w:rsid w:val="00510D76"/>
    <w:rsid w:val="00510F1A"/>
    <w:rsid w:val="00510FF2"/>
    <w:rsid w:val="00511862"/>
    <w:rsid w:val="00511C3F"/>
    <w:rsid w:val="00511DB2"/>
    <w:rsid w:val="00511E95"/>
    <w:rsid w:val="0051239A"/>
    <w:rsid w:val="00512539"/>
    <w:rsid w:val="00512765"/>
    <w:rsid w:val="005129FA"/>
    <w:rsid w:val="00512C18"/>
    <w:rsid w:val="00512C2A"/>
    <w:rsid w:val="00513856"/>
    <w:rsid w:val="00514215"/>
    <w:rsid w:val="0051441D"/>
    <w:rsid w:val="00514435"/>
    <w:rsid w:val="00514689"/>
    <w:rsid w:val="00514724"/>
    <w:rsid w:val="00514A51"/>
    <w:rsid w:val="00515677"/>
    <w:rsid w:val="005158B0"/>
    <w:rsid w:val="00515E91"/>
    <w:rsid w:val="00515EA7"/>
    <w:rsid w:val="0051669E"/>
    <w:rsid w:val="0051695C"/>
    <w:rsid w:val="00516BC8"/>
    <w:rsid w:val="00516D07"/>
    <w:rsid w:val="00516E41"/>
    <w:rsid w:val="00516ED8"/>
    <w:rsid w:val="00517136"/>
    <w:rsid w:val="00517335"/>
    <w:rsid w:val="005179A8"/>
    <w:rsid w:val="00520543"/>
    <w:rsid w:val="00520609"/>
    <w:rsid w:val="005207CC"/>
    <w:rsid w:val="00520B40"/>
    <w:rsid w:val="00520F10"/>
    <w:rsid w:val="00521669"/>
    <w:rsid w:val="00521C60"/>
    <w:rsid w:val="00522782"/>
    <w:rsid w:val="00522C32"/>
    <w:rsid w:val="00522CE8"/>
    <w:rsid w:val="00523079"/>
    <w:rsid w:val="005233C8"/>
    <w:rsid w:val="005235EF"/>
    <w:rsid w:val="00523AF4"/>
    <w:rsid w:val="00524428"/>
    <w:rsid w:val="0052481D"/>
    <w:rsid w:val="00524FF0"/>
    <w:rsid w:val="00525F1F"/>
    <w:rsid w:val="005261EF"/>
    <w:rsid w:val="00526719"/>
    <w:rsid w:val="00526874"/>
    <w:rsid w:val="00526DFC"/>
    <w:rsid w:val="005279C1"/>
    <w:rsid w:val="005305C5"/>
    <w:rsid w:val="00530DF7"/>
    <w:rsid w:val="00530F62"/>
    <w:rsid w:val="005312D4"/>
    <w:rsid w:val="005315FC"/>
    <w:rsid w:val="00531839"/>
    <w:rsid w:val="005318B1"/>
    <w:rsid w:val="00531AD2"/>
    <w:rsid w:val="00531B15"/>
    <w:rsid w:val="0053230E"/>
    <w:rsid w:val="00532B5D"/>
    <w:rsid w:val="00532BAF"/>
    <w:rsid w:val="00532BCF"/>
    <w:rsid w:val="0053318E"/>
    <w:rsid w:val="00533278"/>
    <w:rsid w:val="005335CD"/>
    <w:rsid w:val="00533937"/>
    <w:rsid w:val="005339A1"/>
    <w:rsid w:val="00533B0F"/>
    <w:rsid w:val="00533BF5"/>
    <w:rsid w:val="00533C74"/>
    <w:rsid w:val="00533D47"/>
    <w:rsid w:val="00533E92"/>
    <w:rsid w:val="005340FD"/>
    <w:rsid w:val="0053471B"/>
    <w:rsid w:val="00534A3C"/>
    <w:rsid w:val="00534BFD"/>
    <w:rsid w:val="00534CB1"/>
    <w:rsid w:val="00534EB8"/>
    <w:rsid w:val="0053506E"/>
    <w:rsid w:val="005357F3"/>
    <w:rsid w:val="005369EE"/>
    <w:rsid w:val="00536B59"/>
    <w:rsid w:val="00536FC8"/>
    <w:rsid w:val="00537C20"/>
    <w:rsid w:val="0054007B"/>
    <w:rsid w:val="005401F7"/>
    <w:rsid w:val="0054077D"/>
    <w:rsid w:val="00540825"/>
    <w:rsid w:val="00540C34"/>
    <w:rsid w:val="00541574"/>
    <w:rsid w:val="00541984"/>
    <w:rsid w:val="00542305"/>
    <w:rsid w:val="0054234B"/>
    <w:rsid w:val="005424FD"/>
    <w:rsid w:val="00542ADC"/>
    <w:rsid w:val="00542C2B"/>
    <w:rsid w:val="00542F64"/>
    <w:rsid w:val="00543982"/>
    <w:rsid w:val="00543C7E"/>
    <w:rsid w:val="00543E5F"/>
    <w:rsid w:val="005440CF"/>
    <w:rsid w:val="0054470A"/>
    <w:rsid w:val="00544EB2"/>
    <w:rsid w:val="00544F08"/>
    <w:rsid w:val="00545546"/>
    <w:rsid w:val="00545553"/>
    <w:rsid w:val="00545F26"/>
    <w:rsid w:val="005460C7"/>
    <w:rsid w:val="0054731E"/>
    <w:rsid w:val="0054773E"/>
    <w:rsid w:val="00547FE9"/>
    <w:rsid w:val="005501BC"/>
    <w:rsid w:val="005503C7"/>
    <w:rsid w:val="00550F71"/>
    <w:rsid w:val="005512AE"/>
    <w:rsid w:val="0055168A"/>
    <w:rsid w:val="00552760"/>
    <w:rsid w:val="00553365"/>
    <w:rsid w:val="0055483C"/>
    <w:rsid w:val="00554C01"/>
    <w:rsid w:val="00554DB2"/>
    <w:rsid w:val="00554E5E"/>
    <w:rsid w:val="005552E4"/>
    <w:rsid w:val="005554A3"/>
    <w:rsid w:val="0055581A"/>
    <w:rsid w:val="00556B57"/>
    <w:rsid w:val="00557218"/>
    <w:rsid w:val="005572F8"/>
    <w:rsid w:val="00557455"/>
    <w:rsid w:val="00557587"/>
    <w:rsid w:val="0055764C"/>
    <w:rsid w:val="00557835"/>
    <w:rsid w:val="00557B9E"/>
    <w:rsid w:val="00560338"/>
    <w:rsid w:val="0056064C"/>
    <w:rsid w:val="00560651"/>
    <w:rsid w:val="005606D0"/>
    <w:rsid w:val="00560AF1"/>
    <w:rsid w:val="00560FCD"/>
    <w:rsid w:val="005610D9"/>
    <w:rsid w:val="0056137D"/>
    <w:rsid w:val="00561731"/>
    <w:rsid w:val="00561944"/>
    <w:rsid w:val="00561A47"/>
    <w:rsid w:val="00561DAD"/>
    <w:rsid w:val="005622C2"/>
    <w:rsid w:val="005622FF"/>
    <w:rsid w:val="005629D8"/>
    <w:rsid w:val="00562E8F"/>
    <w:rsid w:val="00562F1F"/>
    <w:rsid w:val="0056311D"/>
    <w:rsid w:val="005633FA"/>
    <w:rsid w:val="0056374A"/>
    <w:rsid w:val="00563DD6"/>
    <w:rsid w:val="00564A56"/>
    <w:rsid w:val="00564BBB"/>
    <w:rsid w:val="00564BEC"/>
    <w:rsid w:val="00564FA1"/>
    <w:rsid w:val="005655DF"/>
    <w:rsid w:val="00565DD3"/>
    <w:rsid w:val="00566914"/>
    <w:rsid w:val="00566F6A"/>
    <w:rsid w:val="005670BA"/>
    <w:rsid w:val="005671B2"/>
    <w:rsid w:val="005672D9"/>
    <w:rsid w:val="005675E8"/>
    <w:rsid w:val="00570160"/>
    <w:rsid w:val="0057019E"/>
    <w:rsid w:val="00571D05"/>
    <w:rsid w:val="0057263C"/>
    <w:rsid w:val="005733C9"/>
    <w:rsid w:val="00573A56"/>
    <w:rsid w:val="00574105"/>
    <w:rsid w:val="005745C0"/>
    <w:rsid w:val="00574630"/>
    <w:rsid w:val="00574652"/>
    <w:rsid w:val="00574A1F"/>
    <w:rsid w:val="00574A63"/>
    <w:rsid w:val="00574C20"/>
    <w:rsid w:val="005755A5"/>
    <w:rsid w:val="00575702"/>
    <w:rsid w:val="0057617B"/>
    <w:rsid w:val="0057645C"/>
    <w:rsid w:val="0057652B"/>
    <w:rsid w:val="00576A41"/>
    <w:rsid w:val="00577155"/>
    <w:rsid w:val="00577C20"/>
    <w:rsid w:val="005800F9"/>
    <w:rsid w:val="00580B1C"/>
    <w:rsid w:val="00580B77"/>
    <w:rsid w:val="00580D2E"/>
    <w:rsid w:val="00580D9E"/>
    <w:rsid w:val="0058140E"/>
    <w:rsid w:val="005817E1"/>
    <w:rsid w:val="00581F78"/>
    <w:rsid w:val="00582576"/>
    <w:rsid w:val="0058289E"/>
    <w:rsid w:val="00582E36"/>
    <w:rsid w:val="00583964"/>
    <w:rsid w:val="00583F43"/>
    <w:rsid w:val="00584239"/>
    <w:rsid w:val="00584B38"/>
    <w:rsid w:val="00585008"/>
    <w:rsid w:val="00585630"/>
    <w:rsid w:val="00585900"/>
    <w:rsid w:val="00586D25"/>
    <w:rsid w:val="00586F1A"/>
    <w:rsid w:val="00587189"/>
    <w:rsid w:val="00587250"/>
    <w:rsid w:val="0058732A"/>
    <w:rsid w:val="00590294"/>
    <w:rsid w:val="00590707"/>
    <w:rsid w:val="005916D1"/>
    <w:rsid w:val="00591A16"/>
    <w:rsid w:val="00591BDB"/>
    <w:rsid w:val="00591E15"/>
    <w:rsid w:val="00591E34"/>
    <w:rsid w:val="005928E3"/>
    <w:rsid w:val="00592A94"/>
    <w:rsid w:val="005930C7"/>
    <w:rsid w:val="00593B89"/>
    <w:rsid w:val="00594188"/>
    <w:rsid w:val="005946F5"/>
    <w:rsid w:val="00594BB0"/>
    <w:rsid w:val="00595599"/>
    <w:rsid w:val="00595B4E"/>
    <w:rsid w:val="005961DE"/>
    <w:rsid w:val="00596A15"/>
    <w:rsid w:val="00596AC4"/>
    <w:rsid w:val="00596C48"/>
    <w:rsid w:val="00597186"/>
    <w:rsid w:val="005972F5"/>
    <w:rsid w:val="005973B4"/>
    <w:rsid w:val="00597860"/>
    <w:rsid w:val="00597FBA"/>
    <w:rsid w:val="005A0171"/>
    <w:rsid w:val="005A0456"/>
    <w:rsid w:val="005A04F5"/>
    <w:rsid w:val="005A0821"/>
    <w:rsid w:val="005A0A25"/>
    <w:rsid w:val="005A0AAF"/>
    <w:rsid w:val="005A18C8"/>
    <w:rsid w:val="005A1B4C"/>
    <w:rsid w:val="005A1BEF"/>
    <w:rsid w:val="005A252B"/>
    <w:rsid w:val="005A26CA"/>
    <w:rsid w:val="005A2A0E"/>
    <w:rsid w:val="005A3080"/>
    <w:rsid w:val="005A3262"/>
    <w:rsid w:val="005A3290"/>
    <w:rsid w:val="005A3A57"/>
    <w:rsid w:val="005A3C7F"/>
    <w:rsid w:val="005A3FCD"/>
    <w:rsid w:val="005A403B"/>
    <w:rsid w:val="005A45CF"/>
    <w:rsid w:val="005A53A6"/>
    <w:rsid w:val="005A54F6"/>
    <w:rsid w:val="005A5733"/>
    <w:rsid w:val="005A5BC5"/>
    <w:rsid w:val="005A5C9F"/>
    <w:rsid w:val="005A5D3F"/>
    <w:rsid w:val="005A5DA4"/>
    <w:rsid w:val="005A6257"/>
    <w:rsid w:val="005A6F75"/>
    <w:rsid w:val="005A71FA"/>
    <w:rsid w:val="005A7B00"/>
    <w:rsid w:val="005A7DB3"/>
    <w:rsid w:val="005B00AD"/>
    <w:rsid w:val="005B058C"/>
    <w:rsid w:val="005B05A1"/>
    <w:rsid w:val="005B13A4"/>
    <w:rsid w:val="005B1456"/>
    <w:rsid w:val="005B1769"/>
    <w:rsid w:val="005B1AF9"/>
    <w:rsid w:val="005B1E36"/>
    <w:rsid w:val="005B20EC"/>
    <w:rsid w:val="005B328B"/>
    <w:rsid w:val="005B3E5D"/>
    <w:rsid w:val="005B3EE5"/>
    <w:rsid w:val="005B4074"/>
    <w:rsid w:val="005B4280"/>
    <w:rsid w:val="005B4374"/>
    <w:rsid w:val="005B43AD"/>
    <w:rsid w:val="005B453E"/>
    <w:rsid w:val="005B4546"/>
    <w:rsid w:val="005B45B2"/>
    <w:rsid w:val="005B4C81"/>
    <w:rsid w:val="005B5A15"/>
    <w:rsid w:val="005B5AC1"/>
    <w:rsid w:val="005B5E04"/>
    <w:rsid w:val="005B6502"/>
    <w:rsid w:val="005B70F6"/>
    <w:rsid w:val="005B74EC"/>
    <w:rsid w:val="005B77B9"/>
    <w:rsid w:val="005B77EB"/>
    <w:rsid w:val="005C14B4"/>
    <w:rsid w:val="005C161F"/>
    <w:rsid w:val="005C16E7"/>
    <w:rsid w:val="005C1C55"/>
    <w:rsid w:val="005C2543"/>
    <w:rsid w:val="005C26FF"/>
    <w:rsid w:val="005C2907"/>
    <w:rsid w:val="005C2C08"/>
    <w:rsid w:val="005C2C3E"/>
    <w:rsid w:val="005C2DB7"/>
    <w:rsid w:val="005C31CF"/>
    <w:rsid w:val="005C322B"/>
    <w:rsid w:val="005C3A2B"/>
    <w:rsid w:val="005C4F38"/>
    <w:rsid w:val="005C5195"/>
    <w:rsid w:val="005C53D8"/>
    <w:rsid w:val="005C552D"/>
    <w:rsid w:val="005C5654"/>
    <w:rsid w:val="005C5AB9"/>
    <w:rsid w:val="005C5AF7"/>
    <w:rsid w:val="005C5D6B"/>
    <w:rsid w:val="005C6066"/>
    <w:rsid w:val="005C618F"/>
    <w:rsid w:val="005C6859"/>
    <w:rsid w:val="005C6A0F"/>
    <w:rsid w:val="005C76E0"/>
    <w:rsid w:val="005C7EFC"/>
    <w:rsid w:val="005D00BA"/>
    <w:rsid w:val="005D0408"/>
    <w:rsid w:val="005D0426"/>
    <w:rsid w:val="005D12B4"/>
    <w:rsid w:val="005D1527"/>
    <w:rsid w:val="005D1632"/>
    <w:rsid w:val="005D1B2C"/>
    <w:rsid w:val="005D2234"/>
    <w:rsid w:val="005D22F5"/>
    <w:rsid w:val="005D2504"/>
    <w:rsid w:val="005D30FE"/>
    <w:rsid w:val="005D3D87"/>
    <w:rsid w:val="005D3F3A"/>
    <w:rsid w:val="005D3F93"/>
    <w:rsid w:val="005D43AB"/>
    <w:rsid w:val="005D4810"/>
    <w:rsid w:val="005D4CF5"/>
    <w:rsid w:val="005D4F99"/>
    <w:rsid w:val="005D50BB"/>
    <w:rsid w:val="005D5634"/>
    <w:rsid w:val="005D690E"/>
    <w:rsid w:val="005D6B7A"/>
    <w:rsid w:val="005D6BDB"/>
    <w:rsid w:val="005D7A74"/>
    <w:rsid w:val="005D7B62"/>
    <w:rsid w:val="005E02AB"/>
    <w:rsid w:val="005E09F9"/>
    <w:rsid w:val="005E0C67"/>
    <w:rsid w:val="005E0E6A"/>
    <w:rsid w:val="005E0EEA"/>
    <w:rsid w:val="005E1326"/>
    <w:rsid w:val="005E1439"/>
    <w:rsid w:val="005E157A"/>
    <w:rsid w:val="005E20C1"/>
    <w:rsid w:val="005E2609"/>
    <w:rsid w:val="005E266C"/>
    <w:rsid w:val="005E31D7"/>
    <w:rsid w:val="005E35BF"/>
    <w:rsid w:val="005E45CB"/>
    <w:rsid w:val="005E49F3"/>
    <w:rsid w:val="005E5343"/>
    <w:rsid w:val="005E53EE"/>
    <w:rsid w:val="005E5D47"/>
    <w:rsid w:val="005E6433"/>
    <w:rsid w:val="005E64DD"/>
    <w:rsid w:val="005E688B"/>
    <w:rsid w:val="005E6AB1"/>
    <w:rsid w:val="005E6E2B"/>
    <w:rsid w:val="005E75BD"/>
    <w:rsid w:val="005E789C"/>
    <w:rsid w:val="005E7994"/>
    <w:rsid w:val="005E7BFD"/>
    <w:rsid w:val="005E7E69"/>
    <w:rsid w:val="005F0CC9"/>
    <w:rsid w:val="005F0FBA"/>
    <w:rsid w:val="005F11BF"/>
    <w:rsid w:val="005F125D"/>
    <w:rsid w:val="005F12DD"/>
    <w:rsid w:val="005F176A"/>
    <w:rsid w:val="005F25D0"/>
    <w:rsid w:val="005F2854"/>
    <w:rsid w:val="005F2BDD"/>
    <w:rsid w:val="005F2FCB"/>
    <w:rsid w:val="005F33E0"/>
    <w:rsid w:val="005F3998"/>
    <w:rsid w:val="005F3AC6"/>
    <w:rsid w:val="005F4049"/>
    <w:rsid w:val="005F424B"/>
    <w:rsid w:val="005F430C"/>
    <w:rsid w:val="005F4438"/>
    <w:rsid w:val="005F4895"/>
    <w:rsid w:val="005F498C"/>
    <w:rsid w:val="005F4A8B"/>
    <w:rsid w:val="005F4D50"/>
    <w:rsid w:val="005F505B"/>
    <w:rsid w:val="005F5879"/>
    <w:rsid w:val="005F5917"/>
    <w:rsid w:val="005F5FA4"/>
    <w:rsid w:val="005F5FC2"/>
    <w:rsid w:val="005F6667"/>
    <w:rsid w:val="005F6677"/>
    <w:rsid w:val="005F705F"/>
    <w:rsid w:val="005F7281"/>
    <w:rsid w:val="005F73EA"/>
    <w:rsid w:val="005F797B"/>
    <w:rsid w:val="005F7A11"/>
    <w:rsid w:val="005F7BB1"/>
    <w:rsid w:val="00600041"/>
    <w:rsid w:val="00600354"/>
    <w:rsid w:val="006005D6"/>
    <w:rsid w:val="00600AF5"/>
    <w:rsid w:val="00601252"/>
    <w:rsid w:val="0060125D"/>
    <w:rsid w:val="0060163A"/>
    <w:rsid w:val="006018D1"/>
    <w:rsid w:val="00602F0E"/>
    <w:rsid w:val="0060322E"/>
    <w:rsid w:val="006035BA"/>
    <w:rsid w:val="00603AB1"/>
    <w:rsid w:val="006044C1"/>
    <w:rsid w:val="00604834"/>
    <w:rsid w:val="0060487A"/>
    <w:rsid w:val="00604889"/>
    <w:rsid w:val="00604F61"/>
    <w:rsid w:val="006053BD"/>
    <w:rsid w:val="00605440"/>
    <w:rsid w:val="00605614"/>
    <w:rsid w:val="0060589F"/>
    <w:rsid w:val="00605A47"/>
    <w:rsid w:val="00605CD6"/>
    <w:rsid w:val="006066C4"/>
    <w:rsid w:val="006073EF"/>
    <w:rsid w:val="00607600"/>
    <w:rsid w:val="006078D7"/>
    <w:rsid w:val="00607ADC"/>
    <w:rsid w:val="00607F95"/>
    <w:rsid w:val="006105D4"/>
    <w:rsid w:val="0061067E"/>
    <w:rsid w:val="00610805"/>
    <w:rsid w:val="0061126C"/>
    <w:rsid w:val="006115F8"/>
    <w:rsid w:val="00611DE1"/>
    <w:rsid w:val="0061206A"/>
    <w:rsid w:val="00612724"/>
    <w:rsid w:val="00612D26"/>
    <w:rsid w:val="00613118"/>
    <w:rsid w:val="00613231"/>
    <w:rsid w:val="006134EA"/>
    <w:rsid w:val="0061354E"/>
    <w:rsid w:val="00613787"/>
    <w:rsid w:val="00613859"/>
    <w:rsid w:val="00613C74"/>
    <w:rsid w:val="006142ED"/>
    <w:rsid w:val="0061475B"/>
    <w:rsid w:val="006147CB"/>
    <w:rsid w:val="00614ECE"/>
    <w:rsid w:val="006151A0"/>
    <w:rsid w:val="006155A2"/>
    <w:rsid w:val="006156C4"/>
    <w:rsid w:val="00615C57"/>
    <w:rsid w:val="0061621B"/>
    <w:rsid w:val="006162B8"/>
    <w:rsid w:val="006167BF"/>
    <w:rsid w:val="00616885"/>
    <w:rsid w:val="00616ABC"/>
    <w:rsid w:val="006172CE"/>
    <w:rsid w:val="0061753A"/>
    <w:rsid w:val="00620CA2"/>
    <w:rsid w:val="00620E81"/>
    <w:rsid w:val="00620F4D"/>
    <w:rsid w:val="00621167"/>
    <w:rsid w:val="00621255"/>
    <w:rsid w:val="006212DB"/>
    <w:rsid w:val="0062164A"/>
    <w:rsid w:val="00622230"/>
    <w:rsid w:val="00622444"/>
    <w:rsid w:val="006225EA"/>
    <w:rsid w:val="006227DA"/>
    <w:rsid w:val="00623638"/>
    <w:rsid w:val="00623767"/>
    <w:rsid w:val="0062379B"/>
    <w:rsid w:val="00623A6E"/>
    <w:rsid w:val="00624602"/>
    <w:rsid w:val="00624893"/>
    <w:rsid w:val="00624AB2"/>
    <w:rsid w:val="006255C8"/>
    <w:rsid w:val="006264EB"/>
    <w:rsid w:val="006265BF"/>
    <w:rsid w:val="00626923"/>
    <w:rsid w:val="006270F6"/>
    <w:rsid w:val="00627441"/>
    <w:rsid w:val="00627595"/>
    <w:rsid w:val="00627DB7"/>
    <w:rsid w:val="00627F48"/>
    <w:rsid w:val="0063014D"/>
    <w:rsid w:val="0063023D"/>
    <w:rsid w:val="006309A4"/>
    <w:rsid w:val="00630F11"/>
    <w:rsid w:val="00631022"/>
    <w:rsid w:val="0063121F"/>
    <w:rsid w:val="00631671"/>
    <w:rsid w:val="00631E29"/>
    <w:rsid w:val="00631EDD"/>
    <w:rsid w:val="006321F0"/>
    <w:rsid w:val="00632609"/>
    <w:rsid w:val="00632958"/>
    <w:rsid w:val="00632CC8"/>
    <w:rsid w:val="00633A41"/>
    <w:rsid w:val="00633F78"/>
    <w:rsid w:val="00634C78"/>
    <w:rsid w:val="006350C1"/>
    <w:rsid w:val="006351A3"/>
    <w:rsid w:val="006351A8"/>
    <w:rsid w:val="0063537C"/>
    <w:rsid w:val="00635B98"/>
    <w:rsid w:val="00635E62"/>
    <w:rsid w:val="006360E0"/>
    <w:rsid w:val="006361A2"/>
    <w:rsid w:val="006362C9"/>
    <w:rsid w:val="00636519"/>
    <w:rsid w:val="0063655C"/>
    <w:rsid w:val="006369F9"/>
    <w:rsid w:val="00636CA8"/>
    <w:rsid w:val="00636DB3"/>
    <w:rsid w:val="00636FAC"/>
    <w:rsid w:val="0063703A"/>
    <w:rsid w:val="0063746D"/>
    <w:rsid w:val="006374D6"/>
    <w:rsid w:val="00637521"/>
    <w:rsid w:val="00637DC3"/>
    <w:rsid w:val="00640541"/>
    <w:rsid w:val="00640C6D"/>
    <w:rsid w:val="006410B9"/>
    <w:rsid w:val="006410D5"/>
    <w:rsid w:val="00641B9A"/>
    <w:rsid w:val="00642195"/>
    <w:rsid w:val="00642264"/>
    <w:rsid w:val="00643027"/>
    <w:rsid w:val="00643159"/>
    <w:rsid w:val="00643231"/>
    <w:rsid w:val="00643CB8"/>
    <w:rsid w:val="00643FA6"/>
    <w:rsid w:val="00644281"/>
    <w:rsid w:val="006443EF"/>
    <w:rsid w:val="006445EF"/>
    <w:rsid w:val="00644AEE"/>
    <w:rsid w:val="00645E8C"/>
    <w:rsid w:val="0064602B"/>
    <w:rsid w:val="00646F0B"/>
    <w:rsid w:val="0064740F"/>
    <w:rsid w:val="00647724"/>
    <w:rsid w:val="00647D2C"/>
    <w:rsid w:val="00647EA3"/>
    <w:rsid w:val="00647FE1"/>
    <w:rsid w:val="0065045B"/>
    <w:rsid w:val="0065066B"/>
    <w:rsid w:val="00650C08"/>
    <w:rsid w:val="00650CBA"/>
    <w:rsid w:val="00650FF1"/>
    <w:rsid w:val="006512D1"/>
    <w:rsid w:val="00651AC8"/>
    <w:rsid w:val="00651CC9"/>
    <w:rsid w:val="00651D32"/>
    <w:rsid w:val="00652E5E"/>
    <w:rsid w:val="00653590"/>
    <w:rsid w:val="006537F5"/>
    <w:rsid w:val="00654082"/>
    <w:rsid w:val="0065461D"/>
    <w:rsid w:val="00654879"/>
    <w:rsid w:val="0065488E"/>
    <w:rsid w:val="00654B52"/>
    <w:rsid w:val="00654E94"/>
    <w:rsid w:val="00654F56"/>
    <w:rsid w:val="006550FE"/>
    <w:rsid w:val="006552DE"/>
    <w:rsid w:val="006555BD"/>
    <w:rsid w:val="00655891"/>
    <w:rsid w:val="0065591E"/>
    <w:rsid w:val="0065592E"/>
    <w:rsid w:val="00655A76"/>
    <w:rsid w:val="00656025"/>
    <w:rsid w:val="006566CE"/>
    <w:rsid w:val="0065681F"/>
    <w:rsid w:val="006571FF"/>
    <w:rsid w:val="006578E6"/>
    <w:rsid w:val="00657B62"/>
    <w:rsid w:val="00657D2A"/>
    <w:rsid w:val="0066091F"/>
    <w:rsid w:val="00660C81"/>
    <w:rsid w:val="006610EC"/>
    <w:rsid w:val="006611F7"/>
    <w:rsid w:val="006613D8"/>
    <w:rsid w:val="00661BFC"/>
    <w:rsid w:val="00661EAD"/>
    <w:rsid w:val="00662038"/>
    <w:rsid w:val="00662116"/>
    <w:rsid w:val="006623DB"/>
    <w:rsid w:val="006623FF"/>
    <w:rsid w:val="00662611"/>
    <w:rsid w:val="006627AE"/>
    <w:rsid w:val="006627B7"/>
    <w:rsid w:val="00662BFD"/>
    <w:rsid w:val="00662CD8"/>
    <w:rsid w:val="00663D17"/>
    <w:rsid w:val="006642EF"/>
    <w:rsid w:val="006648E3"/>
    <w:rsid w:val="00664DBD"/>
    <w:rsid w:val="00665954"/>
    <w:rsid w:val="00665B76"/>
    <w:rsid w:val="00665FAB"/>
    <w:rsid w:val="0066620D"/>
    <w:rsid w:val="0066621E"/>
    <w:rsid w:val="0066652D"/>
    <w:rsid w:val="0066788D"/>
    <w:rsid w:val="006708FA"/>
    <w:rsid w:val="00670939"/>
    <w:rsid w:val="00670A36"/>
    <w:rsid w:val="00670DB9"/>
    <w:rsid w:val="00671018"/>
    <w:rsid w:val="006719EB"/>
    <w:rsid w:val="00671AD6"/>
    <w:rsid w:val="00671B23"/>
    <w:rsid w:val="006729E4"/>
    <w:rsid w:val="006729F7"/>
    <w:rsid w:val="00672B1F"/>
    <w:rsid w:val="00672B88"/>
    <w:rsid w:val="00672FEF"/>
    <w:rsid w:val="00673D5A"/>
    <w:rsid w:val="00673EB7"/>
    <w:rsid w:val="00674467"/>
    <w:rsid w:val="006746F3"/>
    <w:rsid w:val="00674F15"/>
    <w:rsid w:val="00675319"/>
    <w:rsid w:val="006754B8"/>
    <w:rsid w:val="00675829"/>
    <w:rsid w:val="00675A35"/>
    <w:rsid w:val="00675AD1"/>
    <w:rsid w:val="00675CCF"/>
    <w:rsid w:val="006764FE"/>
    <w:rsid w:val="00677087"/>
    <w:rsid w:val="00677337"/>
    <w:rsid w:val="00677A5F"/>
    <w:rsid w:val="00677BDA"/>
    <w:rsid w:val="00677C82"/>
    <w:rsid w:val="00680488"/>
    <w:rsid w:val="00680791"/>
    <w:rsid w:val="00680907"/>
    <w:rsid w:val="00680A9F"/>
    <w:rsid w:val="00680BFA"/>
    <w:rsid w:val="0068132F"/>
    <w:rsid w:val="00681589"/>
    <w:rsid w:val="00681DD0"/>
    <w:rsid w:val="00682317"/>
    <w:rsid w:val="006827AC"/>
    <w:rsid w:val="006836E8"/>
    <w:rsid w:val="00683B91"/>
    <w:rsid w:val="00684141"/>
    <w:rsid w:val="006841DA"/>
    <w:rsid w:val="0068426A"/>
    <w:rsid w:val="00684378"/>
    <w:rsid w:val="006847E9"/>
    <w:rsid w:val="00684CCA"/>
    <w:rsid w:val="00684F0F"/>
    <w:rsid w:val="00685022"/>
    <w:rsid w:val="006855F9"/>
    <w:rsid w:val="006856D6"/>
    <w:rsid w:val="0068582D"/>
    <w:rsid w:val="00685A2A"/>
    <w:rsid w:val="0068692E"/>
    <w:rsid w:val="00686AF5"/>
    <w:rsid w:val="00686BC1"/>
    <w:rsid w:val="006878F7"/>
    <w:rsid w:val="00687C06"/>
    <w:rsid w:val="00687E6A"/>
    <w:rsid w:val="00687EDE"/>
    <w:rsid w:val="00690C38"/>
    <w:rsid w:val="006912D5"/>
    <w:rsid w:val="0069206B"/>
    <w:rsid w:val="006922AF"/>
    <w:rsid w:val="006924DA"/>
    <w:rsid w:val="00692960"/>
    <w:rsid w:val="0069311D"/>
    <w:rsid w:val="00693439"/>
    <w:rsid w:val="006936B8"/>
    <w:rsid w:val="006945E9"/>
    <w:rsid w:val="0069601D"/>
    <w:rsid w:val="006962CE"/>
    <w:rsid w:val="00696AFE"/>
    <w:rsid w:val="00696BE0"/>
    <w:rsid w:val="00697586"/>
    <w:rsid w:val="006978B0"/>
    <w:rsid w:val="00697EED"/>
    <w:rsid w:val="006A0F7D"/>
    <w:rsid w:val="006A1789"/>
    <w:rsid w:val="006A1E86"/>
    <w:rsid w:val="006A2484"/>
    <w:rsid w:val="006A25FC"/>
    <w:rsid w:val="006A2708"/>
    <w:rsid w:val="006A2C2F"/>
    <w:rsid w:val="006A2DF5"/>
    <w:rsid w:val="006A2F3E"/>
    <w:rsid w:val="006A486F"/>
    <w:rsid w:val="006A499D"/>
    <w:rsid w:val="006A4AEC"/>
    <w:rsid w:val="006A4B09"/>
    <w:rsid w:val="006A4C45"/>
    <w:rsid w:val="006A50A2"/>
    <w:rsid w:val="006A5667"/>
    <w:rsid w:val="006A5AB7"/>
    <w:rsid w:val="006A5B24"/>
    <w:rsid w:val="006A607B"/>
    <w:rsid w:val="006A654A"/>
    <w:rsid w:val="006A66C5"/>
    <w:rsid w:val="006A6D7A"/>
    <w:rsid w:val="006A7608"/>
    <w:rsid w:val="006A7861"/>
    <w:rsid w:val="006B0387"/>
    <w:rsid w:val="006B099D"/>
    <w:rsid w:val="006B0C8A"/>
    <w:rsid w:val="006B0DC2"/>
    <w:rsid w:val="006B0DF8"/>
    <w:rsid w:val="006B1042"/>
    <w:rsid w:val="006B1051"/>
    <w:rsid w:val="006B10E7"/>
    <w:rsid w:val="006B125F"/>
    <w:rsid w:val="006B16B3"/>
    <w:rsid w:val="006B1765"/>
    <w:rsid w:val="006B1A16"/>
    <w:rsid w:val="006B224F"/>
    <w:rsid w:val="006B4AA2"/>
    <w:rsid w:val="006B679F"/>
    <w:rsid w:val="006B69D6"/>
    <w:rsid w:val="006B69DA"/>
    <w:rsid w:val="006B69E9"/>
    <w:rsid w:val="006B6DC9"/>
    <w:rsid w:val="006B737B"/>
    <w:rsid w:val="006B753E"/>
    <w:rsid w:val="006B76AB"/>
    <w:rsid w:val="006B77E9"/>
    <w:rsid w:val="006B7C1A"/>
    <w:rsid w:val="006B7DBB"/>
    <w:rsid w:val="006C042B"/>
    <w:rsid w:val="006C0AAF"/>
    <w:rsid w:val="006C174E"/>
    <w:rsid w:val="006C1AFD"/>
    <w:rsid w:val="006C2302"/>
    <w:rsid w:val="006C2353"/>
    <w:rsid w:val="006C283F"/>
    <w:rsid w:val="006C3761"/>
    <w:rsid w:val="006C38D2"/>
    <w:rsid w:val="006C3DB8"/>
    <w:rsid w:val="006C51AE"/>
    <w:rsid w:val="006C5212"/>
    <w:rsid w:val="006C5D1E"/>
    <w:rsid w:val="006C6774"/>
    <w:rsid w:val="006C71DE"/>
    <w:rsid w:val="006C74EB"/>
    <w:rsid w:val="006C7646"/>
    <w:rsid w:val="006C7AC9"/>
    <w:rsid w:val="006D0028"/>
    <w:rsid w:val="006D02CA"/>
    <w:rsid w:val="006D07B3"/>
    <w:rsid w:val="006D0F57"/>
    <w:rsid w:val="006D1248"/>
    <w:rsid w:val="006D1A9B"/>
    <w:rsid w:val="006D1C05"/>
    <w:rsid w:val="006D1D40"/>
    <w:rsid w:val="006D2FDF"/>
    <w:rsid w:val="006D3015"/>
    <w:rsid w:val="006D3606"/>
    <w:rsid w:val="006D3E01"/>
    <w:rsid w:val="006D4255"/>
    <w:rsid w:val="006D445F"/>
    <w:rsid w:val="006D46B0"/>
    <w:rsid w:val="006D4907"/>
    <w:rsid w:val="006D4DB4"/>
    <w:rsid w:val="006D5108"/>
    <w:rsid w:val="006D56D0"/>
    <w:rsid w:val="006D5DCB"/>
    <w:rsid w:val="006D62BC"/>
    <w:rsid w:val="006D63CC"/>
    <w:rsid w:val="006D67D9"/>
    <w:rsid w:val="006D6C16"/>
    <w:rsid w:val="006D6C2E"/>
    <w:rsid w:val="006D7336"/>
    <w:rsid w:val="006D7440"/>
    <w:rsid w:val="006D7AC6"/>
    <w:rsid w:val="006D7DF7"/>
    <w:rsid w:val="006D7E7E"/>
    <w:rsid w:val="006D7F95"/>
    <w:rsid w:val="006E0128"/>
    <w:rsid w:val="006E016C"/>
    <w:rsid w:val="006E0F1D"/>
    <w:rsid w:val="006E195A"/>
    <w:rsid w:val="006E2A1F"/>
    <w:rsid w:val="006E2FF5"/>
    <w:rsid w:val="006E32F5"/>
    <w:rsid w:val="006E32F8"/>
    <w:rsid w:val="006E348B"/>
    <w:rsid w:val="006E3547"/>
    <w:rsid w:val="006E3D2B"/>
    <w:rsid w:val="006E4684"/>
    <w:rsid w:val="006E4B85"/>
    <w:rsid w:val="006E4CE4"/>
    <w:rsid w:val="006E5297"/>
    <w:rsid w:val="006E6262"/>
    <w:rsid w:val="006E63BC"/>
    <w:rsid w:val="006E6FBA"/>
    <w:rsid w:val="006E739F"/>
    <w:rsid w:val="006E752F"/>
    <w:rsid w:val="006E7633"/>
    <w:rsid w:val="006E7774"/>
    <w:rsid w:val="006E7A8C"/>
    <w:rsid w:val="006F010D"/>
    <w:rsid w:val="006F0853"/>
    <w:rsid w:val="006F0B03"/>
    <w:rsid w:val="006F0B09"/>
    <w:rsid w:val="006F1655"/>
    <w:rsid w:val="006F21F4"/>
    <w:rsid w:val="006F253A"/>
    <w:rsid w:val="006F2A41"/>
    <w:rsid w:val="006F2D48"/>
    <w:rsid w:val="006F2E16"/>
    <w:rsid w:val="006F3257"/>
    <w:rsid w:val="006F343B"/>
    <w:rsid w:val="006F3641"/>
    <w:rsid w:val="006F37C4"/>
    <w:rsid w:val="006F3A57"/>
    <w:rsid w:val="006F3B79"/>
    <w:rsid w:val="006F3C3C"/>
    <w:rsid w:val="006F3CFA"/>
    <w:rsid w:val="006F3E01"/>
    <w:rsid w:val="006F478D"/>
    <w:rsid w:val="006F4F59"/>
    <w:rsid w:val="006F50B9"/>
    <w:rsid w:val="006F5273"/>
    <w:rsid w:val="006F5465"/>
    <w:rsid w:val="006F591C"/>
    <w:rsid w:val="006F59EC"/>
    <w:rsid w:val="006F631E"/>
    <w:rsid w:val="006F6B39"/>
    <w:rsid w:val="006F6B44"/>
    <w:rsid w:val="006F6EF8"/>
    <w:rsid w:val="006F72D5"/>
    <w:rsid w:val="006F7320"/>
    <w:rsid w:val="006F7BFA"/>
    <w:rsid w:val="006F7C13"/>
    <w:rsid w:val="007003A5"/>
    <w:rsid w:val="00700B5F"/>
    <w:rsid w:val="00700E24"/>
    <w:rsid w:val="00700E70"/>
    <w:rsid w:val="0070106C"/>
    <w:rsid w:val="007010C8"/>
    <w:rsid w:val="0070145F"/>
    <w:rsid w:val="00701DCC"/>
    <w:rsid w:val="007025BE"/>
    <w:rsid w:val="007027B4"/>
    <w:rsid w:val="00703C67"/>
    <w:rsid w:val="00703D4C"/>
    <w:rsid w:val="00703F54"/>
    <w:rsid w:val="007041CF"/>
    <w:rsid w:val="00704946"/>
    <w:rsid w:val="00704D49"/>
    <w:rsid w:val="007051B1"/>
    <w:rsid w:val="00705635"/>
    <w:rsid w:val="00705E21"/>
    <w:rsid w:val="00706111"/>
    <w:rsid w:val="00706430"/>
    <w:rsid w:val="00706A28"/>
    <w:rsid w:val="00706AFF"/>
    <w:rsid w:val="00706CB0"/>
    <w:rsid w:val="007071AB"/>
    <w:rsid w:val="00707309"/>
    <w:rsid w:val="0071015E"/>
    <w:rsid w:val="00710593"/>
    <w:rsid w:val="007108B4"/>
    <w:rsid w:val="00710F6A"/>
    <w:rsid w:val="007111B2"/>
    <w:rsid w:val="007118E8"/>
    <w:rsid w:val="00711AD3"/>
    <w:rsid w:val="00711D80"/>
    <w:rsid w:val="00712266"/>
    <w:rsid w:val="0071257F"/>
    <w:rsid w:val="00713084"/>
    <w:rsid w:val="00713572"/>
    <w:rsid w:val="007137FE"/>
    <w:rsid w:val="00713867"/>
    <w:rsid w:val="00713D78"/>
    <w:rsid w:val="007148B1"/>
    <w:rsid w:val="00715A10"/>
    <w:rsid w:val="00716300"/>
    <w:rsid w:val="00716A44"/>
    <w:rsid w:val="00716F3E"/>
    <w:rsid w:val="00717860"/>
    <w:rsid w:val="00717CE7"/>
    <w:rsid w:val="00717E6A"/>
    <w:rsid w:val="0072008B"/>
    <w:rsid w:val="0072050B"/>
    <w:rsid w:val="0072068C"/>
    <w:rsid w:val="007206F6"/>
    <w:rsid w:val="007206F9"/>
    <w:rsid w:val="007209E3"/>
    <w:rsid w:val="00720C1A"/>
    <w:rsid w:val="00720C4B"/>
    <w:rsid w:val="0072111D"/>
    <w:rsid w:val="0072154A"/>
    <w:rsid w:val="007218AF"/>
    <w:rsid w:val="00721E2C"/>
    <w:rsid w:val="00721F49"/>
    <w:rsid w:val="007220C5"/>
    <w:rsid w:val="00722101"/>
    <w:rsid w:val="0072298B"/>
    <w:rsid w:val="00722B57"/>
    <w:rsid w:val="00723605"/>
    <w:rsid w:val="0072530F"/>
    <w:rsid w:val="007259A5"/>
    <w:rsid w:val="0072662D"/>
    <w:rsid w:val="0072669B"/>
    <w:rsid w:val="00726BAE"/>
    <w:rsid w:val="00726FF2"/>
    <w:rsid w:val="00727396"/>
    <w:rsid w:val="007301BD"/>
    <w:rsid w:val="00730676"/>
    <w:rsid w:val="00731038"/>
    <w:rsid w:val="007310D9"/>
    <w:rsid w:val="00731599"/>
    <w:rsid w:val="00731BC4"/>
    <w:rsid w:val="00731E6B"/>
    <w:rsid w:val="0073241C"/>
    <w:rsid w:val="00732F1B"/>
    <w:rsid w:val="00732F4D"/>
    <w:rsid w:val="007334A5"/>
    <w:rsid w:val="007337EA"/>
    <w:rsid w:val="0073435C"/>
    <w:rsid w:val="007349B6"/>
    <w:rsid w:val="00734B30"/>
    <w:rsid w:val="00734C02"/>
    <w:rsid w:val="00734FC5"/>
    <w:rsid w:val="007353F0"/>
    <w:rsid w:val="00735639"/>
    <w:rsid w:val="00735831"/>
    <w:rsid w:val="007362FB"/>
    <w:rsid w:val="0073633C"/>
    <w:rsid w:val="00736422"/>
    <w:rsid w:val="0073659F"/>
    <w:rsid w:val="00736DA8"/>
    <w:rsid w:val="00736F24"/>
    <w:rsid w:val="00737C48"/>
    <w:rsid w:val="00737C87"/>
    <w:rsid w:val="00737CAA"/>
    <w:rsid w:val="00740377"/>
    <w:rsid w:val="007403B8"/>
    <w:rsid w:val="007404DC"/>
    <w:rsid w:val="00740B90"/>
    <w:rsid w:val="00740BE3"/>
    <w:rsid w:val="00741188"/>
    <w:rsid w:val="00741190"/>
    <w:rsid w:val="0074167D"/>
    <w:rsid w:val="007419D7"/>
    <w:rsid w:val="007419DC"/>
    <w:rsid w:val="00742390"/>
    <w:rsid w:val="007423F8"/>
    <w:rsid w:val="00742C25"/>
    <w:rsid w:val="00742E69"/>
    <w:rsid w:val="00743589"/>
    <w:rsid w:val="007436AC"/>
    <w:rsid w:val="00743AB1"/>
    <w:rsid w:val="00743D3D"/>
    <w:rsid w:val="00743ECA"/>
    <w:rsid w:val="007440AD"/>
    <w:rsid w:val="00744457"/>
    <w:rsid w:val="007447BB"/>
    <w:rsid w:val="007448D9"/>
    <w:rsid w:val="00745138"/>
    <w:rsid w:val="007457B4"/>
    <w:rsid w:val="00745912"/>
    <w:rsid w:val="007459B2"/>
    <w:rsid w:val="00745A80"/>
    <w:rsid w:val="00745AB4"/>
    <w:rsid w:val="00745BB8"/>
    <w:rsid w:val="0074604A"/>
    <w:rsid w:val="00746764"/>
    <w:rsid w:val="007470BB"/>
    <w:rsid w:val="00747115"/>
    <w:rsid w:val="007479B8"/>
    <w:rsid w:val="00747A81"/>
    <w:rsid w:val="00747EFF"/>
    <w:rsid w:val="007508DA"/>
    <w:rsid w:val="00750C08"/>
    <w:rsid w:val="00750E34"/>
    <w:rsid w:val="00750FF2"/>
    <w:rsid w:val="00751550"/>
    <w:rsid w:val="00751671"/>
    <w:rsid w:val="00751A97"/>
    <w:rsid w:val="00751D42"/>
    <w:rsid w:val="00751F83"/>
    <w:rsid w:val="0075219E"/>
    <w:rsid w:val="0075373A"/>
    <w:rsid w:val="00753929"/>
    <w:rsid w:val="00753E55"/>
    <w:rsid w:val="00753EB5"/>
    <w:rsid w:val="00754A06"/>
    <w:rsid w:val="00755217"/>
    <w:rsid w:val="0075523D"/>
    <w:rsid w:val="00755C76"/>
    <w:rsid w:val="007564A6"/>
    <w:rsid w:val="0075683E"/>
    <w:rsid w:val="00756846"/>
    <w:rsid w:val="0075725D"/>
    <w:rsid w:val="0075772E"/>
    <w:rsid w:val="00757BD9"/>
    <w:rsid w:val="00757C13"/>
    <w:rsid w:val="00757C45"/>
    <w:rsid w:val="00757F19"/>
    <w:rsid w:val="007609A1"/>
    <w:rsid w:val="00760BEB"/>
    <w:rsid w:val="0076135A"/>
    <w:rsid w:val="00761603"/>
    <w:rsid w:val="00761DA7"/>
    <w:rsid w:val="007621DE"/>
    <w:rsid w:val="00762960"/>
    <w:rsid w:val="00762A9B"/>
    <w:rsid w:val="00762E61"/>
    <w:rsid w:val="00763338"/>
    <w:rsid w:val="007634AE"/>
    <w:rsid w:val="007634CB"/>
    <w:rsid w:val="00763C24"/>
    <w:rsid w:val="0076432C"/>
    <w:rsid w:val="00765831"/>
    <w:rsid w:val="00765936"/>
    <w:rsid w:val="007659F3"/>
    <w:rsid w:val="00765A42"/>
    <w:rsid w:val="00765A74"/>
    <w:rsid w:val="00765E0E"/>
    <w:rsid w:val="007660C1"/>
    <w:rsid w:val="007665C8"/>
    <w:rsid w:val="00766847"/>
    <w:rsid w:val="00766BD8"/>
    <w:rsid w:val="00766BE8"/>
    <w:rsid w:val="00766FE4"/>
    <w:rsid w:val="00767770"/>
    <w:rsid w:val="00767F62"/>
    <w:rsid w:val="00767F99"/>
    <w:rsid w:val="0077031D"/>
    <w:rsid w:val="00770844"/>
    <w:rsid w:val="00771CC9"/>
    <w:rsid w:val="007721BD"/>
    <w:rsid w:val="00772573"/>
    <w:rsid w:val="00772E13"/>
    <w:rsid w:val="007730BE"/>
    <w:rsid w:val="007730E3"/>
    <w:rsid w:val="0077360B"/>
    <w:rsid w:val="00773AD1"/>
    <w:rsid w:val="00773B04"/>
    <w:rsid w:val="00773F23"/>
    <w:rsid w:val="007745C2"/>
    <w:rsid w:val="00774BB0"/>
    <w:rsid w:val="00774C94"/>
    <w:rsid w:val="007751FD"/>
    <w:rsid w:val="007752BC"/>
    <w:rsid w:val="007756FA"/>
    <w:rsid w:val="0077575E"/>
    <w:rsid w:val="0077603B"/>
    <w:rsid w:val="007760B8"/>
    <w:rsid w:val="007763C8"/>
    <w:rsid w:val="0077680E"/>
    <w:rsid w:val="007769E8"/>
    <w:rsid w:val="00776DF4"/>
    <w:rsid w:val="0077767B"/>
    <w:rsid w:val="007779D7"/>
    <w:rsid w:val="00777EF3"/>
    <w:rsid w:val="00780656"/>
    <w:rsid w:val="0078073A"/>
    <w:rsid w:val="00780BBE"/>
    <w:rsid w:val="00780C47"/>
    <w:rsid w:val="0078159F"/>
    <w:rsid w:val="007815E8"/>
    <w:rsid w:val="007819A3"/>
    <w:rsid w:val="00781A77"/>
    <w:rsid w:val="00781B12"/>
    <w:rsid w:val="00781B1F"/>
    <w:rsid w:val="0078207A"/>
    <w:rsid w:val="00782B6F"/>
    <w:rsid w:val="00783192"/>
    <w:rsid w:val="00783352"/>
    <w:rsid w:val="0078338F"/>
    <w:rsid w:val="007833AD"/>
    <w:rsid w:val="00784180"/>
    <w:rsid w:val="00784A74"/>
    <w:rsid w:val="00784EFB"/>
    <w:rsid w:val="00784F15"/>
    <w:rsid w:val="00784F54"/>
    <w:rsid w:val="007853BB"/>
    <w:rsid w:val="00785DAF"/>
    <w:rsid w:val="00786334"/>
    <w:rsid w:val="00786616"/>
    <w:rsid w:val="00786716"/>
    <w:rsid w:val="007867AC"/>
    <w:rsid w:val="00786B32"/>
    <w:rsid w:val="00786C8C"/>
    <w:rsid w:val="007871FD"/>
    <w:rsid w:val="007876D4"/>
    <w:rsid w:val="0078789A"/>
    <w:rsid w:val="00787AFC"/>
    <w:rsid w:val="007900E4"/>
    <w:rsid w:val="00790109"/>
    <w:rsid w:val="0079087B"/>
    <w:rsid w:val="00791B68"/>
    <w:rsid w:val="00791CFF"/>
    <w:rsid w:val="007920D9"/>
    <w:rsid w:val="0079247F"/>
    <w:rsid w:val="0079331A"/>
    <w:rsid w:val="00793C84"/>
    <w:rsid w:val="00793DAC"/>
    <w:rsid w:val="00794106"/>
    <w:rsid w:val="0079450D"/>
    <w:rsid w:val="007947A9"/>
    <w:rsid w:val="00794ED4"/>
    <w:rsid w:val="00795035"/>
    <w:rsid w:val="007953C1"/>
    <w:rsid w:val="00795BC9"/>
    <w:rsid w:val="00795D31"/>
    <w:rsid w:val="0079600F"/>
    <w:rsid w:val="00796885"/>
    <w:rsid w:val="00796E96"/>
    <w:rsid w:val="00797198"/>
    <w:rsid w:val="00797AC0"/>
    <w:rsid w:val="00797AF6"/>
    <w:rsid w:val="007A0A29"/>
    <w:rsid w:val="007A11B0"/>
    <w:rsid w:val="007A12E3"/>
    <w:rsid w:val="007A1436"/>
    <w:rsid w:val="007A1C8B"/>
    <w:rsid w:val="007A1D40"/>
    <w:rsid w:val="007A2DFB"/>
    <w:rsid w:val="007A3D44"/>
    <w:rsid w:val="007A3EA7"/>
    <w:rsid w:val="007A488B"/>
    <w:rsid w:val="007A4C2F"/>
    <w:rsid w:val="007A4E02"/>
    <w:rsid w:val="007A5BBF"/>
    <w:rsid w:val="007A6885"/>
    <w:rsid w:val="007A6F54"/>
    <w:rsid w:val="007A7133"/>
    <w:rsid w:val="007A7385"/>
    <w:rsid w:val="007A75E0"/>
    <w:rsid w:val="007A7B01"/>
    <w:rsid w:val="007B04D9"/>
    <w:rsid w:val="007B0521"/>
    <w:rsid w:val="007B08E8"/>
    <w:rsid w:val="007B095A"/>
    <w:rsid w:val="007B1166"/>
    <w:rsid w:val="007B174E"/>
    <w:rsid w:val="007B1779"/>
    <w:rsid w:val="007B2046"/>
    <w:rsid w:val="007B244C"/>
    <w:rsid w:val="007B29D3"/>
    <w:rsid w:val="007B35F2"/>
    <w:rsid w:val="007B3E52"/>
    <w:rsid w:val="007B3F20"/>
    <w:rsid w:val="007B4068"/>
    <w:rsid w:val="007B48A4"/>
    <w:rsid w:val="007B4EB3"/>
    <w:rsid w:val="007B5F06"/>
    <w:rsid w:val="007B6005"/>
    <w:rsid w:val="007B6A1F"/>
    <w:rsid w:val="007B7506"/>
    <w:rsid w:val="007B7AAB"/>
    <w:rsid w:val="007B7E30"/>
    <w:rsid w:val="007C0366"/>
    <w:rsid w:val="007C049C"/>
    <w:rsid w:val="007C04E0"/>
    <w:rsid w:val="007C0C08"/>
    <w:rsid w:val="007C0C42"/>
    <w:rsid w:val="007C1F16"/>
    <w:rsid w:val="007C1FAA"/>
    <w:rsid w:val="007C213A"/>
    <w:rsid w:val="007C286C"/>
    <w:rsid w:val="007C2B28"/>
    <w:rsid w:val="007C37B9"/>
    <w:rsid w:val="007C3DCD"/>
    <w:rsid w:val="007C3F34"/>
    <w:rsid w:val="007C420B"/>
    <w:rsid w:val="007C4295"/>
    <w:rsid w:val="007C45B7"/>
    <w:rsid w:val="007C4951"/>
    <w:rsid w:val="007C4978"/>
    <w:rsid w:val="007C4B2F"/>
    <w:rsid w:val="007C4D7F"/>
    <w:rsid w:val="007C5246"/>
    <w:rsid w:val="007C5A51"/>
    <w:rsid w:val="007C65EB"/>
    <w:rsid w:val="007C6AC5"/>
    <w:rsid w:val="007C6F72"/>
    <w:rsid w:val="007C70C3"/>
    <w:rsid w:val="007C7442"/>
    <w:rsid w:val="007C76C7"/>
    <w:rsid w:val="007C7B28"/>
    <w:rsid w:val="007D02DC"/>
    <w:rsid w:val="007D0362"/>
    <w:rsid w:val="007D0C9B"/>
    <w:rsid w:val="007D0E26"/>
    <w:rsid w:val="007D155E"/>
    <w:rsid w:val="007D1E58"/>
    <w:rsid w:val="007D2055"/>
    <w:rsid w:val="007D25A5"/>
    <w:rsid w:val="007D25F8"/>
    <w:rsid w:val="007D2773"/>
    <w:rsid w:val="007D27AE"/>
    <w:rsid w:val="007D2C22"/>
    <w:rsid w:val="007D4059"/>
    <w:rsid w:val="007D4309"/>
    <w:rsid w:val="007D433F"/>
    <w:rsid w:val="007D43BE"/>
    <w:rsid w:val="007D45F2"/>
    <w:rsid w:val="007D46A5"/>
    <w:rsid w:val="007D48CA"/>
    <w:rsid w:val="007D4964"/>
    <w:rsid w:val="007D49CF"/>
    <w:rsid w:val="007D4F2B"/>
    <w:rsid w:val="007D55F4"/>
    <w:rsid w:val="007D5760"/>
    <w:rsid w:val="007D5852"/>
    <w:rsid w:val="007D61B1"/>
    <w:rsid w:val="007D61D3"/>
    <w:rsid w:val="007D63FD"/>
    <w:rsid w:val="007D66E0"/>
    <w:rsid w:val="007D677C"/>
    <w:rsid w:val="007D7690"/>
    <w:rsid w:val="007D7D69"/>
    <w:rsid w:val="007E05AF"/>
    <w:rsid w:val="007E0D24"/>
    <w:rsid w:val="007E1621"/>
    <w:rsid w:val="007E16DD"/>
    <w:rsid w:val="007E1A1E"/>
    <w:rsid w:val="007E1D6F"/>
    <w:rsid w:val="007E2234"/>
    <w:rsid w:val="007E2736"/>
    <w:rsid w:val="007E3066"/>
    <w:rsid w:val="007E39DE"/>
    <w:rsid w:val="007E3D01"/>
    <w:rsid w:val="007E42A0"/>
    <w:rsid w:val="007E4780"/>
    <w:rsid w:val="007E5425"/>
    <w:rsid w:val="007E5657"/>
    <w:rsid w:val="007E5730"/>
    <w:rsid w:val="007E59C2"/>
    <w:rsid w:val="007E5A00"/>
    <w:rsid w:val="007E6164"/>
    <w:rsid w:val="007E61AF"/>
    <w:rsid w:val="007E644E"/>
    <w:rsid w:val="007E6906"/>
    <w:rsid w:val="007E7379"/>
    <w:rsid w:val="007F0172"/>
    <w:rsid w:val="007F0414"/>
    <w:rsid w:val="007F062F"/>
    <w:rsid w:val="007F0B9E"/>
    <w:rsid w:val="007F0EE4"/>
    <w:rsid w:val="007F0FB6"/>
    <w:rsid w:val="007F1E3A"/>
    <w:rsid w:val="007F1F4F"/>
    <w:rsid w:val="007F2416"/>
    <w:rsid w:val="007F2514"/>
    <w:rsid w:val="007F25AB"/>
    <w:rsid w:val="007F25BA"/>
    <w:rsid w:val="007F2934"/>
    <w:rsid w:val="007F2DA7"/>
    <w:rsid w:val="007F3005"/>
    <w:rsid w:val="007F3143"/>
    <w:rsid w:val="007F3557"/>
    <w:rsid w:val="007F360D"/>
    <w:rsid w:val="007F3D50"/>
    <w:rsid w:val="007F409D"/>
    <w:rsid w:val="007F4175"/>
    <w:rsid w:val="007F4C76"/>
    <w:rsid w:val="007F51D3"/>
    <w:rsid w:val="007F5473"/>
    <w:rsid w:val="007F5B33"/>
    <w:rsid w:val="007F5BF1"/>
    <w:rsid w:val="007F638D"/>
    <w:rsid w:val="007F68A7"/>
    <w:rsid w:val="007F714A"/>
    <w:rsid w:val="007F7743"/>
    <w:rsid w:val="007F7937"/>
    <w:rsid w:val="008000EF"/>
    <w:rsid w:val="008001B3"/>
    <w:rsid w:val="00800343"/>
    <w:rsid w:val="008004D6"/>
    <w:rsid w:val="00800761"/>
    <w:rsid w:val="00800B2D"/>
    <w:rsid w:val="0080145E"/>
    <w:rsid w:val="00801472"/>
    <w:rsid w:val="00801A35"/>
    <w:rsid w:val="00803522"/>
    <w:rsid w:val="008036EE"/>
    <w:rsid w:val="008038F7"/>
    <w:rsid w:val="008038F9"/>
    <w:rsid w:val="00803BBA"/>
    <w:rsid w:val="008047CA"/>
    <w:rsid w:val="008054B1"/>
    <w:rsid w:val="00805D3F"/>
    <w:rsid w:val="008069A5"/>
    <w:rsid w:val="00807491"/>
    <w:rsid w:val="00807818"/>
    <w:rsid w:val="00807959"/>
    <w:rsid w:val="00807BD2"/>
    <w:rsid w:val="00807C9B"/>
    <w:rsid w:val="00807DE5"/>
    <w:rsid w:val="0081005A"/>
    <w:rsid w:val="00810224"/>
    <w:rsid w:val="008102DA"/>
    <w:rsid w:val="00810538"/>
    <w:rsid w:val="008106D3"/>
    <w:rsid w:val="008109C1"/>
    <w:rsid w:val="0081148E"/>
    <w:rsid w:val="00811677"/>
    <w:rsid w:val="00811F28"/>
    <w:rsid w:val="008120B9"/>
    <w:rsid w:val="00812286"/>
    <w:rsid w:val="00812A96"/>
    <w:rsid w:val="00813301"/>
    <w:rsid w:val="008137D8"/>
    <w:rsid w:val="00813D6F"/>
    <w:rsid w:val="00814137"/>
    <w:rsid w:val="008141AD"/>
    <w:rsid w:val="00814695"/>
    <w:rsid w:val="00814B0F"/>
    <w:rsid w:val="0081506E"/>
    <w:rsid w:val="008150F1"/>
    <w:rsid w:val="00815294"/>
    <w:rsid w:val="008153B8"/>
    <w:rsid w:val="0081586E"/>
    <w:rsid w:val="00816067"/>
    <w:rsid w:val="008172EC"/>
    <w:rsid w:val="00817E5F"/>
    <w:rsid w:val="00817FCC"/>
    <w:rsid w:val="00820959"/>
    <w:rsid w:val="00820B55"/>
    <w:rsid w:val="00820BD2"/>
    <w:rsid w:val="00820D77"/>
    <w:rsid w:val="008210C8"/>
    <w:rsid w:val="008218ED"/>
    <w:rsid w:val="008218F6"/>
    <w:rsid w:val="00821B18"/>
    <w:rsid w:val="008220A8"/>
    <w:rsid w:val="008224D3"/>
    <w:rsid w:val="0082300A"/>
    <w:rsid w:val="008238EB"/>
    <w:rsid w:val="008242B1"/>
    <w:rsid w:val="008242E2"/>
    <w:rsid w:val="00824534"/>
    <w:rsid w:val="008248C4"/>
    <w:rsid w:val="00824DCE"/>
    <w:rsid w:val="00824FF1"/>
    <w:rsid w:val="008250E8"/>
    <w:rsid w:val="0082572C"/>
    <w:rsid w:val="0082628B"/>
    <w:rsid w:val="00826521"/>
    <w:rsid w:val="0083019A"/>
    <w:rsid w:val="00830AD3"/>
    <w:rsid w:val="00830BF5"/>
    <w:rsid w:val="00831787"/>
    <w:rsid w:val="00831A50"/>
    <w:rsid w:val="00831BCC"/>
    <w:rsid w:val="00831D8E"/>
    <w:rsid w:val="008332A8"/>
    <w:rsid w:val="008333B3"/>
    <w:rsid w:val="0083364F"/>
    <w:rsid w:val="008336E6"/>
    <w:rsid w:val="008337FF"/>
    <w:rsid w:val="00833B09"/>
    <w:rsid w:val="00833D6B"/>
    <w:rsid w:val="00834187"/>
    <w:rsid w:val="00834421"/>
    <w:rsid w:val="00834813"/>
    <w:rsid w:val="008349D6"/>
    <w:rsid w:val="00834BB4"/>
    <w:rsid w:val="00834D36"/>
    <w:rsid w:val="008351D3"/>
    <w:rsid w:val="0083550E"/>
    <w:rsid w:val="00835E4A"/>
    <w:rsid w:val="00835F0A"/>
    <w:rsid w:val="00836942"/>
    <w:rsid w:val="008371D7"/>
    <w:rsid w:val="00837546"/>
    <w:rsid w:val="00837A91"/>
    <w:rsid w:val="00837B95"/>
    <w:rsid w:val="00837C89"/>
    <w:rsid w:val="00837D4F"/>
    <w:rsid w:val="008403B4"/>
    <w:rsid w:val="0084060A"/>
    <w:rsid w:val="00840B5E"/>
    <w:rsid w:val="00840D2B"/>
    <w:rsid w:val="00840F83"/>
    <w:rsid w:val="008412A0"/>
    <w:rsid w:val="00841F4B"/>
    <w:rsid w:val="00842657"/>
    <w:rsid w:val="00842998"/>
    <w:rsid w:val="00842A15"/>
    <w:rsid w:val="00843031"/>
    <w:rsid w:val="0084360E"/>
    <w:rsid w:val="00843841"/>
    <w:rsid w:val="0084482E"/>
    <w:rsid w:val="00844BE0"/>
    <w:rsid w:val="00844C4C"/>
    <w:rsid w:val="00844ED2"/>
    <w:rsid w:val="00845BEC"/>
    <w:rsid w:val="00845DBF"/>
    <w:rsid w:val="0084667F"/>
    <w:rsid w:val="00847B05"/>
    <w:rsid w:val="00850087"/>
    <w:rsid w:val="00850174"/>
    <w:rsid w:val="0085174A"/>
    <w:rsid w:val="008521E4"/>
    <w:rsid w:val="00852445"/>
    <w:rsid w:val="00852FF4"/>
    <w:rsid w:val="00853011"/>
    <w:rsid w:val="00853391"/>
    <w:rsid w:val="00853646"/>
    <w:rsid w:val="0085411B"/>
    <w:rsid w:val="00854384"/>
    <w:rsid w:val="00855D39"/>
    <w:rsid w:val="00856650"/>
    <w:rsid w:val="00856F56"/>
    <w:rsid w:val="00857172"/>
    <w:rsid w:val="008577B9"/>
    <w:rsid w:val="00860505"/>
    <w:rsid w:val="008605C1"/>
    <w:rsid w:val="008606E5"/>
    <w:rsid w:val="00860763"/>
    <w:rsid w:val="00860D4B"/>
    <w:rsid w:val="00862556"/>
    <w:rsid w:val="00862575"/>
    <w:rsid w:val="00862C1C"/>
    <w:rsid w:val="00862DD2"/>
    <w:rsid w:val="00863569"/>
    <w:rsid w:val="0086374A"/>
    <w:rsid w:val="00863A30"/>
    <w:rsid w:val="00863C44"/>
    <w:rsid w:val="00863D11"/>
    <w:rsid w:val="008640E8"/>
    <w:rsid w:val="008641AC"/>
    <w:rsid w:val="00864429"/>
    <w:rsid w:val="008645D2"/>
    <w:rsid w:val="00864718"/>
    <w:rsid w:val="00864BF2"/>
    <w:rsid w:val="008650A1"/>
    <w:rsid w:val="00865E87"/>
    <w:rsid w:val="008662E8"/>
    <w:rsid w:val="008663B9"/>
    <w:rsid w:val="00866930"/>
    <w:rsid w:val="00866B1E"/>
    <w:rsid w:val="00867591"/>
    <w:rsid w:val="0086798A"/>
    <w:rsid w:val="00867B7E"/>
    <w:rsid w:val="008706BC"/>
    <w:rsid w:val="00871194"/>
    <w:rsid w:val="00871321"/>
    <w:rsid w:val="00871998"/>
    <w:rsid w:val="00871D18"/>
    <w:rsid w:val="00871DB7"/>
    <w:rsid w:val="00872289"/>
    <w:rsid w:val="008723CC"/>
    <w:rsid w:val="0087251C"/>
    <w:rsid w:val="00873215"/>
    <w:rsid w:val="00873357"/>
    <w:rsid w:val="00873971"/>
    <w:rsid w:val="00874225"/>
    <w:rsid w:val="00874460"/>
    <w:rsid w:val="008747EC"/>
    <w:rsid w:val="00874D9E"/>
    <w:rsid w:val="00874E54"/>
    <w:rsid w:val="0087528B"/>
    <w:rsid w:val="00875727"/>
    <w:rsid w:val="008758B4"/>
    <w:rsid w:val="00875A7E"/>
    <w:rsid w:val="00875D2F"/>
    <w:rsid w:val="00875FA9"/>
    <w:rsid w:val="00876050"/>
    <w:rsid w:val="00876378"/>
    <w:rsid w:val="0087655A"/>
    <w:rsid w:val="00876EE4"/>
    <w:rsid w:val="00876EFE"/>
    <w:rsid w:val="00877089"/>
    <w:rsid w:val="00877220"/>
    <w:rsid w:val="00877223"/>
    <w:rsid w:val="00877A32"/>
    <w:rsid w:val="008804DB"/>
    <w:rsid w:val="008812A7"/>
    <w:rsid w:val="008813FF"/>
    <w:rsid w:val="008819E8"/>
    <w:rsid w:val="00881CF7"/>
    <w:rsid w:val="00881D0A"/>
    <w:rsid w:val="008825A8"/>
    <w:rsid w:val="00882AC4"/>
    <w:rsid w:val="00882C26"/>
    <w:rsid w:val="00883453"/>
    <w:rsid w:val="0088428D"/>
    <w:rsid w:val="0088430F"/>
    <w:rsid w:val="008847B4"/>
    <w:rsid w:val="00884ABA"/>
    <w:rsid w:val="008859B3"/>
    <w:rsid w:val="00885A6C"/>
    <w:rsid w:val="00885B56"/>
    <w:rsid w:val="00886426"/>
    <w:rsid w:val="0088653D"/>
    <w:rsid w:val="008873D1"/>
    <w:rsid w:val="00887526"/>
    <w:rsid w:val="00887A56"/>
    <w:rsid w:val="00887D75"/>
    <w:rsid w:val="00890519"/>
    <w:rsid w:val="00890578"/>
    <w:rsid w:val="00890630"/>
    <w:rsid w:val="0089065E"/>
    <w:rsid w:val="00890D37"/>
    <w:rsid w:val="00890FF7"/>
    <w:rsid w:val="0089143E"/>
    <w:rsid w:val="008915D9"/>
    <w:rsid w:val="00891B9D"/>
    <w:rsid w:val="0089231E"/>
    <w:rsid w:val="008936B2"/>
    <w:rsid w:val="00893EBE"/>
    <w:rsid w:val="00893F40"/>
    <w:rsid w:val="00894243"/>
    <w:rsid w:val="00894531"/>
    <w:rsid w:val="008958E0"/>
    <w:rsid w:val="00895B5D"/>
    <w:rsid w:val="00895D15"/>
    <w:rsid w:val="0089611E"/>
    <w:rsid w:val="008973EA"/>
    <w:rsid w:val="00897BE9"/>
    <w:rsid w:val="008A04DD"/>
    <w:rsid w:val="008A0F6A"/>
    <w:rsid w:val="008A10A1"/>
    <w:rsid w:val="008A11C8"/>
    <w:rsid w:val="008A1606"/>
    <w:rsid w:val="008A1FF6"/>
    <w:rsid w:val="008A30F9"/>
    <w:rsid w:val="008A31AF"/>
    <w:rsid w:val="008A3760"/>
    <w:rsid w:val="008A3CC5"/>
    <w:rsid w:val="008A4684"/>
    <w:rsid w:val="008A48B1"/>
    <w:rsid w:val="008A4B05"/>
    <w:rsid w:val="008A4D2B"/>
    <w:rsid w:val="008A5331"/>
    <w:rsid w:val="008A565D"/>
    <w:rsid w:val="008A5B42"/>
    <w:rsid w:val="008A6701"/>
    <w:rsid w:val="008A6F27"/>
    <w:rsid w:val="008A7111"/>
    <w:rsid w:val="008A78DF"/>
    <w:rsid w:val="008A7E6C"/>
    <w:rsid w:val="008B0BC1"/>
    <w:rsid w:val="008B0CB1"/>
    <w:rsid w:val="008B0D54"/>
    <w:rsid w:val="008B0EDE"/>
    <w:rsid w:val="008B16E2"/>
    <w:rsid w:val="008B17AB"/>
    <w:rsid w:val="008B1F46"/>
    <w:rsid w:val="008B200D"/>
    <w:rsid w:val="008B21C4"/>
    <w:rsid w:val="008B2267"/>
    <w:rsid w:val="008B2551"/>
    <w:rsid w:val="008B2689"/>
    <w:rsid w:val="008B2729"/>
    <w:rsid w:val="008B3095"/>
    <w:rsid w:val="008B3C53"/>
    <w:rsid w:val="008B3FCA"/>
    <w:rsid w:val="008B4803"/>
    <w:rsid w:val="008B48F6"/>
    <w:rsid w:val="008B4EA4"/>
    <w:rsid w:val="008B5511"/>
    <w:rsid w:val="008B5A31"/>
    <w:rsid w:val="008B6089"/>
    <w:rsid w:val="008B6319"/>
    <w:rsid w:val="008B664B"/>
    <w:rsid w:val="008B6A16"/>
    <w:rsid w:val="008B6A20"/>
    <w:rsid w:val="008B7111"/>
    <w:rsid w:val="008B79D9"/>
    <w:rsid w:val="008C0311"/>
    <w:rsid w:val="008C057C"/>
    <w:rsid w:val="008C0978"/>
    <w:rsid w:val="008C1668"/>
    <w:rsid w:val="008C1C01"/>
    <w:rsid w:val="008C1ECE"/>
    <w:rsid w:val="008C1FB3"/>
    <w:rsid w:val="008C241C"/>
    <w:rsid w:val="008C2474"/>
    <w:rsid w:val="008C2709"/>
    <w:rsid w:val="008C2A12"/>
    <w:rsid w:val="008C3BA6"/>
    <w:rsid w:val="008C3F53"/>
    <w:rsid w:val="008C40DC"/>
    <w:rsid w:val="008C4820"/>
    <w:rsid w:val="008C499D"/>
    <w:rsid w:val="008C5390"/>
    <w:rsid w:val="008C5551"/>
    <w:rsid w:val="008C5633"/>
    <w:rsid w:val="008C5AAD"/>
    <w:rsid w:val="008C5C1B"/>
    <w:rsid w:val="008C5D70"/>
    <w:rsid w:val="008C5E7F"/>
    <w:rsid w:val="008C6060"/>
    <w:rsid w:val="008C61A3"/>
    <w:rsid w:val="008C6D6A"/>
    <w:rsid w:val="008C6D7E"/>
    <w:rsid w:val="008C73FE"/>
    <w:rsid w:val="008C74FD"/>
    <w:rsid w:val="008C7D4F"/>
    <w:rsid w:val="008C7DFF"/>
    <w:rsid w:val="008C7E7C"/>
    <w:rsid w:val="008D04F9"/>
    <w:rsid w:val="008D05B6"/>
    <w:rsid w:val="008D0DBC"/>
    <w:rsid w:val="008D0FF1"/>
    <w:rsid w:val="008D12CE"/>
    <w:rsid w:val="008D1403"/>
    <w:rsid w:val="008D2D13"/>
    <w:rsid w:val="008D3039"/>
    <w:rsid w:val="008D315D"/>
    <w:rsid w:val="008D32AE"/>
    <w:rsid w:val="008D3417"/>
    <w:rsid w:val="008D3E60"/>
    <w:rsid w:val="008D443F"/>
    <w:rsid w:val="008D55BC"/>
    <w:rsid w:val="008D5BD6"/>
    <w:rsid w:val="008D6146"/>
    <w:rsid w:val="008D61D0"/>
    <w:rsid w:val="008D65AD"/>
    <w:rsid w:val="008D69D7"/>
    <w:rsid w:val="008D7756"/>
    <w:rsid w:val="008D7892"/>
    <w:rsid w:val="008D7F1C"/>
    <w:rsid w:val="008D7FBB"/>
    <w:rsid w:val="008E0D82"/>
    <w:rsid w:val="008E0EE4"/>
    <w:rsid w:val="008E1157"/>
    <w:rsid w:val="008E140F"/>
    <w:rsid w:val="008E1814"/>
    <w:rsid w:val="008E1A1B"/>
    <w:rsid w:val="008E20DF"/>
    <w:rsid w:val="008E215D"/>
    <w:rsid w:val="008E221A"/>
    <w:rsid w:val="008E237F"/>
    <w:rsid w:val="008E2AB1"/>
    <w:rsid w:val="008E2E47"/>
    <w:rsid w:val="008E37BE"/>
    <w:rsid w:val="008E3937"/>
    <w:rsid w:val="008E3C6D"/>
    <w:rsid w:val="008E3FBA"/>
    <w:rsid w:val="008E3FC9"/>
    <w:rsid w:val="008E4184"/>
    <w:rsid w:val="008E4456"/>
    <w:rsid w:val="008E5878"/>
    <w:rsid w:val="008E5A85"/>
    <w:rsid w:val="008E5CAA"/>
    <w:rsid w:val="008E5E66"/>
    <w:rsid w:val="008E665B"/>
    <w:rsid w:val="008E6AA7"/>
    <w:rsid w:val="008E6B38"/>
    <w:rsid w:val="008E6FFB"/>
    <w:rsid w:val="008E70EC"/>
    <w:rsid w:val="008E7ACC"/>
    <w:rsid w:val="008E7E20"/>
    <w:rsid w:val="008E7F4D"/>
    <w:rsid w:val="008F0B14"/>
    <w:rsid w:val="008F107A"/>
    <w:rsid w:val="008F18F5"/>
    <w:rsid w:val="008F1D1D"/>
    <w:rsid w:val="008F1DB1"/>
    <w:rsid w:val="008F2060"/>
    <w:rsid w:val="008F2067"/>
    <w:rsid w:val="008F237C"/>
    <w:rsid w:val="008F27A3"/>
    <w:rsid w:val="008F2D4A"/>
    <w:rsid w:val="008F2ECC"/>
    <w:rsid w:val="008F31CE"/>
    <w:rsid w:val="008F3997"/>
    <w:rsid w:val="008F4507"/>
    <w:rsid w:val="008F490A"/>
    <w:rsid w:val="008F53A5"/>
    <w:rsid w:val="008F5469"/>
    <w:rsid w:val="008F555B"/>
    <w:rsid w:val="008F5695"/>
    <w:rsid w:val="008F578F"/>
    <w:rsid w:val="008F57B9"/>
    <w:rsid w:val="008F5840"/>
    <w:rsid w:val="008F5F40"/>
    <w:rsid w:val="008F60C4"/>
    <w:rsid w:val="008F652E"/>
    <w:rsid w:val="008F68C3"/>
    <w:rsid w:val="008F6A69"/>
    <w:rsid w:val="008F6F96"/>
    <w:rsid w:val="008F752F"/>
    <w:rsid w:val="008F7B1D"/>
    <w:rsid w:val="009000A2"/>
    <w:rsid w:val="00900D44"/>
    <w:rsid w:val="009017E5"/>
    <w:rsid w:val="00901992"/>
    <w:rsid w:val="00901CB6"/>
    <w:rsid w:val="00902029"/>
    <w:rsid w:val="009027EF"/>
    <w:rsid w:val="00902991"/>
    <w:rsid w:val="0090314D"/>
    <w:rsid w:val="00903524"/>
    <w:rsid w:val="00903915"/>
    <w:rsid w:val="009039BE"/>
    <w:rsid w:val="00903DBF"/>
    <w:rsid w:val="00903EEF"/>
    <w:rsid w:val="0090416B"/>
    <w:rsid w:val="009041C2"/>
    <w:rsid w:val="00904529"/>
    <w:rsid w:val="009057AD"/>
    <w:rsid w:val="00906194"/>
    <w:rsid w:val="0090632C"/>
    <w:rsid w:val="00906711"/>
    <w:rsid w:val="00906923"/>
    <w:rsid w:val="00906EB9"/>
    <w:rsid w:val="00907F0D"/>
    <w:rsid w:val="009101A3"/>
    <w:rsid w:val="009106B6"/>
    <w:rsid w:val="00910804"/>
    <w:rsid w:val="009108FD"/>
    <w:rsid w:val="00910F7C"/>
    <w:rsid w:val="00911137"/>
    <w:rsid w:val="009112E7"/>
    <w:rsid w:val="00911358"/>
    <w:rsid w:val="009116BF"/>
    <w:rsid w:val="00912387"/>
    <w:rsid w:val="009129B4"/>
    <w:rsid w:val="00913043"/>
    <w:rsid w:val="009139F1"/>
    <w:rsid w:val="00913AB3"/>
    <w:rsid w:val="00913E3D"/>
    <w:rsid w:val="00914836"/>
    <w:rsid w:val="009148A5"/>
    <w:rsid w:val="00914903"/>
    <w:rsid w:val="00916A37"/>
    <w:rsid w:val="00916B16"/>
    <w:rsid w:val="00916B6C"/>
    <w:rsid w:val="00916B6F"/>
    <w:rsid w:val="00916CF7"/>
    <w:rsid w:val="0091733F"/>
    <w:rsid w:val="00917493"/>
    <w:rsid w:val="0091757C"/>
    <w:rsid w:val="00917664"/>
    <w:rsid w:val="0091796B"/>
    <w:rsid w:val="00917CE2"/>
    <w:rsid w:val="009205E9"/>
    <w:rsid w:val="00920604"/>
    <w:rsid w:val="00920761"/>
    <w:rsid w:val="00920F7E"/>
    <w:rsid w:val="0092125D"/>
    <w:rsid w:val="00921330"/>
    <w:rsid w:val="00921496"/>
    <w:rsid w:val="009217BD"/>
    <w:rsid w:val="00923B8D"/>
    <w:rsid w:val="00923B93"/>
    <w:rsid w:val="00924226"/>
    <w:rsid w:val="00924411"/>
    <w:rsid w:val="009244CE"/>
    <w:rsid w:val="009244FD"/>
    <w:rsid w:val="009249B7"/>
    <w:rsid w:val="00924B27"/>
    <w:rsid w:val="0092538A"/>
    <w:rsid w:val="009259A6"/>
    <w:rsid w:val="00926701"/>
    <w:rsid w:val="00926EAA"/>
    <w:rsid w:val="009278F8"/>
    <w:rsid w:val="009302A6"/>
    <w:rsid w:val="00931037"/>
    <w:rsid w:val="00931092"/>
    <w:rsid w:val="00931442"/>
    <w:rsid w:val="00931E28"/>
    <w:rsid w:val="00931FF2"/>
    <w:rsid w:val="00932411"/>
    <w:rsid w:val="0093276A"/>
    <w:rsid w:val="00932DA4"/>
    <w:rsid w:val="0093315B"/>
    <w:rsid w:val="00933E62"/>
    <w:rsid w:val="00933EAC"/>
    <w:rsid w:val="009344CD"/>
    <w:rsid w:val="009347F9"/>
    <w:rsid w:val="00934BB9"/>
    <w:rsid w:val="00934BCD"/>
    <w:rsid w:val="00934F9C"/>
    <w:rsid w:val="00935032"/>
    <w:rsid w:val="00935A76"/>
    <w:rsid w:val="00935A8F"/>
    <w:rsid w:val="00935C5E"/>
    <w:rsid w:val="00935FCE"/>
    <w:rsid w:val="009361EA"/>
    <w:rsid w:val="00936467"/>
    <w:rsid w:val="009365F2"/>
    <w:rsid w:val="00936633"/>
    <w:rsid w:val="0093676B"/>
    <w:rsid w:val="009370C3"/>
    <w:rsid w:val="009401B8"/>
    <w:rsid w:val="00940D95"/>
    <w:rsid w:val="009411C1"/>
    <w:rsid w:val="009413DF"/>
    <w:rsid w:val="00941515"/>
    <w:rsid w:val="00941851"/>
    <w:rsid w:val="00941A92"/>
    <w:rsid w:val="00942352"/>
    <w:rsid w:val="0094297C"/>
    <w:rsid w:val="00942B03"/>
    <w:rsid w:val="00942BBF"/>
    <w:rsid w:val="00942FDB"/>
    <w:rsid w:val="00943CCF"/>
    <w:rsid w:val="00943D0B"/>
    <w:rsid w:val="0094408A"/>
    <w:rsid w:val="009441D4"/>
    <w:rsid w:val="009442C0"/>
    <w:rsid w:val="0094435D"/>
    <w:rsid w:val="009444FD"/>
    <w:rsid w:val="00944892"/>
    <w:rsid w:val="00944BC7"/>
    <w:rsid w:val="00944D3D"/>
    <w:rsid w:val="00945090"/>
    <w:rsid w:val="009454CE"/>
    <w:rsid w:val="0094569F"/>
    <w:rsid w:val="00945A34"/>
    <w:rsid w:val="00945B1D"/>
    <w:rsid w:val="00945B26"/>
    <w:rsid w:val="00945B4F"/>
    <w:rsid w:val="00945EAA"/>
    <w:rsid w:val="00945EF9"/>
    <w:rsid w:val="00946352"/>
    <w:rsid w:val="009464BC"/>
    <w:rsid w:val="0094682F"/>
    <w:rsid w:val="00946974"/>
    <w:rsid w:val="0094754A"/>
    <w:rsid w:val="00947670"/>
    <w:rsid w:val="009478C9"/>
    <w:rsid w:val="009503FF"/>
    <w:rsid w:val="009508D0"/>
    <w:rsid w:val="00951EDF"/>
    <w:rsid w:val="00952009"/>
    <w:rsid w:val="0095273D"/>
    <w:rsid w:val="00952A4E"/>
    <w:rsid w:val="0095352C"/>
    <w:rsid w:val="00953936"/>
    <w:rsid w:val="00954590"/>
    <w:rsid w:val="009545BE"/>
    <w:rsid w:val="00954D9B"/>
    <w:rsid w:val="00954EEF"/>
    <w:rsid w:val="0095544B"/>
    <w:rsid w:val="009554A5"/>
    <w:rsid w:val="009557E7"/>
    <w:rsid w:val="009566F9"/>
    <w:rsid w:val="00956F8E"/>
    <w:rsid w:val="00957435"/>
    <w:rsid w:val="00960084"/>
    <w:rsid w:val="00960461"/>
    <w:rsid w:val="00960BCE"/>
    <w:rsid w:val="0096130B"/>
    <w:rsid w:val="009616EE"/>
    <w:rsid w:val="009619D5"/>
    <w:rsid w:val="00962054"/>
    <w:rsid w:val="00962088"/>
    <w:rsid w:val="009624CC"/>
    <w:rsid w:val="009638B3"/>
    <w:rsid w:val="00963B01"/>
    <w:rsid w:val="00963B75"/>
    <w:rsid w:val="009643D8"/>
    <w:rsid w:val="009649AC"/>
    <w:rsid w:val="00964FFE"/>
    <w:rsid w:val="00965665"/>
    <w:rsid w:val="00965A8D"/>
    <w:rsid w:val="00965CC8"/>
    <w:rsid w:val="0096687E"/>
    <w:rsid w:val="00967567"/>
    <w:rsid w:val="00967E08"/>
    <w:rsid w:val="00970189"/>
    <w:rsid w:val="0097055B"/>
    <w:rsid w:val="00970636"/>
    <w:rsid w:val="00970F4C"/>
    <w:rsid w:val="00971280"/>
    <w:rsid w:val="00971B13"/>
    <w:rsid w:val="0097235C"/>
    <w:rsid w:val="00972C73"/>
    <w:rsid w:val="009730D0"/>
    <w:rsid w:val="0097335C"/>
    <w:rsid w:val="00973E5A"/>
    <w:rsid w:val="00973F3D"/>
    <w:rsid w:val="00973FFA"/>
    <w:rsid w:val="00974142"/>
    <w:rsid w:val="00974174"/>
    <w:rsid w:val="0097430A"/>
    <w:rsid w:val="009747A1"/>
    <w:rsid w:val="0097489B"/>
    <w:rsid w:val="00975159"/>
    <w:rsid w:val="0097595B"/>
    <w:rsid w:val="00975A3F"/>
    <w:rsid w:val="0097694E"/>
    <w:rsid w:val="00976B13"/>
    <w:rsid w:val="009775FC"/>
    <w:rsid w:val="00977C12"/>
    <w:rsid w:val="00980171"/>
    <w:rsid w:val="00980218"/>
    <w:rsid w:val="00980A76"/>
    <w:rsid w:val="009811C5"/>
    <w:rsid w:val="00981202"/>
    <w:rsid w:val="0098215A"/>
    <w:rsid w:val="009824D3"/>
    <w:rsid w:val="00982B63"/>
    <w:rsid w:val="00982F5A"/>
    <w:rsid w:val="00982FBF"/>
    <w:rsid w:val="009834C1"/>
    <w:rsid w:val="00983DB1"/>
    <w:rsid w:val="0098419B"/>
    <w:rsid w:val="009841C0"/>
    <w:rsid w:val="00984610"/>
    <w:rsid w:val="0098463F"/>
    <w:rsid w:val="00984739"/>
    <w:rsid w:val="00984863"/>
    <w:rsid w:val="00984982"/>
    <w:rsid w:val="00985E5E"/>
    <w:rsid w:val="00986268"/>
    <w:rsid w:val="0098640D"/>
    <w:rsid w:val="00986BD9"/>
    <w:rsid w:val="00986E37"/>
    <w:rsid w:val="00986E76"/>
    <w:rsid w:val="00986F94"/>
    <w:rsid w:val="009872DC"/>
    <w:rsid w:val="00990265"/>
    <w:rsid w:val="00990323"/>
    <w:rsid w:val="00990D28"/>
    <w:rsid w:val="00991616"/>
    <w:rsid w:val="00991EFC"/>
    <w:rsid w:val="009922C1"/>
    <w:rsid w:val="00992510"/>
    <w:rsid w:val="00992592"/>
    <w:rsid w:val="0099288D"/>
    <w:rsid w:val="00992BF0"/>
    <w:rsid w:val="00992F54"/>
    <w:rsid w:val="00993093"/>
    <w:rsid w:val="00993492"/>
    <w:rsid w:val="00993890"/>
    <w:rsid w:val="009941C0"/>
    <w:rsid w:val="00994235"/>
    <w:rsid w:val="0099455C"/>
    <w:rsid w:val="00994990"/>
    <w:rsid w:val="00994C5A"/>
    <w:rsid w:val="00994EA4"/>
    <w:rsid w:val="009952C6"/>
    <w:rsid w:val="0099577B"/>
    <w:rsid w:val="009959D0"/>
    <w:rsid w:val="00995C4F"/>
    <w:rsid w:val="00996C7F"/>
    <w:rsid w:val="00996DE2"/>
    <w:rsid w:val="00997381"/>
    <w:rsid w:val="00997D24"/>
    <w:rsid w:val="009A0D49"/>
    <w:rsid w:val="009A0D92"/>
    <w:rsid w:val="009A179F"/>
    <w:rsid w:val="009A18F2"/>
    <w:rsid w:val="009A1903"/>
    <w:rsid w:val="009A1A37"/>
    <w:rsid w:val="009A1DD6"/>
    <w:rsid w:val="009A2029"/>
    <w:rsid w:val="009A20E1"/>
    <w:rsid w:val="009A2344"/>
    <w:rsid w:val="009A23B9"/>
    <w:rsid w:val="009A276B"/>
    <w:rsid w:val="009A2B26"/>
    <w:rsid w:val="009A2F95"/>
    <w:rsid w:val="009A2F9B"/>
    <w:rsid w:val="009A34A7"/>
    <w:rsid w:val="009A362C"/>
    <w:rsid w:val="009A399A"/>
    <w:rsid w:val="009A4074"/>
    <w:rsid w:val="009A4483"/>
    <w:rsid w:val="009A4650"/>
    <w:rsid w:val="009A4953"/>
    <w:rsid w:val="009A5126"/>
    <w:rsid w:val="009A5A8E"/>
    <w:rsid w:val="009A64D6"/>
    <w:rsid w:val="009A6B2C"/>
    <w:rsid w:val="009A6C69"/>
    <w:rsid w:val="009A78DC"/>
    <w:rsid w:val="009A7A59"/>
    <w:rsid w:val="009B01A1"/>
    <w:rsid w:val="009B0297"/>
    <w:rsid w:val="009B0687"/>
    <w:rsid w:val="009B0CBD"/>
    <w:rsid w:val="009B0FAC"/>
    <w:rsid w:val="009B115D"/>
    <w:rsid w:val="009B14AE"/>
    <w:rsid w:val="009B16BE"/>
    <w:rsid w:val="009B2DEE"/>
    <w:rsid w:val="009B378B"/>
    <w:rsid w:val="009B3FC6"/>
    <w:rsid w:val="009B41D1"/>
    <w:rsid w:val="009B48F7"/>
    <w:rsid w:val="009B4902"/>
    <w:rsid w:val="009B4921"/>
    <w:rsid w:val="009B4C8A"/>
    <w:rsid w:val="009B502B"/>
    <w:rsid w:val="009B5335"/>
    <w:rsid w:val="009B5874"/>
    <w:rsid w:val="009B5A80"/>
    <w:rsid w:val="009B5BC0"/>
    <w:rsid w:val="009B6132"/>
    <w:rsid w:val="009B6167"/>
    <w:rsid w:val="009B68EB"/>
    <w:rsid w:val="009B6FF0"/>
    <w:rsid w:val="009B70BC"/>
    <w:rsid w:val="009C00AA"/>
    <w:rsid w:val="009C0E2A"/>
    <w:rsid w:val="009C0E93"/>
    <w:rsid w:val="009C10D0"/>
    <w:rsid w:val="009C1603"/>
    <w:rsid w:val="009C1D9C"/>
    <w:rsid w:val="009C1EDD"/>
    <w:rsid w:val="009C201D"/>
    <w:rsid w:val="009C2A85"/>
    <w:rsid w:val="009C2BF8"/>
    <w:rsid w:val="009C2DDA"/>
    <w:rsid w:val="009C30B4"/>
    <w:rsid w:val="009C3DE9"/>
    <w:rsid w:val="009C3E1D"/>
    <w:rsid w:val="009C47C8"/>
    <w:rsid w:val="009C4992"/>
    <w:rsid w:val="009C4FB0"/>
    <w:rsid w:val="009C58F5"/>
    <w:rsid w:val="009C5BED"/>
    <w:rsid w:val="009C61FE"/>
    <w:rsid w:val="009C65C0"/>
    <w:rsid w:val="009C6981"/>
    <w:rsid w:val="009C704A"/>
    <w:rsid w:val="009C77F5"/>
    <w:rsid w:val="009C791E"/>
    <w:rsid w:val="009C7D77"/>
    <w:rsid w:val="009D007C"/>
    <w:rsid w:val="009D0DF8"/>
    <w:rsid w:val="009D1A40"/>
    <w:rsid w:val="009D2FE6"/>
    <w:rsid w:val="009D39DC"/>
    <w:rsid w:val="009D4134"/>
    <w:rsid w:val="009D41B4"/>
    <w:rsid w:val="009D4280"/>
    <w:rsid w:val="009D4390"/>
    <w:rsid w:val="009D4B30"/>
    <w:rsid w:val="009D4E92"/>
    <w:rsid w:val="009D4FD4"/>
    <w:rsid w:val="009D527B"/>
    <w:rsid w:val="009D5807"/>
    <w:rsid w:val="009D5AAC"/>
    <w:rsid w:val="009D648F"/>
    <w:rsid w:val="009D661E"/>
    <w:rsid w:val="009D6EDB"/>
    <w:rsid w:val="009D7060"/>
    <w:rsid w:val="009D72C7"/>
    <w:rsid w:val="009D7374"/>
    <w:rsid w:val="009D7770"/>
    <w:rsid w:val="009D7DFB"/>
    <w:rsid w:val="009E0487"/>
    <w:rsid w:val="009E0727"/>
    <w:rsid w:val="009E0C0A"/>
    <w:rsid w:val="009E1439"/>
    <w:rsid w:val="009E176C"/>
    <w:rsid w:val="009E183A"/>
    <w:rsid w:val="009E18E3"/>
    <w:rsid w:val="009E1BB9"/>
    <w:rsid w:val="009E1F04"/>
    <w:rsid w:val="009E29FD"/>
    <w:rsid w:val="009E2CFD"/>
    <w:rsid w:val="009E2DD6"/>
    <w:rsid w:val="009E31FD"/>
    <w:rsid w:val="009E33DC"/>
    <w:rsid w:val="009E362B"/>
    <w:rsid w:val="009E43A1"/>
    <w:rsid w:val="009E4E3F"/>
    <w:rsid w:val="009E51A9"/>
    <w:rsid w:val="009E58C1"/>
    <w:rsid w:val="009E62E9"/>
    <w:rsid w:val="009E645C"/>
    <w:rsid w:val="009E70C1"/>
    <w:rsid w:val="009E7466"/>
    <w:rsid w:val="009E76D5"/>
    <w:rsid w:val="009E787E"/>
    <w:rsid w:val="009E7A20"/>
    <w:rsid w:val="009F01C3"/>
    <w:rsid w:val="009F0590"/>
    <w:rsid w:val="009F0728"/>
    <w:rsid w:val="009F076F"/>
    <w:rsid w:val="009F0A57"/>
    <w:rsid w:val="009F0EB0"/>
    <w:rsid w:val="009F1513"/>
    <w:rsid w:val="009F152E"/>
    <w:rsid w:val="009F17BF"/>
    <w:rsid w:val="009F17E5"/>
    <w:rsid w:val="009F24A0"/>
    <w:rsid w:val="009F25E9"/>
    <w:rsid w:val="009F282A"/>
    <w:rsid w:val="009F3134"/>
    <w:rsid w:val="009F3D75"/>
    <w:rsid w:val="009F3EFC"/>
    <w:rsid w:val="009F40BE"/>
    <w:rsid w:val="009F4824"/>
    <w:rsid w:val="009F48EF"/>
    <w:rsid w:val="009F4A5A"/>
    <w:rsid w:val="009F4ABE"/>
    <w:rsid w:val="009F4BF6"/>
    <w:rsid w:val="009F4DE9"/>
    <w:rsid w:val="009F511E"/>
    <w:rsid w:val="009F53D2"/>
    <w:rsid w:val="009F5AAE"/>
    <w:rsid w:val="009F5BFE"/>
    <w:rsid w:val="009F60C6"/>
    <w:rsid w:val="009F60FB"/>
    <w:rsid w:val="009F6541"/>
    <w:rsid w:val="009F6DF7"/>
    <w:rsid w:val="009F707B"/>
    <w:rsid w:val="009F7100"/>
    <w:rsid w:val="009F74C8"/>
    <w:rsid w:val="009F7D44"/>
    <w:rsid w:val="009F7DA7"/>
    <w:rsid w:val="00A0001C"/>
    <w:rsid w:val="00A00265"/>
    <w:rsid w:val="00A0084C"/>
    <w:rsid w:val="00A00BCA"/>
    <w:rsid w:val="00A00CF9"/>
    <w:rsid w:val="00A012F8"/>
    <w:rsid w:val="00A0178C"/>
    <w:rsid w:val="00A02755"/>
    <w:rsid w:val="00A0281A"/>
    <w:rsid w:val="00A02A9F"/>
    <w:rsid w:val="00A02B0E"/>
    <w:rsid w:val="00A02B5B"/>
    <w:rsid w:val="00A02BF2"/>
    <w:rsid w:val="00A02C59"/>
    <w:rsid w:val="00A031A6"/>
    <w:rsid w:val="00A035FF"/>
    <w:rsid w:val="00A03A24"/>
    <w:rsid w:val="00A045E7"/>
    <w:rsid w:val="00A04BA7"/>
    <w:rsid w:val="00A05538"/>
    <w:rsid w:val="00A0645C"/>
    <w:rsid w:val="00A06499"/>
    <w:rsid w:val="00A06C69"/>
    <w:rsid w:val="00A0730F"/>
    <w:rsid w:val="00A07410"/>
    <w:rsid w:val="00A07F65"/>
    <w:rsid w:val="00A104D4"/>
    <w:rsid w:val="00A1078E"/>
    <w:rsid w:val="00A10BA2"/>
    <w:rsid w:val="00A10E3F"/>
    <w:rsid w:val="00A117FF"/>
    <w:rsid w:val="00A119CC"/>
    <w:rsid w:val="00A12126"/>
    <w:rsid w:val="00A12400"/>
    <w:rsid w:val="00A1278D"/>
    <w:rsid w:val="00A128E7"/>
    <w:rsid w:val="00A134B0"/>
    <w:rsid w:val="00A1355A"/>
    <w:rsid w:val="00A13568"/>
    <w:rsid w:val="00A13AFA"/>
    <w:rsid w:val="00A13D2F"/>
    <w:rsid w:val="00A14E2C"/>
    <w:rsid w:val="00A151B9"/>
    <w:rsid w:val="00A155BC"/>
    <w:rsid w:val="00A1578B"/>
    <w:rsid w:val="00A159EA"/>
    <w:rsid w:val="00A15A75"/>
    <w:rsid w:val="00A15A7C"/>
    <w:rsid w:val="00A15FA3"/>
    <w:rsid w:val="00A165CA"/>
    <w:rsid w:val="00A16A2A"/>
    <w:rsid w:val="00A16DB2"/>
    <w:rsid w:val="00A17593"/>
    <w:rsid w:val="00A17A35"/>
    <w:rsid w:val="00A2031C"/>
    <w:rsid w:val="00A2063C"/>
    <w:rsid w:val="00A207C4"/>
    <w:rsid w:val="00A20B46"/>
    <w:rsid w:val="00A20BBA"/>
    <w:rsid w:val="00A212E7"/>
    <w:rsid w:val="00A21893"/>
    <w:rsid w:val="00A21B47"/>
    <w:rsid w:val="00A2201B"/>
    <w:rsid w:val="00A22023"/>
    <w:rsid w:val="00A22736"/>
    <w:rsid w:val="00A2329A"/>
    <w:rsid w:val="00A2359D"/>
    <w:rsid w:val="00A23984"/>
    <w:rsid w:val="00A23D38"/>
    <w:rsid w:val="00A23E1B"/>
    <w:rsid w:val="00A23E59"/>
    <w:rsid w:val="00A2401E"/>
    <w:rsid w:val="00A240E1"/>
    <w:rsid w:val="00A243E9"/>
    <w:rsid w:val="00A2455F"/>
    <w:rsid w:val="00A24EF3"/>
    <w:rsid w:val="00A24FA6"/>
    <w:rsid w:val="00A258EE"/>
    <w:rsid w:val="00A25E08"/>
    <w:rsid w:val="00A25E75"/>
    <w:rsid w:val="00A25F77"/>
    <w:rsid w:val="00A269EA"/>
    <w:rsid w:val="00A26D1A"/>
    <w:rsid w:val="00A271A9"/>
    <w:rsid w:val="00A271F6"/>
    <w:rsid w:val="00A27659"/>
    <w:rsid w:val="00A27DDE"/>
    <w:rsid w:val="00A301F9"/>
    <w:rsid w:val="00A30A31"/>
    <w:rsid w:val="00A30ABF"/>
    <w:rsid w:val="00A31016"/>
    <w:rsid w:val="00A31AA0"/>
    <w:rsid w:val="00A3217C"/>
    <w:rsid w:val="00A3258D"/>
    <w:rsid w:val="00A32A7D"/>
    <w:rsid w:val="00A32DF3"/>
    <w:rsid w:val="00A330D1"/>
    <w:rsid w:val="00A331FE"/>
    <w:rsid w:val="00A33339"/>
    <w:rsid w:val="00A33450"/>
    <w:rsid w:val="00A336C1"/>
    <w:rsid w:val="00A33FD1"/>
    <w:rsid w:val="00A34EAD"/>
    <w:rsid w:val="00A35F61"/>
    <w:rsid w:val="00A362DB"/>
    <w:rsid w:val="00A3640C"/>
    <w:rsid w:val="00A36639"/>
    <w:rsid w:val="00A372E7"/>
    <w:rsid w:val="00A37576"/>
    <w:rsid w:val="00A37E5B"/>
    <w:rsid w:val="00A40182"/>
    <w:rsid w:val="00A404D3"/>
    <w:rsid w:val="00A40876"/>
    <w:rsid w:val="00A411C4"/>
    <w:rsid w:val="00A4179C"/>
    <w:rsid w:val="00A4184A"/>
    <w:rsid w:val="00A41B89"/>
    <w:rsid w:val="00A41BA9"/>
    <w:rsid w:val="00A41BDD"/>
    <w:rsid w:val="00A41D0F"/>
    <w:rsid w:val="00A421B5"/>
    <w:rsid w:val="00A427F9"/>
    <w:rsid w:val="00A4286B"/>
    <w:rsid w:val="00A42ADD"/>
    <w:rsid w:val="00A42B03"/>
    <w:rsid w:val="00A42E3C"/>
    <w:rsid w:val="00A435D1"/>
    <w:rsid w:val="00A438E6"/>
    <w:rsid w:val="00A4397C"/>
    <w:rsid w:val="00A43BB9"/>
    <w:rsid w:val="00A43F0D"/>
    <w:rsid w:val="00A44C42"/>
    <w:rsid w:val="00A452FE"/>
    <w:rsid w:val="00A45899"/>
    <w:rsid w:val="00A45CAB"/>
    <w:rsid w:val="00A4604D"/>
    <w:rsid w:val="00A461F1"/>
    <w:rsid w:val="00A462E4"/>
    <w:rsid w:val="00A47387"/>
    <w:rsid w:val="00A47AA4"/>
    <w:rsid w:val="00A47E4C"/>
    <w:rsid w:val="00A502D8"/>
    <w:rsid w:val="00A50A20"/>
    <w:rsid w:val="00A51015"/>
    <w:rsid w:val="00A5154D"/>
    <w:rsid w:val="00A51EAD"/>
    <w:rsid w:val="00A51F26"/>
    <w:rsid w:val="00A5299A"/>
    <w:rsid w:val="00A52BAF"/>
    <w:rsid w:val="00A543F2"/>
    <w:rsid w:val="00A54BBF"/>
    <w:rsid w:val="00A54C59"/>
    <w:rsid w:val="00A555F1"/>
    <w:rsid w:val="00A5569E"/>
    <w:rsid w:val="00A556C9"/>
    <w:rsid w:val="00A56391"/>
    <w:rsid w:val="00A5739E"/>
    <w:rsid w:val="00A57415"/>
    <w:rsid w:val="00A575EC"/>
    <w:rsid w:val="00A5779D"/>
    <w:rsid w:val="00A60152"/>
    <w:rsid w:val="00A604A6"/>
    <w:rsid w:val="00A60F9F"/>
    <w:rsid w:val="00A61175"/>
    <w:rsid w:val="00A617AA"/>
    <w:rsid w:val="00A622D1"/>
    <w:rsid w:val="00A633A0"/>
    <w:rsid w:val="00A63931"/>
    <w:rsid w:val="00A63A44"/>
    <w:rsid w:val="00A643DA"/>
    <w:rsid w:val="00A64406"/>
    <w:rsid w:val="00A6444D"/>
    <w:rsid w:val="00A64612"/>
    <w:rsid w:val="00A6483F"/>
    <w:rsid w:val="00A648A1"/>
    <w:rsid w:val="00A64E2D"/>
    <w:rsid w:val="00A6576F"/>
    <w:rsid w:val="00A657ED"/>
    <w:rsid w:val="00A667C0"/>
    <w:rsid w:val="00A66AD5"/>
    <w:rsid w:val="00A66E19"/>
    <w:rsid w:val="00A67213"/>
    <w:rsid w:val="00A679AB"/>
    <w:rsid w:val="00A67C4F"/>
    <w:rsid w:val="00A67FB1"/>
    <w:rsid w:val="00A703C3"/>
    <w:rsid w:val="00A703E3"/>
    <w:rsid w:val="00A70C6C"/>
    <w:rsid w:val="00A71798"/>
    <w:rsid w:val="00A71E4B"/>
    <w:rsid w:val="00A721F9"/>
    <w:rsid w:val="00A72860"/>
    <w:rsid w:val="00A72F50"/>
    <w:rsid w:val="00A73211"/>
    <w:rsid w:val="00A7368A"/>
    <w:rsid w:val="00A73A0B"/>
    <w:rsid w:val="00A73AEC"/>
    <w:rsid w:val="00A73F4C"/>
    <w:rsid w:val="00A747A4"/>
    <w:rsid w:val="00A749DB"/>
    <w:rsid w:val="00A74DB1"/>
    <w:rsid w:val="00A75BAD"/>
    <w:rsid w:val="00A75D91"/>
    <w:rsid w:val="00A75D9E"/>
    <w:rsid w:val="00A760CC"/>
    <w:rsid w:val="00A76545"/>
    <w:rsid w:val="00A76E5F"/>
    <w:rsid w:val="00A77D7E"/>
    <w:rsid w:val="00A80149"/>
    <w:rsid w:val="00A803F3"/>
    <w:rsid w:val="00A80571"/>
    <w:rsid w:val="00A80885"/>
    <w:rsid w:val="00A809B6"/>
    <w:rsid w:val="00A816AC"/>
    <w:rsid w:val="00A81E21"/>
    <w:rsid w:val="00A81E3C"/>
    <w:rsid w:val="00A8216B"/>
    <w:rsid w:val="00A8238A"/>
    <w:rsid w:val="00A82554"/>
    <w:rsid w:val="00A825CB"/>
    <w:rsid w:val="00A82651"/>
    <w:rsid w:val="00A8274F"/>
    <w:rsid w:val="00A82883"/>
    <w:rsid w:val="00A829AB"/>
    <w:rsid w:val="00A82B13"/>
    <w:rsid w:val="00A83521"/>
    <w:rsid w:val="00A8385A"/>
    <w:rsid w:val="00A83BE9"/>
    <w:rsid w:val="00A83F82"/>
    <w:rsid w:val="00A84224"/>
    <w:rsid w:val="00A84320"/>
    <w:rsid w:val="00A84379"/>
    <w:rsid w:val="00A84739"/>
    <w:rsid w:val="00A84CD9"/>
    <w:rsid w:val="00A85070"/>
    <w:rsid w:val="00A854C0"/>
    <w:rsid w:val="00A857A7"/>
    <w:rsid w:val="00A857C7"/>
    <w:rsid w:val="00A85A38"/>
    <w:rsid w:val="00A863A4"/>
    <w:rsid w:val="00A863DD"/>
    <w:rsid w:val="00A86424"/>
    <w:rsid w:val="00A8645F"/>
    <w:rsid w:val="00A86746"/>
    <w:rsid w:val="00A86BAC"/>
    <w:rsid w:val="00A87908"/>
    <w:rsid w:val="00A87A4A"/>
    <w:rsid w:val="00A9029D"/>
    <w:rsid w:val="00A9032F"/>
    <w:rsid w:val="00A9067D"/>
    <w:rsid w:val="00A90AD2"/>
    <w:rsid w:val="00A9100F"/>
    <w:rsid w:val="00A912B3"/>
    <w:rsid w:val="00A91786"/>
    <w:rsid w:val="00A91E70"/>
    <w:rsid w:val="00A92398"/>
    <w:rsid w:val="00A928D8"/>
    <w:rsid w:val="00A92CF3"/>
    <w:rsid w:val="00A93573"/>
    <w:rsid w:val="00A93663"/>
    <w:rsid w:val="00A94AE8"/>
    <w:rsid w:val="00A94C17"/>
    <w:rsid w:val="00A94EB3"/>
    <w:rsid w:val="00A950D9"/>
    <w:rsid w:val="00A95307"/>
    <w:rsid w:val="00A9533D"/>
    <w:rsid w:val="00A95F50"/>
    <w:rsid w:val="00A9601F"/>
    <w:rsid w:val="00A96089"/>
    <w:rsid w:val="00A9689C"/>
    <w:rsid w:val="00A96D71"/>
    <w:rsid w:val="00A9732D"/>
    <w:rsid w:val="00A97738"/>
    <w:rsid w:val="00A97FF6"/>
    <w:rsid w:val="00AA0797"/>
    <w:rsid w:val="00AA0DA8"/>
    <w:rsid w:val="00AA0EC2"/>
    <w:rsid w:val="00AA153B"/>
    <w:rsid w:val="00AA1B74"/>
    <w:rsid w:val="00AA20E5"/>
    <w:rsid w:val="00AA321A"/>
    <w:rsid w:val="00AA380F"/>
    <w:rsid w:val="00AA38D1"/>
    <w:rsid w:val="00AA396D"/>
    <w:rsid w:val="00AA3A39"/>
    <w:rsid w:val="00AA3A87"/>
    <w:rsid w:val="00AA4763"/>
    <w:rsid w:val="00AA5184"/>
    <w:rsid w:val="00AA520B"/>
    <w:rsid w:val="00AA57EA"/>
    <w:rsid w:val="00AA5AFC"/>
    <w:rsid w:val="00AA5C49"/>
    <w:rsid w:val="00AA6273"/>
    <w:rsid w:val="00AA630E"/>
    <w:rsid w:val="00AA70CC"/>
    <w:rsid w:val="00AA79B2"/>
    <w:rsid w:val="00AB020E"/>
    <w:rsid w:val="00AB07B6"/>
    <w:rsid w:val="00AB0BEE"/>
    <w:rsid w:val="00AB12CF"/>
    <w:rsid w:val="00AB14A9"/>
    <w:rsid w:val="00AB16A4"/>
    <w:rsid w:val="00AB1722"/>
    <w:rsid w:val="00AB1A11"/>
    <w:rsid w:val="00AB1C53"/>
    <w:rsid w:val="00AB202D"/>
    <w:rsid w:val="00AB208B"/>
    <w:rsid w:val="00AB20A9"/>
    <w:rsid w:val="00AB2393"/>
    <w:rsid w:val="00AB2759"/>
    <w:rsid w:val="00AB2AC3"/>
    <w:rsid w:val="00AB2B15"/>
    <w:rsid w:val="00AB2F15"/>
    <w:rsid w:val="00AB2FFC"/>
    <w:rsid w:val="00AB2FFD"/>
    <w:rsid w:val="00AB3C21"/>
    <w:rsid w:val="00AB3EC0"/>
    <w:rsid w:val="00AB44E0"/>
    <w:rsid w:val="00AB4AC9"/>
    <w:rsid w:val="00AB518A"/>
    <w:rsid w:val="00AB5610"/>
    <w:rsid w:val="00AB5C20"/>
    <w:rsid w:val="00AB60E3"/>
    <w:rsid w:val="00AB6633"/>
    <w:rsid w:val="00AB666A"/>
    <w:rsid w:val="00AB6A04"/>
    <w:rsid w:val="00AB6ABE"/>
    <w:rsid w:val="00AB6B0D"/>
    <w:rsid w:val="00AB6E5F"/>
    <w:rsid w:val="00AC038B"/>
    <w:rsid w:val="00AC06EA"/>
    <w:rsid w:val="00AC0C60"/>
    <w:rsid w:val="00AC17F7"/>
    <w:rsid w:val="00AC1CD9"/>
    <w:rsid w:val="00AC2685"/>
    <w:rsid w:val="00AC2728"/>
    <w:rsid w:val="00AC2962"/>
    <w:rsid w:val="00AC2E33"/>
    <w:rsid w:val="00AC302E"/>
    <w:rsid w:val="00AC34E7"/>
    <w:rsid w:val="00AC35B7"/>
    <w:rsid w:val="00AC3A5F"/>
    <w:rsid w:val="00AC3CD7"/>
    <w:rsid w:val="00AC3F5F"/>
    <w:rsid w:val="00AC4827"/>
    <w:rsid w:val="00AC5CF5"/>
    <w:rsid w:val="00AC5EF9"/>
    <w:rsid w:val="00AC600A"/>
    <w:rsid w:val="00AC604E"/>
    <w:rsid w:val="00AC60CC"/>
    <w:rsid w:val="00AC614A"/>
    <w:rsid w:val="00AC63A2"/>
    <w:rsid w:val="00AC6C15"/>
    <w:rsid w:val="00AC6DB4"/>
    <w:rsid w:val="00AC6E4F"/>
    <w:rsid w:val="00AC70F9"/>
    <w:rsid w:val="00AC738F"/>
    <w:rsid w:val="00AC78F3"/>
    <w:rsid w:val="00AC7DCF"/>
    <w:rsid w:val="00AD0038"/>
    <w:rsid w:val="00AD0051"/>
    <w:rsid w:val="00AD0205"/>
    <w:rsid w:val="00AD0A5C"/>
    <w:rsid w:val="00AD0ED3"/>
    <w:rsid w:val="00AD1145"/>
    <w:rsid w:val="00AD16F4"/>
    <w:rsid w:val="00AD1C4A"/>
    <w:rsid w:val="00AD1F89"/>
    <w:rsid w:val="00AD40F3"/>
    <w:rsid w:val="00AD41D4"/>
    <w:rsid w:val="00AD478E"/>
    <w:rsid w:val="00AD4C6E"/>
    <w:rsid w:val="00AD5E71"/>
    <w:rsid w:val="00AD6094"/>
    <w:rsid w:val="00AD6DC9"/>
    <w:rsid w:val="00AD71D8"/>
    <w:rsid w:val="00AD743A"/>
    <w:rsid w:val="00AD7D8B"/>
    <w:rsid w:val="00AE028A"/>
    <w:rsid w:val="00AE1233"/>
    <w:rsid w:val="00AE1431"/>
    <w:rsid w:val="00AE15BC"/>
    <w:rsid w:val="00AE17B1"/>
    <w:rsid w:val="00AE187C"/>
    <w:rsid w:val="00AE1A83"/>
    <w:rsid w:val="00AE24AE"/>
    <w:rsid w:val="00AE2538"/>
    <w:rsid w:val="00AE280E"/>
    <w:rsid w:val="00AE2A75"/>
    <w:rsid w:val="00AE303C"/>
    <w:rsid w:val="00AE36F1"/>
    <w:rsid w:val="00AE3C97"/>
    <w:rsid w:val="00AE4271"/>
    <w:rsid w:val="00AE43C5"/>
    <w:rsid w:val="00AE4BF5"/>
    <w:rsid w:val="00AE4C4E"/>
    <w:rsid w:val="00AE4F07"/>
    <w:rsid w:val="00AE5D64"/>
    <w:rsid w:val="00AE6078"/>
    <w:rsid w:val="00AE63BE"/>
    <w:rsid w:val="00AE6BDA"/>
    <w:rsid w:val="00AE6D91"/>
    <w:rsid w:val="00AE7964"/>
    <w:rsid w:val="00AF042D"/>
    <w:rsid w:val="00AF06F6"/>
    <w:rsid w:val="00AF0E19"/>
    <w:rsid w:val="00AF0ED7"/>
    <w:rsid w:val="00AF1A5E"/>
    <w:rsid w:val="00AF1C1A"/>
    <w:rsid w:val="00AF1E34"/>
    <w:rsid w:val="00AF22D8"/>
    <w:rsid w:val="00AF22F5"/>
    <w:rsid w:val="00AF2B5B"/>
    <w:rsid w:val="00AF2BD5"/>
    <w:rsid w:val="00AF31D3"/>
    <w:rsid w:val="00AF3780"/>
    <w:rsid w:val="00AF38C6"/>
    <w:rsid w:val="00AF3916"/>
    <w:rsid w:val="00AF3DD4"/>
    <w:rsid w:val="00AF3E62"/>
    <w:rsid w:val="00AF43F2"/>
    <w:rsid w:val="00AF4D23"/>
    <w:rsid w:val="00AF5828"/>
    <w:rsid w:val="00AF5B8E"/>
    <w:rsid w:val="00AF5DB0"/>
    <w:rsid w:val="00AF62F7"/>
    <w:rsid w:val="00AF657E"/>
    <w:rsid w:val="00AF6C50"/>
    <w:rsid w:val="00AF7BC8"/>
    <w:rsid w:val="00B0011F"/>
    <w:rsid w:val="00B00C5C"/>
    <w:rsid w:val="00B01577"/>
    <w:rsid w:val="00B0162A"/>
    <w:rsid w:val="00B02066"/>
    <w:rsid w:val="00B02352"/>
    <w:rsid w:val="00B024D6"/>
    <w:rsid w:val="00B02E30"/>
    <w:rsid w:val="00B0315C"/>
    <w:rsid w:val="00B035BC"/>
    <w:rsid w:val="00B03A92"/>
    <w:rsid w:val="00B03DAE"/>
    <w:rsid w:val="00B03ED8"/>
    <w:rsid w:val="00B0437B"/>
    <w:rsid w:val="00B063AE"/>
    <w:rsid w:val="00B06ABD"/>
    <w:rsid w:val="00B06BD9"/>
    <w:rsid w:val="00B06E4F"/>
    <w:rsid w:val="00B0738D"/>
    <w:rsid w:val="00B0781E"/>
    <w:rsid w:val="00B100AF"/>
    <w:rsid w:val="00B108FB"/>
    <w:rsid w:val="00B10ABF"/>
    <w:rsid w:val="00B11D61"/>
    <w:rsid w:val="00B12084"/>
    <w:rsid w:val="00B121A7"/>
    <w:rsid w:val="00B12289"/>
    <w:rsid w:val="00B1239A"/>
    <w:rsid w:val="00B124B4"/>
    <w:rsid w:val="00B12C59"/>
    <w:rsid w:val="00B12FCE"/>
    <w:rsid w:val="00B13F2E"/>
    <w:rsid w:val="00B147D0"/>
    <w:rsid w:val="00B14926"/>
    <w:rsid w:val="00B14F18"/>
    <w:rsid w:val="00B15223"/>
    <w:rsid w:val="00B1590B"/>
    <w:rsid w:val="00B15D96"/>
    <w:rsid w:val="00B16657"/>
    <w:rsid w:val="00B16AF9"/>
    <w:rsid w:val="00B16C6C"/>
    <w:rsid w:val="00B17AF7"/>
    <w:rsid w:val="00B17CC3"/>
    <w:rsid w:val="00B220FB"/>
    <w:rsid w:val="00B226CB"/>
    <w:rsid w:val="00B22C07"/>
    <w:rsid w:val="00B22D93"/>
    <w:rsid w:val="00B22EEF"/>
    <w:rsid w:val="00B23058"/>
    <w:rsid w:val="00B23476"/>
    <w:rsid w:val="00B23D21"/>
    <w:rsid w:val="00B23FC6"/>
    <w:rsid w:val="00B24149"/>
    <w:rsid w:val="00B243C9"/>
    <w:rsid w:val="00B243DC"/>
    <w:rsid w:val="00B24D3F"/>
    <w:rsid w:val="00B259A4"/>
    <w:rsid w:val="00B259AC"/>
    <w:rsid w:val="00B25A3B"/>
    <w:rsid w:val="00B25BF0"/>
    <w:rsid w:val="00B25DD8"/>
    <w:rsid w:val="00B26AE1"/>
    <w:rsid w:val="00B27680"/>
    <w:rsid w:val="00B27B36"/>
    <w:rsid w:val="00B27F8C"/>
    <w:rsid w:val="00B303F7"/>
    <w:rsid w:val="00B30E98"/>
    <w:rsid w:val="00B31255"/>
    <w:rsid w:val="00B3141C"/>
    <w:rsid w:val="00B31685"/>
    <w:rsid w:val="00B31D31"/>
    <w:rsid w:val="00B31EAF"/>
    <w:rsid w:val="00B32372"/>
    <w:rsid w:val="00B328A1"/>
    <w:rsid w:val="00B32911"/>
    <w:rsid w:val="00B33B05"/>
    <w:rsid w:val="00B341F2"/>
    <w:rsid w:val="00B3451E"/>
    <w:rsid w:val="00B34968"/>
    <w:rsid w:val="00B35782"/>
    <w:rsid w:val="00B35BC1"/>
    <w:rsid w:val="00B35F69"/>
    <w:rsid w:val="00B362F2"/>
    <w:rsid w:val="00B36304"/>
    <w:rsid w:val="00B364FD"/>
    <w:rsid w:val="00B3658C"/>
    <w:rsid w:val="00B365F8"/>
    <w:rsid w:val="00B370CB"/>
    <w:rsid w:val="00B371C6"/>
    <w:rsid w:val="00B3735F"/>
    <w:rsid w:val="00B37B28"/>
    <w:rsid w:val="00B40787"/>
    <w:rsid w:val="00B40DDB"/>
    <w:rsid w:val="00B40E0C"/>
    <w:rsid w:val="00B40E2F"/>
    <w:rsid w:val="00B40E86"/>
    <w:rsid w:val="00B4259C"/>
    <w:rsid w:val="00B42934"/>
    <w:rsid w:val="00B42CA3"/>
    <w:rsid w:val="00B43E5E"/>
    <w:rsid w:val="00B43EBC"/>
    <w:rsid w:val="00B43FA2"/>
    <w:rsid w:val="00B43FA5"/>
    <w:rsid w:val="00B440FF"/>
    <w:rsid w:val="00B4415C"/>
    <w:rsid w:val="00B44AF1"/>
    <w:rsid w:val="00B44C87"/>
    <w:rsid w:val="00B45187"/>
    <w:rsid w:val="00B457CA"/>
    <w:rsid w:val="00B462E2"/>
    <w:rsid w:val="00B46A6B"/>
    <w:rsid w:val="00B46F93"/>
    <w:rsid w:val="00B46FCC"/>
    <w:rsid w:val="00B470A4"/>
    <w:rsid w:val="00B475F1"/>
    <w:rsid w:val="00B4774C"/>
    <w:rsid w:val="00B47B82"/>
    <w:rsid w:val="00B47CCC"/>
    <w:rsid w:val="00B47E2D"/>
    <w:rsid w:val="00B507F3"/>
    <w:rsid w:val="00B5123C"/>
    <w:rsid w:val="00B5129B"/>
    <w:rsid w:val="00B512CD"/>
    <w:rsid w:val="00B513D6"/>
    <w:rsid w:val="00B5151B"/>
    <w:rsid w:val="00B51CAA"/>
    <w:rsid w:val="00B52107"/>
    <w:rsid w:val="00B52330"/>
    <w:rsid w:val="00B529D5"/>
    <w:rsid w:val="00B52B60"/>
    <w:rsid w:val="00B538E5"/>
    <w:rsid w:val="00B53D48"/>
    <w:rsid w:val="00B5433B"/>
    <w:rsid w:val="00B54538"/>
    <w:rsid w:val="00B54939"/>
    <w:rsid w:val="00B55009"/>
    <w:rsid w:val="00B550DE"/>
    <w:rsid w:val="00B5537E"/>
    <w:rsid w:val="00B55DEC"/>
    <w:rsid w:val="00B55FA4"/>
    <w:rsid w:val="00B56043"/>
    <w:rsid w:val="00B5642C"/>
    <w:rsid w:val="00B56EDC"/>
    <w:rsid w:val="00B57340"/>
    <w:rsid w:val="00B57611"/>
    <w:rsid w:val="00B5774D"/>
    <w:rsid w:val="00B578BB"/>
    <w:rsid w:val="00B57A47"/>
    <w:rsid w:val="00B602EA"/>
    <w:rsid w:val="00B61CDB"/>
    <w:rsid w:val="00B6204C"/>
    <w:rsid w:val="00B62E76"/>
    <w:rsid w:val="00B6312E"/>
    <w:rsid w:val="00B63238"/>
    <w:rsid w:val="00B6393B"/>
    <w:rsid w:val="00B64082"/>
    <w:rsid w:val="00B647BE"/>
    <w:rsid w:val="00B647EC"/>
    <w:rsid w:val="00B64AA4"/>
    <w:rsid w:val="00B64AAC"/>
    <w:rsid w:val="00B64AC8"/>
    <w:rsid w:val="00B6566D"/>
    <w:rsid w:val="00B65A1E"/>
    <w:rsid w:val="00B65C78"/>
    <w:rsid w:val="00B66528"/>
    <w:rsid w:val="00B66E54"/>
    <w:rsid w:val="00B67448"/>
    <w:rsid w:val="00B67928"/>
    <w:rsid w:val="00B70575"/>
    <w:rsid w:val="00B70894"/>
    <w:rsid w:val="00B70B0A"/>
    <w:rsid w:val="00B714BE"/>
    <w:rsid w:val="00B715AB"/>
    <w:rsid w:val="00B71A9C"/>
    <w:rsid w:val="00B71B43"/>
    <w:rsid w:val="00B72043"/>
    <w:rsid w:val="00B7254E"/>
    <w:rsid w:val="00B73226"/>
    <w:rsid w:val="00B73336"/>
    <w:rsid w:val="00B73590"/>
    <w:rsid w:val="00B73F3E"/>
    <w:rsid w:val="00B7403A"/>
    <w:rsid w:val="00B74B41"/>
    <w:rsid w:val="00B75006"/>
    <w:rsid w:val="00B75632"/>
    <w:rsid w:val="00B758F2"/>
    <w:rsid w:val="00B75BB8"/>
    <w:rsid w:val="00B75F32"/>
    <w:rsid w:val="00B7693D"/>
    <w:rsid w:val="00B771B3"/>
    <w:rsid w:val="00B774D4"/>
    <w:rsid w:val="00B7750E"/>
    <w:rsid w:val="00B77AEE"/>
    <w:rsid w:val="00B77D85"/>
    <w:rsid w:val="00B77E11"/>
    <w:rsid w:val="00B801C3"/>
    <w:rsid w:val="00B80B4E"/>
    <w:rsid w:val="00B80FF5"/>
    <w:rsid w:val="00B81666"/>
    <w:rsid w:val="00B81B7D"/>
    <w:rsid w:val="00B81B8E"/>
    <w:rsid w:val="00B82475"/>
    <w:rsid w:val="00B82B5D"/>
    <w:rsid w:val="00B82D5C"/>
    <w:rsid w:val="00B82D82"/>
    <w:rsid w:val="00B837B4"/>
    <w:rsid w:val="00B84A5E"/>
    <w:rsid w:val="00B84CFF"/>
    <w:rsid w:val="00B851B9"/>
    <w:rsid w:val="00B8585A"/>
    <w:rsid w:val="00B860A4"/>
    <w:rsid w:val="00B868A2"/>
    <w:rsid w:val="00B86B13"/>
    <w:rsid w:val="00B86D08"/>
    <w:rsid w:val="00B904E8"/>
    <w:rsid w:val="00B907B2"/>
    <w:rsid w:val="00B917DA"/>
    <w:rsid w:val="00B9185A"/>
    <w:rsid w:val="00B91C14"/>
    <w:rsid w:val="00B91EE3"/>
    <w:rsid w:val="00B926B6"/>
    <w:rsid w:val="00B9276E"/>
    <w:rsid w:val="00B927E4"/>
    <w:rsid w:val="00B92DF3"/>
    <w:rsid w:val="00B935C4"/>
    <w:rsid w:val="00B93C44"/>
    <w:rsid w:val="00B93D6E"/>
    <w:rsid w:val="00B94ADD"/>
    <w:rsid w:val="00B953CB"/>
    <w:rsid w:val="00B95424"/>
    <w:rsid w:val="00B9599C"/>
    <w:rsid w:val="00B963D3"/>
    <w:rsid w:val="00B96CC9"/>
    <w:rsid w:val="00B96FEF"/>
    <w:rsid w:val="00B97295"/>
    <w:rsid w:val="00B972D8"/>
    <w:rsid w:val="00B9799A"/>
    <w:rsid w:val="00BA0444"/>
    <w:rsid w:val="00BA0B35"/>
    <w:rsid w:val="00BA1861"/>
    <w:rsid w:val="00BA2392"/>
    <w:rsid w:val="00BA26F3"/>
    <w:rsid w:val="00BA327A"/>
    <w:rsid w:val="00BA38DB"/>
    <w:rsid w:val="00BA435C"/>
    <w:rsid w:val="00BA560C"/>
    <w:rsid w:val="00BA59B4"/>
    <w:rsid w:val="00BA6A51"/>
    <w:rsid w:val="00BA6F4D"/>
    <w:rsid w:val="00BA728E"/>
    <w:rsid w:val="00BA7A6E"/>
    <w:rsid w:val="00BA7BA6"/>
    <w:rsid w:val="00BA7ECF"/>
    <w:rsid w:val="00BB2BB7"/>
    <w:rsid w:val="00BB2C43"/>
    <w:rsid w:val="00BB2FE6"/>
    <w:rsid w:val="00BB3105"/>
    <w:rsid w:val="00BB3381"/>
    <w:rsid w:val="00BB35E5"/>
    <w:rsid w:val="00BB3820"/>
    <w:rsid w:val="00BB3977"/>
    <w:rsid w:val="00BB416E"/>
    <w:rsid w:val="00BB4C22"/>
    <w:rsid w:val="00BB5D38"/>
    <w:rsid w:val="00BB5E4A"/>
    <w:rsid w:val="00BB643B"/>
    <w:rsid w:val="00BB6B27"/>
    <w:rsid w:val="00BB6E84"/>
    <w:rsid w:val="00BB71CD"/>
    <w:rsid w:val="00BB78B6"/>
    <w:rsid w:val="00BB7A3A"/>
    <w:rsid w:val="00BB7B8B"/>
    <w:rsid w:val="00BC0172"/>
    <w:rsid w:val="00BC01C9"/>
    <w:rsid w:val="00BC061E"/>
    <w:rsid w:val="00BC08A9"/>
    <w:rsid w:val="00BC0D64"/>
    <w:rsid w:val="00BC0EE6"/>
    <w:rsid w:val="00BC125F"/>
    <w:rsid w:val="00BC1265"/>
    <w:rsid w:val="00BC1A64"/>
    <w:rsid w:val="00BC1F9E"/>
    <w:rsid w:val="00BC217C"/>
    <w:rsid w:val="00BC2D5F"/>
    <w:rsid w:val="00BC2E80"/>
    <w:rsid w:val="00BC3031"/>
    <w:rsid w:val="00BC3398"/>
    <w:rsid w:val="00BC34CA"/>
    <w:rsid w:val="00BC354F"/>
    <w:rsid w:val="00BC3F8B"/>
    <w:rsid w:val="00BC4852"/>
    <w:rsid w:val="00BC4EAD"/>
    <w:rsid w:val="00BC574E"/>
    <w:rsid w:val="00BC5AAE"/>
    <w:rsid w:val="00BC5F3D"/>
    <w:rsid w:val="00BC64F0"/>
    <w:rsid w:val="00BC6CB4"/>
    <w:rsid w:val="00BC7915"/>
    <w:rsid w:val="00BC7A79"/>
    <w:rsid w:val="00BD04AF"/>
    <w:rsid w:val="00BD0E10"/>
    <w:rsid w:val="00BD10D3"/>
    <w:rsid w:val="00BD1325"/>
    <w:rsid w:val="00BD14F3"/>
    <w:rsid w:val="00BD1A55"/>
    <w:rsid w:val="00BD1EAE"/>
    <w:rsid w:val="00BD23C3"/>
    <w:rsid w:val="00BD2533"/>
    <w:rsid w:val="00BD297B"/>
    <w:rsid w:val="00BD29AB"/>
    <w:rsid w:val="00BD2B53"/>
    <w:rsid w:val="00BD2B7D"/>
    <w:rsid w:val="00BD2D18"/>
    <w:rsid w:val="00BD30C0"/>
    <w:rsid w:val="00BD3949"/>
    <w:rsid w:val="00BD3B07"/>
    <w:rsid w:val="00BD3C3D"/>
    <w:rsid w:val="00BD3FDB"/>
    <w:rsid w:val="00BD4054"/>
    <w:rsid w:val="00BD4489"/>
    <w:rsid w:val="00BD4C87"/>
    <w:rsid w:val="00BD5469"/>
    <w:rsid w:val="00BD556F"/>
    <w:rsid w:val="00BD5C79"/>
    <w:rsid w:val="00BD60C5"/>
    <w:rsid w:val="00BD646B"/>
    <w:rsid w:val="00BD6EF9"/>
    <w:rsid w:val="00BD6FBE"/>
    <w:rsid w:val="00BD73FC"/>
    <w:rsid w:val="00BD7C7F"/>
    <w:rsid w:val="00BE0418"/>
    <w:rsid w:val="00BE0653"/>
    <w:rsid w:val="00BE1420"/>
    <w:rsid w:val="00BE1435"/>
    <w:rsid w:val="00BE1514"/>
    <w:rsid w:val="00BE18ED"/>
    <w:rsid w:val="00BE2E5F"/>
    <w:rsid w:val="00BE48C2"/>
    <w:rsid w:val="00BE496C"/>
    <w:rsid w:val="00BE4A80"/>
    <w:rsid w:val="00BE4EA7"/>
    <w:rsid w:val="00BE5124"/>
    <w:rsid w:val="00BE5727"/>
    <w:rsid w:val="00BE598E"/>
    <w:rsid w:val="00BE5A57"/>
    <w:rsid w:val="00BE5D0A"/>
    <w:rsid w:val="00BE5E74"/>
    <w:rsid w:val="00BE61DE"/>
    <w:rsid w:val="00BE6229"/>
    <w:rsid w:val="00BE654B"/>
    <w:rsid w:val="00BE677D"/>
    <w:rsid w:val="00BE6903"/>
    <w:rsid w:val="00BE741B"/>
    <w:rsid w:val="00BE76AB"/>
    <w:rsid w:val="00BF0182"/>
    <w:rsid w:val="00BF0396"/>
    <w:rsid w:val="00BF093F"/>
    <w:rsid w:val="00BF0AF6"/>
    <w:rsid w:val="00BF0B4E"/>
    <w:rsid w:val="00BF13BD"/>
    <w:rsid w:val="00BF2065"/>
    <w:rsid w:val="00BF239A"/>
    <w:rsid w:val="00BF245B"/>
    <w:rsid w:val="00BF25B1"/>
    <w:rsid w:val="00BF2739"/>
    <w:rsid w:val="00BF28F6"/>
    <w:rsid w:val="00BF2DCC"/>
    <w:rsid w:val="00BF3022"/>
    <w:rsid w:val="00BF3F10"/>
    <w:rsid w:val="00BF4116"/>
    <w:rsid w:val="00BF4775"/>
    <w:rsid w:val="00BF4789"/>
    <w:rsid w:val="00BF4892"/>
    <w:rsid w:val="00BF4A0B"/>
    <w:rsid w:val="00BF4D8B"/>
    <w:rsid w:val="00BF4F98"/>
    <w:rsid w:val="00BF503E"/>
    <w:rsid w:val="00BF6E4E"/>
    <w:rsid w:val="00BF6F70"/>
    <w:rsid w:val="00BF7CF7"/>
    <w:rsid w:val="00C00013"/>
    <w:rsid w:val="00C00066"/>
    <w:rsid w:val="00C0006F"/>
    <w:rsid w:val="00C0046D"/>
    <w:rsid w:val="00C00624"/>
    <w:rsid w:val="00C00BC7"/>
    <w:rsid w:val="00C011AD"/>
    <w:rsid w:val="00C018DA"/>
    <w:rsid w:val="00C0195D"/>
    <w:rsid w:val="00C01BE0"/>
    <w:rsid w:val="00C01E0B"/>
    <w:rsid w:val="00C02168"/>
    <w:rsid w:val="00C02382"/>
    <w:rsid w:val="00C0298F"/>
    <w:rsid w:val="00C02F02"/>
    <w:rsid w:val="00C0367C"/>
    <w:rsid w:val="00C038D8"/>
    <w:rsid w:val="00C03C89"/>
    <w:rsid w:val="00C03F6C"/>
    <w:rsid w:val="00C056F4"/>
    <w:rsid w:val="00C05A4F"/>
    <w:rsid w:val="00C06AEE"/>
    <w:rsid w:val="00C06CCB"/>
    <w:rsid w:val="00C07069"/>
    <w:rsid w:val="00C07456"/>
    <w:rsid w:val="00C076CA"/>
    <w:rsid w:val="00C07B94"/>
    <w:rsid w:val="00C07E64"/>
    <w:rsid w:val="00C100D0"/>
    <w:rsid w:val="00C10242"/>
    <w:rsid w:val="00C1027E"/>
    <w:rsid w:val="00C10BB6"/>
    <w:rsid w:val="00C10F79"/>
    <w:rsid w:val="00C1163A"/>
    <w:rsid w:val="00C11C36"/>
    <w:rsid w:val="00C11CE7"/>
    <w:rsid w:val="00C122AF"/>
    <w:rsid w:val="00C128B2"/>
    <w:rsid w:val="00C12BAF"/>
    <w:rsid w:val="00C12CB2"/>
    <w:rsid w:val="00C12EDB"/>
    <w:rsid w:val="00C12F19"/>
    <w:rsid w:val="00C13238"/>
    <w:rsid w:val="00C13852"/>
    <w:rsid w:val="00C14E54"/>
    <w:rsid w:val="00C14ED7"/>
    <w:rsid w:val="00C1519C"/>
    <w:rsid w:val="00C15730"/>
    <w:rsid w:val="00C15E3F"/>
    <w:rsid w:val="00C15E4F"/>
    <w:rsid w:val="00C165DB"/>
    <w:rsid w:val="00C16D8D"/>
    <w:rsid w:val="00C17EC2"/>
    <w:rsid w:val="00C201D5"/>
    <w:rsid w:val="00C2025A"/>
    <w:rsid w:val="00C20F81"/>
    <w:rsid w:val="00C21272"/>
    <w:rsid w:val="00C21987"/>
    <w:rsid w:val="00C21CAD"/>
    <w:rsid w:val="00C22DDE"/>
    <w:rsid w:val="00C22F36"/>
    <w:rsid w:val="00C23274"/>
    <w:rsid w:val="00C2338E"/>
    <w:rsid w:val="00C23A96"/>
    <w:rsid w:val="00C23F83"/>
    <w:rsid w:val="00C24096"/>
    <w:rsid w:val="00C24AC8"/>
    <w:rsid w:val="00C24B64"/>
    <w:rsid w:val="00C24F57"/>
    <w:rsid w:val="00C25049"/>
    <w:rsid w:val="00C253F1"/>
    <w:rsid w:val="00C2742E"/>
    <w:rsid w:val="00C2799E"/>
    <w:rsid w:val="00C27AA6"/>
    <w:rsid w:val="00C27C62"/>
    <w:rsid w:val="00C302BA"/>
    <w:rsid w:val="00C30665"/>
    <w:rsid w:val="00C30964"/>
    <w:rsid w:val="00C30B3E"/>
    <w:rsid w:val="00C30DAA"/>
    <w:rsid w:val="00C313F5"/>
    <w:rsid w:val="00C31EC1"/>
    <w:rsid w:val="00C3216F"/>
    <w:rsid w:val="00C321C1"/>
    <w:rsid w:val="00C32262"/>
    <w:rsid w:val="00C329C2"/>
    <w:rsid w:val="00C329E9"/>
    <w:rsid w:val="00C33719"/>
    <w:rsid w:val="00C33EB8"/>
    <w:rsid w:val="00C34B7E"/>
    <w:rsid w:val="00C35634"/>
    <w:rsid w:val="00C35F78"/>
    <w:rsid w:val="00C361C4"/>
    <w:rsid w:val="00C3648F"/>
    <w:rsid w:val="00C365E3"/>
    <w:rsid w:val="00C3683F"/>
    <w:rsid w:val="00C36AFC"/>
    <w:rsid w:val="00C37345"/>
    <w:rsid w:val="00C37924"/>
    <w:rsid w:val="00C37DF5"/>
    <w:rsid w:val="00C37E32"/>
    <w:rsid w:val="00C40006"/>
    <w:rsid w:val="00C40021"/>
    <w:rsid w:val="00C407F9"/>
    <w:rsid w:val="00C40D6F"/>
    <w:rsid w:val="00C4112F"/>
    <w:rsid w:val="00C414B7"/>
    <w:rsid w:val="00C41674"/>
    <w:rsid w:val="00C41A70"/>
    <w:rsid w:val="00C42183"/>
    <w:rsid w:val="00C42198"/>
    <w:rsid w:val="00C422A7"/>
    <w:rsid w:val="00C426E6"/>
    <w:rsid w:val="00C427BD"/>
    <w:rsid w:val="00C42A2D"/>
    <w:rsid w:val="00C42F75"/>
    <w:rsid w:val="00C43128"/>
    <w:rsid w:val="00C433FD"/>
    <w:rsid w:val="00C43517"/>
    <w:rsid w:val="00C43AFA"/>
    <w:rsid w:val="00C440E5"/>
    <w:rsid w:val="00C444E4"/>
    <w:rsid w:val="00C448B2"/>
    <w:rsid w:val="00C44C06"/>
    <w:rsid w:val="00C44EB3"/>
    <w:rsid w:val="00C44F38"/>
    <w:rsid w:val="00C453D5"/>
    <w:rsid w:val="00C457AF"/>
    <w:rsid w:val="00C461D7"/>
    <w:rsid w:val="00C462D1"/>
    <w:rsid w:val="00C46C47"/>
    <w:rsid w:val="00C474CF"/>
    <w:rsid w:val="00C479C3"/>
    <w:rsid w:val="00C47C9E"/>
    <w:rsid w:val="00C47E54"/>
    <w:rsid w:val="00C5000D"/>
    <w:rsid w:val="00C50481"/>
    <w:rsid w:val="00C508F0"/>
    <w:rsid w:val="00C51278"/>
    <w:rsid w:val="00C5129A"/>
    <w:rsid w:val="00C517F0"/>
    <w:rsid w:val="00C51F8E"/>
    <w:rsid w:val="00C52B1F"/>
    <w:rsid w:val="00C53E07"/>
    <w:rsid w:val="00C542C1"/>
    <w:rsid w:val="00C5492B"/>
    <w:rsid w:val="00C5561B"/>
    <w:rsid w:val="00C55C2C"/>
    <w:rsid w:val="00C56447"/>
    <w:rsid w:val="00C564C9"/>
    <w:rsid w:val="00C567C0"/>
    <w:rsid w:val="00C56C0A"/>
    <w:rsid w:val="00C57275"/>
    <w:rsid w:val="00C576AF"/>
    <w:rsid w:val="00C57BD1"/>
    <w:rsid w:val="00C57DC2"/>
    <w:rsid w:val="00C60001"/>
    <w:rsid w:val="00C601F4"/>
    <w:rsid w:val="00C60A55"/>
    <w:rsid w:val="00C6126F"/>
    <w:rsid w:val="00C612C2"/>
    <w:rsid w:val="00C61417"/>
    <w:rsid w:val="00C61449"/>
    <w:rsid w:val="00C6150A"/>
    <w:rsid w:val="00C61F7A"/>
    <w:rsid w:val="00C6209E"/>
    <w:rsid w:val="00C62239"/>
    <w:rsid w:val="00C6254F"/>
    <w:rsid w:val="00C62CB0"/>
    <w:rsid w:val="00C62E77"/>
    <w:rsid w:val="00C63223"/>
    <w:rsid w:val="00C63368"/>
    <w:rsid w:val="00C633DF"/>
    <w:rsid w:val="00C6413A"/>
    <w:rsid w:val="00C64195"/>
    <w:rsid w:val="00C64320"/>
    <w:rsid w:val="00C648F3"/>
    <w:rsid w:val="00C654B1"/>
    <w:rsid w:val="00C654CD"/>
    <w:rsid w:val="00C655E4"/>
    <w:rsid w:val="00C65DA3"/>
    <w:rsid w:val="00C66A41"/>
    <w:rsid w:val="00C66A7E"/>
    <w:rsid w:val="00C66FB2"/>
    <w:rsid w:val="00C679B2"/>
    <w:rsid w:val="00C7076F"/>
    <w:rsid w:val="00C718B3"/>
    <w:rsid w:val="00C71CA7"/>
    <w:rsid w:val="00C71DD1"/>
    <w:rsid w:val="00C722CF"/>
    <w:rsid w:val="00C72D52"/>
    <w:rsid w:val="00C734AF"/>
    <w:rsid w:val="00C736CC"/>
    <w:rsid w:val="00C73CDC"/>
    <w:rsid w:val="00C73FBD"/>
    <w:rsid w:val="00C74316"/>
    <w:rsid w:val="00C74901"/>
    <w:rsid w:val="00C74B25"/>
    <w:rsid w:val="00C74DE8"/>
    <w:rsid w:val="00C74EDC"/>
    <w:rsid w:val="00C75C9D"/>
    <w:rsid w:val="00C75CB4"/>
    <w:rsid w:val="00C75DC9"/>
    <w:rsid w:val="00C75E34"/>
    <w:rsid w:val="00C765C7"/>
    <w:rsid w:val="00C7699D"/>
    <w:rsid w:val="00C771B9"/>
    <w:rsid w:val="00C773B6"/>
    <w:rsid w:val="00C7754D"/>
    <w:rsid w:val="00C77D8B"/>
    <w:rsid w:val="00C8021A"/>
    <w:rsid w:val="00C8040F"/>
    <w:rsid w:val="00C807B1"/>
    <w:rsid w:val="00C80834"/>
    <w:rsid w:val="00C80B61"/>
    <w:rsid w:val="00C811D5"/>
    <w:rsid w:val="00C8124F"/>
    <w:rsid w:val="00C815A0"/>
    <w:rsid w:val="00C81722"/>
    <w:rsid w:val="00C81959"/>
    <w:rsid w:val="00C81ED6"/>
    <w:rsid w:val="00C822CA"/>
    <w:rsid w:val="00C822DA"/>
    <w:rsid w:val="00C82454"/>
    <w:rsid w:val="00C8262C"/>
    <w:rsid w:val="00C83064"/>
    <w:rsid w:val="00C839B8"/>
    <w:rsid w:val="00C83C49"/>
    <w:rsid w:val="00C845E4"/>
    <w:rsid w:val="00C8474F"/>
    <w:rsid w:val="00C847B3"/>
    <w:rsid w:val="00C84B8F"/>
    <w:rsid w:val="00C84F15"/>
    <w:rsid w:val="00C85076"/>
    <w:rsid w:val="00C85082"/>
    <w:rsid w:val="00C853B6"/>
    <w:rsid w:val="00C85536"/>
    <w:rsid w:val="00C856FC"/>
    <w:rsid w:val="00C858F1"/>
    <w:rsid w:val="00C85BE0"/>
    <w:rsid w:val="00C85DA5"/>
    <w:rsid w:val="00C86533"/>
    <w:rsid w:val="00C86D11"/>
    <w:rsid w:val="00C86E68"/>
    <w:rsid w:val="00C902AF"/>
    <w:rsid w:val="00C90422"/>
    <w:rsid w:val="00C90F46"/>
    <w:rsid w:val="00C91629"/>
    <w:rsid w:val="00C91FB5"/>
    <w:rsid w:val="00C9215D"/>
    <w:rsid w:val="00C9290C"/>
    <w:rsid w:val="00C92D10"/>
    <w:rsid w:val="00C9374F"/>
    <w:rsid w:val="00C93BE2"/>
    <w:rsid w:val="00C93D43"/>
    <w:rsid w:val="00C93E6D"/>
    <w:rsid w:val="00C941F6"/>
    <w:rsid w:val="00C949E0"/>
    <w:rsid w:val="00C95917"/>
    <w:rsid w:val="00C95956"/>
    <w:rsid w:val="00C9601C"/>
    <w:rsid w:val="00C965BA"/>
    <w:rsid w:val="00C96658"/>
    <w:rsid w:val="00C96B8E"/>
    <w:rsid w:val="00C972D0"/>
    <w:rsid w:val="00C975AB"/>
    <w:rsid w:val="00C9774F"/>
    <w:rsid w:val="00C9799E"/>
    <w:rsid w:val="00CA01BD"/>
    <w:rsid w:val="00CA09E6"/>
    <w:rsid w:val="00CA0DA0"/>
    <w:rsid w:val="00CA1646"/>
    <w:rsid w:val="00CA19E8"/>
    <w:rsid w:val="00CA1E6D"/>
    <w:rsid w:val="00CA1F12"/>
    <w:rsid w:val="00CA2CC1"/>
    <w:rsid w:val="00CA3615"/>
    <w:rsid w:val="00CA36DD"/>
    <w:rsid w:val="00CA385E"/>
    <w:rsid w:val="00CA3A91"/>
    <w:rsid w:val="00CA3F77"/>
    <w:rsid w:val="00CA4000"/>
    <w:rsid w:val="00CA4A44"/>
    <w:rsid w:val="00CA592C"/>
    <w:rsid w:val="00CA5A73"/>
    <w:rsid w:val="00CA5B28"/>
    <w:rsid w:val="00CA6002"/>
    <w:rsid w:val="00CA67ED"/>
    <w:rsid w:val="00CA6879"/>
    <w:rsid w:val="00CA6A4C"/>
    <w:rsid w:val="00CA7B28"/>
    <w:rsid w:val="00CA7B70"/>
    <w:rsid w:val="00CA7D36"/>
    <w:rsid w:val="00CA7D58"/>
    <w:rsid w:val="00CB0902"/>
    <w:rsid w:val="00CB09E8"/>
    <w:rsid w:val="00CB10A4"/>
    <w:rsid w:val="00CB11BC"/>
    <w:rsid w:val="00CB16CA"/>
    <w:rsid w:val="00CB1803"/>
    <w:rsid w:val="00CB1E15"/>
    <w:rsid w:val="00CB1FED"/>
    <w:rsid w:val="00CB2250"/>
    <w:rsid w:val="00CB240E"/>
    <w:rsid w:val="00CB2D33"/>
    <w:rsid w:val="00CB2EB0"/>
    <w:rsid w:val="00CB390D"/>
    <w:rsid w:val="00CB3BEF"/>
    <w:rsid w:val="00CB3C41"/>
    <w:rsid w:val="00CB3FDC"/>
    <w:rsid w:val="00CB4296"/>
    <w:rsid w:val="00CB46D0"/>
    <w:rsid w:val="00CB4BC0"/>
    <w:rsid w:val="00CB4BD0"/>
    <w:rsid w:val="00CB523E"/>
    <w:rsid w:val="00CB5634"/>
    <w:rsid w:val="00CB5D34"/>
    <w:rsid w:val="00CB60A4"/>
    <w:rsid w:val="00CB6315"/>
    <w:rsid w:val="00CB64D6"/>
    <w:rsid w:val="00CB7145"/>
    <w:rsid w:val="00CB7599"/>
    <w:rsid w:val="00CB76E4"/>
    <w:rsid w:val="00CB774B"/>
    <w:rsid w:val="00CB7B17"/>
    <w:rsid w:val="00CB7F86"/>
    <w:rsid w:val="00CB7FE2"/>
    <w:rsid w:val="00CC0061"/>
    <w:rsid w:val="00CC07E6"/>
    <w:rsid w:val="00CC09D8"/>
    <w:rsid w:val="00CC0C60"/>
    <w:rsid w:val="00CC19B6"/>
    <w:rsid w:val="00CC1D64"/>
    <w:rsid w:val="00CC305B"/>
    <w:rsid w:val="00CC32E0"/>
    <w:rsid w:val="00CC3609"/>
    <w:rsid w:val="00CC3ADE"/>
    <w:rsid w:val="00CC44A3"/>
    <w:rsid w:val="00CC4BC5"/>
    <w:rsid w:val="00CC56CD"/>
    <w:rsid w:val="00CC5716"/>
    <w:rsid w:val="00CC5A17"/>
    <w:rsid w:val="00CC5B45"/>
    <w:rsid w:val="00CC6A79"/>
    <w:rsid w:val="00CC6C8D"/>
    <w:rsid w:val="00CC6D03"/>
    <w:rsid w:val="00CC7117"/>
    <w:rsid w:val="00CC7BCA"/>
    <w:rsid w:val="00CD0527"/>
    <w:rsid w:val="00CD0A39"/>
    <w:rsid w:val="00CD163F"/>
    <w:rsid w:val="00CD1839"/>
    <w:rsid w:val="00CD1988"/>
    <w:rsid w:val="00CD19AC"/>
    <w:rsid w:val="00CD1B92"/>
    <w:rsid w:val="00CD20FE"/>
    <w:rsid w:val="00CD2A2B"/>
    <w:rsid w:val="00CD2DCD"/>
    <w:rsid w:val="00CD2EA5"/>
    <w:rsid w:val="00CD3378"/>
    <w:rsid w:val="00CD3468"/>
    <w:rsid w:val="00CD3803"/>
    <w:rsid w:val="00CD3DA7"/>
    <w:rsid w:val="00CD3DC5"/>
    <w:rsid w:val="00CD40C2"/>
    <w:rsid w:val="00CD4294"/>
    <w:rsid w:val="00CD43E2"/>
    <w:rsid w:val="00CD46EF"/>
    <w:rsid w:val="00CD4AFE"/>
    <w:rsid w:val="00CD4C7E"/>
    <w:rsid w:val="00CD517D"/>
    <w:rsid w:val="00CD536C"/>
    <w:rsid w:val="00CD5B4F"/>
    <w:rsid w:val="00CD5C18"/>
    <w:rsid w:val="00CD5C41"/>
    <w:rsid w:val="00CD6AFB"/>
    <w:rsid w:val="00CD6FC8"/>
    <w:rsid w:val="00CD7681"/>
    <w:rsid w:val="00CD7C3A"/>
    <w:rsid w:val="00CE0572"/>
    <w:rsid w:val="00CE0ADC"/>
    <w:rsid w:val="00CE0F6A"/>
    <w:rsid w:val="00CE10F9"/>
    <w:rsid w:val="00CE1654"/>
    <w:rsid w:val="00CE1BA1"/>
    <w:rsid w:val="00CE262D"/>
    <w:rsid w:val="00CE3796"/>
    <w:rsid w:val="00CE3E84"/>
    <w:rsid w:val="00CE3EFE"/>
    <w:rsid w:val="00CE3F50"/>
    <w:rsid w:val="00CE434A"/>
    <w:rsid w:val="00CE455C"/>
    <w:rsid w:val="00CE481E"/>
    <w:rsid w:val="00CE495A"/>
    <w:rsid w:val="00CE49A8"/>
    <w:rsid w:val="00CE49F8"/>
    <w:rsid w:val="00CE500D"/>
    <w:rsid w:val="00CE5629"/>
    <w:rsid w:val="00CE5764"/>
    <w:rsid w:val="00CE6A52"/>
    <w:rsid w:val="00CE6D6E"/>
    <w:rsid w:val="00CE727D"/>
    <w:rsid w:val="00CE73EC"/>
    <w:rsid w:val="00CE7A5D"/>
    <w:rsid w:val="00CF00A6"/>
    <w:rsid w:val="00CF0583"/>
    <w:rsid w:val="00CF0651"/>
    <w:rsid w:val="00CF0AA3"/>
    <w:rsid w:val="00CF0E16"/>
    <w:rsid w:val="00CF1044"/>
    <w:rsid w:val="00CF1523"/>
    <w:rsid w:val="00CF1698"/>
    <w:rsid w:val="00CF1C25"/>
    <w:rsid w:val="00CF1F36"/>
    <w:rsid w:val="00CF27B6"/>
    <w:rsid w:val="00CF2811"/>
    <w:rsid w:val="00CF2E36"/>
    <w:rsid w:val="00CF30F0"/>
    <w:rsid w:val="00CF34C6"/>
    <w:rsid w:val="00CF35D6"/>
    <w:rsid w:val="00CF4083"/>
    <w:rsid w:val="00CF4622"/>
    <w:rsid w:val="00CF49A7"/>
    <w:rsid w:val="00CF4FD3"/>
    <w:rsid w:val="00CF5610"/>
    <w:rsid w:val="00CF575C"/>
    <w:rsid w:val="00CF59B7"/>
    <w:rsid w:val="00CF6211"/>
    <w:rsid w:val="00CF693E"/>
    <w:rsid w:val="00CF6FDD"/>
    <w:rsid w:val="00CF7274"/>
    <w:rsid w:val="00D007F6"/>
    <w:rsid w:val="00D00C54"/>
    <w:rsid w:val="00D00DEB"/>
    <w:rsid w:val="00D01414"/>
    <w:rsid w:val="00D0162E"/>
    <w:rsid w:val="00D0188B"/>
    <w:rsid w:val="00D02FDC"/>
    <w:rsid w:val="00D03180"/>
    <w:rsid w:val="00D03446"/>
    <w:rsid w:val="00D035FD"/>
    <w:rsid w:val="00D04029"/>
    <w:rsid w:val="00D042F6"/>
    <w:rsid w:val="00D04502"/>
    <w:rsid w:val="00D0493D"/>
    <w:rsid w:val="00D049F3"/>
    <w:rsid w:val="00D04D55"/>
    <w:rsid w:val="00D04FCB"/>
    <w:rsid w:val="00D051D9"/>
    <w:rsid w:val="00D05ADA"/>
    <w:rsid w:val="00D05D5B"/>
    <w:rsid w:val="00D07264"/>
    <w:rsid w:val="00D0746C"/>
    <w:rsid w:val="00D07742"/>
    <w:rsid w:val="00D077F6"/>
    <w:rsid w:val="00D10195"/>
    <w:rsid w:val="00D1039A"/>
    <w:rsid w:val="00D10A72"/>
    <w:rsid w:val="00D10B83"/>
    <w:rsid w:val="00D1167D"/>
    <w:rsid w:val="00D11E93"/>
    <w:rsid w:val="00D12457"/>
    <w:rsid w:val="00D125BC"/>
    <w:rsid w:val="00D13E06"/>
    <w:rsid w:val="00D13EAC"/>
    <w:rsid w:val="00D1455A"/>
    <w:rsid w:val="00D1464F"/>
    <w:rsid w:val="00D14D98"/>
    <w:rsid w:val="00D16534"/>
    <w:rsid w:val="00D1654F"/>
    <w:rsid w:val="00D1665F"/>
    <w:rsid w:val="00D16BE2"/>
    <w:rsid w:val="00D1738B"/>
    <w:rsid w:val="00D173A5"/>
    <w:rsid w:val="00D20980"/>
    <w:rsid w:val="00D20CF1"/>
    <w:rsid w:val="00D21177"/>
    <w:rsid w:val="00D2134E"/>
    <w:rsid w:val="00D21F12"/>
    <w:rsid w:val="00D21F4F"/>
    <w:rsid w:val="00D2241A"/>
    <w:rsid w:val="00D22595"/>
    <w:rsid w:val="00D229C8"/>
    <w:rsid w:val="00D22FA7"/>
    <w:rsid w:val="00D234F7"/>
    <w:rsid w:val="00D23D5D"/>
    <w:rsid w:val="00D24823"/>
    <w:rsid w:val="00D2563B"/>
    <w:rsid w:val="00D257A6"/>
    <w:rsid w:val="00D2582B"/>
    <w:rsid w:val="00D25ACF"/>
    <w:rsid w:val="00D269F4"/>
    <w:rsid w:val="00D270EA"/>
    <w:rsid w:val="00D27A94"/>
    <w:rsid w:val="00D27FDD"/>
    <w:rsid w:val="00D30AD9"/>
    <w:rsid w:val="00D314BA"/>
    <w:rsid w:val="00D31899"/>
    <w:rsid w:val="00D3196A"/>
    <w:rsid w:val="00D31BEA"/>
    <w:rsid w:val="00D31EBC"/>
    <w:rsid w:val="00D31FF3"/>
    <w:rsid w:val="00D32101"/>
    <w:rsid w:val="00D321F9"/>
    <w:rsid w:val="00D32675"/>
    <w:rsid w:val="00D32E6C"/>
    <w:rsid w:val="00D34180"/>
    <w:rsid w:val="00D346C8"/>
    <w:rsid w:val="00D35764"/>
    <w:rsid w:val="00D35923"/>
    <w:rsid w:val="00D36A66"/>
    <w:rsid w:val="00D36F2B"/>
    <w:rsid w:val="00D37784"/>
    <w:rsid w:val="00D37794"/>
    <w:rsid w:val="00D37A86"/>
    <w:rsid w:val="00D4023E"/>
    <w:rsid w:val="00D40395"/>
    <w:rsid w:val="00D404DF"/>
    <w:rsid w:val="00D40951"/>
    <w:rsid w:val="00D40AB4"/>
    <w:rsid w:val="00D40BC2"/>
    <w:rsid w:val="00D41CAB"/>
    <w:rsid w:val="00D41ED9"/>
    <w:rsid w:val="00D4279F"/>
    <w:rsid w:val="00D428AD"/>
    <w:rsid w:val="00D43359"/>
    <w:rsid w:val="00D43808"/>
    <w:rsid w:val="00D43E2D"/>
    <w:rsid w:val="00D443DA"/>
    <w:rsid w:val="00D44C79"/>
    <w:rsid w:val="00D453A1"/>
    <w:rsid w:val="00D46AF8"/>
    <w:rsid w:val="00D477F3"/>
    <w:rsid w:val="00D47965"/>
    <w:rsid w:val="00D47CE9"/>
    <w:rsid w:val="00D50163"/>
    <w:rsid w:val="00D501F3"/>
    <w:rsid w:val="00D50213"/>
    <w:rsid w:val="00D50278"/>
    <w:rsid w:val="00D50356"/>
    <w:rsid w:val="00D505C9"/>
    <w:rsid w:val="00D5109E"/>
    <w:rsid w:val="00D51574"/>
    <w:rsid w:val="00D518D5"/>
    <w:rsid w:val="00D51B85"/>
    <w:rsid w:val="00D51C71"/>
    <w:rsid w:val="00D524BC"/>
    <w:rsid w:val="00D52B20"/>
    <w:rsid w:val="00D52E76"/>
    <w:rsid w:val="00D52F29"/>
    <w:rsid w:val="00D53496"/>
    <w:rsid w:val="00D5369E"/>
    <w:rsid w:val="00D537E2"/>
    <w:rsid w:val="00D53A93"/>
    <w:rsid w:val="00D5486F"/>
    <w:rsid w:val="00D549F8"/>
    <w:rsid w:val="00D554E3"/>
    <w:rsid w:val="00D55B7A"/>
    <w:rsid w:val="00D55D84"/>
    <w:rsid w:val="00D56C5B"/>
    <w:rsid w:val="00D56F58"/>
    <w:rsid w:val="00D5771F"/>
    <w:rsid w:val="00D57978"/>
    <w:rsid w:val="00D57ADA"/>
    <w:rsid w:val="00D608BD"/>
    <w:rsid w:val="00D60AEE"/>
    <w:rsid w:val="00D60C7B"/>
    <w:rsid w:val="00D60DFB"/>
    <w:rsid w:val="00D616A6"/>
    <w:rsid w:val="00D61759"/>
    <w:rsid w:val="00D61E28"/>
    <w:rsid w:val="00D61E4C"/>
    <w:rsid w:val="00D61EC7"/>
    <w:rsid w:val="00D62256"/>
    <w:rsid w:val="00D62471"/>
    <w:rsid w:val="00D62CE8"/>
    <w:rsid w:val="00D63012"/>
    <w:rsid w:val="00D6407B"/>
    <w:rsid w:val="00D6439C"/>
    <w:rsid w:val="00D64796"/>
    <w:rsid w:val="00D64B58"/>
    <w:rsid w:val="00D64EB5"/>
    <w:rsid w:val="00D652F0"/>
    <w:rsid w:val="00D653D6"/>
    <w:rsid w:val="00D656C3"/>
    <w:rsid w:val="00D656D0"/>
    <w:rsid w:val="00D665F4"/>
    <w:rsid w:val="00D66DD8"/>
    <w:rsid w:val="00D67CCF"/>
    <w:rsid w:val="00D67FB4"/>
    <w:rsid w:val="00D7033F"/>
    <w:rsid w:val="00D70476"/>
    <w:rsid w:val="00D706CE"/>
    <w:rsid w:val="00D71132"/>
    <w:rsid w:val="00D71409"/>
    <w:rsid w:val="00D717EE"/>
    <w:rsid w:val="00D71A02"/>
    <w:rsid w:val="00D71E5D"/>
    <w:rsid w:val="00D71EE5"/>
    <w:rsid w:val="00D723D2"/>
    <w:rsid w:val="00D72CE8"/>
    <w:rsid w:val="00D74DDA"/>
    <w:rsid w:val="00D74E7F"/>
    <w:rsid w:val="00D75530"/>
    <w:rsid w:val="00D76113"/>
    <w:rsid w:val="00D7637D"/>
    <w:rsid w:val="00D765BA"/>
    <w:rsid w:val="00D767C8"/>
    <w:rsid w:val="00D767E8"/>
    <w:rsid w:val="00D76822"/>
    <w:rsid w:val="00D7686E"/>
    <w:rsid w:val="00D76881"/>
    <w:rsid w:val="00D76D4F"/>
    <w:rsid w:val="00D76EE7"/>
    <w:rsid w:val="00D770B2"/>
    <w:rsid w:val="00D773D2"/>
    <w:rsid w:val="00D773F4"/>
    <w:rsid w:val="00D77A0F"/>
    <w:rsid w:val="00D80587"/>
    <w:rsid w:val="00D80879"/>
    <w:rsid w:val="00D81278"/>
    <w:rsid w:val="00D81A1C"/>
    <w:rsid w:val="00D81A45"/>
    <w:rsid w:val="00D81F5B"/>
    <w:rsid w:val="00D81FC3"/>
    <w:rsid w:val="00D827B0"/>
    <w:rsid w:val="00D82812"/>
    <w:rsid w:val="00D82C37"/>
    <w:rsid w:val="00D83035"/>
    <w:rsid w:val="00D834C5"/>
    <w:rsid w:val="00D84237"/>
    <w:rsid w:val="00D84615"/>
    <w:rsid w:val="00D849DE"/>
    <w:rsid w:val="00D84DE6"/>
    <w:rsid w:val="00D859D0"/>
    <w:rsid w:val="00D85A08"/>
    <w:rsid w:val="00D85CB2"/>
    <w:rsid w:val="00D85D59"/>
    <w:rsid w:val="00D85E2E"/>
    <w:rsid w:val="00D861B6"/>
    <w:rsid w:val="00D86327"/>
    <w:rsid w:val="00D8676D"/>
    <w:rsid w:val="00D86C0B"/>
    <w:rsid w:val="00D8747F"/>
    <w:rsid w:val="00D87706"/>
    <w:rsid w:val="00D87B71"/>
    <w:rsid w:val="00D901C8"/>
    <w:rsid w:val="00D9097B"/>
    <w:rsid w:val="00D90C47"/>
    <w:rsid w:val="00D90D0E"/>
    <w:rsid w:val="00D91275"/>
    <w:rsid w:val="00D91771"/>
    <w:rsid w:val="00D917B6"/>
    <w:rsid w:val="00D92230"/>
    <w:rsid w:val="00D926ED"/>
    <w:rsid w:val="00D928D9"/>
    <w:rsid w:val="00D92AFF"/>
    <w:rsid w:val="00D93CFE"/>
    <w:rsid w:val="00D93FD2"/>
    <w:rsid w:val="00D941E5"/>
    <w:rsid w:val="00D94284"/>
    <w:rsid w:val="00D949AF"/>
    <w:rsid w:val="00D94E83"/>
    <w:rsid w:val="00D94EC3"/>
    <w:rsid w:val="00D950EC"/>
    <w:rsid w:val="00D95204"/>
    <w:rsid w:val="00D95416"/>
    <w:rsid w:val="00D9580F"/>
    <w:rsid w:val="00D95AA1"/>
    <w:rsid w:val="00D95B2B"/>
    <w:rsid w:val="00D95ECF"/>
    <w:rsid w:val="00D9639E"/>
    <w:rsid w:val="00D964A8"/>
    <w:rsid w:val="00D9678C"/>
    <w:rsid w:val="00D96CB8"/>
    <w:rsid w:val="00D96CF6"/>
    <w:rsid w:val="00D975D6"/>
    <w:rsid w:val="00DA0031"/>
    <w:rsid w:val="00DA0262"/>
    <w:rsid w:val="00DA0264"/>
    <w:rsid w:val="00DA02F6"/>
    <w:rsid w:val="00DA0482"/>
    <w:rsid w:val="00DA1309"/>
    <w:rsid w:val="00DA131B"/>
    <w:rsid w:val="00DA1ACA"/>
    <w:rsid w:val="00DA22A1"/>
    <w:rsid w:val="00DA2AC8"/>
    <w:rsid w:val="00DA2B06"/>
    <w:rsid w:val="00DA37F0"/>
    <w:rsid w:val="00DA444C"/>
    <w:rsid w:val="00DA5148"/>
    <w:rsid w:val="00DA5308"/>
    <w:rsid w:val="00DA54C0"/>
    <w:rsid w:val="00DA552C"/>
    <w:rsid w:val="00DA58F1"/>
    <w:rsid w:val="00DA5F16"/>
    <w:rsid w:val="00DA6042"/>
    <w:rsid w:val="00DA6154"/>
    <w:rsid w:val="00DA63E8"/>
    <w:rsid w:val="00DA746B"/>
    <w:rsid w:val="00DA7511"/>
    <w:rsid w:val="00DA7619"/>
    <w:rsid w:val="00DA797B"/>
    <w:rsid w:val="00DA7A3A"/>
    <w:rsid w:val="00DB09FB"/>
    <w:rsid w:val="00DB0DD0"/>
    <w:rsid w:val="00DB11B9"/>
    <w:rsid w:val="00DB2440"/>
    <w:rsid w:val="00DB3330"/>
    <w:rsid w:val="00DB3446"/>
    <w:rsid w:val="00DB35BD"/>
    <w:rsid w:val="00DB3A87"/>
    <w:rsid w:val="00DB3C4C"/>
    <w:rsid w:val="00DB3CCA"/>
    <w:rsid w:val="00DB4452"/>
    <w:rsid w:val="00DB56B8"/>
    <w:rsid w:val="00DB56E9"/>
    <w:rsid w:val="00DB56EE"/>
    <w:rsid w:val="00DB5953"/>
    <w:rsid w:val="00DB612B"/>
    <w:rsid w:val="00DB63E9"/>
    <w:rsid w:val="00DB66C1"/>
    <w:rsid w:val="00DB71D7"/>
    <w:rsid w:val="00DB75BF"/>
    <w:rsid w:val="00DB7D0D"/>
    <w:rsid w:val="00DC04F9"/>
    <w:rsid w:val="00DC196C"/>
    <w:rsid w:val="00DC1CE7"/>
    <w:rsid w:val="00DC1D6E"/>
    <w:rsid w:val="00DC2461"/>
    <w:rsid w:val="00DC2579"/>
    <w:rsid w:val="00DC2B17"/>
    <w:rsid w:val="00DC3025"/>
    <w:rsid w:val="00DC36CF"/>
    <w:rsid w:val="00DC3873"/>
    <w:rsid w:val="00DC3DF4"/>
    <w:rsid w:val="00DC3DFC"/>
    <w:rsid w:val="00DC45B5"/>
    <w:rsid w:val="00DC4926"/>
    <w:rsid w:val="00DC4BD8"/>
    <w:rsid w:val="00DC4D68"/>
    <w:rsid w:val="00DC4DE2"/>
    <w:rsid w:val="00DC503C"/>
    <w:rsid w:val="00DC51E7"/>
    <w:rsid w:val="00DC574B"/>
    <w:rsid w:val="00DC5C9A"/>
    <w:rsid w:val="00DC5E47"/>
    <w:rsid w:val="00DC6323"/>
    <w:rsid w:val="00DC670E"/>
    <w:rsid w:val="00DC67ED"/>
    <w:rsid w:val="00DC698B"/>
    <w:rsid w:val="00DC69CB"/>
    <w:rsid w:val="00DC6A3D"/>
    <w:rsid w:val="00DC73FE"/>
    <w:rsid w:val="00DC7A60"/>
    <w:rsid w:val="00DC7C7D"/>
    <w:rsid w:val="00DC7EF3"/>
    <w:rsid w:val="00DC7F8B"/>
    <w:rsid w:val="00DD02E0"/>
    <w:rsid w:val="00DD0E71"/>
    <w:rsid w:val="00DD22F6"/>
    <w:rsid w:val="00DD248A"/>
    <w:rsid w:val="00DD2988"/>
    <w:rsid w:val="00DD3393"/>
    <w:rsid w:val="00DD3852"/>
    <w:rsid w:val="00DD5B5C"/>
    <w:rsid w:val="00DD5E76"/>
    <w:rsid w:val="00DD5FCF"/>
    <w:rsid w:val="00DD641B"/>
    <w:rsid w:val="00DD6613"/>
    <w:rsid w:val="00DD6DB7"/>
    <w:rsid w:val="00DD6F86"/>
    <w:rsid w:val="00DD71C5"/>
    <w:rsid w:val="00DD7C28"/>
    <w:rsid w:val="00DD7FC8"/>
    <w:rsid w:val="00DE0213"/>
    <w:rsid w:val="00DE03BB"/>
    <w:rsid w:val="00DE0783"/>
    <w:rsid w:val="00DE1AE4"/>
    <w:rsid w:val="00DE203D"/>
    <w:rsid w:val="00DE2254"/>
    <w:rsid w:val="00DE262C"/>
    <w:rsid w:val="00DE2FA0"/>
    <w:rsid w:val="00DE357B"/>
    <w:rsid w:val="00DE35AC"/>
    <w:rsid w:val="00DE3757"/>
    <w:rsid w:val="00DE39EA"/>
    <w:rsid w:val="00DE3F54"/>
    <w:rsid w:val="00DE3F8A"/>
    <w:rsid w:val="00DE4396"/>
    <w:rsid w:val="00DE48FF"/>
    <w:rsid w:val="00DE4A31"/>
    <w:rsid w:val="00DE5A05"/>
    <w:rsid w:val="00DE6248"/>
    <w:rsid w:val="00DE6406"/>
    <w:rsid w:val="00DE6747"/>
    <w:rsid w:val="00DE6BF2"/>
    <w:rsid w:val="00DE6C0E"/>
    <w:rsid w:val="00DE6C53"/>
    <w:rsid w:val="00DE6E49"/>
    <w:rsid w:val="00DE6F74"/>
    <w:rsid w:val="00DE7830"/>
    <w:rsid w:val="00DF02CD"/>
    <w:rsid w:val="00DF035C"/>
    <w:rsid w:val="00DF03B1"/>
    <w:rsid w:val="00DF0494"/>
    <w:rsid w:val="00DF06C5"/>
    <w:rsid w:val="00DF0749"/>
    <w:rsid w:val="00DF0AA7"/>
    <w:rsid w:val="00DF0B01"/>
    <w:rsid w:val="00DF130D"/>
    <w:rsid w:val="00DF1617"/>
    <w:rsid w:val="00DF16FA"/>
    <w:rsid w:val="00DF2011"/>
    <w:rsid w:val="00DF2AB8"/>
    <w:rsid w:val="00DF2BCC"/>
    <w:rsid w:val="00DF3460"/>
    <w:rsid w:val="00DF3791"/>
    <w:rsid w:val="00DF3E6F"/>
    <w:rsid w:val="00DF3F26"/>
    <w:rsid w:val="00DF423F"/>
    <w:rsid w:val="00DF42C3"/>
    <w:rsid w:val="00DF48DB"/>
    <w:rsid w:val="00DF4F52"/>
    <w:rsid w:val="00DF53FA"/>
    <w:rsid w:val="00DF57B4"/>
    <w:rsid w:val="00DF5B07"/>
    <w:rsid w:val="00DF5B93"/>
    <w:rsid w:val="00DF5BB9"/>
    <w:rsid w:val="00DF5FCB"/>
    <w:rsid w:val="00DF600C"/>
    <w:rsid w:val="00DF708C"/>
    <w:rsid w:val="00DF7638"/>
    <w:rsid w:val="00DF78A4"/>
    <w:rsid w:val="00DF7EEC"/>
    <w:rsid w:val="00E00307"/>
    <w:rsid w:val="00E00930"/>
    <w:rsid w:val="00E00BDD"/>
    <w:rsid w:val="00E011DB"/>
    <w:rsid w:val="00E012A1"/>
    <w:rsid w:val="00E01E2D"/>
    <w:rsid w:val="00E032E1"/>
    <w:rsid w:val="00E035F0"/>
    <w:rsid w:val="00E03C34"/>
    <w:rsid w:val="00E03EE1"/>
    <w:rsid w:val="00E047CE"/>
    <w:rsid w:val="00E04CB4"/>
    <w:rsid w:val="00E04E28"/>
    <w:rsid w:val="00E04F6B"/>
    <w:rsid w:val="00E0576D"/>
    <w:rsid w:val="00E05C5D"/>
    <w:rsid w:val="00E05DE5"/>
    <w:rsid w:val="00E07076"/>
    <w:rsid w:val="00E10525"/>
    <w:rsid w:val="00E109C6"/>
    <w:rsid w:val="00E11BF0"/>
    <w:rsid w:val="00E122E1"/>
    <w:rsid w:val="00E12437"/>
    <w:rsid w:val="00E12B3F"/>
    <w:rsid w:val="00E12BB3"/>
    <w:rsid w:val="00E12F08"/>
    <w:rsid w:val="00E13497"/>
    <w:rsid w:val="00E134B0"/>
    <w:rsid w:val="00E14681"/>
    <w:rsid w:val="00E14B1C"/>
    <w:rsid w:val="00E14B1E"/>
    <w:rsid w:val="00E14D56"/>
    <w:rsid w:val="00E1536B"/>
    <w:rsid w:val="00E15D12"/>
    <w:rsid w:val="00E164F6"/>
    <w:rsid w:val="00E1667E"/>
    <w:rsid w:val="00E1691E"/>
    <w:rsid w:val="00E16C7E"/>
    <w:rsid w:val="00E17293"/>
    <w:rsid w:val="00E172B8"/>
    <w:rsid w:val="00E17C1B"/>
    <w:rsid w:val="00E17FA4"/>
    <w:rsid w:val="00E20253"/>
    <w:rsid w:val="00E2041F"/>
    <w:rsid w:val="00E207C7"/>
    <w:rsid w:val="00E20A8F"/>
    <w:rsid w:val="00E20AFC"/>
    <w:rsid w:val="00E2151A"/>
    <w:rsid w:val="00E21C8C"/>
    <w:rsid w:val="00E21FEA"/>
    <w:rsid w:val="00E220AA"/>
    <w:rsid w:val="00E22241"/>
    <w:rsid w:val="00E224E0"/>
    <w:rsid w:val="00E22DF5"/>
    <w:rsid w:val="00E2321A"/>
    <w:rsid w:val="00E2343F"/>
    <w:rsid w:val="00E236BE"/>
    <w:rsid w:val="00E2370D"/>
    <w:rsid w:val="00E23F01"/>
    <w:rsid w:val="00E240C5"/>
    <w:rsid w:val="00E24C1F"/>
    <w:rsid w:val="00E250CC"/>
    <w:rsid w:val="00E2552A"/>
    <w:rsid w:val="00E25682"/>
    <w:rsid w:val="00E25A49"/>
    <w:rsid w:val="00E25A83"/>
    <w:rsid w:val="00E25C89"/>
    <w:rsid w:val="00E26058"/>
    <w:rsid w:val="00E26246"/>
    <w:rsid w:val="00E268E7"/>
    <w:rsid w:val="00E269EF"/>
    <w:rsid w:val="00E26B41"/>
    <w:rsid w:val="00E26D1F"/>
    <w:rsid w:val="00E272AC"/>
    <w:rsid w:val="00E277A6"/>
    <w:rsid w:val="00E27E70"/>
    <w:rsid w:val="00E302D9"/>
    <w:rsid w:val="00E303B8"/>
    <w:rsid w:val="00E30687"/>
    <w:rsid w:val="00E311C4"/>
    <w:rsid w:val="00E317DD"/>
    <w:rsid w:val="00E3195B"/>
    <w:rsid w:val="00E31A3D"/>
    <w:rsid w:val="00E329C9"/>
    <w:rsid w:val="00E332CE"/>
    <w:rsid w:val="00E33656"/>
    <w:rsid w:val="00E339C7"/>
    <w:rsid w:val="00E33BB9"/>
    <w:rsid w:val="00E33CBB"/>
    <w:rsid w:val="00E347E2"/>
    <w:rsid w:val="00E34DD9"/>
    <w:rsid w:val="00E35346"/>
    <w:rsid w:val="00E355C1"/>
    <w:rsid w:val="00E357C8"/>
    <w:rsid w:val="00E35E88"/>
    <w:rsid w:val="00E3615D"/>
    <w:rsid w:val="00E3647D"/>
    <w:rsid w:val="00E37725"/>
    <w:rsid w:val="00E3798D"/>
    <w:rsid w:val="00E37CC1"/>
    <w:rsid w:val="00E407C6"/>
    <w:rsid w:val="00E40DDE"/>
    <w:rsid w:val="00E41175"/>
    <w:rsid w:val="00E41488"/>
    <w:rsid w:val="00E41BC1"/>
    <w:rsid w:val="00E41F2D"/>
    <w:rsid w:val="00E428AB"/>
    <w:rsid w:val="00E42CF1"/>
    <w:rsid w:val="00E42D6B"/>
    <w:rsid w:val="00E4383E"/>
    <w:rsid w:val="00E439D0"/>
    <w:rsid w:val="00E440A8"/>
    <w:rsid w:val="00E4458C"/>
    <w:rsid w:val="00E44BDA"/>
    <w:rsid w:val="00E4508A"/>
    <w:rsid w:val="00E45239"/>
    <w:rsid w:val="00E4545F"/>
    <w:rsid w:val="00E4571B"/>
    <w:rsid w:val="00E4572C"/>
    <w:rsid w:val="00E45B65"/>
    <w:rsid w:val="00E45F5B"/>
    <w:rsid w:val="00E471B1"/>
    <w:rsid w:val="00E5009C"/>
    <w:rsid w:val="00E508E4"/>
    <w:rsid w:val="00E50AFC"/>
    <w:rsid w:val="00E50D20"/>
    <w:rsid w:val="00E5107B"/>
    <w:rsid w:val="00E51082"/>
    <w:rsid w:val="00E511A6"/>
    <w:rsid w:val="00E521E1"/>
    <w:rsid w:val="00E526CC"/>
    <w:rsid w:val="00E52849"/>
    <w:rsid w:val="00E52BD8"/>
    <w:rsid w:val="00E532C5"/>
    <w:rsid w:val="00E53518"/>
    <w:rsid w:val="00E53780"/>
    <w:rsid w:val="00E5392F"/>
    <w:rsid w:val="00E53D33"/>
    <w:rsid w:val="00E53F2B"/>
    <w:rsid w:val="00E53F8E"/>
    <w:rsid w:val="00E54EA9"/>
    <w:rsid w:val="00E553F3"/>
    <w:rsid w:val="00E55454"/>
    <w:rsid w:val="00E55600"/>
    <w:rsid w:val="00E559A4"/>
    <w:rsid w:val="00E55CA6"/>
    <w:rsid w:val="00E55EDF"/>
    <w:rsid w:val="00E562D0"/>
    <w:rsid w:val="00E56A88"/>
    <w:rsid w:val="00E56C3A"/>
    <w:rsid w:val="00E5704E"/>
    <w:rsid w:val="00E570B2"/>
    <w:rsid w:val="00E5711A"/>
    <w:rsid w:val="00E57395"/>
    <w:rsid w:val="00E57D25"/>
    <w:rsid w:val="00E57E36"/>
    <w:rsid w:val="00E601EB"/>
    <w:rsid w:val="00E605EA"/>
    <w:rsid w:val="00E60B4B"/>
    <w:rsid w:val="00E61353"/>
    <w:rsid w:val="00E61FE3"/>
    <w:rsid w:val="00E62189"/>
    <w:rsid w:val="00E624B1"/>
    <w:rsid w:val="00E62781"/>
    <w:rsid w:val="00E634F2"/>
    <w:rsid w:val="00E6368B"/>
    <w:rsid w:val="00E63E49"/>
    <w:rsid w:val="00E644AF"/>
    <w:rsid w:val="00E64952"/>
    <w:rsid w:val="00E64BDD"/>
    <w:rsid w:val="00E65A62"/>
    <w:rsid w:val="00E65AAF"/>
    <w:rsid w:val="00E65D81"/>
    <w:rsid w:val="00E65F15"/>
    <w:rsid w:val="00E661BD"/>
    <w:rsid w:val="00E66789"/>
    <w:rsid w:val="00E670B1"/>
    <w:rsid w:val="00E67A5A"/>
    <w:rsid w:val="00E67BA3"/>
    <w:rsid w:val="00E70235"/>
    <w:rsid w:val="00E7034C"/>
    <w:rsid w:val="00E714B7"/>
    <w:rsid w:val="00E71637"/>
    <w:rsid w:val="00E71851"/>
    <w:rsid w:val="00E71FDB"/>
    <w:rsid w:val="00E722B2"/>
    <w:rsid w:val="00E72943"/>
    <w:rsid w:val="00E72BF0"/>
    <w:rsid w:val="00E72CB6"/>
    <w:rsid w:val="00E7307A"/>
    <w:rsid w:val="00E73129"/>
    <w:rsid w:val="00E7352D"/>
    <w:rsid w:val="00E73593"/>
    <w:rsid w:val="00E735B1"/>
    <w:rsid w:val="00E735E3"/>
    <w:rsid w:val="00E73A24"/>
    <w:rsid w:val="00E73D79"/>
    <w:rsid w:val="00E74E0B"/>
    <w:rsid w:val="00E74F83"/>
    <w:rsid w:val="00E7519B"/>
    <w:rsid w:val="00E7526C"/>
    <w:rsid w:val="00E75844"/>
    <w:rsid w:val="00E766A3"/>
    <w:rsid w:val="00E77036"/>
    <w:rsid w:val="00E77062"/>
    <w:rsid w:val="00E7764D"/>
    <w:rsid w:val="00E7779D"/>
    <w:rsid w:val="00E77970"/>
    <w:rsid w:val="00E8058D"/>
    <w:rsid w:val="00E80611"/>
    <w:rsid w:val="00E81222"/>
    <w:rsid w:val="00E814C4"/>
    <w:rsid w:val="00E821B6"/>
    <w:rsid w:val="00E824C1"/>
    <w:rsid w:val="00E82799"/>
    <w:rsid w:val="00E82957"/>
    <w:rsid w:val="00E82F38"/>
    <w:rsid w:val="00E83155"/>
    <w:rsid w:val="00E83698"/>
    <w:rsid w:val="00E8499C"/>
    <w:rsid w:val="00E8610C"/>
    <w:rsid w:val="00E8621D"/>
    <w:rsid w:val="00E8647A"/>
    <w:rsid w:val="00E86536"/>
    <w:rsid w:val="00E868DD"/>
    <w:rsid w:val="00E869DA"/>
    <w:rsid w:val="00E86CBA"/>
    <w:rsid w:val="00E872B1"/>
    <w:rsid w:val="00E8746E"/>
    <w:rsid w:val="00E87B40"/>
    <w:rsid w:val="00E901CE"/>
    <w:rsid w:val="00E90B96"/>
    <w:rsid w:val="00E911AB"/>
    <w:rsid w:val="00E9131C"/>
    <w:rsid w:val="00E913D7"/>
    <w:rsid w:val="00E91A9A"/>
    <w:rsid w:val="00E91AF0"/>
    <w:rsid w:val="00E91DE4"/>
    <w:rsid w:val="00E92187"/>
    <w:rsid w:val="00E92966"/>
    <w:rsid w:val="00E92C79"/>
    <w:rsid w:val="00E92E99"/>
    <w:rsid w:val="00E92FFD"/>
    <w:rsid w:val="00E9395E"/>
    <w:rsid w:val="00E93E47"/>
    <w:rsid w:val="00E9422C"/>
    <w:rsid w:val="00E94267"/>
    <w:rsid w:val="00E9441C"/>
    <w:rsid w:val="00E94D06"/>
    <w:rsid w:val="00E952FD"/>
    <w:rsid w:val="00E95396"/>
    <w:rsid w:val="00E95AF4"/>
    <w:rsid w:val="00E96521"/>
    <w:rsid w:val="00E9696C"/>
    <w:rsid w:val="00E96F12"/>
    <w:rsid w:val="00E97E3E"/>
    <w:rsid w:val="00E97F61"/>
    <w:rsid w:val="00EA066F"/>
    <w:rsid w:val="00EA0BF6"/>
    <w:rsid w:val="00EA0E77"/>
    <w:rsid w:val="00EA17E3"/>
    <w:rsid w:val="00EA1FD4"/>
    <w:rsid w:val="00EA23A8"/>
    <w:rsid w:val="00EA26A7"/>
    <w:rsid w:val="00EA2EB1"/>
    <w:rsid w:val="00EA31FE"/>
    <w:rsid w:val="00EA3545"/>
    <w:rsid w:val="00EA3919"/>
    <w:rsid w:val="00EA39E8"/>
    <w:rsid w:val="00EA4D1F"/>
    <w:rsid w:val="00EA51D3"/>
    <w:rsid w:val="00EA549D"/>
    <w:rsid w:val="00EA580D"/>
    <w:rsid w:val="00EA5D1F"/>
    <w:rsid w:val="00EA5D62"/>
    <w:rsid w:val="00EA5F13"/>
    <w:rsid w:val="00EA5F66"/>
    <w:rsid w:val="00EA6664"/>
    <w:rsid w:val="00EA7165"/>
    <w:rsid w:val="00EA72ED"/>
    <w:rsid w:val="00EA75D4"/>
    <w:rsid w:val="00EA7CEA"/>
    <w:rsid w:val="00EB0D12"/>
    <w:rsid w:val="00EB0D17"/>
    <w:rsid w:val="00EB0EDA"/>
    <w:rsid w:val="00EB0FCA"/>
    <w:rsid w:val="00EB100C"/>
    <w:rsid w:val="00EB10E6"/>
    <w:rsid w:val="00EB158C"/>
    <w:rsid w:val="00EB18DC"/>
    <w:rsid w:val="00EB1AB7"/>
    <w:rsid w:val="00EB2777"/>
    <w:rsid w:val="00EB287D"/>
    <w:rsid w:val="00EB363A"/>
    <w:rsid w:val="00EB4179"/>
    <w:rsid w:val="00EB443C"/>
    <w:rsid w:val="00EB4D9E"/>
    <w:rsid w:val="00EB55CE"/>
    <w:rsid w:val="00EB561F"/>
    <w:rsid w:val="00EB56CC"/>
    <w:rsid w:val="00EB5CB0"/>
    <w:rsid w:val="00EB5E43"/>
    <w:rsid w:val="00EB6029"/>
    <w:rsid w:val="00EB63D9"/>
    <w:rsid w:val="00EB6896"/>
    <w:rsid w:val="00EB69AE"/>
    <w:rsid w:val="00EB71D9"/>
    <w:rsid w:val="00EB737F"/>
    <w:rsid w:val="00EB780A"/>
    <w:rsid w:val="00EC0195"/>
    <w:rsid w:val="00EC04B8"/>
    <w:rsid w:val="00EC08C1"/>
    <w:rsid w:val="00EC0921"/>
    <w:rsid w:val="00EC1523"/>
    <w:rsid w:val="00EC1DC0"/>
    <w:rsid w:val="00EC2221"/>
    <w:rsid w:val="00EC23DE"/>
    <w:rsid w:val="00EC2517"/>
    <w:rsid w:val="00EC2787"/>
    <w:rsid w:val="00EC27ED"/>
    <w:rsid w:val="00EC3063"/>
    <w:rsid w:val="00EC317A"/>
    <w:rsid w:val="00EC31EB"/>
    <w:rsid w:val="00EC375F"/>
    <w:rsid w:val="00EC3BD5"/>
    <w:rsid w:val="00EC4422"/>
    <w:rsid w:val="00EC493D"/>
    <w:rsid w:val="00EC566F"/>
    <w:rsid w:val="00EC59C2"/>
    <w:rsid w:val="00EC5A0E"/>
    <w:rsid w:val="00EC62DA"/>
    <w:rsid w:val="00EC6EED"/>
    <w:rsid w:val="00EC7054"/>
    <w:rsid w:val="00EC7159"/>
    <w:rsid w:val="00EC769A"/>
    <w:rsid w:val="00EC7819"/>
    <w:rsid w:val="00EC78DE"/>
    <w:rsid w:val="00EC7B9A"/>
    <w:rsid w:val="00EC7CD2"/>
    <w:rsid w:val="00EC7DE9"/>
    <w:rsid w:val="00EC7E34"/>
    <w:rsid w:val="00ED07AC"/>
    <w:rsid w:val="00ED0A47"/>
    <w:rsid w:val="00ED1272"/>
    <w:rsid w:val="00ED15DA"/>
    <w:rsid w:val="00ED1C3A"/>
    <w:rsid w:val="00ED2637"/>
    <w:rsid w:val="00ED26EA"/>
    <w:rsid w:val="00ED2CCD"/>
    <w:rsid w:val="00ED2DA9"/>
    <w:rsid w:val="00ED2FF3"/>
    <w:rsid w:val="00ED39C4"/>
    <w:rsid w:val="00ED3F04"/>
    <w:rsid w:val="00ED43A8"/>
    <w:rsid w:val="00ED48E4"/>
    <w:rsid w:val="00ED50F0"/>
    <w:rsid w:val="00ED58EF"/>
    <w:rsid w:val="00ED5F13"/>
    <w:rsid w:val="00ED60E4"/>
    <w:rsid w:val="00ED675B"/>
    <w:rsid w:val="00ED6C74"/>
    <w:rsid w:val="00ED6ED7"/>
    <w:rsid w:val="00ED744A"/>
    <w:rsid w:val="00ED76A6"/>
    <w:rsid w:val="00ED774C"/>
    <w:rsid w:val="00ED7C8A"/>
    <w:rsid w:val="00EE0311"/>
    <w:rsid w:val="00EE07F4"/>
    <w:rsid w:val="00EE0C86"/>
    <w:rsid w:val="00EE1DDE"/>
    <w:rsid w:val="00EE21EE"/>
    <w:rsid w:val="00EE232C"/>
    <w:rsid w:val="00EE24B5"/>
    <w:rsid w:val="00EE289F"/>
    <w:rsid w:val="00EE2C0F"/>
    <w:rsid w:val="00EE3448"/>
    <w:rsid w:val="00EE39B6"/>
    <w:rsid w:val="00EE416F"/>
    <w:rsid w:val="00EE431A"/>
    <w:rsid w:val="00EE45A4"/>
    <w:rsid w:val="00EE4937"/>
    <w:rsid w:val="00EE4EA6"/>
    <w:rsid w:val="00EE5739"/>
    <w:rsid w:val="00EE58E5"/>
    <w:rsid w:val="00EE5E16"/>
    <w:rsid w:val="00EE613E"/>
    <w:rsid w:val="00EE61C8"/>
    <w:rsid w:val="00EE6770"/>
    <w:rsid w:val="00EE6792"/>
    <w:rsid w:val="00EE6E18"/>
    <w:rsid w:val="00EE6E28"/>
    <w:rsid w:val="00EF0187"/>
    <w:rsid w:val="00EF084A"/>
    <w:rsid w:val="00EF0A1D"/>
    <w:rsid w:val="00EF1B2B"/>
    <w:rsid w:val="00EF1CA8"/>
    <w:rsid w:val="00EF1CEA"/>
    <w:rsid w:val="00EF2315"/>
    <w:rsid w:val="00EF238F"/>
    <w:rsid w:val="00EF2A04"/>
    <w:rsid w:val="00EF2B70"/>
    <w:rsid w:val="00EF33D2"/>
    <w:rsid w:val="00EF35A3"/>
    <w:rsid w:val="00EF3B6D"/>
    <w:rsid w:val="00EF4297"/>
    <w:rsid w:val="00EF4ABF"/>
    <w:rsid w:val="00EF5185"/>
    <w:rsid w:val="00EF51B2"/>
    <w:rsid w:val="00EF54B7"/>
    <w:rsid w:val="00EF5FAF"/>
    <w:rsid w:val="00EF625B"/>
    <w:rsid w:val="00EF657F"/>
    <w:rsid w:val="00EF695C"/>
    <w:rsid w:val="00EF73C3"/>
    <w:rsid w:val="00EF7DEB"/>
    <w:rsid w:val="00F00062"/>
    <w:rsid w:val="00F0064D"/>
    <w:rsid w:val="00F00898"/>
    <w:rsid w:val="00F00EC7"/>
    <w:rsid w:val="00F011E8"/>
    <w:rsid w:val="00F0131E"/>
    <w:rsid w:val="00F0135E"/>
    <w:rsid w:val="00F01972"/>
    <w:rsid w:val="00F019B3"/>
    <w:rsid w:val="00F01B7D"/>
    <w:rsid w:val="00F0279E"/>
    <w:rsid w:val="00F02814"/>
    <w:rsid w:val="00F030FB"/>
    <w:rsid w:val="00F03481"/>
    <w:rsid w:val="00F034B4"/>
    <w:rsid w:val="00F03540"/>
    <w:rsid w:val="00F03676"/>
    <w:rsid w:val="00F03A46"/>
    <w:rsid w:val="00F04166"/>
    <w:rsid w:val="00F0422B"/>
    <w:rsid w:val="00F04E82"/>
    <w:rsid w:val="00F05162"/>
    <w:rsid w:val="00F05321"/>
    <w:rsid w:val="00F054B2"/>
    <w:rsid w:val="00F054FA"/>
    <w:rsid w:val="00F05A6F"/>
    <w:rsid w:val="00F0682F"/>
    <w:rsid w:val="00F06B9D"/>
    <w:rsid w:val="00F06ECE"/>
    <w:rsid w:val="00F0704F"/>
    <w:rsid w:val="00F072D0"/>
    <w:rsid w:val="00F07ACA"/>
    <w:rsid w:val="00F1027E"/>
    <w:rsid w:val="00F109B8"/>
    <w:rsid w:val="00F10A1E"/>
    <w:rsid w:val="00F111F8"/>
    <w:rsid w:val="00F1124F"/>
    <w:rsid w:val="00F1167D"/>
    <w:rsid w:val="00F11C5C"/>
    <w:rsid w:val="00F12153"/>
    <w:rsid w:val="00F121FB"/>
    <w:rsid w:val="00F12AF9"/>
    <w:rsid w:val="00F13272"/>
    <w:rsid w:val="00F133C3"/>
    <w:rsid w:val="00F145CF"/>
    <w:rsid w:val="00F14C6A"/>
    <w:rsid w:val="00F14C86"/>
    <w:rsid w:val="00F14F90"/>
    <w:rsid w:val="00F152C8"/>
    <w:rsid w:val="00F1567A"/>
    <w:rsid w:val="00F1589F"/>
    <w:rsid w:val="00F15946"/>
    <w:rsid w:val="00F15A99"/>
    <w:rsid w:val="00F15B28"/>
    <w:rsid w:val="00F15BC6"/>
    <w:rsid w:val="00F15BE5"/>
    <w:rsid w:val="00F1638F"/>
    <w:rsid w:val="00F16649"/>
    <w:rsid w:val="00F16AB1"/>
    <w:rsid w:val="00F16C94"/>
    <w:rsid w:val="00F1711A"/>
    <w:rsid w:val="00F1766D"/>
    <w:rsid w:val="00F1771F"/>
    <w:rsid w:val="00F17C08"/>
    <w:rsid w:val="00F200F5"/>
    <w:rsid w:val="00F2090F"/>
    <w:rsid w:val="00F210E4"/>
    <w:rsid w:val="00F2132D"/>
    <w:rsid w:val="00F219FA"/>
    <w:rsid w:val="00F21D59"/>
    <w:rsid w:val="00F21F5C"/>
    <w:rsid w:val="00F220A7"/>
    <w:rsid w:val="00F22F60"/>
    <w:rsid w:val="00F23393"/>
    <w:rsid w:val="00F23FE5"/>
    <w:rsid w:val="00F24231"/>
    <w:rsid w:val="00F244FE"/>
    <w:rsid w:val="00F246F2"/>
    <w:rsid w:val="00F24746"/>
    <w:rsid w:val="00F2560F"/>
    <w:rsid w:val="00F25618"/>
    <w:rsid w:val="00F25E16"/>
    <w:rsid w:val="00F25F5E"/>
    <w:rsid w:val="00F26898"/>
    <w:rsid w:val="00F26ABE"/>
    <w:rsid w:val="00F26E3B"/>
    <w:rsid w:val="00F27082"/>
    <w:rsid w:val="00F27114"/>
    <w:rsid w:val="00F271DC"/>
    <w:rsid w:val="00F27A25"/>
    <w:rsid w:val="00F302EF"/>
    <w:rsid w:val="00F30711"/>
    <w:rsid w:val="00F30873"/>
    <w:rsid w:val="00F30D30"/>
    <w:rsid w:val="00F31D1C"/>
    <w:rsid w:val="00F31DFC"/>
    <w:rsid w:val="00F31E59"/>
    <w:rsid w:val="00F326C3"/>
    <w:rsid w:val="00F32C05"/>
    <w:rsid w:val="00F32E9E"/>
    <w:rsid w:val="00F32FB1"/>
    <w:rsid w:val="00F33167"/>
    <w:rsid w:val="00F33914"/>
    <w:rsid w:val="00F3392A"/>
    <w:rsid w:val="00F33B90"/>
    <w:rsid w:val="00F33BB5"/>
    <w:rsid w:val="00F347E2"/>
    <w:rsid w:val="00F34831"/>
    <w:rsid w:val="00F3498B"/>
    <w:rsid w:val="00F34FCF"/>
    <w:rsid w:val="00F352A4"/>
    <w:rsid w:val="00F352DD"/>
    <w:rsid w:val="00F35479"/>
    <w:rsid w:val="00F3547C"/>
    <w:rsid w:val="00F359AB"/>
    <w:rsid w:val="00F369E8"/>
    <w:rsid w:val="00F36A11"/>
    <w:rsid w:val="00F372B6"/>
    <w:rsid w:val="00F37691"/>
    <w:rsid w:val="00F37B2D"/>
    <w:rsid w:val="00F37B85"/>
    <w:rsid w:val="00F37BE1"/>
    <w:rsid w:val="00F400E8"/>
    <w:rsid w:val="00F401B8"/>
    <w:rsid w:val="00F402E3"/>
    <w:rsid w:val="00F403E0"/>
    <w:rsid w:val="00F41382"/>
    <w:rsid w:val="00F423F9"/>
    <w:rsid w:val="00F425B9"/>
    <w:rsid w:val="00F42779"/>
    <w:rsid w:val="00F43104"/>
    <w:rsid w:val="00F43519"/>
    <w:rsid w:val="00F43AF9"/>
    <w:rsid w:val="00F43BE4"/>
    <w:rsid w:val="00F43EDD"/>
    <w:rsid w:val="00F44D5B"/>
    <w:rsid w:val="00F4505A"/>
    <w:rsid w:val="00F45ABE"/>
    <w:rsid w:val="00F470BD"/>
    <w:rsid w:val="00F472A1"/>
    <w:rsid w:val="00F47665"/>
    <w:rsid w:val="00F479A1"/>
    <w:rsid w:val="00F47BE1"/>
    <w:rsid w:val="00F501F2"/>
    <w:rsid w:val="00F50241"/>
    <w:rsid w:val="00F5052E"/>
    <w:rsid w:val="00F50C54"/>
    <w:rsid w:val="00F524AD"/>
    <w:rsid w:val="00F524E6"/>
    <w:rsid w:val="00F52CC4"/>
    <w:rsid w:val="00F530C5"/>
    <w:rsid w:val="00F53802"/>
    <w:rsid w:val="00F53EDD"/>
    <w:rsid w:val="00F54226"/>
    <w:rsid w:val="00F54356"/>
    <w:rsid w:val="00F543B5"/>
    <w:rsid w:val="00F544F0"/>
    <w:rsid w:val="00F545A4"/>
    <w:rsid w:val="00F54BE1"/>
    <w:rsid w:val="00F54DF6"/>
    <w:rsid w:val="00F54E5C"/>
    <w:rsid w:val="00F55134"/>
    <w:rsid w:val="00F5525D"/>
    <w:rsid w:val="00F55521"/>
    <w:rsid w:val="00F55789"/>
    <w:rsid w:val="00F55DD7"/>
    <w:rsid w:val="00F55F6F"/>
    <w:rsid w:val="00F56449"/>
    <w:rsid w:val="00F5645A"/>
    <w:rsid w:val="00F5657B"/>
    <w:rsid w:val="00F56BC9"/>
    <w:rsid w:val="00F56C4B"/>
    <w:rsid w:val="00F57811"/>
    <w:rsid w:val="00F604BC"/>
    <w:rsid w:val="00F6059F"/>
    <w:rsid w:val="00F60EE4"/>
    <w:rsid w:val="00F61625"/>
    <w:rsid w:val="00F639D2"/>
    <w:rsid w:val="00F63A57"/>
    <w:rsid w:val="00F63D78"/>
    <w:rsid w:val="00F63EE1"/>
    <w:rsid w:val="00F63F76"/>
    <w:rsid w:val="00F6462A"/>
    <w:rsid w:val="00F647AE"/>
    <w:rsid w:val="00F64D15"/>
    <w:rsid w:val="00F64D5B"/>
    <w:rsid w:val="00F65047"/>
    <w:rsid w:val="00F657C7"/>
    <w:rsid w:val="00F65E77"/>
    <w:rsid w:val="00F662EB"/>
    <w:rsid w:val="00F66678"/>
    <w:rsid w:val="00F66C20"/>
    <w:rsid w:val="00F66D36"/>
    <w:rsid w:val="00F66E06"/>
    <w:rsid w:val="00F70124"/>
    <w:rsid w:val="00F7017C"/>
    <w:rsid w:val="00F70182"/>
    <w:rsid w:val="00F70652"/>
    <w:rsid w:val="00F706D3"/>
    <w:rsid w:val="00F708E6"/>
    <w:rsid w:val="00F70B50"/>
    <w:rsid w:val="00F71190"/>
    <w:rsid w:val="00F71ADA"/>
    <w:rsid w:val="00F71F2B"/>
    <w:rsid w:val="00F72027"/>
    <w:rsid w:val="00F7248F"/>
    <w:rsid w:val="00F7269E"/>
    <w:rsid w:val="00F72804"/>
    <w:rsid w:val="00F72982"/>
    <w:rsid w:val="00F729AB"/>
    <w:rsid w:val="00F72AAB"/>
    <w:rsid w:val="00F73D82"/>
    <w:rsid w:val="00F74539"/>
    <w:rsid w:val="00F7525A"/>
    <w:rsid w:val="00F75406"/>
    <w:rsid w:val="00F75678"/>
    <w:rsid w:val="00F757F8"/>
    <w:rsid w:val="00F75A65"/>
    <w:rsid w:val="00F75BBA"/>
    <w:rsid w:val="00F75C48"/>
    <w:rsid w:val="00F75DBE"/>
    <w:rsid w:val="00F7643A"/>
    <w:rsid w:val="00F764D0"/>
    <w:rsid w:val="00F76644"/>
    <w:rsid w:val="00F76923"/>
    <w:rsid w:val="00F77EA5"/>
    <w:rsid w:val="00F8012D"/>
    <w:rsid w:val="00F803AD"/>
    <w:rsid w:val="00F805D1"/>
    <w:rsid w:val="00F80676"/>
    <w:rsid w:val="00F806C2"/>
    <w:rsid w:val="00F812CD"/>
    <w:rsid w:val="00F826CF"/>
    <w:rsid w:val="00F82DC2"/>
    <w:rsid w:val="00F83398"/>
    <w:rsid w:val="00F83480"/>
    <w:rsid w:val="00F843E8"/>
    <w:rsid w:val="00F84524"/>
    <w:rsid w:val="00F847D4"/>
    <w:rsid w:val="00F84C9A"/>
    <w:rsid w:val="00F84E78"/>
    <w:rsid w:val="00F850EE"/>
    <w:rsid w:val="00F852D7"/>
    <w:rsid w:val="00F865D5"/>
    <w:rsid w:val="00F873AA"/>
    <w:rsid w:val="00F87788"/>
    <w:rsid w:val="00F8790B"/>
    <w:rsid w:val="00F87B54"/>
    <w:rsid w:val="00F90186"/>
    <w:rsid w:val="00F903BC"/>
    <w:rsid w:val="00F908BF"/>
    <w:rsid w:val="00F90E3F"/>
    <w:rsid w:val="00F90F9E"/>
    <w:rsid w:val="00F914DD"/>
    <w:rsid w:val="00F91F7E"/>
    <w:rsid w:val="00F926E0"/>
    <w:rsid w:val="00F92739"/>
    <w:rsid w:val="00F92DB2"/>
    <w:rsid w:val="00F93012"/>
    <w:rsid w:val="00F9311E"/>
    <w:rsid w:val="00F9362C"/>
    <w:rsid w:val="00F93A48"/>
    <w:rsid w:val="00F94353"/>
    <w:rsid w:val="00F94399"/>
    <w:rsid w:val="00F944AF"/>
    <w:rsid w:val="00F9450A"/>
    <w:rsid w:val="00F9468C"/>
    <w:rsid w:val="00F95217"/>
    <w:rsid w:val="00F95591"/>
    <w:rsid w:val="00F9641B"/>
    <w:rsid w:val="00F9661D"/>
    <w:rsid w:val="00F96906"/>
    <w:rsid w:val="00F96A9C"/>
    <w:rsid w:val="00F97212"/>
    <w:rsid w:val="00F97B34"/>
    <w:rsid w:val="00F97B60"/>
    <w:rsid w:val="00FA039A"/>
    <w:rsid w:val="00FA0D23"/>
    <w:rsid w:val="00FA0DD9"/>
    <w:rsid w:val="00FA16ED"/>
    <w:rsid w:val="00FA1DC4"/>
    <w:rsid w:val="00FA1F99"/>
    <w:rsid w:val="00FA259B"/>
    <w:rsid w:val="00FA2638"/>
    <w:rsid w:val="00FA276C"/>
    <w:rsid w:val="00FA2A61"/>
    <w:rsid w:val="00FA2C8C"/>
    <w:rsid w:val="00FA2CC1"/>
    <w:rsid w:val="00FA2E3C"/>
    <w:rsid w:val="00FA3277"/>
    <w:rsid w:val="00FA38A5"/>
    <w:rsid w:val="00FA3A9D"/>
    <w:rsid w:val="00FA3E53"/>
    <w:rsid w:val="00FA424D"/>
    <w:rsid w:val="00FA44F7"/>
    <w:rsid w:val="00FA4676"/>
    <w:rsid w:val="00FA535A"/>
    <w:rsid w:val="00FA6275"/>
    <w:rsid w:val="00FA6296"/>
    <w:rsid w:val="00FA64FD"/>
    <w:rsid w:val="00FA650E"/>
    <w:rsid w:val="00FA6EA2"/>
    <w:rsid w:val="00FA7907"/>
    <w:rsid w:val="00FB0136"/>
    <w:rsid w:val="00FB01B7"/>
    <w:rsid w:val="00FB06B4"/>
    <w:rsid w:val="00FB0707"/>
    <w:rsid w:val="00FB07F5"/>
    <w:rsid w:val="00FB0E64"/>
    <w:rsid w:val="00FB0FAB"/>
    <w:rsid w:val="00FB12D1"/>
    <w:rsid w:val="00FB168B"/>
    <w:rsid w:val="00FB1C42"/>
    <w:rsid w:val="00FB21C0"/>
    <w:rsid w:val="00FB2256"/>
    <w:rsid w:val="00FB2549"/>
    <w:rsid w:val="00FB25BE"/>
    <w:rsid w:val="00FB284E"/>
    <w:rsid w:val="00FB2F14"/>
    <w:rsid w:val="00FB2F7E"/>
    <w:rsid w:val="00FB35B6"/>
    <w:rsid w:val="00FB49C1"/>
    <w:rsid w:val="00FB4A43"/>
    <w:rsid w:val="00FB4BD1"/>
    <w:rsid w:val="00FB5885"/>
    <w:rsid w:val="00FB598B"/>
    <w:rsid w:val="00FB6730"/>
    <w:rsid w:val="00FB72B3"/>
    <w:rsid w:val="00FB7311"/>
    <w:rsid w:val="00FB73EE"/>
    <w:rsid w:val="00FB7A88"/>
    <w:rsid w:val="00FB7BD4"/>
    <w:rsid w:val="00FB7E7E"/>
    <w:rsid w:val="00FB7EF7"/>
    <w:rsid w:val="00FB7F1E"/>
    <w:rsid w:val="00FC0217"/>
    <w:rsid w:val="00FC0454"/>
    <w:rsid w:val="00FC07D0"/>
    <w:rsid w:val="00FC0BF3"/>
    <w:rsid w:val="00FC0C67"/>
    <w:rsid w:val="00FC0E14"/>
    <w:rsid w:val="00FC1C2D"/>
    <w:rsid w:val="00FC27EC"/>
    <w:rsid w:val="00FC29A4"/>
    <w:rsid w:val="00FC2B87"/>
    <w:rsid w:val="00FC2E88"/>
    <w:rsid w:val="00FC2F14"/>
    <w:rsid w:val="00FC4752"/>
    <w:rsid w:val="00FC54A5"/>
    <w:rsid w:val="00FC5B73"/>
    <w:rsid w:val="00FC5C2A"/>
    <w:rsid w:val="00FC5E99"/>
    <w:rsid w:val="00FC6D09"/>
    <w:rsid w:val="00FC727E"/>
    <w:rsid w:val="00FC735C"/>
    <w:rsid w:val="00FC7492"/>
    <w:rsid w:val="00FC7508"/>
    <w:rsid w:val="00FC78D0"/>
    <w:rsid w:val="00FC7B86"/>
    <w:rsid w:val="00FD0462"/>
    <w:rsid w:val="00FD058C"/>
    <w:rsid w:val="00FD0AAC"/>
    <w:rsid w:val="00FD0F9F"/>
    <w:rsid w:val="00FD1C84"/>
    <w:rsid w:val="00FD1F82"/>
    <w:rsid w:val="00FD28E1"/>
    <w:rsid w:val="00FD34D0"/>
    <w:rsid w:val="00FD3981"/>
    <w:rsid w:val="00FD3A3C"/>
    <w:rsid w:val="00FD3E60"/>
    <w:rsid w:val="00FD4457"/>
    <w:rsid w:val="00FD4FD5"/>
    <w:rsid w:val="00FD507C"/>
    <w:rsid w:val="00FD51E6"/>
    <w:rsid w:val="00FD54D8"/>
    <w:rsid w:val="00FD5669"/>
    <w:rsid w:val="00FD57EA"/>
    <w:rsid w:val="00FD581A"/>
    <w:rsid w:val="00FD5AB8"/>
    <w:rsid w:val="00FD6163"/>
    <w:rsid w:val="00FD6440"/>
    <w:rsid w:val="00FD64F6"/>
    <w:rsid w:val="00FD67B0"/>
    <w:rsid w:val="00FD690A"/>
    <w:rsid w:val="00FD7190"/>
    <w:rsid w:val="00FD723A"/>
    <w:rsid w:val="00FD7535"/>
    <w:rsid w:val="00FD76B2"/>
    <w:rsid w:val="00FD7BA6"/>
    <w:rsid w:val="00FD7F64"/>
    <w:rsid w:val="00FE02B5"/>
    <w:rsid w:val="00FE0407"/>
    <w:rsid w:val="00FE0596"/>
    <w:rsid w:val="00FE136C"/>
    <w:rsid w:val="00FE15AA"/>
    <w:rsid w:val="00FE17ED"/>
    <w:rsid w:val="00FE1B38"/>
    <w:rsid w:val="00FE22F0"/>
    <w:rsid w:val="00FE28B9"/>
    <w:rsid w:val="00FE2F0E"/>
    <w:rsid w:val="00FE32F7"/>
    <w:rsid w:val="00FE38A2"/>
    <w:rsid w:val="00FE452A"/>
    <w:rsid w:val="00FE592C"/>
    <w:rsid w:val="00FE5BA9"/>
    <w:rsid w:val="00FE6588"/>
    <w:rsid w:val="00FE6CCA"/>
    <w:rsid w:val="00FE74FC"/>
    <w:rsid w:val="00FE7A5B"/>
    <w:rsid w:val="00FE7F77"/>
    <w:rsid w:val="00FF0826"/>
    <w:rsid w:val="00FF1032"/>
    <w:rsid w:val="00FF1722"/>
    <w:rsid w:val="00FF1F9E"/>
    <w:rsid w:val="00FF1FAD"/>
    <w:rsid w:val="00FF29F5"/>
    <w:rsid w:val="00FF3175"/>
    <w:rsid w:val="00FF3739"/>
    <w:rsid w:val="00FF46CE"/>
    <w:rsid w:val="00FF4854"/>
    <w:rsid w:val="00FF48C2"/>
    <w:rsid w:val="00FF4C34"/>
    <w:rsid w:val="00FF4DA7"/>
    <w:rsid w:val="00FF4FCE"/>
    <w:rsid w:val="00FF5165"/>
    <w:rsid w:val="00FF5531"/>
    <w:rsid w:val="00FF5843"/>
    <w:rsid w:val="00FF6010"/>
    <w:rsid w:val="00FF6098"/>
    <w:rsid w:val="00FF619C"/>
    <w:rsid w:val="00FF64A8"/>
    <w:rsid w:val="00FF6F41"/>
    <w:rsid w:val="00FF77F4"/>
    <w:rsid w:val="00FF7C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D9271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unhideWhenUsed="0"/>
    <w:lsdException w:name="annotation text" w:uiPriority="5"/>
    <w:lsdException w:name="header" w:unhideWhenUsed="0"/>
    <w:lsdException w:name="footer" w:uiPriority="0" w:unhideWhenUsed="0"/>
    <w:lsdException w:name="caption" w:uiPriority="35" w:qFormat="1"/>
    <w:lsdException w:name="annotation reference" w:uiPriority="5"/>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96AC4"/>
    <w:rPr>
      <w:sz w:val="19"/>
      <w:szCs w:val="24"/>
      <w:lang w:eastAsia="en-US"/>
    </w:rPr>
  </w:style>
  <w:style w:type="paragraph" w:styleId="Heading1">
    <w:name w:val="heading 1"/>
    <w:basedOn w:val="Normal"/>
    <w:next w:val="Normal"/>
    <w:link w:val="Heading1Char"/>
    <w:uiPriority w:val="1"/>
    <w:qFormat/>
    <w:rsid w:val="003A1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7B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C7B9A"/>
    <w:pPr>
      <w:keepLines w:val="0"/>
      <w:spacing w:before="0" w:after="200" w:line="240" w:lineRule="exact"/>
      <w:outlineLvl w:val="2"/>
    </w:pPr>
    <w:rPr>
      <w:rFonts w:ascii="Times New Roman" w:eastAsia="Times New Roman" w:hAnsi="Times New Roman" w:cs="Arial"/>
      <w:iCs/>
      <w:color w:val="auto"/>
      <w:sz w:val="24"/>
    </w:rPr>
  </w:style>
  <w:style w:type="paragraph" w:styleId="Heading4">
    <w:name w:val="heading 4"/>
    <w:basedOn w:val="Normal"/>
    <w:next w:val="Normal"/>
    <w:link w:val="Heading4Char"/>
    <w:uiPriority w:val="9"/>
    <w:unhideWhenUsed/>
    <w:qFormat/>
    <w:rsid w:val="008106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link w:val="IASBNormalChar"/>
    <w:uiPriority w:val="99"/>
    <w:rsid w:val="008521E4"/>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99"/>
    <w:qFormat/>
    <w:rsid w:val="00AF0ED7"/>
    <w:pPr>
      <w:tabs>
        <w:tab w:val="clear" w:pos="4253"/>
      </w:tabs>
      <w:spacing w:after="0"/>
      <w:ind w:left="720" w:hanging="720"/>
    </w:pPr>
  </w:style>
  <w:style w:type="paragraph" w:customStyle="1" w:styleId="IASBSectionTitle1Ind">
    <w:name w:val="IASB Section Title 1 Ind"/>
    <w:basedOn w:val="Normal"/>
    <w:uiPriority w:val="8"/>
    <w:rsid w:val="008521E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link w:val="IASBSectionTitle1NonIndChar"/>
    <w:uiPriority w:val="8"/>
    <w:rsid w:val="008521E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8521E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8521E4"/>
    <w:pPr>
      <w:spacing w:before="240"/>
      <w:ind w:left="782"/>
    </w:pPr>
  </w:style>
  <w:style w:type="paragraph" w:customStyle="1" w:styleId="IASBSectionTitle3NonInd">
    <w:name w:val="IASB Section Title 3 NonInd"/>
    <w:basedOn w:val="Normal"/>
    <w:uiPriority w:val="8"/>
    <w:rsid w:val="008521E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8521E4"/>
    <w:pPr>
      <w:spacing w:before="240"/>
      <w:ind w:left="782"/>
    </w:pPr>
  </w:style>
  <w:style w:type="paragraph" w:customStyle="1" w:styleId="IASBSectionTitle4NonInd">
    <w:name w:val="IASB Section Title 4 NonInd"/>
    <w:basedOn w:val="Normal"/>
    <w:uiPriority w:val="8"/>
    <w:rsid w:val="008521E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852445"/>
    <w:pPr>
      <w:spacing w:before="240"/>
      <w:ind w:left="782"/>
    </w:pPr>
  </w:style>
  <w:style w:type="paragraph" w:customStyle="1" w:styleId="IASBSectionTitle5NonInd">
    <w:name w:val="IASB Section Title 5 NonInd"/>
    <w:basedOn w:val="Normal"/>
    <w:uiPriority w:val="8"/>
    <w:rsid w:val="008521E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852445"/>
    <w:pPr>
      <w:spacing w:before="240"/>
      <w:ind w:left="782"/>
    </w:pPr>
  </w:style>
  <w:style w:type="paragraph" w:customStyle="1" w:styleId="IASBSectionTitle6NonInd">
    <w:name w:val="IASB Section Title 6 NonInd"/>
    <w:basedOn w:val="IASBSectionTitle5NonInd"/>
    <w:uiPriority w:val="8"/>
    <w:rsid w:val="008521E4"/>
    <w:pPr>
      <w:outlineLvl w:val="5"/>
    </w:pPr>
    <w:rPr>
      <w:b w:val="0"/>
      <w:i/>
    </w:rPr>
  </w:style>
  <w:style w:type="paragraph" w:customStyle="1" w:styleId="IASBSectionTitle6Ind">
    <w:name w:val="IASB Section Title 6 Ind"/>
    <w:basedOn w:val="IASBSectionTitle6NonInd"/>
    <w:uiPriority w:val="8"/>
    <w:rsid w:val="008521E4"/>
    <w:pPr>
      <w:ind w:left="782"/>
    </w:pPr>
  </w:style>
  <w:style w:type="paragraph" w:customStyle="1" w:styleId="IASBTitle">
    <w:name w:val="IASB Title"/>
    <w:uiPriority w:val="8"/>
    <w:rsid w:val="008521E4"/>
    <w:pPr>
      <w:keepNext/>
      <w:keepLines/>
      <w:spacing w:before="300" w:after="400"/>
    </w:pPr>
    <w:rPr>
      <w:rFonts w:cs="Arial"/>
      <w:sz w:val="36"/>
      <w:lang w:eastAsia="en-US"/>
    </w:rPr>
  </w:style>
  <w:style w:type="paragraph" w:customStyle="1" w:styleId="IASBNormalnparaL1">
    <w:name w:val="IASB Normal nparaL1"/>
    <w:basedOn w:val="IASBNormalnpara"/>
    <w:uiPriority w:val="8"/>
    <w:rsid w:val="008521E4"/>
    <w:pPr>
      <w:ind w:left="1564"/>
    </w:pPr>
  </w:style>
  <w:style w:type="paragraph" w:customStyle="1" w:styleId="IASBNormalnparaP">
    <w:name w:val="IASB Normal nparaP"/>
    <w:basedOn w:val="IASBNormal"/>
    <w:uiPriority w:val="8"/>
    <w:rsid w:val="00AF0ED7"/>
    <w:pPr>
      <w:numPr>
        <w:numId w:val="3"/>
      </w:numPr>
      <w:ind w:hanging="720"/>
    </w:pPr>
    <w:rPr>
      <w:b/>
    </w:rPr>
  </w:style>
  <w:style w:type="paragraph" w:customStyle="1" w:styleId="IASBIdentifier">
    <w:name w:val="IASB Identifier"/>
    <w:basedOn w:val="IASBTitle"/>
    <w:uiPriority w:val="8"/>
    <w:rsid w:val="008521E4"/>
    <w:pPr>
      <w:spacing w:after="200"/>
    </w:pPr>
    <w:rPr>
      <w:rFonts w:ascii="Arial" w:hAnsi="Arial"/>
      <w:b/>
      <w:sz w:val="23"/>
    </w:rPr>
  </w:style>
  <w:style w:type="paragraph" w:customStyle="1" w:styleId="IASBTOCPrimary">
    <w:name w:val="IASB TOC Primary"/>
    <w:basedOn w:val="Normal"/>
    <w:uiPriority w:val="8"/>
    <w:rsid w:val="008521E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8521E4"/>
    <w:pPr>
      <w:spacing w:before="30" w:after="30"/>
    </w:pPr>
    <w:rPr>
      <w:rFonts w:ascii="Arial" w:hAnsi="Arial" w:cs="Arial"/>
      <w:i/>
      <w:sz w:val="18"/>
      <w:szCs w:val="20"/>
    </w:rPr>
  </w:style>
  <w:style w:type="paragraph" w:customStyle="1" w:styleId="IASBTOCSecondary">
    <w:name w:val="IASB TOC Secondary"/>
    <w:basedOn w:val="Normal"/>
    <w:uiPriority w:val="8"/>
    <w:rsid w:val="008521E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8521E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8521E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8521E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8521E4"/>
    <w:rPr>
      <w:i/>
    </w:rPr>
  </w:style>
  <w:style w:type="paragraph" w:customStyle="1" w:styleId="IASBBlockquote">
    <w:name w:val="IASB Blockquote"/>
    <w:basedOn w:val="IASBNormal"/>
    <w:uiPriority w:val="8"/>
    <w:rsid w:val="008521E4"/>
    <w:pPr>
      <w:ind w:left="1565"/>
    </w:pPr>
    <w:rPr>
      <w:sz w:val="16"/>
    </w:rPr>
  </w:style>
  <w:style w:type="character" w:customStyle="1" w:styleId="IASBEduinsert">
    <w:name w:val="IASB Edu insert"/>
    <w:uiPriority w:val="8"/>
    <w:qFormat/>
    <w:rsid w:val="008521E4"/>
  </w:style>
  <w:style w:type="character" w:styleId="FootnoteReference">
    <w:name w:val="footnote reference"/>
    <w:uiPriority w:val="99"/>
    <w:unhideWhenUsed/>
    <w:rsid w:val="008521E4"/>
    <w:rPr>
      <w:vertAlign w:val="superscript"/>
    </w:rPr>
  </w:style>
  <w:style w:type="paragraph" w:styleId="FootnoteText">
    <w:name w:val="footnote text"/>
    <w:basedOn w:val="IASBSectionTitle2Ind"/>
    <w:next w:val="IASBBlockquote"/>
    <w:link w:val="FootnoteTextChar"/>
    <w:uiPriority w:val="5"/>
    <w:rsid w:val="008A4B05"/>
    <w:pPr>
      <w:keepNext w:val="0"/>
      <w:keepLines w:val="0"/>
      <w:spacing w:before="0" w:after="0"/>
      <w:ind w:left="340" w:hanging="340"/>
    </w:pPr>
    <w:rPr>
      <w:rFonts w:ascii="Times New Roman" w:hAnsi="Times New Roman" w:cs="Times New Roman"/>
      <w:b w:val="0"/>
      <w:sz w:val="16"/>
    </w:rPr>
  </w:style>
  <w:style w:type="character" w:customStyle="1" w:styleId="FootnoteTextChar">
    <w:name w:val="Footnote Text Char"/>
    <w:link w:val="FootnoteText"/>
    <w:uiPriority w:val="5"/>
    <w:rsid w:val="008A4B05"/>
    <w:rPr>
      <w:sz w:val="16"/>
      <w:lang w:eastAsia="en-US"/>
    </w:rPr>
  </w:style>
  <w:style w:type="paragraph" w:customStyle="1" w:styleId="IASBNormalL1">
    <w:name w:val="IASB Normal L1"/>
    <w:basedOn w:val="IASBNormalnpara"/>
    <w:uiPriority w:val="8"/>
    <w:rsid w:val="008521E4"/>
  </w:style>
  <w:style w:type="paragraph" w:styleId="Header">
    <w:name w:val="header"/>
    <w:basedOn w:val="Normal"/>
    <w:link w:val="HeaderChar"/>
    <w:uiPriority w:val="99"/>
    <w:rsid w:val="008521E4"/>
    <w:pPr>
      <w:tabs>
        <w:tab w:val="center" w:pos="4536"/>
        <w:tab w:val="right" w:pos="9072"/>
      </w:tabs>
    </w:pPr>
    <w:rPr>
      <w:sz w:val="20"/>
    </w:rPr>
  </w:style>
  <w:style w:type="character" w:customStyle="1" w:styleId="HeaderChar">
    <w:name w:val="Header Char"/>
    <w:link w:val="Header"/>
    <w:uiPriority w:val="99"/>
    <w:rsid w:val="008521E4"/>
    <w:rPr>
      <w:szCs w:val="24"/>
      <w:lang w:eastAsia="en-US"/>
    </w:rPr>
  </w:style>
  <w:style w:type="paragraph" w:styleId="Footer">
    <w:name w:val="footer"/>
    <w:basedOn w:val="Normal"/>
    <w:link w:val="FooterChar"/>
    <w:rsid w:val="008521E4"/>
    <w:pPr>
      <w:tabs>
        <w:tab w:val="center" w:pos="4536"/>
        <w:tab w:val="right" w:pos="9072"/>
      </w:tabs>
    </w:pPr>
  </w:style>
  <w:style w:type="character" w:customStyle="1" w:styleId="FooterChar">
    <w:name w:val="Footer Char"/>
    <w:link w:val="Footer"/>
    <w:rsid w:val="008521E4"/>
    <w:rPr>
      <w:sz w:val="19"/>
      <w:szCs w:val="24"/>
      <w:lang w:eastAsia="en-US"/>
    </w:rPr>
  </w:style>
  <w:style w:type="paragraph" w:customStyle="1" w:styleId="IASBRubricL1">
    <w:name w:val="IASB RubricL1"/>
    <w:basedOn w:val="IASBRubric"/>
    <w:uiPriority w:val="8"/>
    <w:rsid w:val="008521E4"/>
    <w:pPr>
      <w:ind w:left="782" w:hanging="782"/>
      <w:jc w:val="left"/>
    </w:pPr>
    <w:rPr>
      <w:lang w:eastAsia="en-GB"/>
    </w:rPr>
  </w:style>
  <w:style w:type="paragraph" w:customStyle="1" w:styleId="IASBRubricL2">
    <w:name w:val="IASB RubricL2"/>
    <w:basedOn w:val="IASBRubricL1"/>
    <w:uiPriority w:val="8"/>
    <w:rsid w:val="008521E4"/>
    <w:pPr>
      <w:tabs>
        <w:tab w:val="left" w:pos="782"/>
      </w:tabs>
      <w:ind w:left="1565" w:hanging="1565"/>
    </w:pPr>
  </w:style>
  <w:style w:type="paragraph" w:customStyle="1" w:styleId="IASBRubricL3">
    <w:name w:val="IASB RubricL3"/>
    <w:basedOn w:val="IASBRubricL2"/>
    <w:uiPriority w:val="8"/>
    <w:rsid w:val="008521E4"/>
    <w:pPr>
      <w:tabs>
        <w:tab w:val="clear" w:pos="782"/>
        <w:tab w:val="left" w:pos="1565"/>
      </w:tabs>
      <w:ind w:left="2347" w:hanging="2347"/>
    </w:pPr>
  </w:style>
  <w:style w:type="paragraph" w:customStyle="1" w:styleId="IASBNormalnparaL2">
    <w:name w:val="IASB Normal nparaL2"/>
    <w:basedOn w:val="IASBNormalnparaL1"/>
    <w:uiPriority w:val="8"/>
    <w:rsid w:val="008521E4"/>
    <w:pPr>
      <w:ind w:left="2347"/>
    </w:pPr>
  </w:style>
  <w:style w:type="paragraph" w:customStyle="1" w:styleId="IASBNormalnparaL3">
    <w:name w:val="IASB Normal nparaL3"/>
    <w:basedOn w:val="IASBNormalnparaL2"/>
    <w:uiPriority w:val="8"/>
    <w:rsid w:val="008521E4"/>
    <w:pPr>
      <w:ind w:left="3129"/>
    </w:pPr>
  </w:style>
  <w:style w:type="paragraph" w:customStyle="1" w:styleId="IASBNormalnparaL4">
    <w:name w:val="IASB Normal nparaL4"/>
    <w:basedOn w:val="IASBNormalnparaL3"/>
    <w:uiPriority w:val="8"/>
    <w:rsid w:val="008521E4"/>
    <w:pPr>
      <w:ind w:left="3912"/>
    </w:pPr>
  </w:style>
  <w:style w:type="paragraph" w:customStyle="1" w:styleId="IASBNormalnparaL5">
    <w:name w:val="IASB Normal nparaL5"/>
    <w:basedOn w:val="IASBNormalnparaL4"/>
    <w:uiPriority w:val="8"/>
    <w:rsid w:val="008521E4"/>
    <w:pPr>
      <w:ind w:left="4694"/>
    </w:pPr>
  </w:style>
  <w:style w:type="paragraph" w:customStyle="1" w:styleId="IASBNormalnparaL1P">
    <w:name w:val="IASB Normal nparaL1P"/>
    <w:basedOn w:val="IASBNormalnparaL2"/>
    <w:uiPriority w:val="8"/>
    <w:rsid w:val="008521E4"/>
    <w:pPr>
      <w:ind w:left="1565" w:firstLine="0"/>
    </w:pPr>
  </w:style>
  <w:style w:type="paragraph" w:customStyle="1" w:styleId="IASBNormalnparaL2P">
    <w:name w:val="IASB Normal nparaL2P"/>
    <w:basedOn w:val="IASBNormalnparaL1P"/>
    <w:uiPriority w:val="8"/>
    <w:rsid w:val="008521E4"/>
    <w:pPr>
      <w:ind w:left="2347"/>
    </w:pPr>
  </w:style>
  <w:style w:type="paragraph" w:customStyle="1" w:styleId="IASBNormalnparaL3P">
    <w:name w:val="IASB Normal nparaL3P"/>
    <w:basedOn w:val="IASBNormalnparaL2P"/>
    <w:uiPriority w:val="8"/>
    <w:rsid w:val="008521E4"/>
    <w:pPr>
      <w:ind w:left="3130"/>
    </w:pPr>
  </w:style>
  <w:style w:type="paragraph" w:customStyle="1" w:styleId="IASBNormalnparaL4P">
    <w:name w:val="IASB Normal nparaL4P"/>
    <w:basedOn w:val="IASBNormalnparaL3P"/>
    <w:uiPriority w:val="8"/>
    <w:rsid w:val="008521E4"/>
    <w:pPr>
      <w:ind w:left="3912"/>
    </w:pPr>
  </w:style>
  <w:style w:type="paragraph" w:customStyle="1" w:styleId="IASBNormalnparaL5P">
    <w:name w:val="IASB Normal nparaL5P"/>
    <w:basedOn w:val="IASBNormalnparaL4P"/>
    <w:uiPriority w:val="8"/>
    <w:rsid w:val="008521E4"/>
    <w:pPr>
      <w:ind w:left="4751"/>
    </w:pPr>
  </w:style>
  <w:style w:type="paragraph" w:customStyle="1" w:styleId="IASBBlockquoteL1">
    <w:name w:val="IASB BlockquoteL1"/>
    <w:basedOn w:val="IASBBlockquote"/>
    <w:uiPriority w:val="8"/>
    <w:rsid w:val="008521E4"/>
    <w:pPr>
      <w:ind w:left="2347" w:hanging="782"/>
    </w:pPr>
  </w:style>
  <w:style w:type="paragraph" w:customStyle="1" w:styleId="IASBBlockquoteL2">
    <w:name w:val="IASB BlockquoteL2"/>
    <w:basedOn w:val="IASBBlockquoteL1"/>
    <w:uiPriority w:val="8"/>
    <w:rsid w:val="008521E4"/>
    <w:pPr>
      <w:ind w:left="3129"/>
    </w:pPr>
  </w:style>
  <w:style w:type="paragraph" w:customStyle="1" w:styleId="IASBNormalL2">
    <w:name w:val="IASB Normal L2"/>
    <w:basedOn w:val="IASBNormalL1"/>
    <w:uiPriority w:val="8"/>
    <w:rsid w:val="008521E4"/>
    <w:pPr>
      <w:ind w:left="1564"/>
    </w:pPr>
  </w:style>
  <w:style w:type="paragraph" w:customStyle="1" w:styleId="IASBTOCQuartery">
    <w:name w:val="IASB TOC Quartery"/>
    <w:basedOn w:val="IASBTOCTertiary"/>
    <w:uiPriority w:val="8"/>
    <w:rsid w:val="008521E4"/>
    <w:pPr>
      <w:ind w:left="851"/>
    </w:pPr>
  </w:style>
  <w:style w:type="paragraph" w:customStyle="1" w:styleId="IASBNoteTitle">
    <w:name w:val="IASB Note Title"/>
    <w:basedOn w:val="IASBTOCPrimary"/>
    <w:uiPriority w:val="8"/>
    <w:rsid w:val="008521E4"/>
    <w:pPr>
      <w:jc w:val="center"/>
    </w:pPr>
    <w:rPr>
      <w:b w:val="0"/>
      <w:caps w:val="0"/>
      <w:sz w:val="24"/>
    </w:rPr>
  </w:style>
  <w:style w:type="paragraph" w:customStyle="1" w:styleId="IASBNormalL1P">
    <w:name w:val="IASB Normal L1P"/>
    <w:basedOn w:val="IASBNormalL1"/>
    <w:uiPriority w:val="8"/>
    <w:qFormat/>
    <w:rsid w:val="00AF0ED7"/>
    <w:pPr>
      <w:numPr>
        <w:numId w:val="29"/>
      </w:numPr>
      <w:ind w:left="1440" w:hanging="720"/>
    </w:pPr>
  </w:style>
  <w:style w:type="paragraph" w:customStyle="1" w:styleId="IASBNormalL2P">
    <w:name w:val="IASB Normal L2P"/>
    <w:basedOn w:val="IASBNormalL1P"/>
    <w:uiPriority w:val="8"/>
    <w:qFormat/>
    <w:rsid w:val="008521E4"/>
    <w:pPr>
      <w:ind w:left="1565"/>
    </w:pPr>
  </w:style>
  <w:style w:type="paragraph" w:customStyle="1" w:styleId="IASBNormalnparaC">
    <w:name w:val="IASB Normal nparaC"/>
    <w:basedOn w:val="IASBNormalnpara"/>
    <w:uiPriority w:val="8"/>
    <w:qFormat/>
    <w:rsid w:val="008521E4"/>
    <w:pPr>
      <w:spacing w:before="0"/>
    </w:pPr>
  </w:style>
  <w:style w:type="paragraph" w:customStyle="1" w:styleId="IASBEdupara">
    <w:name w:val="IASB Edu para"/>
    <w:basedOn w:val="IASBNormal"/>
    <w:uiPriority w:val="8"/>
    <w:qFormat/>
    <w:rsid w:val="008521E4"/>
  </w:style>
  <w:style w:type="paragraph" w:customStyle="1" w:styleId="IASBTableBoldTNR">
    <w:name w:val="IASB Table Bold TNR"/>
    <w:basedOn w:val="Normal"/>
    <w:uiPriority w:val="8"/>
    <w:qFormat/>
    <w:rsid w:val="008521E4"/>
    <w:pPr>
      <w:spacing w:before="120"/>
    </w:pPr>
    <w:rPr>
      <w:b/>
      <w:szCs w:val="20"/>
      <w:lang w:eastAsia="en-GB"/>
    </w:rPr>
  </w:style>
  <w:style w:type="paragraph" w:customStyle="1" w:styleId="IASBTableHeaderTNR">
    <w:name w:val="IASB Table Header TNR"/>
    <w:basedOn w:val="Normal"/>
    <w:uiPriority w:val="8"/>
    <w:qFormat/>
    <w:rsid w:val="008521E4"/>
    <w:pPr>
      <w:keepNext/>
      <w:spacing w:before="120" w:after="200" w:line="276" w:lineRule="auto"/>
    </w:pPr>
    <w:rPr>
      <w:szCs w:val="20"/>
      <w:lang w:eastAsia="en-GB"/>
    </w:rPr>
  </w:style>
  <w:style w:type="paragraph" w:customStyle="1" w:styleId="IASBTableTNR">
    <w:name w:val="IASB Table TNR"/>
    <w:basedOn w:val="Normal"/>
    <w:uiPriority w:val="8"/>
    <w:qFormat/>
    <w:rsid w:val="008521E4"/>
    <w:pPr>
      <w:spacing w:before="120"/>
    </w:pPr>
    <w:rPr>
      <w:szCs w:val="20"/>
      <w:lang w:eastAsia="en-GB"/>
    </w:rPr>
  </w:style>
  <w:style w:type="paragraph" w:customStyle="1" w:styleId="IASBTableArial">
    <w:name w:val="IASB Table Arial"/>
    <w:basedOn w:val="Normal"/>
    <w:uiPriority w:val="99"/>
    <w:rsid w:val="008521E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8521E4"/>
    <w:rPr>
      <w:b/>
    </w:rPr>
  </w:style>
  <w:style w:type="paragraph" w:customStyle="1" w:styleId="IASBTableHeaderArial">
    <w:name w:val="IASB Table Header Arial"/>
    <w:basedOn w:val="IASBTableArial"/>
    <w:uiPriority w:val="8"/>
    <w:qFormat/>
    <w:rsid w:val="008521E4"/>
    <w:pPr>
      <w:keepNext/>
      <w:spacing w:after="200" w:line="276" w:lineRule="auto"/>
    </w:pPr>
  </w:style>
  <w:style w:type="character" w:styleId="EndnoteReference">
    <w:name w:val="endnote reference"/>
    <w:uiPriority w:val="99"/>
    <w:semiHidden/>
    <w:unhideWhenUsed/>
    <w:rsid w:val="008521E4"/>
    <w:rPr>
      <w:vertAlign w:val="superscript"/>
    </w:rPr>
  </w:style>
  <w:style w:type="paragraph" w:customStyle="1" w:styleId="ConvSectionTitle">
    <w:name w:val="Conv Section Title"/>
    <w:basedOn w:val="IASBSectionTitle1NonInd"/>
    <w:uiPriority w:val="9"/>
    <w:qFormat/>
    <w:rsid w:val="008521E4"/>
    <w:pPr>
      <w:pBdr>
        <w:bottom w:val="none" w:sz="0" w:space="0" w:color="auto"/>
      </w:pBdr>
    </w:pPr>
  </w:style>
  <w:style w:type="paragraph" w:customStyle="1" w:styleId="ConvStandardTitle1">
    <w:name w:val="Conv Standard Title 1"/>
    <w:basedOn w:val="Normal"/>
    <w:next w:val="ConvStandardTitle2"/>
    <w:uiPriority w:val="9"/>
    <w:qFormat/>
    <w:rsid w:val="008521E4"/>
    <w:pPr>
      <w:spacing w:before="300"/>
    </w:pPr>
    <w:rPr>
      <w:rFonts w:ascii="Arial" w:hAnsi="Arial"/>
      <w:b/>
      <w:sz w:val="26"/>
    </w:rPr>
  </w:style>
  <w:style w:type="paragraph" w:customStyle="1" w:styleId="ConvStandardTitle2">
    <w:name w:val="Conv Standard Title2"/>
    <w:basedOn w:val="ConvStandardTitle1"/>
    <w:uiPriority w:val="9"/>
    <w:qFormat/>
    <w:rsid w:val="008521E4"/>
    <w:pPr>
      <w:spacing w:before="0" w:after="200"/>
    </w:pPr>
    <w:rPr>
      <w:i/>
    </w:rPr>
  </w:style>
  <w:style w:type="paragraph" w:customStyle="1" w:styleId="AASBBase">
    <w:name w:val="AASB Base"/>
    <w:qFormat/>
    <w:rsid w:val="008521E4"/>
    <w:pPr>
      <w:jc w:val="both"/>
    </w:pPr>
    <w:rPr>
      <w:sz w:val="19"/>
      <w:lang w:eastAsia="en-US"/>
    </w:rPr>
  </w:style>
  <w:style w:type="paragraph" w:customStyle="1" w:styleId="AASBPara">
    <w:name w:val="AASB Para"/>
    <w:basedOn w:val="AASBBase"/>
    <w:qFormat/>
    <w:rsid w:val="008521E4"/>
    <w:pPr>
      <w:spacing w:after="200"/>
    </w:pPr>
  </w:style>
  <w:style w:type="paragraph" w:customStyle="1" w:styleId="AASBStandardCover">
    <w:name w:val="AASB Standard Cover"/>
    <w:semiHidden/>
    <w:qFormat/>
    <w:rsid w:val="008521E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8521E4"/>
    <w:pPr>
      <w:jc w:val="right"/>
    </w:pPr>
    <w:rPr>
      <w:b w:val="0"/>
      <w:sz w:val="24"/>
    </w:rPr>
  </w:style>
  <w:style w:type="paragraph" w:customStyle="1" w:styleId="AASBStandardNumber">
    <w:name w:val="AASB Standard Number"/>
    <w:basedOn w:val="AASBStandardCover"/>
    <w:semiHidden/>
    <w:qFormat/>
    <w:rsid w:val="008521E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8521E4"/>
    <w:pPr>
      <w:spacing w:before="800"/>
    </w:pPr>
    <w:rPr>
      <w:b w:val="0"/>
      <w:sz w:val="50"/>
    </w:rPr>
  </w:style>
  <w:style w:type="paragraph" w:customStyle="1" w:styleId="AASBInterpretationCover">
    <w:name w:val="AASB Interpretation Cover"/>
    <w:basedOn w:val="AASBStandardCover"/>
    <w:semiHidden/>
    <w:qFormat/>
    <w:rsid w:val="008521E4"/>
    <w:rPr>
      <w:color w:val="41AD49"/>
    </w:rPr>
  </w:style>
  <w:style w:type="paragraph" w:customStyle="1" w:styleId="AASBInterpretationDate">
    <w:name w:val="AASB Interpretation Date"/>
    <w:basedOn w:val="AASBStandardDate"/>
    <w:semiHidden/>
    <w:qFormat/>
    <w:rsid w:val="008521E4"/>
    <w:rPr>
      <w:color w:val="41AD49"/>
    </w:rPr>
  </w:style>
  <w:style w:type="paragraph" w:customStyle="1" w:styleId="AASBInterpretationNumber">
    <w:name w:val="AASB Interpretation Number"/>
    <w:basedOn w:val="AASBStandardNumber"/>
    <w:semiHidden/>
    <w:qFormat/>
    <w:rsid w:val="008521E4"/>
    <w:rPr>
      <w:color w:val="41AD49"/>
    </w:rPr>
  </w:style>
  <w:style w:type="paragraph" w:customStyle="1" w:styleId="AASBInterpretationTitle">
    <w:name w:val="AASB Interpretation Title"/>
    <w:basedOn w:val="AASBStandardTitle"/>
    <w:semiHidden/>
    <w:qFormat/>
    <w:rsid w:val="008521E4"/>
    <w:rPr>
      <w:color w:val="41AD49"/>
    </w:rPr>
  </w:style>
  <w:style w:type="table" w:styleId="TableGrid">
    <w:name w:val="Table Grid"/>
    <w:basedOn w:val="TableNormal"/>
    <w:rsid w:val="008521E4"/>
    <w:tblPr/>
  </w:style>
  <w:style w:type="paragraph" w:customStyle="1" w:styleId="ContentsHeading">
    <w:name w:val="Contents Heading"/>
    <w:basedOn w:val="AASBBase"/>
    <w:next w:val="ContentsLevel1"/>
    <w:qFormat/>
    <w:rsid w:val="008521E4"/>
    <w:pPr>
      <w:spacing w:after="60"/>
      <w:jc w:val="right"/>
    </w:pPr>
    <w:rPr>
      <w:i/>
    </w:rPr>
  </w:style>
  <w:style w:type="paragraph" w:customStyle="1" w:styleId="ContentsLevel1">
    <w:name w:val="Contents Level1"/>
    <w:basedOn w:val="AASBBase"/>
    <w:qFormat/>
    <w:rsid w:val="008521E4"/>
    <w:pPr>
      <w:tabs>
        <w:tab w:val="right" w:pos="9027"/>
      </w:tabs>
      <w:spacing w:after="60"/>
      <w:ind w:right="1134"/>
    </w:pPr>
    <w:rPr>
      <w:b/>
      <w:caps/>
    </w:rPr>
  </w:style>
  <w:style w:type="paragraph" w:customStyle="1" w:styleId="ContentsLevel2">
    <w:name w:val="Contents Level2"/>
    <w:basedOn w:val="ContentsLevel1"/>
    <w:uiPriority w:val="7"/>
    <w:qFormat/>
    <w:rsid w:val="008521E4"/>
    <w:rPr>
      <w:caps w:val="0"/>
    </w:rPr>
  </w:style>
  <w:style w:type="paragraph" w:customStyle="1" w:styleId="ContentsLevel3">
    <w:name w:val="Contents Level3"/>
    <w:basedOn w:val="ContentsLevel2"/>
    <w:uiPriority w:val="7"/>
    <w:qFormat/>
    <w:rsid w:val="008521E4"/>
    <w:pPr>
      <w:ind w:left="510"/>
    </w:pPr>
    <w:rPr>
      <w:b w:val="0"/>
    </w:rPr>
  </w:style>
  <w:style w:type="paragraph" w:customStyle="1" w:styleId="ContentsLevel4">
    <w:name w:val="Contents Level4"/>
    <w:basedOn w:val="ContentsLevel3"/>
    <w:uiPriority w:val="7"/>
    <w:qFormat/>
    <w:rsid w:val="008521E4"/>
    <w:pPr>
      <w:ind w:left="850"/>
    </w:pPr>
  </w:style>
  <w:style w:type="paragraph" w:styleId="BalloonText">
    <w:name w:val="Balloon Text"/>
    <w:basedOn w:val="Normal"/>
    <w:link w:val="BalloonTextChar"/>
    <w:uiPriority w:val="99"/>
    <w:semiHidden/>
    <w:unhideWhenUsed/>
    <w:rsid w:val="00852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E4"/>
    <w:rPr>
      <w:rFonts w:ascii="Segoe UI" w:hAnsi="Segoe UI" w:cs="Segoe UI"/>
      <w:sz w:val="18"/>
      <w:szCs w:val="18"/>
      <w:lang w:eastAsia="en-US"/>
    </w:rPr>
  </w:style>
  <w:style w:type="paragraph" w:customStyle="1" w:styleId="RDRM1">
    <w:name w:val="RDRM1"/>
    <w:basedOn w:val="IASBNormalnpara"/>
    <w:uiPriority w:val="5"/>
    <w:qFormat/>
    <w:rsid w:val="008521E4"/>
    <w:pPr>
      <w:shd w:val="pct15" w:color="auto" w:fill="auto"/>
    </w:pPr>
  </w:style>
  <w:style w:type="paragraph" w:customStyle="1" w:styleId="RDRM2">
    <w:name w:val="RDRM2"/>
    <w:basedOn w:val="RDRM1"/>
    <w:uiPriority w:val="5"/>
    <w:qFormat/>
    <w:rsid w:val="008521E4"/>
    <w:pPr>
      <w:tabs>
        <w:tab w:val="left" w:pos="782"/>
      </w:tabs>
      <w:ind w:left="1565" w:hanging="1565"/>
    </w:pPr>
  </w:style>
  <w:style w:type="paragraph" w:customStyle="1" w:styleId="RDRM3">
    <w:name w:val="RDRM3"/>
    <w:basedOn w:val="RDRM2"/>
    <w:uiPriority w:val="5"/>
    <w:qFormat/>
    <w:rsid w:val="008521E4"/>
    <w:pPr>
      <w:tabs>
        <w:tab w:val="clear" w:pos="782"/>
        <w:tab w:val="left" w:pos="1565"/>
      </w:tabs>
      <w:ind w:left="2347" w:hanging="2347"/>
    </w:pPr>
  </w:style>
  <w:style w:type="paragraph" w:customStyle="1" w:styleId="RDRM4">
    <w:name w:val="RDRM4"/>
    <w:basedOn w:val="RDRM3"/>
    <w:uiPriority w:val="5"/>
    <w:qFormat/>
    <w:rsid w:val="008521E4"/>
    <w:pPr>
      <w:tabs>
        <w:tab w:val="clear" w:pos="1565"/>
        <w:tab w:val="left" w:pos="2347"/>
      </w:tabs>
      <w:ind w:left="3130" w:hanging="3130"/>
    </w:pPr>
  </w:style>
  <w:style w:type="paragraph" w:customStyle="1" w:styleId="AusPlain">
    <w:name w:val="Aus Plain"/>
    <w:basedOn w:val="IASBNormalnpara"/>
    <w:uiPriority w:val="1"/>
    <w:qFormat/>
    <w:rsid w:val="008521E4"/>
    <w:pPr>
      <w:ind w:left="1565" w:hanging="1565"/>
    </w:pPr>
  </w:style>
  <w:style w:type="paragraph" w:customStyle="1" w:styleId="AusBold">
    <w:name w:val="Aus Bold"/>
    <w:basedOn w:val="AusPlain"/>
    <w:uiPriority w:val="2"/>
    <w:qFormat/>
    <w:rsid w:val="008521E4"/>
    <w:rPr>
      <w:b/>
    </w:rPr>
  </w:style>
  <w:style w:type="paragraph" w:customStyle="1" w:styleId="AusPlainRDR">
    <w:name w:val="Aus Plain RDR"/>
    <w:basedOn w:val="AusPlain"/>
    <w:uiPriority w:val="3"/>
    <w:qFormat/>
    <w:rsid w:val="008521E4"/>
    <w:pPr>
      <w:shd w:val="pct15" w:color="auto" w:fill="auto"/>
    </w:pPr>
  </w:style>
  <w:style w:type="paragraph" w:customStyle="1" w:styleId="AusBoldRDR">
    <w:name w:val="Aus Bold RDR"/>
    <w:basedOn w:val="AusBold"/>
    <w:uiPriority w:val="4"/>
    <w:qFormat/>
    <w:rsid w:val="008521E4"/>
    <w:pPr>
      <w:shd w:val="pct15" w:color="auto" w:fill="auto"/>
    </w:pPr>
  </w:style>
  <w:style w:type="paragraph" w:customStyle="1" w:styleId="RDR11">
    <w:name w:val="RDR11"/>
    <w:basedOn w:val="IASBNormalnparaL1"/>
    <w:uiPriority w:val="6"/>
    <w:qFormat/>
    <w:rsid w:val="008521E4"/>
    <w:pPr>
      <w:shd w:val="pct15" w:color="auto" w:fill="auto"/>
    </w:pPr>
  </w:style>
  <w:style w:type="paragraph" w:customStyle="1" w:styleId="RDR12">
    <w:name w:val="RDR12"/>
    <w:basedOn w:val="RDR11"/>
    <w:uiPriority w:val="6"/>
    <w:qFormat/>
    <w:rsid w:val="008521E4"/>
    <w:pPr>
      <w:tabs>
        <w:tab w:val="left" w:pos="1565"/>
      </w:tabs>
      <w:ind w:left="2347" w:hanging="1565"/>
    </w:pPr>
  </w:style>
  <w:style w:type="paragraph" w:customStyle="1" w:styleId="RDR13">
    <w:name w:val="RDR13"/>
    <w:basedOn w:val="RDR12"/>
    <w:uiPriority w:val="6"/>
    <w:qFormat/>
    <w:rsid w:val="008521E4"/>
    <w:pPr>
      <w:tabs>
        <w:tab w:val="clear" w:pos="1565"/>
        <w:tab w:val="left" w:pos="2347"/>
      </w:tabs>
      <w:ind w:left="3129" w:hanging="2347"/>
    </w:pPr>
  </w:style>
  <w:style w:type="paragraph" w:customStyle="1" w:styleId="RDR21">
    <w:name w:val="RDR21"/>
    <w:basedOn w:val="IASBNormalnparaL2"/>
    <w:uiPriority w:val="6"/>
    <w:qFormat/>
    <w:rsid w:val="008521E4"/>
    <w:pPr>
      <w:shd w:val="pct15" w:color="auto" w:fill="auto"/>
    </w:pPr>
  </w:style>
  <w:style w:type="paragraph" w:customStyle="1" w:styleId="RDR22">
    <w:name w:val="RDR22"/>
    <w:basedOn w:val="RDR21"/>
    <w:uiPriority w:val="6"/>
    <w:qFormat/>
    <w:rsid w:val="008521E4"/>
    <w:pPr>
      <w:tabs>
        <w:tab w:val="left" w:pos="2347"/>
      </w:tabs>
      <w:ind w:left="3130" w:hanging="1565"/>
    </w:pPr>
  </w:style>
  <w:style w:type="table" w:styleId="TableGrid1">
    <w:name w:val="Table Grid 1"/>
    <w:basedOn w:val="TableNormal"/>
    <w:uiPriority w:val="99"/>
    <w:semiHidden/>
    <w:unhideWhenUsed/>
    <w:rsid w:val="008521E4"/>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8521E4"/>
    <w:pPr>
      <w:tabs>
        <w:tab w:val="clear" w:pos="4253"/>
        <w:tab w:val="left" w:pos="782"/>
      </w:tabs>
    </w:pPr>
  </w:style>
  <w:style w:type="character" w:styleId="CommentReference">
    <w:name w:val="annotation reference"/>
    <w:basedOn w:val="DefaultParagraphFont"/>
    <w:uiPriority w:val="5"/>
    <w:semiHidden/>
    <w:unhideWhenUsed/>
    <w:rsid w:val="00E9441C"/>
    <w:rPr>
      <w:sz w:val="16"/>
      <w:szCs w:val="16"/>
    </w:rPr>
  </w:style>
  <w:style w:type="paragraph" w:styleId="CommentText">
    <w:name w:val="annotation text"/>
    <w:basedOn w:val="Normal"/>
    <w:link w:val="CommentTextChar"/>
    <w:uiPriority w:val="5"/>
    <w:unhideWhenUsed/>
    <w:rsid w:val="00E9441C"/>
    <w:rPr>
      <w:sz w:val="20"/>
      <w:szCs w:val="20"/>
    </w:rPr>
  </w:style>
  <w:style w:type="character" w:customStyle="1" w:styleId="CommentTextChar">
    <w:name w:val="Comment Text Char"/>
    <w:basedOn w:val="DefaultParagraphFont"/>
    <w:link w:val="CommentText"/>
    <w:uiPriority w:val="5"/>
    <w:rsid w:val="00E9441C"/>
    <w:rPr>
      <w:lang w:eastAsia="en-US"/>
    </w:rPr>
  </w:style>
  <w:style w:type="paragraph" w:styleId="CommentSubject">
    <w:name w:val="annotation subject"/>
    <w:basedOn w:val="CommentText"/>
    <w:next w:val="CommentText"/>
    <w:link w:val="CommentSubjectChar"/>
    <w:uiPriority w:val="99"/>
    <w:semiHidden/>
    <w:unhideWhenUsed/>
    <w:rsid w:val="00E9441C"/>
    <w:rPr>
      <w:b/>
      <w:bCs/>
    </w:rPr>
  </w:style>
  <w:style w:type="character" w:customStyle="1" w:styleId="CommentSubjectChar">
    <w:name w:val="Comment Subject Char"/>
    <w:basedOn w:val="CommentTextChar"/>
    <w:link w:val="CommentSubject"/>
    <w:uiPriority w:val="99"/>
    <w:semiHidden/>
    <w:rsid w:val="00E9441C"/>
    <w:rPr>
      <w:b/>
      <w:bCs/>
      <w:lang w:eastAsia="en-US"/>
    </w:rPr>
  </w:style>
  <w:style w:type="paragraph" w:customStyle="1" w:styleId="NoNumPlain1">
    <w:name w:val="NoNum Plain1"/>
    <w:basedOn w:val="Normal"/>
    <w:link w:val="NoNumPlain1Char"/>
    <w:qFormat/>
    <w:rsid w:val="00FB49C1"/>
    <w:pPr>
      <w:spacing w:after="200" w:line="200" w:lineRule="exact"/>
    </w:pPr>
    <w:rPr>
      <w:sz w:val="20"/>
      <w:szCs w:val="20"/>
    </w:rPr>
  </w:style>
  <w:style w:type="paragraph" w:customStyle="1" w:styleId="NumPlainA">
    <w:name w:val="Num PlainA"/>
    <w:basedOn w:val="Normal"/>
    <w:uiPriority w:val="99"/>
    <w:qFormat/>
    <w:rsid w:val="00FB49C1"/>
    <w:pPr>
      <w:numPr>
        <w:numId w:val="1"/>
      </w:numPr>
      <w:spacing w:after="200" w:line="200" w:lineRule="exact"/>
      <w:outlineLvl w:val="0"/>
    </w:pPr>
    <w:rPr>
      <w:sz w:val="20"/>
      <w:szCs w:val="20"/>
    </w:rPr>
  </w:style>
  <w:style w:type="paragraph" w:customStyle="1" w:styleId="NumPlainA2">
    <w:name w:val="Num PlainA2"/>
    <w:basedOn w:val="NumPlainA"/>
    <w:uiPriority w:val="99"/>
    <w:rsid w:val="00FB49C1"/>
    <w:pPr>
      <w:numPr>
        <w:ilvl w:val="1"/>
      </w:numPr>
      <w:outlineLvl w:val="1"/>
    </w:pPr>
  </w:style>
  <w:style w:type="character" w:customStyle="1" w:styleId="NoNumPlain1Char">
    <w:name w:val="NoNum Plain1 Char"/>
    <w:link w:val="NoNumPlain1"/>
    <w:rsid w:val="00FB49C1"/>
    <w:rPr>
      <w:lang w:eastAsia="en-US"/>
    </w:rPr>
  </w:style>
  <w:style w:type="paragraph" w:customStyle="1" w:styleId="Bullet2">
    <w:name w:val="Bullet2"/>
    <w:basedOn w:val="Normal"/>
    <w:rsid w:val="00260913"/>
    <w:pPr>
      <w:numPr>
        <w:numId w:val="2"/>
      </w:numPr>
      <w:spacing w:after="200"/>
      <w:ind w:left="1020" w:hanging="510"/>
      <w:jc w:val="both"/>
    </w:pPr>
    <w:rPr>
      <w:szCs w:val="20"/>
    </w:rPr>
  </w:style>
  <w:style w:type="paragraph" w:customStyle="1" w:styleId="NumPlain1">
    <w:name w:val="Num Plain1"/>
    <w:basedOn w:val="Normal"/>
    <w:link w:val="NumPlain1Char"/>
    <w:uiPriority w:val="2"/>
    <w:qFormat/>
    <w:rsid w:val="00862556"/>
    <w:pPr>
      <w:numPr>
        <w:numId w:val="4"/>
      </w:numPr>
      <w:spacing w:after="100"/>
    </w:pPr>
    <w:rPr>
      <w:szCs w:val="20"/>
    </w:rPr>
  </w:style>
  <w:style w:type="paragraph" w:customStyle="1" w:styleId="NumPlain3">
    <w:name w:val="Num Plain3"/>
    <w:basedOn w:val="Normal"/>
    <w:uiPriority w:val="2"/>
    <w:qFormat/>
    <w:rsid w:val="00862556"/>
    <w:pPr>
      <w:numPr>
        <w:ilvl w:val="2"/>
        <w:numId w:val="4"/>
      </w:numPr>
      <w:spacing w:after="100"/>
      <w:ind w:left="2347" w:hanging="782"/>
    </w:pPr>
    <w:rPr>
      <w:szCs w:val="20"/>
    </w:rPr>
  </w:style>
  <w:style w:type="paragraph" w:customStyle="1" w:styleId="NumPlain4">
    <w:name w:val="Num Plain4"/>
    <w:basedOn w:val="NumPlain3"/>
    <w:rsid w:val="005B4546"/>
    <w:pPr>
      <w:numPr>
        <w:ilvl w:val="3"/>
      </w:numPr>
    </w:pPr>
  </w:style>
  <w:style w:type="character" w:customStyle="1" w:styleId="NumPlain1Char">
    <w:name w:val="Num Plain1 Char"/>
    <w:basedOn w:val="DefaultParagraphFont"/>
    <w:link w:val="NumPlain1"/>
    <w:uiPriority w:val="2"/>
    <w:rsid w:val="00862556"/>
    <w:rPr>
      <w:sz w:val="19"/>
      <w:lang w:eastAsia="en-US"/>
    </w:rPr>
  </w:style>
  <w:style w:type="paragraph" w:customStyle="1" w:styleId="BoldHanging1">
    <w:name w:val="Bold Hanging1"/>
    <w:basedOn w:val="Normal"/>
    <w:rsid w:val="00EF7DEB"/>
    <w:pPr>
      <w:spacing w:after="200" w:line="200" w:lineRule="exact"/>
      <w:ind w:left="1020" w:hanging="510"/>
    </w:pPr>
    <w:rPr>
      <w:b/>
      <w:sz w:val="20"/>
      <w:szCs w:val="20"/>
    </w:rPr>
  </w:style>
  <w:style w:type="paragraph" w:customStyle="1" w:styleId="PlainHanging2">
    <w:name w:val="Plain Hanging2"/>
    <w:basedOn w:val="Normal"/>
    <w:rsid w:val="00EC7B9A"/>
    <w:pPr>
      <w:spacing w:after="200" w:line="200" w:lineRule="exact"/>
      <w:ind w:left="1531" w:hanging="510"/>
    </w:pPr>
    <w:rPr>
      <w:sz w:val="20"/>
      <w:szCs w:val="20"/>
    </w:rPr>
  </w:style>
  <w:style w:type="paragraph" w:customStyle="1" w:styleId="IASB">
    <w:name w:val="IASB"/>
    <w:basedOn w:val="NumPlain1"/>
    <w:rsid w:val="00EC7B9A"/>
    <w:pPr>
      <w:numPr>
        <w:numId w:val="5"/>
      </w:numPr>
      <w:spacing w:before="100" w:after="0"/>
    </w:pPr>
    <w:rPr>
      <w:b/>
    </w:rPr>
  </w:style>
  <w:style w:type="character" w:customStyle="1" w:styleId="Heading3Char">
    <w:name w:val="Heading 3 Char"/>
    <w:basedOn w:val="DefaultParagraphFont"/>
    <w:link w:val="Heading3"/>
    <w:rsid w:val="00EC7B9A"/>
    <w:rPr>
      <w:rFonts w:cs="Arial"/>
      <w:b/>
      <w:bCs/>
      <w:iCs/>
      <w:sz w:val="24"/>
      <w:szCs w:val="26"/>
      <w:lang w:eastAsia="en-US"/>
    </w:rPr>
  </w:style>
  <w:style w:type="character" w:customStyle="1" w:styleId="Heading2Char">
    <w:name w:val="Heading 2 Char"/>
    <w:basedOn w:val="DefaultParagraphFont"/>
    <w:link w:val="Heading2"/>
    <w:uiPriority w:val="9"/>
    <w:semiHidden/>
    <w:rsid w:val="00EC7B9A"/>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C329C2"/>
    <w:pPr>
      <w:ind w:left="720"/>
      <w:contextualSpacing/>
    </w:pPr>
  </w:style>
  <w:style w:type="paragraph" w:customStyle="1" w:styleId="PlainHanging1">
    <w:name w:val="Plain Hanging1"/>
    <w:basedOn w:val="Normal"/>
    <w:rsid w:val="00C329C2"/>
    <w:pPr>
      <w:spacing w:after="200" w:line="200" w:lineRule="exact"/>
      <w:ind w:left="1020" w:hanging="510"/>
    </w:pPr>
    <w:rPr>
      <w:sz w:val="20"/>
      <w:szCs w:val="20"/>
    </w:rPr>
  </w:style>
  <w:style w:type="paragraph" w:customStyle="1" w:styleId="AusPlain1">
    <w:name w:val="Aus Plain1"/>
    <w:basedOn w:val="Normal"/>
    <w:rsid w:val="00C329C2"/>
    <w:pPr>
      <w:numPr>
        <w:numId w:val="6"/>
      </w:numPr>
      <w:spacing w:after="200" w:line="200" w:lineRule="exact"/>
      <w:outlineLvl w:val="0"/>
    </w:pPr>
    <w:rPr>
      <w:sz w:val="20"/>
      <w:szCs w:val="20"/>
    </w:rPr>
  </w:style>
  <w:style w:type="paragraph" w:customStyle="1" w:styleId="AusBold1">
    <w:name w:val="Aus Bold1"/>
    <w:basedOn w:val="AusPlain1"/>
    <w:link w:val="AusBold1Char"/>
    <w:qFormat/>
    <w:rsid w:val="00C329C2"/>
    <w:rPr>
      <w:b/>
    </w:rPr>
  </w:style>
  <w:style w:type="paragraph" w:customStyle="1" w:styleId="AusPlain2">
    <w:name w:val="Aus Plain2"/>
    <w:basedOn w:val="PlainHanging2"/>
    <w:rsid w:val="00C329C2"/>
    <w:pPr>
      <w:numPr>
        <w:ilvl w:val="1"/>
        <w:numId w:val="6"/>
      </w:numPr>
      <w:outlineLvl w:val="1"/>
    </w:pPr>
  </w:style>
  <w:style w:type="paragraph" w:customStyle="1" w:styleId="AusPlain3">
    <w:name w:val="Aus Plain3"/>
    <w:basedOn w:val="Normal"/>
    <w:rsid w:val="00C329C2"/>
    <w:pPr>
      <w:numPr>
        <w:ilvl w:val="2"/>
        <w:numId w:val="6"/>
      </w:numPr>
      <w:spacing w:after="200" w:line="200" w:lineRule="exact"/>
      <w:outlineLvl w:val="2"/>
    </w:pPr>
    <w:rPr>
      <w:sz w:val="20"/>
      <w:szCs w:val="20"/>
    </w:rPr>
  </w:style>
  <w:style w:type="paragraph" w:customStyle="1" w:styleId="IN1">
    <w:name w:val="IN1"/>
    <w:basedOn w:val="Normal"/>
    <w:uiPriority w:val="1"/>
    <w:qFormat/>
    <w:rsid w:val="00C329C2"/>
    <w:pPr>
      <w:numPr>
        <w:numId w:val="8"/>
      </w:numPr>
      <w:spacing w:after="200" w:line="200" w:lineRule="exact"/>
    </w:pPr>
    <w:rPr>
      <w:sz w:val="20"/>
      <w:szCs w:val="20"/>
    </w:rPr>
  </w:style>
  <w:style w:type="paragraph" w:customStyle="1" w:styleId="IN2">
    <w:name w:val="IN2"/>
    <w:basedOn w:val="PlainHanging2"/>
    <w:uiPriority w:val="1"/>
    <w:qFormat/>
    <w:rsid w:val="00C329C2"/>
    <w:pPr>
      <w:numPr>
        <w:ilvl w:val="1"/>
        <w:numId w:val="8"/>
      </w:numPr>
    </w:pPr>
  </w:style>
  <w:style w:type="paragraph" w:customStyle="1" w:styleId="IN3">
    <w:name w:val="IN3"/>
    <w:basedOn w:val="Normal"/>
    <w:uiPriority w:val="1"/>
    <w:qFormat/>
    <w:rsid w:val="00C329C2"/>
    <w:pPr>
      <w:numPr>
        <w:ilvl w:val="2"/>
        <w:numId w:val="8"/>
      </w:numPr>
      <w:spacing w:after="200" w:line="200" w:lineRule="exact"/>
    </w:pPr>
    <w:rPr>
      <w:sz w:val="20"/>
      <w:szCs w:val="20"/>
    </w:rPr>
  </w:style>
  <w:style w:type="numbering" w:customStyle="1" w:styleId="INNos">
    <w:name w:val="INNos"/>
    <w:uiPriority w:val="99"/>
    <w:rsid w:val="00C329C2"/>
    <w:pPr>
      <w:numPr>
        <w:numId w:val="7"/>
      </w:numPr>
    </w:pPr>
  </w:style>
  <w:style w:type="character" w:customStyle="1" w:styleId="AusBold1Char">
    <w:name w:val="Aus Bold1 Char"/>
    <w:basedOn w:val="DefaultParagraphFont"/>
    <w:link w:val="AusBold1"/>
    <w:rsid w:val="00C329C2"/>
    <w:rPr>
      <w:b/>
      <w:lang w:eastAsia="en-US"/>
    </w:rPr>
  </w:style>
  <w:style w:type="paragraph" w:customStyle="1" w:styleId="BoldHanging2">
    <w:name w:val="Bold Hanging2"/>
    <w:basedOn w:val="PlainHanging2"/>
    <w:rsid w:val="001E2B1D"/>
    <w:rPr>
      <w:b/>
    </w:rPr>
  </w:style>
  <w:style w:type="paragraph" w:customStyle="1" w:styleId="NumBold1">
    <w:name w:val="Num Bold1"/>
    <w:basedOn w:val="NumPlain1"/>
    <w:qFormat/>
    <w:rsid w:val="00BD73FC"/>
    <w:pPr>
      <w:numPr>
        <w:numId w:val="0"/>
      </w:numPr>
      <w:tabs>
        <w:tab w:val="num" w:pos="510"/>
      </w:tabs>
      <w:ind w:left="510" w:hanging="510"/>
    </w:pPr>
    <w:rPr>
      <w:b/>
    </w:rPr>
  </w:style>
  <w:style w:type="paragraph" w:customStyle="1" w:styleId="AppendixNote">
    <w:name w:val="AppendixNote"/>
    <w:basedOn w:val="Normal"/>
    <w:next w:val="Normal"/>
    <w:rsid w:val="0016498C"/>
    <w:pPr>
      <w:spacing w:after="200" w:line="200" w:lineRule="exact"/>
    </w:pPr>
    <w:rPr>
      <w:i/>
      <w:iCs/>
      <w:sz w:val="20"/>
      <w:szCs w:val="20"/>
    </w:rPr>
  </w:style>
  <w:style w:type="paragraph" w:customStyle="1" w:styleId="AppendixText">
    <w:name w:val="AppendixText"/>
    <w:basedOn w:val="Normal"/>
    <w:rsid w:val="0016498C"/>
    <w:pPr>
      <w:spacing w:after="200" w:line="200" w:lineRule="exact"/>
    </w:pPr>
    <w:rPr>
      <w:sz w:val="20"/>
      <w:szCs w:val="20"/>
    </w:rPr>
  </w:style>
  <w:style w:type="paragraph" w:customStyle="1" w:styleId="NumAG1">
    <w:name w:val="Num AG1"/>
    <w:basedOn w:val="Normal"/>
    <w:qFormat/>
    <w:rsid w:val="009B378B"/>
    <w:pPr>
      <w:numPr>
        <w:numId w:val="27"/>
      </w:numPr>
      <w:spacing w:after="100"/>
      <w:jc w:val="both"/>
    </w:pPr>
    <w:rPr>
      <w:szCs w:val="20"/>
    </w:rPr>
  </w:style>
  <w:style w:type="paragraph" w:customStyle="1" w:styleId="NumAG2">
    <w:name w:val="Num AG2"/>
    <w:basedOn w:val="Normal"/>
    <w:rsid w:val="001929B3"/>
    <w:pPr>
      <w:numPr>
        <w:ilvl w:val="1"/>
        <w:numId w:val="27"/>
      </w:numPr>
      <w:spacing w:after="100"/>
      <w:jc w:val="both"/>
    </w:pPr>
    <w:rPr>
      <w:szCs w:val="20"/>
    </w:rPr>
  </w:style>
  <w:style w:type="paragraph" w:customStyle="1" w:styleId="NumAG3">
    <w:name w:val="Num AG3"/>
    <w:basedOn w:val="Normal"/>
    <w:rsid w:val="00975159"/>
    <w:pPr>
      <w:numPr>
        <w:ilvl w:val="2"/>
        <w:numId w:val="27"/>
      </w:numPr>
      <w:spacing w:after="100"/>
      <w:jc w:val="both"/>
    </w:pPr>
    <w:rPr>
      <w:szCs w:val="20"/>
    </w:rPr>
  </w:style>
  <w:style w:type="paragraph" w:customStyle="1" w:styleId="NumAG4">
    <w:name w:val="Num AG4"/>
    <w:basedOn w:val="Normal"/>
    <w:rsid w:val="00F271DC"/>
    <w:pPr>
      <w:numPr>
        <w:ilvl w:val="3"/>
        <w:numId w:val="27"/>
      </w:numPr>
      <w:spacing w:after="200" w:line="200" w:lineRule="exact"/>
    </w:pPr>
    <w:rPr>
      <w:sz w:val="20"/>
      <w:szCs w:val="20"/>
    </w:rPr>
  </w:style>
  <w:style w:type="numbering" w:customStyle="1" w:styleId="AASBNumbers">
    <w:name w:val="AASB Numbers"/>
    <w:uiPriority w:val="99"/>
    <w:rsid w:val="00C2799E"/>
    <w:pPr>
      <w:numPr>
        <w:numId w:val="12"/>
      </w:numPr>
    </w:pPr>
  </w:style>
  <w:style w:type="character" w:customStyle="1" w:styleId="Heading4Char">
    <w:name w:val="Heading 4 Char"/>
    <w:basedOn w:val="DefaultParagraphFont"/>
    <w:link w:val="Heading4"/>
    <w:uiPriority w:val="9"/>
    <w:rsid w:val="008106D3"/>
    <w:rPr>
      <w:rFonts w:asciiTheme="majorHAnsi" w:eastAsiaTheme="majorEastAsia" w:hAnsiTheme="majorHAnsi" w:cstheme="majorBidi"/>
      <w:b/>
      <w:bCs/>
      <w:i/>
      <w:iCs/>
      <w:color w:val="4F81BD" w:themeColor="accent1"/>
      <w:sz w:val="19"/>
      <w:szCs w:val="24"/>
      <w:lang w:eastAsia="en-US"/>
    </w:rPr>
  </w:style>
  <w:style w:type="character" w:customStyle="1" w:styleId="Heading1Char">
    <w:name w:val="Heading 1 Char"/>
    <w:basedOn w:val="DefaultParagraphFont"/>
    <w:link w:val="Heading1"/>
    <w:uiPriority w:val="9"/>
    <w:rsid w:val="003A1EAC"/>
    <w:rPr>
      <w:rFonts w:asciiTheme="majorHAnsi" w:eastAsiaTheme="majorEastAsia" w:hAnsiTheme="majorHAnsi" w:cstheme="majorBidi"/>
      <w:b/>
      <w:bCs/>
      <w:color w:val="365F91" w:themeColor="accent1" w:themeShade="BF"/>
      <w:sz w:val="28"/>
      <w:szCs w:val="28"/>
      <w:lang w:eastAsia="en-US"/>
    </w:rPr>
  </w:style>
  <w:style w:type="paragraph" w:customStyle="1" w:styleId="IE1">
    <w:name w:val="IE1"/>
    <w:basedOn w:val="Normal"/>
    <w:uiPriority w:val="1"/>
    <w:qFormat/>
    <w:rsid w:val="003A1EAC"/>
    <w:pPr>
      <w:numPr>
        <w:numId w:val="15"/>
      </w:numPr>
      <w:spacing w:after="200" w:line="200" w:lineRule="exact"/>
    </w:pPr>
    <w:rPr>
      <w:sz w:val="20"/>
      <w:szCs w:val="20"/>
    </w:rPr>
  </w:style>
  <w:style w:type="paragraph" w:customStyle="1" w:styleId="IE2">
    <w:name w:val="IE2"/>
    <w:basedOn w:val="PlainHanging2"/>
    <w:uiPriority w:val="1"/>
    <w:qFormat/>
    <w:rsid w:val="003A1EAC"/>
    <w:pPr>
      <w:numPr>
        <w:ilvl w:val="1"/>
        <w:numId w:val="15"/>
      </w:numPr>
    </w:pPr>
  </w:style>
  <w:style w:type="paragraph" w:customStyle="1" w:styleId="IE3">
    <w:name w:val="IE3"/>
    <w:basedOn w:val="Normal"/>
    <w:uiPriority w:val="1"/>
    <w:qFormat/>
    <w:rsid w:val="003A1EAC"/>
    <w:pPr>
      <w:numPr>
        <w:ilvl w:val="2"/>
        <w:numId w:val="15"/>
      </w:numPr>
      <w:spacing w:after="200" w:line="200" w:lineRule="exact"/>
    </w:pPr>
    <w:rPr>
      <w:sz w:val="20"/>
      <w:szCs w:val="20"/>
    </w:rPr>
  </w:style>
  <w:style w:type="numbering" w:customStyle="1" w:styleId="IENos">
    <w:name w:val="IENos"/>
    <w:uiPriority w:val="99"/>
    <w:rsid w:val="003A1EAC"/>
    <w:pPr>
      <w:numPr>
        <w:numId w:val="14"/>
      </w:numPr>
    </w:pPr>
  </w:style>
  <w:style w:type="paragraph" w:customStyle="1" w:styleId="NumBC1">
    <w:name w:val="Num BC1"/>
    <w:basedOn w:val="Normal"/>
    <w:qFormat/>
    <w:rsid w:val="00D47965"/>
    <w:pPr>
      <w:numPr>
        <w:numId w:val="16"/>
      </w:numPr>
      <w:spacing w:after="200" w:line="200" w:lineRule="exact"/>
    </w:pPr>
    <w:rPr>
      <w:sz w:val="20"/>
      <w:szCs w:val="20"/>
    </w:rPr>
  </w:style>
  <w:style w:type="paragraph" w:customStyle="1" w:styleId="NumBC2">
    <w:name w:val="Num BC2"/>
    <w:basedOn w:val="NumBC1"/>
    <w:rsid w:val="00D47965"/>
    <w:pPr>
      <w:numPr>
        <w:ilvl w:val="1"/>
      </w:numPr>
    </w:pPr>
  </w:style>
  <w:style w:type="paragraph" w:customStyle="1" w:styleId="NumBC3">
    <w:name w:val="Num BC3"/>
    <w:basedOn w:val="NumBC2"/>
    <w:rsid w:val="00D47965"/>
    <w:pPr>
      <w:numPr>
        <w:ilvl w:val="2"/>
      </w:numPr>
    </w:pPr>
  </w:style>
  <w:style w:type="paragraph" w:customStyle="1" w:styleId="NumBC4">
    <w:name w:val="Num BC4"/>
    <w:basedOn w:val="NumBC3"/>
    <w:rsid w:val="00D47965"/>
    <w:pPr>
      <w:numPr>
        <w:ilvl w:val="3"/>
      </w:numPr>
    </w:pPr>
  </w:style>
  <w:style w:type="paragraph" w:customStyle="1" w:styleId="Default">
    <w:name w:val="Default"/>
    <w:rsid w:val="00D47965"/>
    <w:pPr>
      <w:autoSpaceDE w:val="0"/>
      <w:autoSpaceDN w:val="0"/>
      <w:adjustRightInd w:val="0"/>
    </w:pPr>
    <w:rPr>
      <w:color w:val="000000"/>
      <w:sz w:val="24"/>
      <w:szCs w:val="24"/>
    </w:rPr>
  </w:style>
  <w:style w:type="paragraph" w:customStyle="1" w:styleId="DLevel1">
    <w:name w:val="DLevel 1"/>
    <w:basedOn w:val="Normal"/>
    <w:uiPriority w:val="1"/>
    <w:qFormat/>
    <w:rsid w:val="008F652E"/>
    <w:pPr>
      <w:numPr>
        <w:numId w:val="17"/>
      </w:numPr>
      <w:spacing w:after="200" w:line="200" w:lineRule="exact"/>
    </w:pPr>
    <w:rPr>
      <w:sz w:val="20"/>
      <w:szCs w:val="20"/>
    </w:rPr>
  </w:style>
  <w:style w:type="paragraph" w:customStyle="1" w:styleId="DLevel2">
    <w:name w:val="DLevel 2"/>
    <w:basedOn w:val="PlainHanging1"/>
    <w:uiPriority w:val="1"/>
    <w:qFormat/>
    <w:rsid w:val="008F652E"/>
    <w:pPr>
      <w:numPr>
        <w:ilvl w:val="1"/>
        <w:numId w:val="17"/>
      </w:numPr>
    </w:pPr>
  </w:style>
  <w:style w:type="paragraph" w:customStyle="1" w:styleId="DLevel3">
    <w:name w:val="DLevel 3"/>
    <w:basedOn w:val="PlainHanging2"/>
    <w:uiPriority w:val="1"/>
    <w:qFormat/>
    <w:rsid w:val="008F652E"/>
    <w:pPr>
      <w:numPr>
        <w:ilvl w:val="2"/>
        <w:numId w:val="17"/>
      </w:numPr>
    </w:pPr>
  </w:style>
  <w:style w:type="numbering" w:customStyle="1" w:styleId="DNos">
    <w:name w:val="DNos"/>
    <w:uiPriority w:val="99"/>
    <w:rsid w:val="008F652E"/>
    <w:pPr>
      <w:numPr>
        <w:numId w:val="17"/>
      </w:numPr>
    </w:pPr>
  </w:style>
  <w:style w:type="paragraph" w:styleId="NormalWeb">
    <w:name w:val="Normal (Web)"/>
    <w:basedOn w:val="Normal"/>
    <w:uiPriority w:val="99"/>
    <w:semiHidden/>
    <w:rsid w:val="00647FE1"/>
    <w:pPr>
      <w:spacing w:after="240"/>
    </w:pPr>
    <w:rPr>
      <w:sz w:val="24"/>
      <w:lang w:eastAsia="en-AU"/>
    </w:rPr>
  </w:style>
  <w:style w:type="paragraph" w:styleId="Revision">
    <w:name w:val="Revision"/>
    <w:hidden/>
    <w:uiPriority w:val="99"/>
    <w:semiHidden/>
    <w:rsid w:val="004A1A43"/>
    <w:rPr>
      <w:sz w:val="19"/>
      <w:szCs w:val="24"/>
      <w:lang w:eastAsia="en-US"/>
    </w:rPr>
  </w:style>
  <w:style w:type="character" w:customStyle="1" w:styleId="IASBNormalChar">
    <w:name w:val="IASB Normal Char"/>
    <w:basedOn w:val="DefaultParagraphFont"/>
    <w:link w:val="IASBNormal"/>
    <w:uiPriority w:val="99"/>
    <w:rsid w:val="00717E6A"/>
    <w:rPr>
      <w:sz w:val="19"/>
      <w:lang w:eastAsia="en-US"/>
    </w:rPr>
  </w:style>
  <w:style w:type="paragraph" w:customStyle="1" w:styleId="NumDPlain1">
    <w:name w:val="Num D Plain 1"/>
    <w:basedOn w:val="Normal"/>
    <w:qFormat/>
    <w:rsid w:val="00717E6A"/>
    <w:pPr>
      <w:numPr>
        <w:numId w:val="30"/>
      </w:numPr>
      <w:spacing w:after="240"/>
    </w:pPr>
    <w:rPr>
      <w:szCs w:val="20"/>
    </w:rPr>
  </w:style>
  <w:style w:type="paragraph" w:customStyle="1" w:styleId="NumDPlain2">
    <w:name w:val="Num D Plain 2"/>
    <w:basedOn w:val="NumDPlain1"/>
    <w:qFormat/>
    <w:rsid w:val="00717E6A"/>
    <w:pPr>
      <w:numPr>
        <w:ilvl w:val="1"/>
      </w:numPr>
      <w:ind w:left="1564" w:hanging="782"/>
    </w:pPr>
  </w:style>
  <w:style w:type="paragraph" w:customStyle="1" w:styleId="NumDPlain3">
    <w:name w:val="Num D Plain 3"/>
    <w:basedOn w:val="NumDPlain2"/>
    <w:qFormat/>
    <w:rsid w:val="00717E6A"/>
    <w:pPr>
      <w:numPr>
        <w:ilvl w:val="2"/>
      </w:numPr>
      <w:ind w:left="2347" w:hanging="782"/>
    </w:pPr>
  </w:style>
  <w:style w:type="character" w:customStyle="1" w:styleId="IASBSectionTitle1NonIndChar">
    <w:name w:val="IASB Section Title 1 NonInd Char"/>
    <w:basedOn w:val="DefaultParagraphFont"/>
    <w:link w:val="IASBSectionTitle1NonInd"/>
    <w:uiPriority w:val="8"/>
    <w:rsid w:val="00717E6A"/>
    <w:rPr>
      <w:rFonts w:ascii="Arial" w:hAnsi="Arial" w:cs="Arial"/>
      <w:b/>
      <w:sz w:val="26"/>
      <w:lang w:eastAsia="en-US"/>
    </w:rPr>
  </w:style>
  <w:style w:type="paragraph" w:customStyle="1" w:styleId="NumCPlain1">
    <w:name w:val="Num C Plain 1"/>
    <w:basedOn w:val="Normal"/>
    <w:qFormat/>
    <w:rsid w:val="00BE598E"/>
    <w:pPr>
      <w:spacing w:after="100"/>
      <w:ind w:left="782" w:hanging="782"/>
      <w:jc w:val="both"/>
    </w:pPr>
    <w:rPr>
      <w:szCs w:val="20"/>
    </w:rPr>
  </w:style>
  <w:style w:type="paragraph" w:customStyle="1" w:styleId="NumCPlain2">
    <w:name w:val="Num C Plain 2"/>
    <w:basedOn w:val="NumCPlain1"/>
    <w:qFormat/>
    <w:rsid w:val="00BE598E"/>
    <w:pPr>
      <w:numPr>
        <w:ilvl w:val="1"/>
      </w:numPr>
      <w:ind w:left="1564" w:hanging="782"/>
    </w:pPr>
  </w:style>
  <w:style w:type="paragraph" w:customStyle="1" w:styleId="NumCPlain3">
    <w:name w:val="Num C Plain 3"/>
    <w:basedOn w:val="NumCPlain2"/>
    <w:qFormat/>
    <w:rsid w:val="00A44C42"/>
    <w:pPr>
      <w:numPr>
        <w:ilvl w:val="2"/>
      </w:numPr>
      <w:ind w:left="2347" w:hanging="782"/>
    </w:pPr>
  </w:style>
  <w:style w:type="character" w:customStyle="1" w:styleId="IASBNormalnparaChar">
    <w:name w:val="IASB Normal npara Char"/>
    <w:basedOn w:val="IASBNormalChar"/>
    <w:link w:val="IASBNormalnpara"/>
    <w:uiPriority w:val="8"/>
    <w:rsid w:val="00AF0ED7"/>
    <w:rPr>
      <w:sz w:val="19"/>
      <w:lang w:eastAsia="en-US"/>
    </w:rPr>
  </w:style>
  <w:style w:type="paragraph" w:customStyle="1" w:styleId="NumPlain2">
    <w:name w:val="Num Plain2"/>
    <w:basedOn w:val="NumPlain1"/>
    <w:qFormat/>
    <w:rsid w:val="00862556"/>
    <w:pPr>
      <w:numPr>
        <w:numId w:val="0"/>
      </w:numPr>
      <w:tabs>
        <w:tab w:val="num" w:pos="360"/>
      </w:tabs>
      <w:ind w:left="1564" w:hanging="782"/>
    </w:pPr>
    <w:rPr>
      <w:szCs w:val="24"/>
      <w:lang w:eastAsia="en-AU"/>
    </w:rPr>
  </w:style>
  <w:style w:type="paragraph" w:customStyle="1" w:styleId="PlainHanging4">
    <w:name w:val="Plain Hanging4"/>
    <w:basedOn w:val="PlainHanging1"/>
    <w:rsid w:val="00363C6B"/>
    <w:pPr>
      <w:ind w:left="2551"/>
    </w:pPr>
  </w:style>
  <w:style w:type="paragraph" w:customStyle="1" w:styleId="SpaceAfter">
    <w:name w:val="SpaceAfter"/>
    <w:basedOn w:val="Normal"/>
    <w:qFormat/>
    <w:rsid w:val="00363C6B"/>
    <w:pPr>
      <w:spacing w:after="160" w:line="200" w:lineRule="exact"/>
    </w:pPr>
    <w:rPr>
      <w:sz w:val="20"/>
      <w:szCs w:val="20"/>
    </w:rPr>
  </w:style>
  <w:style w:type="character" w:styleId="Hyperlink">
    <w:name w:val="Hyperlink"/>
    <w:basedOn w:val="DefaultParagraphFont"/>
    <w:uiPriority w:val="99"/>
    <w:unhideWhenUsed/>
    <w:rsid w:val="00363C6B"/>
    <w:rPr>
      <w:color w:val="0000FF" w:themeColor="hyperlink"/>
      <w:u w:val="single"/>
    </w:rPr>
  </w:style>
  <w:style w:type="paragraph" w:customStyle="1" w:styleId="NumBoldA1">
    <w:name w:val="Num BoldA1"/>
    <w:basedOn w:val="NumPlain1"/>
    <w:uiPriority w:val="9"/>
    <w:qFormat/>
    <w:rsid w:val="00862556"/>
    <w:pPr>
      <w:jc w:val="both"/>
    </w:pPr>
    <w:rPr>
      <w:b/>
    </w:rPr>
  </w:style>
  <w:style w:type="paragraph" w:customStyle="1" w:styleId="NumBoldA2">
    <w:name w:val="Num BoldA2"/>
    <w:basedOn w:val="NumPlain2"/>
    <w:uiPriority w:val="9"/>
    <w:qFormat/>
    <w:rsid w:val="00862556"/>
    <w:pPr>
      <w:numPr>
        <w:ilvl w:val="1"/>
        <w:numId w:val="4"/>
      </w:numPr>
      <w:jc w:val="both"/>
    </w:pPr>
    <w:rPr>
      <w:b/>
    </w:rPr>
  </w:style>
  <w:style w:type="paragraph" w:customStyle="1" w:styleId="NumBoldA3">
    <w:name w:val="Num BoldA3"/>
    <w:basedOn w:val="NumPlain3"/>
    <w:uiPriority w:val="9"/>
    <w:qFormat/>
    <w:rsid w:val="00862556"/>
    <w:pPr>
      <w:tabs>
        <w:tab w:val="clear" w:pos="1531"/>
      </w:tabs>
      <w:jc w:val="both"/>
    </w:pPr>
    <w:rPr>
      <w:b/>
    </w:rPr>
  </w:style>
  <w:style w:type="paragraph" w:customStyle="1" w:styleId="IGpara1">
    <w:name w:val="IG para 1"/>
    <w:basedOn w:val="NumAG1"/>
    <w:uiPriority w:val="9"/>
    <w:qFormat/>
    <w:rsid w:val="000316CD"/>
    <w:pPr>
      <w:numPr>
        <w:numId w:val="38"/>
      </w:numPr>
    </w:pPr>
    <w:rPr>
      <w:szCs w:val="19"/>
    </w:rPr>
  </w:style>
  <w:style w:type="paragraph" w:customStyle="1" w:styleId="IASBSectionTitle1NonIndNoLine">
    <w:name w:val="IASB Section Title 1 NonInd NoLine"/>
    <w:basedOn w:val="IASBSectionTitle1NonInd"/>
    <w:link w:val="IASBSectionTitle1NonIndNoLineChar"/>
    <w:qFormat/>
    <w:rsid w:val="00195622"/>
    <w:pPr>
      <w:pBdr>
        <w:bottom w:val="none" w:sz="0" w:space="0" w:color="auto"/>
      </w:pBdr>
    </w:pPr>
  </w:style>
  <w:style w:type="character" w:customStyle="1" w:styleId="IASBSectionTitle1NonIndNoLineChar">
    <w:name w:val="IASB Section Title 1 NonInd NoLine Char"/>
    <w:basedOn w:val="IASBSectionTitle1NonIndChar"/>
    <w:link w:val="IASBSectionTitle1NonIndNoLine"/>
    <w:rsid w:val="00195622"/>
    <w:rPr>
      <w:rFonts w:ascii="Arial" w:hAnsi="Arial" w:cs="Arial"/>
      <w:b/>
      <w:sz w:val="26"/>
      <w:lang w:eastAsia="en-US"/>
    </w:rPr>
  </w:style>
  <w:style w:type="paragraph" w:customStyle="1" w:styleId="AmendmentInstruction">
    <w:name w:val="AmendmentInstruction"/>
    <w:qFormat/>
    <w:rsid w:val="00195622"/>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PlainNumHang1">
    <w:name w:val="Plain Num Hang 1"/>
    <w:basedOn w:val="Normal"/>
    <w:qFormat/>
    <w:rsid w:val="00195622"/>
    <w:pPr>
      <w:spacing w:after="240"/>
      <w:ind w:left="782" w:hanging="782"/>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unhideWhenUsed="0"/>
    <w:lsdException w:name="annotation text" w:uiPriority="5"/>
    <w:lsdException w:name="header" w:unhideWhenUsed="0"/>
    <w:lsdException w:name="footer" w:uiPriority="0" w:unhideWhenUsed="0"/>
    <w:lsdException w:name="caption" w:uiPriority="35" w:qFormat="1"/>
    <w:lsdException w:name="annotation reference" w:uiPriority="5"/>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96AC4"/>
    <w:rPr>
      <w:sz w:val="19"/>
      <w:szCs w:val="24"/>
      <w:lang w:eastAsia="en-US"/>
    </w:rPr>
  </w:style>
  <w:style w:type="paragraph" w:styleId="Heading1">
    <w:name w:val="heading 1"/>
    <w:basedOn w:val="Normal"/>
    <w:next w:val="Normal"/>
    <w:link w:val="Heading1Char"/>
    <w:uiPriority w:val="1"/>
    <w:qFormat/>
    <w:rsid w:val="003A1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7B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C7B9A"/>
    <w:pPr>
      <w:keepLines w:val="0"/>
      <w:spacing w:before="0" w:after="200" w:line="240" w:lineRule="exact"/>
      <w:outlineLvl w:val="2"/>
    </w:pPr>
    <w:rPr>
      <w:rFonts w:ascii="Times New Roman" w:eastAsia="Times New Roman" w:hAnsi="Times New Roman" w:cs="Arial"/>
      <w:iCs/>
      <w:color w:val="auto"/>
      <w:sz w:val="24"/>
    </w:rPr>
  </w:style>
  <w:style w:type="paragraph" w:styleId="Heading4">
    <w:name w:val="heading 4"/>
    <w:basedOn w:val="Normal"/>
    <w:next w:val="Normal"/>
    <w:link w:val="Heading4Char"/>
    <w:uiPriority w:val="9"/>
    <w:unhideWhenUsed/>
    <w:qFormat/>
    <w:rsid w:val="008106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link w:val="IASBNormalChar"/>
    <w:uiPriority w:val="99"/>
    <w:rsid w:val="008521E4"/>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uiPriority w:val="99"/>
    <w:qFormat/>
    <w:rsid w:val="00AF0ED7"/>
    <w:pPr>
      <w:tabs>
        <w:tab w:val="clear" w:pos="4253"/>
      </w:tabs>
      <w:spacing w:after="0"/>
      <w:ind w:left="720" w:hanging="720"/>
    </w:pPr>
  </w:style>
  <w:style w:type="paragraph" w:customStyle="1" w:styleId="IASBSectionTitle1Ind">
    <w:name w:val="IASB Section Title 1 Ind"/>
    <w:basedOn w:val="Normal"/>
    <w:uiPriority w:val="8"/>
    <w:rsid w:val="008521E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link w:val="IASBSectionTitle1NonIndChar"/>
    <w:uiPriority w:val="8"/>
    <w:rsid w:val="008521E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8521E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8521E4"/>
    <w:pPr>
      <w:spacing w:before="240"/>
      <w:ind w:left="782"/>
    </w:pPr>
  </w:style>
  <w:style w:type="paragraph" w:customStyle="1" w:styleId="IASBSectionTitle3NonInd">
    <w:name w:val="IASB Section Title 3 NonInd"/>
    <w:basedOn w:val="Normal"/>
    <w:uiPriority w:val="8"/>
    <w:rsid w:val="008521E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8521E4"/>
    <w:pPr>
      <w:spacing w:before="240"/>
      <w:ind w:left="782"/>
    </w:pPr>
  </w:style>
  <w:style w:type="paragraph" w:customStyle="1" w:styleId="IASBSectionTitle4NonInd">
    <w:name w:val="IASB Section Title 4 NonInd"/>
    <w:basedOn w:val="Normal"/>
    <w:uiPriority w:val="8"/>
    <w:rsid w:val="008521E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852445"/>
    <w:pPr>
      <w:spacing w:before="240"/>
      <w:ind w:left="782"/>
    </w:pPr>
  </w:style>
  <w:style w:type="paragraph" w:customStyle="1" w:styleId="IASBSectionTitle5NonInd">
    <w:name w:val="IASB Section Title 5 NonInd"/>
    <w:basedOn w:val="Normal"/>
    <w:uiPriority w:val="8"/>
    <w:rsid w:val="008521E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852445"/>
    <w:pPr>
      <w:spacing w:before="240"/>
      <w:ind w:left="782"/>
    </w:pPr>
  </w:style>
  <w:style w:type="paragraph" w:customStyle="1" w:styleId="IASBSectionTitle6NonInd">
    <w:name w:val="IASB Section Title 6 NonInd"/>
    <w:basedOn w:val="IASBSectionTitle5NonInd"/>
    <w:uiPriority w:val="8"/>
    <w:rsid w:val="008521E4"/>
    <w:pPr>
      <w:outlineLvl w:val="5"/>
    </w:pPr>
    <w:rPr>
      <w:b w:val="0"/>
      <w:i/>
    </w:rPr>
  </w:style>
  <w:style w:type="paragraph" w:customStyle="1" w:styleId="IASBSectionTitle6Ind">
    <w:name w:val="IASB Section Title 6 Ind"/>
    <w:basedOn w:val="IASBSectionTitle6NonInd"/>
    <w:uiPriority w:val="8"/>
    <w:rsid w:val="008521E4"/>
    <w:pPr>
      <w:ind w:left="782"/>
    </w:pPr>
  </w:style>
  <w:style w:type="paragraph" w:customStyle="1" w:styleId="IASBTitle">
    <w:name w:val="IASB Title"/>
    <w:uiPriority w:val="8"/>
    <w:rsid w:val="008521E4"/>
    <w:pPr>
      <w:keepNext/>
      <w:keepLines/>
      <w:spacing w:before="300" w:after="400"/>
    </w:pPr>
    <w:rPr>
      <w:rFonts w:cs="Arial"/>
      <w:sz w:val="36"/>
      <w:lang w:eastAsia="en-US"/>
    </w:rPr>
  </w:style>
  <w:style w:type="paragraph" w:customStyle="1" w:styleId="IASBNormalnparaL1">
    <w:name w:val="IASB Normal nparaL1"/>
    <w:basedOn w:val="IASBNormalnpara"/>
    <w:uiPriority w:val="8"/>
    <w:rsid w:val="008521E4"/>
    <w:pPr>
      <w:ind w:left="1564"/>
    </w:pPr>
  </w:style>
  <w:style w:type="paragraph" w:customStyle="1" w:styleId="IASBNormalnparaP">
    <w:name w:val="IASB Normal nparaP"/>
    <w:basedOn w:val="IASBNormal"/>
    <w:uiPriority w:val="8"/>
    <w:rsid w:val="00AF0ED7"/>
    <w:pPr>
      <w:numPr>
        <w:numId w:val="3"/>
      </w:numPr>
      <w:ind w:hanging="720"/>
    </w:pPr>
    <w:rPr>
      <w:b/>
    </w:rPr>
  </w:style>
  <w:style w:type="paragraph" w:customStyle="1" w:styleId="IASBIdentifier">
    <w:name w:val="IASB Identifier"/>
    <w:basedOn w:val="IASBTitle"/>
    <w:uiPriority w:val="8"/>
    <w:rsid w:val="008521E4"/>
    <w:pPr>
      <w:spacing w:after="200"/>
    </w:pPr>
    <w:rPr>
      <w:rFonts w:ascii="Arial" w:hAnsi="Arial"/>
      <w:b/>
      <w:sz w:val="23"/>
    </w:rPr>
  </w:style>
  <w:style w:type="paragraph" w:customStyle="1" w:styleId="IASBTOCPrimary">
    <w:name w:val="IASB TOC Primary"/>
    <w:basedOn w:val="Normal"/>
    <w:uiPriority w:val="8"/>
    <w:rsid w:val="008521E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8521E4"/>
    <w:pPr>
      <w:spacing w:before="30" w:after="30"/>
    </w:pPr>
    <w:rPr>
      <w:rFonts w:ascii="Arial" w:hAnsi="Arial" w:cs="Arial"/>
      <w:i/>
      <w:sz w:val="18"/>
      <w:szCs w:val="20"/>
    </w:rPr>
  </w:style>
  <w:style w:type="paragraph" w:customStyle="1" w:styleId="IASBTOCSecondary">
    <w:name w:val="IASB TOC Secondary"/>
    <w:basedOn w:val="Normal"/>
    <w:uiPriority w:val="8"/>
    <w:rsid w:val="008521E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8521E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8521E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8521E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8521E4"/>
    <w:rPr>
      <w:i/>
    </w:rPr>
  </w:style>
  <w:style w:type="paragraph" w:customStyle="1" w:styleId="IASBBlockquote">
    <w:name w:val="IASB Blockquote"/>
    <w:basedOn w:val="IASBNormal"/>
    <w:uiPriority w:val="8"/>
    <w:rsid w:val="008521E4"/>
    <w:pPr>
      <w:ind w:left="1565"/>
    </w:pPr>
    <w:rPr>
      <w:sz w:val="16"/>
    </w:rPr>
  </w:style>
  <w:style w:type="character" w:customStyle="1" w:styleId="IASBEduinsert">
    <w:name w:val="IASB Edu insert"/>
    <w:uiPriority w:val="8"/>
    <w:qFormat/>
    <w:rsid w:val="008521E4"/>
  </w:style>
  <w:style w:type="character" w:styleId="FootnoteReference">
    <w:name w:val="footnote reference"/>
    <w:uiPriority w:val="99"/>
    <w:unhideWhenUsed/>
    <w:rsid w:val="008521E4"/>
    <w:rPr>
      <w:vertAlign w:val="superscript"/>
    </w:rPr>
  </w:style>
  <w:style w:type="paragraph" w:styleId="FootnoteText">
    <w:name w:val="footnote text"/>
    <w:basedOn w:val="IASBSectionTitle2Ind"/>
    <w:next w:val="IASBBlockquote"/>
    <w:link w:val="FootnoteTextChar"/>
    <w:uiPriority w:val="5"/>
    <w:rsid w:val="008A4B05"/>
    <w:pPr>
      <w:keepNext w:val="0"/>
      <w:keepLines w:val="0"/>
      <w:spacing w:before="0" w:after="0"/>
      <w:ind w:left="340" w:hanging="340"/>
    </w:pPr>
    <w:rPr>
      <w:rFonts w:ascii="Times New Roman" w:hAnsi="Times New Roman" w:cs="Times New Roman"/>
      <w:b w:val="0"/>
      <w:sz w:val="16"/>
    </w:rPr>
  </w:style>
  <w:style w:type="character" w:customStyle="1" w:styleId="FootnoteTextChar">
    <w:name w:val="Footnote Text Char"/>
    <w:link w:val="FootnoteText"/>
    <w:uiPriority w:val="5"/>
    <w:rsid w:val="008A4B05"/>
    <w:rPr>
      <w:sz w:val="16"/>
      <w:lang w:eastAsia="en-US"/>
    </w:rPr>
  </w:style>
  <w:style w:type="paragraph" w:customStyle="1" w:styleId="IASBNormalL1">
    <w:name w:val="IASB Normal L1"/>
    <w:basedOn w:val="IASBNormalnpara"/>
    <w:uiPriority w:val="8"/>
    <w:rsid w:val="008521E4"/>
  </w:style>
  <w:style w:type="paragraph" w:styleId="Header">
    <w:name w:val="header"/>
    <w:basedOn w:val="Normal"/>
    <w:link w:val="HeaderChar"/>
    <w:uiPriority w:val="99"/>
    <w:rsid w:val="008521E4"/>
    <w:pPr>
      <w:tabs>
        <w:tab w:val="center" w:pos="4536"/>
        <w:tab w:val="right" w:pos="9072"/>
      </w:tabs>
    </w:pPr>
    <w:rPr>
      <w:sz w:val="20"/>
    </w:rPr>
  </w:style>
  <w:style w:type="character" w:customStyle="1" w:styleId="HeaderChar">
    <w:name w:val="Header Char"/>
    <w:link w:val="Header"/>
    <w:uiPriority w:val="99"/>
    <w:rsid w:val="008521E4"/>
    <w:rPr>
      <w:szCs w:val="24"/>
      <w:lang w:eastAsia="en-US"/>
    </w:rPr>
  </w:style>
  <w:style w:type="paragraph" w:styleId="Footer">
    <w:name w:val="footer"/>
    <w:basedOn w:val="Normal"/>
    <w:link w:val="FooterChar"/>
    <w:rsid w:val="008521E4"/>
    <w:pPr>
      <w:tabs>
        <w:tab w:val="center" w:pos="4536"/>
        <w:tab w:val="right" w:pos="9072"/>
      </w:tabs>
    </w:pPr>
  </w:style>
  <w:style w:type="character" w:customStyle="1" w:styleId="FooterChar">
    <w:name w:val="Footer Char"/>
    <w:link w:val="Footer"/>
    <w:rsid w:val="008521E4"/>
    <w:rPr>
      <w:sz w:val="19"/>
      <w:szCs w:val="24"/>
      <w:lang w:eastAsia="en-US"/>
    </w:rPr>
  </w:style>
  <w:style w:type="paragraph" w:customStyle="1" w:styleId="IASBRubricL1">
    <w:name w:val="IASB RubricL1"/>
    <w:basedOn w:val="IASBRubric"/>
    <w:uiPriority w:val="8"/>
    <w:rsid w:val="008521E4"/>
    <w:pPr>
      <w:ind w:left="782" w:hanging="782"/>
      <w:jc w:val="left"/>
    </w:pPr>
    <w:rPr>
      <w:lang w:eastAsia="en-GB"/>
    </w:rPr>
  </w:style>
  <w:style w:type="paragraph" w:customStyle="1" w:styleId="IASBRubricL2">
    <w:name w:val="IASB RubricL2"/>
    <w:basedOn w:val="IASBRubricL1"/>
    <w:uiPriority w:val="8"/>
    <w:rsid w:val="008521E4"/>
    <w:pPr>
      <w:tabs>
        <w:tab w:val="left" w:pos="782"/>
      </w:tabs>
      <w:ind w:left="1565" w:hanging="1565"/>
    </w:pPr>
  </w:style>
  <w:style w:type="paragraph" w:customStyle="1" w:styleId="IASBRubricL3">
    <w:name w:val="IASB RubricL3"/>
    <w:basedOn w:val="IASBRubricL2"/>
    <w:uiPriority w:val="8"/>
    <w:rsid w:val="008521E4"/>
    <w:pPr>
      <w:tabs>
        <w:tab w:val="clear" w:pos="782"/>
        <w:tab w:val="left" w:pos="1565"/>
      </w:tabs>
      <w:ind w:left="2347" w:hanging="2347"/>
    </w:pPr>
  </w:style>
  <w:style w:type="paragraph" w:customStyle="1" w:styleId="IASBNormalnparaL2">
    <w:name w:val="IASB Normal nparaL2"/>
    <w:basedOn w:val="IASBNormalnparaL1"/>
    <w:uiPriority w:val="8"/>
    <w:rsid w:val="008521E4"/>
    <w:pPr>
      <w:ind w:left="2347"/>
    </w:pPr>
  </w:style>
  <w:style w:type="paragraph" w:customStyle="1" w:styleId="IASBNormalnparaL3">
    <w:name w:val="IASB Normal nparaL3"/>
    <w:basedOn w:val="IASBNormalnparaL2"/>
    <w:uiPriority w:val="8"/>
    <w:rsid w:val="008521E4"/>
    <w:pPr>
      <w:ind w:left="3129"/>
    </w:pPr>
  </w:style>
  <w:style w:type="paragraph" w:customStyle="1" w:styleId="IASBNormalnparaL4">
    <w:name w:val="IASB Normal nparaL4"/>
    <w:basedOn w:val="IASBNormalnparaL3"/>
    <w:uiPriority w:val="8"/>
    <w:rsid w:val="008521E4"/>
    <w:pPr>
      <w:ind w:left="3912"/>
    </w:pPr>
  </w:style>
  <w:style w:type="paragraph" w:customStyle="1" w:styleId="IASBNormalnparaL5">
    <w:name w:val="IASB Normal nparaL5"/>
    <w:basedOn w:val="IASBNormalnparaL4"/>
    <w:uiPriority w:val="8"/>
    <w:rsid w:val="008521E4"/>
    <w:pPr>
      <w:ind w:left="4694"/>
    </w:pPr>
  </w:style>
  <w:style w:type="paragraph" w:customStyle="1" w:styleId="IASBNormalnparaL1P">
    <w:name w:val="IASB Normal nparaL1P"/>
    <w:basedOn w:val="IASBNormalnparaL2"/>
    <w:uiPriority w:val="8"/>
    <w:rsid w:val="008521E4"/>
    <w:pPr>
      <w:ind w:left="1565" w:firstLine="0"/>
    </w:pPr>
  </w:style>
  <w:style w:type="paragraph" w:customStyle="1" w:styleId="IASBNormalnparaL2P">
    <w:name w:val="IASB Normal nparaL2P"/>
    <w:basedOn w:val="IASBNormalnparaL1P"/>
    <w:uiPriority w:val="8"/>
    <w:rsid w:val="008521E4"/>
    <w:pPr>
      <w:ind w:left="2347"/>
    </w:pPr>
  </w:style>
  <w:style w:type="paragraph" w:customStyle="1" w:styleId="IASBNormalnparaL3P">
    <w:name w:val="IASB Normal nparaL3P"/>
    <w:basedOn w:val="IASBNormalnparaL2P"/>
    <w:uiPriority w:val="8"/>
    <w:rsid w:val="008521E4"/>
    <w:pPr>
      <w:ind w:left="3130"/>
    </w:pPr>
  </w:style>
  <w:style w:type="paragraph" w:customStyle="1" w:styleId="IASBNormalnparaL4P">
    <w:name w:val="IASB Normal nparaL4P"/>
    <w:basedOn w:val="IASBNormalnparaL3P"/>
    <w:uiPriority w:val="8"/>
    <w:rsid w:val="008521E4"/>
    <w:pPr>
      <w:ind w:left="3912"/>
    </w:pPr>
  </w:style>
  <w:style w:type="paragraph" w:customStyle="1" w:styleId="IASBNormalnparaL5P">
    <w:name w:val="IASB Normal nparaL5P"/>
    <w:basedOn w:val="IASBNormalnparaL4P"/>
    <w:uiPriority w:val="8"/>
    <w:rsid w:val="008521E4"/>
    <w:pPr>
      <w:ind w:left="4751"/>
    </w:pPr>
  </w:style>
  <w:style w:type="paragraph" w:customStyle="1" w:styleId="IASBBlockquoteL1">
    <w:name w:val="IASB BlockquoteL1"/>
    <w:basedOn w:val="IASBBlockquote"/>
    <w:uiPriority w:val="8"/>
    <w:rsid w:val="008521E4"/>
    <w:pPr>
      <w:ind w:left="2347" w:hanging="782"/>
    </w:pPr>
  </w:style>
  <w:style w:type="paragraph" w:customStyle="1" w:styleId="IASBBlockquoteL2">
    <w:name w:val="IASB BlockquoteL2"/>
    <w:basedOn w:val="IASBBlockquoteL1"/>
    <w:uiPriority w:val="8"/>
    <w:rsid w:val="008521E4"/>
    <w:pPr>
      <w:ind w:left="3129"/>
    </w:pPr>
  </w:style>
  <w:style w:type="paragraph" w:customStyle="1" w:styleId="IASBNormalL2">
    <w:name w:val="IASB Normal L2"/>
    <w:basedOn w:val="IASBNormalL1"/>
    <w:uiPriority w:val="8"/>
    <w:rsid w:val="008521E4"/>
    <w:pPr>
      <w:ind w:left="1564"/>
    </w:pPr>
  </w:style>
  <w:style w:type="paragraph" w:customStyle="1" w:styleId="IASBTOCQuartery">
    <w:name w:val="IASB TOC Quartery"/>
    <w:basedOn w:val="IASBTOCTertiary"/>
    <w:uiPriority w:val="8"/>
    <w:rsid w:val="008521E4"/>
    <w:pPr>
      <w:ind w:left="851"/>
    </w:pPr>
  </w:style>
  <w:style w:type="paragraph" w:customStyle="1" w:styleId="IASBNoteTitle">
    <w:name w:val="IASB Note Title"/>
    <w:basedOn w:val="IASBTOCPrimary"/>
    <w:uiPriority w:val="8"/>
    <w:rsid w:val="008521E4"/>
    <w:pPr>
      <w:jc w:val="center"/>
    </w:pPr>
    <w:rPr>
      <w:b w:val="0"/>
      <w:caps w:val="0"/>
      <w:sz w:val="24"/>
    </w:rPr>
  </w:style>
  <w:style w:type="paragraph" w:customStyle="1" w:styleId="IASBNormalL1P">
    <w:name w:val="IASB Normal L1P"/>
    <w:basedOn w:val="IASBNormalL1"/>
    <w:uiPriority w:val="8"/>
    <w:qFormat/>
    <w:rsid w:val="00AF0ED7"/>
    <w:pPr>
      <w:numPr>
        <w:numId w:val="29"/>
      </w:numPr>
      <w:ind w:left="1440" w:hanging="720"/>
    </w:pPr>
  </w:style>
  <w:style w:type="paragraph" w:customStyle="1" w:styleId="IASBNormalL2P">
    <w:name w:val="IASB Normal L2P"/>
    <w:basedOn w:val="IASBNormalL1P"/>
    <w:uiPriority w:val="8"/>
    <w:qFormat/>
    <w:rsid w:val="008521E4"/>
    <w:pPr>
      <w:ind w:left="1565"/>
    </w:pPr>
  </w:style>
  <w:style w:type="paragraph" w:customStyle="1" w:styleId="IASBNormalnparaC">
    <w:name w:val="IASB Normal nparaC"/>
    <w:basedOn w:val="IASBNormalnpara"/>
    <w:uiPriority w:val="8"/>
    <w:qFormat/>
    <w:rsid w:val="008521E4"/>
    <w:pPr>
      <w:spacing w:before="0"/>
    </w:pPr>
  </w:style>
  <w:style w:type="paragraph" w:customStyle="1" w:styleId="IASBEdupara">
    <w:name w:val="IASB Edu para"/>
    <w:basedOn w:val="IASBNormal"/>
    <w:uiPriority w:val="8"/>
    <w:qFormat/>
    <w:rsid w:val="008521E4"/>
  </w:style>
  <w:style w:type="paragraph" w:customStyle="1" w:styleId="IASBTableBoldTNR">
    <w:name w:val="IASB Table Bold TNR"/>
    <w:basedOn w:val="Normal"/>
    <w:uiPriority w:val="8"/>
    <w:qFormat/>
    <w:rsid w:val="008521E4"/>
    <w:pPr>
      <w:spacing w:before="120"/>
    </w:pPr>
    <w:rPr>
      <w:b/>
      <w:szCs w:val="20"/>
      <w:lang w:eastAsia="en-GB"/>
    </w:rPr>
  </w:style>
  <w:style w:type="paragraph" w:customStyle="1" w:styleId="IASBTableHeaderTNR">
    <w:name w:val="IASB Table Header TNR"/>
    <w:basedOn w:val="Normal"/>
    <w:uiPriority w:val="8"/>
    <w:qFormat/>
    <w:rsid w:val="008521E4"/>
    <w:pPr>
      <w:keepNext/>
      <w:spacing w:before="120" w:after="200" w:line="276" w:lineRule="auto"/>
    </w:pPr>
    <w:rPr>
      <w:szCs w:val="20"/>
      <w:lang w:eastAsia="en-GB"/>
    </w:rPr>
  </w:style>
  <w:style w:type="paragraph" w:customStyle="1" w:styleId="IASBTableTNR">
    <w:name w:val="IASB Table TNR"/>
    <w:basedOn w:val="Normal"/>
    <w:uiPriority w:val="8"/>
    <w:qFormat/>
    <w:rsid w:val="008521E4"/>
    <w:pPr>
      <w:spacing w:before="120"/>
    </w:pPr>
    <w:rPr>
      <w:szCs w:val="20"/>
      <w:lang w:eastAsia="en-GB"/>
    </w:rPr>
  </w:style>
  <w:style w:type="paragraph" w:customStyle="1" w:styleId="IASBTableArial">
    <w:name w:val="IASB Table Arial"/>
    <w:basedOn w:val="Normal"/>
    <w:uiPriority w:val="99"/>
    <w:rsid w:val="008521E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8521E4"/>
    <w:rPr>
      <w:b/>
    </w:rPr>
  </w:style>
  <w:style w:type="paragraph" w:customStyle="1" w:styleId="IASBTableHeaderArial">
    <w:name w:val="IASB Table Header Arial"/>
    <w:basedOn w:val="IASBTableArial"/>
    <w:uiPriority w:val="8"/>
    <w:qFormat/>
    <w:rsid w:val="008521E4"/>
    <w:pPr>
      <w:keepNext/>
      <w:spacing w:after="200" w:line="276" w:lineRule="auto"/>
    </w:pPr>
  </w:style>
  <w:style w:type="character" w:styleId="EndnoteReference">
    <w:name w:val="endnote reference"/>
    <w:uiPriority w:val="99"/>
    <w:semiHidden/>
    <w:unhideWhenUsed/>
    <w:rsid w:val="008521E4"/>
    <w:rPr>
      <w:vertAlign w:val="superscript"/>
    </w:rPr>
  </w:style>
  <w:style w:type="paragraph" w:customStyle="1" w:styleId="ConvSectionTitle">
    <w:name w:val="Conv Section Title"/>
    <w:basedOn w:val="IASBSectionTitle1NonInd"/>
    <w:uiPriority w:val="9"/>
    <w:qFormat/>
    <w:rsid w:val="008521E4"/>
    <w:pPr>
      <w:pBdr>
        <w:bottom w:val="none" w:sz="0" w:space="0" w:color="auto"/>
      </w:pBdr>
    </w:pPr>
  </w:style>
  <w:style w:type="paragraph" w:customStyle="1" w:styleId="ConvStandardTitle1">
    <w:name w:val="Conv Standard Title 1"/>
    <w:basedOn w:val="Normal"/>
    <w:next w:val="ConvStandardTitle2"/>
    <w:uiPriority w:val="9"/>
    <w:qFormat/>
    <w:rsid w:val="008521E4"/>
    <w:pPr>
      <w:spacing w:before="300"/>
    </w:pPr>
    <w:rPr>
      <w:rFonts w:ascii="Arial" w:hAnsi="Arial"/>
      <w:b/>
      <w:sz w:val="26"/>
    </w:rPr>
  </w:style>
  <w:style w:type="paragraph" w:customStyle="1" w:styleId="ConvStandardTitle2">
    <w:name w:val="Conv Standard Title2"/>
    <w:basedOn w:val="ConvStandardTitle1"/>
    <w:uiPriority w:val="9"/>
    <w:qFormat/>
    <w:rsid w:val="008521E4"/>
    <w:pPr>
      <w:spacing w:before="0" w:after="200"/>
    </w:pPr>
    <w:rPr>
      <w:i/>
    </w:rPr>
  </w:style>
  <w:style w:type="paragraph" w:customStyle="1" w:styleId="AASBBase">
    <w:name w:val="AASB Base"/>
    <w:qFormat/>
    <w:rsid w:val="008521E4"/>
    <w:pPr>
      <w:jc w:val="both"/>
    </w:pPr>
    <w:rPr>
      <w:sz w:val="19"/>
      <w:lang w:eastAsia="en-US"/>
    </w:rPr>
  </w:style>
  <w:style w:type="paragraph" w:customStyle="1" w:styleId="AASBPara">
    <w:name w:val="AASB Para"/>
    <w:basedOn w:val="AASBBase"/>
    <w:qFormat/>
    <w:rsid w:val="008521E4"/>
    <w:pPr>
      <w:spacing w:after="200"/>
    </w:pPr>
  </w:style>
  <w:style w:type="paragraph" w:customStyle="1" w:styleId="AASBStandardCover">
    <w:name w:val="AASB Standard Cover"/>
    <w:semiHidden/>
    <w:qFormat/>
    <w:rsid w:val="008521E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8521E4"/>
    <w:pPr>
      <w:jc w:val="right"/>
    </w:pPr>
    <w:rPr>
      <w:b w:val="0"/>
      <w:sz w:val="24"/>
    </w:rPr>
  </w:style>
  <w:style w:type="paragraph" w:customStyle="1" w:styleId="AASBStandardNumber">
    <w:name w:val="AASB Standard Number"/>
    <w:basedOn w:val="AASBStandardCover"/>
    <w:semiHidden/>
    <w:qFormat/>
    <w:rsid w:val="008521E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8521E4"/>
    <w:pPr>
      <w:spacing w:before="800"/>
    </w:pPr>
    <w:rPr>
      <w:b w:val="0"/>
      <w:sz w:val="50"/>
    </w:rPr>
  </w:style>
  <w:style w:type="paragraph" w:customStyle="1" w:styleId="AASBInterpretationCover">
    <w:name w:val="AASB Interpretation Cover"/>
    <w:basedOn w:val="AASBStandardCover"/>
    <w:semiHidden/>
    <w:qFormat/>
    <w:rsid w:val="008521E4"/>
    <w:rPr>
      <w:color w:val="41AD49"/>
    </w:rPr>
  </w:style>
  <w:style w:type="paragraph" w:customStyle="1" w:styleId="AASBInterpretationDate">
    <w:name w:val="AASB Interpretation Date"/>
    <w:basedOn w:val="AASBStandardDate"/>
    <w:semiHidden/>
    <w:qFormat/>
    <w:rsid w:val="008521E4"/>
    <w:rPr>
      <w:color w:val="41AD49"/>
    </w:rPr>
  </w:style>
  <w:style w:type="paragraph" w:customStyle="1" w:styleId="AASBInterpretationNumber">
    <w:name w:val="AASB Interpretation Number"/>
    <w:basedOn w:val="AASBStandardNumber"/>
    <w:semiHidden/>
    <w:qFormat/>
    <w:rsid w:val="008521E4"/>
    <w:rPr>
      <w:color w:val="41AD49"/>
    </w:rPr>
  </w:style>
  <w:style w:type="paragraph" w:customStyle="1" w:styleId="AASBInterpretationTitle">
    <w:name w:val="AASB Interpretation Title"/>
    <w:basedOn w:val="AASBStandardTitle"/>
    <w:semiHidden/>
    <w:qFormat/>
    <w:rsid w:val="008521E4"/>
    <w:rPr>
      <w:color w:val="41AD49"/>
    </w:rPr>
  </w:style>
  <w:style w:type="table" w:styleId="TableGrid">
    <w:name w:val="Table Grid"/>
    <w:basedOn w:val="TableNormal"/>
    <w:rsid w:val="008521E4"/>
    <w:tblPr/>
  </w:style>
  <w:style w:type="paragraph" w:customStyle="1" w:styleId="ContentsHeading">
    <w:name w:val="Contents Heading"/>
    <w:basedOn w:val="AASBBase"/>
    <w:next w:val="ContentsLevel1"/>
    <w:qFormat/>
    <w:rsid w:val="008521E4"/>
    <w:pPr>
      <w:spacing w:after="60"/>
      <w:jc w:val="right"/>
    </w:pPr>
    <w:rPr>
      <w:i/>
    </w:rPr>
  </w:style>
  <w:style w:type="paragraph" w:customStyle="1" w:styleId="ContentsLevel1">
    <w:name w:val="Contents Level1"/>
    <w:basedOn w:val="AASBBase"/>
    <w:qFormat/>
    <w:rsid w:val="008521E4"/>
    <w:pPr>
      <w:tabs>
        <w:tab w:val="right" w:pos="9027"/>
      </w:tabs>
      <w:spacing w:after="60"/>
      <w:ind w:right="1134"/>
    </w:pPr>
    <w:rPr>
      <w:b/>
      <w:caps/>
    </w:rPr>
  </w:style>
  <w:style w:type="paragraph" w:customStyle="1" w:styleId="ContentsLevel2">
    <w:name w:val="Contents Level2"/>
    <w:basedOn w:val="ContentsLevel1"/>
    <w:uiPriority w:val="7"/>
    <w:qFormat/>
    <w:rsid w:val="008521E4"/>
    <w:rPr>
      <w:caps w:val="0"/>
    </w:rPr>
  </w:style>
  <w:style w:type="paragraph" w:customStyle="1" w:styleId="ContentsLevel3">
    <w:name w:val="Contents Level3"/>
    <w:basedOn w:val="ContentsLevel2"/>
    <w:uiPriority w:val="7"/>
    <w:qFormat/>
    <w:rsid w:val="008521E4"/>
    <w:pPr>
      <w:ind w:left="510"/>
    </w:pPr>
    <w:rPr>
      <w:b w:val="0"/>
    </w:rPr>
  </w:style>
  <w:style w:type="paragraph" w:customStyle="1" w:styleId="ContentsLevel4">
    <w:name w:val="Contents Level4"/>
    <w:basedOn w:val="ContentsLevel3"/>
    <w:uiPriority w:val="7"/>
    <w:qFormat/>
    <w:rsid w:val="008521E4"/>
    <w:pPr>
      <w:ind w:left="850"/>
    </w:pPr>
  </w:style>
  <w:style w:type="paragraph" w:styleId="BalloonText">
    <w:name w:val="Balloon Text"/>
    <w:basedOn w:val="Normal"/>
    <w:link w:val="BalloonTextChar"/>
    <w:uiPriority w:val="99"/>
    <w:semiHidden/>
    <w:unhideWhenUsed/>
    <w:rsid w:val="00852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E4"/>
    <w:rPr>
      <w:rFonts w:ascii="Segoe UI" w:hAnsi="Segoe UI" w:cs="Segoe UI"/>
      <w:sz w:val="18"/>
      <w:szCs w:val="18"/>
      <w:lang w:eastAsia="en-US"/>
    </w:rPr>
  </w:style>
  <w:style w:type="paragraph" w:customStyle="1" w:styleId="RDRM1">
    <w:name w:val="RDRM1"/>
    <w:basedOn w:val="IASBNormalnpara"/>
    <w:uiPriority w:val="5"/>
    <w:qFormat/>
    <w:rsid w:val="008521E4"/>
    <w:pPr>
      <w:shd w:val="pct15" w:color="auto" w:fill="auto"/>
    </w:pPr>
  </w:style>
  <w:style w:type="paragraph" w:customStyle="1" w:styleId="RDRM2">
    <w:name w:val="RDRM2"/>
    <w:basedOn w:val="RDRM1"/>
    <w:uiPriority w:val="5"/>
    <w:qFormat/>
    <w:rsid w:val="008521E4"/>
    <w:pPr>
      <w:tabs>
        <w:tab w:val="left" w:pos="782"/>
      </w:tabs>
      <w:ind w:left="1565" w:hanging="1565"/>
    </w:pPr>
  </w:style>
  <w:style w:type="paragraph" w:customStyle="1" w:styleId="RDRM3">
    <w:name w:val="RDRM3"/>
    <w:basedOn w:val="RDRM2"/>
    <w:uiPriority w:val="5"/>
    <w:qFormat/>
    <w:rsid w:val="008521E4"/>
    <w:pPr>
      <w:tabs>
        <w:tab w:val="clear" w:pos="782"/>
        <w:tab w:val="left" w:pos="1565"/>
      </w:tabs>
      <w:ind w:left="2347" w:hanging="2347"/>
    </w:pPr>
  </w:style>
  <w:style w:type="paragraph" w:customStyle="1" w:styleId="RDRM4">
    <w:name w:val="RDRM4"/>
    <w:basedOn w:val="RDRM3"/>
    <w:uiPriority w:val="5"/>
    <w:qFormat/>
    <w:rsid w:val="008521E4"/>
    <w:pPr>
      <w:tabs>
        <w:tab w:val="clear" w:pos="1565"/>
        <w:tab w:val="left" w:pos="2347"/>
      </w:tabs>
      <w:ind w:left="3130" w:hanging="3130"/>
    </w:pPr>
  </w:style>
  <w:style w:type="paragraph" w:customStyle="1" w:styleId="AusPlain">
    <w:name w:val="Aus Plain"/>
    <w:basedOn w:val="IASBNormalnpara"/>
    <w:uiPriority w:val="1"/>
    <w:qFormat/>
    <w:rsid w:val="008521E4"/>
    <w:pPr>
      <w:ind w:left="1565" w:hanging="1565"/>
    </w:pPr>
  </w:style>
  <w:style w:type="paragraph" w:customStyle="1" w:styleId="AusBold">
    <w:name w:val="Aus Bold"/>
    <w:basedOn w:val="AusPlain"/>
    <w:uiPriority w:val="2"/>
    <w:qFormat/>
    <w:rsid w:val="008521E4"/>
    <w:rPr>
      <w:b/>
    </w:rPr>
  </w:style>
  <w:style w:type="paragraph" w:customStyle="1" w:styleId="AusPlainRDR">
    <w:name w:val="Aus Plain RDR"/>
    <w:basedOn w:val="AusPlain"/>
    <w:uiPriority w:val="3"/>
    <w:qFormat/>
    <w:rsid w:val="008521E4"/>
    <w:pPr>
      <w:shd w:val="pct15" w:color="auto" w:fill="auto"/>
    </w:pPr>
  </w:style>
  <w:style w:type="paragraph" w:customStyle="1" w:styleId="AusBoldRDR">
    <w:name w:val="Aus Bold RDR"/>
    <w:basedOn w:val="AusBold"/>
    <w:uiPriority w:val="4"/>
    <w:qFormat/>
    <w:rsid w:val="008521E4"/>
    <w:pPr>
      <w:shd w:val="pct15" w:color="auto" w:fill="auto"/>
    </w:pPr>
  </w:style>
  <w:style w:type="paragraph" w:customStyle="1" w:styleId="RDR11">
    <w:name w:val="RDR11"/>
    <w:basedOn w:val="IASBNormalnparaL1"/>
    <w:uiPriority w:val="6"/>
    <w:qFormat/>
    <w:rsid w:val="008521E4"/>
    <w:pPr>
      <w:shd w:val="pct15" w:color="auto" w:fill="auto"/>
    </w:pPr>
  </w:style>
  <w:style w:type="paragraph" w:customStyle="1" w:styleId="RDR12">
    <w:name w:val="RDR12"/>
    <w:basedOn w:val="RDR11"/>
    <w:uiPriority w:val="6"/>
    <w:qFormat/>
    <w:rsid w:val="008521E4"/>
    <w:pPr>
      <w:tabs>
        <w:tab w:val="left" w:pos="1565"/>
      </w:tabs>
      <w:ind w:left="2347" w:hanging="1565"/>
    </w:pPr>
  </w:style>
  <w:style w:type="paragraph" w:customStyle="1" w:styleId="RDR13">
    <w:name w:val="RDR13"/>
    <w:basedOn w:val="RDR12"/>
    <w:uiPriority w:val="6"/>
    <w:qFormat/>
    <w:rsid w:val="008521E4"/>
    <w:pPr>
      <w:tabs>
        <w:tab w:val="clear" w:pos="1565"/>
        <w:tab w:val="left" w:pos="2347"/>
      </w:tabs>
      <w:ind w:left="3129" w:hanging="2347"/>
    </w:pPr>
  </w:style>
  <w:style w:type="paragraph" w:customStyle="1" w:styleId="RDR21">
    <w:name w:val="RDR21"/>
    <w:basedOn w:val="IASBNormalnparaL2"/>
    <w:uiPriority w:val="6"/>
    <w:qFormat/>
    <w:rsid w:val="008521E4"/>
    <w:pPr>
      <w:shd w:val="pct15" w:color="auto" w:fill="auto"/>
    </w:pPr>
  </w:style>
  <w:style w:type="paragraph" w:customStyle="1" w:styleId="RDR22">
    <w:name w:val="RDR22"/>
    <w:basedOn w:val="RDR21"/>
    <w:uiPriority w:val="6"/>
    <w:qFormat/>
    <w:rsid w:val="008521E4"/>
    <w:pPr>
      <w:tabs>
        <w:tab w:val="left" w:pos="2347"/>
      </w:tabs>
      <w:ind w:left="3130" w:hanging="1565"/>
    </w:pPr>
  </w:style>
  <w:style w:type="table" w:styleId="TableGrid1">
    <w:name w:val="Table Grid 1"/>
    <w:basedOn w:val="TableNormal"/>
    <w:uiPriority w:val="99"/>
    <w:semiHidden/>
    <w:unhideWhenUsed/>
    <w:rsid w:val="008521E4"/>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8521E4"/>
    <w:pPr>
      <w:tabs>
        <w:tab w:val="clear" w:pos="4253"/>
        <w:tab w:val="left" w:pos="782"/>
      </w:tabs>
    </w:pPr>
  </w:style>
  <w:style w:type="character" w:styleId="CommentReference">
    <w:name w:val="annotation reference"/>
    <w:basedOn w:val="DefaultParagraphFont"/>
    <w:uiPriority w:val="5"/>
    <w:semiHidden/>
    <w:unhideWhenUsed/>
    <w:rsid w:val="00E9441C"/>
    <w:rPr>
      <w:sz w:val="16"/>
      <w:szCs w:val="16"/>
    </w:rPr>
  </w:style>
  <w:style w:type="paragraph" w:styleId="CommentText">
    <w:name w:val="annotation text"/>
    <w:basedOn w:val="Normal"/>
    <w:link w:val="CommentTextChar"/>
    <w:uiPriority w:val="5"/>
    <w:unhideWhenUsed/>
    <w:rsid w:val="00E9441C"/>
    <w:rPr>
      <w:sz w:val="20"/>
      <w:szCs w:val="20"/>
    </w:rPr>
  </w:style>
  <w:style w:type="character" w:customStyle="1" w:styleId="CommentTextChar">
    <w:name w:val="Comment Text Char"/>
    <w:basedOn w:val="DefaultParagraphFont"/>
    <w:link w:val="CommentText"/>
    <w:uiPriority w:val="5"/>
    <w:rsid w:val="00E9441C"/>
    <w:rPr>
      <w:lang w:eastAsia="en-US"/>
    </w:rPr>
  </w:style>
  <w:style w:type="paragraph" w:styleId="CommentSubject">
    <w:name w:val="annotation subject"/>
    <w:basedOn w:val="CommentText"/>
    <w:next w:val="CommentText"/>
    <w:link w:val="CommentSubjectChar"/>
    <w:uiPriority w:val="99"/>
    <w:semiHidden/>
    <w:unhideWhenUsed/>
    <w:rsid w:val="00E9441C"/>
    <w:rPr>
      <w:b/>
      <w:bCs/>
    </w:rPr>
  </w:style>
  <w:style w:type="character" w:customStyle="1" w:styleId="CommentSubjectChar">
    <w:name w:val="Comment Subject Char"/>
    <w:basedOn w:val="CommentTextChar"/>
    <w:link w:val="CommentSubject"/>
    <w:uiPriority w:val="99"/>
    <w:semiHidden/>
    <w:rsid w:val="00E9441C"/>
    <w:rPr>
      <w:b/>
      <w:bCs/>
      <w:lang w:eastAsia="en-US"/>
    </w:rPr>
  </w:style>
  <w:style w:type="paragraph" w:customStyle="1" w:styleId="NoNumPlain1">
    <w:name w:val="NoNum Plain1"/>
    <w:basedOn w:val="Normal"/>
    <w:link w:val="NoNumPlain1Char"/>
    <w:qFormat/>
    <w:rsid w:val="00FB49C1"/>
    <w:pPr>
      <w:spacing w:after="200" w:line="200" w:lineRule="exact"/>
    </w:pPr>
    <w:rPr>
      <w:sz w:val="20"/>
      <w:szCs w:val="20"/>
    </w:rPr>
  </w:style>
  <w:style w:type="paragraph" w:customStyle="1" w:styleId="NumPlainA">
    <w:name w:val="Num PlainA"/>
    <w:basedOn w:val="Normal"/>
    <w:uiPriority w:val="99"/>
    <w:qFormat/>
    <w:rsid w:val="00FB49C1"/>
    <w:pPr>
      <w:numPr>
        <w:numId w:val="1"/>
      </w:numPr>
      <w:spacing w:after="200" w:line="200" w:lineRule="exact"/>
      <w:outlineLvl w:val="0"/>
    </w:pPr>
    <w:rPr>
      <w:sz w:val="20"/>
      <w:szCs w:val="20"/>
    </w:rPr>
  </w:style>
  <w:style w:type="paragraph" w:customStyle="1" w:styleId="NumPlainA2">
    <w:name w:val="Num PlainA2"/>
    <w:basedOn w:val="NumPlainA"/>
    <w:uiPriority w:val="99"/>
    <w:rsid w:val="00FB49C1"/>
    <w:pPr>
      <w:numPr>
        <w:ilvl w:val="1"/>
      </w:numPr>
      <w:outlineLvl w:val="1"/>
    </w:pPr>
  </w:style>
  <w:style w:type="character" w:customStyle="1" w:styleId="NoNumPlain1Char">
    <w:name w:val="NoNum Plain1 Char"/>
    <w:link w:val="NoNumPlain1"/>
    <w:rsid w:val="00FB49C1"/>
    <w:rPr>
      <w:lang w:eastAsia="en-US"/>
    </w:rPr>
  </w:style>
  <w:style w:type="paragraph" w:customStyle="1" w:styleId="Bullet2">
    <w:name w:val="Bullet2"/>
    <w:basedOn w:val="Normal"/>
    <w:rsid w:val="00260913"/>
    <w:pPr>
      <w:numPr>
        <w:numId w:val="2"/>
      </w:numPr>
      <w:spacing w:after="200"/>
      <w:ind w:left="1020" w:hanging="510"/>
      <w:jc w:val="both"/>
    </w:pPr>
    <w:rPr>
      <w:szCs w:val="20"/>
    </w:rPr>
  </w:style>
  <w:style w:type="paragraph" w:customStyle="1" w:styleId="NumPlain1">
    <w:name w:val="Num Plain1"/>
    <w:basedOn w:val="Normal"/>
    <w:link w:val="NumPlain1Char"/>
    <w:uiPriority w:val="2"/>
    <w:qFormat/>
    <w:rsid w:val="00862556"/>
    <w:pPr>
      <w:numPr>
        <w:numId w:val="4"/>
      </w:numPr>
      <w:spacing w:after="100"/>
    </w:pPr>
    <w:rPr>
      <w:szCs w:val="20"/>
    </w:rPr>
  </w:style>
  <w:style w:type="paragraph" w:customStyle="1" w:styleId="NumPlain3">
    <w:name w:val="Num Plain3"/>
    <w:basedOn w:val="Normal"/>
    <w:uiPriority w:val="2"/>
    <w:qFormat/>
    <w:rsid w:val="00862556"/>
    <w:pPr>
      <w:numPr>
        <w:ilvl w:val="2"/>
        <w:numId w:val="4"/>
      </w:numPr>
      <w:spacing w:after="100"/>
      <w:ind w:left="2347" w:hanging="782"/>
    </w:pPr>
    <w:rPr>
      <w:szCs w:val="20"/>
    </w:rPr>
  </w:style>
  <w:style w:type="paragraph" w:customStyle="1" w:styleId="NumPlain4">
    <w:name w:val="Num Plain4"/>
    <w:basedOn w:val="NumPlain3"/>
    <w:rsid w:val="005B4546"/>
    <w:pPr>
      <w:numPr>
        <w:ilvl w:val="3"/>
      </w:numPr>
    </w:pPr>
  </w:style>
  <w:style w:type="character" w:customStyle="1" w:styleId="NumPlain1Char">
    <w:name w:val="Num Plain1 Char"/>
    <w:basedOn w:val="DefaultParagraphFont"/>
    <w:link w:val="NumPlain1"/>
    <w:uiPriority w:val="2"/>
    <w:rsid w:val="00862556"/>
    <w:rPr>
      <w:sz w:val="19"/>
      <w:lang w:eastAsia="en-US"/>
    </w:rPr>
  </w:style>
  <w:style w:type="paragraph" w:customStyle="1" w:styleId="BoldHanging1">
    <w:name w:val="Bold Hanging1"/>
    <w:basedOn w:val="Normal"/>
    <w:rsid w:val="00EF7DEB"/>
    <w:pPr>
      <w:spacing w:after="200" w:line="200" w:lineRule="exact"/>
      <w:ind w:left="1020" w:hanging="510"/>
    </w:pPr>
    <w:rPr>
      <w:b/>
      <w:sz w:val="20"/>
      <w:szCs w:val="20"/>
    </w:rPr>
  </w:style>
  <w:style w:type="paragraph" w:customStyle="1" w:styleId="PlainHanging2">
    <w:name w:val="Plain Hanging2"/>
    <w:basedOn w:val="Normal"/>
    <w:rsid w:val="00EC7B9A"/>
    <w:pPr>
      <w:spacing w:after="200" w:line="200" w:lineRule="exact"/>
      <w:ind w:left="1531" w:hanging="510"/>
    </w:pPr>
    <w:rPr>
      <w:sz w:val="20"/>
      <w:szCs w:val="20"/>
    </w:rPr>
  </w:style>
  <w:style w:type="paragraph" w:customStyle="1" w:styleId="IASB">
    <w:name w:val="IASB"/>
    <w:basedOn w:val="NumPlain1"/>
    <w:rsid w:val="00EC7B9A"/>
    <w:pPr>
      <w:numPr>
        <w:numId w:val="5"/>
      </w:numPr>
      <w:spacing w:before="100" w:after="0"/>
    </w:pPr>
    <w:rPr>
      <w:b/>
    </w:rPr>
  </w:style>
  <w:style w:type="character" w:customStyle="1" w:styleId="Heading3Char">
    <w:name w:val="Heading 3 Char"/>
    <w:basedOn w:val="DefaultParagraphFont"/>
    <w:link w:val="Heading3"/>
    <w:rsid w:val="00EC7B9A"/>
    <w:rPr>
      <w:rFonts w:cs="Arial"/>
      <w:b/>
      <w:bCs/>
      <w:iCs/>
      <w:sz w:val="24"/>
      <w:szCs w:val="26"/>
      <w:lang w:eastAsia="en-US"/>
    </w:rPr>
  </w:style>
  <w:style w:type="character" w:customStyle="1" w:styleId="Heading2Char">
    <w:name w:val="Heading 2 Char"/>
    <w:basedOn w:val="DefaultParagraphFont"/>
    <w:link w:val="Heading2"/>
    <w:uiPriority w:val="9"/>
    <w:semiHidden/>
    <w:rsid w:val="00EC7B9A"/>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C329C2"/>
    <w:pPr>
      <w:ind w:left="720"/>
      <w:contextualSpacing/>
    </w:pPr>
  </w:style>
  <w:style w:type="paragraph" w:customStyle="1" w:styleId="PlainHanging1">
    <w:name w:val="Plain Hanging1"/>
    <w:basedOn w:val="Normal"/>
    <w:rsid w:val="00C329C2"/>
    <w:pPr>
      <w:spacing w:after="200" w:line="200" w:lineRule="exact"/>
      <w:ind w:left="1020" w:hanging="510"/>
    </w:pPr>
    <w:rPr>
      <w:sz w:val="20"/>
      <w:szCs w:val="20"/>
    </w:rPr>
  </w:style>
  <w:style w:type="paragraph" w:customStyle="1" w:styleId="AusPlain1">
    <w:name w:val="Aus Plain1"/>
    <w:basedOn w:val="Normal"/>
    <w:rsid w:val="00C329C2"/>
    <w:pPr>
      <w:numPr>
        <w:numId w:val="6"/>
      </w:numPr>
      <w:spacing w:after="200" w:line="200" w:lineRule="exact"/>
      <w:outlineLvl w:val="0"/>
    </w:pPr>
    <w:rPr>
      <w:sz w:val="20"/>
      <w:szCs w:val="20"/>
    </w:rPr>
  </w:style>
  <w:style w:type="paragraph" w:customStyle="1" w:styleId="AusBold1">
    <w:name w:val="Aus Bold1"/>
    <w:basedOn w:val="AusPlain1"/>
    <w:link w:val="AusBold1Char"/>
    <w:qFormat/>
    <w:rsid w:val="00C329C2"/>
    <w:rPr>
      <w:b/>
    </w:rPr>
  </w:style>
  <w:style w:type="paragraph" w:customStyle="1" w:styleId="AusPlain2">
    <w:name w:val="Aus Plain2"/>
    <w:basedOn w:val="PlainHanging2"/>
    <w:rsid w:val="00C329C2"/>
    <w:pPr>
      <w:numPr>
        <w:ilvl w:val="1"/>
        <w:numId w:val="6"/>
      </w:numPr>
      <w:outlineLvl w:val="1"/>
    </w:pPr>
  </w:style>
  <w:style w:type="paragraph" w:customStyle="1" w:styleId="AusPlain3">
    <w:name w:val="Aus Plain3"/>
    <w:basedOn w:val="Normal"/>
    <w:rsid w:val="00C329C2"/>
    <w:pPr>
      <w:numPr>
        <w:ilvl w:val="2"/>
        <w:numId w:val="6"/>
      </w:numPr>
      <w:spacing w:after="200" w:line="200" w:lineRule="exact"/>
      <w:outlineLvl w:val="2"/>
    </w:pPr>
    <w:rPr>
      <w:sz w:val="20"/>
      <w:szCs w:val="20"/>
    </w:rPr>
  </w:style>
  <w:style w:type="paragraph" w:customStyle="1" w:styleId="IN1">
    <w:name w:val="IN1"/>
    <w:basedOn w:val="Normal"/>
    <w:uiPriority w:val="1"/>
    <w:qFormat/>
    <w:rsid w:val="00C329C2"/>
    <w:pPr>
      <w:numPr>
        <w:numId w:val="8"/>
      </w:numPr>
      <w:spacing w:after="200" w:line="200" w:lineRule="exact"/>
    </w:pPr>
    <w:rPr>
      <w:sz w:val="20"/>
      <w:szCs w:val="20"/>
    </w:rPr>
  </w:style>
  <w:style w:type="paragraph" w:customStyle="1" w:styleId="IN2">
    <w:name w:val="IN2"/>
    <w:basedOn w:val="PlainHanging2"/>
    <w:uiPriority w:val="1"/>
    <w:qFormat/>
    <w:rsid w:val="00C329C2"/>
    <w:pPr>
      <w:numPr>
        <w:ilvl w:val="1"/>
        <w:numId w:val="8"/>
      </w:numPr>
    </w:pPr>
  </w:style>
  <w:style w:type="paragraph" w:customStyle="1" w:styleId="IN3">
    <w:name w:val="IN3"/>
    <w:basedOn w:val="Normal"/>
    <w:uiPriority w:val="1"/>
    <w:qFormat/>
    <w:rsid w:val="00C329C2"/>
    <w:pPr>
      <w:numPr>
        <w:ilvl w:val="2"/>
        <w:numId w:val="8"/>
      </w:numPr>
      <w:spacing w:after="200" w:line="200" w:lineRule="exact"/>
    </w:pPr>
    <w:rPr>
      <w:sz w:val="20"/>
      <w:szCs w:val="20"/>
    </w:rPr>
  </w:style>
  <w:style w:type="numbering" w:customStyle="1" w:styleId="INNos">
    <w:name w:val="INNos"/>
    <w:uiPriority w:val="99"/>
    <w:rsid w:val="00C329C2"/>
    <w:pPr>
      <w:numPr>
        <w:numId w:val="7"/>
      </w:numPr>
    </w:pPr>
  </w:style>
  <w:style w:type="character" w:customStyle="1" w:styleId="AusBold1Char">
    <w:name w:val="Aus Bold1 Char"/>
    <w:basedOn w:val="DefaultParagraphFont"/>
    <w:link w:val="AusBold1"/>
    <w:rsid w:val="00C329C2"/>
    <w:rPr>
      <w:b/>
      <w:lang w:eastAsia="en-US"/>
    </w:rPr>
  </w:style>
  <w:style w:type="paragraph" w:customStyle="1" w:styleId="BoldHanging2">
    <w:name w:val="Bold Hanging2"/>
    <w:basedOn w:val="PlainHanging2"/>
    <w:rsid w:val="001E2B1D"/>
    <w:rPr>
      <w:b/>
    </w:rPr>
  </w:style>
  <w:style w:type="paragraph" w:customStyle="1" w:styleId="NumBold1">
    <w:name w:val="Num Bold1"/>
    <w:basedOn w:val="NumPlain1"/>
    <w:qFormat/>
    <w:rsid w:val="00BD73FC"/>
    <w:pPr>
      <w:numPr>
        <w:numId w:val="0"/>
      </w:numPr>
      <w:tabs>
        <w:tab w:val="num" w:pos="510"/>
      </w:tabs>
      <w:ind w:left="510" w:hanging="510"/>
    </w:pPr>
    <w:rPr>
      <w:b/>
    </w:rPr>
  </w:style>
  <w:style w:type="paragraph" w:customStyle="1" w:styleId="AppendixNote">
    <w:name w:val="AppendixNote"/>
    <w:basedOn w:val="Normal"/>
    <w:next w:val="Normal"/>
    <w:rsid w:val="0016498C"/>
    <w:pPr>
      <w:spacing w:after="200" w:line="200" w:lineRule="exact"/>
    </w:pPr>
    <w:rPr>
      <w:i/>
      <w:iCs/>
      <w:sz w:val="20"/>
      <w:szCs w:val="20"/>
    </w:rPr>
  </w:style>
  <w:style w:type="paragraph" w:customStyle="1" w:styleId="AppendixText">
    <w:name w:val="AppendixText"/>
    <w:basedOn w:val="Normal"/>
    <w:rsid w:val="0016498C"/>
    <w:pPr>
      <w:spacing w:after="200" w:line="200" w:lineRule="exact"/>
    </w:pPr>
    <w:rPr>
      <w:sz w:val="20"/>
      <w:szCs w:val="20"/>
    </w:rPr>
  </w:style>
  <w:style w:type="paragraph" w:customStyle="1" w:styleId="NumAG1">
    <w:name w:val="Num AG1"/>
    <w:basedOn w:val="Normal"/>
    <w:qFormat/>
    <w:rsid w:val="009B378B"/>
    <w:pPr>
      <w:numPr>
        <w:numId w:val="27"/>
      </w:numPr>
      <w:spacing w:after="100"/>
      <w:jc w:val="both"/>
    </w:pPr>
    <w:rPr>
      <w:szCs w:val="20"/>
    </w:rPr>
  </w:style>
  <w:style w:type="paragraph" w:customStyle="1" w:styleId="NumAG2">
    <w:name w:val="Num AG2"/>
    <w:basedOn w:val="Normal"/>
    <w:rsid w:val="001929B3"/>
    <w:pPr>
      <w:numPr>
        <w:ilvl w:val="1"/>
        <w:numId w:val="27"/>
      </w:numPr>
      <w:spacing w:after="100"/>
      <w:jc w:val="both"/>
    </w:pPr>
    <w:rPr>
      <w:szCs w:val="20"/>
    </w:rPr>
  </w:style>
  <w:style w:type="paragraph" w:customStyle="1" w:styleId="NumAG3">
    <w:name w:val="Num AG3"/>
    <w:basedOn w:val="Normal"/>
    <w:rsid w:val="00975159"/>
    <w:pPr>
      <w:numPr>
        <w:ilvl w:val="2"/>
        <w:numId w:val="27"/>
      </w:numPr>
      <w:spacing w:after="100"/>
      <w:jc w:val="both"/>
    </w:pPr>
    <w:rPr>
      <w:szCs w:val="20"/>
    </w:rPr>
  </w:style>
  <w:style w:type="paragraph" w:customStyle="1" w:styleId="NumAG4">
    <w:name w:val="Num AG4"/>
    <w:basedOn w:val="Normal"/>
    <w:rsid w:val="00F271DC"/>
    <w:pPr>
      <w:numPr>
        <w:ilvl w:val="3"/>
        <w:numId w:val="27"/>
      </w:numPr>
      <w:spacing w:after="200" w:line="200" w:lineRule="exact"/>
    </w:pPr>
    <w:rPr>
      <w:sz w:val="20"/>
      <w:szCs w:val="20"/>
    </w:rPr>
  </w:style>
  <w:style w:type="numbering" w:customStyle="1" w:styleId="AASBNumbers">
    <w:name w:val="AASB Numbers"/>
    <w:uiPriority w:val="99"/>
    <w:rsid w:val="00C2799E"/>
    <w:pPr>
      <w:numPr>
        <w:numId w:val="12"/>
      </w:numPr>
    </w:pPr>
  </w:style>
  <w:style w:type="character" w:customStyle="1" w:styleId="Heading4Char">
    <w:name w:val="Heading 4 Char"/>
    <w:basedOn w:val="DefaultParagraphFont"/>
    <w:link w:val="Heading4"/>
    <w:uiPriority w:val="9"/>
    <w:rsid w:val="008106D3"/>
    <w:rPr>
      <w:rFonts w:asciiTheme="majorHAnsi" w:eastAsiaTheme="majorEastAsia" w:hAnsiTheme="majorHAnsi" w:cstheme="majorBidi"/>
      <w:b/>
      <w:bCs/>
      <w:i/>
      <w:iCs/>
      <w:color w:val="4F81BD" w:themeColor="accent1"/>
      <w:sz w:val="19"/>
      <w:szCs w:val="24"/>
      <w:lang w:eastAsia="en-US"/>
    </w:rPr>
  </w:style>
  <w:style w:type="character" w:customStyle="1" w:styleId="Heading1Char">
    <w:name w:val="Heading 1 Char"/>
    <w:basedOn w:val="DefaultParagraphFont"/>
    <w:link w:val="Heading1"/>
    <w:uiPriority w:val="9"/>
    <w:rsid w:val="003A1EAC"/>
    <w:rPr>
      <w:rFonts w:asciiTheme="majorHAnsi" w:eastAsiaTheme="majorEastAsia" w:hAnsiTheme="majorHAnsi" w:cstheme="majorBidi"/>
      <w:b/>
      <w:bCs/>
      <w:color w:val="365F91" w:themeColor="accent1" w:themeShade="BF"/>
      <w:sz w:val="28"/>
      <w:szCs w:val="28"/>
      <w:lang w:eastAsia="en-US"/>
    </w:rPr>
  </w:style>
  <w:style w:type="paragraph" w:customStyle="1" w:styleId="IE1">
    <w:name w:val="IE1"/>
    <w:basedOn w:val="Normal"/>
    <w:uiPriority w:val="1"/>
    <w:qFormat/>
    <w:rsid w:val="003A1EAC"/>
    <w:pPr>
      <w:numPr>
        <w:numId w:val="15"/>
      </w:numPr>
      <w:spacing w:after="200" w:line="200" w:lineRule="exact"/>
    </w:pPr>
    <w:rPr>
      <w:sz w:val="20"/>
      <w:szCs w:val="20"/>
    </w:rPr>
  </w:style>
  <w:style w:type="paragraph" w:customStyle="1" w:styleId="IE2">
    <w:name w:val="IE2"/>
    <w:basedOn w:val="PlainHanging2"/>
    <w:uiPriority w:val="1"/>
    <w:qFormat/>
    <w:rsid w:val="003A1EAC"/>
    <w:pPr>
      <w:numPr>
        <w:ilvl w:val="1"/>
        <w:numId w:val="15"/>
      </w:numPr>
    </w:pPr>
  </w:style>
  <w:style w:type="paragraph" w:customStyle="1" w:styleId="IE3">
    <w:name w:val="IE3"/>
    <w:basedOn w:val="Normal"/>
    <w:uiPriority w:val="1"/>
    <w:qFormat/>
    <w:rsid w:val="003A1EAC"/>
    <w:pPr>
      <w:numPr>
        <w:ilvl w:val="2"/>
        <w:numId w:val="15"/>
      </w:numPr>
      <w:spacing w:after="200" w:line="200" w:lineRule="exact"/>
    </w:pPr>
    <w:rPr>
      <w:sz w:val="20"/>
      <w:szCs w:val="20"/>
    </w:rPr>
  </w:style>
  <w:style w:type="numbering" w:customStyle="1" w:styleId="IENos">
    <w:name w:val="IENos"/>
    <w:uiPriority w:val="99"/>
    <w:rsid w:val="003A1EAC"/>
    <w:pPr>
      <w:numPr>
        <w:numId w:val="14"/>
      </w:numPr>
    </w:pPr>
  </w:style>
  <w:style w:type="paragraph" w:customStyle="1" w:styleId="NumBC1">
    <w:name w:val="Num BC1"/>
    <w:basedOn w:val="Normal"/>
    <w:qFormat/>
    <w:rsid w:val="00D47965"/>
    <w:pPr>
      <w:numPr>
        <w:numId w:val="16"/>
      </w:numPr>
      <w:spacing w:after="200" w:line="200" w:lineRule="exact"/>
    </w:pPr>
    <w:rPr>
      <w:sz w:val="20"/>
      <w:szCs w:val="20"/>
    </w:rPr>
  </w:style>
  <w:style w:type="paragraph" w:customStyle="1" w:styleId="NumBC2">
    <w:name w:val="Num BC2"/>
    <w:basedOn w:val="NumBC1"/>
    <w:rsid w:val="00D47965"/>
    <w:pPr>
      <w:numPr>
        <w:ilvl w:val="1"/>
      </w:numPr>
    </w:pPr>
  </w:style>
  <w:style w:type="paragraph" w:customStyle="1" w:styleId="NumBC3">
    <w:name w:val="Num BC3"/>
    <w:basedOn w:val="NumBC2"/>
    <w:rsid w:val="00D47965"/>
    <w:pPr>
      <w:numPr>
        <w:ilvl w:val="2"/>
      </w:numPr>
    </w:pPr>
  </w:style>
  <w:style w:type="paragraph" w:customStyle="1" w:styleId="NumBC4">
    <w:name w:val="Num BC4"/>
    <w:basedOn w:val="NumBC3"/>
    <w:rsid w:val="00D47965"/>
    <w:pPr>
      <w:numPr>
        <w:ilvl w:val="3"/>
      </w:numPr>
    </w:pPr>
  </w:style>
  <w:style w:type="paragraph" w:customStyle="1" w:styleId="Default">
    <w:name w:val="Default"/>
    <w:rsid w:val="00D47965"/>
    <w:pPr>
      <w:autoSpaceDE w:val="0"/>
      <w:autoSpaceDN w:val="0"/>
      <w:adjustRightInd w:val="0"/>
    </w:pPr>
    <w:rPr>
      <w:color w:val="000000"/>
      <w:sz w:val="24"/>
      <w:szCs w:val="24"/>
    </w:rPr>
  </w:style>
  <w:style w:type="paragraph" w:customStyle="1" w:styleId="DLevel1">
    <w:name w:val="DLevel 1"/>
    <w:basedOn w:val="Normal"/>
    <w:uiPriority w:val="1"/>
    <w:qFormat/>
    <w:rsid w:val="008F652E"/>
    <w:pPr>
      <w:numPr>
        <w:numId w:val="17"/>
      </w:numPr>
      <w:spacing w:after="200" w:line="200" w:lineRule="exact"/>
    </w:pPr>
    <w:rPr>
      <w:sz w:val="20"/>
      <w:szCs w:val="20"/>
    </w:rPr>
  </w:style>
  <w:style w:type="paragraph" w:customStyle="1" w:styleId="DLevel2">
    <w:name w:val="DLevel 2"/>
    <w:basedOn w:val="PlainHanging1"/>
    <w:uiPriority w:val="1"/>
    <w:qFormat/>
    <w:rsid w:val="008F652E"/>
    <w:pPr>
      <w:numPr>
        <w:ilvl w:val="1"/>
        <w:numId w:val="17"/>
      </w:numPr>
    </w:pPr>
  </w:style>
  <w:style w:type="paragraph" w:customStyle="1" w:styleId="DLevel3">
    <w:name w:val="DLevel 3"/>
    <w:basedOn w:val="PlainHanging2"/>
    <w:uiPriority w:val="1"/>
    <w:qFormat/>
    <w:rsid w:val="008F652E"/>
    <w:pPr>
      <w:numPr>
        <w:ilvl w:val="2"/>
        <w:numId w:val="17"/>
      </w:numPr>
    </w:pPr>
  </w:style>
  <w:style w:type="numbering" w:customStyle="1" w:styleId="DNos">
    <w:name w:val="DNos"/>
    <w:uiPriority w:val="99"/>
    <w:rsid w:val="008F652E"/>
    <w:pPr>
      <w:numPr>
        <w:numId w:val="17"/>
      </w:numPr>
    </w:pPr>
  </w:style>
  <w:style w:type="paragraph" w:styleId="NormalWeb">
    <w:name w:val="Normal (Web)"/>
    <w:basedOn w:val="Normal"/>
    <w:uiPriority w:val="99"/>
    <w:semiHidden/>
    <w:rsid w:val="00647FE1"/>
    <w:pPr>
      <w:spacing w:after="240"/>
    </w:pPr>
    <w:rPr>
      <w:sz w:val="24"/>
      <w:lang w:eastAsia="en-AU"/>
    </w:rPr>
  </w:style>
  <w:style w:type="paragraph" w:styleId="Revision">
    <w:name w:val="Revision"/>
    <w:hidden/>
    <w:uiPriority w:val="99"/>
    <w:semiHidden/>
    <w:rsid w:val="004A1A43"/>
    <w:rPr>
      <w:sz w:val="19"/>
      <w:szCs w:val="24"/>
      <w:lang w:eastAsia="en-US"/>
    </w:rPr>
  </w:style>
  <w:style w:type="character" w:customStyle="1" w:styleId="IASBNormalChar">
    <w:name w:val="IASB Normal Char"/>
    <w:basedOn w:val="DefaultParagraphFont"/>
    <w:link w:val="IASBNormal"/>
    <w:uiPriority w:val="99"/>
    <w:rsid w:val="00717E6A"/>
    <w:rPr>
      <w:sz w:val="19"/>
      <w:lang w:eastAsia="en-US"/>
    </w:rPr>
  </w:style>
  <w:style w:type="paragraph" w:customStyle="1" w:styleId="NumDPlain1">
    <w:name w:val="Num D Plain 1"/>
    <w:basedOn w:val="Normal"/>
    <w:qFormat/>
    <w:rsid w:val="00717E6A"/>
    <w:pPr>
      <w:numPr>
        <w:numId w:val="30"/>
      </w:numPr>
      <w:spacing w:after="240"/>
    </w:pPr>
    <w:rPr>
      <w:szCs w:val="20"/>
    </w:rPr>
  </w:style>
  <w:style w:type="paragraph" w:customStyle="1" w:styleId="NumDPlain2">
    <w:name w:val="Num D Plain 2"/>
    <w:basedOn w:val="NumDPlain1"/>
    <w:qFormat/>
    <w:rsid w:val="00717E6A"/>
    <w:pPr>
      <w:numPr>
        <w:ilvl w:val="1"/>
      </w:numPr>
      <w:ind w:left="1564" w:hanging="782"/>
    </w:pPr>
  </w:style>
  <w:style w:type="paragraph" w:customStyle="1" w:styleId="NumDPlain3">
    <w:name w:val="Num D Plain 3"/>
    <w:basedOn w:val="NumDPlain2"/>
    <w:qFormat/>
    <w:rsid w:val="00717E6A"/>
    <w:pPr>
      <w:numPr>
        <w:ilvl w:val="2"/>
      </w:numPr>
      <w:ind w:left="2347" w:hanging="782"/>
    </w:pPr>
  </w:style>
  <w:style w:type="character" w:customStyle="1" w:styleId="IASBSectionTitle1NonIndChar">
    <w:name w:val="IASB Section Title 1 NonInd Char"/>
    <w:basedOn w:val="DefaultParagraphFont"/>
    <w:link w:val="IASBSectionTitle1NonInd"/>
    <w:uiPriority w:val="8"/>
    <w:rsid w:val="00717E6A"/>
    <w:rPr>
      <w:rFonts w:ascii="Arial" w:hAnsi="Arial" w:cs="Arial"/>
      <w:b/>
      <w:sz w:val="26"/>
      <w:lang w:eastAsia="en-US"/>
    </w:rPr>
  </w:style>
  <w:style w:type="paragraph" w:customStyle="1" w:styleId="NumCPlain1">
    <w:name w:val="Num C Plain 1"/>
    <w:basedOn w:val="Normal"/>
    <w:qFormat/>
    <w:rsid w:val="00BE598E"/>
    <w:pPr>
      <w:spacing w:after="100"/>
      <w:ind w:left="782" w:hanging="782"/>
      <w:jc w:val="both"/>
    </w:pPr>
    <w:rPr>
      <w:szCs w:val="20"/>
    </w:rPr>
  </w:style>
  <w:style w:type="paragraph" w:customStyle="1" w:styleId="NumCPlain2">
    <w:name w:val="Num C Plain 2"/>
    <w:basedOn w:val="NumCPlain1"/>
    <w:qFormat/>
    <w:rsid w:val="00BE598E"/>
    <w:pPr>
      <w:numPr>
        <w:ilvl w:val="1"/>
      </w:numPr>
      <w:ind w:left="1564" w:hanging="782"/>
    </w:pPr>
  </w:style>
  <w:style w:type="paragraph" w:customStyle="1" w:styleId="NumCPlain3">
    <w:name w:val="Num C Plain 3"/>
    <w:basedOn w:val="NumCPlain2"/>
    <w:qFormat/>
    <w:rsid w:val="00A44C42"/>
    <w:pPr>
      <w:numPr>
        <w:ilvl w:val="2"/>
      </w:numPr>
      <w:ind w:left="2347" w:hanging="782"/>
    </w:pPr>
  </w:style>
  <w:style w:type="character" w:customStyle="1" w:styleId="IASBNormalnparaChar">
    <w:name w:val="IASB Normal npara Char"/>
    <w:basedOn w:val="IASBNormalChar"/>
    <w:link w:val="IASBNormalnpara"/>
    <w:uiPriority w:val="8"/>
    <w:rsid w:val="00AF0ED7"/>
    <w:rPr>
      <w:sz w:val="19"/>
      <w:lang w:eastAsia="en-US"/>
    </w:rPr>
  </w:style>
  <w:style w:type="paragraph" w:customStyle="1" w:styleId="NumPlain2">
    <w:name w:val="Num Plain2"/>
    <w:basedOn w:val="NumPlain1"/>
    <w:qFormat/>
    <w:rsid w:val="00862556"/>
    <w:pPr>
      <w:numPr>
        <w:numId w:val="0"/>
      </w:numPr>
      <w:tabs>
        <w:tab w:val="num" w:pos="360"/>
      </w:tabs>
      <w:ind w:left="1564" w:hanging="782"/>
    </w:pPr>
    <w:rPr>
      <w:szCs w:val="24"/>
      <w:lang w:eastAsia="en-AU"/>
    </w:rPr>
  </w:style>
  <w:style w:type="paragraph" w:customStyle="1" w:styleId="PlainHanging4">
    <w:name w:val="Plain Hanging4"/>
    <w:basedOn w:val="PlainHanging1"/>
    <w:rsid w:val="00363C6B"/>
    <w:pPr>
      <w:ind w:left="2551"/>
    </w:pPr>
  </w:style>
  <w:style w:type="paragraph" w:customStyle="1" w:styleId="SpaceAfter">
    <w:name w:val="SpaceAfter"/>
    <w:basedOn w:val="Normal"/>
    <w:qFormat/>
    <w:rsid w:val="00363C6B"/>
    <w:pPr>
      <w:spacing w:after="160" w:line="200" w:lineRule="exact"/>
    </w:pPr>
    <w:rPr>
      <w:sz w:val="20"/>
      <w:szCs w:val="20"/>
    </w:rPr>
  </w:style>
  <w:style w:type="character" w:styleId="Hyperlink">
    <w:name w:val="Hyperlink"/>
    <w:basedOn w:val="DefaultParagraphFont"/>
    <w:uiPriority w:val="99"/>
    <w:unhideWhenUsed/>
    <w:rsid w:val="00363C6B"/>
    <w:rPr>
      <w:color w:val="0000FF" w:themeColor="hyperlink"/>
      <w:u w:val="single"/>
    </w:rPr>
  </w:style>
  <w:style w:type="paragraph" w:customStyle="1" w:styleId="NumBoldA1">
    <w:name w:val="Num BoldA1"/>
    <w:basedOn w:val="NumPlain1"/>
    <w:uiPriority w:val="9"/>
    <w:qFormat/>
    <w:rsid w:val="00862556"/>
    <w:pPr>
      <w:jc w:val="both"/>
    </w:pPr>
    <w:rPr>
      <w:b/>
    </w:rPr>
  </w:style>
  <w:style w:type="paragraph" w:customStyle="1" w:styleId="NumBoldA2">
    <w:name w:val="Num BoldA2"/>
    <w:basedOn w:val="NumPlain2"/>
    <w:uiPriority w:val="9"/>
    <w:qFormat/>
    <w:rsid w:val="00862556"/>
    <w:pPr>
      <w:numPr>
        <w:ilvl w:val="1"/>
        <w:numId w:val="4"/>
      </w:numPr>
      <w:jc w:val="both"/>
    </w:pPr>
    <w:rPr>
      <w:b/>
    </w:rPr>
  </w:style>
  <w:style w:type="paragraph" w:customStyle="1" w:styleId="NumBoldA3">
    <w:name w:val="Num BoldA3"/>
    <w:basedOn w:val="NumPlain3"/>
    <w:uiPriority w:val="9"/>
    <w:qFormat/>
    <w:rsid w:val="00862556"/>
    <w:pPr>
      <w:tabs>
        <w:tab w:val="clear" w:pos="1531"/>
      </w:tabs>
      <w:jc w:val="both"/>
    </w:pPr>
    <w:rPr>
      <w:b/>
    </w:rPr>
  </w:style>
  <w:style w:type="paragraph" w:customStyle="1" w:styleId="IGpara1">
    <w:name w:val="IG para 1"/>
    <w:basedOn w:val="NumAG1"/>
    <w:uiPriority w:val="9"/>
    <w:qFormat/>
    <w:rsid w:val="000316CD"/>
    <w:pPr>
      <w:numPr>
        <w:numId w:val="38"/>
      </w:numPr>
    </w:pPr>
    <w:rPr>
      <w:szCs w:val="19"/>
    </w:rPr>
  </w:style>
  <w:style w:type="paragraph" w:customStyle="1" w:styleId="IASBSectionTitle1NonIndNoLine">
    <w:name w:val="IASB Section Title 1 NonInd NoLine"/>
    <w:basedOn w:val="IASBSectionTitle1NonInd"/>
    <w:link w:val="IASBSectionTitle1NonIndNoLineChar"/>
    <w:qFormat/>
    <w:rsid w:val="00195622"/>
    <w:pPr>
      <w:pBdr>
        <w:bottom w:val="none" w:sz="0" w:space="0" w:color="auto"/>
      </w:pBdr>
    </w:pPr>
  </w:style>
  <w:style w:type="character" w:customStyle="1" w:styleId="IASBSectionTitle1NonIndNoLineChar">
    <w:name w:val="IASB Section Title 1 NonInd NoLine Char"/>
    <w:basedOn w:val="IASBSectionTitle1NonIndChar"/>
    <w:link w:val="IASBSectionTitle1NonIndNoLine"/>
    <w:rsid w:val="00195622"/>
    <w:rPr>
      <w:rFonts w:ascii="Arial" w:hAnsi="Arial" w:cs="Arial"/>
      <w:b/>
      <w:sz w:val="26"/>
      <w:lang w:eastAsia="en-US"/>
    </w:rPr>
  </w:style>
  <w:style w:type="paragraph" w:customStyle="1" w:styleId="AmendmentInstruction">
    <w:name w:val="AmendmentInstruction"/>
    <w:qFormat/>
    <w:rsid w:val="00195622"/>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PlainNumHang1">
    <w:name w:val="Plain Num Hang 1"/>
    <w:basedOn w:val="Normal"/>
    <w:qFormat/>
    <w:rsid w:val="00195622"/>
    <w:pPr>
      <w:spacing w:after="240"/>
      <w:ind w:left="782" w:hanging="782"/>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98697">
      <w:bodyDiv w:val="1"/>
      <w:marLeft w:val="0"/>
      <w:marRight w:val="0"/>
      <w:marTop w:val="0"/>
      <w:marBottom w:val="0"/>
      <w:divBdr>
        <w:top w:val="none" w:sz="0" w:space="0" w:color="auto"/>
        <w:left w:val="none" w:sz="0" w:space="0" w:color="auto"/>
        <w:bottom w:val="none" w:sz="0" w:space="0" w:color="auto"/>
        <w:right w:val="none" w:sz="0" w:space="0" w:color="auto"/>
      </w:divBdr>
    </w:div>
    <w:div w:id="452986326">
      <w:bodyDiv w:val="1"/>
      <w:marLeft w:val="0"/>
      <w:marRight w:val="0"/>
      <w:marTop w:val="0"/>
      <w:marBottom w:val="0"/>
      <w:divBdr>
        <w:top w:val="none" w:sz="0" w:space="0" w:color="auto"/>
        <w:left w:val="none" w:sz="0" w:space="0" w:color="auto"/>
        <w:bottom w:val="none" w:sz="0" w:space="0" w:color="auto"/>
        <w:right w:val="none" w:sz="0" w:space="0" w:color="auto"/>
      </w:divBdr>
    </w:div>
    <w:div w:id="1371219654">
      <w:bodyDiv w:val="1"/>
      <w:marLeft w:val="0"/>
      <w:marRight w:val="0"/>
      <w:marTop w:val="0"/>
      <w:marBottom w:val="0"/>
      <w:divBdr>
        <w:top w:val="none" w:sz="0" w:space="0" w:color="auto"/>
        <w:left w:val="none" w:sz="0" w:space="0" w:color="auto"/>
        <w:bottom w:val="none" w:sz="0" w:space="0" w:color="auto"/>
        <w:right w:val="none" w:sz="0" w:space="0" w:color="auto"/>
      </w:divBdr>
    </w:div>
    <w:div w:id="1694188451">
      <w:bodyDiv w:val="1"/>
      <w:marLeft w:val="0"/>
      <w:marRight w:val="0"/>
      <w:marTop w:val="0"/>
      <w:marBottom w:val="0"/>
      <w:divBdr>
        <w:top w:val="none" w:sz="0" w:space="0" w:color="auto"/>
        <w:left w:val="none" w:sz="0" w:space="0" w:color="auto"/>
        <w:bottom w:val="none" w:sz="0" w:space="0" w:color="auto"/>
        <w:right w:val="none" w:sz="0" w:space="0" w:color="auto"/>
      </w:divBdr>
    </w:div>
    <w:div w:id="19112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ntTable" Target="fontTable.xm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5.xm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9.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footer" Target="footer14.xml"/><Relationship Id="rId40" Type="http://schemas.openxmlformats.org/officeDocument/2006/relationships/footer" Target="footer17.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3.xm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AppData\Roaming\Microsoft\Templates\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ermInfo xmlns="http://schemas.microsoft.com/office/infopath/2007/PartnerControls">
          <TermName xmlns="http://schemas.microsoft.com/office/infopath/2007/PartnerControls">service concession arrangements</TermName>
          <TermId xmlns="http://schemas.microsoft.com/office/infopath/2007/PartnerControls">7a4d8a7d-1aab-4d7b-a9be-32e62dc5da42</TermId>
        </TermInfo>
      </Terms>
    </TaxKeywordTaxHTField>
    <TaxCatchAll xmlns="3f4bcce7-ac1a-4c9d-aa3e-7e77695652db">
      <Value>38</Value>
      <Value>85</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Standard - Approved</TermName>
          <TermId xmlns="http://schemas.microsoft.com/office/infopath/2007/PartnerControls">dc982c34-0bb8-4570-bc5d-2152be8ac72a</TermId>
        </TermInfo>
      </Terms>
    </i68dcda424604f4b8ece99fc3619f00c>
    <_dlc_DocId xmlns="3f4bcce7-ac1a-4c9d-aa3e-7e77695652db">PRDOC-940506216-23</_dlc_DocId>
    <_dlc_DocIdUrl xmlns="3f4bcce7-ac1a-4c9d-aa3e-7e77695652db">
      <Url>http://hub.aasb.gov.au/sites/stand/sca/_layouts/15/DocIdRedir.aspx?ID=PRDOC-940506216-23</Url>
      <Description>PRDOC-940506216-23</Description>
    </_dlc_DocIdUrl>
  </documentManagement>
</p:properties>
</file>

<file path=customXml/item2.xml><?xml version="1.0" encoding="utf-8"?>
<?mso-contentType ?>
<SharedContentType xmlns="Microsoft.SharePoint.Taxonomy.ContentTypeSync" SourceId="70da5c63-8548-4ac8-9616-83b0f373280e"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DCCCE100AA24F894E6621406A0458" ma:contentTypeVersion="0" ma:contentTypeDescription="Create a new document." ma:contentTypeScope="" ma:versionID="152f83d79b77b675ac56d52cb054c3c0">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4fa38e2c85037d94aef32f1d4d43a467"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4"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BD26-B6DD-4AA1-B9E5-D6D430A590F5}">
  <ds:schemaRefs>
    <ds:schemaRef ds:uri="http://schemas.microsoft.com/office/2006/metadata/properties"/>
    <ds:schemaRef ds:uri="47e576cf-618c-45c9-99ef-ab7e8b777e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4bcce7-ac1a-4c9d-aa3e-7e77695652db"/>
    <ds:schemaRef ds:uri="http://www.w3.org/XML/1998/namespace"/>
    <ds:schemaRef ds:uri="http://purl.org/dc/dcmitype/"/>
  </ds:schemaRefs>
</ds:datastoreItem>
</file>

<file path=customXml/itemProps2.xml><?xml version="1.0" encoding="utf-8"?>
<ds:datastoreItem xmlns:ds="http://schemas.openxmlformats.org/officeDocument/2006/customXml" ds:itemID="{03115E0B-0B66-4360-942B-06BEB8B6E003}">
  <ds:schemaRefs>
    <ds:schemaRef ds:uri="Microsoft.SharePoint.Taxonomy.ContentTypeSync"/>
  </ds:schemaRefs>
</ds:datastoreItem>
</file>

<file path=customXml/itemProps3.xml><?xml version="1.0" encoding="utf-8"?>
<ds:datastoreItem xmlns:ds="http://schemas.openxmlformats.org/officeDocument/2006/customXml" ds:itemID="{D0BE0E34-5F51-45B4-B97D-E6867AC6E27C}">
  <ds:schemaRefs>
    <ds:schemaRef ds:uri="http://schemas.microsoft.com/sharepoint/v3/contenttype/forms"/>
  </ds:schemaRefs>
</ds:datastoreItem>
</file>

<file path=customXml/itemProps4.xml><?xml version="1.0" encoding="utf-8"?>
<ds:datastoreItem xmlns:ds="http://schemas.openxmlformats.org/officeDocument/2006/customXml" ds:itemID="{88C25B66-0BFD-47F6-9414-E700FA99D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CB678-FCF1-44D5-9F4D-B0C0DE33F46A}">
  <ds:schemaRefs>
    <ds:schemaRef ds:uri="http://schemas.microsoft.com/sharepoint/events"/>
  </ds:schemaRefs>
</ds:datastoreItem>
</file>

<file path=customXml/itemProps6.xml><?xml version="1.0" encoding="utf-8"?>
<ds:datastoreItem xmlns:ds="http://schemas.openxmlformats.org/officeDocument/2006/customXml" ds:itemID="{9BC63920-75C7-4F26-9749-84090E95179F}">
  <ds:schemaRefs>
    <ds:schemaRef ds:uri="http://schemas.microsoft.com/office/2006/metadata/customXsn"/>
  </ds:schemaRefs>
</ds:datastoreItem>
</file>

<file path=customXml/itemProps7.xml><?xml version="1.0" encoding="utf-8"?>
<ds:datastoreItem xmlns:ds="http://schemas.openxmlformats.org/officeDocument/2006/customXml" ds:itemID="{83AFB7C1-36E6-4A7F-A948-F49AC38F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Template>
  <TotalTime>2019</TotalTime>
  <Pages>67</Pages>
  <Words>39266</Words>
  <Characters>220762</Characters>
  <Application>Microsoft Office Word</Application>
  <DocSecurity>0</DocSecurity>
  <Lines>1839</Lines>
  <Paragraphs>519</Paragraphs>
  <ScaleCrop>false</ScaleCrop>
  <HeadingPairs>
    <vt:vector size="2" baseType="variant">
      <vt:variant>
        <vt:lpstr>Title</vt:lpstr>
      </vt:variant>
      <vt:variant>
        <vt:i4>1</vt:i4>
      </vt:variant>
    </vt:vector>
  </HeadingPairs>
  <TitlesOfParts>
    <vt:vector size="1" baseType="lpstr">
      <vt:lpstr>AASB 1059 Service Concession Arrangements: Grantors</vt:lpstr>
    </vt:vector>
  </TitlesOfParts>
  <Company>IFRS</Company>
  <LinksUpToDate>false</LinksUpToDate>
  <CharactersWithSpaces>259509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1059 Service Concession Arrangements: Grantors</dc:title>
  <dc:creator>.</dc:creator>
  <cp:keywords>service concession arrangements</cp:keywords>
  <cp:lastModifiedBy>Keenan, Justine</cp:lastModifiedBy>
  <cp:revision>144</cp:revision>
  <cp:lastPrinted>2017-07-06T23:11:00Z</cp:lastPrinted>
  <dcterms:created xsi:type="dcterms:W3CDTF">2017-07-02T22:47:00Z</dcterms:created>
  <dcterms:modified xsi:type="dcterms:W3CDTF">2017-07-17T04:00:00Z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0x01010052BDCCCE100AA24F894E6621406A0458</vt:lpwstr>
  </property>
  <property fmtid="{D5CDD505-2E9C-101B-9397-08002B2CF9AE}" pid="3" name="_dlc_DocIdItemGuid">
    <vt:lpwstr>4b21340c-966c-447b-827e-61bed090cf35</vt:lpwstr>
  </property>
  <property fmtid="{D5CDD505-2E9C-101B-9397-08002B2CF9AE}" pid="4" name="TaxKeyword">
    <vt:lpwstr>38;#service concession arrangements|7a4d8a7d-1aab-4d7b-a9be-32e62dc5da42</vt:lpwstr>
  </property>
  <property fmtid="{D5CDD505-2E9C-101B-9397-08002B2CF9AE}" pid="5" name="Term">
    <vt:lpwstr>85;#Standard - Approved|dc982c34-0bb8-4570-bc5d-2152be8ac72a</vt:lpwstr>
  </property>
</Properties>
</file>