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03D" w:rsidRPr="001B029B" w:rsidRDefault="0057103D" w:rsidP="00351388">
      <w:pPr>
        <w:pStyle w:val="ESTitle"/>
      </w:pPr>
    </w:p>
    <w:p w:rsidR="002B2341" w:rsidRPr="001B029B" w:rsidRDefault="002B2341" w:rsidP="00351388">
      <w:pPr>
        <w:pStyle w:val="ESNormal"/>
      </w:pPr>
    </w:p>
    <w:p w:rsidR="0054353C" w:rsidRPr="001B029B" w:rsidRDefault="0057103D" w:rsidP="00351388">
      <w:pPr>
        <w:pStyle w:val="ESTitle"/>
      </w:pPr>
      <w:r w:rsidRPr="001B029B">
        <w:t>Motor Vehicle Standards (Road Vehicles) Determination 2017</w:t>
      </w:r>
    </w:p>
    <w:p w:rsidR="0057103D" w:rsidRPr="001B029B" w:rsidRDefault="0057103D" w:rsidP="00351388">
      <w:pPr>
        <w:pStyle w:val="ESNormal"/>
      </w:pPr>
    </w:p>
    <w:p w:rsidR="0057103D" w:rsidRPr="001B029B" w:rsidRDefault="0057103D" w:rsidP="00351388">
      <w:pPr>
        <w:pStyle w:val="ESNormal"/>
      </w:pPr>
    </w:p>
    <w:p w:rsidR="0057103D" w:rsidRPr="001B029B" w:rsidRDefault="0057103D" w:rsidP="00351388">
      <w:pPr>
        <w:pStyle w:val="ESNormal"/>
      </w:pPr>
    </w:p>
    <w:p w:rsidR="0057103D" w:rsidRPr="001B029B" w:rsidRDefault="0057103D" w:rsidP="00351388">
      <w:pPr>
        <w:pStyle w:val="ESNormal"/>
      </w:pPr>
    </w:p>
    <w:p w:rsidR="0057103D" w:rsidRPr="001B029B" w:rsidRDefault="0057103D" w:rsidP="002A783D">
      <w:pPr>
        <w:pStyle w:val="ESCentred"/>
      </w:pPr>
      <w:r w:rsidRPr="001B029B">
        <w:t xml:space="preserve">Made under section 5B of the </w:t>
      </w:r>
      <w:r w:rsidRPr="001B029B">
        <w:rPr>
          <w:rStyle w:val="ESNormalItalicised"/>
        </w:rPr>
        <w:t>Motor Vehicle Standards Act 1989</w:t>
      </w:r>
    </w:p>
    <w:p w:rsidR="0057103D" w:rsidRPr="001B029B" w:rsidRDefault="0057103D" w:rsidP="00351388">
      <w:pPr>
        <w:pStyle w:val="ESNormal"/>
      </w:pPr>
    </w:p>
    <w:p w:rsidR="0057103D" w:rsidRPr="001B029B" w:rsidRDefault="0057103D" w:rsidP="00351388">
      <w:pPr>
        <w:pStyle w:val="ESNormal"/>
      </w:pPr>
    </w:p>
    <w:p w:rsidR="0057103D" w:rsidRPr="001B029B" w:rsidRDefault="0057103D" w:rsidP="00351388">
      <w:pPr>
        <w:pStyle w:val="ESNormal"/>
      </w:pPr>
    </w:p>
    <w:p w:rsidR="0057103D" w:rsidRPr="001B029B" w:rsidRDefault="0057103D" w:rsidP="00351388">
      <w:pPr>
        <w:pStyle w:val="ESNormal"/>
      </w:pPr>
    </w:p>
    <w:p w:rsidR="0057103D" w:rsidRPr="001B029B" w:rsidRDefault="00261DFE" w:rsidP="00351388">
      <w:pPr>
        <w:pStyle w:val="ESTitle"/>
      </w:pPr>
      <w:r w:rsidRPr="001B029B">
        <w:t xml:space="preserve">Replacement </w:t>
      </w:r>
      <w:r w:rsidR="0057103D" w:rsidRPr="001B029B">
        <w:t>Explanatory Statement</w:t>
      </w:r>
    </w:p>
    <w:p w:rsidR="0057103D" w:rsidRPr="001B029B" w:rsidRDefault="0057103D" w:rsidP="00351388">
      <w:pPr>
        <w:pStyle w:val="ESNormal"/>
      </w:pPr>
    </w:p>
    <w:p w:rsidR="0057103D" w:rsidRPr="001B029B" w:rsidRDefault="0057103D" w:rsidP="00351388">
      <w:pPr>
        <w:pStyle w:val="ESNormal"/>
      </w:pPr>
    </w:p>
    <w:p w:rsidR="0057103D" w:rsidRPr="001B029B" w:rsidRDefault="0057103D" w:rsidP="00351388">
      <w:pPr>
        <w:pStyle w:val="ESNormal"/>
      </w:pPr>
    </w:p>
    <w:p w:rsidR="0057103D" w:rsidRPr="001B029B" w:rsidRDefault="0057103D" w:rsidP="00351388">
      <w:pPr>
        <w:pStyle w:val="ESNormal"/>
      </w:pPr>
    </w:p>
    <w:p w:rsidR="0057103D" w:rsidRPr="001B029B" w:rsidRDefault="0057103D" w:rsidP="002A783D">
      <w:pPr>
        <w:pStyle w:val="ESCentred"/>
      </w:pPr>
      <w:r w:rsidRPr="001B029B">
        <w:t>Issued by the authority of the Minister for Urban Infrastructure</w:t>
      </w:r>
    </w:p>
    <w:p w:rsidR="0057103D" w:rsidRPr="001B029B" w:rsidRDefault="0057103D" w:rsidP="00351388">
      <w:pPr>
        <w:pStyle w:val="ESNormal"/>
      </w:pPr>
    </w:p>
    <w:p w:rsidR="0057103D" w:rsidRPr="001B029B" w:rsidRDefault="0057103D" w:rsidP="00351388">
      <w:pPr>
        <w:pStyle w:val="ESNormal"/>
      </w:pPr>
    </w:p>
    <w:p w:rsidR="0057103D" w:rsidRPr="001B029B" w:rsidRDefault="0057103D" w:rsidP="00351388">
      <w:pPr>
        <w:pStyle w:val="ESNormal"/>
      </w:pPr>
    </w:p>
    <w:p w:rsidR="0057103D" w:rsidRPr="001B029B" w:rsidRDefault="0057103D" w:rsidP="00351388">
      <w:pPr>
        <w:pStyle w:val="ESNormal"/>
      </w:pPr>
    </w:p>
    <w:p w:rsidR="0057103D" w:rsidRPr="001B029B" w:rsidRDefault="00A0170B" w:rsidP="00351388">
      <w:pPr>
        <w:pStyle w:val="ESTitle"/>
      </w:pPr>
      <w:r>
        <w:t>November</w:t>
      </w:r>
      <w:r w:rsidRPr="001B029B">
        <w:t xml:space="preserve"> </w:t>
      </w:r>
      <w:r w:rsidR="0057103D" w:rsidRPr="001B029B">
        <w:t>2017</w:t>
      </w:r>
    </w:p>
    <w:p w:rsidR="0057103D" w:rsidRPr="001B029B" w:rsidRDefault="0057103D" w:rsidP="00351388">
      <w:pPr>
        <w:pStyle w:val="ESNormal"/>
      </w:pPr>
    </w:p>
    <w:p w:rsidR="0057103D" w:rsidRPr="001B029B" w:rsidRDefault="0057103D" w:rsidP="00351388">
      <w:pPr>
        <w:pStyle w:val="ESNormal"/>
        <w:sectPr w:rsidR="0057103D" w:rsidRPr="001B029B">
          <w:pgSz w:w="11906" w:h="16838"/>
          <w:pgMar w:top="1440" w:right="1440" w:bottom="1440" w:left="1440" w:header="708" w:footer="708" w:gutter="0"/>
          <w:cols w:space="708"/>
          <w:docGrid w:linePitch="360"/>
        </w:sectPr>
      </w:pPr>
      <w:bookmarkStart w:id="0" w:name="_GoBack"/>
      <w:bookmarkEnd w:id="0"/>
    </w:p>
    <w:p w:rsidR="0057103D" w:rsidRPr="001B029B" w:rsidRDefault="0057103D" w:rsidP="00351388">
      <w:pPr>
        <w:pStyle w:val="ESNormal"/>
      </w:pPr>
    </w:p>
    <w:p w:rsidR="0057103D" w:rsidRPr="001B029B" w:rsidRDefault="0057103D" w:rsidP="002A783D">
      <w:pPr>
        <w:pStyle w:val="ESContents"/>
      </w:pPr>
      <w:r w:rsidRPr="001B029B">
        <w:t>contents</w:t>
      </w:r>
    </w:p>
    <w:p w:rsidR="0057103D" w:rsidRPr="001B029B" w:rsidRDefault="0057103D" w:rsidP="00351388">
      <w:pPr>
        <w:pStyle w:val="ESNormal"/>
      </w:pPr>
    </w:p>
    <w:p w:rsidR="00B5610B" w:rsidRPr="001B029B" w:rsidRDefault="00C0092F">
      <w:pPr>
        <w:pStyle w:val="TOC1"/>
        <w:tabs>
          <w:tab w:val="right" w:leader="dot" w:pos="9016"/>
        </w:tabs>
        <w:rPr>
          <w:rFonts w:asciiTheme="minorHAnsi" w:eastAsiaTheme="minorEastAsia" w:hAnsiTheme="minorHAnsi"/>
          <w:caps w:val="0"/>
          <w:sz w:val="22"/>
          <w:lang w:eastAsia="en-AU"/>
        </w:rPr>
      </w:pPr>
      <w:r w:rsidRPr="001B029B">
        <w:fldChar w:fldCharType="begin"/>
      </w:r>
      <w:r w:rsidRPr="001B029B">
        <w:instrText xml:space="preserve"> TOC \h \z \t "ES_Level1,1,ES_Level2,2" </w:instrText>
      </w:r>
      <w:r w:rsidRPr="001B029B">
        <w:fldChar w:fldCharType="separate"/>
      </w:r>
      <w:hyperlink w:anchor="_Toc496218091" w:history="1">
        <w:r w:rsidR="00B5610B" w:rsidRPr="001B029B">
          <w:rPr>
            <w:rStyle w:val="Hyperlink"/>
          </w:rPr>
          <w:t>1.</w:t>
        </w:r>
        <w:r w:rsidR="00B5610B" w:rsidRPr="001B029B">
          <w:rPr>
            <w:rFonts w:asciiTheme="minorHAnsi" w:eastAsiaTheme="minorEastAsia" w:hAnsiTheme="minorHAnsi"/>
            <w:caps w:val="0"/>
            <w:sz w:val="22"/>
            <w:lang w:eastAsia="en-AU"/>
          </w:rPr>
          <w:tab/>
        </w:r>
        <w:r w:rsidR="00B5610B" w:rsidRPr="001B029B">
          <w:rPr>
            <w:rStyle w:val="Hyperlink"/>
          </w:rPr>
          <w:t>Legislative Context</w:t>
        </w:r>
        <w:r w:rsidR="00B5610B" w:rsidRPr="001B029B">
          <w:rPr>
            <w:webHidden/>
          </w:rPr>
          <w:tab/>
        </w:r>
        <w:r w:rsidR="00B5610B" w:rsidRPr="001B029B">
          <w:rPr>
            <w:webHidden/>
          </w:rPr>
          <w:fldChar w:fldCharType="begin"/>
        </w:r>
        <w:r w:rsidR="00B5610B" w:rsidRPr="001B029B">
          <w:rPr>
            <w:webHidden/>
          </w:rPr>
          <w:instrText xml:space="preserve"> PAGEREF _Toc496218091 \h </w:instrText>
        </w:r>
        <w:r w:rsidR="00B5610B" w:rsidRPr="001B029B">
          <w:rPr>
            <w:webHidden/>
          </w:rPr>
        </w:r>
        <w:r w:rsidR="00B5610B" w:rsidRPr="001B029B">
          <w:rPr>
            <w:webHidden/>
          </w:rPr>
          <w:fldChar w:fldCharType="separate"/>
        </w:r>
        <w:r w:rsidR="00B5610B" w:rsidRPr="001B029B">
          <w:rPr>
            <w:webHidden/>
          </w:rPr>
          <w:t>3</w:t>
        </w:r>
        <w:r w:rsidR="00B5610B" w:rsidRPr="001B029B">
          <w:rPr>
            <w:webHidden/>
          </w:rPr>
          <w:fldChar w:fldCharType="end"/>
        </w:r>
      </w:hyperlink>
    </w:p>
    <w:p w:rsidR="00B5610B" w:rsidRPr="001B029B" w:rsidRDefault="00A0170B">
      <w:pPr>
        <w:pStyle w:val="TOC1"/>
        <w:tabs>
          <w:tab w:val="right" w:leader="dot" w:pos="9016"/>
        </w:tabs>
        <w:rPr>
          <w:rFonts w:asciiTheme="minorHAnsi" w:eastAsiaTheme="minorEastAsia" w:hAnsiTheme="minorHAnsi"/>
          <w:caps w:val="0"/>
          <w:sz w:val="22"/>
          <w:lang w:eastAsia="en-AU"/>
        </w:rPr>
      </w:pPr>
      <w:hyperlink w:anchor="_Toc496218092" w:history="1">
        <w:r w:rsidR="00B5610B" w:rsidRPr="001B029B">
          <w:rPr>
            <w:rStyle w:val="Hyperlink"/>
          </w:rPr>
          <w:t>2.</w:t>
        </w:r>
        <w:r w:rsidR="00B5610B" w:rsidRPr="001B029B">
          <w:rPr>
            <w:rFonts w:asciiTheme="minorHAnsi" w:eastAsiaTheme="minorEastAsia" w:hAnsiTheme="minorHAnsi"/>
            <w:caps w:val="0"/>
            <w:sz w:val="22"/>
            <w:lang w:eastAsia="en-AU"/>
          </w:rPr>
          <w:tab/>
        </w:r>
        <w:r w:rsidR="00B5610B" w:rsidRPr="001B029B">
          <w:rPr>
            <w:rStyle w:val="Hyperlink"/>
          </w:rPr>
          <w:t>Content and Effect of the Determination</w:t>
        </w:r>
        <w:r w:rsidR="00B5610B" w:rsidRPr="001B029B">
          <w:rPr>
            <w:webHidden/>
          </w:rPr>
          <w:tab/>
        </w:r>
        <w:r w:rsidR="00B5610B" w:rsidRPr="001B029B">
          <w:rPr>
            <w:webHidden/>
          </w:rPr>
          <w:fldChar w:fldCharType="begin"/>
        </w:r>
        <w:r w:rsidR="00B5610B" w:rsidRPr="001B029B">
          <w:rPr>
            <w:webHidden/>
          </w:rPr>
          <w:instrText xml:space="preserve"> PAGEREF _Toc496218092 \h </w:instrText>
        </w:r>
        <w:r w:rsidR="00B5610B" w:rsidRPr="001B029B">
          <w:rPr>
            <w:webHidden/>
          </w:rPr>
        </w:r>
        <w:r w:rsidR="00B5610B" w:rsidRPr="001B029B">
          <w:rPr>
            <w:webHidden/>
          </w:rPr>
          <w:fldChar w:fldCharType="separate"/>
        </w:r>
        <w:r w:rsidR="00B5610B" w:rsidRPr="001B029B">
          <w:rPr>
            <w:webHidden/>
          </w:rPr>
          <w:t>3</w:t>
        </w:r>
        <w:r w:rsidR="00B5610B" w:rsidRPr="001B029B">
          <w:rPr>
            <w:webHidden/>
          </w:rPr>
          <w:fldChar w:fldCharType="end"/>
        </w:r>
      </w:hyperlink>
    </w:p>
    <w:p w:rsidR="00B5610B" w:rsidRPr="001B029B" w:rsidRDefault="00A0170B">
      <w:pPr>
        <w:pStyle w:val="TOC2"/>
        <w:rPr>
          <w:rFonts w:asciiTheme="minorHAnsi" w:eastAsiaTheme="minorEastAsia" w:hAnsiTheme="minorHAnsi"/>
          <w:noProof w:val="0"/>
          <w:sz w:val="22"/>
          <w:lang w:eastAsia="en-AU"/>
        </w:rPr>
      </w:pPr>
      <w:hyperlink w:anchor="_Toc496218093" w:history="1">
        <w:r w:rsidR="00B5610B" w:rsidRPr="001B029B">
          <w:rPr>
            <w:rStyle w:val="Hyperlink"/>
            <w:noProof w:val="0"/>
          </w:rPr>
          <w:t>2.1.</w:t>
        </w:r>
        <w:r w:rsidR="00B5610B" w:rsidRPr="001B029B">
          <w:rPr>
            <w:rFonts w:asciiTheme="minorHAnsi" w:eastAsiaTheme="minorEastAsia" w:hAnsiTheme="minorHAnsi"/>
            <w:noProof w:val="0"/>
            <w:sz w:val="22"/>
            <w:lang w:eastAsia="en-AU"/>
          </w:rPr>
          <w:tab/>
        </w:r>
        <w:r w:rsidR="00B5610B" w:rsidRPr="001B029B">
          <w:rPr>
            <w:rStyle w:val="Hyperlink"/>
            <w:noProof w:val="0"/>
          </w:rPr>
          <w:t>Overview of the Determination</w:t>
        </w:r>
        <w:r w:rsidR="00B5610B" w:rsidRPr="001B029B">
          <w:rPr>
            <w:noProof w:val="0"/>
            <w:webHidden/>
          </w:rPr>
          <w:tab/>
        </w:r>
        <w:r w:rsidR="00B5610B" w:rsidRPr="001B029B">
          <w:rPr>
            <w:noProof w:val="0"/>
            <w:webHidden/>
          </w:rPr>
          <w:fldChar w:fldCharType="begin"/>
        </w:r>
        <w:r w:rsidR="00B5610B" w:rsidRPr="001B029B">
          <w:rPr>
            <w:noProof w:val="0"/>
            <w:webHidden/>
          </w:rPr>
          <w:instrText xml:space="preserve"> PAGEREF _Toc496218093 \h </w:instrText>
        </w:r>
        <w:r w:rsidR="00B5610B" w:rsidRPr="001B029B">
          <w:rPr>
            <w:noProof w:val="0"/>
            <w:webHidden/>
          </w:rPr>
        </w:r>
        <w:r w:rsidR="00B5610B" w:rsidRPr="001B029B">
          <w:rPr>
            <w:noProof w:val="0"/>
            <w:webHidden/>
          </w:rPr>
          <w:fldChar w:fldCharType="separate"/>
        </w:r>
        <w:r w:rsidR="00B5610B" w:rsidRPr="001B029B">
          <w:rPr>
            <w:noProof w:val="0"/>
            <w:webHidden/>
          </w:rPr>
          <w:t>3</w:t>
        </w:r>
        <w:r w:rsidR="00B5610B" w:rsidRPr="001B029B">
          <w:rPr>
            <w:noProof w:val="0"/>
            <w:webHidden/>
          </w:rPr>
          <w:fldChar w:fldCharType="end"/>
        </w:r>
      </w:hyperlink>
    </w:p>
    <w:p w:rsidR="00B5610B" w:rsidRPr="001B029B" w:rsidRDefault="00A0170B">
      <w:pPr>
        <w:pStyle w:val="TOC2"/>
        <w:rPr>
          <w:rFonts w:asciiTheme="minorHAnsi" w:eastAsiaTheme="minorEastAsia" w:hAnsiTheme="minorHAnsi"/>
          <w:noProof w:val="0"/>
          <w:sz w:val="22"/>
          <w:lang w:eastAsia="en-AU"/>
        </w:rPr>
      </w:pPr>
      <w:hyperlink w:anchor="_Toc496218094" w:history="1">
        <w:r w:rsidR="00B5610B" w:rsidRPr="001B029B">
          <w:rPr>
            <w:rStyle w:val="Hyperlink"/>
            <w:noProof w:val="0"/>
          </w:rPr>
          <w:t>2.2.</w:t>
        </w:r>
        <w:r w:rsidR="00B5610B" w:rsidRPr="001B029B">
          <w:rPr>
            <w:rFonts w:asciiTheme="minorHAnsi" w:eastAsiaTheme="minorEastAsia" w:hAnsiTheme="minorHAnsi"/>
            <w:noProof w:val="0"/>
            <w:sz w:val="22"/>
            <w:lang w:eastAsia="en-AU"/>
          </w:rPr>
          <w:tab/>
        </w:r>
        <w:r w:rsidR="00B5610B" w:rsidRPr="001B029B">
          <w:rPr>
            <w:rStyle w:val="Hyperlink"/>
            <w:noProof w:val="0"/>
          </w:rPr>
          <w:t>Effect of the Determination</w:t>
        </w:r>
        <w:r w:rsidR="00B5610B" w:rsidRPr="001B029B">
          <w:rPr>
            <w:noProof w:val="0"/>
            <w:webHidden/>
          </w:rPr>
          <w:tab/>
        </w:r>
        <w:r w:rsidR="00B5610B" w:rsidRPr="001B029B">
          <w:rPr>
            <w:noProof w:val="0"/>
            <w:webHidden/>
          </w:rPr>
          <w:fldChar w:fldCharType="begin"/>
        </w:r>
        <w:r w:rsidR="00B5610B" w:rsidRPr="001B029B">
          <w:rPr>
            <w:noProof w:val="0"/>
            <w:webHidden/>
          </w:rPr>
          <w:instrText xml:space="preserve"> PAGEREF _Toc496218094 \h </w:instrText>
        </w:r>
        <w:r w:rsidR="00B5610B" w:rsidRPr="001B029B">
          <w:rPr>
            <w:noProof w:val="0"/>
            <w:webHidden/>
          </w:rPr>
        </w:r>
        <w:r w:rsidR="00B5610B" w:rsidRPr="001B029B">
          <w:rPr>
            <w:noProof w:val="0"/>
            <w:webHidden/>
          </w:rPr>
          <w:fldChar w:fldCharType="separate"/>
        </w:r>
        <w:r w:rsidR="00B5610B" w:rsidRPr="001B029B">
          <w:rPr>
            <w:noProof w:val="0"/>
            <w:webHidden/>
          </w:rPr>
          <w:t>4</w:t>
        </w:r>
        <w:r w:rsidR="00B5610B" w:rsidRPr="001B029B">
          <w:rPr>
            <w:noProof w:val="0"/>
            <w:webHidden/>
          </w:rPr>
          <w:fldChar w:fldCharType="end"/>
        </w:r>
      </w:hyperlink>
    </w:p>
    <w:p w:rsidR="00B5610B" w:rsidRPr="001B029B" w:rsidRDefault="00A0170B">
      <w:pPr>
        <w:pStyle w:val="TOC2"/>
        <w:rPr>
          <w:rFonts w:asciiTheme="minorHAnsi" w:eastAsiaTheme="minorEastAsia" w:hAnsiTheme="minorHAnsi"/>
          <w:noProof w:val="0"/>
          <w:sz w:val="22"/>
          <w:lang w:eastAsia="en-AU"/>
        </w:rPr>
      </w:pPr>
      <w:hyperlink w:anchor="_Toc496218095" w:history="1">
        <w:r w:rsidR="00B5610B" w:rsidRPr="001B029B">
          <w:rPr>
            <w:rStyle w:val="Hyperlink"/>
            <w:noProof w:val="0"/>
          </w:rPr>
          <w:t>2.3.</w:t>
        </w:r>
        <w:r w:rsidR="00B5610B" w:rsidRPr="001B029B">
          <w:rPr>
            <w:rFonts w:asciiTheme="minorHAnsi" w:eastAsiaTheme="minorEastAsia" w:hAnsiTheme="minorHAnsi"/>
            <w:noProof w:val="0"/>
            <w:sz w:val="22"/>
            <w:lang w:eastAsia="en-AU"/>
          </w:rPr>
          <w:tab/>
        </w:r>
        <w:r w:rsidR="00B5610B" w:rsidRPr="001B029B">
          <w:rPr>
            <w:rStyle w:val="Hyperlink"/>
            <w:noProof w:val="0"/>
          </w:rPr>
          <w:t>Incorporated Documents</w:t>
        </w:r>
        <w:r w:rsidR="00B5610B" w:rsidRPr="001B029B">
          <w:rPr>
            <w:noProof w:val="0"/>
            <w:webHidden/>
          </w:rPr>
          <w:tab/>
        </w:r>
        <w:r w:rsidR="00B5610B" w:rsidRPr="001B029B">
          <w:rPr>
            <w:noProof w:val="0"/>
            <w:webHidden/>
          </w:rPr>
          <w:fldChar w:fldCharType="begin"/>
        </w:r>
        <w:r w:rsidR="00B5610B" w:rsidRPr="001B029B">
          <w:rPr>
            <w:noProof w:val="0"/>
            <w:webHidden/>
          </w:rPr>
          <w:instrText xml:space="preserve"> PAGEREF _Toc496218095 \h </w:instrText>
        </w:r>
        <w:r w:rsidR="00B5610B" w:rsidRPr="001B029B">
          <w:rPr>
            <w:noProof w:val="0"/>
            <w:webHidden/>
          </w:rPr>
        </w:r>
        <w:r w:rsidR="00B5610B" w:rsidRPr="001B029B">
          <w:rPr>
            <w:noProof w:val="0"/>
            <w:webHidden/>
          </w:rPr>
          <w:fldChar w:fldCharType="separate"/>
        </w:r>
        <w:r w:rsidR="00B5610B" w:rsidRPr="001B029B">
          <w:rPr>
            <w:noProof w:val="0"/>
            <w:webHidden/>
          </w:rPr>
          <w:t>4</w:t>
        </w:r>
        <w:r w:rsidR="00B5610B" w:rsidRPr="001B029B">
          <w:rPr>
            <w:noProof w:val="0"/>
            <w:webHidden/>
          </w:rPr>
          <w:fldChar w:fldCharType="end"/>
        </w:r>
      </w:hyperlink>
    </w:p>
    <w:p w:rsidR="00B5610B" w:rsidRPr="001B029B" w:rsidRDefault="00A0170B">
      <w:pPr>
        <w:pStyle w:val="TOC1"/>
        <w:tabs>
          <w:tab w:val="right" w:leader="dot" w:pos="9016"/>
        </w:tabs>
        <w:rPr>
          <w:rFonts w:asciiTheme="minorHAnsi" w:eastAsiaTheme="minorEastAsia" w:hAnsiTheme="minorHAnsi"/>
          <w:caps w:val="0"/>
          <w:sz w:val="22"/>
          <w:lang w:eastAsia="en-AU"/>
        </w:rPr>
      </w:pPr>
      <w:hyperlink w:anchor="_Toc496218096" w:history="1">
        <w:r w:rsidR="00B5610B" w:rsidRPr="001B029B">
          <w:rPr>
            <w:rStyle w:val="Hyperlink"/>
          </w:rPr>
          <w:t>3.</w:t>
        </w:r>
        <w:r w:rsidR="00B5610B" w:rsidRPr="001B029B">
          <w:rPr>
            <w:rFonts w:asciiTheme="minorHAnsi" w:eastAsiaTheme="minorEastAsia" w:hAnsiTheme="minorHAnsi"/>
            <w:caps w:val="0"/>
            <w:sz w:val="22"/>
            <w:lang w:eastAsia="en-AU"/>
          </w:rPr>
          <w:tab/>
        </w:r>
        <w:r w:rsidR="00B5610B" w:rsidRPr="001B029B">
          <w:rPr>
            <w:rStyle w:val="Hyperlink"/>
          </w:rPr>
          <w:t>Best Practice Regulation</w:t>
        </w:r>
        <w:r w:rsidR="00B5610B" w:rsidRPr="001B029B">
          <w:rPr>
            <w:webHidden/>
          </w:rPr>
          <w:tab/>
        </w:r>
        <w:r w:rsidR="00B5610B" w:rsidRPr="001B029B">
          <w:rPr>
            <w:webHidden/>
          </w:rPr>
          <w:fldChar w:fldCharType="begin"/>
        </w:r>
        <w:r w:rsidR="00B5610B" w:rsidRPr="001B029B">
          <w:rPr>
            <w:webHidden/>
          </w:rPr>
          <w:instrText xml:space="preserve"> PAGEREF _Toc496218096 \h </w:instrText>
        </w:r>
        <w:r w:rsidR="00B5610B" w:rsidRPr="001B029B">
          <w:rPr>
            <w:webHidden/>
          </w:rPr>
        </w:r>
        <w:r w:rsidR="00B5610B" w:rsidRPr="001B029B">
          <w:rPr>
            <w:webHidden/>
          </w:rPr>
          <w:fldChar w:fldCharType="separate"/>
        </w:r>
        <w:r w:rsidR="00B5610B" w:rsidRPr="001B029B">
          <w:rPr>
            <w:webHidden/>
          </w:rPr>
          <w:t>4</w:t>
        </w:r>
        <w:r w:rsidR="00B5610B" w:rsidRPr="001B029B">
          <w:rPr>
            <w:webHidden/>
          </w:rPr>
          <w:fldChar w:fldCharType="end"/>
        </w:r>
      </w:hyperlink>
    </w:p>
    <w:p w:rsidR="00B5610B" w:rsidRPr="001B029B" w:rsidRDefault="00A0170B">
      <w:pPr>
        <w:pStyle w:val="TOC2"/>
        <w:rPr>
          <w:rFonts w:asciiTheme="minorHAnsi" w:eastAsiaTheme="minorEastAsia" w:hAnsiTheme="minorHAnsi"/>
          <w:noProof w:val="0"/>
          <w:sz w:val="22"/>
          <w:lang w:eastAsia="en-AU"/>
        </w:rPr>
      </w:pPr>
      <w:hyperlink w:anchor="_Toc496218097" w:history="1">
        <w:r w:rsidR="00B5610B" w:rsidRPr="001B029B">
          <w:rPr>
            <w:rStyle w:val="Hyperlink"/>
            <w:noProof w:val="0"/>
          </w:rPr>
          <w:t>3.1.</w:t>
        </w:r>
        <w:r w:rsidR="00B5610B" w:rsidRPr="001B029B">
          <w:rPr>
            <w:rFonts w:asciiTheme="minorHAnsi" w:eastAsiaTheme="minorEastAsia" w:hAnsiTheme="minorHAnsi"/>
            <w:noProof w:val="0"/>
            <w:sz w:val="22"/>
            <w:lang w:eastAsia="en-AU"/>
          </w:rPr>
          <w:tab/>
        </w:r>
        <w:r w:rsidR="00B5610B" w:rsidRPr="001B029B">
          <w:rPr>
            <w:rStyle w:val="Hyperlink"/>
            <w:noProof w:val="0"/>
          </w:rPr>
          <w:t>Business Cost Calculator</w:t>
        </w:r>
        <w:r w:rsidR="00B5610B" w:rsidRPr="001B029B">
          <w:rPr>
            <w:noProof w:val="0"/>
            <w:webHidden/>
          </w:rPr>
          <w:tab/>
        </w:r>
        <w:r w:rsidR="00B5610B" w:rsidRPr="001B029B">
          <w:rPr>
            <w:noProof w:val="0"/>
            <w:webHidden/>
          </w:rPr>
          <w:fldChar w:fldCharType="begin"/>
        </w:r>
        <w:r w:rsidR="00B5610B" w:rsidRPr="001B029B">
          <w:rPr>
            <w:noProof w:val="0"/>
            <w:webHidden/>
          </w:rPr>
          <w:instrText xml:space="preserve"> PAGEREF _Toc496218097 \h </w:instrText>
        </w:r>
        <w:r w:rsidR="00B5610B" w:rsidRPr="001B029B">
          <w:rPr>
            <w:noProof w:val="0"/>
            <w:webHidden/>
          </w:rPr>
        </w:r>
        <w:r w:rsidR="00B5610B" w:rsidRPr="001B029B">
          <w:rPr>
            <w:noProof w:val="0"/>
            <w:webHidden/>
          </w:rPr>
          <w:fldChar w:fldCharType="separate"/>
        </w:r>
        <w:r w:rsidR="00B5610B" w:rsidRPr="001B029B">
          <w:rPr>
            <w:noProof w:val="0"/>
            <w:webHidden/>
          </w:rPr>
          <w:t>4</w:t>
        </w:r>
        <w:r w:rsidR="00B5610B" w:rsidRPr="001B029B">
          <w:rPr>
            <w:noProof w:val="0"/>
            <w:webHidden/>
          </w:rPr>
          <w:fldChar w:fldCharType="end"/>
        </w:r>
      </w:hyperlink>
    </w:p>
    <w:p w:rsidR="00B5610B" w:rsidRPr="001B029B" w:rsidRDefault="00A0170B">
      <w:pPr>
        <w:pStyle w:val="TOC2"/>
        <w:rPr>
          <w:rFonts w:asciiTheme="minorHAnsi" w:eastAsiaTheme="minorEastAsia" w:hAnsiTheme="minorHAnsi"/>
          <w:noProof w:val="0"/>
          <w:sz w:val="22"/>
          <w:lang w:eastAsia="en-AU"/>
        </w:rPr>
      </w:pPr>
      <w:hyperlink w:anchor="_Toc496218098" w:history="1">
        <w:r w:rsidR="00B5610B" w:rsidRPr="001B029B">
          <w:rPr>
            <w:rStyle w:val="Hyperlink"/>
            <w:noProof w:val="0"/>
          </w:rPr>
          <w:t>3.2.</w:t>
        </w:r>
        <w:r w:rsidR="00B5610B" w:rsidRPr="001B029B">
          <w:rPr>
            <w:rFonts w:asciiTheme="minorHAnsi" w:eastAsiaTheme="minorEastAsia" w:hAnsiTheme="minorHAnsi"/>
            <w:noProof w:val="0"/>
            <w:sz w:val="22"/>
            <w:lang w:eastAsia="en-AU"/>
          </w:rPr>
          <w:tab/>
        </w:r>
        <w:r w:rsidR="00B5610B" w:rsidRPr="001B029B">
          <w:rPr>
            <w:rStyle w:val="Hyperlink"/>
            <w:noProof w:val="0"/>
          </w:rPr>
          <w:t>General Consultation Arrangements</w:t>
        </w:r>
        <w:r w:rsidR="00B5610B" w:rsidRPr="001B029B">
          <w:rPr>
            <w:noProof w:val="0"/>
            <w:webHidden/>
          </w:rPr>
          <w:tab/>
        </w:r>
        <w:r w:rsidR="00B5610B" w:rsidRPr="001B029B">
          <w:rPr>
            <w:noProof w:val="0"/>
            <w:webHidden/>
          </w:rPr>
          <w:fldChar w:fldCharType="begin"/>
        </w:r>
        <w:r w:rsidR="00B5610B" w:rsidRPr="001B029B">
          <w:rPr>
            <w:noProof w:val="0"/>
            <w:webHidden/>
          </w:rPr>
          <w:instrText xml:space="preserve"> PAGEREF _Toc496218098 \h </w:instrText>
        </w:r>
        <w:r w:rsidR="00B5610B" w:rsidRPr="001B029B">
          <w:rPr>
            <w:noProof w:val="0"/>
            <w:webHidden/>
          </w:rPr>
        </w:r>
        <w:r w:rsidR="00B5610B" w:rsidRPr="001B029B">
          <w:rPr>
            <w:noProof w:val="0"/>
            <w:webHidden/>
          </w:rPr>
          <w:fldChar w:fldCharType="separate"/>
        </w:r>
        <w:r w:rsidR="00B5610B" w:rsidRPr="001B029B">
          <w:rPr>
            <w:noProof w:val="0"/>
            <w:webHidden/>
          </w:rPr>
          <w:t>4</w:t>
        </w:r>
        <w:r w:rsidR="00B5610B" w:rsidRPr="001B029B">
          <w:rPr>
            <w:noProof w:val="0"/>
            <w:webHidden/>
          </w:rPr>
          <w:fldChar w:fldCharType="end"/>
        </w:r>
      </w:hyperlink>
    </w:p>
    <w:p w:rsidR="00B5610B" w:rsidRPr="001B029B" w:rsidRDefault="00A0170B">
      <w:pPr>
        <w:pStyle w:val="TOC2"/>
        <w:rPr>
          <w:rFonts w:asciiTheme="minorHAnsi" w:eastAsiaTheme="minorEastAsia" w:hAnsiTheme="minorHAnsi"/>
          <w:noProof w:val="0"/>
          <w:sz w:val="22"/>
          <w:lang w:eastAsia="en-AU"/>
        </w:rPr>
      </w:pPr>
      <w:hyperlink w:anchor="_Toc496218099" w:history="1">
        <w:r w:rsidR="00B5610B" w:rsidRPr="001B029B">
          <w:rPr>
            <w:rStyle w:val="Hyperlink"/>
            <w:noProof w:val="0"/>
          </w:rPr>
          <w:t>3.3.</w:t>
        </w:r>
        <w:r w:rsidR="00B5610B" w:rsidRPr="001B029B">
          <w:rPr>
            <w:rFonts w:asciiTheme="minorHAnsi" w:eastAsiaTheme="minorEastAsia" w:hAnsiTheme="minorHAnsi"/>
            <w:noProof w:val="0"/>
            <w:sz w:val="22"/>
            <w:lang w:eastAsia="en-AU"/>
          </w:rPr>
          <w:tab/>
        </w:r>
        <w:r w:rsidR="00B5610B" w:rsidRPr="001B029B">
          <w:rPr>
            <w:rStyle w:val="Hyperlink"/>
            <w:noProof w:val="0"/>
          </w:rPr>
          <w:t>Specific Consultation Arrangements for this Determination</w:t>
        </w:r>
        <w:r w:rsidR="00B5610B" w:rsidRPr="001B029B">
          <w:rPr>
            <w:noProof w:val="0"/>
            <w:webHidden/>
          </w:rPr>
          <w:tab/>
        </w:r>
        <w:r w:rsidR="00B5610B" w:rsidRPr="001B029B">
          <w:rPr>
            <w:noProof w:val="0"/>
            <w:webHidden/>
          </w:rPr>
          <w:fldChar w:fldCharType="begin"/>
        </w:r>
        <w:r w:rsidR="00B5610B" w:rsidRPr="001B029B">
          <w:rPr>
            <w:noProof w:val="0"/>
            <w:webHidden/>
          </w:rPr>
          <w:instrText xml:space="preserve"> PAGEREF _Toc496218099 \h </w:instrText>
        </w:r>
        <w:r w:rsidR="00B5610B" w:rsidRPr="001B029B">
          <w:rPr>
            <w:noProof w:val="0"/>
            <w:webHidden/>
          </w:rPr>
        </w:r>
        <w:r w:rsidR="00B5610B" w:rsidRPr="001B029B">
          <w:rPr>
            <w:noProof w:val="0"/>
            <w:webHidden/>
          </w:rPr>
          <w:fldChar w:fldCharType="separate"/>
        </w:r>
        <w:r w:rsidR="00B5610B" w:rsidRPr="001B029B">
          <w:rPr>
            <w:noProof w:val="0"/>
            <w:webHidden/>
          </w:rPr>
          <w:t>5</w:t>
        </w:r>
        <w:r w:rsidR="00B5610B" w:rsidRPr="001B029B">
          <w:rPr>
            <w:noProof w:val="0"/>
            <w:webHidden/>
          </w:rPr>
          <w:fldChar w:fldCharType="end"/>
        </w:r>
      </w:hyperlink>
    </w:p>
    <w:p w:rsidR="00B5610B" w:rsidRPr="001B029B" w:rsidRDefault="00A0170B">
      <w:pPr>
        <w:pStyle w:val="TOC2"/>
        <w:rPr>
          <w:rFonts w:asciiTheme="minorHAnsi" w:eastAsiaTheme="minorEastAsia" w:hAnsiTheme="minorHAnsi"/>
          <w:noProof w:val="0"/>
          <w:sz w:val="22"/>
          <w:lang w:eastAsia="en-AU"/>
        </w:rPr>
      </w:pPr>
      <w:hyperlink w:anchor="_Toc496218100" w:history="1">
        <w:r w:rsidR="00B5610B" w:rsidRPr="001B029B">
          <w:rPr>
            <w:rStyle w:val="Hyperlink"/>
            <w:noProof w:val="0"/>
          </w:rPr>
          <w:t>3.4.</w:t>
        </w:r>
        <w:r w:rsidR="00B5610B" w:rsidRPr="001B029B">
          <w:rPr>
            <w:rFonts w:asciiTheme="minorHAnsi" w:eastAsiaTheme="minorEastAsia" w:hAnsiTheme="minorHAnsi"/>
            <w:noProof w:val="0"/>
            <w:sz w:val="22"/>
            <w:lang w:eastAsia="en-AU"/>
          </w:rPr>
          <w:tab/>
        </w:r>
        <w:r w:rsidR="00B5610B" w:rsidRPr="001B029B">
          <w:rPr>
            <w:rStyle w:val="Hyperlink"/>
            <w:noProof w:val="0"/>
          </w:rPr>
          <w:t>Regulation Impact Statement</w:t>
        </w:r>
        <w:r w:rsidR="00B5610B" w:rsidRPr="001B029B">
          <w:rPr>
            <w:noProof w:val="0"/>
            <w:webHidden/>
          </w:rPr>
          <w:tab/>
        </w:r>
        <w:r w:rsidR="00B5610B" w:rsidRPr="001B029B">
          <w:rPr>
            <w:noProof w:val="0"/>
            <w:webHidden/>
          </w:rPr>
          <w:fldChar w:fldCharType="begin"/>
        </w:r>
        <w:r w:rsidR="00B5610B" w:rsidRPr="001B029B">
          <w:rPr>
            <w:noProof w:val="0"/>
            <w:webHidden/>
          </w:rPr>
          <w:instrText xml:space="preserve"> PAGEREF _Toc496218100 \h </w:instrText>
        </w:r>
        <w:r w:rsidR="00B5610B" w:rsidRPr="001B029B">
          <w:rPr>
            <w:noProof w:val="0"/>
            <w:webHidden/>
          </w:rPr>
        </w:r>
        <w:r w:rsidR="00B5610B" w:rsidRPr="001B029B">
          <w:rPr>
            <w:noProof w:val="0"/>
            <w:webHidden/>
          </w:rPr>
          <w:fldChar w:fldCharType="separate"/>
        </w:r>
        <w:r w:rsidR="00B5610B" w:rsidRPr="001B029B">
          <w:rPr>
            <w:noProof w:val="0"/>
            <w:webHidden/>
          </w:rPr>
          <w:t>6</w:t>
        </w:r>
        <w:r w:rsidR="00B5610B" w:rsidRPr="001B029B">
          <w:rPr>
            <w:noProof w:val="0"/>
            <w:webHidden/>
          </w:rPr>
          <w:fldChar w:fldCharType="end"/>
        </w:r>
      </w:hyperlink>
    </w:p>
    <w:p w:rsidR="00B5610B" w:rsidRPr="001B029B" w:rsidRDefault="00A0170B">
      <w:pPr>
        <w:pStyle w:val="TOC1"/>
        <w:tabs>
          <w:tab w:val="right" w:leader="dot" w:pos="9016"/>
        </w:tabs>
        <w:rPr>
          <w:rFonts w:asciiTheme="minorHAnsi" w:eastAsiaTheme="minorEastAsia" w:hAnsiTheme="minorHAnsi"/>
          <w:caps w:val="0"/>
          <w:sz w:val="22"/>
          <w:lang w:eastAsia="en-AU"/>
        </w:rPr>
      </w:pPr>
      <w:hyperlink w:anchor="_Toc496218101" w:history="1">
        <w:r w:rsidR="00B5610B" w:rsidRPr="001B029B">
          <w:rPr>
            <w:rStyle w:val="Hyperlink"/>
          </w:rPr>
          <w:t>4.</w:t>
        </w:r>
        <w:r w:rsidR="00B5610B" w:rsidRPr="001B029B">
          <w:rPr>
            <w:rFonts w:asciiTheme="minorHAnsi" w:eastAsiaTheme="minorEastAsia" w:hAnsiTheme="minorHAnsi"/>
            <w:caps w:val="0"/>
            <w:sz w:val="22"/>
            <w:lang w:eastAsia="en-AU"/>
          </w:rPr>
          <w:tab/>
        </w:r>
        <w:r w:rsidR="00B5610B" w:rsidRPr="001B029B">
          <w:rPr>
            <w:rStyle w:val="Hyperlink"/>
          </w:rPr>
          <w:t>Statement of Compatibility with Human Rights</w:t>
        </w:r>
        <w:r w:rsidR="00B5610B" w:rsidRPr="001B029B">
          <w:rPr>
            <w:webHidden/>
          </w:rPr>
          <w:tab/>
        </w:r>
        <w:r w:rsidR="00B5610B" w:rsidRPr="001B029B">
          <w:rPr>
            <w:webHidden/>
          </w:rPr>
          <w:fldChar w:fldCharType="begin"/>
        </w:r>
        <w:r w:rsidR="00B5610B" w:rsidRPr="001B029B">
          <w:rPr>
            <w:webHidden/>
          </w:rPr>
          <w:instrText xml:space="preserve"> PAGEREF _Toc496218101 \h </w:instrText>
        </w:r>
        <w:r w:rsidR="00B5610B" w:rsidRPr="001B029B">
          <w:rPr>
            <w:webHidden/>
          </w:rPr>
        </w:r>
        <w:r w:rsidR="00B5610B" w:rsidRPr="001B029B">
          <w:rPr>
            <w:webHidden/>
          </w:rPr>
          <w:fldChar w:fldCharType="separate"/>
        </w:r>
        <w:r w:rsidR="00B5610B" w:rsidRPr="001B029B">
          <w:rPr>
            <w:webHidden/>
          </w:rPr>
          <w:t>6</w:t>
        </w:r>
        <w:r w:rsidR="00B5610B" w:rsidRPr="001B029B">
          <w:rPr>
            <w:webHidden/>
          </w:rPr>
          <w:fldChar w:fldCharType="end"/>
        </w:r>
      </w:hyperlink>
    </w:p>
    <w:p w:rsidR="00B5610B" w:rsidRPr="001B029B" w:rsidRDefault="00A0170B">
      <w:pPr>
        <w:pStyle w:val="TOC2"/>
        <w:rPr>
          <w:rFonts w:asciiTheme="minorHAnsi" w:eastAsiaTheme="minorEastAsia" w:hAnsiTheme="minorHAnsi"/>
          <w:noProof w:val="0"/>
          <w:sz w:val="22"/>
          <w:lang w:eastAsia="en-AU"/>
        </w:rPr>
      </w:pPr>
      <w:hyperlink w:anchor="_Toc496218102" w:history="1">
        <w:r w:rsidR="00B5610B" w:rsidRPr="001B029B">
          <w:rPr>
            <w:rStyle w:val="Hyperlink"/>
            <w:noProof w:val="0"/>
          </w:rPr>
          <w:t>4.1.</w:t>
        </w:r>
        <w:r w:rsidR="00B5610B" w:rsidRPr="001B029B">
          <w:rPr>
            <w:rFonts w:asciiTheme="minorHAnsi" w:eastAsiaTheme="minorEastAsia" w:hAnsiTheme="minorHAnsi"/>
            <w:noProof w:val="0"/>
            <w:sz w:val="22"/>
            <w:lang w:eastAsia="en-AU"/>
          </w:rPr>
          <w:tab/>
        </w:r>
        <w:r w:rsidR="00B5610B" w:rsidRPr="001B029B">
          <w:rPr>
            <w:rStyle w:val="Hyperlink"/>
            <w:noProof w:val="0"/>
          </w:rPr>
          <w:t>Overview of the Legislative Instrument</w:t>
        </w:r>
        <w:r w:rsidR="00B5610B" w:rsidRPr="001B029B">
          <w:rPr>
            <w:noProof w:val="0"/>
            <w:webHidden/>
          </w:rPr>
          <w:tab/>
        </w:r>
        <w:r w:rsidR="00B5610B" w:rsidRPr="001B029B">
          <w:rPr>
            <w:noProof w:val="0"/>
            <w:webHidden/>
          </w:rPr>
          <w:fldChar w:fldCharType="begin"/>
        </w:r>
        <w:r w:rsidR="00B5610B" w:rsidRPr="001B029B">
          <w:rPr>
            <w:noProof w:val="0"/>
            <w:webHidden/>
          </w:rPr>
          <w:instrText xml:space="preserve"> PAGEREF _Toc496218102 \h </w:instrText>
        </w:r>
        <w:r w:rsidR="00B5610B" w:rsidRPr="001B029B">
          <w:rPr>
            <w:noProof w:val="0"/>
            <w:webHidden/>
          </w:rPr>
        </w:r>
        <w:r w:rsidR="00B5610B" w:rsidRPr="001B029B">
          <w:rPr>
            <w:noProof w:val="0"/>
            <w:webHidden/>
          </w:rPr>
          <w:fldChar w:fldCharType="separate"/>
        </w:r>
        <w:r w:rsidR="00B5610B" w:rsidRPr="001B029B">
          <w:rPr>
            <w:noProof w:val="0"/>
            <w:webHidden/>
          </w:rPr>
          <w:t>6</w:t>
        </w:r>
        <w:r w:rsidR="00B5610B" w:rsidRPr="001B029B">
          <w:rPr>
            <w:noProof w:val="0"/>
            <w:webHidden/>
          </w:rPr>
          <w:fldChar w:fldCharType="end"/>
        </w:r>
      </w:hyperlink>
    </w:p>
    <w:p w:rsidR="00B5610B" w:rsidRPr="001B029B" w:rsidRDefault="00A0170B">
      <w:pPr>
        <w:pStyle w:val="TOC2"/>
        <w:rPr>
          <w:rFonts w:asciiTheme="minorHAnsi" w:eastAsiaTheme="minorEastAsia" w:hAnsiTheme="minorHAnsi"/>
          <w:noProof w:val="0"/>
          <w:sz w:val="22"/>
          <w:lang w:eastAsia="en-AU"/>
        </w:rPr>
      </w:pPr>
      <w:hyperlink w:anchor="_Toc496218103" w:history="1">
        <w:r w:rsidR="00B5610B" w:rsidRPr="001B029B">
          <w:rPr>
            <w:rStyle w:val="Hyperlink"/>
            <w:noProof w:val="0"/>
          </w:rPr>
          <w:t>4.2.</w:t>
        </w:r>
        <w:r w:rsidR="00B5610B" w:rsidRPr="001B029B">
          <w:rPr>
            <w:rFonts w:asciiTheme="minorHAnsi" w:eastAsiaTheme="minorEastAsia" w:hAnsiTheme="minorHAnsi"/>
            <w:noProof w:val="0"/>
            <w:sz w:val="22"/>
            <w:lang w:eastAsia="en-AU"/>
          </w:rPr>
          <w:tab/>
        </w:r>
        <w:r w:rsidR="00B5610B" w:rsidRPr="001B029B">
          <w:rPr>
            <w:rStyle w:val="Hyperlink"/>
            <w:noProof w:val="0"/>
          </w:rPr>
          <w:t>Human Rights Implications</w:t>
        </w:r>
        <w:r w:rsidR="00B5610B" w:rsidRPr="001B029B">
          <w:rPr>
            <w:noProof w:val="0"/>
            <w:webHidden/>
          </w:rPr>
          <w:tab/>
        </w:r>
        <w:r w:rsidR="00B5610B" w:rsidRPr="001B029B">
          <w:rPr>
            <w:noProof w:val="0"/>
            <w:webHidden/>
          </w:rPr>
          <w:fldChar w:fldCharType="begin"/>
        </w:r>
        <w:r w:rsidR="00B5610B" w:rsidRPr="001B029B">
          <w:rPr>
            <w:noProof w:val="0"/>
            <w:webHidden/>
          </w:rPr>
          <w:instrText xml:space="preserve"> PAGEREF _Toc496218103 \h </w:instrText>
        </w:r>
        <w:r w:rsidR="00B5610B" w:rsidRPr="001B029B">
          <w:rPr>
            <w:noProof w:val="0"/>
            <w:webHidden/>
          </w:rPr>
        </w:r>
        <w:r w:rsidR="00B5610B" w:rsidRPr="001B029B">
          <w:rPr>
            <w:noProof w:val="0"/>
            <w:webHidden/>
          </w:rPr>
          <w:fldChar w:fldCharType="separate"/>
        </w:r>
        <w:r w:rsidR="00B5610B" w:rsidRPr="001B029B">
          <w:rPr>
            <w:noProof w:val="0"/>
            <w:webHidden/>
          </w:rPr>
          <w:t>6</w:t>
        </w:r>
        <w:r w:rsidR="00B5610B" w:rsidRPr="001B029B">
          <w:rPr>
            <w:noProof w:val="0"/>
            <w:webHidden/>
          </w:rPr>
          <w:fldChar w:fldCharType="end"/>
        </w:r>
      </w:hyperlink>
    </w:p>
    <w:p w:rsidR="00B5610B" w:rsidRPr="001B029B" w:rsidRDefault="00A0170B">
      <w:pPr>
        <w:pStyle w:val="TOC2"/>
        <w:rPr>
          <w:rFonts w:asciiTheme="minorHAnsi" w:eastAsiaTheme="minorEastAsia" w:hAnsiTheme="minorHAnsi"/>
          <w:noProof w:val="0"/>
          <w:sz w:val="22"/>
          <w:lang w:eastAsia="en-AU"/>
        </w:rPr>
      </w:pPr>
      <w:hyperlink w:anchor="_Toc496218104" w:history="1">
        <w:r w:rsidR="00B5610B" w:rsidRPr="001B029B">
          <w:rPr>
            <w:rStyle w:val="Hyperlink"/>
            <w:noProof w:val="0"/>
          </w:rPr>
          <w:t>4.3.</w:t>
        </w:r>
        <w:r w:rsidR="00B5610B" w:rsidRPr="001B029B">
          <w:rPr>
            <w:rFonts w:asciiTheme="minorHAnsi" w:eastAsiaTheme="minorEastAsia" w:hAnsiTheme="minorHAnsi"/>
            <w:noProof w:val="0"/>
            <w:sz w:val="22"/>
            <w:lang w:eastAsia="en-AU"/>
          </w:rPr>
          <w:tab/>
        </w:r>
        <w:r w:rsidR="00B5610B" w:rsidRPr="001B029B">
          <w:rPr>
            <w:rStyle w:val="Hyperlink"/>
            <w:noProof w:val="0"/>
          </w:rPr>
          <w:t>Conclusion</w:t>
        </w:r>
        <w:r w:rsidR="00B5610B" w:rsidRPr="001B029B">
          <w:rPr>
            <w:noProof w:val="0"/>
            <w:webHidden/>
          </w:rPr>
          <w:tab/>
        </w:r>
        <w:r w:rsidR="00B5610B" w:rsidRPr="001B029B">
          <w:rPr>
            <w:noProof w:val="0"/>
            <w:webHidden/>
          </w:rPr>
          <w:fldChar w:fldCharType="begin"/>
        </w:r>
        <w:r w:rsidR="00B5610B" w:rsidRPr="001B029B">
          <w:rPr>
            <w:noProof w:val="0"/>
            <w:webHidden/>
          </w:rPr>
          <w:instrText xml:space="preserve"> PAGEREF _Toc496218104 \h </w:instrText>
        </w:r>
        <w:r w:rsidR="00B5610B" w:rsidRPr="001B029B">
          <w:rPr>
            <w:noProof w:val="0"/>
            <w:webHidden/>
          </w:rPr>
        </w:r>
        <w:r w:rsidR="00B5610B" w:rsidRPr="001B029B">
          <w:rPr>
            <w:noProof w:val="0"/>
            <w:webHidden/>
          </w:rPr>
          <w:fldChar w:fldCharType="separate"/>
        </w:r>
        <w:r w:rsidR="00B5610B" w:rsidRPr="001B029B">
          <w:rPr>
            <w:noProof w:val="0"/>
            <w:webHidden/>
          </w:rPr>
          <w:t>6</w:t>
        </w:r>
        <w:r w:rsidR="00B5610B" w:rsidRPr="001B029B">
          <w:rPr>
            <w:noProof w:val="0"/>
            <w:webHidden/>
          </w:rPr>
          <w:fldChar w:fldCharType="end"/>
        </w:r>
      </w:hyperlink>
    </w:p>
    <w:p w:rsidR="0057103D" w:rsidRPr="001B029B" w:rsidRDefault="00C0092F" w:rsidP="00351388">
      <w:pPr>
        <w:pStyle w:val="TOC1"/>
      </w:pPr>
      <w:r w:rsidRPr="001B029B">
        <w:fldChar w:fldCharType="end"/>
      </w:r>
    </w:p>
    <w:p w:rsidR="0057103D" w:rsidRPr="001B029B" w:rsidRDefault="0057103D" w:rsidP="00351388">
      <w:pPr>
        <w:pStyle w:val="ESNormal"/>
      </w:pPr>
    </w:p>
    <w:p w:rsidR="0057103D" w:rsidRPr="001B029B" w:rsidRDefault="0057103D" w:rsidP="00351388">
      <w:pPr>
        <w:pStyle w:val="ESNormal"/>
        <w:sectPr w:rsidR="0057103D" w:rsidRPr="001B029B">
          <w:headerReference w:type="default" r:id="rId11"/>
          <w:footerReference w:type="default" r:id="rId12"/>
          <w:pgSz w:w="11906" w:h="16838"/>
          <w:pgMar w:top="1440" w:right="1440" w:bottom="1440" w:left="1440" w:header="708" w:footer="708" w:gutter="0"/>
          <w:cols w:space="708"/>
          <w:docGrid w:linePitch="360"/>
        </w:sectPr>
      </w:pPr>
    </w:p>
    <w:p w:rsidR="0057103D" w:rsidRPr="001B029B" w:rsidRDefault="002A783D" w:rsidP="00351388">
      <w:pPr>
        <w:pStyle w:val="ESLevel1"/>
      </w:pPr>
      <w:bookmarkStart w:id="1" w:name="_Toc496218091"/>
      <w:r w:rsidRPr="001B029B">
        <w:lastRenderedPageBreak/>
        <w:t>Legislative C</w:t>
      </w:r>
      <w:r w:rsidR="00C36E60" w:rsidRPr="001B029B">
        <w:t>ontext</w:t>
      </w:r>
      <w:bookmarkEnd w:id="1"/>
    </w:p>
    <w:p w:rsidR="008361E9" w:rsidRPr="001B029B" w:rsidRDefault="00A15ECF" w:rsidP="00351388">
      <w:pPr>
        <w:pStyle w:val="ESNormal"/>
      </w:pPr>
      <w:r w:rsidRPr="001B029B">
        <w:t xml:space="preserve">The </w:t>
      </w:r>
      <w:r w:rsidR="008361E9" w:rsidRPr="001B029B">
        <w:t xml:space="preserve">Motor Vehicle Standards (Road Vehicles) Determination 2017 </w:t>
      </w:r>
      <w:r w:rsidR="002521ED" w:rsidRPr="001B029B">
        <w:t xml:space="preserve">(the Determination) </w:t>
      </w:r>
      <w:r w:rsidR="008361E9" w:rsidRPr="001B029B">
        <w:t xml:space="preserve">is made under the </w:t>
      </w:r>
      <w:r w:rsidR="008361E9" w:rsidRPr="001B029B">
        <w:rPr>
          <w:rStyle w:val="ESNormalItalicised"/>
        </w:rPr>
        <w:t>Motor Vehicle Standards Act 1989</w:t>
      </w:r>
      <w:r w:rsidR="008361E9" w:rsidRPr="001B029B">
        <w:t xml:space="preserve"> (the Act).  The Act sets standards for road vehicles to ensure they are safe, environmentally friendly, energy efficient and secure from theft when they </w:t>
      </w:r>
      <w:r w:rsidR="00A56D51" w:rsidRPr="001B029B">
        <w:t>are supplied to the</w:t>
      </w:r>
      <w:r w:rsidR="008361E9" w:rsidRPr="001B029B">
        <w:t xml:space="preserve"> Australia</w:t>
      </w:r>
      <w:r w:rsidR="00A56D51" w:rsidRPr="001B029B">
        <w:t>n market, whether manufactured locally or imported from overseas</w:t>
      </w:r>
      <w:r w:rsidR="008361E9" w:rsidRPr="001B029B">
        <w:t>.  These vehicle standards are called the Australian Design Rules (ADRs) and they cover aspects of vehicle design such as braking, lighting, impact occupant protection and the emission of pollutants.</w:t>
      </w:r>
    </w:p>
    <w:p w:rsidR="00FE5C5C" w:rsidRPr="001B029B" w:rsidRDefault="008361E9" w:rsidP="00351388">
      <w:pPr>
        <w:pStyle w:val="ESNormal"/>
      </w:pPr>
      <w:r w:rsidRPr="001B029B">
        <w:t>Section 5B(1) of the Act allows the Minister to determine, by legislative instrument, that vehicles of a particular class or description are not road vehicles for the purposes of the Act and so are not required to meet the ADRs (or any other part of the Act).</w:t>
      </w:r>
      <w:r w:rsidR="00A15ECF" w:rsidRPr="001B029B">
        <w:t xml:space="preserve">  </w:t>
      </w:r>
      <w:r w:rsidR="00FE5C5C" w:rsidRPr="001B029B">
        <w:t xml:space="preserve">One intention of this section is to prevent wheeled machines that are not designed or </w:t>
      </w:r>
      <w:r w:rsidR="0011540B" w:rsidRPr="001B029B">
        <w:t xml:space="preserve">intended to be </w:t>
      </w:r>
      <w:r w:rsidR="00FE5C5C" w:rsidRPr="001B029B">
        <w:t xml:space="preserve">used as road vehicles from being </w:t>
      </w:r>
      <w:r w:rsidR="0011540B" w:rsidRPr="001B029B">
        <w:t xml:space="preserve">inadvertently </w:t>
      </w:r>
      <w:r w:rsidR="00FE5C5C" w:rsidRPr="001B029B">
        <w:t>captured under the definition of a road vehicle under the Act.</w:t>
      </w:r>
    </w:p>
    <w:p w:rsidR="002521ED" w:rsidRPr="001B029B" w:rsidRDefault="002521ED" w:rsidP="00351388">
      <w:pPr>
        <w:pStyle w:val="ESNormal"/>
      </w:pPr>
      <w:r w:rsidRPr="001B029B">
        <w:t>In 2003, the first determinatio</w:t>
      </w:r>
      <w:r w:rsidR="00FE5C5C" w:rsidRPr="001B029B">
        <w:t>n under section 5B</w:t>
      </w:r>
      <w:r w:rsidR="00050416" w:rsidRPr="001B029B">
        <w:t>(1)</w:t>
      </w:r>
      <w:r w:rsidR="00FE5C5C" w:rsidRPr="001B029B">
        <w:t xml:space="preserve"> was gazetted. </w:t>
      </w:r>
      <w:r w:rsidRPr="001B029B">
        <w:t xml:space="preserve"> </w:t>
      </w:r>
      <w:r w:rsidR="00FE5C5C" w:rsidRPr="001B029B">
        <w:t>T</w:t>
      </w:r>
      <w:r w:rsidRPr="001B029B">
        <w:t xml:space="preserve">he Motor Vehicle Standards (Road Vehicles) Determination 2003 determined that motorised </w:t>
      </w:r>
      <w:r w:rsidR="006D7E4B" w:rsidRPr="001B029B">
        <w:t>wheelchairs (as defined in the d</w:t>
      </w:r>
      <w:r w:rsidRPr="001B029B">
        <w:t xml:space="preserve">etermination) </w:t>
      </w:r>
      <w:r w:rsidR="00463B5F" w:rsidRPr="001B029B">
        <w:t>we</w:t>
      </w:r>
      <w:r w:rsidRPr="001B029B">
        <w:t>re not road vehicles</w:t>
      </w:r>
      <w:r w:rsidR="00463B5F" w:rsidRPr="001B029B">
        <w:t xml:space="preserve"> </w:t>
      </w:r>
      <w:r w:rsidR="00467BCB" w:rsidRPr="001B029B">
        <w:t>a</w:t>
      </w:r>
      <w:r w:rsidR="00351388" w:rsidRPr="001B029B">
        <w:t>nd was scheduled to sunset on 1 </w:t>
      </w:r>
      <w:r w:rsidR="00467BCB" w:rsidRPr="001B029B">
        <w:t>October</w:t>
      </w:r>
      <w:r w:rsidR="00351388" w:rsidRPr="001B029B">
        <w:t> </w:t>
      </w:r>
      <w:r w:rsidR="00467BCB" w:rsidRPr="001B029B">
        <w:t>2017</w:t>
      </w:r>
      <w:r w:rsidRPr="001B029B">
        <w:t>.</w:t>
      </w:r>
    </w:p>
    <w:p w:rsidR="0057103D" w:rsidRPr="001B029B" w:rsidRDefault="00C0092F" w:rsidP="00351388">
      <w:pPr>
        <w:pStyle w:val="ESLevel1"/>
      </w:pPr>
      <w:bookmarkStart w:id="2" w:name="_Toc496218092"/>
      <w:r w:rsidRPr="001B029B">
        <w:t>C</w:t>
      </w:r>
      <w:r w:rsidR="002A783D" w:rsidRPr="001B029B">
        <w:t>ontent and E</w:t>
      </w:r>
      <w:r w:rsidR="00C36E60" w:rsidRPr="001B029B">
        <w:t xml:space="preserve">ffect of </w:t>
      </w:r>
      <w:r w:rsidRPr="001B029B">
        <w:t>the</w:t>
      </w:r>
      <w:r w:rsidR="00C36E60" w:rsidRPr="001B029B">
        <w:t xml:space="preserve"> Determination</w:t>
      </w:r>
      <w:bookmarkEnd w:id="2"/>
    </w:p>
    <w:p w:rsidR="0057103D" w:rsidRPr="001B029B" w:rsidRDefault="00C36E60" w:rsidP="00351388">
      <w:pPr>
        <w:pStyle w:val="ESLevel2"/>
      </w:pPr>
      <w:bookmarkStart w:id="3" w:name="_Toc496218093"/>
      <w:r w:rsidRPr="001B029B">
        <w:t>Overview of the Determination</w:t>
      </w:r>
      <w:bookmarkEnd w:id="3"/>
    </w:p>
    <w:p w:rsidR="00B5610B" w:rsidRPr="001B029B" w:rsidRDefault="00A15ECF" w:rsidP="00351388">
      <w:pPr>
        <w:pStyle w:val="ESNormal"/>
      </w:pPr>
      <w:r w:rsidRPr="001B029B">
        <w:t>Th</w:t>
      </w:r>
      <w:r w:rsidR="00463B5F" w:rsidRPr="001B029B">
        <w:t>e</w:t>
      </w:r>
      <w:r w:rsidRPr="001B029B">
        <w:t xml:space="preserve"> Determination repeals and replaces </w:t>
      </w:r>
      <w:r w:rsidR="00463B5F" w:rsidRPr="001B029B">
        <w:t>Motor Vehicle Standards (Road Vehicles) Determination 2003</w:t>
      </w:r>
      <w:r w:rsidRPr="001B029B">
        <w:t xml:space="preserve">.  </w:t>
      </w:r>
      <w:r w:rsidR="00B5610B" w:rsidRPr="001B029B">
        <w:t xml:space="preserve">Under subsection 33(3) of the </w:t>
      </w:r>
      <w:r w:rsidR="00B5610B" w:rsidRPr="00E4362E">
        <w:rPr>
          <w:i/>
        </w:rPr>
        <w:t>Acts Interpretation Act 1901</w:t>
      </w:r>
      <w:r w:rsidR="00B5610B" w:rsidRPr="001B029B">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57103D" w:rsidRPr="001B029B" w:rsidRDefault="00A81A7F" w:rsidP="00351388">
      <w:pPr>
        <w:pStyle w:val="ESNormal"/>
      </w:pPr>
      <w:r>
        <w:t xml:space="preserve">The Determination provides for </w:t>
      </w:r>
      <w:r w:rsidR="00A15ECF" w:rsidRPr="001B029B">
        <w:t>not only motorised wheelchairs but a series of other vehicle classes, such as power-assisted pedal cycles and quad bikes (as defined in the Determination), as not road vehicles for the purposes of the Act.</w:t>
      </w:r>
      <w:r w:rsidR="00EA3969" w:rsidRPr="001B029B">
        <w:t xml:space="preserve">  </w:t>
      </w:r>
      <w:r w:rsidR="00FE5C5C" w:rsidRPr="001B029B">
        <w:t>Prior to this Determination</w:t>
      </w:r>
      <w:r w:rsidR="00EA3969" w:rsidRPr="001B029B">
        <w:t xml:space="preserve">, vehicles of these classes </w:t>
      </w:r>
      <w:r w:rsidR="0011540B" w:rsidRPr="001B029B">
        <w:t>were being assessed on an administrative basis.  The new Determination will provide clarity and certainty and so reduce the burden on industry and the public seeking to import these non-road vehicles.</w:t>
      </w:r>
    </w:p>
    <w:p w:rsidR="00A15ECF" w:rsidRPr="001B029B" w:rsidRDefault="0011540B" w:rsidP="00351388">
      <w:pPr>
        <w:pStyle w:val="ESNormal"/>
      </w:pPr>
      <w:r w:rsidRPr="001B029B">
        <w:t>T</w:t>
      </w:r>
      <w:r w:rsidR="00A15ECF" w:rsidRPr="001B029B">
        <w:t xml:space="preserve">he Determination is not exclusive.  That is, while it identifies </w:t>
      </w:r>
      <w:r w:rsidRPr="001B029B">
        <w:t xml:space="preserve">vehicle classes </w:t>
      </w:r>
      <w:r w:rsidR="00A15ECF" w:rsidRPr="001B029B">
        <w:t xml:space="preserve">not subject to the Act, </w:t>
      </w:r>
      <w:r w:rsidRPr="001B029B">
        <w:t>any other vehicle or vehicle class can continue to be assessed on its own merits on an administrative basis.</w:t>
      </w:r>
    </w:p>
    <w:p w:rsidR="00A56D51" w:rsidRPr="001B029B" w:rsidRDefault="00FE5C5C" w:rsidP="00351388">
      <w:pPr>
        <w:pStyle w:val="ESNormal"/>
      </w:pPr>
      <w:r w:rsidRPr="001B029B">
        <w:t xml:space="preserve">Inclusion in the Determination of particular </w:t>
      </w:r>
      <w:r w:rsidR="0011540B" w:rsidRPr="001B029B">
        <w:t xml:space="preserve">vehicle </w:t>
      </w:r>
      <w:r w:rsidRPr="001B029B">
        <w:t xml:space="preserve">classes </w:t>
      </w:r>
      <w:r w:rsidR="00A56D51" w:rsidRPr="001B029B">
        <w:t xml:space="preserve">does not </w:t>
      </w:r>
      <w:r w:rsidRPr="001B029B">
        <w:t xml:space="preserve">indicate </w:t>
      </w:r>
      <w:r w:rsidR="00A56D51" w:rsidRPr="001B029B">
        <w:t>permission for use.  State and territory governments regulate in-service vehicle use and</w:t>
      </w:r>
      <w:r w:rsidR="0011540B" w:rsidRPr="001B029B">
        <w:t>,</w:t>
      </w:r>
      <w:r w:rsidR="00A56D51" w:rsidRPr="001B029B">
        <w:t xml:space="preserve"> </w:t>
      </w:r>
      <w:r w:rsidR="0011540B" w:rsidRPr="001B029B">
        <w:t xml:space="preserve">as such, </w:t>
      </w:r>
      <w:r w:rsidR="00467BCB" w:rsidRPr="001B029B">
        <w:t xml:space="preserve">vehicle users </w:t>
      </w:r>
      <w:r w:rsidR="0011540B" w:rsidRPr="001B029B">
        <w:t xml:space="preserve">will need </w:t>
      </w:r>
      <w:r w:rsidR="00467BCB" w:rsidRPr="001B029B">
        <w:t>to familiarise themselves with local requirements</w:t>
      </w:r>
      <w:r w:rsidR="00A56D51" w:rsidRPr="001B029B">
        <w:t>.</w:t>
      </w:r>
    </w:p>
    <w:p w:rsidR="0057103D" w:rsidRPr="001B029B" w:rsidRDefault="00C36E60" w:rsidP="00351388">
      <w:pPr>
        <w:pStyle w:val="ESLevel2"/>
      </w:pPr>
      <w:bookmarkStart w:id="4" w:name="_Toc496218094"/>
      <w:r w:rsidRPr="001B029B">
        <w:t>Effect of the Determination</w:t>
      </w:r>
      <w:bookmarkEnd w:id="4"/>
    </w:p>
    <w:p w:rsidR="0057103D" w:rsidRPr="001B029B" w:rsidRDefault="008361E9" w:rsidP="00351388">
      <w:pPr>
        <w:pStyle w:val="ESNormal"/>
      </w:pPr>
      <w:r w:rsidRPr="001B029B">
        <w:t>The Determination provide</w:t>
      </w:r>
      <w:r w:rsidR="00A56D51" w:rsidRPr="001B029B">
        <w:t>s</w:t>
      </w:r>
      <w:r w:rsidRPr="001B029B">
        <w:t xml:space="preserve"> clarity to vehicle manufacturers, importers and members of the public about vehicle</w:t>
      </w:r>
      <w:r w:rsidR="0011540B" w:rsidRPr="001B029B">
        <w:t xml:space="preserve"> classe</w:t>
      </w:r>
      <w:r w:rsidRPr="001B029B">
        <w:t>s which are not required to meet the Act.</w:t>
      </w:r>
    </w:p>
    <w:p w:rsidR="00261DFE" w:rsidRPr="001B029B" w:rsidRDefault="00446008" w:rsidP="00E4362E">
      <w:pPr>
        <w:pStyle w:val="ESLevel2"/>
      </w:pPr>
      <w:bookmarkStart w:id="5" w:name="_Toc496218095"/>
      <w:r w:rsidRPr="001B029B">
        <w:t xml:space="preserve">Incorporated </w:t>
      </w:r>
      <w:r w:rsidR="00261DFE" w:rsidRPr="001B029B">
        <w:t>Documents</w:t>
      </w:r>
      <w:bookmarkEnd w:id="5"/>
    </w:p>
    <w:p w:rsidR="00261DFE" w:rsidRPr="001B029B" w:rsidRDefault="00446008" w:rsidP="000A7047">
      <w:pPr>
        <w:pStyle w:val="ESNormal"/>
      </w:pPr>
      <w:r w:rsidRPr="001B029B">
        <w:t>The Determination incorporates reference</w:t>
      </w:r>
      <w:r w:rsidR="005D7281" w:rsidRPr="001B029B">
        <w:t>s</w:t>
      </w:r>
      <w:r w:rsidRPr="001B029B">
        <w:t xml:space="preserve"> to European Standard</w:t>
      </w:r>
      <w:r w:rsidR="00E4531F">
        <w:t>s</w:t>
      </w:r>
      <w:r w:rsidRPr="001B029B">
        <w:t xml:space="preserve"> EN 15194:2009</w:t>
      </w:r>
      <w:r w:rsidR="00E4531F">
        <w:t xml:space="preserve"> and </w:t>
      </w:r>
      <w:r w:rsidR="00E4531F" w:rsidRPr="001B029B">
        <w:t>EN 15194:2009+A1:2011</w:t>
      </w:r>
      <w:r w:rsidR="001B029B" w:rsidRPr="001B029B">
        <w:t xml:space="preserve">, </w:t>
      </w:r>
      <w:r w:rsidRPr="001B029B">
        <w:t>Cycles - Electrically power assisted cycles - EPAC Bicycles.</w:t>
      </w:r>
      <w:r w:rsidR="005D7281" w:rsidRPr="001B029B">
        <w:t xml:space="preserve">  </w:t>
      </w:r>
      <w:r w:rsidR="000A7047" w:rsidRPr="001B029B">
        <w:t xml:space="preserve">These standards specify safety requirements and test methods for the design and assembly of electrically power assisted bicycles.  They are intended to cover electrically power assisted cycles of a type which have a maximum continuous rated power of 250 Watts, of which the output is progressively reduced and finally cut off as the </w:t>
      </w:r>
      <w:r w:rsidR="00AE5432" w:rsidRPr="001B029B">
        <w:t>bicycle</w:t>
      </w:r>
      <w:r w:rsidR="000A7047" w:rsidRPr="001B029B">
        <w:t xml:space="preserve"> reaches a speed of 25</w:t>
      </w:r>
      <w:r w:rsidR="00AE5432" w:rsidRPr="001B029B">
        <w:t> </w:t>
      </w:r>
      <w:r w:rsidR="000A7047" w:rsidRPr="001B029B">
        <w:t>km/h, or sooner, if the cyclist stops pedalling.</w:t>
      </w:r>
    </w:p>
    <w:p w:rsidR="005D7281" w:rsidRPr="001B029B" w:rsidRDefault="005D7281" w:rsidP="00351388">
      <w:pPr>
        <w:pStyle w:val="ESNormal"/>
      </w:pPr>
      <w:r w:rsidRPr="001B029B">
        <w:t xml:space="preserve">In accordance with </w:t>
      </w:r>
      <w:r w:rsidR="00E61E03">
        <w:t>subsections</w:t>
      </w:r>
      <w:r w:rsidRPr="001B029B">
        <w:t xml:space="preserve"> 14(1)(b) </w:t>
      </w:r>
      <w:r w:rsidR="00E61E03">
        <w:t xml:space="preserve">and 14(2) </w:t>
      </w:r>
      <w:r w:rsidRPr="001B029B">
        <w:t xml:space="preserve">of the </w:t>
      </w:r>
      <w:r w:rsidRPr="00E4362E">
        <w:rPr>
          <w:rStyle w:val="ESNormalItalicised"/>
        </w:rPr>
        <w:t>Legislation Act 2003</w:t>
      </w:r>
      <w:r w:rsidRPr="001B029B">
        <w:t xml:space="preserve"> these standards are incorporated as in force at the commencement of the Determination.</w:t>
      </w:r>
    </w:p>
    <w:p w:rsidR="000A7047" w:rsidRPr="001B029B" w:rsidRDefault="000A7047" w:rsidP="00351388">
      <w:pPr>
        <w:pStyle w:val="ESNormal"/>
      </w:pPr>
      <w:r w:rsidRPr="001B029B">
        <w:t xml:space="preserve">The standards may be </w:t>
      </w:r>
      <w:r w:rsidR="00AE5432" w:rsidRPr="001B029B">
        <w:t>freely accessed</w:t>
      </w:r>
      <w:r w:rsidRPr="001B029B">
        <w:t xml:space="preserve"> </w:t>
      </w:r>
      <w:r w:rsidR="00736924">
        <w:t>online</w:t>
      </w:r>
      <w:r w:rsidR="00AE5432" w:rsidRPr="001B029B">
        <w:t xml:space="preserve"> through the National Library of Australia </w:t>
      </w:r>
      <w:r w:rsidR="00F01EB6">
        <w:t xml:space="preserve">(NLA) </w:t>
      </w:r>
      <w:proofErr w:type="spellStart"/>
      <w:r w:rsidR="00AE5432" w:rsidRPr="001B029B">
        <w:t>eResources</w:t>
      </w:r>
      <w:proofErr w:type="spellEnd"/>
      <w:r w:rsidR="00AE5432" w:rsidRPr="001B029B">
        <w:t xml:space="preserve"> system</w:t>
      </w:r>
      <w:r w:rsidR="003F7573">
        <w:t xml:space="preserve">, </w:t>
      </w:r>
      <w:r w:rsidR="003F7573" w:rsidRPr="003F7573">
        <w:t>which provides access to the British Standards Online database</w:t>
      </w:r>
      <w:r w:rsidR="00AE5432" w:rsidRPr="001B029B">
        <w:t>.</w:t>
      </w:r>
      <w:r w:rsidR="00A219F2" w:rsidRPr="001B029B">
        <w:t xml:space="preserve">  A</w:t>
      </w:r>
      <w:r w:rsidR="00983D32" w:rsidRPr="001B029B">
        <w:t xml:space="preserve"> library</w:t>
      </w:r>
      <w:r w:rsidR="00A219F2" w:rsidRPr="001B029B">
        <w:t xml:space="preserve"> card is required </w:t>
      </w:r>
      <w:r w:rsidR="00983D32" w:rsidRPr="001B029B">
        <w:t xml:space="preserve">and can be obtained by anyone </w:t>
      </w:r>
      <w:r w:rsidR="003F7573">
        <w:t>with an Australian residential address</w:t>
      </w:r>
      <w:r w:rsidR="00983D32" w:rsidRPr="001B029B">
        <w:t>.</w:t>
      </w:r>
      <w:r w:rsidR="003F7573">
        <w:t xml:space="preserve">  </w:t>
      </w:r>
      <w:r w:rsidR="00F01EB6">
        <w:t xml:space="preserve">The NLA website is </w:t>
      </w:r>
      <w:r w:rsidR="00F01EB6" w:rsidRPr="003F7573">
        <w:t>https://www.nla.gov.au/</w:t>
      </w:r>
      <w:r w:rsidR="00F01EB6">
        <w:t>.</w:t>
      </w:r>
    </w:p>
    <w:p w:rsidR="0057103D" w:rsidRPr="001B029B" w:rsidRDefault="002A783D" w:rsidP="00351388">
      <w:pPr>
        <w:pStyle w:val="ESLevel1"/>
      </w:pPr>
      <w:bookmarkStart w:id="6" w:name="_Toc496218096"/>
      <w:r w:rsidRPr="001B029B">
        <w:t>B</w:t>
      </w:r>
      <w:r w:rsidR="00C36E60" w:rsidRPr="001B029B">
        <w:t xml:space="preserve">est </w:t>
      </w:r>
      <w:r w:rsidRPr="001B029B">
        <w:t>P</w:t>
      </w:r>
      <w:r w:rsidR="00C36E60" w:rsidRPr="001B029B">
        <w:t xml:space="preserve">ractice </w:t>
      </w:r>
      <w:r w:rsidRPr="001B029B">
        <w:t>R</w:t>
      </w:r>
      <w:r w:rsidR="00C36E60" w:rsidRPr="001B029B">
        <w:t>egulation</w:t>
      </w:r>
      <w:bookmarkEnd w:id="6"/>
    </w:p>
    <w:p w:rsidR="00C36E60" w:rsidRPr="001B029B" w:rsidRDefault="00C36E60" w:rsidP="00351388">
      <w:pPr>
        <w:pStyle w:val="ESLevel2"/>
      </w:pPr>
      <w:bookmarkStart w:id="7" w:name="_Toc496218097"/>
      <w:r w:rsidRPr="001B029B">
        <w:t>Business Cost Calculator</w:t>
      </w:r>
      <w:bookmarkEnd w:id="7"/>
    </w:p>
    <w:p w:rsidR="009B370C" w:rsidRPr="001B029B" w:rsidRDefault="00687FEB" w:rsidP="00351388">
      <w:pPr>
        <w:pStyle w:val="ESNormal"/>
      </w:pPr>
      <w:r w:rsidRPr="001B029B">
        <w:t xml:space="preserve">The Determination will have </w:t>
      </w:r>
      <w:r w:rsidR="00467BCB" w:rsidRPr="001B029B">
        <w:t xml:space="preserve">no </w:t>
      </w:r>
      <w:r w:rsidRPr="001B029B">
        <w:t xml:space="preserve">regulatory impacts as only vehicle classes that </w:t>
      </w:r>
      <w:r w:rsidR="0011540B" w:rsidRPr="001B029B">
        <w:t xml:space="preserve">have previously been </w:t>
      </w:r>
      <w:r w:rsidRPr="001B029B">
        <w:t xml:space="preserve">assessed </w:t>
      </w:r>
      <w:r w:rsidR="0011540B" w:rsidRPr="001B029B">
        <w:t xml:space="preserve">on an administrative basis </w:t>
      </w:r>
      <w:r w:rsidRPr="001B029B">
        <w:t xml:space="preserve">as </w:t>
      </w:r>
      <w:r w:rsidR="0011540B" w:rsidRPr="001B029B">
        <w:t>non-</w:t>
      </w:r>
      <w:r w:rsidRPr="001B029B">
        <w:t xml:space="preserve">road vehicles are </w:t>
      </w:r>
      <w:r w:rsidR="00467BCB" w:rsidRPr="001B029B">
        <w:t>being determined</w:t>
      </w:r>
      <w:r w:rsidRPr="001B029B">
        <w:t xml:space="preserve">.  </w:t>
      </w:r>
      <w:r w:rsidR="00FE4583" w:rsidRPr="001B029B">
        <w:rPr>
          <w:color w:val="000000"/>
          <w:shd w:val="clear" w:color="auto" w:fill="FFFFFF"/>
        </w:rPr>
        <w:t>It is estimated that the Determination will provide savings of $20,000 a year</w:t>
      </w:r>
      <w:r w:rsidR="009B370C" w:rsidRPr="001B029B">
        <w:t xml:space="preserve"> for vehicle and other machine manufacturers and importers</w:t>
      </w:r>
      <w:r w:rsidR="00467BCB" w:rsidRPr="001B029B">
        <w:t xml:space="preserve"> through reduced administrative burden</w:t>
      </w:r>
      <w:r w:rsidR="009B370C" w:rsidRPr="001B029B">
        <w:t>.</w:t>
      </w:r>
    </w:p>
    <w:p w:rsidR="0057103D" w:rsidRPr="001B029B" w:rsidRDefault="00C36E60" w:rsidP="00351388">
      <w:pPr>
        <w:pStyle w:val="ESLevel2"/>
      </w:pPr>
      <w:bookmarkStart w:id="8" w:name="_Toc496218098"/>
      <w:r w:rsidRPr="001B029B">
        <w:t>General Consultation Arrangements</w:t>
      </w:r>
      <w:bookmarkEnd w:id="8"/>
    </w:p>
    <w:p w:rsidR="00466187" w:rsidRPr="001B029B" w:rsidRDefault="00466187" w:rsidP="00351388">
      <w:pPr>
        <w:pStyle w:val="ESNormal"/>
      </w:pPr>
      <w:r w:rsidRPr="001B029B">
        <w:t>It has been longstanding practice to consult widely on propos</w:t>
      </w:r>
      <w:r w:rsidR="00A375B2" w:rsidRPr="001B029B">
        <w:t>als related to vehicle standards</w:t>
      </w:r>
      <w:r w:rsidRPr="001B029B">
        <w:t xml:space="preserve">.  For many years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w:t>
      </w:r>
      <w:r w:rsidR="00A375B2" w:rsidRPr="001B029B">
        <w:t>proposal</w:t>
      </w:r>
      <w:r w:rsidRPr="001B029B">
        <w:t xml:space="preserve"> is expected to have on industry or road users.</w:t>
      </w:r>
    </w:p>
    <w:p w:rsidR="00A375B2" w:rsidRPr="001B029B" w:rsidRDefault="00A375B2" w:rsidP="00351388">
      <w:pPr>
        <w:pStyle w:val="ESNormal"/>
      </w:pPr>
      <w:r w:rsidRPr="001B029B">
        <w:t xml:space="preserve">Depending on the nature of the proposed changes, consultation could involve the </w:t>
      </w:r>
      <w:proofErr w:type="spellStart"/>
      <w:r w:rsidR="00DF016B" w:rsidRPr="001B029B">
        <w:t>Austroads</w:t>
      </w:r>
      <w:proofErr w:type="spellEnd"/>
      <w:r w:rsidR="00DF016B" w:rsidRPr="001B029B">
        <w:t xml:space="preserve"> Safety Taskforce Safe Vehicle Theme Group (SVTG), </w:t>
      </w:r>
      <w:r w:rsidRPr="001B029B">
        <w:t>Strategic Vehicle Safety and Environment Group (SVSEG), Australian Motor Vehicle Certification Board (AMVCB), Technical Liaison Group (TLG), Transport and Infrastructure Senior Officials’ Committee (TISOC) and the Transport and Infrastructure Council (the Council).</w:t>
      </w:r>
    </w:p>
    <w:p w:rsidR="00DF016B" w:rsidRPr="001B029B" w:rsidRDefault="00DF016B" w:rsidP="00351388">
      <w:pPr>
        <w:pStyle w:val="ESNormalBulleted"/>
      </w:pPr>
      <w:r w:rsidRPr="001B029B">
        <w:t>SVTG consists of senior representatives of government agencies (Australian and state/territory), the National Transport Commission and the National Heavy Vehicle Regulator.</w:t>
      </w:r>
    </w:p>
    <w:p w:rsidR="00A375B2" w:rsidRPr="001B029B" w:rsidRDefault="00A375B2" w:rsidP="00351388">
      <w:pPr>
        <w:pStyle w:val="ESNormalBulleted"/>
      </w:pPr>
      <w:r w:rsidRPr="001B029B">
        <w:t>SVSEG consists of senior representatives of government agencies (Australian and state/territory), the National Transport Commission and the National Heavy Vehicle Regulator,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rsidR="00466187" w:rsidRPr="001B029B" w:rsidRDefault="00A375B2" w:rsidP="00351388">
      <w:pPr>
        <w:pStyle w:val="ESNormalBulleted"/>
      </w:pPr>
      <w:r w:rsidRPr="001B029B">
        <w:t xml:space="preserve">AMVCB consists of technical representatives of government regulatory authorities (Australian and state/territory) that deal with technical standards and other general vehicle issues, </w:t>
      </w:r>
      <w:r w:rsidR="006D7E4B" w:rsidRPr="001B029B">
        <w:t>as well as</w:t>
      </w:r>
      <w:r w:rsidRPr="001B029B">
        <w:t xml:space="preserve"> the National Transport Commission and the National Heavy Vehicle Regulator</w:t>
      </w:r>
      <w:r w:rsidR="00DF016B" w:rsidRPr="001B029B">
        <w:t xml:space="preserve"> (the same organisations as represented in SVTG)</w:t>
      </w:r>
      <w:r w:rsidRPr="001B029B">
        <w:t>.</w:t>
      </w:r>
    </w:p>
    <w:p w:rsidR="00A375B2" w:rsidRPr="001B029B" w:rsidRDefault="00A375B2" w:rsidP="00351388">
      <w:pPr>
        <w:pStyle w:val="ESNormalBulleted"/>
      </w:pPr>
      <w:r w:rsidRPr="001B029B">
        <w:t>TLG consists of technical representatives of government agencies (Australian and state/territory), the National Transport Commission and the National Heavy Vehicle Regulator, the manufacturing and operational arms of the industry and of representative organisations of consumers and road users (the same organisations as represented in SVSEG).</w:t>
      </w:r>
    </w:p>
    <w:p w:rsidR="00466187" w:rsidRPr="001B029B" w:rsidRDefault="00466187" w:rsidP="00351388">
      <w:pPr>
        <w:pStyle w:val="ESNormalBulleted"/>
      </w:pPr>
      <w:r w:rsidRPr="001B029B">
        <w:t>TISOC consists of state and territory transport and/or infrastructure Chief Executive Officers (CEOs) (or equivalents), the CEO of the National Transport Commission, New Zealand and the Australian Local Government Association.</w:t>
      </w:r>
    </w:p>
    <w:p w:rsidR="00466187" w:rsidRPr="001B029B" w:rsidRDefault="00466187" w:rsidP="00351388">
      <w:pPr>
        <w:pStyle w:val="ESNormalBulleted"/>
      </w:pPr>
      <w:r w:rsidRPr="001B029B">
        <w:t>The Council consists of the Australian, state/territory and New Zealand Ministers with responsibility for transport and infrastructure issues.</w:t>
      </w:r>
    </w:p>
    <w:p w:rsidR="0057103D" w:rsidRPr="001B029B" w:rsidRDefault="00466187" w:rsidP="00351388">
      <w:pPr>
        <w:pStyle w:val="ESNormal"/>
      </w:pPr>
      <w:r w:rsidRPr="001B029B">
        <w:t>Proposals that are regarded as significant need to be supported by a R</w:t>
      </w:r>
      <w:r w:rsidR="00495354" w:rsidRPr="001B029B">
        <w:t xml:space="preserve">egulation </w:t>
      </w:r>
      <w:r w:rsidRPr="001B029B">
        <w:t>I</w:t>
      </w:r>
      <w:r w:rsidR="00495354" w:rsidRPr="001B029B">
        <w:t xml:space="preserve">mpact </w:t>
      </w:r>
      <w:r w:rsidRPr="001B029B">
        <w:t>S</w:t>
      </w:r>
      <w:r w:rsidR="00495354" w:rsidRPr="001B029B">
        <w:t>tatement</w:t>
      </w:r>
      <w:r w:rsidRPr="001B029B">
        <w:t xml:space="preserve"> meeting the requirements of the Office of Best Practice Regulation (OBPR) as published in the </w:t>
      </w:r>
      <w:r w:rsidRPr="001B029B">
        <w:rPr>
          <w:rStyle w:val="ESNormalItalicised"/>
        </w:rPr>
        <w:t>Australian Government Guide to Regulation</w:t>
      </w:r>
      <w:r w:rsidRPr="001B029B">
        <w:t xml:space="preserve"> and the Council of Australian Governments’ </w:t>
      </w:r>
      <w:r w:rsidRPr="001B029B">
        <w:rPr>
          <w:rStyle w:val="ESNormalItalicised"/>
        </w:rPr>
        <w:t>Best Practice Regulation: A Guide for Ministerial Councils and National Standard Setting Bodies</w:t>
      </w:r>
      <w:r w:rsidRPr="001B029B">
        <w:t>.</w:t>
      </w:r>
    </w:p>
    <w:p w:rsidR="0057103D" w:rsidRPr="001B029B" w:rsidRDefault="00C36E60" w:rsidP="00351388">
      <w:pPr>
        <w:pStyle w:val="ESLevel2"/>
      </w:pPr>
      <w:bookmarkStart w:id="9" w:name="_Toc496218099"/>
      <w:r w:rsidRPr="001B029B">
        <w:t>Specific Consultation Arrangements for this Determination</w:t>
      </w:r>
      <w:bookmarkEnd w:id="9"/>
    </w:p>
    <w:p w:rsidR="0057103D" w:rsidRPr="001B029B" w:rsidRDefault="00DF016B" w:rsidP="00351388">
      <w:pPr>
        <w:pStyle w:val="ESNormal"/>
      </w:pPr>
      <w:r w:rsidRPr="001B029B">
        <w:t xml:space="preserve">The need to replace the </w:t>
      </w:r>
      <w:proofErr w:type="spellStart"/>
      <w:r w:rsidRPr="001B029B">
        <w:t>sunsetting</w:t>
      </w:r>
      <w:proofErr w:type="spellEnd"/>
      <w:r w:rsidRPr="001B029B">
        <w:t xml:space="preserve"> 2003 </w:t>
      </w:r>
      <w:r w:rsidR="00DD65E6" w:rsidRPr="001B029B">
        <w:t xml:space="preserve">determination </w:t>
      </w:r>
      <w:r w:rsidRPr="001B029B">
        <w:t xml:space="preserve">was discussed </w:t>
      </w:r>
      <w:r w:rsidR="0011540B" w:rsidRPr="001B029B">
        <w:t xml:space="preserve">with </w:t>
      </w:r>
      <w:r w:rsidRPr="001B029B">
        <w:t xml:space="preserve">SVTG in September 2016 and a draft </w:t>
      </w:r>
      <w:r w:rsidR="0011540B" w:rsidRPr="001B029B">
        <w:t xml:space="preserve">replacement </w:t>
      </w:r>
      <w:r w:rsidRPr="001B029B">
        <w:t>was presented in March 2017.</w:t>
      </w:r>
    </w:p>
    <w:p w:rsidR="00DF016B" w:rsidRPr="001B029B" w:rsidRDefault="00DF016B" w:rsidP="00351388">
      <w:pPr>
        <w:pStyle w:val="ESNormal"/>
      </w:pPr>
      <w:r w:rsidRPr="001B029B">
        <w:t xml:space="preserve">Consultation continued out-of-session with SVTG and AMVCB and an updated draft was presented </w:t>
      </w:r>
      <w:r w:rsidR="0011540B" w:rsidRPr="001B029B">
        <w:t xml:space="preserve">to </w:t>
      </w:r>
      <w:r w:rsidRPr="001B029B">
        <w:t>AMVCB</w:t>
      </w:r>
      <w:r w:rsidR="00134ED3" w:rsidRPr="001B029B">
        <w:t xml:space="preserve"> in May 2017.  A final consultation period </w:t>
      </w:r>
      <w:r w:rsidR="00A01DB1" w:rsidRPr="001B029B">
        <w:t>followed</w:t>
      </w:r>
      <w:r w:rsidR="00134ED3" w:rsidRPr="001B029B">
        <w:t>.</w:t>
      </w:r>
    </w:p>
    <w:p w:rsidR="00134ED3" w:rsidRPr="001B029B" w:rsidRDefault="00134ED3" w:rsidP="00351388">
      <w:pPr>
        <w:pStyle w:val="ESNormal"/>
      </w:pPr>
      <w:r w:rsidRPr="001B029B">
        <w:t xml:space="preserve">As the Determination does not impose any </w:t>
      </w:r>
      <w:r w:rsidR="003F5D01" w:rsidRPr="001B029B">
        <w:t xml:space="preserve">additional </w:t>
      </w:r>
      <w:r w:rsidRPr="001B029B">
        <w:t>regulatory burden there is no need for further consultation through TISOC, the Cou</w:t>
      </w:r>
      <w:r w:rsidR="003F5D01" w:rsidRPr="001B029B">
        <w:t>ncil</w:t>
      </w:r>
      <w:r w:rsidRPr="001B029B">
        <w:t xml:space="preserve"> or the public comment process.</w:t>
      </w:r>
    </w:p>
    <w:p w:rsidR="00C36E60" w:rsidRPr="001B029B" w:rsidRDefault="00C36E60" w:rsidP="00351388">
      <w:pPr>
        <w:pStyle w:val="ESLevel2"/>
      </w:pPr>
      <w:bookmarkStart w:id="10" w:name="_Toc496218100"/>
      <w:r w:rsidRPr="001B029B">
        <w:t>Regulation Impact Statement</w:t>
      </w:r>
      <w:bookmarkEnd w:id="10"/>
    </w:p>
    <w:p w:rsidR="00284960" w:rsidRPr="001B029B" w:rsidRDefault="00284960" w:rsidP="00351388">
      <w:pPr>
        <w:pStyle w:val="ESNormal"/>
      </w:pPr>
      <w:r w:rsidRPr="001B029B">
        <w:t xml:space="preserve">As the </w:t>
      </w:r>
      <w:r w:rsidR="00194E9D" w:rsidRPr="001B029B">
        <w:t xml:space="preserve">Determination will not impose </w:t>
      </w:r>
      <w:r w:rsidR="00DD65E6" w:rsidRPr="001B029B">
        <w:t xml:space="preserve">any </w:t>
      </w:r>
      <w:r w:rsidR="00194E9D" w:rsidRPr="001B029B">
        <w:t>impact on business</w:t>
      </w:r>
      <w:r w:rsidRPr="001B029B">
        <w:t xml:space="preserve">, </w:t>
      </w:r>
      <w:r w:rsidR="001E20EE" w:rsidRPr="001B029B">
        <w:t xml:space="preserve">and will reduce regulatory burden when compared to the status quo of allowing the existing </w:t>
      </w:r>
      <w:r w:rsidR="00DD65E6" w:rsidRPr="001B029B">
        <w:t>determination</w:t>
      </w:r>
      <w:r w:rsidR="001E20EE" w:rsidRPr="001B029B">
        <w:t xml:space="preserve"> to sunset, </w:t>
      </w:r>
      <w:r w:rsidRPr="001B029B">
        <w:t>a Regulation Impact Statement is not required.</w:t>
      </w:r>
    </w:p>
    <w:p w:rsidR="00C36E60" w:rsidRPr="001B029B" w:rsidRDefault="00284960" w:rsidP="00351388">
      <w:pPr>
        <w:pStyle w:val="ESNormal"/>
      </w:pPr>
      <w:r w:rsidRPr="001B029B">
        <w:t>Since the proposal is not considered significant, the Office of Best Practice Regulation requirements have been met for this regulatory proposal (OBPR Reference ID 2</w:t>
      </w:r>
      <w:r w:rsidR="00194E9D" w:rsidRPr="001B029B">
        <w:t>2092</w:t>
      </w:r>
      <w:r w:rsidRPr="001B029B">
        <w:t>).</w:t>
      </w:r>
    </w:p>
    <w:p w:rsidR="00C36E60" w:rsidRPr="001B029B" w:rsidRDefault="00C36E60" w:rsidP="00351388">
      <w:pPr>
        <w:pStyle w:val="ESLevel1"/>
      </w:pPr>
      <w:bookmarkStart w:id="11" w:name="_Toc496218101"/>
      <w:r w:rsidRPr="001B029B">
        <w:t xml:space="preserve">Statement of </w:t>
      </w:r>
      <w:r w:rsidR="002A783D" w:rsidRPr="001B029B">
        <w:t>Compatibility with Human R</w:t>
      </w:r>
      <w:r w:rsidRPr="001B029B">
        <w:t>ights</w:t>
      </w:r>
      <w:bookmarkEnd w:id="11"/>
    </w:p>
    <w:p w:rsidR="00C36E60" w:rsidRPr="001B029B" w:rsidRDefault="00C36E60" w:rsidP="00351388">
      <w:pPr>
        <w:pStyle w:val="ESNormal"/>
      </w:pPr>
      <w:r w:rsidRPr="001B029B">
        <w:t xml:space="preserve">The following Statement is prepared in accordance with Part 3 of the </w:t>
      </w:r>
      <w:r w:rsidRPr="001B029B">
        <w:rPr>
          <w:rStyle w:val="ESNormalItalicised"/>
        </w:rPr>
        <w:t>Human Rights (Parliamentary Scrutiny) Act 2011</w:t>
      </w:r>
      <w:r w:rsidRPr="001B029B">
        <w:t>.</w:t>
      </w:r>
    </w:p>
    <w:p w:rsidR="00C36E60" w:rsidRPr="001B029B" w:rsidRDefault="00C36E60" w:rsidP="00351388">
      <w:pPr>
        <w:pStyle w:val="ESLevel2"/>
      </w:pPr>
      <w:bookmarkStart w:id="12" w:name="_Toc496218102"/>
      <w:r w:rsidRPr="001B029B">
        <w:t>Overview of the Legislative Instrument</w:t>
      </w:r>
      <w:bookmarkEnd w:id="12"/>
    </w:p>
    <w:p w:rsidR="00C36E60" w:rsidRPr="001B029B" w:rsidRDefault="00A01DB1" w:rsidP="00351388">
      <w:pPr>
        <w:pStyle w:val="ESNormal"/>
      </w:pPr>
      <w:r w:rsidRPr="001B029B">
        <w:t xml:space="preserve">The Motor Vehicle Standards (Road Vehicles) Determination 2017 repeals and replaces the Motor Vehicle Standards (Road Vehicles) Determination 2003.  It determines a series of vehicle classes as not road vehicles for the purposes of the </w:t>
      </w:r>
      <w:r w:rsidRPr="001B029B">
        <w:rPr>
          <w:rStyle w:val="ESNormalItalicised"/>
        </w:rPr>
        <w:t>Motor Vehicle Standards Act 1989</w:t>
      </w:r>
      <w:r w:rsidRPr="001B029B">
        <w:t>.</w:t>
      </w:r>
    </w:p>
    <w:p w:rsidR="00C36E60" w:rsidRPr="001B029B" w:rsidRDefault="00C36E60" w:rsidP="00351388">
      <w:pPr>
        <w:pStyle w:val="ESLevel2"/>
      </w:pPr>
      <w:bookmarkStart w:id="13" w:name="_Toc496218103"/>
      <w:r w:rsidRPr="001B029B">
        <w:t>Human Rights Implications</w:t>
      </w:r>
      <w:bookmarkEnd w:id="13"/>
    </w:p>
    <w:p w:rsidR="00C36E60" w:rsidRPr="001B029B" w:rsidRDefault="00C36E60" w:rsidP="00351388">
      <w:pPr>
        <w:pStyle w:val="ESNormal"/>
      </w:pPr>
      <w:r w:rsidRPr="001B029B">
        <w:t xml:space="preserve">This </w:t>
      </w:r>
      <w:r w:rsidR="00AF63BA" w:rsidRPr="001B029B">
        <w:t>Determination</w:t>
      </w:r>
      <w:r w:rsidRPr="001B029B">
        <w:t xml:space="preserve"> does not engage any of the human rights and freedoms recognised or declared in the international instruments listed in section 3 of the </w:t>
      </w:r>
      <w:r w:rsidRPr="001B029B">
        <w:rPr>
          <w:rStyle w:val="ESNormalItalicised"/>
        </w:rPr>
        <w:t>Human Rights (Parliamentary Scrutiny) Act 2011</w:t>
      </w:r>
      <w:r w:rsidRPr="001B029B">
        <w:t>.</w:t>
      </w:r>
    </w:p>
    <w:p w:rsidR="00C36E60" w:rsidRPr="001B029B" w:rsidRDefault="00AF63BA" w:rsidP="00351388">
      <w:pPr>
        <w:pStyle w:val="ESLevel2"/>
      </w:pPr>
      <w:bookmarkStart w:id="14" w:name="_Toc496218104"/>
      <w:r w:rsidRPr="001B029B">
        <w:t>Conclusion</w:t>
      </w:r>
      <w:bookmarkEnd w:id="14"/>
    </w:p>
    <w:p w:rsidR="00C36E60" w:rsidRPr="001B029B" w:rsidRDefault="00AF63BA" w:rsidP="00351388">
      <w:pPr>
        <w:pStyle w:val="ESNormal"/>
      </w:pPr>
      <w:r w:rsidRPr="001B029B">
        <w:t>This Determination is compatible with human rights as it does not raise any human rights issues.</w:t>
      </w:r>
    </w:p>
    <w:p w:rsidR="0057103D" w:rsidRPr="001B029B" w:rsidRDefault="0057103D" w:rsidP="00351388">
      <w:pPr>
        <w:pStyle w:val="ESNormal"/>
      </w:pPr>
    </w:p>
    <w:sectPr w:rsidR="0057103D" w:rsidRPr="001B02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E77" w:rsidRDefault="00773E77" w:rsidP="0057103D">
      <w:pPr>
        <w:spacing w:before="0" w:after="0" w:line="240" w:lineRule="auto"/>
      </w:pPr>
      <w:r>
        <w:separator/>
      </w:r>
    </w:p>
  </w:endnote>
  <w:endnote w:type="continuationSeparator" w:id="0">
    <w:p w:rsidR="00773E77" w:rsidRDefault="00773E77" w:rsidP="005710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341" w:rsidRDefault="002B2341" w:rsidP="00C36E60">
    <w:pPr>
      <w:pStyle w:val="ESHeaderBord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E77" w:rsidRDefault="00773E77" w:rsidP="0057103D">
      <w:pPr>
        <w:spacing w:before="0" w:after="0" w:line="240" w:lineRule="auto"/>
      </w:pPr>
      <w:r>
        <w:separator/>
      </w:r>
    </w:p>
  </w:footnote>
  <w:footnote w:type="continuationSeparator" w:id="0">
    <w:p w:rsidR="00773E77" w:rsidRDefault="00773E77" w:rsidP="0057103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03D" w:rsidRDefault="0057103D" w:rsidP="0057103D">
    <w:pPr>
      <w:pStyle w:val="ESHeader"/>
      <w:tabs>
        <w:tab w:val="right" w:pos="9026"/>
      </w:tabs>
    </w:pPr>
    <w:r>
      <w:t>Explanatory Statement</w:t>
    </w:r>
    <w:r>
      <w:tab/>
    </w:r>
    <w:r>
      <w:fldChar w:fldCharType="begin"/>
    </w:r>
    <w:r>
      <w:instrText xml:space="preserve"> PAGE   \* MERGEFORMAT </w:instrText>
    </w:r>
    <w:r>
      <w:fldChar w:fldCharType="separate"/>
    </w:r>
    <w:r w:rsidR="00A0170B">
      <w:rPr>
        <w:noProof/>
      </w:rPr>
      <w:t>2</w:t>
    </w:r>
    <w:r>
      <w:rPr>
        <w:noProof/>
      </w:rPr>
      <w:fldChar w:fldCharType="end"/>
    </w:r>
  </w:p>
  <w:p w:rsidR="0057103D" w:rsidRDefault="0057103D" w:rsidP="0057103D">
    <w:pPr>
      <w:pStyle w:val="ESHeader"/>
    </w:pPr>
    <w:r w:rsidRPr="0057103D">
      <w:t>Motor Vehicle Standards (Road Vehicles) Determination 2017</w:t>
    </w:r>
  </w:p>
  <w:p w:rsidR="0057103D" w:rsidRDefault="0057103D" w:rsidP="0057103D">
    <w:pPr>
      <w:pStyle w:val="ESHeaderBor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 w15:restartNumberingAfterBreak="0">
    <w:nsid w:val="58A15192"/>
    <w:multiLevelType w:val="hybridMultilevel"/>
    <w:tmpl w:val="11D8F976"/>
    <w:lvl w:ilvl="0" w:tplc="43E29F46">
      <w:start w:val="1"/>
      <w:numFmt w:val="bullet"/>
      <w:pStyle w:val="ESNormalBullete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03D"/>
    <w:rsid w:val="00002051"/>
    <w:rsid w:val="00050416"/>
    <w:rsid w:val="000A7047"/>
    <w:rsid w:val="0011540B"/>
    <w:rsid w:val="00134ED3"/>
    <w:rsid w:val="00194E9D"/>
    <w:rsid w:val="001B029B"/>
    <w:rsid w:val="001E20EE"/>
    <w:rsid w:val="001F2DC1"/>
    <w:rsid w:val="001F72C3"/>
    <w:rsid w:val="002210F3"/>
    <w:rsid w:val="002521ED"/>
    <w:rsid w:val="00261DFE"/>
    <w:rsid w:val="00264808"/>
    <w:rsid w:val="00284960"/>
    <w:rsid w:val="002A783D"/>
    <w:rsid w:val="002B2341"/>
    <w:rsid w:val="00351388"/>
    <w:rsid w:val="003F5D01"/>
    <w:rsid w:val="003F7573"/>
    <w:rsid w:val="00446008"/>
    <w:rsid w:val="00463B5F"/>
    <w:rsid w:val="00466187"/>
    <w:rsid w:val="00467BCB"/>
    <w:rsid w:val="00495354"/>
    <w:rsid w:val="005029AE"/>
    <w:rsid w:val="0054353C"/>
    <w:rsid w:val="0057103D"/>
    <w:rsid w:val="005D7281"/>
    <w:rsid w:val="00685FF9"/>
    <w:rsid w:val="00687FEB"/>
    <w:rsid w:val="006D7E4B"/>
    <w:rsid w:val="006F02C2"/>
    <w:rsid w:val="00736924"/>
    <w:rsid w:val="00773E77"/>
    <w:rsid w:val="007C0DEA"/>
    <w:rsid w:val="008361E9"/>
    <w:rsid w:val="008430F3"/>
    <w:rsid w:val="008A37F7"/>
    <w:rsid w:val="00983D32"/>
    <w:rsid w:val="009B370C"/>
    <w:rsid w:val="00A003DA"/>
    <w:rsid w:val="00A0170B"/>
    <w:rsid w:val="00A01DB1"/>
    <w:rsid w:val="00A05840"/>
    <w:rsid w:val="00A15ECF"/>
    <w:rsid w:val="00A160A3"/>
    <w:rsid w:val="00A16F3A"/>
    <w:rsid w:val="00A219F2"/>
    <w:rsid w:val="00A22C5B"/>
    <w:rsid w:val="00A375B2"/>
    <w:rsid w:val="00A56D51"/>
    <w:rsid w:val="00A81A7F"/>
    <w:rsid w:val="00AE5432"/>
    <w:rsid w:val="00AF63BA"/>
    <w:rsid w:val="00B5610B"/>
    <w:rsid w:val="00C0092F"/>
    <w:rsid w:val="00C223C6"/>
    <w:rsid w:val="00C36E60"/>
    <w:rsid w:val="00CC55CC"/>
    <w:rsid w:val="00CF1620"/>
    <w:rsid w:val="00DD65E6"/>
    <w:rsid w:val="00DF016B"/>
    <w:rsid w:val="00E4362E"/>
    <w:rsid w:val="00E4531F"/>
    <w:rsid w:val="00E61E03"/>
    <w:rsid w:val="00EA3969"/>
    <w:rsid w:val="00ED5E90"/>
    <w:rsid w:val="00F01EB6"/>
    <w:rsid w:val="00F5636B"/>
    <w:rsid w:val="00FE4583"/>
    <w:rsid w:val="00FE5C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37AAE7"/>
  <w15:chartTrackingRefBased/>
  <w15:docId w15:val="{095410E1-11EA-4844-A029-C8798CDA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83D"/>
    <w:pPr>
      <w:spacing w:before="120" w:after="120" w:line="276" w:lineRule="auto"/>
    </w:pPr>
    <w:rPr>
      <w:rFonts w:ascii="Times New Roman" w:hAnsi="Times New Roman"/>
      <w:sz w:val="24"/>
    </w:rPr>
  </w:style>
  <w:style w:type="paragraph" w:styleId="Heading1">
    <w:name w:val="heading 1"/>
    <w:basedOn w:val="Normal"/>
    <w:next w:val="Normal"/>
    <w:link w:val="Heading1Char"/>
    <w:uiPriority w:val="9"/>
    <w:qFormat/>
    <w:rsid w:val="00C009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009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itle">
    <w:name w:val="ES_Title"/>
    <w:basedOn w:val="ESNormal"/>
    <w:next w:val="ESNormal"/>
    <w:link w:val="ESTitleChar"/>
    <w:qFormat/>
    <w:rsid w:val="0057103D"/>
    <w:pPr>
      <w:jc w:val="center"/>
    </w:pPr>
    <w:rPr>
      <w:b/>
      <w:sz w:val="36"/>
    </w:rPr>
  </w:style>
  <w:style w:type="paragraph" w:customStyle="1" w:styleId="ESNormal">
    <w:name w:val="ES_Normal"/>
    <w:link w:val="ESNormalChar"/>
    <w:qFormat/>
    <w:rsid w:val="002A783D"/>
    <w:pPr>
      <w:spacing w:before="120" w:after="120" w:line="276" w:lineRule="auto"/>
    </w:pPr>
    <w:rPr>
      <w:rFonts w:ascii="Times New Roman" w:hAnsi="Times New Roman"/>
      <w:sz w:val="24"/>
    </w:rPr>
  </w:style>
  <w:style w:type="character" w:customStyle="1" w:styleId="ESTitleChar">
    <w:name w:val="ES_Title Char"/>
    <w:basedOn w:val="DefaultParagraphFont"/>
    <w:link w:val="ESTitle"/>
    <w:rsid w:val="0057103D"/>
    <w:rPr>
      <w:rFonts w:ascii="Verdana" w:hAnsi="Verdana"/>
      <w:b/>
      <w:sz w:val="36"/>
    </w:rPr>
  </w:style>
  <w:style w:type="paragraph" w:customStyle="1" w:styleId="ESCentred">
    <w:name w:val="ES_Centred"/>
    <w:basedOn w:val="ESNormal"/>
    <w:link w:val="ESCentredChar"/>
    <w:qFormat/>
    <w:rsid w:val="0057103D"/>
    <w:pPr>
      <w:jc w:val="center"/>
    </w:pPr>
  </w:style>
  <w:style w:type="character" w:customStyle="1" w:styleId="ESNormalChar">
    <w:name w:val="ES_Normal Char"/>
    <w:basedOn w:val="DefaultParagraphFont"/>
    <w:link w:val="ESNormal"/>
    <w:rsid w:val="002A783D"/>
    <w:rPr>
      <w:rFonts w:ascii="Times New Roman" w:hAnsi="Times New Roman"/>
      <w:sz w:val="24"/>
    </w:rPr>
  </w:style>
  <w:style w:type="paragraph" w:customStyle="1" w:styleId="ESContents">
    <w:name w:val="ES_Contents"/>
    <w:basedOn w:val="ESNormal"/>
    <w:next w:val="ESNormal"/>
    <w:link w:val="ESContentsChar"/>
    <w:qFormat/>
    <w:rsid w:val="0057103D"/>
    <w:pPr>
      <w:keepNext/>
      <w:jc w:val="center"/>
    </w:pPr>
    <w:rPr>
      <w:b/>
      <w:caps/>
    </w:rPr>
  </w:style>
  <w:style w:type="character" w:customStyle="1" w:styleId="ESCentredChar">
    <w:name w:val="ES_Centred Char"/>
    <w:basedOn w:val="ESNormalChar"/>
    <w:link w:val="ESCentred"/>
    <w:rsid w:val="0057103D"/>
    <w:rPr>
      <w:rFonts w:ascii="Verdana" w:hAnsi="Verdana"/>
      <w:sz w:val="24"/>
    </w:rPr>
  </w:style>
  <w:style w:type="paragraph" w:customStyle="1" w:styleId="ESLevel1">
    <w:name w:val="ES_Level1"/>
    <w:basedOn w:val="ESNormal"/>
    <w:link w:val="ESLevel1Char"/>
    <w:qFormat/>
    <w:rsid w:val="00351388"/>
    <w:pPr>
      <w:keepNext/>
      <w:numPr>
        <w:numId w:val="1"/>
      </w:numPr>
      <w:spacing w:before="240" w:after="240"/>
    </w:pPr>
    <w:rPr>
      <w:b/>
      <w:caps/>
    </w:rPr>
  </w:style>
  <w:style w:type="character" w:customStyle="1" w:styleId="ESContentsChar">
    <w:name w:val="ES_Contents Char"/>
    <w:basedOn w:val="ESNormalChar"/>
    <w:link w:val="ESContents"/>
    <w:rsid w:val="0057103D"/>
    <w:rPr>
      <w:rFonts w:ascii="Verdana" w:hAnsi="Verdana"/>
      <w:b/>
      <w:caps/>
      <w:sz w:val="24"/>
    </w:rPr>
  </w:style>
  <w:style w:type="paragraph" w:customStyle="1" w:styleId="ESLevel2">
    <w:name w:val="ES_Level2"/>
    <w:basedOn w:val="ESNormal"/>
    <w:next w:val="ESNormal"/>
    <w:link w:val="ESLevel2Char"/>
    <w:qFormat/>
    <w:rsid w:val="00C36E60"/>
    <w:pPr>
      <w:keepNext/>
      <w:numPr>
        <w:ilvl w:val="1"/>
        <w:numId w:val="1"/>
      </w:numPr>
      <w:spacing w:before="240" w:after="240"/>
    </w:pPr>
  </w:style>
  <w:style w:type="character" w:customStyle="1" w:styleId="ESLevel1Char">
    <w:name w:val="ES_Level1 Char"/>
    <w:basedOn w:val="ESNormalChar"/>
    <w:link w:val="ESLevel1"/>
    <w:rsid w:val="00351388"/>
    <w:rPr>
      <w:rFonts w:ascii="Times New Roman" w:hAnsi="Times New Roman"/>
      <w:b/>
      <w:caps/>
      <w:sz w:val="24"/>
    </w:rPr>
  </w:style>
  <w:style w:type="character" w:customStyle="1" w:styleId="ESNormalItalicised">
    <w:name w:val="ES_Normal_Italicised"/>
    <w:basedOn w:val="DefaultParagraphFont"/>
    <w:uiPriority w:val="1"/>
    <w:qFormat/>
    <w:rsid w:val="0057103D"/>
    <w:rPr>
      <w:i/>
    </w:rPr>
  </w:style>
  <w:style w:type="character" w:customStyle="1" w:styleId="ESLevel2Char">
    <w:name w:val="ES_Level2 Char"/>
    <w:basedOn w:val="ESNormalChar"/>
    <w:link w:val="ESLevel2"/>
    <w:rsid w:val="00C36E60"/>
    <w:rPr>
      <w:rFonts w:ascii="Verdana" w:hAnsi="Verdana"/>
      <w:sz w:val="24"/>
    </w:rPr>
  </w:style>
  <w:style w:type="paragraph" w:styleId="Header">
    <w:name w:val="header"/>
    <w:basedOn w:val="Normal"/>
    <w:link w:val="HeaderChar"/>
    <w:uiPriority w:val="99"/>
    <w:unhideWhenUsed/>
    <w:rsid w:val="0057103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7103D"/>
    <w:rPr>
      <w:rFonts w:ascii="Verdana" w:hAnsi="Verdana"/>
      <w:sz w:val="24"/>
    </w:rPr>
  </w:style>
  <w:style w:type="paragraph" w:styleId="Footer">
    <w:name w:val="footer"/>
    <w:basedOn w:val="Normal"/>
    <w:link w:val="FooterChar"/>
    <w:uiPriority w:val="99"/>
    <w:unhideWhenUsed/>
    <w:rsid w:val="0057103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7103D"/>
    <w:rPr>
      <w:rFonts w:ascii="Verdana" w:hAnsi="Verdana"/>
      <w:sz w:val="24"/>
    </w:rPr>
  </w:style>
  <w:style w:type="paragraph" w:customStyle="1" w:styleId="ESHeader">
    <w:name w:val="ES_Header"/>
    <w:link w:val="ESHeaderChar"/>
    <w:qFormat/>
    <w:rsid w:val="00351388"/>
    <w:pPr>
      <w:spacing w:after="0"/>
    </w:pPr>
    <w:rPr>
      <w:rFonts w:ascii="Times New Roman" w:hAnsi="Times New Roman"/>
      <w:sz w:val="20"/>
    </w:rPr>
  </w:style>
  <w:style w:type="paragraph" w:customStyle="1" w:styleId="ESHeaderBorder">
    <w:name w:val="ES_Header_Border"/>
    <w:basedOn w:val="ESHeader"/>
    <w:qFormat/>
    <w:rsid w:val="002A783D"/>
    <w:pPr>
      <w:pBdr>
        <w:top w:val="single" w:sz="4" w:space="1" w:color="auto"/>
      </w:pBdr>
    </w:pPr>
  </w:style>
  <w:style w:type="character" w:customStyle="1" w:styleId="ESHeaderChar">
    <w:name w:val="ES_Header Char"/>
    <w:basedOn w:val="DefaultParagraphFont"/>
    <w:link w:val="ESHeader"/>
    <w:rsid w:val="00351388"/>
    <w:rPr>
      <w:rFonts w:ascii="Times New Roman" w:hAnsi="Times New Roman"/>
      <w:sz w:val="20"/>
    </w:rPr>
  </w:style>
  <w:style w:type="character" w:customStyle="1" w:styleId="Heading1Char">
    <w:name w:val="Heading 1 Char"/>
    <w:basedOn w:val="DefaultParagraphFont"/>
    <w:link w:val="Heading1"/>
    <w:uiPriority w:val="9"/>
    <w:rsid w:val="00C009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0092F"/>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C0092F"/>
    <w:rPr>
      <w:color w:val="0563C1" w:themeColor="hyperlink"/>
      <w:u w:val="single"/>
    </w:rPr>
  </w:style>
  <w:style w:type="paragraph" w:styleId="TOC1">
    <w:name w:val="toc 1"/>
    <w:basedOn w:val="Normal"/>
    <w:next w:val="Normal"/>
    <w:autoRedefine/>
    <w:uiPriority w:val="39"/>
    <w:unhideWhenUsed/>
    <w:rsid w:val="00C0092F"/>
    <w:pPr>
      <w:spacing w:after="100"/>
      <w:ind w:left="851" w:hanging="851"/>
    </w:pPr>
    <w:rPr>
      <w:caps/>
    </w:rPr>
  </w:style>
  <w:style w:type="paragraph" w:styleId="TOC2">
    <w:name w:val="toc 2"/>
    <w:basedOn w:val="Normal"/>
    <w:next w:val="Normal"/>
    <w:autoRedefine/>
    <w:uiPriority w:val="39"/>
    <w:unhideWhenUsed/>
    <w:rsid w:val="00351388"/>
    <w:pPr>
      <w:tabs>
        <w:tab w:val="right" w:leader="dot" w:pos="9016"/>
      </w:tabs>
      <w:spacing w:after="100"/>
      <w:ind w:left="851" w:hanging="851"/>
    </w:pPr>
    <w:rPr>
      <w:noProof/>
    </w:rPr>
  </w:style>
  <w:style w:type="paragraph" w:customStyle="1" w:styleId="ESNormalBulleted">
    <w:name w:val="ES_Normal_Bulleted"/>
    <w:basedOn w:val="ESNormal"/>
    <w:qFormat/>
    <w:rsid w:val="00466187"/>
    <w:pPr>
      <w:numPr>
        <w:numId w:val="2"/>
      </w:numPr>
      <w:ind w:left="357" w:hanging="357"/>
    </w:pPr>
  </w:style>
  <w:style w:type="paragraph" w:styleId="BalloonText">
    <w:name w:val="Balloon Text"/>
    <w:basedOn w:val="Normal"/>
    <w:link w:val="BalloonTextChar"/>
    <w:uiPriority w:val="99"/>
    <w:semiHidden/>
    <w:unhideWhenUsed/>
    <w:rsid w:val="001F2DC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D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8CE6D3E0E813D24BA7913DA7C496CA59" ma:contentTypeVersion="" ma:contentTypeDescription="PDMS Documentation Content Type" ma:contentTypeScope="" ma:versionID="8e923a99cd832317519e7e66b861d10f">
  <xsd:schema xmlns:xsd="http://www.w3.org/2001/XMLSchema" xmlns:xs="http://www.w3.org/2001/XMLSchema" xmlns:p="http://schemas.microsoft.com/office/2006/metadata/properties" xmlns:ns2="8B6C1F0B-2A90-46E2-9BA3-AA1A929CCC29" targetNamespace="http://schemas.microsoft.com/office/2006/metadata/properties" ma:root="true" ma:fieldsID="7d1779e87dc1b5b4a67646c4857e08e1" ns2:_="">
    <xsd:import namespace="8B6C1F0B-2A90-46E2-9BA3-AA1A929CCC29"/>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C1F0B-2A90-46E2-9BA3-AA1A929CCC2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B6C1F0B-2A90-46E2-9BA3-AA1A929CCC29" xsi:nil="true"/>
    <pdms_AttachedBy xmlns="8B6C1F0B-2A90-46E2-9BA3-AA1A929CCC29" xsi:nil="true"/>
    <pdms_Reason xmlns="8B6C1F0B-2A90-46E2-9BA3-AA1A929CCC29" xsi:nil="true"/>
    <pdms_SecurityClassification xmlns="8B6C1F0B-2A90-46E2-9BA3-AA1A929CCC29" xsi:nil="true"/>
    <pdms_DocumentType xmlns="8B6C1F0B-2A90-46E2-9BA3-AA1A929CCC2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B5750-1DC3-42FE-81E9-C3116DAE7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C1F0B-2A90-46E2-9BA3-AA1A929CC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D58319-3F47-455E-8E48-4B3AD874742E}">
  <ds:schemaRefs>
    <ds:schemaRef ds:uri="http://schemas.microsoft.com/sharepoint/v3/contenttype/forms"/>
  </ds:schemaRefs>
</ds:datastoreItem>
</file>

<file path=customXml/itemProps3.xml><?xml version="1.0" encoding="utf-8"?>
<ds:datastoreItem xmlns:ds="http://schemas.openxmlformats.org/officeDocument/2006/customXml" ds:itemID="{65C6E6AF-C28A-4C3E-8E67-A4F6EAD1A6E2}">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8B6C1F0B-2A90-46E2-9BA3-AA1A929CCC29"/>
    <ds:schemaRef ds:uri="http://www.w3.org/XML/1998/namespace"/>
    <ds:schemaRef ds:uri="http://purl.org/dc/dcmitype/"/>
  </ds:schemaRefs>
</ds:datastoreItem>
</file>

<file path=customXml/itemProps4.xml><?xml version="1.0" encoding="utf-8"?>
<ds:datastoreItem xmlns:ds="http://schemas.openxmlformats.org/officeDocument/2006/customXml" ds:itemID="{56BD76F5-D6C1-470D-8162-B4CD4B54B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1653</Words>
  <Characters>9427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&amp; Regional Development</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Ben</dc:creator>
  <cp:keywords/>
  <dc:description/>
  <cp:lastModifiedBy>THIRUVASAGAN Siva</cp:lastModifiedBy>
  <cp:revision>3</cp:revision>
  <dcterms:created xsi:type="dcterms:W3CDTF">2017-11-29T04:40:00Z</dcterms:created>
  <dcterms:modified xsi:type="dcterms:W3CDTF">2017-11-29T04:45:00Z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0x010100266966F133664895A6EE3632470D45F501008CE6D3E0E813D24BA7913DA7C496CA59</vt:lpwstr>
  </property>
</Properties>
</file>