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9E596" w14:textId="5E548B78" w:rsidR="0084714A" w:rsidRPr="00653D9D" w:rsidRDefault="0084714A" w:rsidP="0084714A">
      <w:pPr>
        <w:pStyle w:val="Heading2"/>
        <w:ind w:left="0" w:firstLine="0"/>
      </w:pPr>
      <w:bookmarkStart w:id="0" w:name="_Toc471478812"/>
      <w:bookmarkStart w:id="1" w:name="_Toc471478949"/>
      <w:bookmarkStart w:id="2" w:name="_GoBack"/>
      <w:bookmarkEnd w:id="2"/>
      <w:r w:rsidRPr="00653D9D">
        <w:t>Explanatory Statement</w:t>
      </w:r>
      <w:bookmarkEnd w:id="0"/>
      <w:bookmarkEnd w:id="1"/>
    </w:p>
    <w:p w14:paraId="26F97E5D" w14:textId="77777777" w:rsidR="0084714A" w:rsidRPr="00653D9D" w:rsidRDefault="0084714A" w:rsidP="0084714A">
      <w:pPr>
        <w:rPr>
          <w:b/>
          <w:lang w:val="en-AU" w:eastAsia="en-GB" w:bidi="ar-SA"/>
        </w:rPr>
      </w:pPr>
      <w:r w:rsidRPr="00653D9D">
        <w:rPr>
          <w:b/>
          <w:lang w:val="en-AU" w:eastAsia="en-GB" w:bidi="ar-SA"/>
        </w:rPr>
        <w:t>1.</w:t>
      </w:r>
      <w:r w:rsidRPr="00653D9D">
        <w:rPr>
          <w:b/>
          <w:lang w:val="en-AU" w:eastAsia="en-GB" w:bidi="ar-SA"/>
        </w:rPr>
        <w:tab/>
        <w:t>Authority</w:t>
      </w:r>
    </w:p>
    <w:p w14:paraId="4C718B94" w14:textId="77777777" w:rsidR="0084714A" w:rsidRPr="00653D9D" w:rsidRDefault="0084714A" w:rsidP="0084714A">
      <w:pPr>
        <w:rPr>
          <w:lang w:val="en-AU" w:eastAsia="en-GB" w:bidi="ar-SA"/>
        </w:rPr>
      </w:pPr>
    </w:p>
    <w:p w14:paraId="3B0485C8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Section 13 of the </w:t>
      </w:r>
      <w:r w:rsidRPr="00653D9D">
        <w:rPr>
          <w:rFonts w:eastAsia="Calibri" w:cs="Arial"/>
          <w:bCs/>
          <w:i/>
          <w:szCs w:val="22"/>
          <w:lang w:val="en-AU" w:bidi="ar-SA"/>
        </w:rPr>
        <w:t>Food Standards Australia New Zealand Act 1991</w:t>
      </w:r>
      <w:r w:rsidRPr="00653D9D">
        <w:rPr>
          <w:rFonts w:eastAsia="Calibri" w:cs="Arial"/>
          <w:bCs/>
          <w:szCs w:val="22"/>
          <w:lang w:val="en-AU" w:bidi="ar-SA"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653D9D">
        <w:rPr>
          <w:rFonts w:eastAsia="Calibri" w:cs="Arial"/>
          <w:bCs/>
          <w:i/>
          <w:szCs w:val="22"/>
          <w:lang w:val="en-AU" w:bidi="ar-SA"/>
        </w:rPr>
        <w:t>Australia New Zealand Food Standards Code</w:t>
      </w:r>
      <w:r w:rsidRPr="00653D9D">
        <w:rPr>
          <w:rFonts w:eastAsia="Calibri" w:cs="Arial"/>
          <w:bCs/>
          <w:szCs w:val="22"/>
          <w:lang w:val="en-AU" w:bidi="ar-SA"/>
        </w:rPr>
        <w:t xml:space="preserve"> (the Code).</w:t>
      </w:r>
    </w:p>
    <w:p w14:paraId="378D1B67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3B611EC7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14:paraId="17E68266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01254F30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The Authority prepared Proposal P1045 to </w:t>
      </w:r>
      <w:r w:rsidRPr="00653D9D">
        <w:rPr>
          <w:lang w:bidi="ar-SA"/>
        </w:rPr>
        <w:t>make a range of minor amendments to the Code including the correction of typographical errors, formatting issues, and updating of references</w:t>
      </w:r>
      <w:r w:rsidRPr="00653D9D">
        <w:rPr>
          <w:rFonts w:eastAsia="Calibri" w:cs="Arial"/>
          <w:bCs/>
          <w:szCs w:val="22"/>
          <w:lang w:val="en-AU" w:bidi="ar-SA"/>
        </w:rPr>
        <w:t xml:space="preserve">. The Authority considered the Proposal in accordance with Division 2 of Part 3 and has approved a draft Standard. </w:t>
      </w:r>
    </w:p>
    <w:p w14:paraId="0F5B8688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4544DBAF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Following consideration by the </w:t>
      </w:r>
      <w:r w:rsidRPr="00653D9D">
        <w:rPr>
          <w:rFonts w:cs="Helvetica"/>
          <w:lang w:val="en-AU"/>
        </w:rPr>
        <w:t xml:space="preserve">Australia and New Zealand Ministerial Forum on Food </w:t>
      </w:r>
      <w:r w:rsidRPr="00653D9D">
        <w:rPr>
          <w:rFonts w:cs="Arial"/>
        </w:rPr>
        <w:t>Regulation</w:t>
      </w:r>
      <w:r w:rsidRPr="00653D9D">
        <w:rPr>
          <w:rFonts w:eastAsia="Calibri" w:cs="Arial"/>
          <w:bCs/>
          <w:szCs w:val="22"/>
          <w:lang w:val="en-AU" w:bidi="ar-SA"/>
        </w:rPr>
        <w:t xml:space="preserve">, section 92 of the FSANZ Act stipulates that the Authority must publish a notice about the standard or draft variation of a standard. </w:t>
      </w:r>
    </w:p>
    <w:p w14:paraId="7DACAA77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64149050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>Section 94 of the FSANZ Act specifies that a</w:t>
      </w:r>
      <w:r w:rsidRPr="00653D9D">
        <w:rPr>
          <w:rFonts w:eastAsia="Calibri" w:cs="Arial"/>
          <w:szCs w:val="22"/>
          <w:lang w:val="en-AU" w:bidi="ar-SA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653D9D">
        <w:rPr>
          <w:rFonts w:eastAsia="Calibri" w:cs="Arial"/>
          <w:i/>
          <w:szCs w:val="22"/>
          <w:lang w:val="en-AU" w:bidi="ar-SA"/>
        </w:rPr>
        <w:t>Legislation Act 2003</w:t>
      </w:r>
      <w:r w:rsidRPr="00653D9D">
        <w:rPr>
          <w:rFonts w:eastAsia="Calibri" w:cs="Arial"/>
          <w:szCs w:val="22"/>
          <w:lang w:val="en-AU" w:bidi="ar-SA"/>
        </w:rPr>
        <w:t>.</w:t>
      </w:r>
    </w:p>
    <w:p w14:paraId="03F13B49" w14:textId="77777777" w:rsidR="0084714A" w:rsidRPr="00653D9D" w:rsidRDefault="0084714A" w:rsidP="0084714A">
      <w:pPr>
        <w:rPr>
          <w:lang w:val="en-AU" w:eastAsia="en-GB" w:bidi="ar-SA"/>
        </w:rPr>
      </w:pPr>
    </w:p>
    <w:p w14:paraId="587C1A69" w14:textId="77777777" w:rsidR="0084714A" w:rsidRPr="00653D9D" w:rsidRDefault="0084714A" w:rsidP="0084714A">
      <w:pPr>
        <w:rPr>
          <w:b/>
          <w:lang w:val="en-AU" w:eastAsia="en-GB" w:bidi="ar-SA"/>
        </w:rPr>
      </w:pPr>
      <w:r w:rsidRPr="00653D9D">
        <w:rPr>
          <w:b/>
          <w:lang w:val="en-AU" w:eastAsia="en-GB" w:bidi="ar-SA"/>
        </w:rPr>
        <w:t>2.</w:t>
      </w:r>
      <w:r w:rsidRPr="00653D9D">
        <w:rPr>
          <w:b/>
          <w:lang w:val="en-AU" w:eastAsia="en-GB" w:bidi="ar-SA"/>
        </w:rPr>
        <w:tab/>
        <w:t xml:space="preserve">Purpose </w:t>
      </w:r>
    </w:p>
    <w:p w14:paraId="2C0E2582" w14:textId="77777777" w:rsidR="0084714A" w:rsidRPr="00653D9D" w:rsidRDefault="0084714A" w:rsidP="0084714A">
      <w:pPr>
        <w:rPr>
          <w:lang w:val="en-AU" w:eastAsia="en-GB" w:bidi="ar-SA"/>
        </w:rPr>
      </w:pPr>
    </w:p>
    <w:p w14:paraId="35C1AD44" w14:textId="77777777" w:rsidR="0084714A" w:rsidRPr="00653D9D" w:rsidRDefault="0084714A" w:rsidP="0084714A">
      <w:pPr>
        <w:rPr>
          <w:lang w:val="en-AU" w:eastAsia="en-GB" w:bidi="ar-SA"/>
        </w:rPr>
      </w:pPr>
      <w:r w:rsidRPr="00653D9D">
        <w:rPr>
          <w:lang w:val="en-AU" w:eastAsia="en-GB" w:bidi="ar-SA"/>
        </w:rPr>
        <w:t xml:space="preserve">The Authority has approved the variation because </w:t>
      </w:r>
      <w:r w:rsidRPr="00653D9D">
        <w:t>minor typographical and grammatical errors and cross-reference issues are identified in the Code from time-to-time. References in the Code also become superseded as the documents they refer to are updated. This Proposal was prepared to resolve such issues.</w:t>
      </w:r>
      <w:r w:rsidRPr="00653D9D">
        <w:rPr>
          <w:lang w:val="en-AU" w:eastAsia="en-GB" w:bidi="ar-SA"/>
        </w:rPr>
        <w:t xml:space="preserve"> </w:t>
      </w:r>
    </w:p>
    <w:p w14:paraId="6220D6A7" w14:textId="77777777" w:rsidR="0084714A" w:rsidRPr="00653D9D" w:rsidRDefault="0084714A" w:rsidP="0084714A">
      <w:pPr>
        <w:rPr>
          <w:lang w:val="en-AU" w:eastAsia="en-GB" w:bidi="ar-SA"/>
        </w:rPr>
      </w:pPr>
    </w:p>
    <w:p w14:paraId="20D7B36A" w14:textId="77777777" w:rsidR="0084714A" w:rsidRPr="00653D9D" w:rsidRDefault="0084714A" w:rsidP="0084714A">
      <w:pPr>
        <w:rPr>
          <w:b/>
          <w:lang w:val="en-AU" w:eastAsia="en-GB" w:bidi="ar-SA"/>
        </w:rPr>
      </w:pPr>
      <w:r w:rsidRPr="00653D9D">
        <w:rPr>
          <w:b/>
          <w:lang w:val="en-AU" w:eastAsia="en-GB" w:bidi="ar-SA"/>
        </w:rPr>
        <w:t>3.</w:t>
      </w:r>
      <w:r w:rsidRPr="00653D9D">
        <w:rPr>
          <w:b/>
          <w:lang w:val="en-AU" w:eastAsia="en-GB" w:bidi="ar-SA"/>
        </w:rPr>
        <w:tab/>
        <w:t>Documents incorporated by reference</w:t>
      </w:r>
    </w:p>
    <w:p w14:paraId="0E0AAED2" w14:textId="77777777" w:rsidR="0084714A" w:rsidRPr="00653D9D" w:rsidRDefault="0084714A" w:rsidP="0084714A">
      <w:pPr>
        <w:rPr>
          <w:lang w:val="en-AU" w:eastAsia="en-GB" w:bidi="ar-SA"/>
        </w:rPr>
      </w:pPr>
    </w:p>
    <w:p w14:paraId="4AE16270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>The variations do not incorporate any new documents by reference, although the following existing references are updated (see para 6.2</w:t>
      </w:r>
      <w:r>
        <w:rPr>
          <w:rFonts w:eastAsia="Calibri" w:cs="Arial"/>
          <w:bCs/>
          <w:szCs w:val="22"/>
          <w:lang w:val="en-AU" w:bidi="ar-SA"/>
        </w:rPr>
        <w:t xml:space="preserve"> below</w:t>
      </w:r>
      <w:r w:rsidRPr="00653D9D">
        <w:rPr>
          <w:rFonts w:eastAsia="Calibri" w:cs="Arial"/>
          <w:bCs/>
          <w:szCs w:val="22"/>
          <w:lang w:val="en-AU" w:bidi="ar-SA"/>
        </w:rPr>
        <w:t>):</w:t>
      </w:r>
    </w:p>
    <w:p w14:paraId="438A4CB6" w14:textId="77777777" w:rsidR="0084714A" w:rsidRPr="00653D9D" w:rsidRDefault="0084714A" w:rsidP="0084714A">
      <w:pPr>
        <w:widowControl/>
        <w:tabs>
          <w:tab w:val="left" w:pos="5010"/>
        </w:tabs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ab/>
      </w:r>
    </w:p>
    <w:p w14:paraId="2BADBCC8" w14:textId="77777777" w:rsidR="0084714A" w:rsidRPr="00653D9D" w:rsidRDefault="0084714A" w:rsidP="0084714A">
      <w:pPr>
        <w:pStyle w:val="FSBullet1"/>
        <w:widowControl/>
        <w:numPr>
          <w:ilvl w:val="0"/>
          <w:numId w:val="14"/>
        </w:numPr>
        <w:ind w:left="567" w:hanging="567"/>
      </w:pPr>
      <w:r w:rsidRPr="00653D9D">
        <w:t>Guidelines for Drinking Water Quality, World Health Organisation</w:t>
      </w:r>
    </w:p>
    <w:p w14:paraId="43301641" w14:textId="77777777" w:rsidR="0084714A" w:rsidRPr="00D5047D" w:rsidRDefault="0084714A" w:rsidP="0084714A">
      <w:pPr>
        <w:pStyle w:val="FSBullet1"/>
        <w:widowControl/>
        <w:numPr>
          <w:ilvl w:val="0"/>
          <w:numId w:val="14"/>
        </w:numPr>
        <w:ind w:left="567" w:hanging="567"/>
        <w:rPr>
          <w:rFonts w:eastAsia="Calibri"/>
          <w:bCs/>
          <w:szCs w:val="22"/>
          <w:lang w:val="en-AU"/>
        </w:rPr>
      </w:pPr>
      <w:r w:rsidRPr="001D1563">
        <w:t>Combined Compendium of Food Additive Specifications, FAO JECFA Monographs</w:t>
      </w:r>
      <w:r>
        <w:t xml:space="preserve">. </w:t>
      </w:r>
    </w:p>
    <w:p w14:paraId="26D28E09" w14:textId="77777777" w:rsidR="0084714A" w:rsidRPr="00653D9D" w:rsidRDefault="0084714A" w:rsidP="0084714A">
      <w:pPr>
        <w:rPr>
          <w:lang w:val="en-AU" w:eastAsia="en-GB" w:bidi="ar-SA"/>
        </w:rPr>
      </w:pPr>
    </w:p>
    <w:p w14:paraId="769FC19D" w14:textId="77777777" w:rsidR="0084714A" w:rsidRPr="00653D9D" w:rsidRDefault="0084714A" w:rsidP="0084714A">
      <w:pPr>
        <w:rPr>
          <w:b/>
          <w:lang w:val="en-AU" w:eastAsia="en-GB" w:bidi="ar-SA"/>
        </w:rPr>
      </w:pPr>
      <w:r w:rsidRPr="00653D9D">
        <w:rPr>
          <w:b/>
          <w:lang w:val="en-AU" w:eastAsia="en-GB" w:bidi="ar-SA"/>
        </w:rPr>
        <w:t>4.</w:t>
      </w:r>
      <w:r w:rsidRPr="00653D9D">
        <w:rPr>
          <w:b/>
          <w:lang w:val="en-AU" w:eastAsia="en-GB" w:bidi="ar-SA"/>
        </w:rPr>
        <w:tab/>
        <w:t>Consultation</w:t>
      </w:r>
    </w:p>
    <w:p w14:paraId="69D395C6" w14:textId="77777777" w:rsidR="0084714A" w:rsidRPr="00653D9D" w:rsidRDefault="0084714A" w:rsidP="0084714A">
      <w:pPr>
        <w:rPr>
          <w:lang w:val="en-AU" w:eastAsia="en-GB" w:bidi="ar-SA"/>
        </w:rPr>
      </w:pPr>
    </w:p>
    <w:p w14:paraId="7525C2CA" w14:textId="77777777" w:rsidR="0084714A" w:rsidRPr="00653D9D" w:rsidRDefault="0084714A" w:rsidP="0084714A">
      <w:pPr>
        <w:rPr>
          <w:szCs w:val="22"/>
        </w:rPr>
      </w:pPr>
      <w:r w:rsidRPr="00653D9D">
        <w:rPr>
          <w:szCs w:val="22"/>
        </w:rPr>
        <w:t xml:space="preserve">In accordance with the procedure in Division 2 of Part 3 of the FSANZ Act, </w:t>
      </w:r>
      <w:r w:rsidRPr="00653D9D">
        <w:rPr>
          <w:rFonts w:eastAsia="Calibri" w:cs="Arial"/>
          <w:bCs/>
          <w:szCs w:val="22"/>
          <w:lang w:val="en-AU" w:bidi="ar-SA"/>
        </w:rPr>
        <w:t>the Authority</w:t>
      </w:r>
      <w:r w:rsidRPr="00653D9D">
        <w:rPr>
          <w:szCs w:val="22"/>
        </w:rPr>
        <w:t>’s consideration of Proposal P104</w:t>
      </w:r>
      <w:r>
        <w:rPr>
          <w:szCs w:val="22"/>
        </w:rPr>
        <w:t>5</w:t>
      </w:r>
      <w:r w:rsidRPr="00653D9D">
        <w:rPr>
          <w:szCs w:val="22"/>
        </w:rPr>
        <w:t xml:space="preserve"> included one round of public consultation following an assessment and the preparation of a draft Standard and associated report. Submissions were called for on 26 April 2017 for a four-week consultation period. </w:t>
      </w:r>
    </w:p>
    <w:p w14:paraId="44AEB4DF" w14:textId="77777777" w:rsidR="0084714A" w:rsidRPr="00653D9D" w:rsidRDefault="0084714A" w:rsidP="0084714A">
      <w:pPr>
        <w:rPr>
          <w:rFonts w:eastAsia="Calibri"/>
          <w:szCs w:val="22"/>
          <w:lang w:val="en-AU" w:bidi="ar-SA"/>
        </w:rPr>
      </w:pPr>
    </w:p>
    <w:p w14:paraId="7D5DA1A7" w14:textId="77777777" w:rsidR="0084714A" w:rsidRPr="00653D9D" w:rsidRDefault="0084714A" w:rsidP="0084714A">
      <w:pPr>
        <w:widowControl/>
        <w:autoSpaceDE w:val="0"/>
        <w:autoSpaceDN w:val="0"/>
        <w:adjustRightInd w:val="0"/>
        <w:rPr>
          <w:rFonts w:cs="Arial"/>
          <w:szCs w:val="22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A Regulation Impact Statement was not required because the variation is </w:t>
      </w:r>
      <w:r w:rsidRPr="00653D9D">
        <w:t xml:space="preserve">likely to have a minor impact on business and individuals. </w:t>
      </w:r>
    </w:p>
    <w:p w14:paraId="0C0F9149" w14:textId="77777777" w:rsidR="0084714A" w:rsidRPr="00653D9D" w:rsidRDefault="0084714A" w:rsidP="0084714A">
      <w:pPr>
        <w:rPr>
          <w:lang w:val="en-AU" w:eastAsia="en-GB" w:bidi="ar-SA"/>
        </w:rPr>
      </w:pPr>
    </w:p>
    <w:p w14:paraId="4C455C89" w14:textId="77777777" w:rsidR="0084714A" w:rsidRDefault="0084714A" w:rsidP="0084714A">
      <w:pPr>
        <w:widowControl/>
        <w:rPr>
          <w:rFonts w:eastAsiaTheme="minorHAnsi" w:cs="Arial"/>
          <w:b/>
          <w:bCs/>
          <w:szCs w:val="22"/>
          <w:lang w:val="en-AU" w:bidi="ar-SA"/>
        </w:rPr>
      </w:pPr>
      <w:r>
        <w:rPr>
          <w:rFonts w:eastAsiaTheme="minorHAnsi" w:cs="Arial"/>
          <w:b/>
          <w:bCs/>
          <w:szCs w:val="22"/>
          <w:lang w:val="en-AU" w:bidi="ar-SA"/>
        </w:rPr>
        <w:br w:type="page"/>
      </w:r>
    </w:p>
    <w:p w14:paraId="1BFBC465" w14:textId="77777777" w:rsidR="0084714A" w:rsidRPr="00653D9D" w:rsidRDefault="0084714A" w:rsidP="0084714A">
      <w:pPr>
        <w:widowControl/>
        <w:rPr>
          <w:rFonts w:eastAsiaTheme="minorHAnsi" w:cs="Arial"/>
          <w:b/>
          <w:bCs/>
          <w:szCs w:val="22"/>
          <w:lang w:val="en-AU" w:bidi="ar-SA"/>
        </w:rPr>
      </w:pPr>
      <w:r w:rsidRPr="00653D9D">
        <w:rPr>
          <w:rFonts w:eastAsiaTheme="minorHAnsi" w:cs="Arial"/>
          <w:b/>
          <w:bCs/>
          <w:szCs w:val="22"/>
          <w:lang w:val="en-AU" w:bidi="ar-SA"/>
        </w:rPr>
        <w:lastRenderedPageBreak/>
        <w:t>5.</w:t>
      </w:r>
      <w:r w:rsidRPr="00653D9D">
        <w:rPr>
          <w:rFonts w:eastAsiaTheme="minorHAnsi" w:cs="Arial"/>
          <w:b/>
          <w:bCs/>
          <w:szCs w:val="22"/>
          <w:lang w:val="en-AU" w:bidi="ar-SA"/>
        </w:rPr>
        <w:tab/>
        <w:t>Statement of compatibility with human rights</w:t>
      </w:r>
    </w:p>
    <w:p w14:paraId="24AA1B41" w14:textId="77777777" w:rsidR="0084714A" w:rsidRPr="00653D9D" w:rsidRDefault="0084714A" w:rsidP="0084714A">
      <w:pPr>
        <w:rPr>
          <w:rFonts w:eastAsiaTheme="minorHAnsi"/>
          <w:lang w:val="en-AU" w:bidi="ar-SA"/>
        </w:rPr>
      </w:pPr>
    </w:p>
    <w:p w14:paraId="2CE447CF" w14:textId="77777777" w:rsidR="0084714A" w:rsidRPr="00653D9D" w:rsidRDefault="0084714A" w:rsidP="0084714A">
      <w:pPr>
        <w:rPr>
          <w:rFonts w:eastAsiaTheme="minorHAnsi"/>
          <w:lang w:val="en-AU" w:bidi="ar-SA"/>
        </w:rPr>
      </w:pPr>
      <w:r w:rsidRPr="00653D9D">
        <w:rPr>
          <w:rFonts w:eastAsiaTheme="minorHAnsi"/>
          <w:lang w:val="en-AU" w:bidi="ar-SA"/>
        </w:rPr>
        <w:t>This instrument is exempt from the requirements for a statement of compatibility with human rights as it is a non-disallowable instrument under section 94 of the FSANZ Act.</w:t>
      </w:r>
    </w:p>
    <w:p w14:paraId="4CA396B5" w14:textId="77777777" w:rsidR="0084714A" w:rsidRPr="00653D9D" w:rsidRDefault="0084714A" w:rsidP="0084714A">
      <w:pPr>
        <w:rPr>
          <w:rFonts w:eastAsiaTheme="minorHAnsi"/>
          <w:lang w:val="en-AU" w:bidi="ar-SA"/>
        </w:rPr>
      </w:pPr>
    </w:p>
    <w:p w14:paraId="3AD974AC" w14:textId="77777777" w:rsidR="0084714A" w:rsidRPr="00653D9D" w:rsidRDefault="0084714A" w:rsidP="0084714A">
      <w:pPr>
        <w:rPr>
          <w:b/>
          <w:lang w:val="en-AU" w:eastAsia="en-GB" w:bidi="ar-SA"/>
        </w:rPr>
      </w:pPr>
      <w:r w:rsidRPr="00653D9D">
        <w:rPr>
          <w:b/>
        </w:rPr>
        <w:t>6.</w:t>
      </w:r>
      <w:r w:rsidRPr="00653D9D">
        <w:rPr>
          <w:b/>
        </w:rPr>
        <w:tab/>
      </w:r>
      <w:r w:rsidRPr="00653D9D">
        <w:rPr>
          <w:b/>
          <w:lang w:val="en-AU" w:eastAsia="en-GB" w:bidi="ar-SA"/>
        </w:rPr>
        <w:t>Variation</w:t>
      </w:r>
    </w:p>
    <w:p w14:paraId="435DB8EF" w14:textId="77777777" w:rsidR="0084714A" w:rsidRPr="00653D9D" w:rsidRDefault="0084714A" w:rsidP="0084714A">
      <w:pPr>
        <w:rPr>
          <w:b/>
        </w:rPr>
      </w:pPr>
    </w:p>
    <w:p w14:paraId="7D8C897A" w14:textId="77777777" w:rsidR="0084714A" w:rsidRPr="00653D9D" w:rsidRDefault="0084714A" w:rsidP="0084714A">
      <w:pPr>
        <w:rPr>
          <w:b/>
        </w:rPr>
      </w:pPr>
      <w:r w:rsidRPr="00653D9D">
        <w:rPr>
          <w:b/>
          <w:i/>
        </w:rPr>
        <w:t>6.1</w:t>
      </w:r>
      <w:r w:rsidRPr="00653D9D">
        <w:rPr>
          <w:b/>
          <w:i/>
        </w:rPr>
        <w:tab/>
      </w:r>
      <w:r w:rsidRPr="00653D9D">
        <w:rPr>
          <w:b/>
          <w:i/>
          <w:szCs w:val="22"/>
        </w:rPr>
        <w:t>Correcting minor errors and omissions</w:t>
      </w:r>
    </w:p>
    <w:p w14:paraId="138319AA" w14:textId="77777777" w:rsidR="0084714A" w:rsidRPr="00653D9D" w:rsidRDefault="0084714A" w:rsidP="0084714A"/>
    <w:p w14:paraId="277C4A7A" w14:textId="77777777" w:rsidR="0084714A" w:rsidRPr="00653D9D" w:rsidRDefault="0084714A" w:rsidP="0084714A">
      <w:r w:rsidRPr="00653D9D">
        <w:t>Items [1] to [12] and [1</w:t>
      </w:r>
      <w:r>
        <w:t>6</w:t>
      </w:r>
      <w:r w:rsidRPr="00653D9D">
        <w:t xml:space="preserve">] to [19] include amendments to correct minor errors and omissions to text and punctuation, including correction of cross-referencing.  </w:t>
      </w:r>
    </w:p>
    <w:p w14:paraId="6641FB3E" w14:textId="77777777" w:rsidR="0084714A" w:rsidRPr="00653D9D" w:rsidRDefault="0084714A" w:rsidP="0084714A">
      <w:pPr>
        <w:rPr>
          <w:lang w:val="en-AU" w:eastAsia="en-GB" w:bidi="ar-SA"/>
        </w:rPr>
      </w:pPr>
    </w:p>
    <w:p w14:paraId="0C5059F6" w14:textId="77777777" w:rsidR="0084714A" w:rsidRPr="00653D9D" w:rsidRDefault="0084714A" w:rsidP="0084714A">
      <w:pPr>
        <w:rPr>
          <w:b/>
          <w:i/>
          <w:szCs w:val="22"/>
        </w:rPr>
      </w:pPr>
      <w:r w:rsidRPr="00653D9D">
        <w:rPr>
          <w:b/>
          <w:i/>
          <w:szCs w:val="22"/>
        </w:rPr>
        <w:t>6.</w:t>
      </w:r>
      <w:r>
        <w:rPr>
          <w:b/>
          <w:i/>
          <w:szCs w:val="22"/>
        </w:rPr>
        <w:t>2</w:t>
      </w:r>
      <w:r w:rsidRPr="00653D9D">
        <w:rPr>
          <w:b/>
          <w:i/>
          <w:szCs w:val="22"/>
        </w:rPr>
        <w:tab/>
        <w:t>Updating material from international sources</w:t>
      </w:r>
    </w:p>
    <w:p w14:paraId="0197DD15" w14:textId="77777777" w:rsidR="0084714A" w:rsidRPr="00653D9D" w:rsidRDefault="0084714A" w:rsidP="0084714A"/>
    <w:p w14:paraId="3A091046" w14:textId="77777777" w:rsidR="0084714A" w:rsidRPr="00653D9D" w:rsidRDefault="0084714A" w:rsidP="0084714A">
      <w:r w:rsidRPr="00653D9D">
        <w:t>Items [13]</w:t>
      </w:r>
      <w:r w:rsidRPr="00653D9D">
        <w:rPr>
          <w:lang w:val="en-AU" w:eastAsia="en-GB" w:bidi="ar-SA"/>
        </w:rPr>
        <w:t xml:space="preserve"> </w:t>
      </w:r>
      <w:r>
        <w:rPr>
          <w:lang w:val="en-AU" w:eastAsia="en-GB" w:bidi="ar-SA"/>
        </w:rPr>
        <w:t>to</w:t>
      </w:r>
      <w:r w:rsidRPr="00653D9D">
        <w:rPr>
          <w:lang w:val="en-AU" w:eastAsia="en-GB" w:bidi="ar-SA"/>
        </w:rPr>
        <w:t xml:space="preserve"> [1</w:t>
      </w:r>
      <w:r>
        <w:rPr>
          <w:lang w:val="en-AU" w:eastAsia="en-GB" w:bidi="ar-SA"/>
        </w:rPr>
        <w:t>5</w:t>
      </w:r>
      <w:r w:rsidRPr="00653D9D">
        <w:rPr>
          <w:lang w:val="en-AU" w:eastAsia="en-GB" w:bidi="ar-SA"/>
        </w:rPr>
        <w:t xml:space="preserve">] </w:t>
      </w:r>
      <w:r w:rsidRPr="00653D9D">
        <w:t xml:space="preserve">reflect changes to </w:t>
      </w:r>
      <w:r>
        <w:t>documents</w:t>
      </w:r>
      <w:r w:rsidRPr="00653D9D">
        <w:t xml:space="preserve"> incorporated by reference. </w:t>
      </w:r>
    </w:p>
    <w:p w14:paraId="08C21644" w14:textId="77777777" w:rsidR="0084714A" w:rsidRPr="00653D9D" w:rsidRDefault="0084714A" w:rsidP="0084714A"/>
    <w:p w14:paraId="18DCDC90" w14:textId="77777777" w:rsidR="0084714A" w:rsidRPr="00653D9D" w:rsidRDefault="0084714A" w:rsidP="0084714A">
      <w:pPr>
        <w:rPr>
          <w:b/>
          <w:i/>
          <w:szCs w:val="22"/>
        </w:rPr>
      </w:pPr>
      <w:r w:rsidRPr="00653D9D">
        <w:rPr>
          <w:b/>
          <w:i/>
          <w:szCs w:val="22"/>
        </w:rPr>
        <w:t>6.</w:t>
      </w:r>
      <w:r>
        <w:rPr>
          <w:b/>
          <w:i/>
          <w:szCs w:val="22"/>
        </w:rPr>
        <w:t>3</w:t>
      </w:r>
      <w:r w:rsidRPr="00653D9D">
        <w:rPr>
          <w:b/>
          <w:i/>
          <w:szCs w:val="22"/>
        </w:rPr>
        <w:tab/>
        <w:t>Omitting material that is no longer required</w:t>
      </w:r>
    </w:p>
    <w:p w14:paraId="6C063A14" w14:textId="77777777" w:rsidR="0084714A" w:rsidRPr="00653D9D" w:rsidRDefault="0084714A" w:rsidP="0084714A">
      <w:pPr>
        <w:rPr>
          <w:szCs w:val="22"/>
        </w:rPr>
      </w:pPr>
    </w:p>
    <w:p w14:paraId="45EF1331" w14:textId="77777777" w:rsidR="0084714A" w:rsidRPr="00653D9D" w:rsidRDefault="0084714A" w:rsidP="0084714A">
      <w:r w:rsidRPr="00653D9D">
        <w:t>Item [20] omits an erroneous reference to ‘phytylmenoquinone’.</w:t>
      </w:r>
    </w:p>
    <w:p w14:paraId="7FC0174A" w14:textId="77777777" w:rsidR="00D5526B" w:rsidRPr="003A01FB" w:rsidRDefault="00D5526B" w:rsidP="003A01FB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33E8"/>
    <w:multiLevelType w:val="hybridMultilevel"/>
    <w:tmpl w:val="7728DDD2"/>
    <w:lvl w:ilvl="0" w:tplc="F31AE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4A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2E43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4714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8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locked="1" w:qFormat="1"/>
    <w:lsdException w:name="footer" w:locked="1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4714A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locked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locked="1" w:qFormat="1"/>
    <w:lsdException w:name="footer" w:locked="1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4714A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locked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ff5de93e-c5e8-4efc-a1bd-21450292fcfe">X3VAMR3A5FUY-552-6358</_dlc_DocId>
    <_dlc_DocIdUrl xmlns="ff5de93e-c5e8-4efc-a1bd-21450292fcfe">
      <Url>http://teams/Sections/RAP/_layouts/15/DocIdRedir.aspx?ID=X3VAMR3A5FUY-552-6358</Url>
      <Description>X3VAMR3A5FUY-552-6358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FF94-E343-4C57-8707-190050CFCD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1E09B5-2C64-4B01-B38E-48F342EE568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1F8AF1B-ECD4-4A5C-803A-2AD939182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DF93E-8E46-48E5-BD17-8D1B12D3F2D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ec50576e-4a27-4780-a1e1-e59563bc70b8"/>
    <ds:schemaRef ds:uri="ff5de93e-c5e8-4efc-a1bd-21450292fcf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95672A5-6EC3-4C32-BE40-E1D8B832E91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D640AC-7DC4-4489-BC86-C40FF9B8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>Foodstandards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rissas</dc:creator>
  <cp:lastModifiedBy>rissas</cp:lastModifiedBy>
  <cp:revision>2</cp:revision>
  <dcterms:created xsi:type="dcterms:W3CDTF">2017-07-25T00:00:00Z</dcterms:created>
  <dcterms:modified xsi:type="dcterms:W3CDTF">2017-07-25T00:04:00Z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0x01010004C4C934AD08B647A78FCADD498BE3190200326A638932699E48A89F1995A4895C37</vt:lpwstr>
  </property>
  <property fmtid="{D5CDD505-2E9C-101B-9397-08002B2CF9AE}" pid="3" name="DisposalClass">
    <vt:lpwstr/>
  </property>
  <property fmtid="{D5CDD505-2E9C-101B-9397-08002B2CF9AE}" pid="4" name="BCS_">
    <vt:lpwstr>846;#Instruments|4a8ff5e5-1f0e-4751-ab44-bc0d33b46a80</vt:lpwstr>
  </property>
  <property fmtid="{D5CDD505-2E9C-101B-9397-08002B2CF9AE}" pid="5" name="_dlc_DocIdItemGuid">
    <vt:lpwstr>33044ed2-5cb6-4526-ae6a-95ff231713d5</vt:lpwstr>
  </property>
</Properties>
</file>