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2A969" w14:textId="77777777" w:rsidR="002B28DD" w:rsidRPr="00725173" w:rsidRDefault="002B28DD" w:rsidP="00484E87">
      <w:pPr>
        <w:spacing w:before="100" w:beforeAutospacing="1" w:after="100" w:afterAutospacing="1"/>
        <w:jc w:val="center"/>
        <w:rPr>
          <w:rFonts w:ascii="Times New Roman" w:eastAsia="Times New Roman" w:hAnsi="Times New Roman" w:cs="Times New Roman"/>
          <w:sz w:val="24"/>
          <w:szCs w:val="24"/>
          <w:lang w:eastAsia="en-AU"/>
        </w:rPr>
      </w:pPr>
      <w:bookmarkStart w:id="0" w:name="_GoBack"/>
      <w:bookmarkEnd w:id="0"/>
      <w:r w:rsidRPr="00725173">
        <w:rPr>
          <w:rFonts w:ascii="Times New Roman" w:eastAsia="Times New Roman" w:hAnsi="Times New Roman" w:cs="Times New Roman"/>
          <w:b/>
          <w:bCs/>
          <w:sz w:val="24"/>
          <w:szCs w:val="24"/>
          <w:lang w:eastAsia="en-AU"/>
        </w:rPr>
        <w:t>EXPLANATORY STATEMENT</w:t>
      </w:r>
    </w:p>
    <w:p w14:paraId="7BCA2517" w14:textId="77777777" w:rsidR="002B28DD" w:rsidRDefault="002B28DD" w:rsidP="00484E87">
      <w:pPr>
        <w:spacing w:before="100" w:beforeAutospacing="1" w:after="100" w:afterAutospacing="1"/>
        <w:jc w:val="center"/>
        <w:rPr>
          <w:rFonts w:ascii="Times New Roman" w:eastAsia="Times New Roman" w:hAnsi="Times New Roman" w:cs="Times New Roman"/>
          <w:bCs/>
          <w:i/>
          <w:iCs/>
          <w:sz w:val="24"/>
          <w:szCs w:val="24"/>
          <w:lang w:eastAsia="en-AU"/>
        </w:rPr>
      </w:pPr>
      <w:r w:rsidRPr="00FE298C">
        <w:rPr>
          <w:rFonts w:ascii="Times New Roman" w:eastAsia="Times New Roman" w:hAnsi="Times New Roman" w:cs="Times New Roman"/>
          <w:bCs/>
          <w:i/>
          <w:iCs/>
          <w:sz w:val="24"/>
          <w:szCs w:val="24"/>
          <w:lang w:eastAsia="en-AU"/>
        </w:rPr>
        <w:t>Radiocommunications Act 1992</w:t>
      </w:r>
    </w:p>
    <w:p w14:paraId="6A51FF3B" w14:textId="4B223561" w:rsidR="002B28DD" w:rsidRDefault="002B28DD" w:rsidP="00484E87">
      <w:pPr>
        <w:spacing w:before="100" w:beforeAutospacing="1" w:after="100" w:afterAutospacing="1"/>
        <w:jc w:val="center"/>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Radiocommunications (Spectrum</w:t>
      </w:r>
      <w:r w:rsidR="006D635E">
        <w:rPr>
          <w:rFonts w:ascii="Times New Roman" w:eastAsia="Times New Roman" w:hAnsi="Times New Roman" w:cs="Times New Roman"/>
          <w:b/>
          <w:bCs/>
          <w:sz w:val="24"/>
          <w:szCs w:val="24"/>
          <w:lang w:eastAsia="en-AU"/>
        </w:rPr>
        <w:t xml:space="preserve"> Licence Limits</w:t>
      </w:r>
      <w:r w:rsidR="00EF643B" w:rsidRPr="00EF643B">
        <w:rPr>
          <w:rFonts w:ascii="Times New Roman" w:eastAsia="Times New Roman" w:hAnsi="Times New Roman" w:cs="Times New Roman"/>
          <w:b/>
          <w:bCs/>
          <w:sz w:val="24"/>
          <w:szCs w:val="24"/>
          <w:lang w:eastAsia="en-AU"/>
        </w:rPr>
        <w:t>—</w:t>
      </w:r>
      <w:r w:rsidR="006D635E">
        <w:rPr>
          <w:rFonts w:ascii="Times New Roman" w:eastAsia="Times New Roman" w:hAnsi="Times New Roman" w:cs="Times New Roman"/>
          <w:b/>
          <w:bCs/>
          <w:sz w:val="24"/>
          <w:szCs w:val="24"/>
          <w:lang w:eastAsia="en-AU"/>
        </w:rPr>
        <w:t>2 GHz Band) Repeal Direction 2017</w:t>
      </w:r>
    </w:p>
    <w:p w14:paraId="66B95E3C" w14:textId="4F1040AB" w:rsidR="002B28DD" w:rsidRPr="00725173" w:rsidRDefault="009E0984">
      <w:pPr>
        <w:spacing w:before="100" w:beforeAutospacing="1" w:after="100" w:afterAutospacing="1"/>
        <w:jc w:val="cente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Issued by the A</w:t>
      </w:r>
      <w:r w:rsidR="002B28DD" w:rsidRPr="00725173">
        <w:rPr>
          <w:rFonts w:ascii="Times New Roman" w:eastAsia="Times New Roman" w:hAnsi="Times New Roman" w:cs="Times New Roman"/>
          <w:sz w:val="24"/>
          <w:szCs w:val="24"/>
          <w:lang w:eastAsia="en-AU"/>
        </w:rPr>
        <w:t xml:space="preserve">uthority of the Minister for </w:t>
      </w:r>
      <w:r w:rsidR="002B28DD">
        <w:rPr>
          <w:rFonts w:ascii="Times New Roman" w:eastAsia="Times New Roman" w:hAnsi="Times New Roman" w:cs="Times New Roman"/>
          <w:sz w:val="24"/>
          <w:szCs w:val="24"/>
          <w:lang w:eastAsia="en-AU"/>
        </w:rPr>
        <w:t>Communications</w:t>
      </w:r>
    </w:p>
    <w:p w14:paraId="706121E6" w14:textId="77777777" w:rsidR="009E0984" w:rsidRPr="00EE29C6" w:rsidRDefault="00EE29C6">
      <w:pPr>
        <w:rPr>
          <w:rFonts w:ascii="Times New Roman" w:hAnsi="Times New Roman" w:cs="Times New Roman"/>
          <w:sz w:val="24"/>
          <w:szCs w:val="24"/>
          <w:u w:val="single"/>
        </w:rPr>
      </w:pPr>
      <w:r w:rsidRPr="00EE29C6">
        <w:rPr>
          <w:rFonts w:ascii="Times New Roman" w:hAnsi="Times New Roman" w:cs="Times New Roman"/>
          <w:sz w:val="24"/>
          <w:szCs w:val="24"/>
          <w:u w:val="single"/>
        </w:rPr>
        <w:t>Purpose</w:t>
      </w:r>
    </w:p>
    <w:p w14:paraId="70C31E42" w14:textId="4243C08C" w:rsidR="00EA0DDA" w:rsidRPr="00E635B6" w:rsidRDefault="00EE29C6">
      <w:pPr>
        <w:rPr>
          <w:rFonts w:ascii="Times New Roman" w:hAnsi="Times New Roman" w:cs="Times New Roman"/>
          <w:sz w:val="24"/>
          <w:szCs w:val="24"/>
        </w:rPr>
      </w:pPr>
      <w:r w:rsidRPr="00EE29C6">
        <w:rPr>
          <w:rFonts w:ascii="Times New Roman" w:hAnsi="Times New Roman" w:cs="Times New Roman"/>
          <w:sz w:val="24"/>
          <w:szCs w:val="24"/>
        </w:rPr>
        <w:t xml:space="preserve">The purpose of this instrument is to </w:t>
      </w:r>
      <w:r w:rsidR="006D635E">
        <w:rPr>
          <w:rFonts w:ascii="Times New Roman" w:hAnsi="Times New Roman" w:cs="Times New Roman"/>
          <w:sz w:val="24"/>
          <w:szCs w:val="24"/>
        </w:rPr>
        <w:t xml:space="preserve">repeal </w:t>
      </w:r>
      <w:r w:rsidR="00EF643B">
        <w:rPr>
          <w:rFonts w:ascii="Times New Roman" w:hAnsi="Times New Roman" w:cs="Times New Roman"/>
          <w:sz w:val="24"/>
          <w:szCs w:val="24"/>
        </w:rPr>
        <w:t xml:space="preserve">an allocation </w:t>
      </w:r>
      <w:r w:rsidR="006D635E">
        <w:rPr>
          <w:rFonts w:ascii="Times New Roman" w:hAnsi="Times New Roman" w:cs="Times New Roman"/>
          <w:sz w:val="24"/>
          <w:szCs w:val="24"/>
        </w:rPr>
        <w:t>limits</w:t>
      </w:r>
      <w:r w:rsidR="00EF643B">
        <w:rPr>
          <w:rFonts w:ascii="Times New Roman" w:hAnsi="Times New Roman" w:cs="Times New Roman"/>
          <w:sz w:val="24"/>
          <w:szCs w:val="24"/>
        </w:rPr>
        <w:t xml:space="preserve"> direction, </w:t>
      </w:r>
      <w:r w:rsidR="008F5B7E">
        <w:rPr>
          <w:rFonts w:ascii="Times New Roman" w:hAnsi="Times New Roman" w:cs="Times New Roman"/>
          <w:sz w:val="24"/>
          <w:szCs w:val="24"/>
        </w:rPr>
        <w:t xml:space="preserve">the </w:t>
      </w:r>
      <w:r w:rsidR="00EF643B" w:rsidRPr="00DE5D81">
        <w:rPr>
          <w:rFonts w:ascii="Times New Roman" w:hAnsi="Times New Roman" w:cs="Times New Roman"/>
          <w:i/>
          <w:sz w:val="24"/>
          <w:szCs w:val="24"/>
        </w:rPr>
        <w:t>Radiocommunications (Spectrum Licence Limits—2 GHz Band) Direction No. 2 of 2000</w:t>
      </w:r>
      <w:r w:rsidR="00EF643B">
        <w:rPr>
          <w:rFonts w:ascii="Times New Roman" w:hAnsi="Times New Roman" w:cs="Times New Roman"/>
          <w:sz w:val="24"/>
          <w:szCs w:val="24"/>
        </w:rPr>
        <w:t xml:space="preserve"> (the 2000 Direction).</w:t>
      </w:r>
      <w:r w:rsidR="006D635E">
        <w:rPr>
          <w:rFonts w:ascii="Times New Roman" w:hAnsi="Times New Roman" w:cs="Times New Roman"/>
          <w:sz w:val="24"/>
          <w:szCs w:val="24"/>
        </w:rPr>
        <w:t xml:space="preserve"> </w:t>
      </w:r>
      <w:r w:rsidR="00EF643B">
        <w:rPr>
          <w:rFonts w:ascii="Times New Roman" w:hAnsi="Times New Roman" w:cs="Times New Roman"/>
          <w:sz w:val="24"/>
          <w:szCs w:val="24"/>
        </w:rPr>
        <w:t xml:space="preserve">The 2000 Direction is being repealed so that the </w:t>
      </w:r>
      <w:r w:rsidR="00484E87">
        <w:rPr>
          <w:rFonts w:ascii="Times New Roman" w:hAnsi="Times New Roman" w:cs="Times New Roman"/>
          <w:sz w:val="24"/>
          <w:szCs w:val="24"/>
        </w:rPr>
        <w:t>Australian Communications and Media Authority (</w:t>
      </w:r>
      <w:r w:rsidR="00EF643B">
        <w:rPr>
          <w:rFonts w:ascii="Times New Roman" w:hAnsi="Times New Roman" w:cs="Times New Roman"/>
          <w:sz w:val="24"/>
          <w:szCs w:val="24"/>
        </w:rPr>
        <w:t>ACMA</w:t>
      </w:r>
      <w:r w:rsidR="00484E87">
        <w:rPr>
          <w:rFonts w:ascii="Times New Roman" w:hAnsi="Times New Roman" w:cs="Times New Roman"/>
          <w:sz w:val="24"/>
          <w:szCs w:val="24"/>
        </w:rPr>
        <w:t>)</w:t>
      </w:r>
      <w:r w:rsidR="00EF643B">
        <w:rPr>
          <w:rFonts w:ascii="Times New Roman" w:hAnsi="Times New Roman" w:cs="Times New Roman"/>
          <w:sz w:val="24"/>
          <w:szCs w:val="24"/>
        </w:rPr>
        <w:t xml:space="preserve"> is not required to include allocation limits applying to </w:t>
      </w:r>
      <w:r w:rsidR="006D635E">
        <w:rPr>
          <w:rFonts w:ascii="Times New Roman" w:hAnsi="Times New Roman" w:cs="Times New Roman"/>
          <w:sz w:val="24"/>
          <w:szCs w:val="24"/>
        </w:rPr>
        <w:t>the 2</w:t>
      </w:r>
      <w:r w:rsidR="00363479">
        <w:rPr>
          <w:rFonts w:ascii="Times New Roman" w:hAnsi="Times New Roman" w:cs="Times New Roman"/>
          <w:sz w:val="24"/>
          <w:szCs w:val="24"/>
        </w:rPr>
        <w:t> </w:t>
      </w:r>
      <w:r w:rsidR="006D635E">
        <w:rPr>
          <w:rFonts w:ascii="Times New Roman" w:hAnsi="Times New Roman" w:cs="Times New Roman"/>
          <w:sz w:val="24"/>
          <w:szCs w:val="24"/>
        </w:rPr>
        <w:t xml:space="preserve">GHz band </w:t>
      </w:r>
      <w:r w:rsidR="00EF643B">
        <w:rPr>
          <w:rFonts w:ascii="Times New Roman" w:hAnsi="Times New Roman" w:cs="Times New Roman"/>
          <w:sz w:val="24"/>
          <w:szCs w:val="24"/>
        </w:rPr>
        <w:t>in allocation procedures it determines</w:t>
      </w:r>
      <w:r w:rsidR="00484E87">
        <w:rPr>
          <w:rFonts w:ascii="Times New Roman" w:hAnsi="Times New Roman" w:cs="Times New Roman"/>
          <w:sz w:val="24"/>
          <w:szCs w:val="24"/>
        </w:rPr>
        <w:t xml:space="preserve"> under section 60 of the Act.</w:t>
      </w:r>
      <w:r w:rsidR="00EF643B">
        <w:rPr>
          <w:rFonts w:ascii="Times New Roman" w:hAnsi="Times New Roman" w:cs="Times New Roman"/>
          <w:sz w:val="24"/>
          <w:szCs w:val="24"/>
        </w:rPr>
        <w:t xml:space="preserve"> </w:t>
      </w:r>
      <w:r w:rsidR="00484E87">
        <w:rPr>
          <w:rFonts w:ascii="Times New Roman" w:hAnsi="Times New Roman" w:cs="Times New Roman"/>
          <w:sz w:val="24"/>
          <w:szCs w:val="24"/>
        </w:rPr>
        <w:t xml:space="preserve">This </w:t>
      </w:r>
      <w:r w:rsidR="00880AB1">
        <w:rPr>
          <w:rFonts w:ascii="Times New Roman" w:hAnsi="Times New Roman" w:cs="Times New Roman"/>
          <w:sz w:val="24"/>
          <w:szCs w:val="24"/>
        </w:rPr>
        <w:t>instrument</w:t>
      </w:r>
      <w:r w:rsidR="00484E87">
        <w:rPr>
          <w:rFonts w:ascii="Times New Roman" w:hAnsi="Times New Roman" w:cs="Times New Roman"/>
          <w:sz w:val="24"/>
          <w:szCs w:val="24"/>
        </w:rPr>
        <w:t xml:space="preserve"> is </w:t>
      </w:r>
      <w:r w:rsidR="00880AB1">
        <w:rPr>
          <w:rFonts w:ascii="Times New Roman" w:hAnsi="Times New Roman" w:cs="Times New Roman"/>
          <w:sz w:val="24"/>
          <w:szCs w:val="24"/>
        </w:rPr>
        <w:t xml:space="preserve">made </w:t>
      </w:r>
      <w:r w:rsidR="006D635E">
        <w:rPr>
          <w:rFonts w:ascii="Times New Roman" w:hAnsi="Times New Roman" w:cs="Times New Roman"/>
          <w:sz w:val="24"/>
          <w:szCs w:val="24"/>
        </w:rPr>
        <w:t>in preparation for an auction of unallocated lots in the 2 GHz band</w:t>
      </w:r>
      <w:r w:rsidR="00484E87">
        <w:rPr>
          <w:rFonts w:ascii="Times New Roman" w:hAnsi="Times New Roman" w:cs="Times New Roman"/>
          <w:sz w:val="24"/>
          <w:szCs w:val="24"/>
        </w:rPr>
        <w:t xml:space="preserve">, which </w:t>
      </w:r>
      <w:r w:rsidR="006D635E">
        <w:rPr>
          <w:rFonts w:ascii="Times New Roman" w:hAnsi="Times New Roman" w:cs="Times New Roman"/>
          <w:sz w:val="24"/>
          <w:szCs w:val="24"/>
        </w:rPr>
        <w:t>will be auctioned along with unallocated lots in the 1800 MHz, 2.3 GHz and 3.4 GHz bands</w:t>
      </w:r>
      <w:r w:rsidR="000414EC">
        <w:rPr>
          <w:rFonts w:ascii="Times New Roman" w:hAnsi="Times New Roman" w:cs="Times New Roman"/>
          <w:sz w:val="24"/>
          <w:szCs w:val="24"/>
        </w:rPr>
        <w:t xml:space="preserve"> in a multi</w:t>
      </w:r>
      <w:r w:rsidR="00EF643B">
        <w:rPr>
          <w:rFonts w:ascii="Times New Roman" w:hAnsi="Times New Roman" w:cs="Times New Roman"/>
          <w:sz w:val="24"/>
          <w:szCs w:val="24"/>
        </w:rPr>
        <w:t>-</w:t>
      </w:r>
      <w:r w:rsidR="000414EC">
        <w:rPr>
          <w:rFonts w:ascii="Times New Roman" w:hAnsi="Times New Roman" w:cs="Times New Roman"/>
          <w:sz w:val="24"/>
          <w:szCs w:val="24"/>
        </w:rPr>
        <w:t>band residual lots auction</w:t>
      </w:r>
      <w:r w:rsidR="006D635E">
        <w:rPr>
          <w:rFonts w:ascii="Times New Roman" w:hAnsi="Times New Roman" w:cs="Times New Roman"/>
          <w:sz w:val="24"/>
          <w:szCs w:val="24"/>
        </w:rPr>
        <w:t>.</w:t>
      </w:r>
    </w:p>
    <w:p w14:paraId="086CBB7F" w14:textId="77777777" w:rsidR="005953E3" w:rsidRDefault="005953E3">
      <w:pPr>
        <w:rPr>
          <w:rFonts w:ascii="Times New Roman" w:hAnsi="Times New Roman"/>
          <w:sz w:val="24"/>
          <w:u w:val="single"/>
        </w:rPr>
      </w:pPr>
      <w:r w:rsidRPr="005953E3">
        <w:rPr>
          <w:rFonts w:ascii="Times New Roman" w:hAnsi="Times New Roman"/>
          <w:sz w:val="24"/>
          <w:u w:val="single"/>
        </w:rPr>
        <w:t>Authority</w:t>
      </w:r>
    </w:p>
    <w:p w14:paraId="320420A6" w14:textId="6ECEFC6B" w:rsidR="005953E3" w:rsidRPr="004B01E3" w:rsidRDefault="00880AB1">
      <w:pPr>
        <w:rPr>
          <w:rFonts w:ascii="Times New Roman" w:hAnsi="Times New Roman"/>
          <w:sz w:val="24"/>
        </w:rPr>
      </w:pPr>
      <w:r>
        <w:rPr>
          <w:rFonts w:ascii="Times New Roman" w:hAnsi="Times New Roman"/>
          <w:sz w:val="24"/>
        </w:rPr>
        <w:lastRenderedPageBreak/>
        <w:t xml:space="preserve">This instrument, the </w:t>
      </w:r>
      <w:r w:rsidR="005953E3" w:rsidRPr="005953E3">
        <w:rPr>
          <w:rFonts w:ascii="Times New Roman" w:hAnsi="Times New Roman"/>
          <w:i/>
          <w:sz w:val="24"/>
        </w:rPr>
        <w:t>Radiocommunications (Spectrum Licence Allocation</w:t>
      </w:r>
      <w:r w:rsidR="00EF643B">
        <w:rPr>
          <w:rFonts w:ascii="Times New Roman" w:hAnsi="Times New Roman"/>
          <w:i/>
          <w:sz w:val="24"/>
        </w:rPr>
        <w:t>—2 GHz Band</w:t>
      </w:r>
      <w:r w:rsidR="005953E3" w:rsidRPr="005953E3">
        <w:rPr>
          <w:rFonts w:ascii="Times New Roman" w:hAnsi="Times New Roman"/>
          <w:i/>
          <w:sz w:val="24"/>
        </w:rPr>
        <w:t xml:space="preserve">) </w:t>
      </w:r>
      <w:r w:rsidR="00EF643B">
        <w:rPr>
          <w:rFonts w:ascii="Times New Roman" w:hAnsi="Times New Roman"/>
          <w:i/>
          <w:sz w:val="24"/>
        </w:rPr>
        <w:t xml:space="preserve">Repeal </w:t>
      </w:r>
      <w:r w:rsidR="005953E3" w:rsidRPr="005953E3">
        <w:rPr>
          <w:rFonts w:ascii="Times New Roman" w:hAnsi="Times New Roman"/>
          <w:i/>
          <w:sz w:val="24"/>
        </w:rPr>
        <w:t>Direction 2017</w:t>
      </w:r>
      <w:r>
        <w:rPr>
          <w:rFonts w:ascii="Times New Roman" w:hAnsi="Times New Roman"/>
          <w:sz w:val="24"/>
        </w:rPr>
        <w:t>,</w:t>
      </w:r>
      <w:r w:rsidR="005953E3">
        <w:rPr>
          <w:rFonts w:ascii="Times New Roman" w:hAnsi="Times New Roman"/>
          <w:i/>
          <w:sz w:val="24"/>
        </w:rPr>
        <w:t xml:space="preserve"> </w:t>
      </w:r>
      <w:r w:rsidR="00EF643B">
        <w:rPr>
          <w:rFonts w:ascii="Times New Roman" w:hAnsi="Times New Roman"/>
          <w:sz w:val="24"/>
        </w:rPr>
        <w:t xml:space="preserve">is made </w:t>
      </w:r>
      <w:r w:rsidR="004B01E3">
        <w:rPr>
          <w:rFonts w:ascii="Times New Roman" w:hAnsi="Times New Roman"/>
          <w:sz w:val="24"/>
        </w:rPr>
        <w:t xml:space="preserve">under </w:t>
      </w:r>
      <w:r w:rsidR="005953E3" w:rsidRPr="004B01E3">
        <w:rPr>
          <w:rFonts w:ascii="Times New Roman" w:hAnsi="Times New Roman"/>
          <w:sz w:val="24"/>
        </w:rPr>
        <w:t xml:space="preserve">subsection 60(10) of the </w:t>
      </w:r>
      <w:r w:rsidR="005953E3" w:rsidRPr="00E635B6">
        <w:rPr>
          <w:rFonts w:ascii="Times New Roman" w:hAnsi="Times New Roman"/>
          <w:i/>
          <w:sz w:val="24"/>
        </w:rPr>
        <w:t>Rad</w:t>
      </w:r>
      <w:r w:rsidR="00E635B6" w:rsidRPr="00E635B6">
        <w:rPr>
          <w:rFonts w:ascii="Times New Roman" w:hAnsi="Times New Roman"/>
          <w:i/>
          <w:sz w:val="24"/>
        </w:rPr>
        <w:t>io</w:t>
      </w:r>
      <w:r w:rsidR="005953E3" w:rsidRPr="00E635B6">
        <w:rPr>
          <w:rFonts w:ascii="Times New Roman" w:hAnsi="Times New Roman"/>
          <w:i/>
          <w:sz w:val="24"/>
        </w:rPr>
        <w:t>comm</w:t>
      </w:r>
      <w:r w:rsidR="00E635B6" w:rsidRPr="00E635B6">
        <w:rPr>
          <w:rFonts w:ascii="Times New Roman" w:hAnsi="Times New Roman"/>
          <w:i/>
          <w:sz w:val="24"/>
        </w:rPr>
        <w:t>unication</w:t>
      </w:r>
      <w:r w:rsidR="005953E3" w:rsidRPr="00E635B6">
        <w:rPr>
          <w:rFonts w:ascii="Times New Roman" w:hAnsi="Times New Roman"/>
          <w:i/>
          <w:sz w:val="24"/>
        </w:rPr>
        <w:t>s Act</w:t>
      </w:r>
      <w:r w:rsidR="00E635B6" w:rsidRPr="00E635B6">
        <w:rPr>
          <w:rFonts w:ascii="Times New Roman" w:hAnsi="Times New Roman"/>
          <w:i/>
          <w:sz w:val="24"/>
        </w:rPr>
        <w:t xml:space="preserve"> 1992</w:t>
      </w:r>
      <w:r w:rsidR="00EF643B">
        <w:rPr>
          <w:rFonts w:ascii="Times New Roman" w:hAnsi="Times New Roman"/>
          <w:i/>
          <w:sz w:val="24"/>
        </w:rPr>
        <w:t xml:space="preserve"> </w:t>
      </w:r>
      <w:r w:rsidR="00EF643B">
        <w:rPr>
          <w:rFonts w:ascii="Times New Roman" w:hAnsi="Times New Roman"/>
          <w:sz w:val="24"/>
        </w:rPr>
        <w:t>(</w:t>
      </w:r>
      <w:r w:rsidR="00B31E59">
        <w:rPr>
          <w:rFonts w:ascii="Times New Roman" w:hAnsi="Times New Roman"/>
          <w:sz w:val="24"/>
        </w:rPr>
        <w:t xml:space="preserve">the </w:t>
      </w:r>
      <w:r w:rsidR="00EF643B">
        <w:rPr>
          <w:rFonts w:ascii="Times New Roman" w:hAnsi="Times New Roman"/>
          <w:sz w:val="24"/>
        </w:rPr>
        <w:t xml:space="preserve">Act). This provision </w:t>
      </w:r>
      <w:r w:rsidR="005953E3" w:rsidRPr="004B01E3">
        <w:rPr>
          <w:rFonts w:ascii="Times New Roman" w:hAnsi="Times New Roman"/>
          <w:sz w:val="24"/>
        </w:rPr>
        <w:t>enables the Minister to direct the ACMA in relation to the exercise of the ACMA’s power to determine procedures imposing limits on the allocation of spectrum licences</w:t>
      </w:r>
      <w:r w:rsidR="004B01E3">
        <w:rPr>
          <w:rFonts w:ascii="Times New Roman" w:hAnsi="Times New Roman"/>
          <w:sz w:val="24"/>
        </w:rPr>
        <w:t>.</w:t>
      </w:r>
    </w:p>
    <w:p w14:paraId="0233D2ED" w14:textId="48AC3DF2" w:rsidR="00EF643B" w:rsidRPr="00EF643B" w:rsidRDefault="00EF643B">
      <w:pPr>
        <w:rPr>
          <w:rFonts w:ascii="Times New Roman" w:hAnsi="Times New Roman"/>
          <w:sz w:val="24"/>
        </w:rPr>
      </w:pPr>
      <w:r>
        <w:rPr>
          <w:rFonts w:ascii="Times New Roman" w:hAnsi="Times New Roman"/>
          <w:sz w:val="24"/>
        </w:rPr>
        <w:t xml:space="preserve">Under subsection 33(3) of the </w:t>
      </w:r>
      <w:r>
        <w:rPr>
          <w:rFonts w:ascii="Times New Roman" w:hAnsi="Times New Roman"/>
          <w:i/>
          <w:sz w:val="24"/>
        </w:rPr>
        <w:t>Acts Interpretation Act 1901</w:t>
      </w:r>
      <w:r w:rsidR="00484E87">
        <w:rPr>
          <w:rFonts w:ascii="Times New Roman" w:hAnsi="Times New Roman"/>
          <w:i/>
          <w:sz w:val="24"/>
        </w:rPr>
        <w:t xml:space="preserve"> </w:t>
      </w:r>
      <w:r w:rsidR="00484E87">
        <w:rPr>
          <w:rFonts w:ascii="Times New Roman" w:hAnsi="Times New Roman"/>
          <w:sz w:val="24"/>
        </w:rPr>
        <w:t>(AIA)</w:t>
      </w:r>
      <w:r>
        <w:rPr>
          <w:rFonts w:ascii="Times New Roman" w:hAnsi="Times New Roman"/>
          <w:sz w:val="24"/>
        </w:rPr>
        <w: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instrument is made under subsection 60(10) of the Act</w:t>
      </w:r>
      <w:r w:rsidR="007D1F91">
        <w:rPr>
          <w:rFonts w:ascii="Times New Roman" w:hAnsi="Times New Roman"/>
          <w:sz w:val="24"/>
        </w:rPr>
        <w:t>,</w:t>
      </w:r>
      <w:r>
        <w:rPr>
          <w:rFonts w:ascii="Times New Roman" w:hAnsi="Times New Roman"/>
          <w:sz w:val="24"/>
        </w:rPr>
        <w:t xml:space="preserve"> in reliance on subsection 33(3) of the</w:t>
      </w:r>
      <w:r w:rsidR="00484E87">
        <w:rPr>
          <w:rFonts w:ascii="Times New Roman" w:hAnsi="Times New Roman"/>
          <w:sz w:val="24"/>
        </w:rPr>
        <w:t xml:space="preserve"> AIA</w:t>
      </w:r>
      <w:r w:rsidR="007D1F91">
        <w:rPr>
          <w:rFonts w:ascii="Times New Roman" w:hAnsi="Times New Roman"/>
          <w:sz w:val="24"/>
        </w:rPr>
        <w:t>,</w:t>
      </w:r>
      <w:r>
        <w:rPr>
          <w:rFonts w:ascii="Times New Roman" w:hAnsi="Times New Roman"/>
          <w:sz w:val="24"/>
        </w:rPr>
        <w:t xml:space="preserve"> to repeal the 2000 Direction, which was itself made under subsection 60(10).</w:t>
      </w:r>
    </w:p>
    <w:p w14:paraId="21214B5F" w14:textId="77777777" w:rsidR="00EA0DDA" w:rsidRPr="00EA0DDA" w:rsidRDefault="00EA0DDA">
      <w:pPr>
        <w:rPr>
          <w:rFonts w:ascii="Times New Roman" w:hAnsi="Times New Roman"/>
          <w:sz w:val="24"/>
          <w:u w:val="single"/>
        </w:rPr>
      </w:pPr>
      <w:r w:rsidRPr="00EA0DDA">
        <w:rPr>
          <w:rFonts w:ascii="Times New Roman" w:hAnsi="Times New Roman"/>
          <w:sz w:val="24"/>
          <w:u w:val="single"/>
        </w:rPr>
        <w:t>Background</w:t>
      </w:r>
    </w:p>
    <w:p w14:paraId="04FA77E8" w14:textId="0F918BFB" w:rsidR="00D81285" w:rsidRDefault="002A4B3C" w:rsidP="00DE5D81">
      <w:pPr>
        <w:rPr>
          <w:rFonts w:ascii="Times New Roman" w:hAnsi="Times New Roman" w:cs="Times New Roman"/>
          <w:sz w:val="24"/>
          <w:szCs w:val="24"/>
        </w:rPr>
      </w:pPr>
      <w:r w:rsidRPr="00D81285">
        <w:rPr>
          <w:rFonts w:ascii="Times New Roman" w:hAnsi="Times New Roman" w:cs="Times New Roman"/>
          <w:sz w:val="24"/>
          <w:szCs w:val="24"/>
        </w:rPr>
        <w:t xml:space="preserve">The </w:t>
      </w:r>
      <w:r w:rsidR="00484E87">
        <w:rPr>
          <w:rFonts w:ascii="Times New Roman" w:hAnsi="Times New Roman" w:cs="Times New Roman"/>
          <w:sz w:val="24"/>
          <w:szCs w:val="24"/>
        </w:rPr>
        <w:t xml:space="preserve">ACMA intends to conduct a </w:t>
      </w:r>
      <w:r w:rsidR="000414EC">
        <w:rPr>
          <w:rFonts w:ascii="Times New Roman" w:hAnsi="Times New Roman" w:cs="Times New Roman"/>
          <w:sz w:val="24"/>
          <w:szCs w:val="24"/>
        </w:rPr>
        <w:t>multi</w:t>
      </w:r>
      <w:r w:rsidR="00EF643B">
        <w:rPr>
          <w:rFonts w:ascii="Times New Roman" w:hAnsi="Times New Roman" w:cs="Times New Roman"/>
          <w:sz w:val="24"/>
          <w:szCs w:val="24"/>
        </w:rPr>
        <w:t>-</w:t>
      </w:r>
      <w:r w:rsidR="000414EC">
        <w:rPr>
          <w:rFonts w:ascii="Times New Roman" w:hAnsi="Times New Roman" w:cs="Times New Roman"/>
          <w:sz w:val="24"/>
          <w:szCs w:val="24"/>
        </w:rPr>
        <w:t xml:space="preserve">band residual lots auction </w:t>
      </w:r>
      <w:r w:rsidR="00484E87">
        <w:rPr>
          <w:rFonts w:ascii="Times New Roman" w:hAnsi="Times New Roman" w:cs="Times New Roman"/>
          <w:sz w:val="24"/>
          <w:szCs w:val="24"/>
        </w:rPr>
        <w:t xml:space="preserve">to </w:t>
      </w:r>
      <w:r w:rsidR="000414EC">
        <w:rPr>
          <w:rFonts w:ascii="Times New Roman" w:hAnsi="Times New Roman" w:cs="Times New Roman"/>
          <w:sz w:val="24"/>
          <w:szCs w:val="24"/>
        </w:rPr>
        <w:t xml:space="preserve">sell </w:t>
      </w:r>
      <w:r w:rsidRPr="00D81285">
        <w:rPr>
          <w:rFonts w:ascii="Times New Roman" w:hAnsi="Times New Roman" w:cs="Times New Roman"/>
          <w:sz w:val="24"/>
          <w:szCs w:val="24"/>
        </w:rPr>
        <w:t xml:space="preserve">small amounts of </w:t>
      </w:r>
      <w:r w:rsidR="00484E87">
        <w:rPr>
          <w:rFonts w:ascii="Times New Roman" w:hAnsi="Times New Roman" w:cs="Times New Roman"/>
          <w:sz w:val="24"/>
          <w:szCs w:val="24"/>
        </w:rPr>
        <w:t xml:space="preserve">unallocated </w:t>
      </w:r>
      <w:r w:rsidRPr="00D81285">
        <w:rPr>
          <w:rFonts w:ascii="Times New Roman" w:hAnsi="Times New Roman" w:cs="Times New Roman"/>
          <w:sz w:val="24"/>
          <w:szCs w:val="24"/>
        </w:rPr>
        <w:t xml:space="preserve">spectrum in the 1800 MHz, 2 GHz, 2.3 GHz and 3.4 GHz bands. </w:t>
      </w:r>
      <w:r w:rsidR="00D81285" w:rsidRPr="00D81285">
        <w:rPr>
          <w:rFonts w:ascii="Times New Roman" w:hAnsi="Times New Roman" w:cs="Times New Roman"/>
          <w:sz w:val="24"/>
          <w:szCs w:val="24"/>
        </w:rPr>
        <w:t xml:space="preserve">In April 2017, </w:t>
      </w:r>
      <w:r>
        <w:rPr>
          <w:rFonts w:ascii="Times New Roman" w:hAnsi="Times New Roman" w:cs="Times New Roman"/>
          <w:sz w:val="24"/>
          <w:szCs w:val="24"/>
        </w:rPr>
        <w:t>the Minister</w:t>
      </w:r>
      <w:r w:rsidR="00D81285" w:rsidRPr="00D81285">
        <w:rPr>
          <w:rFonts w:ascii="Times New Roman" w:hAnsi="Times New Roman" w:cs="Times New Roman"/>
          <w:sz w:val="24"/>
          <w:szCs w:val="24"/>
        </w:rPr>
        <w:t xml:space="preserve"> </w:t>
      </w:r>
      <w:r w:rsidR="00B31E59">
        <w:rPr>
          <w:rFonts w:ascii="Times New Roman" w:hAnsi="Times New Roman" w:cs="Times New Roman"/>
          <w:sz w:val="24"/>
          <w:szCs w:val="24"/>
        </w:rPr>
        <w:t xml:space="preserve">made the </w:t>
      </w:r>
      <w:r w:rsidR="00B31E59" w:rsidRPr="00DE5D81">
        <w:rPr>
          <w:rFonts w:ascii="Times New Roman" w:hAnsi="Times New Roman" w:cs="Times New Roman"/>
          <w:i/>
          <w:sz w:val="24"/>
          <w:szCs w:val="24"/>
        </w:rPr>
        <w:t xml:space="preserve">Radiocommunications </w:t>
      </w:r>
      <w:r w:rsidR="00B31E59" w:rsidRPr="00DE5D81">
        <w:rPr>
          <w:rFonts w:ascii="Times New Roman" w:hAnsi="Times New Roman" w:cs="Times New Roman"/>
          <w:i/>
          <w:sz w:val="24"/>
          <w:szCs w:val="24"/>
        </w:rPr>
        <w:lastRenderedPageBreak/>
        <w:t>(Spectrum Designation—2 GHz and 3.4 GHz Bands) Notice 2017</w:t>
      </w:r>
      <w:r w:rsidR="00B31E59" w:rsidRPr="00B31E59">
        <w:rPr>
          <w:rFonts w:ascii="Times New Roman" w:hAnsi="Times New Roman" w:cs="Times New Roman"/>
          <w:sz w:val="24"/>
          <w:szCs w:val="24"/>
        </w:rPr>
        <w:t xml:space="preserve"> </w:t>
      </w:r>
      <w:r w:rsidR="00484E87">
        <w:rPr>
          <w:rFonts w:ascii="Times New Roman" w:hAnsi="Times New Roman" w:cs="Times New Roman"/>
          <w:sz w:val="24"/>
          <w:szCs w:val="24"/>
        </w:rPr>
        <w:t>designating</w:t>
      </w:r>
      <w:r w:rsidR="00484E87" w:rsidRPr="00D81285">
        <w:rPr>
          <w:rFonts w:ascii="Times New Roman" w:hAnsi="Times New Roman" w:cs="Times New Roman"/>
          <w:sz w:val="24"/>
          <w:szCs w:val="24"/>
        </w:rPr>
        <w:t xml:space="preserve"> </w:t>
      </w:r>
      <w:r w:rsidR="00D81285" w:rsidRPr="00D81285">
        <w:rPr>
          <w:rFonts w:ascii="Times New Roman" w:hAnsi="Times New Roman" w:cs="Times New Roman"/>
          <w:sz w:val="24"/>
          <w:szCs w:val="24"/>
        </w:rPr>
        <w:t xml:space="preserve">the unallocated spectrum in the 2 GHz and 3.4 GHz bands for </w:t>
      </w:r>
      <w:r w:rsidR="00484E87">
        <w:rPr>
          <w:rFonts w:ascii="Times New Roman" w:hAnsi="Times New Roman" w:cs="Times New Roman"/>
          <w:sz w:val="24"/>
          <w:szCs w:val="24"/>
        </w:rPr>
        <w:t xml:space="preserve">allocation by issuing </w:t>
      </w:r>
      <w:r w:rsidR="00D81285" w:rsidRPr="00D81285">
        <w:rPr>
          <w:rFonts w:ascii="Times New Roman" w:hAnsi="Times New Roman" w:cs="Times New Roman"/>
          <w:sz w:val="24"/>
          <w:szCs w:val="24"/>
        </w:rPr>
        <w:t xml:space="preserve">spectrum </w:t>
      </w:r>
      <w:r w:rsidR="00484E87">
        <w:rPr>
          <w:rFonts w:ascii="Times New Roman" w:hAnsi="Times New Roman" w:cs="Times New Roman"/>
          <w:sz w:val="24"/>
          <w:szCs w:val="24"/>
        </w:rPr>
        <w:t>licences in order to enable the ACMA to conduct this auction. The ACMA is enabled to conduct the auction for the other relevant parts of the spectrum by other designation notices or re-allocation declarations previously made by the Minister.</w:t>
      </w:r>
    </w:p>
    <w:p w14:paraId="44DD628D" w14:textId="511F4A73" w:rsidR="003E50DF" w:rsidRPr="00D81285" w:rsidRDefault="003E50DF" w:rsidP="00DE5D81">
      <w:pPr>
        <w:rPr>
          <w:rFonts w:ascii="Times New Roman" w:hAnsi="Times New Roman" w:cs="Times New Roman"/>
          <w:sz w:val="24"/>
          <w:szCs w:val="24"/>
        </w:rPr>
      </w:pPr>
      <w:r>
        <w:rPr>
          <w:rFonts w:ascii="Times New Roman" w:hAnsi="Times New Roman"/>
          <w:sz w:val="24"/>
        </w:rPr>
        <w:t>The 2000 Direction require</w:t>
      </w:r>
      <w:r w:rsidR="00484E87">
        <w:rPr>
          <w:rFonts w:ascii="Times New Roman" w:hAnsi="Times New Roman"/>
          <w:sz w:val="24"/>
        </w:rPr>
        <w:t>d</w:t>
      </w:r>
      <w:r>
        <w:rPr>
          <w:rFonts w:ascii="Times New Roman" w:hAnsi="Times New Roman"/>
          <w:sz w:val="24"/>
        </w:rPr>
        <w:t xml:space="preserve"> the ACMA, when determining allocation procedures under section 60 of the Act, to include various allocation limits applying to the 2 GHz band. These limits would have </w:t>
      </w:r>
      <w:r w:rsidR="00484E87">
        <w:rPr>
          <w:rFonts w:ascii="Times New Roman" w:hAnsi="Times New Roman"/>
          <w:sz w:val="24"/>
        </w:rPr>
        <w:t xml:space="preserve">had </w:t>
      </w:r>
      <w:r>
        <w:rPr>
          <w:rFonts w:ascii="Times New Roman" w:hAnsi="Times New Roman"/>
          <w:sz w:val="24"/>
        </w:rPr>
        <w:t>the effect that no person, or specified group of persons (each group comprising an applicant and their associates), would be able to use more than the specified amounts of the 7 specified parts of the spectrum in the 2 GHz band.</w:t>
      </w:r>
      <w:r w:rsidR="00484E87">
        <w:rPr>
          <w:rFonts w:ascii="Times New Roman" w:hAnsi="Times New Roman"/>
          <w:sz w:val="24"/>
        </w:rPr>
        <w:t xml:space="preserve"> The 2000 Direction was given in the context of a prior allocation process for spectrum licences in the 2 GHz band.</w:t>
      </w:r>
    </w:p>
    <w:p w14:paraId="78061D91" w14:textId="493CF8CB" w:rsidR="006511EE" w:rsidRDefault="00E344CB">
      <w:pPr>
        <w:rPr>
          <w:rFonts w:ascii="Times New Roman" w:hAnsi="Times New Roman"/>
          <w:sz w:val="24"/>
        </w:rPr>
      </w:pPr>
      <w:r>
        <w:rPr>
          <w:rFonts w:ascii="Times New Roman" w:hAnsi="Times New Roman"/>
          <w:sz w:val="24"/>
        </w:rPr>
        <w:t xml:space="preserve">The Minister sought advice from the Australian Competition and Consumer Commission (ACCC) on appropriate </w:t>
      </w:r>
      <w:r w:rsidR="002700AD">
        <w:rPr>
          <w:rFonts w:ascii="Times New Roman" w:hAnsi="Times New Roman"/>
          <w:sz w:val="24"/>
        </w:rPr>
        <w:t xml:space="preserve">allocation </w:t>
      </w:r>
      <w:r>
        <w:rPr>
          <w:rFonts w:ascii="Times New Roman" w:hAnsi="Times New Roman"/>
          <w:sz w:val="24"/>
        </w:rPr>
        <w:t xml:space="preserve">limits </w:t>
      </w:r>
      <w:r w:rsidR="002700AD">
        <w:rPr>
          <w:rFonts w:ascii="Times New Roman" w:hAnsi="Times New Roman"/>
          <w:sz w:val="24"/>
        </w:rPr>
        <w:t xml:space="preserve">(also known as competition limits) </w:t>
      </w:r>
      <w:r>
        <w:rPr>
          <w:rFonts w:ascii="Times New Roman" w:hAnsi="Times New Roman"/>
          <w:sz w:val="24"/>
        </w:rPr>
        <w:t xml:space="preserve">for the </w:t>
      </w:r>
      <w:r w:rsidR="00484E87">
        <w:rPr>
          <w:rFonts w:ascii="Times New Roman" w:hAnsi="Times New Roman"/>
          <w:sz w:val="24"/>
        </w:rPr>
        <w:t xml:space="preserve">current </w:t>
      </w:r>
      <w:r w:rsidR="000414EC">
        <w:rPr>
          <w:rFonts w:ascii="Times New Roman" w:hAnsi="Times New Roman"/>
          <w:sz w:val="24"/>
        </w:rPr>
        <w:t>multiband residual lots</w:t>
      </w:r>
      <w:r>
        <w:rPr>
          <w:rFonts w:ascii="Times New Roman" w:hAnsi="Times New Roman"/>
          <w:sz w:val="24"/>
        </w:rPr>
        <w:t xml:space="preserve"> auction. The ACCC undertook targeted consultation to inform</w:t>
      </w:r>
      <w:r w:rsidR="00521A4F">
        <w:rPr>
          <w:rFonts w:ascii="Times New Roman" w:hAnsi="Times New Roman"/>
          <w:sz w:val="24"/>
        </w:rPr>
        <w:t xml:space="preserve"> the development of its </w:t>
      </w:r>
      <w:r w:rsidR="00521A4F">
        <w:rPr>
          <w:rFonts w:ascii="Times New Roman" w:hAnsi="Times New Roman"/>
          <w:sz w:val="24"/>
        </w:rPr>
        <w:lastRenderedPageBreak/>
        <w:t>advice and</w:t>
      </w:r>
      <w:r>
        <w:rPr>
          <w:rFonts w:ascii="Times New Roman" w:hAnsi="Times New Roman"/>
          <w:sz w:val="24"/>
        </w:rPr>
        <w:t xml:space="preserve"> provided its advice to the </w:t>
      </w:r>
      <w:r w:rsidRPr="00397A40">
        <w:rPr>
          <w:rFonts w:ascii="Times New Roman" w:hAnsi="Times New Roman"/>
          <w:sz w:val="24"/>
        </w:rPr>
        <w:t xml:space="preserve">Minister </w:t>
      </w:r>
      <w:r w:rsidR="00363479" w:rsidRPr="00397A40">
        <w:rPr>
          <w:rFonts w:ascii="Times New Roman" w:hAnsi="Times New Roman"/>
          <w:sz w:val="24"/>
        </w:rPr>
        <w:t>in</w:t>
      </w:r>
      <w:r w:rsidR="004D5D98" w:rsidRPr="00397A40">
        <w:rPr>
          <w:rFonts w:ascii="Times New Roman" w:hAnsi="Times New Roman"/>
          <w:sz w:val="24"/>
        </w:rPr>
        <w:t xml:space="preserve"> </w:t>
      </w:r>
      <w:r w:rsidRPr="00397A40">
        <w:rPr>
          <w:rFonts w:ascii="Times New Roman" w:hAnsi="Times New Roman"/>
          <w:sz w:val="24"/>
        </w:rPr>
        <w:t>August 2017</w:t>
      </w:r>
      <w:r w:rsidR="000414EC" w:rsidRPr="00397A40">
        <w:rPr>
          <w:rFonts w:ascii="Times New Roman" w:hAnsi="Times New Roman"/>
          <w:sz w:val="24"/>
        </w:rPr>
        <w:t>.</w:t>
      </w:r>
      <w:r w:rsidR="000414EC">
        <w:rPr>
          <w:rFonts w:ascii="Times New Roman" w:hAnsi="Times New Roman"/>
          <w:sz w:val="24"/>
        </w:rPr>
        <w:t xml:space="preserve"> </w:t>
      </w:r>
    </w:p>
    <w:p w14:paraId="3C72B668" w14:textId="1837CB64" w:rsidR="005820BA" w:rsidRDefault="000414EC">
      <w:pPr>
        <w:rPr>
          <w:rFonts w:ascii="Times New Roman" w:hAnsi="Times New Roman"/>
          <w:sz w:val="24"/>
        </w:rPr>
      </w:pPr>
      <w:r>
        <w:rPr>
          <w:rFonts w:ascii="Times New Roman" w:hAnsi="Times New Roman"/>
          <w:sz w:val="24"/>
        </w:rPr>
        <w:t xml:space="preserve">The ACCC recommended that existing </w:t>
      </w:r>
      <w:r w:rsidR="002700AD">
        <w:rPr>
          <w:rFonts w:ascii="Times New Roman" w:hAnsi="Times New Roman"/>
          <w:sz w:val="24"/>
        </w:rPr>
        <w:t xml:space="preserve">allocation </w:t>
      </w:r>
      <w:r>
        <w:rPr>
          <w:rFonts w:ascii="Times New Roman" w:hAnsi="Times New Roman"/>
          <w:sz w:val="24"/>
        </w:rPr>
        <w:t>limits in the 1800 MHz band be retained</w:t>
      </w:r>
      <w:r w:rsidR="00E62627">
        <w:rPr>
          <w:rFonts w:ascii="Times New Roman" w:hAnsi="Times New Roman"/>
          <w:sz w:val="24"/>
        </w:rPr>
        <w:t>.</w:t>
      </w:r>
      <w:r>
        <w:rPr>
          <w:rFonts w:ascii="Times New Roman" w:hAnsi="Times New Roman"/>
          <w:sz w:val="24"/>
        </w:rPr>
        <w:t xml:space="preserve"> </w:t>
      </w:r>
      <w:r w:rsidR="00EF72F4">
        <w:rPr>
          <w:rFonts w:ascii="Times New Roman" w:hAnsi="Times New Roman"/>
          <w:sz w:val="24"/>
        </w:rPr>
        <w:t>The</w:t>
      </w:r>
      <w:r>
        <w:rPr>
          <w:rFonts w:ascii="Times New Roman" w:hAnsi="Times New Roman"/>
          <w:sz w:val="24"/>
        </w:rPr>
        <w:t xml:space="preserve"> ACCC recommended that</w:t>
      </w:r>
      <w:r w:rsidR="004B01E3">
        <w:rPr>
          <w:rFonts w:ascii="Times New Roman" w:hAnsi="Times New Roman"/>
          <w:sz w:val="24"/>
        </w:rPr>
        <w:t xml:space="preserve"> no </w:t>
      </w:r>
      <w:r w:rsidR="002700AD">
        <w:rPr>
          <w:rFonts w:ascii="Times New Roman" w:hAnsi="Times New Roman"/>
          <w:sz w:val="24"/>
        </w:rPr>
        <w:t xml:space="preserve">allocation </w:t>
      </w:r>
      <w:r w:rsidR="004B01E3">
        <w:rPr>
          <w:rFonts w:ascii="Times New Roman" w:hAnsi="Times New Roman"/>
          <w:sz w:val="24"/>
        </w:rPr>
        <w:t>limits be imposed in the</w:t>
      </w:r>
      <w:r w:rsidR="00EF72F4">
        <w:rPr>
          <w:rFonts w:ascii="Times New Roman" w:hAnsi="Times New Roman"/>
          <w:sz w:val="24"/>
        </w:rPr>
        <w:t xml:space="preserve"> 2,</w:t>
      </w:r>
      <w:r w:rsidR="004B01E3">
        <w:rPr>
          <w:rFonts w:ascii="Times New Roman" w:hAnsi="Times New Roman"/>
          <w:sz w:val="24"/>
        </w:rPr>
        <w:t xml:space="preserve"> 2.3 and 3.4 GHz band</w:t>
      </w:r>
      <w:r w:rsidR="004B01E3" w:rsidRPr="004B01E3">
        <w:rPr>
          <w:rFonts w:ascii="Times New Roman" w:hAnsi="Times New Roman"/>
          <w:sz w:val="24"/>
        </w:rPr>
        <w:t>s</w:t>
      </w:r>
      <w:r w:rsidR="00E344CB" w:rsidRPr="004B01E3">
        <w:rPr>
          <w:rFonts w:ascii="Times New Roman" w:hAnsi="Times New Roman"/>
          <w:sz w:val="24"/>
        </w:rPr>
        <w:t>.</w:t>
      </w:r>
      <w:r w:rsidR="00E344CB">
        <w:rPr>
          <w:rFonts w:ascii="Times New Roman" w:hAnsi="Times New Roman"/>
          <w:sz w:val="24"/>
        </w:rPr>
        <w:t xml:space="preserve"> </w:t>
      </w:r>
      <w:r w:rsidR="00EF72F4" w:rsidRPr="00EF72F4">
        <w:rPr>
          <w:rFonts w:ascii="Times New Roman" w:hAnsi="Times New Roman"/>
          <w:sz w:val="24"/>
        </w:rPr>
        <w:t xml:space="preserve"> </w:t>
      </w:r>
      <w:r w:rsidR="00EF72F4">
        <w:rPr>
          <w:rFonts w:ascii="Times New Roman" w:hAnsi="Times New Roman"/>
          <w:sz w:val="24"/>
        </w:rPr>
        <w:t xml:space="preserve">The recommendation that no allocation limits be imposed in the 2 GHz band requires that the existing allocation limits in that band be lifted. </w:t>
      </w:r>
    </w:p>
    <w:p w14:paraId="2C3C5EF1" w14:textId="48E175E1" w:rsidR="00E344CB" w:rsidRDefault="00EF72F4">
      <w:pPr>
        <w:rPr>
          <w:rFonts w:ascii="Times New Roman" w:hAnsi="Times New Roman"/>
          <w:sz w:val="24"/>
        </w:rPr>
      </w:pPr>
      <w:r>
        <w:rPr>
          <w:rFonts w:ascii="Times New Roman" w:hAnsi="Times New Roman"/>
          <w:sz w:val="24"/>
        </w:rPr>
        <w:t>The ACCC’s assessment is that</w:t>
      </w:r>
      <w:r w:rsidR="006A1F02">
        <w:rPr>
          <w:rFonts w:ascii="Times New Roman" w:hAnsi="Times New Roman"/>
          <w:sz w:val="24"/>
        </w:rPr>
        <w:t xml:space="preserve"> </w:t>
      </w:r>
      <w:r w:rsidR="005820BA">
        <w:rPr>
          <w:rFonts w:ascii="Times New Roman" w:hAnsi="Times New Roman"/>
          <w:sz w:val="24"/>
        </w:rPr>
        <w:t>allocation</w:t>
      </w:r>
      <w:r w:rsidR="006A1F02">
        <w:rPr>
          <w:rFonts w:ascii="Times New Roman" w:hAnsi="Times New Roman"/>
          <w:sz w:val="24"/>
        </w:rPr>
        <w:t xml:space="preserve"> limits in </w:t>
      </w:r>
      <w:r w:rsidR="005820BA">
        <w:rPr>
          <w:rFonts w:ascii="Times New Roman" w:hAnsi="Times New Roman"/>
          <w:sz w:val="24"/>
        </w:rPr>
        <w:t>the 2, 2.3</w:t>
      </w:r>
      <w:r w:rsidR="006A1F02">
        <w:rPr>
          <w:rFonts w:ascii="Times New Roman" w:hAnsi="Times New Roman"/>
          <w:sz w:val="24"/>
        </w:rPr>
        <w:t xml:space="preserve"> and 3.4 GHz bands would not encourage the economically efficient use of</w:t>
      </w:r>
      <w:r w:rsidR="005820BA">
        <w:rPr>
          <w:rFonts w:ascii="Times New Roman" w:hAnsi="Times New Roman"/>
          <w:sz w:val="24"/>
        </w:rPr>
        <w:t xml:space="preserve"> spectrum, promote competition or facilitate a new entrant to the market. Furthermore, the ACCC advised that allocation limits in the 2 GHz band may result in inefficient allocation of spectrum due to the possibility of spectrum being left unsold at the end of the auction. </w:t>
      </w:r>
    </w:p>
    <w:p w14:paraId="23130351" w14:textId="646FEA24" w:rsidR="00E344CB" w:rsidRDefault="00E344CB">
      <w:pPr>
        <w:rPr>
          <w:rFonts w:ascii="Times New Roman" w:hAnsi="Times New Roman"/>
          <w:sz w:val="24"/>
        </w:rPr>
      </w:pPr>
      <w:r>
        <w:rPr>
          <w:rFonts w:ascii="Times New Roman" w:hAnsi="Times New Roman"/>
          <w:sz w:val="24"/>
        </w:rPr>
        <w:t xml:space="preserve">Consistent with </w:t>
      </w:r>
      <w:r w:rsidR="00484E87">
        <w:rPr>
          <w:rFonts w:ascii="Times New Roman" w:hAnsi="Times New Roman"/>
          <w:sz w:val="24"/>
        </w:rPr>
        <w:t>the ACCC’s recommendation</w:t>
      </w:r>
      <w:r>
        <w:rPr>
          <w:rFonts w:ascii="Times New Roman" w:hAnsi="Times New Roman"/>
          <w:sz w:val="24"/>
        </w:rPr>
        <w:t xml:space="preserve">, </w:t>
      </w:r>
      <w:r w:rsidR="00880AB1">
        <w:rPr>
          <w:rFonts w:ascii="Times New Roman" w:hAnsi="Times New Roman"/>
          <w:sz w:val="24"/>
        </w:rPr>
        <w:t>this instrument</w:t>
      </w:r>
      <w:r>
        <w:rPr>
          <w:rFonts w:ascii="Times New Roman" w:hAnsi="Times New Roman"/>
          <w:sz w:val="24"/>
        </w:rPr>
        <w:t xml:space="preserve"> revokes the</w:t>
      </w:r>
      <w:r w:rsidR="00484E87">
        <w:rPr>
          <w:rFonts w:ascii="Times New Roman" w:hAnsi="Times New Roman"/>
          <w:sz w:val="24"/>
        </w:rPr>
        <w:t xml:space="preserve"> 2000 Direction.</w:t>
      </w:r>
      <w:r>
        <w:rPr>
          <w:rFonts w:ascii="Times New Roman" w:hAnsi="Times New Roman"/>
          <w:sz w:val="24"/>
        </w:rPr>
        <w:t xml:space="preserve"> </w:t>
      </w:r>
      <w:r w:rsidR="00484E87">
        <w:rPr>
          <w:rFonts w:ascii="Times New Roman" w:hAnsi="Times New Roman"/>
          <w:sz w:val="24"/>
        </w:rPr>
        <w:t xml:space="preserve">This means the ACMA is not required to include allocation limits applying to </w:t>
      </w:r>
      <w:r w:rsidR="004B01E3">
        <w:rPr>
          <w:rFonts w:ascii="Times New Roman" w:hAnsi="Times New Roman"/>
          <w:sz w:val="24"/>
        </w:rPr>
        <w:t>the 2 GHz band</w:t>
      </w:r>
      <w:r w:rsidR="00F90A00">
        <w:rPr>
          <w:rFonts w:ascii="Times New Roman" w:hAnsi="Times New Roman"/>
          <w:sz w:val="24"/>
        </w:rPr>
        <w:t xml:space="preserve"> for the </w:t>
      </w:r>
      <w:r w:rsidR="000414EC">
        <w:rPr>
          <w:rFonts w:ascii="Times New Roman" w:hAnsi="Times New Roman"/>
          <w:sz w:val="24"/>
        </w:rPr>
        <w:t>multiband residual lots auction.</w:t>
      </w:r>
    </w:p>
    <w:p w14:paraId="5213C9EF" w14:textId="34766050" w:rsidR="00B31E59" w:rsidRDefault="00B31E59">
      <w:pPr>
        <w:rPr>
          <w:rFonts w:ascii="Times New Roman" w:hAnsi="Times New Roman"/>
          <w:sz w:val="24"/>
        </w:rPr>
      </w:pPr>
      <w:r>
        <w:rPr>
          <w:rFonts w:ascii="Times New Roman" w:hAnsi="Times New Roman"/>
          <w:sz w:val="24"/>
        </w:rPr>
        <w:t xml:space="preserve">This instrument is a legislative instrument for the purposes of the </w:t>
      </w:r>
      <w:r w:rsidRPr="00CD4553">
        <w:rPr>
          <w:rFonts w:ascii="Times New Roman" w:hAnsi="Times New Roman"/>
          <w:i/>
          <w:sz w:val="24"/>
        </w:rPr>
        <w:t>Legislation Act 2003</w:t>
      </w:r>
      <w:r>
        <w:rPr>
          <w:rFonts w:ascii="Times New Roman" w:hAnsi="Times New Roman"/>
          <w:sz w:val="24"/>
        </w:rPr>
        <w:t xml:space="preserve">. However, </w:t>
      </w:r>
      <w:r w:rsidR="00880AB1">
        <w:rPr>
          <w:rFonts w:ascii="Times New Roman" w:hAnsi="Times New Roman"/>
          <w:sz w:val="24"/>
        </w:rPr>
        <w:t>this</w:t>
      </w:r>
      <w:r>
        <w:rPr>
          <w:rFonts w:ascii="Times New Roman" w:hAnsi="Times New Roman"/>
          <w:sz w:val="24"/>
        </w:rPr>
        <w:t xml:space="preserve"> instrument is </w:t>
      </w:r>
      <w:r>
        <w:rPr>
          <w:rFonts w:ascii="Times New Roman" w:hAnsi="Times New Roman"/>
          <w:sz w:val="24"/>
        </w:rPr>
        <w:lastRenderedPageBreak/>
        <w:t xml:space="preserve">not subject to disallowance or sunsetting, as it is a direction by a Minister to a person or body (see item 2 of section 9 and item 3 of section 11 of the </w:t>
      </w:r>
      <w:r w:rsidRPr="005953E3">
        <w:rPr>
          <w:rFonts w:ascii="Times New Roman" w:hAnsi="Times New Roman"/>
          <w:i/>
          <w:sz w:val="24"/>
        </w:rPr>
        <w:t>Legislation (Exemptions and Other Matters) Regulation 2015</w:t>
      </w:r>
      <w:r>
        <w:rPr>
          <w:rFonts w:ascii="Times New Roman" w:hAnsi="Times New Roman"/>
          <w:sz w:val="24"/>
        </w:rPr>
        <w:t xml:space="preserve"> respectively). </w:t>
      </w:r>
    </w:p>
    <w:p w14:paraId="1897D278" w14:textId="0E6D326E" w:rsidR="008F5B7E" w:rsidRDefault="008F5B7E">
      <w:pPr>
        <w:rPr>
          <w:rFonts w:ascii="Times New Roman" w:hAnsi="Times New Roman"/>
          <w:sz w:val="24"/>
        </w:rPr>
      </w:pPr>
      <w:r>
        <w:rPr>
          <w:rFonts w:ascii="Times New Roman" w:hAnsi="Times New Roman"/>
          <w:sz w:val="24"/>
        </w:rPr>
        <w:t>Details of the instrument are set out at Attachment 1.</w:t>
      </w:r>
    </w:p>
    <w:p w14:paraId="03E80FA9" w14:textId="6BD96660" w:rsidR="00020BE8" w:rsidRPr="00020BE8" w:rsidRDefault="00020BE8">
      <w:pPr>
        <w:rPr>
          <w:rFonts w:ascii="Times New Roman" w:hAnsi="Times New Roman"/>
          <w:sz w:val="24"/>
          <w:u w:val="single"/>
        </w:rPr>
      </w:pPr>
      <w:r w:rsidRPr="00020BE8">
        <w:rPr>
          <w:rFonts w:ascii="Times New Roman" w:hAnsi="Times New Roman"/>
          <w:sz w:val="24"/>
          <w:u w:val="single"/>
        </w:rPr>
        <w:t>Regulation Impact Statement</w:t>
      </w:r>
    </w:p>
    <w:p w14:paraId="1E21EC37" w14:textId="3B3593CE" w:rsidR="00020BE8" w:rsidRDefault="000414EC">
      <w:pPr>
        <w:rPr>
          <w:rFonts w:ascii="Times New Roman" w:hAnsi="Times New Roman"/>
          <w:sz w:val="24"/>
        </w:rPr>
      </w:pPr>
      <w:r w:rsidRPr="00DE5D81">
        <w:rPr>
          <w:rFonts w:ascii="Times New Roman" w:hAnsi="Times New Roman"/>
          <w:sz w:val="24"/>
        </w:rPr>
        <w:t>The</w:t>
      </w:r>
      <w:r w:rsidR="00020BE8" w:rsidRPr="00DE5D81">
        <w:rPr>
          <w:rFonts w:ascii="Times New Roman" w:hAnsi="Times New Roman"/>
          <w:sz w:val="24"/>
        </w:rPr>
        <w:t xml:space="preserve"> Office of Best Practice Regulation</w:t>
      </w:r>
      <w:r w:rsidR="00D4406E">
        <w:rPr>
          <w:rFonts w:ascii="Times New Roman" w:hAnsi="Times New Roman"/>
          <w:sz w:val="24"/>
        </w:rPr>
        <w:t xml:space="preserve"> (OBPR)</w:t>
      </w:r>
      <w:r w:rsidR="00020BE8" w:rsidRPr="00DE5D81">
        <w:rPr>
          <w:rFonts w:ascii="Times New Roman" w:hAnsi="Times New Roman"/>
          <w:sz w:val="24"/>
        </w:rPr>
        <w:t xml:space="preserve"> confirmed that the preparation of a Regulatory Impact Statement was not necessary, as the amendments have a nil or low impact on the economy or individuals.</w:t>
      </w:r>
      <w:r w:rsidR="00CE3339" w:rsidRPr="006A1F02">
        <w:rPr>
          <w:rFonts w:ascii="Times New Roman" w:hAnsi="Times New Roman"/>
          <w:sz w:val="24"/>
        </w:rPr>
        <w:t xml:space="preserve"> The OBPR ID for the advice is 22669. </w:t>
      </w:r>
    </w:p>
    <w:p w14:paraId="2FE083D3" w14:textId="4744C407" w:rsidR="00013E35" w:rsidRDefault="00020BE8">
      <w:pPr>
        <w:rPr>
          <w:rFonts w:ascii="Times New Roman" w:hAnsi="Times New Roman"/>
          <w:sz w:val="24"/>
          <w:u w:val="single"/>
        </w:rPr>
      </w:pPr>
      <w:r w:rsidRPr="00020BE8">
        <w:rPr>
          <w:rFonts w:ascii="Times New Roman" w:hAnsi="Times New Roman"/>
          <w:sz w:val="24"/>
          <w:u w:val="single"/>
        </w:rPr>
        <w:t>Consultation</w:t>
      </w:r>
    </w:p>
    <w:p w14:paraId="5670FE31" w14:textId="432154F8" w:rsidR="008F5B7E" w:rsidRDefault="00013E35" w:rsidP="00DE5D81">
      <w:pPr>
        <w:rPr>
          <w:rFonts w:ascii="Times New Roman" w:hAnsi="Times New Roman"/>
          <w:sz w:val="24"/>
        </w:rPr>
      </w:pPr>
      <w:r>
        <w:rPr>
          <w:rFonts w:ascii="Times New Roman" w:hAnsi="Times New Roman"/>
          <w:sz w:val="24"/>
        </w:rPr>
        <w:t xml:space="preserve">In July and August 2017 the ACCC conducted targeted consultation on appropriate </w:t>
      </w:r>
      <w:r w:rsidR="0028161A">
        <w:rPr>
          <w:rFonts w:ascii="Times New Roman" w:hAnsi="Times New Roman"/>
          <w:sz w:val="24"/>
        </w:rPr>
        <w:t xml:space="preserve">allocation </w:t>
      </w:r>
      <w:r>
        <w:rPr>
          <w:rFonts w:ascii="Times New Roman" w:hAnsi="Times New Roman"/>
          <w:sz w:val="24"/>
        </w:rPr>
        <w:t xml:space="preserve">limits for the unallocated spectrum </w:t>
      </w:r>
      <w:r w:rsidR="000414EC">
        <w:rPr>
          <w:rFonts w:ascii="Times New Roman" w:hAnsi="Times New Roman"/>
          <w:sz w:val="24"/>
        </w:rPr>
        <w:t>to be sold in the multiband residual lots auction</w:t>
      </w:r>
      <w:r>
        <w:rPr>
          <w:rFonts w:ascii="Times New Roman" w:hAnsi="Times New Roman"/>
          <w:sz w:val="24"/>
        </w:rPr>
        <w:t>. The</w:t>
      </w:r>
      <w:r w:rsidR="00720E21">
        <w:rPr>
          <w:rFonts w:ascii="Times New Roman" w:hAnsi="Times New Roman"/>
          <w:sz w:val="24"/>
        </w:rPr>
        <w:t xml:space="preserve"> responses to this consultation</w:t>
      </w:r>
      <w:r>
        <w:rPr>
          <w:rFonts w:ascii="Times New Roman" w:hAnsi="Times New Roman"/>
          <w:sz w:val="24"/>
        </w:rPr>
        <w:t xml:space="preserve"> assisted the ACCC in developing its advice to the Minister on </w:t>
      </w:r>
      <w:r w:rsidR="0028161A">
        <w:rPr>
          <w:rFonts w:ascii="Times New Roman" w:hAnsi="Times New Roman"/>
          <w:sz w:val="24"/>
        </w:rPr>
        <w:t xml:space="preserve">allocation </w:t>
      </w:r>
      <w:r>
        <w:rPr>
          <w:rFonts w:ascii="Times New Roman" w:hAnsi="Times New Roman"/>
          <w:sz w:val="24"/>
        </w:rPr>
        <w:t>limits.</w:t>
      </w:r>
      <w:r w:rsidR="008F5B7E">
        <w:rPr>
          <w:rFonts w:ascii="Times New Roman" w:hAnsi="Times New Roman"/>
          <w:sz w:val="24"/>
        </w:rPr>
        <w:br w:type="page"/>
      </w:r>
    </w:p>
    <w:p w14:paraId="451D11A3" w14:textId="2F129818" w:rsidR="002112AC" w:rsidRDefault="002112AC" w:rsidP="00484E87">
      <w:pPr>
        <w:tabs>
          <w:tab w:val="left" w:pos="3315"/>
        </w:tabs>
        <w:rPr>
          <w:rFonts w:ascii="Times New Roman" w:hAnsi="Times New Roman"/>
          <w:b/>
          <w:sz w:val="24"/>
        </w:rPr>
      </w:pPr>
      <w:r w:rsidRPr="00B60DD6">
        <w:rPr>
          <w:rFonts w:ascii="Times New Roman" w:hAnsi="Times New Roman"/>
          <w:b/>
          <w:sz w:val="24"/>
        </w:rPr>
        <w:lastRenderedPageBreak/>
        <w:t xml:space="preserve">Attachment </w:t>
      </w:r>
      <w:r>
        <w:rPr>
          <w:rFonts w:ascii="Times New Roman" w:hAnsi="Times New Roman"/>
          <w:b/>
          <w:sz w:val="24"/>
        </w:rPr>
        <w:t>1</w:t>
      </w:r>
      <w:r w:rsidRPr="00B60DD6">
        <w:rPr>
          <w:rFonts w:ascii="Times New Roman" w:hAnsi="Times New Roman"/>
          <w:b/>
          <w:sz w:val="24"/>
        </w:rPr>
        <w:t xml:space="preserve">: </w:t>
      </w:r>
      <w:r>
        <w:rPr>
          <w:rFonts w:ascii="Times New Roman" w:hAnsi="Times New Roman"/>
          <w:b/>
          <w:sz w:val="24"/>
        </w:rPr>
        <w:t>Notes on sections</w:t>
      </w:r>
    </w:p>
    <w:p w14:paraId="776197AC" w14:textId="3AD7AB1C" w:rsidR="002112AC" w:rsidRPr="00D9476A" w:rsidRDefault="002112AC" w:rsidP="00484E87">
      <w:pPr>
        <w:tabs>
          <w:tab w:val="left" w:pos="3315"/>
        </w:tabs>
        <w:rPr>
          <w:rFonts w:ascii="Times New Roman" w:hAnsi="Times New Roman"/>
          <w:sz w:val="24"/>
          <w:u w:val="single"/>
        </w:rPr>
      </w:pPr>
      <w:r w:rsidRPr="00D9476A">
        <w:rPr>
          <w:rFonts w:ascii="Times New Roman" w:hAnsi="Times New Roman"/>
          <w:sz w:val="24"/>
          <w:u w:val="single"/>
        </w:rPr>
        <w:t>Section 1—Name</w:t>
      </w:r>
    </w:p>
    <w:p w14:paraId="7ECC14AE" w14:textId="287E9315" w:rsidR="002112AC" w:rsidRDefault="002112AC" w:rsidP="00484E87">
      <w:pPr>
        <w:tabs>
          <w:tab w:val="left" w:pos="3315"/>
        </w:tabs>
        <w:rPr>
          <w:rFonts w:ascii="Times New Roman" w:hAnsi="Times New Roman"/>
          <w:sz w:val="24"/>
        </w:rPr>
      </w:pPr>
      <w:r>
        <w:rPr>
          <w:rFonts w:ascii="Times New Roman" w:hAnsi="Times New Roman"/>
          <w:sz w:val="24"/>
        </w:rPr>
        <w:t xml:space="preserve">Section 1 provides for this instrument to be cited as the </w:t>
      </w:r>
      <w:r w:rsidRPr="00D9476A">
        <w:rPr>
          <w:rFonts w:ascii="Times New Roman" w:hAnsi="Times New Roman"/>
          <w:i/>
          <w:sz w:val="24"/>
        </w:rPr>
        <w:t>Radiocommunications (Spectrum Licence Limits—2 GHz Band) Repeal Direction 2017</w:t>
      </w:r>
      <w:r>
        <w:rPr>
          <w:rFonts w:ascii="Times New Roman" w:hAnsi="Times New Roman"/>
          <w:sz w:val="24"/>
        </w:rPr>
        <w:t>.</w:t>
      </w:r>
    </w:p>
    <w:p w14:paraId="1ADD4367" w14:textId="1F7FAA83" w:rsidR="002112AC" w:rsidRDefault="002112AC" w:rsidP="00484E87">
      <w:pPr>
        <w:tabs>
          <w:tab w:val="left" w:pos="3315"/>
        </w:tabs>
        <w:rPr>
          <w:rFonts w:ascii="Times New Roman" w:hAnsi="Times New Roman"/>
          <w:sz w:val="24"/>
          <w:u w:val="single"/>
        </w:rPr>
      </w:pPr>
      <w:r>
        <w:rPr>
          <w:rFonts w:ascii="Times New Roman" w:hAnsi="Times New Roman"/>
          <w:sz w:val="24"/>
          <w:u w:val="single"/>
        </w:rPr>
        <w:t>Section 2—Commencement</w:t>
      </w:r>
    </w:p>
    <w:p w14:paraId="7FBD1CE8" w14:textId="6631264E" w:rsidR="002112AC" w:rsidRDefault="002112AC" w:rsidP="00484E87">
      <w:pPr>
        <w:tabs>
          <w:tab w:val="left" w:pos="3315"/>
        </w:tabs>
        <w:rPr>
          <w:rFonts w:ascii="Times New Roman" w:hAnsi="Times New Roman"/>
          <w:sz w:val="24"/>
        </w:rPr>
      </w:pPr>
      <w:r>
        <w:rPr>
          <w:rFonts w:ascii="Times New Roman" w:hAnsi="Times New Roman"/>
          <w:sz w:val="24"/>
        </w:rPr>
        <w:t xml:space="preserve">Section 2 provides for the commencement of this instrument. This instrument will commence on the day after it is registered on the Federal Register of Legislation, which is currently accessible at </w:t>
      </w:r>
      <w:hyperlink r:id="rId11" w:history="1">
        <w:r w:rsidRPr="00061CF9">
          <w:rPr>
            <w:rStyle w:val="Hyperlink"/>
            <w:rFonts w:ascii="Times New Roman" w:hAnsi="Times New Roman"/>
            <w:sz w:val="24"/>
          </w:rPr>
          <w:t>http://www.legislation.gov.au/</w:t>
        </w:r>
      </w:hyperlink>
      <w:r>
        <w:rPr>
          <w:rFonts w:ascii="Times New Roman" w:hAnsi="Times New Roman"/>
          <w:sz w:val="24"/>
        </w:rPr>
        <w:t>.</w:t>
      </w:r>
    </w:p>
    <w:p w14:paraId="0697661E" w14:textId="465D90D8" w:rsidR="002112AC" w:rsidRDefault="002112AC" w:rsidP="00484E87">
      <w:pPr>
        <w:tabs>
          <w:tab w:val="left" w:pos="3315"/>
        </w:tabs>
        <w:rPr>
          <w:rFonts w:ascii="Times New Roman" w:hAnsi="Times New Roman"/>
          <w:sz w:val="24"/>
          <w:u w:val="single"/>
        </w:rPr>
      </w:pPr>
      <w:r>
        <w:rPr>
          <w:rFonts w:ascii="Times New Roman" w:hAnsi="Times New Roman"/>
          <w:sz w:val="24"/>
          <w:u w:val="single"/>
        </w:rPr>
        <w:t>Section 3—Authority</w:t>
      </w:r>
    </w:p>
    <w:p w14:paraId="0E8A9A85" w14:textId="42323330" w:rsidR="002112AC" w:rsidRDefault="002112AC" w:rsidP="00484E87">
      <w:pPr>
        <w:tabs>
          <w:tab w:val="left" w:pos="3315"/>
        </w:tabs>
        <w:rPr>
          <w:rFonts w:ascii="Times New Roman" w:hAnsi="Times New Roman"/>
          <w:sz w:val="24"/>
        </w:rPr>
      </w:pPr>
      <w:r>
        <w:rPr>
          <w:rFonts w:ascii="Times New Roman" w:hAnsi="Times New Roman"/>
          <w:sz w:val="24"/>
        </w:rPr>
        <w:t>Section 3 identifies the power that authorise</w:t>
      </w:r>
      <w:r w:rsidR="00A27EC0">
        <w:rPr>
          <w:rFonts w:ascii="Times New Roman" w:hAnsi="Times New Roman"/>
          <w:sz w:val="24"/>
        </w:rPr>
        <w:t>s</w:t>
      </w:r>
      <w:r>
        <w:rPr>
          <w:rFonts w:ascii="Times New Roman" w:hAnsi="Times New Roman"/>
          <w:sz w:val="24"/>
        </w:rPr>
        <w:t xml:space="preserve"> the making of this instrument, being subsection</w:t>
      </w:r>
      <w:r w:rsidR="00A27EC0">
        <w:rPr>
          <w:rFonts w:ascii="Times New Roman" w:hAnsi="Times New Roman"/>
          <w:sz w:val="24"/>
        </w:rPr>
        <w:t> </w:t>
      </w:r>
      <w:r>
        <w:rPr>
          <w:rFonts w:ascii="Times New Roman" w:hAnsi="Times New Roman"/>
          <w:sz w:val="24"/>
        </w:rPr>
        <w:t xml:space="preserve">60(10) of the </w:t>
      </w:r>
      <w:r>
        <w:rPr>
          <w:rFonts w:ascii="Times New Roman" w:hAnsi="Times New Roman"/>
          <w:i/>
          <w:sz w:val="24"/>
        </w:rPr>
        <w:t>Radiocommunications Act 1992</w:t>
      </w:r>
      <w:r>
        <w:rPr>
          <w:rFonts w:ascii="Times New Roman" w:hAnsi="Times New Roman"/>
          <w:sz w:val="24"/>
        </w:rPr>
        <w:t>.</w:t>
      </w:r>
    </w:p>
    <w:p w14:paraId="2C570C69" w14:textId="407B51C5" w:rsidR="002112AC" w:rsidRDefault="002112AC" w:rsidP="00484E87">
      <w:pPr>
        <w:tabs>
          <w:tab w:val="left" w:pos="3315"/>
        </w:tabs>
        <w:rPr>
          <w:rFonts w:ascii="Times New Roman" w:hAnsi="Times New Roman"/>
          <w:sz w:val="24"/>
          <w:u w:val="single"/>
        </w:rPr>
      </w:pPr>
      <w:r>
        <w:rPr>
          <w:rFonts w:ascii="Times New Roman" w:hAnsi="Times New Roman"/>
          <w:sz w:val="24"/>
          <w:u w:val="single"/>
        </w:rPr>
        <w:t>Section 4—Schedules</w:t>
      </w:r>
    </w:p>
    <w:p w14:paraId="55FCDB17" w14:textId="405ED774" w:rsidR="002112AC" w:rsidRDefault="002112AC" w:rsidP="00484E87">
      <w:pPr>
        <w:tabs>
          <w:tab w:val="left" w:pos="3315"/>
        </w:tabs>
        <w:rPr>
          <w:rFonts w:ascii="Times New Roman" w:hAnsi="Times New Roman"/>
          <w:sz w:val="24"/>
        </w:rPr>
      </w:pPr>
      <w:r>
        <w:rPr>
          <w:rFonts w:ascii="Times New Roman" w:hAnsi="Times New Roman"/>
          <w:sz w:val="24"/>
        </w:rPr>
        <w:t xml:space="preserve">Section 4 enables Schedule 1 to this instrument, which contains the provision repealing the </w:t>
      </w:r>
      <w:r w:rsidRPr="00D9476A">
        <w:rPr>
          <w:rFonts w:ascii="Times New Roman" w:hAnsi="Times New Roman"/>
          <w:i/>
          <w:sz w:val="24"/>
        </w:rPr>
        <w:t>Radiocommunications (Spectrum Licence Limits—2 GHz Band) Direction No. 2 of 2000</w:t>
      </w:r>
      <w:r>
        <w:rPr>
          <w:rFonts w:ascii="Times New Roman" w:hAnsi="Times New Roman"/>
          <w:sz w:val="24"/>
        </w:rPr>
        <w:t>.</w:t>
      </w:r>
    </w:p>
    <w:p w14:paraId="117C5C14" w14:textId="0225FEDE" w:rsidR="002112AC" w:rsidRDefault="002112AC" w:rsidP="00484E87">
      <w:pPr>
        <w:tabs>
          <w:tab w:val="left" w:pos="3315"/>
        </w:tabs>
        <w:rPr>
          <w:rFonts w:ascii="Times New Roman" w:hAnsi="Times New Roman"/>
          <w:sz w:val="24"/>
          <w:u w:val="single"/>
        </w:rPr>
      </w:pPr>
      <w:r>
        <w:rPr>
          <w:rFonts w:ascii="Times New Roman" w:hAnsi="Times New Roman"/>
          <w:sz w:val="24"/>
          <w:u w:val="single"/>
        </w:rPr>
        <w:lastRenderedPageBreak/>
        <w:t>Schedule 1—Repeals</w:t>
      </w:r>
    </w:p>
    <w:p w14:paraId="06AF3F7A" w14:textId="50AE9EC8" w:rsidR="002112AC" w:rsidRDefault="002112AC" w:rsidP="00484E87">
      <w:pPr>
        <w:tabs>
          <w:tab w:val="left" w:pos="3315"/>
        </w:tabs>
        <w:rPr>
          <w:rFonts w:ascii="Times New Roman" w:hAnsi="Times New Roman"/>
          <w:b/>
          <w:i/>
          <w:sz w:val="24"/>
        </w:rPr>
      </w:pPr>
      <w:r w:rsidRPr="002112AC">
        <w:rPr>
          <w:rFonts w:ascii="Times New Roman" w:hAnsi="Times New Roman"/>
          <w:b/>
          <w:i/>
          <w:sz w:val="24"/>
        </w:rPr>
        <w:t>Radiocommunications (Spectrum Licence Limits—2 GHz Band) Direction No. 2 of 2000</w:t>
      </w:r>
    </w:p>
    <w:p w14:paraId="6503B915" w14:textId="6C9EC68F" w:rsidR="002112AC" w:rsidRDefault="002112AC" w:rsidP="00484E87">
      <w:pPr>
        <w:tabs>
          <w:tab w:val="left" w:pos="3315"/>
        </w:tabs>
        <w:rPr>
          <w:rFonts w:ascii="Times New Roman" w:hAnsi="Times New Roman"/>
          <w:sz w:val="24"/>
          <w:u w:val="single"/>
        </w:rPr>
      </w:pPr>
      <w:r>
        <w:rPr>
          <w:rFonts w:ascii="Times New Roman" w:hAnsi="Times New Roman"/>
          <w:sz w:val="24"/>
          <w:u w:val="single"/>
        </w:rPr>
        <w:t>Item 1—The whole of the Direction</w:t>
      </w:r>
    </w:p>
    <w:p w14:paraId="238DE2D2" w14:textId="77777777" w:rsidR="003E50DF" w:rsidRDefault="002112AC" w:rsidP="00484E87">
      <w:pPr>
        <w:tabs>
          <w:tab w:val="left" w:pos="3315"/>
        </w:tabs>
        <w:rPr>
          <w:rFonts w:ascii="Times New Roman" w:hAnsi="Times New Roman"/>
          <w:sz w:val="24"/>
        </w:rPr>
      </w:pPr>
      <w:r>
        <w:rPr>
          <w:rFonts w:ascii="Times New Roman" w:hAnsi="Times New Roman"/>
          <w:sz w:val="24"/>
        </w:rPr>
        <w:t xml:space="preserve">Item 1 of Schedule 1 repeals the </w:t>
      </w:r>
      <w:r w:rsidRPr="00D9476A">
        <w:rPr>
          <w:rFonts w:ascii="Times New Roman" w:hAnsi="Times New Roman"/>
          <w:i/>
          <w:sz w:val="24"/>
        </w:rPr>
        <w:t>Radiocommunications (Spectrum Licence Limits—2 GHz Band) Direction No. 2 of 2000</w:t>
      </w:r>
      <w:r w:rsidR="003E50DF">
        <w:rPr>
          <w:rFonts w:ascii="Times New Roman" w:hAnsi="Times New Roman"/>
          <w:sz w:val="24"/>
        </w:rPr>
        <w:t xml:space="preserve"> in its entirety.</w:t>
      </w:r>
    </w:p>
    <w:p w14:paraId="5A2096EB" w14:textId="7B7AD6CE" w:rsidR="00013E35" w:rsidRPr="00013E35" w:rsidRDefault="002112AC" w:rsidP="00484E87">
      <w:pPr>
        <w:tabs>
          <w:tab w:val="left" w:pos="3315"/>
        </w:tabs>
        <w:rPr>
          <w:rFonts w:ascii="Times New Roman" w:hAnsi="Times New Roman"/>
          <w:sz w:val="24"/>
        </w:rPr>
      </w:pPr>
      <w:r>
        <w:rPr>
          <w:rFonts w:ascii="Times New Roman" w:hAnsi="Times New Roman"/>
          <w:sz w:val="24"/>
        </w:rPr>
        <w:t xml:space="preserve">This </w:t>
      </w:r>
      <w:r w:rsidR="003E50DF">
        <w:rPr>
          <w:rFonts w:ascii="Times New Roman" w:hAnsi="Times New Roman"/>
          <w:sz w:val="24"/>
        </w:rPr>
        <w:t xml:space="preserve">means </w:t>
      </w:r>
      <w:r>
        <w:rPr>
          <w:rFonts w:ascii="Times New Roman" w:hAnsi="Times New Roman"/>
          <w:sz w:val="24"/>
        </w:rPr>
        <w:t xml:space="preserve">the ACMA </w:t>
      </w:r>
      <w:r w:rsidR="003E50DF">
        <w:rPr>
          <w:rFonts w:ascii="Times New Roman" w:hAnsi="Times New Roman"/>
          <w:sz w:val="24"/>
        </w:rPr>
        <w:t xml:space="preserve">is not required </w:t>
      </w:r>
      <w:r>
        <w:rPr>
          <w:rFonts w:ascii="Times New Roman" w:hAnsi="Times New Roman"/>
          <w:sz w:val="24"/>
        </w:rPr>
        <w:t xml:space="preserve">to </w:t>
      </w:r>
      <w:r w:rsidR="003E50DF">
        <w:rPr>
          <w:rFonts w:ascii="Times New Roman" w:hAnsi="Times New Roman"/>
          <w:sz w:val="24"/>
        </w:rPr>
        <w:t>include</w:t>
      </w:r>
      <w:r>
        <w:rPr>
          <w:rFonts w:ascii="Times New Roman" w:hAnsi="Times New Roman"/>
          <w:sz w:val="24"/>
        </w:rPr>
        <w:t xml:space="preserve"> limits </w:t>
      </w:r>
      <w:r w:rsidR="0028161A">
        <w:rPr>
          <w:rFonts w:ascii="Times New Roman" w:hAnsi="Times New Roman"/>
          <w:sz w:val="24"/>
        </w:rPr>
        <w:t xml:space="preserve">on the amount of spectrum that may be allocated to persons or groups of persons </w:t>
      </w:r>
      <w:r>
        <w:rPr>
          <w:rFonts w:ascii="Times New Roman" w:hAnsi="Times New Roman"/>
          <w:sz w:val="24"/>
        </w:rPr>
        <w:t xml:space="preserve">in allocation procedures </w:t>
      </w:r>
      <w:r w:rsidR="003E50DF">
        <w:rPr>
          <w:rFonts w:ascii="Times New Roman" w:hAnsi="Times New Roman"/>
          <w:sz w:val="24"/>
        </w:rPr>
        <w:t xml:space="preserve">the ACMA determines </w:t>
      </w:r>
      <w:r>
        <w:rPr>
          <w:rFonts w:ascii="Times New Roman" w:hAnsi="Times New Roman"/>
          <w:sz w:val="24"/>
        </w:rPr>
        <w:t xml:space="preserve">under section 60 of the </w:t>
      </w:r>
      <w:r>
        <w:rPr>
          <w:rFonts w:ascii="Times New Roman" w:hAnsi="Times New Roman"/>
          <w:i/>
          <w:sz w:val="24"/>
        </w:rPr>
        <w:t>Radiocommunications Act 1992</w:t>
      </w:r>
      <w:r>
        <w:rPr>
          <w:rFonts w:ascii="Times New Roman" w:hAnsi="Times New Roman"/>
          <w:sz w:val="24"/>
        </w:rPr>
        <w:t xml:space="preserve"> </w:t>
      </w:r>
      <w:r w:rsidR="003E50DF">
        <w:rPr>
          <w:rFonts w:ascii="Times New Roman" w:hAnsi="Times New Roman"/>
          <w:sz w:val="24"/>
        </w:rPr>
        <w:t xml:space="preserve">for allocating </w:t>
      </w:r>
      <w:r>
        <w:rPr>
          <w:rFonts w:ascii="Times New Roman" w:hAnsi="Times New Roman"/>
          <w:sz w:val="24"/>
        </w:rPr>
        <w:t xml:space="preserve">parts of the spectrum in the 2 GHz band previously covered by </w:t>
      </w:r>
      <w:r w:rsidR="003E50DF">
        <w:rPr>
          <w:rFonts w:ascii="Times New Roman" w:hAnsi="Times New Roman"/>
          <w:sz w:val="24"/>
        </w:rPr>
        <w:t>the 2000</w:t>
      </w:r>
      <w:r>
        <w:rPr>
          <w:rFonts w:ascii="Times New Roman" w:hAnsi="Times New Roman"/>
          <w:sz w:val="24"/>
        </w:rPr>
        <w:t xml:space="preserve"> </w:t>
      </w:r>
      <w:r w:rsidR="003E50DF">
        <w:rPr>
          <w:rFonts w:ascii="Times New Roman" w:hAnsi="Times New Roman"/>
          <w:sz w:val="24"/>
        </w:rPr>
        <w:t>D</w:t>
      </w:r>
      <w:r>
        <w:rPr>
          <w:rFonts w:ascii="Times New Roman" w:hAnsi="Times New Roman"/>
          <w:sz w:val="24"/>
        </w:rPr>
        <w:t>irection.</w:t>
      </w:r>
    </w:p>
    <w:sectPr w:rsidR="00013E35" w:rsidRPr="00013E35" w:rsidSect="005D26D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3D6A5" w14:textId="77777777" w:rsidR="004B01E3" w:rsidRDefault="004B01E3" w:rsidP="004B01E3">
      <w:pPr>
        <w:spacing w:after="0"/>
      </w:pPr>
      <w:r>
        <w:separator/>
      </w:r>
    </w:p>
  </w:endnote>
  <w:endnote w:type="continuationSeparator" w:id="0">
    <w:p w14:paraId="007F11E7" w14:textId="77777777" w:rsidR="004B01E3" w:rsidRDefault="004B01E3" w:rsidP="004B01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4FA34" w14:textId="77777777" w:rsidR="004B01E3" w:rsidRDefault="004B01E3" w:rsidP="004B01E3">
      <w:pPr>
        <w:spacing w:after="0"/>
      </w:pPr>
      <w:r>
        <w:separator/>
      </w:r>
    </w:p>
  </w:footnote>
  <w:footnote w:type="continuationSeparator" w:id="0">
    <w:p w14:paraId="369500D9" w14:textId="77777777" w:rsidR="004B01E3" w:rsidRDefault="004B01E3" w:rsidP="004B01E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02793"/>
    <w:multiLevelType w:val="hybridMultilevel"/>
    <w:tmpl w:val="C7E88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F02B9B"/>
    <w:multiLevelType w:val="hybridMultilevel"/>
    <w:tmpl w:val="57CA6B0C"/>
    <w:lvl w:ilvl="0" w:tplc="47BEB47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1724D6"/>
    <w:multiLevelType w:val="hybridMultilevel"/>
    <w:tmpl w:val="DC7C1D4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 w15:restartNumberingAfterBreak="0">
    <w:nsid w:val="46B01285"/>
    <w:multiLevelType w:val="hybridMultilevel"/>
    <w:tmpl w:val="653E7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DC7640"/>
    <w:multiLevelType w:val="hybridMultilevel"/>
    <w:tmpl w:val="77823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13721E"/>
    <w:multiLevelType w:val="hybridMultilevel"/>
    <w:tmpl w:val="657CDBC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DD"/>
    <w:rsid w:val="00013E35"/>
    <w:rsid w:val="00020BE8"/>
    <w:rsid w:val="000414EC"/>
    <w:rsid w:val="000420A8"/>
    <w:rsid w:val="000D7DEE"/>
    <w:rsid w:val="001972C1"/>
    <w:rsid w:val="002112AC"/>
    <w:rsid w:val="002450C5"/>
    <w:rsid w:val="00267A08"/>
    <w:rsid w:val="002700AD"/>
    <w:rsid w:val="0028161A"/>
    <w:rsid w:val="002A4B3C"/>
    <w:rsid w:val="002B28DD"/>
    <w:rsid w:val="003137FA"/>
    <w:rsid w:val="00363479"/>
    <w:rsid w:val="003904EF"/>
    <w:rsid w:val="00397A40"/>
    <w:rsid w:val="00397FA1"/>
    <w:rsid w:val="003B3A4C"/>
    <w:rsid w:val="003E50DF"/>
    <w:rsid w:val="00484E87"/>
    <w:rsid w:val="004A4DBC"/>
    <w:rsid w:val="004B01E3"/>
    <w:rsid w:val="004D5D98"/>
    <w:rsid w:val="004F12C3"/>
    <w:rsid w:val="00521A4F"/>
    <w:rsid w:val="005820BA"/>
    <w:rsid w:val="005953E3"/>
    <w:rsid w:val="005D26DB"/>
    <w:rsid w:val="006511EE"/>
    <w:rsid w:val="00673F0B"/>
    <w:rsid w:val="006A1F02"/>
    <w:rsid w:val="006D635E"/>
    <w:rsid w:val="00720E21"/>
    <w:rsid w:val="007D1F91"/>
    <w:rsid w:val="00846039"/>
    <w:rsid w:val="00875A86"/>
    <w:rsid w:val="00880AB1"/>
    <w:rsid w:val="008F5B7E"/>
    <w:rsid w:val="00910954"/>
    <w:rsid w:val="00954E44"/>
    <w:rsid w:val="00963C16"/>
    <w:rsid w:val="009E0984"/>
    <w:rsid w:val="00A27EC0"/>
    <w:rsid w:val="00AC7CE6"/>
    <w:rsid w:val="00B31E59"/>
    <w:rsid w:val="00CD5EC8"/>
    <w:rsid w:val="00CE3339"/>
    <w:rsid w:val="00D4406E"/>
    <w:rsid w:val="00D81285"/>
    <w:rsid w:val="00D90B93"/>
    <w:rsid w:val="00D9476A"/>
    <w:rsid w:val="00DE5D81"/>
    <w:rsid w:val="00E344CB"/>
    <w:rsid w:val="00E62627"/>
    <w:rsid w:val="00E635B6"/>
    <w:rsid w:val="00EA0DDA"/>
    <w:rsid w:val="00EE29C6"/>
    <w:rsid w:val="00EF643B"/>
    <w:rsid w:val="00EF72F4"/>
    <w:rsid w:val="00F304E2"/>
    <w:rsid w:val="00F40706"/>
    <w:rsid w:val="00F63950"/>
    <w:rsid w:val="00F87E07"/>
    <w:rsid w:val="00F90A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DAB7"/>
  <w15:chartTrackingRefBased/>
  <w15:docId w15:val="{0B93F0C3-CCBA-4FE8-93EC-86793FCE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8DD"/>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8DD"/>
    <w:pPr>
      <w:spacing w:after="284" w:line="240" w:lineRule="atLeast"/>
      <w:ind w:left="720"/>
      <w:contextualSpacing/>
    </w:pPr>
    <w:rPr>
      <w:rFonts w:ascii="Arial" w:eastAsia="Times New Roman" w:hAnsi="Arial" w:cs="Times New Roman"/>
      <w:color w:val="000000"/>
      <w:sz w:val="19"/>
      <w:szCs w:val="24"/>
      <w:lang w:eastAsia="en-AU"/>
    </w:rPr>
  </w:style>
  <w:style w:type="character" w:styleId="CommentReference">
    <w:name w:val="annotation reference"/>
    <w:basedOn w:val="DefaultParagraphFont"/>
    <w:uiPriority w:val="99"/>
    <w:semiHidden/>
    <w:unhideWhenUsed/>
    <w:rsid w:val="00AC7CE6"/>
    <w:rPr>
      <w:sz w:val="16"/>
      <w:szCs w:val="16"/>
    </w:rPr>
  </w:style>
  <w:style w:type="paragraph" w:styleId="CommentText">
    <w:name w:val="annotation text"/>
    <w:basedOn w:val="Normal"/>
    <w:link w:val="CommentTextChar"/>
    <w:uiPriority w:val="99"/>
    <w:semiHidden/>
    <w:unhideWhenUsed/>
    <w:rsid w:val="00AC7CE6"/>
    <w:rPr>
      <w:sz w:val="20"/>
      <w:szCs w:val="20"/>
    </w:rPr>
  </w:style>
  <w:style w:type="character" w:customStyle="1" w:styleId="CommentTextChar">
    <w:name w:val="Comment Text Char"/>
    <w:basedOn w:val="DefaultParagraphFont"/>
    <w:link w:val="CommentText"/>
    <w:uiPriority w:val="99"/>
    <w:semiHidden/>
    <w:rsid w:val="00AC7CE6"/>
    <w:rPr>
      <w:sz w:val="20"/>
      <w:szCs w:val="20"/>
    </w:rPr>
  </w:style>
  <w:style w:type="paragraph" w:styleId="CommentSubject">
    <w:name w:val="annotation subject"/>
    <w:basedOn w:val="CommentText"/>
    <w:next w:val="CommentText"/>
    <w:link w:val="CommentSubjectChar"/>
    <w:uiPriority w:val="99"/>
    <w:semiHidden/>
    <w:unhideWhenUsed/>
    <w:rsid w:val="00AC7CE6"/>
    <w:rPr>
      <w:b/>
      <w:bCs/>
    </w:rPr>
  </w:style>
  <w:style w:type="character" w:customStyle="1" w:styleId="CommentSubjectChar">
    <w:name w:val="Comment Subject Char"/>
    <w:basedOn w:val="CommentTextChar"/>
    <w:link w:val="CommentSubject"/>
    <w:uiPriority w:val="99"/>
    <w:semiHidden/>
    <w:rsid w:val="00AC7CE6"/>
    <w:rPr>
      <w:b/>
      <w:bCs/>
      <w:sz w:val="20"/>
      <w:szCs w:val="20"/>
    </w:rPr>
  </w:style>
  <w:style w:type="paragraph" w:styleId="BalloonText">
    <w:name w:val="Balloon Text"/>
    <w:basedOn w:val="Normal"/>
    <w:link w:val="BalloonTextChar"/>
    <w:uiPriority w:val="99"/>
    <w:semiHidden/>
    <w:unhideWhenUsed/>
    <w:rsid w:val="00AC7C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E6"/>
    <w:rPr>
      <w:rFonts w:ascii="Segoe UI" w:hAnsi="Segoe UI" w:cs="Segoe UI"/>
      <w:sz w:val="18"/>
      <w:szCs w:val="18"/>
    </w:rPr>
  </w:style>
  <w:style w:type="paragraph" w:styleId="FootnoteText">
    <w:name w:val="footnote text"/>
    <w:basedOn w:val="Normal"/>
    <w:link w:val="FootnoteTextChar"/>
    <w:uiPriority w:val="99"/>
    <w:semiHidden/>
    <w:unhideWhenUsed/>
    <w:rsid w:val="004B01E3"/>
    <w:pPr>
      <w:spacing w:after="0"/>
    </w:pPr>
    <w:rPr>
      <w:sz w:val="20"/>
      <w:szCs w:val="20"/>
    </w:rPr>
  </w:style>
  <w:style w:type="character" w:customStyle="1" w:styleId="FootnoteTextChar">
    <w:name w:val="Footnote Text Char"/>
    <w:basedOn w:val="DefaultParagraphFont"/>
    <w:link w:val="FootnoteText"/>
    <w:uiPriority w:val="99"/>
    <w:semiHidden/>
    <w:rsid w:val="004B01E3"/>
    <w:rPr>
      <w:sz w:val="20"/>
      <w:szCs w:val="20"/>
    </w:rPr>
  </w:style>
  <w:style w:type="character" w:styleId="FootnoteReference">
    <w:name w:val="footnote reference"/>
    <w:basedOn w:val="DefaultParagraphFont"/>
    <w:uiPriority w:val="99"/>
    <w:semiHidden/>
    <w:unhideWhenUsed/>
    <w:rsid w:val="004B01E3"/>
    <w:rPr>
      <w:vertAlign w:val="superscript"/>
    </w:rPr>
  </w:style>
  <w:style w:type="character" w:styleId="Hyperlink">
    <w:name w:val="Hyperlink"/>
    <w:basedOn w:val="DefaultParagraphFont"/>
    <w:uiPriority w:val="99"/>
    <w:unhideWhenUsed/>
    <w:rsid w:val="002112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43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89AF551DB5764D9EF09DA2A099DBC1" ma:contentTypeVersion="0" ma:contentTypeDescription="Create a new document." ma:contentTypeScope="" ma:versionID="4b8142f2b262a8b847e97fdcf26921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45A54-BBDC-410B-8625-81639A34762D}">
  <ds:schemaRefs>
    <ds:schemaRef ds:uri="http://schemas.microsoft.com/sharepoint/v3/contenttype/forms"/>
  </ds:schemaRefs>
</ds:datastoreItem>
</file>

<file path=customXml/itemProps2.xml><?xml version="1.0" encoding="utf-8"?>
<ds:datastoreItem xmlns:ds="http://schemas.openxmlformats.org/officeDocument/2006/customXml" ds:itemID="{402D387B-C476-4E53-815D-79D7133B9655}">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5932976-E95B-43F6-98EC-6767B286B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C8C0EA-711E-4CD8-B461-03C637C5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Tebb, Ryan</dc:creator>
  <cp:keywords/>
  <dc:description/>
  <cp:lastModifiedBy>Siew Dyer</cp:lastModifiedBy>
  <cp:revision>2</cp:revision>
  <cp:lastPrinted>2017-08-15T23:43:00Z</cp:lastPrinted>
  <dcterms:created xsi:type="dcterms:W3CDTF">2017-08-30T07:16:00Z</dcterms:created>
  <dcterms:modified xsi:type="dcterms:W3CDTF">2017-08-30T07:16:00Z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0x010100B889AF551DB5764D9EF09DA2A099DBC1</vt:lpwstr>
  </property>
  <property fmtid="{D5CDD505-2E9C-101B-9397-08002B2CF9AE}" pid="3" name="TrimRevisionNumber">
    <vt:i4>5</vt:i4>
  </property>
</Properties>
</file>