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50" w:rsidRPr="002D1D8B" w:rsidRDefault="00BF7F50" w:rsidP="00BF7F50">
      <w:pPr>
        <w:jc w:val="center"/>
        <w:rPr>
          <w:rFonts w:ascii="Times New Roman" w:eastAsia="Times New Roman" w:hAnsi="Times New Roman" w:cs="Times New Roman"/>
          <w:b/>
          <w:lang w:eastAsia="en-AU"/>
        </w:rPr>
      </w:pPr>
      <w:bookmarkStart w:id="0" w:name="_GoBack"/>
      <w:bookmarkEnd w:id="0"/>
      <w:r w:rsidRPr="002D1D8B">
        <w:rPr>
          <w:rFonts w:ascii="Times New Roman" w:eastAsia="Times New Roman" w:hAnsi="Times New Roman" w:cs="Times New Roman"/>
          <w:b/>
          <w:lang w:eastAsia="en-AU"/>
        </w:rPr>
        <w:t>EXPLANATORY STATEMENT</w:t>
      </w:r>
    </w:p>
    <w:p w:rsidR="00BF7F50" w:rsidRPr="002D1D8B" w:rsidRDefault="00BF7F50" w:rsidP="00BF7F50">
      <w:pPr>
        <w:rPr>
          <w:rFonts w:ascii="Times New Roman" w:eastAsia="Times New Roman" w:hAnsi="Times New Roman" w:cs="Times New Roman"/>
          <w:lang w:eastAsia="en-AU"/>
        </w:rPr>
      </w:pPr>
    </w:p>
    <w:p w:rsidR="00BF7F50" w:rsidRPr="002D1D8B" w:rsidRDefault="00BF7F50" w:rsidP="00BF7F50">
      <w:pPr>
        <w:jc w:val="center"/>
        <w:rPr>
          <w:rFonts w:ascii="Times New Roman" w:eastAsia="Times New Roman" w:hAnsi="Times New Roman" w:cs="Times New Roman"/>
          <w:lang w:eastAsia="en-AU"/>
        </w:rPr>
      </w:pPr>
      <w:r w:rsidRPr="002D1D8B">
        <w:rPr>
          <w:rFonts w:ascii="Times New Roman" w:eastAsia="Times New Roman" w:hAnsi="Times New Roman" w:cs="Times New Roman"/>
          <w:lang w:eastAsia="en-AU"/>
        </w:rPr>
        <w:t xml:space="preserve">Issued by the authority of the Minister for Employment </w:t>
      </w:r>
    </w:p>
    <w:p w:rsidR="00BF7F50" w:rsidRPr="002D1D8B" w:rsidRDefault="00BF7F50" w:rsidP="00BF7F50">
      <w:pPr>
        <w:jc w:val="center"/>
        <w:rPr>
          <w:rFonts w:ascii="Times New Roman" w:eastAsia="Times New Roman" w:hAnsi="Times New Roman" w:cs="Times New Roman"/>
          <w:lang w:eastAsia="en-AU"/>
        </w:rPr>
      </w:pPr>
    </w:p>
    <w:p w:rsidR="00BF7F50" w:rsidRDefault="00BF7F50" w:rsidP="00BF7F50">
      <w:pPr>
        <w:jc w:val="center"/>
        <w:rPr>
          <w:rFonts w:ascii="Times New Roman" w:eastAsia="Times New Roman" w:hAnsi="Times New Roman" w:cs="Times New Roman"/>
          <w:i/>
          <w:lang w:eastAsia="en-AU"/>
        </w:rPr>
      </w:pPr>
      <w:r w:rsidRPr="002D1D8B">
        <w:rPr>
          <w:rFonts w:ascii="Times New Roman" w:eastAsia="Times New Roman" w:hAnsi="Times New Roman" w:cs="Times New Roman"/>
          <w:i/>
          <w:lang w:eastAsia="en-AU"/>
        </w:rPr>
        <w:t>Occupational Health and Safety (Maritime Industry) Act 1993</w:t>
      </w:r>
    </w:p>
    <w:p w:rsidR="00FC42B3" w:rsidRDefault="00F97B0C"/>
    <w:p w:rsidR="006272EA" w:rsidRPr="00BB0E76" w:rsidRDefault="006272EA" w:rsidP="006272EA">
      <w:pPr>
        <w:jc w:val="center"/>
        <w:rPr>
          <w:rFonts w:ascii="Times New Roman" w:hAnsi="Times New Roman" w:cs="Times New Roman"/>
          <w:b/>
          <w:i/>
        </w:rPr>
      </w:pPr>
      <w:r w:rsidRPr="00BB0E76">
        <w:rPr>
          <w:rFonts w:ascii="Times New Roman" w:hAnsi="Times New Roman" w:cs="Times New Roman"/>
          <w:b/>
          <w:i/>
        </w:rPr>
        <w:t>Occupational Health and Safety (Maritime Industry) Amendment (Incident Notification and Reporting) Regulations 2017</w:t>
      </w:r>
    </w:p>
    <w:p w:rsidR="006272EA" w:rsidRPr="002D1D8B" w:rsidRDefault="006272EA" w:rsidP="006272EA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FF0000"/>
          <w:lang w:eastAsia="en-AU"/>
        </w:rPr>
      </w:pPr>
    </w:p>
    <w:p w:rsidR="00E84EF1" w:rsidRDefault="00E84EF1" w:rsidP="006272EA">
      <w:pPr>
        <w:rPr>
          <w:rFonts w:ascii="Times New Roman" w:eastAsia="Times New Roman" w:hAnsi="Times New Roman" w:cs="Times New Roman"/>
          <w:b/>
          <w:lang w:eastAsia="en-AU"/>
        </w:rPr>
      </w:pPr>
    </w:p>
    <w:p w:rsidR="00B25B15" w:rsidRDefault="005F75EC" w:rsidP="005F75EC">
      <w:pPr>
        <w:ind w:right="9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</w:t>
      </w:r>
      <w:r w:rsidRPr="00070F38">
        <w:rPr>
          <w:rFonts w:ascii="Times New Roman" w:hAnsi="Times New Roman" w:cs="Times New Roman"/>
          <w:i/>
        </w:rPr>
        <w:t>Occupational Health and Safety (Maritime Industry) Act 1993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(the Act) and the </w:t>
      </w:r>
      <w:r w:rsidRPr="00070F38">
        <w:rPr>
          <w:rFonts w:ascii="Times New Roman" w:hAnsi="Times New Roman" w:cs="Times New Roman"/>
          <w:i/>
        </w:rPr>
        <w:t>Occupational Health and Safety (Maritime Industry)</w:t>
      </w:r>
      <w:r>
        <w:rPr>
          <w:rFonts w:ascii="Times New Roman" w:hAnsi="Times New Roman" w:cs="Times New Roman"/>
        </w:rPr>
        <w:t xml:space="preserve"> </w:t>
      </w:r>
      <w:r w:rsidRPr="0060627B">
        <w:rPr>
          <w:rFonts w:ascii="Times New Roman" w:hAnsi="Times New Roman" w:cs="Times New Roman"/>
          <w:i/>
        </w:rPr>
        <w:t>Regulations 1995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Regulations) </w:t>
      </w:r>
      <w:r>
        <w:rPr>
          <w:rFonts w:ascii="Times New Roman" w:hAnsi="Times New Roman" w:cs="Times New Roman"/>
          <w:bCs/>
        </w:rPr>
        <w:t>regulate</w:t>
      </w:r>
      <w:r w:rsidRPr="005E3E3F">
        <w:rPr>
          <w:rFonts w:ascii="Times New Roman" w:hAnsi="Times New Roman" w:cs="Times New Roman"/>
          <w:bCs/>
        </w:rPr>
        <w:t xml:space="preserve"> work health and safety for a defined part of the Australian maritime industry.</w:t>
      </w:r>
      <w:r w:rsidR="0064191F">
        <w:rPr>
          <w:rFonts w:ascii="Times New Roman" w:hAnsi="Times New Roman" w:cs="Times New Roman"/>
          <w:bCs/>
        </w:rPr>
        <w:t xml:space="preserve"> </w:t>
      </w:r>
    </w:p>
    <w:p w:rsidR="005F75EC" w:rsidRPr="0061428A" w:rsidRDefault="005F75EC" w:rsidP="005F75EC">
      <w:pPr>
        <w:ind w:right="91"/>
        <w:rPr>
          <w:rFonts w:ascii="Times New Roman" w:hAnsi="Times New Roman" w:cs="Times New Roman"/>
          <w:b/>
          <w:bCs/>
        </w:rPr>
      </w:pPr>
    </w:p>
    <w:p w:rsidR="001847C9" w:rsidRDefault="001847C9" w:rsidP="001847C9">
      <w:pPr>
        <w:ind w:right="91"/>
        <w:rPr>
          <w:rFonts w:ascii="Times New Roman" w:hAnsi="Times New Roman" w:cs="Times New Roman"/>
        </w:rPr>
      </w:pPr>
      <w:r w:rsidRPr="00070F38">
        <w:rPr>
          <w:rFonts w:ascii="Times New Roman" w:hAnsi="Times New Roman" w:cs="Times New Roman"/>
          <w:bCs/>
        </w:rPr>
        <w:t xml:space="preserve">Section 121 of the Act confers power on the Governor-General to make regulations prescribing all matters </w:t>
      </w:r>
      <w:r>
        <w:rPr>
          <w:rFonts w:ascii="Times New Roman" w:hAnsi="Times New Roman" w:cs="Times New Roman"/>
          <w:bCs/>
        </w:rPr>
        <w:t>required or permitted by the Act to be prescribed,</w:t>
      </w:r>
      <w:r w:rsidRPr="00070F38">
        <w:rPr>
          <w:rFonts w:ascii="Times New Roman" w:hAnsi="Times New Roman" w:cs="Times New Roman"/>
          <w:bCs/>
        </w:rPr>
        <w:t xml:space="preserve"> or necessary or convenient to be prescribed for carrying out or giving effect </w:t>
      </w:r>
      <w:r>
        <w:rPr>
          <w:rFonts w:ascii="Times New Roman" w:hAnsi="Times New Roman" w:cs="Times New Roman"/>
          <w:bCs/>
        </w:rPr>
        <w:t>to the</w:t>
      </w:r>
      <w:r w:rsidRPr="00070F38">
        <w:rPr>
          <w:rFonts w:ascii="Times New Roman" w:hAnsi="Times New Roman" w:cs="Times New Roman"/>
          <w:bCs/>
        </w:rPr>
        <w:t xml:space="preserve"> Act.</w:t>
      </w:r>
      <w:r>
        <w:rPr>
          <w:rFonts w:ascii="Times New Roman" w:hAnsi="Times New Roman" w:cs="Times New Roman"/>
          <w:bCs/>
        </w:rPr>
        <w:t xml:space="preserve"> </w:t>
      </w:r>
    </w:p>
    <w:p w:rsidR="00B25B15" w:rsidRDefault="00B25B15" w:rsidP="00B25B15">
      <w:pPr>
        <w:ind w:right="91"/>
        <w:rPr>
          <w:rFonts w:ascii="Times New Roman" w:hAnsi="Times New Roman" w:cs="Times New Roman"/>
        </w:rPr>
      </w:pPr>
    </w:p>
    <w:p w:rsidR="00207AC8" w:rsidRDefault="00B25B15" w:rsidP="00B25B15">
      <w:pPr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B2743B">
        <w:rPr>
          <w:rFonts w:ascii="Times New Roman" w:hAnsi="Times New Roman" w:cs="Times New Roman"/>
          <w:i/>
        </w:rPr>
        <w:t>Occupational Health and Safety (Maritime Industry) A</w:t>
      </w:r>
      <w:r>
        <w:rPr>
          <w:rFonts w:ascii="Times New Roman" w:hAnsi="Times New Roman" w:cs="Times New Roman"/>
          <w:i/>
        </w:rPr>
        <w:t xml:space="preserve">mendment (Incident Notification </w:t>
      </w:r>
      <w:r w:rsidRPr="00B2743B">
        <w:rPr>
          <w:rFonts w:ascii="Times New Roman" w:hAnsi="Times New Roman" w:cs="Times New Roman"/>
          <w:i/>
        </w:rPr>
        <w:t>and Reporting) Regulations 2017</w:t>
      </w:r>
      <w:r>
        <w:rPr>
          <w:rFonts w:ascii="Times New Roman" w:hAnsi="Times New Roman" w:cs="Times New Roman"/>
        </w:rPr>
        <w:t xml:space="preserve"> (the </w:t>
      </w:r>
      <w:r w:rsidR="00207AC8">
        <w:rPr>
          <w:rFonts w:ascii="Times New Roman" w:hAnsi="Times New Roman" w:cs="Times New Roman"/>
        </w:rPr>
        <w:t>R</w:t>
      </w:r>
      <w:r w:rsidR="00794CF4">
        <w:rPr>
          <w:rFonts w:ascii="Times New Roman" w:hAnsi="Times New Roman" w:cs="Times New Roman"/>
        </w:rPr>
        <w:t>egulations)</w:t>
      </w:r>
      <w:r>
        <w:rPr>
          <w:rFonts w:ascii="Times New Roman" w:hAnsi="Times New Roman" w:cs="Times New Roman"/>
        </w:rPr>
        <w:t xml:space="preserve"> amend 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>MI) Regulations to enable the Australian Maritime Safety Authority (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) to streamline the incident notification and reporting obligations of maritime operators. </w:t>
      </w:r>
    </w:p>
    <w:p w:rsidR="00207AC8" w:rsidRDefault="00207AC8" w:rsidP="00B25B15">
      <w:pPr>
        <w:ind w:right="91"/>
        <w:rPr>
          <w:rFonts w:ascii="Times New Roman" w:hAnsi="Times New Roman" w:cs="Times New Roman"/>
        </w:rPr>
      </w:pPr>
    </w:p>
    <w:p w:rsidR="00B25B15" w:rsidRPr="003A5B16" w:rsidRDefault="00B25B15" w:rsidP="00B25B15">
      <w:pPr>
        <w:ind w:right="91"/>
        <w:rPr>
          <w:rFonts w:ascii="Times New Roman" w:hAnsi="Times New Roman" w:cs="Times New Roman"/>
        </w:rPr>
      </w:pPr>
      <w:r w:rsidRPr="00333BE8">
        <w:rPr>
          <w:rFonts w:ascii="Times New Roman" w:hAnsi="Times New Roman" w:cs="Times New Roman"/>
        </w:rPr>
        <w:t xml:space="preserve">Obligations to notify </w:t>
      </w:r>
      <w:proofErr w:type="spellStart"/>
      <w:r w:rsidRPr="00333BE8">
        <w:rPr>
          <w:rFonts w:ascii="Times New Roman" w:hAnsi="Times New Roman" w:cs="Times New Roman"/>
        </w:rPr>
        <w:t>AMSA</w:t>
      </w:r>
      <w:proofErr w:type="spellEnd"/>
      <w:r w:rsidRPr="00333BE8">
        <w:rPr>
          <w:rFonts w:ascii="Times New Roman" w:hAnsi="Times New Roman" w:cs="Times New Roman"/>
        </w:rPr>
        <w:t xml:space="preserve"> of safety incidents may arise under various statutes depending on the nature of a vessel’s operations at the time of the incident.</w:t>
      </w:r>
      <w:r>
        <w:rPr>
          <w:rFonts w:ascii="Times New Roman" w:hAnsi="Times New Roman" w:cs="Times New Roman"/>
        </w:rPr>
        <w:t xml:space="preserve"> Separate forms are currently used for </w:t>
      </w:r>
      <w:r w:rsidRPr="00333BE8"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</w:t>
      </w:r>
      <w:r w:rsidRPr="00333BE8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 xml:space="preserve"> and other relevant laws, including</w:t>
      </w:r>
      <w:r w:rsidRPr="00333BE8">
        <w:rPr>
          <w:rFonts w:ascii="Times New Roman" w:hAnsi="Times New Roman" w:cs="Times New Roman"/>
        </w:rPr>
        <w:t xml:space="preserve"> the </w:t>
      </w:r>
      <w:r w:rsidRPr="00333BE8">
        <w:rPr>
          <w:rFonts w:ascii="Times New Roman" w:hAnsi="Times New Roman" w:cs="Times New Roman"/>
          <w:i/>
        </w:rPr>
        <w:t>Navigation Act 2012</w:t>
      </w:r>
      <w:r w:rsidRPr="00333BE8">
        <w:rPr>
          <w:rFonts w:ascii="Times New Roman" w:hAnsi="Times New Roman" w:cs="Times New Roman"/>
        </w:rPr>
        <w:t xml:space="preserve">, </w:t>
      </w:r>
      <w:r w:rsidRPr="00333BE8">
        <w:rPr>
          <w:rFonts w:ascii="Times New Roman" w:hAnsi="Times New Roman" w:cs="Times New Roman"/>
          <w:i/>
        </w:rPr>
        <w:t xml:space="preserve">Maritime Safety (Domestic Commercial Vessel) National Law Act 2012 </w:t>
      </w:r>
      <w:r w:rsidRPr="00333BE8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Work Health and Safety Act 2011.</w:t>
      </w:r>
    </w:p>
    <w:p w:rsidR="00B25B15" w:rsidRDefault="00B25B15" w:rsidP="00B25B15">
      <w:pPr>
        <w:ind w:right="91"/>
        <w:rPr>
          <w:rFonts w:ascii="Times New Roman" w:hAnsi="Times New Roman" w:cs="Times New Roman"/>
        </w:rPr>
      </w:pPr>
    </w:p>
    <w:p w:rsidR="00B25B15" w:rsidRDefault="00B25B15" w:rsidP="00B25B15">
      <w:pPr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07AC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egulations repeal the current forms prescribed for the purpose of 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Act, and </w:t>
      </w:r>
      <w:r w:rsidR="00BE018E">
        <w:rPr>
          <w:rFonts w:ascii="Times New Roman" w:hAnsi="Times New Roman" w:cs="Times New Roman"/>
        </w:rPr>
        <w:t xml:space="preserve">instead prescribe </w:t>
      </w:r>
      <w:r>
        <w:rPr>
          <w:rFonts w:ascii="Times New Roman" w:hAnsi="Times New Roman" w:cs="Times New Roman"/>
        </w:rPr>
        <w:t>a list of information operators must include when reporting on or not</w:t>
      </w:r>
      <w:r w:rsidR="00D5769C">
        <w:rPr>
          <w:rFonts w:ascii="Times New Roman" w:hAnsi="Times New Roman" w:cs="Times New Roman"/>
        </w:rPr>
        <w:t xml:space="preserve">ifying </w:t>
      </w:r>
      <w:proofErr w:type="spellStart"/>
      <w:r w:rsidR="00D5769C">
        <w:rPr>
          <w:rFonts w:ascii="Times New Roman" w:hAnsi="Times New Roman" w:cs="Times New Roman"/>
        </w:rPr>
        <w:t>AMSA</w:t>
      </w:r>
      <w:proofErr w:type="spellEnd"/>
      <w:r w:rsidR="00D5769C">
        <w:rPr>
          <w:rFonts w:ascii="Times New Roman" w:hAnsi="Times New Roman" w:cs="Times New Roman"/>
        </w:rPr>
        <w:t xml:space="preserve"> of an incident</w:t>
      </w:r>
      <w:r>
        <w:rPr>
          <w:rFonts w:ascii="Times New Roman" w:hAnsi="Times New Roman" w:cs="Times New Roman"/>
        </w:rPr>
        <w:t xml:space="preserve">. This </w:t>
      </w:r>
      <w:r w:rsidR="0046018A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enable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 to develop a single form for all health and safety notifications, and remove the need for maritime operators to determine which Act applied to them at the time of the incident.</w:t>
      </w:r>
      <w:r w:rsidR="00BE018E">
        <w:rPr>
          <w:rFonts w:ascii="Times New Roman" w:hAnsi="Times New Roman" w:cs="Times New Roman"/>
        </w:rPr>
        <w:t xml:space="preserve"> </w:t>
      </w:r>
      <w:r w:rsidR="00BE018E" w:rsidRPr="00BE018E">
        <w:rPr>
          <w:rFonts w:ascii="Times New Roman" w:hAnsi="Times New Roman" w:cs="Times New Roman"/>
        </w:rPr>
        <w:t xml:space="preserve">This </w:t>
      </w:r>
      <w:r w:rsidR="00BE018E">
        <w:rPr>
          <w:rFonts w:ascii="Times New Roman" w:hAnsi="Times New Roman" w:cs="Times New Roman"/>
        </w:rPr>
        <w:t xml:space="preserve">will </w:t>
      </w:r>
      <w:r w:rsidR="00BE018E" w:rsidRPr="00BE018E">
        <w:rPr>
          <w:rFonts w:ascii="Times New Roman" w:hAnsi="Times New Roman" w:cs="Times New Roman"/>
        </w:rPr>
        <w:t>improve work health and safety in the maritime industry because it</w:t>
      </w:r>
      <w:r w:rsidR="00BE018E">
        <w:rPr>
          <w:rFonts w:ascii="Times New Roman" w:hAnsi="Times New Roman" w:cs="Times New Roman"/>
        </w:rPr>
        <w:t xml:space="preserve"> will be</w:t>
      </w:r>
      <w:r w:rsidR="00BE018E" w:rsidRPr="00BE018E">
        <w:rPr>
          <w:rFonts w:ascii="Times New Roman" w:hAnsi="Times New Roman" w:cs="Times New Roman"/>
        </w:rPr>
        <w:t xml:space="preserve"> easier for operators to notify and report incidents to </w:t>
      </w:r>
      <w:proofErr w:type="spellStart"/>
      <w:r w:rsidR="00BE018E" w:rsidRPr="00BE018E">
        <w:rPr>
          <w:rFonts w:ascii="Times New Roman" w:hAnsi="Times New Roman" w:cs="Times New Roman"/>
        </w:rPr>
        <w:t>AMSA</w:t>
      </w:r>
      <w:proofErr w:type="spellEnd"/>
      <w:r w:rsidR="00BE018E" w:rsidRPr="00BE018E">
        <w:rPr>
          <w:rFonts w:ascii="Times New Roman" w:hAnsi="Times New Roman" w:cs="Times New Roman"/>
        </w:rPr>
        <w:t>.</w:t>
      </w:r>
      <w:r w:rsidR="00BE018E">
        <w:rPr>
          <w:rFonts w:ascii="Times New Roman" w:hAnsi="Times New Roman" w:cs="Times New Roman"/>
        </w:rPr>
        <w:t xml:space="preserve"> </w:t>
      </w:r>
    </w:p>
    <w:p w:rsidR="00B25B15" w:rsidRDefault="00B25B15" w:rsidP="00B25B15">
      <w:pPr>
        <w:ind w:right="91"/>
        <w:rPr>
          <w:rFonts w:ascii="Times New Roman" w:hAnsi="Times New Roman" w:cs="Times New Roman"/>
        </w:rPr>
      </w:pPr>
    </w:p>
    <w:p w:rsidR="00B25B15" w:rsidRPr="00070F38" w:rsidRDefault="00B25B15" w:rsidP="00B25B15">
      <w:pPr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07AC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egulations also clarify that the notice or report can be submitted by fax, email or other electronic means as specified on </w:t>
      </w:r>
      <w:proofErr w:type="spellStart"/>
      <w:r w:rsidRPr="00C51E57">
        <w:rPr>
          <w:rFonts w:ascii="Times New Roman" w:hAnsi="Times New Roman" w:cs="Times New Roman"/>
        </w:rPr>
        <w:t>AMSA’s</w:t>
      </w:r>
      <w:proofErr w:type="spellEnd"/>
      <w:r>
        <w:rPr>
          <w:rFonts w:ascii="Times New Roman" w:hAnsi="Times New Roman" w:cs="Times New Roman"/>
        </w:rPr>
        <w:t xml:space="preserve"> website. Details of the </w:t>
      </w:r>
      <w:r w:rsidR="00207AC8">
        <w:rPr>
          <w:rFonts w:ascii="Times New Roman" w:hAnsi="Times New Roman" w:cs="Times New Roman"/>
        </w:rPr>
        <w:t>Regulations are set out at</w:t>
      </w:r>
      <w:r w:rsidRPr="00070F38">
        <w:rPr>
          <w:rFonts w:ascii="Times New Roman" w:hAnsi="Times New Roman" w:cs="Times New Roman"/>
        </w:rPr>
        <w:t xml:space="preserve"> </w:t>
      </w:r>
      <w:r w:rsidRPr="00070F38">
        <w:rPr>
          <w:rFonts w:ascii="Times New Roman" w:hAnsi="Times New Roman" w:cs="Times New Roman"/>
          <w:u w:val="single"/>
        </w:rPr>
        <w:t>Attachment</w:t>
      </w:r>
      <w:r w:rsidR="00207AC8">
        <w:rPr>
          <w:rFonts w:ascii="Times New Roman" w:hAnsi="Times New Roman" w:cs="Times New Roman"/>
          <w:u w:val="single"/>
        </w:rPr>
        <w:t xml:space="preserve"> A</w:t>
      </w:r>
      <w:r w:rsidRPr="00070F38">
        <w:rPr>
          <w:rFonts w:ascii="Times New Roman" w:hAnsi="Times New Roman" w:cs="Times New Roman"/>
        </w:rPr>
        <w:t>.</w:t>
      </w:r>
    </w:p>
    <w:p w:rsidR="00B25B15" w:rsidRDefault="00B25B15" w:rsidP="00B25B15">
      <w:pPr>
        <w:tabs>
          <w:tab w:val="left" w:pos="6521"/>
        </w:tabs>
        <w:ind w:right="91"/>
        <w:rPr>
          <w:rFonts w:ascii="Times New Roman" w:hAnsi="Times New Roman" w:cs="Times New Roman"/>
        </w:rPr>
      </w:pPr>
    </w:p>
    <w:p w:rsidR="00B25B15" w:rsidRDefault="00B25B15" w:rsidP="00B25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The </w:t>
      </w:r>
      <w:r w:rsidRPr="00313E9A">
        <w:rPr>
          <w:rFonts w:ascii="Times New Roman" w:hAnsi="Times New Roman" w:cs="Times New Roman"/>
          <w:bCs/>
        </w:rPr>
        <w:t xml:space="preserve">Seafarers Safety, Rehabilitation and Compensation Authority </w:t>
      </w: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Seacare</w:t>
      </w:r>
      <w:proofErr w:type="spellEnd"/>
      <w:r>
        <w:rPr>
          <w:rFonts w:ascii="Times New Roman" w:hAnsi="Times New Roman" w:cs="Times New Roman"/>
          <w:bCs/>
        </w:rPr>
        <w:t xml:space="preserve"> Authority</w:t>
      </w:r>
      <w:r w:rsidR="006B369D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 xml:space="preserve">requested the change to assist </w:t>
      </w:r>
      <w:proofErr w:type="spellStart"/>
      <w:r>
        <w:rPr>
          <w:rFonts w:ascii="Times New Roman" w:hAnsi="Times New Roman" w:cs="Times New Roman"/>
          <w:bCs/>
        </w:rPr>
        <w:t>AMSA</w:t>
      </w:r>
      <w:proofErr w:type="spellEnd"/>
      <w:r>
        <w:rPr>
          <w:rFonts w:ascii="Times New Roman" w:hAnsi="Times New Roman" w:cs="Times New Roman"/>
          <w:bCs/>
        </w:rPr>
        <w:t xml:space="preserve"> to streamline notification</w:t>
      </w:r>
      <w:r w:rsidRPr="005E3E3F">
        <w:rPr>
          <w:rFonts w:ascii="Times New Roman" w:hAnsi="Times New Roman" w:cs="Times New Roman"/>
        </w:rPr>
        <w:t xml:space="preserve"> and reporting </w:t>
      </w:r>
      <w:r>
        <w:rPr>
          <w:rFonts w:ascii="Times New Roman" w:hAnsi="Times New Roman" w:cs="Times New Roman"/>
        </w:rPr>
        <w:t>of maritime incidents</w:t>
      </w:r>
      <w:r w:rsidR="006B369D">
        <w:rPr>
          <w:rFonts w:ascii="Times New Roman" w:hAnsi="Times New Roman" w:cs="Times New Roman"/>
        </w:rPr>
        <w:t xml:space="preserve"> after </w:t>
      </w:r>
      <w:proofErr w:type="spellStart"/>
      <w:r w:rsidR="006B369D">
        <w:rPr>
          <w:rFonts w:ascii="Times New Roman" w:hAnsi="Times New Roman" w:cs="Times New Roman"/>
        </w:rPr>
        <w:t>AMSA</w:t>
      </w:r>
      <w:proofErr w:type="spellEnd"/>
      <w:r w:rsidR="006B369D">
        <w:rPr>
          <w:rFonts w:ascii="Times New Roman" w:hAnsi="Times New Roman" w:cs="Times New Roman"/>
        </w:rPr>
        <w:t xml:space="preserve"> raised this issue at a </w:t>
      </w:r>
      <w:proofErr w:type="spellStart"/>
      <w:r w:rsidR="006B369D">
        <w:rPr>
          <w:rFonts w:ascii="Times New Roman" w:hAnsi="Times New Roman" w:cs="Times New Roman"/>
        </w:rPr>
        <w:t>Seacare</w:t>
      </w:r>
      <w:proofErr w:type="spellEnd"/>
      <w:r w:rsidR="006B369D">
        <w:rPr>
          <w:rFonts w:ascii="Times New Roman" w:hAnsi="Times New Roman" w:cs="Times New Roman"/>
        </w:rPr>
        <w:t xml:space="preserve"> Authority meeting and suggested it would benefit industry stakeholders</w:t>
      </w:r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Seacare</w:t>
      </w:r>
      <w:proofErr w:type="spellEnd"/>
      <w:r>
        <w:rPr>
          <w:rFonts w:ascii="Times New Roman" w:hAnsi="Times New Roman" w:cs="Times New Roman"/>
        </w:rPr>
        <w:t xml:space="preserve"> Authority </w:t>
      </w:r>
      <w:r w:rsidR="006B369D">
        <w:rPr>
          <w:rFonts w:ascii="Times New Roman" w:hAnsi="Times New Roman" w:cs="Times New Roman"/>
        </w:rPr>
        <w:t xml:space="preserve">is a consultative body </w:t>
      </w:r>
      <w:r>
        <w:rPr>
          <w:rFonts w:ascii="Times New Roman" w:hAnsi="Times New Roman" w:cs="Times New Roman"/>
        </w:rPr>
        <w:t>compris</w:t>
      </w:r>
      <w:r w:rsidR="006B369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members representing </w:t>
      </w:r>
      <w:proofErr w:type="spellStart"/>
      <w:r w:rsidR="00207AC8">
        <w:rPr>
          <w:rFonts w:ascii="Times New Roman" w:hAnsi="Times New Roman" w:cs="Times New Roman"/>
        </w:rPr>
        <w:t>AMSA</w:t>
      </w:r>
      <w:proofErr w:type="spellEnd"/>
      <w:r w:rsidR="00207AC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employers and employees in the maritime industry.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 was also consulted during the drafting of </w:t>
      </w:r>
      <w:r w:rsidRPr="0073297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207AC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egulations</w:t>
      </w:r>
      <w:r w:rsidR="006B369D">
        <w:rPr>
          <w:rFonts w:ascii="Times New Roman" w:hAnsi="Times New Roman" w:cs="Times New Roman"/>
        </w:rPr>
        <w:t xml:space="preserve"> and are supportive of the changes</w:t>
      </w:r>
      <w:r>
        <w:rPr>
          <w:rFonts w:ascii="Times New Roman" w:hAnsi="Times New Roman" w:cs="Times New Roman"/>
        </w:rPr>
        <w:t>.</w:t>
      </w:r>
      <w:r w:rsidRPr="00732974">
        <w:rPr>
          <w:rFonts w:ascii="Times New Roman" w:hAnsi="Times New Roman" w:cs="Times New Roman"/>
        </w:rPr>
        <w:t xml:space="preserve"> </w:t>
      </w:r>
    </w:p>
    <w:p w:rsidR="00335995" w:rsidRDefault="00335995" w:rsidP="00335995">
      <w:pPr>
        <w:rPr>
          <w:rFonts w:ascii="Times New Roman" w:hAnsi="Times New Roman" w:cs="Times New Roman"/>
        </w:rPr>
      </w:pPr>
    </w:p>
    <w:p w:rsidR="00335995" w:rsidRDefault="00335995" w:rsidP="00335995">
      <w:pPr>
        <w:rPr>
          <w:rFonts w:ascii="Times New Roman" w:eastAsia="Times New Roman" w:hAnsi="Times New Roman" w:cs="Times New Roman"/>
          <w:lang w:eastAsia="en-AU"/>
        </w:rPr>
      </w:pPr>
      <w:r w:rsidRPr="002D1D8B">
        <w:rPr>
          <w:rFonts w:ascii="Times New Roman" w:eastAsia="Times New Roman" w:hAnsi="Times New Roman" w:cs="Times New Roman"/>
          <w:lang w:eastAsia="en-AU"/>
        </w:rPr>
        <w:t xml:space="preserve">The Office of Best Practice Regulation </w:t>
      </w:r>
      <w:r>
        <w:rPr>
          <w:rFonts w:ascii="Times New Roman" w:eastAsia="Times New Roman" w:hAnsi="Times New Roman" w:cs="Times New Roman"/>
          <w:lang w:eastAsia="en-AU"/>
        </w:rPr>
        <w:t xml:space="preserve">advised that </w:t>
      </w:r>
      <w:r w:rsidRPr="002D1D8B">
        <w:rPr>
          <w:rFonts w:ascii="Times New Roman" w:eastAsia="Times New Roman" w:hAnsi="Times New Roman" w:cs="Times New Roman"/>
          <w:lang w:eastAsia="en-AU"/>
        </w:rPr>
        <w:t xml:space="preserve">a Regulation Impact Statement was not required </w:t>
      </w:r>
      <w:r>
        <w:rPr>
          <w:rFonts w:ascii="Times New Roman" w:eastAsia="Times New Roman" w:hAnsi="Times New Roman" w:cs="Times New Roman"/>
          <w:lang w:eastAsia="en-A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en-AU"/>
        </w:rPr>
        <w:t>OPPBR</w:t>
      </w:r>
      <w:proofErr w:type="spellEnd"/>
      <w:r w:rsidRPr="00E84EF1">
        <w:rPr>
          <w:rFonts w:ascii="Times New Roman" w:eastAsia="Times New Roman" w:hAnsi="Times New Roman" w:cs="Times New Roman"/>
          <w:lang w:eastAsia="en-AU"/>
        </w:rPr>
        <w:t xml:space="preserve"> 22464</w:t>
      </w:r>
      <w:r>
        <w:rPr>
          <w:rFonts w:ascii="Times New Roman" w:eastAsia="Times New Roman" w:hAnsi="Times New Roman" w:cs="Times New Roman"/>
          <w:lang w:eastAsia="en-AU"/>
        </w:rPr>
        <w:t>).</w:t>
      </w:r>
    </w:p>
    <w:p w:rsidR="005F75EC" w:rsidRDefault="005F75EC" w:rsidP="005F75EC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</w:p>
    <w:p w:rsidR="005F75EC" w:rsidRPr="00ED3239" w:rsidRDefault="005F75EC" w:rsidP="005F75EC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ED3239">
        <w:rPr>
          <w:rFonts w:ascii="Times New Roman" w:hAnsi="Times New Roman" w:cs="Times New Roman"/>
        </w:rPr>
        <w:t xml:space="preserve">Regulations </w:t>
      </w:r>
      <w:r w:rsidR="0064191F">
        <w:rPr>
          <w:rFonts w:ascii="Times New Roman" w:hAnsi="Times New Roman" w:cs="Times New Roman"/>
        </w:rPr>
        <w:t>are</w:t>
      </w:r>
      <w:r w:rsidRPr="00ED3239">
        <w:rPr>
          <w:rFonts w:ascii="Times New Roman" w:hAnsi="Times New Roman" w:cs="Times New Roman"/>
        </w:rPr>
        <w:t xml:space="preserve"> a legislative instrument for the purposes of the </w:t>
      </w:r>
      <w:r>
        <w:rPr>
          <w:rFonts w:ascii="Times New Roman" w:hAnsi="Times New Roman" w:cs="Times New Roman"/>
          <w:i/>
        </w:rPr>
        <w:t>Legislation </w:t>
      </w:r>
      <w:r w:rsidRPr="00ED3239">
        <w:rPr>
          <w:rFonts w:ascii="Times New Roman" w:hAnsi="Times New Roman" w:cs="Times New Roman"/>
          <w:i/>
        </w:rPr>
        <w:t>Act 2003</w:t>
      </w:r>
      <w:r w:rsidRPr="00ED3239">
        <w:rPr>
          <w:rFonts w:ascii="Times New Roman" w:hAnsi="Times New Roman" w:cs="Times New Roman"/>
        </w:rPr>
        <w:t xml:space="preserve">. </w:t>
      </w:r>
    </w:p>
    <w:p w:rsidR="00335995" w:rsidRDefault="00335995" w:rsidP="00F22C60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</w:p>
    <w:p w:rsidR="006B369D" w:rsidRPr="006B369D" w:rsidRDefault="006B369D" w:rsidP="006B369D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  <w:r w:rsidRPr="006B369D">
        <w:rPr>
          <w:rFonts w:ascii="Times New Roman" w:hAnsi="Times New Roman" w:cs="Times New Roman"/>
        </w:rPr>
        <w:t>The Regulations commence the day after it is registered on the Federal Register of Legislation.</w:t>
      </w:r>
    </w:p>
    <w:p w:rsidR="006B369D" w:rsidRDefault="006B369D" w:rsidP="005F75EC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</w:p>
    <w:p w:rsidR="006B369D" w:rsidRDefault="006B369D" w:rsidP="005F75EC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</w:p>
    <w:p w:rsidR="005F75EC" w:rsidRPr="003B6449" w:rsidRDefault="005F75EC" w:rsidP="005F75EC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  <w:r w:rsidRPr="003B6449">
        <w:rPr>
          <w:rFonts w:ascii="Times New Roman" w:hAnsi="Times New Roman" w:cs="Times New Roman"/>
        </w:rPr>
        <w:lastRenderedPageBreak/>
        <w:t xml:space="preserve">A Statement of Compatibility with Human Rights has been completed </w:t>
      </w:r>
      <w:r>
        <w:rPr>
          <w:rFonts w:ascii="Times New Roman" w:hAnsi="Times New Roman" w:cs="Times New Roman"/>
        </w:rPr>
        <w:t>and has assessed</w:t>
      </w:r>
      <w:r w:rsidRPr="003B6449">
        <w:rPr>
          <w:rFonts w:ascii="Times New Roman" w:hAnsi="Times New Roman" w:cs="Times New Roman"/>
        </w:rPr>
        <w:t xml:space="preserve"> the Regulations </w:t>
      </w:r>
      <w:r>
        <w:rPr>
          <w:rFonts w:ascii="Times New Roman" w:hAnsi="Times New Roman" w:cs="Times New Roman"/>
        </w:rPr>
        <w:t xml:space="preserve">as </w:t>
      </w:r>
      <w:r w:rsidRPr="003B6449">
        <w:rPr>
          <w:rFonts w:ascii="Times New Roman" w:hAnsi="Times New Roman" w:cs="Times New Roman"/>
        </w:rPr>
        <w:t xml:space="preserve">compatible with human rights. A copy of the Statement is at </w:t>
      </w:r>
      <w:r>
        <w:rPr>
          <w:rFonts w:ascii="Times New Roman" w:hAnsi="Times New Roman" w:cs="Times New Roman"/>
          <w:u w:val="single"/>
        </w:rPr>
        <w:t>Attachment </w:t>
      </w:r>
      <w:r w:rsidRPr="003B6449">
        <w:rPr>
          <w:rFonts w:ascii="Times New Roman" w:hAnsi="Times New Roman" w:cs="Times New Roman"/>
          <w:u w:val="single"/>
        </w:rPr>
        <w:t>B</w:t>
      </w:r>
      <w:r w:rsidRPr="003B6449">
        <w:rPr>
          <w:rFonts w:ascii="Times New Roman" w:hAnsi="Times New Roman" w:cs="Times New Roman"/>
        </w:rPr>
        <w:t>.</w:t>
      </w:r>
    </w:p>
    <w:p w:rsidR="00335995" w:rsidRDefault="00335995" w:rsidP="00F22C60">
      <w:pPr>
        <w:tabs>
          <w:tab w:val="center" w:pos="4111"/>
          <w:tab w:val="left" w:pos="4536"/>
        </w:tabs>
        <w:ind w:right="91"/>
        <w:rPr>
          <w:rFonts w:ascii="Times New Roman" w:hAnsi="Times New Roman" w:cs="Times New Roman"/>
        </w:rPr>
      </w:pPr>
    </w:p>
    <w:p w:rsidR="00B53AFD" w:rsidRDefault="00B53AFD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3155BE" w:rsidRDefault="003155BE" w:rsidP="0064191F">
      <w:pPr>
        <w:ind w:left="7200"/>
        <w:rPr>
          <w:rFonts w:ascii="Times New Roman" w:hAnsi="Times New Roman" w:cs="Times New Roman"/>
        </w:rPr>
      </w:pPr>
    </w:p>
    <w:p w:rsidR="00794CF4" w:rsidRDefault="00794CF4" w:rsidP="0064191F">
      <w:pPr>
        <w:ind w:left="7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Attachment</w:t>
      </w:r>
      <w:r w:rsidR="00207AC8">
        <w:rPr>
          <w:rFonts w:ascii="Times New Roman" w:hAnsi="Times New Roman" w:cs="Times New Roman"/>
          <w:u w:val="single"/>
        </w:rPr>
        <w:t xml:space="preserve"> A</w:t>
      </w:r>
    </w:p>
    <w:p w:rsidR="00794CF4" w:rsidRPr="007C13DF" w:rsidRDefault="00794CF4" w:rsidP="00794CF4">
      <w:pPr>
        <w:tabs>
          <w:tab w:val="right" w:pos="4536"/>
        </w:tabs>
        <w:spacing w:after="120"/>
        <w:ind w:right="91"/>
        <w:rPr>
          <w:rFonts w:ascii="Times New Roman" w:hAnsi="Times New Roman" w:cs="Times New Roman"/>
          <w:b/>
        </w:rPr>
      </w:pPr>
      <w:r w:rsidRPr="007C13DF">
        <w:rPr>
          <w:rFonts w:ascii="Times New Roman" w:hAnsi="Times New Roman" w:cs="Times New Roman"/>
          <w:b/>
        </w:rPr>
        <w:t xml:space="preserve">Preliminary </w:t>
      </w:r>
    </w:p>
    <w:p w:rsidR="00794CF4" w:rsidRPr="00406AC9" w:rsidRDefault="00794CF4" w:rsidP="00794CF4">
      <w:pPr>
        <w:tabs>
          <w:tab w:val="right" w:pos="4536"/>
        </w:tabs>
        <w:spacing w:after="120"/>
        <w:ind w:right="91"/>
        <w:rPr>
          <w:rFonts w:ascii="Times New Roman" w:hAnsi="Times New Roman" w:cs="Times New Roman"/>
          <w:u w:val="single"/>
        </w:rPr>
      </w:pPr>
      <w:r w:rsidRPr="00406AC9">
        <w:rPr>
          <w:rFonts w:ascii="Times New Roman" w:hAnsi="Times New Roman" w:cs="Times New Roman"/>
          <w:u w:val="single"/>
        </w:rPr>
        <w:t>Section 1 – Name</w:t>
      </w:r>
    </w:p>
    <w:p w:rsidR="00794CF4" w:rsidRPr="00CD1D25" w:rsidRDefault="00794CF4" w:rsidP="00794CF4">
      <w:pPr>
        <w:spacing w:after="120"/>
        <w:rPr>
          <w:rFonts w:ascii="Times New Roman" w:hAnsi="Times New Roman" w:cs="Times New Roman"/>
          <w:b/>
          <w:i/>
          <w:color w:val="000000"/>
        </w:rPr>
      </w:pPr>
      <w:r w:rsidRPr="00CD1D25">
        <w:rPr>
          <w:rFonts w:ascii="Times New Roman" w:hAnsi="Times New Roman" w:cs="Times New Roman"/>
          <w:color w:val="000000"/>
        </w:rPr>
        <w:t xml:space="preserve">This is a formal provision specifying the name of </w:t>
      </w:r>
      <w:r w:rsidR="000C3372">
        <w:rPr>
          <w:rFonts w:ascii="Times New Roman" w:hAnsi="Times New Roman" w:cs="Times New Roman"/>
          <w:color w:val="000000"/>
        </w:rPr>
        <w:t xml:space="preserve">the instrument is the </w:t>
      </w:r>
      <w:r w:rsidR="000C3372" w:rsidRPr="000C3372">
        <w:rPr>
          <w:rFonts w:ascii="Times New Roman" w:hAnsi="Times New Roman" w:cs="Times New Roman"/>
          <w:i/>
          <w:color w:val="000000"/>
        </w:rPr>
        <w:t>Occupational Health and Safety (Maritime Industry) Amendment (Incident Notification and Reporting) Regulations 2017</w:t>
      </w:r>
      <w:r w:rsidR="000C3372" w:rsidRPr="000C3372">
        <w:rPr>
          <w:rFonts w:ascii="Times New Roman" w:hAnsi="Times New Roman" w:cs="Times New Roman"/>
          <w:color w:val="000000"/>
        </w:rPr>
        <w:t xml:space="preserve"> </w:t>
      </w:r>
      <w:r w:rsidR="000C3372">
        <w:rPr>
          <w:rFonts w:ascii="Times New Roman" w:hAnsi="Times New Roman" w:cs="Times New Roman"/>
          <w:color w:val="000000"/>
        </w:rPr>
        <w:t>(the R</w:t>
      </w:r>
      <w:r w:rsidRPr="00CD1D25">
        <w:rPr>
          <w:rFonts w:ascii="Times New Roman" w:hAnsi="Times New Roman" w:cs="Times New Roman"/>
          <w:color w:val="000000"/>
        </w:rPr>
        <w:t>egulations</w:t>
      </w:r>
      <w:r w:rsidR="000C3372">
        <w:rPr>
          <w:rFonts w:ascii="Times New Roman" w:hAnsi="Times New Roman" w:cs="Times New Roman"/>
          <w:color w:val="000000"/>
        </w:rPr>
        <w:t>)</w:t>
      </w:r>
      <w:r w:rsidRPr="00CD1D25">
        <w:rPr>
          <w:rFonts w:ascii="Times New Roman" w:hAnsi="Times New Roman" w:cs="Times New Roman"/>
          <w:color w:val="000000"/>
        </w:rPr>
        <w:t xml:space="preserve">. </w:t>
      </w:r>
    </w:p>
    <w:p w:rsidR="00794CF4" w:rsidRPr="00CD1D25" w:rsidRDefault="00794CF4" w:rsidP="00794CF4">
      <w:pPr>
        <w:tabs>
          <w:tab w:val="right" w:pos="4536"/>
        </w:tabs>
        <w:spacing w:after="120"/>
        <w:ind w:right="91"/>
        <w:rPr>
          <w:rFonts w:ascii="Times New Roman" w:hAnsi="Times New Roman" w:cs="Times New Roman"/>
          <w:u w:val="single"/>
        </w:rPr>
      </w:pPr>
      <w:r w:rsidRPr="00CD1D25">
        <w:rPr>
          <w:rFonts w:ascii="Times New Roman" w:hAnsi="Times New Roman" w:cs="Times New Roman"/>
          <w:u w:val="single"/>
        </w:rPr>
        <w:t>Section 2 – Commencement</w:t>
      </w:r>
    </w:p>
    <w:p w:rsidR="00794CF4" w:rsidRPr="00CD1D25" w:rsidRDefault="00794CF4" w:rsidP="00794CF4">
      <w:pPr>
        <w:spacing w:after="120"/>
        <w:rPr>
          <w:rFonts w:ascii="Times New Roman" w:hAnsi="Times New Roman" w:cs="Times New Roman"/>
          <w:color w:val="000000"/>
        </w:rPr>
      </w:pPr>
      <w:r w:rsidRPr="00CD1D25">
        <w:rPr>
          <w:rFonts w:ascii="Times New Roman" w:hAnsi="Times New Roman" w:cs="Times New Roman"/>
          <w:color w:val="000000"/>
        </w:rPr>
        <w:t xml:space="preserve">The </w:t>
      </w:r>
      <w:r w:rsidR="000C3372">
        <w:rPr>
          <w:rFonts w:ascii="Times New Roman" w:hAnsi="Times New Roman" w:cs="Times New Roman"/>
          <w:color w:val="000000"/>
        </w:rPr>
        <w:t>R</w:t>
      </w:r>
      <w:r w:rsidRPr="00CD1D25">
        <w:rPr>
          <w:rFonts w:ascii="Times New Roman" w:hAnsi="Times New Roman" w:cs="Times New Roman"/>
          <w:color w:val="000000"/>
        </w:rPr>
        <w:t xml:space="preserve">egulations </w:t>
      </w:r>
      <w:r w:rsidR="000C3372">
        <w:rPr>
          <w:rFonts w:ascii="Times New Roman" w:hAnsi="Times New Roman" w:cs="Times New Roman"/>
          <w:color w:val="000000"/>
        </w:rPr>
        <w:t>commence</w:t>
      </w:r>
      <w:r w:rsidRPr="00CD1D25">
        <w:rPr>
          <w:rFonts w:ascii="Times New Roman" w:hAnsi="Times New Roman" w:cs="Times New Roman"/>
          <w:color w:val="000000"/>
        </w:rPr>
        <w:t xml:space="preserve"> </w:t>
      </w:r>
      <w:r w:rsidR="000C3372">
        <w:rPr>
          <w:rFonts w:ascii="Times New Roman" w:hAnsi="Times New Roman" w:cs="Times New Roman"/>
          <w:color w:val="000000"/>
        </w:rPr>
        <w:t xml:space="preserve">on </w:t>
      </w:r>
      <w:r w:rsidRPr="00CD1D25">
        <w:rPr>
          <w:rFonts w:ascii="Times New Roman" w:hAnsi="Times New Roman" w:cs="Times New Roman"/>
          <w:color w:val="000000"/>
        </w:rPr>
        <w:t>the day after they are registered on the Federal Register of Legislation.</w:t>
      </w:r>
    </w:p>
    <w:p w:rsidR="00794CF4" w:rsidRPr="00CD1D25" w:rsidRDefault="00794CF4" w:rsidP="00794CF4">
      <w:pPr>
        <w:tabs>
          <w:tab w:val="right" w:pos="4536"/>
        </w:tabs>
        <w:spacing w:after="120"/>
        <w:ind w:right="91"/>
        <w:rPr>
          <w:rFonts w:ascii="Times New Roman" w:hAnsi="Times New Roman" w:cs="Times New Roman"/>
          <w:u w:val="single"/>
        </w:rPr>
      </w:pPr>
      <w:r w:rsidRPr="00CD1D25">
        <w:rPr>
          <w:rFonts w:ascii="Times New Roman" w:hAnsi="Times New Roman" w:cs="Times New Roman"/>
          <w:u w:val="single"/>
        </w:rPr>
        <w:t>Section 3 – Authority</w:t>
      </w:r>
    </w:p>
    <w:p w:rsidR="00794CF4" w:rsidRPr="00253C4C" w:rsidRDefault="00794CF4" w:rsidP="00794CF4">
      <w:pPr>
        <w:spacing w:after="120"/>
        <w:rPr>
          <w:rFonts w:ascii="Times New Roman" w:hAnsi="Times New Roman" w:cs="Times New Roman"/>
          <w:color w:val="000000"/>
        </w:rPr>
      </w:pPr>
      <w:r w:rsidRPr="00CD1D25">
        <w:rPr>
          <w:rFonts w:ascii="Times New Roman" w:hAnsi="Times New Roman" w:cs="Times New Roman"/>
          <w:color w:val="000000"/>
        </w:rPr>
        <w:t xml:space="preserve">This section </w:t>
      </w:r>
      <w:r w:rsidR="000C3372">
        <w:rPr>
          <w:rFonts w:ascii="Times New Roman" w:hAnsi="Times New Roman" w:cs="Times New Roman"/>
          <w:color w:val="000000"/>
        </w:rPr>
        <w:t>provides that the R</w:t>
      </w:r>
      <w:r w:rsidRPr="00CD1D25">
        <w:rPr>
          <w:rFonts w:ascii="Times New Roman" w:hAnsi="Times New Roman" w:cs="Times New Roman"/>
          <w:color w:val="000000"/>
        </w:rPr>
        <w:t xml:space="preserve">egulations are made under the </w:t>
      </w:r>
      <w:r w:rsidRPr="00CD1D25">
        <w:rPr>
          <w:rFonts w:ascii="Times New Roman" w:eastAsiaTheme="minorHAnsi" w:hAnsi="Times New Roman" w:cs="Times New Roman"/>
          <w:i/>
          <w:color w:val="000000"/>
        </w:rPr>
        <w:t>Occupational Health and Safety (Maritime Industry) Act 1993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Pr="00253C4C">
        <w:rPr>
          <w:rFonts w:ascii="Times New Roman" w:eastAsiaTheme="minorHAnsi" w:hAnsi="Times New Roman" w:cs="Times New Roman"/>
          <w:color w:val="000000"/>
        </w:rPr>
        <w:t>(</w:t>
      </w:r>
      <w:proofErr w:type="gramStart"/>
      <w:r w:rsidRPr="00253C4C">
        <w:rPr>
          <w:rFonts w:ascii="Times New Roman" w:eastAsiaTheme="minorHAnsi" w:hAnsi="Times New Roman" w:cs="Times New Roman"/>
          <w:color w:val="000000"/>
        </w:rPr>
        <w:t>OHS(</w:t>
      </w:r>
      <w:proofErr w:type="gramEnd"/>
      <w:r w:rsidRPr="00253C4C">
        <w:rPr>
          <w:rFonts w:ascii="Times New Roman" w:eastAsiaTheme="minorHAnsi" w:hAnsi="Times New Roman" w:cs="Times New Roman"/>
          <w:color w:val="000000"/>
        </w:rPr>
        <w:t>MI) Act).</w:t>
      </w:r>
    </w:p>
    <w:p w:rsidR="00794CF4" w:rsidRPr="007C13DF" w:rsidRDefault="00794CF4" w:rsidP="00794CF4">
      <w:pPr>
        <w:spacing w:after="120"/>
        <w:rPr>
          <w:rFonts w:ascii="Times New Roman" w:hAnsi="Times New Roman" w:cs="Times New Roman"/>
          <w:color w:val="000000"/>
          <w:u w:val="single"/>
        </w:rPr>
      </w:pPr>
      <w:r w:rsidRPr="007C13DF">
        <w:rPr>
          <w:rFonts w:ascii="Times New Roman" w:hAnsi="Times New Roman" w:cs="Times New Roman"/>
          <w:color w:val="000000"/>
          <w:u w:val="single"/>
        </w:rPr>
        <w:t>S</w:t>
      </w:r>
      <w:r>
        <w:rPr>
          <w:rFonts w:ascii="Times New Roman" w:hAnsi="Times New Roman" w:cs="Times New Roman"/>
          <w:color w:val="000000"/>
          <w:u w:val="single"/>
        </w:rPr>
        <w:t>ection 4</w:t>
      </w:r>
      <w:r w:rsidRPr="007C13DF">
        <w:rPr>
          <w:rFonts w:ascii="Times New Roman" w:hAnsi="Times New Roman" w:cs="Times New Roman"/>
          <w:color w:val="000000"/>
          <w:u w:val="single"/>
        </w:rPr>
        <w:t xml:space="preserve"> – Schedules </w:t>
      </w:r>
    </w:p>
    <w:p w:rsidR="00794CF4" w:rsidRPr="005E7134" w:rsidRDefault="00D5769C" w:rsidP="00794CF4">
      <w:pPr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section </w:t>
      </w:r>
      <w:r w:rsidR="00794CF4">
        <w:rPr>
          <w:rFonts w:ascii="Times New Roman" w:hAnsi="Times New Roman" w:cs="Times New Roman"/>
          <w:color w:val="000000"/>
        </w:rPr>
        <w:t>provide</w:t>
      </w:r>
      <w:r>
        <w:rPr>
          <w:rFonts w:ascii="Times New Roman" w:hAnsi="Times New Roman" w:cs="Times New Roman"/>
          <w:color w:val="000000"/>
        </w:rPr>
        <w:t>s</w:t>
      </w:r>
      <w:r w:rsidR="00794CF4">
        <w:rPr>
          <w:rFonts w:ascii="Times New Roman" w:hAnsi="Times New Roman" w:cs="Times New Roman"/>
          <w:color w:val="000000"/>
        </w:rPr>
        <w:t xml:space="preserve"> that e</w:t>
      </w:r>
      <w:r w:rsidR="00794CF4" w:rsidRPr="005E7134">
        <w:rPr>
          <w:rFonts w:ascii="Times New Roman" w:hAnsi="Times New Roman" w:cs="Times New Roman"/>
          <w:color w:val="000000"/>
        </w:rPr>
        <w:t xml:space="preserve">ach instrument that is specified in a Schedule is amended or repealed as set out in the Schedule, and any other item in a Schedule to this instrument </w:t>
      </w:r>
      <w:r w:rsidR="00794CF4">
        <w:rPr>
          <w:rFonts w:ascii="Times New Roman" w:hAnsi="Times New Roman" w:cs="Times New Roman"/>
          <w:color w:val="000000"/>
        </w:rPr>
        <w:t>would have</w:t>
      </w:r>
      <w:r w:rsidR="00794CF4" w:rsidRPr="005E7134">
        <w:rPr>
          <w:rFonts w:ascii="Times New Roman" w:hAnsi="Times New Roman" w:cs="Times New Roman"/>
          <w:color w:val="000000"/>
        </w:rPr>
        <w:t xml:space="preserve"> effect according to its terms.</w:t>
      </w:r>
      <w:r w:rsidR="000C3372">
        <w:rPr>
          <w:rFonts w:ascii="Times New Roman" w:hAnsi="Times New Roman" w:cs="Times New Roman"/>
          <w:color w:val="000000"/>
        </w:rPr>
        <w:t xml:space="preserve"> The R</w:t>
      </w:r>
      <w:r w:rsidR="00794CF4">
        <w:rPr>
          <w:rFonts w:ascii="Times New Roman" w:hAnsi="Times New Roman" w:cs="Times New Roman"/>
          <w:color w:val="000000"/>
        </w:rPr>
        <w:t xml:space="preserve">egulations amend the </w:t>
      </w:r>
      <w:r w:rsidR="00794CF4" w:rsidRPr="00070F38">
        <w:rPr>
          <w:rFonts w:ascii="Times New Roman" w:hAnsi="Times New Roman" w:cs="Times New Roman"/>
          <w:i/>
        </w:rPr>
        <w:t>Occupational Health and Safety (Maritime Industry)</w:t>
      </w:r>
      <w:r w:rsidR="00794CF4">
        <w:rPr>
          <w:rFonts w:ascii="Times New Roman" w:hAnsi="Times New Roman" w:cs="Times New Roman"/>
        </w:rPr>
        <w:t xml:space="preserve"> </w:t>
      </w:r>
      <w:r w:rsidR="00794CF4" w:rsidRPr="0060627B">
        <w:rPr>
          <w:rFonts w:ascii="Times New Roman" w:hAnsi="Times New Roman" w:cs="Times New Roman"/>
          <w:i/>
        </w:rPr>
        <w:t xml:space="preserve">Regulations </w:t>
      </w:r>
      <w:r w:rsidR="00794CF4" w:rsidRPr="00960F56">
        <w:rPr>
          <w:rFonts w:ascii="Times New Roman" w:hAnsi="Times New Roman" w:cs="Times New Roman"/>
        </w:rPr>
        <w:t>1995</w:t>
      </w:r>
      <w:r w:rsidR="00794CF4">
        <w:rPr>
          <w:rFonts w:ascii="Times New Roman" w:hAnsi="Times New Roman" w:cs="Times New Roman"/>
          <w:color w:val="000000"/>
        </w:rPr>
        <w:t>.</w:t>
      </w:r>
    </w:p>
    <w:p w:rsidR="00794CF4" w:rsidRPr="00CB2AAD" w:rsidRDefault="00794CF4" w:rsidP="00794CF4">
      <w:pPr>
        <w:rPr>
          <w:rFonts w:ascii="Times New Roman" w:hAnsi="Times New Roman" w:cs="Times New Roman"/>
          <w:b/>
        </w:rPr>
      </w:pPr>
      <w:r w:rsidRPr="00CB2AAD">
        <w:rPr>
          <w:rFonts w:ascii="Times New Roman" w:hAnsi="Times New Roman" w:cs="Times New Roman"/>
          <w:b/>
        </w:rPr>
        <w:t>Schedule 1</w:t>
      </w:r>
      <w:r w:rsidR="000C3372">
        <w:rPr>
          <w:rFonts w:ascii="Times New Roman" w:hAnsi="Times New Roman" w:cs="Times New Roman"/>
          <w:b/>
        </w:rPr>
        <w:t xml:space="preserve">- Amendments </w:t>
      </w:r>
    </w:p>
    <w:p w:rsidR="00794CF4" w:rsidRDefault="00794CF4" w:rsidP="00794CF4">
      <w:pPr>
        <w:rPr>
          <w:rFonts w:ascii="Times New Roman" w:hAnsi="Times New Roman" w:cs="Times New Roman"/>
          <w:u w:val="single"/>
        </w:rPr>
      </w:pPr>
    </w:p>
    <w:p w:rsidR="00794CF4" w:rsidRDefault="00794CF4" w:rsidP="00794CF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Section 107 of 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Act requires operators to notify the </w:t>
      </w:r>
      <w:r w:rsidR="0093214E">
        <w:rPr>
          <w:rFonts w:ascii="Times New Roman" w:hAnsi="Times New Roman" w:cs="Times New Roman"/>
        </w:rPr>
        <w:t>Australian Maritime Safety Authority (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 w:rsidR="00932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certain dangerous occurrences and accidents at a workplace. </w:t>
      </w:r>
      <w:r w:rsidRPr="00A05D20">
        <w:rPr>
          <w:rFonts w:ascii="Times New Roman" w:hAnsi="Times New Roman" w:cs="Times New Roman"/>
        </w:rPr>
        <w:t>The</w:t>
      </w:r>
      <w:r w:rsidR="000C3372">
        <w:rPr>
          <w:rFonts w:ascii="Times New Roman" w:hAnsi="Times New Roman" w:cs="Times New Roman"/>
        </w:rPr>
        <w:t xml:space="preserve"> R</w:t>
      </w:r>
      <w:r w:rsidRPr="00A05D20">
        <w:rPr>
          <w:rFonts w:ascii="Times New Roman" w:hAnsi="Times New Roman" w:cs="Times New Roman"/>
        </w:rPr>
        <w:t xml:space="preserve">egulations may prescribe the time and the manner in which notice or a report is to be given, and the form of such a notice or report.  </w:t>
      </w:r>
    </w:p>
    <w:p w:rsidR="00794CF4" w:rsidRDefault="00794CF4" w:rsidP="00794CF4">
      <w:pPr>
        <w:rPr>
          <w:rFonts w:ascii="Times New Roman" w:hAnsi="Times New Roman" w:cs="Times New Roman"/>
          <w:u w:val="single"/>
        </w:rPr>
      </w:pPr>
    </w:p>
    <w:p w:rsidR="00794CF4" w:rsidRPr="0064191F" w:rsidRDefault="00794CF4" w:rsidP="00794CF4">
      <w:pPr>
        <w:rPr>
          <w:rFonts w:ascii="Times New Roman" w:hAnsi="Times New Roman" w:cs="Times New Roman"/>
          <w:b/>
        </w:rPr>
      </w:pPr>
      <w:r w:rsidRPr="0064191F">
        <w:rPr>
          <w:rFonts w:ascii="Times New Roman" w:hAnsi="Times New Roman" w:cs="Times New Roman"/>
          <w:b/>
        </w:rPr>
        <w:t xml:space="preserve">Item 1, </w:t>
      </w:r>
      <w:proofErr w:type="spellStart"/>
      <w:r w:rsidRPr="0064191F">
        <w:rPr>
          <w:rFonts w:ascii="Times New Roman" w:hAnsi="Times New Roman" w:cs="Times New Roman"/>
          <w:b/>
        </w:rPr>
        <w:t>Subregulation</w:t>
      </w:r>
      <w:proofErr w:type="spellEnd"/>
      <w:r w:rsidRPr="0064191F">
        <w:rPr>
          <w:rFonts w:ascii="Times New Roman" w:hAnsi="Times New Roman" w:cs="Times New Roman"/>
          <w:b/>
        </w:rPr>
        <w:t xml:space="preserve"> 12(4)-12(6)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Pr="000C2CE3" w:rsidRDefault="00794CF4" w:rsidP="00794CF4">
      <w:pPr>
        <w:rPr>
          <w:rFonts w:ascii="Times New Roman" w:hAnsi="Times New Roman" w:cs="Times New Roman"/>
        </w:rPr>
      </w:pPr>
      <w:r w:rsidRPr="00A05D20">
        <w:rPr>
          <w:rFonts w:ascii="Times New Roman" w:hAnsi="Times New Roman" w:cs="Times New Roman"/>
        </w:rPr>
        <w:t>Regulation 12 provides the time and manner in which the notice of an incident must be given for the purposes of paragraph 107(2</w:t>
      </w:r>
      <w:proofErr w:type="gramStart"/>
      <w:r w:rsidRPr="00A05D20">
        <w:rPr>
          <w:rFonts w:ascii="Times New Roman" w:hAnsi="Times New Roman" w:cs="Times New Roman"/>
        </w:rPr>
        <w:t>)(</w:t>
      </w:r>
      <w:proofErr w:type="gramEnd"/>
      <w:r w:rsidRPr="00A05D20">
        <w:rPr>
          <w:rFonts w:ascii="Times New Roman" w:hAnsi="Times New Roman" w:cs="Times New Roman"/>
        </w:rPr>
        <w:t>a) of the OHS(MI) Act.</w:t>
      </w:r>
      <w:r w:rsidRPr="000C2CE3">
        <w:rPr>
          <w:rFonts w:ascii="Times New Roman" w:hAnsi="Times New Roman" w:cs="Times New Roman"/>
        </w:rPr>
        <w:t xml:space="preserve">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 repeal</w:t>
      </w:r>
      <w:r w:rsidR="000C33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current requirement in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12(4) to provide notice in accordance with Form 6 </w:t>
      </w:r>
      <w:r w:rsidRPr="000C2CE3">
        <w:rPr>
          <w:rFonts w:ascii="Times New Roman" w:hAnsi="Times New Roman" w:cs="Times New Roman"/>
        </w:rPr>
        <w:t>(Incident alert)</w:t>
      </w:r>
      <w:r>
        <w:rPr>
          <w:rFonts w:ascii="Times New Roman" w:hAnsi="Times New Roman" w:cs="Times New Roman"/>
        </w:rPr>
        <w:t xml:space="preserve">. New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12(4) provide</w:t>
      </w:r>
      <w:r w:rsidR="000C33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the notice must:</w:t>
      </w:r>
    </w:p>
    <w:p w:rsidR="00794CF4" w:rsidRDefault="00794CF4" w:rsidP="00794C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in writing</w:t>
      </w:r>
      <w:r w:rsidRPr="005A084D">
        <w:rPr>
          <w:rFonts w:ascii="Times New Roman" w:hAnsi="Times New Roman" w:cs="Times New Roman"/>
        </w:rPr>
        <w:t>; and</w:t>
      </w:r>
    </w:p>
    <w:p w:rsidR="00794CF4" w:rsidRPr="005A084D" w:rsidRDefault="00794CF4" w:rsidP="00794C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084D">
        <w:rPr>
          <w:rFonts w:ascii="Times New Roman" w:hAnsi="Times New Roman" w:cs="Times New Roman"/>
        </w:rPr>
        <w:t>identify the workplace and the operator of the workplace; and</w:t>
      </w:r>
    </w:p>
    <w:p w:rsidR="00794CF4" w:rsidRPr="005A084D" w:rsidRDefault="00794CF4" w:rsidP="00794C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084D">
        <w:rPr>
          <w:rFonts w:ascii="Times New Roman" w:hAnsi="Times New Roman" w:cs="Times New Roman"/>
        </w:rPr>
        <w:t>specify the time of the incident; and</w:t>
      </w:r>
    </w:p>
    <w:p w:rsidR="00794CF4" w:rsidRPr="005A084D" w:rsidRDefault="00794CF4" w:rsidP="00794C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A084D">
        <w:rPr>
          <w:rFonts w:ascii="Times New Roman" w:hAnsi="Times New Roman" w:cs="Times New Roman"/>
        </w:rPr>
        <w:t>identify the location of the workplace at that time; and</w:t>
      </w:r>
    </w:p>
    <w:p w:rsidR="00794CF4" w:rsidRDefault="00794CF4" w:rsidP="00794C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5A084D">
        <w:rPr>
          <w:rFonts w:ascii="Times New Roman" w:hAnsi="Times New Roman" w:cs="Times New Roman"/>
        </w:rPr>
        <w:t>describe</w:t>
      </w:r>
      <w:proofErr w:type="gramEnd"/>
      <w:r w:rsidRPr="005A084D">
        <w:rPr>
          <w:rFonts w:ascii="Times New Roman" w:hAnsi="Times New Roman" w:cs="Times New Roman"/>
        </w:rPr>
        <w:t xml:space="preserve"> the incident.</w:t>
      </w: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12(5) allow</w:t>
      </w:r>
      <w:r w:rsidR="000C33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 operator to include in the notice any other matters it considers relevant. </w:t>
      </w:r>
    </w:p>
    <w:p w:rsidR="00794CF4" w:rsidRPr="005A084D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12(6) prescribe</w:t>
      </w:r>
      <w:r w:rsidR="009321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manner in which notice may be given to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Pr="0064191F" w:rsidRDefault="00794CF4" w:rsidP="00794CF4">
      <w:pPr>
        <w:rPr>
          <w:rFonts w:ascii="Times New Roman" w:hAnsi="Times New Roman" w:cs="Times New Roman"/>
          <w:b/>
        </w:rPr>
      </w:pPr>
      <w:r w:rsidRPr="0064191F">
        <w:rPr>
          <w:rFonts w:ascii="Times New Roman" w:hAnsi="Times New Roman" w:cs="Times New Roman"/>
          <w:b/>
        </w:rPr>
        <w:t xml:space="preserve">Item 2, </w:t>
      </w:r>
      <w:proofErr w:type="spellStart"/>
      <w:r w:rsidRPr="0064191F">
        <w:rPr>
          <w:rFonts w:ascii="Times New Roman" w:hAnsi="Times New Roman" w:cs="Times New Roman"/>
          <w:b/>
        </w:rPr>
        <w:t>Subregulation</w:t>
      </w:r>
      <w:proofErr w:type="spellEnd"/>
      <w:r w:rsidRPr="0064191F">
        <w:rPr>
          <w:rFonts w:ascii="Times New Roman" w:hAnsi="Times New Roman" w:cs="Times New Roman"/>
          <w:b/>
        </w:rPr>
        <w:t xml:space="preserve"> 13(4)-13(6)</w:t>
      </w:r>
    </w:p>
    <w:p w:rsidR="00794CF4" w:rsidRPr="002F131C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 w:rsidRPr="002F131C">
        <w:rPr>
          <w:rFonts w:ascii="Times New Roman" w:hAnsi="Times New Roman" w:cs="Times New Roman"/>
        </w:rPr>
        <w:t>Regulation 13 provides the time and manner in which the report of an incident must be given for the purposes of paragraph 107(2</w:t>
      </w:r>
      <w:proofErr w:type="gramStart"/>
      <w:r w:rsidRPr="002F131C">
        <w:rPr>
          <w:rFonts w:ascii="Times New Roman" w:hAnsi="Times New Roman" w:cs="Times New Roman"/>
        </w:rPr>
        <w:t>)(</w:t>
      </w:r>
      <w:proofErr w:type="gramEnd"/>
      <w:r w:rsidRPr="002F131C">
        <w:rPr>
          <w:rFonts w:ascii="Times New Roman" w:hAnsi="Times New Roman" w:cs="Times New Roman"/>
        </w:rPr>
        <w:t xml:space="preserve">b) of the Act.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 repeal</w:t>
      </w:r>
      <w:r w:rsidR="009321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current requirement to provide a report in accordance </w:t>
      </w:r>
      <w:r w:rsidRPr="002F131C">
        <w:rPr>
          <w:rFonts w:ascii="Times New Roman" w:hAnsi="Times New Roman" w:cs="Times New Roman"/>
        </w:rPr>
        <w:t xml:space="preserve">with Form 7 (Incident report). </w:t>
      </w:r>
      <w:r>
        <w:rPr>
          <w:rFonts w:ascii="Times New Roman" w:hAnsi="Times New Roman" w:cs="Times New Roman"/>
        </w:rPr>
        <w:t xml:space="preserve">New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13(4) provide</w:t>
      </w:r>
      <w:r w:rsidR="009321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the report must: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be in writing;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lastRenderedPageBreak/>
        <w:t>identify the workplace and the operator of the workplace;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specify the time of the incident;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identify the location of the workplace at that time;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specify the activities the workplace is engaged in at that time;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describe the incident;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>set out a list of the consequences of the incident; and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r>
        <w:t xml:space="preserve">if a person was affected by the incident—set out the name, gender, nationality, date of birth and address of the person and describe the effect of the incident on the person; and </w:t>
      </w:r>
    </w:p>
    <w:p w:rsidR="00794CF4" w:rsidRDefault="00794CF4" w:rsidP="00794CF4">
      <w:pPr>
        <w:pStyle w:val="paragraph"/>
        <w:numPr>
          <w:ilvl w:val="0"/>
          <w:numId w:val="10"/>
        </w:numPr>
      </w:pPr>
      <w:proofErr w:type="gramStart"/>
      <w:r>
        <w:t>set</w:t>
      </w:r>
      <w:proofErr w:type="gramEnd"/>
      <w:r>
        <w:t xml:space="preserve"> out the name, position and contact details of the person giving the report.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spellStart"/>
      <w:r>
        <w:rPr>
          <w:rFonts w:ascii="Times New Roman" w:hAnsi="Times New Roman" w:cs="Times New Roman"/>
        </w:rPr>
        <w:t>subregulation</w:t>
      </w:r>
      <w:proofErr w:type="spellEnd"/>
      <w:r>
        <w:rPr>
          <w:rFonts w:ascii="Times New Roman" w:hAnsi="Times New Roman" w:cs="Times New Roman"/>
        </w:rPr>
        <w:t xml:space="preserve"> 13(5) allow</w:t>
      </w:r>
      <w:r w:rsidR="009321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 operator to include in the report any other matters it considers relevant. </w:t>
      </w:r>
    </w:p>
    <w:p w:rsidR="00794CF4" w:rsidRPr="005A084D" w:rsidRDefault="00794CF4" w:rsidP="00794CF4">
      <w:pPr>
        <w:rPr>
          <w:rFonts w:ascii="Times New Roman" w:hAnsi="Times New Roman" w:cs="Times New Roman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FF7976">
        <w:rPr>
          <w:rFonts w:ascii="Times New Roman" w:hAnsi="Times New Roman" w:cs="Times New Roman"/>
        </w:rPr>
        <w:t xml:space="preserve">ew </w:t>
      </w:r>
      <w:proofErr w:type="spellStart"/>
      <w:r w:rsidRPr="00FF7976">
        <w:rPr>
          <w:rFonts w:ascii="Times New Roman" w:hAnsi="Times New Roman" w:cs="Times New Roman"/>
        </w:rPr>
        <w:t>subregulation</w:t>
      </w:r>
      <w:proofErr w:type="spellEnd"/>
      <w:r w:rsidRPr="00FF7976">
        <w:rPr>
          <w:rFonts w:ascii="Times New Roman" w:hAnsi="Times New Roman" w:cs="Times New Roman"/>
        </w:rPr>
        <w:t xml:space="preserve"> 13(6) </w:t>
      </w:r>
      <w:r>
        <w:rPr>
          <w:rFonts w:ascii="Times New Roman" w:hAnsi="Times New Roman" w:cs="Times New Roman"/>
        </w:rPr>
        <w:t>prescribe</w:t>
      </w:r>
      <w:r w:rsidR="009321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manner in which notice may be given to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94CF4" w:rsidRDefault="00794CF4" w:rsidP="00794CF4">
      <w:pPr>
        <w:rPr>
          <w:rFonts w:ascii="Times New Roman" w:hAnsi="Times New Roman" w:cs="Times New Roman"/>
          <w:u w:val="single"/>
        </w:rPr>
      </w:pPr>
    </w:p>
    <w:p w:rsidR="00794CF4" w:rsidRPr="0064191F" w:rsidRDefault="00794CF4" w:rsidP="00794CF4">
      <w:pPr>
        <w:rPr>
          <w:rFonts w:ascii="Times New Roman" w:hAnsi="Times New Roman" w:cs="Times New Roman"/>
          <w:b/>
        </w:rPr>
      </w:pPr>
      <w:r w:rsidRPr="0064191F">
        <w:rPr>
          <w:rFonts w:ascii="Times New Roman" w:hAnsi="Times New Roman" w:cs="Times New Roman"/>
          <w:b/>
        </w:rPr>
        <w:t>Item 3 – Part 5, Regulation 17</w:t>
      </w:r>
    </w:p>
    <w:p w:rsidR="00794CF4" w:rsidRDefault="00794CF4" w:rsidP="00794CF4">
      <w:pPr>
        <w:rPr>
          <w:rFonts w:ascii="Times New Roman" w:hAnsi="Times New Roman" w:cs="Times New Roman"/>
          <w:u w:val="single"/>
        </w:rPr>
      </w:pPr>
    </w:p>
    <w:p w:rsidR="00794CF4" w:rsidRDefault="00794CF4" w:rsidP="00794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 provide</w:t>
      </w:r>
      <w:r w:rsidR="006419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three month transition period during which notice given in accordance with the current regulations </w:t>
      </w:r>
      <w:r w:rsidR="0064191F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taken to meet the new requirements.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Pr="0064191F" w:rsidRDefault="00794CF4" w:rsidP="00794CF4">
      <w:pPr>
        <w:rPr>
          <w:rFonts w:ascii="Times New Roman" w:hAnsi="Times New Roman" w:cs="Times New Roman"/>
          <w:b/>
        </w:rPr>
      </w:pPr>
      <w:r w:rsidRPr="0064191F">
        <w:rPr>
          <w:rFonts w:ascii="Times New Roman" w:hAnsi="Times New Roman" w:cs="Times New Roman"/>
          <w:b/>
        </w:rPr>
        <w:t xml:space="preserve">Item 4 </w:t>
      </w:r>
    </w:p>
    <w:p w:rsidR="00794CF4" w:rsidRDefault="00794CF4" w:rsidP="00794CF4">
      <w:pPr>
        <w:rPr>
          <w:rFonts w:ascii="Times New Roman" w:hAnsi="Times New Roman" w:cs="Times New Roman"/>
        </w:rPr>
      </w:pPr>
    </w:p>
    <w:p w:rsidR="00794CF4" w:rsidRPr="00070F38" w:rsidRDefault="001C1C4D" w:rsidP="00794CF4">
      <w:pPr>
        <w:rPr>
          <w:rFonts w:ascii="Times New Roman" w:eastAsia="Times New Roman" w:hAnsi="Times New Roman" w:cs="Times New Roman"/>
          <w:b/>
          <w:lang w:eastAsia="en-AU"/>
        </w:rPr>
      </w:pPr>
      <w:r>
        <w:rPr>
          <w:rFonts w:ascii="Times New Roman" w:hAnsi="Times New Roman" w:cs="Times New Roman"/>
        </w:rPr>
        <w:t>Item 4</w:t>
      </w:r>
      <w:r w:rsidR="00794CF4">
        <w:rPr>
          <w:rFonts w:ascii="Times New Roman" w:hAnsi="Times New Roman" w:cs="Times New Roman"/>
        </w:rPr>
        <w:t xml:space="preserve"> repeal</w:t>
      </w:r>
      <w:r w:rsidR="00413942">
        <w:rPr>
          <w:rFonts w:ascii="Times New Roman" w:hAnsi="Times New Roman" w:cs="Times New Roman"/>
        </w:rPr>
        <w:t>s</w:t>
      </w:r>
      <w:r w:rsidR="00794CF4">
        <w:rPr>
          <w:rFonts w:ascii="Times New Roman" w:hAnsi="Times New Roman" w:cs="Times New Roman"/>
        </w:rPr>
        <w:t xml:space="preserve"> Forms 6 and 7. </w:t>
      </w: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 w:rsidP="0029170D">
      <w:pPr>
        <w:rPr>
          <w:rFonts w:ascii="Times New Roman" w:hAnsi="Times New Roman" w:cs="Times New Roman"/>
        </w:rPr>
      </w:pPr>
    </w:p>
    <w:p w:rsidR="00335995" w:rsidRDefault="00335995">
      <w:pPr>
        <w:spacing w:after="200" w:line="276" w:lineRule="auto"/>
        <w:rPr>
          <w:rFonts w:ascii="Times New Roman" w:eastAsia="Times New Roman" w:hAnsi="Times New Roman" w:cs="Times New Roman"/>
          <w:lang w:eastAsia="en-AU"/>
        </w:rPr>
      </w:pPr>
    </w:p>
    <w:p w:rsidR="00B53AFD" w:rsidRDefault="00335995" w:rsidP="00732974">
      <w:pPr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  <w:r>
        <w:rPr>
          <w:rFonts w:ascii="Times New Roman" w:eastAsia="Times New Roman" w:hAnsi="Times New Roman" w:cs="Times New Roman"/>
          <w:lang w:eastAsia="en-AU"/>
        </w:rPr>
        <w:tab/>
      </w:r>
    </w:p>
    <w:p w:rsidR="00B53AFD" w:rsidRDefault="00B53AFD" w:rsidP="00732974">
      <w:pPr>
        <w:rPr>
          <w:rFonts w:ascii="Times New Roman" w:eastAsia="Times New Roman" w:hAnsi="Times New Roman" w:cs="Times New Roman"/>
          <w:lang w:eastAsia="en-AU"/>
        </w:rPr>
      </w:pPr>
    </w:p>
    <w:p w:rsidR="00B53AFD" w:rsidRDefault="00B53AFD" w:rsidP="00732974">
      <w:pPr>
        <w:rPr>
          <w:rFonts w:ascii="Times New Roman" w:eastAsia="Times New Roman" w:hAnsi="Times New Roman" w:cs="Times New Roman"/>
          <w:lang w:eastAsia="en-AU"/>
        </w:rPr>
      </w:pPr>
    </w:p>
    <w:p w:rsidR="00B53AFD" w:rsidRDefault="00B53AFD" w:rsidP="00732974">
      <w:pPr>
        <w:rPr>
          <w:rFonts w:ascii="Times New Roman" w:eastAsia="Times New Roman" w:hAnsi="Times New Roman" w:cs="Times New Roman"/>
          <w:lang w:eastAsia="en-AU"/>
        </w:rPr>
      </w:pPr>
    </w:p>
    <w:p w:rsidR="00BB0E76" w:rsidRDefault="00335995" w:rsidP="00B53AFD">
      <w:pPr>
        <w:ind w:left="6480" w:firstLine="720"/>
        <w:rPr>
          <w:rFonts w:ascii="Times New Roman" w:eastAsia="Times New Roman" w:hAnsi="Times New Roman" w:cs="Times New Roman"/>
          <w:u w:val="single"/>
          <w:lang w:eastAsia="en-AU"/>
        </w:rPr>
      </w:pPr>
      <w:r w:rsidRPr="00335995">
        <w:rPr>
          <w:rFonts w:ascii="Times New Roman" w:eastAsia="Times New Roman" w:hAnsi="Times New Roman" w:cs="Times New Roman"/>
          <w:u w:val="single"/>
          <w:lang w:eastAsia="en-AU"/>
        </w:rPr>
        <w:lastRenderedPageBreak/>
        <w:t>Attachment B</w:t>
      </w:r>
    </w:p>
    <w:p w:rsidR="00335995" w:rsidRDefault="00335995" w:rsidP="00BB0E76">
      <w:pPr>
        <w:jc w:val="center"/>
        <w:rPr>
          <w:rFonts w:ascii="Times New Roman" w:hAnsi="Times New Roman" w:cs="Times New Roman"/>
          <w:b/>
          <w:u w:val="single"/>
        </w:rPr>
      </w:pPr>
    </w:p>
    <w:p w:rsidR="00BB0E76" w:rsidRPr="008D37CB" w:rsidRDefault="00BB0E76" w:rsidP="00BB0E76">
      <w:pPr>
        <w:jc w:val="center"/>
        <w:rPr>
          <w:rFonts w:ascii="Times New Roman" w:hAnsi="Times New Roman" w:cs="Times New Roman"/>
          <w:b/>
          <w:u w:val="single"/>
        </w:rPr>
      </w:pPr>
      <w:r w:rsidRPr="008D37CB">
        <w:rPr>
          <w:rFonts w:ascii="Times New Roman" w:hAnsi="Times New Roman" w:cs="Times New Roman"/>
          <w:b/>
          <w:u w:val="single"/>
        </w:rPr>
        <w:t>Statement of Compatibility with Human Rights</w:t>
      </w:r>
    </w:p>
    <w:p w:rsidR="00BB0E76" w:rsidRDefault="00BB0E76" w:rsidP="00BB0E76">
      <w:pPr>
        <w:jc w:val="center"/>
        <w:rPr>
          <w:rFonts w:ascii="Times New Roman" w:hAnsi="Times New Roman" w:cs="Times New Roman"/>
          <w:i/>
        </w:rPr>
      </w:pPr>
    </w:p>
    <w:p w:rsidR="00BB0E76" w:rsidRPr="0036779E" w:rsidRDefault="00BB0E76" w:rsidP="00BB0E76">
      <w:pPr>
        <w:jc w:val="center"/>
        <w:rPr>
          <w:rFonts w:ascii="Times New Roman" w:hAnsi="Times New Roman" w:cs="Times New Roman"/>
        </w:rPr>
      </w:pPr>
      <w:r w:rsidRPr="0036779E">
        <w:rPr>
          <w:rFonts w:ascii="Times New Roman" w:hAnsi="Times New Roman" w:cs="Times New Roman"/>
          <w:i/>
        </w:rPr>
        <w:t>Prepared in accordance with Part 3 of the Human Rights (Parliamentary Scrutiny) Act 2011</w:t>
      </w:r>
    </w:p>
    <w:p w:rsidR="00BB0E76" w:rsidRDefault="00BB0E76" w:rsidP="00BB0E76">
      <w:pPr>
        <w:jc w:val="center"/>
        <w:rPr>
          <w:rFonts w:ascii="Times New Roman" w:hAnsi="Times New Roman" w:cs="Times New Roman"/>
        </w:rPr>
      </w:pPr>
    </w:p>
    <w:p w:rsidR="00BB0E76" w:rsidRPr="00BB0E76" w:rsidRDefault="00BB0E76" w:rsidP="00BB0E76">
      <w:pPr>
        <w:jc w:val="center"/>
        <w:rPr>
          <w:rFonts w:ascii="Times New Roman" w:hAnsi="Times New Roman" w:cs="Times New Roman"/>
          <w:b/>
          <w:i/>
        </w:rPr>
      </w:pPr>
      <w:r w:rsidRPr="00BB0E76">
        <w:rPr>
          <w:rFonts w:ascii="Times New Roman" w:hAnsi="Times New Roman" w:cs="Times New Roman"/>
          <w:b/>
          <w:i/>
        </w:rPr>
        <w:t>Occupational Health and Safety (Maritime Industry) Amendment (Incident Notification and Reporting) Regulations 2017</w:t>
      </w:r>
    </w:p>
    <w:p w:rsidR="00BB0E76" w:rsidRDefault="00BB0E76" w:rsidP="00BB0E76">
      <w:pPr>
        <w:jc w:val="center"/>
        <w:rPr>
          <w:rFonts w:ascii="Times New Roman" w:hAnsi="Times New Roman" w:cs="Times New Roman"/>
          <w:b/>
        </w:rPr>
      </w:pPr>
    </w:p>
    <w:p w:rsidR="00BB0E76" w:rsidRDefault="00BB0E76" w:rsidP="00BB0E76">
      <w:pPr>
        <w:rPr>
          <w:rFonts w:ascii="Times New Roman" w:hAnsi="Times New Roman" w:cs="Times New Roman"/>
        </w:rPr>
      </w:pPr>
      <w:r w:rsidRPr="0036779E">
        <w:rPr>
          <w:rFonts w:ascii="Times New Roman" w:hAnsi="Times New Roman" w:cs="Times New Roman"/>
        </w:rPr>
        <w:t xml:space="preserve">This Legislative Instrument is compatible with the human rights and freedoms recognised or declared in the international instruments listed in section 3 of the </w:t>
      </w:r>
      <w:r w:rsidRPr="0036779E">
        <w:rPr>
          <w:rFonts w:ascii="Times New Roman" w:hAnsi="Times New Roman" w:cs="Times New Roman"/>
          <w:i/>
        </w:rPr>
        <w:t>Human Rights (Parliamentary Scrutiny) Act</w:t>
      </w:r>
      <w:r>
        <w:rPr>
          <w:rFonts w:ascii="Times New Roman" w:hAnsi="Times New Roman" w:cs="Times New Roman"/>
          <w:i/>
        </w:rPr>
        <w:t> </w:t>
      </w:r>
      <w:r w:rsidRPr="0036779E">
        <w:rPr>
          <w:rFonts w:ascii="Times New Roman" w:hAnsi="Times New Roman" w:cs="Times New Roman"/>
          <w:i/>
        </w:rPr>
        <w:t>2011</w:t>
      </w:r>
      <w:r w:rsidRPr="0036779E">
        <w:rPr>
          <w:rFonts w:ascii="Times New Roman" w:hAnsi="Times New Roman" w:cs="Times New Roman"/>
        </w:rPr>
        <w:t>.</w:t>
      </w:r>
    </w:p>
    <w:p w:rsidR="00BB0E76" w:rsidRDefault="00BB0E76" w:rsidP="00BB0E76">
      <w:pPr>
        <w:rPr>
          <w:rFonts w:ascii="Times New Roman" w:hAnsi="Times New Roman" w:cs="Times New Roman"/>
        </w:rPr>
      </w:pPr>
    </w:p>
    <w:p w:rsidR="002A4AE8" w:rsidRPr="00CB4218" w:rsidRDefault="00841D63" w:rsidP="00CB4218">
      <w:pPr>
        <w:spacing w:after="2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Overview of the Legislative Instrument</w:t>
      </w:r>
    </w:p>
    <w:p w:rsidR="00BE018E" w:rsidRDefault="0046018A" w:rsidP="0046018A">
      <w:pPr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B2743B">
        <w:rPr>
          <w:rFonts w:ascii="Times New Roman" w:hAnsi="Times New Roman" w:cs="Times New Roman"/>
          <w:i/>
        </w:rPr>
        <w:t>Occupational Health and Safety (Maritime Industry) A</w:t>
      </w:r>
      <w:r>
        <w:rPr>
          <w:rFonts w:ascii="Times New Roman" w:hAnsi="Times New Roman" w:cs="Times New Roman"/>
          <w:i/>
        </w:rPr>
        <w:t xml:space="preserve">mendment (Incident Notification </w:t>
      </w:r>
      <w:r w:rsidRPr="00B2743B">
        <w:rPr>
          <w:rFonts w:ascii="Times New Roman" w:hAnsi="Times New Roman" w:cs="Times New Roman"/>
          <w:i/>
        </w:rPr>
        <w:t>and Reporting) Regulations 2017</w:t>
      </w:r>
      <w:r>
        <w:rPr>
          <w:rFonts w:ascii="Times New Roman" w:hAnsi="Times New Roman" w:cs="Times New Roman"/>
        </w:rPr>
        <w:t xml:space="preserve"> (the Regulations) amend 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>MI) Regulations to enable the Australian Maritime Safety Authority (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) to streamline the incident notification and reporting obligations of maritime operators. </w:t>
      </w:r>
    </w:p>
    <w:p w:rsidR="0046018A" w:rsidRDefault="0046018A" w:rsidP="0046018A">
      <w:pPr>
        <w:ind w:right="91"/>
        <w:rPr>
          <w:rFonts w:ascii="Times New Roman" w:hAnsi="Times New Roman" w:cs="Times New Roman"/>
        </w:rPr>
      </w:pPr>
    </w:p>
    <w:p w:rsidR="0046018A" w:rsidRPr="003A5B16" w:rsidRDefault="0046018A" w:rsidP="0046018A">
      <w:pPr>
        <w:ind w:right="91"/>
        <w:rPr>
          <w:rFonts w:ascii="Times New Roman" w:hAnsi="Times New Roman" w:cs="Times New Roman"/>
        </w:rPr>
      </w:pPr>
      <w:r w:rsidRPr="00333BE8">
        <w:rPr>
          <w:rFonts w:ascii="Times New Roman" w:hAnsi="Times New Roman" w:cs="Times New Roman"/>
        </w:rPr>
        <w:t xml:space="preserve">Obligations to notify </w:t>
      </w:r>
      <w:proofErr w:type="spellStart"/>
      <w:r w:rsidRPr="00333BE8">
        <w:rPr>
          <w:rFonts w:ascii="Times New Roman" w:hAnsi="Times New Roman" w:cs="Times New Roman"/>
        </w:rPr>
        <w:t>AMSA</w:t>
      </w:r>
      <w:proofErr w:type="spellEnd"/>
      <w:r w:rsidRPr="00333BE8">
        <w:rPr>
          <w:rFonts w:ascii="Times New Roman" w:hAnsi="Times New Roman" w:cs="Times New Roman"/>
        </w:rPr>
        <w:t xml:space="preserve"> of safety incidents may arise under various statutes depending on the nature of a vessel’s operations at the time of the incident.</w:t>
      </w:r>
      <w:r>
        <w:rPr>
          <w:rFonts w:ascii="Times New Roman" w:hAnsi="Times New Roman" w:cs="Times New Roman"/>
        </w:rPr>
        <w:t xml:space="preserve"> Separate forms are currently used for </w:t>
      </w:r>
      <w:r w:rsidRPr="00333BE8"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</w:t>
      </w:r>
      <w:r w:rsidRPr="00333BE8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 xml:space="preserve"> and other relevant laws, including</w:t>
      </w:r>
      <w:r w:rsidRPr="00333BE8">
        <w:rPr>
          <w:rFonts w:ascii="Times New Roman" w:hAnsi="Times New Roman" w:cs="Times New Roman"/>
        </w:rPr>
        <w:t xml:space="preserve"> the </w:t>
      </w:r>
      <w:r w:rsidRPr="00333BE8">
        <w:rPr>
          <w:rFonts w:ascii="Times New Roman" w:hAnsi="Times New Roman" w:cs="Times New Roman"/>
          <w:i/>
        </w:rPr>
        <w:t>Navigation Act 2012</w:t>
      </w:r>
      <w:r w:rsidRPr="00333BE8">
        <w:rPr>
          <w:rFonts w:ascii="Times New Roman" w:hAnsi="Times New Roman" w:cs="Times New Roman"/>
        </w:rPr>
        <w:t xml:space="preserve">, </w:t>
      </w:r>
      <w:r w:rsidRPr="00333BE8">
        <w:rPr>
          <w:rFonts w:ascii="Times New Roman" w:hAnsi="Times New Roman" w:cs="Times New Roman"/>
          <w:i/>
        </w:rPr>
        <w:t xml:space="preserve">Maritime Safety (Domestic Commercial Vessel) National Law Act 2012 </w:t>
      </w:r>
      <w:r w:rsidRPr="00333BE8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Work Health and Safety Act 2011.</w:t>
      </w:r>
    </w:p>
    <w:p w:rsidR="0046018A" w:rsidRDefault="0046018A" w:rsidP="0046018A">
      <w:pPr>
        <w:ind w:right="91"/>
        <w:rPr>
          <w:rFonts w:ascii="Times New Roman" w:hAnsi="Times New Roman" w:cs="Times New Roman"/>
        </w:rPr>
      </w:pPr>
    </w:p>
    <w:p w:rsidR="0046018A" w:rsidRDefault="0046018A" w:rsidP="0046018A">
      <w:pPr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Regulations repeal the current forms prescribed for the purpose of the </w:t>
      </w:r>
      <w:proofErr w:type="gramStart"/>
      <w:r>
        <w:rPr>
          <w:rFonts w:ascii="Times New Roman" w:hAnsi="Times New Roman" w:cs="Times New Roman"/>
        </w:rPr>
        <w:t>OHS(</w:t>
      </w:r>
      <w:proofErr w:type="gramEnd"/>
      <w:r>
        <w:rPr>
          <w:rFonts w:ascii="Times New Roman" w:hAnsi="Times New Roman" w:cs="Times New Roman"/>
        </w:rPr>
        <w:t xml:space="preserve">MI) Act, and include a list of information operators must include when reporting on or notifying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 of an incident instead. This will enable </w:t>
      </w:r>
      <w:proofErr w:type="spellStart"/>
      <w:r>
        <w:rPr>
          <w:rFonts w:ascii="Times New Roman" w:hAnsi="Times New Roman" w:cs="Times New Roman"/>
        </w:rPr>
        <w:t>AMSA</w:t>
      </w:r>
      <w:proofErr w:type="spellEnd"/>
      <w:r>
        <w:rPr>
          <w:rFonts w:ascii="Times New Roman" w:hAnsi="Times New Roman" w:cs="Times New Roman"/>
        </w:rPr>
        <w:t xml:space="preserve"> to develop a single form for all health and safety notifications, and remove the need for maritime operators to determine which Act applied to them at the time of the incident.</w:t>
      </w:r>
    </w:p>
    <w:p w:rsidR="0046018A" w:rsidRDefault="0046018A" w:rsidP="002A4AE8">
      <w:pPr>
        <w:ind w:right="91"/>
        <w:rPr>
          <w:rFonts w:ascii="Times New Roman" w:hAnsi="Times New Roman" w:cs="Times New Roman"/>
        </w:rPr>
      </w:pPr>
    </w:p>
    <w:p w:rsidR="00841D63" w:rsidRPr="00A922DF" w:rsidRDefault="00841D63" w:rsidP="00841D63">
      <w:pPr>
        <w:spacing w:after="220"/>
        <w:rPr>
          <w:rFonts w:ascii="Times New Roman" w:hAnsi="Times New Roman" w:cs="Times New Roman"/>
          <w:b/>
        </w:rPr>
      </w:pPr>
      <w:r w:rsidRPr="00A922DF">
        <w:rPr>
          <w:rFonts w:ascii="Times New Roman" w:hAnsi="Times New Roman" w:cs="Times New Roman"/>
          <w:b/>
        </w:rPr>
        <w:t>Human rights implications</w:t>
      </w:r>
    </w:p>
    <w:p w:rsidR="00841D63" w:rsidRPr="00872CFA" w:rsidRDefault="00AD6448" w:rsidP="00841D6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Regulations engage the </w:t>
      </w:r>
      <w:r w:rsidR="00841D63" w:rsidRPr="00872CFA">
        <w:rPr>
          <w:rFonts w:ascii="Times New Roman" w:eastAsia="Times New Roman" w:hAnsi="Times New Roman" w:cs="Times New Roman"/>
        </w:rPr>
        <w:t xml:space="preserve">right to safe and healthy working conditions </w:t>
      </w:r>
      <w:r>
        <w:rPr>
          <w:rFonts w:ascii="Times New Roman" w:eastAsia="Times New Roman" w:hAnsi="Times New Roman" w:cs="Times New Roman"/>
        </w:rPr>
        <w:t xml:space="preserve">which </w:t>
      </w:r>
      <w:r w:rsidR="00841D63" w:rsidRPr="00872CFA">
        <w:rPr>
          <w:rFonts w:ascii="Times New Roman" w:eastAsia="Times New Roman" w:hAnsi="Times New Roman" w:cs="Times New Roman"/>
        </w:rPr>
        <w:t xml:space="preserve">is part of the set of interdependent rights relating to work and conditions of work set out in articles 6, 7 and 8 of the </w:t>
      </w:r>
      <w:r w:rsidR="00841D63" w:rsidRPr="00872CFA">
        <w:rPr>
          <w:rFonts w:ascii="Times New Roman" w:eastAsia="Times New Roman" w:hAnsi="Times New Roman" w:cs="Times New Roman"/>
          <w:i/>
        </w:rPr>
        <w:t>International Convention on Economic Social and Cultural Rights</w:t>
      </w:r>
      <w:r w:rsidR="00841D63" w:rsidRPr="00872CF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41D63" w:rsidRPr="00872CFA">
        <w:rPr>
          <w:rFonts w:ascii="Times New Roman" w:eastAsia="Times New Roman" w:hAnsi="Times New Roman" w:cs="Times New Roman"/>
        </w:rPr>
        <w:t>ICESCR</w:t>
      </w:r>
      <w:proofErr w:type="spellEnd"/>
      <w:r w:rsidR="00841D63" w:rsidRPr="00872CFA">
        <w:rPr>
          <w:rFonts w:ascii="Times New Roman" w:eastAsia="Times New Roman" w:hAnsi="Times New Roman" w:cs="Times New Roman"/>
        </w:rPr>
        <w:t xml:space="preserve">). Article 7(b) of </w:t>
      </w:r>
      <w:proofErr w:type="spellStart"/>
      <w:r w:rsidR="00841D63" w:rsidRPr="00872CFA">
        <w:rPr>
          <w:rFonts w:ascii="Times New Roman" w:eastAsia="Times New Roman" w:hAnsi="Times New Roman" w:cs="Times New Roman"/>
        </w:rPr>
        <w:t>ICESCR</w:t>
      </w:r>
      <w:proofErr w:type="spellEnd"/>
      <w:r w:rsidR="00841D63" w:rsidRPr="00872CFA">
        <w:rPr>
          <w:rFonts w:ascii="Times New Roman" w:eastAsia="Times New Roman" w:hAnsi="Times New Roman" w:cs="Times New Roman"/>
        </w:rPr>
        <w:t xml:space="preserve"> requires the States Parties to recognise the right of everyone to safe and healthy working conditions. </w:t>
      </w:r>
    </w:p>
    <w:p w:rsidR="00192930" w:rsidRPr="00872CFA" w:rsidRDefault="00841D63" w:rsidP="00192930">
      <w:pPr>
        <w:spacing w:after="240"/>
        <w:rPr>
          <w:rFonts w:ascii="Times New Roman" w:eastAsia="Times New Roman" w:hAnsi="Times New Roman" w:cs="Times New Roman"/>
        </w:rPr>
      </w:pPr>
      <w:r w:rsidRPr="00872CFA">
        <w:rPr>
          <w:rFonts w:ascii="Times New Roman" w:eastAsia="Times New Roman" w:hAnsi="Times New Roman" w:cs="Times New Roman"/>
        </w:rPr>
        <w:t xml:space="preserve">Australia principally complies with this obligation through a system of Commonwealth, state and territory work health and safety laws, which have been harmonised across the majority of jurisdictions through the adoption of model laws. The </w:t>
      </w:r>
      <w:r w:rsidR="00A7302A" w:rsidRPr="00872CFA">
        <w:rPr>
          <w:rFonts w:ascii="Times New Roman" w:eastAsia="Times New Roman" w:hAnsi="Times New Roman" w:cs="Times New Roman"/>
        </w:rPr>
        <w:t>Act</w:t>
      </w:r>
      <w:r w:rsidR="00192930" w:rsidRPr="00872CFA">
        <w:rPr>
          <w:rFonts w:ascii="Times New Roman" w:eastAsia="Times New Roman" w:hAnsi="Times New Roman" w:cs="Times New Roman"/>
        </w:rPr>
        <w:t xml:space="preserve"> and the</w:t>
      </w:r>
      <w:r w:rsidRPr="00872CFA">
        <w:rPr>
          <w:rFonts w:ascii="Times New Roman" w:eastAsia="Times New Roman" w:hAnsi="Times New Roman" w:cs="Times New Roman"/>
        </w:rPr>
        <w:t xml:space="preserve"> </w:t>
      </w:r>
      <w:proofErr w:type="gramStart"/>
      <w:r w:rsidR="00192930" w:rsidRPr="00872CFA">
        <w:rPr>
          <w:rFonts w:ascii="Times New Roman" w:eastAsia="Times New Roman" w:hAnsi="Times New Roman" w:cs="Times New Roman"/>
        </w:rPr>
        <w:t>OHS(</w:t>
      </w:r>
      <w:proofErr w:type="gramEnd"/>
      <w:r w:rsidR="00192930" w:rsidRPr="00872CFA">
        <w:rPr>
          <w:rFonts w:ascii="Times New Roman" w:eastAsia="Times New Roman" w:hAnsi="Times New Roman" w:cs="Times New Roman"/>
        </w:rPr>
        <w:t>MI) Regulations represent</w:t>
      </w:r>
      <w:r w:rsidRPr="00872CFA">
        <w:rPr>
          <w:rFonts w:ascii="Times New Roman" w:eastAsia="Times New Roman" w:hAnsi="Times New Roman" w:cs="Times New Roman"/>
        </w:rPr>
        <w:t xml:space="preserve"> work health and safety laws for a defined part of the maritime industry. </w:t>
      </w:r>
    </w:p>
    <w:p w:rsidR="00692085" w:rsidRDefault="0046018A" w:rsidP="00D05CEA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outlined above th</w:t>
      </w:r>
      <w:r w:rsidR="00872CFA" w:rsidRPr="00872CFA">
        <w:rPr>
          <w:rFonts w:ascii="Times New Roman" w:eastAsia="Times New Roman" w:hAnsi="Times New Roman" w:cs="Times New Roman"/>
        </w:rPr>
        <w:t xml:space="preserve">e </w:t>
      </w:r>
      <w:r w:rsidR="00C8669D">
        <w:rPr>
          <w:rFonts w:ascii="Times New Roman" w:eastAsia="Times New Roman" w:hAnsi="Times New Roman" w:cs="Times New Roman"/>
        </w:rPr>
        <w:t>R</w:t>
      </w:r>
      <w:r w:rsidR="00594A82" w:rsidRPr="00872CFA">
        <w:rPr>
          <w:rFonts w:ascii="Times New Roman" w:eastAsia="Times New Roman" w:hAnsi="Times New Roman" w:cs="Times New Roman"/>
        </w:rPr>
        <w:t xml:space="preserve">egulations </w:t>
      </w:r>
      <w:r>
        <w:rPr>
          <w:rFonts w:ascii="Times New Roman" w:eastAsia="Times New Roman" w:hAnsi="Times New Roman" w:cs="Times New Roman"/>
        </w:rPr>
        <w:t xml:space="preserve">enable </w:t>
      </w:r>
      <w:proofErr w:type="spellStart"/>
      <w:r>
        <w:rPr>
          <w:rFonts w:ascii="Times New Roman" w:eastAsia="Times New Roman" w:hAnsi="Times New Roman" w:cs="Times New Roman"/>
        </w:rPr>
        <w:t>AMSA</w:t>
      </w:r>
      <w:proofErr w:type="spellEnd"/>
      <w:r>
        <w:rPr>
          <w:rFonts w:ascii="Times New Roman" w:eastAsia="Times New Roman" w:hAnsi="Times New Roman" w:cs="Times New Roman"/>
        </w:rPr>
        <w:t xml:space="preserve"> to develop a single form for all health and safety notifications and reporting to </w:t>
      </w:r>
      <w:r w:rsidR="00CB4218">
        <w:rPr>
          <w:rFonts w:ascii="Times New Roman" w:eastAsia="Times New Roman" w:hAnsi="Times New Roman" w:cs="Times New Roman"/>
        </w:rPr>
        <w:t>streamlin</w:t>
      </w:r>
      <w:r>
        <w:rPr>
          <w:rFonts w:ascii="Times New Roman" w:eastAsia="Times New Roman" w:hAnsi="Times New Roman" w:cs="Times New Roman"/>
        </w:rPr>
        <w:t>e</w:t>
      </w:r>
      <w:r w:rsidR="00CB42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 process</w:t>
      </w:r>
      <w:r w:rsidR="00112E0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112E07">
        <w:rPr>
          <w:rFonts w:ascii="Times New Roman" w:eastAsia="Times New Roman" w:hAnsi="Times New Roman" w:cs="Times New Roman"/>
        </w:rPr>
        <w:t xml:space="preserve">This will make </w:t>
      </w:r>
      <w:r w:rsidR="00CB4218">
        <w:rPr>
          <w:rFonts w:ascii="Times New Roman" w:eastAsia="Times New Roman" w:hAnsi="Times New Roman" w:cs="Times New Roman"/>
        </w:rPr>
        <w:t xml:space="preserve">it easier for maritime operators to notify and report incidents </w:t>
      </w:r>
      <w:r w:rsidR="00112E07">
        <w:rPr>
          <w:rFonts w:ascii="Times New Roman" w:eastAsia="Times New Roman" w:hAnsi="Times New Roman" w:cs="Times New Roman"/>
        </w:rPr>
        <w:t xml:space="preserve">and </w:t>
      </w:r>
      <w:r w:rsidR="00446658">
        <w:rPr>
          <w:rFonts w:ascii="Times New Roman" w:eastAsia="Times New Roman" w:hAnsi="Times New Roman" w:cs="Times New Roman"/>
        </w:rPr>
        <w:t xml:space="preserve">allow </w:t>
      </w:r>
      <w:proofErr w:type="spellStart"/>
      <w:r w:rsidR="00446658">
        <w:rPr>
          <w:rFonts w:ascii="Times New Roman" w:eastAsia="Times New Roman" w:hAnsi="Times New Roman" w:cs="Times New Roman"/>
        </w:rPr>
        <w:t>AMSA</w:t>
      </w:r>
      <w:proofErr w:type="spellEnd"/>
      <w:r w:rsidR="00446658">
        <w:rPr>
          <w:rFonts w:ascii="Times New Roman" w:eastAsia="Times New Roman" w:hAnsi="Times New Roman" w:cs="Times New Roman"/>
        </w:rPr>
        <w:t xml:space="preserve"> to </w:t>
      </w:r>
      <w:r w:rsidR="004D64F3" w:rsidRPr="00872CFA">
        <w:rPr>
          <w:rFonts w:ascii="Times New Roman" w:eastAsia="Times New Roman" w:hAnsi="Times New Roman" w:cs="Times New Roman"/>
        </w:rPr>
        <w:t>report safety trends with improved accuracy</w:t>
      </w:r>
      <w:r w:rsidR="00112E07">
        <w:rPr>
          <w:rFonts w:ascii="Times New Roman" w:eastAsia="Times New Roman" w:hAnsi="Times New Roman" w:cs="Times New Roman"/>
        </w:rPr>
        <w:t xml:space="preserve">, improving work health and safety outcomes. </w:t>
      </w:r>
      <w:r w:rsidR="00070CC6" w:rsidRPr="00872CFA">
        <w:rPr>
          <w:rFonts w:ascii="Times New Roman" w:eastAsia="Times New Roman" w:hAnsi="Times New Roman" w:cs="Times New Roman"/>
        </w:rPr>
        <w:t xml:space="preserve">As such, the </w:t>
      </w:r>
      <w:r w:rsidR="00112E07">
        <w:rPr>
          <w:rFonts w:ascii="Times New Roman" w:eastAsia="Times New Roman" w:hAnsi="Times New Roman" w:cs="Times New Roman"/>
        </w:rPr>
        <w:t>R</w:t>
      </w:r>
      <w:r w:rsidR="00070CC6" w:rsidRPr="00872CFA">
        <w:rPr>
          <w:rFonts w:ascii="Times New Roman" w:eastAsia="Times New Roman" w:hAnsi="Times New Roman" w:cs="Times New Roman"/>
        </w:rPr>
        <w:t xml:space="preserve">egulations </w:t>
      </w:r>
      <w:r w:rsidR="004D64F3" w:rsidRPr="00872CFA">
        <w:rPr>
          <w:rFonts w:ascii="Times New Roman" w:eastAsia="Times New Roman" w:hAnsi="Times New Roman" w:cs="Times New Roman"/>
        </w:rPr>
        <w:t>are</w:t>
      </w:r>
      <w:r w:rsidR="006D5BFC" w:rsidRPr="00872CFA">
        <w:rPr>
          <w:rFonts w:ascii="Times New Roman" w:eastAsia="Times New Roman" w:hAnsi="Times New Roman" w:cs="Times New Roman"/>
        </w:rPr>
        <w:t xml:space="preserve"> compatible with and promote</w:t>
      </w:r>
      <w:r w:rsidR="00070CC6" w:rsidRPr="00872CFA">
        <w:rPr>
          <w:rFonts w:ascii="Times New Roman" w:eastAsia="Times New Roman" w:hAnsi="Times New Roman" w:cs="Times New Roman"/>
        </w:rPr>
        <w:t xml:space="preserve"> the right to safe and healthy working conditions.</w:t>
      </w:r>
      <w:r w:rsidR="00070CC6">
        <w:rPr>
          <w:rFonts w:ascii="Times New Roman" w:eastAsia="Times New Roman" w:hAnsi="Times New Roman" w:cs="Times New Roman"/>
        </w:rPr>
        <w:t xml:space="preserve"> </w:t>
      </w:r>
    </w:p>
    <w:p w:rsidR="00CB4218" w:rsidRPr="002D1D8B" w:rsidRDefault="00CB4218" w:rsidP="00CB4218">
      <w:pPr>
        <w:keepNext/>
        <w:spacing w:after="220"/>
        <w:rPr>
          <w:rFonts w:ascii="Times New Roman" w:hAnsi="Times New Roman" w:cs="Times New Roman"/>
          <w:b/>
        </w:rPr>
      </w:pPr>
      <w:r w:rsidRPr="002D1D8B">
        <w:rPr>
          <w:rFonts w:ascii="Times New Roman" w:hAnsi="Times New Roman" w:cs="Times New Roman"/>
          <w:b/>
        </w:rPr>
        <w:t>Conclusion</w:t>
      </w:r>
    </w:p>
    <w:p w:rsidR="006D06C8" w:rsidRPr="00BB0E76" w:rsidRDefault="00CB4218" w:rsidP="006D06C8">
      <w:pPr>
        <w:rPr>
          <w:rFonts w:ascii="Times New Roman" w:hAnsi="Times New Roman" w:cs="Times New Roman"/>
          <w:b/>
        </w:rPr>
      </w:pPr>
      <w:r w:rsidRPr="002D1D8B">
        <w:rPr>
          <w:rFonts w:ascii="Times New Roman" w:hAnsi="Times New Roman" w:cs="Times New Roman"/>
        </w:rPr>
        <w:t>Th</w:t>
      </w:r>
      <w:r w:rsidR="00112E07">
        <w:rPr>
          <w:rFonts w:ascii="Times New Roman" w:hAnsi="Times New Roman" w:cs="Times New Roman"/>
        </w:rPr>
        <w:t>e Regulations are c</w:t>
      </w:r>
      <w:r w:rsidR="003155BE">
        <w:rPr>
          <w:rFonts w:ascii="Times New Roman" w:hAnsi="Times New Roman" w:cs="Times New Roman"/>
        </w:rPr>
        <w:t xml:space="preserve">ompatible </w:t>
      </w:r>
      <w:r w:rsidRPr="002D1D8B">
        <w:rPr>
          <w:rFonts w:ascii="Times New Roman" w:hAnsi="Times New Roman" w:cs="Times New Roman"/>
        </w:rPr>
        <w:t>with human rights</w:t>
      </w:r>
      <w:r w:rsidR="00112E07">
        <w:rPr>
          <w:rFonts w:ascii="Times New Roman" w:hAnsi="Times New Roman" w:cs="Times New Roman"/>
        </w:rPr>
        <w:t>.</w:t>
      </w:r>
    </w:p>
    <w:sectPr w:rsidR="006D06C8" w:rsidRPr="00BB0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71" w:rsidRDefault="00A03471" w:rsidP="001011CA">
      <w:r>
        <w:separator/>
      </w:r>
    </w:p>
  </w:endnote>
  <w:endnote w:type="continuationSeparator" w:id="0">
    <w:p w:rsidR="00A03471" w:rsidRDefault="00A03471" w:rsidP="0010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71" w:rsidRDefault="00A03471" w:rsidP="001011CA">
      <w:r>
        <w:separator/>
      </w:r>
    </w:p>
  </w:footnote>
  <w:footnote w:type="continuationSeparator" w:id="0">
    <w:p w:rsidR="00A03471" w:rsidRDefault="00A03471" w:rsidP="0010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E6A4E0"/>
    <w:lvl w:ilvl="0">
      <w:numFmt w:val="bullet"/>
      <w:lvlText w:val="*"/>
      <w:lvlJc w:val="left"/>
    </w:lvl>
  </w:abstractNum>
  <w:abstractNum w:abstractNumId="1">
    <w:nsid w:val="012813D4"/>
    <w:multiLevelType w:val="hybridMultilevel"/>
    <w:tmpl w:val="FEB4E5FA"/>
    <w:lvl w:ilvl="0" w:tplc="388221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5458"/>
    <w:multiLevelType w:val="hybridMultilevel"/>
    <w:tmpl w:val="0FFC89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23D4"/>
    <w:multiLevelType w:val="hybridMultilevel"/>
    <w:tmpl w:val="61D0C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616C"/>
    <w:multiLevelType w:val="hybridMultilevel"/>
    <w:tmpl w:val="77987988"/>
    <w:lvl w:ilvl="0" w:tplc="EAA8E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12853"/>
    <w:multiLevelType w:val="hybridMultilevel"/>
    <w:tmpl w:val="8092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96347"/>
    <w:multiLevelType w:val="hybridMultilevel"/>
    <w:tmpl w:val="2E305E44"/>
    <w:lvl w:ilvl="0" w:tplc="DC62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5C84"/>
    <w:multiLevelType w:val="hybridMultilevel"/>
    <w:tmpl w:val="F6D6F6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7360"/>
    <w:multiLevelType w:val="hybridMultilevel"/>
    <w:tmpl w:val="D7E899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01829"/>
    <w:multiLevelType w:val="hybridMultilevel"/>
    <w:tmpl w:val="06A41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A2AFC"/>
    <w:multiLevelType w:val="hybridMultilevel"/>
    <w:tmpl w:val="20D88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4D"/>
    <w:rsid w:val="000101AC"/>
    <w:rsid w:val="00014568"/>
    <w:rsid w:val="000316D0"/>
    <w:rsid w:val="00031F29"/>
    <w:rsid w:val="00031FCD"/>
    <w:rsid w:val="000326F6"/>
    <w:rsid w:val="000456C4"/>
    <w:rsid w:val="00062A09"/>
    <w:rsid w:val="000670D9"/>
    <w:rsid w:val="000675EB"/>
    <w:rsid w:val="00070CC6"/>
    <w:rsid w:val="00080C93"/>
    <w:rsid w:val="00092CD1"/>
    <w:rsid w:val="000938D3"/>
    <w:rsid w:val="00093D57"/>
    <w:rsid w:val="0009429E"/>
    <w:rsid w:val="000A1438"/>
    <w:rsid w:val="000A7AF1"/>
    <w:rsid w:val="000B44FE"/>
    <w:rsid w:val="000B6F1C"/>
    <w:rsid w:val="000C2CE3"/>
    <w:rsid w:val="000C3372"/>
    <w:rsid w:val="000E795A"/>
    <w:rsid w:val="000F324D"/>
    <w:rsid w:val="0010051D"/>
    <w:rsid w:val="001011CA"/>
    <w:rsid w:val="0010765E"/>
    <w:rsid w:val="001111E2"/>
    <w:rsid w:val="00112E07"/>
    <w:rsid w:val="00120C09"/>
    <w:rsid w:val="00122731"/>
    <w:rsid w:val="001243DD"/>
    <w:rsid w:val="00141A7A"/>
    <w:rsid w:val="00143D3D"/>
    <w:rsid w:val="001523A3"/>
    <w:rsid w:val="00154712"/>
    <w:rsid w:val="00163692"/>
    <w:rsid w:val="0017425B"/>
    <w:rsid w:val="001847C9"/>
    <w:rsid w:val="00192930"/>
    <w:rsid w:val="001958B5"/>
    <w:rsid w:val="001A0B13"/>
    <w:rsid w:val="001A2942"/>
    <w:rsid w:val="001A7565"/>
    <w:rsid w:val="001B3049"/>
    <w:rsid w:val="001B59B7"/>
    <w:rsid w:val="001C1C4D"/>
    <w:rsid w:val="001C2F28"/>
    <w:rsid w:val="001D45F3"/>
    <w:rsid w:val="001D5F30"/>
    <w:rsid w:val="001F1860"/>
    <w:rsid w:val="001F1B54"/>
    <w:rsid w:val="001F6596"/>
    <w:rsid w:val="001F768C"/>
    <w:rsid w:val="00207AC8"/>
    <w:rsid w:val="00212ECF"/>
    <w:rsid w:val="00214C4E"/>
    <w:rsid w:val="00252350"/>
    <w:rsid w:val="00262AFA"/>
    <w:rsid w:val="00271247"/>
    <w:rsid w:val="0029170D"/>
    <w:rsid w:val="0029404D"/>
    <w:rsid w:val="002943FD"/>
    <w:rsid w:val="002A25BD"/>
    <w:rsid w:val="002A4AE8"/>
    <w:rsid w:val="002C74B0"/>
    <w:rsid w:val="002E15AB"/>
    <w:rsid w:val="002E4D19"/>
    <w:rsid w:val="002F131C"/>
    <w:rsid w:val="002F6E57"/>
    <w:rsid w:val="003113A4"/>
    <w:rsid w:val="00314A0C"/>
    <w:rsid w:val="003155BE"/>
    <w:rsid w:val="00335995"/>
    <w:rsid w:val="00345F8D"/>
    <w:rsid w:val="0035034E"/>
    <w:rsid w:val="00351403"/>
    <w:rsid w:val="00360DCB"/>
    <w:rsid w:val="003613EB"/>
    <w:rsid w:val="00366F7F"/>
    <w:rsid w:val="003A2F30"/>
    <w:rsid w:val="003A4F13"/>
    <w:rsid w:val="003B2EA2"/>
    <w:rsid w:val="003B55FE"/>
    <w:rsid w:val="003B62EC"/>
    <w:rsid w:val="003B6449"/>
    <w:rsid w:val="003C5E27"/>
    <w:rsid w:val="003E2444"/>
    <w:rsid w:val="003E4A00"/>
    <w:rsid w:val="003E4FCB"/>
    <w:rsid w:val="003F76E1"/>
    <w:rsid w:val="003F7C1B"/>
    <w:rsid w:val="00404F8D"/>
    <w:rsid w:val="00413942"/>
    <w:rsid w:val="00416D58"/>
    <w:rsid w:val="00425887"/>
    <w:rsid w:val="00441B34"/>
    <w:rsid w:val="00446658"/>
    <w:rsid w:val="004553A9"/>
    <w:rsid w:val="00455FB5"/>
    <w:rsid w:val="0046018A"/>
    <w:rsid w:val="00475AB4"/>
    <w:rsid w:val="00477908"/>
    <w:rsid w:val="00481BF6"/>
    <w:rsid w:val="004D2107"/>
    <w:rsid w:val="004D64F3"/>
    <w:rsid w:val="005021D7"/>
    <w:rsid w:val="0052131F"/>
    <w:rsid w:val="005229C6"/>
    <w:rsid w:val="00527483"/>
    <w:rsid w:val="00530D11"/>
    <w:rsid w:val="00567479"/>
    <w:rsid w:val="00594A82"/>
    <w:rsid w:val="005A084D"/>
    <w:rsid w:val="005A1677"/>
    <w:rsid w:val="005A286A"/>
    <w:rsid w:val="005A2AC8"/>
    <w:rsid w:val="005C628F"/>
    <w:rsid w:val="005E3E3F"/>
    <w:rsid w:val="005E7134"/>
    <w:rsid w:val="005F18D8"/>
    <w:rsid w:val="005F7334"/>
    <w:rsid w:val="005F74B8"/>
    <w:rsid w:val="005F75EC"/>
    <w:rsid w:val="00602DE9"/>
    <w:rsid w:val="006272EA"/>
    <w:rsid w:val="00633D7C"/>
    <w:rsid w:val="0064191F"/>
    <w:rsid w:val="00641F02"/>
    <w:rsid w:val="00642269"/>
    <w:rsid w:val="00645AF4"/>
    <w:rsid w:val="00646BA4"/>
    <w:rsid w:val="00663C1C"/>
    <w:rsid w:val="0068384F"/>
    <w:rsid w:val="00692085"/>
    <w:rsid w:val="006960C8"/>
    <w:rsid w:val="006A602C"/>
    <w:rsid w:val="006A65A7"/>
    <w:rsid w:val="006A7482"/>
    <w:rsid w:val="006B2FF4"/>
    <w:rsid w:val="006B369D"/>
    <w:rsid w:val="006B55F6"/>
    <w:rsid w:val="006B670C"/>
    <w:rsid w:val="006C176E"/>
    <w:rsid w:val="006D06C8"/>
    <w:rsid w:val="006D5BFC"/>
    <w:rsid w:val="006D73F3"/>
    <w:rsid w:val="006F278C"/>
    <w:rsid w:val="006F35F7"/>
    <w:rsid w:val="00703AF3"/>
    <w:rsid w:val="007144A5"/>
    <w:rsid w:val="00732974"/>
    <w:rsid w:val="00732E40"/>
    <w:rsid w:val="00742244"/>
    <w:rsid w:val="00742673"/>
    <w:rsid w:val="007528B4"/>
    <w:rsid w:val="007576D0"/>
    <w:rsid w:val="007632C5"/>
    <w:rsid w:val="00764505"/>
    <w:rsid w:val="00794CF4"/>
    <w:rsid w:val="007B10E0"/>
    <w:rsid w:val="007C13DF"/>
    <w:rsid w:val="007C4923"/>
    <w:rsid w:val="007D41F0"/>
    <w:rsid w:val="007D4E48"/>
    <w:rsid w:val="0081568B"/>
    <w:rsid w:val="00823EB9"/>
    <w:rsid w:val="0083636D"/>
    <w:rsid w:val="00841D63"/>
    <w:rsid w:val="00872C8D"/>
    <w:rsid w:val="00872CFA"/>
    <w:rsid w:val="008766EB"/>
    <w:rsid w:val="008773B9"/>
    <w:rsid w:val="00890121"/>
    <w:rsid w:val="008A00EC"/>
    <w:rsid w:val="008A1240"/>
    <w:rsid w:val="008A6B2D"/>
    <w:rsid w:val="008D0686"/>
    <w:rsid w:val="008D6FA5"/>
    <w:rsid w:val="008F455F"/>
    <w:rsid w:val="0090339B"/>
    <w:rsid w:val="0093214E"/>
    <w:rsid w:val="0094302B"/>
    <w:rsid w:val="00954D73"/>
    <w:rsid w:val="009870BC"/>
    <w:rsid w:val="00992A38"/>
    <w:rsid w:val="00993F1D"/>
    <w:rsid w:val="0099489D"/>
    <w:rsid w:val="009A2BF7"/>
    <w:rsid w:val="009A346F"/>
    <w:rsid w:val="009B5F02"/>
    <w:rsid w:val="009F3FC8"/>
    <w:rsid w:val="00A03471"/>
    <w:rsid w:val="00A04A73"/>
    <w:rsid w:val="00A12E6E"/>
    <w:rsid w:val="00A262D7"/>
    <w:rsid w:val="00A26816"/>
    <w:rsid w:val="00A37905"/>
    <w:rsid w:val="00A62B1A"/>
    <w:rsid w:val="00A7302A"/>
    <w:rsid w:val="00A922DF"/>
    <w:rsid w:val="00AA3D37"/>
    <w:rsid w:val="00AB58DE"/>
    <w:rsid w:val="00AD6448"/>
    <w:rsid w:val="00AF0293"/>
    <w:rsid w:val="00AF2267"/>
    <w:rsid w:val="00B17B03"/>
    <w:rsid w:val="00B25B15"/>
    <w:rsid w:val="00B44D56"/>
    <w:rsid w:val="00B53AFD"/>
    <w:rsid w:val="00B5541E"/>
    <w:rsid w:val="00B66D9D"/>
    <w:rsid w:val="00B6752D"/>
    <w:rsid w:val="00B760FC"/>
    <w:rsid w:val="00B77567"/>
    <w:rsid w:val="00B94E76"/>
    <w:rsid w:val="00BA4AED"/>
    <w:rsid w:val="00BB0E76"/>
    <w:rsid w:val="00BB2CF3"/>
    <w:rsid w:val="00BC0505"/>
    <w:rsid w:val="00BE018E"/>
    <w:rsid w:val="00BF7F50"/>
    <w:rsid w:val="00C05083"/>
    <w:rsid w:val="00C1310D"/>
    <w:rsid w:val="00C235D0"/>
    <w:rsid w:val="00C249CC"/>
    <w:rsid w:val="00C3220F"/>
    <w:rsid w:val="00C572F7"/>
    <w:rsid w:val="00C7272C"/>
    <w:rsid w:val="00C756C3"/>
    <w:rsid w:val="00C81620"/>
    <w:rsid w:val="00C8669D"/>
    <w:rsid w:val="00C928E5"/>
    <w:rsid w:val="00CB4218"/>
    <w:rsid w:val="00CC579E"/>
    <w:rsid w:val="00CE1E9F"/>
    <w:rsid w:val="00CE3127"/>
    <w:rsid w:val="00D05CEA"/>
    <w:rsid w:val="00D34CEA"/>
    <w:rsid w:val="00D5769C"/>
    <w:rsid w:val="00D64009"/>
    <w:rsid w:val="00D66227"/>
    <w:rsid w:val="00D71951"/>
    <w:rsid w:val="00D75F65"/>
    <w:rsid w:val="00DA7C3B"/>
    <w:rsid w:val="00DB7DB7"/>
    <w:rsid w:val="00DE547E"/>
    <w:rsid w:val="00DF75E6"/>
    <w:rsid w:val="00E328CA"/>
    <w:rsid w:val="00E354B8"/>
    <w:rsid w:val="00E370F2"/>
    <w:rsid w:val="00E511B4"/>
    <w:rsid w:val="00E5684F"/>
    <w:rsid w:val="00E815FC"/>
    <w:rsid w:val="00E84EF1"/>
    <w:rsid w:val="00EA5D6B"/>
    <w:rsid w:val="00EB404D"/>
    <w:rsid w:val="00ED52E3"/>
    <w:rsid w:val="00ED57DC"/>
    <w:rsid w:val="00F22C60"/>
    <w:rsid w:val="00F2424F"/>
    <w:rsid w:val="00F34E6E"/>
    <w:rsid w:val="00F66CD9"/>
    <w:rsid w:val="00F7327C"/>
    <w:rsid w:val="00F94919"/>
    <w:rsid w:val="00F97B0C"/>
    <w:rsid w:val="00FA044B"/>
    <w:rsid w:val="00FA6946"/>
    <w:rsid w:val="00FC20FD"/>
    <w:rsid w:val="00FD3DC5"/>
    <w:rsid w:val="00FE41E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50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B1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1A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1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1CA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1CA"/>
    <w:rPr>
      <w:vertAlign w:val="superscript"/>
    </w:rPr>
  </w:style>
  <w:style w:type="paragraph" w:customStyle="1" w:styleId="paragraphsub">
    <w:name w:val="paragraph(sub)"/>
    <w:aliases w:val="aa"/>
    <w:basedOn w:val="Normal"/>
    <w:rsid w:val="002943FD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2943FD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84EF1"/>
    <w:pPr>
      <w:spacing w:after="0" w:line="240" w:lineRule="auto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50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B1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1A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1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1CA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1CA"/>
    <w:rPr>
      <w:vertAlign w:val="superscript"/>
    </w:rPr>
  </w:style>
  <w:style w:type="paragraph" w:customStyle="1" w:styleId="paragraphsub">
    <w:name w:val="paragraph(sub)"/>
    <w:aliases w:val="aa"/>
    <w:basedOn w:val="Normal"/>
    <w:rsid w:val="002943FD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2943FD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84EF1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2BB8281-577F-4764-98E8-D2B173ED857B" xsi:nil="true"/>
    <pdms_SecurityClassification xmlns="B2BB8281-577F-4764-98E8-D2B173ED857B" xsi:nil="true"/>
    <pdms_AttachedBy xmlns="B2BB8281-577F-4764-98E8-D2B173ED857B" xsi:nil="true"/>
    <pdms_Reason xmlns="B2BB8281-577F-4764-98E8-D2B173ED857B" xsi:nil="true"/>
    <SecurityClassification xmlns="B2BB8281-577F-4764-98E8-D2B173ED85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7BAD6E90C7FB240A899BE9AC69EC8D7" ma:contentTypeVersion="" ma:contentTypeDescription="PDMS Documentation Content Type" ma:contentTypeScope="" ma:versionID="57494a7643c202cfd3e7e2fd8eb421ae">
  <xsd:schema xmlns:xsd="http://www.w3.org/2001/XMLSchema" xmlns:xs="http://www.w3.org/2001/XMLSchema" xmlns:p="http://schemas.microsoft.com/office/2006/metadata/properties" xmlns:ns2="B2BB8281-577F-4764-98E8-D2B173ED857B" targetNamespace="http://schemas.microsoft.com/office/2006/metadata/properties" ma:root="true" ma:fieldsID="3757c9c432b608e7ab9c9ea3f61693e9" ns2:_="">
    <xsd:import namespace="B2BB8281-577F-4764-98E8-D2B173ED8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8281-577F-4764-98E8-D2B173ED8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80DB-20BF-40B2-8BEC-8AC142DEE58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C6D596-4455-4DFE-AFC9-6B2627510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509E-073E-4114-BC2E-1D14BF254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6EABD-FB2C-442A-921F-5D929AA2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FDF78EC.dotm</Template>
  <TotalTime>0</TotalTime>
  <Pages>5</Pages>
  <Words>1428</Words>
  <Characters>8143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Nicholls</dc:creator>
  <cp:lastModifiedBy>Freya Nicholls</cp:lastModifiedBy>
  <cp:revision>2</cp:revision>
  <cp:lastPrinted>2017-07-17T04:37:00Z</cp:lastPrinted>
  <dcterms:created xsi:type="dcterms:W3CDTF">2017-08-16T04:51:00Z</dcterms:created>
  <dcterms:modified xsi:type="dcterms:W3CDTF">2017-08-16T04:51:00Z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0x010100266966F133664895A6EE3632470D45F5010057BAD6E90C7FB240A899BE9AC69EC8D7</vt:lpwstr>
  </property>
</Properties>
</file>