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E2C18" w14:textId="77777777" w:rsidR="00857FA2" w:rsidRPr="00647BB7" w:rsidRDefault="00183302" w:rsidP="00857FA2">
      <w:pPr>
        <w:pStyle w:val="Heading1"/>
        <w:spacing w:after="360"/>
        <w:rPr>
          <w:rFonts w:ascii="Times New Roman" w:hAnsi="Times New Roman"/>
          <w:u w:val="none"/>
        </w:rPr>
      </w:pPr>
      <w:r w:rsidRPr="00647BB7">
        <w:rPr>
          <w:rFonts w:ascii="Times New Roman" w:hAnsi="Times New Roman"/>
          <w:u w:val="none"/>
        </w:rPr>
        <w:t>EXPLANATORY STATEMENT</w:t>
      </w:r>
    </w:p>
    <w:p w14:paraId="6EAE2C19" w14:textId="77777777" w:rsidR="00857FA2" w:rsidRPr="003E1CE3" w:rsidRDefault="00183302" w:rsidP="00857FA2">
      <w:pPr>
        <w:pStyle w:val="Heading2"/>
        <w:jc w:val="center"/>
      </w:pPr>
      <w:r w:rsidRPr="00503E44">
        <w:t xml:space="preserve">Issued by authority of the </w:t>
      </w:r>
      <w:r>
        <w:t>Attorney-General</w:t>
      </w:r>
    </w:p>
    <w:p w14:paraId="6EAE2C1A" w14:textId="77777777" w:rsidR="00857FA2" w:rsidRPr="00503E44" w:rsidRDefault="00183302" w:rsidP="00857FA2">
      <w:pPr>
        <w:spacing w:before="0" w:after="240"/>
        <w:jc w:val="center"/>
        <w:rPr>
          <w:i/>
        </w:rPr>
      </w:pPr>
      <w:r>
        <w:rPr>
          <w:i/>
        </w:rPr>
        <w:t>Bankruptcy Act 1966</w:t>
      </w:r>
    </w:p>
    <w:p w14:paraId="6EAE2C1B" w14:textId="12C23A7F" w:rsidR="00857FA2" w:rsidRPr="00503E44" w:rsidRDefault="00183302" w:rsidP="00DA0CFD">
      <w:pPr>
        <w:tabs>
          <w:tab w:val="left" w:pos="1418"/>
        </w:tabs>
        <w:spacing w:before="100" w:beforeAutospacing="1" w:after="100" w:afterAutospacing="1"/>
        <w:jc w:val="center"/>
        <w:rPr>
          <w:i/>
        </w:rPr>
      </w:pPr>
      <w:r>
        <w:rPr>
          <w:i/>
        </w:rPr>
        <w:t>Insolvency Practice Rules (Bankruptcy)</w:t>
      </w:r>
      <w:r w:rsidR="00857FA2">
        <w:rPr>
          <w:i/>
        </w:rPr>
        <w:t xml:space="preserve"> Amendment (Minor Amendments) Rules 2017</w:t>
      </w:r>
    </w:p>
    <w:p w14:paraId="722FEDCF" w14:textId="33833789" w:rsidR="0014424F" w:rsidRDefault="00857FA2" w:rsidP="00DA0CFD">
      <w:pPr>
        <w:pStyle w:val="Default"/>
        <w:spacing w:before="100" w:beforeAutospacing="1" w:after="100" w:afterAutospacing="1"/>
        <w:rPr>
          <w:sz w:val="22"/>
          <w:lang w:eastAsia="ja-JP"/>
        </w:rPr>
      </w:pPr>
      <w:r w:rsidRPr="00C22929">
        <w:t>Section 105-1 of Schedule 2</w:t>
      </w:r>
      <w:r w:rsidR="0014424F">
        <w:t xml:space="preserve"> to the </w:t>
      </w:r>
      <w:r w:rsidR="0014424F">
        <w:rPr>
          <w:i/>
        </w:rPr>
        <w:t>Bankruptcy Act 1966</w:t>
      </w:r>
      <w:r w:rsidR="0014424F">
        <w:t xml:space="preserve"> (the Act)</w:t>
      </w:r>
      <w:r w:rsidRPr="00C22929">
        <w:t xml:space="preserve"> provides that the Minister may make rules prescribing matters required or permitted by Schedule 2 to be prescribed, or necessary or convenient to be prescribed for carrying out or giving effect to that Schedule. </w:t>
      </w:r>
      <w:r>
        <w:t xml:space="preserve">Schedule 2 </w:t>
      </w:r>
      <w:r w:rsidR="0074159D">
        <w:t>(the Insolvency Practice Schedule (Bankrupt</w:t>
      </w:r>
      <w:r w:rsidR="006D4977">
        <w:t>c</w:t>
      </w:r>
      <w:r w:rsidR="0074159D">
        <w:t>y)</w:t>
      </w:r>
      <w:r w:rsidR="006D4977">
        <w:t xml:space="preserve"> referred to as Schedule 2</w:t>
      </w:r>
      <w:r w:rsidR="0074159D">
        <w:t xml:space="preserve">) </w:t>
      </w:r>
      <w:r>
        <w:t xml:space="preserve">was inserted into the Bankruptcy Act by the </w:t>
      </w:r>
      <w:r w:rsidRPr="00394DE0">
        <w:rPr>
          <w:i/>
          <w:lang w:eastAsia="ja-JP"/>
        </w:rPr>
        <w:t>Insolvency Law Reform Act 2016</w:t>
      </w:r>
      <w:r w:rsidR="00877C65" w:rsidRPr="00394DE0">
        <w:rPr>
          <w:i/>
          <w:lang w:eastAsia="ja-JP"/>
        </w:rPr>
        <w:t xml:space="preserve"> </w:t>
      </w:r>
      <w:r w:rsidR="00877C65" w:rsidRPr="00394DE0">
        <w:rPr>
          <w:lang w:eastAsia="ja-JP"/>
        </w:rPr>
        <w:t>(the Amending Act)</w:t>
      </w:r>
      <w:r w:rsidRPr="00394DE0">
        <w:rPr>
          <w:lang w:eastAsia="ja-JP"/>
        </w:rPr>
        <w:t>.</w:t>
      </w:r>
      <w:r w:rsidR="0014424F">
        <w:rPr>
          <w:sz w:val="22"/>
          <w:lang w:eastAsia="ja-JP"/>
        </w:rPr>
        <w:t xml:space="preserve"> </w:t>
      </w:r>
    </w:p>
    <w:p w14:paraId="10D9D807" w14:textId="3B9DA61A" w:rsidR="00857FA2" w:rsidRPr="006D4977" w:rsidRDefault="0014424F" w:rsidP="00DA0CFD">
      <w:pPr>
        <w:pStyle w:val="Default"/>
        <w:spacing w:before="100" w:beforeAutospacing="1" w:after="100" w:afterAutospacing="1"/>
        <w:rPr>
          <w:lang w:eastAsia="ja-JP"/>
        </w:rPr>
      </w:pPr>
      <w:r w:rsidRPr="006D4977">
        <w:rPr>
          <w:lang w:eastAsia="ja-JP"/>
        </w:rPr>
        <w:t xml:space="preserve">The </w:t>
      </w:r>
      <w:r w:rsidR="00877C65" w:rsidRPr="006D4977">
        <w:rPr>
          <w:lang w:eastAsia="ja-JP"/>
        </w:rPr>
        <w:t>Amending</w:t>
      </w:r>
      <w:r w:rsidRPr="006D4977">
        <w:rPr>
          <w:lang w:eastAsia="ja-JP"/>
        </w:rPr>
        <w:t xml:space="preserve"> Act was introduced to implement the Australian Government’s insolvency reforms. It is aimed to amend and streamline the Act and other legislation, namely the </w:t>
      </w:r>
      <w:r w:rsidRPr="006D4977">
        <w:rPr>
          <w:i/>
          <w:lang w:eastAsia="ja-JP"/>
        </w:rPr>
        <w:t xml:space="preserve">Corporations Act 2001 </w:t>
      </w:r>
      <w:r w:rsidRPr="006D4977">
        <w:rPr>
          <w:lang w:eastAsia="ja-JP"/>
        </w:rPr>
        <w:t xml:space="preserve">and the </w:t>
      </w:r>
      <w:r w:rsidRPr="006D4977">
        <w:rPr>
          <w:i/>
          <w:lang w:eastAsia="ja-JP"/>
        </w:rPr>
        <w:t>Australian Securities and Investments Commission Act 2001.</w:t>
      </w:r>
      <w:r w:rsidRPr="006D4977">
        <w:rPr>
          <w:lang w:eastAsia="ja-JP"/>
        </w:rPr>
        <w:t xml:space="preserve"> A number of legislative instruments, including the </w:t>
      </w:r>
      <w:r w:rsidRPr="006D4977">
        <w:rPr>
          <w:i/>
          <w:lang w:eastAsia="ja-JP"/>
        </w:rPr>
        <w:t>Insolvency Practice Rules (Bankruptcy) 2016</w:t>
      </w:r>
      <w:r w:rsidRPr="006D4977">
        <w:rPr>
          <w:lang w:eastAsia="ja-JP"/>
        </w:rPr>
        <w:t xml:space="preserve"> (the Rules) were made as part of the reforms.</w:t>
      </w:r>
    </w:p>
    <w:p w14:paraId="4B5DB7E6" w14:textId="6C09C2DE" w:rsidR="0014424F" w:rsidRPr="006D4977" w:rsidRDefault="0014424F" w:rsidP="00DA0CFD">
      <w:pPr>
        <w:pStyle w:val="Default"/>
        <w:spacing w:before="100" w:beforeAutospacing="1" w:after="100" w:afterAutospacing="1"/>
        <w:rPr>
          <w:lang w:eastAsia="ja-JP"/>
        </w:rPr>
      </w:pPr>
      <w:r w:rsidRPr="006D4977">
        <w:rPr>
          <w:lang w:eastAsia="ja-JP"/>
        </w:rPr>
        <w:t xml:space="preserve">The Rules were made by the Attorney-General on 19 December 2016.  Parts 1, 2 and 4 of the Rules commenced immediately after the commencement of Schedule 2 </w:t>
      </w:r>
      <w:r w:rsidR="00877C65" w:rsidRPr="006D4977">
        <w:rPr>
          <w:lang w:eastAsia="ja-JP"/>
        </w:rPr>
        <w:t>to the Amending Act</w:t>
      </w:r>
      <w:r w:rsidR="0075351F">
        <w:rPr>
          <w:lang w:eastAsia="ja-JP"/>
        </w:rPr>
        <w:t xml:space="preserve"> </w:t>
      </w:r>
      <w:r w:rsidR="0075351F" w:rsidRPr="006D4977">
        <w:rPr>
          <w:lang w:eastAsia="ja-JP"/>
        </w:rPr>
        <w:t>(on 1 March 2017)</w:t>
      </w:r>
      <w:r w:rsidR="00877C65" w:rsidRPr="006D4977">
        <w:rPr>
          <w:lang w:eastAsia="ja-JP"/>
        </w:rPr>
        <w:t>, and part 3 of the Rules will commence on 1</w:t>
      </w:r>
      <w:r w:rsidR="00A050A9">
        <w:rPr>
          <w:lang w:eastAsia="ja-JP"/>
        </w:rPr>
        <w:t> </w:t>
      </w:r>
      <w:r w:rsidR="00877C65" w:rsidRPr="006D4977">
        <w:rPr>
          <w:lang w:eastAsia="ja-JP"/>
        </w:rPr>
        <w:t xml:space="preserve">September 2017. The </w:t>
      </w:r>
      <w:r w:rsidR="00877C65" w:rsidRPr="006D4977">
        <w:rPr>
          <w:i/>
          <w:lang w:eastAsia="ja-JP"/>
        </w:rPr>
        <w:t>Insolvency Practice (Bankruptcy) Amendment (Minor Amendments) Rules 2017</w:t>
      </w:r>
      <w:r w:rsidR="00877C65" w:rsidRPr="006D4977">
        <w:rPr>
          <w:lang w:eastAsia="ja-JP"/>
        </w:rPr>
        <w:t xml:space="preserve"> (the Instrument) makes minor technical amendments to clarify the operation of the Rules</w:t>
      </w:r>
      <w:r w:rsidR="0075351F">
        <w:rPr>
          <w:lang w:eastAsia="ja-JP"/>
        </w:rPr>
        <w:t xml:space="preserve"> and incorporates various provisions from the Act and the </w:t>
      </w:r>
      <w:r w:rsidR="0075351F">
        <w:rPr>
          <w:i/>
          <w:lang w:eastAsia="ja-JP"/>
        </w:rPr>
        <w:t>Bankruptcy Regulations 1966</w:t>
      </w:r>
      <w:r w:rsidR="0075351F">
        <w:rPr>
          <w:lang w:eastAsia="ja-JP"/>
        </w:rPr>
        <w:t xml:space="preserve"> (the Regulations) that are repealed by the Amending Act</w:t>
      </w:r>
      <w:r w:rsidR="00877C65" w:rsidRPr="006D4977">
        <w:rPr>
          <w:lang w:eastAsia="ja-JP"/>
        </w:rPr>
        <w:t>.</w:t>
      </w:r>
      <w:r w:rsidR="0075351F">
        <w:rPr>
          <w:lang w:eastAsia="ja-JP"/>
        </w:rPr>
        <w:t xml:space="preserve"> It was intended that specific repealed provisions from the Act and the Regulations be moved to the Rules.</w:t>
      </w:r>
    </w:p>
    <w:p w14:paraId="60B5E095" w14:textId="05EDE818" w:rsidR="00877C65" w:rsidRDefault="00877C65" w:rsidP="00DA0CFD">
      <w:pPr>
        <w:pStyle w:val="Default"/>
        <w:spacing w:before="100" w:beforeAutospacing="1" w:after="100" w:afterAutospacing="1"/>
        <w:rPr>
          <w:b/>
        </w:rPr>
      </w:pPr>
      <w:r>
        <w:rPr>
          <w:b/>
        </w:rPr>
        <w:t>Overview of the Instrument</w:t>
      </w:r>
    </w:p>
    <w:p w14:paraId="12EDA5E1" w14:textId="5D8C86E7" w:rsidR="00877C65" w:rsidRDefault="00877C65" w:rsidP="00DA0CFD">
      <w:pPr>
        <w:pStyle w:val="Default"/>
        <w:spacing w:before="100" w:beforeAutospacing="1" w:after="100" w:afterAutospacing="1"/>
      </w:pPr>
      <w:r>
        <w:t>The Instrument makes a number of minor technical amendments to Part</w:t>
      </w:r>
      <w:r w:rsidR="00661F58">
        <w:t>s 2 and</w:t>
      </w:r>
      <w:r>
        <w:t xml:space="preserve"> 3 of the Rules to clarify their operation.</w:t>
      </w:r>
    </w:p>
    <w:p w14:paraId="5A8A4594" w14:textId="1793CB75" w:rsidR="00877C65" w:rsidRDefault="00877C65" w:rsidP="00DA0CFD">
      <w:pPr>
        <w:pStyle w:val="Default"/>
        <w:spacing w:before="100" w:beforeAutospacing="1" w:after="100" w:afterAutospacing="1"/>
      </w:pPr>
      <w:r>
        <w:t>The Instrument amends the Rules to:</w:t>
      </w:r>
    </w:p>
    <w:p w14:paraId="1BF0F597" w14:textId="0F336C2C" w:rsidR="00877C65" w:rsidRDefault="00393EEC" w:rsidP="00DA0CFD">
      <w:pPr>
        <w:pStyle w:val="Default"/>
        <w:numPr>
          <w:ilvl w:val="0"/>
          <w:numId w:val="47"/>
        </w:numPr>
        <w:spacing w:before="100" w:beforeAutospacing="1" w:after="100" w:afterAutospacing="1"/>
      </w:pPr>
      <w:r>
        <w:t>require a trustee’s employees to comply with standards for trustees</w:t>
      </w:r>
    </w:p>
    <w:p w14:paraId="7BD88469" w14:textId="6C48A54A" w:rsidR="00877C65" w:rsidRDefault="00393EEC" w:rsidP="00DA0CFD">
      <w:pPr>
        <w:pStyle w:val="Default"/>
        <w:numPr>
          <w:ilvl w:val="0"/>
          <w:numId w:val="47"/>
        </w:numPr>
        <w:spacing w:before="100" w:beforeAutospacing="1" w:after="100" w:afterAutospacing="1"/>
      </w:pPr>
      <w:r>
        <w:t xml:space="preserve">require </w:t>
      </w:r>
      <w:r w:rsidR="00A06935">
        <w:t xml:space="preserve">regulated </w:t>
      </w:r>
      <w:r>
        <w:t>debtors</w:t>
      </w:r>
      <w:r w:rsidR="00A06935">
        <w:rPr>
          <w:rStyle w:val="FootnoteReference"/>
        </w:rPr>
        <w:footnoteReference w:id="1"/>
      </w:r>
      <w:r>
        <w:t xml:space="preserve"> to respond to questions put to them by relevant parties</w:t>
      </w:r>
    </w:p>
    <w:p w14:paraId="1CF0E644" w14:textId="54EEE80A" w:rsidR="00877C65" w:rsidRDefault="00393EEC" w:rsidP="00DA0CFD">
      <w:pPr>
        <w:pStyle w:val="Default"/>
        <w:numPr>
          <w:ilvl w:val="0"/>
          <w:numId w:val="47"/>
        </w:numPr>
        <w:spacing w:before="100" w:beforeAutospacing="1" w:after="100" w:afterAutospacing="1"/>
      </w:pPr>
      <w:r>
        <w:lastRenderedPageBreak/>
        <w:t>specify a number of requirements for obtaining and disclosing information about</w:t>
      </w:r>
      <w:r w:rsidR="00A06935">
        <w:t xml:space="preserve"> regulated</w:t>
      </w:r>
      <w:r>
        <w:t xml:space="preserve"> debtors, and </w:t>
      </w:r>
      <w:r w:rsidR="00877C65">
        <w:t xml:space="preserve"> </w:t>
      </w:r>
    </w:p>
    <w:p w14:paraId="7E09AFAA" w14:textId="6988CFF4" w:rsidR="004F2B32" w:rsidRDefault="00877C65" w:rsidP="00DA0CFD">
      <w:pPr>
        <w:pStyle w:val="Default"/>
        <w:numPr>
          <w:ilvl w:val="0"/>
          <w:numId w:val="47"/>
        </w:numPr>
        <w:spacing w:before="100" w:beforeAutospacing="1" w:after="100" w:afterAutospacing="1"/>
      </w:pPr>
      <w:proofErr w:type="gramStart"/>
      <w:r>
        <w:t>clarify</w:t>
      </w:r>
      <w:proofErr w:type="gramEnd"/>
      <w:r>
        <w:t xml:space="preserve"> the operation of some provisions.</w:t>
      </w:r>
    </w:p>
    <w:p w14:paraId="6EAE2C30" w14:textId="566AEB61" w:rsidR="00857FA2" w:rsidRPr="00393EEC" w:rsidRDefault="00877C65" w:rsidP="00DA0CFD">
      <w:pPr>
        <w:pStyle w:val="Default"/>
        <w:spacing w:before="100" w:beforeAutospacing="1" w:after="100" w:afterAutospacing="1"/>
      </w:pPr>
      <w:r w:rsidRPr="00393EEC">
        <w:t>D</w:t>
      </w:r>
      <w:r w:rsidR="00183302" w:rsidRPr="00393EEC">
        <w:t xml:space="preserve">etails of the Instrument are set out in </w:t>
      </w:r>
      <w:r w:rsidR="00183302" w:rsidRPr="00393EEC">
        <w:rPr>
          <w:u w:val="single"/>
        </w:rPr>
        <w:t>Attachment A</w:t>
      </w:r>
      <w:r w:rsidR="00183302" w:rsidRPr="00393EEC">
        <w:t xml:space="preserve">. </w:t>
      </w:r>
    </w:p>
    <w:p w14:paraId="7E7D851D" w14:textId="0534B73C" w:rsidR="00877C65" w:rsidRPr="00393EEC" w:rsidRDefault="00877C65" w:rsidP="00DA0CFD">
      <w:pPr>
        <w:pStyle w:val="Default"/>
        <w:spacing w:before="100" w:beforeAutospacing="1" w:after="100" w:afterAutospacing="1"/>
      </w:pPr>
      <w:r w:rsidRPr="00393EEC">
        <w:t>The amendments have been i</w:t>
      </w:r>
      <w:r w:rsidR="00183302" w:rsidRPr="00393EEC">
        <w:t>nformed by consultation</w:t>
      </w:r>
      <w:r w:rsidRPr="00393EEC">
        <w:t xml:space="preserve"> with the Australian Financial Security Authority</w:t>
      </w:r>
      <w:r w:rsidR="0075351F">
        <w:t xml:space="preserve"> (AFSA)</w:t>
      </w:r>
      <w:r w:rsidR="00183302" w:rsidRPr="00393EEC">
        <w:t>.</w:t>
      </w:r>
    </w:p>
    <w:p w14:paraId="309B62BE" w14:textId="2E01502C" w:rsidR="004F2B32" w:rsidRPr="00393EEC" w:rsidRDefault="00877C65" w:rsidP="00DA0CFD">
      <w:pPr>
        <w:pStyle w:val="Default"/>
        <w:spacing w:before="100" w:beforeAutospacing="1" w:after="100" w:afterAutospacing="1"/>
      </w:pPr>
      <w:r w:rsidRPr="00393EEC">
        <w:t>The Instrument i</w:t>
      </w:r>
      <w:r w:rsidR="00EC310F">
        <w:t>s</w:t>
      </w:r>
      <w:r w:rsidRPr="00393EEC">
        <w:t xml:space="preserve"> a legislative instrument for the purposes of the </w:t>
      </w:r>
      <w:r w:rsidRPr="00393EEC">
        <w:rPr>
          <w:i/>
        </w:rPr>
        <w:t>Legislation Act 2003</w:t>
      </w:r>
      <w:r w:rsidRPr="00393EEC">
        <w:t>.</w:t>
      </w:r>
      <w:r w:rsidR="00183302" w:rsidRPr="00393EEC">
        <w:t xml:space="preserve"> </w:t>
      </w:r>
    </w:p>
    <w:p w14:paraId="6EAE2C33" w14:textId="6D1A4138" w:rsidR="00857FA2" w:rsidRPr="00393EEC" w:rsidRDefault="008C200F" w:rsidP="00DA0CFD">
      <w:pPr>
        <w:pStyle w:val="Default"/>
        <w:spacing w:before="100" w:beforeAutospacing="1" w:after="100" w:afterAutospacing="1"/>
      </w:pPr>
      <w:r>
        <w:rPr>
          <w:bCs/>
        </w:rPr>
        <w:t xml:space="preserve">Sections 1 to 4 and items 1 to 5 of Schedule 1 of the Instrument will commence the day after the Instrument is registered.  Items 6 to 49 of Schedule 1 of the Instrument will commence on </w:t>
      </w:r>
      <w:r w:rsidR="00421A05">
        <w:t>the day that</w:t>
      </w:r>
      <w:r w:rsidR="00877C65" w:rsidRPr="00393EEC">
        <w:t xml:space="preserve"> Part 3 of Schedule 2 of the Act </w:t>
      </w:r>
      <w:r w:rsidR="00183302" w:rsidRPr="00393EEC">
        <w:t>commences (</w:t>
      </w:r>
      <w:r w:rsidR="004F2B32" w:rsidRPr="00393EEC">
        <w:t>1 September</w:t>
      </w:r>
      <w:r w:rsidR="00183302" w:rsidRPr="00393EEC">
        <w:t xml:space="preserve"> 2017)</w:t>
      </w:r>
      <w:r w:rsidR="004F2B32" w:rsidRPr="00393EEC">
        <w:t>.</w:t>
      </w:r>
      <w:r w:rsidR="00183302" w:rsidRPr="00393EEC">
        <w:t xml:space="preserve"> </w:t>
      </w:r>
    </w:p>
    <w:p w14:paraId="6EAE2C34" w14:textId="1117FCC7" w:rsidR="00857FA2" w:rsidRDefault="00393EEC" w:rsidP="00DA0CFD">
      <w:pPr>
        <w:pStyle w:val="Default"/>
        <w:spacing w:before="100" w:beforeAutospacing="1" w:after="100" w:afterAutospacing="1"/>
        <w:rPr>
          <w:b/>
          <w:kern w:val="28"/>
        </w:rPr>
      </w:pPr>
      <w:r>
        <w:t>The Office of Best Practice Regulation has advised that a Regulation Impact Statement is not required for the Instrument.</w:t>
      </w:r>
      <w:r w:rsidR="00183302">
        <w:br w:type="page"/>
      </w:r>
    </w:p>
    <w:p w14:paraId="5AAC905F" w14:textId="77777777" w:rsidR="00505489" w:rsidRPr="007C7BE8" w:rsidRDefault="00505489" w:rsidP="00DA0CFD">
      <w:pPr>
        <w:pStyle w:val="Heading3"/>
        <w:spacing w:before="100" w:beforeAutospacing="1" w:after="100" w:afterAutospacing="1"/>
        <w:jc w:val="center"/>
      </w:pPr>
      <w:r w:rsidRPr="007C7BE8">
        <w:lastRenderedPageBreak/>
        <w:t>Statement of Compatibility with Human Rights</w:t>
      </w:r>
    </w:p>
    <w:p w14:paraId="292B672D" w14:textId="77777777" w:rsidR="00505489" w:rsidRPr="007C7BE8" w:rsidRDefault="00505489" w:rsidP="00DA0CFD">
      <w:pPr>
        <w:spacing w:before="100" w:beforeAutospacing="1" w:after="100" w:afterAutospacing="1"/>
        <w:jc w:val="center"/>
        <w:rPr>
          <w:i/>
        </w:rPr>
      </w:pPr>
      <w:r w:rsidRPr="007C7BE8">
        <w:rPr>
          <w:i/>
        </w:rPr>
        <w:t>Prepared in accordance with Part 3 of the Human Rights (Parliamentary Scrutiny) Act 2011</w:t>
      </w:r>
    </w:p>
    <w:p w14:paraId="0121FAF3" w14:textId="24F5F217" w:rsidR="00505489" w:rsidRPr="00983C9D" w:rsidRDefault="00505489" w:rsidP="00DA0CFD">
      <w:pPr>
        <w:spacing w:before="100" w:beforeAutospacing="1" w:after="100" w:afterAutospacing="1"/>
        <w:jc w:val="center"/>
        <w:rPr>
          <w:b/>
          <w:i/>
        </w:rPr>
      </w:pPr>
      <w:r w:rsidRPr="007C7BE8">
        <w:rPr>
          <w:b/>
          <w:i/>
        </w:rPr>
        <w:t xml:space="preserve">Insolvency Practice (Bankruptcy) </w:t>
      </w:r>
      <w:r>
        <w:rPr>
          <w:b/>
          <w:i/>
        </w:rPr>
        <w:t>Amendment (Minor Amendment</w:t>
      </w:r>
      <w:r w:rsidR="00393EEC">
        <w:rPr>
          <w:b/>
          <w:i/>
        </w:rPr>
        <w:t>s</w:t>
      </w:r>
      <w:r>
        <w:rPr>
          <w:b/>
          <w:i/>
        </w:rPr>
        <w:t xml:space="preserve">) Rules </w:t>
      </w:r>
      <w:r w:rsidRPr="007C7BE8">
        <w:rPr>
          <w:b/>
          <w:i/>
        </w:rPr>
        <w:t>201</w:t>
      </w:r>
      <w:r>
        <w:rPr>
          <w:b/>
          <w:i/>
        </w:rPr>
        <w:t>7</w:t>
      </w:r>
    </w:p>
    <w:p w14:paraId="0FA4E857" w14:textId="26B0F7D3" w:rsidR="00505489" w:rsidRPr="00983C9D" w:rsidRDefault="005113CF" w:rsidP="00DA0CFD">
      <w:pPr>
        <w:spacing w:before="100" w:beforeAutospacing="1" w:after="100" w:afterAutospacing="1"/>
        <w:rPr>
          <w:szCs w:val="24"/>
        </w:rPr>
      </w:pPr>
      <w:r w:rsidRPr="00983C9D">
        <w:rPr>
          <w:szCs w:val="24"/>
        </w:rPr>
        <w:t>Th</w:t>
      </w:r>
      <w:r>
        <w:rPr>
          <w:szCs w:val="24"/>
        </w:rPr>
        <w:t>e Instrument</w:t>
      </w:r>
      <w:r w:rsidR="00505489" w:rsidRPr="00983C9D">
        <w:rPr>
          <w:szCs w:val="24"/>
        </w:rPr>
        <w:t xml:space="preserve"> is compatible with the human rights and freedoms recognised or declared in the international instruments listed in </w:t>
      </w:r>
      <w:r w:rsidR="00B67CEE">
        <w:rPr>
          <w:szCs w:val="24"/>
        </w:rPr>
        <w:t xml:space="preserve">Part </w:t>
      </w:r>
      <w:r w:rsidR="00505489" w:rsidRPr="00983C9D">
        <w:rPr>
          <w:szCs w:val="24"/>
        </w:rPr>
        <w:t xml:space="preserve">3 of the </w:t>
      </w:r>
      <w:r w:rsidR="00505489" w:rsidRPr="00983C9D">
        <w:rPr>
          <w:i/>
          <w:szCs w:val="24"/>
        </w:rPr>
        <w:t>Human Rights (Parliamentary Scrutiny) Act 2011</w:t>
      </w:r>
      <w:r w:rsidR="00505489" w:rsidRPr="00983C9D">
        <w:rPr>
          <w:szCs w:val="24"/>
        </w:rPr>
        <w:t>.</w:t>
      </w:r>
    </w:p>
    <w:p w14:paraId="4471FD97" w14:textId="77777777" w:rsidR="00505489" w:rsidRPr="00983C9D" w:rsidRDefault="00505489" w:rsidP="00DA0CFD">
      <w:pPr>
        <w:pStyle w:val="Heading3"/>
        <w:spacing w:before="100" w:beforeAutospacing="1" w:after="100" w:afterAutospacing="1"/>
        <w:rPr>
          <w:szCs w:val="24"/>
        </w:rPr>
      </w:pPr>
      <w:r w:rsidRPr="00983C9D">
        <w:rPr>
          <w:szCs w:val="24"/>
        </w:rPr>
        <w:t>Overview of the Legislative Instrument</w:t>
      </w:r>
    </w:p>
    <w:p w14:paraId="641A60BC" w14:textId="05E44083" w:rsidR="00505489" w:rsidRDefault="00505489" w:rsidP="00DA0CFD">
      <w:pPr>
        <w:spacing w:before="100" w:beforeAutospacing="1" w:after="100" w:afterAutospacing="1"/>
      </w:pPr>
      <w:r>
        <w:rPr>
          <w:szCs w:val="24"/>
        </w:rPr>
        <w:t>This Instrument</w:t>
      </w:r>
      <w:r w:rsidRPr="00983C9D">
        <w:rPr>
          <w:szCs w:val="24"/>
        </w:rPr>
        <w:t xml:space="preserve"> </w:t>
      </w:r>
      <w:r>
        <w:t xml:space="preserve">corrects minor technical errors in the existing Rules and implements solutions to other issues identified by stakeholders. </w:t>
      </w:r>
    </w:p>
    <w:p w14:paraId="5548ED48" w14:textId="4C3851E8" w:rsidR="00780E8D" w:rsidRDefault="00505489" w:rsidP="00DA0CFD">
      <w:pPr>
        <w:spacing w:before="100" w:beforeAutospacing="1" w:after="100" w:afterAutospacing="1"/>
        <w:rPr>
          <w:b/>
          <w:szCs w:val="24"/>
        </w:rPr>
      </w:pPr>
      <w:r w:rsidRPr="00166DE8">
        <w:rPr>
          <w:szCs w:val="24"/>
        </w:rPr>
        <w:t xml:space="preserve">This </w:t>
      </w:r>
      <w:r w:rsidR="0039616E">
        <w:rPr>
          <w:szCs w:val="24"/>
        </w:rPr>
        <w:t>I</w:t>
      </w:r>
      <w:r w:rsidRPr="00166DE8">
        <w:rPr>
          <w:szCs w:val="24"/>
        </w:rPr>
        <w:t xml:space="preserve">nstrument also </w:t>
      </w:r>
      <w:r w:rsidRPr="00C3327C">
        <w:rPr>
          <w:szCs w:val="24"/>
        </w:rPr>
        <w:t xml:space="preserve">incorporates various provisions in the Act that </w:t>
      </w:r>
      <w:r w:rsidR="00BF59F6">
        <w:rPr>
          <w:szCs w:val="24"/>
        </w:rPr>
        <w:t>are</w:t>
      </w:r>
      <w:r w:rsidRPr="00C3327C">
        <w:rPr>
          <w:szCs w:val="24"/>
        </w:rPr>
        <w:t xml:space="preserve"> repealed on 1 September 2017 when the second tranche of the </w:t>
      </w:r>
      <w:r w:rsidR="0075351F">
        <w:rPr>
          <w:szCs w:val="24"/>
          <w:lang w:eastAsia="ja-JP"/>
        </w:rPr>
        <w:t>Amending Act</w:t>
      </w:r>
      <w:r w:rsidRPr="00CB1734">
        <w:rPr>
          <w:szCs w:val="24"/>
          <w:lang w:eastAsia="ja-JP"/>
        </w:rPr>
        <w:t xml:space="preserve"> </w:t>
      </w:r>
      <w:r w:rsidRPr="00166DE8">
        <w:rPr>
          <w:szCs w:val="24"/>
        </w:rPr>
        <w:t>comes into effect.</w:t>
      </w:r>
      <w:r>
        <w:rPr>
          <w:rStyle w:val="FootnoteReference"/>
          <w:szCs w:val="22"/>
          <w:lang w:eastAsia="ja-JP"/>
        </w:rPr>
        <w:footnoteReference w:id="2"/>
      </w:r>
      <w:r>
        <w:t xml:space="preserve"> These provisions include</w:t>
      </w:r>
      <w:r w:rsidR="00D913B1">
        <w:t>:</w:t>
      </w:r>
      <w:r>
        <w:t xml:space="preserve"> requiring a trustee’s employees to comply with standards for trustees; requiring debtors to respond to questions put to them by relevant parties</w:t>
      </w:r>
      <w:r w:rsidR="00D913B1">
        <w:t>,</w:t>
      </w:r>
      <w:r>
        <w:t xml:space="preserve"> and a number of requirements for obtaining and disclosing information about debtors. </w:t>
      </w:r>
    </w:p>
    <w:p w14:paraId="61271303" w14:textId="69C3C0BD" w:rsidR="00505489" w:rsidRPr="00983C9D" w:rsidRDefault="00505489" w:rsidP="00DA0CFD">
      <w:pPr>
        <w:spacing w:before="100" w:beforeAutospacing="1" w:after="100" w:afterAutospacing="1"/>
        <w:rPr>
          <w:b/>
          <w:szCs w:val="24"/>
        </w:rPr>
      </w:pPr>
      <w:r w:rsidRPr="00983C9D">
        <w:rPr>
          <w:b/>
          <w:szCs w:val="24"/>
        </w:rPr>
        <w:t>Human rights implications</w:t>
      </w:r>
    </w:p>
    <w:p w14:paraId="33113E0C" w14:textId="754F7A3E" w:rsidR="00505489" w:rsidRPr="00983C9D" w:rsidRDefault="00505489" w:rsidP="00DA0CFD">
      <w:pPr>
        <w:spacing w:before="100" w:beforeAutospacing="1" w:after="100" w:afterAutospacing="1"/>
        <w:rPr>
          <w:szCs w:val="24"/>
        </w:rPr>
      </w:pPr>
      <w:r w:rsidRPr="00983C9D">
        <w:rPr>
          <w:szCs w:val="24"/>
        </w:rPr>
        <w:t>Th</w:t>
      </w:r>
      <w:r w:rsidR="0058683E">
        <w:rPr>
          <w:szCs w:val="24"/>
        </w:rPr>
        <w:t>e</w:t>
      </w:r>
      <w:r w:rsidRPr="00983C9D">
        <w:rPr>
          <w:szCs w:val="24"/>
        </w:rPr>
        <w:t xml:space="preserve"> impact of this </w:t>
      </w:r>
      <w:r w:rsidR="0039616E">
        <w:rPr>
          <w:szCs w:val="24"/>
        </w:rPr>
        <w:t>I</w:t>
      </w:r>
      <w:r w:rsidRPr="00983C9D">
        <w:rPr>
          <w:szCs w:val="24"/>
        </w:rPr>
        <w:t>nstrument on the following human rights has been considered:</w:t>
      </w:r>
    </w:p>
    <w:p w14:paraId="378611AD" w14:textId="1AA20765" w:rsidR="00505489" w:rsidRDefault="00505489" w:rsidP="00DA0CFD">
      <w:pPr>
        <w:pStyle w:val="Bullet"/>
        <w:spacing w:before="100" w:beforeAutospacing="1" w:after="100" w:afterAutospacing="1"/>
        <w:rPr>
          <w:szCs w:val="24"/>
        </w:rPr>
      </w:pPr>
      <w:r w:rsidRPr="00983C9D">
        <w:rPr>
          <w:szCs w:val="24"/>
        </w:rPr>
        <w:t>the r</w:t>
      </w:r>
      <w:r>
        <w:rPr>
          <w:szCs w:val="24"/>
        </w:rPr>
        <w:t>ight to privacy and reputation</w:t>
      </w:r>
      <w:r w:rsidR="0058683E">
        <w:rPr>
          <w:szCs w:val="24"/>
        </w:rPr>
        <w:t>, and</w:t>
      </w:r>
    </w:p>
    <w:p w14:paraId="2D60DFFB" w14:textId="5502607E" w:rsidR="00505489" w:rsidRPr="0053358C" w:rsidRDefault="00505489" w:rsidP="00DA0CFD">
      <w:pPr>
        <w:pStyle w:val="Bullet"/>
        <w:spacing w:before="100" w:beforeAutospacing="1" w:after="100" w:afterAutospacing="1"/>
        <w:rPr>
          <w:szCs w:val="24"/>
        </w:rPr>
      </w:pPr>
      <w:proofErr w:type="gramStart"/>
      <w:r>
        <w:rPr>
          <w:szCs w:val="24"/>
        </w:rPr>
        <w:t>civil</w:t>
      </w:r>
      <w:proofErr w:type="gramEnd"/>
      <w:r>
        <w:rPr>
          <w:szCs w:val="24"/>
        </w:rPr>
        <w:t xml:space="preserve"> penalty provisions</w:t>
      </w:r>
      <w:r w:rsidR="0058683E">
        <w:rPr>
          <w:szCs w:val="24"/>
        </w:rPr>
        <w:t>.</w:t>
      </w:r>
    </w:p>
    <w:p w14:paraId="787D7A9E" w14:textId="77777777" w:rsidR="00505489" w:rsidRPr="00983C9D" w:rsidRDefault="00505489" w:rsidP="00DA0CFD">
      <w:pPr>
        <w:keepNext/>
        <w:spacing w:before="100" w:beforeAutospacing="1" w:after="100" w:afterAutospacing="1"/>
        <w:outlineLvl w:val="2"/>
        <w:rPr>
          <w:i/>
          <w:szCs w:val="24"/>
        </w:rPr>
      </w:pPr>
      <w:r w:rsidRPr="00983C9D">
        <w:rPr>
          <w:i/>
          <w:szCs w:val="24"/>
        </w:rPr>
        <w:t>The right to privacy and reputation</w:t>
      </w:r>
    </w:p>
    <w:p w14:paraId="00D608D2" w14:textId="3F3C1A77" w:rsidR="00505489" w:rsidRPr="00383486" w:rsidRDefault="00505489" w:rsidP="00DA0CFD">
      <w:pPr>
        <w:spacing w:before="100" w:beforeAutospacing="1" w:after="100" w:afterAutospacing="1"/>
        <w:rPr>
          <w:szCs w:val="24"/>
        </w:rPr>
      </w:pPr>
      <w:r w:rsidRPr="00383486">
        <w:rPr>
          <w:szCs w:val="24"/>
        </w:rPr>
        <w:t>Article 17</w:t>
      </w:r>
      <w:r w:rsidR="00393EEC">
        <w:rPr>
          <w:szCs w:val="24"/>
        </w:rPr>
        <w:t xml:space="preserve"> of the </w:t>
      </w:r>
      <w:r w:rsidRPr="00394DE0">
        <w:rPr>
          <w:i/>
          <w:szCs w:val="24"/>
        </w:rPr>
        <w:t>I</w:t>
      </w:r>
      <w:r w:rsidR="00B67CEE" w:rsidRPr="00394DE0">
        <w:rPr>
          <w:i/>
          <w:szCs w:val="24"/>
        </w:rPr>
        <w:t xml:space="preserve">nternational </w:t>
      </w:r>
      <w:r w:rsidRPr="00394DE0">
        <w:rPr>
          <w:i/>
          <w:szCs w:val="24"/>
        </w:rPr>
        <w:t>C</w:t>
      </w:r>
      <w:r w:rsidR="00B67CEE" w:rsidRPr="00394DE0">
        <w:rPr>
          <w:i/>
          <w:szCs w:val="24"/>
        </w:rPr>
        <w:t xml:space="preserve">ovenant on </w:t>
      </w:r>
      <w:r w:rsidRPr="00394DE0">
        <w:rPr>
          <w:i/>
          <w:szCs w:val="24"/>
        </w:rPr>
        <w:t>C</w:t>
      </w:r>
      <w:r w:rsidR="00B67CEE" w:rsidRPr="00394DE0">
        <w:rPr>
          <w:i/>
          <w:szCs w:val="24"/>
        </w:rPr>
        <w:t xml:space="preserve">ivil and </w:t>
      </w:r>
      <w:r w:rsidRPr="00394DE0">
        <w:rPr>
          <w:i/>
          <w:szCs w:val="24"/>
        </w:rPr>
        <w:t>P</w:t>
      </w:r>
      <w:r w:rsidR="00B67CEE" w:rsidRPr="00394DE0">
        <w:rPr>
          <w:i/>
          <w:szCs w:val="24"/>
        </w:rPr>
        <w:t xml:space="preserve">olitical </w:t>
      </w:r>
      <w:r w:rsidRPr="00394DE0">
        <w:rPr>
          <w:i/>
          <w:szCs w:val="24"/>
        </w:rPr>
        <w:t>R</w:t>
      </w:r>
      <w:r w:rsidR="00B67CEE" w:rsidRPr="00394DE0">
        <w:rPr>
          <w:i/>
          <w:szCs w:val="24"/>
        </w:rPr>
        <w:t>ights</w:t>
      </w:r>
      <w:r w:rsidRPr="00383486">
        <w:rPr>
          <w:szCs w:val="24"/>
        </w:rPr>
        <w:t xml:space="preserve"> </w:t>
      </w:r>
      <w:r w:rsidR="00D87C6C">
        <w:rPr>
          <w:szCs w:val="24"/>
        </w:rPr>
        <w:t xml:space="preserve">(ICCPR) </w:t>
      </w:r>
      <w:r w:rsidRPr="00383486">
        <w:rPr>
          <w:szCs w:val="24"/>
        </w:rPr>
        <w:t xml:space="preserve">provides that no one shall be subjected to arbitrary or unlawful interference with their privacy. The right to privacy may be engaged if the Instrument involves the collection, security, use, disclosure or publication of personal information. </w:t>
      </w:r>
    </w:p>
    <w:p w14:paraId="2E1D18B6" w14:textId="73C4BA10" w:rsidR="00505489" w:rsidRPr="00383486" w:rsidRDefault="008C200F" w:rsidP="00DA0CFD">
      <w:pPr>
        <w:spacing w:before="100" w:beforeAutospacing="1" w:after="100" w:afterAutospacing="1"/>
        <w:rPr>
          <w:szCs w:val="24"/>
        </w:rPr>
      </w:pPr>
      <w:r>
        <w:rPr>
          <w:szCs w:val="24"/>
        </w:rPr>
        <w:t xml:space="preserve">Item 24 </w:t>
      </w:r>
      <w:r w:rsidR="005113CF">
        <w:rPr>
          <w:szCs w:val="24"/>
        </w:rPr>
        <w:t>of the</w:t>
      </w:r>
      <w:r w:rsidR="00505489" w:rsidRPr="00383486">
        <w:rPr>
          <w:szCs w:val="24"/>
        </w:rPr>
        <w:t xml:space="preserve"> </w:t>
      </w:r>
      <w:r w:rsidR="00505489">
        <w:rPr>
          <w:szCs w:val="24"/>
        </w:rPr>
        <w:t>I</w:t>
      </w:r>
      <w:r w:rsidR="00505489" w:rsidRPr="00383486">
        <w:rPr>
          <w:szCs w:val="24"/>
        </w:rPr>
        <w:t>nstrument</w:t>
      </w:r>
      <w:r>
        <w:rPr>
          <w:szCs w:val="24"/>
        </w:rPr>
        <w:t xml:space="preserve"> inserts new subsection 75-65(7) which</w:t>
      </w:r>
      <w:r w:rsidR="00505489" w:rsidRPr="00383486">
        <w:rPr>
          <w:szCs w:val="24"/>
        </w:rPr>
        <w:t xml:space="preserve"> </w:t>
      </w:r>
      <w:r w:rsidR="00B67CEE">
        <w:rPr>
          <w:szCs w:val="24"/>
        </w:rPr>
        <w:t xml:space="preserve">obliges the regulated debtor (or the </w:t>
      </w:r>
      <w:r w:rsidR="00505489" w:rsidRPr="00383486">
        <w:rPr>
          <w:szCs w:val="24"/>
        </w:rPr>
        <w:t>legal personal representative of a deceased regulated debtor</w:t>
      </w:r>
      <w:r w:rsidR="00B67CEE">
        <w:rPr>
          <w:szCs w:val="24"/>
        </w:rPr>
        <w:t>)</w:t>
      </w:r>
      <w:r w:rsidR="00505489" w:rsidRPr="00383486">
        <w:rPr>
          <w:szCs w:val="24"/>
        </w:rPr>
        <w:t xml:space="preserve"> to</w:t>
      </w:r>
      <w:r w:rsidR="00B67CEE">
        <w:rPr>
          <w:szCs w:val="24"/>
        </w:rPr>
        <w:t xml:space="preserve"> answer </w:t>
      </w:r>
      <w:bookmarkStart w:id="0" w:name="_GoBack"/>
      <w:bookmarkEnd w:id="0"/>
      <w:r w:rsidR="00B67CEE">
        <w:rPr>
          <w:szCs w:val="24"/>
        </w:rPr>
        <w:t>any questions put to him or her to the best of his or her knowledge and ability</w:t>
      </w:r>
      <w:r w:rsidR="00D271A7">
        <w:rPr>
          <w:szCs w:val="24"/>
        </w:rPr>
        <w:t xml:space="preserve"> at a meeting of the creditors</w:t>
      </w:r>
      <w:r w:rsidR="00505489" w:rsidRPr="00383486">
        <w:rPr>
          <w:szCs w:val="24"/>
        </w:rPr>
        <w:t xml:space="preserve">. </w:t>
      </w:r>
      <w:r w:rsidR="001B004E">
        <w:rPr>
          <w:szCs w:val="24"/>
        </w:rPr>
        <w:t xml:space="preserve">This amendment strengthens the rights of creditors to obtain relevant information regarding the </w:t>
      </w:r>
      <w:r w:rsidR="0075351F">
        <w:rPr>
          <w:szCs w:val="24"/>
        </w:rPr>
        <w:t>regulated debtor’</w:t>
      </w:r>
      <w:r w:rsidR="001B004E">
        <w:rPr>
          <w:szCs w:val="24"/>
        </w:rPr>
        <w:t>s estate. This facilitates the just and fair administration of the estate.</w:t>
      </w:r>
    </w:p>
    <w:p w14:paraId="6C6ECC97" w14:textId="228D6C3E" w:rsidR="00652B8A" w:rsidRDefault="00505489" w:rsidP="00DA0CFD">
      <w:pPr>
        <w:spacing w:before="100" w:beforeAutospacing="1" w:after="100" w:afterAutospacing="1"/>
        <w:rPr>
          <w:rFonts w:eastAsia="Calibri"/>
          <w:szCs w:val="24"/>
        </w:rPr>
      </w:pPr>
      <w:r w:rsidRPr="00383486">
        <w:rPr>
          <w:szCs w:val="24"/>
        </w:rPr>
        <w:t xml:space="preserve">The </w:t>
      </w:r>
      <w:r>
        <w:rPr>
          <w:szCs w:val="24"/>
        </w:rPr>
        <w:t>Instrument</w:t>
      </w:r>
      <w:r w:rsidRPr="00383486">
        <w:rPr>
          <w:szCs w:val="24"/>
        </w:rPr>
        <w:t xml:space="preserve"> </w:t>
      </w:r>
      <w:r w:rsidR="00FF6CA3">
        <w:rPr>
          <w:szCs w:val="24"/>
        </w:rPr>
        <w:t xml:space="preserve">also </w:t>
      </w:r>
      <w:r w:rsidRPr="00383486">
        <w:rPr>
          <w:szCs w:val="24"/>
        </w:rPr>
        <w:t>contain</w:t>
      </w:r>
      <w:r>
        <w:rPr>
          <w:szCs w:val="24"/>
        </w:rPr>
        <w:t>s</w:t>
      </w:r>
      <w:r w:rsidRPr="00383486">
        <w:rPr>
          <w:szCs w:val="24"/>
        </w:rPr>
        <w:t xml:space="preserve"> a number of provisions that </w:t>
      </w:r>
      <w:r>
        <w:rPr>
          <w:szCs w:val="24"/>
        </w:rPr>
        <w:t>protect</w:t>
      </w:r>
      <w:r w:rsidRPr="00383486">
        <w:rPr>
          <w:szCs w:val="24"/>
        </w:rPr>
        <w:t xml:space="preserve"> the privacy of </w:t>
      </w:r>
      <w:r w:rsidR="00A6718F">
        <w:rPr>
          <w:szCs w:val="24"/>
        </w:rPr>
        <w:t>the regulated debtor</w:t>
      </w:r>
      <w:r w:rsidRPr="00383486">
        <w:rPr>
          <w:szCs w:val="24"/>
        </w:rPr>
        <w:t xml:space="preserve">. </w:t>
      </w:r>
      <w:r w:rsidR="00652B8A">
        <w:rPr>
          <w:szCs w:val="24"/>
        </w:rPr>
        <w:t xml:space="preserve">For example, </w:t>
      </w:r>
      <w:r w:rsidR="0031356F">
        <w:rPr>
          <w:szCs w:val="24"/>
        </w:rPr>
        <w:t>subsection 70</w:t>
      </w:r>
      <w:r w:rsidR="0075351F">
        <w:rPr>
          <w:szCs w:val="24"/>
        </w:rPr>
        <w:noBreakHyphen/>
      </w:r>
      <w:proofErr w:type="gramStart"/>
      <w:r w:rsidR="0031356F">
        <w:rPr>
          <w:szCs w:val="24"/>
        </w:rPr>
        <w:t>30(</w:t>
      </w:r>
      <w:proofErr w:type="gramEnd"/>
      <w:r w:rsidR="0031356F">
        <w:rPr>
          <w:szCs w:val="24"/>
        </w:rPr>
        <w:t xml:space="preserve">2A) </w:t>
      </w:r>
      <w:r w:rsidR="00652B8A">
        <w:rPr>
          <w:szCs w:val="24"/>
        </w:rPr>
        <w:t xml:space="preserve">and section 42-215 </w:t>
      </w:r>
      <w:r w:rsidR="0031356F">
        <w:rPr>
          <w:szCs w:val="24"/>
        </w:rPr>
        <w:t xml:space="preserve">of the </w:t>
      </w:r>
      <w:r w:rsidRPr="00383486">
        <w:rPr>
          <w:szCs w:val="24"/>
        </w:rPr>
        <w:t xml:space="preserve">Instrument </w:t>
      </w:r>
      <w:r w:rsidR="00652B8A">
        <w:rPr>
          <w:szCs w:val="24"/>
        </w:rPr>
        <w:t>ensures</w:t>
      </w:r>
      <w:r w:rsidR="0031356F">
        <w:rPr>
          <w:szCs w:val="24"/>
        </w:rPr>
        <w:t xml:space="preserve"> </w:t>
      </w:r>
      <w:r w:rsidR="00652B8A">
        <w:rPr>
          <w:szCs w:val="24"/>
        </w:rPr>
        <w:t xml:space="preserve">that </w:t>
      </w:r>
      <w:r w:rsidR="0031356F">
        <w:rPr>
          <w:szCs w:val="24"/>
        </w:rPr>
        <w:t>the</w:t>
      </w:r>
      <w:r w:rsidRPr="00383486">
        <w:rPr>
          <w:szCs w:val="24"/>
        </w:rPr>
        <w:t xml:space="preserve"> trustee </w:t>
      </w:r>
      <w:r w:rsidR="00652B8A">
        <w:rPr>
          <w:szCs w:val="24"/>
        </w:rPr>
        <w:t xml:space="preserve">must </w:t>
      </w:r>
      <w:r w:rsidRPr="00383486">
        <w:rPr>
          <w:szCs w:val="24"/>
        </w:rPr>
        <w:t>withhold certain information</w:t>
      </w:r>
      <w:r>
        <w:rPr>
          <w:szCs w:val="24"/>
        </w:rPr>
        <w:t xml:space="preserve"> about a </w:t>
      </w:r>
      <w:r w:rsidR="001B4A3C">
        <w:rPr>
          <w:szCs w:val="24"/>
        </w:rPr>
        <w:t xml:space="preserve">regulated </w:t>
      </w:r>
      <w:r>
        <w:rPr>
          <w:szCs w:val="24"/>
        </w:rPr>
        <w:t>debtor</w:t>
      </w:r>
      <w:r w:rsidR="0031356F">
        <w:rPr>
          <w:szCs w:val="24"/>
        </w:rPr>
        <w:t>,</w:t>
      </w:r>
      <w:r>
        <w:rPr>
          <w:szCs w:val="24"/>
        </w:rPr>
        <w:t xml:space="preserve"> such as their address </w:t>
      </w:r>
      <w:r w:rsidR="0031356F">
        <w:rPr>
          <w:szCs w:val="24"/>
        </w:rPr>
        <w:t xml:space="preserve">or occupation, </w:t>
      </w:r>
      <w:r w:rsidRPr="00383486">
        <w:rPr>
          <w:szCs w:val="24"/>
        </w:rPr>
        <w:t xml:space="preserve">where </w:t>
      </w:r>
      <w:r w:rsidR="0031356F">
        <w:rPr>
          <w:szCs w:val="24"/>
        </w:rPr>
        <w:t>the Inspector</w:t>
      </w:r>
      <w:r w:rsidR="0075351F">
        <w:rPr>
          <w:szCs w:val="24"/>
        </w:rPr>
        <w:noBreakHyphen/>
      </w:r>
      <w:r w:rsidR="0031356F">
        <w:rPr>
          <w:szCs w:val="24"/>
        </w:rPr>
        <w:t>General has</w:t>
      </w:r>
      <w:r w:rsidR="001834F3">
        <w:rPr>
          <w:szCs w:val="24"/>
        </w:rPr>
        <w:t xml:space="preserve"> decided not to enter that information on the National Personal Insolvency Index. This usually occurs in accordance with an application made by the </w:t>
      </w:r>
      <w:r w:rsidR="001B4A3C">
        <w:rPr>
          <w:szCs w:val="24"/>
        </w:rPr>
        <w:t xml:space="preserve">regulated </w:t>
      </w:r>
      <w:r w:rsidR="001834F3">
        <w:rPr>
          <w:szCs w:val="24"/>
        </w:rPr>
        <w:t xml:space="preserve">debtor, under the </w:t>
      </w:r>
      <w:r w:rsidR="001834F3">
        <w:rPr>
          <w:i/>
          <w:szCs w:val="24"/>
        </w:rPr>
        <w:t xml:space="preserve">Bankruptcy </w:t>
      </w:r>
      <w:r w:rsidR="001834F3" w:rsidRPr="00A859D4">
        <w:rPr>
          <w:i/>
          <w:szCs w:val="24"/>
        </w:rPr>
        <w:t>Regulations</w:t>
      </w:r>
      <w:r w:rsidR="001834F3">
        <w:rPr>
          <w:szCs w:val="24"/>
        </w:rPr>
        <w:t xml:space="preserve"> </w:t>
      </w:r>
      <w:r w:rsidR="001834F3" w:rsidRPr="00A859D4">
        <w:rPr>
          <w:i/>
          <w:szCs w:val="24"/>
        </w:rPr>
        <w:t>1996</w:t>
      </w:r>
      <w:r w:rsidR="00DB1913">
        <w:rPr>
          <w:i/>
          <w:szCs w:val="24"/>
        </w:rPr>
        <w:t xml:space="preserve"> </w:t>
      </w:r>
      <w:r w:rsidR="00DB1913">
        <w:rPr>
          <w:szCs w:val="24"/>
        </w:rPr>
        <w:t>(the Regulations)</w:t>
      </w:r>
      <w:r w:rsidR="001834F3">
        <w:rPr>
          <w:szCs w:val="24"/>
        </w:rPr>
        <w:t xml:space="preserve">, where the </w:t>
      </w:r>
      <w:r w:rsidR="001B4A3C">
        <w:rPr>
          <w:szCs w:val="24"/>
        </w:rPr>
        <w:t xml:space="preserve">regulated </w:t>
      </w:r>
      <w:r w:rsidR="001834F3">
        <w:rPr>
          <w:szCs w:val="24"/>
        </w:rPr>
        <w:t xml:space="preserve">debtor </w:t>
      </w:r>
      <w:r w:rsidR="00B34CDF">
        <w:rPr>
          <w:szCs w:val="24"/>
        </w:rPr>
        <w:t>fears</w:t>
      </w:r>
      <w:r w:rsidR="001834F3">
        <w:rPr>
          <w:szCs w:val="24"/>
        </w:rPr>
        <w:t xml:space="preserve"> for their personal safety </w:t>
      </w:r>
      <w:r w:rsidRPr="00383486">
        <w:rPr>
          <w:rFonts w:eastAsia="Calibri"/>
          <w:szCs w:val="24"/>
        </w:rPr>
        <w:t xml:space="preserve">if their address </w:t>
      </w:r>
      <w:r w:rsidR="00B34CDF">
        <w:rPr>
          <w:rFonts w:eastAsia="Calibri"/>
          <w:szCs w:val="24"/>
        </w:rPr>
        <w:t>is</w:t>
      </w:r>
      <w:r w:rsidR="0075351F">
        <w:rPr>
          <w:rFonts w:eastAsia="Calibri"/>
          <w:szCs w:val="24"/>
        </w:rPr>
        <w:t xml:space="preserve"> made </w:t>
      </w:r>
      <w:r w:rsidRPr="00383486">
        <w:rPr>
          <w:rFonts w:eastAsia="Calibri"/>
          <w:szCs w:val="24"/>
        </w:rPr>
        <w:t xml:space="preserve">publically searchable. </w:t>
      </w:r>
    </w:p>
    <w:p w14:paraId="03A41E0E" w14:textId="267E4730" w:rsidR="00505489" w:rsidRDefault="00505489" w:rsidP="00DA0CFD">
      <w:pPr>
        <w:spacing w:before="100" w:beforeAutospacing="1" w:after="100" w:afterAutospacing="1"/>
        <w:rPr>
          <w:szCs w:val="24"/>
        </w:rPr>
      </w:pPr>
      <w:r w:rsidRPr="00383486">
        <w:rPr>
          <w:rFonts w:eastAsia="Calibri"/>
          <w:szCs w:val="24"/>
        </w:rPr>
        <w:t>Th</w:t>
      </w:r>
      <w:r w:rsidR="00691E8D">
        <w:rPr>
          <w:rFonts w:eastAsia="Calibri"/>
          <w:szCs w:val="24"/>
        </w:rPr>
        <w:t>e</w:t>
      </w:r>
      <w:r w:rsidRPr="00383486">
        <w:rPr>
          <w:rFonts w:eastAsia="Calibri"/>
          <w:szCs w:val="24"/>
        </w:rPr>
        <w:t xml:space="preserve"> </w:t>
      </w:r>
      <w:r w:rsidR="00691E8D">
        <w:rPr>
          <w:rFonts w:eastAsia="Calibri"/>
          <w:szCs w:val="24"/>
        </w:rPr>
        <w:t>I</w:t>
      </w:r>
      <w:r w:rsidRPr="00383486">
        <w:rPr>
          <w:rFonts w:eastAsia="Calibri"/>
          <w:szCs w:val="24"/>
        </w:rPr>
        <w:t>nstrument also contains provisions which</w:t>
      </w:r>
      <w:r>
        <w:rPr>
          <w:rFonts w:eastAsia="Calibri"/>
          <w:szCs w:val="24"/>
        </w:rPr>
        <w:t xml:space="preserve"> prevent a trustee from providing </w:t>
      </w:r>
      <w:r w:rsidR="00925DB7">
        <w:rPr>
          <w:rFonts w:eastAsia="Calibri"/>
          <w:szCs w:val="24"/>
        </w:rPr>
        <w:t xml:space="preserve">or tabling </w:t>
      </w:r>
      <w:r w:rsidRPr="00383486">
        <w:rPr>
          <w:rFonts w:eastAsia="Calibri"/>
          <w:szCs w:val="24"/>
        </w:rPr>
        <w:t>information</w:t>
      </w:r>
      <w:r>
        <w:rPr>
          <w:rFonts w:eastAsia="Calibri"/>
          <w:szCs w:val="24"/>
        </w:rPr>
        <w:t>,</w:t>
      </w:r>
      <w:r w:rsidRPr="00383486">
        <w:rPr>
          <w:rFonts w:eastAsia="Calibri"/>
          <w:szCs w:val="24"/>
        </w:rPr>
        <w:t xml:space="preserve"> in</w:t>
      </w:r>
      <w:r>
        <w:rPr>
          <w:rFonts w:eastAsia="Calibri"/>
          <w:szCs w:val="24"/>
        </w:rPr>
        <w:t xml:space="preserve">cluding </w:t>
      </w:r>
      <w:r w:rsidR="00691E8D">
        <w:rPr>
          <w:rFonts w:eastAsia="Calibri"/>
          <w:szCs w:val="24"/>
        </w:rPr>
        <w:t xml:space="preserve">certain information in </w:t>
      </w:r>
      <w:r>
        <w:rPr>
          <w:rFonts w:eastAsia="Calibri"/>
          <w:szCs w:val="24"/>
        </w:rPr>
        <w:t xml:space="preserve">a </w:t>
      </w:r>
      <w:r w:rsidR="001B4A3C">
        <w:rPr>
          <w:rFonts w:eastAsia="Calibri"/>
          <w:szCs w:val="24"/>
        </w:rPr>
        <w:t xml:space="preserve">regulated </w:t>
      </w:r>
      <w:r>
        <w:rPr>
          <w:rFonts w:eastAsia="Calibri"/>
          <w:szCs w:val="24"/>
        </w:rPr>
        <w:t>debtor’s</w:t>
      </w:r>
      <w:r w:rsidRPr="00383486">
        <w:rPr>
          <w:rFonts w:eastAsia="Calibri"/>
          <w:szCs w:val="24"/>
        </w:rPr>
        <w:t xml:space="preserve"> statement of affairs</w:t>
      </w:r>
      <w:r>
        <w:rPr>
          <w:rFonts w:eastAsia="Calibri"/>
          <w:szCs w:val="24"/>
        </w:rPr>
        <w:t>,</w:t>
      </w:r>
      <w:r w:rsidRPr="00383486">
        <w:rPr>
          <w:rFonts w:eastAsia="Calibri"/>
          <w:szCs w:val="24"/>
        </w:rPr>
        <w:t xml:space="preserve"> </w:t>
      </w:r>
      <w:r>
        <w:rPr>
          <w:rFonts w:eastAsia="Calibri"/>
          <w:szCs w:val="24"/>
        </w:rPr>
        <w:t>to creditors in circumstances where that particular information will not be made available to the public</w:t>
      </w:r>
      <w:r w:rsidR="00691E8D">
        <w:rPr>
          <w:rFonts w:eastAsia="Calibri"/>
          <w:szCs w:val="24"/>
        </w:rPr>
        <w:t xml:space="preserve"> (</w:t>
      </w:r>
      <w:r w:rsidR="002E5396">
        <w:rPr>
          <w:rFonts w:eastAsia="Calibri"/>
          <w:szCs w:val="24"/>
        </w:rPr>
        <w:t xml:space="preserve">see </w:t>
      </w:r>
      <w:r w:rsidR="00AE0376">
        <w:rPr>
          <w:rFonts w:eastAsia="Calibri"/>
          <w:szCs w:val="24"/>
        </w:rPr>
        <w:t>subsections 75-55(2), 75-180(4) and subparagraphs 75</w:t>
      </w:r>
      <w:r w:rsidR="00AE0376">
        <w:rPr>
          <w:rFonts w:eastAsia="Calibri"/>
          <w:szCs w:val="24"/>
        </w:rPr>
        <w:noBreakHyphen/>
      </w:r>
      <w:proofErr w:type="gramStart"/>
      <w:r w:rsidR="00AE0376">
        <w:rPr>
          <w:rFonts w:eastAsia="Calibri"/>
          <w:szCs w:val="24"/>
        </w:rPr>
        <w:t>52(</w:t>
      </w:r>
      <w:proofErr w:type="gramEnd"/>
      <w:r w:rsidR="00AE0376">
        <w:rPr>
          <w:rFonts w:eastAsia="Calibri"/>
          <w:szCs w:val="24"/>
        </w:rPr>
        <w:t>2)(2A), 75-60(2)(2A), and 75-175(2)(2A)</w:t>
      </w:r>
      <w:r w:rsidR="002E5396">
        <w:rPr>
          <w:rFonts w:eastAsia="Calibri"/>
          <w:szCs w:val="24"/>
        </w:rPr>
        <w:t xml:space="preserve"> of the Instrument</w:t>
      </w:r>
      <w:r w:rsidR="00AE0376">
        <w:rPr>
          <w:rFonts w:eastAsia="Calibri"/>
          <w:szCs w:val="24"/>
        </w:rPr>
        <w:t>)</w:t>
      </w:r>
      <w:r w:rsidRPr="00383486">
        <w:rPr>
          <w:rFonts w:eastAsia="Calibri"/>
          <w:szCs w:val="24"/>
        </w:rPr>
        <w:t xml:space="preserve">. </w:t>
      </w:r>
      <w:r>
        <w:rPr>
          <w:szCs w:val="24"/>
        </w:rPr>
        <w:t xml:space="preserve">These provisions advance the right to privacy by limiting the situations where a trustee </w:t>
      </w:r>
      <w:r w:rsidR="00691E8D">
        <w:rPr>
          <w:szCs w:val="24"/>
        </w:rPr>
        <w:t>may</w:t>
      </w:r>
      <w:r>
        <w:rPr>
          <w:szCs w:val="24"/>
        </w:rPr>
        <w:t xml:space="preserve"> publish</w:t>
      </w:r>
      <w:r w:rsidR="00691E8D">
        <w:rPr>
          <w:szCs w:val="24"/>
        </w:rPr>
        <w:t xml:space="preserve"> certain sensitive</w:t>
      </w:r>
      <w:r>
        <w:rPr>
          <w:szCs w:val="24"/>
        </w:rPr>
        <w:t xml:space="preserve"> information about </w:t>
      </w:r>
      <w:r w:rsidR="00691E8D">
        <w:rPr>
          <w:szCs w:val="24"/>
        </w:rPr>
        <w:t xml:space="preserve">a regulated debtor. </w:t>
      </w:r>
    </w:p>
    <w:p w14:paraId="0835524A" w14:textId="77777777" w:rsidR="00505489" w:rsidRDefault="00505489" w:rsidP="00DA0CFD">
      <w:pPr>
        <w:spacing w:before="100" w:beforeAutospacing="1" w:after="100" w:afterAutospacing="1"/>
        <w:rPr>
          <w:i/>
          <w:szCs w:val="24"/>
        </w:rPr>
      </w:pPr>
      <w:r>
        <w:rPr>
          <w:i/>
          <w:szCs w:val="24"/>
        </w:rPr>
        <w:t>Civil Penalties</w:t>
      </w:r>
    </w:p>
    <w:p w14:paraId="00A28873" w14:textId="03E75E6F" w:rsidR="00505489" w:rsidRDefault="008C200F" w:rsidP="00DA0CFD">
      <w:pPr>
        <w:pStyle w:val="Default"/>
        <w:spacing w:before="100" w:beforeAutospacing="1" w:after="100" w:afterAutospacing="1"/>
      </w:pPr>
      <w:r>
        <w:t xml:space="preserve">Item 49 </w:t>
      </w:r>
      <w:r w:rsidR="00A20835">
        <w:t xml:space="preserve">of the Instrument </w:t>
      </w:r>
      <w:r>
        <w:t xml:space="preserve">inserts new section 90-85 which </w:t>
      </w:r>
      <w:r w:rsidR="00505489">
        <w:t xml:space="preserve">creates an offence where a former trustee fails to notify the Official Receiver that they have been reinstated as trustee (by court order) within </w:t>
      </w:r>
      <w:r w:rsidR="00D5702C">
        <w:t>two</w:t>
      </w:r>
      <w:r w:rsidR="00505489">
        <w:t xml:space="preserve"> business days of an order being granted. The maximum penalty is $</w:t>
      </w:r>
      <w:r w:rsidR="0075351F">
        <w:t>210.00</w:t>
      </w:r>
      <w:r w:rsidR="00505489">
        <w:t xml:space="preserve"> (</w:t>
      </w:r>
      <w:r w:rsidR="0075351F">
        <w:t>1</w:t>
      </w:r>
      <w:r w:rsidR="00505489">
        <w:t xml:space="preserve"> penalty unit).</w:t>
      </w:r>
      <w:r w:rsidR="00505489">
        <w:rPr>
          <w:rStyle w:val="FootnoteReference"/>
        </w:rPr>
        <w:footnoteReference w:id="3"/>
      </w:r>
      <w:r w:rsidR="00505489">
        <w:t xml:space="preserve"> </w:t>
      </w:r>
    </w:p>
    <w:p w14:paraId="5BEB307E" w14:textId="26499DD4" w:rsidR="00505489" w:rsidRDefault="00505489" w:rsidP="00DA0CFD">
      <w:pPr>
        <w:pStyle w:val="Default"/>
        <w:spacing w:before="100" w:beforeAutospacing="1" w:after="100" w:afterAutospacing="1"/>
      </w:pPr>
      <w:r w:rsidRPr="00A64C34">
        <w:t xml:space="preserve">The Parliamentary Joint Committee on Human Rights </w:t>
      </w:r>
      <w:r w:rsidR="006B4A28">
        <w:t>Guidance</w:t>
      </w:r>
      <w:r w:rsidR="006B4A28" w:rsidRPr="00A64C34">
        <w:t xml:space="preserve"> </w:t>
      </w:r>
      <w:r w:rsidRPr="00A64C34">
        <w:t>Note 2 notes that civil penalty provisions may engage criminal process rights under Articles 14 and 15 of the ICCPR, regardless of the distinction between criminal and civil penalties in domestic law. When a provision imposes a civil penalty, an assessment is required as to whether it amounts to a ‘criminal</w:t>
      </w:r>
      <w:r>
        <w:t>’</w:t>
      </w:r>
      <w:r w:rsidRPr="00A64C34">
        <w:t xml:space="preserve"> penalty for the purposes of</w:t>
      </w:r>
      <w:r w:rsidR="00393EEC">
        <w:t xml:space="preserve"> the</w:t>
      </w:r>
      <w:r w:rsidRPr="00A64C34">
        <w:t xml:space="preserve"> ICCPR. </w:t>
      </w:r>
    </w:p>
    <w:p w14:paraId="420F2BE6" w14:textId="0C8E40E8" w:rsidR="00505489" w:rsidRDefault="00505489" w:rsidP="00DA0CFD">
      <w:pPr>
        <w:pStyle w:val="Default"/>
        <w:spacing w:before="100" w:beforeAutospacing="1" w:after="100" w:afterAutospacing="1"/>
      </w:pPr>
      <w:r>
        <w:t>The civil penalty provision</w:t>
      </w:r>
      <w:r w:rsidRPr="00A64C34">
        <w:t xml:space="preserve"> </w:t>
      </w:r>
      <w:r w:rsidR="008C200F">
        <w:t>at item 49</w:t>
      </w:r>
      <w:r w:rsidR="006B4A28">
        <w:t xml:space="preserve"> of </w:t>
      </w:r>
      <w:r w:rsidRPr="00A64C34">
        <w:t xml:space="preserve">the </w:t>
      </w:r>
      <w:r>
        <w:t>Instrument</w:t>
      </w:r>
      <w:r w:rsidRPr="00A64C34">
        <w:t xml:space="preserve"> </w:t>
      </w:r>
      <w:r w:rsidR="00D5702C">
        <w:t xml:space="preserve">(section 90-85) </w:t>
      </w:r>
      <w:r w:rsidRPr="00A64C34">
        <w:t>should not be considered ‘criminal</w:t>
      </w:r>
      <w:r>
        <w:t>’</w:t>
      </w:r>
      <w:r w:rsidRPr="00A64C34">
        <w:t xml:space="preserve"> for the purposes of human rights law. While a criminal penal</w:t>
      </w:r>
      <w:r>
        <w:t>ty is deterrent or punitive, this provision is regulatory and disciplinary</w:t>
      </w:r>
      <w:r w:rsidRPr="00A64C34">
        <w:t>.</w:t>
      </w:r>
      <w:r>
        <w:t xml:space="preserve"> </w:t>
      </w:r>
      <w:r w:rsidR="00261203">
        <w:t>Further, t</w:t>
      </w:r>
      <w:r>
        <w:t xml:space="preserve">he provision </w:t>
      </w:r>
      <w:r w:rsidRPr="00A64C34">
        <w:t>do</w:t>
      </w:r>
      <w:r>
        <w:t>es</w:t>
      </w:r>
      <w:r w:rsidRPr="00A64C34">
        <w:t xml:space="preserve"> not apply to the general public, but to a sector or class of people who should reasonably be aware of their obligations under the </w:t>
      </w:r>
      <w:r w:rsidR="00393EEC">
        <w:t>Rules</w:t>
      </w:r>
      <w:r w:rsidRPr="00A64C34">
        <w:t xml:space="preserve"> (e.g.</w:t>
      </w:r>
      <w:r>
        <w:t xml:space="preserve"> trustees</w:t>
      </w:r>
      <w:r w:rsidRPr="00A64C34">
        <w:t>)</w:t>
      </w:r>
      <w:r w:rsidR="00261203">
        <w:t>.</w:t>
      </w:r>
      <w:r>
        <w:t xml:space="preserve"> Imposing </w:t>
      </w:r>
      <w:r w:rsidR="00261203">
        <w:t>the</w:t>
      </w:r>
      <w:r>
        <w:t xml:space="preserve"> c</w:t>
      </w:r>
      <w:r w:rsidRPr="00A64C34">
        <w:t>ivil penalt</w:t>
      </w:r>
      <w:r>
        <w:t>y</w:t>
      </w:r>
      <w:r w:rsidRPr="00A64C34">
        <w:t xml:space="preserve"> will en</w:t>
      </w:r>
      <w:r>
        <w:t>able an effective disciplinary response to</w:t>
      </w:r>
      <w:r w:rsidRPr="00A64C34">
        <w:t xml:space="preserve"> non</w:t>
      </w:r>
      <w:r w:rsidR="00B34CDF">
        <w:noBreakHyphen/>
      </w:r>
      <w:r w:rsidRPr="00A64C34">
        <w:t>compliance</w:t>
      </w:r>
      <w:r w:rsidR="00261203">
        <w:t>. Finally</w:t>
      </w:r>
      <w:r>
        <w:t>, the civil penalty is for a small amount (</w:t>
      </w:r>
      <w:r w:rsidR="0075351F">
        <w:t>1</w:t>
      </w:r>
      <w:r w:rsidR="00261203">
        <w:t xml:space="preserve"> penalty unit</w:t>
      </w:r>
      <w:r>
        <w:t xml:space="preserve">), with </w:t>
      </w:r>
      <w:r w:rsidRPr="00A64C34">
        <w:t>no sanction of imprisonmen</w:t>
      </w:r>
      <w:r>
        <w:t xml:space="preserve">t for non-payment of </w:t>
      </w:r>
      <w:r w:rsidR="00261203">
        <w:t xml:space="preserve">the </w:t>
      </w:r>
      <w:r>
        <w:t>penalty.</w:t>
      </w:r>
    </w:p>
    <w:p w14:paraId="25453806" w14:textId="1B74EDC1" w:rsidR="00505489" w:rsidRPr="00CB1734" w:rsidRDefault="00505489" w:rsidP="00DA0CFD">
      <w:pPr>
        <w:spacing w:before="100" w:beforeAutospacing="1" w:after="100" w:afterAutospacing="1"/>
        <w:rPr>
          <w:szCs w:val="24"/>
          <w:u w:val="single"/>
        </w:rPr>
      </w:pPr>
      <w:r w:rsidRPr="00A64C34">
        <w:rPr>
          <w:szCs w:val="24"/>
        </w:rPr>
        <w:t xml:space="preserve">Based on the above factors, the cumulative effect </w:t>
      </w:r>
      <w:r w:rsidR="00261203">
        <w:rPr>
          <w:szCs w:val="24"/>
        </w:rPr>
        <w:t>and</w:t>
      </w:r>
      <w:r w:rsidR="00261203" w:rsidRPr="00A64C34">
        <w:rPr>
          <w:szCs w:val="24"/>
        </w:rPr>
        <w:t xml:space="preserve"> </w:t>
      </w:r>
      <w:r w:rsidRPr="00A64C34">
        <w:rPr>
          <w:szCs w:val="24"/>
        </w:rPr>
        <w:t>the nature and</w:t>
      </w:r>
      <w:r>
        <w:rPr>
          <w:szCs w:val="24"/>
        </w:rPr>
        <w:t xml:space="preserve"> severity of the civil penalty</w:t>
      </w:r>
      <w:r w:rsidRPr="00A64C34">
        <w:rPr>
          <w:szCs w:val="24"/>
        </w:rPr>
        <w:t xml:space="preserve"> in the </w:t>
      </w:r>
      <w:r>
        <w:rPr>
          <w:szCs w:val="24"/>
        </w:rPr>
        <w:t>Instrument</w:t>
      </w:r>
      <w:r w:rsidRPr="00A64C34">
        <w:rPr>
          <w:szCs w:val="24"/>
        </w:rPr>
        <w:t xml:space="preserve"> </w:t>
      </w:r>
      <w:proofErr w:type="gramStart"/>
      <w:r w:rsidRPr="00A64C34">
        <w:rPr>
          <w:szCs w:val="24"/>
        </w:rPr>
        <w:t>is</w:t>
      </w:r>
      <w:proofErr w:type="gramEnd"/>
      <w:r w:rsidRPr="00A64C34">
        <w:rPr>
          <w:szCs w:val="24"/>
        </w:rPr>
        <w:t xml:space="preserve"> unlikely to be considered ‘criminal</w:t>
      </w:r>
      <w:r>
        <w:rPr>
          <w:szCs w:val="24"/>
        </w:rPr>
        <w:t>’</w:t>
      </w:r>
      <w:r w:rsidRPr="00A64C34">
        <w:rPr>
          <w:szCs w:val="24"/>
        </w:rPr>
        <w:t xml:space="preserve"> for the purposes of human rights law.</w:t>
      </w:r>
    </w:p>
    <w:p w14:paraId="6B82FDCB" w14:textId="77777777" w:rsidR="00505489" w:rsidRPr="00383486" w:rsidRDefault="00505489" w:rsidP="00DA0CFD">
      <w:pPr>
        <w:keepNext/>
        <w:spacing w:before="100" w:beforeAutospacing="1" w:after="100" w:afterAutospacing="1"/>
        <w:outlineLvl w:val="2"/>
        <w:rPr>
          <w:b/>
          <w:szCs w:val="24"/>
        </w:rPr>
      </w:pPr>
      <w:r w:rsidRPr="00383486">
        <w:rPr>
          <w:b/>
          <w:szCs w:val="24"/>
        </w:rPr>
        <w:t>Conclusion</w:t>
      </w:r>
    </w:p>
    <w:p w14:paraId="1E9E89C5" w14:textId="5F4C605E" w:rsidR="00857FA2" w:rsidRDefault="00505489" w:rsidP="00DA0CFD">
      <w:pPr>
        <w:spacing w:before="100" w:beforeAutospacing="1" w:after="100" w:afterAutospacing="1"/>
        <w:rPr>
          <w:b/>
          <w:bCs/>
          <w:szCs w:val="24"/>
          <w:u w:val="single"/>
        </w:rPr>
      </w:pPr>
      <w:r w:rsidRPr="00D815B5">
        <w:rPr>
          <w:szCs w:val="24"/>
        </w:rPr>
        <w:t>Th</w:t>
      </w:r>
      <w:r w:rsidR="004C57CB">
        <w:rPr>
          <w:szCs w:val="24"/>
        </w:rPr>
        <w:t>e</w:t>
      </w:r>
      <w:r w:rsidRPr="00D815B5">
        <w:rPr>
          <w:szCs w:val="24"/>
        </w:rPr>
        <w:t xml:space="preserve"> Instrument is compatible with human rights.</w:t>
      </w:r>
      <w:r w:rsidR="00857FA2">
        <w:rPr>
          <w:b/>
          <w:bCs/>
          <w:szCs w:val="24"/>
          <w:u w:val="single"/>
        </w:rPr>
        <w:br w:type="page"/>
      </w:r>
    </w:p>
    <w:p w14:paraId="6EAE2C53" w14:textId="3E74B708" w:rsidR="00857FA2" w:rsidRPr="00E323CD" w:rsidRDefault="00183302" w:rsidP="00DA0CFD">
      <w:pPr>
        <w:shd w:val="clear" w:color="auto" w:fill="FFFFFF"/>
        <w:spacing w:before="100" w:beforeAutospacing="1" w:after="100" w:afterAutospacing="1"/>
        <w:jc w:val="right"/>
        <w:rPr>
          <w:szCs w:val="24"/>
          <w:lang w:val="en-US"/>
        </w:rPr>
      </w:pPr>
      <w:r w:rsidRPr="00E323CD">
        <w:rPr>
          <w:b/>
          <w:bCs/>
          <w:szCs w:val="24"/>
          <w:u w:val="single"/>
        </w:rPr>
        <w:t>ATTACHMENT</w:t>
      </w:r>
      <w:r>
        <w:rPr>
          <w:b/>
          <w:bCs/>
          <w:szCs w:val="24"/>
          <w:u w:val="single"/>
        </w:rPr>
        <w:t xml:space="preserve"> A</w:t>
      </w:r>
    </w:p>
    <w:p w14:paraId="6EAE2C54" w14:textId="15283C2E" w:rsidR="00857FA2" w:rsidRDefault="00183302" w:rsidP="00DA0CFD">
      <w:pPr>
        <w:spacing w:before="100" w:beforeAutospacing="1" w:after="100" w:afterAutospacing="1"/>
        <w:rPr>
          <w:i/>
        </w:rPr>
      </w:pPr>
      <w:r w:rsidRPr="00E323CD">
        <w:rPr>
          <w:b/>
          <w:bCs/>
          <w:szCs w:val="24"/>
          <w:u w:val="single"/>
        </w:rPr>
        <w:t xml:space="preserve">Details of the </w:t>
      </w:r>
      <w:r w:rsidR="000A26F7" w:rsidRPr="000A26F7">
        <w:rPr>
          <w:b/>
          <w:i/>
          <w:u w:val="single"/>
        </w:rPr>
        <w:t>Insolvency Practice (Bankruptcy) Amendment (Minor Amendments) Rules 2017</w:t>
      </w:r>
    </w:p>
    <w:p w14:paraId="6EAE2C55" w14:textId="1019CECB" w:rsidR="00857FA2" w:rsidRDefault="00183302" w:rsidP="00DA0CFD">
      <w:pPr>
        <w:spacing w:before="100" w:beforeAutospacing="1" w:after="100" w:afterAutospacing="1"/>
        <w:rPr>
          <w:szCs w:val="24"/>
          <w:lang w:val="en-US"/>
        </w:rPr>
      </w:pPr>
      <w:r>
        <w:rPr>
          <w:szCs w:val="24"/>
          <w:lang w:val="en-US"/>
        </w:rPr>
        <w:t xml:space="preserve">This Attachment sets out further details of the </w:t>
      </w:r>
      <w:r w:rsidR="00921FEE" w:rsidRPr="00421A05">
        <w:rPr>
          <w:i/>
          <w:szCs w:val="24"/>
          <w:lang w:val="en-US"/>
        </w:rPr>
        <w:t>Insolvency Practice (Bankruptcy) Amendment (Minor Amendments) Rules 2017</w:t>
      </w:r>
      <w:r w:rsidR="00C370E3">
        <w:rPr>
          <w:szCs w:val="24"/>
          <w:lang w:val="en-US"/>
        </w:rPr>
        <w:t xml:space="preserve"> (the Instrument)</w:t>
      </w:r>
      <w:r w:rsidR="00921FEE">
        <w:rPr>
          <w:szCs w:val="24"/>
          <w:lang w:val="en-US"/>
        </w:rPr>
        <w:t>.</w:t>
      </w:r>
      <w:r>
        <w:rPr>
          <w:szCs w:val="24"/>
          <w:lang w:val="en-US"/>
        </w:rPr>
        <w:t xml:space="preserve"> </w:t>
      </w:r>
      <w:r w:rsidRPr="00E323CD">
        <w:rPr>
          <w:szCs w:val="24"/>
          <w:lang w:val="en-US"/>
        </w:rPr>
        <w:t xml:space="preserve">All references </w:t>
      </w:r>
      <w:r w:rsidR="00F97621">
        <w:rPr>
          <w:szCs w:val="24"/>
          <w:lang w:val="en-US"/>
        </w:rPr>
        <w:t>to a section should be taken as a reference to a section of</w:t>
      </w:r>
      <w:r w:rsidRPr="00E323CD">
        <w:rPr>
          <w:szCs w:val="24"/>
          <w:lang w:val="en-US"/>
        </w:rPr>
        <w:t xml:space="preserve"> the</w:t>
      </w:r>
      <w:r>
        <w:rPr>
          <w:szCs w:val="24"/>
          <w:lang w:val="en-US"/>
        </w:rPr>
        <w:t xml:space="preserve"> Instrument</w:t>
      </w:r>
      <w:r w:rsidRPr="00E323CD">
        <w:rPr>
          <w:szCs w:val="24"/>
          <w:lang w:val="en-US"/>
        </w:rPr>
        <w:t xml:space="preserve"> unless otherwise stated.</w:t>
      </w:r>
    </w:p>
    <w:p w14:paraId="59C60152" w14:textId="54E7781A" w:rsidR="00421A05" w:rsidRDefault="00421A05" w:rsidP="00DA0CFD">
      <w:pPr>
        <w:shd w:val="clear" w:color="auto" w:fill="FFFFFF"/>
        <w:spacing w:before="100" w:beforeAutospacing="1" w:after="100" w:afterAutospacing="1"/>
        <w:rPr>
          <w:b/>
          <w:bCs/>
          <w:szCs w:val="24"/>
          <w:u w:val="single"/>
        </w:rPr>
      </w:pPr>
      <w:r>
        <w:rPr>
          <w:b/>
          <w:bCs/>
          <w:szCs w:val="24"/>
          <w:u w:val="single"/>
        </w:rPr>
        <w:t>Section 1 – Name</w:t>
      </w:r>
    </w:p>
    <w:p w14:paraId="2220EDAA" w14:textId="5857AFB1" w:rsidR="00421A05" w:rsidRDefault="00421A05" w:rsidP="00DA0CFD">
      <w:pPr>
        <w:shd w:val="clear" w:color="auto" w:fill="FFFFFF"/>
        <w:spacing w:before="100" w:beforeAutospacing="1" w:after="100" w:afterAutospacing="1"/>
        <w:rPr>
          <w:bCs/>
          <w:szCs w:val="24"/>
        </w:rPr>
      </w:pPr>
      <w:r>
        <w:rPr>
          <w:bCs/>
          <w:szCs w:val="24"/>
        </w:rPr>
        <w:t xml:space="preserve">This section provides that the title of the Instrument is the </w:t>
      </w:r>
      <w:r>
        <w:rPr>
          <w:bCs/>
          <w:i/>
          <w:szCs w:val="24"/>
        </w:rPr>
        <w:t>Insolvency Practice (Bankruptcy) Amendment (Minor Amendments) Rules 2017</w:t>
      </w:r>
      <w:r>
        <w:rPr>
          <w:bCs/>
          <w:szCs w:val="24"/>
        </w:rPr>
        <w:t>.</w:t>
      </w:r>
    </w:p>
    <w:p w14:paraId="36FC0B7F" w14:textId="1811C422" w:rsidR="00421A05" w:rsidRDefault="00421A05" w:rsidP="00DA0CFD">
      <w:pPr>
        <w:shd w:val="clear" w:color="auto" w:fill="FFFFFF"/>
        <w:spacing w:before="100" w:beforeAutospacing="1" w:after="100" w:afterAutospacing="1"/>
        <w:rPr>
          <w:b/>
          <w:bCs/>
          <w:szCs w:val="24"/>
          <w:u w:val="single"/>
        </w:rPr>
      </w:pPr>
      <w:r>
        <w:rPr>
          <w:b/>
          <w:bCs/>
          <w:szCs w:val="24"/>
          <w:u w:val="single"/>
        </w:rPr>
        <w:t>Section 2 – Commencement</w:t>
      </w:r>
    </w:p>
    <w:p w14:paraId="7E51CAB8" w14:textId="485CB01D" w:rsidR="00421A05" w:rsidRDefault="00421A05" w:rsidP="00DA0CFD">
      <w:pPr>
        <w:shd w:val="clear" w:color="auto" w:fill="FFFFFF"/>
        <w:spacing w:before="100" w:beforeAutospacing="1" w:after="100" w:afterAutospacing="1"/>
        <w:rPr>
          <w:bCs/>
          <w:szCs w:val="24"/>
        </w:rPr>
      </w:pPr>
      <w:r>
        <w:rPr>
          <w:bCs/>
          <w:szCs w:val="24"/>
        </w:rPr>
        <w:t xml:space="preserve">This section provides that sections 1 to 4 and items 1 to </w:t>
      </w:r>
      <w:r w:rsidR="00044A2A">
        <w:rPr>
          <w:bCs/>
          <w:szCs w:val="24"/>
        </w:rPr>
        <w:t xml:space="preserve">5 </w:t>
      </w:r>
      <w:r>
        <w:rPr>
          <w:bCs/>
          <w:szCs w:val="24"/>
        </w:rPr>
        <w:t xml:space="preserve">of Schedule 1 of the Instrument will commence the day after the Instrument is registered. This section also provides that items </w:t>
      </w:r>
      <w:r w:rsidR="00044A2A">
        <w:rPr>
          <w:bCs/>
          <w:szCs w:val="24"/>
        </w:rPr>
        <w:t>6</w:t>
      </w:r>
      <w:r>
        <w:rPr>
          <w:bCs/>
          <w:szCs w:val="24"/>
        </w:rPr>
        <w:t xml:space="preserve"> to </w:t>
      </w:r>
      <w:r w:rsidR="00044A2A">
        <w:rPr>
          <w:bCs/>
          <w:szCs w:val="24"/>
        </w:rPr>
        <w:t xml:space="preserve">49 of Schedule 1 </w:t>
      </w:r>
      <w:r>
        <w:rPr>
          <w:bCs/>
          <w:szCs w:val="24"/>
        </w:rPr>
        <w:t>of the Instrument will commence on 1</w:t>
      </w:r>
      <w:r w:rsidR="00394DE0">
        <w:rPr>
          <w:bCs/>
          <w:szCs w:val="24"/>
        </w:rPr>
        <w:t> </w:t>
      </w:r>
      <w:r>
        <w:rPr>
          <w:bCs/>
          <w:szCs w:val="24"/>
        </w:rPr>
        <w:t>September 2017.</w:t>
      </w:r>
      <w:r w:rsidR="0095425A">
        <w:rPr>
          <w:bCs/>
          <w:szCs w:val="24"/>
        </w:rPr>
        <w:t xml:space="preserve"> This date has been selected to ensure that the Instrument commences on the same day that Part 3 of Schedule 2 of the </w:t>
      </w:r>
      <w:r w:rsidR="0095425A" w:rsidRPr="00421A05">
        <w:rPr>
          <w:bCs/>
          <w:i/>
          <w:szCs w:val="24"/>
        </w:rPr>
        <w:t>Bankruptcy Act 1966</w:t>
      </w:r>
      <w:r w:rsidR="0095425A">
        <w:rPr>
          <w:bCs/>
          <w:szCs w:val="24"/>
        </w:rPr>
        <w:t xml:space="preserve"> commences, which is 1 September 2017. </w:t>
      </w:r>
    </w:p>
    <w:p w14:paraId="02E3E9A6" w14:textId="0BFD52C5" w:rsidR="00421A05" w:rsidRDefault="00421A05" w:rsidP="00DA0CFD">
      <w:pPr>
        <w:shd w:val="clear" w:color="auto" w:fill="FFFFFF"/>
        <w:spacing w:before="100" w:beforeAutospacing="1" w:after="100" w:afterAutospacing="1"/>
        <w:rPr>
          <w:b/>
          <w:bCs/>
          <w:szCs w:val="24"/>
          <w:u w:val="single"/>
        </w:rPr>
      </w:pPr>
      <w:r>
        <w:rPr>
          <w:b/>
          <w:bCs/>
          <w:szCs w:val="24"/>
          <w:u w:val="single"/>
        </w:rPr>
        <w:t>Section 3 – Authority</w:t>
      </w:r>
    </w:p>
    <w:p w14:paraId="693E51FA" w14:textId="75C28163" w:rsidR="00421A05" w:rsidRDefault="00421A05" w:rsidP="00DA0CFD">
      <w:pPr>
        <w:shd w:val="clear" w:color="auto" w:fill="FFFFFF"/>
        <w:spacing w:before="100" w:beforeAutospacing="1" w:after="100" w:afterAutospacing="1"/>
        <w:rPr>
          <w:bCs/>
          <w:szCs w:val="24"/>
        </w:rPr>
      </w:pPr>
      <w:r>
        <w:rPr>
          <w:bCs/>
          <w:szCs w:val="24"/>
        </w:rPr>
        <w:t>This section prov</w:t>
      </w:r>
      <w:r w:rsidR="0075351F">
        <w:rPr>
          <w:bCs/>
          <w:szCs w:val="24"/>
        </w:rPr>
        <w:t>ide</w:t>
      </w:r>
      <w:r>
        <w:rPr>
          <w:bCs/>
          <w:szCs w:val="24"/>
        </w:rPr>
        <w:t xml:space="preserve">s that the Instrument is made under the </w:t>
      </w:r>
      <w:r>
        <w:rPr>
          <w:bCs/>
          <w:i/>
          <w:szCs w:val="24"/>
        </w:rPr>
        <w:t>Bankruptcy Act 1966</w:t>
      </w:r>
      <w:r>
        <w:rPr>
          <w:bCs/>
          <w:szCs w:val="24"/>
        </w:rPr>
        <w:t>.</w:t>
      </w:r>
    </w:p>
    <w:p w14:paraId="5B9CE6D1" w14:textId="4D2480DE" w:rsidR="00421A05" w:rsidRDefault="0001190A" w:rsidP="00DA0CFD">
      <w:pPr>
        <w:shd w:val="clear" w:color="auto" w:fill="FFFFFF"/>
        <w:spacing w:before="100" w:beforeAutospacing="1" w:after="100" w:afterAutospacing="1"/>
        <w:rPr>
          <w:b/>
          <w:bCs/>
          <w:szCs w:val="24"/>
          <w:u w:val="single"/>
        </w:rPr>
      </w:pPr>
      <w:r>
        <w:rPr>
          <w:b/>
          <w:bCs/>
          <w:szCs w:val="24"/>
          <w:u w:val="single"/>
        </w:rPr>
        <w:t>Section 4 – Schedules</w:t>
      </w:r>
    </w:p>
    <w:p w14:paraId="4BFF56B9" w14:textId="41EAADC6" w:rsidR="0001190A" w:rsidRPr="0001190A" w:rsidRDefault="0001190A" w:rsidP="00DA0CFD">
      <w:pPr>
        <w:shd w:val="clear" w:color="auto" w:fill="FFFFFF"/>
        <w:spacing w:before="100" w:beforeAutospacing="1" w:after="100" w:afterAutospacing="1"/>
        <w:rPr>
          <w:bCs/>
          <w:szCs w:val="24"/>
        </w:rPr>
      </w:pPr>
      <w:r>
        <w:rPr>
          <w:bCs/>
          <w:szCs w:val="24"/>
        </w:rPr>
        <w:t>This section provides that each instrument that is specified in a Schedule to this Instrument is amended or repealed as set out in the applicable items in the Schedule concerned, and any other item in a Schedule to th</w:t>
      </w:r>
      <w:r w:rsidR="0095425A">
        <w:rPr>
          <w:bCs/>
          <w:szCs w:val="24"/>
        </w:rPr>
        <w:t>e</w:t>
      </w:r>
      <w:r>
        <w:rPr>
          <w:bCs/>
          <w:szCs w:val="24"/>
        </w:rPr>
        <w:t xml:space="preserve"> Instrument has effect according to its terms.</w:t>
      </w:r>
    </w:p>
    <w:p w14:paraId="0FC70E66" w14:textId="566D8E70" w:rsidR="00421A05" w:rsidRDefault="0001190A" w:rsidP="00DA0CFD">
      <w:pPr>
        <w:shd w:val="clear" w:color="auto" w:fill="FFFFFF"/>
        <w:spacing w:before="100" w:beforeAutospacing="1" w:after="100" w:afterAutospacing="1"/>
        <w:rPr>
          <w:b/>
          <w:bCs/>
          <w:szCs w:val="24"/>
          <w:u w:val="single"/>
        </w:rPr>
      </w:pPr>
      <w:r>
        <w:rPr>
          <w:b/>
          <w:bCs/>
          <w:szCs w:val="24"/>
          <w:u w:val="single"/>
        </w:rPr>
        <w:t>Schedule 1 – Amendments</w:t>
      </w:r>
    </w:p>
    <w:p w14:paraId="3778D6C5" w14:textId="43FE30A9" w:rsidR="0001190A" w:rsidRPr="0001190A" w:rsidRDefault="0001190A" w:rsidP="00DA0CFD">
      <w:pPr>
        <w:shd w:val="clear" w:color="auto" w:fill="FFFFFF"/>
        <w:spacing w:before="100" w:beforeAutospacing="1" w:after="100" w:afterAutospacing="1"/>
        <w:rPr>
          <w:bCs/>
          <w:szCs w:val="24"/>
        </w:rPr>
      </w:pPr>
      <w:r>
        <w:rPr>
          <w:bCs/>
          <w:szCs w:val="24"/>
        </w:rPr>
        <w:t xml:space="preserve">Schedule 1 of the Instrument sets out amendments to the Instrument as follows: </w:t>
      </w:r>
    </w:p>
    <w:p w14:paraId="6EAE2C57" w14:textId="3913E6ED" w:rsidR="00857FA2" w:rsidRPr="0001190A" w:rsidRDefault="004F201F" w:rsidP="00DA0CFD">
      <w:pPr>
        <w:shd w:val="clear" w:color="auto" w:fill="FFFFFF"/>
        <w:spacing w:before="100" w:beforeAutospacing="1" w:after="100" w:afterAutospacing="1"/>
        <w:rPr>
          <w:i/>
          <w:szCs w:val="24"/>
          <w:lang w:val="en-US"/>
        </w:rPr>
      </w:pPr>
      <w:r w:rsidRPr="0001190A">
        <w:rPr>
          <w:i/>
          <w:iCs/>
          <w:szCs w:val="24"/>
        </w:rPr>
        <w:t>Item 1</w:t>
      </w:r>
      <w:r w:rsidR="0001190A" w:rsidRPr="0001190A">
        <w:rPr>
          <w:i/>
          <w:iCs/>
          <w:szCs w:val="24"/>
        </w:rPr>
        <w:t xml:space="preserve"> - </w:t>
      </w:r>
      <w:r w:rsidRPr="0001190A">
        <w:rPr>
          <w:i/>
          <w:iCs/>
          <w:szCs w:val="24"/>
        </w:rPr>
        <w:t>Before Section 42-1</w:t>
      </w:r>
    </w:p>
    <w:p w14:paraId="6EAE2C58" w14:textId="196820AA" w:rsidR="00857FA2" w:rsidRDefault="0001190A" w:rsidP="00DA0CFD">
      <w:pPr>
        <w:shd w:val="clear" w:color="auto" w:fill="FFFFFF"/>
        <w:spacing w:before="100" w:beforeAutospacing="1" w:after="100" w:afterAutospacing="1"/>
        <w:rPr>
          <w:szCs w:val="24"/>
        </w:rPr>
      </w:pPr>
      <w:r>
        <w:rPr>
          <w:szCs w:val="24"/>
        </w:rPr>
        <w:t>Item 1 of Schedule 1</w:t>
      </w:r>
      <w:r w:rsidR="004F201F">
        <w:rPr>
          <w:szCs w:val="24"/>
        </w:rPr>
        <w:t xml:space="preserve"> inser</w:t>
      </w:r>
      <w:r w:rsidR="00BF6C9D">
        <w:rPr>
          <w:szCs w:val="24"/>
        </w:rPr>
        <w:t>t</w:t>
      </w:r>
      <w:r w:rsidR="00A23E72">
        <w:rPr>
          <w:szCs w:val="24"/>
        </w:rPr>
        <w:t>s</w:t>
      </w:r>
      <w:r w:rsidR="004F201F">
        <w:rPr>
          <w:szCs w:val="24"/>
        </w:rPr>
        <w:t xml:space="preserve"> </w:t>
      </w:r>
      <w:r w:rsidR="00967005">
        <w:rPr>
          <w:szCs w:val="24"/>
        </w:rPr>
        <w:t>the heading</w:t>
      </w:r>
      <w:r w:rsidR="004F201F">
        <w:rPr>
          <w:szCs w:val="24"/>
        </w:rPr>
        <w:t xml:space="preserve"> ‘</w:t>
      </w:r>
      <w:r w:rsidR="004F201F" w:rsidRPr="004F201F">
        <w:rPr>
          <w:szCs w:val="24"/>
        </w:rPr>
        <w:t>Subdivision AA—Introduction</w:t>
      </w:r>
      <w:r w:rsidR="004F201F">
        <w:rPr>
          <w:szCs w:val="24"/>
        </w:rPr>
        <w:t>’ to</w:t>
      </w:r>
      <w:r w:rsidR="00967005">
        <w:rPr>
          <w:szCs w:val="24"/>
        </w:rPr>
        <w:t xml:space="preserve"> ensure consistency of style within the Instrument.</w:t>
      </w:r>
    </w:p>
    <w:p w14:paraId="6EAE2C59" w14:textId="463499E4" w:rsidR="00857FA2" w:rsidRPr="0001190A" w:rsidRDefault="004F201F" w:rsidP="00394DE0">
      <w:pPr>
        <w:keepNext/>
        <w:shd w:val="clear" w:color="auto" w:fill="FFFFFF"/>
        <w:spacing w:before="100" w:beforeAutospacing="1" w:after="100" w:afterAutospacing="1"/>
        <w:rPr>
          <w:i/>
          <w:szCs w:val="24"/>
          <w:lang w:val="en-US"/>
        </w:rPr>
      </w:pPr>
      <w:r w:rsidRPr="0001190A">
        <w:rPr>
          <w:i/>
          <w:szCs w:val="24"/>
        </w:rPr>
        <w:t>Item 2</w:t>
      </w:r>
      <w:r w:rsidR="0001190A">
        <w:rPr>
          <w:i/>
          <w:szCs w:val="24"/>
        </w:rPr>
        <w:t xml:space="preserve"> - </w:t>
      </w:r>
      <w:r w:rsidRPr="0001190A">
        <w:rPr>
          <w:i/>
          <w:iCs/>
          <w:szCs w:val="24"/>
        </w:rPr>
        <w:t>Afte</w:t>
      </w:r>
      <w:r w:rsidR="00BF6C9D" w:rsidRPr="0001190A">
        <w:rPr>
          <w:i/>
          <w:iCs/>
          <w:szCs w:val="24"/>
        </w:rPr>
        <w:t>r s</w:t>
      </w:r>
      <w:r w:rsidRPr="0001190A">
        <w:rPr>
          <w:i/>
          <w:iCs/>
          <w:szCs w:val="24"/>
        </w:rPr>
        <w:t xml:space="preserve">ection 42-4 </w:t>
      </w:r>
    </w:p>
    <w:p w14:paraId="38C953F1" w14:textId="0DFADD5A" w:rsidR="004F201F" w:rsidRDefault="00293A48" w:rsidP="00394DE0">
      <w:pPr>
        <w:keepNext/>
        <w:spacing w:before="100" w:beforeAutospacing="1" w:after="100" w:afterAutospacing="1"/>
        <w:rPr>
          <w:szCs w:val="24"/>
        </w:rPr>
      </w:pPr>
      <w:r>
        <w:rPr>
          <w:szCs w:val="24"/>
        </w:rPr>
        <w:t>Item 2 of Schedule 1</w:t>
      </w:r>
      <w:r w:rsidR="004F201F">
        <w:rPr>
          <w:szCs w:val="24"/>
        </w:rPr>
        <w:t xml:space="preserve"> ins</w:t>
      </w:r>
      <w:r w:rsidR="00BF6C9D">
        <w:rPr>
          <w:szCs w:val="24"/>
        </w:rPr>
        <w:t>ert</w:t>
      </w:r>
      <w:r w:rsidR="00146F41">
        <w:rPr>
          <w:szCs w:val="24"/>
        </w:rPr>
        <w:t>s</w:t>
      </w:r>
      <w:r w:rsidR="004F201F">
        <w:rPr>
          <w:szCs w:val="24"/>
        </w:rPr>
        <w:t xml:space="preserve"> section 42-4A into </w:t>
      </w:r>
      <w:r w:rsidR="00146F41">
        <w:rPr>
          <w:szCs w:val="24"/>
        </w:rPr>
        <w:t xml:space="preserve">the new </w:t>
      </w:r>
      <w:r w:rsidR="004F201F">
        <w:rPr>
          <w:szCs w:val="24"/>
        </w:rPr>
        <w:t>‘</w:t>
      </w:r>
      <w:r w:rsidR="004F201F" w:rsidRPr="004F201F">
        <w:rPr>
          <w:szCs w:val="24"/>
        </w:rPr>
        <w:t>Subdivision AA—Introduction</w:t>
      </w:r>
      <w:r w:rsidR="004F201F">
        <w:rPr>
          <w:szCs w:val="24"/>
        </w:rPr>
        <w:t>’. This section oblig</w:t>
      </w:r>
      <w:r w:rsidR="00146F41">
        <w:rPr>
          <w:szCs w:val="24"/>
        </w:rPr>
        <w:t>es</w:t>
      </w:r>
      <w:r w:rsidR="004F201F">
        <w:rPr>
          <w:szCs w:val="24"/>
        </w:rPr>
        <w:t xml:space="preserve"> </w:t>
      </w:r>
      <w:r w:rsidR="00146F41">
        <w:rPr>
          <w:szCs w:val="24"/>
        </w:rPr>
        <w:t xml:space="preserve">a registered </w:t>
      </w:r>
      <w:r w:rsidR="004F201F">
        <w:rPr>
          <w:szCs w:val="24"/>
        </w:rPr>
        <w:t xml:space="preserve">trustee </w:t>
      </w:r>
      <w:r w:rsidR="00146F41">
        <w:rPr>
          <w:szCs w:val="24"/>
        </w:rPr>
        <w:t xml:space="preserve">to </w:t>
      </w:r>
      <w:r w:rsidR="004F201F">
        <w:rPr>
          <w:szCs w:val="24"/>
        </w:rPr>
        <w:t xml:space="preserve">ensure that </w:t>
      </w:r>
      <w:r w:rsidR="004F201F" w:rsidRPr="004F201F">
        <w:rPr>
          <w:szCs w:val="24"/>
        </w:rPr>
        <w:t>his or her employees comply with Division 42</w:t>
      </w:r>
      <w:r w:rsidR="00DF3ECC">
        <w:rPr>
          <w:szCs w:val="24"/>
        </w:rPr>
        <w:t xml:space="preserve"> of the Rules</w:t>
      </w:r>
      <w:r w:rsidR="004F201F">
        <w:rPr>
          <w:szCs w:val="24"/>
        </w:rPr>
        <w:t xml:space="preserve">. </w:t>
      </w:r>
      <w:r w:rsidR="00DF3ECC">
        <w:rPr>
          <w:szCs w:val="24"/>
        </w:rPr>
        <w:t>Previously t</w:t>
      </w:r>
      <w:r w:rsidR="004F201F">
        <w:rPr>
          <w:szCs w:val="24"/>
        </w:rPr>
        <w:t>his obligation</w:t>
      </w:r>
      <w:r w:rsidR="001029B3">
        <w:rPr>
          <w:szCs w:val="24"/>
        </w:rPr>
        <w:t xml:space="preserve"> </w:t>
      </w:r>
      <w:r w:rsidR="004F201F">
        <w:rPr>
          <w:szCs w:val="24"/>
        </w:rPr>
        <w:t>existed in section 42-25</w:t>
      </w:r>
      <w:r w:rsidR="001029B3">
        <w:rPr>
          <w:szCs w:val="24"/>
        </w:rPr>
        <w:t xml:space="preserve"> of the Rules</w:t>
      </w:r>
      <w:r w:rsidR="004F201F">
        <w:rPr>
          <w:szCs w:val="24"/>
        </w:rPr>
        <w:t xml:space="preserve"> which limited the application</w:t>
      </w:r>
      <w:r w:rsidR="001029B3">
        <w:rPr>
          <w:szCs w:val="24"/>
        </w:rPr>
        <w:t xml:space="preserve"> of employee</w:t>
      </w:r>
      <w:r w:rsidR="00DF3ECC">
        <w:rPr>
          <w:szCs w:val="24"/>
        </w:rPr>
        <w:t>s’</w:t>
      </w:r>
      <w:r w:rsidR="001029B3">
        <w:rPr>
          <w:szCs w:val="24"/>
        </w:rPr>
        <w:t xml:space="preserve"> obligations</w:t>
      </w:r>
      <w:r w:rsidR="004F201F">
        <w:rPr>
          <w:szCs w:val="24"/>
        </w:rPr>
        <w:t xml:space="preserve"> to Subdivision </w:t>
      </w:r>
      <w:proofErr w:type="gramStart"/>
      <w:r w:rsidR="004F201F">
        <w:rPr>
          <w:szCs w:val="24"/>
        </w:rPr>
        <w:t>A</w:t>
      </w:r>
      <w:proofErr w:type="gramEnd"/>
      <w:r w:rsidR="001029B3">
        <w:rPr>
          <w:szCs w:val="24"/>
        </w:rPr>
        <w:t xml:space="preserve"> of Division 42. Subdivision A outlines general standards for trustees including the requirement to act honestly and impartially and to notify creditors of</w:t>
      </w:r>
      <w:r w:rsidR="00DF3ECC">
        <w:rPr>
          <w:szCs w:val="24"/>
        </w:rPr>
        <w:t>,</w:t>
      </w:r>
      <w:r w:rsidR="001029B3">
        <w:rPr>
          <w:szCs w:val="24"/>
        </w:rPr>
        <w:t xml:space="preserve"> and </w:t>
      </w:r>
      <w:r w:rsidR="00DF3ECC">
        <w:rPr>
          <w:szCs w:val="24"/>
        </w:rPr>
        <w:t xml:space="preserve">take steps </w:t>
      </w:r>
      <w:r w:rsidR="001029B3">
        <w:rPr>
          <w:szCs w:val="24"/>
        </w:rPr>
        <w:t>to avoid</w:t>
      </w:r>
      <w:r w:rsidR="00DF3ECC">
        <w:rPr>
          <w:szCs w:val="24"/>
        </w:rPr>
        <w:t>,</w:t>
      </w:r>
      <w:r w:rsidR="001029B3">
        <w:rPr>
          <w:szCs w:val="24"/>
        </w:rPr>
        <w:t xml:space="preserve"> conflicts of interest</w:t>
      </w:r>
      <w:r w:rsidR="004F201F">
        <w:rPr>
          <w:szCs w:val="24"/>
        </w:rPr>
        <w:t xml:space="preserve">. By inserting </w:t>
      </w:r>
      <w:r w:rsidR="00F07E2B">
        <w:rPr>
          <w:szCs w:val="24"/>
        </w:rPr>
        <w:t>section 42-4A</w:t>
      </w:r>
      <w:r w:rsidR="004F201F">
        <w:rPr>
          <w:szCs w:val="24"/>
        </w:rPr>
        <w:t xml:space="preserve"> into the</w:t>
      </w:r>
      <w:r w:rsidR="00DF3ECC">
        <w:rPr>
          <w:szCs w:val="24"/>
        </w:rPr>
        <w:t xml:space="preserve"> new </w:t>
      </w:r>
      <w:r w:rsidR="00DF3ECC" w:rsidRPr="00DF3ECC">
        <w:rPr>
          <w:szCs w:val="24"/>
        </w:rPr>
        <w:t>Subdivision AA</w:t>
      </w:r>
      <w:r w:rsidR="004F201F">
        <w:rPr>
          <w:szCs w:val="24"/>
        </w:rPr>
        <w:t xml:space="preserve"> of Division 42, </w:t>
      </w:r>
      <w:r w:rsidR="00C87111">
        <w:rPr>
          <w:szCs w:val="24"/>
        </w:rPr>
        <w:t>trustee’s employees</w:t>
      </w:r>
      <w:r w:rsidR="00F07E2B">
        <w:rPr>
          <w:szCs w:val="24"/>
        </w:rPr>
        <w:t xml:space="preserve"> will now be required to comply with the entire</w:t>
      </w:r>
      <w:r w:rsidR="003D54DF">
        <w:rPr>
          <w:szCs w:val="24"/>
        </w:rPr>
        <w:t>t</w:t>
      </w:r>
      <w:r w:rsidR="00F07E2B">
        <w:rPr>
          <w:szCs w:val="24"/>
        </w:rPr>
        <w:t>y of Division 42</w:t>
      </w:r>
      <w:r w:rsidR="004F201F">
        <w:rPr>
          <w:szCs w:val="24"/>
        </w:rPr>
        <w:t>.</w:t>
      </w:r>
    </w:p>
    <w:p w14:paraId="5079B536" w14:textId="717DCF4E" w:rsidR="004F201F" w:rsidRPr="001029B3" w:rsidRDefault="004F201F" w:rsidP="00DA0CFD">
      <w:pPr>
        <w:shd w:val="clear" w:color="auto" w:fill="FFFFFF"/>
        <w:spacing w:before="100" w:beforeAutospacing="1" w:after="100" w:afterAutospacing="1"/>
        <w:rPr>
          <w:i/>
        </w:rPr>
      </w:pPr>
      <w:r w:rsidRPr="001029B3">
        <w:rPr>
          <w:i/>
          <w:szCs w:val="24"/>
        </w:rPr>
        <w:t>Item 3</w:t>
      </w:r>
      <w:r w:rsidR="001029B3" w:rsidRPr="001029B3">
        <w:rPr>
          <w:i/>
          <w:szCs w:val="24"/>
        </w:rPr>
        <w:t xml:space="preserve"> - </w:t>
      </w:r>
      <w:r w:rsidRPr="001029B3">
        <w:rPr>
          <w:i/>
        </w:rPr>
        <w:t>Section 42</w:t>
      </w:r>
      <w:r w:rsidRPr="001029B3">
        <w:rPr>
          <w:i/>
        </w:rPr>
        <w:noBreakHyphen/>
        <w:t>25</w:t>
      </w:r>
    </w:p>
    <w:p w14:paraId="66EB8BD9" w14:textId="2EC0841C" w:rsidR="004F201F" w:rsidRDefault="004F201F" w:rsidP="00DA0CFD">
      <w:pPr>
        <w:shd w:val="clear" w:color="auto" w:fill="FFFFFF"/>
        <w:spacing w:before="100" w:beforeAutospacing="1" w:after="100" w:afterAutospacing="1"/>
        <w:rPr>
          <w:szCs w:val="24"/>
        </w:rPr>
      </w:pPr>
      <w:r>
        <w:rPr>
          <w:szCs w:val="24"/>
        </w:rPr>
        <w:t xml:space="preserve">Item 3 </w:t>
      </w:r>
      <w:r w:rsidR="00293A48">
        <w:rPr>
          <w:szCs w:val="24"/>
        </w:rPr>
        <w:t xml:space="preserve">of Schedule 1 </w:t>
      </w:r>
      <w:r>
        <w:rPr>
          <w:szCs w:val="24"/>
        </w:rPr>
        <w:t>repeals section 42-25</w:t>
      </w:r>
      <w:r w:rsidR="00B34CDF">
        <w:rPr>
          <w:szCs w:val="24"/>
        </w:rPr>
        <w:t xml:space="preserve"> of the Rules</w:t>
      </w:r>
      <w:r>
        <w:rPr>
          <w:szCs w:val="24"/>
        </w:rPr>
        <w:t xml:space="preserve">. This section contained </w:t>
      </w:r>
      <w:r w:rsidR="00D5702C">
        <w:rPr>
          <w:szCs w:val="24"/>
        </w:rPr>
        <w:t xml:space="preserve">the </w:t>
      </w:r>
      <w:r>
        <w:rPr>
          <w:szCs w:val="24"/>
        </w:rPr>
        <w:t xml:space="preserve">obligation that </w:t>
      </w:r>
      <w:r w:rsidR="00FC2C34">
        <w:rPr>
          <w:szCs w:val="24"/>
        </w:rPr>
        <w:t>a trustee ensures</w:t>
      </w:r>
      <w:r w:rsidR="00BF6C9D">
        <w:rPr>
          <w:szCs w:val="24"/>
        </w:rPr>
        <w:t xml:space="preserve"> that </w:t>
      </w:r>
      <w:r w:rsidR="00BF6C9D" w:rsidRPr="004F201F">
        <w:rPr>
          <w:szCs w:val="24"/>
        </w:rPr>
        <w:t>his or her employees comply with</w:t>
      </w:r>
      <w:r w:rsidR="00BF6C9D">
        <w:rPr>
          <w:szCs w:val="24"/>
        </w:rPr>
        <w:t xml:space="preserve"> Subdivision A. This obligation will </w:t>
      </w:r>
      <w:r w:rsidR="00293A48">
        <w:rPr>
          <w:szCs w:val="24"/>
        </w:rPr>
        <w:t xml:space="preserve">now </w:t>
      </w:r>
      <w:r w:rsidR="00BF6C9D">
        <w:rPr>
          <w:szCs w:val="24"/>
        </w:rPr>
        <w:t xml:space="preserve">exist </w:t>
      </w:r>
      <w:r w:rsidR="00A23E72">
        <w:rPr>
          <w:szCs w:val="24"/>
        </w:rPr>
        <w:t>under the new</w:t>
      </w:r>
      <w:r w:rsidR="00BF6C9D">
        <w:rPr>
          <w:szCs w:val="24"/>
        </w:rPr>
        <w:t xml:space="preserve"> </w:t>
      </w:r>
      <w:r w:rsidR="00A23E72">
        <w:rPr>
          <w:szCs w:val="24"/>
        </w:rPr>
        <w:t>‘</w:t>
      </w:r>
      <w:r w:rsidR="00BF6C9D" w:rsidRPr="004F201F">
        <w:rPr>
          <w:szCs w:val="24"/>
        </w:rPr>
        <w:t>Subdivision AA—Introduction</w:t>
      </w:r>
      <w:r w:rsidR="00A23E72">
        <w:rPr>
          <w:szCs w:val="24"/>
        </w:rPr>
        <w:t>’</w:t>
      </w:r>
      <w:r w:rsidR="00BF6C9D">
        <w:rPr>
          <w:szCs w:val="24"/>
        </w:rPr>
        <w:t xml:space="preserve">, </w:t>
      </w:r>
      <w:r w:rsidR="00A23E72">
        <w:rPr>
          <w:szCs w:val="24"/>
        </w:rPr>
        <w:t xml:space="preserve">and will </w:t>
      </w:r>
      <w:r w:rsidR="00BF6C9D">
        <w:rPr>
          <w:szCs w:val="24"/>
        </w:rPr>
        <w:t>extend</w:t>
      </w:r>
      <w:r w:rsidR="00A23E72">
        <w:rPr>
          <w:szCs w:val="24"/>
        </w:rPr>
        <w:t xml:space="preserve"> the </w:t>
      </w:r>
      <w:r w:rsidR="00293A48">
        <w:rPr>
          <w:szCs w:val="24"/>
        </w:rPr>
        <w:t xml:space="preserve">employee </w:t>
      </w:r>
      <w:r w:rsidR="00BF6C9D">
        <w:rPr>
          <w:szCs w:val="24"/>
        </w:rPr>
        <w:t>obligation to the whole of Division 42.</w:t>
      </w:r>
    </w:p>
    <w:p w14:paraId="5755D000" w14:textId="462BEE8C" w:rsidR="004F201F" w:rsidRPr="00BF6C9D" w:rsidRDefault="004F201F" w:rsidP="00DA0CFD">
      <w:pPr>
        <w:shd w:val="clear" w:color="auto" w:fill="FFFFFF"/>
        <w:spacing w:before="100" w:beforeAutospacing="1" w:after="100" w:afterAutospacing="1"/>
        <w:rPr>
          <w:i/>
          <w:szCs w:val="24"/>
        </w:rPr>
      </w:pPr>
      <w:r w:rsidRPr="00293A48">
        <w:rPr>
          <w:i/>
          <w:szCs w:val="24"/>
        </w:rPr>
        <w:t xml:space="preserve">Item </w:t>
      </w:r>
      <w:r w:rsidR="00044A2A">
        <w:rPr>
          <w:i/>
          <w:szCs w:val="24"/>
        </w:rPr>
        <w:t>4</w:t>
      </w:r>
      <w:r w:rsidR="00293A48" w:rsidRPr="00293A48">
        <w:rPr>
          <w:i/>
          <w:szCs w:val="24"/>
        </w:rPr>
        <w:t xml:space="preserve"> - </w:t>
      </w:r>
      <w:r w:rsidR="00BF6C9D" w:rsidRPr="00293A48">
        <w:rPr>
          <w:i/>
          <w:szCs w:val="24"/>
        </w:rPr>
        <w:t>Section 42</w:t>
      </w:r>
      <w:r w:rsidR="00BF6C9D" w:rsidRPr="00BF6C9D">
        <w:rPr>
          <w:i/>
          <w:szCs w:val="24"/>
        </w:rPr>
        <w:t>-215</w:t>
      </w:r>
    </w:p>
    <w:p w14:paraId="1D6231A8" w14:textId="695DDC7D" w:rsidR="00BF6C9D" w:rsidRDefault="00BF6C9D" w:rsidP="00DA0CFD">
      <w:pPr>
        <w:shd w:val="clear" w:color="auto" w:fill="FFFFFF"/>
        <w:spacing w:before="100" w:beforeAutospacing="1" w:after="100" w:afterAutospacing="1"/>
        <w:rPr>
          <w:szCs w:val="24"/>
        </w:rPr>
      </w:pPr>
      <w:r>
        <w:rPr>
          <w:szCs w:val="24"/>
        </w:rPr>
        <w:t xml:space="preserve">Item </w:t>
      </w:r>
      <w:r w:rsidR="00044A2A">
        <w:rPr>
          <w:szCs w:val="24"/>
        </w:rPr>
        <w:t>4</w:t>
      </w:r>
      <w:r>
        <w:rPr>
          <w:szCs w:val="24"/>
        </w:rPr>
        <w:t xml:space="preserve"> </w:t>
      </w:r>
      <w:r w:rsidR="00293A48">
        <w:rPr>
          <w:szCs w:val="24"/>
        </w:rPr>
        <w:t xml:space="preserve">of Schedule 1 </w:t>
      </w:r>
      <w:r>
        <w:rPr>
          <w:szCs w:val="24"/>
        </w:rPr>
        <w:t>insert</w:t>
      </w:r>
      <w:r w:rsidR="00A23E72">
        <w:rPr>
          <w:szCs w:val="24"/>
        </w:rPr>
        <w:t>s</w:t>
      </w:r>
      <w:r>
        <w:rPr>
          <w:szCs w:val="24"/>
        </w:rPr>
        <w:t xml:space="preserve"> a subsection (1) at the beginning of the text </w:t>
      </w:r>
      <w:r w:rsidR="00293A48">
        <w:rPr>
          <w:szCs w:val="24"/>
        </w:rPr>
        <w:t>in</w:t>
      </w:r>
      <w:r>
        <w:rPr>
          <w:szCs w:val="24"/>
        </w:rPr>
        <w:t xml:space="preserve"> section 42</w:t>
      </w:r>
      <w:r w:rsidR="00044A2A">
        <w:rPr>
          <w:szCs w:val="24"/>
        </w:rPr>
        <w:noBreakHyphen/>
      </w:r>
      <w:r>
        <w:rPr>
          <w:szCs w:val="24"/>
        </w:rPr>
        <w:t>215</w:t>
      </w:r>
      <w:r w:rsidR="00B34CDF">
        <w:rPr>
          <w:szCs w:val="24"/>
        </w:rPr>
        <w:t xml:space="preserve"> of the Rules</w:t>
      </w:r>
      <w:r>
        <w:rPr>
          <w:szCs w:val="24"/>
        </w:rPr>
        <w:t>. The existing text contained in section 42-215 will be</w:t>
      </w:r>
      <w:r w:rsidR="007669ED">
        <w:rPr>
          <w:szCs w:val="24"/>
        </w:rPr>
        <w:t>come</w:t>
      </w:r>
      <w:r>
        <w:rPr>
          <w:szCs w:val="24"/>
        </w:rPr>
        <w:t xml:space="preserve"> subsection 42</w:t>
      </w:r>
      <w:r w:rsidR="00293A48">
        <w:rPr>
          <w:szCs w:val="24"/>
        </w:rPr>
        <w:noBreakHyphen/>
      </w:r>
      <w:proofErr w:type="gramStart"/>
      <w:r>
        <w:rPr>
          <w:szCs w:val="24"/>
        </w:rPr>
        <w:t>215(</w:t>
      </w:r>
      <w:proofErr w:type="gramEnd"/>
      <w:r>
        <w:rPr>
          <w:szCs w:val="24"/>
        </w:rPr>
        <w:t>1). This will allow other subsections to be inserted in section 42</w:t>
      </w:r>
      <w:r w:rsidR="00B34CDF">
        <w:rPr>
          <w:szCs w:val="24"/>
        </w:rPr>
        <w:noBreakHyphen/>
      </w:r>
      <w:r>
        <w:rPr>
          <w:szCs w:val="24"/>
        </w:rPr>
        <w:t xml:space="preserve">215. </w:t>
      </w:r>
    </w:p>
    <w:p w14:paraId="644EB600" w14:textId="65225C81" w:rsidR="00BF6C9D" w:rsidRPr="00BF6C9D" w:rsidRDefault="00BF6C9D" w:rsidP="00DA0CFD">
      <w:pPr>
        <w:shd w:val="clear" w:color="auto" w:fill="FFFFFF"/>
        <w:spacing w:before="100" w:beforeAutospacing="1" w:after="100" w:afterAutospacing="1"/>
        <w:rPr>
          <w:i/>
          <w:szCs w:val="24"/>
        </w:rPr>
      </w:pPr>
      <w:r w:rsidRPr="00D5702C">
        <w:rPr>
          <w:i/>
          <w:szCs w:val="24"/>
        </w:rPr>
        <w:t xml:space="preserve">Item </w:t>
      </w:r>
      <w:r w:rsidR="00044A2A" w:rsidRPr="00D5702C">
        <w:rPr>
          <w:i/>
          <w:szCs w:val="24"/>
        </w:rPr>
        <w:t>5</w:t>
      </w:r>
      <w:r w:rsidR="00293A48" w:rsidRPr="00D5702C">
        <w:rPr>
          <w:i/>
          <w:szCs w:val="24"/>
        </w:rPr>
        <w:t xml:space="preserve"> -</w:t>
      </w:r>
      <w:r w:rsidR="00293A48" w:rsidRPr="00293A48">
        <w:rPr>
          <w:szCs w:val="24"/>
        </w:rPr>
        <w:t xml:space="preserve"> </w:t>
      </w:r>
      <w:r w:rsidRPr="00293A48">
        <w:rPr>
          <w:i/>
          <w:szCs w:val="24"/>
        </w:rPr>
        <w:t>At</w:t>
      </w:r>
      <w:r w:rsidRPr="00BF6C9D">
        <w:rPr>
          <w:i/>
          <w:szCs w:val="24"/>
        </w:rPr>
        <w:t xml:space="preserve"> the end of section 42-215</w:t>
      </w:r>
    </w:p>
    <w:p w14:paraId="6E360A6A" w14:textId="562AE3A1" w:rsidR="00293A48" w:rsidRDefault="00BF6C9D" w:rsidP="00DA0CFD">
      <w:pPr>
        <w:shd w:val="clear" w:color="auto" w:fill="FFFFFF"/>
        <w:spacing w:before="100" w:beforeAutospacing="1" w:after="100" w:afterAutospacing="1"/>
        <w:rPr>
          <w:szCs w:val="24"/>
        </w:rPr>
      </w:pPr>
      <w:r>
        <w:rPr>
          <w:szCs w:val="24"/>
        </w:rPr>
        <w:t xml:space="preserve">Section 42-215 </w:t>
      </w:r>
      <w:r w:rsidR="007669ED">
        <w:rPr>
          <w:szCs w:val="24"/>
        </w:rPr>
        <w:t xml:space="preserve">of the Rules </w:t>
      </w:r>
      <w:r>
        <w:rPr>
          <w:szCs w:val="24"/>
        </w:rPr>
        <w:t>requires a notice of the administration</w:t>
      </w:r>
      <w:r w:rsidR="00293A48">
        <w:rPr>
          <w:szCs w:val="24"/>
        </w:rPr>
        <w:t xml:space="preserve"> of a regulated debtor</w:t>
      </w:r>
      <w:r>
        <w:rPr>
          <w:szCs w:val="24"/>
        </w:rPr>
        <w:t xml:space="preserve"> to be given to the creditors by a trustee</w:t>
      </w:r>
      <w:r w:rsidR="00293A48">
        <w:rPr>
          <w:szCs w:val="24"/>
        </w:rPr>
        <w:t>. Th</w:t>
      </w:r>
      <w:r w:rsidR="007669ED">
        <w:rPr>
          <w:szCs w:val="24"/>
        </w:rPr>
        <w:t xml:space="preserve">e notice </w:t>
      </w:r>
      <w:r>
        <w:rPr>
          <w:szCs w:val="24"/>
        </w:rPr>
        <w:t xml:space="preserve">must include </w:t>
      </w:r>
      <w:r w:rsidRPr="00BF6C9D">
        <w:rPr>
          <w:szCs w:val="24"/>
        </w:rPr>
        <w:t xml:space="preserve">the </w:t>
      </w:r>
      <w:r w:rsidR="001B4A3C">
        <w:rPr>
          <w:szCs w:val="24"/>
        </w:rPr>
        <w:t xml:space="preserve">regulated </w:t>
      </w:r>
      <w:r w:rsidRPr="00BF6C9D">
        <w:rPr>
          <w:szCs w:val="24"/>
        </w:rPr>
        <w:t>debtor’s name, date of birth, address and occupation</w:t>
      </w:r>
      <w:r>
        <w:rPr>
          <w:szCs w:val="24"/>
        </w:rPr>
        <w:t xml:space="preserve">. </w:t>
      </w:r>
    </w:p>
    <w:p w14:paraId="52F8FE4A" w14:textId="557DCCE9" w:rsidR="00BF6C9D" w:rsidRDefault="00BF6C9D" w:rsidP="00DA0CFD">
      <w:pPr>
        <w:shd w:val="clear" w:color="auto" w:fill="FFFFFF"/>
        <w:spacing w:before="100" w:beforeAutospacing="1" w:after="100" w:afterAutospacing="1"/>
        <w:rPr>
          <w:szCs w:val="24"/>
        </w:rPr>
      </w:pPr>
      <w:r>
        <w:rPr>
          <w:szCs w:val="24"/>
        </w:rPr>
        <w:t xml:space="preserve">Item </w:t>
      </w:r>
      <w:r w:rsidR="00044A2A">
        <w:rPr>
          <w:szCs w:val="24"/>
        </w:rPr>
        <w:t>5</w:t>
      </w:r>
      <w:r>
        <w:rPr>
          <w:szCs w:val="24"/>
        </w:rPr>
        <w:t xml:space="preserve"> </w:t>
      </w:r>
      <w:r w:rsidR="00293A48">
        <w:rPr>
          <w:szCs w:val="24"/>
        </w:rPr>
        <w:t xml:space="preserve">of Schedule 1 </w:t>
      </w:r>
      <w:r>
        <w:rPr>
          <w:szCs w:val="24"/>
        </w:rPr>
        <w:t>insert</w:t>
      </w:r>
      <w:r w:rsidR="00A23E72">
        <w:rPr>
          <w:szCs w:val="24"/>
        </w:rPr>
        <w:t>s</w:t>
      </w:r>
      <w:r>
        <w:rPr>
          <w:szCs w:val="24"/>
        </w:rPr>
        <w:t xml:space="preserve"> </w:t>
      </w:r>
      <w:r w:rsidR="00116B97">
        <w:rPr>
          <w:szCs w:val="24"/>
        </w:rPr>
        <w:t xml:space="preserve">subsection 42-215(2), which contains </w:t>
      </w:r>
      <w:r>
        <w:rPr>
          <w:szCs w:val="24"/>
        </w:rPr>
        <w:t xml:space="preserve">an obligation that </w:t>
      </w:r>
      <w:r w:rsidR="00B34CDF">
        <w:rPr>
          <w:szCs w:val="24"/>
        </w:rPr>
        <w:t xml:space="preserve">a </w:t>
      </w:r>
      <w:r>
        <w:t xml:space="preserve">notice must not include the </w:t>
      </w:r>
      <w:r w:rsidR="001B4A3C">
        <w:t xml:space="preserve">regulated </w:t>
      </w:r>
      <w:r>
        <w:t xml:space="preserve">debtor’s address or occupation if there has been an application under </w:t>
      </w:r>
      <w:r w:rsidR="00DB1913">
        <w:t>the</w:t>
      </w:r>
      <w:r w:rsidR="0026176E">
        <w:t xml:space="preserve"> Regulations </w:t>
      </w:r>
      <w:r>
        <w:t>to suppress</w:t>
      </w:r>
      <w:r w:rsidR="007669ED">
        <w:t xml:space="preserve"> that</w:t>
      </w:r>
      <w:r>
        <w:t xml:space="preserve"> information, and the Inspector</w:t>
      </w:r>
      <w:r>
        <w:noBreakHyphen/>
        <w:t>General has decided to not enter that information on the National Personal Insolvency Index. This ensure</w:t>
      </w:r>
      <w:r w:rsidR="007669ED">
        <w:t>s</w:t>
      </w:r>
      <w:r>
        <w:t xml:space="preserve"> the privacy of the bankrupt is maintained when a suppression application </w:t>
      </w:r>
      <w:r w:rsidR="00116B97">
        <w:t>is in operation.</w:t>
      </w:r>
    </w:p>
    <w:p w14:paraId="35E016A6" w14:textId="4075847C" w:rsidR="00116B97" w:rsidRPr="00116B97" w:rsidRDefault="00BF6C9D" w:rsidP="00DA0CFD">
      <w:pPr>
        <w:shd w:val="clear" w:color="auto" w:fill="FFFFFF"/>
        <w:spacing w:before="100" w:beforeAutospacing="1" w:after="100" w:afterAutospacing="1"/>
        <w:rPr>
          <w:i/>
          <w:szCs w:val="24"/>
        </w:rPr>
      </w:pPr>
      <w:r w:rsidRPr="008E0669">
        <w:rPr>
          <w:i/>
          <w:szCs w:val="24"/>
        </w:rPr>
        <w:t xml:space="preserve">Item </w:t>
      </w:r>
      <w:r w:rsidR="00044A2A">
        <w:rPr>
          <w:i/>
          <w:szCs w:val="24"/>
        </w:rPr>
        <w:t>6</w:t>
      </w:r>
      <w:r w:rsidR="00293A48" w:rsidRPr="008E0669">
        <w:rPr>
          <w:i/>
          <w:szCs w:val="24"/>
        </w:rPr>
        <w:t xml:space="preserve"> - </w:t>
      </w:r>
      <w:r w:rsidR="00116B97" w:rsidRPr="008E0669">
        <w:rPr>
          <w:i/>
          <w:szCs w:val="24"/>
        </w:rPr>
        <w:t>Section</w:t>
      </w:r>
      <w:r w:rsidR="00116B97">
        <w:rPr>
          <w:i/>
          <w:szCs w:val="24"/>
        </w:rPr>
        <w:t xml:space="preserve"> 60-</w:t>
      </w:r>
      <w:r w:rsidR="00116B97" w:rsidRPr="00116B97">
        <w:rPr>
          <w:i/>
          <w:szCs w:val="24"/>
        </w:rPr>
        <w:t>25 (heading)</w:t>
      </w:r>
    </w:p>
    <w:p w14:paraId="66F39A18" w14:textId="6C41AEBD" w:rsidR="00BF6C9D" w:rsidRDefault="00293A48" w:rsidP="00DA0CFD">
      <w:pPr>
        <w:shd w:val="clear" w:color="auto" w:fill="FFFFFF"/>
        <w:spacing w:before="100" w:beforeAutospacing="1" w:after="100" w:afterAutospacing="1"/>
        <w:rPr>
          <w:szCs w:val="24"/>
        </w:rPr>
      </w:pPr>
      <w:r>
        <w:rPr>
          <w:szCs w:val="24"/>
        </w:rPr>
        <w:t xml:space="preserve">Item </w:t>
      </w:r>
      <w:r w:rsidR="00044A2A">
        <w:rPr>
          <w:szCs w:val="24"/>
        </w:rPr>
        <w:t>6</w:t>
      </w:r>
      <w:r>
        <w:rPr>
          <w:szCs w:val="24"/>
        </w:rPr>
        <w:t xml:space="preserve"> of Schedule 1 </w:t>
      </w:r>
      <w:r w:rsidR="00116B97">
        <w:rPr>
          <w:szCs w:val="24"/>
        </w:rPr>
        <w:t>repeal</w:t>
      </w:r>
      <w:r w:rsidR="007669ED">
        <w:rPr>
          <w:szCs w:val="24"/>
        </w:rPr>
        <w:t>s</w:t>
      </w:r>
      <w:r w:rsidR="00116B97">
        <w:rPr>
          <w:szCs w:val="24"/>
        </w:rPr>
        <w:t xml:space="preserve"> the current heading of section 60-25</w:t>
      </w:r>
      <w:r w:rsidR="00B34CDF">
        <w:rPr>
          <w:szCs w:val="24"/>
        </w:rPr>
        <w:t xml:space="preserve"> of the Rules</w:t>
      </w:r>
      <w:r w:rsidR="00116B97">
        <w:rPr>
          <w:szCs w:val="24"/>
        </w:rPr>
        <w:t xml:space="preserve"> and insert</w:t>
      </w:r>
      <w:r w:rsidR="00492F7D">
        <w:rPr>
          <w:szCs w:val="24"/>
        </w:rPr>
        <w:t>s</w:t>
      </w:r>
      <w:r w:rsidR="00116B97">
        <w:rPr>
          <w:szCs w:val="24"/>
        </w:rPr>
        <w:t xml:space="preserve"> a new heading that removes the reference to ‘administrator’. This corrects a technical error </w:t>
      </w:r>
      <w:r w:rsidR="008E0669">
        <w:rPr>
          <w:szCs w:val="24"/>
        </w:rPr>
        <w:t xml:space="preserve">in the current heading which refers to a trustee as a </w:t>
      </w:r>
      <w:r w:rsidR="00116B97">
        <w:rPr>
          <w:szCs w:val="24"/>
        </w:rPr>
        <w:t>‘trustee administrator’</w:t>
      </w:r>
      <w:r w:rsidR="008E0669">
        <w:rPr>
          <w:szCs w:val="24"/>
        </w:rPr>
        <w:t xml:space="preserve">. The correct reference should be </w:t>
      </w:r>
      <w:r w:rsidR="00116B97">
        <w:rPr>
          <w:szCs w:val="24"/>
        </w:rPr>
        <w:t>‘trustee’</w:t>
      </w:r>
      <w:r w:rsidR="008E0669">
        <w:rPr>
          <w:szCs w:val="24"/>
        </w:rPr>
        <w:t xml:space="preserve"> only</w:t>
      </w:r>
      <w:r w:rsidR="00116B97">
        <w:rPr>
          <w:szCs w:val="24"/>
        </w:rPr>
        <w:t>.</w:t>
      </w:r>
    </w:p>
    <w:p w14:paraId="4CDBFC4E" w14:textId="2ED98B56" w:rsidR="00044A2A" w:rsidRDefault="00044A2A" w:rsidP="00DA0CFD">
      <w:pPr>
        <w:shd w:val="clear" w:color="auto" w:fill="FFFFFF"/>
        <w:spacing w:before="100" w:beforeAutospacing="1" w:after="100" w:afterAutospacing="1"/>
        <w:rPr>
          <w:i/>
          <w:szCs w:val="24"/>
        </w:rPr>
      </w:pPr>
      <w:r>
        <w:rPr>
          <w:i/>
          <w:szCs w:val="24"/>
        </w:rPr>
        <w:t xml:space="preserve">Item 7 </w:t>
      </w:r>
      <w:r w:rsidR="00845472">
        <w:rPr>
          <w:i/>
          <w:szCs w:val="24"/>
        </w:rPr>
        <w:t>-</w:t>
      </w:r>
      <w:r>
        <w:rPr>
          <w:i/>
          <w:szCs w:val="24"/>
        </w:rPr>
        <w:t xml:space="preserve"> At the end of section 70-17</w:t>
      </w:r>
    </w:p>
    <w:p w14:paraId="3C39462A" w14:textId="77777777" w:rsidR="0044386C" w:rsidRDefault="0084648A" w:rsidP="00DA0CFD">
      <w:pPr>
        <w:shd w:val="clear" w:color="auto" w:fill="FFFFFF"/>
        <w:spacing w:before="100" w:beforeAutospacing="1" w:after="100" w:afterAutospacing="1"/>
        <w:rPr>
          <w:szCs w:val="24"/>
        </w:rPr>
      </w:pPr>
      <w:r>
        <w:rPr>
          <w:szCs w:val="24"/>
        </w:rPr>
        <w:t xml:space="preserve">Section 70-17 of the Rules </w:t>
      </w:r>
      <w:r w:rsidR="00784047">
        <w:rPr>
          <w:szCs w:val="24"/>
        </w:rPr>
        <w:t xml:space="preserve">is made for the purposes of section 70-56 of Schedule 2 of the Act.  </w:t>
      </w:r>
    </w:p>
    <w:p w14:paraId="4394387D" w14:textId="5DA2D1C9" w:rsidR="0084648A" w:rsidRDefault="00784047" w:rsidP="00DA0CFD">
      <w:pPr>
        <w:shd w:val="clear" w:color="auto" w:fill="FFFFFF"/>
        <w:spacing w:before="100" w:beforeAutospacing="1" w:after="100" w:afterAutospacing="1"/>
        <w:rPr>
          <w:szCs w:val="24"/>
        </w:rPr>
      </w:pPr>
      <w:r>
        <w:rPr>
          <w:szCs w:val="24"/>
        </w:rPr>
        <w:t xml:space="preserve">Section 70-56 of Schedule 2 confers a right on the regulated debtor to obtain certain information from the trustee. Section 70-56 also provides that the trustee must comply with the request for information unless the information is not relevant to the administration of the regulated debtor’s estate; providing the information would breach the trustee’s duties in relation to the administration of the regulated debtor’s estate, or </w:t>
      </w:r>
      <w:r w:rsidR="007662CB">
        <w:rPr>
          <w:szCs w:val="24"/>
        </w:rPr>
        <w:t xml:space="preserve">it </w:t>
      </w:r>
      <w:r>
        <w:rPr>
          <w:szCs w:val="24"/>
        </w:rPr>
        <w:t xml:space="preserve">would not be reasonable for the trustee to comply with the request. </w:t>
      </w:r>
      <w:r w:rsidR="007662CB">
        <w:rPr>
          <w:szCs w:val="24"/>
        </w:rPr>
        <w:t xml:space="preserve">Section 70-56 also provides that the Rules may prescribe circumstances where it would not be reasonable for a trustee to comply with a request for information. Section 70-17 of the Rules provides instruction to trustees </w:t>
      </w:r>
      <w:r w:rsidR="0044386C">
        <w:rPr>
          <w:szCs w:val="24"/>
        </w:rPr>
        <w:t>i</w:t>
      </w:r>
      <w:r w:rsidR="007662CB">
        <w:rPr>
          <w:szCs w:val="24"/>
        </w:rPr>
        <w:t xml:space="preserve">n situations where it would be unreasonable for information to be provided. Examples include where providing the information would prejudice the interests of one or more creditors or a third party and that prejudice outweighs the benefits of complying with the request, or where the request is vexatious. </w:t>
      </w:r>
    </w:p>
    <w:p w14:paraId="2B9514C0" w14:textId="4A56E69C" w:rsidR="00EF45E4" w:rsidRDefault="00044A2A" w:rsidP="00DA0CFD">
      <w:pPr>
        <w:shd w:val="clear" w:color="auto" w:fill="FFFFFF"/>
        <w:spacing w:before="100" w:beforeAutospacing="1" w:after="100" w:afterAutospacing="1"/>
        <w:rPr>
          <w:szCs w:val="24"/>
        </w:rPr>
      </w:pPr>
      <w:r>
        <w:rPr>
          <w:szCs w:val="24"/>
        </w:rPr>
        <w:t>Item 7 of Schedule 1 inserts</w:t>
      </w:r>
      <w:r w:rsidR="0046734D">
        <w:rPr>
          <w:szCs w:val="24"/>
        </w:rPr>
        <w:t xml:space="preserve"> new subsection</w:t>
      </w:r>
      <w:r w:rsidR="0044386C">
        <w:rPr>
          <w:szCs w:val="24"/>
        </w:rPr>
        <w:t>s</w:t>
      </w:r>
      <w:r w:rsidR="0046734D">
        <w:rPr>
          <w:szCs w:val="24"/>
        </w:rPr>
        <w:t xml:space="preserve"> (6)</w:t>
      </w:r>
      <w:r w:rsidR="009015E5">
        <w:rPr>
          <w:szCs w:val="24"/>
        </w:rPr>
        <w:t>, (7) and (8)</w:t>
      </w:r>
      <w:r w:rsidR="0046734D">
        <w:rPr>
          <w:szCs w:val="24"/>
        </w:rPr>
        <w:t xml:space="preserve"> into section 70-17 of the Rules</w:t>
      </w:r>
      <w:r w:rsidR="009015E5">
        <w:rPr>
          <w:szCs w:val="24"/>
        </w:rPr>
        <w:t>. These sections</w:t>
      </w:r>
      <w:r>
        <w:rPr>
          <w:szCs w:val="24"/>
        </w:rPr>
        <w:t xml:space="preserve"> </w:t>
      </w:r>
      <w:r w:rsidR="007662CB">
        <w:rPr>
          <w:szCs w:val="24"/>
        </w:rPr>
        <w:t xml:space="preserve">clarify, that for the purposes of section 70-56 of Schedule 2 to the Act, if the regulated debtor is deceased, the legal personal representative of the deceased debtor may request the same information contemplated by section 70-56.  </w:t>
      </w:r>
    </w:p>
    <w:p w14:paraId="57D2CA60" w14:textId="77777777" w:rsidR="00EF45E4" w:rsidRDefault="009015E5" w:rsidP="00DA0CFD">
      <w:pPr>
        <w:shd w:val="clear" w:color="auto" w:fill="FFFFFF"/>
        <w:spacing w:before="100" w:beforeAutospacing="1" w:after="100" w:afterAutospacing="1"/>
        <w:rPr>
          <w:szCs w:val="24"/>
        </w:rPr>
      </w:pPr>
      <w:r>
        <w:rPr>
          <w:szCs w:val="24"/>
        </w:rPr>
        <w:t>T</w:t>
      </w:r>
      <w:r w:rsidR="007662CB">
        <w:rPr>
          <w:szCs w:val="24"/>
        </w:rPr>
        <w:t xml:space="preserve">he request made by the legal personal representative is to be </w:t>
      </w:r>
      <w:r>
        <w:rPr>
          <w:szCs w:val="24"/>
        </w:rPr>
        <w:t xml:space="preserve">treated </w:t>
      </w:r>
      <w:r w:rsidR="007662CB">
        <w:rPr>
          <w:szCs w:val="24"/>
        </w:rPr>
        <w:t xml:space="preserve">in the same </w:t>
      </w:r>
      <w:r>
        <w:rPr>
          <w:szCs w:val="24"/>
        </w:rPr>
        <w:t>manner</w:t>
      </w:r>
      <w:r w:rsidR="007662CB">
        <w:rPr>
          <w:szCs w:val="24"/>
        </w:rPr>
        <w:t xml:space="preserve"> as if the request had been</w:t>
      </w:r>
      <w:r>
        <w:rPr>
          <w:szCs w:val="24"/>
        </w:rPr>
        <w:t xml:space="preserve"> made by the regulated debtor</w:t>
      </w:r>
      <w:r w:rsidR="0044386C">
        <w:rPr>
          <w:szCs w:val="24"/>
        </w:rPr>
        <w:t>,</w:t>
      </w:r>
      <w:r>
        <w:rPr>
          <w:szCs w:val="24"/>
        </w:rPr>
        <w:t xml:space="preserve"> in that the trustee should comply with the request unless the general exceptions</w:t>
      </w:r>
      <w:r w:rsidR="0044386C">
        <w:rPr>
          <w:szCs w:val="24"/>
        </w:rPr>
        <w:t xml:space="preserve"> apply (</w:t>
      </w:r>
      <w:r>
        <w:rPr>
          <w:szCs w:val="24"/>
        </w:rPr>
        <w:t>subsection 70</w:t>
      </w:r>
      <w:r w:rsidR="0044386C">
        <w:rPr>
          <w:szCs w:val="24"/>
        </w:rPr>
        <w:noBreakHyphen/>
      </w:r>
      <w:r>
        <w:rPr>
          <w:szCs w:val="24"/>
        </w:rPr>
        <w:t>56(2) of Schedule 2 of the Act</w:t>
      </w:r>
      <w:r w:rsidR="0044386C">
        <w:rPr>
          <w:szCs w:val="24"/>
        </w:rPr>
        <w:t xml:space="preserve"> or 70-17 of the Rules).</w:t>
      </w:r>
      <w:r>
        <w:rPr>
          <w:szCs w:val="24"/>
        </w:rPr>
        <w:t xml:space="preserve"> </w:t>
      </w:r>
    </w:p>
    <w:p w14:paraId="39623165" w14:textId="57D14AC2" w:rsidR="00FD639E" w:rsidRDefault="0044386C" w:rsidP="00DA0CFD">
      <w:pPr>
        <w:shd w:val="clear" w:color="auto" w:fill="FFFFFF"/>
        <w:spacing w:before="100" w:beforeAutospacing="1" w:after="100" w:afterAutospacing="1"/>
        <w:rPr>
          <w:szCs w:val="24"/>
          <w:highlight w:val="yellow"/>
        </w:rPr>
      </w:pPr>
      <w:r>
        <w:rPr>
          <w:szCs w:val="24"/>
        </w:rPr>
        <w:t xml:space="preserve">New subsection 70-17(8) </w:t>
      </w:r>
      <w:r w:rsidR="00EF45E4">
        <w:rPr>
          <w:szCs w:val="24"/>
        </w:rPr>
        <w:t xml:space="preserve">also </w:t>
      </w:r>
      <w:r>
        <w:rPr>
          <w:szCs w:val="24"/>
        </w:rPr>
        <w:t>provides that it is reasonable for the trustee to comply with a request from a legal personal representative if the legal personal representative agrees</w:t>
      </w:r>
      <w:r w:rsidR="00EF45E4">
        <w:rPr>
          <w:szCs w:val="24"/>
        </w:rPr>
        <w:t xml:space="preserve"> to bear the costs and, if the trustee requests, for security for costs to be provided to the trustee prior to the request being executed.</w:t>
      </w:r>
    </w:p>
    <w:p w14:paraId="37B55068" w14:textId="75A69583" w:rsidR="00044A2A" w:rsidRDefault="00FD639E" w:rsidP="00DA0CFD">
      <w:pPr>
        <w:shd w:val="clear" w:color="auto" w:fill="FFFFFF"/>
        <w:spacing w:before="100" w:beforeAutospacing="1" w:after="100" w:afterAutospacing="1"/>
        <w:rPr>
          <w:szCs w:val="24"/>
        </w:rPr>
      </w:pPr>
      <w:r>
        <w:rPr>
          <w:szCs w:val="24"/>
        </w:rPr>
        <w:t>Item 7 of Schedule 1 relies on the necessary and convenient power in paragraph 105</w:t>
      </w:r>
      <w:r>
        <w:rPr>
          <w:szCs w:val="24"/>
        </w:rPr>
        <w:noBreakHyphen/>
      </w:r>
      <w:proofErr w:type="gramStart"/>
      <w:r>
        <w:rPr>
          <w:szCs w:val="24"/>
        </w:rPr>
        <w:t>1(</w:t>
      </w:r>
      <w:proofErr w:type="gramEnd"/>
      <w:r>
        <w:rPr>
          <w:szCs w:val="24"/>
        </w:rPr>
        <w:t>1)(b) of Schedule 2 of the Act.</w:t>
      </w:r>
      <w:r w:rsidR="00EF45E4">
        <w:rPr>
          <w:szCs w:val="24"/>
        </w:rPr>
        <w:t xml:space="preserve"> This power outlines that the Minister may, by legislative instrument, make rules for matters that are necessary or convenien</w:t>
      </w:r>
      <w:r w:rsidR="001817DD">
        <w:rPr>
          <w:szCs w:val="24"/>
        </w:rPr>
        <w:t>t</w:t>
      </w:r>
      <w:r w:rsidR="00EF45E4">
        <w:rPr>
          <w:szCs w:val="24"/>
        </w:rPr>
        <w:t xml:space="preserve"> to be provided in order to carry out or give effect to the Act.</w:t>
      </w:r>
    </w:p>
    <w:p w14:paraId="63B29A70" w14:textId="63584ED1" w:rsidR="009015E5" w:rsidRDefault="009015E5" w:rsidP="009015E5">
      <w:pPr>
        <w:shd w:val="clear" w:color="auto" w:fill="FFFFFF"/>
        <w:spacing w:before="100" w:beforeAutospacing="1" w:after="100" w:afterAutospacing="1"/>
        <w:rPr>
          <w:szCs w:val="24"/>
        </w:rPr>
      </w:pPr>
      <w:r>
        <w:rPr>
          <w:szCs w:val="24"/>
        </w:rPr>
        <w:t>The Act and Schedule 2 of that Act are generally intended to apply to the administration of regulated debtors who are deceased. Section 246 of the Act confers a role on the legal personal representative in this process. Given that the legal personal representative of a regulated debtor who is deceased is the only person that can act for the regulated debtor, it is necessary and convenient for the legal personal representative of the deceased debtor to have equivalent powers for requesti</w:t>
      </w:r>
      <w:r w:rsidR="00EF45E4">
        <w:rPr>
          <w:szCs w:val="24"/>
        </w:rPr>
        <w:t>ng information from the trustee in the same way that a regulated debtor would.</w:t>
      </w:r>
      <w:r w:rsidR="00F22780">
        <w:rPr>
          <w:szCs w:val="24"/>
        </w:rPr>
        <w:t xml:space="preserve"> This aligns with and complements the broad intention of the Act regarding deceased regulated debtors.</w:t>
      </w:r>
      <w:r w:rsidR="00EF45E4">
        <w:rPr>
          <w:szCs w:val="24"/>
        </w:rPr>
        <w:t xml:space="preserve"> These</w:t>
      </w:r>
      <w:r w:rsidR="00F22780">
        <w:rPr>
          <w:szCs w:val="24"/>
        </w:rPr>
        <w:t xml:space="preserve"> new</w:t>
      </w:r>
      <w:r w:rsidR="00EF45E4">
        <w:rPr>
          <w:szCs w:val="24"/>
        </w:rPr>
        <w:t xml:space="preserve"> subsections in </w:t>
      </w:r>
      <w:r w:rsidR="003D54DF">
        <w:rPr>
          <w:szCs w:val="24"/>
        </w:rPr>
        <w:t xml:space="preserve">section </w:t>
      </w:r>
      <w:r w:rsidR="00EF45E4">
        <w:rPr>
          <w:szCs w:val="24"/>
        </w:rPr>
        <w:t>70-17 remove doubt that the legal personal representative can request information</w:t>
      </w:r>
      <w:r w:rsidR="00DB2CB2">
        <w:rPr>
          <w:szCs w:val="24"/>
        </w:rPr>
        <w:t xml:space="preserve"> from the trustee</w:t>
      </w:r>
      <w:r w:rsidR="00EF45E4">
        <w:rPr>
          <w:szCs w:val="24"/>
        </w:rPr>
        <w:t>.</w:t>
      </w:r>
    </w:p>
    <w:p w14:paraId="09F79044" w14:textId="77777777" w:rsidR="009015E5" w:rsidRDefault="009015E5" w:rsidP="00DA0CFD">
      <w:pPr>
        <w:shd w:val="clear" w:color="auto" w:fill="FFFFFF"/>
        <w:spacing w:before="100" w:beforeAutospacing="1" w:after="100" w:afterAutospacing="1"/>
        <w:rPr>
          <w:szCs w:val="24"/>
        </w:rPr>
      </w:pPr>
    </w:p>
    <w:p w14:paraId="796646AF" w14:textId="77777777" w:rsidR="009015E5" w:rsidRPr="00394DE0" w:rsidRDefault="009015E5" w:rsidP="00DA0CFD">
      <w:pPr>
        <w:shd w:val="clear" w:color="auto" w:fill="FFFFFF"/>
        <w:spacing w:before="100" w:beforeAutospacing="1" w:after="100" w:afterAutospacing="1"/>
        <w:rPr>
          <w:szCs w:val="24"/>
        </w:rPr>
      </w:pPr>
    </w:p>
    <w:p w14:paraId="470FA48B" w14:textId="5F2FF684" w:rsidR="00116B97" w:rsidRPr="00116B97" w:rsidRDefault="00116B97" w:rsidP="00394DE0">
      <w:pPr>
        <w:keepNext/>
        <w:shd w:val="clear" w:color="auto" w:fill="FFFFFF"/>
        <w:spacing w:before="100" w:beforeAutospacing="1" w:after="100" w:afterAutospacing="1"/>
        <w:rPr>
          <w:i/>
          <w:szCs w:val="24"/>
        </w:rPr>
      </w:pPr>
      <w:r w:rsidRPr="008E0669">
        <w:rPr>
          <w:i/>
          <w:szCs w:val="24"/>
        </w:rPr>
        <w:t xml:space="preserve">Item </w:t>
      </w:r>
      <w:r w:rsidR="00986AA0">
        <w:rPr>
          <w:i/>
          <w:szCs w:val="24"/>
        </w:rPr>
        <w:t>8</w:t>
      </w:r>
      <w:r w:rsidR="008E0669" w:rsidRPr="008E0669">
        <w:rPr>
          <w:i/>
          <w:szCs w:val="24"/>
        </w:rPr>
        <w:t xml:space="preserve"> - </w:t>
      </w:r>
      <w:r w:rsidRPr="008E0669">
        <w:rPr>
          <w:i/>
          <w:szCs w:val="24"/>
        </w:rPr>
        <w:t>Paragraph</w:t>
      </w:r>
      <w:r w:rsidRPr="00116B97">
        <w:rPr>
          <w:i/>
          <w:szCs w:val="24"/>
        </w:rPr>
        <w:t xml:space="preserve"> 70</w:t>
      </w:r>
      <w:r w:rsidR="008E0669">
        <w:rPr>
          <w:i/>
          <w:szCs w:val="24"/>
        </w:rPr>
        <w:t>-</w:t>
      </w:r>
      <w:r w:rsidRPr="00116B97">
        <w:rPr>
          <w:i/>
          <w:szCs w:val="24"/>
        </w:rPr>
        <w:t>30(2</w:t>
      </w:r>
      <w:proofErr w:type="gramStart"/>
      <w:r w:rsidRPr="00116B97">
        <w:rPr>
          <w:i/>
          <w:szCs w:val="24"/>
        </w:rPr>
        <w:t>)</w:t>
      </w:r>
      <w:r w:rsidR="00DB2CB2">
        <w:rPr>
          <w:i/>
          <w:szCs w:val="24"/>
        </w:rPr>
        <w:t>(</w:t>
      </w:r>
      <w:proofErr w:type="gramEnd"/>
      <w:r w:rsidRPr="00116B97">
        <w:rPr>
          <w:i/>
          <w:szCs w:val="24"/>
        </w:rPr>
        <w:t>a)</w:t>
      </w:r>
    </w:p>
    <w:p w14:paraId="5653CDFE" w14:textId="77777777" w:rsidR="00CA7FF2" w:rsidRDefault="00116B97" w:rsidP="00394DE0">
      <w:pPr>
        <w:keepNext/>
        <w:shd w:val="clear" w:color="auto" w:fill="FFFFFF"/>
        <w:spacing w:before="100" w:beforeAutospacing="1" w:after="100" w:afterAutospacing="1"/>
        <w:rPr>
          <w:szCs w:val="24"/>
        </w:rPr>
      </w:pPr>
      <w:r>
        <w:rPr>
          <w:szCs w:val="24"/>
        </w:rPr>
        <w:t>Paragraph 70-30(2</w:t>
      </w:r>
      <w:proofErr w:type="gramStart"/>
      <w:r>
        <w:rPr>
          <w:szCs w:val="24"/>
        </w:rPr>
        <w:t>)(</w:t>
      </w:r>
      <w:proofErr w:type="gramEnd"/>
      <w:r>
        <w:rPr>
          <w:szCs w:val="24"/>
        </w:rPr>
        <w:t xml:space="preserve">a) requires a trustee to </w:t>
      </w:r>
      <w:r w:rsidR="00CA7FF2">
        <w:rPr>
          <w:szCs w:val="24"/>
        </w:rPr>
        <w:t>provide</w:t>
      </w:r>
      <w:r>
        <w:rPr>
          <w:szCs w:val="24"/>
        </w:rPr>
        <w:t xml:space="preserve"> </w:t>
      </w:r>
      <w:r w:rsidRPr="00BF6C9D">
        <w:rPr>
          <w:szCs w:val="24"/>
        </w:rPr>
        <w:t xml:space="preserve">the </w:t>
      </w:r>
      <w:r>
        <w:rPr>
          <w:szCs w:val="24"/>
        </w:rPr>
        <w:t xml:space="preserve">regulated </w:t>
      </w:r>
      <w:r w:rsidRPr="00BF6C9D">
        <w:rPr>
          <w:szCs w:val="24"/>
        </w:rPr>
        <w:t>debtor’s name, date of birth, address and occupation</w:t>
      </w:r>
      <w:r>
        <w:rPr>
          <w:szCs w:val="24"/>
        </w:rPr>
        <w:t xml:space="preserve"> information to</w:t>
      </w:r>
      <w:r w:rsidR="00CA7FF2">
        <w:rPr>
          <w:szCs w:val="24"/>
        </w:rPr>
        <w:t xml:space="preserve"> as many</w:t>
      </w:r>
      <w:r>
        <w:rPr>
          <w:szCs w:val="24"/>
        </w:rPr>
        <w:t xml:space="preserve"> creditors</w:t>
      </w:r>
      <w:r w:rsidR="00CA7FF2">
        <w:rPr>
          <w:szCs w:val="24"/>
        </w:rPr>
        <w:t xml:space="preserve"> as practicable</w:t>
      </w:r>
      <w:r>
        <w:rPr>
          <w:szCs w:val="24"/>
        </w:rPr>
        <w:t xml:space="preserve">. </w:t>
      </w:r>
    </w:p>
    <w:p w14:paraId="23ECC956" w14:textId="5E3F8DD5" w:rsidR="00116B97" w:rsidRPr="00116B97" w:rsidRDefault="00116B97" w:rsidP="00DA0CFD">
      <w:pPr>
        <w:shd w:val="clear" w:color="auto" w:fill="FFFFFF"/>
        <w:spacing w:before="100" w:beforeAutospacing="1" w:after="100" w:afterAutospacing="1"/>
        <w:rPr>
          <w:szCs w:val="24"/>
        </w:rPr>
      </w:pPr>
      <w:r>
        <w:rPr>
          <w:szCs w:val="24"/>
        </w:rPr>
        <w:t xml:space="preserve">Item </w:t>
      </w:r>
      <w:r w:rsidR="00C673A1">
        <w:rPr>
          <w:szCs w:val="24"/>
        </w:rPr>
        <w:t>8</w:t>
      </w:r>
      <w:r w:rsidR="00CA7FF2">
        <w:rPr>
          <w:szCs w:val="24"/>
        </w:rPr>
        <w:t xml:space="preserve"> of Schedule 1</w:t>
      </w:r>
      <w:r>
        <w:rPr>
          <w:szCs w:val="24"/>
        </w:rPr>
        <w:t xml:space="preserve"> make</w:t>
      </w:r>
      <w:r w:rsidR="00996CC3">
        <w:rPr>
          <w:szCs w:val="24"/>
        </w:rPr>
        <w:t>s</w:t>
      </w:r>
      <w:r>
        <w:rPr>
          <w:szCs w:val="24"/>
        </w:rPr>
        <w:t xml:space="preserve"> this paragraph subject to subsection 70-30(2A). This </w:t>
      </w:r>
      <w:r w:rsidR="00CA7FF2">
        <w:rPr>
          <w:szCs w:val="24"/>
        </w:rPr>
        <w:t xml:space="preserve">new subsection </w:t>
      </w:r>
      <w:r>
        <w:rPr>
          <w:szCs w:val="24"/>
        </w:rPr>
        <w:t>create</w:t>
      </w:r>
      <w:r w:rsidR="00996CC3">
        <w:rPr>
          <w:szCs w:val="24"/>
        </w:rPr>
        <w:t>s</w:t>
      </w:r>
      <w:r>
        <w:rPr>
          <w:szCs w:val="24"/>
        </w:rPr>
        <w:t xml:space="preserve"> an obligation for trustees not to disclose supressed information</w:t>
      </w:r>
      <w:r w:rsidR="00CA7FF2">
        <w:rPr>
          <w:szCs w:val="24"/>
        </w:rPr>
        <w:t xml:space="preserve"> in certain circumstances </w:t>
      </w:r>
      <w:r w:rsidR="00996CC3">
        <w:t>where there has been an application under the Regulations to suppress information, and the Inspector</w:t>
      </w:r>
      <w:r w:rsidR="00996CC3">
        <w:noBreakHyphen/>
        <w:t>General has decided to not enter that information on the National Personal Insolvency Index. This ensures the privacy of the bankrupt is maintained when a suppression application is in operation.</w:t>
      </w:r>
    </w:p>
    <w:p w14:paraId="12F1BC45" w14:textId="4730FEBE" w:rsidR="00116B97" w:rsidRPr="00116B97" w:rsidRDefault="00116B97" w:rsidP="00DA0CFD">
      <w:pPr>
        <w:keepNext/>
        <w:shd w:val="clear" w:color="auto" w:fill="FFFFFF"/>
        <w:spacing w:before="100" w:beforeAutospacing="1" w:after="100" w:afterAutospacing="1"/>
        <w:rPr>
          <w:b/>
          <w:i/>
          <w:szCs w:val="24"/>
        </w:rPr>
      </w:pPr>
      <w:r w:rsidRPr="00CA7FF2">
        <w:rPr>
          <w:i/>
          <w:szCs w:val="24"/>
        </w:rPr>
        <w:t xml:space="preserve">Item </w:t>
      </w:r>
      <w:r w:rsidR="00C673A1">
        <w:rPr>
          <w:i/>
          <w:szCs w:val="24"/>
        </w:rPr>
        <w:t>9</w:t>
      </w:r>
      <w:r w:rsidR="00CA7FF2" w:rsidRPr="00CA7FF2">
        <w:rPr>
          <w:i/>
          <w:szCs w:val="24"/>
        </w:rPr>
        <w:t xml:space="preserve"> - </w:t>
      </w:r>
      <w:r w:rsidRPr="00CA7FF2">
        <w:rPr>
          <w:i/>
        </w:rPr>
        <w:t>After subsection</w:t>
      </w:r>
      <w:r w:rsidRPr="00116B97">
        <w:rPr>
          <w:i/>
        </w:rPr>
        <w:t> 70</w:t>
      </w:r>
      <w:r w:rsidRPr="00116B97">
        <w:rPr>
          <w:i/>
        </w:rPr>
        <w:noBreakHyphen/>
      </w:r>
      <w:proofErr w:type="gramStart"/>
      <w:r w:rsidRPr="00116B97">
        <w:rPr>
          <w:i/>
        </w:rPr>
        <w:t>30(</w:t>
      </w:r>
      <w:proofErr w:type="gramEnd"/>
      <w:r w:rsidRPr="00116B97">
        <w:rPr>
          <w:i/>
        </w:rPr>
        <w:t>2)</w:t>
      </w:r>
    </w:p>
    <w:p w14:paraId="5D94927D" w14:textId="466B8149" w:rsidR="00CA7FF2" w:rsidRDefault="00116B97" w:rsidP="00DA0CFD">
      <w:pPr>
        <w:keepNext/>
        <w:shd w:val="clear" w:color="auto" w:fill="FFFFFF"/>
        <w:spacing w:before="100" w:beforeAutospacing="1" w:after="100" w:afterAutospacing="1"/>
        <w:rPr>
          <w:szCs w:val="24"/>
        </w:rPr>
      </w:pPr>
      <w:r>
        <w:rPr>
          <w:szCs w:val="24"/>
        </w:rPr>
        <w:t xml:space="preserve">Paragraph 70-30(2)(a) </w:t>
      </w:r>
      <w:r w:rsidR="00492F7D">
        <w:rPr>
          <w:szCs w:val="24"/>
        </w:rPr>
        <w:t xml:space="preserve">of the Rules </w:t>
      </w:r>
      <w:r>
        <w:rPr>
          <w:szCs w:val="24"/>
        </w:rPr>
        <w:t xml:space="preserve">requires a trustee to </w:t>
      </w:r>
      <w:r w:rsidR="00CA7FF2">
        <w:rPr>
          <w:szCs w:val="24"/>
        </w:rPr>
        <w:t xml:space="preserve">provide information about the </w:t>
      </w:r>
      <w:r>
        <w:rPr>
          <w:szCs w:val="24"/>
        </w:rPr>
        <w:t xml:space="preserve">regulated </w:t>
      </w:r>
      <w:r w:rsidRPr="00BF6C9D">
        <w:rPr>
          <w:szCs w:val="24"/>
        </w:rPr>
        <w:t>debtor</w:t>
      </w:r>
      <w:r w:rsidR="00CA7FF2">
        <w:rPr>
          <w:szCs w:val="24"/>
        </w:rPr>
        <w:t xml:space="preserve"> to as many creditors as practicable including the </w:t>
      </w:r>
      <w:r w:rsidR="001B4A3C">
        <w:rPr>
          <w:szCs w:val="24"/>
        </w:rPr>
        <w:t xml:space="preserve">regulated </w:t>
      </w:r>
      <w:r w:rsidR="00CA7FF2">
        <w:rPr>
          <w:szCs w:val="24"/>
        </w:rPr>
        <w:t>debtor</w:t>
      </w:r>
      <w:r w:rsidRPr="00BF6C9D">
        <w:rPr>
          <w:szCs w:val="24"/>
        </w:rPr>
        <w:t>’s name, date of birth, address and occupation</w:t>
      </w:r>
      <w:r>
        <w:rPr>
          <w:szCs w:val="24"/>
        </w:rPr>
        <w:t xml:space="preserve">. </w:t>
      </w:r>
    </w:p>
    <w:p w14:paraId="343EE178" w14:textId="254BB9A5" w:rsidR="00116B97" w:rsidRDefault="00116B97" w:rsidP="00DA0CFD">
      <w:pPr>
        <w:shd w:val="clear" w:color="auto" w:fill="FFFFFF"/>
        <w:spacing w:before="100" w:beforeAutospacing="1" w:after="100" w:afterAutospacing="1"/>
        <w:rPr>
          <w:szCs w:val="24"/>
        </w:rPr>
      </w:pPr>
      <w:r>
        <w:rPr>
          <w:szCs w:val="24"/>
        </w:rPr>
        <w:t xml:space="preserve">Item </w:t>
      </w:r>
      <w:r w:rsidR="00C673A1">
        <w:rPr>
          <w:szCs w:val="24"/>
        </w:rPr>
        <w:t>9</w:t>
      </w:r>
      <w:r>
        <w:rPr>
          <w:szCs w:val="24"/>
        </w:rPr>
        <w:t xml:space="preserve"> </w:t>
      </w:r>
      <w:r w:rsidR="00CA7FF2">
        <w:rPr>
          <w:szCs w:val="24"/>
        </w:rPr>
        <w:t xml:space="preserve">of Schedule 1 </w:t>
      </w:r>
      <w:r>
        <w:rPr>
          <w:szCs w:val="24"/>
        </w:rPr>
        <w:t>insert</w:t>
      </w:r>
      <w:r w:rsidR="00483EE2">
        <w:rPr>
          <w:szCs w:val="24"/>
        </w:rPr>
        <w:t>s</w:t>
      </w:r>
      <w:r>
        <w:rPr>
          <w:szCs w:val="24"/>
        </w:rPr>
        <w:t xml:space="preserve"> subsection 70-30(2A), which contains an obligation that </w:t>
      </w:r>
      <w:r w:rsidR="00CA7FF2">
        <w:t>the trustee</w:t>
      </w:r>
      <w:r>
        <w:t xml:space="preserve"> must not include the </w:t>
      </w:r>
      <w:r w:rsidR="001B4A3C">
        <w:t xml:space="preserve">regulated </w:t>
      </w:r>
      <w:r>
        <w:t>debtor’s address or occupation</w:t>
      </w:r>
      <w:r w:rsidR="00CA7FF2">
        <w:t xml:space="preserve"> in information provided to creditors</w:t>
      </w:r>
      <w:r>
        <w:t xml:space="preserve"> if there has been an application under the </w:t>
      </w:r>
      <w:r w:rsidR="00CA7FF2">
        <w:t>Regulations</w:t>
      </w:r>
      <w:r>
        <w:t xml:space="preserve"> to suppress information, and the Inspector</w:t>
      </w:r>
      <w:r>
        <w:noBreakHyphen/>
        <w:t>General has decided to not enter that information on the National Personal Insolvency Index. This will ensure the privacy of the bankrupt is maintained when a suppression application is in operation.</w:t>
      </w:r>
    </w:p>
    <w:p w14:paraId="0511D172" w14:textId="47024600" w:rsidR="00F11857" w:rsidRDefault="00116B97" w:rsidP="00DA0CFD">
      <w:pPr>
        <w:shd w:val="clear" w:color="auto" w:fill="FFFFFF"/>
        <w:spacing w:before="100" w:beforeAutospacing="1" w:after="100" w:afterAutospacing="1"/>
        <w:rPr>
          <w:i/>
        </w:rPr>
      </w:pPr>
      <w:r w:rsidRPr="00CA7FF2">
        <w:rPr>
          <w:i/>
          <w:szCs w:val="24"/>
        </w:rPr>
        <w:t xml:space="preserve">Item </w:t>
      </w:r>
      <w:r w:rsidR="001B3E0E">
        <w:rPr>
          <w:i/>
          <w:szCs w:val="24"/>
        </w:rPr>
        <w:t>10</w:t>
      </w:r>
      <w:r w:rsidR="00CA7FF2" w:rsidRPr="00CA7FF2">
        <w:rPr>
          <w:i/>
          <w:szCs w:val="24"/>
        </w:rPr>
        <w:t xml:space="preserve"> - </w:t>
      </w:r>
      <w:r w:rsidR="00F11857" w:rsidRPr="00CA7FF2">
        <w:rPr>
          <w:i/>
        </w:rPr>
        <w:t>Subsection</w:t>
      </w:r>
      <w:r w:rsidR="00F11857" w:rsidRPr="00501A65">
        <w:rPr>
          <w:i/>
        </w:rPr>
        <w:t xml:space="preserve"> 75-27(1)</w:t>
      </w:r>
    </w:p>
    <w:p w14:paraId="068AAA9A" w14:textId="3D444332" w:rsidR="00CA7FF2" w:rsidRDefault="00CA7FF2" w:rsidP="00DA0CFD">
      <w:pPr>
        <w:shd w:val="clear" w:color="auto" w:fill="FFFFFF"/>
        <w:spacing w:before="100" w:beforeAutospacing="1" w:after="100" w:afterAutospacing="1"/>
      </w:pPr>
      <w:r>
        <w:t xml:space="preserve">Section 188 of the Act provides that a debtor may authorise a trustee or a solicitor to be a controlling </w:t>
      </w:r>
      <w:r w:rsidR="003113B6">
        <w:t>trustee and to call a meeting of the debtor’s creditors and to take control of the debtor’s property.</w:t>
      </w:r>
    </w:p>
    <w:p w14:paraId="79EAB843" w14:textId="7ED29CCB" w:rsidR="003113B6" w:rsidRDefault="00F11857" w:rsidP="00DA0CFD">
      <w:pPr>
        <w:shd w:val="clear" w:color="auto" w:fill="FFFFFF"/>
        <w:spacing w:before="100" w:beforeAutospacing="1" w:after="100" w:afterAutospacing="1"/>
      </w:pPr>
      <w:r>
        <w:t>Subsection 7</w:t>
      </w:r>
      <w:r w:rsidR="00FE18C9">
        <w:t>5</w:t>
      </w:r>
      <w:r>
        <w:t>-27(1)</w:t>
      </w:r>
      <w:r w:rsidR="003113B6">
        <w:t xml:space="preserve"> </w:t>
      </w:r>
      <w:r w:rsidR="00492F7D">
        <w:t xml:space="preserve">of the Rules </w:t>
      </w:r>
      <w:r>
        <w:t xml:space="preserve">currently requires a meeting </w:t>
      </w:r>
      <w:r w:rsidR="003113B6">
        <w:t xml:space="preserve">of creditors referred to in </w:t>
      </w:r>
      <w:r>
        <w:t xml:space="preserve">section 188 of the Act be held not more than </w:t>
      </w:r>
      <w:r w:rsidRPr="00F11857">
        <w:t>20 business days after the relevant consent or approval was given</w:t>
      </w:r>
      <w:r w:rsidR="003113B6">
        <w:t xml:space="preserve"> for the meeting to be held</w:t>
      </w:r>
      <w:r>
        <w:t xml:space="preserve">. </w:t>
      </w:r>
    </w:p>
    <w:p w14:paraId="4137974C" w14:textId="76BD7339" w:rsidR="00F11857" w:rsidRPr="00F11857" w:rsidRDefault="00F11857" w:rsidP="00DA0CFD">
      <w:pPr>
        <w:shd w:val="clear" w:color="auto" w:fill="FFFFFF"/>
        <w:spacing w:before="100" w:beforeAutospacing="1" w:after="100" w:afterAutospacing="1"/>
      </w:pPr>
      <w:r>
        <w:t xml:space="preserve">Item </w:t>
      </w:r>
      <w:r w:rsidR="001B3E0E">
        <w:t>10</w:t>
      </w:r>
      <w:r w:rsidR="003113B6">
        <w:t xml:space="preserve"> of Schedule 1</w:t>
      </w:r>
      <w:r>
        <w:t xml:space="preserve"> </w:t>
      </w:r>
      <w:proofErr w:type="gramStart"/>
      <w:r w:rsidR="003113B6">
        <w:t>extend</w:t>
      </w:r>
      <w:r w:rsidR="00FE18C9">
        <w:t>s</w:t>
      </w:r>
      <w:proofErr w:type="gramEnd"/>
      <w:r>
        <w:t xml:space="preserve"> the 20 business day time limit to 30 business days. The extension will provide a trustee with a more appropriate time limit to prepare</w:t>
      </w:r>
      <w:r w:rsidR="003113B6">
        <w:t xml:space="preserve"> and provide to creditors</w:t>
      </w:r>
      <w:r>
        <w:t xml:space="preserve"> the documents required for the meeting pursuant to subsection 7</w:t>
      </w:r>
      <w:r w:rsidR="00FE18C9">
        <w:t>5</w:t>
      </w:r>
      <w:r w:rsidR="000F1CBB">
        <w:noBreakHyphen/>
      </w:r>
      <w:r>
        <w:t>27(2)</w:t>
      </w:r>
      <w:r w:rsidR="000F1CBB">
        <w:t xml:space="preserve"> of the Rules</w:t>
      </w:r>
      <w:r>
        <w:t>.</w:t>
      </w:r>
    </w:p>
    <w:p w14:paraId="71BB8058" w14:textId="0AFB709D" w:rsidR="00F11857" w:rsidRPr="00F11857" w:rsidRDefault="00116B97" w:rsidP="00DA0CFD">
      <w:pPr>
        <w:shd w:val="clear" w:color="auto" w:fill="FFFFFF"/>
        <w:spacing w:before="100" w:beforeAutospacing="1" w:after="100" w:afterAutospacing="1"/>
        <w:rPr>
          <w:i/>
        </w:rPr>
      </w:pPr>
      <w:r w:rsidRPr="003113B6">
        <w:rPr>
          <w:i/>
          <w:szCs w:val="24"/>
        </w:rPr>
        <w:t xml:space="preserve">Item </w:t>
      </w:r>
      <w:r w:rsidR="001B3E0E">
        <w:rPr>
          <w:i/>
          <w:szCs w:val="24"/>
        </w:rPr>
        <w:t>11</w:t>
      </w:r>
      <w:r w:rsidR="003113B6" w:rsidRPr="003113B6">
        <w:rPr>
          <w:i/>
          <w:szCs w:val="24"/>
        </w:rPr>
        <w:t xml:space="preserve"> - </w:t>
      </w:r>
      <w:r w:rsidR="00F11857" w:rsidRPr="003113B6">
        <w:rPr>
          <w:i/>
        </w:rPr>
        <w:t>Paragraph</w:t>
      </w:r>
      <w:r w:rsidR="00F11857" w:rsidRPr="00F11857">
        <w:rPr>
          <w:i/>
        </w:rPr>
        <w:t xml:space="preserve"> 75</w:t>
      </w:r>
      <w:r w:rsidR="00F11857" w:rsidRPr="00F11857">
        <w:rPr>
          <w:i/>
        </w:rPr>
        <w:noBreakHyphen/>
      </w:r>
      <w:proofErr w:type="gramStart"/>
      <w:r w:rsidR="00F11857" w:rsidRPr="00F11857">
        <w:rPr>
          <w:i/>
        </w:rPr>
        <w:t>27(</w:t>
      </w:r>
      <w:proofErr w:type="gramEnd"/>
      <w:r w:rsidR="00F11857" w:rsidRPr="00F11857">
        <w:rPr>
          <w:i/>
        </w:rPr>
        <w:t>2)(a)</w:t>
      </w:r>
    </w:p>
    <w:p w14:paraId="2C487E21" w14:textId="71866AC4" w:rsidR="003113B6" w:rsidRDefault="00F11857" w:rsidP="00DA0CFD">
      <w:pPr>
        <w:shd w:val="clear" w:color="auto" w:fill="FFFFFF"/>
        <w:spacing w:before="100" w:beforeAutospacing="1" w:after="100" w:afterAutospacing="1"/>
        <w:rPr>
          <w:szCs w:val="24"/>
        </w:rPr>
      </w:pPr>
      <w:r w:rsidRPr="00F11857">
        <w:t>Paragraph 75</w:t>
      </w:r>
      <w:r w:rsidRPr="00F11857">
        <w:noBreakHyphen/>
      </w:r>
      <w:proofErr w:type="gramStart"/>
      <w:r w:rsidRPr="00F11857">
        <w:t>27(</w:t>
      </w:r>
      <w:proofErr w:type="gramEnd"/>
      <w:r w:rsidRPr="00F11857">
        <w:t>2)(a)</w:t>
      </w:r>
      <w:r w:rsidR="00492F7D">
        <w:t xml:space="preserve"> of the Rules</w:t>
      </w:r>
      <w:r>
        <w:t xml:space="preserve"> </w:t>
      </w:r>
      <w:r>
        <w:rPr>
          <w:szCs w:val="24"/>
        </w:rPr>
        <w:t xml:space="preserve">requires a trustee provide a copy of </w:t>
      </w:r>
      <w:r w:rsidRPr="00BF6C9D">
        <w:rPr>
          <w:szCs w:val="24"/>
        </w:rPr>
        <w:t xml:space="preserve">the </w:t>
      </w:r>
      <w:r>
        <w:rPr>
          <w:szCs w:val="24"/>
        </w:rPr>
        <w:t>regulated debtor’s statement of affairs</w:t>
      </w:r>
      <w:r w:rsidR="006B0F00">
        <w:rPr>
          <w:szCs w:val="24"/>
        </w:rPr>
        <w:t xml:space="preserve"> at a section 188 meeting</w:t>
      </w:r>
      <w:r w:rsidR="00492F7D">
        <w:rPr>
          <w:szCs w:val="24"/>
        </w:rPr>
        <w:t xml:space="preserve"> (section 188 of the Act)</w:t>
      </w:r>
      <w:r>
        <w:rPr>
          <w:szCs w:val="24"/>
        </w:rPr>
        <w:t xml:space="preserve">. </w:t>
      </w:r>
    </w:p>
    <w:p w14:paraId="11FE6158" w14:textId="4DD48BCE" w:rsidR="00F11857" w:rsidRPr="00F11857" w:rsidRDefault="00F11857" w:rsidP="00DA0CFD">
      <w:pPr>
        <w:shd w:val="clear" w:color="auto" w:fill="FFFFFF"/>
        <w:spacing w:before="100" w:beforeAutospacing="1" w:after="100" w:afterAutospacing="1"/>
        <w:rPr>
          <w:szCs w:val="24"/>
        </w:rPr>
      </w:pPr>
      <w:r>
        <w:rPr>
          <w:szCs w:val="24"/>
        </w:rPr>
        <w:t xml:space="preserve">Item </w:t>
      </w:r>
      <w:r w:rsidR="001B3E0E">
        <w:rPr>
          <w:szCs w:val="24"/>
        </w:rPr>
        <w:t>11</w:t>
      </w:r>
      <w:r w:rsidR="003113B6">
        <w:rPr>
          <w:szCs w:val="24"/>
        </w:rPr>
        <w:t xml:space="preserve"> of Schedule 1</w:t>
      </w:r>
      <w:r>
        <w:rPr>
          <w:szCs w:val="24"/>
        </w:rPr>
        <w:t xml:space="preserve"> make</w:t>
      </w:r>
      <w:r w:rsidR="00FE18C9">
        <w:rPr>
          <w:szCs w:val="24"/>
        </w:rPr>
        <w:t>s</w:t>
      </w:r>
      <w:r>
        <w:rPr>
          <w:szCs w:val="24"/>
        </w:rPr>
        <w:t xml:space="preserve"> this paragraph subject to subsection </w:t>
      </w:r>
      <w:r w:rsidR="00C87111">
        <w:rPr>
          <w:szCs w:val="24"/>
        </w:rPr>
        <w:t>75-27</w:t>
      </w:r>
      <w:r>
        <w:rPr>
          <w:szCs w:val="24"/>
        </w:rPr>
        <w:t xml:space="preserve">(2A). This </w:t>
      </w:r>
      <w:r w:rsidR="007558A5">
        <w:rPr>
          <w:szCs w:val="24"/>
        </w:rPr>
        <w:t xml:space="preserve">subsection </w:t>
      </w:r>
      <w:r>
        <w:rPr>
          <w:szCs w:val="24"/>
        </w:rPr>
        <w:t>create</w:t>
      </w:r>
      <w:r w:rsidR="00FE18C9">
        <w:rPr>
          <w:szCs w:val="24"/>
        </w:rPr>
        <w:t>s</w:t>
      </w:r>
      <w:r>
        <w:rPr>
          <w:szCs w:val="24"/>
        </w:rPr>
        <w:t xml:space="preserve"> an obligation for trustees not to disclose </w:t>
      </w:r>
      <w:r w:rsidR="006B0F00">
        <w:rPr>
          <w:szCs w:val="24"/>
        </w:rPr>
        <w:t>information in the</w:t>
      </w:r>
      <w:r w:rsidR="003113B6">
        <w:rPr>
          <w:szCs w:val="24"/>
        </w:rPr>
        <w:t xml:space="preserve"> </w:t>
      </w:r>
      <w:r w:rsidR="001B4A3C">
        <w:rPr>
          <w:szCs w:val="24"/>
        </w:rPr>
        <w:t xml:space="preserve">regulated </w:t>
      </w:r>
      <w:r w:rsidR="003113B6">
        <w:rPr>
          <w:szCs w:val="24"/>
        </w:rPr>
        <w:t>debtor’s</w:t>
      </w:r>
      <w:r w:rsidR="006B0F00">
        <w:rPr>
          <w:szCs w:val="24"/>
        </w:rPr>
        <w:t xml:space="preserve"> statement of affairs </w:t>
      </w:r>
      <w:r w:rsidR="003113B6">
        <w:rPr>
          <w:szCs w:val="24"/>
        </w:rPr>
        <w:t xml:space="preserve">to creditors </w:t>
      </w:r>
      <w:r w:rsidR="006B0F00">
        <w:rPr>
          <w:szCs w:val="24"/>
        </w:rPr>
        <w:t>which must not be made available to the public.</w:t>
      </w:r>
    </w:p>
    <w:p w14:paraId="0A7D82F1" w14:textId="0DD98E3F" w:rsidR="00F11857" w:rsidRPr="00F11857" w:rsidRDefault="00116B97" w:rsidP="00394DE0">
      <w:pPr>
        <w:keepNext/>
        <w:shd w:val="clear" w:color="auto" w:fill="FFFFFF"/>
        <w:spacing w:before="100" w:beforeAutospacing="1" w:after="100" w:afterAutospacing="1"/>
        <w:rPr>
          <w:i/>
          <w:szCs w:val="24"/>
        </w:rPr>
      </w:pPr>
      <w:r w:rsidRPr="003113B6">
        <w:rPr>
          <w:i/>
          <w:szCs w:val="24"/>
        </w:rPr>
        <w:t xml:space="preserve">Item </w:t>
      </w:r>
      <w:r w:rsidR="001B3E0E">
        <w:rPr>
          <w:i/>
          <w:szCs w:val="24"/>
        </w:rPr>
        <w:t>12</w:t>
      </w:r>
      <w:r w:rsidR="003113B6" w:rsidRPr="003113B6">
        <w:rPr>
          <w:i/>
          <w:szCs w:val="24"/>
        </w:rPr>
        <w:t xml:space="preserve"> - </w:t>
      </w:r>
      <w:r w:rsidR="006B0F00" w:rsidRPr="003113B6">
        <w:rPr>
          <w:i/>
          <w:szCs w:val="24"/>
        </w:rPr>
        <w:t>After</w:t>
      </w:r>
      <w:r w:rsidR="006B0F00">
        <w:rPr>
          <w:i/>
          <w:szCs w:val="24"/>
        </w:rPr>
        <w:t xml:space="preserve"> subsection 75-</w:t>
      </w:r>
      <w:r w:rsidR="00F11857" w:rsidRPr="00F11857">
        <w:rPr>
          <w:i/>
          <w:szCs w:val="24"/>
        </w:rPr>
        <w:t>27(2)</w:t>
      </w:r>
    </w:p>
    <w:p w14:paraId="10A3453E" w14:textId="3843A615" w:rsidR="003113B6" w:rsidRDefault="00F11857" w:rsidP="00394DE0">
      <w:pPr>
        <w:keepNext/>
        <w:shd w:val="clear" w:color="auto" w:fill="FFFFFF"/>
        <w:spacing w:before="100" w:beforeAutospacing="1" w:after="100" w:afterAutospacing="1"/>
        <w:rPr>
          <w:szCs w:val="24"/>
        </w:rPr>
      </w:pPr>
      <w:r w:rsidRPr="00F11857">
        <w:t>Paragraph 75</w:t>
      </w:r>
      <w:r w:rsidRPr="00F11857">
        <w:noBreakHyphen/>
      </w:r>
      <w:proofErr w:type="gramStart"/>
      <w:r w:rsidRPr="00F11857">
        <w:t>27(</w:t>
      </w:r>
      <w:proofErr w:type="gramEnd"/>
      <w:r w:rsidRPr="00F11857">
        <w:t>2)(a)</w:t>
      </w:r>
      <w:r>
        <w:t xml:space="preserve"> </w:t>
      </w:r>
      <w:r w:rsidR="00492F7D">
        <w:t xml:space="preserve">of the Rules </w:t>
      </w:r>
      <w:r>
        <w:rPr>
          <w:szCs w:val="24"/>
        </w:rPr>
        <w:t xml:space="preserve">requires a trustee provide a copy of </w:t>
      </w:r>
      <w:r w:rsidRPr="00BF6C9D">
        <w:rPr>
          <w:szCs w:val="24"/>
        </w:rPr>
        <w:t xml:space="preserve">the </w:t>
      </w:r>
      <w:r>
        <w:rPr>
          <w:szCs w:val="24"/>
        </w:rPr>
        <w:t>regulated debtor’s statement of af</w:t>
      </w:r>
      <w:r w:rsidR="006B0F00">
        <w:rPr>
          <w:szCs w:val="24"/>
        </w:rPr>
        <w:t xml:space="preserve">fairs to creditors </w:t>
      </w:r>
      <w:r w:rsidR="003113B6">
        <w:rPr>
          <w:szCs w:val="24"/>
        </w:rPr>
        <w:t xml:space="preserve">when giving notice to creditors of a </w:t>
      </w:r>
      <w:r w:rsidR="006B0F00">
        <w:rPr>
          <w:szCs w:val="24"/>
        </w:rPr>
        <w:t>section 188 meeting</w:t>
      </w:r>
      <w:r w:rsidR="00492F7D">
        <w:rPr>
          <w:szCs w:val="24"/>
        </w:rPr>
        <w:t xml:space="preserve"> (section 188 of the Act)</w:t>
      </w:r>
      <w:r w:rsidR="006B0F00">
        <w:rPr>
          <w:szCs w:val="24"/>
        </w:rPr>
        <w:t xml:space="preserve">. </w:t>
      </w:r>
    </w:p>
    <w:p w14:paraId="11FD0C4E" w14:textId="36BB1D31" w:rsidR="00F11857" w:rsidRDefault="006B0F00" w:rsidP="00DA0CFD">
      <w:pPr>
        <w:shd w:val="clear" w:color="auto" w:fill="FFFFFF"/>
        <w:spacing w:before="100" w:beforeAutospacing="1" w:after="100" w:afterAutospacing="1"/>
      </w:pPr>
      <w:r>
        <w:rPr>
          <w:szCs w:val="24"/>
        </w:rPr>
        <w:t xml:space="preserve">Item </w:t>
      </w:r>
      <w:r w:rsidR="001B3E0E">
        <w:rPr>
          <w:szCs w:val="24"/>
        </w:rPr>
        <w:t>12</w:t>
      </w:r>
      <w:r>
        <w:rPr>
          <w:szCs w:val="24"/>
        </w:rPr>
        <w:t xml:space="preserve"> </w:t>
      </w:r>
      <w:r w:rsidR="003113B6">
        <w:rPr>
          <w:szCs w:val="24"/>
        </w:rPr>
        <w:t xml:space="preserve">of Schedule 1 </w:t>
      </w:r>
      <w:r>
        <w:rPr>
          <w:szCs w:val="24"/>
        </w:rPr>
        <w:t>insert</w:t>
      </w:r>
      <w:r w:rsidR="00535EBE">
        <w:rPr>
          <w:szCs w:val="24"/>
        </w:rPr>
        <w:t>s</w:t>
      </w:r>
      <w:r>
        <w:rPr>
          <w:szCs w:val="24"/>
        </w:rPr>
        <w:t xml:space="preserve"> subsection </w:t>
      </w:r>
      <w:r w:rsidRPr="006B0F00">
        <w:rPr>
          <w:szCs w:val="24"/>
        </w:rPr>
        <w:t>75-27(2A)</w:t>
      </w:r>
      <w:r>
        <w:rPr>
          <w:szCs w:val="24"/>
        </w:rPr>
        <w:t xml:space="preserve"> which contains </w:t>
      </w:r>
      <w:r w:rsidR="008110C5">
        <w:rPr>
          <w:szCs w:val="24"/>
        </w:rPr>
        <w:t>an</w:t>
      </w:r>
      <w:r>
        <w:rPr>
          <w:szCs w:val="24"/>
        </w:rPr>
        <w:t xml:space="preserve"> obligation for trustees</w:t>
      </w:r>
      <w:r w:rsidR="008110C5">
        <w:rPr>
          <w:szCs w:val="24"/>
        </w:rPr>
        <w:t xml:space="preserve"> </w:t>
      </w:r>
      <w:r>
        <w:rPr>
          <w:szCs w:val="24"/>
        </w:rPr>
        <w:t xml:space="preserve">not to give creditors information </w:t>
      </w:r>
      <w:r w:rsidR="008110C5">
        <w:rPr>
          <w:szCs w:val="24"/>
        </w:rPr>
        <w:t xml:space="preserve">(when notifying of a section 188 meeting) </w:t>
      </w:r>
      <w:r>
        <w:rPr>
          <w:szCs w:val="24"/>
        </w:rPr>
        <w:t xml:space="preserve">which must not be made available to the public, as indicated in the approved form of a </w:t>
      </w:r>
      <w:r w:rsidR="001B4A3C">
        <w:rPr>
          <w:szCs w:val="24"/>
        </w:rPr>
        <w:t xml:space="preserve">regulated </w:t>
      </w:r>
      <w:r w:rsidR="008110C5">
        <w:rPr>
          <w:szCs w:val="24"/>
        </w:rPr>
        <w:t xml:space="preserve">debtor’s </w:t>
      </w:r>
      <w:r>
        <w:rPr>
          <w:szCs w:val="24"/>
        </w:rPr>
        <w:t xml:space="preserve">statement of affairs. </w:t>
      </w:r>
      <w:r>
        <w:t xml:space="preserve">This will ensure the privacy of the </w:t>
      </w:r>
      <w:r w:rsidR="00592C76">
        <w:t>regulated debtor</w:t>
      </w:r>
      <w:r>
        <w:t xml:space="preserve"> is maintained.</w:t>
      </w:r>
    </w:p>
    <w:p w14:paraId="399D214F" w14:textId="6E043C8B" w:rsidR="006B0F00" w:rsidRDefault="006B0F00" w:rsidP="00DA0CFD">
      <w:pPr>
        <w:spacing w:before="100" w:beforeAutospacing="1" w:after="100" w:afterAutospacing="1"/>
        <w:rPr>
          <w:szCs w:val="24"/>
        </w:rPr>
      </w:pPr>
      <w:r w:rsidRPr="004A268C">
        <w:t xml:space="preserve">Item </w:t>
      </w:r>
      <w:r w:rsidR="001B3E0E">
        <w:t>12</w:t>
      </w:r>
      <w:r w:rsidRPr="004A268C">
        <w:t xml:space="preserve"> </w:t>
      </w:r>
      <w:r w:rsidR="008110C5">
        <w:t xml:space="preserve">of Schedule 1 </w:t>
      </w:r>
      <w:r w:rsidRPr="004A268C">
        <w:t>also insert</w:t>
      </w:r>
      <w:r w:rsidR="00535EBE">
        <w:t>s</w:t>
      </w:r>
      <w:r w:rsidRPr="004A268C">
        <w:t xml:space="preserve"> </w:t>
      </w:r>
      <w:r w:rsidR="008110C5">
        <w:rPr>
          <w:szCs w:val="24"/>
        </w:rPr>
        <w:t>subsection 75-27(2B).  T</w:t>
      </w:r>
      <w:r w:rsidR="004A268C" w:rsidRPr="004A268C">
        <w:rPr>
          <w:szCs w:val="24"/>
        </w:rPr>
        <w:t>his</w:t>
      </w:r>
      <w:r w:rsidR="004A268C">
        <w:rPr>
          <w:szCs w:val="24"/>
        </w:rPr>
        <w:t xml:space="preserve"> </w:t>
      </w:r>
      <w:r w:rsidR="008110C5">
        <w:rPr>
          <w:szCs w:val="24"/>
        </w:rPr>
        <w:t xml:space="preserve">subsection </w:t>
      </w:r>
      <w:r w:rsidR="004A268C">
        <w:rPr>
          <w:szCs w:val="24"/>
        </w:rPr>
        <w:t xml:space="preserve">will require the </w:t>
      </w:r>
      <w:r w:rsidR="001B4A3C">
        <w:rPr>
          <w:szCs w:val="24"/>
        </w:rPr>
        <w:t xml:space="preserve">regulated </w:t>
      </w:r>
      <w:r w:rsidR="004A268C">
        <w:rPr>
          <w:szCs w:val="24"/>
        </w:rPr>
        <w:t xml:space="preserve">debtor to attend the section 188 meeting. This obligation was contained within </w:t>
      </w:r>
      <w:r w:rsidR="001D31AF">
        <w:rPr>
          <w:lang w:eastAsia="ja-JP"/>
        </w:rPr>
        <w:t>s</w:t>
      </w:r>
      <w:r w:rsidR="004A268C" w:rsidRPr="00C22929">
        <w:rPr>
          <w:lang w:eastAsia="ja-JP"/>
        </w:rPr>
        <w:t>ection 195 of the Act</w:t>
      </w:r>
      <w:r w:rsidR="004A268C">
        <w:rPr>
          <w:lang w:eastAsia="ja-JP"/>
        </w:rPr>
        <w:t xml:space="preserve"> and repealed on the ground that it would be included in the </w:t>
      </w:r>
      <w:r w:rsidR="0072036F">
        <w:rPr>
          <w:lang w:eastAsia="ja-JP"/>
        </w:rPr>
        <w:t>R</w:t>
      </w:r>
      <w:r w:rsidR="004A268C">
        <w:rPr>
          <w:lang w:eastAsia="ja-JP"/>
        </w:rPr>
        <w:t xml:space="preserve">ules. Item </w:t>
      </w:r>
      <w:r w:rsidR="001B3E0E">
        <w:rPr>
          <w:lang w:eastAsia="ja-JP"/>
        </w:rPr>
        <w:t>12</w:t>
      </w:r>
      <w:r w:rsidR="004A268C">
        <w:rPr>
          <w:lang w:eastAsia="ja-JP"/>
        </w:rPr>
        <w:t xml:space="preserve"> </w:t>
      </w:r>
      <w:r w:rsidR="004A268C">
        <w:rPr>
          <w:szCs w:val="24"/>
        </w:rPr>
        <w:t>reinstates this obligation for debtors to attend meetings unless p</w:t>
      </w:r>
      <w:r w:rsidR="004A268C" w:rsidRPr="00C22929">
        <w:rPr>
          <w:lang w:eastAsia="ja-JP"/>
        </w:rPr>
        <w:t xml:space="preserve">revented by illness or other sufficient cause, and </w:t>
      </w:r>
      <w:r w:rsidR="008110C5">
        <w:rPr>
          <w:lang w:eastAsia="ja-JP"/>
        </w:rPr>
        <w:t>clarifies</w:t>
      </w:r>
      <w:r w:rsidR="004A268C" w:rsidRPr="00C22929">
        <w:rPr>
          <w:lang w:eastAsia="ja-JP"/>
        </w:rPr>
        <w:t xml:space="preserve"> that failure of the debtor to attend meetings does not affect the validity of resolutions passed at the meetings.</w:t>
      </w:r>
    </w:p>
    <w:p w14:paraId="46497878" w14:textId="62A094E7" w:rsidR="006B0F00" w:rsidRPr="006B0F00" w:rsidRDefault="00116B97" w:rsidP="00DA0CFD">
      <w:pPr>
        <w:shd w:val="clear" w:color="auto" w:fill="FFFFFF"/>
        <w:spacing w:before="100" w:beforeAutospacing="1" w:after="100" w:afterAutospacing="1"/>
        <w:rPr>
          <w:i/>
        </w:rPr>
      </w:pPr>
      <w:r w:rsidRPr="008110C5">
        <w:rPr>
          <w:i/>
          <w:szCs w:val="24"/>
        </w:rPr>
        <w:t xml:space="preserve">Item </w:t>
      </w:r>
      <w:r w:rsidR="001B3E0E">
        <w:rPr>
          <w:i/>
          <w:szCs w:val="24"/>
        </w:rPr>
        <w:t>13</w:t>
      </w:r>
      <w:r w:rsidR="008110C5" w:rsidRPr="008110C5">
        <w:rPr>
          <w:i/>
          <w:szCs w:val="24"/>
        </w:rPr>
        <w:t xml:space="preserve"> - </w:t>
      </w:r>
      <w:r w:rsidR="006B0F00" w:rsidRPr="008110C5">
        <w:rPr>
          <w:i/>
        </w:rPr>
        <w:t>Section</w:t>
      </w:r>
      <w:r w:rsidR="006B0F00" w:rsidRPr="006B0F00">
        <w:rPr>
          <w:i/>
        </w:rPr>
        <w:t> 75</w:t>
      </w:r>
      <w:r w:rsidR="006B0F00" w:rsidRPr="006B0F00">
        <w:rPr>
          <w:i/>
        </w:rPr>
        <w:noBreakHyphen/>
        <w:t>40 (heading)</w:t>
      </w:r>
    </w:p>
    <w:p w14:paraId="1ECAA081" w14:textId="5CFA39B5" w:rsidR="006B0F00" w:rsidRPr="006B0F00" w:rsidRDefault="008110C5" w:rsidP="00DA0CFD">
      <w:pPr>
        <w:shd w:val="clear" w:color="auto" w:fill="FFFFFF"/>
        <w:spacing w:before="100" w:beforeAutospacing="1" w:after="100" w:afterAutospacing="1"/>
        <w:rPr>
          <w:szCs w:val="24"/>
        </w:rPr>
      </w:pPr>
      <w:r>
        <w:rPr>
          <w:szCs w:val="24"/>
        </w:rPr>
        <w:t xml:space="preserve">Item </w:t>
      </w:r>
      <w:r w:rsidR="001B3E0E">
        <w:rPr>
          <w:szCs w:val="24"/>
        </w:rPr>
        <w:t>13</w:t>
      </w:r>
      <w:r>
        <w:rPr>
          <w:szCs w:val="24"/>
        </w:rPr>
        <w:t xml:space="preserve"> of Schedule 1</w:t>
      </w:r>
      <w:r w:rsidR="006B0F00">
        <w:rPr>
          <w:szCs w:val="24"/>
        </w:rPr>
        <w:t xml:space="preserve"> repeal</w:t>
      </w:r>
      <w:r w:rsidR="00535EBE">
        <w:rPr>
          <w:szCs w:val="24"/>
        </w:rPr>
        <w:t>s</w:t>
      </w:r>
      <w:r w:rsidR="006B0F00">
        <w:rPr>
          <w:szCs w:val="24"/>
        </w:rPr>
        <w:t xml:space="preserve"> the current heading of section </w:t>
      </w:r>
      <w:r w:rsidR="006B0F00">
        <w:t>75</w:t>
      </w:r>
      <w:r w:rsidR="006B0F00">
        <w:noBreakHyphen/>
        <w:t xml:space="preserve">40 </w:t>
      </w:r>
      <w:r w:rsidR="000F1CBB">
        <w:t xml:space="preserve">of the Rules </w:t>
      </w:r>
      <w:r w:rsidR="006B0F00">
        <w:rPr>
          <w:szCs w:val="24"/>
        </w:rPr>
        <w:t>and in</w:t>
      </w:r>
      <w:r w:rsidR="0066758E">
        <w:rPr>
          <w:szCs w:val="24"/>
        </w:rPr>
        <w:t>sert</w:t>
      </w:r>
      <w:r w:rsidR="00535EBE">
        <w:rPr>
          <w:szCs w:val="24"/>
        </w:rPr>
        <w:t>s</w:t>
      </w:r>
      <w:r w:rsidR="0066758E">
        <w:rPr>
          <w:szCs w:val="24"/>
        </w:rPr>
        <w:t xml:space="preserve"> a new heading that replaces</w:t>
      </w:r>
      <w:r w:rsidR="006B0F00">
        <w:rPr>
          <w:szCs w:val="24"/>
        </w:rPr>
        <w:t xml:space="preserve"> ‘meetings’ </w:t>
      </w:r>
      <w:r w:rsidR="0072036F">
        <w:rPr>
          <w:szCs w:val="24"/>
        </w:rPr>
        <w:t>with</w:t>
      </w:r>
      <w:r w:rsidR="006B0F00">
        <w:rPr>
          <w:szCs w:val="24"/>
        </w:rPr>
        <w:t xml:space="preserve"> ‘first meeting’. This remove</w:t>
      </w:r>
      <w:r w:rsidR="00535EBE">
        <w:rPr>
          <w:szCs w:val="24"/>
        </w:rPr>
        <w:t>s</w:t>
      </w:r>
      <w:r w:rsidR="006B0F00">
        <w:rPr>
          <w:szCs w:val="24"/>
        </w:rPr>
        <w:t xml:space="preserve"> the burden being placed on trustees to lodge a notice every time there is a meeting called under section 73 or Part X of the Act.</w:t>
      </w:r>
    </w:p>
    <w:p w14:paraId="1BDB7BF9" w14:textId="5A235378" w:rsidR="0066758E" w:rsidRPr="0066758E" w:rsidRDefault="00116B97" w:rsidP="00DA0CFD">
      <w:pPr>
        <w:shd w:val="clear" w:color="auto" w:fill="FFFFFF"/>
        <w:spacing w:before="100" w:beforeAutospacing="1" w:after="100" w:afterAutospacing="1"/>
        <w:rPr>
          <w:i/>
        </w:rPr>
      </w:pPr>
      <w:r w:rsidRPr="007B5E2F">
        <w:rPr>
          <w:i/>
          <w:szCs w:val="24"/>
        </w:rPr>
        <w:t xml:space="preserve">Item </w:t>
      </w:r>
      <w:r w:rsidR="001B3E0E">
        <w:rPr>
          <w:i/>
          <w:szCs w:val="24"/>
        </w:rPr>
        <w:t>14</w:t>
      </w:r>
      <w:r w:rsidR="007B5E2F" w:rsidRPr="007B5E2F">
        <w:rPr>
          <w:i/>
          <w:szCs w:val="24"/>
        </w:rPr>
        <w:t xml:space="preserve"> - </w:t>
      </w:r>
      <w:r w:rsidR="0066758E" w:rsidRPr="007B5E2F">
        <w:rPr>
          <w:i/>
        </w:rPr>
        <w:t>Subsection</w:t>
      </w:r>
      <w:r w:rsidR="0066758E" w:rsidRPr="0066758E">
        <w:rPr>
          <w:i/>
        </w:rPr>
        <w:t> 75</w:t>
      </w:r>
      <w:r w:rsidR="0066758E" w:rsidRPr="0066758E">
        <w:rPr>
          <w:i/>
        </w:rPr>
        <w:noBreakHyphen/>
      </w:r>
      <w:proofErr w:type="gramStart"/>
      <w:r w:rsidR="0066758E" w:rsidRPr="0066758E">
        <w:rPr>
          <w:i/>
        </w:rPr>
        <w:t>40(</w:t>
      </w:r>
      <w:proofErr w:type="gramEnd"/>
      <w:r w:rsidR="0066758E" w:rsidRPr="0066758E">
        <w:rPr>
          <w:i/>
        </w:rPr>
        <w:t>1)</w:t>
      </w:r>
    </w:p>
    <w:p w14:paraId="43028FA2" w14:textId="18461204" w:rsidR="007B5E2F" w:rsidRDefault="0066758E" w:rsidP="00DA0CFD">
      <w:pPr>
        <w:shd w:val="clear" w:color="auto" w:fill="FFFFFF"/>
        <w:spacing w:before="100" w:beforeAutospacing="1" w:after="100" w:afterAutospacing="1"/>
        <w:rPr>
          <w:szCs w:val="24"/>
        </w:rPr>
      </w:pPr>
      <w:r>
        <w:t>Subsection 75</w:t>
      </w:r>
      <w:r>
        <w:noBreakHyphen/>
      </w:r>
      <w:proofErr w:type="gramStart"/>
      <w:r>
        <w:t>40(</w:t>
      </w:r>
      <w:proofErr w:type="gramEnd"/>
      <w:r>
        <w:t xml:space="preserve">1) </w:t>
      </w:r>
      <w:r w:rsidR="00492F7D">
        <w:t xml:space="preserve">of the Rules </w:t>
      </w:r>
      <w:r w:rsidR="007B5E2F">
        <w:t xml:space="preserve">currently </w:t>
      </w:r>
      <w:r>
        <w:t xml:space="preserve">applies section 75-40 </w:t>
      </w:r>
      <w:r w:rsidR="00A45B0A">
        <w:t xml:space="preserve">obligations </w:t>
      </w:r>
      <w:r>
        <w:t xml:space="preserve">to a meeting of creditors </w:t>
      </w:r>
      <w:r>
        <w:rPr>
          <w:szCs w:val="24"/>
        </w:rPr>
        <w:t xml:space="preserve">called under section 73 or Part X of the Act. </w:t>
      </w:r>
    </w:p>
    <w:p w14:paraId="2DD5E5DD" w14:textId="267EB91C" w:rsidR="0066758E" w:rsidRPr="0066758E" w:rsidRDefault="0066758E" w:rsidP="00DA0CFD">
      <w:pPr>
        <w:shd w:val="clear" w:color="auto" w:fill="FFFFFF"/>
        <w:spacing w:before="100" w:beforeAutospacing="1" w:after="100" w:afterAutospacing="1"/>
        <w:rPr>
          <w:szCs w:val="24"/>
        </w:rPr>
      </w:pPr>
      <w:r>
        <w:rPr>
          <w:szCs w:val="24"/>
        </w:rPr>
        <w:t xml:space="preserve">Item </w:t>
      </w:r>
      <w:r w:rsidR="001B3E0E">
        <w:rPr>
          <w:szCs w:val="24"/>
        </w:rPr>
        <w:t>14</w:t>
      </w:r>
      <w:r w:rsidR="007B5E2F">
        <w:rPr>
          <w:szCs w:val="24"/>
        </w:rPr>
        <w:t xml:space="preserve"> of Schedule 1</w:t>
      </w:r>
      <w:r>
        <w:rPr>
          <w:szCs w:val="24"/>
        </w:rPr>
        <w:t xml:space="preserve"> replaces ‘a meeting of creditors’ with ‘</w:t>
      </w:r>
      <w:r>
        <w:t xml:space="preserve">the first meeting of creditors of a regulated debtor’s estate’. This </w:t>
      </w:r>
      <w:r>
        <w:rPr>
          <w:szCs w:val="24"/>
        </w:rPr>
        <w:t>remove</w:t>
      </w:r>
      <w:r w:rsidR="00A36704">
        <w:rPr>
          <w:szCs w:val="24"/>
        </w:rPr>
        <w:t>s</w:t>
      </w:r>
      <w:r>
        <w:rPr>
          <w:szCs w:val="24"/>
        </w:rPr>
        <w:t xml:space="preserve"> the burden being placed on trustees to lodge a notice </w:t>
      </w:r>
      <w:r w:rsidR="007B5E2F">
        <w:rPr>
          <w:szCs w:val="24"/>
        </w:rPr>
        <w:t xml:space="preserve">in an approved form </w:t>
      </w:r>
      <w:r>
        <w:rPr>
          <w:szCs w:val="24"/>
        </w:rPr>
        <w:t>every time there is a meeting called under section 73 or Part</w:t>
      </w:r>
      <w:r w:rsidR="007B5E2F">
        <w:rPr>
          <w:szCs w:val="24"/>
        </w:rPr>
        <w:t> </w:t>
      </w:r>
      <w:r>
        <w:rPr>
          <w:szCs w:val="24"/>
        </w:rPr>
        <w:t>X of the Act</w:t>
      </w:r>
      <w:r w:rsidR="007B5E2F">
        <w:rPr>
          <w:szCs w:val="24"/>
        </w:rPr>
        <w:t>. It ensure</w:t>
      </w:r>
      <w:r w:rsidR="00492F7D">
        <w:rPr>
          <w:szCs w:val="24"/>
        </w:rPr>
        <w:t>s</w:t>
      </w:r>
      <w:r w:rsidR="007B5E2F">
        <w:rPr>
          <w:szCs w:val="24"/>
        </w:rPr>
        <w:t xml:space="preserve"> that the trustee’s obligations to lodge a notice only apply for the first meeting of creditors</w:t>
      </w:r>
      <w:r>
        <w:rPr>
          <w:szCs w:val="24"/>
        </w:rPr>
        <w:t xml:space="preserve"> </w:t>
      </w:r>
      <w:r w:rsidR="00C80DF9">
        <w:rPr>
          <w:szCs w:val="24"/>
        </w:rPr>
        <w:t xml:space="preserve">in relation to the </w:t>
      </w:r>
      <w:r>
        <w:t>regulated debtor’s estate.</w:t>
      </w:r>
    </w:p>
    <w:p w14:paraId="3A15BD27" w14:textId="4EFD1741" w:rsidR="0066758E" w:rsidRPr="0066758E" w:rsidRDefault="00116B97" w:rsidP="00394DE0">
      <w:pPr>
        <w:keepNext/>
        <w:shd w:val="clear" w:color="auto" w:fill="FFFFFF"/>
        <w:spacing w:before="100" w:beforeAutospacing="1" w:after="100" w:afterAutospacing="1"/>
        <w:rPr>
          <w:i/>
        </w:rPr>
      </w:pPr>
      <w:r w:rsidRPr="007B5E2F">
        <w:rPr>
          <w:i/>
          <w:szCs w:val="24"/>
        </w:rPr>
        <w:t xml:space="preserve">Item </w:t>
      </w:r>
      <w:r w:rsidR="001B3E0E">
        <w:rPr>
          <w:i/>
          <w:szCs w:val="24"/>
        </w:rPr>
        <w:t>15</w:t>
      </w:r>
      <w:r w:rsidR="007B5E2F" w:rsidRPr="007B5E2F">
        <w:rPr>
          <w:i/>
          <w:szCs w:val="24"/>
        </w:rPr>
        <w:t xml:space="preserve"> - </w:t>
      </w:r>
      <w:r w:rsidR="0066758E" w:rsidRPr="007B5E2F">
        <w:rPr>
          <w:i/>
        </w:rPr>
        <w:t>Subsection</w:t>
      </w:r>
      <w:r w:rsidR="0066758E" w:rsidRPr="0066758E">
        <w:rPr>
          <w:i/>
        </w:rPr>
        <w:t> 75</w:t>
      </w:r>
      <w:r w:rsidR="0066758E" w:rsidRPr="0066758E">
        <w:rPr>
          <w:i/>
        </w:rPr>
        <w:noBreakHyphen/>
      </w:r>
      <w:proofErr w:type="gramStart"/>
      <w:r w:rsidR="0066758E" w:rsidRPr="0066758E">
        <w:rPr>
          <w:i/>
        </w:rPr>
        <w:t>40(</w:t>
      </w:r>
      <w:proofErr w:type="gramEnd"/>
      <w:r w:rsidR="0066758E" w:rsidRPr="0066758E">
        <w:rPr>
          <w:i/>
        </w:rPr>
        <w:t>2)</w:t>
      </w:r>
    </w:p>
    <w:p w14:paraId="5CC4D136" w14:textId="5E720449" w:rsidR="0066758E" w:rsidRPr="00501A65" w:rsidRDefault="00501A65" w:rsidP="00394DE0">
      <w:pPr>
        <w:keepNext/>
        <w:shd w:val="clear" w:color="auto" w:fill="FFFFFF"/>
        <w:spacing w:before="100" w:beforeAutospacing="1" w:after="100" w:afterAutospacing="1"/>
      </w:pPr>
      <w:r w:rsidRPr="00501A65">
        <w:t>Subsection 75</w:t>
      </w:r>
      <w:r w:rsidRPr="00501A65">
        <w:noBreakHyphen/>
      </w:r>
      <w:proofErr w:type="gramStart"/>
      <w:r w:rsidRPr="00501A65">
        <w:t>40(</w:t>
      </w:r>
      <w:proofErr w:type="gramEnd"/>
      <w:r w:rsidRPr="00501A65">
        <w:t>2)</w:t>
      </w:r>
      <w:r>
        <w:t xml:space="preserve"> </w:t>
      </w:r>
      <w:r w:rsidR="00492F7D">
        <w:t xml:space="preserve">of the Rules </w:t>
      </w:r>
      <w:r>
        <w:t xml:space="preserve">requires that a trustee must lodge a notice of meeting in the approved form. Item </w:t>
      </w:r>
      <w:r w:rsidR="001B3E0E">
        <w:t>15</w:t>
      </w:r>
      <w:r>
        <w:t xml:space="preserve"> </w:t>
      </w:r>
      <w:r w:rsidR="007B5E2F">
        <w:t xml:space="preserve">of Schedule 1 </w:t>
      </w:r>
      <w:r>
        <w:rPr>
          <w:szCs w:val="24"/>
        </w:rPr>
        <w:t xml:space="preserve">corrects a technical error </w:t>
      </w:r>
      <w:r w:rsidR="007B5E2F">
        <w:rPr>
          <w:szCs w:val="24"/>
        </w:rPr>
        <w:t xml:space="preserve">in the text of the Rules </w:t>
      </w:r>
      <w:r>
        <w:rPr>
          <w:szCs w:val="24"/>
        </w:rPr>
        <w:t xml:space="preserve">where </w:t>
      </w:r>
      <w:r>
        <w:t>‘of a regulated debtor’s estate’ should be ‘of the regulated debtor’s estate’.</w:t>
      </w:r>
    </w:p>
    <w:p w14:paraId="7FC7F492" w14:textId="0A602821" w:rsidR="00116B97" w:rsidRPr="00577A51" w:rsidRDefault="0066758E" w:rsidP="00DA0CFD">
      <w:pPr>
        <w:shd w:val="clear" w:color="auto" w:fill="FFFFFF"/>
        <w:spacing w:before="100" w:beforeAutospacing="1" w:after="100" w:afterAutospacing="1"/>
        <w:rPr>
          <w:i/>
          <w:szCs w:val="24"/>
        </w:rPr>
      </w:pPr>
      <w:r w:rsidRPr="007B5E2F">
        <w:rPr>
          <w:i/>
          <w:szCs w:val="24"/>
        </w:rPr>
        <w:t xml:space="preserve">Item </w:t>
      </w:r>
      <w:r w:rsidR="001B3E0E">
        <w:rPr>
          <w:i/>
          <w:szCs w:val="24"/>
        </w:rPr>
        <w:t>16</w:t>
      </w:r>
      <w:r w:rsidR="007B5E2F" w:rsidRPr="007B5E2F">
        <w:rPr>
          <w:i/>
          <w:szCs w:val="24"/>
        </w:rPr>
        <w:t xml:space="preserve"> - </w:t>
      </w:r>
      <w:r w:rsidR="00577A51" w:rsidRPr="007B5E2F">
        <w:rPr>
          <w:i/>
        </w:rPr>
        <w:t>Paragra</w:t>
      </w:r>
      <w:r w:rsidR="00577A51" w:rsidRPr="00577A51">
        <w:rPr>
          <w:i/>
        </w:rPr>
        <w:t>ph 75</w:t>
      </w:r>
      <w:r w:rsidR="00577A51" w:rsidRPr="00577A51">
        <w:rPr>
          <w:i/>
        </w:rPr>
        <w:noBreakHyphen/>
      </w:r>
      <w:proofErr w:type="gramStart"/>
      <w:r w:rsidR="00577A51" w:rsidRPr="00577A51">
        <w:rPr>
          <w:i/>
        </w:rPr>
        <w:t>40(</w:t>
      </w:r>
      <w:proofErr w:type="gramEnd"/>
      <w:r w:rsidR="00577A51" w:rsidRPr="00577A51">
        <w:rPr>
          <w:i/>
        </w:rPr>
        <w:t>3)(d)</w:t>
      </w:r>
      <w:r w:rsidR="00577A51" w:rsidRPr="00577A51">
        <w:rPr>
          <w:i/>
          <w:szCs w:val="24"/>
        </w:rPr>
        <w:t xml:space="preserve"> </w:t>
      </w:r>
    </w:p>
    <w:p w14:paraId="36C4136E" w14:textId="6EFE85F2" w:rsidR="007B5E2F" w:rsidRDefault="00577A51" w:rsidP="00DA0CFD">
      <w:pPr>
        <w:shd w:val="clear" w:color="auto" w:fill="FFFFFF"/>
        <w:spacing w:before="100" w:beforeAutospacing="1" w:after="100" w:afterAutospacing="1"/>
        <w:rPr>
          <w:szCs w:val="24"/>
        </w:rPr>
      </w:pPr>
      <w:r>
        <w:rPr>
          <w:szCs w:val="24"/>
        </w:rPr>
        <w:t>Paragraph 75-40(3</w:t>
      </w:r>
      <w:proofErr w:type="gramStart"/>
      <w:r>
        <w:rPr>
          <w:szCs w:val="24"/>
        </w:rPr>
        <w:t>)(</w:t>
      </w:r>
      <w:proofErr w:type="gramEnd"/>
      <w:r>
        <w:rPr>
          <w:szCs w:val="24"/>
        </w:rPr>
        <w:t xml:space="preserve">d) of the Rules </w:t>
      </w:r>
      <w:r w:rsidR="007B5E2F">
        <w:rPr>
          <w:szCs w:val="24"/>
        </w:rPr>
        <w:t xml:space="preserve">currently </w:t>
      </w:r>
      <w:r>
        <w:rPr>
          <w:szCs w:val="24"/>
        </w:rPr>
        <w:t xml:space="preserve">requires </w:t>
      </w:r>
      <w:r w:rsidR="007B5E2F">
        <w:rPr>
          <w:szCs w:val="24"/>
        </w:rPr>
        <w:t>a</w:t>
      </w:r>
      <w:r>
        <w:rPr>
          <w:szCs w:val="24"/>
        </w:rPr>
        <w:t xml:space="preserve"> notice of </w:t>
      </w:r>
      <w:r w:rsidR="00FE54B8">
        <w:rPr>
          <w:szCs w:val="24"/>
        </w:rPr>
        <w:t xml:space="preserve">a </w:t>
      </w:r>
      <w:r>
        <w:rPr>
          <w:szCs w:val="24"/>
        </w:rPr>
        <w:t>meeting</w:t>
      </w:r>
      <w:r w:rsidR="007B5E2F">
        <w:rPr>
          <w:szCs w:val="24"/>
        </w:rPr>
        <w:t xml:space="preserve"> to creditors</w:t>
      </w:r>
      <w:r>
        <w:rPr>
          <w:szCs w:val="24"/>
        </w:rPr>
        <w:t xml:space="preserve"> to state the time and date by which proofs of debt and proxies must be submitted. </w:t>
      </w:r>
    </w:p>
    <w:p w14:paraId="347EB6CD" w14:textId="4D809A55" w:rsidR="00577A51" w:rsidRDefault="00577A51" w:rsidP="00DA0CFD">
      <w:pPr>
        <w:shd w:val="clear" w:color="auto" w:fill="FFFFFF"/>
        <w:spacing w:before="100" w:beforeAutospacing="1" w:after="100" w:afterAutospacing="1"/>
        <w:rPr>
          <w:szCs w:val="24"/>
        </w:rPr>
      </w:pPr>
      <w:r>
        <w:rPr>
          <w:szCs w:val="24"/>
        </w:rPr>
        <w:t xml:space="preserve">Item </w:t>
      </w:r>
      <w:r w:rsidR="001B3E0E">
        <w:rPr>
          <w:szCs w:val="24"/>
        </w:rPr>
        <w:t>16</w:t>
      </w:r>
      <w:r w:rsidR="007B5E2F">
        <w:rPr>
          <w:szCs w:val="24"/>
        </w:rPr>
        <w:t xml:space="preserve"> of Schedule 1</w:t>
      </w:r>
      <w:r>
        <w:rPr>
          <w:szCs w:val="24"/>
        </w:rPr>
        <w:t xml:space="preserve"> repeals paragraph 75-40(3</w:t>
      </w:r>
      <w:proofErr w:type="gramStart"/>
      <w:r>
        <w:rPr>
          <w:szCs w:val="24"/>
        </w:rPr>
        <w:t>)(</w:t>
      </w:r>
      <w:proofErr w:type="gramEnd"/>
      <w:r>
        <w:rPr>
          <w:szCs w:val="24"/>
        </w:rPr>
        <w:t xml:space="preserve">d) and replaces it with the obligation </w:t>
      </w:r>
      <w:r w:rsidR="00272657">
        <w:rPr>
          <w:szCs w:val="24"/>
        </w:rPr>
        <w:t xml:space="preserve">to provide </w:t>
      </w:r>
      <w:r w:rsidR="007B5E2F">
        <w:rPr>
          <w:szCs w:val="24"/>
        </w:rPr>
        <w:t>‘</w:t>
      </w:r>
      <w:r w:rsidR="00272657" w:rsidRPr="00272657">
        <w:rPr>
          <w:szCs w:val="24"/>
        </w:rPr>
        <w:t>the time and date by which particulars of the creditor’s debt or claim, and proxies for t</w:t>
      </w:r>
      <w:r w:rsidR="00272657">
        <w:rPr>
          <w:szCs w:val="24"/>
        </w:rPr>
        <w:t>he meeting, are to be submitted</w:t>
      </w:r>
      <w:r w:rsidR="007B5E2F">
        <w:rPr>
          <w:szCs w:val="24"/>
        </w:rPr>
        <w:t>’</w:t>
      </w:r>
      <w:r w:rsidR="00272657">
        <w:rPr>
          <w:szCs w:val="24"/>
        </w:rPr>
        <w:t>. This remove</w:t>
      </w:r>
      <w:r w:rsidR="00FE54B8">
        <w:rPr>
          <w:szCs w:val="24"/>
        </w:rPr>
        <w:t>s</w:t>
      </w:r>
      <w:r w:rsidR="00272657">
        <w:rPr>
          <w:szCs w:val="24"/>
        </w:rPr>
        <w:t xml:space="preserve"> the requirement to provide the proofs of debt before the meeting, and instead introduce</w:t>
      </w:r>
      <w:r w:rsidR="00FE54B8">
        <w:rPr>
          <w:szCs w:val="24"/>
        </w:rPr>
        <w:t>s</w:t>
      </w:r>
      <w:r w:rsidR="00272657">
        <w:rPr>
          <w:szCs w:val="24"/>
        </w:rPr>
        <w:t xml:space="preserve"> the requirement to provide </w:t>
      </w:r>
      <w:r w:rsidR="0072036F">
        <w:rPr>
          <w:szCs w:val="24"/>
        </w:rPr>
        <w:t xml:space="preserve">particulars of </w:t>
      </w:r>
      <w:r w:rsidR="00272657" w:rsidRPr="00272657">
        <w:rPr>
          <w:szCs w:val="24"/>
        </w:rPr>
        <w:t>the creditor’s debt or claim</w:t>
      </w:r>
      <w:r w:rsidR="0072036F">
        <w:rPr>
          <w:szCs w:val="24"/>
        </w:rPr>
        <w:t>, which may be in the form of a statement of claim</w:t>
      </w:r>
      <w:r w:rsidR="00272657">
        <w:rPr>
          <w:szCs w:val="24"/>
        </w:rPr>
        <w:t xml:space="preserve">. </w:t>
      </w:r>
      <w:r w:rsidR="0072036F">
        <w:rPr>
          <w:szCs w:val="24"/>
        </w:rPr>
        <w:t>The trustee may seek information to prove a debt</w:t>
      </w:r>
      <w:r w:rsidR="00F53875">
        <w:rPr>
          <w:szCs w:val="24"/>
        </w:rPr>
        <w:t xml:space="preserve"> on the day of the meeting, therefore t</w:t>
      </w:r>
      <w:r w:rsidR="00272657">
        <w:rPr>
          <w:szCs w:val="24"/>
        </w:rPr>
        <w:t>his change more accurately represents the information required before the meeting</w:t>
      </w:r>
      <w:r w:rsidR="00F53875">
        <w:rPr>
          <w:szCs w:val="24"/>
        </w:rPr>
        <w:t>.</w:t>
      </w:r>
    </w:p>
    <w:p w14:paraId="4550888A" w14:textId="59ADA09E" w:rsidR="00577A51" w:rsidRPr="00577A51" w:rsidRDefault="00116B97" w:rsidP="00DA0CFD">
      <w:pPr>
        <w:keepNext/>
        <w:shd w:val="clear" w:color="auto" w:fill="FFFFFF"/>
        <w:spacing w:before="100" w:beforeAutospacing="1" w:after="100" w:afterAutospacing="1"/>
        <w:rPr>
          <w:i/>
          <w:szCs w:val="24"/>
        </w:rPr>
      </w:pPr>
      <w:r w:rsidRPr="00CF7DF7">
        <w:rPr>
          <w:i/>
          <w:szCs w:val="24"/>
        </w:rPr>
        <w:t xml:space="preserve">Item </w:t>
      </w:r>
      <w:r w:rsidR="001B3E0E">
        <w:rPr>
          <w:i/>
          <w:szCs w:val="24"/>
        </w:rPr>
        <w:t>17</w:t>
      </w:r>
      <w:r w:rsidR="00CF7DF7" w:rsidRPr="00CF7DF7">
        <w:rPr>
          <w:i/>
          <w:szCs w:val="24"/>
        </w:rPr>
        <w:t xml:space="preserve"> - </w:t>
      </w:r>
      <w:r w:rsidR="00577A51" w:rsidRPr="00CF7DF7">
        <w:rPr>
          <w:i/>
          <w:szCs w:val="24"/>
        </w:rPr>
        <w:t>Subsection</w:t>
      </w:r>
      <w:r w:rsidR="00577A51" w:rsidRPr="00577A51">
        <w:rPr>
          <w:i/>
          <w:szCs w:val="24"/>
        </w:rPr>
        <w:t xml:space="preserve"> 75-40(4)</w:t>
      </w:r>
    </w:p>
    <w:p w14:paraId="7C37A2AC" w14:textId="41869300" w:rsidR="00577A51" w:rsidRDefault="00AD3472" w:rsidP="00DA0CFD">
      <w:pPr>
        <w:keepNext/>
        <w:spacing w:before="100" w:beforeAutospacing="1" w:after="100" w:afterAutospacing="1"/>
        <w:rPr>
          <w:szCs w:val="24"/>
        </w:rPr>
      </w:pPr>
      <w:r>
        <w:rPr>
          <w:szCs w:val="24"/>
        </w:rPr>
        <w:t>Subs</w:t>
      </w:r>
      <w:r w:rsidR="00F53875">
        <w:rPr>
          <w:szCs w:val="24"/>
        </w:rPr>
        <w:t xml:space="preserve">ection 75-40(4) of the Rules requires </w:t>
      </w:r>
      <w:r w:rsidR="00CF7DF7">
        <w:rPr>
          <w:szCs w:val="24"/>
        </w:rPr>
        <w:t xml:space="preserve">a </w:t>
      </w:r>
      <w:r w:rsidR="00F53875">
        <w:rPr>
          <w:szCs w:val="24"/>
        </w:rPr>
        <w:t xml:space="preserve">notice of the meeting of creditors to be published on a website maintained by the Inspector-General. </w:t>
      </w:r>
      <w:r>
        <w:rPr>
          <w:szCs w:val="24"/>
        </w:rPr>
        <w:t xml:space="preserve">Item </w:t>
      </w:r>
      <w:r w:rsidR="001B3E0E">
        <w:rPr>
          <w:szCs w:val="24"/>
        </w:rPr>
        <w:t>1</w:t>
      </w:r>
      <w:r>
        <w:rPr>
          <w:szCs w:val="24"/>
        </w:rPr>
        <w:t xml:space="preserve">7 </w:t>
      </w:r>
      <w:r w:rsidR="00CF7DF7">
        <w:rPr>
          <w:szCs w:val="24"/>
        </w:rPr>
        <w:t xml:space="preserve">of Schedule 1 </w:t>
      </w:r>
      <w:r>
        <w:rPr>
          <w:szCs w:val="24"/>
        </w:rPr>
        <w:t xml:space="preserve">will require only </w:t>
      </w:r>
      <w:r w:rsidR="00A45B0A">
        <w:rPr>
          <w:szCs w:val="24"/>
        </w:rPr>
        <w:t xml:space="preserve">‘details </w:t>
      </w:r>
      <w:r w:rsidR="00CF7DF7">
        <w:rPr>
          <w:szCs w:val="24"/>
        </w:rPr>
        <w:t xml:space="preserve">from </w:t>
      </w:r>
      <w:r w:rsidR="00A45B0A">
        <w:rPr>
          <w:szCs w:val="24"/>
        </w:rPr>
        <w:t xml:space="preserve">the notice’ </w:t>
      </w:r>
      <w:r w:rsidR="00FE54B8">
        <w:rPr>
          <w:szCs w:val="24"/>
        </w:rPr>
        <w:t xml:space="preserve">to </w:t>
      </w:r>
      <w:r w:rsidR="00A45B0A">
        <w:rPr>
          <w:szCs w:val="24"/>
        </w:rPr>
        <w:t xml:space="preserve">be published, rather than the entire notice. It is unnecessary and impracticable to publish the entire notice in the format required. This item will decrease the administrative burden of </w:t>
      </w:r>
      <w:r w:rsidR="00CF7DF7">
        <w:rPr>
          <w:szCs w:val="24"/>
        </w:rPr>
        <w:t>AFSA</w:t>
      </w:r>
      <w:r w:rsidR="0072036F">
        <w:rPr>
          <w:szCs w:val="24"/>
        </w:rPr>
        <w:t>.</w:t>
      </w:r>
      <w:r w:rsidR="00A45B0A">
        <w:rPr>
          <w:szCs w:val="24"/>
        </w:rPr>
        <w:t xml:space="preserve"> </w:t>
      </w:r>
    </w:p>
    <w:p w14:paraId="63C16411" w14:textId="152097E1" w:rsidR="00577A51" w:rsidRPr="00CF7DF7" w:rsidRDefault="00116B97" w:rsidP="00DA0CFD">
      <w:pPr>
        <w:shd w:val="clear" w:color="auto" w:fill="FFFFFF"/>
        <w:spacing w:before="100" w:beforeAutospacing="1" w:after="100" w:afterAutospacing="1"/>
        <w:rPr>
          <w:i/>
          <w:szCs w:val="24"/>
        </w:rPr>
      </w:pPr>
      <w:r w:rsidRPr="00CF7DF7">
        <w:rPr>
          <w:i/>
          <w:szCs w:val="24"/>
        </w:rPr>
        <w:t xml:space="preserve">Item </w:t>
      </w:r>
      <w:r w:rsidR="001B3E0E">
        <w:rPr>
          <w:i/>
          <w:szCs w:val="24"/>
        </w:rPr>
        <w:t>18</w:t>
      </w:r>
      <w:r w:rsidR="00CF7DF7" w:rsidRPr="00CF7DF7">
        <w:rPr>
          <w:i/>
          <w:szCs w:val="24"/>
        </w:rPr>
        <w:t xml:space="preserve"> - </w:t>
      </w:r>
      <w:r w:rsidR="00577A51" w:rsidRPr="00CF7DF7">
        <w:rPr>
          <w:i/>
          <w:szCs w:val="24"/>
        </w:rPr>
        <w:t>At the end of section 75-40</w:t>
      </w:r>
    </w:p>
    <w:p w14:paraId="7D689645" w14:textId="2FE80681" w:rsidR="00577A51" w:rsidRDefault="004A268C" w:rsidP="00DA0CFD">
      <w:pPr>
        <w:shd w:val="clear" w:color="auto" w:fill="FFFFFF"/>
        <w:spacing w:before="100" w:beforeAutospacing="1" w:after="100" w:afterAutospacing="1"/>
        <w:rPr>
          <w:szCs w:val="24"/>
        </w:rPr>
      </w:pPr>
      <w:r>
        <w:rPr>
          <w:szCs w:val="24"/>
        </w:rPr>
        <w:t xml:space="preserve">Item </w:t>
      </w:r>
      <w:r w:rsidR="001B3E0E">
        <w:rPr>
          <w:szCs w:val="24"/>
        </w:rPr>
        <w:t>18</w:t>
      </w:r>
      <w:r w:rsidR="00CF7DF7">
        <w:rPr>
          <w:szCs w:val="24"/>
        </w:rPr>
        <w:t xml:space="preserve"> of Schedule 1</w:t>
      </w:r>
      <w:r>
        <w:rPr>
          <w:szCs w:val="24"/>
        </w:rPr>
        <w:t xml:space="preserve"> inserts subsection 75-40(5)</w:t>
      </w:r>
      <w:r w:rsidR="00AD3472">
        <w:rPr>
          <w:szCs w:val="24"/>
        </w:rPr>
        <w:t xml:space="preserve"> which </w:t>
      </w:r>
      <w:proofErr w:type="gramStart"/>
      <w:r w:rsidR="00AD3472">
        <w:rPr>
          <w:szCs w:val="24"/>
        </w:rPr>
        <w:t>provide</w:t>
      </w:r>
      <w:r w:rsidR="00364D08">
        <w:rPr>
          <w:szCs w:val="24"/>
        </w:rPr>
        <w:t>s</w:t>
      </w:r>
      <w:proofErr w:type="gramEnd"/>
      <w:r w:rsidR="00AD3472">
        <w:rPr>
          <w:szCs w:val="24"/>
        </w:rPr>
        <w:t xml:space="preserve"> that the </w:t>
      </w:r>
      <w:r w:rsidR="00AD3472">
        <w:t>Inspector</w:t>
      </w:r>
      <w:r w:rsidR="00AD3472">
        <w:noBreakHyphen/>
        <w:t>General may include other information regarding the meeting on the website, if the Inspector</w:t>
      </w:r>
      <w:r w:rsidR="00AD3472">
        <w:noBreakHyphen/>
        <w:t>General considers it is appropriate to do so.</w:t>
      </w:r>
      <w:r>
        <w:rPr>
          <w:szCs w:val="24"/>
        </w:rPr>
        <w:t xml:space="preserve"> </w:t>
      </w:r>
      <w:r w:rsidR="00A45B0A">
        <w:rPr>
          <w:szCs w:val="24"/>
        </w:rPr>
        <w:t>This will give the Inspector-General the discretion to include relevant information, f</w:t>
      </w:r>
      <w:r w:rsidR="00F53875">
        <w:rPr>
          <w:szCs w:val="24"/>
        </w:rPr>
        <w:t xml:space="preserve">or example, whether electronic attendance is possible, and means for </w:t>
      </w:r>
      <w:r w:rsidR="0072036F">
        <w:rPr>
          <w:szCs w:val="24"/>
        </w:rPr>
        <w:t>creditors</w:t>
      </w:r>
      <w:r w:rsidR="00F53875">
        <w:rPr>
          <w:szCs w:val="24"/>
        </w:rPr>
        <w:t xml:space="preserve"> to obtain further information</w:t>
      </w:r>
      <w:r w:rsidR="00592C76">
        <w:rPr>
          <w:szCs w:val="24"/>
        </w:rPr>
        <w:t xml:space="preserve"> about the meeting</w:t>
      </w:r>
      <w:r w:rsidR="00F53875">
        <w:rPr>
          <w:szCs w:val="24"/>
        </w:rPr>
        <w:t>.</w:t>
      </w:r>
      <w:r w:rsidR="007878DA">
        <w:rPr>
          <w:szCs w:val="24"/>
        </w:rPr>
        <w:t xml:space="preserve"> </w:t>
      </w:r>
    </w:p>
    <w:p w14:paraId="0BB59850" w14:textId="734E537C" w:rsidR="00577A51" w:rsidRPr="00577A51" w:rsidRDefault="00116B97" w:rsidP="00DA0CFD">
      <w:pPr>
        <w:shd w:val="clear" w:color="auto" w:fill="FFFFFF"/>
        <w:spacing w:before="100" w:beforeAutospacing="1" w:after="100" w:afterAutospacing="1"/>
        <w:rPr>
          <w:i/>
        </w:rPr>
      </w:pPr>
      <w:r w:rsidRPr="00CF7DF7">
        <w:rPr>
          <w:i/>
          <w:szCs w:val="24"/>
        </w:rPr>
        <w:t xml:space="preserve">Item </w:t>
      </w:r>
      <w:r w:rsidR="001B3E0E">
        <w:rPr>
          <w:i/>
          <w:szCs w:val="24"/>
        </w:rPr>
        <w:t>19</w:t>
      </w:r>
      <w:r w:rsidR="00CF7DF7" w:rsidRPr="00CF7DF7">
        <w:rPr>
          <w:i/>
          <w:szCs w:val="24"/>
        </w:rPr>
        <w:t xml:space="preserve"> - </w:t>
      </w:r>
      <w:r w:rsidR="00577A51" w:rsidRPr="00CF7DF7">
        <w:rPr>
          <w:i/>
        </w:rPr>
        <w:t>Section</w:t>
      </w:r>
      <w:r w:rsidR="00577A51" w:rsidRPr="00577A51">
        <w:rPr>
          <w:i/>
        </w:rPr>
        <w:t xml:space="preserve"> 75-55</w:t>
      </w:r>
    </w:p>
    <w:p w14:paraId="7273415A" w14:textId="6B4359B9" w:rsidR="00E030DE" w:rsidRDefault="00E030DE" w:rsidP="00DA0CFD">
      <w:pPr>
        <w:shd w:val="clear" w:color="auto" w:fill="FFFFFF"/>
        <w:spacing w:before="100" w:beforeAutospacing="1" w:after="100" w:afterAutospacing="1"/>
        <w:rPr>
          <w:szCs w:val="24"/>
        </w:rPr>
      </w:pPr>
      <w:r>
        <w:rPr>
          <w:szCs w:val="24"/>
        </w:rPr>
        <w:t xml:space="preserve">Item </w:t>
      </w:r>
      <w:r w:rsidR="001B3E0E">
        <w:rPr>
          <w:szCs w:val="24"/>
        </w:rPr>
        <w:t>19</w:t>
      </w:r>
      <w:r>
        <w:rPr>
          <w:szCs w:val="24"/>
        </w:rPr>
        <w:t xml:space="preserve"> </w:t>
      </w:r>
      <w:r w:rsidR="00CF7DF7">
        <w:rPr>
          <w:szCs w:val="24"/>
        </w:rPr>
        <w:t xml:space="preserve">of Schedule 1 </w:t>
      </w:r>
      <w:r>
        <w:rPr>
          <w:szCs w:val="24"/>
        </w:rPr>
        <w:t>insert</w:t>
      </w:r>
      <w:r w:rsidR="00364D08">
        <w:rPr>
          <w:szCs w:val="24"/>
        </w:rPr>
        <w:t>s</w:t>
      </w:r>
      <w:r>
        <w:rPr>
          <w:szCs w:val="24"/>
        </w:rPr>
        <w:t xml:space="preserve"> a subsection (1) at the beginning of the text under section 75-55</w:t>
      </w:r>
      <w:r w:rsidR="00FE54B8">
        <w:rPr>
          <w:szCs w:val="24"/>
        </w:rPr>
        <w:t xml:space="preserve"> of the Rules</w:t>
      </w:r>
      <w:r>
        <w:rPr>
          <w:szCs w:val="24"/>
        </w:rPr>
        <w:t>. The existing text contained in section 75-55 will be</w:t>
      </w:r>
      <w:r w:rsidR="00364D08">
        <w:rPr>
          <w:szCs w:val="24"/>
        </w:rPr>
        <w:t>come</w:t>
      </w:r>
      <w:r>
        <w:rPr>
          <w:szCs w:val="24"/>
        </w:rPr>
        <w:t xml:space="preserve"> subsection 75</w:t>
      </w:r>
      <w:r w:rsidR="00CF7DF7">
        <w:rPr>
          <w:szCs w:val="24"/>
        </w:rPr>
        <w:noBreakHyphen/>
      </w:r>
      <w:proofErr w:type="gramStart"/>
      <w:r>
        <w:rPr>
          <w:szCs w:val="24"/>
        </w:rPr>
        <w:t>55(</w:t>
      </w:r>
      <w:proofErr w:type="gramEnd"/>
      <w:r>
        <w:rPr>
          <w:szCs w:val="24"/>
        </w:rPr>
        <w:t>1). This will allow other subsections to be inserted in section 75-55.</w:t>
      </w:r>
    </w:p>
    <w:p w14:paraId="4AFEB3B5" w14:textId="11D6020D" w:rsidR="00577A51" w:rsidRDefault="00116B97" w:rsidP="00394DE0">
      <w:pPr>
        <w:keepNext/>
        <w:shd w:val="clear" w:color="auto" w:fill="FFFFFF"/>
        <w:spacing w:before="100" w:beforeAutospacing="1" w:after="100" w:afterAutospacing="1"/>
      </w:pPr>
      <w:r w:rsidRPr="00CF7DF7">
        <w:rPr>
          <w:i/>
          <w:szCs w:val="24"/>
        </w:rPr>
        <w:t xml:space="preserve">Item </w:t>
      </w:r>
      <w:r w:rsidR="001B3E0E">
        <w:rPr>
          <w:i/>
          <w:szCs w:val="24"/>
        </w:rPr>
        <w:t>20</w:t>
      </w:r>
      <w:r w:rsidR="00CF7DF7" w:rsidRPr="00CF7DF7">
        <w:rPr>
          <w:i/>
          <w:szCs w:val="24"/>
        </w:rPr>
        <w:t xml:space="preserve"> - </w:t>
      </w:r>
      <w:r w:rsidR="00577A51" w:rsidRPr="00CF7DF7">
        <w:rPr>
          <w:i/>
        </w:rPr>
        <w:t>At the</w:t>
      </w:r>
      <w:r w:rsidR="00577A51" w:rsidRPr="00577A51">
        <w:rPr>
          <w:i/>
        </w:rPr>
        <w:t xml:space="preserve"> end of section 75</w:t>
      </w:r>
      <w:r w:rsidR="00577A51" w:rsidRPr="00577A51">
        <w:rPr>
          <w:i/>
        </w:rPr>
        <w:noBreakHyphen/>
        <w:t>55</w:t>
      </w:r>
    </w:p>
    <w:p w14:paraId="1D3C940D" w14:textId="41ECA084" w:rsidR="00CF7DF7" w:rsidRDefault="00E030DE" w:rsidP="00394DE0">
      <w:pPr>
        <w:keepNext/>
        <w:shd w:val="clear" w:color="auto" w:fill="FFFFFF"/>
        <w:spacing w:before="100" w:beforeAutospacing="1" w:after="100" w:afterAutospacing="1"/>
        <w:rPr>
          <w:szCs w:val="24"/>
        </w:rPr>
      </w:pPr>
      <w:r>
        <w:t>Paragraph 75</w:t>
      </w:r>
      <w:r>
        <w:noBreakHyphen/>
      </w:r>
      <w:proofErr w:type="gramStart"/>
      <w:r>
        <w:t>55(</w:t>
      </w:r>
      <w:proofErr w:type="gramEnd"/>
      <w:r>
        <w:t>d</w:t>
      </w:r>
      <w:r w:rsidR="007878DA" w:rsidRPr="00F11857">
        <w:t>)</w:t>
      </w:r>
      <w:r w:rsidR="00FE54B8">
        <w:t xml:space="preserve"> of the Rules</w:t>
      </w:r>
      <w:r w:rsidR="007878DA">
        <w:t xml:space="preserve"> </w:t>
      </w:r>
      <w:r w:rsidR="007878DA">
        <w:rPr>
          <w:szCs w:val="24"/>
        </w:rPr>
        <w:t xml:space="preserve">requires </w:t>
      </w:r>
      <w:r w:rsidR="00CF7DF7">
        <w:rPr>
          <w:szCs w:val="24"/>
        </w:rPr>
        <w:t xml:space="preserve">that </w:t>
      </w:r>
      <w:r>
        <w:rPr>
          <w:szCs w:val="24"/>
        </w:rPr>
        <w:t>t</w:t>
      </w:r>
      <w:r w:rsidRPr="00E030DE">
        <w:rPr>
          <w:szCs w:val="24"/>
        </w:rPr>
        <w:t>he agenda for a meeting of creditors must</w:t>
      </w:r>
      <w:r w:rsidR="00CF7DF7">
        <w:rPr>
          <w:szCs w:val="24"/>
        </w:rPr>
        <w:t xml:space="preserve"> include, if the meeting is the first meeting, the tabling of the regulated debtor’s </w:t>
      </w:r>
      <w:r>
        <w:rPr>
          <w:szCs w:val="24"/>
        </w:rPr>
        <w:t>statement of affairs</w:t>
      </w:r>
      <w:r w:rsidR="007878DA">
        <w:rPr>
          <w:szCs w:val="24"/>
        </w:rPr>
        <w:t xml:space="preserve">. </w:t>
      </w:r>
    </w:p>
    <w:p w14:paraId="3E6AA7CA" w14:textId="05694FE4" w:rsidR="007878DA" w:rsidRPr="007878DA" w:rsidRDefault="00E030DE" w:rsidP="00DA0CFD">
      <w:pPr>
        <w:shd w:val="clear" w:color="auto" w:fill="FFFFFF"/>
        <w:spacing w:before="100" w:beforeAutospacing="1" w:after="100" w:afterAutospacing="1"/>
      </w:pPr>
      <w:r>
        <w:rPr>
          <w:szCs w:val="24"/>
        </w:rPr>
        <w:t xml:space="preserve">Item </w:t>
      </w:r>
      <w:r w:rsidR="001B3E0E">
        <w:rPr>
          <w:szCs w:val="24"/>
        </w:rPr>
        <w:t>20</w:t>
      </w:r>
      <w:r w:rsidR="00CF7DF7">
        <w:rPr>
          <w:szCs w:val="24"/>
        </w:rPr>
        <w:t xml:space="preserve"> of Schedule 1</w:t>
      </w:r>
      <w:r w:rsidR="007878DA">
        <w:rPr>
          <w:szCs w:val="24"/>
        </w:rPr>
        <w:t xml:space="preserve"> insert</w:t>
      </w:r>
      <w:r w:rsidR="007F43F5">
        <w:rPr>
          <w:szCs w:val="24"/>
        </w:rPr>
        <w:t>s</w:t>
      </w:r>
      <w:r w:rsidR="007878DA">
        <w:rPr>
          <w:szCs w:val="24"/>
        </w:rPr>
        <w:t xml:space="preserve"> subsection </w:t>
      </w:r>
      <w:r>
        <w:rPr>
          <w:szCs w:val="24"/>
        </w:rPr>
        <w:t>75-55</w:t>
      </w:r>
      <w:r w:rsidR="007878DA" w:rsidRPr="006B0F00">
        <w:rPr>
          <w:szCs w:val="24"/>
        </w:rPr>
        <w:t>(</w:t>
      </w:r>
      <w:r>
        <w:rPr>
          <w:szCs w:val="24"/>
        </w:rPr>
        <w:t>2</w:t>
      </w:r>
      <w:r w:rsidR="007878DA" w:rsidRPr="006B0F00">
        <w:rPr>
          <w:szCs w:val="24"/>
        </w:rPr>
        <w:t>)</w:t>
      </w:r>
      <w:r w:rsidR="007878DA">
        <w:rPr>
          <w:szCs w:val="24"/>
        </w:rPr>
        <w:t xml:space="preserve"> which contains the obligation for trustees not to </w:t>
      </w:r>
      <w:r>
        <w:rPr>
          <w:szCs w:val="24"/>
        </w:rPr>
        <w:t xml:space="preserve">table </w:t>
      </w:r>
      <w:r w:rsidR="007878DA">
        <w:rPr>
          <w:szCs w:val="24"/>
        </w:rPr>
        <w:t xml:space="preserve">information which must not be made available to the public </w:t>
      </w:r>
      <w:r w:rsidR="00CF7DF7">
        <w:rPr>
          <w:szCs w:val="24"/>
        </w:rPr>
        <w:t>if this is</w:t>
      </w:r>
      <w:r w:rsidR="007878DA">
        <w:rPr>
          <w:szCs w:val="24"/>
        </w:rPr>
        <w:t xml:space="preserve"> indicated in the approved form of a statement of affairs. </w:t>
      </w:r>
      <w:r w:rsidR="007878DA">
        <w:t xml:space="preserve">This will ensure the privacy of the </w:t>
      </w:r>
      <w:r w:rsidR="00592C76">
        <w:t>regulated debtor</w:t>
      </w:r>
      <w:r w:rsidR="007878DA">
        <w:t xml:space="preserve"> is maintained.</w:t>
      </w:r>
    </w:p>
    <w:p w14:paraId="0876E9EA" w14:textId="63D78189" w:rsidR="00AE3D0D" w:rsidRDefault="00052E10" w:rsidP="00DA0CFD">
      <w:pPr>
        <w:shd w:val="clear" w:color="auto" w:fill="FFFFFF"/>
        <w:spacing w:before="100" w:beforeAutospacing="1" w:after="100" w:afterAutospacing="1"/>
        <w:rPr>
          <w:i/>
          <w:szCs w:val="24"/>
        </w:rPr>
      </w:pPr>
      <w:r w:rsidRPr="00052E10">
        <w:rPr>
          <w:i/>
          <w:szCs w:val="24"/>
        </w:rPr>
        <w:t xml:space="preserve">Item </w:t>
      </w:r>
      <w:r w:rsidR="001B3E0E">
        <w:rPr>
          <w:i/>
          <w:szCs w:val="24"/>
        </w:rPr>
        <w:t>21</w:t>
      </w:r>
      <w:r w:rsidRPr="00052E10">
        <w:rPr>
          <w:i/>
          <w:szCs w:val="24"/>
        </w:rPr>
        <w:t xml:space="preserve"> -</w:t>
      </w:r>
      <w:r>
        <w:rPr>
          <w:i/>
          <w:szCs w:val="24"/>
        </w:rPr>
        <w:t xml:space="preserve"> </w:t>
      </w:r>
      <w:r w:rsidR="00AE3D0D" w:rsidRPr="00AE3D0D">
        <w:rPr>
          <w:i/>
          <w:szCs w:val="24"/>
        </w:rPr>
        <w:t xml:space="preserve">At the </w:t>
      </w:r>
      <w:r w:rsidR="00E030DE">
        <w:rPr>
          <w:i/>
          <w:szCs w:val="24"/>
        </w:rPr>
        <w:t>end of subsection 75-</w:t>
      </w:r>
      <w:r w:rsidR="00AE3D0D" w:rsidRPr="00AE3D0D">
        <w:rPr>
          <w:i/>
          <w:szCs w:val="24"/>
        </w:rPr>
        <w:t>60(1)</w:t>
      </w:r>
    </w:p>
    <w:p w14:paraId="4F49AB0E" w14:textId="0C202F44" w:rsidR="00052E10" w:rsidRDefault="00E030DE" w:rsidP="00DA0CFD">
      <w:pPr>
        <w:shd w:val="clear" w:color="auto" w:fill="FFFFFF"/>
        <w:spacing w:before="100" w:beforeAutospacing="1" w:after="100" w:afterAutospacing="1"/>
        <w:rPr>
          <w:szCs w:val="24"/>
        </w:rPr>
      </w:pPr>
      <w:r>
        <w:rPr>
          <w:szCs w:val="24"/>
        </w:rPr>
        <w:t xml:space="preserve">Subsection 75-60(1) </w:t>
      </w:r>
      <w:r w:rsidR="00FF5708">
        <w:rPr>
          <w:szCs w:val="24"/>
        </w:rPr>
        <w:t xml:space="preserve">of the Rules </w:t>
      </w:r>
      <w:r>
        <w:rPr>
          <w:szCs w:val="24"/>
        </w:rPr>
        <w:t>requires</w:t>
      </w:r>
      <w:r w:rsidR="00EC310F">
        <w:rPr>
          <w:szCs w:val="24"/>
        </w:rPr>
        <w:t xml:space="preserve"> that at a first meeting of creditors</w:t>
      </w:r>
      <w:r>
        <w:rPr>
          <w:szCs w:val="24"/>
        </w:rPr>
        <w:t xml:space="preserve"> </w:t>
      </w:r>
      <w:r w:rsidRPr="00E030DE">
        <w:rPr>
          <w:szCs w:val="24"/>
        </w:rPr>
        <w:t>the t</w:t>
      </w:r>
      <w:r>
        <w:rPr>
          <w:szCs w:val="24"/>
        </w:rPr>
        <w:t>rustee</w:t>
      </w:r>
      <w:r w:rsidR="00EC310F">
        <w:rPr>
          <w:szCs w:val="24"/>
        </w:rPr>
        <w:t xml:space="preserve"> is to</w:t>
      </w:r>
      <w:r>
        <w:rPr>
          <w:szCs w:val="24"/>
        </w:rPr>
        <w:t xml:space="preserve"> </w:t>
      </w:r>
      <w:r w:rsidRPr="00E030DE">
        <w:rPr>
          <w:szCs w:val="24"/>
        </w:rPr>
        <w:t xml:space="preserve">table a copy of </w:t>
      </w:r>
      <w:r w:rsidR="00052E10">
        <w:rPr>
          <w:szCs w:val="24"/>
        </w:rPr>
        <w:t xml:space="preserve">a regulated debtor’s </w:t>
      </w:r>
      <w:r w:rsidRPr="00E030DE">
        <w:rPr>
          <w:szCs w:val="24"/>
        </w:rPr>
        <w:t xml:space="preserve">proposal </w:t>
      </w:r>
      <w:r w:rsidR="00052E10">
        <w:rPr>
          <w:szCs w:val="24"/>
        </w:rPr>
        <w:t xml:space="preserve">if </w:t>
      </w:r>
      <w:r w:rsidRPr="00E030DE">
        <w:rPr>
          <w:szCs w:val="24"/>
        </w:rPr>
        <w:t>the regulated debtor has lodged a proposal under section 73 of the Act</w:t>
      </w:r>
      <w:r>
        <w:rPr>
          <w:szCs w:val="24"/>
        </w:rPr>
        <w:t xml:space="preserve">. </w:t>
      </w:r>
    </w:p>
    <w:p w14:paraId="2615258E" w14:textId="299CE704" w:rsidR="00E030DE" w:rsidRDefault="00E030DE" w:rsidP="00DA0CFD">
      <w:pPr>
        <w:shd w:val="clear" w:color="auto" w:fill="FFFFFF"/>
        <w:spacing w:before="100" w:beforeAutospacing="1" w:after="100" w:afterAutospacing="1"/>
      </w:pPr>
      <w:r>
        <w:rPr>
          <w:szCs w:val="24"/>
        </w:rPr>
        <w:t xml:space="preserve">Item </w:t>
      </w:r>
      <w:r w:rsidR="001B3E0E">
        <w:rPr>
          <w:szCs w:val="24"/>
        </w:rPr>
        <w:t>21</w:t>
      </w:r>
      <w:r w:rsidR="00052E10">
        <w:rPr>
          <w:szCs w:val="24"/>
        </w:rPr>
        <w:t xml:space="preserve"> of Schedule 1</w:t>
      </w:r>
      <w:r>
        <w:rPr>
          <w:szCs w:val="24"/>
        </w:rPr>
        <w:t xml:space="preserve"> inserts a Note at the end of subsection 75-</w:t>
      </w:r>
      <w:r w:rsidR="007F43F5">
        <w:rPr>
          <w:szCs w:val="24"/>
        </w:rPr>
        <w:t>6</w:t>
      </w:r>
      <w:r>
        <w:rPr>
          <w:szCs w:val="24"/>
        </w:rPr>
        <w:t>0</w:t>
      </w:r>
      <w:r w:rsidR="007F43F5">
        <w:rPr>
          <w:szCs w:val="24"/>
        </w:rPr>
        <w:t>(1)</w:t>
      </w:r>
      <w:r>
        <w:rPr>
          <w:szCs w:val="24"/>
        </w:rPr>
        <w:t xml:space="preserve"> to notify the reader that the obligation exists for other documents to be ta</w:t>
      </w:r>
      <w:r w:rsidR="00052E10">
        <w:rPr>
          <w:szCs w:val="24"/>
        </w:rPr>
        <w:t>bled</w:t>
      </w:r>
      <w:r>
        <w:rPr>
          <w:szCs w:val="24"/>
        </w:rPr>
        <w:t xml:space="preserve"> under section </w:t>
      </w:r>
      <w:r>
        <w:t>75</w:t>
      </w:r>
      <w:r>
        <w:noBreakHyphen/>
        <w:t>180</w:t>
      </w:r>
      <w:r w:rsidR="007F43F5">
        <w:t xml:space="preserve"> of the Rules</w:t>
      </w:r>
      <w:r>
        <w:t>.</w:t>
      </w:r>
    </w:p>
    <w:p w14:paraId="7F36606F" w14:textId="03574EB6" w:rsidR="00AE3D0D" w:rsidRPr="00AE3D0D" w:rsidRDefault="00052E10" w:rsidP="00DA0CFD">
      <w:pPr>
        <w:shd w:val="clear" w:color="auto" w:fill="FFFFFF"/>
        <w:spacing w:before="100" w:beforeAutospacing="1" w:after="100" w:afterAutospacing="1"/>
        <w:rPr>
          <w:i/>
          <w:szCs w:val="24"/>
        </w:rPr>
      </w:pPr>
      <w:r w:rsidRPr="00052E10">
        <w:rPr>
          <w:i/>
          <w:szCs w:val="24"/>
        </w:rPr>
        <w:t xml:space="preserve">Item </w:t>
      </w:r>
      <w:r w:rsidR="001B3E0E">
        <w:rPr>
          <w:i/>
          <w:szCs w:val="24"/>
        </w:rPr>
        <w:t>22</w:t>
      </w:r>
      <w:r w:rsidRPr="00052E10">
        <w:rPr>
          <w:i/>
          <w:szCs w:val="24"/>
        </w:rPr>
        <w:t xml:space="preserve"> - </w:t>
      </w:r>
      <w:r w:rsidR="00E030DE" w:rsidRPr="00052E10">
        <w:rPr>
          <w:i/>
          <w:szCs w:val="24"/>
        </w:rPr>
        <w:t>Paragraph</w:t>
      </w:r>
      <w:r w:rsidR="00E030DE">
        <w:rPr>
          <w:i/>
          <w:szCs w:val="24"/>
        </w:rPr>
        <w:t xml:space="preserve"> 75-</w:t>
      </w:r>
      <w:r w:rsidR="00AE3D0D" w:rsidRPr="00AE3D0D">
        <w:rPr>
          <w:i/>
          <w:szCs w:val="24"/>
        </w:rPr>
        <w:t>60(2</w:t>
      </w:r>
      <w:proofErr w:type="gramStart"/>
      <w:r w:rsidR="00AE3D0D" w:rsidRPr="00AE3D0D">
        <w:rPr>
          <w:i/>
          <w:szCs w:val="24"/>
        </w:rPr>
        <w:t>)(</w:t>
      </w:r>
      <w:proofErr w:type="gramEnd"/>
      <w:r w:rsidR="00AE3D0D" w:rsidRPr="00AE3D0D">
        <w:rPr>
          <w:i/>
          <w:szCs w:val="24"/>
        </w:rPr>
        <w:t>a)</w:t>
      </w:r>
    </w:p>
    <w:p w14:paraId="23E11BB1" w14:textId="49C20890" w:rsidR="00052E10" w:rsidRDefault="00AE3D0D" w:rsidP="00DA0CFD">
      <w:pPr>
        <w:shd w:val="clear" w:color="auto" w:fill="FFFFFF"/>
        <w:spacing w:before="100" w:beforeAutospacing="1" w:after="100" w:afterAutospacing="1"/>
        <w:rPr>
          <w:szCs w:val="24"/>
        </w:rPr>
      </w:pPr>
      <w:r>
        <w:t>Paragraph 75</w:t>
      </w:r>
      <w:r>
        <w:noBreakHyphen/>
      </w:r>
      <w:proofErr w:type="gramStart"/>
      <w:r>
        <w:t>60</w:t>
      </w:r>
      <w:r w:rsidRPr="00F11857">
        <w:t>(</w:t>
      </w:r>
      <w:proofErr w:type="gramEnd"/>
      <w:r w:rsidRPr="00F11857">
        <w:t>2)(a)</w:t>
      </w:r>
      <w:r>
        <w:t xml:space="preserve"> </w:t>
      </w:r>
      <w:r w:rsidR="00FF5708">
        <w:t xml:space="preserve">of the Rules </w:t>
      </w:r>
      <w:r w:rsidR="00052E10">
        <w:rPr>
          <w:szCs w:val="24"/>
        </w:rPr>
        <w:t xml:space="preserve">requires </w:t>
      </w:r>
      <w:r w:rsidR="00E030DE" w:rsidRPr="00E030DE">
        <w:rPr>
          <w:szCs w:val="24"/>
        </w:rPr>
        <w:t xml:space="preserve">the trustee of the regulated debtor’s estate </w:t>
      </w:r>
      <w:r w:rsidR="00052E10">
        <w:rPr>
          <w:szCs w:val="24"/>
        </w:rPr>
        <w:t>to</w:t>
      </w:r>
      <w:r w:rsidR="00E030DE" w:rsidRPr="00E030DE">
        <w:rPr>
          <w:szCs w:val="24"/>
        </w:rPr>
        <w:t xml:space="preserve"> table</w:t>
      </w:r>
      <w:r w:rsidR="00E030DE">
        <w:rPr>
          <w:szCs w:val="24"/>
        </w:rPr>
        <w:t xml:space="preserve"> the statement of affairs at a </w:t>
      </w:r>
      <w:r w:rsidR="00E030DE" w:rsidRPr="00E030DE">
        <w:rPr>
          <w:szCs w:val="24"/>
        </w:rPr>
        <w:t>meeting</w:t>
      </w:r>
      <w:r w:rsidR="00E030DE">
        <w:rPr>
          <w:szCs w:val="24"/>
        </w:rPr>
        <w:t xml:space="preserve"> called under section 188 of the Act</w:t>
      </w:r>
      <w:r>
        <w:rPr>
          <w:szCs w:val="24"/>
        </w:rPr>
        <w:t xml:space="preserve">. </w:t>
      </w:r>
    </w:p>
    <w:p w14:paraId="2EA5F46C" w14:textId="365C80E4" w:rsidR="00AE3D0D" w:rsidRPr="00AE3D0D" w:rsidRDefault="00AE3D0D" w:rsidP="00DA0CFD">
      <w:pPr>
        <w:shd w:val="clear" w:color="auto" w:fill="FFFFFF"/>
        <w:spacing w:before="100" w:beforeAutospacing="1" w:after="100" w:afterAutospacing="1"/>
        <w:rPr>
          <w:szCs w:val="24"/>
        </w:rPr>
      </w:pPr>
      <w:r>
        <w:rPr>
          <w:szCs w:val="24"/>
        </w:rPr>
        <w:t xml:space="preserve">Item </w:t>
      </w:r>
      <w:r w:rsidR="001B3E0E">
        <w:rPr>
          <w:szCs w:val="24"/>
        </w:rPr>
        <w:t>22</w:t>
      </w:r>
      <w:r>
        <w:rPr>
          <w:szCs w:val="24"/>
        </w:rPr>
        <w:t xml:space="preserve"> </w:t>
      </w:r>
      <w:r w:rsidR="00052E10">
        <w:rPr>
          <w:szCs w:val="24"/>
        </w:rPr>
        <w:t xml:space="preserve">of Schedule 1 </w:t>
      </w:r>
      <w:r>
        <w:rPr>
          <w:szCs w:val="24"/>
        </w:rPr>
        <w:t>make</w:t>
      </w:r>
      <w:r w:rsidR="007F43F5">
        <w:rPr>
          <w:szCs w:val="24"/>
        </w:rPr>
        <w:t>s</w:t>
      </w:r>
      <w:r>
        <w:rPr>
          <w:szCs w:val="24"/>
        </w:rPr>
        <w:t xml:space="preserve"> this paragraph subject to subsection 70-60(2A). This </w:t>
      </w:r>
      <w:r w:rsidR="00052E10">
        <w:rPr>
          <w:szCs w:val="24"/>
        </w:rPr>
        <w:t xml:space="preserve">new subsection 70-60 (2A) </w:t>
      </w:r>
      <w:r>
        <w:rPr>
          <w:szCs w:val="24"/>
        </w:rPr>
        <w:t>create</w:t>
      </w:r>
      <w:r w:rsidR="00FF5708">
        <w:rPr>
          <w:szCs w:val="24"/>
        </w:rPr>
        <w:t>s</w:t>
      </w:r>
      <w:r>
        <w:rPr>
          <w:szCs w:val="24"/>
        </w:rPr>
        <w:t xml:space="preserve"> an obligation for trustees </w:t>
      </w:r>
      <w:r w:rsidR="00E030DE">
        <w:rPr>
          <w:szCs w:val="24"/>
        </w:rPr>
        <w:t>not to table</w:t>
      </w:r>
      <w:r>
        <w:rPr>
          <w:szCs w:val="24"/>
        </w:rPr>
        <w:t xml:space="preserve"> information in the statement of affairs which must not be made available to the public.</w:t>
      </w:r>
    </w:p>
    <w:p w14:paraId="6284CED4" w14:textId="15C97A2E" w:rsidR="00AE3D0D" w:rsidRDefault="00AE3D0D" w:rsidP="00DA0CFD">
      <w:pPr>
        <w:shd w:val="clear" w:color="auto" w:fill="FFFFFF"/>
        <w:spacing w:before="100" w:beforeAutospacing="1" w:after="100" w:afterAutospacing="1"/>
        <w:rPr>
          <w:i/>
        </w:rPr>
      </w:pPr>
      <w:r w:rsidRPr="00052E10">
        <w:rPr>
          <w:i/>
          <w:szCs w:val="24"/>
        </w:rPr>
        <w:t xml:space="preserve">Item </w:t>
      </w:r>
      <w:r w:rsidR="001B3E0E">
        <w:rPr>
          <w:i/>
          <w:szCs w:val="24"/>
        </w:rPr>
        <w:t>23</w:t>
      </w:r>
      <w:r w:rsidR="00052E10" w:rsidRPr="00052E10">
        <w:rPr>
          <w:i/>
          <w:szCs w:val="24"/>
        </w:rPr>
        <w:t xml:space="preserve"> - </w:t>
      </w:r>
      <w:r w:rsidRPr="00052E10">
        <w:rPr>
          <w:i/>
        </w:rPr>
        <w:t>After subsecti</w:t>
      </w:r>
      <w:r w:rsidRPr="00AE3D0D">
        <w:rPr>
          <w:i/>
        </w:rPr>
        <w:t>on 75</w:t>
      </w:r>
      <w:r w:rsidRPr="00AE3D0D">
        <w:rPr>
          <w:i/>
        </w:rPr>
        <w:noBreakHyphen/>
      </w:r>
      <w:proofErr w:type="gramStart"/>
      <w:r w:rsidRPr="00AE3D0D">
        <w:rPr>
          <w:i/>
        </w:rPr>
        <w:t>60(</w:t>
      </w:r>
      <w:proofErr w:type="gramEnd"/>
      <w:r w:rsidRPr="00AE3D0D">
        <w:rPr>
          <w:i/>
        </w:rPr>
        <w:t>2)</w:t>
      </w:r>
    </w:p>
    <w:p w14:paraId="0AD49269" w14:textId="3025AE8B" w:rsidR="00052E10" w:rsidRDefault="00E030DE" w:rsidP="00DA0CFD">
      <w:pPr>
        <w:shd w:val="clear" w:color="auto" w:fill="FFFFFF"/>
        <w:spacing w:before="100" w:beforeAutospacing="1" w:after="100" w:afterAutospacing="1"/>
        <w:rPr>
          <w:szCs w:val="24"/>
        </w:rPr>
      </w:pPr>
      <w:r>
        <w:t>Paragraph 75</w:t>
      </w:r>
      <w:r>
        <w:noBreakHyphen/>
      </w:r>
      <w:proofErr w:type="gramStart"/>
      <w:r>
        <w:t>60</w:t>
      </w:r>
      <w:r w:rsidRPr="00F11857">
        <w:t>(</w:t>
      </w:r>
      <w:proofErr w:type="gramEnd"/>
      <w:r w:rsidRPr="00F11857">
        <w:t>2)(a)</w:t>
      </w:r>
      <w:r>
        <w:t xml:space="preserve"> </w:t>
      </w:r>
      <w:r w:rsidR="00FF5708">
        <w:t xml:space="preserve">of the Rules </w:t>
      </w:r>
      <w:r>
        <w:rPr>
          <w:szCs w:val="24"/>
        </w:rPr>
        <w:t xml:space="preserve">requires </w:t>
      </w:r>
      <w:r w:rsidRPr="00E030DE">
        <w:rPr>
          <w:szCs w:val="24"/>
        </w:rPr>
        <w:t xml:space="preserve">the trustee of the regulated debtor’s estate </w:t>
      </w:r>
      <w:r w:rsidR="00052E10">
        <w:rPr>
          <w:szCs w:val="24"/>
        </w:rPr>
        <w:t>to t</w:t>
      </w:r>
      <w:r w:rsidRPr="00E030DE">
        <w:rPr>
          <w:szCs w:val="24"/>
        </w:rPr>
        <w:t>able</w:t>
      </w:r>
      <w:r>
        <w:rPr>
          <w:szCs w:val="24"/>
        </w:rPr>
        <w:t xml:space="preserve"> the statement of affairs at a </w:t>
      </w:r>
      <w:r w:rsidRPr="00E030DE">
        <w:rPr>
          <w:szCs w:val="24"/>
        </w:rPr>
        <w:t>meeting</w:t>
      </w:r>
      <w:r>
        <w:rPr>
          <w:szCs w:val="24"/>
        </w:rPr>
        <w:t xml:space="preserve"> called under section 188 of the Act</w:t>
      </w:r>
      <w:r w:rsidR="00AE3D0D">
        <w:rPr>
          <w:szCs w:val="24"/>
        </w:rPr>
        <w:t xml:space="preserve">. </w:t>
      </w:r>
    </w:p>
    <w:p w14:paraId="12EAC7B7" w14:textId="41F78EA1" w:rsidR="00AE3D0D" w:rsidRPr="00AE3D0D" w:rsidRDefault="00E030DE" w:rsidP="00DA0CFD">
      <w:pPr>
        <w:shd w:val="clear" w:color="auto" w:fill="FFFFFF"/>
        <w:spacing w:before="100" w:beforeAutospacing="1" w:after="100" w:afterAutospacing="1"/>
      </w:pPr>
      <w:r>
        <w:rPr>
          <w:szCs w:val="24"/>
        </w:rPr>
        <w:t xml:space="preserve">Item </w:t>
      </w:r>
      <w:r w:rsidR="001B3E0E">
        <w:rPr>
          <w:szCs w:val="24"/>
        </w:rPr>
        <w:t>23</w:t>
      </w:r>
      <w:r w:rsidR="00052E10">
        <w:rPr>
          <w:szCs w:val="24"/>
        </w:rPr>
        <w:t xml:space="preserve"> of Schedule 1</w:t>
      </w:r>
      <w:r w:rsidR="00AE3D0D">
        <w:rPr>
          <w:szCs w:val="24"/>
        </w:rPr>
        <w:t xml:space="preserve"> insert</w:t>
      </w:r>
      <w:r w:rsidR="00FF5708">
        <w:rPr>
          <w:szCs w:val="24"/>
        </w:rPr>
        <w:t>s</w:t>
      </w:r>
      <w:r w:rsidR="00AE3D0D">
        <w:rPr>
          <w:szCs w:val="24"/>
        </w:rPr>
        <w:t xml:space="preserve"> subsection </w:t>
      </w:r>
      <w:r w:rsidR="00AE3D0D" w:rsidRPr="006B0F00">
        <w:rPr>
          <w:szCs w:val="24"/>
        </w:rPr>
        <w:t>75-27(2A)</w:t>
      </w:r>
      <w:r w:rsidR="00AE3D0D">
        <w:rPr>
          <w:szCs w:val="24"/>
        </w:rPr>
        <w:t xml:space="preserve"> which contains </w:t>
      </w:r>
      <w:r w:rsidR="00FF5708">
        <w:rPr>
          <w:szCs w:val="24"/>
        </w:rPr>
        <w:t xml:space="preserve">an </w:t>
      </w:r>
      <w:r w:rsidR="00AE3D0D">
        <w:rPr>
          <w:szCs w:val="24"/>
        </w:rPr>
        <w:t xml:space="preserve">obligation for trustees not to </w:t>
      </w:r>
      <w:r>
        <w:rPr>
          <w:szCs w:val="24"/>
        </w:rPr>
        <w:t>table</w:t>
      </w:r>
      <w:r w:rsidR="00052E10">
        <w:rPr>
          <w:szCs w:val="24"/>
        </w:rPr>
        <w:t xml:space="preserve"> particular</w:t>
      </w:r>
      <w:r w:rsidR="00AE3D0D">
        <w:rPr>
          <w:szCs w:val="24"/>
        </w:rPr>
        <w:t xml:space="preserve"> information </w:t>
      </w:r>
      <w:r w:rsidR="00052E10">
        <w:rPr>
          <w:szCs w:val="24"/>
        </w:rPr>
        <w:t>in a statement of affairs that</w:t>
      </w:r>
      <w:r w:rsidR="00AE3D0D">
        <w:rPr>
          <w:szCs w:val="24"/>
        </w:rPr>
        <w:t xml:space="preserve"> must not be made available to the public</w:t>
      </w:r>
      <w:r w:rsidR="00052E10">
        <w:rPr>
          <w:szCs w:val="24"/>
        </w:rPr>
        <w:t xml:space="preserve"> if this is indicated</w:t>
      </w:r>
      <w:r w:rsidR="00AE3D0D">
        <w:rPr>
          <w:szCs w:val="24"/>
        </w:rPr>
        <w:t xml:space="preserve"> in the approved form of a statement of affairs. </w:t>
      </w:r>
      <w:r w:rsidR="00AE3D0D">
        <w:t xml:space="preserve">This will ensure the privacy of the </w:t>
      </w:r>
      <w:r w:rsidR="00592C76">
        <w:t>regulated debtor</w:t>
      </w:r>
      <w:r w:rsidR="00AE3D0D">
        <w:t xml:space="preserve"> is maintained.</w:t>
      </w:r>
    </w:p>
    <w:p w14:paraId="5565D698" w14:textId="51278384" w:rsidR="00AE3D0D" w:rsidRPr="00AE3D0D" w:rsidRDefault="00AE3D0D" w:rsidP="00DA0CFD">
      <w:pPr>
        <w:shd w:val="clear" w:color="auto" w:fill="FFFFFF"/>
        <w:spacing w:before="100" w:beforeAutospacing="1" w:after="100" w:afterAutospacing="1"/>
        <w:rPr>
          <w:i/>
        </w:rPr>
      </w:pPr>
      <w:r w:rsidRPr="00052E10">
        <w:rPr>
          <w:i/>
        </w:rPr>
        <w:t xml:space="preserve">Item </w:t>
      </w:r>
      <w:r w:rsidR="001B3E0E">
        <w:rPr>
          <w:i/>
        </w:rPr>
        <w:t>24</w:t>
      </w:r>
      <w:r w:rsidR="00052E10" w:rsidRPr="00052E10">
        <w:rPr>
          <w:i/>
        </w:rPr>
        <w:t xml:space="preserve"> - </w:t>
      </w:r>
      <w:r w:rsidR="004A268C" w:rsidRPr="00052E10">
        <w:rPr>
          <w:i/>
        </w:rPr>
        <w:t>At</w:t>
      </w:r>
      <w:r w:rsidR="004A268C">
        <w:rPr>
          <w:i/>
        </w:rPr>
        <w:t xml:space="preserve"> the end of section 75</w:t>
      </w:r>
      <w:r w:rsidR="00F53875">
        <w:rPr>
          <w:i/>
        </w:rPr>
        <w:t>-</w:t>
      </w:r>
      <w:r w:rsidRPr="00AE3D0D">
        <w:rPr>
          <w:i/>
        </w:rPr>
        <w:t>65</w:t>
      </w:r>
    </w:p>
    <w:p w14:paraId="24AF84EF" w14:textId="2C35461B" w:rsidR="00052E10" w:rsidRDefault="00E030DE" w:rsidP="00DA0CFD">
      <w:pPr>
        <w:spacing w:before="100" w:beforeAutospacing="1" w:after="100" w:afterAutospacing="1"/>
        <w:rPr>
          <w:szCs w:val="24"/>
        </w:rPr>
      </w:pPr>
      <w:r>
        <w:rPr>
          <w:szCs w:val="24"/>
        </w:rPr>
        <w:t>S</w:t>
      </w:r>
      <w:r w:rsidR="004A268C" w:rsidRPr="003F416A">
        <w:rPr>
          <w:szCs w:val="24"/>
        </w:rPr>
        <w:t xml:space="preserve">ection 75-65 </w:t>
      </w:r>
      <w:r w:rsidR="00FF5708">
        <w:rPr>
          <w:szCs w:val="24"/>
        </w:rPr>
        <w:t xml:space="preserve">of the Rules </w:t>
      </w:r>
      <w:r w:rsidR="004A268C" w:rsidRPr="003F416A">
        <w:rPr>
          <w:szCs w:val="24"/>
        </w:rPr>
        <w:t>specifies requirements of a trustee (or their representative) in the conduct of a creditors’ meeting. Subsection 75-65(5)</w:t>
      </w:r>
      <w:r w:rsidR="00FF5708">
        <w:rPr>
          <w:szCs w:val="24"/>
        </w:rPr>
        <w:t xml:space="preserve"> of the Rules</w:t>
      </w:r>
      <w:r w:rsidR="004A268C" w:rsidRPr="003F416A">
        <w:rPr>
          <w:szCs w:val="24"/>
        </w:rPr>
        <w:t xml:space="preserve"> provides that attendees</w:t>
      </w:r>
      <w:r w:rsidR="002176BE">
        <w:rPr>
          <w:szCs w:val="24"/>
        </w:rPr>
        <w:t xml:space="preserve"> participating and entitled to vote at the meeting</w:t>
      </w:r>
      <w:r w:rsidR="004A268C" w:rsidRPr="003F416A">
        <w:rPr>
          <w:szCs w:val="24"/>
        </w:rPr>
        <w:t xml:space="preserve"> can ask questions of the trustee and the</w:t>
      </w:r>
      <w:r>
        <w:rPr>
          <w:szCs w:val="24"/>
        </w:rPr>
        <w:t xml:space="preserve"> regulated debtor (if present). </w:t>
      </w:r>
    </w:p>
    <w:p w14:paraId="5ED28D88" w14:textId="62C249C1" w:rsidR="00AE3D0D" w:rsidRDefault="00E030DE" w:rsidP="00DA0CFD">
      <w:pPr>
        <w:spacing w:before="100" w:beforeAutospacing="1" w:after="100" w:afterAutospacing="1"/>
        <w:rPr>
          <w:szCs w:val="24"/>
        </w:rPr>
      </w:pPr>
      <w:r>
        <w:rPr>
          <w:szCs w:val="24"/>
        </w:rPr>
        <w:t xml:space="preserve">Item </w:t>
      </w:r>
      <w:r w:rsidR="001B3E0E">
        <w:rPr>
          <w:szCs w:val="24"/>
        </w:rPr>
        <w:t>24</w:t>
      </w:r>
      <w:r>
        <w:rPr>
          <w:szCs w:val="24"/>
        </w:rPr>
        <w:t xml:space="preserve"> </w:t>
      </w:r>
      <w:r w:rsidR="002176BE">
        <w:rPr>
          <w:szCs w:val="24"/>
        </w:rPr>
        <w:t xml:space="preserve">of Schedule 1 </w:t>
      </w:r>
      <w:r w:rsidR="007F43F5">
        <w:rPr>
          <w:szCs w:val="24"/>
        </w:rPr>
        <w:t>inserts</w:t>
      </w:r>
      <w:r>
        <w:rPr>
          <w:szCs w:val="24"/>
        </w:rPr>
        <w:t xml:space="preserve"> subsection 76-65(6)</w:t>
      </w:r>
      <w:r w:rsidR="004A268C" w:rsidRPr="003F416A">
        <w:rPr>
          <w:szCs w:val="24"/>
        </w:rPr>
        <w:t xml:space="preserve"> to place an obligation on a </w:t>
      </w:r>
      <w:r>
        <w:rPr>
          <w:szCs w:val="24"/>
        </w:rPr>
        <w:t>trustee</w:t>
      </w:r>
      <w:r w:rsidR="002176BE">
        <w:rPr>
          <w:szCs w:val="24"/>
        </w:rPr>
        <w:t>, at meetings of a deceased debtor,</w:t>
      </w:r>
      <w:r>
        <w:rPr>
          <w:szCs w:val="24"/>
        </w:rPr>
        <w:t xml:space="preserve"> to invite</w:t>
      </w:r>
      <w:r>
        <w:t xml:space="preserve"> the persons participating and entitled to vote at the meeting to ask questions of the debtor’s legal personal representative. </w:t>
      </w:r>
      <w:r>
        <w:rPr>
          <w:szCs w:val="24"/>
        </w:rPr>
        <w:t xml:space="preserve">Item </w:t>
      </w:r>
      <w:r w:rsidR="001B3E0E">
        <w:rPr>
          <w:szCs w:val="24"/>
        </w:rPr>
        <w:t>24</w:t>
      </w:r>
      <w:r w:rsidR="00FC2C34">
        <w:rPr>
          <w:szCs w:val="24"/>
        </w:rPr>
        <w:t xml:space="preserve"> also </w:t>
      </w:r>
      <w:r w:rsidR="007F43F5">
        <w:rPr>
          <w:szCs w:val="24"/>
        </w:rPr>
        <w:t xml:space="preserve">inserts </w:t>
      </w:r>
      <w:r w:rsidR="00FC2C34">
        <w:rPr>
          <w:szCs w:val="24"/>
        </w:rPr>
        <w:t>subsection 76-65</w:t>
      </w:r>
      <w:r>
        <w:rPr>
          <w:szCs w:val="24"/>
        </w:rPr>
        <w:t>(7)</w:t>
      </w:r>
      <w:r w:rsidRPr="003F416A">
        <w:rPr>
          <w:szCs w:val="24"/>
        </w:rPr>
        <w:t xml:space="preserve"> to place an obligation</w:t>
      </w:r>
      <w:r w:rsidR="002176BE">
        <w:rPr>
          <w:szCs w:val="24"/>
        </w:rPr>
        <w:t xml:space="preserve"> on the regulated debtor or </w:t>
      </w:r>
      <w:r w:rsidR="004A268C" w:rsidRPr="003F416A">
        <w:rPr>
          <w:szCs w:val="24"/>
        </w:rPr>
        <w:t>legal personal representative of a deceased regulated debtor</w:t>
      </w:r>
      <w:r w:rsidR="002176BE">
        <w:rPr>
          <w:szCs w:val="24"/>
        </w:rPr>
        <w:t>,</w:t>
      </w:r>
      <w:r w:rsidR="004A268C" w:rsidRPr="003F416A">
        <w:rPr>
          <w:szCs w:val="24"/>
        </w:rPr>
        <w:t xml:space="preserve"> to assist with </w:t>
      </w:r>
      <w:r>
        <w:rPr>
          <w:szCs w:val="24"/>
        </w:rPr>
        <w:t>any inquires at these meetings</w:t>
      </w:r>
      <w:r w:rsidR="002176BE">
        <w:rPr>
          <w:szCs w:val="24"/>
        </w:rPr>
        <w:t xml:space="preserve"> by answering questions to the best of his or her knowledge and ability.</w:t>
      </w:r>
      <w:r>
        <w:rPr>
          <w:szCs w:val="24"/>
        </w:rPr>
        <w:t xml:space="preserve"> This will ensure that</w:t>
      </w:r>
      <w:r w:rsidR="002176BE">
        <w:rPr>
          <w:szCs w:val="24"/>
        </w:rPr>
        <w:t xml:space="preserve"> in circumstances where a debtor is deceased, creditors will be invited to </w:t>
      </w:r>
      <w:r w:rsidR="009F791B">
        <w:rPr>
          <w:szCs w:val="24"/>
        </w:rPr>
        <w:t xml:space="preserve">direct </w:t>
      </w:r>
      <w:r w:rsidR="002176BE">
        <w:rPr>
          <w:szCs w:val="24"/>
        </w:rPr>
        <w:t>questions about the deceased debtor’s estate to the debtor’s legal personal representative. It will also ensure that creditors</w:t>
      </w:r>
      <w:r>
        <w:rPr>
          <w:szCs w:val="24"/>
        </w:rPr>
        <w:t xml:space="preserve"> have access to relevant information </w:t>
      </w:r>
      <w:r w:rsidR="002176BE">
        <w:rPr>
          <w:szCs w:val="24"/>
        </w:rPr>
        <w:t>by requiring regulated debtors and legal representatives of deceased debtors to answer those questions put to them.</w:t>
      </w:r>
    </w:p>
    <w:p w14:paraId="5B0E83BC" w14:textId="61026FED" w:rsidR="00D15BE6" w:rsidRPr="009F791B" w:rsidRDefault="00D15BE6" w:rsidP="00DA0CFD">
      <w:pPr>
        <w:spacing w:before="100" w:beforeAutospacing="1" w:after="100" w:afterAutospacing="1"/>
        <w:rPr>
          <w:i/>
          <w:szCs w:val="24"/>
        </w:rPr>
      </w:pPr>
      <w:r w:rsidRPr="009F791B">
        <w:rPr>
          <w:i/>
          <w:szCs w:val="24"/>
        </w:rPr>
        <w:t xml:space="preserve">Item </w:t>
      </w:r>
      <w:r w:rsidR="00805E62">
        <w:rPr>
          <w:i/>
          <w:szCs w:val="24"/>
        </w:rPr>
        <w:t>25</w:t>
      </w:r>
      <w:r w:rsidR="009F791B" w:rsidRPr="009F791B">
        <w:rPr>
          <w:i/>
          <w:szCs w:val="24"/>
        </w:rPr>
        <w:t xml:space="preserve"> - </w:t>
      </w:r>
      <w:r w:rsidRPr="009F791B">
        <w:rPr>
          <w:i/>
          <w:szCs w:val="24"/>
        </w:rPr>
        <w:t>Section 75-90</w:t>
      </w:r>
    </w:p>
    <w:p w14:paraId="56E0BAE2" w14:textId="1FDAE94F" w:rsidR="00D15BE6" w:rsidRDefault="00FB44CB" w:rsidP="00DA0CFD">
      <w:pPr>
        <w:spacing w:before="100" w:beforeAutospacing="1" w:after="100" w:afterAutospacing="1"/>
        <w:rPr>
          <w:szCs w:val="24"/>
        </w:rPr>
      </w:pPr>
      <w:r w:rsidRPr="00FB44CB">
        <w:rPr>
          <w:szCs w:val="24"/>
        </w:rPr>
        <w:t>Prior to or at the meeting</w:t>
      </w:r>
      <w:r>
        <w:rPr>
          <w:szCs w:val="24"/>
        </w:rPr>
        <w:t xml:space="preserve"> of creditors</w:t>
      </w:r>
      <w:r w:rsidRPr="00FB44CB">
        <w:rPr>
          <w:szCs w:val="24"/>
        </w:rPr>
        <w:t xml:space="preserve">, creditors will give the trustee a ‘statement of claim’ outlining the debt they claim is owed to them by the debtor. </w:t>
      </w:r>
      <w:r w:rsidR="00D15BE6">
        <w:rPr>
          <w:szCs w:val="24"/>
        </w:rPr>
        <w:t xml:space="preserve">Section 75-90 </w:t>
      </w:r>
      <w:r w:rsidR="00FF5708">
        <w:rPr>
          <w:szCs w:val="24"/>
        </w:rPr>
        <w:t xml:space="preserve">of the Rules </w:t>
      </w:r>
      <w:r w:rsidR="00D15BE6">
        <w:rPr>
          <w:szCs w:val="24"/>
        </w:rPr>
        <w:t>currently contains an obligation that a registered trustee must ensure that each creditor’s claim or proof of debt bears evidence of:</w:t>
      </w:r>
    </w:p>
    <w:p w14:paraId="066E460C" w14:textId="77777777" w:rsidR="00D15BE6" w:rsidRPr="008F0E20" w:rsidRDefault="00D15BE6" w:rsidP="00DA0CFD">
      <w:pPr>
        <w:pStyle w:val="Bullet"/>
        <w:spacing w:before="100" w:beforeAutospacing="1" w:after="100" w:afterAutospacing="1"/>
      </w:pPr>
      <w:r>
        <w:t>its admission or rejection</w:t>
      </w:r>
    </w:p>
    <w:p w14:paraId="4F81FAF2" w14:textId="77777777" w:rsidR="00D15BE6" w:rsidRPr="008F0E20" w:rsidRDefault="00D15BE6" w:rsidP="00DA0CFD">
      <w:pPr>
        <w:pStyle w:val="Bullet"/>
        <w:spacing w:before="100" w:beforeAutospacing="1" w:after="100" w:afterAutospacing="1"/>
      </w:pPr>
      <w:r w:rsidRPr="008F0E20">
        <w:t>the reason for its admission or rejection</w:t>
      </w:r>
      <w:r>
        <w:t>,</w:t>
      </w:r>
      <w:r w:rsidRPr="008F0E20">
        <w:t xml:space="preserve"> and</w:t>
      </w:r>
    </w:p>
    <w:p w14:paraId="488505C8" w14:textId="77777777" w:rsidR="00D15BE6" w:rsidRPr="008F0E20" w:rsidRDefault="00D15BE6" w:rsidP="00DA0CFD">
      <w:pPr>
        <w:pStyle w:val="Bullet"/>
        <w:spacing w:before="100" w:beforeAutospacing="1" w:after="100" w:afterAutospacing="1"/>
      </w:pPr>
      <w:proofErr w:type="gramStart"/>
      <w:r w:rsidRPr="008F0E20">
        <w:t>the</w:t>
      </w:r>
      <w:proofErr w:type="gramEnd"/>
      <w:r w:rsidRPr="008F0E20">
        <w:t xml:space="preserve"> amount for which the claim or proof of debt has been admitted.</w:t>
      </w:r>
    </w:p>
    <w:p w14:paraId="323BAAC4" w14:textId="52945A63" w:rsidR="00D15BE6" w:rsidRDefault="00D15BE6" w:rsidP="00DA0CFD">
      <w:pPr>
        <w:spacing w:before="100" w:beforeAutospacing="1" w:after="100" w:afterAutospacing="1"/>
        <w:rPr>
          <w:szCs w:val="24"/>
        </w:rPr>
      </w:pPr>
      <w:r>
        <w:rPr>
          <w:szCs w:val="24"/>
        </w:rPr>
        <w:t xml:space="preserve">Item </w:t>
      </w:r>
      <w:r w:rsidR="00805E62">
        <w:rPr>
          <w:szCs w:val="24"/>
        </w:rPr>
        <w:t>25</w:t>
      </w:r>
      <w:r w:rsidR="009F791B">
        <w:rPr>
          <w:szCs w:val="24"/>
        </w:rPr>
        <w:t xml:space="preserve"> of Schedule 1</w:t>
      </w:r>
      <w:r>
        <w:rPr>
          <w:szCs w:val="24"/>
        </w:rPr>
        <w:t xml:space="preserve"> deletes the reference to ‘registered’ to correct a technical error where </w:t>
      </w:r>
      <w:r w:rsidR="00D33792">
        <w:rPr>
          <w:szCs w:val="24"/>
        </w:rPr>
        <w:t>‘</w:t>
      </w:r>
      <w:r>
        <w:rPr>
          <w:szCs w:val="24"/>
        </w:rPr>
        <w:t>registered trustee</w:t>
      </w:r>
      <w:r w:rsidR="00D33792">
        <w:rPr>
          <w:szCs w:val="24"/>
        </w:rPr>
        <w:t>’</w:t>
      </w:r>
      <w:r>
        <w:rPr>
          <w:szCs w:val="24"/>
        </w:rPr>
        <w:t xml:space="preserve"> should simply be </w:t>
      </w:r>
      <w:r w:rsidR="00D33792">
        <w:rPr>
          <w:szCs w:val="24"/>
        </w:rPr>
        <w:t>‘</w:t>
      </w:r>
      <w:r>
        <w:rPr>
          <w:szCs w:val="24"/>
        </w:rPr>
        <w:t>trustee</w:t>
      </w:r>
      <w:r w:rsidR="00D33792">
        <w:rPr>
          <w:szCs w:val="24"/>
        </w:rPr>
        <w:t>’</w:t>
      </w:r>
      <w:r>
        <w:rPr>
          <w:szCs w:val="24"/>
        </w:rPr>
        <w:t>.</w:t>
      </w:r>
      <w:r w:rsidR="009F791B">
        <w:rPr>
          <w:szCs w:val="24"/>
        </w:rPr>
        <w:t xml:space="preserve"> Removal of this reference to ‘registered’ will ensure that section 75-90 </w:t>
      </w:r>
      <w:r w:rsidR="00D33792">
        <w:rPr>
          <w:szCs w:val="24"/>
        </w:rPr>
        <w:t xml:space="preserve">of the Rules </w:t>
      </w:r>
      <w:r w:rsidR="009F791B">
        <w:rPr>
          <w:szCs w:val="24"/>
        </w:rPr>
        <w:t xml:space="preserve">applies to the Official Trustee and to </w:t>
      </w:r>
      <w:proofErr w:type="gramStart"/>
      <w:r w:rsidR="009F791B">
        <w:rPr>
          <w:szCs w:val="24"/>
        </w:rPr>
        <w:t>registered</w:t>
      </w:r>
      <w:proofErr w:type="gramEnd"/>
      <w:r w:rsidR="009F791B">
        <w:rPr>
          <w:szCs w:val="24"/>
        </w:rPr>
        <w:t xml:space="preserve"> trustees.</w:t>
      </w:r>
    </w:p>
    <w:p w14:paraId="5EAA08BF" w14:textId="47525B4D" w:rsidR="00D15BE6" w:rsidRPr="007E2447" w:rsidRDefault="00D15BE6" w:rsidP="00780E8D">
      <w:pPr>
        <w:keepNext/>
        <w:spacing w:before="100" w:beforeAutospacing="1" w:after="100" w:afterAutospacing="1"/>
        <w:rPr>
          <w:i/>
          <w:szCs w:val="24"/>
        </w:rPr>
      </w:pPr>
      <w:r w:rsidRPr="009F791B">
        <w:rPr>
          <w:i/>
          <w:szCs w:val="24"/>
        </w:rPr>
        <w:t>Item</w:t>
      </w:r>
      <w:r w:rsidR="00805E62">
        <w:rPr>
          <w:i/>
          <w:szCs w:val="24"/>
        </w:rPr>
        <w:t xml:space="preserve"> 26</w:t>
      </w:r>
      <w:r w:rsidRPr="009F791B">
        <w:rPr>
          <w:i/>
          <w:szCs w:val="24"/>
        </w:rPr>
        <w:t xml:space="preserve"> </w:t>
      </w:r>
      <w:r w:rsidR="009F791B" w:rsidRPr="009F791B">
        <w:rPr>
          <w:i/>
          <w:szCs w:val="24"/>
        </w:rPr>
        <w:t xml:space="preserve">- </w:t>
      </w:r>
      <w:r w:rsidRPr="009F791B">
        <w:rPr>
          <w:i/>
          <w:szCs w:val="24"/>
        </w:rPr>
        <w:t>Subsections</w:t>
      </w:r>
      <w:r w:rsidRPr="007E2447">
        <w:rPr>
          <w:i/>
          <w:szCs w:val="24"/>
        </w:rPr>
        <w:t xml:space="preserve"> 75-95(1), (2) and (3)</w:t>
      </w:r>
    </w:p>
    <w:p w14:paraId="3C1E7D2D" w14:textId="205C69AC" w:rsidR="00D15BE6" w:rsidRDefault="00FF5708" w:rsidP="00780E8D">
      <w:pPr>
        <w:keepNext/>
        <w:spacing w:before="100" w:beforeAutospacing="1" w:after="100" w:afterAutospacing="1"/>
        <w:rPr>
          <w:szCs w:val="24"/>
        </w:rPr>
      </w:pPr>
      <w:r>
        <w:rPr>
          <w:szCs w:val="24"/>
        </w:rPr>
        <w:t xml:space="preserve">Prior to or at a meeting of creditors, creditors will give the trustee a ‘statement of claim’ outlining the debt they claim is owed to them by the </w:t>
      </w:r>
      <w:r w:rsidR="001B4A3C">
        <w:rPr>
          <w:szCs w:val="24"/>
        </w:rPr>
        <w:t xml:space="preserve">regulated </w:t>
      </w:r>
      <w:r>
        <w:rPr>
          <w:szCs w:val="24"/>
        </w:rPr>
        <w:t xml:space="preserve">debtor. </w:t>
      </w:r>
      <w:r w:rsidR="00C243DE" w:rsidRPr="00C243DE">
        <w:rPr>
          <w:szCs w:val="24"/>
        </w:rPr>
        <w:t>Where a trustee is not satisfied that the creditor has provided sufficient information to substantiate the debt, the trustee can seek further information, which is then considered by the trustee in determining whether the creditor has the right to vote at the meeting and, if so, what value should be placed on the debt.</w:t>
      </w:r>
      <w:r w:rsidR="00C243DE">
        <w:rPr>
          <w:szCs w:val="24"/>
        </w:rPr>
        <w:t xml:space="preserve"> </w:t>
      </w:r>
      <w:r w:rsidR="00D15BE6" w:rsidRPr="0033378A">
        <w:rPr>
          <w:szCs w:val="24"/>
        </w:rPr>
        <w:t>Subsections 75-95(1), (2) and (3)</w:t>
      </w:r>
      <w:r w:rsidR="00D15BE6">
        <w:rPr>
          <w:szCs w:val="24"/>
        </w:rPr>
        <w:t xml:space="preserve"> </w:t>
      </w:r>
      <w:r>
        <w:rPr>
          <w:szCs w:val="24"/>
        </w:rPr>
        <w:t xml:space="preserve">of the Rules </w:t>
      </w:r>
      <w:r w:rsidR="00D15BE6">
        <w:rPr>
          <w:szCs w:val="24"/>
        </w:rPr>
        <w:t xml:space="preserve">currently provide that </w:t>
      </w:r>
      <w:r w:rsidR="00D15BE6" w:rsidRPr="004149C7">
        <w:rPr>
          <w:szCs w:val="24"/>
        </w:rPr>
        <w:t xml:space="preserve">if a </w:t>
      </w:r>
      <w:r w:rsidR="00D15BE6">
        <w:rPr>
          <w:szCs w:val="24"/>
        </w:rPr>
        <w:t>registered trustee</w:t>
      </w:r>
      <w:r w:rsidR="00D15BE6" w:rsidRPr="004149C7">
        <w:rPr>
          <w:szCs w:val="24"/>
        </w:rPr>
        <w:t xml:space="preserve"> </w:t>
      </w:r>
      <w:r w:rsidR="00AF5E43">
        <w:rPr>
          <w:szCs w:val="24"/>
        </w:rPr>
        <w:t>deems it necessary to obtain proof</w:t>
      </w:r>
      <w:r w:rsidR="00D15BE6" w:rsidRPr="004149C7">
        <w:rPr>
          <w:szCs w:val="24"/>
        </w:rPr>
        <w:t xml:space="preserve"> about a debt claimed by a creditor, he or she must ask the creditor to give evidence in writing in order to establish the liability of</w:t>
      </w:r>
      <w:r w:rsidR="00D15BE6">
        <w:rPr>
          <w:szCs w:val="24"/>
        </w:rPr>
        <w:t xml:space="preserve"> the </w:t>
      </w:r>
      <w:r w:rsidR="009F791B">
        <w:rPr>
          <w:szCs w:val="24"/>
        </w:rPr>
        <w:t>regulated debtor</w:t>
      </w:r>
      <w:r w:rsidR="00D15BE6">
        <w:rPr>
          <w:szCs w:val="24"/>
        </w:rPr>
        <w:t xml:space="preserve"> for the debt. The registered trustee</w:t>
      </w:r>
      <w:r w:rsidR="00D15BE6" w:rsidRPr="004149C7">
        <w:rPr>
          <w:szCs w:val="24"/>
        </w:rPr>
        <w:t xml:space="preserve"> must have regard to the cost</w:t>
      </w:r>
      <w:r w:rsidR="009F791B">
        <w:rPr>
          <w:szCs w:val="24"/>
        </w:rPr>
        <w:t xml:space="preserve"> and benefit </w:t>
      </w:r>
      <w:r w:rsidR="00D15BE6" w:rsidRPr="004149C7">
        <w:rPr>
          <w:szCs w:val="24"/>
        </w:rPr>
        <w:t xml:space="preserve">of seeking </w:t>
      </w:r>
      <w:r w:rsidR="00AF5E43">
        <w:rPr>
          <w:szCs w:val="24"/>
        </w:rPr>
        <w:t xml:space="preserve">further </w:t>
      </w:r>
      <w:r w:rsidR="00D15BE6" w:rsidRPr="004149C7">
        <w:rPr>
          <w:szCs w:val="24"/>
        </w:rPr>
        <w:t>evidence from the creditor</w:t>
      </w:r>
      <w:r w:rsidR="00AF5E43">
        <w:rPr>
          <w:szCs w:val="24"/>
        </w:rPr>
        <w:t>, in the event that the original information provided by the creditor is insufficient, and must assess whether seeking this additional evidence is pertinent. A registered trustee is required to retain any evidence provided by the creditor which is relied on in deciding whether to accept or reject a claim by the creditor and/or which is used for voting or distributing dividends.</w:t>
      </w:r>
    </w:p>
    <w:p w14:paraId="64F7EA14" w14:textId="68DB72F3" w:rsidR="009F791B" w:rsidRDefault="00D15BE6" w:rsidP="00DA0CFD">
      <w:pPr>
        <w:spacing w:before="100" w:beforeAutospacing="1" w:after="100" w:afterAutospacing="1"/>
        <w:rPr>
          <w:szCs w:val="24"/>
        </w:rPr>
      </w:pPr>
      <w:r>
        <w:rPr>
          <w:szCs w:val="24"/>
        </w:rPr>
        <w:t xml:space="preserve">Item </w:t>
      </w:r>
      <w:r w:rsidR="00805E62">
        <w:rPr>
          <w:szCs w:val="24"/>
        </w:rPr>
        <w:t>26</w:t>
      </w:r>
      <w:r w:rsidR="009F791B">
        <w:rPr>
          <w:szCs w:val="24"/>
        </w:rPr>
        <w:t xml:space="preserve"> of Schedule 1</w:t>
      </w:r>
      <w:r>
        <w:rPr>
          <w:szCs w:val="24"/>
        </w:rPr>
        <w:t xml:space="preserve"> deletes the reference to ‘registered’ to correct a technical error where </w:t>
      </w:r>
      <w:r w:rsidR="00D33792">
        <w:rPr>
          <w:szCs w:val="24"/>
        </w:rPr>
        <w:t>‘</w:t>
      </w:r>
      <w:r>
        <w:rPr>
          <w:szCs w:val="24"/>
        </w:rPr>
        <w:t>registered trustee</w:t>
      </w:r>
      <w:r w:rsidR="00D33792">
        <w:rPr>
          <w:szCs w:val="24"/>
        </w:rPr>
        <w:t>’</w:t>
      </w:r>
      <w:r>
        <w:rPr>
          <w:szCs w:val="24"/>
        </w:rPr>
        <w:t xml:space="preserve"> should simply be </w:t>
      </w:r>
      <w:r w:rsidR="00D33792">
        <w:rPr>
          <w:szCs w:val="24"/>
        </w:rPr>
        <w:t>‘</w:t>
      </w:r>
      <w:r>
        <w:rPr>
          <w:szCs w:val="24"/>
        </w:rPr>
        <w:t>trustee</w:t>
      </w:r>
      <w:r w:rsidR="00D33792">
        <w:rPr>
          <w:szCs w:val="24"/>
        </w:rPr>
        <w:t>’</w:t>
      </w:r>
      <w:r>
        <w:rPr>
          <w:szCs w:val="24"/>
        </w:rPr>
        <w:t>.</w:t>
      </w:r>
      <w:r w:rsidR="009F791B" w:rsidRPr="009F791B">
        <w:rPr>
          <w:szCs w:val="24"/>
        </w:rPr>
        <w:t xml:space="preserve"> </w:t>
      </w:r>
      <w:r w:rsidR="009F791B">
        <w:rPr>
          <w:szCs w:val="24"/>
        </w:rPr>
        <w:t>Removal of this reference to ‘registered’ will ensure that subsections 75-95(1),</w:t>
      </w:r>
      <w:r w:rsidR="00FA7529">
        <w:rPr>
          <w:szCs w:val="24"/>
        </w:rPr>
        <w:t xml:space="preserve"> </w:t>
      </w:r>
      <w:r w:rsidR="009F791B">
        <w:rPr>
          <w:szCs w:val="24"/>
        </w:rPr>
        <w:t xml:space="preserve">(2) and (3) </w:t>
      </w:r>
      <w:r w:rsidR="00FF5708">
        <w:rPr>
          <w:szCs w:val="24"/>
        </w:rPr>
        <w:t xml:space="preserve">of the Rules </w:t>
      </w:r>
      <w:r w:rsidR="009F791B">
        <w:rPr>
          <w:szCs w:val="24"/>
        </w:rPr>
        <w:t>apply to the Official Trustee and to registered trustees.</w:t>
      </w:r>
    </w:p>
    <w:p w14:paraId="4AD9D1AF" w14:textId="465B4729" w:rsidR="00D15BE6" w:rsidRPr="003133C9" w:rsidRDefault="00D15BE6" w:rsidP="00394DE0">
      <w:pPr>
        <w:keepNext/>
        <w:spacing w:before="100" w:beforeAutospacing="1" w:after="100" w:afterAutospacing="1"/>
        <w:rPr>
          <w:i/>
          <w:szCs w:val="24"/>
        </w:rPr>
      </w:pPr>
      <w:r w:rsidRPr="009F791B">
        <w:rPr>
          <w:i/>
          <w:szCs w:val="24"/>
        </w:rPr>
        <w:t xml:space="preserve">Item </w:t>
      </w:r>
      <w:r w:rsidR="00805E62">
        <w:rPr>
          <w:i/>
          <w:szCs w:val="24"/>
        </w:rPr>
        <w:t>27</w:t>
      </w:r>
      <w:r w:rsidRPr="009F791B">
        <w:rPr>
          <w:i/>
          <w:szCs w:val="24"/>
        </w:rPr>
        <w:t xml:space="preserve"> </w:t>
      </w:r>
      <w:r w:rsidR="009F791B" w:rsidRPr="009F791B">
        <w:rPr>
          <w:i/>
          <w:szCs w:val="24"/>
        </w:rPr>
        <w:t xml:space="preserve">- </w:t>
      </w:r>
      <w:r w:rsidRPr="009F791B">
        <w:rPr>
          <w:i/>
          <w:szCs w:val="24"/>
        </w:rPr>
        <w:t>Subsection</w:t>
      </w:r>
      <w:r w:rsidRPr="003133C9">
        <w:rPr>
          <w:i/>
          <w:szCs w:val="24"/>
        </w:rPr>
        <w:t xml:space="preserve"> 75-100(2) </w:t>
      </w:r>
    </w:p>
    <w:p w14:paraId="214E0BCE" w14:textId="144EBFEE" w:rsidR="00D15BE6" w:rsidRPr="00B34A5C" w:rsidRDefault="00D15BE6" w:rsidP="00394DE0">
      <w:pPr>
        <w:keepNext/>
        <w:spacing w:before="100" w:beforeAutospacing="1" w:after="100" w:afterAutospacing="1"/>
        <w:rPr>
          <w:szCs w:val="24"/>
        </w:rPr>
      </w:pPr>
      <w:r w:rsidRPr="00B34A5C">
        <w:rPr>
          <w:szCs w:val="24"/>
        </w:rPr>
        <w:t xml:space="preserve">Subsection 75-100(2) </w:t>
      </w:r>
      <w:r w:rsidR="00FF5708">
        <w:rPr>
          <w:szCs w:val="24"/>
        </w:rPr>
        <w:t xml:space="preserve">of the Rules </w:t>
      </w:r>
      <w:r w:rsidRPr="00B34A5C">
        <w:rPr>
          <w:szCs w:val="24"/>
        </w:rPr>
        <w:t>require</w:t>
      </w:r>
      <w:r w:rsidR="009F791B" w:rsidRPr="00B34A5C">
        <w:rPr>
          <w:szCs w:val="24"/>
        </w:rPr>
        <w:t>s</w:t>
      </w:r>
      <w:r w:rsidRPr="00B34A5C">
        <w:rPr>
          <w:szCs w:val="24"/>
        </w:rPr>
        <w:t xml:space="preserve"> a registered trustee to have regard to the merits of a creditors claim when deciding whether a creditor is entitled to vote at a meeting of creditors. At all times, the registered trustee must act impartially and independently in relation to such claims. </w:t>
      </w:r>
    </w:p>
    <w:p w14:paraId="0A147930" w14:textId="687E2594" w:rsidR="00B34A5C" w:rsidRPr="00B34A5C" w:rsidRDefault="00D15BE6" w:rsidP="00DA0CFD">
      <w:pPr>
        <w:spacing w:before="100" w:beforeAutospacing="1" w:after="100" w:afterAutospacing="1"/>
        <w:rPr>
          <w:szCs w:val="24"/>
        </w:rPr>
      </w:pPr>
      <w:r>
        <w:rPr>
          <w:szCs w:val="24"/>
        </w:rPr>
        <w:t xml:space="preserve">Item </w:t>
      </w:r>
      <w:r w:rsidR="00F422F4">
        <w:rPr>
          <w:szCs w:val="24"/>
        </w:rPr>
        <w:t>27</w:t>
      </w:r>
      <w:r w:rsidR="00B34A5C">
        <w:rPr>
          <w:szCs w:val="24"/>
        </w:rPr>
        <w:t xml:space="preserve"> of Schedule 1</w:t>
      </w:r>
      <w:r>
        <w:rPr>
          <w:szCs w:val="24"/>
        </w:rPr>
        <w:t xml:space="preserve"> deletes the reference to ‘registered’ to correct a technical error where </w:t>
      </w:r>
      <w:r w:rsidR="00D33792">
        <w:rPr>
          <w:szCs w:val="24"/>
        </w:rPr>
        <w:t>‘</w:t>
      </w:r>
      <w:r>
        <w:rPr>
          <w:szCs w:val="24"/>
        </w:rPr>
        <w:t>registered trustee</w:t>
      </w:r>
      <w:r w:rsidR="00D33792">
        <w:rPr>
          <w:szCs w:val="24"/>
        </w:rPr>
        <w:t>’</w:t>
      </w:r>
      <w:r>
        <w:rPr>
          <w:szCs w:val="24"/>
        </w:rPr>
        <w:t xml:space="preserve"> should simply be </w:t>
      </w:r>
      <w:r w:rsidR="00D33792">
        <w:rPr>
          <w:szCs w:val="24"/>
        </w:rPr>
        <w:t>‘</w:t>
      </w:r>
      <w:r>
        <w:rPr>
          <w:szCs w:val="24"/>
        </w:rPr>
        <w:t>trustee</w:t>
      </w:r>
      <w:r w:rsidR="00D33792">
        <w:rPr>
          <w:szCs w:val="24"/>
        </w:rPr>
        <w:t>’</w:t>
      </w:r>
      <w:r>
        <w:rPr>
          <w:szCs w:val="24"/>
        </w:rPr>
        <w:t>.</w:t>
      </w:r>
      <w:r w:rsidR="00B34A5C" w:rsidRPr="00B34A5C">
        <w:rPr>
          <w:szCs w:val="24"/>
        </w:rPr>
        <w:t xml:space="preserve"> </w:t>
      </w:r>
      <w:r w:rsidR="00B34A5C">
        <w:rPr>
          <w:szCs w:val="24"/>
        </w:rPr>
        <w:t xml:space="preserve">Removal of this reference to ‘registered’ will ensure that subsection 75-100 (2) </w:t>
      </w:r>
      <w:r w:rsidR="00FF5708">
        <w:rPr>
          <w:szCs w:val="24"/>
        </w:rPr>
        <w:t xml:space="preserve">of the Rules </w:t>
      </w:r>
      <w:r w:rsidR="00B34A5C">
        <w:rPr>
          <w:szCs w:val="24"/>
        </w:rPr>
        <w:t xml:space="preserve">applies to the Official Trustee and </w:t>
      </w:r>
      <w:r w:rsidR="00B34A5C" w:rsidRPr="00B34A5C">
        <w:rPr>
          <w:szCs w:val="24"/>
        </w:rPr>
        <w:t>to registered trustees.</w:t>
      </w:r>
    </w:p>
    <w:p w14:paraId="31B3AC7E" w14:textId="5ED8ABF2" w:rsidR="00D15BE6" w:rsidRPr="008C7B4E" w:rsidRDefault="00D15BE6" w:rsidP="00DA0CFD">
      <w:pPr>
        <w:spacing w:before="100" w:beforeAutospacing="1" w:after="100" w:afterAutospacing="1"/>
        <w:rPr>
          <w:i/>
          <w:szCs w:val="24"/>
        </w:rPr>
      </w:pPr>
      <w:r w:rsidRPr="00B34A5C">
        <w:rPr>
          <w:i/>
          <w:szCs w:val="24"/>
        </w:rPr>
        <w:t xml:space="preserve">Item </w:t>
      </w:r>
      <w:r w:rsidR="00F422F4">
        <w:rPr>
          <w:i/>
          <w:szCs w:val="24"/>
        </w:rPr>
        <w:t>28</w:t>
      </w:r>
      <w:r w:rsidRPr="00B34A5C">
        <w:rPr>
          <w:i/>
          <w:szCs w:val="24"/>
        </w:rPr>
        <w:t xml:space="preserve"> </w:t>
      </w:r>
      <w:r w:rsidR="00B34A5C" w:rsidRPr="00B34A5C">
        <w:rPr>
          <w:i/>
          <w:szCs w:val="24"/>
        </w:rPr>
        <w:t xml:space="preserve">- </w:t>
      </w:r>
      <w:r w:rsidRPr="00B34A5C">
        <w:rPr>
          <w:i/>
          <w:szCs w:val="24"/>
        </w:rPr>
        <w:t>Subsection</w:t>
      </w:r>
      <w:r w:rsidRPr="008C7B4E">
        <w:rPr>
          <w:i/>
          <w:szCs w:val="24"/>
        </w:rPr>
        <w:t xml:space="preserve"> 75-130(2)</w:t>
      </w:r>
    </w:p>
    <w:p w14:paraId="2FB8DF59" w14:textId="2C25DC23" w:rsidR="00B34A5C" w:rsidRDefault="00D15BE6" w:rsidP="00DA0CFD">
      <w:pPr>
        <w:spacing w:before="100" w:beforeAutospacing="1" w:after="100" w:afterAutospacing="1"/>
        <w:rPr>
          <w:szCs w:val="24"/>
        </w:rPr>
      </w:pPr>
      <w:r w:rsidRPr="00B34A5C">
        <w:rPr>
          <w:szCs w:val="24"/>
        </w:rPr>
        <w:t>Subsection 75</w:t>
      </w:r>
      <w:r w:rsidRPr="00D42838">
        <w:rPr>
          <w:szCs w:val="24"/>
        </w:rPr>
        <w:t xml:space="preserve">-130(2) </w:t>
      </w:r>
      <w:r w:rsidR="00FF5708">
        <w:rPr>
          <w:szCs w:val="24"/>
        </w:rPr>
        <w:t xml:space="preserve">of the Rules </w:t>
      </w:r>
      <w:r w:rsidRPr="00D42838">
        <w:rPr>
          <w:szCs w:val="24"/>
        </w:rPr>
        <w:t>provi</w:t>
      </w:r>
      <w:r w:rsidRPr="002565F8">
        <w:rPr>
          <w:szCs w:val="24"/>
        </w:rPr>
        <w:t>de</w:t>
      </w:r>
      <w:r w:rsidR="00B34A5C">
        <w:rPr>
          <w:szCs w:val="24"/>
        </w:rPr>
        <w:t>s</w:t>
      </w:r>
      <w:r w:rsidRPr="002565F8">
        <w:rPr>
          <w:szCs w:val="24"/>
        </w:rPr>
        <w:t xml:space="preserve"> that</w:t>
      </w:r>
      <w:r w:rsidR="00B34A5C">
        <w:rPr>
          <w:szCs w:val="24"/>
        </w:rPr>
        <w:t xml:space="preserve"> a proposal put to creditors, by giving notice under section 75-40 of Schedule 2 of the Act, is taken to be passed as a resolution </w:t>
      </w:r>
      <w:r w:rsidR="0074159D">
        <w:rPr>
          <w:szCs w:val="24"/>
        </w:rPr>
        <w:t xml:space="preserve">in circumstances where a majority of creditors responded to the trustee with a </w:t>
      </w:r>
      <w:r w:rsidR="008366C5">
        <w:rPr>
          <w:szCs w:val="24"/>
        </w:rPr>
        <w:t>Y</w:t>
      </w:r>
      <w:r w:rsidR="0074159D">
        <w:rPr>
          <w:szCs w:val="24"/>
        </w:rPr>
        <w:t>es vote; these responses were received by the trustee in the specified time</w:t>
      </w:r>
      <w:r w:rsidR="00324792">
        <w:rPr>
          <w:szCs w:val="24"/>
        </w:rPr>
        <w:t>;</w:t>
      </w:r>
      <w:r w:rsidR="0074159D">
        <w:rPr>
          <w:szCs w:val="24"/>
        </w:rPr>
        <w:t xml:space="preserve"> and no </w:t>
      </w:r>
      <w:r w:rsidR="00B34A5C">
        <w:rPr>
          <w:szCs w:val="24"/>
        </w:rPr>
        <w:t>more than 25% of responding creditors objected to the proposal.</w:t>
      </w:r>
    </w:p>
    <w:p w14:paraId="2D5886F5" w14:textId="24AB39E5" w:rsidR="00B34A5C" w:rsidRDefault="00B34A5C" w:rsidP="00DA0CFD">
      <w:pPr>
        <w:spacing w:before="100" w:beforeAutospacing="1" w:after="100" w:afterAutospacing="1"/>
        <w:rPr>
          <w:szCs w:val="24"/>
        </w:rPr>
      </w:pPr>
      <w:r>
        <w:rPr>
          <w:szCs w:val="24"/>
        </w:rPr>
        <w:t xml:space="preserve">Item </w:t>
      </w:r>
      <w:r w:rsidR="00F422F4">
        <w:rPr>
          <w:szCs w:val="24"/>
        </w:rPr>
        <w:t>28</w:t>
      </w:r>
      <w:r>
        <w:rPr>
          <w:szCs w:val="24"/>
        </w:rPr>
        <w:t xml:space="preserve"> of Schedule 1 inserts a reference to ‘at a meeting of creditors’ before the word ‘if’ in subsection 75-130(2)</w:t>
      </w:r>
      <w:r w:rsidR="007B6B9A">
        <w:rPr>
          <w:szCs w:val="24"/>
        </w:rPr>
        <w:t xml:space="preserve"> </w:t>
      </w:r>
      <w:r w:rsidR="009E5548">
        <w:rPr>
          <w:szCs w:val="24"/>
        </w:rPr>
        <w:t xml:space="preserve">of the Rules </w:t>
      </w:r>
      <w:r w:rsidR="007B6B9A">
        <w:rPr>
          <w:szCs w:val="24"/>
        </w:rPr>
        <w:t xml:space="preserve">to clarify that </w:t>
      </w:r>
      <w:r w:rsidR="00656F7F">
        <w:rPr>
          <w:szCs w:val="24"/>
        </w:rPr>
        <w:t xml:space="preserve">if the proposal is supported by the required majority of creditors responding to the trustee, it is taken to be a </w:t>
      </w:r>
      <w:r w:rsidR="007B6B9A">
        <w:rPr>
          <w:szCs w:val="24"/>
        </w:rPr>
        <w:t xml:space="preserve">resolution </w:t>
      </w:r>
      <w:r w:rsidR="007F762A">
        <w:rPr>
          <w:szCs w:val="24"/>
        </w:rPr>
        <w:t xml:space="preserve">passed </w:t>
      </w:r>
      <w:r w:rsidR="007B6B9A">
        <w:rPr>
          <w:szCs w:val="24"/>
        </w:rPr>
        <w:t>at a meeting of creditors.</w:t>
      </w:r>
    </w:p>
    <w:p w14:paraId="7A02E0B1" w14:textId="57D8C594" w:rsidR="00D15BE6" w:rsidRPr="007B6B0D" w:rsidRDefault="00D15BE6" w:rsidP="00DA0CFD">
      <w:pPr>
        <w:spacing w:before="100" w:beforeAutospacing="1" w:after="100" w:afterAutospacing="1"/>
        <w:rPr>
          <w:i/>
          <w:szCs w:val="24"/>
        </w:rPr>
      </w:pPr>
      <w:r w:rsidRPr="007B6B9A">
        <w:rPr>
          <w:i/>
          <w:szCs w:val="24"/>
        </w:rPr>
        <w:t xml:space="preserve">Item </w:t>
      </w:r>
      <w:r w:rsidR="00F422F4">
        <w:rPr>
          <w:i/>
          <w:szCs w:val="24"/>
        </w:rPr>
        <w:t>29</w:t>
      </w:r>
      <w:r w:rsidR="007B6B9A" w:rsidRPr="007B6B9A">
        <w:rPr>
          <w:i/>
          <w:szCs w:val="24"/>
        </w:rPr>
        <w:t xml:space="preserve"> </w:t>
      </w:r>
      <w:r w:rsidR="00845472">
        <w:rPr>
          <w:i/>
          <w:szCs w:val="24"/>
        </w:rPr>
        <w:t>-</w:t>
      </w:r>
      <w:r w:rsidR="007B6B9A" w:rsidRPr="007B6B9A">
        <w:rPr>
          <w:i/>
          <w:szCs w:val="24"/>
        </w:rPr>
        <w:t xml:space="preserve"> </w:t>
      </w:r>
      <w:r w:rsidR="00361CF4">
        <w:rPr>
          <w:i/>
          <w:szCs w:val="24"/>
        </w:rPr>
        <w:t xml:space="preserve">Paragraph </w:t>
      </w:r>
      <w:r w:rsidRPr="007B6B0D">
        <w:rPr>
          <w:i/>
          <w:szCs w:val="24"/>
        </w:rPr>
        <w:t>75-130(4</w:t>
      </w:r>
      <w:proofErr w:type="gramStart"/>
      <w:r w:rsidRPr="007B6B0D">
        <w:rPr>
          <w:i/>
          <w:szCs w:val="24"/>
        </w:rPr>
        <w:t>)(</w:t>
      </w:r>
      <w:proofErr w:type="gramEnd"/>
      <w:r w:rsidRPr="007B6B0D">
        <w:rPr>
          <w:i/>
          <w:szCs w:val="24"/>
        </w:rPr>
        <w:t xml:space="preserve">a) </w:t>
      </w:r>
    </w:p>
    <w:p w14:paraId="248D0A8E" w14:textId="105B7CAB" w:rsidR="007B6B9A" w:rsidRDefault="007B6B9A" w:rsidP="00DA0CFD">
      <w:pPr>
        <w:spacing w:before="100" w:beforeAutospacing="1" w:after="100" w:afterAutospacing="1"/>
      </w:pPr>
      <w:r>
        <w:t>Section</w:t>
      </w:r>
      <w:r w:rsidR="00D15BE6" w:rsidRPr="009160A3">
        <w:t xml:space="preserve"> 75-130</w:t>
      </w:r>
      <w:r>
        <w:t xml:space="preserve"> </w:t>
      </w:r>
      <w:r w:rsidR="009E5548">
        <w:t xml:space="preserve">of the Rules </w:t>
      </w:r>
      <w:r w:rsidR="00D15BE6" w:rsidRPr="009160A3">
        <w:t>provides that</w:t>
      </w:r>
      <w:r>
        <w:t xml:space="preserve"> when considering proposals for resolutions, only those creditors who respond to the notice of the proposal are taken into account when ascertaining whether a proposal has been passed as a resolution. </w:t>
      </w:r>
      <w:r w:rsidR="00361CF4">
        <w:t xml:space="preserve">Paragraph </w:t>
      </w:r>
      <w:r>
        <w:t>75</w:t>
      </w:r>
      <w:r>
        <w:noBreakHyphen/>
      </w:r>
      <w:proofErr w:type="gramStart"/>
      <w:r>
        <w:t>130(</w:t>
      </w:r>
      <w:proofErr w:type="gramEnd"/>
      <w:r>
        <w:t xml:space="preserve">4)(a) currently provides that </w:t>
      </w:r>
      <w:r w:rsidR="006B6B3F">
        <w:t>a creditor can only be classified as a responding creditor if he or she has submitted particulars of a debt or claim to the trustee on or before replying to the notice.</w:t>
      </w:r>
    </w:p>
    <w:p w14:paraId="4FF85BBD" w14:textId="03804D67" w:rsidR="007B6B9A" w:rsidRDefault="007B6B9A" w:rsidP="00DA0CFD">
      <w:pPr>
        <w:spacing w:before="100" w:beforeAutospacing="1" w:after="100" w:afterAutospacing="1"/>
      </w:pPr>
      <w:r>
        <w:t xml:space="preserve">Item </w:t>
      </w:r>
      <w:r w:rsidR="00F422F4">
        <w:t>29</w:t>
      </w:r>
      <w:r>
        <w:t xml:space="preserve"> of Schedule 1 </w:t>
      </w:r>
      <w:r w:rsidR="006B6B3F">
        <w:t>inserts the words ‘the day’ after the words ‘on or before’</w:t>
      </w:r>
      <w:r w:rsidR="00933C11" w:rsidRPr="00933C11">
        <w:t xml:space="preserve"> </w:t>
      </w:r>
      <w:r w:rsidR="00933C11">
        <w:t>in p</w:t>
      </w:r>
      <w:r w:rsidR="00933C11" w:rsidRPr="00933C11">
        <w:t>aragraph 75-130(4)(a)</w:t>
      </w:r>
      <w:r w:rsidR="009E5548">
        <w:t xml:space="preserve"> of the Rules</w:t>
      </w:r>
      <w:r w:rsidR="006B6B3F">
        <w:t xml:space="preserve">. This amendment </w:t>
      </w:r>
      <w:r>
        <w:t xml:space="preserve">clarifies that </w:t>
      </w:r>
      <w:r w:rsidR="006B6B3F">
        <w:t>the time for a creditor to submit those particulars of a debt or claim to the trustee is on or before the day that the creditor replies to the notice.</w:t>
      </w:r>
    </w:p>
    <w:p w14:paraId="02EE2043" w14:textId="20CA5688" w:rsidR="00D15BE6" w:rsidRDefault="006B6B3F" w:rsidP="00DA0CFD">
      <w:pPr>
        <w:keepNext/>
        <w:spacing w:before="100" w:beforeAutospacing="1" w:after="100" w:afterAutospacing="1"/>
        <w:rPr>
          <w:i/>
          <w:szCs w:val="24"/>
        </w:rPr>
      </w:pPr>
      <w:r>
        <w:rPr>
          <w:i/>
          <w:szCs w:val="24"/>
        </w:rPr>
        <w:t xml:space="preserve">Item </w:t>
      </w:r>
      <w:r w:rsidR="00F422F4">
        <w:rPr>
          <w:i/>
          <w:szCs w:val="24"/>
        </w:rPr>
        <w:t>30</w:t>
      </w:r>
      <w:r>
        <w:rPr>
          <w:i/>
          <w:szCs w:val="24"/>
        </w:rPr>
        <w:t xml:space="preserve"> </w:t>
      </w:r>
      <w:r w:rsidR="00845472">
        <w:rPr>
          <w:i/>
          <w:szCs w:val="24"/>
        </w:rPr>
        <w:t>-</w:t>
      </w:r>
      <w:r>
        <w:rPr>
          <w:i/>
          <w:szCs w:val="24"/>
        </w:rPr>
        <w:t xml:space="preserve"> Paragraph 75-132(1</w:t>
      </w:r>
      <w:proofErr w:type="gramStart"/>
      <w:r>
        <w:rPr>
          <w:i/>
          <w:szCs w:val="24"/>
        </w:rPr>
        <w:t>)(</w:t>
      </w:r>
      <w:proofErr w:type="gramEnd"/>
      <w:r>
        <w:rPr>
          <w:i/>
          <w:szCs w:val="24"/>
        </w:rPr>
        <w:t>a)</w:t>
      </w:r>
    </w:p>
    <w:p w14:paraId="718C5D85" w14:textId="0890F490" w:rsidR="006B6B3F" w:rsidRDefault="006B6B3F" w:rsidP="00DA0CFD">
      <w:pPr>
        <w:keepNext/>
        <w:spacing w:before="100" w:beforeAutospacing="1" w:after="100" w:afterAutospacing="1"/>
      </w:pPr>
      <w:r w:rsidRPr="001D17BB">
        <w:t>Section 75-132</w:t>
      </w:r>
      <w:r w:rsidR="009E5548">
        <w:t xml:space="preserve"> of the Rules</w:t>
      </w:r>
      <w:r w:rsidRPr="001D17BB">
        <w:t xml:space="preserve"> provides that a special resolution is passed</w:t>
      </w:r>
      <w:r>
        <w:t xml:space="preserve"> at a meeting of creditors when 50% of creditors voting </w:t>
      </w:r>
      <w:r w:rsidR="007E6C5A">
        <w:t xml:space="preserve">at the meeting </w:t>
      </w:r>
      <w:r>
        <w:t xml:space="preserve">vote in favour of the proposed resolution and </w:t>
      </w:r>
      <w:r w:rsidRPr="001D17BB">
        <w:t>75% in value</w:t>
      </w:r>
      <w:r>
        <w:t xml:space="preserve"> of the creditors vote in </w:t>
      </w:r>
      <w:r w:rsidRPr="001D17BB">
        <w:t xml:space="preserve">favour of the proposed resolution. In any other case, the special resolution is not passed. </w:t>
      </w:r>
    </w:p>
    <w:p w14:paraId="38E8161F" w14:textId="156B98FF" w:rsidR="00D15BE6" w:rsidRDefault="00D15BE6" w:rsidP="00DA0CFD">
      <w:pPr>
        <w:spacing w:before="100" w:beforeAutospacing="1" w:after="100" w:afterAutospacing="1"/>
        <w:rPr>
          <w:szCs w:val="24"/>
        </w:rPr>
      </w:pPr>
      <w:r>
        <w:rPr>
          <w:szCs w:val="24"/>
        </w:rPr>
        <w:t xml:space="preserve">Item </w:t>
      </w:r>
      <w:r w:rsidR="00F422F4">
        <w:rPr>
          <w:szCs w:val="24"/>
        </w:rPr>
        <w:t>30</w:t>
      </w:r>
      <w:r>
        <w:rPr>
          <w:szCs w:val="24"/>
        </w:rPr>
        <w:t xml:space="preserve"> </w:t>
      </w:r>
      <w:r w:rsidR="006B6B3F">
        <w:rPr>
          <w:szCs w:val="24"/>
        </w:rPr>
        <w:t xml:space="preserve">of Schedule 1 </w:t>
      </w:r>
      <w:r>
        <w:rPr>
          <w:szCs w:val="24"/>
        </w:rPr>
        <w:t xml:space="preserve">deletes the reference to </w:t>
      </w:r>
      <w:r w:rsidR="006F6B11">
        <w:rPr>
          <w:szCs w:val="24"/>
        </w:rPr>
        <w:t>‘</w:t>
      </w:r>
      <w:r>
        <w:rPr>
          <w:szCs w:val="24"/>
        </w:rPr>
        <w:t>50% of</w:t>
      </w:r>
      <w:r w:rsidR="006F6B11">
        <w:rPr>
          <w:szCs w:val="24"/>
        </w:rPr>
        <w:t>’</w:t>
      </w:r>
      <w:r>
        <w:rPr>
          <w:szCs w:val="24"/>
        </w:rPr>
        <w:t xml:space="preserve"> </w:t>
      </w:r>
      <w:r w:rsidR="00773EB1">
        <w:rPr>
          <w:szCs w:val="24"/>
        </w:rPr>
        <w:t>in p</w:t>
      </w:r>
      <w:r w:rsidR="00773EB1" w:rsidRPr="00773EB1">
        <w:rPr>
          <w:szCs w:val="24"/>
        </w:rPr>
        <w:t>aragraph 75-132(1</w:t>
      </w:r>
      <w:proofErr w:type="gramStart"/>
      <w:r w:rsidR="00773EB1" w:rsidRPr="00773EB1">
        <w:rPr>
          <w:szCs w:val="24"/>
        </w:rPr>
        <w:t>)(</w:t>
      </w:r>
      <w:proofErr w:type="gramEnd"/>
      <w:r w:rsidR="00773EB1" w:rsidRPr="00773EB1">
        <w:rPr>
          <w:szCs w:val="24"/>
        </w:rPr>
        <w:t>a)</w:t>
      </w:r>
      <w:r w:rsidR="00773EB1">
        <w:rPr>
          <w:szCs w:val="24"/>
        </w:rPr>
        <w:t xml:space="preserve"> </w:t>
      </w:r>
      <w:r>
        <w:rPr>
          <w:szCs w:val="24"/>
        </w:rPr>
        <w:t xml:space="preserve">and replaces it with </w:t>
      </w:r>
      <w:r w:rsidR="006F6B11">
        <w:rPr>
          <w:szCs w:val="24"/>
        </w:rPr>
        <w:t>‘</w:t>
      </w:r>
      <w:r>
        <w:rPr>
          <w:szCs w:val="24"/>
        </w:rPr>
        <w:t>a majority of</w:t>
      </w:r>
      <w:r w:rsidR="006F6B11">
        <w:rPr>
          <w:szCs w:val="24"/>
        </w:rPr>
        <w:t>’</w:t>
      </w:r>
      <w:r>
        <w:rPr>
          <w:szCs w:val="24"/>
        </w:rPr>
        <w:t xml:space="preserve"> to ensure that </w:t>
      </w:r>
      <w:r w:rsidR="009E5548">
        <w:rPr>
          <w:szCs w:val="24"/>
        </w:rPr>
        <w:t>the requisite threshold is any number of voters amounting to more than half of the voters at a meeting.</w:t>
      </w:r>
      <w:r w:rsidR="007F762A">
        <w:rPr>
          <w:szCs w:val="24"/>
        </w:rPr>
        <w:t xml:space="preserve"> </w:t>
      </w:r>
      <w:r w:rsidR="006B6B3F">
        <w:rPr>
          <w:szCs w:val="24"/>
        </w:rPr>
        <w:t xml:space="preserve">If the requirement </w:t>
      </w:r>
      <w:r w:rsidR="00361CF4">
        <w:rPr>
          <w:szCs w:val="24"/>
        </w:rPr>
        <w:t>remained at</w:t>
      </w:r>
      <w:r w:rsidR="006B6B3F">
        <w:rPr>
          <w:szCs w:val="24"/>
        </w:rPr>
        <w:t xml:space="preserve"> 50% of the number of creditors to vote in favour,</w:t>
      </w:r>
      <w:r w:rsidR="009E5548">
        <w:rPr>
          <w:szCs w:val="24"/>
        </w:rPr>
        <w:t xml:space="preserve"> no clear majority could be achieved and a requisite of 50% would only be satisfied in circumstances where exactly 50% and no more voted in the affirmative.</w:t>
      </w:r>
      <w:r w:rsidR="006B6B3F">
        <w:rPr>
          <w:szCs w:val="24"/>
        </w:rPr>
        <w:t xml:space="preserve"> </w:t>
      </w:r>
      <w:r w:rsidR="00CD5732">
        <w:rPr>
          <w:szCs w:val="24"/>
        </w:rPr>
        <w:t xml:space="preserve"> </w:t>
      </w:r>
    </w:p>
    <w:p w14:paraId="40B95881" w14:textId="0D6671E8" w:rsidR="00361CF4" w:rsidRPr="00361CF4" w:rsidRDefault="00361CF4" w:rsidP="00DA0CFD">
      <w:pPr>
        <w:spacing w:before="100" w:beforeAutospacing="1" w:after="100" w:afterAutospacing="1"/>
        <w:rPr>
          <w:i/>
          <w:szCs w:val="24"/>
        </w:rPr>
      </w:pPr>
      <w:r w:rsidRPr="00361CF4">
        <w:rPr>
          <w:i/>
          <w:szCs w:val="24"/>
        </w:rPr>
        <w:t xml:space="preserve">Item </w:t>
      </w:r>
      <w:r w:rsidR="00F422F4">
        <w:rPr>
          <w:i/>
          <w:szCs w:val="24"/>
        </w:rPr>
        <w:t>31</w:t>
      </w:r>
      <w:r w:rsidRPr="00361CF4">
        <w:rPr>
          <w:i/>
          <w:szCs w:val="24"/>
        </w:rPr>
        <w:t xml:space="preserve"> </w:t>
      </w:r>
      <w:r w:rsidR="00845472">
        <w:rPr>
          <w:i/>
          <w:szCs w:val="24"/>
        </w:rPr>
        <w:t>-</w:t>
      </w:r>
      <w:r w:rsidRPr="00361CF4">
        <w:rPr>
          <w:i/>
          <w:szCs w:val="24"/>
        </w:rPr>
        <w:t xml:space="preserve"> Paragraph 75-132(1</w:t>
      </w:r>
      <w:proofErr w:type="gramStart"/>
      <w:r w:rsidRPr="00361CF4">
        <w:rPr>
          <w:i/>
          <w:szCs w:val="24"/>
        </w:rPr>
        <w:t>)(</w:t>
      </w:r>
      <w:proofErr w:type="gramEnd"/>
      <w:r w:rsidRPr="00361CF4">
        <w:rPr>
          <w:i/>
          <w:szCs w:val="24"/>
        </w:rPr>
        <w:t>b)</w:t>
      </w:r>
    </w:p>
    <w:p w14:paraId="763CE255" w14:textId="1272318E" w:rsidR="007E6C5A" w:rsidRPr="007E6C5A" w:rsidRDefault="004A159F" w:rsidP="00DA0CFD">
      <w:pPr>
        <w:spacing w:before="100" w:beforeAutospacing="1" w:after="100" w:afterAutospacing="1"/>
      </w:pPr>
      <w:r>
        <w:rPr>
          <w:szCs w:val="24"/>
        </w:rPr>
        <w:t>Section</w:t>
      </w:r>
      <w:r w:rsidR="007E6C5A">
        <w:rPr>
          <w:szCs w:val="24"/>
        </w:rPr>
        <w:t xml:space="preserve"> 75-132 </w:t>
      </w:r>
      <w:r w:rsidR="009E5548">
        <w:rPr>
          <w:szCs w:val="24"/>
        </w:rPr>
        <w:t xml:space="preserve">of the Rules </w:t>
      </w:r>
      <w:r w:rsidR="007E6C5A">
        <w:rPr>
          <w:szCs w:val="24"/>
        </w:rPr>
        <w:t>provides that</w:t>
      </w:r>
      <w:r w:rsidR="007E6C5A" w:rsidRPr="001D17BB">
        <w:t xml:space="preserve"> a special resolution is passed</w:t>
      </w:r>
      <w:r w:rsidR="007E6C5A">
        <w:t xml:space="preserve"> at a meeting of creditors when 50% of creditors voting</w:t>
      </w:r>
      <w:r w:rsidR="0074159D">
        <w:t xml:space="preserve"> at the meeting</w:t>
      </w:r>
      <w:r w:rsidR="007E6C5A">
        <w:t xml:space="preserve"> vote in favour of the proposed resolution and </w:t>
      </w:r>
      <w:r w:rsidR="007E6C5A" w:rsidRPr="001D17BB">
        <w:t>75% in value</w:t>
      </w:r>
      <w:r w:rsidR="007E6C5A">
        <w:t xml:space="preserve"> of the creditors vote in </w:t>
      </w:r>
      <w:r w:rsidR="007E6C5A" w:rsidRPr="001D17BB">
        <w:t xml:space="preserve">favour of the proposed resolution. In any other case, the special resolution is not passed. </w:t>
      </w:r>
    </w:p>
    <w:p w14:paraId="3AA577A2" w14:textId="7CD9B90D" w:rsidR="00D15BE6" w:rsidRDefault="00D15BE6" w:rsidP="00DA0CFD">
      <w:pPr>
        <w:spacing w:before="100" w:beforeAutospacing="1" w:after="100" w:afterAutospacing="1"/>
        <w:rPr>
          <w:szCs w:val="24"/>
        </w:rPr>
      </w:pPr>
      <w:r w:rsidRPr="00D8471E">
        <w:rPr>
          <w:szCs w:val="24"/>
        </w:rPr>
        <w:t xml:space="preserve">Item </w:t>
      </w:r>
      <w:r w:rsidR="00F422F4">
        <w:rPr>
          <w:szCs w:val="24"/>
        </w:rPr>
        <w:t>31</w:t>
      </w:r>
      <w:r w:rsidR="004A159F">
        <w:rPr>
          <w:szCs w:val="24"/>
        </w:rPr>
        <w:t xml:space="preserve"> of Schedule 1</w:t>
      </w:r>
      <w:r w:rsidRPr="00D8471E">
        <w:rPr>
          <w:szCs w:val="24"/>
        </w:rPr>
        <w:t xml:space="preserve"> deletes the reference to </w:t>
      </w:r>
      <w:r w:rsidR="006F6B11">
        <w:rPr>
          <w:szCs w:val="24"/>
        </w:rPr>
        <w:t>‘</w:t>
      </w:r>
      <w:r w:rsidRPr="00D8471E">
        <w:rPr>
          <w:szCs w:val="24"/>
        </w:rPr>
        <w:t>75% in value</w:t>
      </w:r>
      <w:r w:rsidR="006F6B11">
        <w:rPr>
          <w:szCs w:val="24"/>
        </w:rPr>
        <w:t>’</w:t>
      </w:r>
      <w:r w:rsidR="00773EB1">
        <w:rPr>
          <w:szCs w:val="24"/>
        </w:rPr>
        <w:t xml:space="preserve"> in </w:t>
      </w:r>
      <w:r w:rsidR="00A62476">
        <w:rPr>
          <w:szCs w:val="24"/>
        </w:rPr>
        <w:t>p</w:t>
      </w:r>
      <w:r w:rsidR="00773EB1">
        <w:rPr>
          <w:szCs w:val="24"/>
        </w:rPr>
        <w:t>aragraph 75</w:t>
      </w:r>
      <w:r w:rsidR="0074159D">
        <w:rPr>
          <w:szCs w:val="24"/>
        </w:rPr>
        <w:noBreakHyphen/>
      </w:r>
      <w:proofErr w:type="gramStart"/>
      <w:r w:rsidR="00773EB1">
        <w:rPr>
          <w:szCs w:val="24"/>
        </w:rPr>
        <w:t>132(</w:t>
      </w:r>
      <w:proofErr w:type="gramEnd"/>
      <w:r w:rsidR="00773EB1">
        <w:rPr>
          <w:szCs w:val="24"/>
        </w:rPr>
        <w:t>1)(b</w:t>
      </w:r>
      <w:r w:rsidR="00773EB1" w:rsidRPr="00773EB1">
        <w:rPr>
          <w:szCs w:val="24"/>
        </w:rPr>
        <w:t>)</w:t>
      </w:r>
      <w:r w:rsidRPr="00D8471E">
        <w:rPr>
          <w:szCs w:val="24"/>
        </w:rPr>
        <w:t xml:space="preserve"> and replaces it with </w:t>
      </w:r>
      <w:r w:rsidR="006F6B11">
        <w:rPr>
          <w:szCs w:val="24"/>
        </w:rPr>
        <w:t>‘</w:t>
      </w:r>
      <w:r w:rsidRPr="00D8471E">
        <w:rPr>
          <w:szCs w:val="24"/>
        </w:rPr>
        <w:t>at least 75% in value</w:t>
      </w:r>
      <w:r w:rsidR="006F6B11">
        <w:rPr>
          <w:szCs w:val="24"/>
        </w:rPr>
        <w:t>’</w:t>
      </w:r>
      <w:r w:rsidRPr="00D8471E">
        <w:rPr>
          <w:szCs w:val="24"/>
        </w:rPr>
        <w:t xml:space="preserve"> to </w:t>
      </w:r>
      <w:r w:rsidR="007E6C5A">
        <w:rPr>
          <w:szCs w:val="24"/>
        </w:rPr>
        <w:t xml:space="preserve">ensure the percentage referenced in </w:t>
      </w:r>
      <w:r w:rsidR="00C57415">
        <w:rPr>
          <w:szCs w:val="24"/>
        </w:rPr>
        <w:t>that subsection is a</w:t>
      </w:r>
      <w:r w:rsidR="007E6C5A">
        <w:rPr>
          <w:szCs w:val="24"/>
        </w:rPr>
        <w:t xml:space="preserve"> minimum </w:t>
      </w:r>
      <w:r w:rsidR="0049404B">
        <w:rPr>
          <w:szCs w:val="24"/>
        </w:rPr>
        <w:t xml:space="preserve">amount. This will ensure that when calculating the value component of the </w:t>
      </w:r>
      <w:r w:rsidR="00100F4E">
        <w:rPr>
          <w:szCs w:val="24"/>
        </w:rPr>
        <w:t>Y</w:t>
      </w:r>
      <w:r w:rsidR="0049404B">
        <w:rPr>
          <w:szCs w:val="24"/>
        </w:rPr>
        <w:t>es votes, provided the total dollar value is a</w:t>
      </w:r>
      <w:r w:rsidR="0091054D">
        <w:rPr>
          <w:szCs w:val="24"/>
        </w:rPr>
        <w:t>t</w:t>
      </w:r>
      <w:r w:rsidR="0049404B">
        <w:rPr>
          <w:szCs w:val="24"/>
        </w:rPr>
        <w:t xml:space="preserve"> least 75% of the sum total of all monies owed to </w:t>
      </w:r>
      <w:r w:rsidR="007F762A">
        <w:rPr>
          <w:szCs w:val="24"/>
        </w:rPr>
        <w:t xml:space="preserve">the </w:t>
      </w:r>
      <w:r w:rsidR="0049404B">
        <w:rPr>
          <w:szCs w:val="24"/>
        </w:rPr>
        <w:t>creditors voting (in favour or not) at the meeting, this threshold will be met.</w:t>
      </w:r>
    </w:p>
    <w:p w14:paraId="78EB498E" w14:textId="102DC6C5" w:rsidR="00D15BE6" w:rsidRPr="00093906" w:rsidRDefault="00361CF4" w:rsidP="00394DE0">
      <w:pPr>
        <w:keepNext/>
        <w:spacing w:before="100" w:beforeAutospacing="1" w:after="100" w:afterAutospacing="1"/>
        <w:rPr>
          <w:i/>
          <w:szCs w:val="24"/>
        </w:rPr>
      </w:pPr>
      <w:r>
        <w:rPr>
          <w:i/>
          <w:szCs w:val="24"/>
        </w:rPr>
        <w:t>Item</w:t>
      </w:r>
      <w:r w:rsidR="00F422F4">
        <w:rPr>
          <w:i/>
          <w:szCs w:val="24"/>
        </w:rPr>
        <w:t xml:space="preserve"> 32</w:t>
      </w:r>
      <w:r>
        <w:rPr>
          <w:i/>
          <w:szCs w:val="24"/>
        </w:rPr>
        <w:t xml:space="preserve"> - </w:t>
      </w:r>
      <w:r w:rsidR="00D15BE6" w:rsidRPr="00093906">
        <w:rPr>
          <w:i/>
          <w:szCs w:val="24"/>
        </w:rPr>
        <w:t>Subsection 75-137(2)</w:t>
      </w:r>
    </w:p>
    <w:p w14:paraId="0F10212F" w14:textId="34087473" w:rsidR="007D3340" w:rsidRPr="007D3340" w:rsidRDefault="007D3340" w:rsidP="00394DE0">
      <w:pPr>
        <w:keepNext/>
        <w:spacing w:before="100" w:beforeAutospacing="1" w:after="100" w:afterAutospacing="1"/>
        <w:rPr>
          <w:szCs w:val="24"/>
        </w:rPr>
      </w:pPr>
      <w:r>
        <w:rPr>
          <w:szCs w:val="24"/>
        </w:rPr>
        <w:t xml:space="preserve">Section </w:t>
      </w:r>
      <w:r w:rsidRPr="008A1784">
        <w:rPr>
          <w:szCs w:val="24"/>
        </w:rPr>
        <w:t xml:space="preserve">75-40 of </w:t>
      </w:r>
      <w:r w:rsidR="006D4977">
        <w:rPr>
          <w:szCs w:val="24"/>
        </w:rPr>
        <w:t>Schedule 2 of the Act</w:t>
      </w:r>
      <w:r>
        <w:rPr>
          <w:szCs w:val="24"/>
        </w:rPr>
        <w:t xml:space="preserve"> provid</w:t>
      </w:r>
      <w:r w:rsidR="00933C11">
        <w:rPr>
          <w:szCs w:val="24"/>
        </w:rPr>
        <w:t xml:space="preserve">es that the </w:t>
      </w:r>
      <w:r w:rsidR="00933C11" w:rsidRPr="00933C11">
        <w:rPr>
          <w:szCs w:val="24"/>
        </w:rPr>
        <w:t>trustee of a regulated debtor’s estate may at any time put a proposal to the creditors by giving notice</w:t>
      </w:r>
      <w:r w:rsidR="006D4977">
        <w:rPr>
          <w:szCs w:val="24"/>
        </w:rPr>
        <w:t xml:space="preserve"> to them in writing</w:t>
      </w:r>
      <w:r w:rsidR="00933C11">
        <w:rPr>
          <w:szCs w:val="24"/>
        </w:rPr>
        <w:t>.</w:t>
      </w:r>
    </w:p>
    <w:p w14:paraId="672D18DA" w14:textId="472F35BA" w:rsidR="004A159F" w:rsidRPr="007D3340" w:rsidRDefault="00933C11" w:rsidP="00DA0CFD">
      <w:pPr>
        <w:spacing w:before="100" w:beforeAutospacing="1" w:after="100" w:afterAutospacing="1"/>
        <w:rPr>
          <w:szCs w:val="24"/>
        </w:rPr>
      </w:pPr>
      <w:r>
        <w:rPr>
          <w:szCs w:val="24"/>
        </w:rPr>
        <w:t>Paragraphs</w:t>
      </w:r>
      <w:r w:rsidR="004A159F" w:rsidRPr="006D4977">
        <w:rPr>
          <w:szCs w:val="24"/>
        </w:rPr>
        <w:t xml:space="preserve"> 75-40</w:t>
      </w:r>
      <w:r>
        <w:rPr>
          <w:szCs w:val="24"/>
        </w:rPr>
        <w:t>(5)(a) and (b)</w:t>
      </w:r>
      <w:r w:rsidR="004A159F" w:rsidRPr="006D4977">
        <w:rPr>
          <w:szCs w:val="24"/>
        </w:rPr>
        <w:t xml:space="preserve"> of </w:t>
      </w:r>
      <w:r w:rsidR="006D4977">
        <w:rPr>
          <w:szCs w:val="24"/>
        </w:rPr>
        <w:t xml:space="preserve">Schedule 2 to the Act </w:t>
      </w:r>
      <w:r w:rsidR="004A159F" w:rsidRPr="004A159F">
        <w:rPr>
          <w:szCs w:val="24"/>
        </w:rPr>
        <w:t>provide that</w:t>
      </w:r>
      <w:r>
        <w:rPr>
          <w:szCs w:val="24"/>
        </w:rPr>
        <w:t xml:space="preserve"> </w:t>
      </w:r>
      <w:r w:rsidR="004A159F" w:rsidRPr="007D3340">
        <w:rPr>
          <w:szCs w:val="24"/>
        </w:rPr>
        <w:t xml:space="preserve">the </w:t>
      </w:r>
      <w:r w:rsidR="006D4977">
        <w:rPr>
          <w:szCs w:val="24"/>
        </w:rPr>
        <w:t xml:space="preserve">Rules </w:t>
      </w:r>
      <w:r w:rsidR="004A159F" w:rsidRPr="007D3340">
        <w:rPr>
          <w:szCs w:val="24"/>
        </w:rPr>
        <w:t>may determine the circumstances in which a proposal is taken to be passed and whether a proposal is taken to be passed as a resolution or special resolution.</w:t>
      </w:r>
    </w:p>
    <w:p w14:paraId="5A048FC7" w14:textId="461D6904" w:rsidR="007D3340" w:rsidRPr="006D4977" w:rsidRDefault="00933C11" w:rsidP="00DA0CFD">
      <w:pPr>
        <w:spacing w:before="100" w:beforeAutospacing="1" w:after="100" w:afterAutospacing="1"/>
        <w:rPr>
          <w:sz w:val="22"/>
          <w:szCs w:val="22"/>
        </w:rPr>
      </w:pPr>
      <w:r>
        <w:rPr>
          <w:szCs w:val="24"/>
        </w:rPr>
        <w:t xml:space="preserve">Pursuant to these paragraphs, </w:t>
      </w:r>
      <w:r w:rsidR="006D5D18">
        <w:rPr>
          <w:szCs w:val="24"/>
        </w:rPr>
        <w:t>s</w:t>
      </w:r>
      <w:r w:rsidR="007D3340">
        <w:rPr>
          <w:szCs w:val="24"/>
        </w:rPr>
        <w:t>ubsection 75-137(2)</w:t>
      </w:r>
      <w:r w:rsidR="006D4977">
        <w:rPr>
          <w:szCs w:val="24"/>
        </w:rPr>
        <w:t xml:space="preserve"> of the Rules</w:t>
      </w:r>
      <w:r w:rsidR="007D3340">
        <w:rPr>
          <w:szCs w:val="24"/>
        </w:rPr>
        <w:t xml:space="preserve"> provides requirements that must be met for a special resolution to be passed by a </w:t>
      </w:r>
      <w:r w:rsidR="007D3340">
        <w:rPr>
          <w:sz w:val="22"/>
          <w:szCs w:val="22"/>
        </w:rPr>
        <w:t xml:space="preserve">proposal. </w:t>
      </w:r>
      <w:r>
        <w:rPr>
          <w:szCs w:val="24"/>
        </w:rPr>
        <w:t xml:space="preserve">This will allow a special resolution </w:t>
      </w:r>
      <w:r w:rsidR="006D4977">
        <w:rPr>
          <w:szCs w:val="24"/>
        </w:rPr>
        <w:t>to be</w:t>
      </w:r>
      <w:r>
        <w:rPr>
          <w:szCs w:val="24"/>
        </w:rPr>
        <w:t xml:space="preserve"> passed without a meeting of creditors.</w:t>
      </w:r>
    </w:p>
    <w:p w14:paraId="7571C644" w14:textId="159BC9FD" w:rsidR="00D15BE6" w:rsidRPr="006F129E" w:rsidRDefault="00D15BE6" w:rsidP="00DA0CFD">
      <w:pPr>
        <w:spacing w:before="100" w:beforeAutospacing="1" w:after="100" w:afterAutospacing="1"/>
        <w:rPr>
          <w:szCs w:val="24"/>
        </w:rPr>
      </w:pPr>
      <w:r>
        <w:rPr>
          <w:szCs w:val="24"/>
        </w:rPr>
        <w:t xml:space="preserve">Item </w:t>
      </w:r>
      <w:r w:rsidR="00F422F4">
        <w:rPr>
          <w:szCs w:val="24"/>
        </w:rPr>
        <w:t>32</w:t>
      </w:r>
      <w:r>
        <w:rPr>
          <w:szCs w:val="24"/>
        </w:rPr>
        <w:t xml:space="preserve"> </w:t>
      </w:r>
      <w:r w:rsidR="004A159F">
        <w:rPr>
          <w:szCs w:val="24"/>
        </w:rPr>
        <w:t>of Schedule 1</w:t>
      </w:r>
      <w:r w:rsidR="004A159F" w:rsidRPr="00D8471E">
        <w:rPr>
          <w:szCs w:val="24"/>
        </w:rPr>
        <w:t xml:space="preserve"> </w:t>
      </w:r>
      <w:r>
        <w:rPr>
          <w:szCs w:val="24"/>
        </w:rPr>
        <w:t xml:space="preserve">deletes the reference to </w:t>
      </w:r>
      <w:r w:rsidR="007F762A">
        <w:rPr>
          <w:szCs w:val="24"/>
        </w:rPr>
        <w:t>‘</w:t>
      </w:r>
      <w:r>
        <w:rPr>
          <w:szCs w:val="24"/>
        </w:rPr>
        <w:t>passed as a special resolution if</w:t>
      </w:r>
      <w:r w:rsidR="007F762A">
        <w:rPr>
          <w:szCs w:val="24"/>
        </w:rPr>
        <w:t>’</w:t>
      </w:r>
      <w:r>
        <w:rPr>
          <w:szCs w:val="24"/>
        </w:rPr>
        <w:t xml:space="preserve"> and replaces it with </w:t>
      </w:r>
      <w:r w:rsidR="007F762A">
        <w:rPr>
          <w:szCs w:val="24"/>
        </w:rPr>
        <w:t>‘</w:t>
      </w:r>
      <w:r>
        <w:rPr>
          <w:szCs w:val="24"/>
        </w:rPr>
        <w:t>taken to have been passed as a special resolution at a meeting of creditors if</w:t>
      </w:r>
      <w:r w:rsidR="007F762A">
        <w:rPr>
          <w:szCs w:val="24"/>
        </w:rPr>
        <w:t>’</w:t>
      </w:r>
      <w:r w:rsidR="00933C11">
        <w:rPr>
          <w:szCs w:val="24"/>
        </w:rPr>
        <w:t xml:space="preserve"> in </w:t>
      </w:r>
      <w:r w:rsidR="00773EB1">
        <w:rPr>
          <w:szCs w:val="24"/>
        </w:rPr>
        <w:t>s</w:t>
      </w:r>
      <w:r w:rsidR="00773EB1" w:rsidRPr="00773EB1">
        <w:rPr>
          <w:szCs w:val="24"/>
        </w:rPr>
        <w:t>ubsection 75-137(2)</w:t>
      </w:r>
      <w:r w:rsidRPr="006F129E">
        <w:rPr>
          <w:szCs w:val="24"/>
        </w:rPr>
        <w:t xml:space="preserve">. </w:t>
      </w:r>
      <w:r w:rsidR="00933C11">
        <w:rPr>
          <w:szCs w:val="24"/>
        </w:rPr>
        <w:t xml:space="preserve">This will ensure that </w:t>
      </w:r>
      <w:r w:rsidR="00773EB1">
        <w:rPr>
          <w:szCs w:val="24"/>
        </w:rPr>
        <w:t>s</w:t>
      </w:r>
      <w:r w:rsidR="00773EB1" w:rsidRPr="00773EB1">
        <w:rPr>
          <w:szCs w:val="24"/>
        </w:rPr>
        <w:t>ubsection 75</w:t>
      </w:r>
      <w:r w:rsidR="00E077BD">
        <w:rPr>
          <w:szCs w:val="24"/>
        </w:rPr>
        <w:noBreakHyphen/>
      </w:r>
      <w:proofErr w:type="gramStart"/>
      <w:r w:rsidR="00773EB1" w:rsidRPr="00773EB1">
        <w:rPr>
          <w:szCs w:val="24"/>
        </w:rPr>
        <w:t>137(</w:t>
      </w:r>
      <w:proofErr w:type="gramEnd"/>
      <w:r w:rsidR="00773EB1" w:rsidRPr="00773EB1">
        <w:rPr>
          <w:szCs w:val="24"/>
        </w:rPr>
        <w:t>2)</w:t>
      </w:r>
      <w:r w:rsidR="00E077BD">
        <w:rPr>
          <w:szCs w:val="24"/>
        </w:rPr>
        <w:t xml:space="preserve"> </w:t>
      </w:r>
      <w:r w:rsidRPr="006F129E">
        <w:rPr>
          <w:szCs w:val="24"/>
        </w:rPr>
        <w:t>expressly provide</w:t>
      </w:r>
      <w:r w:rsidR="00933C11">
        <w:rPr>
          <w:szCs w:val="24"/>
        </w:rPr>
        <w:t>s</w:t>
      </w:r>
      <w:r w:rsidRPr="006F129E">
        <w:rPr>
          <w:szCs w:val="24"/>
        </w:rPr>
        <w:t xml:space="preserve"> that the standing of these resolutions is the same as those passed at meetings of creditors. </w:t>
      </w:r>
    </w:p>
    <w:p w14:paraId="28D01E4F" w14:textId="4FCB6614" w:rsidR="00D15BE6" w:rsidRPr="006A7DF3" w:rsidRDefault="00361CF4" w:rsidP="00780E8D">
      <w:pPr>
        <w:keepNext/>
        <w:spacing w:before="100" w:beforeAutospacing="1" w:after="100" w:afterAutospacing="1"/>
        <w:rPr>
          <w:i/>
          <w:szCs w:val="24"/>
        </w:rPr>
      </w:pPr>
      <w:r>
        <w:rPr>
          <w:i/>
          <w:szCs w:val="24"/>
        </w:rPr>
        <w:t xml:space="preserve">Item </w:t>
      </w:r>
      <w:r w:rsidR="00F422F4">
        <w:rPr>
          <w:i/>
          <w:szCs w:val="24"/>
        </w:rPr>
        <w:t>33</w:t>
      </w:r>
      <w:r>
        <w:rPr>
          <w:i/>
          <w:szCs w:val="24"/>
        </w:rPr>
        <w:t xml:space="preserve"> - </w:t>
      </w:r>
      <w:r w:rsidR="00D15BE6" w:rsidRPr="006A7DF3">
        <w:rPr>
          <w:i/>
          <w:szCs w:val="24"/>
        </w:rPr>
        <w:t>Paragraph 75-137(2</w:t>
      </w:r>
      <w:proofErr w:type="gramStart"/>
      <w:r w:rsidR="00D15BE6" w:rsidRPr="006A7DF3">
        <w:rPr>
          <w:i/>
          <w:szCs w:val="24"/>
        </w:rPr>
        <w:t>)(</w:t>
      </w:r>
      <w:proofErr w:type="gramEnd"/>
      <w:r w:rsidR="00D15BE6" w:rsidRPr="006A7DF3">
        <w:rPr>
          <w:i/>
          <w:szCs w:val="24"/>
        </w:rPr>
        <w:t xml:space="preserve">a) </w:t>
      </w:r>
    </w:p>
    <w:p w14:paraId="7BA52BB5" w14:textId="31A5D3DD" w:rsidR="00933C11" w:rsidRPr="007D3340" w:rsidRDefault="00933C11" w:rsidP="00780E8D">
      <w:pPr>
        <w:keepNext/>
        <w:spacing w:before="100" w:beforeAutospacing="1" w:after="100" w:afterAutospacing="1"/>
        <w:rPr>
          <w:szCs w:val="24"/>
        </w:rPr>
      </w:pPr>
      <w:r>
        <w:rPr>
          <w:szCs w:val="24"/>
        </w:rPr>
        <w:t xml:space="preserve">Section </w:t>
      </w:r>
      <w:r w:rsidRPr="008A1784">
        <w:rPr>
          <w:szCs w:val="24"/>
        </w:rPr>
        <w:t xml:space="preserve">75-40 of </w:t>
      </w:r>
      <w:r w:rsidR="006D4977">
        <w:rPr>
          <w:szCs w:val="24"/>
        </w:rPr>
        <w:t>Schedule 2 of the Act</w:t>
      </w:r>
      <w:r>
        <w:rPr>
          <w:szCs w:val="24"/>
        </w:rPr>
        <w:t xml:space="preserve"> provides that the </w:t>
      </w:r>
      <w:r w:rsidRPr="00933C11">
        <w:rPr>
          <w:szCs w:val="24"/>
        </w:rPr>
        <w:t>trustee of a regulated debtor’s estate may at any time put a proposal to the creditors by giving notice</w:t>
      </w:r>
      <w:r>
        <w:rPr>
          <w:szCs w:val="24"/>
        </w:rPr>
        <w:t>.</w:t>
      </w:r>
    </w:p>
    <w:p w14:paraId="0A8AB61E" w14:textId="71594E85" w:rsidR="00933C11" w:rsidRPr="007D3340" w:rsidRDefault="00933C11" w:rsidP="00DA0CFD">
      <w:pPr>
        <w:spacing w:before="100" w:beforeAutospacing="1" w:after="100" w:afterAutospacing="1"/>
        <w:rPr>
          <w:szCs w:val="24"/>
        </w:rPr>
      </w:pPr>
      <w:r>
        <w:rPr>
          <w:szCs w:val="24"/>
        </w:rPr>
        <w:t>Paragraphs</w:t>
      </w:r>
      <w:r w:rsidRPr="008A1784">
        <w:rPr>
          <w:szCs w:val="24"/>
        </w:rPr>
        <w:t xml:space="preserve"> 75-40</w:t>
      </w:r>
      <w:r>
        <w:rPr>
          <w:szCs w:val="24"/>
        </w:rPr>
        <w:t>(5)(a) and (b)</w:t>
      </w:r>
      <w:r w:rsidRPr="008A1784">
        <w:rPr>
          <w:szCs w:val="24"/>
        </w:rPr>
        <w:t xml:space="preserve"> of </w:t>
      </w:r>
      <w:r w:rsidR="006D4977">
        <w:rPr>
          <w:szCs w:val="24"/>
        </w:rPr>
        <w:t>Schedule 2 of the Act</w:t>
      </w:r>
      <w:r>
        <w:rPr>
          <w:szCs w:val="24"/>
        </w:rPr>
        <w:t xml:space="preserve"> </w:t>
      </w:r>
      <w:r w:rsidRPr="004A159F">
        <w:rPr>
          <w:szCs w:val="24"/>
        </w:rPr>
        <w:t>provide that</w:t>
      </w:r>
      <w:r>
        <w:rPr>
          <w:szCs w:val="24"/>
        </w:rPr>
        <w:t xml:space="preserve"> </w:t>
      </w:r>
      <w:r w:rsidRPr="006D4977">
        <w:rPr>
          <w:szCs w:val="24"/>
        </w:rPr>
        <w:t xml:space="preserve">the </w:t>
      </w:r>
      <w:r w:rsidR="006D4977" w:rsidRPr="006D4977">
        <w:rPr>
          <w:szCs w:val="24"/>
        </w:rPr>
        <w:t>Rules</w:t>
      </w:r>
      <w:r w:rsidRPr="007D3340">
        <w:rPr>
          <w:szCs w:val="24"/>
        </w:rPr>
        <w:t xml:space="preserve"> may determine the circumstances in which a proposal is taken to be passed and whether a proposal is taken to be passed as a resolution or special resolution.</w:t>
      </w:r>
    </w:p>
    <w:p w14:paraId="7001CC9A" w14:textId="104E4FC7" w:rsidR="00933C11" w:rsidRPr="006D4977" w:rsidRDefault="006D5D18" w:rsidP="00DA0CFD">
      <w:pPr>
        <w:spacing w:before="100" w:beforeAutospacing="1" w:after="100" w:afterAutospacing="1"/>
        <w:rPr>
          <w:sz w:val="22"/>
          <w:szCs w:val="22"/>
        </w:rPr>
      </w:pPr>
      <w:r>
        <w:rPr>
          <w:szCs w:val="24"/>
        </w:rPr>
        <w:t>Pursuant to these paragraphs, s</w:t>
      </w:r>
      <w:r w:rsidR="00933C11">
        <w:rPr>
          <w:szCs w:val="24"/>
        </w:rPr>
        <w:t>ubsection 75-137(2)</w:t>
      </w:r>
      <w:r w:rsidR="006D4977">
        <w:rPr>
          <w:szCs w:val="24"/>
        </w:rPr>
        <w:t xml:space="preserve"> of the Rules</w:t>
      </w:r>
      <w:r w:rsidR="00933C11">
        <w:rPr>
          <w:szCs w:val="24"/>
        </w:rPr>
        <w:t xml:space="preserve"> provides requirements that must be met for a special resolution to be passed by a </w:t>
      </w:r>
      <w:r w:rsidR="00933C11">
        <w:rPr>
          <w:sz w:val="22"/>
          <w:szCs w:val="22"/>
        </w:rPr>
        <w:t xml:space="preserve">proposal. </w:t>
      </w:r>
      <w:r w:rsidR="00773EB1">
        <w:rPr>
          <w:szCs w:val="24"/>
        </w:rPr>
        <w:t xml:space="preserve">This </w:t>
      </w:r>
      <w:r w:rsidR="00933C11">
        <w:rPr>
          <w:szCs w:val="24"/>
        </w:rPr>
        <w:t>allow</w:t>
      </w:r>
      <w:r w:rsidR="00773EB1">
        <w:rPr>
          <w:szCs w:val="24"/>
        </w:rPr>
        <w:t xml:space="preserve">s a special resolution to be </w:t>
      </w:r>
      <w:r w:rsidR="00933C11">
        <w:rPr>
          <w:szCs w:val="24"/>
        </w:rPr>
        <w:t>passed without a meeting of creditors.</w:t>
      </w:r>
      <w:r w:rsidR="00773EB1">
        <w:rPr>
          <w:szCs w:val="24"/>
        </w:rPr>
        <w:t xml:space="preserve"> Pursuant to paragraph</w:t>
      </w:r>
      <w:r w:rsidR="00773EB1" w:rsidRPr="00773EB1">
        <w:rPr>
          <w:szCs w:val="24"/>
        </w:rPr>
        <w:t xml:space="preserve"> 75-137(2</w:t>
      </w:r>
      <w:proofErr w:type="gramStart"/>
      <w:r w:rsidR="00773EB1" w:rsidRPr="00773EB1">
        <w:rPr>
          <w:szCs w:val="24"/>
        </w:rPr>
        <w:t>)(</w:t>
      </w:r>
      <w:proofErr w:type="gramEnd"/>
      <w:r w:rsidR="00773EB1" w:rsidRPr="00773EB1">
        <w:rPr>
          <w:szCs w:val="24"/>
        </w:rPr>
        <w:t>a)</w:t>
      </w:r>
      <w:r w:rsidR="00DB7AA0">
        <w:rPr>
          <w:szCs w:val="24"/>
        </w:rPr>
        <w:t>,</w:t>
      </w:r>
      <w:r w:rsidR="00773EB1">
        <w:rPr>
          <w:szCs w:val="24"/>
        </w:rPr>
        <w:t xml:space="preserve"> one of the requirements for a special resolution to be passed by a proposal is for </w:t>
      </w:r>
      <w:r w:rsidR="00773EB1" w:rsidRPr="00773EB1">
        <w:rPr>
          <w:szCs w:val="24"/>
        </w:rPr>
        <w:t xml:space="preserve">50% of </w:t>
      </w:r>
      <w:r w:rsidR="00773EB1">
        <w:rPr>
          <w:szCs w:val="24"/>
        </w:rPr>
        <w:t>creditors that respond to the notice in the specified time to vote Yes.</w:t>
      </w:r>
    </w:p>
    <w:p w14:paraId="49151A1B" w14:textId="0FC1F419" w:rsidR="005F7116" w:rsidRDefault="00D15BE6" w:rsidP="005F7116">
      <w:pPr>
        <w:spacing w:before="100" w:beforeAutospacing="1" w:after="100" w:afterAutospacing="1"/>
        <w:rPr>
          <w:szCs w:val="24"/>
        </w:rPr>
      </w:pPr>
      <w:r>
        <w:rPr>
          <w:szCs w:val="24"/>
        </w:rPr>
        <w:t xml:space="preserve">Item </w:t>
      </w:r>
      <w:r w:rsidR="00F422F4">
        <w:rPr>
          <w:szCs w:val="24"/>
        </w:rPr>
        <w:t>33</w:t>
      </w:r>
      <w:r>
        <w:rPr>
          <w:szCs w:val="24"/>
        </w:rPr>
        <w:t xml:space="preserve"> </w:t>
      </w:r>
      <w:r w:rsidR="00933C11">
        <w:rPr>
          <w:szCs w:val="24"/>
        </w:rPr>
        <w:t xml:space="preserve">of Schedule 1 </w:t>
      </w:r>
      <w:r>
        <w:rPr>
          <w:szCs w:val="24"/>
        </w:rPr>
        <w:t xml:space="preserve">deletes the reference to </w:t>
      </w:r>
      <w:r w:rsidR="006F6B11">
        <w:rPr>
          <w:szCs w:val="24"/>
        </w:rPr>
        <w:t>‘</w:t>
      </w:r>
      <w:r>
        <w:rPr>
          <w:szCs w:val="24"/>
        </w:rPr>
        <w:t>50% of</w:t>
      </w:r>
      <w:r w:rsidR="006F6B11">
        <w:rPr>
          <w:szCs w:val="24"/>
        </w:rPr>
        <w:t>’</w:t>
      </w:r>
      <w:r w:rsidR="00773EB1">
        <w:rPr>
          <w:szCs w:val="24"/>
        </w:rPr>
        <w:t xml:space="preserve"> in paragraph</w:t>
      </w:r>
      <w:r w:rsidR="00773EB1" w:rsidRPr="00773EB1">
        <w:rPr>
          <w:szCs w:val="24"/>
        </w:rPr>
        <w:t xml:space="preserve"> 75-137(2)(a) </w:t>
      </w:r>
      <w:r>
        <w:rPr>
          <w:szCs w:val="24"/>
        </w:rPr>
        <w:t xml:space="preserve"> and replaces it with </w:t>
      </w:r>
      <w:r w:rsidR="006F6B11">
        <w:rPr>
          <w:szCs w:val="24"/>
        </w:rPr>
        <w:t>‘</w:t>
      </w:r>
      <w:r>
        <w:rPr>
          <w:szCs w:val="24"/>
        </w:rPr>
        <w:t>a majority of</w:t>
      </w:r>
      <w:r w:rsidR="006F6B11">
        <w:rPr>
          <w:szCs w:val="24"/>
        </w:rPr>
        <w:t>’</w:t>
      </w:r>
      <w:r w:rsidR="00933C11">
        <w:rPr>
          <w:szCs w:val="24"/>
        </w:rPr>
        <w:t xml:space="preserve"> </w:t>
      </w:r>
      <w:r w:rsidR="00DB7AA0">
        <w:rPr>
          <w:szCs w:val="24"/>
        </w:rPr>
        <w:t xml:space="preserve">to ensure that the requisite threshold is any number of </w:t>
      </w:r>
      <w:r w:rsidR="005F7116">
        <w:rPr>
          <w:szCs w:val="24"/>
        </w:rPr>
        <w:t>creditors that amounts to more than half of the creditors responding to a notice in the specified time voting Yes.</w:t>
      </w:r>
      <w:r w:rsidR="005F7116" w:rsidRPr="005F7116">
        <w:rPr>
          <w:szCs w:val="24"/>
        </w:rPr>
        <w:t xml:space="preserve"> </w:t>
      </w:r>
      <w:r w:rsidR="005F7116">
        <w:rPr>
          <w:szCs w:val="24"/>
        </w:rPr>
        <w:t>The purpose of this amendment is to ensure that there is a clear majority of Yes votes required from creditors for a proposal to be passed as a special resolution pursuant to section 75-137</w:t>
      </w:r>
      <w:r w:rsidR="006F6B11">
        <w:rPr>
          <w:szCs w:val="24"/>
        </w:rPr>
        <w:t xml:space="preserve"> of the Rules</w:t>
      </w:r>
      <w:r w:rsidR="005F7116">
        <w:rPr>
          <w:szCs w:val="24"/>
        </w:rPr>
        <w:t>.</w:t>
      </w:r>
    </w:p>
    <w:p w14:paraId="53277D10" w14:textId="479D1DF6" w:rsidR="00D15BE6" w:rsidRDefault="00DB7AA0" w:rsidP="00DA0CFD">
      <w:pPr>
        <w:spacing w:before="100" w:beforeAutospacing="1" w:after="100" w:afterAutospacing="1"/>
        <w:rPr>
          <w:szCs w:val="24"/>
        </w:rPr>
      </w:pPr>
      <w:r>
        <w:rPr>
          <w:szCs w:val="24"/>
        </w:rPr>
        <w:t>If the requirement remained 50% of the number of creditors to vote in favour, no clear majority could be achieved and a requisite of 50% would only be satisfied in circumstances where exactly 50% and no more voted in the affirmative.</w:t>
      </w:r>
      <w:r w:rsidR="00D15BE6">
        <w:rPr>
          <w:szCs w:val="24"/>
        </w:rPr>
        <w:t xml:space="preserve">  </w:t>
      </w:r>
    </w:p>
    <w:p w14:paraId="1F7052F7" w14:textId="719331F8" w:rsidR="00361CF4" w:rsidRPr="006A7DF3" w:rsidRDefault="00361CF4" w:rsidP="00394DE0">
      <w:pPr>
        <w:keepNext/>
        <w:spacing w:before="100" w:beforeAutospacing="1" w:after="100" w:afterAutospacing="1"/>
        <w:rPr>
          <w:i/>
          <w:szCs w:val="24"/>
        </w:rPr>
      </w:pPr>
      <w:r>
        <w:rPr>
          <w:i/>
          <w:szCs w:val="24"/>
        </w:rPr>
        <w:t xml:space="preserve">Item </w:t>
      </w:r>
      <w:r w:rsidR="00F422F4">
        <w:rPr>
          <w:i/>
          <w:szCs w:val="24"/>
        </w:rPr>
        <w:t>34</w:t>
      </w:r>
      <w:r>
        <w:rPr>
          <w:i/>
          <w:szCs w:val="24"/>
        </w:rPr>
        <w:t xml:space="preserve"> </w:t>
      </w:r>
      <w:r w:rsidR="00845472">
        <w:rPr>
          <w:i/>
          <w:szCs w:val="24"/>
        </w:rPr>
        <w:t>-</w:t>
      </w:r>
      <w:r>
        <w:rPr>
          <w:i/>
          <w:szCs w:val="24"/>
        </w:rPr>
        <w:t xml:space="preserve"> </w:t>
      </w:r>
      <w:r w:rsidR="00773EB1">
        <w:rPr>
          <w:i/>
          <w:szCs w:val="24"/>
        </w:rPr>
        <w:t xml:space="preserve">Paragraph </w:t>
      </w:r>
      <w:r w:rsidRPr="006A7DF3">
        <w:rPr>
          <w:i/>
          <w:szCs w:val="24"/>
        </w:rPr>
        <w:t>75-137(2</w:t>
      </w:r>
      <w:proofErr w:type="gramStart"/>
      <w:r w:rsidRPr="006A7DF3">
        <w:rPr>
          <w:i/>
          <w:szCs w:val="24"/>
        </w:rPr>
        <w:t>)(</w:t>
      </w:r>
      <w:proofErr w:type="gramEnd"/>
      <w:r w:rsidRPr="006A7DF3">
        <w:rPr>
          <w:i/>
          <w:szCs w:val="24"/>
        </w:rPr>
        <w:t>b)</w:t>
      </w:r>
    </w:p>
    <w:p w14:paraId="65BA45F4" w14:textId="427C4FDC" w:rsidR="00773EB1" w:rsidRPr="007D3340" w:rsidRDefault="00773EB1" w:rsidP="00394DE0">
      <w:pPr>
        <w:keepNext/>
        <w:spacing w:before="100" w:beforeAutospacing="1" w:after="100" w:afterAutospacing="1"/>
        <w:rPr>
          <w:szCs w:val="24"/>
        </w:rPr>
      </w:pPr>
      <w:r>
        <w:rPr>
          <w:szCs w:val="24"/>
        </w:rPr>
        <w:t xml:space="preserve">Section </w:t>
      </w:r>
      <w:r w:rsidRPr="008A1784">
        <w:rPr>
          <w:szCs w:val="24"/>
        </w:rPr>
        <w:t xml:space="preserve">75-40 of </w:t>
      </w:r>
      <w:r w:rsidR="006D4977">
        <w:rPr>
          <w:szCs w:val="24"/>
        </w:rPr>
        <w:t>Schedule 2 of the Act</w:t>
      </w:r>
      <w:r>
        <w:rPr>
          <w:szCs w:val="24"/>
        </w:rPr>
        <w:t xml:space="preserve"> provides that the </w:t>
      </w:r>
      <w:r w:rsidRPr="00933C11">
        <w:rPr>
          <w:szCs w:val="24"/>
        </w:rPr>
        <w:t>trustee of a regulated debtor’s estate may at any time put a proposal to the creditors by giving notice</w:t>
      </w:r>
      <w:r>
        <w:rPr>
          <w:szCs w:val="24"/>
        </w:rPr>
        <w:t>.</w:t>
      </w:r>
    </w:p>
    <w:p w14:paraId="361A7C61" w14:textId="04FC029C" w:rsidR="00773EB1" w:rsidRPr="007D3340" w:rsidRDefault="00773EB1" w:rsidP="00DA0CFD">
      <w:pPr>
        <w:spacing w:before="100" w:beforeAutospacing="1" w:after="100" w:afterAutospacing="1"/>
        <w:rPr>
          <w:szCs w:val="24"/>
        </w:rPr>
      </w:pPr>
      <w:r>
        <w:rPr>
          <w:szCs w:val="24"/>
        </w:rPr>
        <w:t>Paragraphs</w:t>
      </w:r>
      <w:r w:rsidRPr="008A1784">
        <w:rPr>
          <w:szCs w:val="24"/>
        </w:rPr>
        <w:t xml:space="preserve"> 75-40</w:t>
      </w:r>
      <w:r>
        <w:rPr>
          <w:szCs w:val="24"/>
        </w:rPr>
        <w:t>(5)(a) and (b)</w:t>
      </w:r>
      <w:r w:rsidRPr="008A1784">
        <w:rPr>
          <w:szCs w:val="24"/>
        </w:rPr>
        <w:t xml:space="preserve"> of </w:t>
      </w:r>
      <w:r w:rsidR="006D4977">
        <w:rPr>
          <w:szCs w:val="24"/>
        </w:rPr>
        <w:t>Schedule 2 of the Act</w:t>
      </w:r>
      <w:r>
        <w:rPr>
          <w:szCs w:val="24"/>
        </w:rPr>
        <w:t xml:space="preserve"> </w:t>
      </w:r>
      <w:r w:rsidRPr="004A159F">
        <w:rPr>
          <w:szCs w:val="24"/>
        </w:rPr>
        <w:t>provide that</w:t>
      </w:r>
      <w:r>
        <w:rPr>
          <w:szCs w:val="24"/>
        </w:rPr>
        <w:t xml:space="preserve"> </w:t>
      </w:r>
      <w:r w:rsidRPr="006D4977">
        <w:rPr>
          <w:szCs w:val="24"/>
        </w:rPr>
        <w:t xml:space="preserve">the </w:t>
      </w:r>
      <w:r w:rsidR="006D4977" w:rsidRPr="006D4977">
        <w:rPr>
          <w:szCs w:val="24"/>
        </w:rPr>
        <w:t xml:space="preserve">Rules </w:t>
      </w:r>
      <w:r w:rsidRPr="006D4977">
        <w:rPr>
          <w:szCs w:val="24"/>
        </w:rPr>
        <w:t>may</w:t>
      </w:r>
      <w:r w:rsidRPr="007D3340">
        <w:rPr>
          <w:szCs w:val="24"/>
        </w:rPr>
        <w:t xml:space="preserve"> determine the circumstances in which a proposal is taken to be passed and whether a proposal is taken to be passed as a resolution or special resolution.</w:t>
      </w:r>
    </w:p>
    <w:p w14:paraId="399D61B6" w14:textId="508D9E33" w:rsidR="00773EB1" w:rsidRPr="00E22D36" w:rsidRDefault="006D5D18" w:rsidP="00DA0CFD">
      <w:pPr>
        <w:spacing w:before="100" w:beforeAutospacing="1" w:after="100" w:afterAutospacing="1"/>
        <w:rPr>
          <w:sz w:val="22"/>
          <w:szCs w:val="22"/>
        </w:rPr>
      </w:pPr>
      <w:r>
        <w:rPr>
          <w:szCs w:val="24"/>
        </w:rPr>
        <w:t>Pursuant to these paragraphs, s</w:t>
      </w:r>
      <w:r w:rsidR="00773EB1">
        <w:rPr>
          <w:szCs w:val="24"/>
        </w:rPr>
        <w:t xml:space="preserve">ubsection 75-137(2) </w:t>
      </w:r>
      <w:r w:rsidR="006D4977">
        <w:rPr>
          <w:szCs w:val="24"/>
        </w:rPr>
        <w:t xml:space="preserve">of the Rules </w:t>
      </w:r>
      <w:r w:rsidR="00773EB1">
        <w:rPr>
          <w:szCs w:val="24"/>
        </w:rPr>
        <w:t xml:space="preserve">provides requirements that must be met for a special resolution to be passed by a </w:t>
      </w:r>
      <w:r w:rsidR="00773EB1">
        <w:rPr>
          <w:sz w:val="22"/>
          <w:szCs w:val="22"/>
        </w:rPr>
        <w:t xml:space="preserve">proposal. </w:t>
      </w:r>
      <w:r w:rsidR="00773EB1">
        <w:rPr>
          <w:szCs w:val="24"/>
        </w:rPr>
        <w:t>This allows a special resolution to be passed without a meeting of creditors. Pursuant to paragraph 75-137(2</w:t>
      </w:r>
      <w:proofErr w:type="gramStart"/>
      <w:r w:rsidR="00773EB1">
        <w:rPr>
          <w:szCs w:val="24"/>
        </w:rPr>
        <w:t>)(</w:t>
      </w:r>
      <w:proofErr w:type="gramEnd"/>
      <w:r w:rsidR="00773EB1">
        <w:rPr>
          <w:szCs w:val="24"/>
        </w:rPr>
        <w:t>b</w:t>
      </w:r>
      <w:r w:rsidR="00773EB1" w:rsidRPr="00773EB1">
        <w:rPr>
          <w:szCs w:val="24"/>
        </w:rPr>
        <w:t>)</w:t>
      </w:r>
      <w:r w:rsidR="005F7116">
        <w:rPr>
          <w:szCs w:val="24"/>
        </w:rPr>
        <w:t>,</w:t>
      </w:r>
      <w:r w:rsidR="00773EB1">
        <w:rPr>
          <w:szCs w:val="24"/>
        </w:rPr>
        <w:t xml:space="preserve"> one of the requirements for a special resolution to be passed by a proposal is for 75</w:t>
      </w:r>
      <w:r w:rsidR="00773EB1" w:rsidRPr="00773EB1">
        <w:rPr>
          <w:szCs w:val="24"/>
        </w:rPr>
        <w:t xml:space="preserve">% </w:t>
      </w:r>
      <w:r>
        <w:rPr>
          <w:szCs w:val="24"/>
        </w:rPr>
        <w:t xml:space="preserve">in value </w:t>
      </w:r>
      <w:r w:rsidR="00773EB1" w:rsidRPr="00773EB1">
        <w:rPr>
          <w:szCs w:val="24"/>
        </w:rPr>
        <w:t xml:space="preserve">of </w:t>
      </w:r>
      <w:r w:rsidR="00773EB1">
        <w:rPr>
          <w:szCs w:val="24"/>
        </w:rPr>
        <w:t>creditors that respond to the notice to vote Yes.</w:t>
      </w:r>
    </w:p>
    <w:p w14:paraId="289B34F4" w14:textId="36F0DB80" w:rsidR="005F7116" w:rsidRDefault="00D15BE6" w:rsidP="005F7116">
      <w:pPr>
        <w:spacing w:before="100" w:beforeAutospacing="1" w:after="100" w:afterAutospacing="1"/>
        <w:rPr>
          <w:szCs w:val="24"/>
        </w:rPr>
      </w:pPr>
      <w:r w:rsidRPr="00D8471E">
        <w:rPr>
          <w:szCs w:val="24"/>
        </w:rPr>
        <w:t xml:space="preserve">Item </w:t>
      </w:r>
      <w:r w:rsidR="00F422F4">
        <w:rPr>
          <w:szCs w:val="24"/>
        </w:rPr>
        <w:t>34</w:t>
      </w:r>
      <w:r w:rsidRPr="00D8471E">
        <w:rPr>
          <w:szCs w:val="24"/>
        </w:rPr>
        <w:t xml:space="preserve"> </w:t>
      </w:r>
      <w:r w:rsidR="006D5D18">
        <w:rPr>
          <w:szCs w:val="24"/>
        </w:rPr>
        <w:t xml:space="preserve">of Schedule 1 </w:t>
      </w:r>
      <w:r w:rsidRPr="00D8471E">
        <w:rPr>
          <w:szCs w:val="24"/>
        </w:rPr>
        <w:t xml:space="preserve">deletes the reference to </w:t>
      </w:r>
      <w:r w:rsidR="006F6B11">
        <w:rPr>
          <w:szCs w:val="24"/>
        </w:rPr>
        <w:t>‘</w:t>
      </w:r>
      <w:r w:rsidRPr="00D8471E">
        <w:rPr>
          <w:szCs w:val="24"/>
        </w:rPr>
        <w:t>75% in value</w:t>
      </w:r>
      <w:r w:rsidR="006F6B11">
        <w:rPr>
          <w:szCs w:val="24"/>
        </w:rPr>
        <w:t>’</w:t>
      </w:r>
      <w:r w:rsidRPr="00D8471E">
        <w:rPr>
          <w:szCs w:val="24"/>
        </w:rPr>
        <w:t xml:space="preserve"> and replaces it with </w:t>
      </w:r>
      <w:r w:rsidR="006F6B11">
        <w:rPr>
          <w:szCs w:val="24"/>
        </w:rPr>
        <w:t>‘</w:t>
      </w:r>
      <w:r w:rsidRPr="00D8471E">
        <w:rPr>
          <w:szCs w:val="24"/>
        </w:rPr>
        <w:t>at least 75% in value</w:t>
      </w:r>
      <w:r w:rsidR="006F6B11">
        <w:rPr>
          <w:szCs w:val="24"/>
        </w:rPr>
        <w:t>’</w:t>
      </w:r>
      <w:r w:rsidRPr="00D8471E">
        <w:rPr>
          <w:szCs w:val="24"/>
        </w:rPr>
        <w:t xml:space="preserve"> </w:t>
      </w:r>
      <w:r w:rsidR="00773EB1">
        <w:rPr>
          <w:szCs w:val="24"/>
        </w:rPr>
        <w:t xml:space="preserve">to ensure the percentage referenced in </w:t>
      </w:r>
      <w:r w:rsidR="00C57415">
        <w:rPr>
          <w:szCs w:val="24"/>
        </w:rPr>
        <w:t>that subsection is a</w:t>
      </w:r>
      <w:r w:rsidR="00773EB1">
        <w:rPr>
          <w:szCs w:val="24"/>
        </w:rPr>
        <w:t xml:space="preserve"> minimum requirement</w:t>
      </w:r>
      <w:r w:rsidR="00773EB1" w:rsidRPr="003F416A">
        <w:rPr>
          <w:szCs w:val="24"/>
        </w:rPr>
        <w:t>.</w:t>
      </w:r>
      <w:r w:rsidR="005F7116" w:rsidRPr="005F7116">
        <w:rPr>
          <w:szCs w:val="24"/>
        </w:rPr>
        <w:t xml:space="preserve"> </w:t>
      </w:r>
      <w:r w:rsidR="005F7116">
        <w:rPr>
          <w:szCs w:val="24"/>
        </w:rPr>
        <w:t xml:space="preserve">This will ensure that when calculating the value component of the </w:t>
      </w:r>
      <w:r w:rsidR="00100F4E">
        <w:rPr>
          <w:szCs w:val="24"/>
        </w:rPr>
        <w:t>Y</w:t>
      </w:r>
      <w:r w:rsidR="005F7116">
        <w:rPr>
          <w:szCs w:val="24"/>
        </w:rPr>
        <w:t>es votes, provided the total dollar value is a least 75% of the sum total of all monies owed to creditors voting (in favour or not) at the meeting, this threshold will be met.</w:t>
      </w:r>
    </w:p>
    <w:p w14:paraId="677EFE66" w14:textId="47DD1610" w:rsidR="00D15BE6" w:rsidRPr="006A7DF3" w:rsidRDefault="00361CF4" w:rsidP="00DA0CFD">
      <w:pPr>
        <w:spacing w:before="100" w:beforeAutospacing="1" w:after="100" w:afterAutospacing="1"/>
        <w:rPr>
          <w:i/>
          <w:szCs w:val="24"/>
        </w:rPr>
      </w:pPr>
      <w:r>
        <w:rPr>
          <w:i/>
          <w:szCs w:val="24"/>
        </w:rPr>
        <w:t xml:space="preserve">Item </w:t>
      </w:r>
      <w:r w:rsidR="00F422F4">
        <w:rPr>
          <w:i/>
          <w:szCs w:val="24"/>
        </w:rPr>
        <w:t>35</w:t>
      </w:r>
      <w:r>
        <w:rPr>
          <w:i/>
          <w:szCs w:val="24"/>
        </w:rPr>
        <w:t xml:space="preserve"> - </w:t>
      </w:r>
      <w:r w:rsidR="00D15BE6" w:rsidRPr="006A7DF3">
        <w:rPr>
          <w:i/>
          <w:szCs w:val="24"/>
        </w:rPr>
        <w:t>Paragraph 75-137(2</w:t>
      </w:r>
      <w:proofErr w:type="gramStart"/>
      <w:r w:rsidR="00D15BE6" w:rsidRPr="006A7DF3">
        <w:rPr>
          <w:i/>
          <w:szCs w:val="24"/>
        </w:rPr>
        <w:t>)(</w:t>
      </w:r>
      <w:proofErr w:type="gramEnd"/>
      <w:r w:rsidR="00D15BE6" w:rsidRPr="006A7DF3">
        <w:rPr>
          <w:i/>
          <w:szCs w:val="24"/>
        </w:rPr>
        <w:t>c)</w:t>
      </w:r>
    </w:p>
    <w:p w14:paraId="3EA73022" w14:textId="24655A12" w:rsidR="006D5D18" w:rsidRPr="007D3340" w:rsidRDefault="006D5D18" w:rsidP="00DA0CFD">
      <w:pPr>
        <w:spacing w:before="100" w:beforeAutospacing="1" w:after="100" w:afterAutospacing="1"/>
        <w:rPr>
          <w:szCs w:val="24"/>
        </w:rPr>
      </w:pPr>
      <w:r>
        <w:rPr>
          <w:szCs w:val="24"/>
        </w:rPr>
        <w:t xml:space="preserve">Section </w:t>
      </w:r>
      <w:r w:rsidRPr="008A1784">
        <w:rPr>
          <w:szCs w:val="24"/>
        </w:rPr>
        <w:t xml:space="preserve">75-40 of </w:t>
      </w:r>
      <w:r w:rsidR="00E22D36">
        <w:rPr>
          <w:szCs w:val="24"/>
        </w:rPr>
        <w:t>Schedule 2 of the Act</w:t>
      </w:r>
      <w:r>
        <w:rPr>
          <w:szCs w:val="24"/>
        </w:rPr>
        <w:t xml:space="preserve"> provides that the </w:t>
      </w:r>
      <w:r w:rsidRPr="00933C11">
        <w:rPr>
          <w:szCs w:val="24"/>
        </w:rPr>
        <w:t>trustee of a regulated debtor’s estate may</w:t>
      </w:r>
      <w:r w:rsidR="0008552E">
        <w:rPr>
          <w:szCs w:val="24"/>
        </w:rPr>
        <w:t>,</w:t>
      </w:r>
      <w:r w:rsidRPr="00933C11">
        <w:rPr>
          <w:szCs w:val="24"/>
        </w:rPr>
        <w:t xml:space="preserve"> at any time</w:t>
      </w:r>
      <w:r w:rsidR="0008552E">
        <w:rPr>
          <w:szCs w:val="24"/>
        </w:rPr>
        <w:t>,</w:t>
      </w:r>
      <w:r w:rsidRPr="00933C11">
        <w:rPr>
          <w:szCs w:val="24"/>
        </w:rPr>
        <w:t xml:space="preserve"> put a proposal to the creditors by giving notice</w:t>
      </w:r>
      <w:r>
        <w:rPr>
          <w:szCs w:val="24"/>
        </w:rPr>
        <w:t>.</w:t>
      </w:r>
    </w:p>
    <w:p w14:paraId="2EEE5AB3" w14:textId="257B8E64" w:rsidR="006D5D18" w:rsidRPr="007D3340" w:rsidRDefault="006D5D18" w:rsidP="00DA0CFD">
      <w:pPr>
        <w:spacing w:before="100" w:beforeAutospacing="1" w:after="100" w:afterAutospacing="1"/>
        <w:rPr>
          <w:szCs w:val="24"/>
        </w:rPr>
      </w:pPr>
      <w:r>
        <w:rPr>
          <w:szCs w:val="24"/>
        </w:rPr>
        <w:t>Paragraphs</w:t>
      </w:r>
      <w:r w:rsidRPr="008A1784">
        <w:rPr>
          <w:szCs w:val="24"/>
        </w:rPr>
        <w:t xml:space="preserve"> 75-40</w:t>
      </w:r>
      <w:r>
        <w:rPr>
          <w:szCs w:val="24"/>
        </w:rPr>
        <w:t>(5)(a) and (b)</w:t>
      </w:r>
      <w:r w:rsidRPr="008A1784">
        <w:rPr>
          <w:szCs w:val="24"/>
        </w:rPr>
        <w:t xml:space="preserve"> of </w:t>
      </w:r>
      <w:r w:rsidR="00E22D36">
        <w:rPr>
          <w:szCs w:val="24"/>
        </w:rPr>
        <w:t>Schedule 2 of the Act</w:t>
      </w:r>
      <w:r>
        <w:rPr>
          <w:szCs w:val="24"/>
        </w:rPr>
        <w:t xml:space="preserve"> </w:t>
      </w:r>
      <w:r w:rsidRPr="004A159F">
        <w:rPr>
          <w:szCs w:val="24"/>
        </w:rPr>
        <w:t>provide</w:t>
      </w:r>
      <w:r w:rsidR="0008552E">
        <w:rPr>
          <w:szCs w:val="24"/>
        </w:rPr>
        <w:t xml:space="preserve"> </w:t>
      </w:r>
      <w:r w:rsidRPr="004A159F">
        <w:rPr>
          <w:szCs w:val="24"/>
        </w:rPr>
        <w:t>that</w:t>
      </w:r>
      <w:r>
        <w:rPr>
          <w:szCs w:val="24"/>
        </w:rPr>
        <w:t xml:space="preserve"> </w:t>
      </w:r>
      <w:r w:rsidRPr="00E22D36">
        <w:rPr>
          <w:szCs w:val="24"/>
        </w:rPr>
        <w:t xml:space="preserve">the </w:t>
      </w:r>
      <w:r w:rsidR="00E22D36" w:rsidRPr="00E22D36">
        <w:rPr>
          <w:szCs w:val="24"/>
        </w:rPr>
        <w:t>Rules</w:t>
      </w:r>
      <w:r w:rsidR="00E22D36">
        <w:rPr>
          <w:i/>
          <w:szCs w:val="24"/>
        </w:rPr>
        <w:t xml:space="preserve"> </w:t>
      </w:r>
      <w:r w:rsidRPr="007D3340">
        <w:rPr>
          <w:szCs w:val="24"/>
        </w:rPr>
        <w:t>may determine the circumstances in which a proposal is taken to be passed and whether a proposal is taken to be passed as a resolution or special resolution.</w:t>
      </w:r>
    </w:p>
    <w:p w14:paraId="3A400ECE" w14:textId="04B3115F" w:rsidR="006D5D18" w:rsidRDefault="006D5D18" w:rsidP="00DA0CFD">
      <w:pPr>
        <w:spacing w:before="100" w:beforeAutospacing="1" w:after="100" w:afterAutospacing="1"/>
        <w:rPr>
          <w:sz w:val="22"/>
          <w:szCs w:val="22"/>
        </w:rPr>
      </w:pPr>
      <w:r>
        <w:rPr>
          <w:szCs w:val="24"/>
        </w:rPr>
        <w:t xml:space="preserve">Pursuant to these paragraphs, subsection 75-137(2) </w:t>
      </w:r>
      <w:r w:rsidR="00E22D36">
        <w:rPr>
          <w:szCs w:val="24"/>
        </w:rPr>
        <w:t xml:space="preserve">of the Rules </w:t>
      </w:r>
      <w:r>
        <w:rPr>
          <w:szCs w:val="24"/>
        </w:rPr>
        <w:t xml:space="preserve">provides requirements that must be met for a special resolution to be passed by a </w:t>
      </w:r>
      <w:r>
        <w:rPr>
          <w:sz w:val="22"/>
          <w:szCs w:val="22"/>
        </w:rPr>
        <w:t xml:space="preserve">proposal. </w:t>
      </w:r>
      <w:r>
        <w:rPr>
          <w:szCs w:val="24"/>
        </w:rPr>
        <w:t>Pursuant to paragraph 75-137(2</w:t>
      </w:r>
      <w:proofErr w:type="gramStart"/>
      <w:r>
        <w:rPr>
          <w:szCs w:val="24"/>
        </w:rPr>
        <w:t>)(</w:t>
      </w:r>
      <w:proofErr w:type="gramEnd"/>
      <w:r>
        <w:rPr>
          <w:szCs w:val="24"/>
        </w:rPr>
        <w:t>c</w:t>
      </w:r>
      <w:r w:rsidRPr="00773EB1">
        <w:rPr>
          <w:szCs w:val="24"/>
        </w:rPr>
        <w:t>)</w:t>
      </w:r>
      <w:r>
        <w:rPr>
          <w:szCs w:val="24"/>
        </w:rPr>
        <w:t xml:space="preserve"> one of the requirements for a special resolution to be passed by a proposal is that not more tha</w:t>
      </w:r>
      <w:r w:rsidR="005F7116">
        <w:rPr>
          <w:szCs w:val="24"/>
        </w:rPr>
        <w:t>n</w:t>
      </w:r>
      <w:r>
        <w:rPr>
          <w:szCs w:val="24"/>
        </w:rPr>
        <w:t xml:space="preserve"> 25% in value </w:t>
      </w:r>
      <w:r w:rsidRPr="00773EB1">
        <w:rPr>
          <w:szCs w:val="24"/>
        </w:rPr>
        <w:t xml:space="preserve">of </w:t>
      </w:r>
      <w:r>
        <w:rPr>
          <w:szCs w:val="24"/>
        </w:rPr>
        <w:t xml:space="preserve">creditors </w:t>
      </w:r>
      <w:r w:rsidR="005F7116">
        <w:rPr>
          <w:szCs w:val="24"/>
        </w:rPr>
        <w:t>responding to</w:t>
      </w:r>
      <w:r>
        <w:rPr>
          <w:szCs w:val="24"/>
        </w:rPr>
        <w:t xml:space="preserve"> the notice vote No.</w:t>
      </w:r>
    </w:p>
    <w:p w14:paraId="0DF2775C" w14:textId="2D25A0E3" w:rsidR="00D15BE6" w:rsidRDefault="006D5D18" w:rsidP="00DA0CFD">
      <w:pPr>
        <w:spacing w:before="100" w:beforeAutospacing="1" w:after="100" w:afterAutospacing="1"/>
        <w:rPr>
          <w:szCs w:val="24"/>
        </w:rPr>
      </w:pPr>
      <w:r>
        <w:rPr>
          <w:szCs w:val="24"/>
        </w:rPr>
        <w:t>The amendment to paragraph</w:t>
      </w:r>
      <w:r w:rsidRPr="00D62400">
        <w:rPr>
          <w:szCs w:val="24"/>
        </w:rPr>
        <w:t xml:space="preserve"> 75-137(2)</w:t>
      </w:r>
      <w:r>
        <w:rPr>
          <w:szCs w:val="24"/>
        </w:rPr>
        <w:t xml:space="preserve">(b) by </w:t>
      </w:r>
      <w:r w:rsidR="001B1120">
        <w:rPr>
          <w:szCs w:val="24"/>
        </w:rPr>
        <w:t>i</w:t>
      </w:r>
      <w:r>
        <w:rPr>
          <w:szCs w:val="24"/>
        </w:rPr>
        <w:t xml:space="preserve">tem </w:t>
      </w:r>
      <w:r w:rsidR="00F422F4">
        <w:rPr>
          <w:szCs w:val="24"/>
        </w:rPr>
        <w:t>35</w:t>
      </w:r>
      <w:r>
        <w:rPr>
          <w:szCs w:val="24"/>
        </w:rPr>
        <w:t xml:space="preserve"> of Schedule 1, that at least 75% in value of responding creditors vote Yes nullifies the possibility </w:t>
      </w:r>
      <w:r w:rsidR="005F7116">
        <w:rPr>
          <w:szCs w:val="24"/>
        </w:rPr>
        <w:t xml:space="preserve">that </w:t>
      </w:r>
      <w:r w:rsidR="00EE5D61">
        <w:rPr>
          <w:szCs w:val="24"/>
        </w:rPr>
        <w:t>not more than</w:t>
      </w:r>
      <w:r>
        <w:rPr>
          <w:szCs w:val="24"/>
        </w:rPr>
        <w:t xml:space="preserve"> 25% in value of responding creditors could vote </w:t>
      </w:r>
      <w:r w:rsidR="00B703AB">
        <w:rPr>
          <w:szCs w:val="24"/>
        </w:rPr>
        <w:t>N</w:t>
      </w:r>
      <w:r>
        <w:rPr>
          <w:szCs w:val="24"/>
        </w:rPr>
        <w:t xml:space="preserve">o. </w:t>
      </w:r>
      <w:r w:rsidR="00D15BE6">
        <w:rPr>
          <w:szCs w:val="24"/>
        </w:rPr>
        <w:t>I</w:t>
      </w:r>
      <w:r w:rsidR="00D15BE6" w:rsidRPr="00D62400">
        <w:rPr>
          <w:szCs w:val="24"/>
        </w:rPr>
        <w:t xml:space="preserve">tem </w:t>
      </w:r>
      <w:r w:rsidR="00F422F4">
        <w:rPr>
          <w:szCs w:val="24"/>
        </w:rPr>
        <w:t>35</w:t>
      </w:r>
      <w:r w:rsidR="00D15BE6">
        <w:rPr>
          <w:szCs w:val="24"/>
        </w:rPr>
        <w:t xml:space="preserve"> </w:t>
      </w:r>
      <w:r>
        <w:rPr>
          <w:szCs w:val="24"/>
        </w:rPr>
        <w:t xml:space="preserve">of Schedule 1 </w:t>
      </w:r>
      <w:r w:rsidR="00D15BE6" w:rsidRPr="00D62400">
        <w:rPr>
          <w:szCs w:val="24"/>
        </w:rPr>
        <w:t xml:space="preserve">repeals the paragraph </w:t>
      </w:r>
      <w:r w:rsidR="00D15BE6">
        <w:rPr>
          <w:szCs w:val="24"/>
        </w:rPr>
        <w:t xml:space="preserve">in its entirety </w:t>
      </w:r>
      <w:r w:rsidR="00D15BE6" w:rsidRPr="00D62400">
        <w:rPr>
          <w:szCs w:val="24"/>
        </w:rPr>
        <w:t xml:space="preserve">as it is now redundant due to amendments made to </w:t>
      </w:r>
      <w:r>
        <w:rPr>
          <w:szCs w:val="24"/>
        </w:rPr>
        <w:t>p</w:t>
      </w:r>
      <w:r w:rsidR="00D15BE6">
        <w:rPr>
          <w:szCs w:val="24"/>
        </w:rPr>
        <w:t>aragraph</w:t>
      </w:r>
      <w:r w:rsidR="00D15BE6" w:rsidRPr="00D62400">
        <w:rPr>
          <w:szCs w:val="24"/>
        </w:rPr>
        <w:t xml:space="preserve"> 75-137(2)</w:t>
      </w:r>
      <w:r w:rsidR="00D15BE6">
        <w:rPr>
          <w:szCs w:val="24"/>
        </w:rPr>
        <w:t>(</w:t>
      </w:r>
      <w:r>
        <w:rPr>
          <w:szCs w:val="24"/>
        </w:rPr>
        <w:t>b</w:t>
      </w:r>
      <w:r w:rsidR="00D15BE6">
        <w:rPr>
          <w:szCs w:val="24"/>
        </w:rPr>
        <w:t>)</w:t>
      </w:r>
      <w:r w:rsidR="00D15BE6" w:rsidRPr="00D62400">
        <w:rPr>
          <w:szCs w:val="24"/>
        </w:rPr>
        <w:t>.</w:t>
      </w:r>
      <w:r>
        <w:rPr>
          <w:szCs w:val="24"/>
        </w:rPr>
        <w:t xml:space="preserve"> </w:t>
      </w:r>
    </w:p>
    <w:p w14:paraId="11D272E0" w14:textId="56B6B899" w:rsidR="00D15BE6" w:rsidRPr="00D34C9E" w:rsidRDefault="00D15BE6" w:rsidP="00DA0CFD">
      <w:pPr>
        <w:spacing w:before="100" w:beforeAutospacing="1" w:after="100" w:afterAutospacing="1"/>
        <w:rPr>
          <w:szCs w:val="24"/>
        </w:rPr>
      </w:pPr>
      <w:r w:rsidRPr="00361CF4">
        <w:rPr>
          <w:i/>
          <w:szCs w:val="24"/>
        </w:rPr>
        <w:t xml:space="preserve">Item </w:t>
      </w:r>
      <w:r w:rsidR="00F422F4">
        <w:rPr>
          <w:i/>
          <w:szCs w:val="24"/>
        </w:rPr>
        <w:t>36</w:t>
      </w:r>
      <w:r w:rsidR="00361CF4" w:rsidRPr="00361CF4">
        <w:rPr>
          <w:i/>
          <w:szCs w:val="24"/>
        </w:rPr>
        <w:t xml:space="preserve"> -</w:t>
      </w:r>
      <w:r w:rsidR="00361CF4">
        <w:rPr>
          <w:i/>
          <w:szCs w:val="24"/>
        </w:rPr>
        <w:t xml:space="preserve"> </w:t>
      </w:r>
      <w:r w:rsidRPr="001F41F5">
        <w:rPr>
          <w:i/>
          <w:szCs w:val="24"/>
        </w:rPr>
        <w:t>Section 75-170 (heading)</w:t>
      </w:r>
    </w:p>
    <w:p w14:paraId="518DADF3" w14:textId="2FC17AF3" w:rsidR="00D15BE6" w:rsidRPr="00A526AF" w:rsidRDefault="00D15BE6" w:rsidP="00DA0CFD">
      <w:pPr>
        <w:spacing w:before="100" w:beforeAutospacing="1" w:after="100" w:afterAutospacing="1"/>
      </w:pPr>
      <w:r w:rsidRPr="00A526AF">
        <w:t xml:space="preserve">Section 75-170 </w:t>
      </w:r>
      <w:r w:rsidR="005F7116">
        <w:t xml:space="preserve">of the Rules </w:t>
      </w:r>
      <w:r w:rsidRPr="00A526AF">
        <w:t>currently provides that for creditors’ meetings in joint bankruptcies (as listed in paragraphs (a) to (d) of 75-170(1)) the trustee must explain to creditors and their representatives the likely effect of section 110 of the Act on the distribution of dividends. Section 110 relates to how payments will be applied to joint and separate estates.</w:t>
      </w:r>
    </w:p>
    <w:p w14:paraId="4357346B" w14:textId="08C9D15C" w:rsidR="00D15BE6" w:rsidRPr="00A526AF" w:rsidRDefault="00D15BE6" w:rsidP="00DA0CFD">
      <w:pPr>
        <w:spacing w:before="100" w:beforeAutospacing="1" w:after="100" w:afterAutospacing="1"/>
      </w:pPr>
      <w:r w:rsidRPr="00A526AF">
        <w:t>Subsection 75-170(2)</w:t>
      </w:r>
      <w:r w:rsidR="005F7116">
        <w:t xml:space="preserve"> of the Rules </w:t>
      </w:r>
      <w:r w:rsidRPr="00A526AF">
        <w:t xml:space="preserve">provides that, where applicable, the trustee must also explain the likely effect of section 141 of the Act on the distribution of dividends. Section 141 </w:t>
      </w:r>
      <w:r w:rsidR="00E22D36">
        <w:t xml:space="preserve">of the Act </w:t>
      </w:r>
      <w:r w:rsidRPr="00A526AF">
        <w:t xml:space="preserve">provides that a creditor indebted jointly with more than one partner of a firm will not receive a dividend out of a bankrupt’s separate property until all the separate creditors have received the full amount of their respective debts. </w:t>
      </w:r>
    </w:p>
    <w:p w14:paraId="4CA6336D" w14:textId="2581C014" w:rsidR="00D15BE6" w:rsidRDefault="00D15BE6" w:rsidP="00DA0CFD">
      <w:pPr>
        <w:spacing w:before="100" w:beforeAutospacing="1" w:after="100" w:afterAutospacing="1"/>
        <w:rPr>
          <w:szCs w:val="24"/>
        </w:rPr>
      </w:pPr>
      <w:r>
        <w:rPr>
          <w:szCs w:val="24"/>
        </w:rPr>
        <w:t>Section 75-170 of the Rules refers to joint bankruptcies but does not take into account the modification to the provision it replaces (section 64ZE of the Act) arising from items 2 and 16 of Part 2 of Schedule 6 to the Regulations. These items extend the operation of section 64ZE to certain joint section 188 authorities and joint personal insolvency agreements</w:t>
      </w:r>
      <w:r w:rsidR="005F7116">
        <w:rPr>
          <w:szCs w:val="24"/>
        </w:rPr>
        <w:t xml:space="preserve"> (section 188 of the Act)</w:t>
      </w:r>
      <w:r>
        <w:rPr>
          <w:szCs w:val="24"/>
        </w:rPr>
        <w:t xml:space="preserve">. </w:t>
      </w:r>
      <w:r w:rsidR="00E22D36">
        <w:rPr>
          <w:szCs w:val="24"/>
        </w:rPr>
        <w:t>Thus the section applies more broadly.</w:t>
      </w:r>
    </w:p>
    <w:p w14:paraId="374FC9F3" w14:textId="7DB2755D" w:rsidR="00D15BE6" w:rsidRDefault="00D15BE6" w:rsidP="00DA0CFD">
      <w:pPr>
        <w:spacing w:before="100" w:beforeAutospacing="1" w:after="100" w:afterAutospacing="1"/>
        <w:rPr>
          <w:b/>
          <w:szCs w:val="24"/>
          <w:u w:val="single"/>
        </w:rPr>
      </w:pPr>
      <w:r>
        <w:rPr>
          <w:szCs w:val="24"/>
        </w:rPr>
        <w:t xml:space="preserve">Item </w:t>
      </w:r>
      <w:r w:rsidR="00F422F4">
        <w:rPr>
          <w:szCs w:val="24"/>
        </w:rPr>
        <w:t>36</w:t>
      </w:r>
      <w:r>
        <w:rPr>
          <w:szCs w:val="24"/>
        </w:rPr>
        <w:t xml:space="preserve"> </w:t>
      </w:r>
      <w:r w:rsidR="00EE5D61">
        <w:rPr>
          <w:szCs w:val="24"/>
        </w:rPr>
        <w:t xml:space="preserve">of Schedule 1 </w:t>
      </w:r>
      <w:r>
        <w:rPr>
          <w:szCs w:val="24"/>
        </w:rPr>
        <w:t xml:space="preserve">repeals the heading </w:t>
      </w:r>
      <w:r w:rsidR="006F6B11">
        <w:rPr>
          <w:szCs w:val="24"/>
        </w:rPr>
        <w:t>‘</w:t>
      </w:r>
      <w:r>
        <w:rPr>
          <w:szCs w:val="24"/>
        </w:rPr>
        <w:t>Joint bankruptcies</w:t>
      </w:r>
      <w:r w:rsidR="006F6B11">
        <w:rPr>
          <w:szCs w:val="24"/>
        </w:rPr>
        <w:t>’</w:t>
      </w:r>
      <w:r>
        <w:rPr>
          <w:szCs w:val="24"/>
        </w:rPr>
        <w:t xml:space="preserve"> and replaces it with </w:t>
      </w:r>
      <w:r w:rsidR="006F6B11">
        <w:rPr>
          <w:szCs w:val="24"/>
        </w:rPr>
        <w:t>‘</w:t>
      </w:r>
      <w:r>
        <w:rPr>
          <w:szCs w:val="24"/>
        </w:rPr>
        <w:t>Joint administrations</w:t>
      </w:r>
      <w:r w:rsidR="006F6B11">
        <w:rPr>
          <w:szCs w:val="24"/>
        </w:rPr>
        <w:t>’</w:t>
      </w:r>
      <w:r>
        <w:rPr>
          <w:szCs w:val="24"/>
        </w:rPr>
        <w:t xml:space="preserve"> to take into account that this section of the Rules has changed</w:t>
      </w:r>
      <w:r w:rsidR="00E22D36">
        <w:rPr>
          <w:szCs w:val="24"/>
        </w:rPr>
        <w:t xml:space="preserve"> and applies to other insolvency arrangements </w:t>
      </w:r>
      <w:r w:rsidR="00845472">
        <w:rPr>
          <w:szCs w:val="24"/>
        </w:rPr>
        <w:t xml:space="preserve">in addition to </w:t>
      </w:r>
      <w:r w:rsidR="00E22D36">
        <w:rPr>
          <w:szCs w:val="24"/>
        </w:rPr>
        <w:t>bankruptcy</w:t>
      </w:r>
      <w:r>
        <w:rPr>
          <w:szCs w:val="24"/>
        </w:rPr>
        <w:t xml:space="preserve">.  </w:t>
      </w:r>
    </w:p>
    <w:p w14:paraId="0B0339AF" w14:textId="6D1C28E7" w:rsidR="00D15BE6" w:rsidRPr="000057DC" w:rsidRDefault="00D15BE6" w:rsidP="00DA0CFD">
      <w:pPr>
        <w:spacing w:before="100" w:beforeAutospacing="1" w:after="100" w:afterAutospacing="1"/>
        <w:rPr>
          <w:i/>
          <w:szCs w:val="24"/>
        </w:rPr>
      </w:pPr>
      <w:r w:rsidRPr="000057DC">
        <w:rPr>
          <w:i/>
          <w:szCs w:val="24"/>
        </w:rPr>
        <w:t xml:space="preserve">Item </w:t>
      </w:r>
      <w:r w:rsidR="00D30775">
        <w:rPr>
          <w:i/>
          <w:szCs w:val="24"/>
        </w:rPr>
        <w:t>37</w:t>
      </w:r>
      <w:r w:rsidR="00845472">
        <w:rPr>
          <w:i/>
          <w:szCs w:val="24"/>
        </w:rPr>
        <w:t xml:space="preserve"> </w:t>
      </w:r>
      <w:r w:rsidR="00910ADD">
        <w:rPr>
          <w:i/>
          <w:szCs w:val="24"/>
        </w:rPr>
        <w:t>-</w:t>
      </w:r>
      <w:r w:rsidR="00910ADD" w:rsidRPr="000057DC">
        <w:rPr>
          <w:i/>
          <w:szCs w:val="24"/>
        </w:rPr>
        <w:t xml:space="preserve"> Subparagraph 75-170(1)</w:t>
      </w:r>
    </w:p>
    <w:p w14:paraId="5FA7F5B5" w14:textId="4070097F" w:rsidR="00094BFC" w:rsidRDefault="00D15BE6" w:rsidP="00DA0CFD">
      <w:pPr>
        <w:spacing w:before="100" w:beforeAutospacing="1" w:after="100" w:afterAutospacing="1"/>
        <w:rPr>
          <w:szCs w:val="24"/>
        </w:rPr>
      </w:pPr>
      <w:r w:rsidRPr="000057DC">
        <w:rPr>
          <w:szCs w:val="24"/>
        </w:rPr>
        <w:t>Sub</w:t>
      </w:r>
      <w:r w:rsidR="00E22D36">
        <w:rPr>
          <w:szCs w:val="24"/>
        </w:rPr>
        <w:t>section</w:t>
      </w:r>
      <w:r w:rsidRPr="000057DC">
        <w:rPr>
          <w:szCs w:val="24"/>
        </w:rPr>
        <w:t xml:space="preserve"> 75-170(1)</w:t>
      </w:r>
      <w:r w:rsidR="00910ADD">
        <w:rPr>
          <w:szCs w:val="24"/>
        </w:rPr>
        <w:t xml:space="preserve"> </w:t>
      </w:r>
      <w:r w:rsidR="005F7116">
        <w:rPr>
          <w:szCs w:val="24"/>
        </w:rPr>
        <w:t xml:space="preserve">of the Rules </w:t>
      </w:r>
      <w:r w:rsidR="00910ADD">
        <w:rPr>
          <w:szCs w:val="24"/>
        </w:rPr>
        <w:t xml:space="preserve">provides </w:t>
      </w:r>
      <w:r w:rsidR="00E22D36">
        <w:rPr>
          <w:szCs w:val="24"/>
        </w:rPr>
        <w:t xml:space="preserve">a list of the kinds of bankruptcies that will require a trustee to explain, at a meeting of creditors of those bankruptcies, the </w:t>
      </w:r>
      <w:r w:rsidR="000057DC">
        <w:rPr>
          <w:szCs w:val="24"/>
        </w:rPr>
        <w:t>effect of section 110 of the Act.</w:t>
      </w:r>
      <w:r w:rsidR="00094BFC">
        <w:rPr>
          <w:szCs w:val="24"/>
        </w:rPr>
        <w:t xml:space="preserve"> </w:t>
      </w:r>
      <w:r w:rsidR="000057DC">
        <w:rPr>
          <w:szCs w:val="24"/>
        </w:rPr>
        <w:t xml:space="preserve">The </w:t>
      </w:r>
      <w:r w:rsidR="00CF72E2">
        <w:rPr>
          <w:szCs w:val="24"/>
        </w:rPr>
        <w:t>Instrument</w:t>
      </w:r>
      <w:r w:rsidR="00932A93">
        <w:rPr>
          <w:szCs w:val="24"/>
        </w:rPr>
        <w:t xml:space="preserve"> inserts a new subsection 75-170(e)</w:t>
      </w:r>
      <w:r w:rsidR="00094BFC">
        <w:rPr>
          <w:szCs w:val="24"/>
        </w:rPr>
        <w:t>,</w:t>
      </w:r>
      <w:r w:rsidR="00932A93">
        <w:rPr>
          <w:szCs w:val="24"/>
        </w:rPr>
        <w:t xml:space="preserve"> </w:t>
      </w:r>
      <w:r w:rsidR="000057DC" w:rsidRPr="008962CA">
        <w:rPr>
          <w:szCs w:val="24"/>
        </w:rPr>
        <w:t>add</w:t>
      </w:r>
      <w:r w:rsidR="00094BFC">
        <w:rPr>
          <w:szCs w:val="24"/>
        </w:rPr>
        <w:t>ing</w:t>
      </w:r>
      <w:r w:rsidR="000057DC" w:rsidRPr="008962CA">
        <w:rPr>
          <w:szCs w:val="24"/>
        </w:rPr>
        <w:t xml:space="preserve"> a further category to this list which is not a bankruptcy but an administration.  </w:t>
      </w:r>
    </w:p>
    <w:p w14:paraId="75E0C8CA" w14:textId="25BDB891" w:rsidR="000057DC" w:rsidRDefault="000057DC" w:rsidP="00DA0CFD">
      <w:pPr>
        <w:spacing w:before="100" w:beforeAutospacing="1" w:after="100" w:afterAutospacing="1"/>
        <w:rPr>
          <w:szCs w:val="24"/>
        </w:rPr>
      </w:pPr>
      <w:r w:rsidRPr="008962CA">
        <w:rPr>
          <w:szCs w:val="24"/>
        </w:rPr>
        <w:t>Accordingly</w:t>
      </w:r>
      <w:r>
        <w:rPr>
          <w:szCs w:val="24"/>
        </w:rPr>
        <w:t xml:space="preserve">, </w:t>
      </w:r>
      <w:r w:rsidR="005F7116">
        <w:rPr>
          <w:szCs w:val="24"/>
        </w:rPr>
        <w:t>i</w:t>
      </w:r>
      <w:r>
        <w:rPr>
          <w:szCs w:val="24"/>
        </w:rPr>
        <w:t xml:space="preserve">tem </w:t>
      </w:r>
      <w:r w:rsidR="00D30775">
        <w:rPr>
          <w:szCs w:val="24"/>
        </w:rPr>
        <w:t>37</w:t>
      </w:r>
      <w:r>
        <w:rPr>
          <w:szCs w:val="24"/>
        </w:rPr>
        <w:t xml:space="preserve"> of Schedule 1 removes the reference to ‘kinds of bankruptcy’ in 75-170(1) and replaces it with ‘kinds of administration’.</w:t>
      </w:r>
      <w:r w:rsidR="00094BFC">
        <w:rPr>
          <w:szCs w:val="24"/>
        </w:rPr>
        <w:t xml:space="preserve"> </w:t>
      </w:r>
      <w:r w:rsidR="00094BFC" w:rsidRPr="008962CA">
        <w:rPr>
          <w:szCs w:val="24"/>
        </w:rPr>
        <w:t>The purpose of this amendment is to expand the obligation of trustees to explain certain sections of the Act to creditors to cover joint section 188 authorities and personal insolvency agreements.</w:t>
      </w:r>
    </w:p>
    <w:p w14:paraId="5955393F" w14:textId="6A946F6D" w:rsidR="000057DC" w:rsidRDefault="000057DC" w:rsidP="00E55B6B">
      <w:pPr>
        <w:keepNext/>
        <w:spacing w:before="100" w:beforeAutospacing="1" w:after="100" w:afterAutospacing="1"/>
        <w:rPr>
          <w:i/>
          <w:szCs w:val="24"/>
        </w:rPr>
      </w:pPr>
      <w:r>
        <w:rPr>
          <w:i/>
          <w:szCs w:val="24"/>
        </w:rPr>
        <w:t>Item 3</w:t>
      </w:r>
      <w:r w:rsidR="00D30775">
        <w:rPr>
          <w:i/>
          <w:szCs w:val="24"/>
        </w:rPr>
        <w:t>8</w:t>
      </w:r>
      <w:r>
        <w:rPr>
          <w:i/>
          <w:szCs w:val="24"/>
        </w:rPr>
        <w:t xml:space="preserve"> </w:t>
      </w:r>
      <w:r w:rsidR="00845472">
        <w:rPr>
          <w:i/>
          <w:szCs w:val="24"/>
        </w:rPr>
        <w:t>-</w:t>
      </w:r>
      <w:r>
        <w:rPr>
          <w:i/>
          <w:szCs w:val="24"/>
        </w:rPr>
        <w:t xml:space="preserve"> Subsection 75-170(1)</w:t>
      </w:r>
    </w:p>
    <w:p w14:paraId="7B6C0A1F" w14:textId="4C3C99DA" w:rsidR="0068512C" w:rsidRDefault="000057DC" w:rsidP="00E55B6B">
      <w:pPr>
        <w:keepNext/>
        <w:spacing w:before="100" w:beforeAutospacing="1" w:after="100" w:afterAutospacing="1"/>
        <w:rPr>
          <w:szCs w:val="24"/>
        </w:rPr>
      </w:pPr>
      <w:r w:rsidRPr="000057DC">
        <w:rPr>
          <w:szCs w:val="24"/>
        </w:rPr>
        <w:t>Sub</w:t>
      </w:r>
      <w:r>
        <w:rPr>
          <w:szCs w:val="24"/>
        </w:rPr>
        <w:t>section</w:t>
      </w:r>
      <w:r w:rsidRPr="000057DC">
        <w:rPr>
          <w:szCs w:val="24"/>
        </w:rPr>
        <w:t xml:space="preserve"> 75-170(1)</w:t>
      </w:r>
      <w:r w:rsidR="005F7116">
        <w:rPr>
          <w:szCs w:val="24"/>
        </w:rPr>
        <w:t xml:space="preserve"> of the Rules</w:t>
      </w:r>
      <w:r>
        <w:rPr>
          <w:szCs w:val="24"/>
        </w:rPr>
        <w:t xml:space="preserve"> provides a list of the kinds of bankruptcies that will require a trustee to explain, at a meeting of creditors of those bankruptcies, the effect of section 110 of the Act. </w:t>
      </w:r>
      <w:r w:rsidR="00E55B6B">
        <w:rPr>
          <w:szCs w:val="24"/>
        </w:rPr>
        <w:t xml:space="preserve">  </w:t>
      </w:r>
    </w:p>
    <w:p w14:paraId="7CD8BB95" w14:textId="77EE2BB1" w:rsidR="00F91FAA" w:rsidRDefault="00910ADD" w:rsidP="00394DE0">
      <w:pPr>
        <w:keepNext/>
        <w:spacing w:before="100" w:beforeAutospacing="1" w:after="100" w:afterAutospacing="1"/>
        <w:rPr>
          <w:szCs w:val="24"/>
          <w:highlight w:val="yellow"/>
        </w:rPr>
      </w:pPr>
      <w:r>
        <w:rPr>
          <w:szCs w:val="24"/>
        </w:rPr>
        <w:t>Item 3</w:t>
      </w:r>
      <w:r w:rsidR="00D30775">
        <w:rPr>
          <w:szCs w:val="24"/>
        </w:rPr>
        <w:t>8</w:t>
      </w:r>
      <w:r>
        <w:rPr>
          <w:szCs w:val="24"/>
        </w:rPr>
        <w:t xml:space="preserve"> of Schedule 1 insert</w:t>
      </w:r>
      <w:r w:rsidR="0068512C">
        <w:rPr>
          <w:szCs w:val="24"/>
        </w:rPr>
        <w:t>s</w:t>
      </w:r>
      <w:r>
        <w:rPr>
          <w:szCs w:val="24"/>
        </w:rPr>
        <w:t xml:space="preserve"> </w:t>
      </w:r>
      <w:r w:rsidR="00610261">
        <w:rPr>
          <w:szCs w:val="24"/>
        </w:rPr>
        <w:t xml:space="preserve">another </w:t>
      </w:r>
      <w:r>
        <w:rPr>
          <w:szCs w:val="24"/>
        </w:rPr>
        <w:t>type of administration</w:t>
      </w:r>
      <w:r w:rsidR="000057DC">
        <w:rPr>
          <w:szCs w:val="24"/>
        </w:rPr>
        <w:t xml:space="preserve"> that will require, at a meeting of creditors, the trustee to explain the operation of section 110 of the Act.  </w:t>
      </w:r>
      <w:r w:rsidR="00610261">
        <w:rPr>
          <w:szCs w:val="24"/>
        </w:rPr>
        <w:t>N</w:t>
      </w:r>
      <w:r w:rsidR="00E55B6B">
        <w:rPr>
          <w:szCs w:val="24"/>
        </w:rPr>
        <w:t>ew paragraph 75-170(1</w:t>
      </w:r>
      <w:proofErr w:type="gramStart"/>
      <w:r w:rsidR="00E55B6B">
        <w:rPr>
          <w:szCs w:val="24"/>
        </w:rPr>
        <w:t>)(</w:t>
      </w:r>
      <w:proofErr w:type="gramEnd"/>
      <w:r w:rsidR="00E55B6B">
        <w:rPr>
          <w:szCs w:val="24"/>
        </w:rPr>
        <w:t xml:space="preserve">e) </w:t>
      </w:r>
      <w:r w:rsidR="006257AC">
        <w:rPr>
          <w:szCs w:val="24"/>
        </w:rPr>
        <w:t xml:space="preserve">requires the trustee to explain the effect of section 110 of the Act to </w:t>
      </w:r>
      <w:r w:rsidR="00E55B6B">
        <w:rPr>
          <w:szCs w:val="24"/>
        </w:rPr>
        <w:t>debtors who, for the purposes of section 188 of the Act, provide a joint or separate authority for the administration of their joint estate</w:t>
      </w:r>
      <w:r w:rsidR="006257AC">
        <w:rPr>
          <w:szCs w:val="24"/>
        </w:rPr>
        <w:t>.</w:t>
      </w:r>
    </w:p>
    <w:p w14:paraId="4FE222E0" w14:textId="5B838E80" w:rsidR="00D15BE6" w:rsidRPr="000057DC" w:rsidRDefault="00D15BE6" w:rsidP="00DA0CFD">
      <w:pPr>
        <w:spacing w:before="100" w:beforeAutospacing="1" w:after="100" w:afterAutospacing="1"/>
        <w:rPr>
          <w:i/>
          <w:szCs w:val="24"/>
        </w:rPr>
      </w:pPr>
      <w:r w:rsidRPr="000057DC">
        <w:rPr>
          <w:i/>
          <w:szCs w:val="24"/>
        </w:rPr>
        <w:t>Item 3</w:t>
      </w:r>
      <w:r w:rsidR="00D30775">
        <w:rPr>
          <w:i/>
          <w:szCs w:val="24"/>
        </w:rPr>
        <w:t>9</w:t>
      </w:r>
      <w:r w:rsidR="000057DC" w:rsidRPr="000057DC">
        <w:rPr>
          <w:i/>
          <w:szCs w:val="24"/>
        </w:rPr>
        <w:t xml:space="preserve"> </w:t>
      </w:r>
      <w:r w:rsidR="00845472">
        <w:rPr>
          <w:i/>
          <w:szCs w:val="24"/>
        </w:rPr>
        <w:t>-</w:t>
      </w:r>
      <w:r w:rsidR="000057DC" w:rsidRPr="000057DC">
        <w:rPr>
          <w:i/>
          <w:szCs w:val="24"/>
        </w:rPr>
        <w:t xml:space="preserve"> </w:t>
      </w:r>
      <w:r w:rsidR="00354217">
        <w:rPr>
          <w:i/>
          <w:szCs w:val="24"/>
        </w:rPr>
        <w:t xml:space="preserve">At the end of </w:t>
      </w:r>
      <w:r w:rsidRPr="000057DC">
        <w:rPr>
          <w:i/>
          <w:szCs w:val="24"/>
        </w:rPr>
        <w:t>section 75-170</w:t>
      </w:r>
    </w:p>
    <w:p w14:paraId="29C360E0" w14:textId="60FE9F89" w:rsidR="008962CA" w:rsidRDefault="008962CA" w:rsidP="00DA0CFD">
      <w:pPr>
        <w:spacing w:before="100" w:beforeAutospacing="1" w:after="100" w:afterAutospacing="1"/>
        <w:rPr>
          <w:szCs w:val="24"/>
        </w:rPr>
      </w:pPr>
      <w:r>
        <w:rPr>
          <w:szCs w:val="24"/>
        </w:rPr>
        <w:t xml:space="preserve">Section 75-170 </w:t>
      </w:r>
      <w:r w:rsidR="0008552E">
        <w:rPr>
          <w:szCs w:val="24"/>
        </w:rPr>
        <w:t xml:space="preserve">of the Rules </w:t>
      </w:r>
      <w:r w:rsidR="00354217">
        <w:rPr>
          <w:szCs w:val="24"/>
        </w:rPr>
        <w:t>provides</w:t>
      </w:r>
      <w:r>
        <w:rPr>
          <w:szCs w:val="24"/>
        </w:rPr>
        <w:t xml:space="preserve"> an obligation for a trustee to explain provisions of the Act to creditors at a meeting and the likely effect </w:t>
      </w:r>
      <w:r w:rsidR="00ED25CF">
        <w:rPr>
          <w:szCs w:val="24"/>
        </w:rPr>
        <w:t>that</w:t>
      </w:r>
      <w:r>
        <w:rPr>
          <w:szCs w:val="24"/>
        </w:rPr>
        <w:t xml:space="preserve"> those </w:t>
      </w:r>
      <w:r w:rsidR="00ED25CF">
        <w:rPr>
          <w:szCs w:val="24"/>
        </w:rPr>
        <w:t>provisions</w:t>
      </w:r>
      <w:r>
        <w:rPr>
          <w:szCs w:val="24"/>
        </w:rPr>
        <w:t xml:space="preserve"> have on the distribution of dividends. For certain categories of bankruptcies listed in 75</w:t>
      </w:r>
      <w:r>
        <w:rPr>
          <w:szCs w:val="24"/>
        </w:rPr>
        <w:noBreakHyphen/>
        <w:t>170(1), a trustee will be required to explain to creditors the likely effect of section 110 of the Act</w:t>
      </w:r>
      <w:r w:rsidR="00ED25CF">
        <w:rPr>
          <w:szCs w:val="24"/>
        </w:rPr>
        <w:t xml:space="preserve">, and </w:t>
      </w:r>
      <w:r>
        <w:rPr>
          <w:szCs w:val="24"/>
        </w:rPr>
        <w:t xml:space="preserve">for those creditors that section 141 of the Act applies (joint and separate dividends), the trustee must explain the effect of that section on the distribution of dividends. </w:t>
      </w:r>
    </w:p>
    <w:p w14:paraId="48E0046A" w14:textId="2EA9AD4A" w:rsidR="00D15BE6" w:rsidRDefault="00D15BE6" w:rsidP="00825D69">
      <w:pPr>
        <w:spacing w:before="100" w:beforeAutospacing="1" w:after="100" w:afterAutospacing="1"/>
        <w:rPr>
          <w:szCs w:val="24"/>
        </w:rPr>
      </w:pPr>
      <w:r>
        <w:rPr>
          <w:szCs w:val="24"/>
        </w:rPr>
        <w:t>Item 3</w:t>
      </w:r>
      <w:r w:rsidR="00D30775">
        <w:rPr>
          <w:szCs w:val="24"/>
        </w:rPr>
        <w:t>9</w:t>
      </w:r>
      <w:r w:rsidR="008962CA">
        <w:rPr>
          <w:szCs w:val="24"/>
        </w:rPr>
        <w:t xml:space="preserve"> of Schedule 1 </w:t>
      </w:r>
      <w:r>
        <w:rPr>
          <w:szCs w:val="24"/>
        </w:rPr>
        <w:t>inserts</w:t>
      </w:r>
      <w:r w:rsidR="008962CA">
        <w:rPr>
          <w:szCs w:val="24"/>
        </w:rPr>
        <w:t xml:space="preserve"> </w:t>
      </w:r>
      <w:r w:rsidR="00C378D9">
        <w:rPr>
          <w:szCs w:val="24"/>
        </w:rPr>
        <w:t xml:space="preserve">a new subsection 75-170(3) which </w:t>
      </w:r>
      <w:r w:rsidR="00825D69">
        <w:rPr>
          <w:szCs w:val="24"/>
        </w:rPr>
        <w:t>ensures that the requirement of trustees to explain the operation of sections 110 and 141 of the Act only extends to the creditors of a personal insolvency agreement in circumstances where that insolvency agreement involves a joint estate</w:t>
      </w:r>
      <w:r w:rsidR="005F7116">
        <w:rPr>
          <w:szCs w:val="24"/>
        </w:rPr>
        <w:t>,</w:t>
      </w:r>
      <w:r w:rsidR="00825D69">
        <w:rPr>
          <w:szCs w:val="24"/>
        </w:rPr>
        <w:t xml:space="preserve"> and where the agreement does not include information about how the joint estate will be distributed. </w:t>
      </w:r>
      <w:r w:rsidR="008962CA">
        <w:rPr>
          <w:szCs w:val="24"/>
        </w:rPr>
        <w:t xml:space="preserve">This </w:t>
      </w:r>
      <w:r w:rsidR="005B10E1">
        <w:rPr>
          <w:szCs w:val="24"/>
        </w:rPr>
        <w:t xml:space="preserve">replicates a requirement currently </w:t>
      </w:r>
      <w:r w:rsidR="00825D69">
        <w:rPr>
          <w:szCs w:val="24"/>
        </w:rPr>
        <w:t xml:space="preserve">contained </w:t>
      </w:r>
      <w:r w:rsidR="005B10E1">
        <w:rPr>
          <w:szCs w:val="24"/>
        </w:rPr>
        <w:t>in item 16 of Part 2 of Schedule 6 to the Regulations, which is repealed with effect from 1 September 2017</w:t>
      </w:r>
      <w:r w:rsidR="00825D69">
        <w:rPr>
          <w:szCs w:val="24"/>
        </w:rPr>
        <w:t xml:space="preserve">. </w:t>
      </w:r>
    </w:p>
    <w:p w14:paraId="50074F78" w14:textId="0F1D3BF5" w:rsidR="00D15BE6" w:rsidRPr="001F41F5" w:rsidRDefault="00D15BE6" w:rsidP="00DA0CFD">
      <w:pPr>
        <w:spacing w:before="100" w:beforeAutospacing="1" w:after="100" w:afterAutospacing="1"/>
        <w:rPr>
          <w:i/>
          <w:szCs w:val="24"/>
        </w:rPr>
      </w:pPr>
      <w:r w:rsidRPr="008962CA">
        <w:rPr>
          <w:i/>
          <w:szCs w:val="24"/>
        </w:rPr>
        <w:t>Item</w:t>
      </w:r>
      <w:r w:rsidR="00D30775">
        <w:rPr>
          <w:i/>
          <w:szCs w:val="24"/>
        </w:rPr>
        <w:t xml:space="preserve"> 40</w:t>
      </w:r>
      <w:r w:rsidR="008962CA" w:rsidRPr="008962CA">
        <w:rPr>
          <w:i/>
          <w:szCs w:val="24"/>
        </w:rPr>
        <w:t xml:space="preserve"> - </w:t>
      </w:r>
      <w:r w:rsidRPr="008962CA">
        <w:rPr>
          <w:i/>
          <w:szCs w:val="24"/>
        </w:rPr>
        <w:t>Section</w:t>
      </w:r>
      <w:r w:rsidRPr="001F41F5">
        <w:rPr>
          <w:i/>
          <w:szCs w:val="24"/>
        </w:rPr>
        <w:t xml:space="preserve"> 75-175 (heading)</w:t>
      </w:r>
    </w:p>
    <w:p w14:paraId="43808489" w14:textId="78181911" w:rsidR="00D15BE6" w:rsidRPr="005B5FBF" w:rsidRDefault="00D15BE6" w:rsidP="00DA0CFD">
      <w:pPr>
        <w:spacing w:before="100" w:beforeAutospacing="1" w:after="100" w:afterAutospacing="1"/>
      </w:pPr>
      <w:r>
        <w:t xml:space="preserve">Section 75-175 </w:t>
      </w:r>
      <w:r w:rsidR="005F7116">
        <w:t xml:space="preserve">of the Rules </w:t>
      </w:r>
      <w:r>
        <w:t>currently provides that w</w:t>
      </w:r>
      <w:r w:rsidRPr="005B5FBF">
        <w:t xml:space="preserve">here a </w:t>
      </w:r>
      <w:r w:rsidR="001B4A3C">
        <w:t xml:space="preserve">regulated </w:t>
      </w:r>
      <w:r w:rsidRPr="005B5FBF">
        <w:t xml:space="preserve">debtor lodges a proposal under subsection 73(1) of the Act, the trustee must call a meeting and send a copy of the proposal and a report on the proposal at least </w:t>
      </w:r>
      <w:r w:rsidR="005F7116">
        <w:t>five</w:t>
      </w:r>
      <w:r w:rsidRPr="005B5FBF">
        <w:t xml:space="preserve"> business days before the meeting. If at the meeting, the proposal is accepted by special resolution, the trustee must make the composition or scheme of arrangement available for inspection by the creditors. </w:t>
      </w:r>
    </w:p>
    <w:p w14:paraId="346962B9" w14:textId="4F86990F" w:rsidR="00D15BE6" w:rsidRPr="005B5FBF" w:rsidRDefault="00D15BE6" w:rsidP="00DA0CFD">
      <w:pPr>
        <w:spacing w:before="100" w:beforeAutospacing="1" w:after="100" w:afterAutospacing="1"/>
      </w:pPr>
      <w:r w:rsidRPr="005B5FBF">
        <w:t xml:space="preserve">The trustee may refuse to call a meeting if the proposal does not adequately account for the trustee’s approved fees as accrued at the time the proposal is lodged and where those fees cannot be taken out of the </w:t>
      </w:r>
      <w:r w:rsidR="001B4A3C">
        <w:t xml:space="preserve">regulated </w:t>
      </w:r>
      <w:r w:rsidRPr="005B5FBF">
        <w:t xml:space="preserve">debtor’s estate. </w:t>
      </w:r>
    </w:p>
    <w:p w14:paraId="49FD1CB6" w14:textId="607D2E77" w:rsidR="00D15BE6" w:rsidRDefault="00DE616C" w:rsidP="00DA0CFD">
      <w:pPr>
        <w:spacing w:before="100" w:beforeAutospacing="1" w:after="100" w:afterAutospacing="1"/>
        <w:rPr>
          <w:szCs w:val="24"/>
        </w:rPr>
      </w:pPr>
      <w:r>
        <w:rPr>
          <w:szCs w:val="24"/>
        </w:rPr>
        <w:t>Item</w:t>
      </w:r>
      <w:r w:rsidR="00D30775">
        <w:rPr>
          <w:szCs w:val="24"/>
        </w:rPr>
        <w:t xml:space="preserve"> 40</w:t>
      </w:r>
      <w:r>
        <w:rPr>
          <w:szCs w:val="24"/>
        </w:rPr>
        <w:t xml:space="preserve"> of Schedule 1 </w:t>
      </w:r>
      <w:r w:rsidR="00D15BE6">
        <w:rPr>
          <w:szCs w:val="24"/>
        </w:rPr>
        <w:t xml:space="preserve">repeals the heading </w:t>
      </w:r>
      <w:r w:rsidR="006F6B11">
        <w:rPr>
          <w:szCs w:val="24"/>
        </w:rPr>
        <w:t>‘</w:t>
      </w:r>
      <w:r w:rsidR="00D15BE6">
        <w:rPr>
          <w:szCs w:val="24"/>
        </w:rPr>
        <w:t>Meetings in relation to compositions or arrangements</w:t>
      </w:r>
      <w:r w:rsidR="006F6B11">
        <w:rPr>
          <w:szCs w:val="24"/>
        </w:rPr>
        <w:t>’</w:t>
      </w:r>
      <w:r w:rsidR="00D15BE6">
        <w:rPr>
          <w:szCs w:val="24"/>
        </w:rPr>
        <w:t xml:space="preserve"> and replaces it with </w:t>
      </w:r>
      <w:r w:rsidR="006F6B11">
        <w:rPr>
          <w:szCs w:val="24"/>
        </w:rPr>
        <w:t>‘</w:t>
      </w:r>
      <w:r w:rsidR="00D15BE6">
        <w:rPr>
          <w:szCs w:val="24"/>
        </w:rPr>
        <w:t>Calling a meeting in relation to compositions or arrangements</w:t>
      </w:r>
      <w:r w:rsidR="006F6B11">
        <w:rPr>
          <w:szCs w:val="24"/>
        </w:rPr>
        <w:t>’</w:t>
      </w:r>
      <w:r w:rsidR="00D15BE6">
        <w:rPr>
          <w:szCs w:val="24"/>
        </w:rPr>
        <w:t xml:space="preserve"> </w:t>
      </w:r>
      <w:r w:rsidR="00D15BE6" w:rsidRPr="00DE616C">
        <w:rPr>
          <w:szCs w:val="24"/>
        </w:rPr>
        <w:t xml:space="preserve">to clarify </w:t>
      </w:r>
      <w:r w:rsidR="00CB7FA9">
        <w:rPr>
          <w:szCs w:val="24"/>
        </w:rPr>
        <w:t>that section 75-175 relates to the ‘calling’ of those kinds of meetings specifically</w:t>
      </w:r>
      <w:r w:rsidR="00D15BE6" w:rsidRPr="00DE616C">
        <w:rPr>
          <w:szCs w:val="24"/>
        </w:rPr>
        <w:t>.</w:t>
      </w:r>
      <w:r w:rsidR="00D15BE6">
        <w:rPr>
          <w:szCs w:val="24"/>
        </w:rPr>
        <w:t xml:space="preserve"> </w:t>
      </w:r>
    </w:p>
    <w:p w14:paraId="753830A1" w14:textId="647CB145" w:rsidR="00D15BE6" w:rsidRPr="00230DC8" w:rsidRDefault="00D15BE6" w:rsidP="00DA0CFD">
      <w:pPr>
        <w:spacing w:before="100" w:beforeAutospacing="1" w:after="100" w:afterAutospacing="1"/>
        <w:rPr>
          <w:i/>
          <w:szCs w:val="24"/>
        </w:rPr>
      </w:pPr>
      <w:r w:rsidRPr="00DE616C">
        <w:rPr>
          <w:i/>
          <w:szCs w:val="24"/>
        </w:rPr>
        <w:t xml:space="preserve">Item </w:t>
      </w:r>
      <w:r w:rsidR="00D30775">
        <w:rPr>
          <w:i/>
          <w:szCs w:val="24"/>
        </w:rPr>
        <w:t>41</w:t>
      </w:r>
      <w:r w:rsidR="00DE616C" w:rsidRPr="00DE616C">
        <w:rPr>
          <w:i/>
          <w:szCs w:val="24"/>
        </w:rPr>
        <w:t xml:space="preserve"> - </w:t>
      </w:r>
      <w:r w:rsidRPr="00DE616C">
        <w:rPr>
          <w:i/>
          <w:szCs w:val="24"/>
        </w:rPr>
        <w:t>Paragraph</w:t>
      </w:r>
      <w:r w:rsidRPr="00230DC8">
        <w:rPr>
          <w:i/>
          <w:szCs w:val="24"/>
        </w:rPr>
        <w:t xml:space="preserve"> 75-175(2</w:t>
      </w:r>
      <w:proofErr w:type="gramStart"/>
      <w:r w:rsidRPr="00230DC8">
        <w:rPr>
          <w:i/>
          <w:szCs w:val="24"/>
        </w:rPr>
        <w:t>)(</w:t>
      </w:r>
      <w:proofErr w:type="gramEnd"/>
      <w:r w:rsidRPr="00230DC8">
        <w:rPr>
          <w:i/>
          <w:szCs w:val="24"/>
        </w:rPr>
        <w:t xml:space="preserve">b) </w:t>
      </w:r>
    </w:p>
    <w:p w14:paraId="41B96C9E" w14:textId="4A560AA1" w:rsidR="00D15BE6" w:rsidRDefault="00D15BE6" w:rsidP="00DA0CFD">
      <w:pPr>
        <w:spacing w:before="100" w:beforeAutospacing="1" w:after="100" w:afterAutospacing="1"/>
        <w:rPr>
          <w:szCs w:val="24"/>
        </w:rPr>
      </w:pPr>
      <w:r>
        <w:rPr>
          <w:szCs w:val="24"/>
        </w:rPr>
        <w:t xml:space="preserve">Item </w:t>
      </w:r>
      <w:r w:rsidR="00D30775">
        <w:rPr>
          <w:szCs w:val="24"/>
        </w:rPr>
        <w:t>41</w:t>
      </w:r>
      <w:r>
        <w:rPr>
          <w:szCs w:val="24"/>
        </w:rPr>
        <w:t xml:space="preserve"> </w:t>
      </w:r>
      <w:r w:rsidR="00DE616C">
        <w:rPr>
          <w:szCs w:val="24"/>
        </w:rPr>
        <w:t xml:space="preserve">of Schedule 1 </w:t>
      </w:r>
      <w:r>
        <w:rPr>
          <w:szCs w:val="24"/>
        </w:rPr>
        <w:t>repeals paragraph</w:t>
      </w:r>
      <w:r w:rsidR="00DE616C">
        <w:rPr>
          <w:szCs w:val="24"/>
        </w:rPr>
        <w:t xml:space="preserve"> (b) of 75-175(2) </w:t>
      </w:r>
      <w:r>
        <w:rPr>
          <w:szCs w:val="24"/>
        </w:rPr>
        <w:t xml:space="preserve">and replaces it with </w:t>
      </w:r>
      <w:r w:rsidR="00E55B6B">
        <w:rPr>
          <w:szCs w:val="24"/>
        </w:rPr>
        <w:t>a new paragraph</w:t>
      </w:r>
      <w:r w:rsidR="00EE7845">
        <w:rPr>
          <w:szCs w:val="24"/>
        </w:rPr>
        <w:t xml:space="preserve"> which includes four subparagraphs</w:t>
      </w:r>
      <w:r w:rsidR="00E077BD">
        <w:rPr>
          <w:szCs w:val="24"/>
        </w:rPr>
        <w:t xml:space="preserve"> listing</w:t>
      </w:r>
      <w:r w:rsidR="00EE7845">
        <w:rPr>
          <w:szCs w:val="24"/>
        </w:rPr>
        <w:t xml:space="preserve"> the information </w:t>
      </w:r>
      <w:r w:rsidR="00E077BD">
        <w:rPr>
          <w:szCs w:val="24"/>
        </w:rPr>
        <w:t>to</w:t>
      </w:r>
      <w:r w:rsidR="00EE7845">
        <w:rPr>
          <w:szCs w:val="24"/>
        </w:rPr>
        <w:t xml:space="preserve"> be provided to creditors five business days prior to a meeting of creditors. That information includes</w:t>
      </w:r>
      <w:r w:rsidR="002B2DF2">
        <w:rPr>
          <w:szCs w:val="24"/>
        </w:rPr>
        <w:t>:</w:t>
      </w:r>
      <w:r w:rsidR="00EE7845">
        <w:rPr>
          <w:szCs w:val="24"/>
        </w:rPr>
        <w:t xml:space="preserve"> the proposal and a report o</w:t>
      </w:r>
      <w:r w:rsidR="00123565">
        <w:rPr>
          <w:szCs w:val="24"/>
        </w:rPr>
        <w:t>n</w:t>
      </w:r>
      <w:r w:rsidR="00EE7845">
        <w:rPr>
          <w:szCs w:val="24"/>
        </w:rPr>
        <w:t xml:space="preserve"> the proposal; a copy of the </w:t>
      </w:r>
      <w:r w:rsidR="0038569B">
        <w:rPr>
          <w:szCs w:val="24"/>
        </w:rPr>
        <w:t xml:space="preserve">regulated debtor’s </w:t>
      </w:r>
      <w:r w:rsidR="00EE7845">
        <w:rPr>
          <w:szCs w:val="24"/>
        </w:rPr>
        <w:t xml:space="preserve">statement of affairs or a summary of that statement (if the meeting is a first meeting of creditors that is held during the administration of the estate); a copy of the declaration referred to in section 73B of the Act (if this applies in relation to the composition or scheme of arrangement); and a form for the purposes of </w:t>
      </w:r>
      <w:r w:rsidR="005D1DBA">
        <w:rPr>
          <w:szCs w:val="24"/>
        </w:rPr>
        <w:t xml:space="preserve">new </w:t>
      </w:r>
      <w:r w:rsidR="00EE7845">
        <w:rPr>
          <w:szCs w:val="24"/>
        </w:rPr>
        <w:t xml:space="preserve">subsection </w:t>
      </w:r>
      <w:r w:rsidR="005D1DBA">
        <w:rPr>
          <w:szCs w:val="24"/>
        </w:rPr>
        <w:t>75-175</w:t>
      </w:r>
      <w:r w:rsidR="00EE7845">
        <w:rPr>
          <w:szCs w:val="24"/>
        </w:rPr>
        <w:t>(</w:t>
      </w:r>
      <w:r w:rsidR="002B2DF2">
        <w:rPr>
          <w:szCs w:val="24"/>
        </w:rPr>
        <w:t>5</w:t>
      </w:r>
      <w:r w:rsidR="00EE7845">
        <w:rPr>
          <w:szCs w:val="24"/>
        </w:rPr>
        <w:t xml:space="preserve">) </w:t>
      </w:r>
      <w:r w:rsidR="005D1DBA">
        <w:rPr>
          <w:szCs w:val="24"/>
        </w:rPr>
        <w:t>(see item 46)</w:t>
      </w:r>
      <w:r w:rsidR="00EE7845">
        <w:rPr>
          <w:szCs w:val="24"/>
        </w:rPr>
        <w:t>.</w:t>
      </w:r>
    </w:p>
    <w:p w14:paraId="2A8BB2BB" w14:textId="69AB00DA" w:rsidR="00D15BE6" w:rsidRDefault="00D15BE6" w:rsidP="00DA0CFD">
      <w:pPr>
        <w:spacing w:before="100" w:beforeAutospacing="1" w:after="100" w:afterAutospacing="1"/>
        <w:rPr>
          <w:szCs w:val="24"/>
        </w:rPr>
      </w:pPr>
      <w:r>
        <w:rPr>
          <w:szCs w:val="24"/>
        </w:rPr>
        <w:t>These amendments replicate the requirements for the trustee to prepare and provide a report on</w:t>
      </w:r>
      <w:r w:rsidR="005F7116">
        <w:rPr>
          <w:szCs w:val="24"/>
        </w:rPr>
        <w:t xml:space="preserve"> the</w:t>
      </w:r>
      <w:r>
        <w:rPr>
          <w:szCs w:val="24"/>
        </w:rPr>
        <w:t xml:space="preserve"> proposals that will be put to creditors before a meeting of creditors as required under </w:t>
      </w:r>
      <w:r w:rsidR="00DE616C">
        <w:rPr>
          <w:szCs w:val="24"/>
        </w:rPr>
        <w:t>subs</w:t>
      </w:r>
      <w:r>
        <w:rPr>
          <w:szCs w:val="24"/>
        </w:rPr>
        <w:t xml:space="preserve">ection 73(2) of </w:t>
      </w:r>
      <w:r w:rsidR="00DE616C">
        <w:rPr>
          <w:szCs w:val="24"/>
        </w:rPr>
        <w:t xml:space="preserve">the </w:t>
      </w:r>
      <w:r>
        <w:rPr>
          <w:szCs w:val="24"/>
        </w:rPr>
        <w:t xml:space="preserve">Act.  </w:t>
      </w:r>
      <w:r w:rsidR="0038569B">
        <w:rPr>
          <w:szCs w:val="24"/>
        </w:rPr>
        <w:t xml:space="preserve">Section 73 of the Act </w:t>
      </w:r>
      <w:r w:rsidR="00BF59F6">
        <w:rPr>
          <w:szCs w:val="24"/>
        </w:rPr>
        <w:t>is</w:t>
      </w:r>
      <w:r w:rsidR="00DE616C">
        <w:rPr>
          <w:szCs w:val="24"/>
        </w:rPr>
        <w:t xml:space="preserve"> repealed on</w:t>
      </w:r>
      <w:r>
        <w:rPr>
          <w:szCs w:val="24"/>
        </w:rPr>
        <w:t xml:space="preserve"> 1 September 2017. </w:t>
      </w:r>
      <w:r w:rsidR="0038569B">
        <w:rPr>
          <w:szCs w:val="24"/>
        </w:rPr>
        <w:t xml:space="preserve">Accordingly, </w:t>
      </w:r>
      <w:r w:rsidR="005F7116">
        <w:rPr>
          <w:szCs w:val="24"/>
        </w:rPr>
        <w:t>i</w:t>
      </w:r>
      <w:r w:rsidR="0038569B">
        <w:rPr>
          <w:szCs w:val="24"/>
        </w:rPr>
        <w:t xml:space="preserve">tem </w:t>
      </w:r>
      <w:r w:rsidR="0008552E">
        <w:rPr>
          <w:szCs w:val="24"/>
        </w:rPr>
        <w:t xml:space="preserve">41 </w:t>
      </w:r>
      <w:r w:rsidR="0038569B">
        <w:rPr>
          <w:szCs w:val="24"/>
        </w:rPr>
        <w:t xml:space="preserve">also removes the reference to section 73 in section 75-175 of the Rules. </w:t>
      </w:r>
    </w:p>
    <w:p w14:paraId="4C548966" w14:textId="1B713C35" w:rsidR="00D15BE6" w:rsidRDefault="00D15BE6" w:rsidP="00DA0CFD">
      <w:pPr>
        <w:spacing w:before="100" w:beforeAutospacing="1" w:after="100" w:afterAutospacing="1"/>
        <w:rPr>
          <w:szCs w:val="24"/>
        </w:rPr>
      </w:pPr>
      <w:r>
        <w:rPr>
          <w:szCs w:val="24"/>
        </w:rPr>
        <w:t xml:space="preserve">Further, item 1 of Schedule </w:t>
      </w:r>
      <w:r w:rsidR="00E3657B">
        <w:rPr>
          <w:szCs w:val="24"/>
        </w:rPr>
        <w:t>2</w:t>
      </w:r>
      <w:r>
        <w:rPr>
          <w:szCs w:val="24"/>
        </w:rPr>
        <w:t xml:space="preserve"> to the Regulations currently require</w:t>
      </w:r>
      <w:r w:rsidR="005D1DBA">
        <w:rPr>
          <w:szCs w:val="24"/>
        </w:rPr>
        <w:t>s</w:t>
      </w:r>
      <w:r>
        <w:rPr>
          <w:szCs w:val="24"/>
        </w:rPr>
        <w:t xml:space="preserve"> the bankrupt’s statement of affairs (or a summary of it) to be attached to the notice of the meeting of creditors. </w:t>
      </w:r>
      <w:r w:rsidR="005D1DBA">
        <w:rPr>
          <w:szCs w:val="24"/>
        </w:rPr>
        <w:t xml:space="preserve">As Schedule 2 </w:t>
      </w:r>
      <w:r w:rsidR="00BF59F6">
        <w:rPr>
          <w:szCs w:val="24"/>
        </w:rPr>
        <w:t>is</w:t>
      </w:r>
      <w:r w:rsidR="005D1DBA">
        <w:rPr>
          <w:szCs w:val="24"/>
        </w:rPr>
        <w:t xml:space="preserve"> repealed on 1 September 2017, t</w:t>
      </w:r>
      <w:r w:rsidR="00E3657B">
        <w:rPr>
          <w:szCs w:val="24"/>
        </w:rPr>
        <w:t xml:space="preserve">he </w:t>
      </w:r>
      <w:r>
        <w:rPr>
          <w:szCs w:val="24"/>
        </w:rPr>
        <w:t>requirement</w:t>
      </w:r>
      <w:r w:rsidR="005D1DBA">
        <w:rPr>
          <w:szCs w:val="24"/>
        </w:rPr>
        <w:t xml:space="preserve"> to provide these documents</w:t>
      </w:r>
      <w:r>
        <w:rPr>
          <w:szCs w:val="24"/>
        </w:rPr>
        <w:t xml:space="preserve"> ha</w:t>
      </w:r>
      <w:r w:rsidR="005D1DBA">
        <w:rPr>
          <w:szCs w:val="24"/>
        </w:rPr>
        <w:t>s</w:t>
      </w:r>
      <w:r>
        <w:rPr>
          <w:szCs w:val="24"/>
        </w:rPr>
        <w:t xml:space="preserve"> </w:t>
      </w:r>
      <w:r w:rsidR="00E3657B">
        <w:rPr>
          <w:szCs w:val="24"/>
        </w:rPr>
        <w:t xml:space="preserve">also </w:t>
      </w:r>
      <w:r>
        <w:rPr>
          <w:szCs w:val="24"/>
        </w:rPr>
        <w:t>been incorporated in</w:t>
      </w:r>
      <w:r w:rsidR="00DE616C">
        <w:rPr>
          <w:szCs w:val="24"/>
        </w:rPr>
        <w:t>to</w:t>
      </w:r>
      <w:r>
        <w:rPr>
          <w:szCs w:val="24"/>
        </w:rPr>
        <w:t xml:space="preserve"> paragraph</w:t>
      </w:r>
      <w:r w:rsidR="000D0486">
        <w:rPr>
          <w:szCs w:val="24"/>
        </w:rPr>
        <w:t xml:space="preserve"> 75-175(2</w:t>
      </w:r>
      <w:proofErr w:type="gramStart"/>
      <w:r w:rsidR="000D0486">
        <w:rPr>
          <w:szCs w:val="24"/>
        </w:rPr>
        <w:t>)(</w:t>
      </w:r>
      <w:proofErr w:type="gramEnd"/>
      <w:r w:rsidR="000D0486">
        <w:rPr>
          <w:szCs w:val="24"/>
        </w:rPr>
        <w:t>b)</w:t>
      </w:r>
      <w:r w:rsidR="005D1DBA">
        <w:rPr>
          <w:szCs w:val="24"/>
        </w:rPr>
        <w:t xml:space="preserve"> to ensure creditors receive them before the meeting</w:t>
      </w:r>
      <w:r>
        <w:rPr>
          <w:szCs w:val="24"/>
        </w:rPr>
        <w:t xml:space="preserve">. </w:t>
      </w:r>
    </w:p>
    <w:p w14:paraId="3810D3A8" w14:textId="772B9502" w:rsidR="002B16B6" w:rsidRPr="00230DC8" w:rsidRDefault="002B16B6" w:rsidP="002B16B6">
      <w:pPr>
        <w:rPr>
          <w:i/>
          <w:szCs w:val="24"/>
        </w:rPr>
      </w:pPr>
      <w:r w:rsidRPr="00DE616C">
        <w:rPr>
          <w:i/>
          <w:szCs w:val="24"/>
        </w:rPr>
        <w:t xml:space="preserve">Item </w:t>
      </w:r>
      <w:r w:rsidR="00D30775">
        <w:rPr>
          <w:i/>
          <w:szCs w:val="24"/>
        </w:rPr>
        <w:t>42</w:t>
      </w:r>
      <w:r w:rsidR="00845472">
        <w:rPr>
          <w:i/>
          <w:szCs w:val="24"/>
        </w:rPr>
        <w:t xml:space="preserve"> </w:t>
      </w:r>
      <w:r w:rsidRPr="00DE616C">
        <w:rPr>
          <w:i/>
          <w:szCs w:val="24"/>
        </w:rPr>
        <w:t>- After</w:t>
      </w:r>
      <w:r w:rsidRPr="00230DC8">
        <w:rPr>
          <w:i/>
          <w:szCs w:val="24"/>
        </w:rPr>
        <w:t xml:space="preserve"> subsection 75-175(2) </w:t>
      </w:r>
    </w:p>
    <w:p w14:paraId="582CBDB6" w14:textId="27EF9377" w:rsidR="003A65AB" w:rsidRDefault="003A65AB" w:rsidP="002B16B6">
      <w:pPr>
        <w:shd w:val="clear" w:color="auto" w:fill="FFFFFF"/>
        <w:spacing w:before="100" w:beforeAutospacing="1" w:after="100" w:afterAutospacing="1"/>
        <w:rPr>
          <w:szCs w:val="24"/>
        </w:rPr>
      </w:pPr>
      <w:r>
        <w:rPr>
          <w:szCs w:val="24"/>
        </w:rPr>
        <w:t xml:space="preserve">Item </w:t>
      </w:r>
      <w:r w:rsidR="00D30775">
        <w:rPr>
          <w:szCs w:val="24"/>
        </w:rPr>
        <w:t>42</w:t>
      </w:r>
      <w:r>
        <w:rPr>
          <w:szCs w:val="24"/>
        </w:rPr>
        <w:t xml:space="preserve"> of Schedule 1 inserts four new subsections</w:t>
      </w:r>
      <w:r w:rsidR="00310631">
        <w:rPr>
          <w:szCs w:val="24"/>
        </w:rPr>
        <w:t>,</w:t>
      </w:r>
      <w:r>
        <w:rPr>
          <w:szCs w:val="24"/>
        </w:rPr>
        <w:t xml:space="preserve"> (2A)-(2D)</w:t>
      </w:r>
      <w:r w:rsidR="00310631">
        <w:rPr>
          <w:szCs w:val="24"/>
        </w:rPr>
        <w:t>,</w:t>
      </w:r>
      <w:r>
        <w:rPr>
          <w:szCs w:val="24"/>
        </w:rPr>
        <w:t xml:space="preserve"> into section 75-175 of the Rules. </w:t>
      </w:r>
    </w:p>
    <w:p w14:paraId="770AE1C8" w14:textId="79AAC643" w:rsidR="002B16B6" w:rsidRDefault="002B16B6" w:rsidP="002B16B6">
      <w:pPr>
        <w:shd w:val="clear" w:color="auto" w:fill="FFFFFF"/>
        <w:spacing w:before="100" w:beforeAutospacing="1" w:after="100" w:afterAutospacing="1"/>
        <w:rPr>
          <w:szCs w:val="24"/>
        </w:rPr>
      </w:pPr>
      <w:r>
        <w:rPr>
          <w:szCs w:val="24"/>
        </w:rPr>
        <w:t xml:space="preserve">Item </w:t>
      </w:r>
      <w:r w:rsidR="0053473F">
        <w:rPr>
          <w:szCs w:val="24"/>
        </w:rPr>
        <w:t>41</w:t>
      </w:r>
      <w:r>
        <w:rPr>
          <w:szCs w:val="24"/>
        </w:rPr>
        <w:t xml:space="preserve"> of Schedule 1 insert</w:t>
      </w:r>
      <w:r w:rsidR="00E72396">
        <w:rPr>
          <w:szCs w:val="24"/>
        </w:rPr>
        <w:t>s</w:t>
      </w:r>
      <w:r>
        <w:rPr>
          <w:szCs w:val="24"/>
        </w:rPr>
        <w:t xml:space="preserve"> subparagraph 75-175(2)(b)(ii) which requires the trustee to provide a statement of affairs to the creditors </w:t>
      </w:r>
      <w:r w:rsidR="005F7116">
        <w:rPr>
          <w:szCs w:val="24"/>
        </w:rPr>
        <w:t>five</w:t>
      </w:r>
      <w:r>
        <w:rPr>
          <w:szCs w:val="24"/>
        </w:rPr>
        <w:t xml:space="preserve"> business days before the first meeting of creditors held during an administration of </w:t>
      </w:r>
      <w:r w:rsidR="004D1058">
        <w:rPr>
          <w:szCs w:val="24"/>
        </w:rPr>
        <w:t>the</w:t>
      </w:r>
      <w:r>
        <w:rPr>
          <w:szCs w:val="24"/>
        </w:rPr>
        <w:t xml:space="preserve"> </w:t>
      </w:r>
      <w:r w:rsidR="004D1058">
        <w:rPr>
          <w:szCs w:val="24"/>
        </w:rPr>
        <w:t>e</w:t>
      </w:r>
      <w:r>
        <w:rPr>
          <w:szCs w:val="24"/>
        </w:rPr>
        <w:t>state.</w:t>
      </w:r>
      <w:r w:rsidR="003A65AB">
        <w:rPr>
          <w:szCs w:val="24"/>
        </w:rPr>
        <w:t xml:space="preserve"> </w:t>
      </w:r>
      <w:r w:rsidR="00310631">
        <w:rPr>
          <w:szCs w:val="24"/>
        </w:rPr>
        <w:t>New</w:t>
      </w:r>
      <w:r>
        <w:rPr>
          <w:szCs w:val="24"/>
        </w:rPr>
        <w:t xml:space="preserve"> subsection 75</w:t>
      </w:r>
      <w:r w:rsidR="001B1120">
        <w:rPr>
          <w:szCs w:val="24"/>
        </w:rPr>
        <w:noBreakHyphen/>
      </w:r>
      <w:proofErr w:type="gramStart"/>
      <w:r>
        <w:rPr>
          <w:szCs w:val="24"/>
        </w:rPr>
        <w:t>175</w:t>
      </w:r>
      <w:r w:rsidRPr="006B0F00">
        <w:rPr>
          <w:szCs w:val="24"/>
        </w:rPr>
        <w:t>(</w:t>
      </w:r>
      <w:proofErr w:type="gramEnd"/>
      <w:r w:rsidRPr="006B0F00">
        <w:rPr>
          <w:szCs w:val="24"/>
        </w:rPr>
        <w:t>2A)</w:t>
      </w:r>
      <w:r>
        <w:rPr>
          <w:szCs w:val="24"/>
        </w:rPr>
        <w:t xml:space="preserve"> contains an obligation for trustees not to give creditors information which must not be made available to the public, as indicated in the approved form of a </w:t>
      </w:r>
      <w:r w:rsidR="001B4A3C">
        <w:rPr>
          <w:szCs w:val="24"/>
        </w:rPr>
        <w:t xml:space="preserve">regulated </w:t>
      </w:r>
      <w:r>
        <w:rPr>
          <w:szCs w:val="24"/>
        </w:rPr>
        <w:t xml:space="preserve">debtor’s statement of affairs. </w:t>
      </w:r>
      <w:r>
        <w:t xml:space="preserve">This will ensure the privacy of the </w:t>
      </w:r>
      <w:r w:rsidR="004A7111">
        <w:t>regulated debtor</w:t>
      </w:r>
      <w:r>
        <w:t xml:space="preserve"> is maintained when a statement of affairs is provided under </w:t>
      </w:r>
      <w:r>
        <w:rPr>
          <w:szCs w:val="24"/>
        </w:rPr>
        <w:t>subparagraph 75</w:t>
      </w:r>
      <w:r w:rsidR="001B1120">
        <w:rPr>
          <w:szCs w:val="24"/>
        </w:rPr>
        <w:noBreakHyphen/>
      </w:r>
      <w:proofErr w:type="gramStart"/>
      <w:r>
        <w:rPr>
          <w:szCs w:val="24"/>
        </w:rPr>
        <w:t>175(</w:t>
      </w:r>
      <w:proofErr w:type="gramEnd"/>
      <w:r>
        <w:rPr>
          <w:szCs w:val="24"/>
        </w:rPr>
        <w:t>2)(b)(ii)</w:t>
      </w:r>
      <w:r w:rsidR="001B1120">
        <w:rPr>
          <w:szCs w:val="24"/>
        </w:rPr>
        <w:t>.</w:t>
      </w:r>
    </w:p>
    <w:p w14:paraId="3453B9EC" w14:textId="48FAFE63" w:rsidR="001B1120" w:rsidRDefault="002B16B6" w:rsidP="002B16B6">
      <w:pPr>
        <w:spacing w:before="100" w:beforeAutospacing="1" w:after="100" w:afterAutospacing="1"/>
        <w:rPr>
          <w:szCs w:val="24"/>
        </w:rPr>
      </w:pPr>
      <w:r>
        <w:rPr>
          <w:szCs w:val="24"/>
        </w:rPr>
        <w:t xml:space="preserve">Section 73A of the Act provides the trustee with the option to require </w:t>
      </w:r>
      <w:r w:rsidR="004A7111">
        <w:rPr>
          <w:szCs w:val="24"/>
        </w:rPr>
        <w:t>a bankrupt</w:t>
      </w:r>
      <w:r w:rsidR="008A4581">
        <w:rPr>
          <w:szCs w:val="24"/>
        </w:rPr>
        <w:t xml:space="preserve"> </w:t>
      </w:r>
      <w:r>
        <w:rPr>
          <w:szCs w:val="24"/>
        </w:rPr>
        <w:t xml:space="preserve">to lodge an amount before the meeting to cover the estimated costs of arranging and holding the meeting and the estimated remuneration that will be payable to the trustee </w:t>
      </w:r>
      <w:r w:rsidR="00BF59F6">
        <w:rPr>
          <w:szCs w:val="24"/>
        </w:rPr>
        <w:t xml:space="preserve">with </w:t>
      </w:r>
      <w:r>
        <w:rPr>
          <w:szCs w:val="24"/>
        </w:rPr>
        <w:t xml:space="preserve">respect to the meeting. Subsection </w:t>
      </w:r>
      <w:proofErr w:type="gramStart"/>
      <w:r>
        <w:rPr>
          <w:szCs w:val="24"/>
        </w:rPr>
        <w:t>73A(</w:t>
      </w:r>
      <w:proofErr w:type="gramEnd"/>
      <w:r>
        <w:rPr>
          <w:szCs w:val="24"/>
        </w:rPr>
        <w:t xml:space="preserve">2) of the Act requires the trustee to refund any excess amount, paid under the section 73A requirement, back to the </w:t>
      </w:r>
      <w:r w:rsidR="004A7111">
        <w:rPr>
          <w:szCs w:val="24"/>
        </w:rPr>
        <w:t>bankrupt</w:t>
      </w:r>
      <w:r>
        <w:rPr>
          <w:szCs w:val="24"/>
        </w:rPr>
        <w:t xml:space="preserve">. </w:t>
      </w:r>
    </w:p>
    <w:p w14:paraId="7784A752" w14:textId="2E1642A3" w:rsidR="002B16B6" w:rsidRDefault="002B16B6" w:rsidP="002B16B6">
      <w:pPr>
        <w:spacing w:before="100" w:beforeAutospacing="1" w:after="100" w:afterAutospacing="1"/>
        <w:rPr>
          <w:szCs w:val="24"/>
        </w:rPr>
      </w:pPr>
      <w:r>
        <w:rPr>
          <w:szCs w:val="24"/>
        </w:rPr>
        <w:t xml:space="preserve">Section 73A is repealed by </w:t>
      </w:r>
      <w:r w:rsidR="00EC79B7">
        <w:rPr>
          <w:szCs w:val="24"/>
        </w:rPr>
        <w:t>the Amending Act</w:t>
      </w:r>
      <w:r>
        <w:rPr>
          <w:szCs w:val="24"/>
        </w:rPr>
        <w:t xml:space="preserve">. </w:t>
      </w:r>
      <w:r w:rsidR="00310631">
        <w:rPr>
          <w:szCs w:val="24"/>
        </w:rPr>
        <w:t>New</w:t>
      </w:r>
      <w:r>
        <w:rPr>
          <w:szCs w:val="24"/>
        </w:rPr>
        <w:t xml:space="preserve"> subsection 75-175(2B</w:t>
      </w:r>
      <w:r w:rsidRPr="006B0F00">
        <w:rPr>
          <w:szCs w:val="24"/>
        </w:rPr>
        <w:t>)</w:t>
      </w:r>
      <w:r>
        <w:rPr>
          <w:szCs w:val="24"/>
        </w:rPr>
        <w:t xml:space="preserve">, will replicate </w:t>
      </w:r>
      <w:r w:rsidR="00E85E30">
        <w:rPr>
          <w:szCs w:val="24"/>
        </w:rPr>
        <w:t>s</w:t>
      </w:r>
      <w:r>
        <w:rPr>
          <w:szCs w:val="24"/>
        </w:rPr>
        <w:t>ection 73A of the Act to ensure the trustee may still require advance</w:t>
      </w:r>
      <w:r w:rsidR="00310631">
        <w:rPr>
          <w:szCs w:val="24"/>
        </w:rPr>
        <w:t>d</w:t>
      </w:r>
      <w:r>
        <w:rPr>
          <w:szCs w:val="24"/>
        </w:rPr>
        <w:t xml:space="preserve"> lodgement of costs and remuneration before the meeting. </w:t>
      </w:r>
      <w:r w:rsidR="00EA21C1">
        <w:rPr>
          <w:szCs w:val="24"/>
        </w:rPr>
        <w:t>In the case of a registered trustee, the remuneration will ultimately have to be determined by the creditors, a committee of inspection, or the Inspector-General, pursuant to sections 60-10 or 60</w:t>
      </w:r>
      <w:r w:rsidR="001B1120">
        <w:rPr>
          <w:szCs w:val="24"/>
        </w:rPr>
        <w:noBreakHyphen/>
      </w:r>
      <w:r w:rsidR="00EA21C1">
        <w:rPr>
          <w:szCs w:val="24"/>
        </w:rPr>
        <w:t xml:space="preserve">11 of Schedule </w:t>
      </w:r>
      <w:r w:rsidR="001B1120">
        <w:rPr>
          <w:szCs w:val="24"/>
        </w:rPr>
        <w:t>2 of</w:t>
      </w:r>
      <w:r w:rsidR="00EA21C1">
        <w:rPr>
          <w:szCs w:val="24"/>
        </w:rPr>
        <w:t xml:space="preserve"> the Act. </w:t>
      </w:r>
      <w:r w:rsidR="00310631">
        <w:rPr>
          <w:szCs w:val="24"/>
        </w:rPr>
        <w:t>New</w:t>
      </w:r>
      <w:r>
        <w:rPr>
          <w:szCs w:val="24"/>
        </w:rPr>
        <w:t xml:space="preserve"> subsection 75-175(2C) </w:t>
      </w:r>
      <w:r w:rsidR="00310631">
        <w:rPr>
          <w:szCs w:val="24"/>
        </w:rPr>
        <w:t>requires</w:t>
      </w:r>
      <w:r>
        <w:rPr>
          <w:szCs w:val="24"/>
        </w:rPr>
        <w:t xml:space="preserve"> the trustee </w:t>
      </w:r>
      <w:r w:rsidR="00310631">
        <w:rPr>
          <w:szCs w:val="24"/>
        </w:rPr>
        <w:t xml:space="preserve">to </w:t>
      </w:r>
      <w:r>
        <w:rPr>
          <w:szCs w:val="24"/>
        </w:rPr>
        <w:t>refund any excess amount paid for the purposes of subsection 75-175(2B</w:t>
      </w:r>
      <w:r w:rsidRPr="006B0F00">
        <w:rPr>
          <w:szCs w:val="24"/>
        </w:rPr>
        <w:t>)</w:t>
      </w:r>
      <w:r>
        <w:rPr>
          <w:szCs w:val="24"/>
        </w:rPr>
        <w:t xml:space="preserve"> back to the regulated debtor.</w:t>
      </w:r>
    </w:p>
    <w:p w14:paraId="3713E3C2" w14:textId="424624C8" w:rsidR="002B16B6" w:rsidRDefault="002472B0" w:rsidP="002B16B6">
      <w:pPr>
        <w:spacing w:before="100" w:beforeAutospacing="1" w:after="100" w:afterAutospacing="1"/>
        <w:rPr>
          <w:szCs w:val="24"/>
        </w:rPr>
      </w:pPr>
      <w:r>
        <w:rPr>
          <w:szCs w:val="24"/>
        </w:rPr>
        <w:t>Previously w</w:t>
      </w:r>
      <w:r w:rsidR="002B16B6">
        <w:rPr>
          <w:szCs w:val="24"/>
        </w:rPr>
        <w:t xml:space="preserve">hen a meeting of creditors was called under subsection 73(2) of the Act the trustee was required to provide a copy of the proposal accompanied by a report (see </w:t>
      </w:r>
      <w:r w:rsidR="001B1120">
        <w:rPr>
          <w:szCs w:val="24"/>
        </w:rPr>
        <w:t>i</w:t>
      </w:r>
      <w:r w:rsidR="002B16B6">
        <w:rPr>
          <w:szCs w:val="24"/>
        </w:rPr>
        <w:t xml:space="preserve">tem </w:t>
      </w:r>
      <w:r w:rsidR="0053473F">
        <w:rPr>
          <w:szCs w:val="24"/>
        </w:rPr>
        <w:t>41</w:t>
      </w:r>
      <w:r w:rsidR="002B16B6">
        <w:rPr>
          <w:szCs w:val="24"/>
        </w:rPr>
        <w:t xml:space="preserve"> of Schedule 1 which replaces this requirement by inserting subparagraph 75-175</w:t>
      </w:r>
      <w:r w:rsidR="002B16B6" w:rsidRPr="001F0B56">
        <w:rPr>
          <w:szCs w:val="24"/>
        </w:rPr>
        <w:t>(2)(</w:t>
      </w:r>
      <w:r w:rsidR="002B16B6">
        <w:rPr>
          <w:szCs w:val="24"/>
        </w:rPr>
        <w:t>b)(</w:t>
      </w:r>
      <w:proofErr w:type="spellStart"/>
      <w:r w:rsidR="002B16B6">
        <w:rPr>
          <w:szCs w:val="24"/>
        </w:rPr>
        <w:t>i</w:t>
      </w:r>
      <w:proofErr w:type="spellEnd"/>
      <w:r w:rsidR="002B16B6">
        <w:rPr>
          <w:szCs w:val="24"/>
        </w:rPr>
        <w:t>)). Subsection 73(2A) of the Act require</w:t>
      </w:r>
      <w:r>
        <w:rPr>
          <w:szCs w:val="24"/>
        </w:rPr>
        <w:t>d</w:t>
      </w:r>
      <w:r w:rsidR="002B16B6">
        <w:rPr>
          <w:szCs w:val="24"/>
        </w:rPr>
        <w:t xml:space="preserve"> the report on the proposal to indicate </w:t>
      </w:r>
      <w:r w:rsidR="002B16B6" w:rsidRPr="001F0B56">
        <w:rPr>
          <w:szCs w:val="24"/>
        </w:rPr>
        <w:t xml:space="preserve">whether the proposal would benefit the </w:t>
      </w:r>
      <w:r w:rsidR="004A7111">
        <w:rPr>
          <w:szCs w:val="24"/>
        </w:rPr>
        <w:t>bankrupt’s</w:t>
      </w:r>
      <w:r w:rsidR="002B16B6" w:rsidRPr="001F0B56">
        <w:rPr>
          <w:szCs w:val="24"/>
        </w:rPr>
        <w:t xml:space="preserve"> creditors generally</w:t>
      </w:r>
      <w:r w:rsidR="002B16B6">
        <w:rPr>
          <w:szCs w:val="24"/>
        </w:rPr>
        <w:t xml:space="preserve">. Subsection 73(2AA) required that the report </w:t>
      </w:r>
      <w:r w:rsidR="002B16B6" w:rsidRPr="001F0B56">
        <w:rPr>
          <w:szCs w:val="24"/>
        </w:rPr>
        <w:t xml:space="preserve">name each creditor who was identified as a related entity of the </w:t>
      </w:r>
      <w:r w:rsidR="004A7111">
        <w:rPr>
          <w:szCs w:val="24"/>
        </w:rPr>
        <w:t>bankrupt</w:t>
      </w:r>
      <w:r w:rsidR="002B16B6" w:rsidRPr="001F0B56">
        <w:rPr>
          <w:szCs w:val="24"/>
        </w:rPr>
        <w:t xml:space="preserve"> in the statement of affairs</w:t>
      </w:r>
      <w:r w:rsidR="002B16B6">
        <w:rPr>
          <w:szCs w:val="24"/>
        </w:rPr>
        <w:t>.</w:t>
      </w:r>
      <w:r w:rsidR="002B16B6" w:rsidRPr="001F0B56">
        <w:rPr>
          <w:szCs w:val="24"/>
        </w:rPr>
        <w:t xml:space="preserve"> </w:t>
      </w:r>
      <w:r w:rsidR="002B16B6">
        <w:rPr>
          <w:szCs w:val="24"/>
        </w:rPr>
        <w:t xml:space="preserve">Subsections 73(2A) and (2AA) of the Act are repealed by </w:t>
      </w:r>
      <w:r w:rsidR="00ED0C1F" w:rsidRPr="00ED0C1F">
        <w:rPr>
          <w:szCs w:val="24"/>
        </w:rPr>
        <w:t>the Amending Act</w:t>
      </w:r>
      <w:r w:rsidR="002B16B6">
        <w:rPr>
          <w:szCs w:val="24"/>
        </w:rPr>
        <w:t xml:space="preserve">. </w:t>
      </w:r>
      <w:r w:rsidR="009F0D80">
        <w:rPr>
          <w:szCs w:val="24"/>
        </w:rPr>
        <w:t>New</w:t>
      </w:r>
      <w:r w:rsidR="002B16B6">
        <w:rPr>
          <w:szCs w:val="24"/>
        </w:rPr>
        <w:t xml:space="preserve"> subsection 75-175(2D</w:t>
      </w:r>
      <w:r w:rsidR="002B16B6" w:rsidRPr="006B0F00">
        <w:rPr>
          <w:szCs w:val="24"/>
        </w:rPr>
        <w:t>)</w:t>
      </w:r>
      <w:r w:rsidR="002B16B6">
        <w:rPr>
          <w:szCs w:val="24"/>
        </w:rPr>
        <w:t xml:space="preserve"> replicate</w:t>
      </w:r>
      <w:r w:rsidR="009F0D80">
        <w:rPr>
          <w:szCs w:val="24"/>
        </w:rPr>
        <w:t>s</w:t>
      </w:r>
      <w:r w:rsidR="002B16B6">
        <w:rPr>
          <w:szCs w:val="24"/>
        </w:rPr>
        <w:t xml:space="preserve"> subsections 73(2A) and (2AA) of the Act. This will ensure that the trustee must provide a report on the proposal referred to </w:t>
      </w:r>
      <w:r w:rsidR="002B16B6" w:rsidRPr="0045242C">
        <w:rPr>
          <w:szCs w:val="24"/>
        </w:rPr>
        <w:t xml:space="preserve">in subparagraph </w:t>
      </w:r>
      <w:r w:rsidR="009F0D80">
        <w:rPr>
          <w:szCs w:val="24"/>
        </w:rPr>
        <w:t>75-175</w:t>
      </w:r>
      <w:r w:rsidR="002B16B6" w:rsidRPr="0045242C">
        <w:rPr>
          <w:szCs w:val="24"/>
        </w:rPr>
        <w:t>(2)(b)(</w:t>
      </w:r>
      <w:proofErr w:type="spellStart"/>
      <w:r w:rsidR="002B16B6" w:rsidRPr="0045242C">
        <w:rPr>
          <w:szCs w:val="24"/>
        </w:rPr>
        <w:t>i</w:t>
      </w:r>
      <w:proofErr w:type="spellEnd"/>
      <w:r w:rsidR="002B16B6" w:rsidRPr="0045242C">
        <w:rPr>
          <w:szCs w:val="24"/>
        </w:rPr>
        <w:t>)</w:t>
      </w:r>
      <w:r w:rsidR="002B16B6">
        <w:rPr>
          <w:szCs w:val="24"/>
        </w:rPr>
        <w:t xml:space="preserve"> </w:t>
      </w:r>
      <w:r w:rsidR="00321BEF">
        <w:rPr>
          <w:szCs w:val="24"/>
        </w:rPr>
        <w:t>indicating</w:t>
      </w:r>
      <w:r w:rsidR="002B16B6">
        <w:rPr>
          <w:szCs w:val="24"/>
        </w:rPr>
        <w:t xml:space="preserve"> </w:t>
      </w:r>
      <w:r w:rsidR="002B16B6" w:rsidRPr="0045242C">
        <w:rPr>
          <w:szCs w:val="24"/>
        </w:rPr>
        <w:t>whether the proposal would benefit the regulated debtor’s creditors generally</w:t>
      </w:r>
      <w:r w:rsidR="002B16B6">
        <w:rPr>
          <w:szCs w:val="24"/>
        </w:rPr>
        <w:t xml:space="preserve"> and </w:t>
      </w:r>
      <w:r w:rsidR="002B16B6" w:rsidRPr="0045242C">
        <w:rPr>
          <w:szCs w:val="24"/>
        </w:rPr>
        <w:t>name each creditor who was identified as a related entity of the regulated debtor in the debtor’s statement of affairs</w:t>
      </w:r>
      <w:r w:rsidR="002B16B6">
        <w:rPr>
          <w:szCs w:val="24"/>
        </w:rPr>
        <w:t>.</w:t>
      </w:r>
    </w:p>
    <w:p w14:paraId="111563C5" w14:textId="347A0B4C" w:rsidR="002B16B6" w:rsidRPr="00230DC8" w:rsidRDefault="002B16B6" w:rsidP="002B16B6">
      <w:pPr>
        <w:rPr>
          <w:i/>
          <w:szCs w:val="24"/>
        </w:rPr>
      </w:pPr>
      <w:r w:rsidRPr="006F3907">
        <w:rPr>
          <w:i/>
          <w:szCs w:val="24"/>
        </w:rPr>
        <w:t xml:space="preserve">Item </w:t>
      </w:r>
      <w:r w:rsidR="0053473F">
        <w:rPr>
          <w:i/>
          <w:szCs w:val="24"/>
        </w:rPr>
        <w:t>43</w:t>
      </w:r>
      <w:r>
        <w:rPr>
          <w:i/>
          <w:szCs w:val="24"/>
        </w:rPr>
        <w:t xml:space="preserve"> - </w:t>
      </w:r>
      <w:r w:rsidRPr="00230DC8">
        <w:rPr>
          <w:i/>
          <w:szCs w:val="24"/>
        </w:rPr>
        <w:t xml:space="preserve">Subsection 75-175(3) </w:t>
      </w:r>
    </w:p>
    <w:p w14:paraId="7CA12B51" w14:textId="77777777" w:rsidR="002B16B6" w:rsidRDefault="002B16B6" w:rsidP="002B16B6">
      <w:pPr>
        <w:rPr>
          <w:szCs w:val="24"/>
        </w:rPr>
      </w:pPr>
      <w:r>
        <w:rPr>
          <w:szCs w:val="24"/>
        </w:rPr>
        <w:t xml:space="preserve">Subsection </w:t>
      </w:r>
      <w:r w:rsidRPr="0045242C">
        <w:rPr>
          <w:szCs w:val="24"/>
        </w:rPr>
        <w:t>75-175(3)</w:t>
      </w:r>
      <w:r>
        <w:rPr>
          <w:szCs w:val="24"/>
        </w:rPr>
        <w:t xml:space="preserve"> provides that the </w:t>
      </w:r>
      <w:r w:rsidRPr="001C335E">
        <w:rPr>
          <w:szCs w:val="24"/>
        </w:rPr>
        <w:t>trustee may refuse to call a meeting if the proposal does not make adequate provision for payment to th</w:t>
      </w:r>
      <w:r>
        <w:rPr>
          <w:szCs w:val="24"/>
        </w:rPr>
        <w:t>e trustee of accrued fees.</w:t>
      </w:r>
    </w:p>
    <w:p w14:paraId="4E07CFD1" w14:textId="5747F0AF" w:rsidR="002B16B6" w:rsidRDefault="002B16B6" w:rsidP="002B16B6">
      <w:pPr>
        <w:rPr>
          <w:szCs w:val="24"/>
        </w:rPr>
      </w:pPr>
      <w:r>
        <w:rPr>
          <w:szCs w:val="24"/>
        </w:rPr>
        <w:t xml:space="preserve">Item </w:t>
      </w:r>
      <w:r w:rsidR="0053473F">
        <w:rPr>
          <w:szCs w:val="24"/>
        </w:rPr>
        <w:t>43</w:t>
      </w:r>
      <w:r>
        <w:rPr>
          <w:szCs w:val="24"/>
        </w:rPr>
        <w:t xml:space="preserve"> of Schedule 1 deletes reference to </w:t>
      </w:r>
      <w:r w:rsidR="006F6B11">
        <w:rPr>
          <w:szCs w:val="24"/>
        </w:rPr>
        <w:t>‘</w:t>
      </w:r>
      <w:r>
        <w:rPr>
          <w:szCs w:val="24"/>
        </w:rPr>
        <w:t>payment to the trustee of accrued fees</w:t>
      </w:r>
      <w:r w:rsidR="006F6B11">
        <w:rPr>
          <w:szCs w:val="24"/>
        </w:rPr>
        <w:t>’</w:t>
      </w:r>
      <w:r>
        <w:rPr>
          <w:szCs w:val="24"/>
        </w:rPr>
        <w:t xml:space="preserve"> and replaces it with </w:t>
      </w:r>
      <w:r w:rsidR="006F6B11">
        <w:rPr>
          <w:szCs w:val="24"/>
        </w:rPr>
        <w:t>‘</w:t>
      </w:r>
      <w:r>
        <w:rPr>
          <w:szCs w:val="24"/>
        </w:rPr>
        <w:t>payment of accrued remuneration</w:t>
      </w:r>
      <w:r w:rsidR="006F6B11">
        <w:rPr>
          <w:szCs w:val="24"/>
        </w:rPr>
        <w:t>’</w:t>
      </w:r>
      <w:r>
        <w:rPr>
          <w:szCs w:val="24"/>
        </w:rPr>
        <w:t xml:space="preserve">. The </w:t>
      </w:r>
      <w:r w:rsidR="004A7111">
        <w:rPr>
          <w:szCs w:val="24"/>
        </w:rPr>
        <w:t xml:space="preserve">word </w:t>
      </w:r>
      <w:r w:rsidR="006F6B11">
        <w:rPr>
          <w:szCs w:val="24"/>
        </w:rPr>
        <w:t>‘</w:t>
      </w:r>
      <w:r w:rsidR="004A7111">
        <w:rPr>
          <w:szCs w:val="24"/>
        </w:rPr>
        <w:t>remuneration</w:t>
      </w:r>
      <w:r w:rsidR="006F6B11">
        <w:rPr>
          <w:szCs w:val="24"/>
        </w:rPr>
        <w:t>’</w:t>
      </w:r>
      <w:r w:rsidR="004A7111">
        <w:rPr>
          <w:szCs w:val="24"/>
        </w:rPr>
        <w:t xml:space="preserve"> is the more correct terminology and is consistent with the rest of the Rules</w:t>
      </w:r>
      <w:r>
        <w:rPr>
          <w:szCs w:val="24"/>
        </w:rPr>
        <w:t>.</w:t>
      </w:r>
    </w:p>
    <w:p w14:paraId="37C48F71" w14:textId="3C86A40F" w:rsidR="00D15BE6" w:rsidRPr="00F61D34" w:rsidRDefault="00D15BE6" w:rsidP="00394DE0">
      <w:pPr>
        <w:keepNext/>
        <w:spacing w:before="100" w:beforeAutospacing="1" w:after="100" w:afterAutospacing="1"/>
        <w:rPr>
          <w:i/>
          <w:szCs w:val="24"/>
        </w:rPr>
      </w:pPr>
      <w:r w:rsidRPr="00F61D34">
        <w:rPr>
          <w:i/>
          <w:szCs w:val="24"/>
        </w:rPr>
        <w:t xml:space="preserve">Item </w:t>
      </w:r>
      <w:r w:rsidR="0053473F">
        <w:rPr>
          <w:i/>
          <w:szCs w:val="24"/>
        </w:rPr>
        <w:t>44</w:t>
      </w:r>
      <w:r w:rsidR="00845472">
        <w:rPr>
          <w:i/>
          <w:szCs w:val="24"/>
        </w:rPr>
        <w:t xml:space="preserve"> </w:t>
      </w:r>
      <w:r w:rsidR="00F61D34">
        <w:rPr>
          <w:i/>
          <w:szCs w:val="24"/>
        </w:rPr>
        <w:t xml:space="preserve">- </w:t>
      </w:r>
      <w:r w:rsidRPr="00F61D34">
        <w:rPr>
          <w:i/>
          <w:szCs w:val="24"/>
        </w:rPr>
        <w:t>Paragraph 75-175(3</w:t>
      </w:r>
      <w:proofErr w:type="gramStart"/>
      <w:r w:rsidRPr="00F61D34">
        <w:rPr>
          <w:i/>
          <w:szCs w:val="24"/>
        </w:rPr>
        <w:t>)(</w:t>
      </w:r>
      <w:proofErr w:type="gramEnd"/>
      <w:r w:rsidRPr="00F61D34">
        <w:rPr>
          <w:i/>
          <w:szCs w:val="24"/>
        </w:rPr>
        <w:t xml:space="preserve">a) </w:t>
      </w:r>
    </w:p>
    <w:p w14:paraId="0ABFA80A" w14:textId="2707330B" w:rsidR="00D15BE6" w:rsidRDefault="00F61D34" w:rsidP="00394DE0">
      <w:pPr>
        <w:keepNext/>
        <w:spacing w:before="100" w:beforeAutospacing="1" w:after="100" w:afterAutospacing="1"/>
        <w:rPr>
          <w:szCs w:val="24"/>
        </w:rPr>
      </w:pPr>
      <w:r>
        <w:rPr>
          <w:szCs w:val="24"/>
        </w:rPr>
        <w:t xml:space="preserve">Item </w:t>
      </w:r>
      <w:r w:rsidR="0053473F">
        <w:rPr>
          <w:szCs w:val="24"/>
        </w:rPr>
        <w:t>44</w:t>
      </w:r>
      <w:r>
        <w:rPr>
          <w:szCs w:val="24"/>
        </w:rPr>
        <w:t xml:space="preserve"> of Schedule 1 </w:t>
      </w:r>
      <w:r w:rsidR="00D15BE6">
        <w:rPr>
          <w:szCs w:val="24"/>
        </w:rPr>
        <w:t xml:space="preserve">deletes </w:t>
      </w:r>
      <w:r w:rsidR="006F6B11">
        <w:rPr>
          <w:szCs w:val="24"/>
        </w:rPr>
        <w:t>‘</w:t>
      </w:r>
      <w:r w:rsidR="00D15BE6">
        <w:rPr>
          <w:szCs w:val="24"/>
        </w:rPr>
        <w:t>are owi</w:t>
      </w:r>
      <w:r>
        <w:rPr>
          <w:szCs w:val="24"/>
        </w:rPr>
        <w:t>ng to the trustee</w:t>
      </w:r>
      <w:r w:rsidR="006F6B11">
        <w:rPr>
          <w:szCs w:val="24"/>
        </w:rPr>
        <w:t>’</w:t>
      </w:r>
      <w:r>
        <w:rPr>
          <w:szCs w:val="24"/>
        </w:rPr>
        <w:t xml:space="preserve"> and replaces </w:t>
      </w:r>
      <w:r w:rsidR="00D9444C">
        <w:rPr>
          <w:szCs w:val="24"/>
        </w:rPr>
        <w:t xml:space="preserve">the text </w:t>
      </w:r>
      <w:r w:rsidR="00D15BE6">
        <w:rPr>
          <w:szCs w:val="24"/>
        </w:rPr>
        <w:t xml:space="preserve">with </w:t>
      </w:r>
      <w:r w:rsidR="006F6B11">
        <w:rPr>
          <w:szCs w:val="24"/>
        </w:rPr>
        <w:t>‘</w:t>
      </w:r>
      <w:proofErr w:type="gramStart"/>
      <w:r w:rsidR="00D15BE6">
        <w:rPr>
          <w:szCs w:val="24"/>
        </w:rPr>
        <w:t>is</w:t>
      </w:r>
      <w:r w:rsidR="00321BEF">
        <w:rPr>
          <w:szCs w:val="24"/>
        </w:rPr>
        <w:t xml:space="preserve"> </w:t>
      </w:r>
      <w:r w:rsidR="00D15BE6">
        <w:rPr>
          <w:szCs w:val="24"/>
        </w:rPr>
        <w:t>owing</w:t>
      </w:r>
      <w:proofErr w:type="gramEnd"/>
      <w:r w:rsidR="006F6B11">
        <w:rPr>
          <w:szCs w:val="24"/>
        </w:rPr>
        <w:t>’</w:t>
      </w:r>
      <w:r w:rsidR="00D15BE6">
        <w:rPr>
          <w:szCs w:val="24"/>
        </w:rPr>
        <w:t xml:space="preserve">. </w:t>
      </w:r>
      <w:r w:rsidR="002A40D2">
        <w:rPr>
          <w:szCs w:val="24"/>
        </w:rPr>
        <w:t xml:space="preserve">This amendment clarifies that the accrued remuneration includes not only </w:t>
      </w:r>
      <w:r w:rsidR="00D92D1F">
        <w:rPr>
          <w:szCs w:val="24"/>
        </w:rPr>
        <w:t xml:space="preserve">amounts owing to the </w:t>
      </w:r>
      <w:r w:rsidR="002A40D2">
        <w:rPr>
          <w:szCs w:val="24"/>
        </w:rPr>
        <w:t xml:space="preserve">current trustee, but also any previous trustees </w:t>
      </w:r>
      <w:r w:rsidR="00D92D1F">
        <w:rPr>
          <w:szCs w:val="24"/>
        </w:rPr>
        <w:t>(</w:t>
      </w:r>
      <w:r w:rsidR="002A40D2">
        <w:rPr>
          <w:szCs w:val="24"/>
        </w:rPr>
        <w:t xml:space="preserve">including the Official Trustee) who may </w:t>
      </w:r>
      <w:r w:rsidR="00D92D1F">
        <w:rPr>
          <w:szCs w:val="24"/>
        </w:rPr>
        <w:t>be owed</w:t>
      </w:r>
      <w:r w:rsidR="002A40D2">
        <w:rPr>
          <w:szCs w:val="24"/>
        </w:rPr>
        <w:t xml:space="preserve"> remuneration that they have not been able to recover from the bankrupt estate.</w:t>
      </w:r>
    </w:p>
    <w:p w14:paraId="504EC9DD" w14:textId="0ABD38DF" w:rsidR="00D15BE6" w:rsidRPr="00F61D34" w:rsidRDefault="00D15BE6" w:rsidP="00DA0CFD">
      <w:pPr>
        <w:spacing w:before="100" w:beforeAutospacing="1" w:after="100" w:afterAutospacing="1"/>
        <w:rPr>
          <w:i/>
          <w:szCs w:val="24"/>
        </w:rPr>
      </w:pPr>
      <w:r w:rsidRPr="00F61D34">
        <w:rPr>
          <w:i/>
          <w:szCs w:val="24"/>
        </w:rPr>
        <w:t xml:space="preserve">Item </w:t>
      </w:r>
      <w:r w:rsidR="0053473F">
        <w:rPr>
          <w:i/>
          <w:szCs w:val="24"/>
        </w:rPr>
        <w:t>45</w:t>
      </w:r>
      <w:r w:rsidR="00F61D34">
        <w:rPr>
          <w:i/>
          <w:szCs w:val="24"/>
        </w:rPr>
        <w:t xml:space="preserve"> - </w:t>
      </w:r>
      <w:r w:rsidRPr="00F61D34">
        <w:rPr>
          <w:i/>
          <w:szCs w:val="24"/>
        </w:rPr>
        <w:t>Paragraph 75-175(3</w:t>
      </w:r>
      <w:proofErr w:type="gramStart"/>
      <w:r w:rsidRPr="00F61D34">
        <w:rPr>
          <w:i/>
          <w:szCs w:val="24"/>
        </w:rPr>
        <w:t>)(</w:t>
      </w:r>
      <w:proofErr w:type="gramEnd"/>
      <w:r w:rsidRPr="00F61D34">
        <w:rPr>
          <w:i/>
          <w:szCs w:val="24"/>
        </w:rPr>
        <w:t>b)</w:t>
      </w:r>
    </w:p>
    <w:p w14:paraId="79A30151" w14:textId="35AA9776" w:rsidR="00D15BE6" w:rsidRDefault="00F61D34" w:rsidP="00DA0CFD">
      <w:pPr>
        <w:spacing w:before="100" w:beforeAutospacing="1" w:after="100" w:afterAutospacing="1"/>
        <w:rPr>
          <w:szCs w:val="24"/>
        </w:rPr>
      </w:pPr>
      <w:r>
        <w:rPr>
          <w:szCs w:val="24"/>
        </w:rPr>
        <w:t xml:space="preserve">Item </w:t>
      </w:r>
      <w:r w:rsidR="0053473F">
        <w:rPr>
          <w:szCs w:val="24"/>
        </w:rPr>
        <w:t>45</w:t>
      </w:r>
      <w:r>
        <w:rPr>
          <w:szCs w:val="24"/>
        </w:rPr>
        <w:t xml:space="preserve"> of Schedule 1 r</w:t>
      </w:r>
      <w:r w:rsidR="00D15BE6">
        <w:rPr>
          <w:szCs w:val="24"/>
        </w:rPr>
        <w:t>epeals paragraph 75-175(3</w:t>
      </w:r>
      <w:proofErr w:type="gramStart"/>
      <w:r w:rsidR="00D15BE6">
        <w:rPr>
          <w:szCs w:val="24"/>
        </w:rPr>
        <w:t>)(</w:t>
      </w:r>
      <w:proofErr w:type="gramEnd"/>
      <w:r w:rsidR="00D15BE6">
        <w:rPr>
          <w:szCs w:val="24"/>
        </w:rPr>
        <w:t xml:space="preserve">b) </w:t>
      </w:r>
      <w:r w:rsidR="002A40D2">
        <w:rPr>
          <w:szCs w:val="24"/>
        </w:rPr>
        <w:t>which re</w:t>
      </w:r>
      <w:r w:rsidR="00D92D1F">
        <w:rPr>
          <w:szCs w:val="24"/>
        </w:rPr>
        <w:t>quires</w:t>
      </w:r>
      <w:r w:rsidR="002A40D2">
        <w:rPr>
          <w:szCs w:val="24"/>
        </w:rPr>
        <w:t xml:space="preserve"> </w:t>
      </w:r>
      <w:r w:rsidR="00D92D1F">
        <w:rPr>
          <w:szCs w:val="24"/>
        </w:rPr>
        <w:t xml:space="preserve">remuneration owed to </w:t>
      </w:r>
      <w:r w:rsidR="002A40D2">
        <w:rPr>
          <w:szCs w:val="24"/>
        </w:rPr>
        <w:t>the trustee</w:t>
      </w:r>
      <w:r w:rsidR="00D92D1F">
        <w:rPr>
          <w:szCs w:val="24"/>
        </w:rPr>
        <w:t xml:space="preserve"> to have been </w:t>
      </w:r>
      <w:r w:rsidR="002A40D2">
        <w:rPr>
          <w:szCs w:val="24"/>
        </w:rPr>
        <w:t xml:space="preserve">approved by creditors. It is replaced by a provision </w:t>
      </w:r>
      <w:r>
        <w:rPr>
          <w:szCs w:val="24"/>
        </w:rPr>
        <w:t>clarif</w:t>
      </w:r>
      <w:r w:rsidR="002A40D2">
        <w:rPr>
          <w:szCs w:val="24"/>
        </w:rPr>
        <w:t xml:space="preserve">ying that this applies </w:t>
      </w:r>
      <w:r>
        <w:rPr>
          <w:szCs w:val="24"/>
        </w:rPr>
        <w:t xml:space="preserve">only to a registered trustee. </w:t>
      </w:r>
      <w:r w:rsidR="002A40D2">
        <w:rPr>
          <w:szCs w:val="24"/>
        </w:rPr>
        <w:t xml:space="preserve">The remuneration of the Official Trustee is set by legislative </w:t>
      </w:r>
      <w:r w:rsidR="0039616E">
        <w:rPr>
          <w:szCs w:val="24"/>
        </w:rPr>
        <w:t>I</w:t>
      </w:r>
      <w:r w:rsidR="002A40D2">
        <w:rPr>
          <w:szCs w:val="24"/>
        </w:rPr>
        <w:t xml:space="preserve">nstrument and is not approved </w:t>
      </w:r>
      <w:r w:rsidR="00D92D1F">
        <w:rPr>
          <w:szCs w:val="24"/>
        </w:rPr>
        <w:t xml:space="preserve">or determined </w:t>
      </w:r>
      <w:r w:rsidR="002A40D2">
        <w:rPr>
          <w:szCs w:val="24"/>
        </w:rPr>
        <w:t xml:space="preserve">by creditors. </w:t>
      </w:r>
      <w:r>
        <w:rPr>
          <w:szCs w:val="24"/>
        </w:rPr>
        <w:t xml:space="preserve">Unlike the Official Trustee, a registered trustee’s remuneration is approved in accordance with the Act. The methods </w:t>
      </w:r>
      <w:r w:rsidR="007E5A24">
        <w:rPr>
          <w:szCs w:val="24"/>
        </w:rPr>
        <w:t xml:space="preserve">by which </w:t>
      </w:r>
      <w:r>
        <w:rPr>
          <w:szCs w:val="24"/>
        </w:rPr>
        <w:t xml:space="preserve">a registered trustee’s remuneration can be </w:t>
      </w:r>
      <w:r w:rsidR="007E5A24">
        <w:rPr>
          <w:szCs w:val="24"/>
        </w:rPr>
        <w:t>determined are contained in</w:t>
      </w:r>
      <w:r>
        <w:rPr>
          <w:szCs w:val="24"/>
        </w:rPr>
        <w:t xml:space="preserve"> sections 60-10 </w:t>
      </w:r>
      <w:r w:rsidR="007E5A24">
        <w:rPr>
          <w:szCs w:val="24"/>
        </w:rPr>
        <w:t xml:space="preserve">and </w:t>
      </w:r>
      <w:r>
        <w:rPr>
          <w:szCs w:val="24"/>
        </w:rPr>
        <w:t xml:space="preserve">60-11 of Schedule 2 of the Act. The insertion of </w:t>
      </w:r>
      <w:r w:rsidR="007E5A24">
        <w:rPr>
          <w:szCs w:val="24"/>
        </w:rPr>
        <w:t xml:space="preserve">new </w:t>
      </w:r>
      <w:r>
        <w:rPr>
          <w:szCs w:val="24"/>
        </w:rPr>
        <w:t>paragraph 75-175(3</w:t>
      </w:r>
      <w:proofErr w:type="gramStart"/>
      <w:r>
        <w:rPr>
          <w:szCs w:val="24"/>
        </w:rPr>
        <w:t>)(</w:t>
      </w:r>
      <w:proofErr w:type="gramEnd"/>
      <w:r>
        <w:rPr>
          <w:szCs w:val="24"/>
        </w:rPr>
        <w:t>b) makes this distinction clear.</w:t>
      </w:r>
    </w:p>
    <w:p w14:paraId="6FF77D35" w14:textId="6C8165BA" w:rsidR="00D15BE6" w:rsidRPr="000568E0" w:rsidRDefault="00D15BE6" w:rsidP="00DA0CFD">
      <w:pPr>
        <w:spacing w:before="100" w:beforeAutospacing="1" w:after="100" w:afterAutospacing="1"/>
        <w:rPr>
          <w:i/>
          <w:szCs w:val="24"/>
        </w:rPr>
      </w:pPr>
      <w:r w:rsidRPr="000568E0">
        <w:rPr>
          <w:i/>
          <w:szCs w:val="24"/>
        </w:rPr>
        <w:t xml:space="preserve">Item </w:t>
      </w:r>
      <w:r w:rsidR="0053473F">
        <w:rPr>
          <w:i/>
          <w:szCs w:val="24"/>
        </w:rPr>
        <w:t>46</w:t>
      </w:r>
      <w:r w:rsidR="000568E0">
        <w:rPr>
          <w:i/>
          <w:szCs w:val="24"/>
        </w:rPr>
        <w:t xml:space="preserve"> </w:t>
      </w:r>
      <w:r w:rsidR="00845472">
        <w:rPr>
          <w:i/>
          <w:szCs w:val="24"/>
        </w:rPr>
        <w:t>-</w:t>
      </w:r>
      <w:r w:rsidR="000568E0">
        <w:rPr>
          <w:i/>
          <w:szCs w:val="24"/>
        </w:rPr>
        <w:t xml:space="preserve"> </w:t>
      </w:r>
      <w:r w:rsidRPr="000568E0">
        <w:rPr>
          <w:i/>
          <w:szCs w:val="24"/>
        </w:rPr>
        <w:t xml:space="preserve">Subsection 75-175(4) </w:t>
      </w:r>
    </w:p>
    <w:p w14:paraId="048B47F4" w14:textId="1C80A21D" w:rsidR="00D15BE6" w:rsidRPr="009B360F" w:rsidRDefault="008276E1" w:rsidP="00DA0CFD">
      <w:pPr>
        <w:spacing w:before="100" w:beforeAutospacing="1" w:after="100" w:afterAutospacing="1"/>
        <w:rPr>
          <w:szCs w:val="24"/>
        </w:rPr>
      </w:pPr>
      <w:r>
        <w:rPr>
          <w:szCs w:val="24"/>
        </w:rPr>
        <w:t xml:space="preserve">Item </w:t>
      </w:r>
      <w:r w:rsidR="0053473F">
        <w:rPr>
          <w:szCs w:val="24"/>
        </w:rPr>
        <w:t>46</w:t>
      </w:r>
      <w:r>
        <w:rPr>
          <w:szCs w:val="24"/>
        </w:rPr>
        <w:t xml:space="preserve"> of Schedule 1 repeals the current subsection 75-175(4) and replaces it with new subsection</w:t>
      </w:r>
      <w:r w:rsidR="00D92D1F">
        <w:rPr>
          <w:szCs w:val="24"/>
        </w:rPr>
        <w:t>s</w:t>
      </w:r>
      <w:r>
        <w:rPr>
          <w:szCs w:val="24"/>
        </w:rPr>
        <w:t xml:space="preserve"> 75-175(4)</w:t>
      </w:r>
      <w:r w:rsidR="00D92D1F">
        <w:rPr>
          <w:szCs w:val="24"/>
        </w:rPr>
        <w:t>, (5) and (6)</w:t>
      </w:r>
      <w:r>
        <w:rPr>
          <w:szCs w:val="24"/>
        </w:rPr>
        <w:t xml:space="preserve">. </w:t>
      </w:r>
      <w:r w:rsidR="00D92D1F">
        <w:rPr>
          <w:szCs w:val="24"/>
        </w:rPr>
        <w:t>N</w:t>
      </w:r>
      <w:r>
        <w:rPr>
          <w:szCs w:val="24"/>
        </w:rPr>
        <w:t xml:space="preserve">ew subsection </w:t>
      </w:r>
      <w:r w:rsidR="00D92D1F">
        <w:rPr>
          <w:szCs w:val="24"/>
        </w:rPr>
        <w:t xml:space="preserve">(4) </w:t>
      </w:r>
      <w:r>
        <w:rPr>
          <w:szCs w:val="24"/>
        </w:rPr>
        <w:t>provides that the regulated debtor</w:t>
      </w:r>
      <w:r w:rsidR="00B568D7">
        <w:rPr>
          <w:szCs w:val="24"/>
        </w:rPr>
        <w:t xml:space="preserve"> (or a deceased regulated debtor’s personal legal representative)</w:t>
      </w:r>
      <w:r>
        <w:rPr>
          <w:szCs w:val="24"/>
        </w:rPr>
        <w:t xml:space="preserve"> may amend the terms of his or her proposal at a meeting of creditors. </w:t>
      </w:r>
      <w:r w:rsidR="00A82035">
        <w:rPr>
          <w:szCs w:val="24"/>
        </w:rPr>
        <w:t>Notwithstanding, new subsection (4) does</w:t>
      </w:r>
      <w:r>
        <w:rPr>
          <w:szCs w:val="24"/>
        </w:rPr>
        <w:t xml:space="preserve"> not reduce provision for payment to a trustee regarding accrued remuneration that is owing and has been approved by the creditors pursuant to </w:t>
      </w:r>
      <w:r w:rsidR="00A82035">
        <w:rPr>
          <w:szCs w:val="24"/>
        </w:rPr>
        <w:t xml:space="preserve">section </w:t>
      </w:r>
      <w:r>
        <w:rPr>
          <w:szCs w:val="24"/>
        </w:rPr>
        <w:t>75</w:t>
      </w:r>
      <w:r w:rsidR="00F61D34">
        <w:rPr>
          <w:szCs w:val="24"/>
        </w:rPr>
        <w:noBreakHyphen/>
      </w:r>
      <w:r>
        <w:rPr>
          <w:szCs w:val="24"/>
        </w:rPr>
        <w:t xml:space="preserve">175(3). </w:t>
      </w:r>
      <w:r w:rsidR="00D92D1F">
        <w:rPr>
          <w:szCs w:val="24"/>
        </w:rPr>
        <w:t>N</w:t>
      </w:r>
      <w:r>
        <w:rPr>
          <w:szCs w:val="24"/>
        </w:rPr>
        <w:t xml:space="preserve">ew </w:t>
      </w:r>
      <w:r w:rsidR="00D92D1F">
        <w:rPr>
          <w:szCs w:val="24"/>
        </w:rPr>
        <w:t>sub</w:t>
      </w:r>
      <w:r>
        <w:rPr>
          <w:szCs w:val="24"/>
        </w:rPr>
        <w:t xml:space="preserve">section </w:t>
      </w:r>
      <w:r w:rsidR="00D92D1F">
        <w:rPr>
          <w:szCs w:val="24"/>
        </w:rPr>
        <w:t>(5)</w:t>
      </w:r>
      <w:r>
        <w:rPr>
          <w:szCs w:val="24"/>
        </w:rPr>
        <w:t xml:space="preserve"> provides the ability for a creditor to assent or dissent </w:t>
      </w:r>
      <w:r w:rsidR="00F61D34">
        <w:rPr>
          <w:szCs w:val="24"/>
        </w:rPr>
        <w:t>to</w:t>
      </w:r>
      <w:r>
        <w:rPr>
          <w:szCs w:val="24"/>
        </w:rPr>
        <w:t xml:space="preserve"> th</w:t>
      </w:r>
      <w:r w:rsidR="00A82035">
        <w:rPr>
          <w:szCs w:val="24"/>
        </w:rPr>
        <w:t>e</w:t>
      </w:r>
      <w:r>
        <w:rPr>
          <w:szCs w:val="24"/>
        </w:rPr>
        <w:t xml:space="preserve"> proposal by written notice</w:t>
      </w:r>
      <w:r w:rsidR="00F61D34">
        <w:rPr>
          <w:szCs w:val="24"/>
        </w:rPr>
        <w:t xml:space="preserve"> which must be provided to the trustee before the meeting. </w:t>
      </w:r>
      <w:r w:rsidR="00D92D1F">
        <w:rPr>
          <w:szCs w:val="24"/>
        </w:rPr>
        <w:t>New subsection (6) provides that i</w:t>
      </w:r>
      <w:r w:rsidR="00F61D34">
        <w:rPr>
          <w:szCs w:val="24"/>
        </w:rPr>
        <w:t xml:space="preserve">f a creditor has provided such written notice to the trustee, that creditor is taken to have been present at the meeting and to have voted in accordance with their assent or dissent.  </w:t>
      </w:r>
      <w:r w:rsidR="00B568D7">
        <w:rPr>
          <w:szCs w:val="24"/>
        </w:rPr>
        <w:t xml:space="preserve">Item </w:t>
      </w:r>
      <w:r w:rsidR="0053473F">
        <w:rPr>
          <w:szCs w:val="24"/>
        </w:rPr>
        <w:t>46</w:t>
      </w:r>
      <w:r w:rsidR="00B568D7">
        <w:rPr>
          <w:szCs w:val="24"/>
        </w:rPr>
        <w:t xml:space="preserve"> of Schedule 1</w:t>
      </w:r>
      <w:r w:rsidR="00F61D34">
        <w:rPr>
          <w:szCs w:val="24"/>
        </w:rPr>
        <w:t xml:space="preserve"> replicates section 73(3) and 73C of the Act </w:t>
      </w:r>
      <w:r w:rsidR="00B568D7">
        <w:rPr>
          <w:szCs w:val="24"/>
        </w:rPr>
        <w:t>which are repealed by the Amending Act.</w:t>
      </w:r>
    </w:p>
    <w:p w14:paraId="2961C8BF" w14:textId="1450B48F" w:rsidR="00D15BE6" w:rsidRPr="004F6740" w:rsidRDefault="00D15BE6" w:rsidP="00F61D34">
      <w:pPr>
        <w:keepNext/>
        <w:spacing w:before="100" w:beforeAutospacing="1" w:after="100" w:afterAutospacing="1"/>
        <w:rPr>
          <w:i/>
          <w:szCs w:val="24"/>
        </w:rPr>
      </w:pPr>
      <w:r w:rsidRPr="004F6740">
        <w:rPr>
          <w:i/>
          <w:szCs w:val="24"/>
        </w:rPr>
        <w:t xml:space="preserve">Item </w:t>
      </w:r>
      <w:r w:rsidR="0053473F">
        <w:rPr>
          <w:i/>
          <w:szCs w:val="24"/>
        </w:rPr>
        <w:t>47</w:t>
      </w:r>
      <w:r w:rsidR="00845472">
        <w:rPr>
          <w:i/>
          <w:szCs w:val="24"/>
        </w:rPr>
        <w:t xml:space="preserve"> </w:t>
      </w:r>
      <w:r w:rsidR="004F6740" w:rsidRPr="004F6740">
        <w:rPr>
          <w:i/>
          <w:szCs w:val="24"/>
        </w:rPr>
        <w:t xml:space="preserve">- </w:t>
      </w:r>
      <w:r w:rsidRPr="004F6740">
        <w:rPr>
          <w:i/>
          <w:szCs w:val="24"/>
        </w:rPr>
        <w:t xml:space="preserve">At the end of Subdivision E of Division 75 </w:t>
      </w:r>
    </w:p>
    <w:p w14:paraId="242E2CFC" w14:textId="36798E40" w:rsidR="00D15BE6" w:rsidRDefault="00D673F1" w:rsidP="00394DE0">
      <w:pPr>
        <w:keepNext/>
        <w:spacing w:before="100" w:beforeAutospacing="1" w:after="100" w:afterAutospacing="1"/>
        <w:rPr>
          <w:szCs w:val="24"/>
        </w:rPr>
      </w:pPr>
      <w:r>
        <w:rPr>
          <w:szCs w:val="24"/>
        </w:rPr>
        <w:t xml:space="preserve">Item </w:t>
      </w:r>
      <w:r w:rsidR="0053473F">
        <w:rPr>
          <w:szCs w:val="24"/>
        </w:rPr>
        <w:t>47</w:t>
      </w:r>
      <w:r>
        <w:rPr>
          <w:szCs w:val="24"/>
        </w:rPr>
        <w:t xml:space="preserve"> of Schedule 1 inserts section 75-180</w:t>
      </w:r>
      <w:r w:rsidR="00FE007F">
        <w:rPr>
          <w:szCs w:val="24"/>
        </w:rPr>
        <w:t xml:space="preserve"> to </w:t>
      </w:r>
      <w:r w:rsidR="000568E0">
        <w:rPr>
          <w:szCs w:val="24"/>
        </w:rPr>
        <w:t>incorporate obligations</w:t>
      </w:r>
      <w:r w:rsidR="00FE007F">
        <w:rPr>
          <w:szCs w:val="24"/>
        </w:rPr>
        <w:t xml:space="preserve"> contained</w:t>
      </w:r>
      <w:r w:rsidR="000568E0">
        <w:rPr>
          <w:szCs w:val="24"/>
        </w:rPr>
        <w:t xml:space="preserve"> in the </w:t>
      </w:r>
      <w:r w:rsidR="0062372A">
        <w:rPr>
          <w:szCs w:val="24"/>
        </w:rPr>
        <w:t xml:space="preserve">Act and </w:t>
      </w:r>
      <w:r w:rsidR="000568E0">
        <w:rPr>
          <w:szCs w:val="24"/>
        </w:rPr>
        <w:t xml:space="preserve">Regulations that </w:t>
      </w:r>
      <w:r w:rsidR="00BF59F6">
        <w:rPr>
          <w:szCs w:val="24"/>
        </w:rPr>
        <w:t>are</w:t>
      </w:r>
      <w:r w:rsidR="000568E0">
        <w:rPr>
          <w:szCs w:val="24"/>
        </w:rPr>
        <w:t xml:space="preserve"> repealed on 1 September 2017</w:t>
      </w:r>
      <w:r w:rsidR="00010947">
        <w:rPr>
          <w:szCs w:val="24"/>
        </w:rPr>
        <w:t>, in particular s</w:t>
      </w:r>
      <w:r w:rsidR="008A4581">
        <w:rPr>
          <w:szCs w:val="24"/>
        </w:rPr>
        <w:t xml:space="preserve">ection </w:t>
      </w:r>
      <w:r w:rsidR="00010947">
        <w:rPr>
          <w:szCs w:val="24"/>
        </w:rPr>
        <w:t>73C</w:t>
      </w:r>
      <w:r w:rsidR="00321BEF">
        <w:rPr>
          <w:szCs w:val="24"/>
        </w:rPr>
        <w:t xml:space="preserve"> of the Act</w:t>
      </w:r>
      <w:r w:rsidR="00010947">
        <w:rPr>
          <w:szCs w:val="24"/>
        </w:rPr>
        <w:t xml:space="preserve">. </w:t>
      </w:r>
      <w:r w:rsidR="000568E0">
        <w:rPr>
          <w:szCs w:val="24"/>
        </w:rPr>
        <w:t xml:space="preserve">The new section </w:t>
      </w:r>
      <w:r w:rsidR="00B10064">
        <w:rPr>
          <w:szCs w:val="24"/>
        </w:rPr>
        <w:t>provides a list of information that is to be provided at or in advance of a creditors</w:t>
      </w:r>
      <w:r w:rsidR="00FE007F">
        <w:rPr>
          <w:szCs w:val="24"/>
        </w:rPr>
        <w:t>’</w:t>
      </w:r>
      <w:r w:rsidR="00B10064">
        <w:rPr>
          <w:szCs w:val="24"/>
        </w:rPr>
        <w:t xml:space="preserve"> meeting for compositions or arrangements.  The section provides that the trustee must table a statement of affairs at the creditors</w:t>
      </w:r>
      <w:r w:rsidR="00FE007F">
        <w:rPr>
          <w:szCs w:val="24"/>
        </w:rPr>
        <w:t>’</w:t>
      </w:r>
      <w:r w:rsidR="00B10064">
        <w:rPr>
          <w:szCs w:val="24"/>
        </w:rPr>
        <w:t xml:space="preserve"> meeting </w:t>
      </w:r>
      <w:r w:rsidR="00010947">
        <w:rPr>
          <w:szCs w:val="24"/>
        </w:rPr>
        <w:t xml:space="preserve">(other than those parts of the statement of affairs that the approved from requires must not be made available to the public) </w:t>
      </w:r>
      <w:r w:rsidR="00B10064">
        <w:rPr>
          <w:szCs w:val="24"/>
        </w:rPr>
        <w:t xml:space="preserve">and, if a debtor has been requested to prepare a statement of affairs just prior to the meeting, and this materially differs from the statement tabled, the debtor must table a document at that meeting outlining the differences. If a proposal at a meeting provides that the proposed trustee is to become the trustee of the composition or scheme, a declaration of relationships must be tabled </w:t>
      </w:r>
      <w:r w:rsidR="00010947">
        <w:rPr>
          <w:szCs w:val="24"/>
        </w:rPr>
        <w:t xml:space="preserve">by the trustee </w:t>
      </w:r>
      <w:r w:rsidR="00B10064">
        <w:rPr>
          <w:szCs w:val="24"/>
        </w:rPr>
        <w:t xml:space="preserve">at </w:t>
      </w:r>
      <w:r w:rsidR="00010947">
        <w:rPr>
          <w:szCs w:val="24"/>
        </w:rPr>
        <w:t>the</w:t>
      </w:r>
      <w:r w:rsidR="00B10064">
        <w:rPr>
          <w:szCs w:val="24"/>
        </w:rPr>
        <w:t xml:space="preserve"> meeting pursuant to subsection</w:t>
      </w:r>
      <w:r w:rsidR="00DB3BE5">
        <w:rPr>
          <w:szCs w:val="24"/>
        </w:rPr>
        <w:t xml:space="preserve"> </w:t>
      </w:r>
      <w:r w:rsidR="00B10064">
        <w:rPr>
          <w:szCs w:val="24"/>
        </w:rPr>
        <w:t>73B(2) of the Act.</w:t>
      </w:r>
      <w:r w:rsidR="00FE007F">
        <w:rPr>
          <w:szCs w:val="24"/>
        </w:rPr>
        <w:t xml:space="preserve"> The provision currently in subsection 75-175(4)</w:t>
      </w:r>
      <w:r w:rsidR="00247D28">
        <w:rPr>
          <w:szCs w:val="24"/>
        </w:rPr>
        <w:t xml:space="preserve"> of the Rules</w:t>
      </w:r>
      <w:r w:rsidR="00FE007F">
        <w:rPr>
          <w:szCs w:val="24"/>
        </w:rPr>
        <w:t xml:space="preserve"> is moved to </w:t>
      </w:r>
      <w:r w:rsidR="00247D28">
        <w:rPr>
          <w:szCs w:val="24"/>
        </w:rPr>
        <w:t xml:space="preserve">new </w:t>
      </w:r>
      <w:r w:rsidR="00FE007F">
        <w:rPr>
          <w:szCs w:val="24"/>
        </w:rPr>
        <w:t xml:space="preserve">subsection 75-180(8).  </w:t>
      </w:r>
      <w:r w:rsidR="00321BEF">
        <w:rPr>
          <w:szCs w:val="24"/>
        </w:rPr>
        <w:t xml:space="preserve"> </w:t>
      </w:r>
    </w:p>
    <w:p w14:paraId="197A5BEF" w14:textId="4A787CAC" w:rsidR="00D15BE6" w:rsidRPr="004F6740" w:rsidRDefault="00D15BE6" w:rsidP="00DA0CFD">
      <w:pPr>
        <w:spacing w:before="100" w:beforeAutospacing="1" w:after="100" w:afterAutospacing="1"/>
        <w:rPr>
          <w:i/>
          <w:szCs w:val="24"/>
        </w:rPr>
      </w:pPr>
      <w:r w:rsidRPr="004F6740">
        <w:rPr>
          <w:i/>
          <w:szCs w:val="24"/>
        </w:rPr>
        <w:t xml:space="preserve">Item </w:t>
      </w:r>
      <w:r w:rsidR="00D25B50">
        <w:rPr>
          <w:i/>
          <w:szCs w:val="24"/>
        </w:rPr>
        <w:t>48</w:t>
      </w:r>
      <w:r w:rsidR="006F3907" w:rsidRPr="004F6740">
        <w:rPr>
          <w:i/>
          <w:szCs w:val="24"/>
        </w:rPr>
        <w:t xml:space="preserve"> - </w:t>
      </w:r>
      <w:r w:rsidRPr="004F6740">
        <w:rPr>
          <w:i/>
          <w:szCs w:val="24"/>
        </w:rPr>
        <w:t>Paragraph 75-265(4</w:t>
      </w:r>
      <w:proofErr w:type="gramStart"/>
      <w:r w:rsidRPr="004F6740">
        <w:rPr>
          <w:i/>
          <w:szCs w:val="24"/>
        </w:rPr>
        <w:t>)(</w:t>
      </w:r>
      <w:proofErr w:type="gramEnd"/>
      <w:r w:rsidRPr="004F6740">
        <w:rPr>
          <w:i/>
          <w:szCs w:val="24"/>
        </w:rPr>
        <w:t xml:space="preserve">b) </w:t>
      </w:r>
    </w:p>
    <w:p w14:paraId="062594F4" w14:textId="7849EFA2" w:rsidR="00D15BE6" w:rsidRPr="00A34369" w:rsidRDefault="00D15BE6" w:rsidP="00DA0CFD">
      <w:pPr>
        <w:spacing w:before="100" w:beforeAutospacing="1" w:after="100" w:afterAutospacing="1"/>
      </w:pPr>
      <w:r>
        <w:t xml:space="preserve">Section 75-265 </w:t>
      </w:r>
      <w:r w:rsidR="00321BEF">
        <w:t xml:space="preserve">of the Rules </w:t>
      </w:r>
      <w:r w:rsidRPr="00A34369">
        <w:t xml:space="preserve">provides that the creditors can remove </w:t>
      </w:r>
      <w:r>
        <w:t>a trustee of a regulated debtor’s estate</w:t>
      </w:r>
      <w:r w:rsidRPr="00A34369">
        <w:t xml:space="preserve"> and appoint another person in their place by passing a resolution.</w:t>
      </w:r>
    </w:p>
    <w:p w14:paraId="78B8091E" w14:textId="7052F075" w:rsidR="00D15BE6" w:rsidRDefault="004F6740" w:rsidP="00DA0CFD">
      <w:pPr>
        <w:spacing w:before="100" w:beforeAutospacing="1" w:after="100" w:afterAutospacing="1"/>
        <w:rPr>
          <w:szCs w:val="24"/>
        </w:rPr>
      </w:pPr>
      <w:r>
        <w:rPr>
          <w:szCs w:val="24"/>
        </w:rPr>
        <w:t>Section 75-265</w:t>
      </w:r>
      <w:r w:rsidR="00321BEF">
        <w:rPr>
          <w:szCs w:val="24"/>
        </w:rPr>
        <w:t xml:space="preserve"> of the Rules</w:t>
      </w:r>
      <w:r>
        <w:rPr>
          <w:szCs w:val="24"/>
        </w:rPr>
        <w:t xml:space="preserve"> is confined to the removal of a trustee and not an administrator. To correct a technical error, </w:t>
      </w:r>
      <w:r w:rsidR="001B1120">
        <w:rPr>
          <w:szCs w:val="24"/>
        </w:rPr>
        <w:t>i</w:t>
      </w:r>
      <w:r w:rsidR="00D15BE6">
        <w:rPr>
          <w:szCs w:val="24"/>
        </w:rPr>
        <w:t xml:space="preserve">tem </w:t>
      </w:r>
      <w:r w:rsidR="00D25B50">
        <w:rPr>
          <w:szCs w:val="24"/>
        </w:rPr>
        <w:t>48</w:t>
      </w:r>
      <w:r w:rsidR="00D15BE6">
        <w:rPr>
          <w:szCs w:val="24"/>
        </w:rPr>
        <w:t xml:space="preserve"> </w:t>
      </w:r>
      <w:r>
        <w:rPr>
          <w:szCs w:val="24"/>
        </w:rPr>
        <w:t xml:space="preserve">of Schedule 1 </w:t>
      </w:r>
      <w:r w:rsidR="00D15BE6">
        <w:rPr>
          <w:szCs w:val="24"/>
        </w:rPr>
        <w:t>deletes</w:t>
      </w:r>
      <w:r>
        <w:rPr>
          <w:szCs w:val="24"/>
        </w:rPr>
        <w:t xml:space="preserve"> two references to</w:t>
      </w:r>
      <w:r w:rsidR="00D15BE6">
        <w:rPr>
          <w:szCs w:val="24"/>
        </w:rPr>
        <w:t xml:space="preserve"> </w:t>
      </w:r>
      <w:r w:rsidR="006F6B11">
        <w:rPr>
          <w:szCs w:val="24"/>
        </w:rPr>
        <w:t>‘</w:t>
      </w:r>
      <w:r w:rsidR="00D15BE6">
        <w:rPr>
          <w:szCs w:val="24"/>
        </w:rPr>
        <w:t>administrator</w:t>
      </w:r>
      <w:r w:rsidR="006F6B11">
        <w:rPr>
          <w:szCs w:val="24"/>
        </w:rPr>
        <w:t>’</w:t>
      </w:r>
      <w:r w:rsidR="00D15BE6">
        <w:rPr>
          <w:szCs w:val="24"/>
        </w:rPr>
        <w:t xml:space="preserve"> </w:t>
      </w:r>
      <w:r>
        <w:rPr>
          <w:szCs w:val="24"/>
        </w:rPr>
        <w:t xml:space="preserve">in 75-265(4)(b) </w:t>
      </w:r>
      <w:r w:rsidR="00D15BE6">
        <w:rPr>
          <w:szCs w:val="24"/>
        </w:rPr>
        <w:t xml:space="preserve">and replaces it with </w:t>
      </w:r>
      <w:r w:rsidR="006F6B11">
        <w:rPr>
          <w:szCs w:val="24"/>
        </w:rPr>
        <w:t>‘</w:t>
      </w:r>
      <w:r w:rsidR="00D15BE6">
        <w:rPr>
          <w:szCs w:val="24"/>
        </w:rPr>
        <w:t>trustee</w:t>
      </w:r>
      <w:r w:rsidR="006F6B11">
        <w:rPr>
          <w:szCs w:val="24"/>
        </w:rPr>
        <w:t>’</w:t>
      </w:r>
      <w:r w:rsidR="00D15BE6">
        <w:rPr>
          <w:szCs w:val="24"/>
        </w:rPr>
        <w:t xml:space="preserve">.  </w:t>
      </w:r>
    </w:p>
    <w:p w14:paraId="4742CE5E" w14:textId="1B14CA57" w:rsidR="00D15BE6" w:rsidRPr="00E077BD" w:rsidRDefault="00D15BE6" w:rsidP="00DA0CFD">
      <w:pPr>
        <w:spacing w:before="100" w:beforeAutospacing="1" w:after="100" w:afterAutospacing="1"/>
        <w:rPr>
          <w:i/>
          <w:szCs w:val="24"/>
        </w:rPr>
      </w:pPr>
      <w:r w:rsidRPr="00E077BD">
        <w:rPr>
          <w:i/>
          <w:szCs w:val="24"/>
        </w:rPr>
        <w:t xml:space="preserve">Item </w:t>
      </w:r>
      <w:r w:rsidR="00A3530F">
        <w:rPr>
          <w:i/>
          <w:szCs w:val="24"/>
        </w:rPr>
        <w:t xml:space="preserve">49 </w:t>
      </w:r>
      <w:r w:rsidR="00E077BD">
        <w:rPr>
          <w:i/>
          <w:szCs w:val="24"/>
        </w:rPr>
        <w:t xml:space="preserve">- </w:t>
      </w:r>
      <w:r w:rsidRPr="00E077BD">
        <w:rPr>
          <w:i/>
          <w:szCs w:val="24"/>
        </w:rPr>
        <w:t xml:space="preserve">At the end of </w:t>
      </w:r>
      <w:r w:rsidR="00E077BD">
        <w:rPr>
          <w:i/>
          <w:szCs w:val="24"/>
        </w:rPr>
        <w:t>Division 90</w:t>
      </w:r>
      <w:r w:rsidRPr="00E077BD">
        <w:rPr>
          <w:i/>
          <w:szCs w:val="24"/>
        </w:rPr>
        <w:t xml:space="preserve"> </w:t>
      </w:r>
    </w:p>
    <w:p w14:paraId="5689D4F1" w14:textId="6D44B9D0" w:rsidR="00321BEF" w:rsidRDefault="00D15BE6" w:rsidP="00DA0CFD">
      <w:pPr>
        <w:spacing w:before="100" w:beforeAutospacing="1" w:after="100" w:afterAutospacing="1"/>
        <w:rPr>
          <w:szCs w:val="24"/>
        </w:rPr>
      </w:pPr>
      <w:r>
        <w:rPr>
          <w:szCs w:val="24"/>
        </w:rPr>
        <w:t xml:space="preserve">Item </w:t>
      </w:r>
      <w:r w:rsidR="00A3530F">
        <w:rPr>
          <w:szCs w:val="24"/>
        </w:rPr>
        <w:t>49</w:t>
      </w:r>
      <w:r w:rsidR="00E077BD">
        <w:rPr>
          <w:szCs w:val="24"/>
        </w:rPr>
        <w:t xml:space="preserve"> of Schedule 1 </w:t>
      </w:r>
      <w:r>
        <w:rPr>
          <w:szCs w:val="24"/>
        </w:rPr>
        <w:t xml:space="preserve">inserts </w:t>
      </w:r>
      <w:r w:rsidR="00E077BD">
        <w:rPr>
          <w:szCs w:val="24"/>
        </w:rPr>
        <w:t>a new provision</w:t>
      </w:r>
      <w:r w:rsidR="009A5B18">
        <w:rPr>
          <w:szCs w:val="24"/>
        </w:rPr>
        <w:t xml:space="preserve"> 90-85</w:t>
      </w:r>
      <w:r w:rsidR="00E077BD">
        <w:rPr>
          <w:szCs w:val="24"/>
        </w:rPr>
        <w:t xml:space="preserve"> </w:t>
      </w:r>
      <w:r w:rsidR="008706C3">
        <w:rPr>
          <w:szCs w:val="24"/>
        </w:rPr>
        <w:t xml:space="preserve">into the Rules </w:t>
      </w:r>
      <w:r w:rsidR="00E077BD">
        <w:rPr>
          <w:szCs w:val="24"/>
        </w:rPr>
        <w:t xml:space="preserve">which requires a trustee who is </w:t>
      </w:r>
      <w:r w:rsidR="0062372A">
        <w:rPr>
          <w:szCs w:val="24"/>
        </w:rPr>
        <w:t xml:space="preserve">removed by creditors but is subsequently </w:t>
      </w:r>
      <w:r w:rsidR="00E077BD">
        <w:rPr>
          <w:szCs w:val="24"/>
        </w:rPr>
        <w:t>reappointed</w:t>
      </w:r>
      <w:r w:rsidR="00457308">
        <w:rPr>
          <w:szCs w:val="24"/>
        </w:rPr>
        <w:t xml:space="preserve"> as the trustee </w:t>
      </w:r>
      <w:r w:rsidR="00E077BD">
        <w:rPr>
          <w:szCs w:val="24"/>
        </w:rPr>
        <w:t>by an order of the Court to notify the Official Receiver</w:t>
      </w:r>
      <w:r w:rsidR="00457308">
        <w:rPr>
          <w:szCs w:val="24"/>
        </w:rPr>
        <w:t xml:space="preserve"> of the reappointment</w:t>
      </w:r>
      <w:r w:rsidR="00E077BD">
        <w:rPr>
          <w:szCs w:val="24"/>
        </w:rPr>
        <w:t xml:space="preserve">. The reappointed trustee must do so within two business days of the order being made. </w:t>
      </w:r>
      <w:r w:rsidR="00640800">
        <w:rPr>
          <w:szCs w:val="24"/>
        </w:rPr>
        <w:t xml:space="preserve">The notification period of two business days is consistent with other notification requirements in the Act and Regulations where the event notified impacts on the National Personal Insolvency Index (NPII). </w:t>
      </w:r>
      <w:r w:rsidR="00E077BD">
        <w:rPr>
          <w:szCs w:val="24"/>
        </w:rPr>
        <w:t xml:space="preserve">Failure to comply with this requirement is an offence and will incur a penalty of </w:t>
      </w:r>
      <w:r w:rsidR="00457308">
        <w:rPr>
          <w:szCs w:val="24"/>
        </w:rPr>
        <w:t xml:space="preserve">one </w:t>
      </w:r>
      <w:r w:rsidR="00E077BD">
        <w:rPr>
          <w:szCs w:val="24"/>
        </w:rPr>
        <w:t xml:space="preserve">penalty unit. </w:t>
      </w:r>
    </w:p>
    <w:p w14:paraId="68F3B966" w14:textId="604C9764" w:rsidR="00D15BE6" w:rsidRDefault="005D76EE" w:rsidP="00DA0CFD">
      <w:pPr>
        <w:spacing w:before="100" w:beforeAutospacing="1" w:after="100" w:afterAutospacing="1"/>
        <w:rPr>
          <w:szCs w:val="24"/>
        </w:rPr>
      </w:pPr>
      <w:r>
        <w:rPr>
          <w:szCs w:val="24"/>
        </w:rPr>
        <w:t>Item 49 of Schedule 1 relies on the necessary and convenient power in paragraph 105</w:t>
      </w:r>
      <w:r w:rsidR="00321BEF">
        <w:rPr>
          <w:szCs w:val="24"/>
        </w:rPr>
        <w:noBreakHyphen/>
      </w:r>
      <w:proofErr w:type="gramStart"/>
      <w:r>
        <w:rPr>
          <w:szCs w:val="24"/>
        </w:rPr>
        <w:t>1(</w:t>
      </w:r>
      <w:proofErr w:type="gramEnd"/>
      <w:r>
        <w:rPr>
          <w:szCs w:val="24"/>
        </w:rPr>
        <w:t xml:space="preserve">1)(b) of Schedule 2 of the Act. </w:t>
      </w:r>
      <w:r w:rsidR="00E077BD">
        <w:rPr>
          <w:szCs w:val="24"/>
        </w:rPr>
        <w:t>This</w:t>
      </w:r>
      <w:r>
        <w:rPr>
          <w:szCs w:val="24"/>
        </w:rPr>
        <w:t xml:space="preserve"> amendment</w:t>
      </w:r>
      <w:r w:rsidR="00E077BD">
        <w:rPr>
          <w:szCs w:val="24"/>
        </w:rPr>
        <w:t xml:space="preserve"> </w:t>
      </w:r>
      <w:r w:rsidR="0062372A">
        <w:rPr>
          <w:szCs w:val="24"/>
        </w:rPr>
        <w:t xml:space="preserve">complements </w:t>
      </w:r>
      <w:r w:rsidR="009A5B18">
        <w:rPr>
          <w:szCs w:val="24"/>
        </w:rPr>
        <w:t>a similar provision that will be inserted in the Regulations (regulation 8.50) which commence</w:t>
      </w:r>
      <w:r w:rsidR="001C5234">
        <w:rPr>
          <w:szCs w:val="24"/>
        </w:rPr>
        <w:t>s</w:t>
      </w:r>
      <w:r w:rsidR="009A5B18">
        <w:rPr>
          <w:szCs w:val="24"/>
        </w:rPr>
        <w:t xml:space="preserve"> on 1 September 2017</w:t>
      </w:r>
      <w:r w:rsidR="0062372A">
        <w:rPr>
          <w:szCs w:val="24"/>
        </w:rPr>
        <w:t>, requiring a person who applies to the Court to have a trustee removed to notify the Official Receiver if the Court makes the order sought</w:t>
      </w:r>
      <w:r w:rsidR="009A5B18">
        <w:rPr>
          <w:szCs w:val="24"/>
        </w:rPr>
        <w:t xml:space="preserve">.  </w:t>
      </w:r>
      <w:r w:rsidR="00457308">
        <w:rPr>
          <w:szCs w:val="24"/>
        </w:rPr>
        <w:t xml:space="preserve">The penalty under regulation 8.50 is also one penalty unit. </w:t>
      </w:r>
      <w:r w:rsidR="009A5B18">
        <w:rPr>
          <w:szCs w:val="24"/>
        </w:rPr>
        <w:t xml:space="preserve">These provisions are designed to ensure that the Official Receiver is notified </w:t>
      </w:r>
      <w:r w:rsidR="000A709A">
        <w:rPr>
          <w:szCs w:val="24"/>
        </w:rPr>
        <w:t xml:space="preserve">promptly of any replacement or reappointment of a trustee </w:t>
      </w:r>
      <w:r w:rsidR="009A5B18">
        <w:rPr>
          <w:szCs w:val="24"/>
        </w:rPr>
        <w:t xml:space="preserve">so that the </w:t>
      </w:r>
      <w:r w:rsidR="00457308">
        <w:rPr>
          <w:szCs w:val="24"/>
        </w:rPr>
        <w:t xml:space="preserve">NPII </w:t>
      </w:r>
      <w:r w:rsidR="009A5B18">
        <w:rPr>
          <w:szCs w:val="24"/>
        </w:rPr>
        <w:t xml:space="preserve">can remain up to date. </w:t>
      </w:r>
      <w:r w:rsidR="00457308">
        <w:rPr>
          <w:szCs w:val="24"/>
        </w:rPr>
        <w:t>As the NPII is a publically searchable register that is implicitly relied upon, it is particularly important that it be kept up to date.</w:t>
      </w:r>
    </w:p>
    <w:p w14:paraId="3EF931B5" w14:textId="6A2C9AB7" w:rsidR="00E030DE" w:rsidRPr="00AE3D0D" w:rsidRDefault="009A5B18" w:rsidP="00DA0CFD">
      <w:pPr>
        <w:spacing w:before="100" w:beforeAutospacing="1" w:after="100" w:afterAutospacing="1"/>
        <w:rPr>
          <w:szCs w:val="24"/>
        </w:rPr>
      </w:pPr>
      <w:bookmarkStart w:id="1" w:name="_Toc489956633"/>
      <w:r w:rsidRPr="008706C3">
        <w:rPr>
          <w:szCs w:val="24"/>
        </w:rPr>
        <w:t xml:space="preserve">Item </w:t>
      </w:r>
      <w:r w:rsidR="00A3530F">
        <w:rPr>
          <w:szCs w:val="24"/>
        </w:rPr>
        <w:t>49</w:t>
      </w:r>
      <w:r w:rsidRPr="008706C3">
        <w:rPr>
          <w:szCs w:val="24"/>
        </w:rPr>
        <w:t xml:space="preserve"> of Schedule 1 also inserts </w:t>
      </w:r>
      <w:r w:rsidR="000270A2">
        <w:rPr>
          <w:szCs w:val="24"/>
        </w:rPr>
        <w:t xml:space="preserve">section </w:t>
      </w:r>
      <w:r w:rsidRPr="008706C3">
        <w:rPr>
          <w:szCs w:val="24"/>
        </w:rPr>
        <w:t>90-90 into the Rules which provides that if a court appoint</w:t>
      </w:r>
      <w:r w:rsidR="003C1F80">
        <w:rPr>
          <w:szCs w:val="24"/>
        </w:rPr>
        <w:t>s</w:t>
      </w:r>
      <w:r w:rsidRPr="008706C3">
        <w:rPr>
          <w:szCs w:val="24"/>
        </w:rPr>
        <w:t xml:space="preserve"> a trustee under section 90-15 or 90-35</w:t>
      </w:r>
      <w:r w:rsidR="008706C3" w:rsidRPr="008706C3">
        <w:rPr>
          <w:szCs w:val="24"/>
        </w:rPr>
        <w:t xml:space="preserve"> of Schedule 2 of the Act</w:t>
      </w:r>
      <w:r w:rsidR="004F6740">
        <w:rPr>
          <w:szCs w:val="24"/>
        </w:rPr>
        <w:t xml:space="preserve">, the Official Receiver must issue the trustee with a certificate of appointment.  </w:t>
      </w:r>
      <w:r w:rsidR="000270A2">
        <w:rPr>
          <w:szCs w:val="24"/>
        </w:rPr>
        <w:t>The certificate of appointment will be issued</w:t>
      </w:r>
      <w:r w:rsidR="004F6740">
        <w:rPr>
          <w:szCs w:val="24"/>
        </w:rPr>
        <w:t xml:space="preserve"> following the notification</w:t>
      </w:r>
      <w:r w:rsidR="000270A2">
        <w:rPr>
          <w:szCs w:val="24"/>
        </w:rPr>
        <w:t xml:space="preserve"> by the trustee</w:t>
      </w:r>
      <w:r w:rsidR="004F6740">
        <w:rPr>
          <w:szCs w:val="24"/>
        </w:rPr>
        <w:t xml:space="preserve"> to the Official Receiver of his or her appointment.</w:t>
      </w:r>
      <w:bookmarkEnd w:id="1"/>
    </w:p>
    <w:sectPr w:rsidR="00E030DE" w:rsidRPr="00AE3D0D" w:rsidSect="00857FA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40C62F" w15:done="0"/>
  <w15:commentEx w15:paraId="4C6D909B" w15:done="0"/>
  <w15:commentEx w15:paraId="3AC7D936" w15:done="0"/>
  <w15:commentEx w15:paraId="6AE84E06" w15:done="0"/>
  <w15:commentEx w15:paraId="282684D2" w15:done="0"/>
  <w15:commentEx w15:paraId="230BCFDD" w15:done="0"/>
  <w15:commentEx w15:paraId="5AF25013" w15:done="0"/>
  <w15:commentEx w15:paraId="6F34E4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EE1C8" w14:textId="77777777" w:rsidR="00D04475" w:rsidRDefault="00D04475">
      <w:pPr>
        <w:spacing w:before="0" w:after="0"/>
      </w:pPr>
      <w:r>
        <w:separator/>
      </w:r>
    </w:p>
  </w:endnote>
  <w:endnote w:type="continuationSeparator" w:id="0">
    <w:p w14:paraId="7CAF144E" w14:textId="77777777" w:rsidR="00D04475" w:rsidRDefault="00D044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4504D" w14:textId="77777777" w:rsidR="0053473F" w:rsidRDefault="00534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EAE3349" w14:textId="77777777" w:rsidR="0053473F" w:rsidRDefault="0053473F" w:rsidP="00857FA2">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2C423E">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2C423E">
              <w:rPr>
                <w:bCs/>
                <w:noProof/>
              </w:rPr>
              <w:t>20</w:t>
            </w:r>
            <w:r w:rsidRPr="00954679">
              <w:rPr>
                <w:bCs/>
                <w:szCs w:val="24"/>
              </w:rPr>
              <w:fldChar w:fldCharType="end"/>
            </w:r>
          </w:p>
        </w:sdtContent>
      </w:sdt>
    </w:sdtContent>
  </w:sdt>
  <w:p w14:paraId="6EAE334A" w14:textId="77777777" w:rsidR="0053473F" w:rsidRDefault="005347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1327F" w14:textId="77777777" w:rsidR="0053473F" w:rsidRDefault="00534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C79DF" w14:textId="77777777" w:rsidR="00D04475" w:rsidRDefault="00D04475" w:rsidP="00857FA2">
      <w:pPr>
        <w:spacing w:before="0" w:after="0"/>
      </w:pPr>
      <w:r>
        <w:separator/>
      </w:r>
    </w:p>
  </w:footnote>
  <w:footnote w:type="continuationSeparator" w:id="0">
    <w:p w14:paraId="33D09B75" w14:textId="77777777" w:rsidR="00D04475" w:rsidRDefault="00D04475" w:rsidP="00857FA2">
      <w:pPr>
        <w:spacing w:before="0" w:after="0"/>
      </w:pPr>
      <w:r>
        <w:continuationSeparator/>
      </w:r>
    </w:p>
  </w:footnote>
  <w:footnote w:id="1">
    <w:p w14:paraId="0E499E42" w14:textId="064349CE" w:rsidR="00A06935" w:rsidRDefault="00A06935" w:rsidP="00A06935">
      <w:pPr>
        <w:pStyle w:val="CommentText"/>
      </w:pPr>
      <w:r>
        <w:rPr>
          <w:rStyle w:val="FootnoteReference"/>
        </w:rPr>
        <w:footnoteRef/>
      </w:r>
      <w:r>
        <w:t xml:space="preserve"> </w:t>
      </w:r>
      <w:r w:rsidR="006F73B9" w:rsidRPr="00E73931">
        <w:rPr>
          <w:sz w:val="16"/>
          <w:szCs w:val="16"/>
        </w:rPr>
        <w:t xml:space="preserve">A </w:t>
      </w:r>
      <w:r w:rsidRPr="00E73931">
        <w:rPr>
          <w:sz w:val="16"/>
          <w:szCs w:val="16"/>
        </w:rPr>
        <w:t>‘regulated debtor’</w:t>
      </w:r>
      <w:r w:rsidR="006F73B9" w:rsidRPr="00E73931">
        <w:rPr>
          <w:sz w:val="16"/>
          <w:szCs w:val="16"/>
        </w:rPr>
        <w:t xml:space="preserve"> is defined in the Amending Act as being a person who is a bankrupt; whose property is subject to control under Division 2 of Part X of the Amending Act; a debtor under a personal insolvency agreement; or a deceased person whose estate is being administered under Part XI of the Amending Act.</w:t>
      </w:r>
      <w:r w:rsidR="006F73B9">
        <w:t xml:space="preserve"> </w:t>
      </w:r>
    </w:p>
    <w:p w14:paraId="39FA0A09" w14:textId="1CB0C52D" w:rsidR="00A06935" w:rsidRDefault="00A06935">
      <w:pPr>
        <w:pStyle w:val="FootnoteText"/>
      </w:pPr>
    </w:p>
  </w:footnote>
  <w:footnote w:id="2">
    <w:p w14:paraId="48F45411" w14:textId="77777777" w:rsidR="0053473F" w:rsidRDefault="0053473F" w:rsidP="00505489">
      <w:pPr>
        <w:pStyle w:val="FootnoteText"/>
      </w:pPr>
      <w:r>
        <w:rPr>
          <w:rStyle w:val="FootnoteReference"/>
        </w:rPr>
        <w:footnoteRef/>
      </w:r>
      <w:r>
        <w:t xml:space="preserve"> </w:t>
      </w:r>
      <w:r>
        <w:rPr>
          <w:rFonts w:ascii="Times New Roman" w:hAnsi="Times New Roman"/>
          <w:sz w:val="16"/>
          <w:szCs w:val="16"/>
        </w:rPr>
        <w:t xml:space="preserve">The </w:t>
      </w:r>
      <w:r>
        <w:rPr>
          <w:rFonts w:ascii="Times New Roman" w:hAnsi="Times New Roman"/>
          <w:i/>
          <w:sz w:val="16"/>
          <w:szCs w:val="16"/>
        </w:rPr>
        <w:t xml:space="preserve">Insolvency Law Reform (Transitional Provisions) Regulation 2016 </w:t>
      </w:r>
      <w:r>
        <w:rPr>
          <w:rFonts w:ascii="Times New Roman" w:hAnsi="Times New Roman"/>
          <w:sz w:val="16"/>
          <w:szCs w:val="16"/>
        </w:rPr>
        <w:t>is the legislative instrument that delays until 1 September 2017 the commencement of the provisions of the Insolvency Practice Schedule (Bankruptcy) in tranche 2.</w:t>
      </w:r>
      <w:r>
        <w:t xml:space="preserve"> </w:t>
      </w:r>
    </w:p>
  </w:footnote>
  <w:footnote w:id="3">
    <w:p w14:paraId="6049F4BA" w14:textId="346B0515" w:rsidR="0053473F" w:rsidRPr="00394DE0" w:rsidRDefault="0053473F" w:rsidP="00505489">
      <w:pPr>
        <w:pStyle w:val="FootnoteText"/>
        <w:rPr>
          <w:rFonts w:ascii="Times New Roman" w:hAnsi="Times New Roman"/>
        </w:rPr>
      </w:pPr>
      <w:r w:rsidRPr="00261203">
        <w:rPr>
          <w:rStyle w:val="FootnoteReference"/>
        </w:rPr>
        <w:footnoteRef/>
      </w:r>
      <w:r w:rsidRPr="00261203">
        <w:t xml:space="preserve"> </w:t>
      </w:r>
      <w:r>
        <w:t xml:space="preserve"> </w:t>
      </w:r>
      <w:hyperlink r:id="rId1" w:history="1">
        <w:r w:rsidRPr="009137C7">
          <w:rPr>
            <w:rFonts w:ascii="Times New Roman" w:hAnsi="Times New Roman"/>
            <w:sz w:val="16"/>
            <w:szCs w:val="16"/>
          </w:rPr>
          <w:t>https://www.legislation.gov.au/Details/C2017A00035</w:t>
        </w:r>
      </w:hyperlink>
      <w:r w:rsidRPr="00394DE0">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4BB0" w14:textId="77777777" w:rsidR="0053473F" w:rsidRDefault="00534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CBB73" w14:textId="77777777" w:rsidR="0053473F" w:rsidRDefault="005347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3F4DC" w14:textId="77777777" w:rsidR="0053473F" w:rsidRDefault="00534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0FCDF26"/>
    <w:lvl w:ilvl="0">
      <w:start w:val="1"/>
      <w:numFmt w:val="decimal"/>
      <w:pStyle w:val="ListNumber"/>
      <w:lvlText w:val="%1."/>
      <w:lvlJc w:val="left"/>
      <w:pPr>
        <w:tabs>
          <w:tab w:val="num" w:pos="360"/>
        </w:tabs>
        <w:ind w:left="360" w:hanging="360"/>
      </w:pPr>
    </w:lvl>
  </w:abstractNum>
  <w:abstractNum w:abstractNumId="1">
    <w:nsid w:val="030329CA"/>
    <w:multiLevelType w:val="multilevel"/>
    <w:tmpl w:val="29EE088C"/>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2">
    <w:nsid w:val="060A573D"/>
    <w:multiLevelType w:val="hybridMultilevel"/>
    <w:tmpl w:val="2FA2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464A7E"/>
    <w:multiLevelType w:val="multilevel"/>
    <w:tmpl w:val="503C7E50"/>
    <w:name w:val="StandardNumberedList"/>
    <w:lvl w:ilvl="0">
      <w:start w:val="1"/>
      <w:numFmt w:val="decimal"/>
      <w:pStyle w:val="OutlineNumbered1"/>
      <w:lvlText w:val="%1."/>
      <w:lvlJc w:val="left"/>
      <w:pPr>
        <w:tabs>
          <w:tab w:val="num" w:pos="520"/>
        </w:tabs>
        <w:ind w:left="520" w:hanging="520"/>
      </w:pPr>
      <w:rPr>
        <w:rFonts w:asciiTheme="minorHAnsi" w:hAnsiTheme="minorHAnsi" w:hint="default"/>
      </w:r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3284" w:hanging="360"/>
      </w:pPr>
    </w:lvl>
    <w:lvl w:ilvl="4">
      <w:start w:val="1"/>
      <w:numFmt w:val="lowerLetter"/>
      <w:lvlText w:val="(%5)"/>
      <w:lvlJc w:val="left"/>
      <w:pPr>
        <w:ind w:left="3644" w:hanging="360"/>
      </w:pPr>
    </w:lvl>
    <w:lvl w:ilvl="5">
      <w:start w:val="1"/>
      <w:numFmt w:val="lowerRoman"/>
      <w:lvlText w:val="(%6)"/>
      <w:lvlJc w:val="left"/>
      <w:pPr>
        <w:ind w:left="4004" w:hanging="360"/>
      </w:pPr>
    </w:lvl>
    <w:lvl w:ilvl="6">
      <w:start w:val="1"/>
      <w:numFmt w:val="decimal"/>
      <w:lvlText w:val="%7."/>
      <w:lvlJc w:val="left"/>
      <w:pPr>
        <w:ind w:left="4364" w:hanging="360"/>
      </w:pPr>
    </w:lvl>
    <w:lvl w:ilvl="7">
      <w:start w:val="1"/>
      <w:numFmt w:val="lowerLetter"/>
      <w:lvlText w:val="%8."/>
      <w:lvlJc w:val="left"/>
      <w:pPr>
        <w:ind w:left="4724" w:hanging="360"/>
      </w:pPr>
    </w:lvl>
    <w:lvl w:ilvl="8">
      <w:start w:val="1"/>
      <w:numFmt w:val="lowerRoman"/>
      <w:lvlText w:val="%9."/>
      <w:lvlJc w:val="left"/>
      <w:pPr>
        <w:ind w:left="5084" w:hanging="360"/>
      </w:pPr>
    </w:lvl>
  </w:abstractNum>
  <w:abstractNum w:abstractNumId="4">
    <w:nsid w:val="124B7BFA"/>
    <w:multiLevelType w:val="hybridMultilevel"/>
    <w:tmpl w:val="52F03424"/>
    <w:lvl w:ilvl="0" w:tplc="71A8C5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2D36DC5"/>
    <w:multiLevelType w:val="multilevel"/>
    <w:tmpl w:val="EA4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4237C5"/>
    <w:multiLevelType w:val="multilevel"/>
    <w:tmpl w:val="5FDE245E"/>
    <w:lvl w:ilvl="0">
      <w:start w:val="1"/>
      <w:numFmt w:val="decimal"/>
      <w:lvlText w:val="%1."/>
      <w:lvlJc w:val="left"/>
      <w:pPr>
        <w:tabs>
          <w:tab w:val="num" w:pos="946"/>
        </w:tabs>
        <w:ind w:left="567" w:hanging="567"/>
      </w:pPr>
      <w:rPr>
        <w:rFonts w:asciiTheme="minorHAnsi" w:hAnsiTheme="minorHAnsi" w:cstheme="minorHAnsi" w:hint="default"/>
        <w:b w:val="0"/>
        <w:i w:val="0"/>
        <w:color w:val="auto"/>
        <w:sz w:val="22"/>
        <w:szCs w:val="22"/>
      </w:rPr>
    </w:lvl>
    <w:lvl w:ilvl="1">
      <w:start w:val="1"/>
      <w:numFmt w:val="decimal"/>
      <w:lvlText w:val="%1.%2"/>
      <w:lvlJc w:val="left"/>
      <w:pPr>
        <w:tabs>
          <w:tab w:val="num" w:pos="4915"/>
        </w:tabs>
        <w:ind w:left="850" w:hanging="522"/>
      </w:pPr>
      <w:rPr>
        <w:rFonts w:asciiTheme="minorHAnsi" w:hAnsiTheme="minorHAnsi" w:cstheme="minorHAnsi" w:hint="default"/>
        <w:b w:val="0"/>
        <w:i w:val="0"/>
        <w:sz w:val="22"/>
      </w:rPr>
    </w:lvl>
    <w:lvl w:ilvl="2">
      <w:start w:val="1"/>
      <w:numFmt w:val="decimal"/>
      <w:lvlText w:val="%1.%3.%2"/>
      <w:lvlJc w:val="left"/>
      <w:pPr>
        <w:tabs>
          <w:tab w:val="num" w:pos="850"/>
        </w:tabs>
        <w:ind w:left="850" w:hanging="520"/>
      </w:pPr>
      <w:rPr>
        <w:rFonts w:hint="default"/>
        <w:b w:val="0"/>
        <w:i w:val="0"/>
      </w:rPr>
    </w:lvl>
    <w:lvl w:ilvl="3">
      <w:start w:val="1"/>
      <w:numFmt w:val="decimal"/>
      <w:lvlText w:val="(%4)"/>
      <w:lvlJc w:val="left"/>
      <w:pPr>
        <w:tabs>
          <w:tab w:val="num" w:pos="730"/>
        </w:tabs>
        <w:ind w:left="730" w:hanging="360"/>
      </w:pPr>
      <w:rPr>
        <w:rFonts w:hint="default"/>
        <w:b w:val="0"/>
        <w:i w:val="0"/>
      </w:rPr>
    </w:lvl>
    <w:lvl w:ilvl="4">
      <w:start w:val="1"/>
      <w:numFmt w:val="lowerLetter"/>
      <w:lvlText w:val="(%5)"/>
      <w:lvlJc w:val="left"/>
      <w:pPr>
        <w:tabs>
          <w:tab w:val="num" w:pos="1090"/>
        </w:tabs>
        <w:ind w:left="1090" w:hanging="360"/>
      </w:pPr>
      <w:rPr>
        <w:rFonts w:hint="default"/>
        <w:b w:val="0"/>
        <w:i w:val="0"/>
      </w:rPr>
    </w:lvl>
    <w:lvl w:ilvl="5">
      <w:start w:val="1"/>
      <w:numFmt w:val="lowerRoman"/>
      <w:lvlText w:val="(%6)"/>
      <w:lvlJc w:val="left"/>
      <w:pPr>
        <w:tabs>
          <w:tab w:val="num" w:pos="1450"/>
        </w:tabs>
        <w:ind w:left="1450" w:hanging="360"/>
      </w:pPr>
      <w:rPr>
        <w:rFonts w:hint="default"/>
        <w:b w:val="0"/>
        <w:i w:val="0"/>
      </w:rPr>
    </w:lvl>
    <w:lvl w:ilvl="6">
      <w:start w:val="1"/>
      <w:numFmt w:val="decimal"/>
      <w:lvlText w:val="%7."/>
      <w:lvlJc w:val="left"/>
      <w:pPr>
        <w:tabs>
          <w:tab w:val="num" w:pos="1810"/>
        </w:tabs>
        <w:ind w:left="1810" w:hanging="360"/>
      </w:pPr>
      <w:rPr>
        <w:rFonts w:hint="default"/>
        <w:b w:val="0"/>
        <w:i w:val="0"/>
      </w:rPr>
    </w:lvl>
    <w:lvl w:ilvl="7">
      <w:start w:val="1"/>
      <w:numFmt w:val="lowerLetter"/>
      <w:lvlText w:val="%8."/>
      <w:lvlJc w:val="left"/>
      <w:pPr>
        <w:tabs>
          <w:tab w:val="num" w:pos="2170"/>
        </w:tabs>
        <w:ind w:left="2170" w:hanging="360"/>
      </w:pPr>
      <w:rPr>
        <w:rFonts w:hint="default"/>
        <w:b w:val="0"/>
        <w:i w:val="0"/>
      </w:rPr>
    </w:lvl>
    <w:lvl w:ilvl="8">
      <w:start w:val="1"/>
      <w:numFmt w:val="lowerRoman"/>
      <w:lvlText w:val="%9."/>
      <w:lvlJc w:val="left"/>
      <w:pPr>
        <w:tabs>
          <w:tab w:val="num" w:pos="2530"/>
        </w:tabs>
        <w:ind w:left="2530" w:hanging="360"/>
      </w:pPr>
      <w:rPr>
        <w:rFonts w:hint="default"/>
        <w:b w:val="0"/>
        <w:i w:val="0"/>
      </w:rPr>
    </w:lvl>
  </w:abstractNum>
  <w:abstractNum w:abstractNumId="8">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9">
    <w:nsid w:val="2CC675E3"/>
    <w:multiLevelType w:val="multilevel"/>
    <w:tmpl w:val="68FCE9E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0"/>
        </w:tabs>
        <w:ind w:left="0" w:hanging="520"/>
      </w:pPr>
      <w:rPr>
        <w:rFonts w:ascii="Times New Roman" w:hAnsi="Times New Roman" w:cs="Times New Roman"/>
      </w:rPr>
    </w:lvl>
    <w:lvl w:ilvl="2">
      <w:start w:val="1"/>
      <w:numFmt w:val="bullet"/>
      <w:lvlText w:val=":"/>
      <w:lvlJc w:val="left"/>
      <w:pPr>
        <w:tabs>
          <w:tab w:val="num" w:pos="520"/>
        </w:tabs>
        <w:ind w:left="520" w:hanging="520"/>
      </w:pPr>
      <w:rPr>
        <w:rFonts w:ascii="Times New Roman" w:hAnsi="Times New Roman" w:cs="Times New Roman"/>
      </w:rPr>
    </w:lvl>
    <w:lvl w:ilvl="3">
      <w:start w:val="1"/>
      <w:numFmt w:val="decimal"/>
      <w:lvlText w:val="(%4)"/>
      <w:lvlJc w:val="left"/>
      <w:pPr>
        <w:ind w:left="400" w:hanging="360"/>
      </w:pPr>
    </w:lvl>
    <w:lvl w:ilvl="4">
      <w:start w:val="1"/>
      <w:numFmt w:val="lowerLetter"/>
      <w:lvlText w:val="(%5)"/>
      <w:lvlJc w:val="left"/>
      <w:pPr>
        <w:ind w:left="760" w:hanging="360"/>
      </w:pPr>
    </w:lvl>
    <w:lvl w:ilvl="5">
      <w:start w:val="1"/>
      <w:numFmt w:val="lowerRoman"/>
      <w:lvlText w:val="(%6)"/>
      <w:lvlJc w:val="left"/>
      <w:pPr>
        <w:ind w:left="1120" w:hanging="360"/>
      </w:pPr>
    </w:lvl>
    <w:lvl w:ilvl="6">
      <w:start w:val="1"/>
      <w:numFmt w:val="decimal"/>
      <w:lvlText w:val="%7."/>
      <w:lvlJc w:val="left"/>
      <w:pPr>
        <w:ind w:left="1480" w:hanging="360"/>
      </w:pPr>
    </w:lvl>
    <w:lvl w:ilvl="7">
      <w:start w:val="1"/>
      <w:numFmt w:val="lowerLetter"/>
      <w:lvlText w:val="%8."/>
      <w:lvlJc w:val="left"/>
      <w:pPr>
        <w:ind w:left="1840" w:hanging="360"/>
      </w:pPr>
    </w:lvl>
    <w:lvl w:ilvl="8">
      <w:start w:val="1"/>
      <w:numFmt w:val="lowerRoman"/>
      <w:lvlText w:val="%9."/>
      <w:lvlJc w:val="left"/>
      <w:pPr>
        <w:ind w:left="2200" w:hanging="360"/>
      </w:pPr>
    </w:lvl>
  </w:abstractNum>
  <w:abstractNum w:abstractNumId="10">
    <w:nsid w:val="34E3139A"/>
    <w:multiLevelType w:val="hybridMultilevel"/>
    <w:tmpl w:val="76C6225E"/>
    <w:lvl w:ilvl="0" w:tplc="C7B025C6">
      <w:start w:val="1"/>
      <w:numFmt w:val="bullet"/>
      <w:lvlText w:val=""/>
      <w:lvlJc w:val="left"/>
      <w:pPr>
        <w:ind w:left="720" w:hanging="360"/>
      </w:pPr>
      <w:rPr>
        <w:rFonts w:ascii="Symbol" w:hAnsi="Symbol" w:hint="default"/>
      </w:rPr>
    </w:lvl>
    <w:lvl w:ilvl="1" w:tplc="79D8F77E" w:tentative="1">
      <w:start w:val="1"/>
      <w:numFmt w:val="bullet"/>
      <w:lvlText w:val="o"/>
      <w:lvlJc w:val="left"/>
      <w:pPr>
        <w:ind w:left="1440" w:hanging="360"/>
      </w:pPr>
      <w:rPr>
        <w:rFonts w:ascii="Courier New" w:hAnsi="Courier New" w:cs="Courier New" w:hint="default"/>
      </w:rPr>
    </w:lvl>
    <w:lvl w:ilvl="2" w:tplc="212625F4" w:tentative="1">
      <w:start w:val="1"/>
      <w:numFmt w:val="bullet"/>
      <w:lvlText w:val=""/>
      <w:lvlJc w:val="left"/>
      <w:pPr>
        <w:ind w:left="2160" w:hanging="360"/>
      </w:pPr>
      <w:rPr>
        <w:rFonts w:ascii="Wingdings" w:hAnsi="Wingdings" w:hint="default"/>
      </w:rPr>
    </w:lvl>
    <w:lvl w:ilvl="3" w:tplc="736203B6" w:tentative="1">
      <w:start w:val="1"/>
      <w:numFmt w:val="bullet"/>
      <w:lvlText w:val=""/>
      <w:lvlJc w:val="left"/>
      <w:pPr>
        <w:ind w:left="2880" w:hanging="360"/>
      </w:pPr>
      <w:rPr>
        <w:rFonts w:ascii="Symbol" w:hAnsi="Symbol" w:hint="default"/>
      </w:rPr>
    </w:lvl>
    <w:lvl w:ilvl="4" w:tplc="BC0CC42E" w:tentative="1">
      <w:start w:val="1"/>
      <w:numFmt w:val="bullet"/>
      <w:lvlText w:val="o"/>
      <w:lvlJc w:val="left"/>
      <w:pPr>
        <w:ind w:left="3600" w:hanging="360"/>
      </w:pPr>
      <w:rPr>
        <w:rFonts w:ascii="Courier New" w:hAnsi="Courier New" w:cs="Courier New" w:hint="default"/>
      </w:rPr>
    </w:lvl>
    <w:lvl w:ilvl="5" w:tplc="8B4682B6" w:tentative="1">
      <w:start w:val="1"/>
      <w:numFmt w:val="bullet"/>
      <w:lvlText w:val=""/>
      <w:lvlJc w:val="left"/>
      <w:pPr>
        <w:ind w:left="4320" w:hanging="360"/>
      </w:pPr>
      <w:rPr>
        <w:rFonts w:ascii="Wingdings" w:hAnsi="Wingdings" w:hint="default"/>
      </w:rPr>
    </w:lvl>
    <w:lvl w:ilvl="6" w:tplc="E2D0F5FE" w:tentative="1">
      <w:start w:val="1"/>
      <w:numFmt w:val="bullet"/>
      <w:lvlText w:val=""/>
      <w:lvlJc w:val="left"/>
      <w:pPr>
        <w:ind w:left="5040" w:hanging="360"/>
      </w:pPr>
      <w:rPr>
        <w:rFonts w:ascii="Symbol" w:hAnsi="Symbol" w:hint="default"/>
      </w:rPr>
    </w:lvl>
    <w:lvl w:ilvl="7" w:tplc="D7929A6C" w:tentative="1">
      <w:start w:val="1"/>
      <w:numFmt w:val="bullet"/>
      <w:lvlText w:val="o"/>
      <w:lvlJc w:val="left"/>
      <w:pPr>
        <w:ind w:left="5760" w:hanging="360"/>
      </w:pPr>
      <w:rPr>
        <w:rFonts w:ascii="Courier New" w:hAnsi="Courier New" w:cs="Courier New" w:hint="default"/>
      </w:rPr>
    </w:lvl>
    <w:lvl w:ilvl="8" w:tplc="BCBAAE22" w:tentative="1">
      <w:start w:val="1"/>
      <w:numFmt w:val="bullet"/>
      <w:lvlText w:val=""/>
      <w:lvlJc w:val="left"/>
      <w:pPr>
        <w:ind w:left="6480" w:hanging="360"/>
      </w:pPr>
      <w:rPr>
        <w:rFonts w:ascii="Wingdings" w:hAnsi="Wingdings" w:hint="default"/>
      </w:rPr>
    </w:lvl>
  </w:abstractNum>
  <w:abstractNum w:abstractNumId="11">
    <w:nsid w:val="38C65195"/>
    <w:multiLevelType w:val="hybridMultilevel"/>
    <w:tmpl w:val="FA983D3A"/>
    <w:lvl w:ilvl="0" w:tplc="42868D72">
      <w:start w:val="1"/>
      <w:numFmt w:val="decimal"/>
      <w:lvlText w:val="%1."/>
      <w:lvlJc w:val="left"/>
      <w:pPr>
        <w:ind w:left="603" w:hanging="570"/>
      </w:pPr>
      <w:rPr>
        <w:rFonts w:hint="default"/>
        <w:b w:val="0"/>
      </w:rPr>
    </w:lvl>
    <w:lvl w:ilvl="1" w:tplc="F240107C">
      <w:start w:val="1"/>
      <w:numFmt w:val="lowerLetter"/>
      <w:lvlText w:val="%2."/>
      <w:lvlJc w:val="left"/>
      <w:pPr>
        <w:ind w:left="1113" w:hanging="360"/>
      </w:pPr>
    </w:lvl>
    <w:lvl w:ilvl="2" w:tplc="BA061116" w:tentative="1">
      <w:start w:val="1"/>
      <w:numFmt w:val="lowerRoman"/>
      <w:lvlText w:val="%3."/>
      <w:lvlJc w:val="right"/>
      <w:pPr>
        <w:ind w:left="1833" w:hanging="180"/>
      </w:pPr>
    </w:lvl>
    <w:lvl w:ilvl="3" w:tplc="FC5038FC" w:tentative="1">
      <w:start w:val="1"/>
      <w:numFmt w:val="decimal"/>
      <w:lvlText w:val="%4."/>
      <w:lvlJc w:val="left"/>
      <w:pPr>
        <w:ind w:left="2553" w:hanging="360"/>
      </w:pPr>
    </w:lvl>
    <w:lvl w:ilvl="4" w:tplc="8256AF36" w:tentative="1">
      <w:start w:val="1"/>
      <w:numFmt w:val="lowerLetter"/>
      <w:lvlText w:val="%5."/>
      <w:lvlJc w:val="left"/>
      <w:pPr>
        <w:ind w:left="3273" w:hanging="360"/>
      </w:pPr>
    </w:lvl>
    <w:lvl w:ilvl="5" w:tplc="4B9C2A7E" w:tentative="1">
      <w:start w:val="1"/>
      <w:numFmt w:val="lowerRoman"/>
      <w:lvlText w:val="%6."/>
      <w:lvlJc w:val="right"/>
      <w:pPr>
        <w:ind w:left="3993" w:hanging="180"/>
      </w:pPr>
    </w:lvl>
    <w:lvl w:ilvl="6" w:tplc="8AE63E44" w:tentative="1">
      <w:start w:val="1"/>
      <w:numFmt w:val="decimal"/>
      <w:lvlText w:val="%7."/>
      <w:lvlJc w:val="left"/>
      <w:pPr>
        <w:ind w:left="4713" w:hanging="360"/>
      </w:pPr>
    </w:lvl>
    <w:lvl w:ilvl="7" w:tplc="004A92A0" w:tentative="1">
      <w:start w:val="1"/>
      <w:numFmt w:val="lowerLetter"/>
      <w:lvlText w:val="%8."/>
      <w:lvlJc w:val="left"/>
      <w:pPr>
        <w:ind w:left="5433" w:hanging="360"/>
      </w:pPr>
    </w:lvl>
    <w:lvl w:ilvl="8" w:tplc="8056CA50" w:tentative="1">
      <w:start w:val="1"/>
      <w:numFmt w:val="lowerRoman"/>
      <w:lvlText w:val="%9."/>
      <w:lvlJc w:val="right"/>
      <w:pPr>
        <w:ind w:left="6153" w:hanging="180"/>
      </w:pPr>
    </w:lvl>
  </w:abstractNum>
  <w:abstractNum w:abstractNumId="12">
    <w:nsid w:val="3D4B21DB"/>
    <w:multiLevelType w:val="hybridMultilevel"/>
    <w:tmpl w:val="27C88CBC"/>
    <w:lvl w:ilvl="0" w:tplc="2D4C1576">
      <w:start w:val="1"/>
      <w:numFmt w:val="bullet"/>
      <w:lvlText w:val=""/>
      <w:lvlJc w:val="left"/>
      <w:pPr>
        <w:ind w:left="778" w:hanging="360"/>
      </w:pPr>
      <w:rPr>
        <w:rFonts w:ascii="Symbol" w:hAnsi="Symbol" w:hint="default"/>
      </w:rPr>
    </w:lvl>
    <w:lvl w:ilvl="1" w:tplc="9AD45030" w:tentative="1">
      <w:start w:val="1"/>
      <w:numFmt w:val="bullet"/>
      <w:lvlText w:val="o"/>
      <w:lvlJc w:val="left"/>
      <w:pPr>
        <w:ind w:left="1498" w:hanging="360"/>
      </w:pPr>
      <w:rPr>
        <w:rFonts w:ascii="Courier New" w:hAnsi="Courier New" w:cs="Courier New" w:hint="default"/>
      </w:rPr>
    </w:lvl>
    <w:lvl w:ilvl="2" w:tplc="9C1A3FE4" w:tentative="1">
      <w:start w:val="1"/>
      <w:numFmt w:val="bullet"/>
      <w:lvlText w:val=""/>
      <w:lvlJc w:val="left"/>
      <w:pPr>
        <w:ind w:left="2218" w:hanging="360"/>
      </w:pPr>
      <w:rPr>
        <w:rFonts w:ascii="Wingdings" w:hAnsi="Wingdings" w:hint="default"/>
      </w:rPr>
    </w:lvl>
    <w:lvl w:ilvl="3" w:tplc="6A18BC04" w:tentative="1">
      <w:start w:val="1"/>
      <w:numFmt w:val="bullet"/>
      <w:lvlText w:val=""/>
      <w:lvlJc w:val="left"/>
      <w:pPr>
        <w:ind w:left="2938" w:hanging="360"/>
      </w:pPr>
      <w:rPr>
        <w:rFonts w:ascii="Symbol" w:hAnsi="Symbol" w:hint="default"/>
      </w:rPr>
    </w:lvl>
    <w:lvl w:ilvl="4" w:tplc="9F10A3C8" w:tentative="1">
      <w:start w:val="1"/>
      <w:numFmt w:val="bullet"/>
      <w:lvlText w:val="o"/>
      <w:lvlJc w:val="left"/>
      <w:pPr>
        <w:ind w:left="3658" w:hanging="360"/>
      </w:pPr>
      <w:rPr>
        <w:rFonts w:ascii="Courier New" w:hAnsi="Courier New" w:cs="Courier New" w:hint="default"/>
      </w:rPr>
    </w:lvl>
    <w:lvl w:ilvl="5" w:tplc="BCC8E4BA" w:tentative="1">
      <w:start w:val="1"/>
      <w:numFmt w:val="bullet"/>
      <w:lvlText w:val=""/>
      <w:lvlJc w:val="left"/>
      <w:pPr>
        <w:ind w:left="4378" w:hanging="360"/>
      </w:pPr>
      <w:rPr>
        <w:rFonts w:ascii="Wingdings" w:hAnsi="Wingdings" w:hint="default"/>
      </w:rPr>
    </w:lvl>
    <w:lvl w:ilvl="6" w:tplc="78E8E7EE" w:tentative="1">
      <w:start w:val="1"/>
      <w:numFmt w:val="bullet"/>
      <w:lvlText w:val=""/>
      <w:lvlJc w:val="left"/>
      <w:pPr>
        <w:ind w:left="5098" w:hanging="360"/>
      </w:pPr>
      <w:rPr>
        <w:rFonts w:ascii="Symbol" w:hAnsi="Symbol" w:hint="default"/>
      </w:rPr>
    </w:lvl>
    <w:lvl w:ilvl="7" w:tplc="41BE9D1A" w:tentative="1">
      <w:start w:val="1"/>
      <w:numFmt w:val="bullet"/>
      <w:lvlText w:val="o"/>
      <w:lvlJc w:val="left"/>
      <w:pPr>
        <w:ind w:left="5818" w:hanging="360"/>
      </w:pPr>
      <w:rPr>
        <w:rFonts w:ascii="Courier New" w:hAnsi="Courier New" w:cs="Courier New" w:hint="default"/>
      </w:rPr>
    </w:lvl>
    <w:lvl w:ilvl="8" w:tplc="73F2AB48" w:tentative="1">
      <w:start w:val="1"/>
      <w:numFmt w:val="bullet"/>
      <w:lvlText w:val=""/>
      <w:lvlJc w:val="left"/>
      <w:pPr>
        <w:ind w:left="6538" w:hanging="360"/>
      </w:pPr>
      <w:rPr>
        <w:rFonts w:ascii="Wingdings" w:hAnsi="Wingdings" w:hint="default"/>
      </w:rPr>
    </w:lvl>
  </w:abstractNum>
  <w:abstractNum w:abstractNumId="13">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7229D3"/>
    <w:multiLevelType w:val="multilevel"/>
    <w:tmpl w:val="8B7C8C68"/>
    <w:name w:val="ChapterList"/>
    <w:lvl w:ilvl="0">
      <w:start w:val="1"/>
      <w:numFmt w:val="decimal"/>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41232C80"/>
    <w:multiLevelType w:val="hybridMultilevel"/>
    <w:tmpl w:val="198A41BC"/>
    <w:lvl w:ilvl="0" w:tplc="89724B8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456A2BB3"/>
    <w:multiLevelType w:val="hybridMultilevel"/>
    <w:tmpl w:val="6AE8BF38"/>
    <w:lvl w:ilvl="0" w:tplc="71A8C53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8053319"/>
    <w:multiLevelType w:val="multilevel"/>
    <w:tmpl w:val="842CF104"/>
    <w:lvl w:ilvl="0">
      <w:start w:val="1"/>
      <w:numFmt w:val="decimal"/>
      <w:lvlText w:val="Chapter %1"/>
      <w:lvlJc w:val="left"/>
      <w:pPr>
        <w:tabs>
          <w:tab w:val="num" w:pos="1134"/>
        </w:tabs>
        <w:ind w:left="0" w:firstLine="0"/>
      </w:pPr>
      <w:rPr>
        <w:rFonts w:hint="default"/>
      </w:rPr>
    </w:lvl>
    <w:lvl w:ilvl="1">
      <w:start w:val="1"/>
      <w:numFmt w:val="bullet"/>
      <w:lvlText w:val=""/>
      <w:lvlJc w:val="left"/>
      <w:pPr>
        <w:tabs>
          <w:tab w:val="num" w:pos="1985"/>
        </w:tabs>
        <w:ind w:left="1134" w:firstLine="0"/>
      </w:pPr>
      <w:rPr>
        <w:rFonts w:ascii="Symbol" w:hAnsi="Symbol" w:hint="default"/>
        <w:sz w:val="14"/>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A9612E3"/>
    <w:multiLevelType w:val="multilevel"/>
    <w:tmpl w:val="254E69A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E374716"/>
    <w:multiLevelType w:val="multilevel"/>
    <w:tmpl w:val="60E6B9D4"/>
    <w:lvl w:ilvl="0">
      <w:start w:val="1"/>
      <w:numFmt w:val="bullet"/>
      <w:lvlText w:val="•"/>
      <w:lvlJc w:val="left"/>
      <w:pPr>
        <w:tabs>
          <w:tab w:val="num" w:pos="520"/>
        </w:tabs>
        <w:ind w:left="520" w:hanging="520"/>
      </w:pPr>
      <w:rPr>
        <w:rFonts w:ascii="Times New Roman" w:hAnsi="Times New Roman" w:cs="Times New Roman" w:hint="default"/>
        <w:color w:val="auto"/>
        <w:sz w:val="24"/>
        <w:szCs w:val="24"/>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bullet"/>
      <w:lvlText w:val=""/>
      <w:lvlJc w:val="left"/>
      <w:pPr>
        <w:ind w:left="3851" w:hanging="360"/>
      </w:pPr>
      <w:rPr>
        <w:rFonts w:ascii="Symbol" w:hAnsi="Symbol" w:hint="default"/>
        <w:color w:val="auto"/>
      </w:rPr>
    </w:lvl>
    <w:lvl w:ilvl="4">
      <w:start w:val="1"/>
      <w:numFmt w:val="lowerLetter"/>
      <w:lvlText w:val="(%5)"/>
      <w:lvlJc w:val="left"/>
      <w:pPr>
        <w:ind w:left="4211" w:hanging="360"/>
      </w:pPr>
      <w:rPr>
        <w:rFonts w:hint="default"/>
      </w:rPr>
    </w:lvl>
    <w:lvl w:ilvl="5">
      <w:start w:val="1"/>
      <w:numFmt w:val="lowerRoman"/>
      <w:lvlText w:val="(%6)"/>
      <w:lvlJc w:val="left"/>
      <w:pPr>
        <w:ind w:left="4571" w:hanging="360"/>
      </w:pPr>
      <w:rPr>
        <w:rFonts w:hint="default"/>
      </w:rPr>
    </w:lvl>
    <w:lvl w:ilvl="6">
      <w:start w:val="1"/>
      <w:numFmt w:val="decimal"/>
      <w:lvlText w:val="%7."/>
      <w:lvlJc w:val="left"/>
      <w:pPr>
        <w:ind w:left="4931" w:hanging="360"/>
      </w:pPr>
      <w:rPr>
        <w:rFonts w:hint="default"/>
      </w:rPr>
    </w:lvl>
    <w:lvl w:ilvl="7">
      <w:start w:val="1"/>
      <w:numFmt w:val="lowerLetter"/>
      <w:lvlText w:val="%8."/>
      <w:lvlJc w:val="left"/>
      <w:pPr>
        <w:ind w:left="5291" w:hanging="360"/>
      </w:pPr>
      <w:rPr>
        <w:rFonts w:hint="default"/>
      </w:rPr>
    </w:lvl>
    <w:lvl w:ilvl="8">
      <w:start w:val="1"/>
      <w:numFmt w:val="lowerRoman"/>
      <w:lvlText w:val="%9."/>
      <w:lvlJc w:val="left"/>
      <w:pPr>
        <w:ind w:left="5651" w:hanging="360"/>
      </w:pPr>
      <w:rPr>
        <w:rFonts w:hint="default"/>
      </w:rPr>
    </w:lvl>
  </w:abstractNum>
  <w:abstractNum w:abstractNumId="20">
    <w:nsid w:val="5B80748E"/>
    <w:multiLevelType w:val="multilevel"/>
    <w:tmpl w:val="8794D03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DB70E8D"/>
    <w:multiLevelType w:val="hybridMultilevel"/>
    <w:tmpl w:val="C188F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61D022AE"/>
    <w:multiLevelType w:val="hybridMultilevel"/>
    <w:tmpl w:val="C0503146"/>
    <w:lvl w:ilvl="0" w:tplc="A24A8F0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7A43C0B"/>
    <w:multiLevelType w:val="multilevel"/>
    <w:tmpl w:val="9A149D26"/>
    <w:name w:val="StandardBulletedList"/>
    <w:lvl w:ilvl="0">
      <w:start w:val="1"/>
      <w:numFmt w:val="bullet"/>
      <w:pStyle w:val="Bullet"/>
      <w:lvlText w:val="•"/>
      <w:lvlJc w:val="left"/>
      <w:pPr>
        <w:tabs>
          <w:tab w:val="num" w:pos="567"/>
        </w:tabs>
        <w:ind w:left="567"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BB13FB2"/>
    <w:multiLevelType w:val="multilevel"/>
    <w:tmpl w:val="80E2D91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3E902C3"/>
    <w:multiLevelType w:val="hybridMultilevel"/>
    <w:tmpl w:val="24622CFC"/>
    <w:lvl w:ilvl="0" w:tplc="AAAC38A4">
      <w:start w:val="1"/>
      <w:numFmt w:val="bullet"/>
      <w:lvlText w:val=""/>
      <w:lvlJc w:val="left"/>
      <w:pPr>
        <w:tabs>
          <w:tab w:val="num" w:pos="1440"/>
        </w:tabs>
        <w:ind w:left="1440" w:hanging="360"/>
      </w:pPr>
      <w:rPr>
        <w:rFonts w:ascii="Symbol" w:hAnsi="Symbol" w:hint="default"/>
      </w:rPr>
    </w:lvl>
    <w:lvl w:ilvl="1" w:tplc="7B444594" w:tentative="1">
      <w:start w:val="1"/>
      <w:numFmt w:val="bullet"/>
      <w:lvlText w:val="o"/>
      <w:lvlJc w:val="left"/>
      <w:pPr>
        <w:tabs>
          <w:tab w:val="num" w:pos="2160"/>
        </w:tabs>
        <w:ind w:left="2160" w:hanging="360"/>
      </w:pPr>
      <w:rPr>
        <w:rFonts w:ascii="Courier New" w:hAnsi="Courier New" w:cs="Courier New" w:hint="default"/>
      </w:rPr>
    </w:lvl>
    <w:lvl w:ilvl="2" w:tplc="9574260E" w:tentative="1">
      <w:start w:val="1"/>
      <w:numFmt w:val="bullet"/>
      <w:lvlText w:val=""/>
      <w:lvlJc w:val="left"/>
      <w:pPr>
        <w:tabs>
          <w:tab w:val="num" w:pos="2880"/>
        </w:tabs>
        <w:ind w:left="2880" w:hanging="360"/>
      </w:pPr>
      <w:rPr>
        <w:rFonts w:ascii="Wingdings" w:hAnsi="Wingdings" w:hint="default"/>
      </w:rPr>
    </w:lvl>
    <w:lvl w:ilvl="3" w:tplc="50180964" w:tentative="1">
      <w:start w:val="1"/>
      <w:numFmt w:val="bullet"/>
      <w:lvlText w:val=""/>
      <w:lvlJc w:val="left"/>
      <w:pPr>
        <w:tabs>
          <w:tab w:val="num" w:pos="3600"/>
        </w:tabs>
        <w:ind w:left="3600" w:hanging="360"/>
      </w:pPr>
      <w:rPr>
        <w:rFonts w:ascii="Symbol" w:hAnsi="Symbol" w:hint="default"/>
      </w:rPr>
    </w:lvl>
    <w:lvl w:ilvl="4" w:tplc="998AE466" w:tentative="1">
      <w:start w:val="1"/>
      <w:numFmt w:val="bullet"/>
      <w:lvlText w:val="o"/>
      <w:lvlJc w:val="left"/>
      <w:pPr>
        <w:tabs>
          <w:tab w:val="num" w:pos="4320"/>
        </w:tabs>
        <w:ind w:left="4320" w:hanging="360"/>
      </w:pPr>
      <w:rPr>
        <w:rFonts w:ascii="Courier New" w:hAnsi="Courier New" w:cs="Courier New" w:hint="default"/>
      </w:rPr>
    </w:lvl>
    <w:lvl w:ilvl="5" w:tplc="D0503B94" w:tentative="1">
      <w:start w:val="1"/>
      <w:numFmt w:val="bullet"/>
      <w:lvlText w:val=""/>
      <w:lvlJc w:val="left"/>
      <w:pPr>
        <w:tabs>
          <w:tab w:val="num" w:pos="5040"/>
        </w:tabs>
        <w:ind w:left="5040" w:hanging="360"/>
      </w:pPr>
      <w:rPr>
        <w:rFonts w:ascii="Wingdings" w:hAnsi="Wingdings" w:hint="default"/>
      </w:rPr>
    </w:lvl>
    <w:lvl w:ilvl="6" w:tplc="EC7E3558" w:tentative="1">
      <w:start w:val="1"/>
      <w:numFmt w:val="bullet"/>
      <w:lvlText w:val=""/>
      <w:lvlJc w:val="left"/>
      <w:pPr>
        <w:tabs>
          <w:tab w:val="num" w:pos="5760"/>
        </w:tabs>
        <w:ind w:left="5760" w:hanging="360"/>
      </w:pPr>
      <w:rPr>
        <w:rFonts w:ascii="Symbol" w:hAnsi="Symbol" w:hint="default"/>
      </w:rPr>
    </w:lvl>
    <w:lvl w:ilvl="7" w:tplc="E2F206FC" w:tentative="1">
      <w:start w:val="1"/>
      <w:numFmt w:val="bullet"/>
      <w:lvlText w:val="o"/>
      <w:lvlJc w:val="left"/>
      <w:pPr>
        <w:tabs>
          <w:tab w:val="num" w:pos="6480"/>
        </w:tabs>
        <w:ind w:left="6480" w:hanging="360"/>
      </w:pPr>
      <w:rPr>
        <w:rFonts w:ascii="Courier New" w:hAnsi="Courier New" w:cs="Courier New" w:hint="default"/>
      </w:rPr>
    </w:lvl>
    <w:lvl w:ilvl="8" w:tplc="3AB6A624" w:tentative="1">
      <w:start w:val="1"/>
      <w:numFmt w:val="bullet"/>
      <w:lvlText w:val=""/>
      <w:lvlJc w:val="left"/>
      <w:pPr>
        <w:tabs>
          <w:tab w:val="num" w:pos="7200"/>
        </w:tabs>
        <w:ind w:left="7200" w:hanging="360"/>
      </w:pPr>
      <w:rPr>
        <w:rFonts w:ascii="Wingdings" w:hAnsi="Wingdings" w:hint="default"/>
      </w:rPr>
    </w:lvl>
  </w:abstractNum>
  <w:abstractNum w:abstractNumId="27">
    <w:nsid w:val="7D6721FF"/>
    <w:multiLevelType w:val="multilevel"/>
    <w:tmpl w:val="A142D2EE"/>
    <w:lvl w:ilvl="0">
      <w:start w:val="1"/>
      <w:numFmt w:val="decimal"/>
      <w:lvlText w:val="1.%1"/>
      <w:lvlJc w:val="left"/>
      <w:pPr>
        <w:tabs>
          <w:tab w:val="num" w:pos="360"/>
        </w:tabs>
        <w:ind w:left="360" w:hanging="360"/>
      </w:pPr>
      <w:rPr>
        <w:rFonts w:hint="default"/>
        <w:b w:val="0"/>
        <w:sz w:val="22"/>
        <w:szCs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E624F25"/>
    <w:multiLevelType w:val="multilevel"/>
    <w:tmpl w:val="1A5C8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4"/>
  </w:num>
  <w:num w:numId="3">
    <w:abstractNumId w:val="6"/>
  </w:num>
  <w:num w:numId="4">
    <w:abstractNumId w:val="18"/>
  </w:num>
  <w:num w:numId="5">
    <w:abstractNumId w:val="9"/>
  </w:num>
  <w:num w:numId="6">
    <w:abstractNumId w:val="3"/>
  </w:num>
  <w:num w:numId="7">
    <w:abstractNumId w:val="0"/>
  </w:num>
  <w:num w:numId="8">
    <w:abstractNumId w:val="19"/>
  </w:num>
  <w:num w:numId="9">
    <w:abstractNumId w:val="10"/>
  </w:num>
  <w:num w:numId="10">
    <w:abstractNumId w:val="24"/>
  </w:num>
  <w:num w:numId="11">
    <w:abstractNumId w:val="24"/>
  </w:num>
  <w:num w:numId="12">
    <w:abstractNumId w:val="24"/>
  </w:num>
  <w:num w:numId="13">
    <w:abstractNumId w:val="24"/>
  </w:num>
  <w:num w:numId="14">
    <w:abstractNumId w:val="24"/>
  </w:num>
  <w:num w:numId="15">
    <w:abstractNumId w:val="13"/>
  </w:num>
  <w:num w:numId="16">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color w:val="auto"/>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ascii="Times New Roman" w:hAnsi="Times New Roman" w:cs="Times New Roman" w:hint="default"/>
          <w:b w:val="0"/>
          <w:i w:val="0"/>
          <w:sz w:val="20"/>
          <w:szCs w:val="20"/>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7"/>
  </w:num>
  <w:num w:numId="19">
    <w:abstractNumId w:val="7"/>
  </w:num>
  <w:num w:numId="20">
    <w:abstractNumId w:val="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5"/>
  </w:num>
  <w:num w:numId="24">
    <w:abstractNumId w:val="14"/>
  </w:num>
  <w:num w:numId="25">
    <w:abstractNumId w:val="2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7"/>
  </w:num>
  <w:num w:numId="38">
    <w:abstractNumId w:val="26"/>
  </w:num>
  <w:num w:numId="39">
    <w:abstractNumId w:val="12"/>
  </w:num>
  <w:num w:numId="40">
    <w:abstractNumId w:val="24"/>
  </w:num>
  <w:num w:numId="41">
    <w:abstractNumId w:val="21"/>
  </w:num>
  <w:num w:numId="42">
    <w:abstractNumId w:val="4"/>
  </w:num>
  <w:num w:numId="43">
    <w:abstractNumId w:val="22"/>
  </w:num>
  <w:num w:numId="44">
    <w:abstractNumId w:val="16"/>
  </w:num>
  <w:num w:numId="45">
    <w:abstractNumId w:val="15"/>
  </w:num>
  <w:num w:numId="46">
    <w:abstractNumId w:val="5"/>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FA"/>
    <w:rsid w:val="00004408"/>
    <w:rsid w:val="000057DC"/>
    <w:rsid w:val="00007F4D"/>
    <w:rsid w:val="00010947"/>
    <w:rsid w:val="0001190A"/>
    <w:rsid w:val="00011C0A"/>
    <w:rsid w:val="00025634"/>
    <w:rsid w:val="000270A2"/>
    <w:rsid w:val="0003455A"/>
    <w:rsid w:val="00044A2A"/>
    <w:rsid w:val="00050010"/>
    <w:rsid w:val="00052E10"/>
    <w:rsid w:val="000568E0"/>
    <w:rsid w:val="00063039"/>
    <w:rsid w:val="00072D25"/>
    <w:rsid w:val="0008552E"/>
    <w:rsid w:val="00094070"/>
    <w:rsid w:val="00094BFC"/>
    <w:rsid w:val="000A0780"/>
    <w:rsid w:val="000A26F7"/>
    <w:rsid w:val="000A709A"/>
    <w:rsid w:val="000B1DDF"/>
    <w:rsid w:val="000B3AAE"/>
    <w:rsid w:val="000B7271"/>
    <w:rsid w:val="000C4477"/>
    <w:rsid w:val="000C56B7"/>
    <w:rsid w:val="000D0486"/>
    <w:rsid w:val="000D2167"/>
    <w:rsid w:val="000E525E"/>
    <w:rsid w:val="000F0208"/>
    <w:rsid w:val="000F1CBB"/>
    <w:rsid w:val="000F5C13"/>
    <w:rsid w:val="00100F4E"/>
    <w:rsid w:val="001029B3"/>
    <w:rsid w:val="001053AA"/>
    <w:rsid w:val="0011053C"/>
    <w:rsid w:val="001147F2"/>
    <w:rsid w:val="00116B97"/>
    <w:rsid w:val="00123565"/>
    <w:rsid w:val="0014424F"/>
    <w:rsid w:val="00146F41"/>
    <w:rsid w:val="001602BD"/>
    <w:rsid w:val="001817DD"/>
    <w:rsid w:val="00183302"/>
    <w:rsid w:val="001834F3"/>
    <w:rsid w:val="00190B76"/>
    <w:rsid w:val="00192425"/>
    <w:rsid w:val="001A0677"/>
    <w:rsid w:val="001A1733"/>
    <w:rsid w:val="001A59C7"/>
    <w:rsid w:val="001B004E"/>
    <w:rsid w:val="001B1120"/>
    <w:rsid w:val="001B1972"/>
    <w:rsid w:val="001B330C"/>
    <w:rsid w:val="001B3E0E"/>
    <w:rsid w:val="001B4A3C"/>
    <w:rsid w:val="001C5234"/>
    <w:rsid w:val="001D31AF"/>
    <w:rsid w:val="001D3DB3"/>
    <w:rsid w:val="001D5F49"/>
    <w:rsid w:val="001E2568"/>
    <w:rsid w:val="001E40C3"/>
    <w:rsid w:val="001F0DA0"/>
    <w:rsid w:val="001F271B"/>
    <w:rsid w:val="002176BE"/>
    <w:rsid w:val="00235523"/>
    <w:rsid w:val="0023612A"/>
    <w:rsid w:val="002472B0"/>
    <w:rsid w:val="00247D28"/>
    <w:rsid w:val="00252E40"/>
    <w:rsid w:val="00257E06"/>
    <w:rsid w:val="00261203"/>
    <w:rsid w:val="0026176E"/>
    <w:rsid w:val="002725C7"/>
    <w:rsid w:val="00272657"/>
    <w:rsid w:val="00273295"/>
    <w:rsid w:val="00293A48"/>
    <w:rsid w:val="002A40D2"/>
    <w:rsid w:val="002B16B6"/>
    <w:rsid w:val="002B2927"/>
    <w:rsid w:val="002B2DF2"/>
    <w:rsid w:val="002B3F9D"/>
    <w:rsid w:val="002C3612"/>
    <w:rsid w:val="002C423E"/>
    <w:rsid w:val="002E5396"/>
    <w:rsid w:val="002E7E0C"/>
    <w:rsid w:val="00310631"/>
    <w:rsid w:val="003113B6"/>
    <w:rsid w:val="0031356F"/>
    <w:rsid w:val="00317061"/>
    <w:rsid w:val="00321A09"/>
    <w:rsid w:val="00321BEF"/>
    <w:rsid w:val="00324792"/>
    <w:rsid w:val="003430CA"/>
    <w:rsid w:val="00351026"/>
    <w:rsid w:val="00354217"/>
    <w:rsid w:val="00360F93"/>
    <w:rsid w:val="003614F7"/>
    <w:rsid w:val="00361CF4"/>
    <w:rsid w:val="00364D08"/>
    <w:rsid w:val="00371FE5"/>
    <w:rsid w:val="0037436D"/>
    <w:rsid w:val="00384999"/>
    <w:rsid w:val="0038569B"/>
    <w:rsid w:val="00392524"/>
    <w:rsid w:val="00393EEC"/>
    <w:rsid w:val="003946E5"/>
    <w:rsid w:val="00394DE0"/>
    <w:rsid w:val="0039616E"/>
    <w:rsid w:val="003A3C65"/>
    <w:rsid w:val="003A505E"/>
    <w:rsid w:val="003A65AB"/>
    <w:rsid w:val="003B1BDB"/>
    <w:rsid w:val="003C1F80"/>
    <w:rsid w:val="003D1E2D"/>
    <w:rsid w:val="003D280D"/>
    <w:rsid w:val="003D54DF"/>
    <w:rsid w:val="003E2BCD"/>
    <w:rsid w:val="003E3CBB"/>
    <w:rsid w:val="003E55AA"/>
    <w:rsid w:val="003E58F8"/>
    <w:rsid w:val="003F7F5E"/>
    <w:rsid w:val="004138C0"/>
    <w:rsid w:val="00421A05"/>
    <w:rsid w:val="00427D70"/>
    <w:rsid w:val="00441A72"/>
    <w:rsid w:val="0044386C"/>
    <w:rsid w:val="00453A7D"/>
    <w:rsid w:val="00457308"/>
    <w:rsid w:val="00462597"/>
    <w:rsid w:val="004669A0"/>
    <w:rsid w:val="0046734D"/>
    <w:rsid w:val="00470C04"/>
    <w:rsid w:val="004719AC"/>
    <w:rsid w:val="00475015"/>
    <w:rsid w:val="00483EE2"/>
    <w:rsid w:val="00486957"/>
    <w:rsid w:val="00492F7D"/>
    <w:rsid w:val="0049404B"/>
    <w:rsid w:val="004A000C"/>
    <w:rsid w:val="004A1134"/>
    <w:rsid w:val="004A159F"/>
    <w:rsid w:val="004A268C"/>
    <w:rsid w:val="004A7111"/>
    <w:rsid w:val="004B1F0E"/>
    <w:rsid w:val="004B5D5A"/>
    <w:rsid w:val="004C51BE"/>
    <w:rsid w:val="004C57CB"/>
    <w:rsid w:val="004D1058"/>
    <w:rsid w:val="004D2612"/>
    <w:rsid w:val="004E2A3F"/>
    <w:rsid w:val="004E5EB0"/>
    <w:rsid w:val="004F201F"/>
    <w:rsid w:val="004F2B32"/>
    <w:rsid w:val="004F6740"/>
    <w:rsid w:val="00501A65"/>
    <w:rsid w:val="00505489"/>
    <w:rsid w:val="005113CF"/>
    <w:rsid w:val="00512BC8"/>
    <w:rsid w:val="005130C4"/>
    <w:rsid w:val="005203DB"/>
    <w:rsid w:val="00523646"/>
    <w:rsid w:val="0053358C"/>
    <w:rsid w:val="0053473F"/>
    <w:rsid w:val="00535EBE"/>
    <w:rsid w:val="005414EB"/>
    <w:rsid w:val="005477BC"/>
    <w:rsid w:val="00571126"/>
    <w:rsid w:val="00577A51"/>
    <w:rsid w:val="00582E7B"/>
    <w:rsid w:val="00583B29"/>
    <w:rsid w:val="0058683E"/>
    <w:rsid w:val="00592C76"/>
    <w:rsid w:val="0059411C"/>
    <w:rsid w:val="0059690A"/>
    <w:rsid w:val="005A2394"/>
    <w:rsid w:val="005A29CE"/>
    <w:rsid w:val="005B10E1"/>
    <w:rsid w:val="005B3B60"/>
    <w:rsid w:val="005C6DDD"/>
    <w:rsid w:val="005D1DBA"/>
    <w:rsid w:val="005D76EE"/>
    <w:rsid w:val="005D7B1F"/>
    <w:rsid w:val="005E6341"/>
    <w:rsid w:val="005E77BF"/>
    <w:rsid w:val="005F7116"/>
    <w:rsid w:val="00610261"/>
    <w:rsid w:val="00610A16"/>
    <w:rsid w:val="006164E8"/>
    <w:rsid w:val="0062372A"/>
    <w:rsid w:val="006252B0"/>
    <w:rsid w:val="006257AC"/>
    <w:rsid w:val="00640800"/>
    <w:rsid w:val="00652B8A"/>
    <w:rsid w:val="00656F7F"/>
    <w:rsid w:val="0065728D"/>
    <w:rsid w:val="00661F58"/>
    <w:rsid w:val="0066758E"/>
    <w:rsid w:val="0068422D"/>
    <w:rsid w:val="0068512C"/>
    <w:rsid w:val="006856EC"/>
    <w:rsid w:val="00691E8D"/>
    <w:rsid w:val="0069415C"/>
    <w:rsid w:val="0069719F"/>
    <w:rsid w:val="006A2D04"/>
    <w:rsid w:val="006B0F00"/>
    <w:rsid w:val="006B4A28"/>
    <w:rsid w:val="006B6864"/>
    <w:rsid w:val="006B6B3F"/>
    <w:rsid w:val="006C73C8"/>
    <w:rsid w:val="006D4977"/>
    <w:rsid w:val="006D5D18"/>
    <w:rsid w:val="006E1060"/>
    <w:rsid w:val="006F35B0"/>
    <w:rsid w:val="006F3907"/>
    <w:rsid w:val="006F6B11"/>
    <w:rsid w:val="006F73B9"/>
    <w:rsid w:val="00704758"/>
    <w:rsid w:val="00710DC0"/>
    <w:rsid w:val="0071564D"/>
    <w:rsid w:val="0072036F"/>
    <w:rsid w:val="00723321"/>
    <w:rsid w:val="00731096"/>
    <w:rsid w:val="0074159D"/>
    <w:rsid w:val="0075351F"/>
    <w:rsid w:val="007558A5"/>
    <w:rsid w:val="007645F8"/>
    <w:rsid w:val="007662CB"/>
    <w:rsid w:val="007669ED"/>
    <w:rsid w:val="00773EB1"/>
    <w:rsid w:val="00775BB5"/>
    <w:rsid w:val="00780E8D"/>
    <w:rsid w:val="00783827"/>
    <w:rsid w:val="00784047"/>
    <w:rsid w:val="007878DA"/>
    <w:rsid w:val="007B2A38"/>
    <w:rsid w:val="007B5E2F"/>
    <w:rsid w:val="007B6841"/>
    <w:rsid w:val="007B6B9A"/>
    <w:rsid w:val="007C7BE8"/>
    <w:rsid w:val="007D058F"/>
    <w:rsid w:val="007D3340"/>
    <w:rsid w:val="007E5A24"/>
    <w:rsid w:val="007E6C5A"/>
    <w:rsid w:val="007E75C0"/>
    <w:rsid w:val="007F43F5"/>
    <w:rsid w:val="007F6A2F"/>
    <w:rsid w:val="007F762A"/>
    <w:rsid w:val="00805E62"/>
    <w:rsid w:val="008110C5"/>
    <w:rsid w:val="00825D69"/>
    <w:rsid w:val="008262D0"/>
    <w:rsid w:val="008276E1"/>
    <w:rsid w:val="008366C5"/>
    <w:rsid w:val="00843ABD"/>
    <w:rsid w:val="00845472"/>
    <w:rsid w:val="0084648A"/>
    <w:rsid w:val="00852299"/>
    <w:rsid w:val="00857FA2"/>
    <w:rsid w:val="008706C3"/>
    <w:rsid w:val="00877C65"/>
    <w:rsid w:val="00894AFD"/>
    <w:rsid w:val="008962CA"/>
    <w:rsid w:val="008A4581"/>
    <w:rsid w:val="008A4CD7"/>
    <w:rsid w:val="008B3765"/>
    <w:rsid w:val="008C200F"/>
    <w:rsid w:val="008C2C76"/>
    <w:rsid w:val="008D7928"/>
    <w:rsid w:val="008E0669"/>
    <w:rsid w:val="008E7449"/>
    <w:rsid w:val="008F76EA"/>
    <w:rsid w:val="009015E5"/>
    <w:rsid w:val="0091054D"/>
    <w:rsid w:val="009108B2"/>
    <w:rsid w:val="00910ADD"/>
    <w:rsid w:val="009137C7"/>
    <w:rsid w:val="00921215"/>
    <w:rsid w:val="00921FEE"/>
    <w:rsid w:val="009241C7"/>
    <w:rsid w:val="00925DB7"/>
    <w:rsid w:val="00932A93"/>
    <w:rsid w:val="00933C11"/>
    <w:rsid w:val="0095425A"/>
    <w:rsid w:val="00967005"/>
    <w:rsid w:val="009752A0"/>
    <w:rsid w:val="00986AA0"/>
    <w:rsid w:val="00996CC3"/>
    <w:rsid w:val="009A0A5D"/>
    <w:rsid w:val="009A5B18"/>
    <w:rsid w:val="009C0749"/>
    <w:rsid w:val="009C7B61"/>
    <w:rsid w:val="009C7E90"/>
    <w:rsid w:val="009D2091"/>
    <w:rsid w:val="009E5548"/>
    <w:rsid w:val="009F0D80"/>
    <w:rsid w:val="009F5023"/>
    <w:rsid w:val="009F6D48"/>
    <w:rsid w:val="009F791B"/>
    <w:rsid w:val="00A050A9"/>
    <w:rsid w:val="00A06935"/>
    <w:rsid w:val="00A11AC4"/>
    <w:rsid w:val="00A20835"/>
    <w:rsid w:val="00A21FD4"/>
    <w:rsid w:val="00A23E72"/>
    <w:rsid w:val="00A3530F"/>
    <w:rsid w:val="00A36704"/>
    <w:rsid w:val="00A44FFA"/>
    <w:rsid w:val="00A4537D"/>
    <w:rsid w:val="00A45B0A"/>
    <w:rsid w:val="00A503DA"/>
    <w:rsid w:val="00A579A0"/>
    <w:rsid w:val="00A62476"/>
    <w:rsid w:val="00A6718F"/>
    <w:rsid w:val="00A74AB1"/>
    <w:rsid w:val="00A8058F"/>
    <w:rsid w:val="00A82035"/>
    <w:rsid w:val="00AB2B4B"/>
    <w:rsid w:val="00AD3472"/>
    <w:rsid w:val="00AD3D51"/>
    <w:rsid w:val="00AE0376"/>
    <w:rsid w:val="00AE3D0D"/>
    <w:rsid w:val="00AF11B6"/>
    <w:rsid w:val="00AF2A45"/>
    <w:rsid w:val="00AF5E43"/>
    <w:rsid w:val="00B040DC"/>
    <w:rsid w:val="00B10064"/>
    <w:rsid w:val="00B13BFD"/>
    <w:rsid w:val="00B15A0B"/>
    <w:rsid w:val="00B34A5C"/>
    <w:rsid w:val="00B34CDF"/>
    <w:rsid w:val="00B477FA"/>
    <w:rsid w:val="00B568D7"/>
    <w:rsid w:val="00B609BE"/>
    <w:rsid w:val="00B60EFA"/>
    <w:rsid w:val="00B67CEE"/>
    <w:rsid w:val="00B703AB"/>
    <w:rsid w:val="00B82D1C"/>
    <w:rsid w:val="00B95525"/>
    <w:rsid w:val="00B9621A"/>
    <w:rsid w:val="00BD1B6C"/>
    <w:rsid w:val="00BD3EF5"/>
    <w:rsid w:val="00BD6F7F"/>
    <w:rsid w:val="00BF59F6"/>
    <w:rsid w:val="00BF6C9D"/>
    <w:rsid w:val="00C11291"/>
    <w:rsid w:val="00C243DE"/>
    <w:rsid w:val="00C27BDB"/>
    <w:rsid w:val="00C30812"/>
    <w:rsid w:val="00C370E3"/>
    <w:rsid w:val="00C378D9"/>
    <w:rsid w:val="00C42321"/>
    <w:rsid w:val="00C47430"/>
    <w:rsid w:val="00C57415"/>
    <w:rsid w:val="00C664CF"/>
    <w:rsid w:val="00C673A1"/>
    <w:rsid w:val="00C74517"/>
    <w:rsid w:val="00C76432"/>
    <w:rsid w:val="00C772A3"/>
    <w:rsid w:val="00C80DF9"/>
    <w:rsid w:val="00C87111"/>
    <w:rsid w:val="00C90A11"/>
    <w:rsid w:val="00CA1B2B"/>
    <w:rsid w:val="00CA3D47"/>
    <w:rsid w:val="00CA7AEE"/>
    <w:rsid w:val="00CA7FF2"/>
    <w:rsid w:val="00CB7FA9"/>
    <w:rsid w:val="00CD4067"/>
    <w:rsid w:val="00CD5732"/>
    <w:rsid w:val="00CF001D"/>
    <w:rsid w:val="00CF4E75"/>
    <w:rsid w:val="00CF5C9D"/>
    <w:rsid w:val="00CF72E2"/>
    <w:rsid w:val="00CF7DF7"/>
    <w:rsid w:val="00D04475"/>
    <w:rsid w:val="00D12ABA"/>
    <w:rsid w:val="00D15BE6"/>
    <w:rsid w:val="00D20DC0"/>
    <w:rsid w:val="00D225F7"/>
    <w:rsid w:val="00D239BE"/>
    <w:rsid w:val="00D25B50"/>
    <w:rsid w:val="00D271A7"/>
    <w:rsid w:val="00D30775"/>
    <w:rsid w:val="00D33792"/>
    <w:rsid w:val="00D34C9E"/>
    <w:rsid w:val="00D56B2D"/>
    <w:rsid w:val="00D5702C"/>
    <w:rsid w:val="00D6571F"/>
    <w:rsid w:val="00D673F1"/>
    <w:rsid w:val="00D70F0E"/>
    <w:rsid w:val="00D74371"/>
    <w:rsid w:val="00D82595"/>
    <w:rsid w:val="00D853CE"/>
    <w:rsid w:val="00D87C6C"/>
    <w:rsid w:val="00D913B1"/>
    <w:rsid w:val="00D9155D"/>
    <w:rsid w:val="00D92D1F"/>
    <w:rsid w:val="00D9444C"/>
    <w:rsid w:val="00DA0CFD"/>
    <w:rsid w:val="00DB0CFF"/>
    <w:rsid w:val="00DB1913"/>
    <w:rsid w:val="00DB2CB2"/>
    <w:rsid w:val="00DB3BE5"/>
    <w:rsid w:val="00DB6267"/>
    <w:rsid w:val="00DB7AA0"/>
    <w:rsid w:val="00DD7957"/>
    <w:rsid w:val="00DE616C"/>
    <w:rsid w:val="00DE631E"/>
    <w:rsid w:val="00DF3ECC"/>
    <w:rsid w:val="00E030DE"/>
    <w:rsid w:val="00E04F55"/>
    <w:rsid w:val="00E04FD5"/>
    <w:rsid w:val="00E077BD"/>
    <w:rsid w:val="00E1496A"/>
    <w:rsid w:val="00E1525E"/>
    <w:rsid w:val="00E22D36"/>
    <w:rsid w:val="00E33BAB"/>
    <w:rsid w:val="00E34778"/>
    <w:rsid w:val="00E3657B"/>
    <w:rsid w:val="00E457F0"/>
    <w:rsid w:val="00E50589"/>
    <w:rsid w:val="00E55B6B"/>
    <w:rsid w:val="00E72396"/>
    <w:rsid w:val="00E73931"/>
    <w:rsid w:val="00E83FA2"/>
    <w:rsid w:val="00E85E30"/>
    <w:rsid w:val="00EA21C1"/>
    <w:rsid w:val="00EC310F"/>
    <w:rsid w:val="00EC79B7"/>
    <w:rsid w:val="00ED0C1F"/>
    <w:rsid w:val="00ED25CF"/>
    <w:rsid w:val="00ED2EDA"/>
    <w:rsid w:val="00ED4D44"/>
    <w:rsid w:val="00ED796A"/>
    <w:rsid w:val="00EE5D61"/>
    <w:rsid w:val="00EE7845"/>
    <w:rsid w:val="00EF45E4"/>
    <w:rsid w:val="00F07E2B"/>
    <w:rsid w:val="00F11857"/>
    <w:rsid w:val="00F22780"/>
    <w:rsid w:val="00F24BC4"/>
    <w:rsid w:val="00F25BFD"/>
    <w:rsid w:val="00F422F4"/>
    <w:rsid w:val="00F53875"/>
    <w:rsid w:val="00F573BB"/>
    <w:rsid w:val="00F61D34"/>
    <w:rsid w:val="00F64B27"/>
    <w:rsid w:val="00F91FAA"/>
    <w:rsid w:val="00F928CB"/>
    <w:rsid w:val="00F9428D"/>
    <w:rsid w:val="00F97621"/>
    <w:rsid w:val="00FA6961"/>
    <w:rsid w:val="00FA7529"/>
    <w:rsid w:val="00FB44CB"/>
    <w:rsid w:val="00FB7A08"/>
    <w:rsid w:val="00FC2C34"/>
    <w:rsid w:val="00FD639E"/>
    <w:rsid w:val="00FE007F"/>
    <w:rsid w:val="00FE18C9"/>
    <w:rsid w:val="00FE54B8"/>
    <w:rsid w:val="00FF5708"/>
    <w:rsid w:val="00FF6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AE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able of authorities"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uiPriority w:val="9"/>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uiPriority w:val="9"/>
    <w:qFormat/>
    <w:rsid w:val="00E4438C"/>
    <w:pPr>
      <w:spacing w:before="120"/>
      <w:outlineLvl w:val="3"/>
    </w:pPr>
  </w:style>
  <w:style w:type="paragraph" w:styleId="Heading5">
    <w:name w:val="heading 5"/>
    <w:basedOn w:val="Normal"/>
    <w:next w:val="Normal"/>
    <w:link w:val="Heading5Char"/>
    <w:uiPriority w:val="9"/>
    <w:unhideWhenUsed/>
    <w:qFormat/>
    <w:rsid w:val="00D856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856F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link w:val="BodyTextChar"/>
    <w:uiPriority w:val="99"/>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643ADA"/>
    <w:pPr>
      <w:numPr>
        <w:numId w:val="6"/>
      </w:numPr>
    </w:pPr>
    <w:rPr>
      <w:sz w:val="22"/>
    </w:rPr>
  </w:style>
  <w:style w:type="character" w:customStyle="1" w:styleId="OutlineNumbered1Char">
    <w:name w:val="Outline Numbered 1 Char"/>
    <w:basedOn w:val="DefaultParagraphFont"/>
    <w:link w:val="OutlineNumbered1"/>
    <w:rsid w:val="00643ADA"/>
    <w:rPr>
      <w:sz w:val="22"/>
    </w:rPr>
  </w:style>
  <w:style w:type="paragraph" w:customStyle="1" w:styleId="OutlineNumbered2">
    <w:name w:val="Outline Numbered 2"/>
    <w:basedOn w:val="Normal"/>
    <w:link w:val="OutlineNumbered2Char"/>
    <w:rsid w:val="00643ADA"/>
    <w:pPr>
      <w:numPr>
        <w:ilvl w:val="1"/>
        <w:numId w:val="6"/>
      </w:numPr>
    </w:pPr>
    <w:rPr>
      <w:sz w:val="22"/>
    </w:rPr>
  </w:style>
  <w:style w:type="paragraph" w:customStyle="1" w:styleId="OutlineNumbered3">
    <w:name w:val="Outline Numbered 3"/>
    <w:basedOn w:val="Normal"/>
    <w:rsid w:val="00643ADA"/>
    <w:pPr>
      <w:numPr>
        <w:ilvl w:val="2"/>
        <w:numId w:val="6"/>
      </w:numPr>
    </w:pPr>
    <w:rPr>
      <w:sz w:val="22"/>
    </w:rPr>
  </w:style>
  <w:style w:type="paragraph" w:styleId="ListNumber">
    <w:name w:val="List Number"/>
    <w:basedOn w:val="Normal"/>
    <w:uiPriority w:val="99"/>
    <w:unhideWhenUsed/>
    <w:rsid w:val="00F05C36"/>
    <w:pPr>
      <w:numPr>
        <w:numId w:val="7"/>
      </w:numPr>
      <w:spacing w:before="0" w:after="200" w:line="276" w:lineRule="auto"/>
      <w:contextualSpacing/>
    </w:pPr>
    <w:rPr>
      <w:rFonts w:asciiTheme="minorHAnsi" w:eastAsiaTheme="minorHAnsi" w:hAnsiTheme="minorHAnsi" w:cstheme="minorBidi"/>
      <w:sz w:val="22"/>
      <w:szCs w:val="22"/>
      <w:lang w:eastAsia="en-US"/>
    </w:rPr>
  </w:style>
  <w:style w:type="paragraph" w:customStyle="1" w:styleId="ActHead5">
    <w:name w:val="ActHead 5"/>
    <w:aliases w:val="s"/>
    <w:basedOn w:val="Normal"/>
    <w:next w:val="Normal"/>
    <w:link w:val="ActHead5Char"/>
    <w:qFormat/>
    <w:rsid w:val="0014200B"/>
    <w:pPr>
      <w:keepNext/>
      <w:keepLines/>
      <w:spacing w:before="280" w:after="0"/>
      <w:ind w:left="1134" w:hanging="1134"/>
      <w:outlineLvl w:val="4"/>
    </w:pPr>
    <w:rPr>
      <w:b/>
      <w:kern w:val="28"/>
    </w:rPr>
  </w:style>
  <w:style w:type="character" w:customStyle="1" w:styleId="ActHead5Char">
    <w:name w:val="ActHead 5 Char"/>
    <w:aliases w:val="s Char"/>
    <w:link w:val="ActHead5"/>
    <w:rsid w:val="0014200B"/>
    <w:rPr>
      <w:b/>
      <w:kern w:val="28"/>
      <w:sz w:val="24"/>
    </w:rPr>
  </w:style>
  <w:style w:type="paragraph" w:styleId="ListParagraph">
    <w:name w:val="List Paragraph"/>
    <w:basedOn w:val="Normal"/>
    <w:uiPriority w:val="34"/>
    <w:qFormat/>
    <w:rsid w:val="005372D1"/>
    <w:pPr>
      <w:ind w:left="720"/>
      <w:contextualSpacing/>
    </w:pPr>
  </w:style>
  <w:style w:type="paragraph" w:styleId="Revision">
    <w:name w:val="Revision"/>
    <w:hidden/>
    <w:uiPriority w:val="99"/>
    <w:semiHidden/>
    <w:rsid w:val="00627CBC"/>
    <w:rPr>
      <w:sz w:val="24"/>
    </w:rPr>
  </w:style>
  <w:style w:type="paragraph" w:customStyle="1" w:styleId="Definition">
    <w:name w:val="Definition"/>
    <w:aliases w:val="dd"/>
    <w:basedOn w:val="Normal"/>
    <w:rsid w:val="000C3589"/>
    <w:pPr>
      <w:spacing w:before="180" w:after="0"/>
      <w:ind w:left="1134"/>
    </w:pPr>
    <w:rPr>
      <w:sz w:val="22"/>
    </w:rPr>
  </w:style>
  <w:style w:type="paragraph" w:customStyle="1" w:styleId="notedraft">
    <w:name w:val="note(draft)"/>
    <w:aliases w:val="nd"/>
    <w:basedOn w:val="Normal"/>
    <w:rsid w:val="000C3589"/>
    <w:pPr>
      <w:spacing w:before="240" w:after="0"/>
      <w:ind w:left="284" w:hanging="284"/>
    </w:pPr>
    <w:rPr>
      <w:i/>
    </w:rPr>
  </w:style>
  <w:style w:type="character" w:customStyle="1" w:styleId="Heading5Char">
    <w:name w:val="Heading 5 Char"/>
    <w:basedOn w:val="DefaultParagraphFont"/>
    <w:link w:val="Heading5"/>
    <w:uiPriority w:val="9"/>
    <w:rsid w:val="00D856F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D856F1"/>
    <w:rPr>
      <w:rFonts w:asciiTheme="majorHAnsi" w:eastAsiaTheme="majorEastAsia" w:hAnsiTheme="majorHAnsi" w:cstheme="majorBidi"/>
      <w:i/>
      <w:iCs/>
      <w:color w:val="243F60" w:themeColor="accent1" w:themeShade="7F"/>
      <w:sz w:val="24"/>
    </w:rPr>
  </w:style>
  <w:style w:type="paragraph" w:customStyle="1" w:styleId="ChapterHeading">
    <w:name w:val="Chapter Heading"/>
    <w:next w:val="Heading2"/>
    <w:rsid w:val="00D856F1"/>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D856F1"/>
    <w:pPr>
      <w:tabs>
        <w:tab w:val="clear" w:pos="1987"/>
        <w:tab w:val="num" w:pos="360"/>
      </w:tabs>
      <w:ind w:left="1134"/>
    </w:pPr>
    <w:rPr>
      <w:kern w:val="0"/>
      <w:sz w:val="22"/>
    </w:rPr>
  </w:style>
  <w:style w:type="paragraph" w:customStyle="1" w:styleId="ExampleHeading">
    <w:name w:val="Example Heading"/>
    <w:basedOn w:val="Normal"/>
    <w:next w:val="Normal"/>
    <w:rsid w:val="00D856F1"/>
    <w:pPr>
      <w:keepNext/>
      <w:ind w:left="1134"/>
    </w:pPr>
    <w:rPr>
      <w:b/>
      <w:sz w:val="22"/>
    </w:rPr>
  </w:style>
  <w:style w:type="paragraph" w:customStyle="1" w:styleId="Diagram">
    <w:name w:val="Diagram"/>
    <w:basedOn w:val="Normal"/>
    <w:next w:val="Normal"/>
    <w:rsid w:val="00D856F1"/>
    <w:pPr>
      <w:keepNext/>
      <w:spacing w:before="0" w:after="0"/>
      <w:ind w:left="1134"/>
    </w:pPr>
    <w:rPr>
      <w:b/>
      <w:sz w:val="22"/>
    </w:rPr>
  </w:style>
  <w:style w:type="character" w:customStyle="1" w:styleId="base-text-paragraphChar">
    <w:name w:val="base-text-paragraph Char"/>
    <w:basedOn w:val="DefaultParagraphFont"/>
    <w:link w:val="base-text-paragraph"/>
    <w:rsid w:val="00D856F1"/>
    <w:rPr>
      <w:sz w:val="24"/>
    </w:rPr>
  </w:style>
  <w:style w:type="numbering" w:customStyle="1" w:styleId="ChapterList">
    <w:name w:val="ChapterList"/>
    <w:uiPriority w:val="99"/>
    <w:rsid w:val="00D856F1"/>
    <w:pPr>
      <w:numPr>
        <w:numId w:val="15"/>
      </w:numPr>
    </w:pPr>
  </w:style>
  <w:style w:type="numbering" w:customStyle="1" w:styleId="ChapterList1">
    <w:name w:val="ChapterList1"/>
    <w:uiPriority w:val="99"/>
    <w:rsid w:val="00D856F1"/>
  </w:style>
  <w:style w:type="paragraph" w:styleId="FootnoteText">
    <w:name w:val="footnote text"/>
    <w:aliases w:val="Car"/>
    <w:basedOn w:val="Normal"/>
    <w:link w:val="FootnoteTextChar"/>
    <w:uiPriority w:val="99"/>
    <w:rsid w:val="00D856F1"/>
    <w:pPr>
      <w:tabs>
        <w:tab w:val="left" w:pos="284"/>
      </w:tabs>
      <w:spacing w:before="0" w:after="240" w:line="260" w:lineRule="exact"/>
      <w:jc w:val="both"/>
    </w:pPr>
    <w:rPr>
      <w:rFonts w:ascii="Book Antiqua" w:hAnsi="Book Antiqua"/>
      <w:color w:val="000000"/>
      <w:sz w:val="18"/>
    </w:rPr>
  </w:style>
  <w:style w:type="character" w:customStyle="1" w:styleId="FootnoteTextChar">
    <w:name w:val="Footnote Text Char"/>
    <w:aliases w:val="Car Char"/>
    <w:basedOn w:val="DefaultParagraphFont"/>
    <w:link w:val="FootnoteText"/>
    <w:uiPriority w:val="99"/>
    <w:rsid w:val="00D856F1"/>
    <w:rPr>
      <w:rFonts w:ascii="Book Antiqua" w:hAnsi="Book Antiqua"/>
      <w:color w:val="000000"/>
      <w:sz w:val="18"/>
    </w:rPr>
  </w:style>
  <w:style w:type="character" w:styleId="FootnoteReference">
    <w:name w:val="footnote reference"/>
    <w:basedOn w:val="DefaultParagraphFont"/>
    <w:uiPriority w:val="99"/>
    <w:rsid w:val="00D856F1"/>
    <w:rPr>
      <w:vertAlign w:val="superscript"/>
    </w:rPr>
  </w:style>
  <w:style w:type="character" w:customStyle="1" w:styleId="OutlineNumbered2Char">
    <w:name w:val="Outline Numbered 2 Char"/>
    <w:basedOn w:val="DefaultParagraphFont"/>
    <w:link w:val="OutlineNumbered2"/>
    <w:rsid w:val="00D856F1"/>
    <w:rPr>
      <w:sz w:val="22"/>
    </w:rPr>
  </w:style>
  <w:style w:type="table" w:styleId="TableGrid">
    <w:name w:val="Table Grid"/>
    <w:basedOn w:val="TableNormal"/>
    <w:rsid w:val="00D856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56F1"/>
    <w:rPr>
      <w:i/>
      <w:iCs/>
    </w:rPr>
  </w:style>
  <w:style w:type="character" w:customStyle="1" w:styleId="Heading1Char">
    <w:name w:val="Heading 1 Char"/>
    <w:basedOn w:val="DefaultParagraphFont"/>
    <w:link w:val="Heading1"/>
    <w:uiPriority w:val="9"/>
    <w:rsid w:val="00D856F1"/>
    <w:rPr>
      <w:rFonts w:ascii="Arial Bold" w:hAnsi="Arial Bold"/>
      <w:b/>
      <w:kern w:val="28"/>
      <w:sz w:val="28"/>
      <w:u w:val="single"/>
    </w:rPr>
  </w:style>
  <w:style w:type="character" w:customStyle="1" w:styleId="Heading2Char">
    <w:name w:val="Heading 2 Char"/>
    <w:basedOn w:val="DefaultParagraphFont"/>
    <w:link w:val="Heading2"/>
    <w:uiPriority w:val="9"/>
    <w:rsid w:val="00D856F1"/>
    <w:rPr>
      <w:b/>
      <w:sz w:val="28"/>
      <w:u w:val="single"/>
    </w:rPr>
  </w:style>
  <w:style w:type="character" w:customStyle="1" w:styleId="Heading4Char">
    <w:name w:val="Heading 4 Char"/>
    <w:basedOn w:val="DefaultParagraphFont"/>
    <w:link w:val="Heading4"/>
    <w:uiPriority w:val="9"/>
    <w:rsid w:val="00D856F1"/>
    <w:rPr>
      <w:b/>
      <w:kern w:val="28"/>
      <w:sz w:val="24"/>
    </w:rPr>
  </w:style>
  <w:style w:type="character" w:styleId="Strong">
    <w:name w:val="Strong"/>
    <w:basedOn w:val="DefaultParagraphFont"/>
    <w:uiPriority w:val="22"/>
    <w:qFormat/>
    <w:rsid w:val="00D856F1"/>
    <w:rPr>
      <w:b/>
      <w:bCs/>
    </w:rPr>
  </w:style>
  <w:style w:type="paragraph" w:styleId="EnvelopeAddress">
    <w:name w:val="envelope address"/>
    <w:basedOn w:val="Normal"/>
    <w:rsid w:val="00D856F1"/>
    <w:pPr>
      <w:framePr w:w="7920" w:h="1980" w:hRule="exact" w:hSpace="180" w:wrap="auto" w:hAnchor="page" w:xAlign="center" w:yAlign="bottom"/>
      <w:spacing w:before="0" w:after="0"/>
      <w:ind w:left="2880"/>
    </w:pPr>
  </w:style>
  <w:style w:type="character" w:styleId="EndnoteReference">
    <w:name w:val="endnote reference"/>
    <w:basedOn w:val="DefaultParagraphFont"/>
    <w:uiPriority w:val="99"/>
    <w:semiHidden/>
    <w:unhideWhenUsed/>
    <w:rsid w:val="00D856F1"/>
    <w:rPr>
      <w:vertAlign w:val="superscript"/>
    </w:rPr>
  </w:style>
  <w:style w:type="paragraph" w:styleId="NoSpacing">
    <w:name w:val="No Spacing"/>
    <w:uiPriority w:val="1"/>
    <w:qFormat/>
    <w:rsid w:val="00D856F1"/>
    <w:rPr>
      <w:rFonts w:asciiTheme="minorHAnsi" w:eastAsiaTheme="minorEastAsia" w:hAnsiTheme="minorHAnsi" w:cstheme="minorBidi"/>
      <w:sz w:val="22"/>
      <w:szCs w:val="22"/>
    </w:rPr>
  </w:style>
  <w:style w:type="paragraph" w:customStyle="1" w:styleId="CABNETParagraph">
    <w:name w:val="CABNET Paragraph"/>
    <w:basedOn w:val="Normal"/>
    <w:link w:val="CABNETParagraphChar"/>
    <w:qFormat/>
    <w:rsid w:val="00D856F1"/>
    <w:rPr>
      <w:rFonts w:ascii="Verdana" w:eastAsiaTheme="minorHAnsi" w:hAnsi="Verdana" w:cstheme="minorBidi"/>
      <w:sz w:val="22"/>
      <w:szCs w:val="22"/>
      <w:lang w:eastAsia="en-US"/>
    </w:rPr>
  </w:style>
  <w:style w:type="character" w:customStyle="1" w:styleId="CABNETParagraphChar">
    <w:name w:val="CABNET Paragraph Char"/>
    <w:basedOn w:val="DefaultParagraphFont"/>
    <w:link w:val="CABNETParagraph"/>
    <w:rsid w:val="00D856F1"/>
    <w:rPr>
      <w:rFonts w:ascii="Verdana" w:eastAsiaTheme="minorHAnsi" w:hAnsi="Verdana" w:cstheme="minorBidi"/>
      <w:sz w:val="22"/>
      <w:szCs w:val="22"/>
      <w:lang w:eastAsia="en-US"/>
    </w:rPr>
  </w:style>
  <w:style w:type="paragraph" w:styleId="TOCHeading">
    <w:name w:val="TOC Heading"/>
    <w:basedOn w:val="Heading1"/>
    <w:next w:val="Normal"/>
    <w:uiPriority w:val="39"/>
    <w:unhideWhenUsed/>
    <w:qFormat/>
    <w:rsid w:val="00D856F1"/>
    <w:pPr>
      <w:keepLines/>
      <w:spacing w:before="480" w:after="0" w:line="276" w:lineRule="auto"/>
      <w:jc w:val="left"/>
      <w:outlineLvl w:val="9"/>
    </w:pPr>
    <w:rPr>
      <w:rFonts w:asciiTheme="majorHAnsi" w:eastAsiaTheme="majorEastAsia" w:hAnsiTheme="majorHAnsi" w:cstheme="majorBidi"/>
      <w:bCs/>
      <w:color w:val="365F91" w:themeColor="accent1" w:themeShade="BF"/>
      <w:kern w:val="0"/>
      <w:szCs w:val="28"/>
      <w:u w:val="none"/>
      <w:lang w:val="en-US" w:eastAsia="ja-JP"/>
    </w:rPr>
  </w:style>
  <w:style w:type="paragraph" w:styleId="TOC1">
    <w:name w:val="toc 1"/>
    <w:basedOn w:val="Normal"/>
    <w:next w:val="Normal"/>
    <w:autoRedefine/>
    <w:uiPriority w:val="39"/>
    <w:unhideWhenUsed/>
    <w:rsid w:val="00D856F1"/>
    <w:pPr>
      <w:spacing w:before="0" w:after="100" w:line="276"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D856F1"/>
    <w:pPr>
      <w:spacing w:before="0" w:after="100" w:line="276"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D856F1"/>
    <w:pPr>
      <w:spacing w:before="0" w:after="100" w:line="276" w:lineRule="auto"/>
      <w:ind w:left="440"/>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rsid w:val="00D856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56F1"/>
    <w:pPr>
      <w:spacing w:before="240" w:after="240"/>
    </w:pPr>
    <w:rPr>
      <w:szCs w:val="24"/>
    </w:rPr>
  </w:style>
  <w:style w:type="paragraph" w:styleId="EndnoteText">
    <w:name w:val="endnote text"/>
    <w:basedOn w:val="Normal"/>
    <w:link w:val="EndnoteTextChar"/>
    <w:uiPriority w:val="99"/>
    <w:semiHidden/>
    <w:unhideWhenUsed/>
    <w:rsid w:val="00D856F1"/>
    <w:pPr>
      <w:spacing w:before="0" w:after="0"/>
    </w:pPr>
    <w:rPr>
      <w:sz w:val="20"/>
    </w:rPr>
  </w:style>
  <w:style w:type="character" w:customStyle="1" w:styleId="EndnoteTextChar">
    <w:name w:val="Endnote Text Char"/>
    <w:basedOn w:val="DefaultParagraphFont"/>
    <w:link w:val="EndnoteText"/>
    <w:uiPriority w:val="99"/>
    <w:semiHidden/>
    <w:rsid w:val="00D856F1"/>
  </w:style>
  <w:style w:type="paragraph" w:styleId="Caption">
    <w:name w:val="caption"/>
    <w:basedOn w:val="Normal"/>
    <w:next w:val="Normal"/>
    <w:uiPriority w:val="35"/>
    <w:semiHidden/>
    <w:unhideWhenUsed/>
    <w:qFormat/>
    <w:rsid w:val="00D856F1"/>
    <w:pPr>
      <w:spacing w:before="0" w:after="200"/>
    </w:pPr>
    <w:rPr>
      <w:rFonts w:asciiTheme="minorHAnsi" w:eastAsiaTheme="minorHAnsi" w:hAnsiTheme="minorHAnsi" w:cstheme="minorBidi"/>
      <w:b/>
      <w:bCs/>
      <w:color w:val="4F81BD" w:themeColor="accent1"/>
      <w:sz w:val="18"/>
      <w:szCs w:val="18"/>
      <w:lang w:eastAsia="en-US"/>
    </w:rPr>
  </w:style>
  <w:style w:type="table" w:styleId="LightList-Accent1">
    <w:name w:val="Light List Accent 1"/>
    <w:basedOn w:val="TableNormal"/>
    <w:uiPriority w:val="61"/>
    <w:rsid w:val="00D856F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ooterAddress">
    <w:name w:val="FooterAddress"/>
    <w:basedOn w:val="Normal"/>
    <w:next w:val="Normal"/>
    <w:link w:val="FooterAddressChar"/>
    <w:rsid w:val="00D856F1"/>
    <w:pPr>
      <w:tabs>
        <w:tab w:val="center" w:pos="4820"/>
      </w:tabs>
      <w:spacing w:before="0" w:after="0"/>
    </w:pPr>
    <w:rPr>
      <w:rFonts w:ascii="Arial" w:hAnsi="Arial"/>
      <w:color w:val="FFFFFF"/>
      <w:sz w:val="16"/>
    </w:rPr>
  </w:style>
  <w:style w:type="character" w:customStyle="1" w:styleId="FooterAddressChar">
    <w:name w:val="FooterAddress Char"/>
    <w:basedOn w:val="DefaultParagraphFont"/>
    <w:link w:val="FooterAddress"/>
    <w:rsid w:val="00D856F1"/>
    <w:rPr>
      <w:rFonts w:ascii="Arial" w:hAnsi="Arial"/>
      <w:color w:val="FFFFFF"/>
      <w:sz w:val="16"/>
    </w:rPr>
  </w:style>
  <w:style w:type="paragraph" w:customStyle="1" w:styleId="EBBodyPara">
    <w:name w:val="EBBodyPara"/>
    <w:basedOn w:val="BodyText"/>
    <w:rsid w:val="00D856F1"/>
    <w:pPr>
      <w:spacing w:before="0"/>
    </w:pPr>
    <w:rPr>
      <w:rFonts w:ascii="Arial" w:hAnsi="Arial" w:cs="Arial"/>
      <w:bCs/>
      <w:color w:val="000000"/>
      <w:sz w:val="22"/>
      <w:szCs w:val="22"/>
      <w:lang w:val="en-GB" w:eastAsia="en-GB"/>
    </w:rPr>
  </w:style>
  <w:style w:type="character" w:customStyle="1" w:styleId="BodyTextChar">
    <w:name w:val="Body Text Char"/>
    <w:basedOn w:val="DefaultParagraphFont"/>
    <w:link w:val="BodyText"/>
    <w:uiPriority w:val="99"/>
    <w:rsid w:val="00D856F1"/>
    <w:rPr>
      <w:sz w:val="24"/>
    </w:rPr>
  </w:style>
  <w:style w:type="numbering" w:customStyle="1" w:styleId="ChapterList2">
    <w:name w:val="ChapterList2"/>
    <w:uiPriority w:val="99"/>
    <w:rsid w:val="008F3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able of authorities"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uiPriority w:val="9"/>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uiPriority w:val="9"/>
    <w:qFormat/>
    <w:rsid w:val="00E4438C"/>
    <w:pPr>
      <w:spacing w:before="120"/>
      <w:outlineLvl w:val="3"/>
    </w:pPr>
  </w:style>
  <w:style w:type="paragraph" w:styleId="Heading5">
    <w:name w:val="heading 5"/>
    <w:basedOn w:val="Normal"/>
    <w:next w:val="Normal"/>
    <w:link w:val="Heading5Char"/>
    <w:uiPriority w:val="9"/>
    <w:unhideWhenUsed/>
    <w:qFormat/>
    <w:rsid w:val="00D856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856F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link w:val="BodyTextChar"/>
    <w:uiPriority w:val="99"/>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643ADA"/>
    <w:pPr>
      <w:numPr>
        <w:numId w:val="6"/>
      </w:numPr>
    </w:pPr>
    <w:rPr>
      <w:sz w:val="22"/>
    </w:rPr>
  </w:style>
  <w:style w:type="character" w:customStyle="1" w:styleId="OutlineNumbered1Char">
    <w:name w:val="Outline Numbered 1 Char"/>
    <w:basedOn w:val="DefaultParagraphFont"/>
    <w:link w:val="OutlineNumbered1"/>
    <w:rsid w:val="00643ADA"/>
    <w:rPr>
      <w:sz w:val="22"/>
    </w:rPr>
  </w:style>
  <w:style w:type="paragraph" w:customStyle="1" w:styleId="OutlineNumbered2">
    <w:name w:val="Outline Numbered 2"/>
    <w:basedOn w:val="Normal"/>
    <w:link w:val="OutlineNumbered2Char"/>
    <w:rsid w:val="00643ADA"/>
    <w:pPr>
      <w:numPr>
        <w:ilvl w:val="1"/>
        <w:numId w:val="6"/>
      </w:numPr>
    </w:pPr>
    <w:rPr>
      <w:sz w:val="22"/>
    </w:rPr>
  </w:style>
  <w:style w:type="paragraph" w:customStyle="1" w:styleId="OutlineNumbered3">
    <w:name w:val="Outline Numbered 3"/>
    <w:basedOn w:val="Normal"/>
    <w:rsid w:val="00643ADA"/>
    <w:pPr>
      <w:numPr>
        <w:ilvl w:val="2"/>
        <w:numId w:val="6"/>
      </w:numPr>
    </w:pPr>
    <w:rPr>
      <w:sz w:val="22"/>
    </w:rPr>
  </w:style>
  <w:style w:type="paragraph" w:styleId="ListNumber">
    <w:name w:val="List Number"/>
    <w:basedOn w:val="Normal"/>
    <w:uiPriority w:val="99"/>
    <w:unhideWhenUsed/>
    <w:rsid w:val="00F05C36"/>
    <w:pPr>
      <w:numPr>
        <w:numId w:val="7"/>
      </w:numPr>
      <w:spacing w:before="0" w:after="200" w:line="276" w:lineRule="auto"/>
      <w:contextualSpacing/>
    </w:pPr>
    <w:rPr>
      <w:rFonts w:asciiTheme="minorHAnsi" w:eastAsiaTheme="minorHAnsi" w:hAnsiTheme="minorHAnsi" w:cstheme="minorBidi"/>
      <w:sz w:val="22"/>
      <w:szCs w:val="22"/>
      <w:lang w:eastAsia="en-US"/>
    </w:rPr>
  </w:style>
  <w:style w:type="paragraph" w:customStyle="1" w:styleId="ActHead5">
    <w:name w:val="ActHead 5"/>
    <w:aliases w:val="s"/>
    <w:basedOn w:val="Normal"/>
    <w:next w:val="Normal"/>
    <w:link w:val="ActHead5Char"/>
    <w:qFormat/>
    <w:rsid w:val="0014200B"/>
    <w:pPr>
      <w:keepNext/>
      <w:keepLines/>
      <w:spacing w:before="280" w:after="0"/>
      <w:ind w:left="1134" w:hanging="1134"/>
      <w:outlineLvl w:val="4"/>
    </w:pPr>
    <w:rPr>
      <w:b/>
      <w:kern w:val="28"/>
    </w:rPr>
  </w:style>
  <w:style w:type="character" w:customStyle="1" w:styleId="ActHead5Char">
    <w:name w:val="ActHead 5 Char"/>
    <w:aliases w:val="s Char"/>
    <w:link w:val="ActHead5"/>
    <w:rsid w:val="0014200B"/>
    <w:rPr>
      <w:b/>
      <w:kern w:val="28"/>
      <w:sz w:val="24"/>
    </w:rPr>
  </w:style>
  <w:style w:type="paragraph" w:styleId="ListParagraph">
    <w:name w:val="List Paragraph"/>
    <w:basedOn w:val="Normal"/>
    <w:uiPriority w:val="34"/>
    <w:qFormat/>
    <w:rsid w:val="005372D1"/>
    <w:pPr>
      <w:ind w:left="720"/>
      <w:contextualSpacing/>
    </w:pPr>
  </w:style>
  <w:style w:type="paragraph" w:styleId="Revision">
    <w:name w:val="Revision"/>
    <w:hidden/>
    <w:uiPriority w:val="99"/>
    <w:semiHidden/>
    <w:rsid w:val="00627CBC"/>
    <w:rPr>
      <w:sz w:val="24"/>
    </w:rPr>
  </w:style>
  <w:style w:type="paragraph" w:customStyle="1" w:styleId="Definition">
    <w:name w:val="Definition"/>
    <w:aliases w:val="dd"/>
    <w:basedOn w:val="Normal"/>
    <w:rsid w:val="000C3589"/>
    <w:pPr>
      <w:spacing w:before="180" w:after="0"/>
      <w:ind w:left="1134"/>
    </w:pPr>
    <w:rPr>
      <w:sz w:val="22"/>
    </w:rPr>
  </w:style>
  <w:style w:type="paragraph" w:customStyle="1" w:styleId="notedraft">
    <w:name w:val="note(draft)"/>
    <w:aliases w:val="nd"/>
    <w:basedOn w:val="Normal"/>
    <w:rsid w:val="000C3589"/>
    <w:pPr>
      <w:spacing w:before="240" w:after="0"/>
      <w:ind w:left="284" w:hanging="284"/>
    </w:pPr>
    <w:rPr>
      <w:i/>
    </w:rPr>
  </w:style>
  <w:style w:type="character" w:customStyle="1" w:styleId="Heading5Char">
    <w:name w:val="Heading 5 Char"/>
    <w:basedOn w:val="DefaultParagraphFont"/>
    <w:link w:val="Heading5"/>
    <w:uiPriority w:val="9"/>
    <w:rsid w:val="00D856F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D856F1"/>
    <w:rPr>
      <w:rFonts w:asciiTheme="majorHAnsi" w:eastAsiaTheme="majorEastAsia" w:hAnsiTheme="majorHAnsi" w:cstheme="majorBidi"/>
      <w:i/>
      <w:iCs/>
      <w:color w:val="243F60" w:themeColor="accent1" w:themeShade="7F"/>
      <w:sz w:val="24"/>
    </w:rPr>
  </w:style>
  <w:style w:type="paragraph" w:customStyle="1" w:styleId="ChapterHeading">
    <w:name w:val="Chapter Heading"/>
    <w:next w:val="Heading2"/>
    <w:rsid w:val="00D856F1"/>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D856F1"/>
    <w:pPr>
      <w:tabs>
        <w:tab w:val="clear" w:pos="1987"/>
        <w:tab w:val="num" w:pos="360"/>
      </w:tabs>
      <w:ind w:left="1134"/>
    </w:pPr>
    <w:rPr>
      <w:kern w:val="0"/>
      <w:sz w:val="22"/>
    </w:rPr>
  </w:style>
  <w:style w:type="paragraph" w:customStyle="1" w:styleId="ExampleHeading">
    <w:name w:val="Example Heading"/>
    <w:basedOn w:val="Normal"/>
    <w:next w:val="Normal"/>
    <w:rsid w:val="00D856F1"/>
    <w:pPr>
      <w:keepNext/>
      <w:ind w:left="1134"/>
    </w:pPr>
    <w:rPr>
      <w:b/>
      <w:sz w:val="22"/>
    </w:rPr>
  </w:style>
  <w:style w:type="paragraph" w:customStyle="1" w:styleId="Diagram">
    <w:name w:val="Diagram"/>
    <w:basedOn w:val="Normal"/>
    <w:next w:val="Normal"/>
    <w:rsid w:val="00D856F1"/>
    <w:pPr>
      <w:keepNext/>
      <w:spacing w:before="0" w:after="0"/>
      <w:ind w:left="1134"/>
    </w:pPr>
    <w:rPr>
      <w:b/>
      <w:sz w:val="22"/>
    </w:rPr>
  </w:style>
  <w:style w:type="character" w:customStyle="1" w:styleId="base-text-paragraphChar">
    <w:name w:val="base-text-paragraph Char"/>
    <w:basedOn w:val="DefaultParagraphFont"/>
    <w:link w:val="base-text-paragraph"/>
    <w:rsid w:val="00D856F1"/>
    <w:rPr>
      <w:sz w:val="24"/>
    </w:rPr>
  </w:style>
  <w:style w:type="numbering" w:customStyle="1" w:styleId="ChapterList">
    <w:name w:val="ChapterList"/>
    <w:uiPriority w:val="99"/>
    <w:rsid w:val="00D856F1"/>
    <w:pPr>
      <w:numPr>
        <w:numId w:val="15"/>
      </w:numPr>
    </w:pPr>
  </w:style>
  <w:style w:type="numbering" w:customStyle="1" w:styleId="ChapterList1">
    <w:name w:val="ChapterList1"/>
    <w:uiPriority w:val="99"/>
    <w:rsid w:val="00D856F1"/>
  </w:style>
  <w:style w:type="paragraph" w:styleId="FootnoteText">
    <w:name w:val="footnote text"/>
    <w:aliases w:val="Car"/>
    <w:basedOn w:val="Normal"/>
    <w:link w:val="FootnoteTextChar"/>
    <w:uiPriority w:val="99"/>
    <w:rsid w:val="00D856F1"/>
    <w:pPr>
      <w:tabs>
        <w:tab w:val="left" w:pos="284"/>
      </w:tabs>
      <w:spacing w:before="0" w:after="240" w:line="260" w:lineRule="exact"/>
      <w:jc w:val="both"/>
    </w:pPr>
    <w:rPr>
      <w:rFonts w:ascii="Book Antiqua" w:hAnsi="Book Antiqua"/>
      <w:color w:val="000000"/>
      <w:sz w:val="18"/>
    </w:rPr>
  </w:style>
  <w:style w:type="character" w:customStyle="1" w:styleId="FootnoteTextChar">
    <w:name w:val="Footnote Text Char"/>
    <w:aliases w:val="Car Char"/>
    <w:basedOn w:val="DefaultParagraphFont"/>
    <w:link w:val="FootnoteText"/>
    <w:uiPriority w:val="99"/>
    <w:rsid w:val="00D856F1"/>
    <w:rPr>
      <w:rFonts w:ascii="Book Antiqua" w:hAnsi="Book Antiqua"/>
      <w:color w:val="000000"/>
      <w:sz w:val="18"/>
    </w:rPr>
  </w:style>
  <w:style w:type="character" w:styleId="FootnoteReference">
    <w:name w:val="footnote reference"/>
    <w:basedOn w:val="DefaultParagraphFont"/>
    <w:uiPriority w:val="99"/>
    <w:rsid w:val="00D856F1"/>
    <w:rPr>
      <w:vertAlign w:val="superscript"/>
    </w:rPr>
  </w:style>
  <w:style w:type="character" w:customStyle="1" w:styleId="OutlineNumbered2Char">
    <w:name w:val="Outline Numbered 2 Char"/>
    <w:basedOn w:val="DefaultParagraphFont"/>
    <w:link w:val="OutlineNumbered2"/>
    <w:rsid w:val="00D856F1"/>
    <w:rPr>
      <w:sz w:val="22"/>
    </w:rPr>
  </w:style>
  <w:style w:type="table" w:styleId="TableGrid">
    <w:name w:val="Table Grid"/>
    <w:basedOn w:val="TableNormal"/>
    <w:rsid w:val="00D856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56F1"/>
    <w:rPr>
      <w:i/>
      <w:iCs/>
    </w:rPr>
  </w:style>
  <w:style w:type="character" w:customStyle="1" w:styleId="Heading1Char">
    <w:name w:val="Heading 1 Char"/>
    <w:basedOn w:val="DefaultParagraphFont"/>
    <w:link w:val="Heading1"/>
    <w:uiPriority w:val="9"/>
    <w:rsid w:val="00D856F1"/>
    <w:rPr>
      <w:rFonts w:ascii="Arial Bold" w:hAnsi="Arial Bold"/>
      <w:b/>
      <w:kern w:val="28"/>
      <w:sz w:val="28"/>
      <w:u w:val="single"/>
    </w:rPr>
  </w:style>
  <w:style w:type="character" w:customStyle="1" w:styleId="Heading2Char">
    <w:name w:val="Heading 2 Char"/>
    <w:basedOn w:val="DefaultParagraphFont"/>
    <w:link w:val="Heading2"/>
    <w:uiPriority w:val="9"/>
    <w:rsid w:val="00D856F1"/>
    <w:rPr>
      <w:b/>
      <w:sz w:val="28"/>
      <w:u w:val="single"/>
    </w:rPr>
  </w:style>
  <w:style w:type="character" w:customStyle="1" w:styleId="Heading4Char">
    <w:name w:val="Heading 4 Char"/>
    <w:basedOn w:val="DefaultParagraphFont"/>
    <w:link w:val="Heading4"/>
    <w:uiPriority w:val="9"/>
    <w:rsid w:val="00D856F1"/>
    <w:rPr>
      <w:b/>
      <w:kern w:val="28"/>
      <w:sz w:val="24"/>
    </w:rPr>
  </w:style>
  <w:style w:type="character" w:styleId="Strong">
    <w:name w:val="Strong"/>
    <w:basedOn w:val="DefaultParagraphFont"/>
    <w:uiPriority w:val="22"/>
    <w:qFormat/>
    <w:rsid w:val="00D856F1"/>
    <w:rPr>
      <w:b/>
      <w:bCs/>
    </w:rPr>
  </w:style>
  <w:style w:type="paragraph" w:styleId="EnvelopeAddress">
    <w:name w:val="envelope address"/>
    <w:basedOn w:val="Normal"/>
    <w:rsid w:val="00D856F1"/>
    <w:pPr>
      <w:framePr w:w="7920" w:h="1980" w:hRule="exact" w:hSpace="180" w:wrap="auto" w:hAnchor="page" w:xAlign="center" w:yAlign="bottom"/>
      <w:spacing w:before="0" w:after="0"/>
      <w:ind w:left="2880"/>
    </w:pPr>
  </w:style>
  <w:style w:type="character" w:styleId="EndnoteReference">
    <w:name w:val="endnote reference"/>
    <w:basedOn w:val="DefaultParagraphFont"/>
    <w:uiPriority w:val="99"/>
    <w:semiHidden/>
    <w:unhideWhenUsed/>
    <w:rsid w:val="00D856F1"/>
    <w:rPr>
      <w:vertAlign w:val="superscript"/>
    </w:rPr>
  </w:style>
  <w:style w:type="paragraph" w:styleId="NoSpacing">
    <w:name w:val="No Spacing"/>
    <w:uiPriority w:val="1"/>
    <w:qFormat/>
    <w:rsid w:val="00D856F1"/>
    <w:rPr>
      <w:rFonts w:asciiTheme="minorHAnsi" w:eastAsiaTheme="minorEastAsia" w:hAnsiTheme="minorHAnsi" w:cstheme="minorBidi"/>
      <w:sz w:val="22"/>
      <w:szCs w:val="22"/>
    </w:rPr>
  </w:style>
  <w:style w:type="paragraph" w:customStyle="1" w:styleId="CABNETParagraph">
    <w:name w:val="CABNET Paragraph"/>
    <w:basedOn w:val="Normal"/>
    <w:link w:val="CABNETParagraphChar"/>
    <w:qFormat/>
    <w:rsid w:val="00D856F1"/>
    <w:rPr>
      <w:rFonts w:ascii="Verdana" w:eastAsiaTheme="minorHAnsi" w:hAnsi="Verdana" w:cstheme="minorBidi"/>
      <w:sz w:val="22"/>
      <w:szCs w:val="22"/>
      <w:lang w:eastAsia="en-US"/>
    </w:rPr>
  </w:style>
  <w:style w:type="character" w:customStyle="1" w:styleId="CABNETParagraphChar">
    <w:name w:val="CABNET Paragraph Char"/>
    <w:basedOn w:val="DefaultParagraphFont"/>
    <w:link w:val="CABNETParagraph"/>
    <w:rsid w:val="00D856F1"/>
    <w:rPr>
      <w:rFonts w:ascii="Verdana" w:eastAsiaTheme="minorHAnsi" w:hAnsi="Verdana" w:cstheme="minorBidi"/>
      <w:sz w:val="22"/>
      <w:szCs w:val="22"/>
      <w:lang w:eastAsia="en-US"/>
    </w:rPr>
  </w:style>
  <w:style w:type="paragraph" w:styleId="TOCHeading">
    <w:name w:val="TOC Heading"/>
    <w:basedOn w:val="Heading1"/>
    <w:next w:val="Normal"/>
    <w:uiPriority w:val="39"/>
    <w:unhideWhenUsed/>
    <w:qFormat/>
    <w:rsid w:val="00D856F1"/>
    <w:pPr>
      <w:keepLines/>
      <w:spacing w:before="480" w:after="0" w:line="276" w:lineRule="auto"/>
      <w:jc w:val="left"/>
      <w:outlineLvl w:val="9"/>
    </w:pPr>
    <w:rPr>
      <w:rFonts w:asciiTheme="majorHAnsi" w:eastAsiaTheme="majorEastAsia" w:hAnsiTheme="majorHAnsi" w:cstheme="majorBidi"/>
      <w:bCs/>
      <w:color w:val="365F91" w:themeColor="accent1" w:themeShade="BF"/>
      <w:kern w:val="0"/>
      <w:szCs w:val="28"/>
      <w:u w:val="none"/>
      <w:lang w:val="en-US" w:eastAsia="ja-JP"/>
    </w:rPr>
  </w:style>
  <w:style w:type="paragraph" w:styleId="TOC1">
    <w:name w:val="toc 1"/>
    <w:basedOn w:val="Normal"/>
    <w:next w:val="Normal"/>
    <w:autoRedefine/>
    <w:uiPriority w:val="39"/>
    <w:unhideWhenUsed/>
    <w:rsid w:val="00D856F1"/>
    <w:pPr>
      <w:spacing w:before="0" w:after="100" w:line="276"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D856F1"/>
    <w:pPr>
      <w:spacing w:before="0" w:after="100" w:line="276"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D856F1"/>
    <w:pPr>
      <w:spacing w:before="0" w:after="100" w:line="276" w:lineRule="auto"/>
      <w:ind w:left="440"/>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rsid w:val="00D856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56F1"/>
    <w:pPr>
      <w:spacing w:before="240" w:after="240"/>
    </w:pPr>
    <w:rPr>
      <w:szCs w:val="24"/>
    </w:rPr>
  </w:style>
  <w:style w:type="paragraph" w:styleId="EndnoteText">
    <w:name w:val="endnote text"/>
    <w:basedOn w:val="Normal"/>
    <w:link w:val="EndnoteTextChar"/>
    <w:uiPriority w:val="99"/>
    <w:semiHidden/>
    <w:unhideWhenUsed/>
    <w:rsid w:val="00D856F1"/>
    <w:pPr>
      <w:spacing w:before="0" w:after="0"/>
    </w:pPr>
    <w:rPr>
      <w:sz w:val="20"/>
    </w:rPr>
  </w:style>
  <w:style w:type="character" w:customStyle="1" w:styleId="EndnoteTextChar">
    <w:name w:val="Endnote Text Char"/>
    <w:basedOn w:val="DefaultParagraphFont"/>
    <w:link w:val="EndnoteText"/>
    <w:uiPriority w:val="99"/>
    <w:semiHidden/>
    <w:rsid w:val="00D856F1"/>
  </w:style>
  <w:style w:type="paragraph" w:styleId="Caption">
    <w:name w:val="caption"/>
    <w:basedOn w:val="Normal"/>
    <w:next w:val="Normal"/>
    <w:uiPriority w:val="35"/>
    <w:semiHidden/>
    <w:unhideWhenUsed/>
    <w:qFormat/>
    <w:rsid w:val="00D856F1"/>
    <w:pPr>
      <w:spacing w:before="0" w:after="200"/>
    </w:pPr>
    <w:rPr>
      <w:rFonts w:asciiTheme="minorHAnsi" w:eastAsiaTheme="minorHAnsi" w:hAnsiTheme="minorHAnsi" w:cstheme="minorBidi"/>
      <w:b/>
      <w:bCs/>
      <w:color w:val="4F81BD" w:themeColor="accent1"/>
      <w:sz w:val="18"/>
      <w:szCs w:val="18"/>
      <w:lang w:eastAsia="en-US"/>
    </w:rPr>
  </w:style>
  <w:style w:type="table" w:styleId="LightList-Accent1">
    <w:name w:val="Light List Accent 1"/>
    <w:basedOn w:val="TableNormal"/>
    <w:uiPriority w:val="61"/>
    <w:rsid w:val="00D856F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ooterAddress">
    <w:name w:val="FooterAddress"/>
    <w:basedOn w:val="Normal"/>
    <w:next w:val="Normal"/>
    <w:link w:val="FooterAddressChar"/>
    <w:rsid w:val="00D856F1"/>
    <w:pPr>
      <w:tabs>
        <w:tab w:val="center" w:pos="4820"/>
      </w:tabs>
      <w:spacing w:before="0" w:after="0"/>
    </w:pPr>
    <w:rPr>
      <w:rFonts w:ascii="Arial" w:hAnsi="Arial"/>
      <w:color w:val="FFFFFF"/>
      <w:sz w:val="16"/>
    </w:rPr>
  </w:style>
  <w:style w:type="character" w:customStyle="1" w:styleId="FooterAddressChar">
    <w:name w:val="FooterAddress Char"/>
    <w:basedOn w:val="DefaultParagraphFont"/>
    <w:link w:val="FooterAddress"/>
    <w:rsid w:val="00D856F1"/>
    <w:rPr>
      <w:rFonts w:ascii="Arial" w:hAnsi="Arial"/>
      <w:color w:val="FFFFFF"/>
      <w:sz w:val="16"/>
    </w:rPr>
  </w:style>
  <w:style w:type="paragraph" w:customStyle="1" w:styleId="EBBodyPara">
    <w:name w:val="EBBodyPara"/>
    <w:basedOn w:val="BodyText"/>
    <w:rsid w:val="00D856F1"/>
    <w:pPr>
      <w:spacing w:before="0"/>
    </w:pPr>
    <w:rPr>
      <w:rFonts w:ascii="Arial" w:hAnsi="Arial" w:cs="Arial"/>
      <w:bCs/>
      <w:color w:val="000000"/>
      <w:sz w:val="22"/>
      <w:szCs w:val="22"/>
      <w:lang w:val="en-GB" w:eastAsia="en-GB"/>
    </w:rPr>
  </w:style>
  <w:style w:type="character" w:customStyle="1" w:styleId="BodyTextChar">
    <w:name w:val="Body Text Char"/>
    <w:basedOn w:val="DefaultParagraphFont"/>
    <w:link w:val="BodyText"/>
    <w:uiPriority w:val="99"/>
    <w:rsid w:val="00D856F1"/>
    <w:rPr>
      <w:sz w:val="24"/>
    </w:rPr>
  </w:style>
  <w:style w:type="numbering" w:customStyle="1" w:styleId="ChapterList2">
    <w:name w:val="ChapterList2"/>
    <w:uiPriority w:val="99"/>
    <w:rsid w:val="008F3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0847">
      <w:bodyDiv w:val="1"/>
      <w:marLeft w:val="0"/>
      <w:marRight w:val="0"/>
      <w:marTop w:val="0"/>
      <w:marBottom w:val="0"/>
      <w:divBdr>
        <w:top w:val="none" w:sz="0" w:space="0" w:color="auto"/>
        <w:left w:val="none" w:sz="0" w:space="0" w:color="auto"/>
        <w:bottom w:val="none" w:sz="0" w:space="0" w:color="auto"/>
        <w:right w:val="none" w:sz="0" w:space="0" w:color="auto"/>
      </w:divBdr>
    </w:div>
    <w:div w:id="60176739">
      <w:bodyDiv w:val="1"/>
      <w:marLeft w:val="0"/>
      <w:marRight w:val="0"/>
      <w:marTop w:val="0"/>
      <w:marBottom w:val="0"/>
      <w:divBdr>
        <w:top w:val="none" w:sz="0" w:space="0" w:color="auto"/>
        <w:left w:val="none" w:sz="0" w:space="0" w:color="auto"/>
        <w:bottom w:val="none" w:sz="0" w:space="0" w:color="auto"/>
        <w:right w:val="none" w:sz="0" w:space="0" w:color="auto"/>
      </w:divBdr>
    </w:div>
    <w:div w:id="304164788">
      <w:bodyDiv w:val="1"/>
      <w:marLeft w:val="0"/>
      <w:marRight w:val="0"/>
      <w:marTop w:val="0"/>
      <w:marBottom w:val="0"/>
      <w:divBdr>
        <w:top w:val="none" w:sz="0" w:space="0" w:color="auto"/>
        <w:left w:val="none" w:sz="0" w:space="0" w:color="auto"/>
        <w:bottom w:val="none" w:sz="0" w:space="0" w:color="auto"/>
        <w:right w:val="none" w:sz="0" w:space="0" w:color="auto"/>
      </w:divBdr>
    </w:div>
    <w:div w:id="321396975">
      <w:bodyDiv w:val="1"/>
      <w:marLeft w:val="0"/>
      <w:marRight w:val="0"/>
      <w:marTop w:val="0"/>
      <w:marBottom w:val="0"/>
      <w:divBdr>
        <w:top w:val="none" w:sz="0" w:space="0" w:color="auto"/>
        <w:left w:val="none" w:sz="0" w:space="0" w:color="auto"/>
        <w:bottom w:val="none" w:sz="0" w:space="0" w:color="auto"/>
        <w:right w:val="none" w:sz="0" w:space="0" w:color="auto"/>
      </w:divBdr>
    </w:div>
    <w:div w:id="369496142">
      <w:bodyDiv w:val="1"/>
      <w:marLeft w:val="0"/>
      <w:marRight w:val="0"/>
      <w:marTop w:val="0"/>
      <w:marBottom w:val="0"/>
      <w:divBdr>
        <w:top w:val="none" w:sz="0" w:space="0" w:color="auto"/>
        <w:left w:val="none" w:sz="0" w:space="0" w:color="auto"/>
        <w:bottom w:val="none" w:sz="0" w:space="0" w:color="auto"/>
        <w:right w:val="none" w:sz="0" w:space="0" w:color="auto"/>
      </w:divBdr>
    </w:div>
    <w:div w:id="559677687">
      <w:bodyDiv w:val="1"/>
      <w:marLeft w:val="0"/>
      <w:marRight w:val="0"/>
      <w:marTop w:val="0"/>
      <w:marBottom w:val="0"/>
      <w:divBdr>
        <w:top w:val="none" w:sz="0" w:space="0" w:color="auto"/>
        <w:left w:val="none" w:sz="0" w:space="0" w:color="auto"/>
        <w:bottom w:val="none" w:sz="0" w:space="0" w:color="auto"/>
        <w:right w:val="none" w:sz="0" w:space="0" w:color="auto"/>
      </w:divBdr>
    </w:div>
    <w:div w:id="581331947">
      <w:bodyDiv w:val="1"/>
      <w:marLeft w:val="0"/>
      <w:marRight w:val="0"/>
      <w:marTop w:val="0"/>
      <w:marBottom w:val="0"/>
      <w:divBdr>
        <w:top w:val="none" w:sz="0" w:space="0" w:color="auto"/>
        <w:left w:val="none" w:sz="0" w:space="0" w:color="auto"/>
        <w:bottom w:val="none" w:sz="0" w:space="0" w:color="auto"/>
        <w:right w:val="none" w:sz="0" w:space="0" w:color="auto"/>
      </w:divBdr>
    </w:div>
    <w:div w:id="724107903">
      <w:bodyDiv w:val="1"/>
      <w:marLeft w:val="0"/>
      <w:marRight w:val="0"/>
      <w:marTop w:val="0"/>
      <w:marBottom w:val="0"/>
      <w:divBdr>
        <w:top w:val="none" w:sz="0" w:space="0" w:color="auto"/>
        <w:left w:val="none" w:sz="0" w:space="0" w:color="auto"/>
        <w:bottom w:val="none" w:sz="0" w:space="0" w:color="auto"/>
        <w:right w:val="none" w:sz="0" w:space="0" w:color="auto"/>
      </w:divBdr>
    </w:div>
    <w:div w:id="1014184544">
      <w:bodyDiv w:val="1"/>
      <w:marLeft w:val="0"/>
      <w:marRight w:val="0"/>
      <w:marTop w:val="0"/>
      <w:marBottom w:val="0"/>
      <w:divBdr>
        <w:top w:val="none" w:sz="0" w:space="0" w:color="auto"/>
        <w:left w:val="none" w:sz="0" w:space="0" w:color="auto"/>
        <w:bottom w:val="none" w:sz="0" w:space="0" w:color="auto"/>
        <w:right w:val="none" w:sz="0" w:space="0" w:color="auto"/>
      </w:divBdr>
    </w:div>
    <w:div w:id="1116481934">
      <w:bodyDiv w:val="1"/>
      <w:marLeft w:val="0"/>
      <w:marRight w:val="0"/>
      <w:marTop w:val="0"/>
      <w:marBottom w:val="0"/>
      <w:divBdr>
        <w:top w:val="none" w:sz="0" w:space="0" w:color="auto"/>
        <w:left w:val="none" w:sz="0" w:space="0" w:color="auto"/>
        <w:bottom w:val="none" w:sz="0" w:space="0" w:color="auto"/>
        <w:right w:val="none" w:sz="0" w:space="0" w:color="auto"/>
      </w:divBdr>
    </w:div>
    <w:div w:id="1389570321">
      <w:bodyDiv w:val="1"/>
      <w:marLeft w:val="0"/>
      <w:marRight w:val="0"/>
      <w:marTop w:val="0"/>
      <w:marBottom w:val="0"/>
      <w:divBdr>
        <w:top w:val="none" w:sz="0" w:space="0" w:color="auto"/>
        <w:left w:val="none" w:sz="0" w:space="0" w:color="auto"/>
        <w:bottom w:val="none" w:sz="0" w:space="0" w:color="auto"/>
        <w:right w:val="none" w:sz="0" w:space="0" w:color="auto"/>
      </w:divBdr>
    </w:div>
    <w:div w:id="1672444203">
      <w:bodyDiv w:val="1"/>
      <w:marLeft w:val="0"/>
      <w:marRight w:val="0"/>
      <w:marTop w:val="0"/>
      <w:marBottom w:val="0"/>
      <w:divBdr>
        <w:top w:val="none" w:sz="0" w:space="0" w:color="auto"/>
        <w:left w:val="none" w:sz="0" w:space="0" w:color="auto"/>
        <w:bottom w:val="none" w:sz="0" w:space="0" w:color="auto"/>
        <w:right w:val="none" w:sz="0" w:space="0" w:color="auto"/>
      </w:divBdr>
    </w:div>
    <w:div w:id="1684820003">
      <w:bodyDiv w:val="1"/>
      <w:marLeft w:val="0"/>
      <w:marRight w:val="0"/>
      <w:marTop w:val="0"/>
      <w:marBottom w:val="0"/>
      <w:divBdr>
        <w:top w:val="none" w:sz="0" w:space="0" w:color="auto"/>
        <w:left w:val="none" w:sz="0" w:space="0" w:color="auto"/>
        <w:bottom w:val="none" w:sz="0" w:space="0" w:color="auto"/>
        <w:right w:val="none" w:sz="0" w:space="0" w:color="auto"/>
      </w:divBdr>
    </w:div>
    <w:div w:id="1742363640">
      <w:bodyDiv w:val="1"/>
      <w:marLeft w:val="0"/>
      <w:marRight w:val="0"/>
      <w:marTop w:val="0"/>
      <w:marBottom w:val="0"/>
      <w:divBdr>
        <w:top w:val="none" w:sz="0" w:space="0" w:color="auto"/>
        <w:left w:val="none" w:sz="0" w:space="0" w:color="auto"/>
        <w:bottom w:val="none" w:sz="0" w:space="0" w:color="auto"/>
        <w:right w:val="none" w:sz="0" w:space="0" w:color="auto"/>
      </w:divBdr>
    </w:div>
    <w:div w:id="1817379950">
      <w:bodyDiv w:val="1"/>
      <w:marLeft w:val="0"/>
      <w:marRight w:val="0"/>
      <w:marTop w:val="0"/>
      <w:marBottom w:val="0"/>
      <w:divBdr>
        <w:top w:val="none" w:sz="0" w:space="0" w:color="auto"/>
        <w:left w:val="none" w:sz="0" w:space="0" w:color="auto"/>
        <w:bottom w:val="none" w:sz="0" w:space="0" w:color="auto"/>
        <w:right w:val="none" w:sz="0" w:space="0" w:color="auto"/>
      </w:divBdr>
    </w:div>
    <w:div w:id="1852135753">
      <w:bodyDiv w:val="1"/>
      <w:marLeft w:val="0"/>
      <w:marRight w:val="0"/>
      <w:marTop w:val="0"/>
      <w:marBottom w:val="0"/>
      <w:divBdr>
        <w:top w:val="none" w:sz="0" w:space="0" w:color="auto"/>
        <w:left w:val="none" w:sz="0" w:space="0" w:color="auto"/>
        <w:bottom w:val="none" w:sz="0" w:space="0" w:color="auto"/>
        <w:right w:val="none" w:sz="0" w:space="0" w:color="auto"/>
      </w:divBdr>
    </w:div>
    <w:div w:id="1872566594">
      <w:bodyDiv w:val="1"/>
      <w:marLeft w:val="0"/>
      <w:marRight w:val="0"/>
      <w:marTop w:val="0"/>
      <w:marBottom w:val="0"/>
      <w:divBdr>
        <w:top w:val="none" w:sz="0" w:space="0" w:color="auto"/>
        <w:left w:val="none" w:sz="0" w:space="0" w:color="auto"/>
        <w:bottom w:val="none" w:sz="0" w:space="0" w:color="auto"/>
        <w:right w:val="none" w:sz="0" w:space="0" w:color="auto"/>
      </w:divBdr>
    </w:div>
    <w:div w:id="18734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C2017A00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303A-F829-4C9D-9E9A-26370D25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8534</Words>
  <Characters>43247</Characters>
  <Application>Microsoft Office Word</Application>
  <DocSecurity>0</DocSecurity>
  <Lines>722</Lines>
  <Paragraphs>215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2017-08-18T05:52:00Z</dcterms:created>
  <dcterms:modified xsi:type="dcterms:W3CDTF">2017-08-21T02:50:00Z</dcterms:modified>
</cp:coreProperties>
</file>