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FEAD3C" w14:textId="77777777" w:rsidR="008521E0" w:rsidRPr="008521E0" w:rsidRDefault="008521E0" w:rsidP="008521E0">
      <w:pPr>
        <w:rPr>
          <w:lang w:eastAsia="en-AU"/>
        </w:rPr>
      </w:pPr>
      <w:r>
        <w:rPr>
          <w:noProof/>
          <w:lang w:eastAsia="en-AU"/>
        </w:rPr>
        <w:drawing>
          <wp:inline distT="0" distB="0" distL="0" distR="0" wp14:anchorId="71FEAEA7" wp14:editId="71FEAEA8">
            <wp:extent cx="1421130" cy="1104265"/>
            <wp:effectExtent l="0" t="0" r="762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1130" cy="1104265"/>
                    </a:xfrm>
                    <a:prstGeom prst="rect">
                      <a:avLst/>
                    </a:prstGeom>
                    <a:noFill/>
                    <a:ln>
                      <a:noFill/>
                    </a:ln>
                  </pic:spPr>
                </pic:pic>
              </a:graphicData>
            </a:graphic>
          </wp:inline>
        </w:drawing>
      </w:r>
    </w:p>
    <w:p w14:paraId="71FEAD3D" w14:textId="5346F5BB" w:rsidR="008521E0" w:rsidRPr="008521E0" w:rsidRDefault="008521E0" w:rsidP="008521E0">
      <w:pPr>
        <w:pBdr>
          <w:bottom w:val="single" w:sz="4" w:space="3" w:color="auto"/>
        </w:pBdr>
        <w:spacing w:before="480"/>
        <w:rPr>
          <w:rFonts w:ascii="Arial" w:hAnsi="Arial" w:cs="Arial"/>
          <w:b/>
          <w:bCs/>
          <w:sz w:val="40"/>
          <w:szCs w:val="40"/>
          <w:lang w:eastAsia="en-AU"/>
        </w:rPr>
      </w:pPr>
      <w:r w:rsidRPr="008521E0">
        <w:rPr>
          <w:rFonts w:ascii="Arial" w:hAnsi="Arial" w:cs="Arial"/>
          <w:b/>
          <w:bCs/>
          <w:sz w:val="40"/>
          <w:szCs w:val="40"/>
          <w:lang w:eastAsia="en-AU"/>
        </w:rPr>
        <w:t>Health Insurance (Extended Medicare Safety Net) Determination 2017</w:t>
      </w:r>
    </w:p>
    <w:p w14:paraId="746FDEBA" w14:textId="6E424BB3" w:rsidR="009D70DD" w:rsidRPr="00BC3AE3" w:rsidRDefault="009D70DD" w:rsidP="009D70DD">
      <w:pPr>
        <w:pStyle w:val="MadeunderText"/>
      </w:pPr>
      <w:proofErr w:type="gramStart"/>
      <w:r w:rsidRPr="00BC3AE3">
        <w:t>made</w:t>
      </w:r>
      <w:proofErr w:type="gramEnd"/>
      <w:r w:rsidRPr="00BC3AE3">
        <w:t xml:space="preserve"> under</w:t>
      </w:r>
      <w:r>
        <w:t xml:space="preserve"> section 10B of the</w:t>
      </w:r>
    </w:p>
    <w:p w14:paraId="02C072F8" w14:textId="1F674D66" w:rsidR="009D70DD" w:rsidRPr="00F22885" w:rsidRDefault="009D70DD" w:rsidP="009D70DD">
      <w:pPr>
        <w:pStyle w:val="CompiledMadeUnder"/>
        <w:spacing w:before="240"/>
      </w:pPr>
      <w:r>
        <w:t>Health Insurance Act 1973</w:t>
      </w:r>
    </w:p>
    <w:p w14:paraId="2C074F10" w14:textId="4DA6B00F" w:rsidR="009D70DD" w:rsidRPr="003E7949" w:rsidRDefault="009D70DD" w:rsidP="009D70DD">
      <w:pPr>
        <w:spacing w:before="1000"/>
        <w:rPr>
          <w:rFonts w:cs="Arial"/>
        </w:rPr>
      </w:pPr>
      <w:r w:rsidRPr="00042EA7">
        <w:rPr>
          <w:rFonts w:cs="Arial"/>
          <w:b/>
          <w:sz w:val="32"/>
          <w:szCs w:val="32"/>
        </w:rPr>
        <w:t>Compilation No.</w:t>
      </w:r>
      <w:r>
        <w:rPr>
          <w:rFonts w:cs="Arial"/>
          <w:b/>
          <w:sz w:val="32"/>
          <w:szCs w:val="32"/>
        </w:rPr>
        <w:t xml:space="preserve"> 1</w:t>
      </w:r>
      <w:r>
        <w:rPr>
          <w:rFonts w:cs="Arial"/>
          <w:b/>
          <w:sz w:val="32"/>
          <w:szCs w:val="32"/>
        </w:rPr>
        <w:tab/>
      </w:r>
      <w:r>
        <w:rPr>
          <w:rFonts w:cs="Arial"/>
          <w:b/>
          <w:sz w:val="32"/>
          <w:szCs w:val="32"/>
        </w:rPr>
        <w:tab/>
      </w:r>
    </w:p>
    <w:p w14:paraId="2F70F0C8" w14:textId="525F9392" w:rsidR="009D70DD" w:rsidRPr="00FC64FF" w:rsidRDefault="009D70DD" w:rsidP="009D70DD">
      <w:pPr>
        <w:spacing w:before="480"/>
        <w:rPr>
          <w:rFonts w:cs="Arial"/>
        </w:rPr>
      </w:pPr>
      <w:r w:rsidRPr="00642BE4">
        <w:rPr>
          <w:rFonts w:cs="Arial"/>
          <w:b/>
        </w:rPr>
        <w:t>Compilation date:</w:t>
      </w:r>
      <w:r>
        <w:rPr>
          <w:rFonts w:cs="Arial"/>
          <w:b/>
        </w:rPr>
        <w:tab/>
      </w:r>
      <w:r>
        <w:rPr>
          <w:rFonts w:cs="Arial"/>
          <w:b/>
        </w:rPr>
        <w:tab/>
      </w:r>
      <w:r>
        <w:rPr>
          <w:rFonts w:cs="Arial"/>
          <w:b/>
        </w:rPr>
        <w:tab/>
      </w:r>
      <w:r w:rsidRPr="009D70DD">
        <w:rPr>
          <w:rFonts w:cs="Arial"/>
        </w:rPr>
        <w:t>1 January 2019</w:t>
      </w:r>
    </w:p>
    <w:p w14:paraId="1AD1FC94" w14:textId="5676812C" w:rsidR="009D70DD" w:rsidRDefault="009D70DD" w:rsidP="00BC5E10">
      <w:pPr>
        <w:spacing w:before="240"/>
        <w:ind w:left="3600" w:hanging="3600"/>
        <w:rPr>
          <w:rFonts w:cs="Arial"/>
        </w:rPr>
      </w:pPr>
      <w:r w:rsidRPr="00642BE4">
        <w:rPr>
          <w:rFonts w:cs="Arial"/>
          <w:b/>
        </w:rPr>
        <w:t>Includes amendments up to:</w:t>
      </w:r>
      <w:r w:rsidRPr="00642BE4">
        <w:rPr>
          <w:rFonts w:cs="Arial"/>
          <w:b/>
        </w:rPr>
        <w:tab/>
      </w:r>
      <w:r w:rsidR="00FB069E" w:rsidRPr="00BC5E10">
        <w:rPr>
          <w:rFonts w:cs="Arial"/>
        </w:rPr>
        <w:t>Health Insurance (Extended Medicare Safety Net) Amendment Determination 2019</w:t>
      </w:r>
    </w:p>
    <w:p w14:paraId="7B00BE61" w14:textId="77777777" w:rsidR="00A20E69" w:rsidRDefault="00A20E69" w:rsidP="00BC5E10">
      <w:pPr>
        <w:spacing w:before="240"/>
        <w:ind w:left="3600" w:hanging="3600"/>
        <w:rPr>
          <w:rFonts w:cs="Arial"/>
          <w:color w:val="FF0000"/>
        </w:rPr>
      </w:pPr>
    </w:p>
    <w:p w14:paraId="669484CC" w14:textId="77777777" w:rsidR="00A20E69" w:rsidRDefault="00A20E69" w:rsidP="00BC5E10">
      <w:pPr>
        <w:spacing w:before="240"/>
        <w:ind w:left="3600" w:hanging="3600"/>
        <w:rPr>
          <w:rFonts w:cs="Arial"/>
          <w:color w:val="FF0000"/>
        </w:rPr>
      </w:pPr>
    </w:p>
    <w:p w14:paraId="6AB78629" w14:textId="77777777" w:rsidR="00A20E69" w:rsidRDefault="00A20E69" w:rsidP="00BC5E10">
      <w:pPr>
        <w:spacing w:before="240"/>
        <w:ind w:left="3600" w:hanging="3600"/>
        <w:rPr>
          <w:rFonts w:cs="Arial"/>
          <w:color w:val="FF0000"/>
        </w:rPr>
      </w:pPr>
    </w:p>
    <w:p w14:paraId="1DA2BCFF" w14:textId="77777777" w:rsidR="00A20E69" w:rsidRDefault="00A20E69" w:rsidP="00BC5E10">
      <w:pPr>
        <w:spacing w:before="240"/>
        <w:ind w:left="3600" w:hanging="3600"/>
        <w:rPr>
          <w:rFonts w:cs="Arial"/>
          <w:color w:val="FF0000"/>
        </w:rPr>
      </w:pPr>
    </w:p>
    <w:p w14:paraId="07393DE9" w14:textId="77777777" w:rsidR="00A20E69" w:rsidRDefault="00A20E69" w:rsidP="00BC5E10">
      <w:pPr>
        <w:spacing w:before="240"/>
        <w:ind w:left="3600" w:hanging="3600"/>
        <w:rPr>
          <w:rFonts w:cs="Arial"/>
          <w:color w:val="FF0000"/>
        </w:rPr>
      </w:pPr>
    </w:p>
    <w:p w14:paraId="3A08BAC2" w14:textId="77777777" w:rsidR="00A20E69" w:rsidRDefault="00A20E69" w:rsidP="00BC5E10">
      <w:pPr>
        <w:spacing w:before="240"/>
        <w:ind w:left="3600" w:hanging="3600"/>
        <w:rPr>
          <w:rFonts w:cs="Arial"/>
          <w:color w:val="FF0000"/>
        </w:rPr>
      </w:pPr>
    </w:p>
    <w:p w14:paraId="7BF17745" w14:textId="77777777" w:rsidR="00A20E69" w:rsidRDefault="00A20E69" w:rsidP="00BC5E10">
      <w:pPr>
        <w:spacing w:before="240"/>
        <w:ind w:left="3600" w:hanging="3600"/>
        <w:rPr>
          <w:rFonts w:cs="Arial"/>
          <w:color w:val="FF0000"/>
        </w:rPr>
      </w:pPr>
    </w:p>
    <w:p w14:paraId="79798740" w14:textId="77777777" w:rsidR="00A20E69" w:rsidRDefault="00A20E69" w:rsidP="00BC5E10">
      <w:pPr>
        <w:spacing w:before="240"/>
        <w:ind w:left="3600" w:hanging="3600"/>
        <w:rPr>
          <w:rFonts w:cs="Arial"/>
          <w:color w:val="FF0000"/>
        </w:rPr>
      </w:pPr>
      <w:bookmarkStart w:id="0" w:name="_GoBack"/>
      <w:bookmarkEnd w:id="0"/>
    </w:p>
    <w:p w14:paraId="4646A5C0" w14:textId="77777777" w:rsidR="00A20E69" w:rsidRDefault="00A20E69" w:rsidP="00BC5E10">
      <w:pPr>
        <w:spacing w:before="240"/>
        <w:ind w:left="3600" w:hanging="3600"/>
        <w:rPr>
          <w:rFonts w:cs="Arial"/>
          <w:color w:val="FF0000"/>
        </w:rPr>
      </w:pPr>
    </w:p>
    <w:p w14:paraId="1F518833" w14:textId="77777777" w:rsidR="00A20E69" w:rsidRDefault="00A20E69" w:rsidP="00BC5E10">
      <w:pPr>
        <w:spacing w:before="240"/>
        <w:ind w:left="3600" w:hanging="3600"/>
        <w:rPr>
          <w:rFonts w:cs="Arial"/>
          <w:color w:val="FF0000"/>
        </w:rPr>
      </w:pPr>
    </w:p>
    <w:p w14:paraId="0DEE3FFE" w14:textId="77777777" w:rsidR="00A20E69" w:rsidRPr="00A20E69" w:rsidRDefault="00A20E69" w:rsidP="00A20E69">
      <w:pPr>
        <w:pStyle w:val="Footer"/>
        <w:spacing w:before="120"/>
        <w:rPr>
          <w:sz w:val="22"/>
          <w:szCs w:val="22"/>
        </w:rPr>
      </w:pPr>
      <w:r w:rsidRPr="00A20E69">
        <w:rPr>
          <w:sz w:val="22"/>
          <w:szCs w:val="22"/>
        </w:rPr>
        <w:t>Prepared by the Department of Health, Canberra</w:t>
      </w:r>
    </w:p>
    <w:p w14:paraId="7086FB3A" w14:textId="03C719EC" w:rsidR="009D70DD" w:rsidRPr="00C27148" w:rsidRDefault="009D70DD" w:rsidP="009D70DD">
      <w:pPr>
        <w:pageBreakBefore/>
        <w:rPr>
          <w:rFonts w:cs="Arial"/>
          <w:b/>
          <w:sz w:val="32"/>
          <w:szCs w:val="32"/>
        </w:rPr>
      </w:pPr>
      <w:r w:rsidRPr="00C27148">
        <w:rPr>
          <w:rFonts w:cs="Arial"/>
          <w:b/>
          <w:sz w:val="32"/>
          <w:szCs w:val="32"/>
        </w:rPr>
        <w:lastRenderedPageBreak/>
        <w:t>About this compilation</w:t>
      </w:r>
    </w:p>
    <w:p w14:paraId="0560E2F9" w14:textId="77777777" w:rsidR="009D70DD" w:rsidRDefault="009D70DD" w:rsidP="009D70DD">
      <w:pPr>
        <w:spacing w:after="120"/>
        <w:rPr>
          <w:rFonts w:cs="Arial"/>
          <w:szCs w:val="22"/>
        </w:rPr>
      </w:pPr>
    </w:p>
    <w:p w14:paraId="70F02A85" w14:textId="77777777" w:rsidR="009D70DD" w:rsidRPr="00042EA7" w:rsidRDefault="009D70DD" w:rsidP="009D70DD">
      <w:pPr>
        <w:spacing w:before="240"/>
        <w:rPr>
          <w:rFonts w:cs="Arial"/>
        </w:rPr>
      </w:pPr>
      <w:r w:rsidRPr="00042EA7">
        <w:rPr>
          <w:rFonts w:cs="Arial"/>
          <w:b/>
          <w:szCs w:val="22"/>
        </w:rPr>
        <w:t>This compilation</w:t>
      </w:r>
    </w:p>
    <w:p w14:paraId="489C15C5" w14:textId="1B4666CE" w:rsidR="009D70DD" w:rsidRPr="00042EA7" w:rsidRDefault="009D70DD" w:rsidP="009D70DD">
      <w:pPr>
        <w:spacing w:before="120" w:after="120"/>
        <w:rPr>
          <w:rFonts w:cs="Arial"/>
          <w:szCs w:val="22"/>
        </w:rPr>
      </w:pPr>
      <w:r w:rsidRPr="00042EA7">
        <w:rPr>
          <w:rFonts w:cs="Arial"/>
          <w:szCs w:val="22"/>
        </w:rPr>
        <w:t>This is a compilation of the</w:t>
      </w:r>
      <w:r>
        <w:rPr>
          <w:rFonts w:cs="Arial"/>
          <w:szCs w:val="22"/>
        </w:rPr>
        <w:t xml:space="preserve"> </w:t>
      </w:r>
      <w:r w:rsidRPr="009D70DD">
        <w:rPr>
          <w:rFonts w:cs="Arial"/>
          <w:i/>
          <w:szCs w:val="22"/>
        </w:rPr>
        <w:t>Health Insurance (Extended Medicare Safety Net) Determination 201</w:t>
      </w:r>
      <w:r>
        <w:rPr>
          <w:rFonts w:cs="Arial"/>
          <w:i/>
          <w:szCs w:val="22"/>
        </w:rPr>
        <w:t>7</w:t>
      </w:r>
      <w:r w:rsidRPr="00042EA7">
        <w:rPr>
          <w:rFonts w:cs="Arial"/>
          <w:szCs w:val="22"/>
        </w:rPr>
        <w:t xml:space="preserve"> that shows the text of the law as amended and in force on </w:t>
      </w:r>
      <w:r w:rsidR="00FB069E">
        <w:rPr>
          <w:rFonts w:cs="Arial"/>
          <w:szCs w:val="22"/>
        </w:rPr>
        <w:t xml:space="preserve">1 January </w:t>
      </w:r>
      <w:r w:rsidR="007D441C" w:rsidRPr="007D441C">
        <w:rPr>
          <w:rFonts w:cs="Arial"/>
          <w:szCs w:val="22"/>
        </w:rPr>
        <w:t>2019</w:t>
      </w:r>
      <w:r w:rsidRPr="00042EA7">
        <w:rPr>
          <w:rFonts w:cs="Arial"/>
          <w:szCs w:val="22"/>
        </w:rPr>
        <w:t xml:space="preserve"> (the </w:t>
      </w:r>
      <w:r w:rsidRPr="00042EA7">
        <w:rPr>
          <w:rFonts w:cs="Arial"/>
          <w:b/>
          <w:i/>
          <w:szCs w:val="22"/>
        </w:rPr>
        <w:t>compilation date</w:t>
      </w:r>
      <w:r w:rsidRPr="00042EA7">
        <w:rPr>
          <w:rFonts w:cs="Arial"/>
          <w:szCs w:val="22"/>
        </w:rPr>
        <w:t>).</w:t>
      </w:r>
    </w:p>
    <w:p w14:paraId="26FBFE29" w14:textId="77777777" w:rsidR="009D70DD" w:rsidRPr="00042EA7" w:rsidRDefault="009D70DD" w:rsidP="009D70DD">
      <w:pPr>
        <w:spacing w:after="120"/>
        <w:rPr>
          <w:rFonts w:cs="Arial"/>
          <w:szCs w:val="22"/>
        </w:rPr>
      </w:pPr>
      <w:r w:rsidRPr="00042EA7">
        <w:rPr>
          <w:rFonts w:cs="Arial"/>
          <w:szCs w:val="22"/>
        </w:rPr>
        <w:t xml:space="preserve">The notes at the end of this compilation (the </w:t>
      </w:r>
      <w:r w:rsidRPr="00042EA7">
        <w:rPr>
          <w:rFonts w:cs="Arial"/>
          <w:b/>
          <w:i/>
          <w:szCs w:val="22"/>
        </w:rPr>
        <w:t>endnotes</w:t>
      </w:r>
      <w:r w:rsidRPr="00042EA7">
        <w:rPr>
          <w:rFonts w:cs="Arial"/>
          <w:szCs w:val="22"/>
        </w:rPr>
        <w:t>) include information about amending laws and the amendment history of provisions of the compiled law.</w:t>
      </w:r>
    </w:p>
    <w:p w14:paraId="2C522B56" w14:textId="77777777" w:rsidR="009D70DD" w:rsidRPr="00042EA7" w:rsidRDefault="009D70DD" w:rsidP="009D70DD">
      <w:pPr>
        <w:tabs>
          <w:tab w:val="left" w:pos="5640"/>
        </w:tabs>
        <w:spacing w:before="120" w:after="120"/>
        <w:rPr>
          <w:rFonts w:cs="Arial"/>
          <w:b/>
          <w:szCs w:val="22"/>
        </w:rPr>
      </w:pPr>
      <w:r w:rsidRPr="00042EA7">
        <w:rPr>
          <w:rFonts w:cs="Arial"/>
          <w:b/>
          <w:szCs w:val="22"/>
        </w:rPr>
        <w:t>Uncommenced amendments</w:t>
      </w:r>
    </w:p>
    <w:p w14:paraId="67553DCF" w14:textId="77777777" w:rsidR="009D70DD" w:rsidRPr="00042EA7" w:rsidRDefault="009D70DD" w:rsidP="009D70DD">
      <w:pPr>
        <w:spacing w:after="120"/>
        <w:rPr>
          <w:rFonts w:cs="Arial"/>
          <w:szCs w:val="22"/>
        </w:rPr>
      </w:pPr>
      <w:r w:rsidRPr="00042EA7">
        <w:rPr>
          <w:rFonts w:cs="Arial"/>
          <w:szCs w:val="22"/>
        </w:rPr>
        <w:t xml:space="preserve">The effect of uncommenced amendments is not shown in the text of the compiled law. Any uncommenced amendments affecting the law are accessible on </w:t>
      </w:r>
      <w:r>
        <w:rPr>
          <w:rFonts w:cs="Arial"/>
          <w:szCs w:val="22"/>
        </w:rPr>
        <w:t>the Legislation Register</w:t>
      </w:r>
      <w:r w:rsidRPr="00042EA7">
        <w:rPr>
          <w:rFonts w:cs="Arial"/>
          <w:szCs w:val="22"/>
        </w:rPr>
        <w:t xml:space="preserve"> (www.</w:t>
      </w:r>
      <w:r>
        <w:rPr>
          <w:rFonts w:cs="Arial"/>
          <w:szCs w:val="22"/>
        </w:rPr>
        <w:t>legislation</w:t>
      </w:r>
      <w:r w:rsidRPr="00042EA7">
        <w:rPr>
          <w:rFonts w:cs="Arial"/>
          <w:szCs w:val="22"/>
        </w:rPr>
        <w:t xml:space="preserve">.gov.au). The details of amendments made up to, but not commenced at, the compilation date are underlined in the endnotes. For more information on any uncommenced amendments, see the series page on </w:t>
      </w:r>
      <w:r>
        <w:rPr>
          <w:rFonts w:cs="Arial"/>
          <w:szCs w:val="22"/>
        </w:rPr>
        <w:t>the Legislation Register</w:t>
      </w:r>
      <w:r w:rsidRPr="00042EA7">
        <w:rPr>
          <w:rFonts w:cs="Arial"/>
          <w:szCs w:val="22"/>
        </w:rPr>
        <w:t xml:space="preserve"> for the compiled law.</w:t>
      </w:r>
    </w:p>
    <w:p w14:paraId="4C31178C" w14:textId="77777777" w:rsidR="009D70DD" w:rsidRPr="00042EA7" w:rsidRDefault="009D70DD" w:rsidP="009D70DD">
      <w:pPr>
        <w:spacing w:before="120" w:after="120"/>
        <w:rPr>
          <w:rFonts w:cs="Arial"/>
          <w:b/>
          <w:szCs w:val="22"/>
        </w:rPr>
      </w:pPr>
      <w:r w:rsidRPr="00042EA7">
        <w:rPr>
          <w:rFonts w:cs="Arial"/>
          <w:b/>
          <w:szCs w:val="22"/>
        </w:rPr>
        <w:t>Application, saving and transitional provisions for provisions and amendments</w:t>
      </w:r>
    </w:p>
    <w:p w14:paraId="12613E8A" w14:textId="77777777" w:rsidR="009D70DD" w:rsidRPr="00042EA7" w:rsidRDefault="009D70DD" w:rsidP="009D70DD">
      <w:pPr>
        <w:spacing w:after="120"/>
        <w:rPr>
          <w:rFonts w:cs="Arial"/>
          <w:szCs w:val="22"/>
        </w:rPr>
      </w:pPr>
      <w:r w:rsidRPr="00042EA7">
        <w:rPr>
          <w:rFonts w:cs="Arial"/>
          <w:szCs w:val="22"/>
        </w:rPr>
        <w:t>If the operation of a provision or amendment of the compiled law is affected by an application, saving or transitional provision that is not included in this compilation, details are included in the endnotes.</w:t>
      </w:r>
    </w:p>
    <w:p w14:paraId="37A8DE18" w14:textId="77777777" w:rsidR="009D70DD" w:rsidRPr="00042EA7" w:rsidRDefault="009D70DD" w:rsidP="009D70DD">
      <w:pPr>
        <w:spacing w:before="120" w:after="120"/>
        <w:rPr>
          <w:rFonts w:cs="Arial"/>
          <w:b/>
          <w:szCs w:val="22"/>
        </w:rPr>
      </w:pPr>
      <w:r w:rsidRPr="00042EA7">
        <w:rPr>
          <w:rFonts w:cs="Arial"/>
          <w:b/>
          <w:szCs w:val="22"/>
        </w:rPr>
        <w:t>Modifications</w:t>
      </w:r>
    </w:p>
    <w:p w14:paraId="645D0DC4" w14:textId="77777777" w:rsidR="009D70DD" w:rsidRPr="00042EA7" w:rsidRDefault="009D70DD" w:rsidP="009D70DD">
      <w:pPr>
        <w:spacing w:after="120"/>
        <w:rPr>
          <w:rFonts w:cs="Arial"/>
          <w:szCs w:val="22"/>
        </w:rPr>
      </w:pPr>
      <w:r w:rsidRPr="00042EA7">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w:t>
      </w:r>
      <w:r>
        <w:rPr>
          <w:rFonts w:cs="Arial"/>
          <w:szCs w:val="22"/>
        </w:rPr>
        <w:t>the Legislation Register</w:t>
      </w:r>
      <w:r w:rsidRPr="00042EA7">
        <w:rPr>
          <w:rFonts w:cs="Arial"/>
          <w:szCs w:val="22"/>
        </w:rPr>
        <w:t xml:space="preserve"> for the compiled law.</w:t>
      </w:r>
    </w:p>
    <w:p w14:paraId="60E60A3E" w14:textId="77777777" w:rsidR="009D70DD" w:rsidRPr="00042EA7" w:rsidRDefault="009D70DD" w:rsidP="009D70DD">
      <w:pPr>
        <w:spacing w:before="80" w:after="120"/>
        <w:rPr>
          <w:rFonts w:cs="Arial"/>
          <w:b/>
          <w:szCs w:val="22"/>
        </w:rPr>
      </w:pPr>
      <w:r w:rsidRPr="00042EA7">
        <w:rPr>
          <w:rFonts w:cs="Arial"/>
          <w:b/>
          <w:szCs w:val="22"/>
        </w:rPr>
        <w:t>Self</w:t>
      </w:r>
      <w:r>
        <w:rPr>
          <w:rFonts w:cs="Arial"/>
          <w:b/>
          <w:szCs w:val="22"/>
        </w:rPr>
        <w:noBreakHyphen/>
      </w:r>
      <w:r w:rsidRPr="00042EA7">
        <w:rPr>
          <w:rFonts w:cs="Arial"/>
          <w:b/>
          <w:szCs w:val="22"/>
        </w:rPr>
        <w:t>repealing provisions</w:t>
      </w:r>
    </w:p>
    <w:p w14:paraId="7423D7E5" w14:textId="77777777" w:rsidR="009D70DD" w:rsidRPr="00BC57F4" w:rsidRDefault="009D70DD" w:rsidP="009D70DD">
      <w:pPr>
        <w:spacing w:after="120"/>
        <w:rPr>
          <w:rFonts w:cs="Arial"/>
        </w:rPr>
      </w:pPr>
      <w:r w:rsidRPr="00042EA7">
        <w:rPr>
          <w:rFonts w:cs="Arial"/>
          <w:szCs w:val="22"/>
        </w:rPr>
        <w:t>If a provision of the compiled law has been repealed in accordance with a provision of the law, details are included in the endnotes.</w:t>
      </w:r>
    </w:p>
    <w:p w14:paraId="1E1E5132" w14:textId="77777777" w:rsidR="009D70DD" w:rsidRDefault="009D70DD" w:rsidP="009D70DD"/>
    <w:p w14:paraId="0C1DBF50" w14:textId="77777777" w:rsidR="009D70DD" w:rsidRPr="00ED79B6" w:rsidRDefault="009D70DD" w:rsidP="009D70DD"/>
    <w:p w14:paraId="6C4112DD" w14:textId="77777777" w:rsidR="009D70DD" w:rsidRPr="00ED79B6" w:rsidRDefault="009D70DD" w:rsidP="009D70DD">
      <w:pPr>
        <w:pStyle w:val="Header"/>
      </w:pPr>
      <w:r w:rsidRPr="00ED79B6">
        <w:rPr>
          <w:rStyle w:val="CharChapNo"/>
        </w:rPr>
        <w:t xml:space="preserve"> </w:t>
      </w:r>
      <w:r w:rsidRPr="00ED79B6">
        <w:rPr>
          <w:rStyle w:val="CharChapText"/>
        </w:rPr>
        <w:t xml:space="preserve"> </w:t>
      </w:r>
    </w:p>
    <w:p w14:paraId="177D87F9" w14:textId="77777777" w:rsidR="009D70DD" w:rsidRPr="00ED79B6" w:rsidRDefault="009D70DD" w:rsidP="009D70DD">
      <w:pPr>
        <w:pStyle w:val="Header"/>
      </w:pPr>
      <w:r w:rsidRPr="00ED79B6">
        <w:rPr>
          <w:rStyle w:val="CharPartNo"/>
        </w:rPr>
        <w:t xml:space="preserve"> </w:t>
      </w:r>
      <w:r w:rsidRPr="00ED79B6">
        <w:rPr>
          <w:rStyle w:val="CharPartText"/>
        </w:rPr>
        <w:t xml:space="preserve"> </w:t>
      </w:r>
    </w:p>
    <w:p w14:paraId="45D60D49" w14:textId="77777777" w:rsidR="009D70DD" w:rsidRPr="00ED79B6" w:rsidRDefault="009D70DD" w:rsidP="009D70DD">
      <w:pPr>
        <w:pStyle w:val="Header"/>
      </w:pPr>
      <w:r w:rsidRPr="00ED79B6">
        <w:rPr>
          <w:rStyle w:val="CharDivNo"/>
        </w:rPr>
        <w:t xml:space="preserve"> </w:t>
      </w:r>
      <w:r w:rsidRPr="00ED79B6">
        <w:rPr>
          <w:rStyle w:val="CharDivText"/>
        </w:rPr>
        <w:t xml:space="preserve"> </w:t>
      </w:r>
    </w:p>
    <w:p w14:paraId="693F45E2" w14:textId="77777777" w:rsidR="001466E3" w:rsidRDefault="001466E3" w:rsidP="001466E3">
      <w:pPr>
        <w:pBdr>
          <w:bottom w:val="single" w:sz="4" w:space="12" w:color="auto"/>
        </w:pBdr>
        <w:rPr>
          <w:lang w:eastAsia="en-AU"/>
        </w:rPr>
      </w:pPr>
    </w:p>
    <w:p w14:paraId="58514148" w14:textId="6D9476FF" w:rsidR="001466E3" w:rsidRDefault="001466E3" w:rsidP="001466E3">
      <w:pPr>
        <w:pBdr>
          <w:bottom w:val="single" w:sz="4" w:space="12" w:color="auto"/>
        </w:pBdr>
        <w:rPr>
          <w:lang w:eastAsia="en-AU"/>
        </w:rPr>
      </w:pPr>
    </w:p>
    <w:p w14:paraId="73A5FCEF" w14:textId="77777777" w:rsidR="007D441C" w:rsidRDefault="007D441C" w:rsidP="001466E3">
      <w:pPr>
        <w:pBdr>
          <w:bottom w:val="single" w:sz="4" w:space="12" w:color="auto"/>
        </w:pBdr>
        <w:rPr>
          <w:lang w:eastAsia="en-AU"/>
        </w:rPr>
      </w:pPr>
    </w:p>
    <w:p w14:paraId="1648B1A4" w14:textId="77777777" w:rsidR="007D441C" w:rsidRDefault="007D441C" w:rsidP="001466E3">
      <w:pPr>
        <w:pBdr>
          <w:bottom w:val="single" w:sz="4" w:space="12" w:color="auto"/>
        </w:pBdr>
        <w:rPr>
          <w:lang w:eastAsia="en-AU"/>
        </w:rPr>
        <w:sectPr w:rsidR="007D441C" w:rsidSect="001466E3">
          <w:headerReference w:type="even" r:id="rId12"/>
          <w:headerReference w:type="default" r:id="rId13"/>
          <w:footerReference w:type="even" r:id="rId14"/>
          <w:footerReference w:type="default" r:id="rId15"/>
          <w:headerReference w:type="first" r:id="rId16"/>
          <w:footerReference w:type="first" r:id="rId17"/>
          <w:pgSz w:w="11907" w:h="16839" w:code="9"/>
          <w:pgMar w:top="1440" w:right="1797" w:bottom="1440" w:left="1797" w:header="709" w:footer="709" w:gutter="0"/>
          <w:cols w:space="708"/>
          <w:docGrid w:linePitch="360"/>
        </w:sectPr>
      </w:pPr>
    </w:p>
    <w:sdt>
      <w:sdtPr>
        <w:rPr>
          <w:rFonts w:ascii="Times New Roman" w:eastAsia="Times New Roman" w:hAnsi="Times New Roman" w:cs="Times New Roman"/>
          <w:b w:val="0"/>
          <w:bCs w:val="0"/>
          <w:color w:val="auto"/>
          <w:sz w:val="24"/>
          <w:szCs w:val="24"/>
          <w:lang w:val="en-AU" w:eastAsia="en-US"/>
        </w:rPr>
        <w:id w:val="119351702"/>
        <w:docPartObj>
          <w:docPartGallery w:val="Table of Contents"/>
          <w:docPartUnique/>
        </w:docPartObj>
      </w:sdtPr>
      <w:sdtEndPr>
        <w:rPr>
          <w:noProof/>
        </w:rPr>
      </w:sdtEndPr>
      <w:sdtContent>
        <w:p w14:paraId="71FEAD48" w14:textId="031E8015" w:rsidR="00864CAB" w:rsidRPr="00A775E5" w:rsidRDefault="00864CAB">
          <w:pPr>
            <w:pStyle w:val="TOCHeading"/>
            <w:rPr>
              <w:rFonts w:ascii="Times New Roman" w:hAnsi="Times New Roman" w:cs="Times New Roman"/>
              <w:color w:val="000000" w:themeColor="text1"/>
            </w:rPr>
          </w:pPr>
          <w:r w:rsidRPr="00A775E5">
            <w:rPr>
              <w:rFonts w:ascii="Times New Roman" w:hAnsi="Times New Roman" w:cs="Times New Roman"/>
              <w:color w:val="000000" w:themeColor="text1"/>
            </w:rPr>
            <w:t>Contents</w:t>
          </w:r>
        </w:p>
        <w:p w14:paraId="039658D3" w14:textId="77777777" w:rsidR="006C01BD" w:rsidRDefault="00864CAB">
          <w:pPr>
            <w:pStyle w:val="TOC1"/>
            <w:tabs>
              <w:tab w:val="left" w:pos="440"/>
              <w:tab w:val="right" w:leader="dot" w:pos="8296"/>
            </w:tabs>
            <w:rPr>
              <w:rFonts w:asciiTheme="minorHAnsi" w:eastAsiaTheme="minorEastAsia" w:hAnsiTheme="minorHAnsi" w:cstheme="minorBidi"/>
              <w:noProof/>
              <w:sz w:val="22"/>
              <w:szCs w:val="22"/>
              <w:lang w:eastAsia="en-AU"/>
            </w:rPr>
          </w:pPr>
          <w:r>
            <w:fldChar w:fldCharType="begin"/>
          </w:r>
          <w:r>
            <w:instrText xml:space="preserve"> TOC \o "1-3" \h \z \u </w:instrText>
          </w:r>
          <w:r>
            <w:fldChar w:fldCharType="separate"/>
          </w:r>
          <w:hyperlink w:anchor="_Toc529452105" w:history="1">
            <w:r w:rsidR="006C01BD" w:rsidRPr="00CC4020">
              <w:rPr>
                <w:rStyle w:val="Hyperlink"/>
                <w:noProof/>
                <w:lang w:eastAsia="en-AU"/>
              </w:rPr>
              <w:t>1</w:t>
            </w:r>
            <w:r w:rsidR="006C01BD">
              <w:rPr>
                <w:rFonts w:asciiTheme="minorHAnsi" w:eastAsiaTheme="minorEastAsia" w:hAnsiTheme="minorHAnsi" w:cstheme="minorBidi"/>
                <w:noProof/>
                <w:sz w:val="22"/>
                <w:szCs w:val="22"/>
                <w:lang w:eastAsia="en-AU"/>
              </w:rPr>
              <w:tab/>
            </w:r>
            <w:r w:rsidR="006C01BD" w:rsidRPr="00CC4020">
              <w:rPr>
                <w:rStyle w:val="Hyperlink"/>
                <w:noProof/>
                <w:lang w:eastAsia="en-AU"/>
              </w:rPr>
              <w:t>Name of Determination</w:t>
            </w:r>
            <w:r w:rsidR="006C01BD">
              <w:rPr>
                <w:noProof/>
                <w:webHidden/>
              </w:rPr>
              <w:tab/>
            </w:r>
            <w:r w:rsidR="006C01BD">
              <w:rPr>
                <w:noProof/>
                <w:webHidden/>
              </w:rPr>
              <w:fldChar w:fldCharType="begin"/>
            </w:r>
            <w:r w:rsidR="006C01BD">
              <w:rPr>
                <w:noProof/>
                <w:webHidden/>
              </w:rPr>
              <w:instrText xml:space="preserve"> PAGEREF _Toc529452105 \h </w:instrText>
            </w:r>
            <w:r w:rsidR="006C01BD">
              <w:rPr>
                <w:noProof/>
                <w:webHidden/>
              </w:rPr>
            </w:r>
            <w:r w:rsidR="006C01BD">
              <w:rPr>
                <w:noProof/>
                <w:webHidden/>
              </w:rPr>
              <w:fldChar w:fldCharType="separate"/>
            </w:r>
            <w:r w:rsidR="006C01BD">
              <w:rPr>
                <w:noProof/>
                <w:webHidden/>
              </w:rPr>
              <w:t>1</w:t>
            </w:r>
            <w:r w:rsidR="006C01BD">
              <w:rPr>
                <w:noProof/>
                <w:webHidden/>
              </w:rPr>
              <w:fldChar w:fldCharType="end"/>
            </w:r>
          </w:hyperlink>
        </w:p>
        <w:p w14:paraId="39DA5525" w14:textId="77777777" w:rsidR="006C01BD" w:rsidRDefault="00A20E69">
          <w:pPr>
            <w:pStyle w:val="TOC1"/>
            <w:tabs>
              <w:tab w:val="left" w:pos="440"/>
              <w:tab w:val="right" w:leader="dot" w:pos="8296"/>
            </w:tabs>
            <w:rPr>
              <w:rFonts w:asciiTheme="minorHAnsi" w:eastAsiaTheme="minorEastAsia" w:hAnsiTheme="minorHAnsi" w:cstheme="minorBidi"/>
              <w:noProof/>
              <w:sz w:val="22"/>
              <w:szCs w:val="22"/>
              <w:lang w:eastAsia="en-AU"/>
            </w:rPr>
          </w:pPr>
          <w:hyperlink w:anchor="_Toc529452106" w:history="1">
            <w:r w:rsidR="006C01BD" w:rsidRPr="00CC4020">
              <w:rPr>
                <w:rStyle w:val="Hyperlink"/>
                <w:noProof/>
                <w:lang w:eastAsia="en-AU"/>
              </w:rPr>
              <w:t>2</w:t>
            </w:r>
            <w:r w:rsidR="006C01BD">
              <w:rPr>
                <w:rFonts w:asciiTheme="minorHAnsi" w:eastAsiaTheme="minorEastAsia" w:hAnsiTheme="minorHAnsi" w:cstheme="minorBidi"/>
                <w:noProof/>
                <w:sz w:val="22"/>
                <w:szCs w:val="22"/>
                <w:lang w:eastAsia="en-AU"/>
              </w:rPr>
              <w:tab/>
            </w:r>
            <w:r w:rsidR="006C01BD" w:rsidRPr="00CC4020">
              <w:rPr>
                <w:rStyle w:val="Hyperlink"/>
                <w:noProof/>
                <w:lang w:eastAsia="en-AU"/>
              </w:rPr>
              <w:t>Commencement</w:t>
            </w:r>
            <w:r w:rsidR="006C01BD">
              <w:rPr>
                <w:noProof/>
                <w:webHidden/>
              </w:rPr>
              <w:tab/>
            </w:r>
            <w:r w:rsidR="006C01BD">
              <w:rPr>
                <w:noProof/>
                <w:webHidden/>
              </w:rPr>
              <w:fldChar w:fldCharType="begin"/>
            </w:r>
            <w:r w:rsidR="006C01BD">
              <w:rPr>
                <w:noProof/>
                <w:webHidden/>
              </w:rPr>
              <w:instrText xml:space="preserve"> PAGEREF _Toc529452106 \h </w:instrText>
            </w:r>
            <w:r w:rsidR="006C01BD">
              <w:rPr>
                <w:noProof/>
                <w:webHidden/>
              </w:rPr>
            </w:r>
            <w:r w:rsidR="006C01BD">
              <w:rPr>
                <w:noProof/>
                <w:webHidden/>
              </w:rPr>
              <w:fldChar w:fldCharType="separate"/>
            </w:r>
            <w:r w:rsidR="006C01BD">
              <w:rPr>
                <w:noProof/>
                <w:webHidden/>
              </w:rPr>
              <w:t>1</w:t>
            </w:r>
            <w:r w:rsidR="006C01BD">
              <w:rPr>
                <w:noProof/>
                <w:webHidden/>
              </w:rPr>
              <w:fldChar w:fldCharType="end"/>
            </w:r>
          </w:hyperlink>
        </w:p>
        <w:p w14:paraId="080132A7" w14:textId="77777777" w:rsidR="006C01BD" w:rsidRDefault="00A20E69">
          <w:pPr>
            <w:pStyle w:val="TOC1"/>
            <w:tabs>
              <w:tab w:val="left" w:pos="440"/>
              <w:tab w:val="right" w:leader="dot" w:pos="8296"/>
            </w:tabs>
            <w:rPr>
              <w:rFonts w:asciiTheme="minorHAnsi" w:eastAsiaTheme="minorEastAsia" w:hAnsiTheme="minorHAnsi" w:cstheme="minorBidi"/>
              <w:noProof/>
              <w:sz w:val="22"/>
              <w:szCs w:val="22"/>
              <w:lang w:eastAsia="en-AU"/>
            </w:rPr>
          </w:pPr>
          <w:hyperlink w:anchor="_Toc529452107" w:history="1">
            <w:r w:rsidR="006C01BD" w:rsidRPr="00CC4020">
              <w:rPr>
                <w:rStyle w:val="Hyperlink"/>
                <w:noProof/>
                <w:lang w:eastAsia="en-AU"/>
              </w:rPr>
              <w:t>3</w:t>
            </w:r>
            <w:r w:rsidR="006C01BD">
              <w:rPr>
                <w:rFonts w:asciiTheme="minorHAnsi" w:eastAsiaTheme="minorEastAsia" w:hAnsiTheme="minorHAnsi" w:cstheme="minorBidi"/>
                <w:noProof/>
                <w:sz w:val="22"/>
                <w:szCs w:val="22"/>
                <w:lang w:eastAsia="en-AU"/>
              </w:rPr>
              <w:tab/>
            </w:r>
            <w:r w:rsidR="006C01BD" w:rsidRPr="00CC4020">
              <w:rPr>
                <w:rStyle w:val="Hyperlink"/>
                <w:noProof/>
                <w:lang w:eastAsia="en-AU"/>
              </w:rPr>
              <w:t>Definitions</w:t>
            </w:r>
            <w:r w:rsidR="006C01BD">
              <w:rPr>
                <w:noProof/>
                <w:webHidden/>
              </w:rPr>
              <w:tab/>
            </w:r>
            <w:r w:rsidR="006C01BD">
              <w:rPr>
                <w:noProof/>
                <w:webHidden/>
              </w:rPr>
              <w:fldChar w:fldCharType="begin"/>
            </w:r>
            <w:r w:rsidR="006C01BD">
              <w:rPr>
                <w:noProof/>
                <w:webHidden/>
              </w:rPr>
              <w:instrText xml:space="preserve"> PAGEREF _Toc529452107 \h </w:instrText>
            </w:r>
            <w:r w:rsidR="006C01BD">
              <w:rPr>
                <w:noProof/>
                <w:webHidden/>
              </w:rPr>
            </w:r>
            <w:r w:rsidR="006C01BD">
              <w:rPr>
                <w:noProof/>
                <w:webHidden/>
              </w:rPr>
              <w:fldChar w:fldCharType="separate"/>
            </w:r>
            <w:r w:rsidR="006C01BD">
              <w:rPr>
                <w:noProof/>
                <w:webHidden/>
              </w:rPr>
              <w:t>1</w:t>
            </w:r>
            <w:r w:rsidR="006C01BD">
              <w:rPr>
                <w:noProof/>
                <w:webHidden/>
              </w:rPr>
              <w:fldChar w:fldCharType="end"/>
            </w:r>
          </w:hyperlink>
        </w:p>
        <w:p w14:paraId="3100EBB6" w14:textId="77777777" w:rsidR="006C01BD" w:rsidRDefault="00A20E69">
          <w:pPr>
            <w:pStyle w:val="TOC1"/>
            <w:tabs>
              <w:tab w:val="left" w:pos="440"/>
              <w:tab w:val="right" w:leader="dot" w:pos="8296"/>
            </w:tabs>
            <w:rPr>
              <w:rFonts w:asciiTheme="minorHAnsi" w:eastAsiaTheme="minorEastAsia" w:hAnsiTheme="minorHAnsi" w:cstheme="minorBidi"/>
              <w:noProof/>
              <w:sz w:val="22"/>
              <w:szCs w:val="22"/>
              <w:lang w:eastAsia="en-AU"/>
            </w:rPr>
          </w:pPr>
          <w:hyperlink w:anchor="_Toc529452108" w:history="1">
            <w:r w:rsidR="006C01BD" w:rsidRPr="00CC4020">
              <w:rPr>
                <w:rStyle w:val="Hyperlink"/>
                <w:noProof/>
              </w:rPr>
              <w:t>4.</w:t>
            </w:r>
            <w:r w:rsidR="006C01BD">
              <w:rPr>
                <w:rFonts w:asciiTheme="minorHAnsi" w:eastAsiaTheme="minorEastAsia" w:hAnsiTheme="minorHAnsi" w:cstheme="minorBidi"/>
                <w:noProof/>
                <w:sz w:val="22"/>
                <w:szCs w:val="22"/>
                <w:lang w:eastAsia="en-AU"/>
              </w:rPr>
              <w:tab/>
            </w:r>
            <w:r w:rsidR="006C01BD" w:rsidRPr="00CC4020">
              <w:rPr>
                <w:rStyle w:val="Hyperlink"/>
                <w:noProof/>
              </w:rPr>
              <w:t>Maximum increases for items under sections 10ACA and  10ADA of the Act</w:t>
            </w:r>
            <w:r w:rsidR="006C01BD">
              <w:rPr>
                <w:noProof/>
                <w:webHidden/>
              </w:rPr>
              <w:tab/>
            </w:r>
            <w:r w:rsidR="006C01BD">
              <w:rPr>
                <w:noProof/>
                <w:webHidden/>
              </w:rPr>
              <w:fldChar w:fldCharType="begin"/>
            </w:r>
            <w:r w:rsidR="006C01BD">
              <w:rPr>
                <w:noProof/>
                <w:webHidden/>
              </w:rPr>
              <w:instrText xml:space="preserve"> PAGEREF _Toc529452108 \h </w:instrText>
            </w:r>
            <w:r w:rsidR="006C01BD">
              <w:rPr>
                <w:noProof/>
                <w:webHidden/>
              </w:rPr>
            </w:r>
            <w:r w:rsidR="006C01BD">
              <w:rPr>
                <w:noProof/>
                <w:webHidden/>
              </w:rPr>
              <w:fldChar w:fldCharType="separate"/>
            </w:r>
            <w:r w:rsidR="006C01BD">
              <w:rPr>
                <w:noProof/>
                <w:webHidden/>
              </w:rPr>
              <w:t>1</w:t>
            </w:r>
            <w:r w:rsidR="006C01BD">
              <w:rPr>
                <w:noProof/>
                <w:webHidden/>
              </w:rPr>
              <w:fldChar w:fldCharType="end"/>
            </w:r>
          </w:hyperlink>
        </w:p>
        <w:p w14:paraId="0B5F840E" w14:textId="77777777" w:rsidR="006C01BD" w:rsidRDefault="00A20E69">
          <w:pPr>
            <w:pStyle w:val="TOC1"/>
            <w:tabs>
              <w:tab w:val="left" w:pos="440"/>
              <w:tab w:val="right" w:leader="dot" w:pos="8296"/>
            </w:tabs>
            <w:rPr>
              <w:rFonts w:asciiTheme="minorHAnsi" w:eastAsiaTheme="minorEastAsia" w:hAnsiTheme="minorHAnsi" w:cstheme="minorBidi"/>
              <w:noProof/>
              <w:sz w:val="22"/>
              <w:szCs w:val="22"/>
              <w:lang w:eastAsia="en-AU"/>
            </w:rPr>
          </w:pPr>
          <w:hyperlink w:anchor="_Toc529452109" w:history="1">
            <w:r w:rsidR="006C01BD" w:rsidRPr="00CC4020">
              <w:rPr>
                <w:rStyle w:val="Hyperlink"/>
                <w:noProof/>
              </w:rPr>
              <w:t>5.</w:t>
            </w:r>
            <w:r w:rsidR="006C01BD">
              <w:rPr>
                <w:rFonts w:asciiTheme="minorHAnsi" w:eastAsiaTheme="minorEastAsia" w:hAnsiTheme="minorHAnsi" w:cstheme="minorBidi"/>
                <w:noProof/>
                <w:sz w:val="22"/>
                <w:szCs w:val="22"/>
                <w:lang w:eastAsia="en-AU"/>
              </w:rPr>
              <w:tab/>
            </w:r>
            <w:r w:rsidR="006C01BD" w:rsidRPr="00CC4020">
              <w:rPr>
                <w:rStyle w:val="Hyperlink"/>
                <w:noProof/>
              </w:rPr>
              <w:t>Repeal</w:t>
            </w:r>
            <w:r w:rsidR="006C01BD">
              <w:rPr>
                <w:noProof/>
                <w:webHidden/>
              </w:rPr>
              <w:tab/>
            </w:r>
            <w:r w:rsidR="006C01BD">
              <w:rPr>
                <w:noProof/>
                <w:webHidden/>
              </w:rPr>
              <w:fldChar w:fldCharType="begin"/>
            </w:r>
            <w:r w:rsidR="006C01BD">
              <w:rPr>
                <w:noProof/>
                <w:webHidden/>
              </w:rPr>
              <w:instrText xml:space="preserve"> PAGEREF _Toc529452109 \h </w:instrText>
            </w:r>
            <w:r w:rsidR="006C01BD">
              <w:rPr>
                <w:noProof/>
                <w:webHidden/>
              </w:rPr>
            </w:r>
            <w:r w:rsidR="006C01BD">
              <w:rPr>
                <w:noProof/>
                <w:webHidden/>
              </w:rPr>
              <w:fldChar w:fldCharType="separate"/>
            </w:r>
            <w:r w:rsidR="006C01BD">
              <w:rPr>
                <w:noProof/>
                <w:webHidden/>
              </w:rPr>
              <w:t>9</w:t>
            </w:r>
            <w:r w:rsidR="006C01BD">
              <w:rPr>
                <w:noProof/>
                <w:webHidden/>
              </w:rPr>
              <w:fldChar w:fldCharType="end"/>
            </w:r>
          </w:hyperlink>
        </w:p>
        <w:p w14:paraId="6A59C5E1" w14:textId="77777777" w:rsidR="006C01BD" w:rsidRDefault="00A20E69">
          <w:pPr>
            <w:pStyle w:val="TOC2"/>
            <w:tabs>
              <w:tab w:val="right" w:leader="dot" w:pos="8296"/>
            </w:tabs>
            <w:rPr>
              <w:noProof/>
            </w:rPr>
          </w:pPr>
          <w:hyperlink w:anchor="_Toc529452110" w:history="1">
            <w:r w:rsidR="006C01BD" w:rsidRPr="00CC4020">
              <w:rPr>
                <w:rStyle w:val="Hyperlink"/>
                <w:noProof/>
              </w:rPr>
              <w:t>Endnotes</w:t>
            </w:r>
            <w:r w:rsidR="006C01BD">
              <w:rPr>
                <w:noProof/>
                <w:webHidden/>
              </w:rPr>
              <w:tab/>
            </w:r>
            <w:r w:rsidR="006C01BD">
              <w:rPr>
                <w:noProof/>
                <w:webHidden/>
              </w:rPr>
              <w:fldChar w:fldCharType="begin"/>
            </w:r>
            <w:r w:rsidR="006C01BD">
              <w:rPr>
                <w:noProof/>
                <w:webHidden/>
              </w:rPr>
              <w:instrText xml:space="preserve"> PAGEREF _Toc529452110 \h </w:instrText>
            </w:r>
            <w:r w:rsidR="006C01BD">
              <w:rPr>
                <w:noProof/>
                <w:webHidden/>
              </w:rPr>
            </w:r>
            <w:r w:rsidR="006C01BD">
              <w:rPr>
                <w:noProof/>
                <w:webHidden/>
              </w:rPr>
              <w:fldChar w:fldCharType="separate"/>
            </w:r>
            <w:r w:rsidR="006C01BD">
              <w:rPr>
                <w:noProof/>
                <w:webHidden/>
              </w:rPr>
              <w:t>10</w:t>
            </w:r>
            <w:r w:rsidR="006C01BD">
              <w:rPr>
                <w:noProof/>
                <w:webHidden/>
              </w:rPr>
              <w:fldChar w:fldCharType="end"/>
            </w:r>
          </w:hyperlink>
        </w:p>
        <w:p w14:paraId="11093CCE" w14:textId="77777777" w:rsidR="006C01BD" w:rsidRDefault="00A20E69">
          <w:pPr>
            <w:pStyle w:val="TOC3"/>
            <w:tabs>
              <w:tab w:val="right" w:leader="dot" w:pos="8296"/>
            </w:tabs>
            <w:rPr>
              <w:noProof/>
            </w:rPr>
          </w:pPr>
          <w:hyperlink w:anchor="_Toc529452111" w:history="1">
            <w:r w:rsidR="006C01BD" w:rsidRPr="00CC4020">
              <w:rPr>
                <w:rStyle w:val="Hyperlink"/>
                <w:noProof/>
              </w:rPr>
              <w:t>Endnote 1—About the endnotes</w:t>
            </w:r>
            <w:r w:rsidR="006C01BD">
              <w:rPr>
                <w:noProof/>
                <w:webHidden/>
              </w:rPr>
              <w:tab/>
            </w:r>
            <w:r w:rsidR="006C01BD">
              <w:rPr>
                <w:noProof/>
                <w:webHidden/>
              </w:rPr>
              <w:fldChar w:fldCharType="begin"/>
            </w:r>
            <w:r w:rsidR="006C01BD">
              <w:rPr>
                <w:noProof/>
                <w:webHidden/>
              </w:rPr>
              <w:instrText xml:space="preserve"> PAGEREF _Toc529452111 \h </w:instrText>
            </w:r>
            <w:r w:rsidR="006C01BD">
              <w:rPr>
                <w:noProof/>
                <w:webHidden/>
              </w:rPr>
            </w:r>
            <w:r w:rsidR="006C01BD">
              <w:rPr>
                <w:noProof/>
                <w:webHidden/>
              </w:rPr>
              <w:fldChar w:fldCharType="separate"/>
            </w:r>
            <w:r w:rsidR="006C01BD">
              <w:rPr>
                <w:noProof/>
                <w:webHidden/>
              </w:rPr>
              <w:t>10</w:t>
            </w:r>
            <w:r w:rsidR="006C01BD">
              <w:rPr>
                <w:noProof/>
                <w:webHidden/>
              </w:rPr>
              <w:fldChar w:fldCharType="end"/>
            </w:r>
          </w:hyperlink>
        </w:p>
        <w:p w14:paraId="2A6E6C2D" w14:textId="77777777" w:rsidR="006C01BD" w:rsidRDefault="00A20E69">
          <w:pPr>
            <w:pStyle w:val="TOC3"/>
            <w:tabs>
              <w:tab w:val="right" w:leader="dot" w:pos="8296"/>
            </w:tabs>
            <w:rPr>
              <w:noProof/>
            </w:rPr>
          </w:pPr>
          <w:hyperlink w:anchor="_Toc529452112" w:history="1">
            <w:r w:rsidR="006C01BD" w:rsidRPr="00CC4020">
              <w:rPr>
                <w:rStyle w:val="Hyperlink"/>
                <w:noProof/>
              </w:rPr>
              <w:t>Endnote 3—Legislation history</w:t>
            </w:r>
            <w:r w:rsidR="006C01BD">
              <w:rPr>
                <w:noProof/>
                <w:webHidden/>
              </w:rPr>
              <w:tab/>
            </w:r>
            <w:r w:rsidR="006C01BD">
              <w:rPr>
                <w:noProof/>
                <w:webHidden/>
              </w:rPr>
              <w:fldChar w:fldCharType="begin"/>
            </w:r>
            <w:r w:rsidR="006C01BD">
              <w:rPr>
                <w:noProof/>
                <w:webHidden/>
              </w:rPr>
              <w:instrText xml:space="preserve"> PAGEREF _Toc529452112 \h </w:instrText>
            </w:r>
            <w:r w:rsidR="006C01BD">
              <w:rPr>
                <w:noProof/>
                <w:webHidden/>
              </w:rPr>
            </w:r>
            <w:r w:rsidR="006C01BD">
              <w:rPr>
                <w:noProof/>
                <w:webHidden/>
              </w:rPr>
              <w:fldChar w:fldCharType="separate"/>
            </w:r>
            <w:r w:rsidR="006C01BD">
              <w:rPr>
                <w:noProof/>
                <w:webHidden/>
              </w:rPr>
              <w:t>12</w:t>
            </w:r>
            <w:r w:rsidR="006C01BD">
              <w:rPr>
                <w:noProof/>
                <w:webHidden/>
              </w:rPr>
              <w:fldChar w:fldCharType="end"/>
            </w:r>
          </w:hyperlink>
        </w:p>
        <w:p w14:paraId="6938BCCF" w14:textId="77777777" w:rsidR="006C01BD" w:rsidRDefault="00A20E69">
          <w:pPr>
            <w:pStyle w:val="TOC3"/>
            <w:tabs>
              <w:tab w:val="right" w:leader="dot" w:pos="8296"/>
            </w:tabs>
            <w:rPr>
              <w:noProof/>
            </w:rPr>
          </w:pPr>
          <w:hyperlink w:anchor="_Toc529452113" w:history="1">
            <w:r w:rsidR="006C01BD" w:rsidRPr="00CC4020">
              <w:rPr>
                <w:rStyle w:val="Hyperlink"/>
                <w:noProof/>
              </w:rPr>
              <w:t>Endnote 4—Amendment history</w:t>
            </w:r>
            <w:r w:rsidR="006C01BD">
              <w:rPr>
                <w:noProof/>
                <w:webHidden/>
              </w:rPr>
              <w:tab/>
            </w:r>
            <w:r w:rsidR="006C01BD">
              <w:rPr>
                <w:noProof/>
                <w:webHidden/>
              </w:rPr>
              <w:fldChar w:fldCharType="begin"/>
            </w:r>
            <w:r w:rsidR="006C01BD">
              <w:rPr>
                <w:noProof/>
                <w:webHidden/>
              </w:rPr>
              <w:instrText xml:space="preserve"> PAGEREF _Toc529452113 \h </w:instrText>
            </w:r>
            <w:r w:rsidR="006C01BD">
              <w:rPr>
                <w:noProof/>
                <w:webHidden/>
              </w:rPr>
            </w:r>
            <w:r w:rsidR="006C01BD">
              <w:rPr>
                <w:noProof/>
                <w:webHidden/>
              </w:rPr>
              <w:fldChar w:fldCharType="separate"/>
            </w:r>
            <w:r w:rsidR="006C01BD">
              <w:rPr>
                <w:noProof/>
                <w:webHidden/>
              </w:rPr>
              <w:t>13</w:t>
            </w:r>
            <w:r w:rsidR="006C01BD">
              <w:rPr>
                <w:noProof/>
                <w:webHidden/>
              </w:rPr>
              <w:fldChar w:fldCharType="end"/>
            </w:r>
          </w:hyperlink>
        </w:p>
        <w:p w14:paraId="71FEAD4E" w14:textId="77777777" w:rsidR="00864CAB" w:rsidRDefault="00864CAB">
          <w:r>
            <w:rPr>
              <w:b/>
              <w:bCs/>
              <w:noProof/>
            </w:rPr>
            <w:fldChar w:fldCharType="end"/>
          </w:r>
        </w:p>
      </w:sdtContent>
    </w:sdt>
    <w:p w14:paraId="76B75FEA" w14:textId="77777777" w:rsidR="00B215A4" w:rsidRDefault="00AD51BF">
      <w:pPr>
        <w:rPr>
          <w:lang w:eastAsia="en-AU"/>
        </w:rPr>
        <w:sectPr w:rsidR="00B215A4" w:rsidSect="00B215A4">
          <w:headerReference w:type="default" r:id="rId18"/>
          <w:footerReference w:type="default" r:id="rId19"/>
          <w:pgSz w:w="11906" w:h="16838"/>
          <w:pgMar w:top="1440" w:right="1800" w:bottom="993" w:left="1800" w:header="708" w:footer="708" w:gutter="0"/>
          <w:pgNumType w:start="1"/>
          <w:cols w:space="708"/>
          <w:docGrid w:linePitch="360"/>
        </w:sectPr>
      </w:pPr>
      <w:r>
        <w:rPr>
          <w:lang w:eastAsia="en-AU"/>
        </w:rPr>
        <w:br w:type="page"/>
      </w:r>
    </w:p>
    <w:p w14:paraId="48679EC7" w14:textId="343F2D3E" w:rsidR="00AD51BF" w:rsidRDefault="00AD51BF">
      <w:pPr>
        <w:rPr>
          <w:rFonts w:ascii="Arial" w:hAnsi="Arial" w:cs="Arial"/>
          <w:b/>
          <w:bCs/>
          <w:kern w:val="28"/>
          <w:sz w:val="28"/>
          <w:szCs w:val="32"/>
          <w:lang w:eastAsia="en-AU"/>
        </w:rPr>
      </w:pPr>
    </w:p>
    <w:p w14:paraId="71FEAD51" w14:textId="6437B6AB" w:rsidR="008521E0" w:rsidRPr="008521E0" w:rsidRDefault="008521E0" w:rsidP="00BE5540">
      <w:pPr>
        <w:pStyle w:val="Heading1"/>
        <w:rPr>
          <w:lang w:eastAsia="en-AU"/>
        </w:rPr>
      </w:pPr>
      <w:bookmarkStart w:id="1" w:name="_Toc529452105"/>
      <w:r w:rsidRPr="008521E0">
        <w:rPr>
          <w:lang w:eastAsia="en-AU"/>
        </w:rPr>
        <w:t>1</w:t>
      </w:r>
      <w:r w:rsidRPr="008521E0">
        <w:rPr>
          <w:lang w:eastAsia="en-AU"/>
        </w:rPr>
        <w:tab/>
        <w:t>Name of Determination</w:t>
      </w:r>
      <w:bookmarkEnd w:id="1"/>
    </w:p>
    <w:p w14:paraId="71FEAD52" w14:textId="77777777" w:rsidR="008521E0" w:rsidRPr="008521E0" w:rsidRDefault="008521E0" w:rsidP="008521E0">
      <w:pPr>
        <w:tabs>
          <w:tab w:val="right" w:pos="794"/>
        </w:tabs>
        <w:spacing w:before="100" w:line="260" w:lineRule="exact"/>
        <w:ind w:left="964" w:hanging="964"/>
        <w:jc w:val="both"/>
        <w:rPr>
          <w:rFonts w:ascii="Arial" w:hAnsi="Arial" w:cs="Arial"/>
          <w:b/>
          <w:bCs/>
          <w:lang w:eastAsia="en-AU"/>
        </w:rPr>
      </w:pPr>
      <w:r w:rsidRPr="008521E0">
        <w:rPr>
          <w:lang w:eastAsia="en-AU"/>
        </w:rPr>
        <w:tab/>
      </w:r>
      <w:r w:rsidRPr="008521E0">
        <w:rPr>
          <w:lang w:eastAsia="en-AU"/>
        </w:rPr>
        <w:tab/>
        <w:t xml:space="preserve">This Determination is the </w:t>
      </w:r>
      <w:r w:rsidRPr="008521E0">
        <w:rPr>
          <w:i/>
          <w:lang w:eastAsia="en-AU"/>
        </w:rPr>
        <w:t>Health Insurance (Extended Medicare Safety Net) Determination 2017</w:t>
      </w:r>
      <w:r w:rsidRPr="008521E0">
        <w:rPr>
          <w:lang w:eastAsia="en-AU"/>
        </w:rPr>
        <w:t>.</w:t>
      </w:r>
    </w:p>
    <w:p w14:paraId="71FEAD53" w14:textId="77777777" w:rsidR="008521E0" w:rsidRPr="008521E0" w:rsidRDefault="008521E0" w:rsidP="00BE5540">
      <w:pPr>
        <w:pStyle w:val="Heading1"/>
        <w:rPr>
          <w:lang w:eastAsia="en-AU"/>
        </w:rPr>
      </w:pPr>
      <w:bookmarkStart w:id="2" w:name="_Toc529452106"/>
      <w:r w:rsidRPr="008521E0">
        <w:rPr>
          <w:lang w:eastAsia="en-AU"/>
        </w:rPr>
        <w:t>2</w:t>
      </w:r>
      <w:r w:rsidRPr="008521E0">
        <w:rPr>
          <w:lang w:eastAsia="en-AU"/>
        </w:rPr>
        <w:tab/>
        <w:t>Commencement</w:t>
      </w:r>
      <w:bookmarkEnd w:id="2"/>
    </w:p>
    <w:p w14:paraId="2B370CB1" w14:textId="7471A313" w:rsidR="00854F53" w:rsidRPr="0056069F" w:rsidRDefault="00854F53" w:rsidP="00854F53">
      <w:pPr>
        <w:pStyle w:val="subsection"/>
        <w:tabs>
          <w:tab w:val="clear" w:pos="1021"/>
          <w:tab w:val="right" w:pos="851"/>
        </w:tabs>
        <w:ind w:left="851" w:firstLine="0"/>
        <w:rPr>
          <w:sz w:val="24"/>
          <w:szCs w:val="24"/>
        </w:rPr>
      </w:pPr>
      <w:r w:rsidRPr="0056069F">
        <w:rPr>
          <w:sz w:val="24"/>
          <w:szCs w:val="24"/>
        </w:rPr>
        <w:t>Each provision of this instrument specified in column 1 of the table commences, or is taken to have commenced, in accordance with column 2 of the table. Any other statement in column 2 has effect according to its terms.</w:t>
      </w:r>
    </w:p>
    <w:p w14:paraId="79EE9E77" w14:textId="77777777" w:rsidR="00854F53" w:rsidRPr="00AE582B" w:rsidRDefault="00854F53" w:rsidP="00854F53">
      <w:pPr>
        <w:pStyle w:val="Tabletext1"/>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038"/>
        <w:gridCol w:w="4587"/>
        <w:gridCol w:w="1895"/>
      </w:tblGrid>
      <w:tr w:rsidR="00854F53" w:rsidRPr="008374BC" w14:paraId="511D0C70" w14:textId="77777777" w:rsidTr="00D51A98">
        <w:trPr>
          <w:tblHeader/>
        </w:trPr>
        <w:tc>
          <w:tcPr>
            <w:tcW w:w="5000" w:type="pct"/>
            <w:gridSpan w:val="3"/>
            <w:tcBorders>
              <w:top w:val="single" w:sz="12" w:space="0" w:color="auto"/>
              <w:bottom w:val="single" w:sz="2" w:space="0" w:color="auto"/>
            </w:tcBorders>
            <w:shd w:val="clear" w:color="auto" w:fill="auto"/>
            <w:hideMark/>
          </w:tcPr>
          <w:p w14:paraId="524235F6" w14:textId="77777777" w:rsidR="00854F53" w:rsidRPr="00AE582B" w:rsidRDefault="00854F53" w:rsidP="00D51A98">
            <w:pPr>
              <w:pStyle w:val="TableHeading"/>
            </w:pPr>
            <w:r w:rsidRPr="00AE582B">
              <w:t>Commencement information</w:t>
            </w:r>
          </w:p>
        </w:tc>
      </w:tr>
      <w:tr w:rsidR="00854F53" w:rsidRPr="008374BC" w14:paraId="179B6A99" w14:textId="77777777" w:rsidTr="00D51A98">
        <w:trPr>
          <w:tblHeader/>
        </w:trPr>
        <w:tc>
          <w:tcPr>
            <w:tcW w:w="1196" w:type="pct"/>
            <w:tcBorders>
              <w:top w:val="single" w:sz="2" w:space="0" w:color="auto"/>
              <w:bottom w:val="single" w:sz="2" w:space="0" w:color="auto"/>
            </w:tcBorders>
            <w:shd w:val="clear" w:color="auto" w:fill="auto"/>
            <w:hideMark/>
          </w:tcPr>
          <w:p w14:paraId="6272F802" w14:textId="77777777" w:rsidR="00854F53" w:rsidRPr="00AE582B" w:rsidRDefault="00854F53" w:rsidP="00D51A98">
            <w:pPr>
              <w:pStyle w:val="TableHeading"/>
            </w:pPr>
            <w:r w:rsidRPr="00AE582B">
              <w:t>Column 1</w:t>
            </w:r>
          </w:p>
        </w:tc>
        <w:tc>
          <w:tcPr>
            <w:tcW w:w="2692" w:type="pct"/>
            <w:tcBorders>
              <w:top w:val="single" w:sz="2" w:space="0" w:color="auto"/>
              <w:bottom w:val="single" w:sz="2" w:space="0" w:color="auto"/>
            </w:tcBorders>
            <w:shd w:val="clear" w:color="auto" w:fill="auto"/>
            <w:hideMark/>
          </w:tcPr>
          <w:p w14:paraId="6FA13DF7" w14:textId="77777777" w:rsidR="00854F53" w:rsidRPr="00AE582B" w:rsidRDefault="00854F53" w:rsidP="00D51A98">
            <w:pPr>
              <w:pStyle w:val="TableHeading"/>
            </w:pPr>
            <w:r w:rsidRPr="00AE582B">
              <w:t>Column 2</w:t>
            </w:r>
          </w:p>
        </w:tc>
        <w:tc>
          <w:tcPr>
            <w:tcW w:w="1112" w:type="pct"/>
            <w:tcBorders>
              <w:top w:val="single" w:sz="2" w:space="0" w:color="auto"/>
              <w:bottom w:val="single" w:sz="2" w:space="0" w:color="auto"/>
            </w:tcBorders>
            <w:shd w:val="clear" w:color="auto" w:fill="auto"/>
            <w:hideMark/>
          </w:tcPr>
          <w:p w14:paraId="17D31363" w14:textId="77777777" w:rsidR="00854F53" w:rsidRPr="00AE582B" w:rsidRDefault="00854F53" w:rsidP="00D51A98">
            <w:pPr>
              <w:pStyle w:val="TableHeading"/>
            </w:pPr>
            <w:r w:rsidRPr="00AE582B">
              <w:t>Column 3</w:t>
            </w:r>
          </w:p>
        </w:tc>
      </w:tr>
      <w:tr w:rsidR="00854F53" w:rsidRPr="008374BC" w14:paraId="4A16F32B" w14:textId="77777777" w:rsidTr="00D51A98">
        <w:trPr>
          <w:tblHeader/>
        </w:trPr>
        <w:tc>
          <w:tcPr>
            <w:tcW w:w="1196" w:type="pct"/>
            <w:tcBorders>
              <w:top w:val="single" w:sz="2" w:space="0" w:color="auto"/>
              <w:bottom w:val="single" w:sz="12" w:space="0" w:color="auto"/>
            </w:tcBorders>
            <w:shd w:val="clear" w:color="auto" w:fill="auto"/>
            <w:hideMark/>
          </w:tcPr>
          <w:p w14:paraId="40553ACF" w14:textId="77777777" w:rsidR="00854F53" w:rsidRPr="00AE582B" w:rsidRDefault="00854F53" w:rsidP="00D51A98">
            <w:pPr>
              <w:pStyle w:val="TableHeading"/>
            </w:pPr>
            <w:r w:rsidRPr="00AE582B">
              <w:t>Provisions</w:t>
            </w:r>
          </w:p>
        </w:tc>
        <w:tc>
          <w:tcPr>
            <w:tcW w:w="2692" w:type="pct"/>
            <w:tcBorders>
              <w:top w:val="single" w:sz="2" w:space="0" w:color="auto"/>
              <w:bottom w:val="single" w:sz="12" w:space="0" w:color="auto"/>
            </w:tcBorders>
            <w:shd w:val="clear" w:color="auto" w:fill="auto"/>
            <w:hideMark/>
          </w:tcPr>
          <w:p w14:paraId="20BDFF21" w14:textId="77777777" w:rsidR="00854F53" w:rsidRPr="00AE582B" w:rsidRDefault="00854F53" w:rsidP="00D51A98">
            <w:pPr>
              <w:pStyle w:val="TableHeading"/>
            </w:pPr>
            <w:r w:rsidRPr="00AE582B">
              <w:t>Commencement</w:t>
            </w:r>
          </w:p>
        </w:tc>
        <w:tc>
          <w:tcPr>
            <w:tcW w:w="1112" w:type="pct"/>
            <w:tcBorders>
              <w:top w:val="single" w:sz="2" w:space="0" w:color="auto"/>
              <w:bottom w:val="single" w:sz="12" w:space="0" w:color="auto"/>
            </w:tcBorders>
            <w:shd w:val="clear" w:color="auto" w:fill="auto"/>
            <w:hideMark/>
          </w:tcPr>
          <w:p w14:paraId="33F145FE" w14:textId="77777777" w:rsidR="00854F53" w:rsidRPr="00AE582B" w:rsidRDefault="00854F53" w:rsidP="00D51A98">
            <w:pPr>
              <w:pStyle w:val="TableHeading"/>
            </w:pPr>
            <w:r w:rsidRPr="00AE582B">
              <w:t>Date/Details</w:t>
            </w:r>
          </w:p>
        </w:tc>
      </w:tr>
      <w:tr w:rsidR="00854F53" w:rsidRPr="008374BC" w14:paraId="2AF3F74E" w14:textId="77777777" w:rsidTr="00D51A98">
        <w:tc>
          <w:tcPr>
            <w:tcW w:w="1196" w:type="pct"/>
            <w:tcBorders>
              <w:top w:val="single" w:sz="12" w:space="0" w:color="auto"/>
              <w:bottom w:val="single" w:sz="12" w:space="0" w:color="auto"/>
            </w:tcBorders>
            <w:shd w:val="clear" w:color="auto" w:fill="auto"/>
            <w:hideMark/>
          </w:tcPr>
          <w:p w14:paraId="6D7BA6EA" w14:textId="77777777" w:rsidR="00854F53" w:rsidRPr="00AE582B" w:rsidRDefault="00854F53" w:rsidP="00D51A98">
            <w:pPr>
              <w:pStyle w:val="Tabletext1"/>
            </w:pPr>
            <w:r w:rsidRPr="00AE582B">
              <w:t>1.  The whole of this instrument</w:t>
            </w:r>
          </w:p>
        </w:tc>
        <w:tc>
          <w:tcPr>
            <w:tcW w:w="2692" w:type="pct"/>
            <w:tcBorders>
              <w:top w:val="single" w:sz="12" w:space="0" w:color="auto"/>
              <w:bottom w:val="single" w:sz="12" w:space="0" w:color="auto"/>
            </w:tcBorders>
            <w:shd w:val="clear" w:color="auto" w:fill="auto"/>
            <w:hideMark/>
          </w:tcPr>
          <w:p w14:paraId="3BBF473C" w14:textId="77777777" w:rsidR="00854F53" w:rsidRPr="00AE582B" w:rsidRDefault="00854F53" w:rsidP="00D51A98">
            <w:pPr>
              <w:pStyle w:val="Tabletext1"/>
            </w:pPr>
            <w:r w:rsidRPr="00AE582B">
              <w:t>The later of:</w:t>
            </w:r>
          </w:p>
          <w:p w14:paraId="341C95C0" w14:textId="77777777" w:rsidR="00854F53" w:rsidRPr="00AE582B" w:rsidRDefault="00854F53" w:rsidP="00D51A98">
            <w:pPr>
              <w:pStyle w:val="Tablea"/>
            </w:pPr>
            <w:r w:rsidRPr="00AE582B">
              <w:t>(a) 1 November 2017; and</w:t>
            </w:r>
          </w:p>
          <w:p w14:paraId="47A9AF21" w14:textId="77777777" w:rsidR="00854F53" w:rsidRPr="00AE582B" w:rsidRDefault="00854F53" w:rsidP="00D51A98">
            <w:pPr>
              <w:pStyle w:val="Tablea"/>
            </w:pPr>
            <w:r w:rsidRPr="00AE582B">
              <w:t xml:space="preserve">(b) </w:t>
            </w:r>
            <w:proofErr w:type="gramStart"/>
            <w:r>
              <w:t>the</w:t>
            </w:r>
            <w:proofErr w:type="gramEnd"/>
            <w:r>
              <w:t xml:space="preserve"> day </w:t>
            </w:r>
            <w:r w:rsidRPr="00AE582B">
              <w:t>after</w:t>
            </w:r>
            <w:r>
              <w:t xml:space="preserve"> this instrument has been approved by each House of Parliament</w:t>
            </w:r>
            <w:r w:rsidRPr="00AE582B">
              <w:t>.</w:t>
            </w:r>
          </w:p>
          <w:p w14:paraId="53B070A9" w14:textId="77777777" w:rsidR="00854F53" w:rsidRPr="00AE582B" w:rsidRDefault="00854F53" w:rsidP="00D51A98">
            <w:pPr>
              <w:pStyle w:val="Tabletext1"/>
            </w:pPr>
            <w:r w:rsidRPr="00AE582B">
              <w:t>However, the provisions do not commence at all if the event mentioned in paragraph (b) does not occur.</w:t>
            </w:r>
          </w:p>
        </w:tc>
        <w:tc>
          <w:tcPr>
            <w:tcW w:w="1112" w:type="pct"/>
            <w:tcBorders>
              <w:top w:val="single" w:sz="12" w:space="0" w:color="auto"/>
              <w:bottom w:val="single" w:sz="12" w:space="0" w:color="auto"/>
            </w:tcBorders>
            <w:shd w:val="clear" w:color="auto" w:fill="auto"/>
          </w:tcPr>
          <w:p w14:paraId="32DEDDE9" w14:textId="77777777" w:rsidR="00854F53" w:rsidRPr="00AE582B" w:rsidRDefault="00854F53" w:rsidP="00D51A98">
            <w:pPr>
              <w:pStyle w:val="Tabletext1"/>
            </w:pPr>
          </w:p>
        </w:tc>
      </w:tr>
    </w:tbl>
    <w:p w14:paraId="6C6345FF" w14:textId="77777777" w:rsidR="00854F53" w:rsidRPr="00AE582B" w:rsidRDefault="00854F53" w:rsidP="00854F53">
      <w:pPr>
        <w:pStyle w:val="notetext"/>
      </w:pPr>
      <w:r w:rsidRPr="00AE582B">
        <w:rPr>
          <w:snapToGrid w:val="0"/>
          <w:lang w:eastAsia="en-US"/>
        </w:rPr>
        <w:t>Note:</w:t>
      </w:r>
      <w:r w:rsidRPr="00AE582B">
        <w:rPr>
          <w:snapToGrid w:val="0"/>
          <w:lang w:eastAsia="en-US"/>
        </w:rPr>
        <w:tab/>
        <w:t xml:space="preserve">This table relates only to the provisions of this </w:t>
      </w:r>
      <w:r w:rsidRPr="00AE582B">
        <w:t xml:space="preserve">instrument </w:t>
      </w:r>
      <w:r w:rsidRPr="00AE582B">
        <w:rPr>
          <w:snapToGrid w:val="0"/>
          <w:lang w:eastAsia="en-US"/>
        </w:rPr>
        <w:t xml:space="preserve">as originally made. It will not be amended to deal with any later amendments of this </w:t>
      </w:r>
      <w:r w:rsidRPr="00AE582B">
        <w:t>instrument</w:t>
      </w:r>
      <w:r w:rsidRPr="00AE582B">
        <w:rPr>
          <w:snapToGrid w:val="0"/>
          <w:lang w:eastAsia="en-US"/>
        </w:rPr>
        <w:t>.</w:t>
      </w:r>
    </w:p>
    <w:p w14:paraId="37813F99" w14:textId="77777777" w:rsidR="00854F53" w:rsidRPr="0056069F" w:rsidRDefault="00854F53" w:rsidP="00854F53">
      <w:pPr>
        <w:pStyle w:val="subsection"/>
        <w:rPr>
          <w:sz w:val="24"/>
          <w:szCs w:val="24"/>
        </w:rPr>
      </w:pPr>
      <w:r w:rsidRPr="00AE582B">
        <w:tab/>
      </w:r>
      <w:r w:rsidRPr="0056069F">
        <w:rPr>
          <w:sz w:val="24"/>
          <w:szCs w:val="24"/>
        </w:rPr>
        <w:t>(2)</w:t>
      </w:r>
      <w:r w:rsidRPr="0056069F">
        <w:rPr>
          <w:sz w:val="24"/>
          <w:szCs w:val="24"/>
        </w:rPr>
        <w:tab/>
        <w:t>Any information in column 3 of the table is not part of this instrument. Information may be inserted in this column, or information in it may be edited, in any published version of this instrument.</w:t>
      </w:r>
    </w:p>
    <w:p w14:paraId="71FEAD55" w14:textId="77777777" w:rsidR="008521E0" w:rsidRPr="008521E0" w:rsidRDefault="008521E0" w:rsidP="00BE5540">
      <w:pPr>
        <w:pStyle w:val="Heading1"/>
        <w:rPr>
          <w:lang w:eastAsia="en-AU"/>
        </w:rPr>
      </w:pPr>
      <w:bookmarkStart w:id="3" w:name="_Toc529452107"/>
      <w:r w:rsidRPr="008521E0">
        <w:rPr>
          <w:lang w:eastAsia="en-AU"/>
        </w:rPr>
        <w:t>3</w:t>
      </w:r>
      <w:r w:rsidRPr="008521E0">
        <w:rPr>
          <w:lang w:eastAsia="en-AU"/>
        </w:rPr>
        <w:tab/>
        <w:t>Definitions</w:t>
      </w:r>
      <w:bookmarkEnd w:id="3"/>
    </w:p>
    <w:p w14:paraId="71FEAD56" w14:textId="77777777" w:rsidR="008521E0" w:rsidRPr="008521E0" w:rsidRDefault="008521E0" w:rsidP="008521E0">
      <w:pPr>
        <w:tabs>
          <w:tab w:val="right" w:pos="794"/>
        </w:tabs>
        <w:spacing w:before="100" w:line="260" w:lineRule="exact"/>
        <w:ind w:left="964" w:hanging="964"/>
        <w:jc w:val="both"/>
        <w:rPr>
          <w:lang w:eastAsia="en-AU"/>
        </w:rPr>
      </w:pPr>
      <w:r w:rsidRPr="008521E0">
        <w:rPr>
          <w:lang w:eastAsia="en-AU"/>
        </w:rPr>
        <w:tab/>
      </w:r>
      <w:r w:rsidRPr="008521E0">
        <w:rPr>
          <w:lang w:eastAsia="en-AU"/>
        </w:rPr>
        <w:tab/>
        <w:t>In this Determination:</w:t>
      </w:r>
    </w:p>
    <w:p w14:paraId="71FEAD57" w14:textId="77777777" w:rsidR="008521E0" w:rsidRPr="008521E0" w:rsidRDefault="008521E0" w:rsidP="008521E0">
      <w:pPr>
        <w:tabs>
          <w:tab w:val="right" w:pos="794"/>
        </w:tabs>
        <w:spacing w:before="120" w:line="260" w:lineRule="exact"/>
        <w:ind w:left="964" w:hanging="4"/>
        <w:jc w:val="both"/>
        <w:rPr>
          <w:lang w:eastAsia="en-AU"/>
        </w:rPr>
      </w:pPr>
      <w:r w:rsidRPr="008521E0">
        <w:rPr>
          <w:b/>
          <w:bCs/>
          <w:i/>
          <w:lang w:eastAsia="en-AU"/>
        </w:rPr>
        <w:t>Act</w:t>
      </w:r>
      <w:r w:rsidRPr="008521E0">
        <w:rPr>
          <w:b/>
          <w:bCs/>
          <w:lang w:eastAsia="en-AU"/>
        </w:rPr>
        <w:t xml:space="preserve"> </w:t>
      </w:r>
      <w:r w:rsidRPr="008521E0">
        <w:rPr>
          <w:lang w:eastAsia="en-AU"/>
        </w:rPr>
        <w:t xml:space="preserve">means the </w:t>
      </w:r>
      <w:r w:rsidRPr="008521E0">
        <w:rPr>
          <w:i/>
          <w:lang w:eastAsia="en-AU"/>
        </w:rPr>
        <w:t>Health Insurance Act 1973</w:t>
      </w:r>
      <w:r w:rsidRPr="008521E0">
        <w:rPr>
          <w:lang w:eastAsia="en-AU"/>
        </w:rPr>
        <w:t>.</w:t>
      </w:r>
    </w:p>
    <w:p w14:paraId="71FEAD58" w14:textId="77777777" w:rsidR="008521E0" w:rsidRPr="008521E0" w:rsidRDefault="008521E0" w:rsidP="008521E0">
      <w:pPr>
        <w:tabs>
          <w:tab w:val="right" w:pos="794"/>
        </w:tabs>
        <w:spacing w:before="120" w:line="260" w:lineRule="exact"/>
        <w:ind w:left="964" w:hanging="4"/>
        <w:jc w:val="both"/>
        <w:rPr>
          <w:lang w:eastAsia="en-AU"/>
        </w:rPr>
      </w:pPr>
      <w:proofErr w:type="gramStart"/>
      <w:r w:rsidRPr="008521E0">
        <w:rPr>
          <w:b/>
          <w:bCs/>
          <w:i/>
          <w:lang w:eastAsia="en-AU"/>
        </w:rPr>
        <w:t>diagnostic</w:t>
      </w:r>
      <w:proofErr w:type="gramEnd"/>
      <w:r w:rsidRPr="008521E0">
        <w:rPr>
          <w:b/>
          <w:bCs/>
          <w:i/>
          <w:lang w:eastAsia="en-AU"/>
        </w:rPr>
        <w:t xml:space="preserve"> imaging services table</w:t>
      </w:r>
      <w:r w:rsidRPr="008521E0">
        <w:rPr>
          <w:b/>
          <w:bCs/>
          <w:lang w:eastAsia="en-AU"/>
        </w:rPr>
        <w:t xml:space="preserve"> </w:t>
      </w:r>
      <w:r w:rsidRPr="008521E0">
        <w:rPr>
          <w:lang w:eastAsia="en-AU"/>
        </w:rPr>
        <w:t>means the table prescribed under section 4AA of the Act.</w:t>
      </w:r>
    </w:p>
    <w:p w14:paraId="71FEAD59" w14:textId="77777777" w:rsidR="008521E0" w:rsidRDefault="008521E0" w:rsidP="008521E0">
      <w:pPr>
        <w:tabs>
          <w:tab w:val="right" w:pos="794"/>
        </w:tabs>
        <w:spacing w:before="120" w:line="260" w:lineRule="exact"/>
        <w:ind w:left="964" w:hanging="4"/>
        <w:jc w:val="both"/>
        <w:rPr>
          <w:lang w:eastAsia="en-AU"/>
        </w:rPr>
      </w:pPr>
      <w:proofErr w:type="gramStart"/>
      <w:r w:rsidRPr="008521E0">
        <w:rPr>
          <w:b/>
          <w:bCs/>
          <w:i/>
          <w:iCs/>
          <w:lang w:eastAsia="en-AU"/>
        </w:rPr>
        <w:t>general</w:t>
      </w:r>
      <w:proofErr w:type="gramEnd"/>
      <w:r w:rsidRPr="008521E0">
        <w:rPr>
          <w:b/>
          <w:bCs/>
          <w:i/>
          <w:iCs/>
          <w:lang w:eastAsia="en-AU"/>
        </w:rPr>
        <w:t xml:space="preserve"> medical services table </w:t>
      </w:r>
      <w:r w:rsidRPr="008521E0">
        <w:rPr>
          <w:lang w:eastAsia="en-AU"/>
        </w:rPr>
        <w:t>means the table prescribed under section 4 of the Act.</w:t>
      </w:r>
    </w:p>
    <w:p w14:paraId="71FEAD5A" w14:textId="77777777" w:rsidR="008521E0" w:rsidRDefault="008521E0" w:rsidP="008521E0">
      <w:pPr>
        <w:pStyle w:val="definition"/>
      </w:pPr>
      <w:r w:rsidRPr="00983613">
        <w:rPr>
          <w:b/>
          <w:i/>
        </w:rPr>
        <w:t>Schedule fee</w:t>
      </w:r>
      <w:r w:rsidRPr="00983613">
        <w:t xml:space="preserve"> has the meaning given in subsection 8</w:t>
      </w:r>
      <w:r>
        <w:t xml:space="preserve"> </w:t>
      </w:r>
      <w:r w:rsidRPr="00983613">
        <w:t>(1A) of the Act.</w:t>
      </w:r>
    </w:p>
    <w:p w14:paraId="71FEAD5B" w14:textId="77777777" w:rsidR="00A86F83" w:rsidRDefault="00A86F83" w:rsidP="00BE5540">
      <w:pPr>
        <w:pStyle w:val="Heading1"/>
      </w:pPr>
      <w:bookmarkStart w:id="4" w:name="_Toc342990093"/>
      <w:bookmarkStart w:id="5" w:name="_Toc529452108"/>
      <w:r w:rsidRPr="00EF0224">
        <w:rPr>
          <w:rStyle w:val="CharSectno"/>
        </w:rPr>
        <w:t>4</w:t>
      </w:r>
      <w:r>
        <w:rPr>
          <w:rStyle w:val="CharSectno"/>
        </w:rPr>
        <w:t>.</w:t>
      </w:r>
      <w:r>
        <w:tab/>
        <w:t xml:space="preserve">Maximum increases for items under sections 10ACA and </w:t>
      </w:r>
      <w:r w:rsidR="00BE5540">
        <w:tab/>
      </w:r>
      <w:r>
        <w:t xml:space="preserve">10ADA </w:t>
      </w:r>
      <w:r w:rsidRPr="00EF0224">
        <w:t>of the Act</w:t>
      </w:r>
      <w:bookmarkEnd w:id="4"/>
      <w:bookmarkEnd w:id="5"/>
      <w:r>
        <w:t xml:space="preserve"> </w:t>
      </w:r>
    </w:p>
    <w:p w14:paraId="71FEAD5C" w14:textId="77777777" w:rsidR="00A86F83" w:rsidRDefault="00A86F83" w:rsidP="00A86F83">
      <w:pPr>
        <w:pStyle w:val="R1"/>
      </w:pPr>
      <w:r>
        <w:tab/>
        <w:t>(1)</w:t>
      </w:r>
      <w:r>
        <w:tab/>
        <w:t>For section 10B of the Act:</w:t>
      </w:r>
    </w:p>
    <w:p w14:paraId="71FEAD5D" w14:textId="50D7E806" w:rsidR="00A86F83" w:rsidRDefault="00A86F83" w:rsidP="00A86F83">
      <w:pPr>
        <w:pStyle w:val="P1"/>
      </w:pPr>
      <w:r>
        <w:lastRenderedPageBreak/>
        <w:tab/>
        <w:t>(a)</w:t>
      </w:r>
      <w:r>
        <w:tab/>
      </w:r>
      <w:proofErr w:type="gramStart"/>
      <w:r>
        <w:t>subsections</w:t>
      </w:r>
      <w:proofErr w:type="gramEnd"/>
      <w:r>
        <w:t xml:space="preserve"> 10ACA(7A) and 10ADA(8A) apply to the items of the general medical services table listed in column 1 of the table below; and</w:t>
      </w:r>
    </w:p>
    <w:p w14:paraId="71FEAD5E" w14:textId="77777777" w:rsidR="00A86F83" w:rsidRDefault="00A86F83" w:rsidP="00A86F83">
      <w:pPr>
        <w:pStyle w:val="P1"/>
      </w:pPr>
      <w:r>
        <w:tab/>
        <w:t>(b)</w:t>
      </w:r>
      <w:r>
        <w:tab/>
      </w:r>
      <w:proofErr w:type="gramStart"/>
      <w:r>
        <w:t>the</w:t>
      </w:r>
      <w:proofErr w:type="gramEnd"/>
      <w:r>
        <w:t xml:space="preserve"> maximum increases for these items are listed in column 2.</w:t>
      </w:r>
    </w:p>
    <w:p w14:paraId="71FEAD5F" w14:textId="77777777" w:rsidR="00A86F83" w:rsidRPr="00A719FB" w:rsidRDefault="00A86F83" w:rsidP="00A86F83">
      <w:pPr>
        <w:rPr>
          <w:sz w:val="16"/>
          <w:szCs w:val="16"/>
        </w:rPr>
      </w:pPr>
    </w:p>
    <w:tbl>
      <w:tblPr>
        <w:tblW w:w="4667" w:type="dxa"/>
        <w:tblInd w:w="1449" w:type="dxa"/>
        <w:tblLook w:val="0000" w:firstRow="0" w:lastRow="0" w:firstColumn="0" w:lastColumn="0" w:noHBand="0" w:noVBand="0"/>
      </w:tblPr>
      <w:tblGrid>
        <w:gridCol w:w="2311"/>
        <w:gridCol w:w="2356"/>
      </w:tblGrid>
      <w:tr w:rsidR="00A86F83" w:rsidRPr="00243F93" w14:paraId="71FEAD62" w14:textId="77777777" w:rsidTr="00D51A98">
        <w:trPr>
          <w:trHeight w:val="270"/>
          <w:tblHeader/>
        </w:trPr>
        <w:tc>
          <w:tcPr>
            <w:tcW w:w="23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FEAD60" w14:textId="77777777" w:rsidR="00A86F83" w:rsidRDefault="00A86F83" w:rsidP="00D51A98">
            <w:pPr>
              <w:pStyle w:val="TableColHead"/>
              <w:ind w:left="819"/>
            </w:pPr>
            <w:r w:rsidRPr="00243F93">
              <w:t>Item</w:t>
            </w:r>
          </w:p>
        </w:tc>
        <w:tc>
          <w:tcPr>
            <w:tcW w:w="2356" w:type="dxa"/>
            <w:tcBorders>
              <w:top w:val="single" w:sz="4" w:space="0" w:color="auto"/>
              <w:left w:val="nil"/>
              <w:bottom w:val="single" w:sz="4" w:space="0" w:color="auto"/>
              <w:right w:val="single" w:sz="4" w:space="0" w:color="auto"/>
            </w:tcBorders>
            <w:shd w:val="clear" w:color="auto" w:fill="auto"/>
            <w:noWrap/>
            <w:vAlign w:val="bottom"/>
          </w:tcPr>
          <w:p w14:paraId="71FEAD61" w14:textId="77777777" w:rsidR="00A86F83" w:rsidRDefault="00A86F83" w:rsidP="00D51A98">
            <w:pPr>
              <w:pStyle w:val="TableColHead"/>
              <w:jc w:val="center"/>
            </w:pPr>
            <w:r w:rsidRPr="00243F93">
              <w:t>Maximum increase ($)</w:t>
            </w:r>
          </w:p>
        </w:tc>
      </w:tr>
      <w:tr w:rsidR="00A86F83" w:rsidRPr="00243F93" w14:paraId="71FEAD65" w14:textId="77777777" w:rsidTr="00D51A98">
        <w:trPr>
          <w:trHeight w:val="300"/>
        </w:trPr>
        <w:tc>
          <w:tcPr>
            <w:tcW w:w="2311" w:type="dxa"/>
            <w:tcBorders>
              <w:top w:val="nil"/>
              <w:left w:val="single" w:sz="4" w:space="0" w:color="auto"/>
              <w:bottom w:val="single" w:sz="4" w:space="0" w:color="auto"/>
              <w:right w:val="single" w:sz="4" w:space="0" w:color="auto"/>
            </w:tcBorders>
            <w:shd w:val="clear" w:color="auto" w:fill="auto"/>
            <w:vAlign w:val="bottom"/>
          </w:tcPr>
          <w:p w14:paraId="71FEAD63" w14:textId="77777777" w:rsidR="00A86F83" w:rsidRPr="00607FB9" w:rsidRDefault="00A86F83" w:rsidP="00D51A98">
            <w:pPr>
              <w:pStyle w:val="TableText"/>
              <w:ind w:left="252" w:right="850"/>
              <w:jc w:val="right"/>
              <w:rPr>
                <w:szCs w:val="22"/>
              </w:rPr>
            </w:pPr>
            <w:r w:rsidRPr="00607FB9">
              <w:rPr>
                <w:szCs w:val="22"/>
              </w:rPr>
              <w:t>13200</w:t>
            </w:r>
          </w:p>
        </w:tc>
        <w:tc>
          <w:tcPr>
            <w:tcW w:w="2356" w:type="dxa"/>
            <w:tcBorders>
              <w:top w:val="nil"/>
              <w:left w:val="nil"/>
              <w:bottom w:val="single" w:sz="4" w:space="0" w:color="auto"/>
              <w:right w:val="single" w:sz="4" w:space="0" w:color="auto"/>
            </w:tcBorders>
            <w:shd w:val="clear" w:color="auto" w:fill="auto"/>
            <w:noWrap/>
            <w:vAlign w:val="bottom"/>
          </w:tcPr>
          <w:p w14:paraId="71FEAD64" w14:textId="77777777" w:rsidR="00A86F83" w:rsidRPr="00607FB9" w:rsidRDefault="00A86F83" w:rsidP="00D51A98">
            <w:pPr>
              <w:pStyle w:val="TableText"/>
              <w:tabs>
                <w:tab w:val="left" w:pos="1550"/>
              </w:tabs>
              <w:ind w:right="579"/>
              <w:jc w:val="right"/>
              <w:rPr>
                <w:szCs w:val="22"/>
              </w:rPr>
            </w:pPr>
            <w:r w:rsidRPr="00607FB9">
              <w:rPr>
                <w:szCs w:val="22"/>
              </w:rPr>
              <w:t>1 675.50</w:t>
            </w:r>
          </w:p>
        </w:tc>
      </w:tr>
      <w:tr w:rsidR="00A86F83" w:rsidRPr="00243F93" w14:paraId="71FEAD68" w14:textId="77777777" w:rsidTr="00D51A98">
        <w:trPr>
          <w:trHeight w:val="300"/>
        </w:trPr>
        <w:tc>
          <w:tcPr>
            <w:tcW w:w="2311" w:type="dxa"/>
            <w:tcBorders>
              <w:top w:val="nil"/>
              <w:left w:val="single" w:sz="4" w:space="0" w:color="auto"/>
              <w:bottom w:val="single" w:sz="4" w:space="0" w:color="auto"/>
              <w:right w:val="single" w:sz="4" w:space="0" w:color="auto"/>
            </w:tcBorders>
            <w:shd w:val="clear" w:color="auto" w:fill="auto"/>
            <w:vAlign w:val="bottom"/>
          </w:tcPr>
          <w:p w14:paraId="71FEAD66" w14:textId="77777777" w:rsidR="00A86F83" w:rsidRPr="00607FB9" w:rsidRDefault="00A86F83" w:rsidP="00D51A98">
            <w:pPr>
              <w:pStyle w:val="TableText"/>
              <w:ind w:left="252" w:right="850"/>
              <w:jc w:val="right"/>
              <w:rPr>
                <w:szCs w:val="22"/>
              </w:rPr>
            </w:pPr>
            <w:r w:rsidRPr="00607FB9">
              <w:rPr>
                <w:szCs w:val="22"/>
              </w:rPr>
              <w:t>13201</w:t>
            </w:r>
          </w:p>
        </w:tc>
        <w:tc>
          <w:tcPr>
            <w:tcW w:w="2356" w:type="dxa"/>
            <w:tcBorders>
              <w:top w:val="nil"/>
              <w:left w:val="nil"/>
              <w:bottom w:val="single" w:sz="4" w:space="0" w:color="auto"/>
              <w:right w:val="single" w:sz="4" w:space="0" w:color="auto"/>
            </w:tcBorders>
            <w:shd w:val="clear" w:color="auto" w:fill="auto"/>
            <w:noWrap/>
            <w:vAlign w:val="bottom"/>
          </w:tcPr>
          <w:p w14:paraId="71FEAD67" w14:textId="77777777" w:rsidR="00A86F83" w:rsidRPr="00607FB9" w:rsidRDefault="00A86F83" w:rsidP="00607FB9">
            <w:pPr>
              <w:keepNext/>
              <w:keepLines/>
              <w:ind w:left="68"/>
              <w:jc w:val="center"/>
              <w:rPr>
                <w:sz w:val="22"/>
                <w:szCs w:val="22"/>
              </w:rPr>
            </w:pPr>
            <w:r w:rsidRPr="00607FB9">
              <w:rPr>
                <w:sz w:val="22"/>
                <w:szCs w:val="22"/>
              </w:rPr>
              <w:t>2 432.15</w:t>
            </w:r>
          </w:p>
        </w:tc>
      </w:tr>
      <w:tr w:rsidR="00A86F83" w:rsidRPr="00865B01" w14:paraId="71FEAD6B" w14:textId="77777777" w:rsidTr="00D51A98">
        <w:trPr>
          <w:trHeight w:val="300"/>
        </w:trPr>
        <w:tc>
          <w:tcPr>
            <w:tcW w:w="2311" w:type="dxa"/>
            <w:tcBorders>
              <w:top w:val="nil"/>
              <w:left w:val="single" w:sz="4" w:space="0" w:color="auto"/>
              <w:bottom w:val="single" w:sz="4" w:space="0" w:color="auto"/>
              <w:right w:val="single" w:sz="4" w:space="0" w:color="auto"/>
            </w:tcBorders>
            <w:shd w:val="clear" w:color="auto" w:fill="auto"/>
            <w:vAlign w:val="bottom"/>
          </w:tcPr>
          <w:p w14:paraId="71FEAD69" w14:textId="77777777" w:rsidR="00A86F83" w:rsidRPr="00607FB9" w:rsidRDefault="00A86F83" w:rsidP="00D51A98">
            <w:pPr>
              <w:pStyle w:val="TableText"/>
              <w:ind w:left="252" w:right="850"/>
              <w:jc w:val="right"/>
              <w:rPr>
                <w:szCs w:val="22"/>
              </w:rPr>
            </w:pPr>
            <w:r w:rsidRPr="00607FB9">
              <w:rPr>
                <w:szCs w:val="22"/>
              </w:rPr>
              <w:t>13202</w:t>
            </w:r>
          </w:p>
        </w:tc>
        <w:tc>
          <w:tcPr>
            <w:tcW w:w="2356" w:type="dxa"/>
            <w:tcBorders>
              <w:top w:val="nil"/>
              <w:left w:val="nil"/>
              <w:bottom w:val="single" w:sz="4" w:space="0" w:color="auto"/>
              <w:right w:val="single" w:sz="4" w:space="0" w:color="auto"/>
            </w:tcBorders>
            <w:shd w:val="clear" w:color="auto" w:fill="auto"/>
            <w:noWrap/>
            <w:vAlign w:val="bottom"/>
          </w:tcPr>
          <w:p w14:paraId="71FEAD6A" w14:textId="77777777" w:rsidR="00A86F83" w:rsidRPr="00607FB9" w:rsidRDefault="00A86F83" w:rsidP="00607FB9">
            <w:pPr>
              <w:keepNext/>
              <w:keepLines/>
              <w:ind w:left="68"/>
              <w:jc w:val="center"/>
              <w:rPr>
                <w:sz w:val="22"/>
                <w:szCs w:val="22"/>
              </w:rPr>
            </w:pPr>
            <w:r w:rsidRPr="00607FB9">
              <w:rPr>
                <w:sz w:val="22"/>
                <w:szCs w:val="22"/>
              </w:rPr>
              <w:t>64.95</w:t>
            </w:r>
          </w:p>
        </w:tc>
      </w:tr>
      <w:tr w:rsidR="00A86F83" w:rsidRPr="00243F93" w14:paraId="71FEAD6E" w14:textId="77777777" w:rsidTr="00D51A98">
        <w:trPr>
          <w:trHeight w:val="300"/>
        </w:trPr>
        <w:tc>
          <w:tcPr>
            <w:tcW w:w="2311" w:type="dxa"/>
            <w:tcBorders>
              <w:top w:val="nil"/>
              <w:left w:val="single" w:sz="4" w:space="0" w:color="auto"/>
              <w:bottom w:val="single" w:sz="4" w:space="0" w:color="auto"/>
              <w:right w:val="single" w:sz="4" w:space="0" w:color="auto"/>
            </w:tcBorders>
            <w:shd w:val="clear" w:color="auto" w:fill="auto"/>
            <w:vAlign w:val="bottom"/>
          </w:tcPr>
          <w:p w14:paraId="71FEAD6C" w14:textId="77777777" w:rsidR="00A86F83" w:rsidRPr="00607FB9" w:rsidRDefault="00A86F83" w:rsidP="00D51A98">
            <w:pPr>
              <w:pStyle w:val="TableText"/>
              <w:ind w:left="252" w:right="850"/>
              <w:jc w:val="right"/>
              <w:rPr>
                <w:szCs w:val="22"/>
              </w:rPr>
            </w:pPr>
            <w:r w:rsidRPr="00607FB9">
              <w:rPr>
                <w:szCs w:val="22"/>
              </w:rPr>
              <w:t>13203</w:t>
            </w:r>
          </w:p>
        </w:tc>
        <w:tc>
          <w:tcPr>
            <w:tcW w:w="2356" w:type="dxa"/>
            <w:tcBorders>
              <w:top w:val="nil"/>
              <w:left w:val="nil"/>
              <w:bottom w:val="single" w:sz="4" w:space="0" w:color="auto"/>
              <w:right w:val="single" w:sz="4" w:space="0" w:color="auto"/>
            </w:tcBorders>
            <w:shd w:val="clear" w:color="auto" w:fill="auto"/>
            <w:noWrap/>
            <w:vAlign w:val="bottom"/>
          </w:tcPr>
          <w:p w14:paraId="71FEAD6D" w14:textId="77777777" w:rsidR="00A86F83" w:rsidRPr="00607FB9" w:rsidRDefault="00A86F83" w:rsidP="00607FB9">
            <w:pPr>
              <w:keepNext/>
              <w:keepLines/>
              <w:ind w:left="68"/>
              <w:jc w:val="center"/>
              <w:rPr>
                <w:sz w:val="22"/>
                <w:szCs w:val="22"/>
              </w:rPr>
            </w:pPr>
            <w:r w:rsidRPr="00607FB9">
              <w:rPr>
                <w:sz w:val="22"/>
                <w:szCs w:val="22"/>
              </w:rPr>
              <w:t>108.15</w:t>
            </w:r>
          </w:p>
        </w:tc>
      </w:tr>
      <w:tr w:rsidR="00A86F83" w:rsidRPr="00243F93" w14:paraId="71FEAD71" w14:textId="77777777" w:rsidTr="00D51A98">
        <w:trPr>
          <w:trHeight w:val="315"/>
        </w:trPr>
        <w:tc>
          <w:tcPr>
            <w:tcW w:w="2311" w:type="dxa"/>
            <w:tcBorders>
              <w:top w:val="nil"/>
              <w:left w:val="single" w:sz="4" w:space="0" w:color="auto"/>
              <w:bottom w:val="single" w:sz="4" w:space="0" w:color="auto"/>
              <w:right w:val="single" w:sz="4" w:space="0" w:color="auto"/>
            </w:tcBorders>
            <w:shd w:val="clear" w:color="auto" w:fill="auto"/>
            <w:vAlign w:val="bottom"/>
          </w:tcPr>
          <w:p w14:paraId="71FEAD6F" w14:textId="77777777" w:rsidR="00A86F83" w:rsidRPr="00607FB9" w:rsidRDefault="00A86F83" w:rsidP="00D51A98">
            <w:pPr>
              <w:pStyle w:val="TableText"/>
              <w:ind w:left="252" w:right="850"/>
              <w:jc w:val="right"/>
              <w:rPr>
                <w:szCs w:val="22"/>
              </w:rPr>
            </w:pPr>
            <w:r w:rsidRPr="00607FB9">
              <w:rPr>
                <w:szCs w:val="22"/>
              </w:rPr>
              <w:t>13206</w:t>
            </w:r>
          </w:p>
        </w:tc>
        <w:tc>
          <w:tcPr>
            <w:tcW w:w="2356" w:type="dxa"/>
            <w:tcBorders>
              <w:top w:val="nil"/>
              <w:left w:val="nil"/>
              <w:bottom w:val="single" w:sz="4" w:space="0" w:color="auto"/>
              <w:right w:val="single" w:sz="4" w:space="0" w:color="auto"/>
            </w:tcBorders>
            <w:shd w:val="clear" w:color="auto" w:fill="auto"/>
            <w:noWrap/>
            <w:vAlign w:val="bottom"/>
          </w:tcPr>
          <w:p w14:paraId="71FEAD70" w14:textId="77777777" w:rsidR="00A86F83" w:rsidRPr="00607FB9" w:rsidRDefault="00A86F83" w:rsidP="00607FB9">
            <w:pPr>
              <w:keepNext/>
              <w:keepLines/>
              <w:ind w:left="68"/>
              <w:jc w:val="center"/>
              <w:rPr>
                <w:sz w:val="22"/>
                <w:szCs w:val="22"/>
              </w:rPr>
            </w:pPr>
            <w:r w:rsidRPr="00607FB9">
              <w:rPr>
                <w:sz w:val="22"/>
                <w:szCs w:val="22"/>
              </w:rPr>
              <w:t>64.95</w:t>
            </w:r>
          </w:p>
        </w:tc>
      </w:tr>
      <w:tr w:rsidR="00A86F83" w:rsidRPr="00243F93" w14:paraId="71FEAD74" w14:textId="77777777" w:rsidTr="00D51A98">
        <w:trPr>
          <w:trHeight w:val="300"/>
        </w:trPr>
        <w:tc>
          <w:tcPr>
            <w:tcW w:w="2311" w:type="dxa"/>
            <w:tcBorders>
              <w:top w:val="nil"/>
              <w:left w:val="single" w:sz="4" w:space="0" w:color="auto"/>
              <w:bottom w:val="single" w:sz="4" w:space="0" w:color="auto"/>
              <w:right w:val="single" w:sz="4" w:space="0" w:color="auto"/>
            </w:tcBorders>
            <w:shd w:val="clear" w:color="auto" w:fill="auto"/>
            <w:vAlign w:val="bottom"/>
          </w:tcPr>
          <w:p w14:paraId="71FEAD72" w14:textId="77777777" w:rsidR="00A86F83" w:rsidRPr="00607FB9" w:rsidRDefault="00A86F83" w:rsidP="00D51A98">
            <w:pPr>
              <w:pStyle w:val="TableText"/>
              <w:ind w:left="252" w:right="850"/>
              <w:jc w:val="right"/>
              <w:rPr>
                <w:szCs w:val="22"/>
              </w:rPr>
            </w:pPr>
            <w:r w:rsidRPr="00607FB9">
              <w:rPr>
                <w:szCs w:val="22"/>
              </w:rPr>
              <w:t>13209</w:t>
            </w:r>
          </w:p>
        </w:tc>
        <w:tc>
          <w:tcPr>
            <w:tcW w:w="2356" w:type="dxa"/>
            <w:tcBorders>
              <w:top w:val="nil"/>
              <w:left w:val="nil"/>
              <w:bottom w:val="single" w:sz="4" w:space="0" w:color="auto"/>
              <w:right w:val="single" w:sz="4" w:space="0" w:color="auto"/>
            </w:tcBorders>
            <w:shd w:val="clear" w:color="auto" w:fill="auto"/>
            <w:noWrap/>
            <w:vAlign w:val="bottom"/>
          </w:tcPr>
          <w:p w14:paraId="71FEAD73" w14:textId="77777777" w:rsidR="00A86F83" w:rsidRPr="00607FB9" w:rsidRDefault="00A86F83" w:rsidP="00607FB9">
            <w:pPr>
              <w:keepNext/>
              <w:keepLines/>
              <w:ind w:left="68"/>
              <w:jc w:val="center"/>
              <w:rPr>
                <w:sz w:val="22"/>
                <w:szCs w:val="22"/>
              </w:rPr>
            </w:pPr>
            <w:r w:rsidRPr="00607FB9">
              <w:rPr>
                <w:sz w:val="22"/>
                <w:szCs w:val="22"/>
              </w:rPr>
              <w:t>10.90</w:t>
            </w:r>
          </w:p>
        </w:tc>
      </w:tr>
      <w:tr w:rsidR="00A86F83" w:rsidRPr="00865B01" w14:paraId="71FEAD77" w14:textId="77777777" w:rsidTr="00D51A98">
        <w:trPr>
          <w:trHeight w:val="300"/>
        </w:trPr>
        <w:tc>
          <w:tcPr>
            <w:tcW w:w="2311" w:type="dxa"/>
            <w:tcBorders>
              <w:top w:val="single" w:sz="4" w:space="0" w:color="auto"/>
              <w:left w:val="single" w:sz="4" w:space="0" w:color="auto"/>
              <w:bottom w:val="single" w:sz="4" w:space="0" w:color="auto"/>
              <w:right w:val="single" w:sz="4" w:space="0" w:color="auto"/>
            </w:tcBorders>
            <w:shd w:val="clear" w:color="auto" w:fill="FFFFFF"/>
            <w:vAlign w:val="bottom"/>
          </w:tcPr>
          <w:p w14:paraId="71FEAD75" w14:textId="77777777" w:rsidR="00A86F83" w:rsidRPr="00607FB9" w:rsidRDefault="00A86F83" w:rsidP="00D51A98">
            <w:pPr>
              <w:pStyle w:val="TableText"/>
              <w:ind w:left="252" w:right="850"/>
              <w:jc w:val="right"/>
              <w:rPr>
                <w:szCs w:val="22"/>
              </w:rPr>
            </w:pPr>
            <w:r w:rsidRPr="00607FB9">
              <w:rPr>
                <w:szCs w:val="22"/>
              </w:rPr>
              <w:t>13210</w:t>
            </w:r>
          </w:p>
        </w:tc>
        <w:tc>
          <w:tcPr>
            <w:tcW w:w="2356" w:type="dxa"/>
            <w:tcBorders>
              <w:top w:val="single" w:sz="4" w:space="0" w:color="auto"/>
              <w:left w:val="nil"/>
              <w:bottom w:val="single" w:sz="4" w:space="0" w:color="auto"/>
              <w:right w:val="single" w:sz="4" w:space="0" w:color="auto"/>
            </w:tcBorders>
            <w:shd w:val="clear" w:color="auto" w:fill="FFFFFF"/>
            <w:noWrap/>
            <w:vAlign w:val="bottom"/>
          </w:tcPr>
          <w:p w14:paraId="71FEAD76" w14:textId="77777777" w:rsidR="00A86F83" w:rsidRPr="00607FB9" w:rsidRDefault="00A86F83" w:rsidP="00607FB9">
            <w:pPr>
              <w:keepNext/>
              <w:keepLines/>
              <w:ind w:left="68"/>
              <w:jc w:val="center"/>
              <w:rPr>
                <w:sz w:val="22"/>
                <w:szCs w:val="22"/>
              </w:rPr>
            </w:pPr>
            <w:r w:rsidRPr="00607FB9">
              <w:rPr>
                <w:sz w:val="22"/>
                <w:szCs w:val="22"/>
              </w:rPr>
              <w:t>5.30</w:t>
            </w:r>
          </w:p>
        </w:tc>
      </w:tr>
      <w:tr w:rsidR="00A86F83" w:rsidRPr="00243F93" w14:paraId="71FEAD7A" w14:textId="77777777" w:rsidTr="00D51A98">
        <w:trPr>
          <w:trHeight w:val="300"/>
        </w:trPr>
        <w:tc>
          <w:tcPr>
            <w:tcW w:w="2311" w:type="dxa"/>
            <w:tcBorders>
              <w:top w:val="nil"/>
              <w:left w:val="single" w:sz="4" w:space="0" w:color="auto"/>
              <w:bottom w:val="single" w:sz="4" w:space="0" w:color="auto"/>
              <w:right w:val="single" w:sz="4" w:space="0" w:color="auto"/>
            </w:tcBorders>
            <w:shd w:val="clear" w:color="auto" w:fill="auto"/>
            <w:vAlign w:val="bottom"/>
          </w:tcPr>
          <w:p w14:paraId="71FEAD78" w14:textId="77777777" w:rsidR="00A86F83" w:rsidRPr="00607FB9" w:rsidRDefault="00A86F83" w:rsidP="00D51A98">
            <w:pPr>
              <w:pStyle w:val="TableText"/>
              <w:ind w:left="252" w:right="850"/>
              <w:jc w:val="right"/>
              <w:rPr>
                <w:szCs w:val="22"/>
              </w:rPr>
            </w:pPr>
            <w:r w:rsidRPr="00607FB9">
              <w:rPr>
                <w:szCs w:val="22"/>
              </w:rPr>
              <w:t>13212</w:t>
            </w:r>
          </w:p>
        </w:tc>
        <w:tc>
          <w:tcPr>
            <w:tcW w:w="2356" w:type="dxa"/>
            <w:tcBorders>
              <w:top w:val="nil"/>
              <w:left w:val="nil"/>
              <w:bottom w:val="single" w:sz="4" w:space="0" w:color="auto"/>
              <w:right w:val="single" w:sz="4" w:space="0" w:color="auto"/>
            </w:tcBorders>
            <w:shd w:val="clear" w:color="auto" w:fill="auto"/>
            <w:noWrap/>
            <w:vAlign w:val="bottom"/>
          </w:tcPr>
          <w:p w14:paraId="71FEAD79" w14:textId="77777777" w:rsidR="00A86F83" w:rsidRPr="00607FB9" w:rsidRDefault="00A86F83" w:rsidP="00607FB9">
            <w:pPr>
              <w:keepNext/>
              <w:keepLines/>
              <w:ind w:left="68"/>
              <w:jc w:val="center"/>
              <w:rPr>
                <w:sz w:val="22"/>
                <w:szCs w:val="22"/>
              </w:rPr>
            </w:pPr>
            <w:r w:rsidRPr="00607FB9">
              <w:rPr>
                <w:sz w:val="22"/>
                <w:szCs w:val="22"/>
              </w:rPr>
              <w:t>70.35</w:t>
            </w:r>
          </w:p>
        </w:tc>
      </w:tr>
      <w:tr w:rsidR="00A86F83" w:rsidRPr="00243F93" w14:paraId="71FEAD7D" w14:textId="77777777" w:rsidTr="00D51A98">
        <w:trPr>
          <w:trHeight w:val="300"/>
        </w:trPr>
        <w:tc>
          <w:tcPr>
            <w:tcW w:w="2311" w:type="dxa"/>
            <w:tcBorders>
              <w:top w:val="nil"/>
              <w:left w:val="single" w:sz="4" w:space="0" w:color="auto"/>
              <w:bottom w:val="single" w:sz="4" w:space="0" w:color="auto"/>
              <w:right w:val="single" w:sz="4" w:space="0" w:color="auto"/>
            </w:tcBorders>
            <w:shd w:val="clear" w:color="auto" w:fill="auto"/>
            <w:vAlign w:val="bottom"/>
          </w:tcPr>
          <w:p w14:paraId="71FEAD7B" w14:textId="77777777" w:rsidR="00A86F83" w:rsidRPr="00607FB9" w:rsidRDefault="00A86F83" w:rsidP="00D51A98">
            <w:pPr>
              <w:pStyle w:val="TableText"/>
              <w:ind w:left="252" w:right="850"/>
              <w:jc w:val="right"/>
              <w:rPr>
                <w:szCs w:val="22"/>
              </w:rPr>
            </w:pPr>
            <w:r w:rsidRPr="00607FB9">
              <w:rPr>
                <w:szCs w:val="22"/>
              </w:rPr>
              <w:t>13215</w:t>
            </w:r>
          </w:p>
        </w:tc>
        <w:tc>
          <w:tcPr>
            <w:tcW w:w="2356" w:type="dxa"/>
            <w:tcBorders>
              <w:top w:val="nil"/>
              <w:left w:val="nil"/>
              <w:bottom w:val="single" w:sz="4" w:space="0" w:color="auto"/>
              <w:right w:val="single" w:sz="4" w:space="0" w:color="auto"/>
            </w:tcBorders>
            <w:shd w:val="clear" w:color="auto" w:fill="auto"/>
            <w:noWrap/>
            <w:vAlign w:val="bottom"/>
          </w:tcPr>
          <w:p w14:paraId="71FEAD7C" w14:textId="77777777" w:rsidR="00A86F83" w:rsidRPr="00607FB9" w:rsidRDefault="00A86F83" w:rsidP="00607FB9">
            <w:pPr>
              <w:keepNext/>
              <w:keepLines/>
              <w:ind w:left="68"/>
              <w:jc w:val="center"/>
              <w:rPr>
                <w:sz w:val="22"/>
                <w:szCs w:val="22"/>
              </w:rPr>
            </w:pPr>
            <w:r w:rsidRPr="00607FB9">
              <w:rPr>
                <w:sz w:val="22"/>
                <w:szCs w:val="22"/>
              </w:rPr>
              <w:t>48.70</w:t>
            </w:r>
          </w:p>
        </w:tc>
      </w:tr>
      <w:tr w:rsidR="00A86F83" w:rsidRPr="00243F93" w14:paraId="71FEAD80" w14:textId="77777777" w:rsidTr="00D51A98">
        <w:trPr>
          <w:trHeight w:val="300"/>
        </w:trPr>
        <w:tc>
          <w:tcPr>
            <w:tcW w:w="2311" w:type="dxa"/>
            <w:tcBorders>
              <w:top w:val="nil"/>
              <w:left w:val="single" w:sz="4" w:space="0" w:color="auto"/>
              <w:bottom w:val="single" w:sz="4" w:space="0" w:color="auto"/>
              <w:right w:val="single" w:sz="4" w:space="0" w:color="auto"/>
            </w:tcBorders>
            <w:shd w:val="clear" w:color="auto" w:fill="auto"/>
            <w:vAlign w:val="bottom"/>
          </w:tcPr>
          <w:p w14:paraId="71FEAD7E" w14:textId="77777777" w:rsidR="00A86F83" w:rsidRPr="00607FB9" w:rsidRDefault="00A86F83" w:rsidP="00D51A98">
            <w:pPr>
              <w:pStyle w:val="TableText"/>
              <w:ind w:left="252" w:right="850"/>
              <w:jc w:val="right"/>
              <w:rPr>
                <w:szCs w:val="22"/>
              </w:rPr>
            </w:pPr>
            <w:r w:rsidRPr="00607FB9">
              <w:rPr>
                <w:szCs w:val="22"/>
              </w:rPr>
              <w:t>13218</w:t>
            </w:r>
          </w:p>
        </w:tc>
        <w:tc>
          <w:tcPr>
            <w:tcW w:w="2356" w:type="dxa"/>
            <w:tcBorders>
              <w:top w:val="nil"/>
              <w:left w:val="nil"/>
              <w:bottom w:val="single" w:sz="4" w:space="0" w:color="auto"/>
              <w:right w:val="single" w:sz="4" w:space="0" w:color="auto"/>
            </w:tcBorders>
            <w:shd w:val="clear" w:color="auto" w:fill="auto"/>
            <w:noWrap/>
            <w:vAlign w:val="bottom"/>
          </w:tcPr>
          <w:p w14:paraId="71FEAD7F" w14:textId="77777777" w:rsidR="00A86F83" w:rsidRPr="00607FB9" w:rsidRDefault="00A86F83" w:rsidP="00607FB9">
            <w:pPr>
              <w:keepNext/>
              <w:keepLines/>
              <w:ind w:left="68"/>
              <w:jc w:val="center"/>
              <w:rPr>
                <w:sz w:val="22"/>
                <w:szCs w:val="22"/>
              </w:rPr>
            </w:pPr>
            <w:r w:rsidRPr="00607FB9">
              <w:rPr>
                <w:sz w:val="22"/>
                <w:szCs w:val="22"/>
              </w:rPr>
              <w:t>702.65</w:t>
            </w:r>
          </w:p>
        </w:tc>
      </w:tr>
      <w:tr w:rsidR="00A86F83" w:rsidRPr="00243F93" w14:paraId="71FEAD83" w14:textId="77777777" w:rsidTr="00D51A98">
        <w:trPr>
          <w:trHeight w:val="300"/>
        </w:trPr>
        <w:tc>
          <w:tcPr>
            <w:tcW w:w="2311" w:type="dxa"/>
            <w:tcBorders>
              <w:top w:val="nil"/>
              <w:left w:val="single" w:sz="4" w:space="0" w:color="auto"/>
              <w:bottom w:val="single" w:sz="4" w:space="0" w:color="auto"/>
              <w:right w:val="single" w:sz="4" w:space="0" w:color="auto"/>
            </w:tcBorders>
            <w:shd w:val="clear" w:color="auto" w:fill="auto"/>
            <w:vAlign w:val="bottom"/>
          </w:tcPr>
          <w:p w14:paraId="71FEAD81" w14:textId="77777777" w:rsidR="00A86F83" w:rsidRPr="00607FB9" w:rsidRDefault="00A86F83" w:rsidP="00D51A98">
            <w:pPr>
              <w:pStyle w:val="TableText"/>
              <w:ind w:left="252" w:right="850"/>
              <w:jc w:val="right"/>
              <w:rPr>
                <w:szCs w:val="22"/>
              </w:rPr>
            </w:pPr>
            <w:r w:rsidRPr="00607FB9">
              <w:rPr>
                <w:szCs w:val="22"/>
              </w:rPr>
              <w:t>13221</w:t>
            </w:r>
          </w:p>
        </w:tc>
        <w:tc>
          <w:tcPr>
            <w:tcW w:w="2356" w:type="dxa"/>
            <w:tcBorders>
              <w:top w:val="nil"/>
              <w:left w:val="nil"/>
              <w:bottom w:val="single" w:sz="4" w:space="0" w:color="auto"/>
              <w:right w:val="single" w:sz="4" w:space="0" w:color="auto"/>
            </w:tcBorders>
            <w:shd w:val="clear" w:color="auto" w:fill="auto"/>
            <w:noWrap/>
            <w:vAlign w:val="bottom"/>
          </w:tcPr>
          <w:p w14:paraId="71FEAD82" w14:textId="77777777" w:rsidR="00A86F83" w:rsidRPr="00607FB9" w:rsidRDefault="00A86F83" w:rsidP="00607FB9">
            <w:pPr>
              <w:keepNext/>
              <w:keepLines/>
              <w:ind w:left="68"/>
              <w:jc w:val="center"/>
              <w:rPr>
                <w:sz w:val="22"/>
                <w:szCs w:val="22"/>
              </w:rPr>
            </w:pPr>
            <w:r w:rsidRPr="00607FB9">
              <w:rPr>
                <w:sz w:val="22"/>
                <w:szCs w:val="22"/>
              </w:rPr>
              <w:t>21.70</w:t>
            </w:r>
          </w:p>
        </w:tc>
      </w:tr>
      <w:tr w:rsidR="00A86F83" w:rsidRPr="00865B01" w14:paraId="71FEAD86" w14:textId="77777777" w:rsidTr="00D51A98">
        <w:trPr>
          <w:trHeight w:val="300"/>
        </w:trPr>
        <w:tc>
          <w:tcPr>
            <w:tcW w:w="2311" w:type="dxa"/>
            <w:tcBorders>
              <w:top w:val="nil"/>
              <w:left w:val="single" w:sz="4" w:space="0" w:color="auto"/>
              <w:bottom w:val="single" w:sz="4" w:space="0" w:color="auto"/>
              <w:right w:val="single" w:sz="4" w:space="0" w:color="auto"/>
            </w:tcBorders>
            <w:shd w:val="clear" w:color="auto" w:fill="auto"/>
            <w:vAlign w:val="bottom"/>
          </w:tcPr>
          <w:p w14:paraId="71FEAD84" w14:textId="77777777" w:rsidR="00A86F83" w:rsidRPr="00607FB9" w:rsidRDefault="00A86F83" w:rsidP="00D51A98">
            <w:pPr>
              <w:pStyle w:val="TableText"/>
              <w:ind w:left="252" w:right="850"/>
              <w:jc w:val="right"/>
              <w:rPr>
                <w:szCs w:val="22"/>
              </w:rPr>
            </w:pPr>
            <w:r w:rsidRPr="00607FB9">
              <w:rPr>
                <w:szCs w:val="22"/>
              </w:rPr>
              <w:t>13251</w:t>
            </w:r>
          </w:p>
        </w:tc>
        <w:tc>
          <w:tcPr>
            <w:tcW w:w="2356" w:type="dxa"/>
            <w:tcBorders>
              <w:top w:val="nil"/>
              <w:left w:val="nil"/>
              <w:bottom w:val="single" w:sz="4" w:space="0" w:color="auto"/>
              <w:right w:val="single" w:sz="4" w:space="0" w:color="auto"/>
            </w:tcBorders>
            <w:shd w:val="clear" w:color="auto" w:fill="auto"/>
            <w:noWrap/>
            <w:vAlign w:val="bottom"/>
          </w:tcPr>
          <w:p w14:paraId="71FEAD85" w14:textId="77777777" w:rsidR="00A86F83" w:rsidRPr="00607FB9" w:rsidRDefault="00A86F83" w:rsidP="00607FB9">
            <w:pPr>
              <w:keepNext/>
              <w:keepLines/>
              <w:ind w:left="68"/>
              <w:jc w:val="center"/>
              <w:rPr>
                <w:sz w:val="22"/>
                <w:szCs w:val="22"/>
              </w:rPr>
            </w:pPr>
            <w:r w:rsidRPr="00607FB9">
              <w:rPr>
                <w:sz w:val="22"/>
                <w:szCs w:val="22"/>
              </w:rPr>
              <w:t>108.15</w:t>
            </w:r>
          </w:p>
        </w:tc>
      </w:tr>
      <w:tr w:rsidR="00494507" w:rsidRPr="00865B01" w14:paraId="4E6F052E" w14:textId="77777777" w:rsidTr="00D51A98">
        <w:trPr>
          <w:trHeight w:val="300"/>
        </w:trPr>
        <w:tc>
          <w:tcPr>
            <w:tcW w:w="2311" w:type="dxa"/>
            <w:tcBorders>
              <w:top w:val="nil"/>
              <w:left w:val="single" w:sz="4" w:space="0" w:color="auto"/>
              <w:bottom w:val="single" w:sz="4" w:space="0" w:color="auto"/>
              <w:right w:val="single" w:sz="4" w:space="0" w:color="auto"/>
            </w:tcBorders>
            <w:shd w:val="clear" w:color="auto" w:fill="auto"/>
            <w:vAlign w:val="bottom"/>
          </w:tcPr>
          <w:p w14:paraId="496471D9" w14:textId="142691BA" w:rsidR="00494507" w:rsidRPr="00607FB9" w:rsidRDefault="00494507" w:rsidP="00D51A98">
            <w:pPr>
              <w:pStyle w:val="TableText"/>
              <w:ind w:left="252" w:right="850"/>
              <w:jc w:val="right"/>
              <w:rPr>
                <w:szCs w:val="22"/>
              </w:rPr>
            </w:pPr>
            <w:r>
              <w:rPr>
                <w:szCs w:val="22"/>
              </w:rPr>
              <w:t>13260</w:t>
            </w:r>
          </w:p>
        </w:tc>
        <w:tc>
          <w:tcPr>
            <w:tcW w:w="2356" w:type="dxa"/>
            <w:tcBorders>
              <w:top w:val="nil"/>
              <w:left w:val="nil"/>
              <w:bottom w:val="single" w:sz="4" w:space="0" w:color="auto"/>
              <w:right w:val="single" w:sz="4" w:space="0" w:color="auto"/>
            </w:tcBorders>
            <w:shd w:val="clear" w:color="auto" w:fill="auto"/>
            <w:noWrap/>
            <w:vAlign w:val="bottom"/>
          </w:tcPr>
          <w:p w14:paraId="2D707616" w14:textId="26B14225" w:rsidR="00494507" w:rsidRPr="00607FB9" w:rsidRDefault="00494507" w:rsidP="00607FB9">
            <w:pPr>
              <w:keepNext/>
              <w:keepLines/>
              <w:ind w:left="68"/>
              <w:jc w:val="center"/>
              <w:rPr>
                <w:sz w:val="22"/>
                <w:szCs w:val="22"/>
              </w:rPr>
            </w:pPr>
            <w:r>
              <w:rPr>
                <w:sz w:val="22"/>
                <w:szCs w:val="22"/>
              </w:rPr>
              <w:t>65 percent of the Schedule fee for the item</w:t>
            </w:r>
          </w:p>
        </w:tc>
      </w:tr>
      <w:tr w:rsidR="00A86F83" w:rsidRPr="00243F93" w14:paraId="71FEAD89" w14:textId="77777777" w:rsidTr="00D51A98">
        <w:trPr>
          <w:trHeight w:val="300"/>
        </w:trPr>
        <w:tc>
          <w:tcPr>
            <w:tcW w:w="2311" w:type="dxa"/>
            <w:tcBorders>
              <w:top w:val="single" w:sz="4" w:space="0" w:color="auto"/>
              <w:left w:val="single" w:sz="4" w:space="0" w:color="auto"/>
              <w:bottom w:val="single" w:sz="4" w:space="0" w:color="auto"/>
              <w:right w:val="single" w:sz="4" w:space="0" w:color="auto"/>
            </w:tcBorders>
            <w:shd w:val="clear" w:color="auto" w:fill="FFFFFF"/>
          </w:tcPr>
          <w:p w14:paraId="71FEAD87" w14:textId="77777777" w:rsidR="00A86F83" w:rsidRPr="00607FB9" w:rsidRDefault="00A86F83" w:rsidP="00D51A98">
            <w:pPr>
              <w:pStyle w:val="TableText"/>
              <w:keepNext/>
              <w:keepLines/>
              <w:ind w:left="252" w:right="850"/>
              <w:jc w:val="right"/>
              <w:rPr>
                <w:szCs w:val="22"/>
              </w:rPr>
            </w:pPr>
            <w:r w:rsidRPr="00607FB9">
              <w:rPr>
                <w:szCs w:val="22"/>
              </w:rPr>
              <w:t>14201</w:t>
            </w:r>
          </w:p>
        </w:tc>
        <w:tc>
          <w:tcPr>
            <w:tcW w:w="2356" w:type="dxa"/>
            <w:tcBorders>
              <w:top w:val="single" w:sz="4" w:space="0" w:color="auto"/>
              <w:left w:val="nil"/>
              <w:bottom w:val="single" w:sz="4" w:space="0" w:color="auto"/>
              <w:right w:val="single" w:sz="4" w:space="0" w:color="auto"/>
            </w:tcBorders>
            <w:shd w:val="clear" w:color="auto" w:fill="FFFFFF"/>
            <w:noWrap/>
            <w:vAlign w:val="bottom"/>
          </w:tcPr>
          <w:p w14:paraId="04DFFD14" w14:textId="77777777" w:rsidR="00A86F83" w:rsidRPr="00607FB9" w:rsidRDefault="00A86F83" w:rsidP="00D51A98">
            <w:pPr>
              <w:keepNext/>
              <w:keepLines/>
              <w:ind w:left="68"/>
              <w:jc w:val="center"/>
              <w:rPr>
                <w:bCs/>
                <w:sz w:val="22"/>
                <w:szCs w:val="22"/>
                <w:lang w:val="en-US"/>
              </w:rPr>
            </w:pPr>
            <w:r w:rsidRPr="00607FB9">
              <w:rPr>
                <w:bCs/>
                <w:sz w:val="22"/>
                <w:szCs w:val="22"/>
                <w:lang w:val="en-US"/>
              </w:rPr>
              <w:t>15 percent of the Schedule fee for the item</w:t>
            </w:r>
          </w:p>
          <w:p w14:paraId="71FEAD88" w14:textId="77777777" w:rsidR="003C27F1" w:rsidRPr="00607FB9" w:rsidRDefault="003C27F1" w:rsidP="00D51A98">
            <w:pPr>
              <w:keepNext/>
              <w:keepLines/>
              <w:ind w:left="68"/>
              <w:jc w:val="center"/>
              <w:rPr>
                <w:bCs/>
                <w:sz w:val="22"/>
                <w:szCs w:val="22"/>
                <w:lang w:val="en-US"/>
              </w:rPr>
            </w:pPr>
          </w:p>
        </w:tc>
      </w:tr>
      <w:tr w:rsidR="00A86F83" w:rsidRPr="00243F93" w14:paraId="71FEAD8C" w14:textId="77777777" w:rsidTr="00D51A98">
        <w:trPr>
          <w:trHeight w:val="300"/>
        </w:trPr>
        <w:tc>
          <w:tcPr>
            <w:tcW w:w="2311" w:type="dxa"/>
            <w:tcBorders>
              <w:top w:val="single" w:sz="4" w:space="0" w:color="auto"/>
              <w:left w:val="single" w:sz="4" w:space="0" w:color="auto"/>
              <w:bottom w:val="single" w:sz="4" w:space="0" w:color="auto"/>
              <w:right w:val="single" w:sz="4" w:space="0" w:color="auto"/>
            </w:tcBorders>
            <w:shd w:val="clear" w:color="auto" w:fill="FFFFFF"/>
          </w:tcPr>
          <w:p w14:paraId="71FEAD8A" w14:textId="77777777" w:rsidR="00A86F83" w:rsidRPr="00607FB9" w:rsidRDefault="00A86F83" w:rsidP="00D51A98">
            <w:pPr>
              <w:pStyle w:val="TableText"/>
              <w:ind w:left="252" w:right="850"/>
              <w:jc w:val="right"/>
              <w:rPr>
                <w:szCs w:val="22"/>
              </w:rPr>
            </w:pPr>
            <w:r w:rsidRPr="00607FB9">
              <w:rPr>
                <w:szCs w:val="22"/>
              </w:rPr>
              <w:t>14202</w:t>
            </w:r>
          </w:p>
        </w:tc>
        <w:tc>
          <w:tcPr>
            <w:tcW w:w="2356" w:type="dxa"/>
            <w:tcBorders>
              <w:top w:val="single" w:sz="4" w:space="0" w:color="auto"/>
              <w:left w:val="nil"/>
              <w:bottom w:val="single" w:sz="4" w:space="0" w:color="auto"/>
              <w:right w:val="single" w:sz="4" w:space="0" w:color="auto"/>
            </w:tcBorders>
            <w:shd w:val="clear" w:color="auto" w:fill="FFFFFF"/>
            <w:noWrap/>
            <w:vAlign w:val="bottom"/>
          </w:tcPr>
          <w:p w14:paraId="71FEAD8B" w14:textId="77777777" w:rsidR="00A86F83" w:rsidRPr="00607FB9" w:rsidRDefault="00A86F83" w:rsidP="00D51A98">
            <w:pPr>
              <w:keepNext/>
              <w:keepLines/>
              <w:ind w:left="68"/>
              <w:jc w:val="center"/>
              <w:rPr>
                <w:bCs/>
                <w:sz w:val="22"/>
                <w:szCs w:val="22"/>
                <w:lang w:val="en-US"/>
              </w:rPr>
            </w:pPr>
            <w:r w:rsidRPr="00607FB9">
              <w:rPr>
                <w:bCs/>
                <w:sz w:val="22"/>
                <w:szCs w:val="22"/>
                <w:lang w:val="en-US"/>
              </w:rPr>
              <w:t>15 percent of the Schedule fee for the item</w:t>
            </w:r>
          </w:p>
        </w:tc>
      </w:tr>
      <w:tr w:rsidR="00A4363F" w:rsidRPr="00243F93" w14:paraId="53676F9D" w14:textId="77777777" w:rsidTr="00D51A98">
        <w:trPr>
          <w:trHeight w:val="300"/>
        </w:trPr>
        <w:tc>
          <w:tcPr>
            <w:tcW w:w="2311" w:type="dxa"/>
            <w:tcBorders>
              <w:top w:val="single" w:sz="4" w:space="0" w:color="auto"/>
              <w:left w:val="single" w:sz="4" w:space="0" w:color="auto"/>
              <w:bottom w:val="single" w:sz="4" w:space="0" w:color="auto"/>
              <w:right w:val="single" w:sz="4" w:space="0" w:color="auto"/>
            </w:tcBorders>
            <w:shd w:val="clear" w:color="auto" w:fill="FFFFFF"/>
            <w:vAlign w:val="bottom"/>
          </w:tcPr>
          <w:p w14:paraId="482552CD" w14:textId="32AB553F" w:rsidR="00A4363F" w:rsidRPr="00607FB9" w:rsidRDefault="00A4363F" w:rsidP="00D51A98">
            <w:pPr>
              <w:pStyle w:val="TableText"/>
              <w:ind w:left="252" w:right="850"/>
              <w:jc w:val="right"/>
              <w:rPr>
                <w:szCs w:val="22"/>
              </w:rPr>
            </w:pPr>
            <w:r w:rsidRPr="00607FB9">
              <w:rPr>
                <w:szCs w:val="22"/>
              </w:rPr>
              <w:t>16399</w:t>
            </w:r>
          </w:p>
        </w:tc>
        <w:tc>
          <w:tcPr>
            <w:tcW w:w="2356" w:type="dxa"/>
            <w:tcBorders>
              <w:top w:val="single" w:sz="4" w:space="0" w:color="auto"/>
              <w:left w:val="nil"/>
              <w:bottom w:val="single" w:sz="4" w:space="0" w:color="auto"/>
              <w:right w:val="single" w:sz="4" w:space="0" w:color="auto"/>
            </w:tcBorders>
            <w:shd w:val="clear" w:color="auto" w:fill="FFFFFF"/>
            <w:noWrap/>
            <w:vAlign w:val="bottom"/>
          </w:tcPr>
          <w:p w14:paraId="5AE662C1" w14:textId="71F22055" w:rsidR="00A4363F" w:rsidRPr="00607FB9" w:rsidRDefault="00A4363F" w:rsidP="00A4363F">
            <w:pPr>
              <w:keepNext/>
              <w:keepLines/>
              <w:ind w:left="68"/>
              <w:jc w:val="center"/>
              <w:rPr>
                <w:bCs/>
                <w:sz w:val="22"/>
                <w:szCs w:val="22"/>
                <w:lang w:val="en-US"/>
              </w:rPr>
            </w:pPr>
            <w:r w:rsidRPr="00607FB9">
              <w:rPr>
                <w:sz w:val="22"/>
                <w:szCs w:val="22"/>
              </w:rPr>
              <w:t>24.10</w:t>
            </w:r>
          </w:p>
        </w:tc>
      </w:tr>
      <w:tr w:rsidR="00A4363F" w:rsidRPr="007865EB" w14:paraId="71FEAD8F" w14:textId="77777777" w:rsidTr="00D51A98">
        <w:trPr>
          <w:trHeight w:val="300"/>
        </w:trPr>
        <w:tc>
          <w:tcPr>
            <w:tcW w:w="2311" w:type="dxa"/>
            <w:tcBorders>
              <w:top w:val="nil"/>
              <w:left w:val="single" w:sz="4" w:space="0" w:color="auto"/>
              <w:bottom w:val="single" w:sz="4" w:space="0" w:color="auto"/>
              <w:right w:val="single" w:sz="4" w:space="0" w:color="auto"/>
            </w:tcBorders>
            <w:shd w:val="clear" w:color="auto" w:fill="auto"/>
            <w:vAlign w:val="bottom"/>
          </w:tcPr>
          <w:p w14:paraId="71FEAD8D" w14:textId="5F385488" w:rsidR="00A4363F" w:rsidRPr="00607FB9" w:rsidRDefault="00A4363F" w:rsidP="00D51A98">
            <w:pPr>
              <w:pStyle w:val="TableText"/>
              <w:ind w:left="252" w:right="850"/>
              <w:jc w:val="right"/>
              <w:rPr>
                <w:szCs w:val="22"/>
              </w:rPr>
            </w:pPr>
            <w:r w:rsidRPr="00607FB9">
              <w:rPr>
                <w:szCs w:val="22"/>
              </w:rPr>
              <w:t>16400</w:t>
            </w:r>
          </w:p>
        </w:tc>
        <w:tc>
          <w:tcPr>
            <w:tcW w:w="2356" w:type="dxa"/>
            <w:tcBorders>
              <w:top w:val="nil"/>
              <w:left w:val="nil"/>
              <w:bottom w:val="single" w:sz="4" w:space="0" w:color="auto"/>
              <w:right w:val="single" w:sz="4" w:space="0" w:color="auto"/>
            </w:tcBorders>
            <w:shd w:val="clear" w:color="auto" w:fill="auto"/>
            <w:noWrap/>
            <w:vAlign w:val="bottom"/>
          </w:tcPr>
          <w:p w14:paraId="71FEAD8E" w14:textId="6B64D755" w:rsidR="00A4363F" w:rsidRPr="00607FB9" w:rsidRDefault="00A4363F" w:rsidP="00A4363F">
            <w:pPr>
              <w:keepNext/>
              <w:keepLines/>
              <w:ind w:left="68"/>
              <w:jc w:val="center"/>
              <w:rPr>
                <w:bCs/>
                <w:sz w:val="22"/>
                <w:szCs w:val="22"/>
                <w:lang w:val="en-US"/>
              </w:rPr>
            </w:pPr>
            <w:r w:rsidRPr="00607FB9">
              <w:rPr>
                <w:sz w:val="22"/>
                <w:szCs w:val="22"/>
              </w:rPr>
              <w:t>11.05</w:t>
            </w:r>
          </w:p>
        </w:tc>
      </w:tr>
      <w:tr w:rsidR="00A4363F" w:rsidRPr="007865EB" w14:paraId="71FEAD92" w14:textId="77777777" w:rsidTr="00D51A98">
        <w:trPr>
          <w:trHeight w:val="300"/>
        </w:trPr>
        <w:tc>
          <w:tcPr>
            <w:tcW w:w="2311" w:type="dxa"/>
            <w:tcBorders>
              <w:top w:val="nil"/>
              <w:left w:val="single" w:sz="4" w:space="0" w:color="auto"/>
              <w:bottom w:val="single" w:sz="4" w:space="0" w:color="auto"/>
              <w:right w:val="single" w:sz="4" w:space="0" w:color="auto"/>
            </w:tcBorders>
            <w:shd w:val="clear" w:color="auto" w:fill="auto"/>
            <w:vAlign w:val="bottom"/>
          </w:tcPr>
          <w:p w14:paraId="71FEAD90" w14:textId="6E9CA635" w:rsidR="00A4363F" w:rsidRPr="00607FB9" w:rsidRDefault="00A4363F" w:rsidP="00D51A98">
            <w:pPr>
              <w:pStyle w:val="TableText"/>
              <w:ind w:left="252" w:right="850"/>
              <w:jc w:val="right"/>
              <w:rPr>
                <w:szCs w:val="22"/>
              </w:rPr>
            </w:pPr>
            <w:r w:rsidRPr="00607FB9">
              <w:rPr>
                <w:szCs w:val="22"/>
              </w:rPr>
              <w:t>16401</w:t>
            </w:r>
          </w:p>
        </w:tc>
        <w:tc>
          <w:tcPr>
            <w:tcW w:w="2356" w:type="dxa"/>
            <w:tcBorders>
              <w:top w:val="nil"/>
              <w:left w:val="nil"/>
              <w:bottom w:val="single" w:sz="4" w:space="0" w:color="auto"/>
              <w:right w:val="single" w:sz="4" w:space="0" w:color="auto"/>
            </w:tcBorders>
            <w:shd w:val="clear" w:color="auto" w:fill="auto"/>
            <w:noWrap/>
            <w:vAlign w:val="bottom"/>
          </w:tcPr>
          <w:p w14:paraId="71FEAD91" w14:textId="656B6FED" w:rsidR="00A4363F" w:rsidRPr="00607FB9" w:rsidRDefault="00A4363F" w:rsidP="00A4363F">
            <w:pPr>
              <w:keepNext/>
              <w:keepLines/>
              <w:ind w:left="68"/>
              <w:jc w:val="center"/>
              <w:rPr>
                <w:bCs/>
                <w:sz w:val="22"/>
                <w:szCs w:val="22"/>
                <w:lang w:val="en-US"/>
              </w:rPr>
            </w:pPr>
            <w:r w:rsidRPr="00607FB9">
              <w:rPr>
                <w:sz w:val="22"/>
                <w:szCs w:val="22"/>
              </w:rPr>
              <w:t>54.90</w:t>
            </w:r>
          </w:p>
        </w:tc>
      </w:tr>
      <w:tr w:rsidR="00A4363F" w:rsidRPr="00243F93" w14:paraId="71FEAD95" w14:textId="77777777" w:rsidTr="00D51A98">
        <w:trPr>
          <w:trHeight w:val="300"/>
        </w:trPr>
        <w:tc>
          <w:tcPr>
            <w:tcW w:w="2311" w:type="dxa"/>
            <w:tcBorders>
              <w:top w:val="nil"/>
              <w:left w:val="single" w:sz="4" w:space="0" w:color="auto"/>
              <w:bottom w:val="single" w:sz="4" w:space="0" w:color="auto"/>
              <w:right w:val="single" w:sz="4" w:space="0" w:color="auto"/>
            </w:tcBorders>
            <w:shd w:val="clear" w:color="auto" w:fill="auto"/>
            <w:vAlign w:val="bottom"/>
          </w:tcPr>
          <w:p w14:paraId="71FEAD93" w14:textId="701C737B" w:rsidR="00A4363F" w:rsidRPr="00607FB9" w:rsidRDefault="00A4363F" w:rsidP="00D51A98">
            <w:pPr>
              <w:pStyle w:val="TableText"/>
              <w:ind w:left="252" w:right="850"/>
              <w:jc w:val="right"/>
              <w:rPr>
                <w:szCs w:val="22"/>
              </w:rPr>
            </w:pPr>
            <w:r w:rsidRPr="00607FB9">
              <w:rPr>
                <w:szCs w:val="22"/>
              </w:rPr>
              <w:t>16404</w:t>
            </w:r>
          </w:p>
        </w:tc>
        <w:tc>
          <w:tcPr>
            <w:tcW w:w="2356" w:type="dxa"/>
            <w:tcBorders>
              <w:top w:val="nil"/>
              <w:left w:val="nil"/>
              <w:bottom w:val="single" w:sz="4" w:space="0" w:color="auto"/>
              <w:right w:val="single" w:sz="4" w:space="0" w:color="auto"/>
            </w:tcBorders>
            <w:shd w:val="clear" w:color="auto" w:fill="auto"/>
            <w:noWrap/>
            <w:vAlign w:val="bottom"/>
          </w:tcPr>
          <w:p w14:paraId="71FEAD94" w14:textId="73D7BAE2" w:rsidR="00A4363F" w:rsidRPr="00607FB9" w:rsidRDefault="00A4363F" w:rsidP="00A4363F">
            <w:pPr>
              <w:keepNext/>
              <w:keepLines/>
              <w:ind w:left="68"/>
              <w:jc w:val="center"/>
              <w:rPr>
                <w:bCs/>
                <w:sz w:val="22"/>
                <w:szCs w:val="22"/>
                <w:lang w:val="en-US"/>
              </w:rPr>
            </w:pPr>
            <w:r w:rsidRPr="00607FB9">
              <w:rPr>
                <w:sz w:val="22"/>
                <w:szCs w:val="22"/>
              </w:rPr>
              <w:t>32.95</w:t>
            </w:r>
          </w:p>
        </w:tc>
      </w:tr>
      <w:tr w:rsidR="00A4363F" w:rsidRPr="00243F93" w14:paraId="71FEAD98" w14:textId="77777777" w:rsidTr="00D51A98">
        <w:trPr>
          <w:trHeight w:val="300"/>
        </w:trPr>
        <w:tc>
          <w:tcPr>
            <w:tcW w:w="2311" w:type="dxa"/>
            <w:tcBorders>
              <w:top w:val="nil"/>
              <w:left w:val="single" w:sz="4" w:space="0" w:color="auto"/>
              <w:bottom w:val="single" w:sz="4" w:space="0" w:color="auto"/>
              <w:right w:val="single" w:sz="4" w:space="0" w:color="auto"/>
            </w:tcBorders>
            <w:shd w:val="clear" w:color="auto" w:fill="auto"/>
            <w:vAlign w:val="bottom"/>
          </w:tcPr>
          <w:p w14:paraId="71FEAD96" w14:textId="6F5E8B27" w:rsidR="00A4363F" w:rsidRPr="00607FB9" w:rsidRDefault="00A4363F" w:rsidP="00D51A98">
            <w:pPr>
              <w:pStyle w:val="TableText"/>
              <w:ind w:left="252" w:right="850"/>
              <w:jc w:val="right"/>
              <w:rPr>
                <w:szCs w:val="22"/>
              </w:rPr>
            </w:pPr>
            <w:r w:rsidRPr="00607FB9">
              <w:rPr>
                <w:szCs w:val="22"/>
              </w:rPr>
              <w:t>16406</w:t>
            </w:r>
          </w:p>
        </w:tc>
        <w:tc>
          <w:tcPr>
            <w:tcW w:w="2356" w:type="dxa"/>
            <w:tcBorders>
              <w:top w:val="nil"/>
              <w:left w:val="nil"/>
              <w:bottom w:val="single" w:sz="4" w:space="0" w:color="auto"/>
              <w:right w:val="single" w:sz="4" w:space="0" w:color="auto"/>
            </w:tcBorders>
            <w:shd w:val="clear" w:color="auto" w:fill="auto"/>
            <w:noWrap/>
            <w:vAlign w:val="bottom"/>
          </w:tcPr>
          <w:p w14:paraId="71FEAD97" w14:textId="2BCFF7DF" w:rsidR="00A4363F" w:rsidRPr="00607FB9" w:rsidRDefault="00A4363F" w:rsidP="00A4363F">
            <w:pPr>
              <w:keepNext/>
              <w:keepLines/>
              <w:ind w:left="68"/>
              <w:jc w:val="center"/>
              <w:rPr>
                <w:bCs/>
                <w:sz w:val="22"/>
                <w:szCs w:val="22"/>
                <w:lang w:val="en-US"/>
              </w:rPr>
            </w:pPr>
            <w:r w:rsidRPr="00607FB9">
              <w:rPr>
                <w:sz w:val="22"/>
                <w:szCs w:val="22"/>
              </w:rPr>
              <w:t>108.15</w:t>
            </w:r>
          </w:p>
        </w:tc>
      </w:tr>
      <w:tr w:rsidR="00607FB9" w:rsidRPr="00243F93" w14:paraId="3126777D" w14:textId="77777777" w:rsidTr="00D51A98">
        <w:trPr>
          <w:trHeight w:val="300"/>
        </w:trPr>
        <w:tc>
          <w:tcPr>
            <w:tcW w:w="2311" w:type="dxa"/>
            <w:tcBorders>
              <w:top w:val="nil"/>
              <w:left w:val="single" w:sz="4" w:space="0" w:color="auto"/>
              <w:bottom w:val="single" w:sz="4" w:space="0" w:color="auto"/>
              <w:right w:val="single" w:sz="4" w:space="0" w:color="auto"/>
            </w:tcBorders>
            <w:shd w:val="clear" w:color="auto" w:fill="auto"/>
            <w:vAlign w:val="bottom"/>
          </w:tcPr>
          <w:p w14:paraId="7564183D" w14:textId="7B0F8F93" w:rsidR="00607FB9" w:rsidRPr="002D56D5" w:rsidRDefault="00607FB9" w:rsidP="00D51A98">
            <w:pPr>
              <w:pStyle w:val="TableText"/>
              <w:ind w:left="252" w:right="850"/>
              <w:jc w:val="right"/>
              <w:rPr>
                <w:szCs w:val="22"/>
              </w:rPr>
            </w:pPr>
            <w:r w:rsidRPr="002D56D5">
              <w:rPr>
                <w:szCs w:val="22"/>
              </w:rPr>
              <w:t>16407</w:t>
            </w:r>
          </w:p>
        </w:tc>
        <w:tc>
          <w:tcPr>
            <w:tcW w:w="2356" w:type="dxa"/>
            <w:tcBorders>
              <w:top w:val="nil"/>
              <w:left w:val="nil"/>
              <w:bottom w:val="single" w:sz="4" w:space="0" w:color="auto"/>
              <w:right w:val="single" w:sz="4" w:space="0" w:color="auto"/>
            </w:tcBorders>
            <w:shd w:val="clear" w:color="auto" w:fill="auto"/>
            <w:noWrap/>
            <w:vAlign w:val="bottom"/>
          </w:tcPr>
          <w:p w14:paraId="1C02C403" w14:textId="50C66C07" w:rsidR="00607FB9" w:rsidRPr="002D56D5" w:rsidRDefault="00607FB9" w:rsidP="00A4363F">
            <w:pPr>
              <w:keepNext/>
              <w:keepLines/>
              <w:ind w:left="68"/>
              <w:jc w:val="center"/>
              <w:rPr>
                <w:sz w:val="22"/>
                <w:szCs w:val="22"/>
              </w:rPr>
            </w:pPr>
            <w:r w:rsidRPr="002D56D5">
              <w:t>65 percent of the Schedule fee for the item</w:t>
            </w:r>
          </w:p>
        </w:tc>
      </w:tr>
      <w:tr w:rsidR="00607FB9" w:rsidRPr="00243F93" w14:paraId="44292B91" w14:textId="77777777" w:rsidTr="00D51A98">
        <w:trPr>
          <w:trHeight w:val="300"/>
        </w:trPr>
        <w:tc>
          <w:tcPr>
            <w:tcW w:w="2311" w:type="dxa"/>
            <w:tcBorders>
              <w:top w:val="nil"/>
              <w:left w:val="single" w:sz="4" w:space="0" w:color="auto"/>
              <w:bottom w:val="single" w:sz="4" w:space="0" w:color="auto"/>
              <w:right w:val="single" w:sz="4" w:space="0" w:color="auto"/>
            </w:tcBorders>
            <w:shd w:val="clear" w:color="auto" w:fill="auto"/>
            <w:vAlign w:val="bottom"/>
          </w:tcPr>
          <w:p w14:paraId="51FCB9C6" w14:textId="7A793084" w:rsidR="00607FB9" w:rsidRPr="002D56D5" w:rsidRDefault="00607FB9" w:rsidP="00D51A98">
            <w:pPr>
              <w:pStyle w:val="TableText"/>
              <w:ind w:left="252" w:right="850"/>
              <w:jc w:val="right"/>
              <w:rPr>
                <w:szCs w:val="22"/>
              </w:rPr>
            </w:pPr>
            <w:r w:rsidRPr="002D56D5">
              <w:rPr>
                <w:szCs w:val="22"/>
              </w:rPr>
              <w:t>16408</w:t>
            </w:r>
          </w:p>
        </w:tc>
        <w:tc>
          <w:tcPr>
            <w:tcW w:w="2356" w:type="dxa"/>
            <w:tcBorders>
              <w:top w:val="nil"/>
              <w:left w:val="nil"/>
              <w:bottom w:val="single" w:sz="4" w:space="0" w:color="auto"/>
              <w:right w:val="single" w:sz="4" w:space="0" w:color="auto"/>
            </w:tcBorders>
            <w:shd w:val="clear" w:color="auto" w:fill="auto"/>
            <w:noWrap/>
            <w:vAlign w:val="bottom"/>
          </w:tcPr>
          <w:p w14:paraId="676FB96B" w14:textId="2A1D666D" w:rsidR="00607FB9" w:rsidRPr="002D56D5" w:rsidRDefault="00607FB9" w:rsidP="00A4363F">
            <w:pPr>
              <w:keepNext/>
              <w:keepLines/>
              <w:ind w:left="68"/>
              <w:jc w:val="center"/>
            </w:pPr>
            <w:r w:rsidRPr="002D56D5">
              <w:t>65 percent of the Schedule fee for the item</w:t>
            </w:r>
          </w:p>
        </w:tc>
      </w:tr>
      <w:tr w:rsidR="00A4363F" w:rsidRPr="00243F93" w14:paraId="71FEAD9B" w14:textId="77777777" w:rsidTr="00D51A98">
        <w:trPr>
          <w:trHeight w:val="300"/>
        </w:trPr>
        <w:tc>
          <w:tcPr>
            <w:tcW w:w="2311" w:type="dxa"/>
            <w:tcBorders>
              <w:top w:val="nil"/>
              <w:left w:val="single" w:sz="4" w:space="0" w:color="auto"/>
              <w:bottom w:val="single" w:sz="4" w:space="0" w:color="auto"/>
              <w:right w:val="single" w:sz="4" w:space="0" w:color="auto"/>
            </w:tcBorders>
            <w:shd w:val="clear" w:color="auto" w:fill="auto"/>
            <w:vAlign w:val="bottom"/>
          </w:tcPr>
          <w:p w14:paraId="71FEAD99" w14:textId="10620F43" w:rsidR="00A4363F" w:rsidRPr="00607FB9" w:rsidRDefault="00A4363F" w:rsidP="00D51A98">
            <w:pPr>
              <w:pStyle w:val="TableText"/>
              <w:ind w:left="252" w:right="850"/>
              <w:jc w:val="right"/>
              <w:rPr>
                <w:szCs w:val="22"/>
              </w:rPr>
            </w:pPr>
            <w:r w:rsidRPr="00607FB9">
              <w:rPr>
                <w:szCs w:val="22"/>
              </w:rPr>
              <w:lastRenderedPageBreak/>
              <w:t>16500</w:t>
            </w:r>
          </w:p>
        </w:tc>
        <w:tc>
          <w:tcPr>
            <w:tcW w:w="2356" w:type="dxa"/>
            <w:tcBorders>
              <w:top w:val="nil"/>
              <w:left w:val="nil"/>
              <w:bottom w:val="single" w:sz="4" w:space="0" w:color="auto"/>
              <w:right w:val="single" w:sz="4" w:space="0" w:color="auto"/>
            </w:tcBorders>
            <w:shd w:val="clear" w:color="auto" w:fill="auto"/>
            <w:noWrap/>
            <w:vAlign w:val="bottom"/>
          </w:tcPr>
          <w:p w14:paraId="71FEAD9A" w14:textId="443D42BB" w:rsidR="00A4363F" w:rsidRPr="00607FB9" w:rsidRDefault="00A4363F" w:rsidP="00A4363F">
            <w:pPr>
              <w:keepNext/>
              <w:keepLines/>
              <w:ind w:left="68"/>
              <w:jc w:val="center"/>
              <w:rPr>
                <w:bCs/>
                <w:sz w:val="22"/>
                <w:szCs w:val="22"/>
                <w:lang w:val="en-US"/>
              </w:rPr>
            </w:pPr>
            <w:r w:rsidRPr="00607FB9">
              <w:rPr>
                <w:sz w:val="22"/>
                <w:szCs w:val="22"/>
              </w:rPr>
              <w:t>32.95</w:t>
            </w:r>
          </w:p>
        </w:tc>
      </w:tr>
      <w:tr w:rsidR="00A4363F" w:rsidRPr="00243F93" w14:paraId="71FEAD9E" w14:textId="77777777" w:rsidTr="00D51A98">
        <w:trPr>
          <w:trHeight w:val="300"/>
        </w:trPr>
        <w:tc>
          <w:tcPr>
            <w:tcW w:w="2311" w:type="dxa"/>
            <w:tcBorders>
              <w:top w:val="nil"/>
              <w:left w:val="single" w:sz="4" w:space="0" w:color="auto"/>
              <w:bottom w:val="single" w:sz="4" w:space="0" w:color="auto"/>
              <w:right w:val="single" w:sz="4" w:space="0" w:color="auto"/>
            </w:tcBorders>
            <w:shd w:val="clear" w:color="auto" w:fill="auto"/>
            <w:vAlign w:val="bottom"/>
          </w:tcPr>
          <w:p w14:paraId="71FEAD9C" w14:textId="1363CFF6" w:rsidR="00A4363F" w:rsidRPr="00607FB9" w:rsidRDefault="00A4363F" w:rsidP="00D51A98">
            <w:pPr>
              <w:pStyle w:val="TableText"/>
              <w:ind w:left="252" w:right="850"/>
              <w:jc w:val="right"/>
              <w:rPr>
                <w:szCs w:val="22"/>
              </w:rPr>
            </w:pPr>
            <w:r w:rsidRPr="00607FB9">
              <w:rPr>
                <w:szCs w:val="22"/>
              </w:rPr>
              <w:t>16501</w:t>
            </w:r>
          </w:p>
        </w:tc>
        <w:tc>
          <w:tcPr>
            <w:tcW w:w="2356" w:type="dxa"/>
            <w:tcBorders>
              <w:top w:val="nil"/>
              <w:left w:val="nil"/>
              <w:bottom w:val="single" w:sz="4" w:space="0" w:color="auto"/>
              <w:right w:val="single" w:sz="4" w:space="0" w:color="auto"/>
            </w:tcBorders>
            <w:shd w:val="clear" w:color="auto" w:fill="auto"/>
            <w:noWrap/>
            <w:vAlign w:val="bottom"/>
          </w:tcPr>
          <w:p w14:paraId="71FEAD9D" w14:textId="33E6EE50" w:rsidR="00A4363F" w:rsidRPr="00607FB9" w:rsidRDefault="00A4363F" w:rsidP="00A4363F">
            <w:pPr>
              <w:keepNext/>
              <w:keepLines/>
              <w:ind w:left="68"/>
              <w:jc w:val="center"/>
              <w:rPr>
                <w:bCs/>
                <w:sz w:val="22"/>
                <w:szCs w:val="22"/>
                <w:lang w:val="en-US"/>
              </w:rPr>
            </w:pPr>
            <w:r w:rsidRPr="00607FB9">
              <w:rPr>
                <w:sz w:val="22"/>
                <w:szCs w:val="22"/>
              </w:rPr>
              <w:t>65.90</w:t>
            </w:r>
          </w:p>
        </w:tc>
      </w:tr>
      <w:tr w:rsidR="00A4363F" w:rsidRPr="00243F93" w14:paraId="71FEADA1" w14:textId="77777777" w:rsidTr="00D51A98">
        <w:trPr>
          <w:trHeight w:val="300"/>
        </w:trPr>
        <w:tc>
          <w:tcPr>
            <w:tcW w:w="2311" w:type="dxa"/>
            <w:tcBorders>
              <w:top w:val="nil"/>
              <w:left w:val="single" w:sz="4" w:space="0" w:color="auto"/>
              <w:bottom w:val="single" w:sz="4" w:space="0" w:color="auto"/>
              <w:right w:val="single" w:sz="4" w:space="0" w:color="auto"/>
            </w:tcBorders>
            <w:shd w:val="clear" w:color="auto" w:fill="auto"/>
            <w:vAlign w:val="bottom"/>
          </w:tcPr>
          <w:p w14:paraId="71FEAD9F" w14:textId="6F56F5BF" w:rsidR="00A4363F" w:rsidRPr="00607FB9" w:rsidRDefault="00A4363F" w:rsidP="00D51A98">
            <w:pPr>
              <w:pStyle w:val="TableText"/>
              <w:ind w:left="252" w:right="850"/>
              <w:jc w:val="right"/>
              <w:rPr>
                <w:szCs w:val="22"/>
              </w:rPr>
            </w:pPr>
            <w:r w:rsidRPr="00607FB9">
              <w:rPr>
                <w:szCs w:val="22"/>
              </w:rPr>
              <w:t>16502</w:t>
            </w:r>
          </w:p>
        </w:tc>
        <w:tc>
          <w:tcPr>
            <w:tcW w:w="2356" w:type="dxa"/>
            <w:tcBorders>
              <w:top w:val="nil"/>
              <w:left w:val="nil"/>
              <w:bottom w:val="single" w:sz="4" w:space="0" w:color="auto"/>
              <w:right w:val="single" w:sz="4" w:space="0" w:color="auto"/>
            </w:tcBorders>
            <w:shd w:val="clear" w:color="auto" w:fill="auto"/>
            <w:noWrap/>
            <w:vAlign w:val="bottom"/>
          </w:tcPr>
          <w:p w14:paraId="71FEADA0" w14:textId="100F1217" w:rsidR="00A4363F" w:rsidRPr="00607FB9" w:rsidRDefault="00A4363F" w:rsidP="00A4363F">
            <w:pPr>
              <w:keepNext/>
              <w:keepLines/>
              <w:ind w:left="68"/>
              <w:jc w:val="center"/>
              <w:rPr>
                <w:bCs/>
                <w:sz w:val="22"/>
                <w:szCs w:val="22"/>
                <w:lang w:val="en-US"/>
              </w:rPr>
            </w:pPr>
            <w:r w:rsidRPr="00607FB9">
              <w:rPr>
                <w:sz w:val="22"/>
                <w:szCs w:val="22"/>
              </w:rPr>
              <w:t>22.00</w:t>
            </w:r>
          </w:p>
        </w:tc>
      </w:tr>
      <w:tr w:rsidR="00A4363F" w:rsidRPr="00865B01" w14:paraId="71FEADA4" w14:textId="77777777" w:rsidTr="00D51A98">
        <w:trPr>
          <w:trHeight w:val="300"/>
        </w:trPr>
        <w:tc>
          <w:tcPr>
            <w:tcW w:w="2311" w:type="dxa"/>
            <w:tcBorders>
              <w:top w:val="nil"/>
              <w:left w:val="single" w:sz="4" w:space="0" w:color="auto"/>
              <w:bottom w:val="single" w:sz="4" w:space="0" w:color="auto"/>
              <w:right w:val="single" w:sz="4" w:space="0" w:color="auto"/>
            </w:tcBorders>
            <w:shd w:val="clear" w:color="auto" w:fill="auto"/>
            <w:vAlign w:val="bottom"/>
          </w:tcPr>
          <w:p w14:paraId="71FEADA2" w14:textId="7E2BE11E" w:rsidR="00A4363F" w:rsidRPr="00607FB9" w:rsidRDefault="00A4363F" w:rsidP="00D51A98">
            <w:pPr>
              <w:pStyle w:val="TableText"/>
              <w:ind w:left="252" w:right="850"/>
              <w:jc w:val="right"/>
              <w:rPr>
                <w:szCs w:val="22"/>
              </w:rPr>
            </w:pPr>
            <w:r w:rsidRPr="00607FB9">
              <w:rPr>
                <w:szCs w:val="22"/>
              </w:rPr>
              <w:t>16504</w:t>
            </w:r>
          </w:p>
        </w:tc>
        <w:tc>
          <w:tcPr>
            <w:tcW w:w="2356" w:type="dxa"/>
            <w:tcBorders>
              <w:top w:val="nil"/>
              <w:left w:val="nil"/>
              <w:bottom w:val="single" w:sz="4" w:space="0" w:color="auto"/>
              <w:right w:val="single" w:sz="4" w:space="0" w:color="auto"/>
            </w:tcBorders>
            <w:shd w:val="clear" w:color="auto" w:fill="auto"/>
            <w:noWrap/>
            <w:vAlign w:val="bottom"/>
          </w:tcPr>
          <w:p w14:paraId="71FEADA3" w14:textId="5ECDB812" w:rsidR="00A4363F" w:rsidRPr="00607FB9" w:rsidRDefault="00A4363F" w:rsidP="00A4363F">
            <w:pPr>
              <w:keepNext/>
              <w:keepLines/>
              <w:ind w:left="68"/>
              <w:jc w:val="center"/>
              <w:rPr>
                <w:bCs/>
                <w:sz w:val="22"/>
                <w:szCs w:val="22"/>
                <w:lang w:val="en-US"/>
              </w:rPr>
            </w:pPr>
            <w:r w:rsidRPr="00607FB9">
              <w:rPr>
                <w:sz w:val="22"/>
                <w:szCs w:val="22"/>
              </w:rPr>
              <w:t>22.00</w:t>
            </w:r>
          </w:p>
        </w:tc>
      </w:tr>
      <w:tr w:rsidR="00A4363F" w:rsidRPr="00865B01" w14:paraId="71FEADA7" w14:textId="77777777" w:rsidTr="00D51A98">
        <w:trPr>
          <w:trHeight w:val="300"/>
        </w:trPr>
        <w:tc>
          <w:tcPr>
            <w:tcW w:w="2311" w:type="dxa"/>
            <w:tcBorders>
              <w:top w:val="nil"/>
              <w:left w:val="single" w:sz="4" w:space="0" w:color="auto"/>
              <w:bottom w:val="single" w:sz="4" w:space="0" w:color="auto"/>
              <w:right w:val="single" w:sz="4" w:space="0" w:color="auto"/>
            </w:tcBorders>
            <w:shd w:val="clear" w:color="auto" w:fill="auto"/>
            <w:vAlign w:val="bottom"/>
          </w:tcPr>
          <w:p w14:paraId="71FEADA5" w14:textId="5684F34E" w:rsidR="00A4363F" w:rsidRPr="00607FB9" w:rsidRDefault="00A4363F" w:rsidP="00D51A98">
            <w:pPr>
              <w:pStyle w:val="TableText"/>
              <w:ind w:left="252" w:right="850"/>
              <w:jc w:val="right"/>
              <w:rPr>
                <w:szCs w:val="22"/>
              </w:rPr>
            </w:pPr>
            <w:r w:rsidRPr="00607FB9">
              <w:rPr>
                <w:szCs w:val="22"/>
              </w:rPr>
              <w:t>16505</w:t>
            </w:r>
          </w:p>
        </w:tc>
        <w:tc>
          <w:tcPr>
            <w:tcW w:w="2356" w:type="dxa"/>
            <w:tcBorders>
              <w:top w:val="nil"/>
              <w:left w:val="nil"/>
              <w:bottom w:val="single" w:sz="4" w:space="0" w:color="auto"/>
              <w:right w:val="single" w:sz="4" w:space="0" w:color="auto"/>
            </w:tcBorders>
            <w:shd w:val="clear" w:color="auto" w:fill="auto"/>
            <w:noWrap/>
            <w:vAlign w:val="bottom"/>
          </w:tcPr>
          <w:p w14:paraId="71FEADA6" w14:textId="7DF25299" w:rsidR="00A4363F" w:rsidRPr="00607FB9" w:rsidRDefault="00A4363F" w:rsidP="00A4363F">
            <w:pPr>
              <w:keepNext/>
              <w:keepLines/>
              <w:ind w:left="68"/>
              <w:jc w:val="center"/>
              <w:rPr>
                <w:bCs/>
                <w:sz w:val="22"/>
                <w:szCs w:val="22"/>
                <w:lang w:val="en-US"/>
              </w:rPr>
            </w:pPr>
            <w:r w:rsidRPr="00607FB9">
              <w:rPr>
                <w:sz w:val="22"/>
                <w:szCs w:val="22"/>
              </w:rPr>
              <w:t>22.00</w:t>
            </w:r>
          </w:p>
        </w:tc>
      </w:tr>
      <w:tr w:rsidR="00A4363F" w:rsidRPr="00865B01" w14:paraId="60050591" w14:textId="77777777" w:rsidTr="00D51A98">
        <w:trPr>
          <w:trHeight w:val="300"/>
        </w:trPr>
        <w:tc>
          <w:tcPr>
            <w:tcW w:w="2311" w:type="dxa"/>
            <w:tcBorders>
              <w:top w:val="nil"/>
              <w:left w:val="single" w:sz="4" w:space="0" w:color="auto"/>
              <w:bottom w:val="single" w:sz="4" w:space="0" w:color="auto"/>
              <w:right w:val="single" w:sz="4" w:space="0" w:color="auto"/>
            </w:tcBorders>
            <w:shd w:val="clear" w:color="auto" w:fill="auto"/>
            <w:vAlign w:val="bottom"/>
          </w:tcPr>
          <w:p w14:paraId="74DF1B6B" w14:textId="42C83C10" w:rsidR="00A4363F" w:rsidRPr="00607FB9" w:rsidRDefault="00A4363F" w:rsidP="00D51A98">
            <w:pPr>
              <w:pStyle w:val="TableText"/>
              <w:ind w:left="252" w:right="850"/>
              <w:jc w:val="right"/>
              <w:rPr>
                <w:szCs w:val="22"/>
              </w:rPr>
            </w:pPr>
            <w:r w:rsidRPr="00607FB9">
              <w:rPr>
                <w:szCs w:val="22"/>
              </w:rPr>
              <w:t>16508</w:t>
            </w:r>
          </w:p>
        </w:tc>
        <w:tc>
          <w:tcPr>
            <w:tcW w:w="2356" w:type="dxa"/>
            <w:tcBorders>
              <w:top w:val="nil"/>
              <w:left w:val="nil"/>
              <w:bottom w:val="single" w:sz="4" w:space="0" w:color="auto"/>
              <w:right w:val="single" w:sz="4" w:space="0" w:color="auto"/>
            </w:tcBorders>
            <w:shd w:val="clear" w:color="auto" w:fill="auto"/>
            <w:noWrap/>
            <w:vAlign w:val="bottom"/>
          </w:tcPr>
          <w:p w14:paraId="2E2BC3D8" w14:textId="38DACADE" w:rsidR="00A4363F" w:rsidRPr="00607FB9" w:rsidRDefault="00A4363F" w:rsidP="00A4363F">
            <w:pPr>
              <w:keepNext/>
              <w:keepLines/>
              <w:ind w:left="68"/>
              <w:jc w:val="center"/>
              <w:rPr>
                <w:bCs/>
                <w:sz w:val="22"/>
                <w:szCs w:val="22"/>
                <w:lang w:val="en-US"/>
              </w:rPr>
            </w:pPr>
            <w:r w:rsidRPr="00607FB9">
              <w:rPr>
                <w:sz w:val="22"/>
                <w:szCs w:val="22"/>
              </w:rPr>
              <w:t>22.00</w:t>
            </w:r>
          </w:p>
        </w:tc>
      </w:tr>
      <w:tr w:rsidR="00A4363F" w:rsidRPr="00865B01" w14:paraId="71FEADAA" w14:textId="77777777" w:rsidTr="00D51A98">
        <w:trPr>
          <w:trHeight w:val="300"/>
        </w:trPr>
        <w:tc>
          <w:tcPr>
            <w:tcW w:w="2311" w:type="dxa"/>
            <w:tcBorders>
              <w:top w:val="nil"/>
              <w:left w:val="single" w:sz="4" w:space="0" w:color="auto"/>
              <w:bottom w:val="single" w:sz="4" w:space="0" w:color="auto"/>
              <w:right w:val="single" w:sz="4" w:space="0" w:color="auto"/>
            </w:tcBorders>
            <w:shd w:val="clear" w:color="auto" w:fill="auto"/>
            <w:vAlign w:val="bottom"/>
          </w:tcPr>
          <w:p w14:paraId="71FEADA8" w14:textId="35729F3F" w:rsidR="00A4363F" w:rsidRPr="00607FB9" w:rsidRDefault="00A4363F" w:rsidP="00D51A98">
            <w:pPr>
              <w:pStyle w:val="TableText"/>
              <w:ind w:left="252" w:right="850"/>
              <w:jc w:val="right"/>
              <w:rPr>
                <w:szCs w:val="22"/>
              </w:rPr>
            </w:pPr>
            <w:r w:rsidRPr="00607FB9">
              <w:rPr>
                <w:szCs w:val="22"/>
              </w:rPr>
              <w:t>16509</w:t>
            </w:r>
          </w:p>
        </w:tc>
        <w:tc>
          <w:tcPr>
            <w:tcW w:w="2356" w:type="dxa"/>
            <w:tcBorders>
              <w:top w:val="nil"/>
              <w:left w:val="nil"/>
              <w:bottom w:val="single" w:sz="4" w:space="0" w:color="auto"/>
              <w:right w:val="single" w:sz="4" w:space="0" w:color="auto"/>
            </w:tcBorders>
            <w:shd w:val="clear" w:color="auto" w:fill="auto"/>
            <w:noWrap/>
            <w:vAlign w:val="bottom"/>
          </w:tcPr>
          <w:p w14:paraId="71FEADA9" w14:textId="75B6EBBC" w:rsidR="00A4363F" w:rsidRPr="00607FB9" w:rsidRDefault="00A4363F" w:rsidP="00A4363F">
            <w:pPr>
              <w:keepNext/>
              <w:keepLines/>
              <w:ind w:left="68"/>
              <w:jc w:val="center"/>
              <w:rPr>
                <w:sz w:val="22"/>
                <w:szCs w:val="22"/>
              </w:rPr>
            </w:pPr>
            <w:r w:rsidRPr="00607FB9">
              <w:rPr>
                <w:sz w:val="22"/>
                <w:szCs w:val="22"/>
              </w:rPr>
              <w:t>22.00</w:t>
            </w:r>
          </w:p>
        </w:tc>
      </w:tr>
      <w:tr w:rsidR="00A4363F" w:rsidRPr="00243F93" w14:paraId="71FEADAD" w14:textId="77777777" w:rsidTr="00D51A98">
        <w:trPr>
          <w:trHeight w:val="285"/>
        </w:trPr>
        <w:tc>
          <w:tcPr>
            <w:tcW w:w="2311" w:type="dxa"/>
            <w:tcBorders>
              <w:top w:val="nil"/>
              <w:left w:val="single" w:sz="4" w:space="0" w:color="auto"/>
              <w:bottom w:val="single" w:sz="4" w:space="0" w:color="auto"/>
              <w:right w:val="single" w:sz="4" w:space="0" w:color="auto"/>
            </w:tcBorders>
            <w:shd w:val="clear" w:color="auto" w:fill="auto"/>
            <w:noWrap/>
            <w:vAlign w:val="bottom"/>
          </w:tcPr>
          <w:p w14:paraId="71FEADAB" w14:textId="61A3ABB7" w:rsidR="00A4363F" w:rsidRPr="00607FB9" w:rsidRDefault="00A4363F" w:rsidP="00D51A98">
            <w:pPr>
              <w:pStyle w:val="TableText"/>
              <w:ind w:left="252" w:right="850"/>
              <w:jc w:val="right"/>
              <w:rPr>
                <w:szCs w:val="22"/>
              </w:rPr>
            </w:pPr>
            <w:r w:rsidRPr="00607FB9">
              <w:rPr>
                <w:szCs w:val="22"/>
              </w:rPr>
              <w:t>16511</w:t>
            </w:r>
          </w:p>
        </w:tc>
        <w:tc>
          <w:tcPr>
            <w:tcW w:w="2356" w:type="dxa"/>
            <w:tcBorders>
              <w:top w:val="nil"/>
              <w:left w:val="nil"/>
              <w:bottom w:val="single" w:sz="4" w:space="0" w:color="auto"/>
              <w:right w:val="single" w:sz="4" w:space="0" w:color="auto"/>
            </w:tcBorders>
            <w:shd w:val="clear" w:color="auto" w:fill="auto"/>
            <w:noWrap/>
            <w:vAlign w:val="bottom"/>
          </w:tcPr>
          <w:p w14:paraId="71FEADAC" w14:textId="0937916F" w:rsidR="00A4363F" w:rsidRPr="00607FB9" w:rsidRDefault="00A4363F" w:rsidP="00A4363F">
            <w:pPr>
              <w:keepNext/>
              <w:keepLines/>
              <w:ind w:left="68"/>
              <w:jc w:val="center"/>
              <w:rPr>
                <w:sz w:val="22"/>
                <w:szCs w:val="22"/>
              </w:rPr>
            </w:pPr>
            <w:r w:rsidRPr="00607FB9">
              <w:rPr>
                <w:sz w:val="22"/>
                <w:szCs w:val="22"/>
              </w:rPr>
              <w:t>109.75</w:t>
            </w:r>
          </w:p>
        </w:tc>
      </w:tr>
      <w:tr w:rsidR="00A4363F" w:rsidRPr="00243F93" w14:paraId="71FEADB0" w14:textId="77777777" w:rsidTr="00D51A98">
        <w:trPr>
          <w:trHeight w:val="285"/>
        </w:trPr>
        <w:tc>
          <w:tcPr>
            <w:tcW w:w="2311" w:type="dxa"/>
            <w:tcBorders>
              <w:top w:val="nil"/>
              <w:left w:val="single" w:sz="4" w:space="0" w:color="auto"/>
              <w:bottom w:val="single" w:sz="4" w:space="0" w:color="auto"/>
              <w:right w:val="single" w:sz="4" w:space="0" w:color="auto"/>
            </w:tcBorders>
            <w:shd w:val="clear" w:color="auto" w:fill="auto"/>
            <w:noWrap/>
            <w:vAlign w:val="bottom"/>
          </w:tcPr>
          <w:p w14:paraId="71FEADAE" w14:textId="4435C094" w:rsidR="00A4363F" w:rsidRPr="00607FB9" w:rsidRDefault="00A4363F" w:rsidP="00D51A98">
            <w:pPr>
              <w:pStyle w:val="TableText"/>
              <w:ind w:left="252" w:right="850"/>
              <w:jc w:val="right"/>
              <w:rPr>
                <w:szCs w:val="22"/>
              </w:rPr>
            </w:pPr>
            <w:r w:rsidRPr="00607FB9">
              <w:rPr>
                <w:szCs w:val="22"/>
              </w:rPr>
              <w:t>16512</w:t>
            </w:r>
          </w:p>
        </w:tc>
        <w:tc>
          <w:tcPr>
            <w:tcW w:w="2356" w:type="dxa"/>
            <w:tcBorders>
              <w:top w:val="nil"/>
              <w:left w:val="nil"/>
              <w:bottom w:val="single" w:sz="4" w:space="0" w:color="auto"/>
              <w:right w:val="single" w:sz="4" w:space="0" w:color="auto"/>
            </w:tcBorders>
            <w:shd w:val="clear" w:color="auto" w:fill="auto"/>
            <w:noWrap/>
            <w:vAlign w:val="bottom"/>
          </w:tcPr>
          <w:p w14:paraId="71FEADAF" w14:textId="296D995E" w:rsidR="00A4363F" w:rsidRPr="00607FB9" w:rsidRDefault="00A4363F" w:rsidP="00A4363F">
            <w:pPr>
              <w:keepNext/>
              <w:keepLines/>
              <w:ind w:left="68"/>
              <w:jc w:val="center"/>
              <w:rPr>
                <w:sz w:val="22"/>
                <w:szCs w:val="22"/>
              </w:rPr>
            </w:pPr>
            <w:r w:rsidRPr="00607FB9">
              <w:rPr>
                <w:sz w:val="22"/>
                <w:szCs w:val="22"/>
              </w:rPr>
              <w:t>32.95</w:t>
            </w:r>
          </w:p>
        </w:tc>
      </w:tr>
      <w:tr w:rsidR="00A4363F" w:rsidRPr="00243F93" w14:paraId="71FEADB3" w14:textId="77777777" w:rsidTr="00D51A98">
        <w:trPr>
          <w:trHeight w:val="285"/>
        </w:trPr>
        <w:tc>
          <w:tcPr>
            <w:tcW w:w="2311" w:type="dxa"/>
            <w:tcBorders>
              <w:top w:val="nil"/>
              <w:left w:val="single" w:sz="4" w:space="0" w:color="auto"/>
              <w:bottom w:val="single" w:sz="4" w:space="0" w:color="auto"/>
              <w:right w:val="single" w:sz="4" w:space="0" w:color="auto"/>
            </w:tcBorders>
            <w:shd w:val="clear" w:color="auto" w:fill="auto"/>
            <w:noWrap/>
            <w:vAlign w:val="bottom"/>
          </w:tcPr>
          <w:p w14:paraId="71FEADB1" w14:textId="07F3F811" w:rsidR="00A4363F" w:rsidRPr="00607FB9" w:rsidRDefault="00A4363F" w:rsidP="00D51A98">
            <w:pPr>
              <w:pStyle w:val="TableText"/>
              <w:ind w:left="252" w:right="850"/>
              <w:jc w:val="right"/>
              <w:rPr>
                <w:szCs w:val="22"/>
              </w:rPr>
            </w:pPr>
            <w:r w:rsidRPr="00607FB9">
              <w:rPr>
                <w:szCs w:val="22"/>
              </w:rPr>
              <w:t>16514</w:t>
            </w:r>
          </w:p>
        </w:tc>
        <w:tc>
          <w:tcPr>
            <w:tcW w:w="2356" w:type="dxa"/>
            <w:tcBorders>
              <w:top w:val="nil"/>
              <w:left w:val="nil"/>
              <w:bottom w:val="single" w:sz="4" w:space="0" w:color="auto"/>
              <w:right w:val="single" w:sz="4" w:space="0" w:color="auto"/>
            </w:tcBorders>
            <w:shd w:val="clear" w:color="auto" w:fill="auto"/>
            <w:noWrap/>
            <w:vAlign w:val="bottom"/>
          </w:tcPr>
          <w:p w14:paraId="71FEADB2" w14:textId="15764CF3" w:rsidR="00A4363F" w:rsidRPr="00607FB9" w:rsidRDefault="00A4363F" w:rsidP="00A4363F">
            <w:pPr>
              <w:keepNext/>
              <w:keepLines/>
              <w:ind w:left="68"/>
              <w:jc w:val="center"/>
              <w:rPr>
                <w:sz w:val="22"/>
                <w:szCs w:val="22"/>
              </w:rPr>
            </w:pPr>
            <w:r w:rsidRPr="00607FB9">
              <w:rPr>
                <w:sz w:val="22"/>
                <w:szCs w:val="22"/>
              </w:rPr>
              <w:t>16.55</w:t>
            </w:r>
          </w:p>
        </w:tc>
      </w:tr>
      <w:tr w:rsidR="00A4363F" w:rsidRPr="00243F93" w14:paraId="71FEADB6" w14:textId="77777777" w:rsidTr="00D51A98">
        <w:trPr>
          <w:trHeight w:val="285"/>
        </w:trPr>
        <w:tc>
          <w:tcPr>
            <w:tcW w:w="2311" w:type="dxa"/>
            <w:tcBorders>
              <w:top w:val="nil"/>
              <w:left w:val="single" w:sz="4" w:space="0" w:color="auto"/>
              <w:bottom w:val="single" w:sz="4" w:space="0" w:color="auto"/>
              <w:right w:val="single" w:sz="4" w:space="0" w:color="auto"/>
            </w:tcBorders>
            <w:shd w:val="clear" w:color="auto" w:fill="auto"/>
            <w:noWrap/>
            <w:vAlign w:val="bottom"/>
          </w:tcPr>
          <w:p w14:paraId="71FEADB4" w14:textId="2BC861B7" w:rsidR="00A4363F" w:rsidRPr="00607FB9" w:rsidRDefault="00A4363F" w:rsidP="00D51A98">
            <w:pPr>
              <w:pStyle w:val="TableText"/>
              <w:ind w:left="252" w:right="850"/>
              <w:jc w:val="right"/>
              <w:rPr>
                <w:szCs w:val="22"/>
              </w:rPr>
            </w:pPr>
            <w:r w:rsidRPr="00607FB9">
              <w:rPr>
                <w:szCs w:val="22"/>
              </w:rPr>
              <w:t>16515</w:t>
            </w:r>
          </w:p>
        </w:tc>
        <w:tc>
          <w:tcPr>
            <w:tcW w:w="2356" w:type="dxa"/>
            <w:tcBorders>
              <w:top w:val="nil"/>
              <w:left w:val="nil"/>
              <w:bottom w:val="single" w:sz="4" w:space="0" w:color="auto"/>
              <w:right w:val="single" w:sz="4" w:space="0" w:color="auto"/>
            </w:tcBorders>
            <w:shd w:val="clear" w:color="auto" w:fill="auto"/>
            <w:noWrap/>
            <w:vAlign w:val="bottom"/>
          </w:tcPr>
          <w:p w14:paraId="71FEADB5" w14:textId="20F5FF23" w:rsidR="00A4363F" w:rsidRPr="00607FB9" w:rsidRDefault="00A4363F" w:rsidP="00A4363F">
            <w:pPr>
              <w:keepNext/>
              <w:keepLines/>
              <w:ind w:left="68"/>
              <w:jc w:val="center"/>
              <w:rPr>
                <w:sz w:val="22"/>
                <w:szCs w:val="22"/>
              </w:rPr>
            </w:pPr>
            <w:r w:rsidRPr="00607FB9">
              <w:rPr>
                <w:sz w:val="22"/>
                <w:szCs w:val="22"/>
              </w:rPr>
              <w:t>175.60</w:t>
            </w:r>
          </w:p>
        </w:tc>
      </w:tr>
      <w:tr w:rsidR="00A4363F" w:rsidRPr="00243F93" w14:paraId="71FEADB9" w14:textId="77777777" w:rsidTr="00D51A98">
        <w:trPr>
          <w:trHeight w:val="285"/>
        </w:trPr>
        <w:tc>
          <w:tcPr>
            <w:tcW w:w="2311" w:type="dxa"/>
            <w:tcBorders>
              <w:top w:val="nil"/>
              <w:left w:val="single" w:sz="4" w:space="0" w:color="auto"/>
              <w:bottom w:val="single" w:sz="4" w:space="0" w:color="auto"/>
              <w:right w:val="single" w:sz="4" w:space="0" w:color="auto"/>
            </w:tcBorders>
            <w:shd w:val="clear" w:color="auto" w:fill="auto"/>
            <w:noWrap/>
            <w:vAlign w:val="bottom"/>
          </w:tcPr>
          <w:p w14:paraId="71FEADB7" w14:textId="5CE42854" w:rsidR="00A4363F" w:rsidRPr="00607FB9" w:rsidRDefault="00A4363F" w:rsidP="00D51A98">
            <w:pPr>
              <w:pStyle w:val="TableText"/>
              <w:ind w:left="252" w:right="850"/>
              <w:jc w:val="right"/>
              <w:rPr>
                <w:szCs w:val="22"/>
              </w:rPr>
            </w:pPr>
            <w:r w:rsidRPr="00607FB9">
              <w:rPr>
                <w:szCs w:val="22"/>
              </w:rPr>
              <w:t>16518</w:t>
            </w:r>
          </w:p>
        </w:tc>
        <w:tc>
          <w:tcPr>
            <w:tcW w:w="2356" w:type="dxa"/>
            <w:tcBorders>
              <w:top w:val="nil"/>
              <w:left w:val="nil"/>
              <w:bottom w:val="single" w:sz="4" w:space="0" w:color="auto"/>
              <w:right w:val="single" w:sz="4" w:space="0" w:color="auto"/>
            </w:tcBorders>
            <w:shd w:val="clear" w:color="auto" w:fill="auto"/>
            <w:noWrap/>
            <w:vAlign w:val="bottom"/>
          </w:tcPr>
          <w:p w14:paraId="71FEADB8" w14:textId="76412316" w:rsidR="00A4363F" w:rsidRPr="00607FB9" w:rsidRDefault="00A4363F" w:rsidP="00A4363F">
            <w:pPr>
              <w:keepNext/>
              <w:keepLines/>
              <w:ind w:left="68"/>
              <w:jc w:val="center"/>
              <w:rPr>
                <w:sz w:val="22"/>
                <w:szCs w:val="22"/>
              </w:rPr>
            </w:pPr>
            <w:r w:rsidRPr="00607FB9">
              <w:rPr>
                <w:sz w:val="22"/>
                <w:szCs w:val="22"/>
              </w:rPr>
              <w:t>175.60</w:t>
            </w:r>
          </w:p>
        </w:tc>
      </w:tr>
      <w:tr w:rsidR="00A4363F" w:rsidRPr="00243F93" w14:paraId="71FEADBC" w14:textId="77777777" w:rsidTr="00D51A98">
        <w:trPr>
          <w:trHeight w:val="285"/>
        </w:trPr>
        <w:tc>
          <w:tcPr>
            <w:tcW w:w="2311" w:type="dxa"/>
            <w:tcBorders>
              <w:top w:val="nil"/>
              <w:left w:val="single" w:sz="4" w:space="0" w:color="auto"/>
              <w:bottom w:val="single" w:sz="4" w:space="0" w:color="auto"/>
              <w:right w:val="single" w:sz="4" w:space="0" w:color="auto"/>
            </w:tcBorders>
            <w:shd w:val="clear" w:color="auto" w:fill="auto"/>
            <w:noWrap/>
            <w:vAlign w:val="bottom"/>
          </w:tcPr>
          <w:p w14:paraId="71FEADBA" w14:textId="64CE0EBE" w:rsidR="00A4363F" w:rsidRPr="00607FB9" w:rsidRDefault="00A4363F" w:rsidP="00D51A98">
            <w:pPr>
              <w:pStyle w:val="TableText"/>
              <w:ind w:left="252" w:right="850"/>
              <w:jc w:val="right"/>
              <w:rPr>
                <w:szCs w:val="22"/>
              </w:rPr>
            </w:pPr>
            <w:r w:rsidRPr="00607FB9">
              <w:rPr>
                <w:szCs w:val="22"/>
              </w:rPr>
              <w:t>16519</w:t>
            </w:r>
          </w:p>
        </w:tc>
        <w:tc>
          <w:tcPr>
            <w:tcW w:w="2356" w:type="dxa"/>
            <w:tcBorders>
              <w:top w:val="nil"/>
              <w:left w:val="nil"/>
              <w:bottom w:val="single" w:sz="4" w:space="0" w:color="auto"/>
              <w:right w:val="single" w:sz="4" w:space="0" w:color="auto"/>
            </w:tcBorders>
            <w:shd w:val="clear" w:color="auto" w:fill="auto"/>
            <w:noWrap/>
            <w:vAlign w:val="bottom"/>
          </w:tcPr>
          <w:p w14:paraId="71FEADBB" w14:textId="54F44704" w:rsidR="00A4363F" w:rsidRPr="00607FB9" w:rsidRDefault="00A4363F" w:rsidP="00A4363F">
            <w:pPr>
              <w:keepNext/>
              <w:keepLines/>
              <w:ind w:left="68"/>
              <w:jc w:val="center"/>
              <w:rPr>
                <w:sz w:val="22"/>
                <w:szCs w:val="22"/>
              </w:rPr>
            </w:pPr>
            <w:r w:rsidRPr="00607FB9">
              <w:rPr>
                <w:sz w:val="22"/>
                <w:szCs w:val="22"/>
              </w:rPr>
              <w:t>329.15</w:t>
            </w:r>
          </w:p>
        </w:tc>
      </w:tr>
      <w:tr w:rsidR="00A4363F" w:rsidRPr="00243F93" w14:paraId="65D82A22" w14:textId="77777777" w:rsidTr="00D51A98">
        <w:trPr>
          <w:trHeight w:val="285"/>
        </w:trPr>
        <w:tc>
          <w:tcPr>
            <w:tcW w:w="2311" w:type="dxa"/>
            <w:tcBorders>
              <w:top w:val="nil"/>
              <w:left w:val="single" w:sz="4" w:space="0" w:color="auto"/>
              <w:bottom w:val="single" w:sz="4" w:space="0" w:color="auto"/>
              <w:right w:val="single" w:sz="4" w:space="0" w:color="auto"/>
            </w:tcBorders>
            <w:shd w:val="clear" w:color="auto" w:fill="auto"/>
            <w:noWrap/>
            <w:vAlign w:val="bottom"/>
          </w:tcPr>
          <w:p w14:paraId="7CE10B75" w14:textId="30D55755" w:rsidR="00A4363F" w:rsidRPr="00607FB9" w:rsidRDefault="00A4363F" w:rsidP="00D51A98">
            <w:pPr>
              <w:pStyle w:val="TableText"/>
              <w:ind w:left="252" w:right="850"/>
              <w:jc w:val="right"/>
              <w:rPr>
                <w:szCs w:val="22"/>
              </w:rPr>
            </w:pPr>
            <w:r w:rsidRPr="00607FB9">
              <w:rPr>
                <w:szCs w:val="22"/>
              </w:rPr>
              <w:t>16520</w:t>
            </w:r>
          </w:p>
        </w:tc>
        <w:tc>
          <w:tcPr>
            <w:tcW w:w="2356" w:type="dxa"/>
            <w:tcBorders>
              <w:top w:val="nil"/>
              <w:left w:val="nil"/>
              <w:bottom w:val="single" w:sz="4" w:space="0" w:color="auto"/>
              <w:right w:val="single" w:sz="4" w:space="0" w:color="auto"/>
            </w:tcBorders>
            <w:shd w:val="clear" w:color="auto" w:fill="auto"/>
            <w:noWrap/>
            <w:vAlign w:val="bottom"/>
          </w:tcPr>
          <w:p w14:paraId="60819258" w14:textId="038430D3" w:rsidR="00A4363F" w:rsidRPr="00607FB9" w:rsidRDefault="00A4363F" w:rsidP="00A4363F">
            <w:pPr>
              <w:keepNext/>
              <w:keepLines/>
              <w:ind w:left="68"/>
              <w:jc w:val="center"/>
              <w:rPr>
                <w:sz w:val="22"/>
                <w:szCs w:val="22"/>
              </w:rPr>
            </w:pPr>
            <w:r w:rsidRPr="00607FB9">
              <w:rPr>
                <w:sz w:val="22"/>
                <w:szCs w:val="22"/>
              </w:rPr>
              <w:t>329.15</w:t>
            </w:r>
          </w:p>
        </w:tc>
      </w:tr>
      <w:tr w:rsidR="00A4363F" w:rsidRPr="00243F93" w14:paraId="533DC5AF" w14:textId="77777777" w:rsidTr="00D51A98">
        <w:trPr>
          <w:trHeight w:val="285"/>
        </w:trPr>
        <w:tc>
          <w:tcPr>
            <w:tcW w:w="2311" w:type="dxa"/>
            <w:tcBorders>
              <w:top w:val="nil"/>
              <w:left w:val="single" w:sz="4" w:space="0" w:color="auto"/>
              <w:bottom w:val="single" w:sz="4" w:space="0" w:color="auto"/>
              <w:right w:val="single" w:sz="4" w:space="0" w:color="auto"/>
            </w:tcBorders>
            <w:shd w:val="clear" w:color="auto" w:fill="auto"/>
            <w:noWrap/>
            <w:vAlign w:val="bottom"/>
          </w:tcPr>
          <w:p w14:paraId="21AE31C4" w14:textId="03D5AAA3" w:rsidR="00A4363F" w:rsidRPr="00607FB9" w:rsidRDefault="00A4363F" w:rsidP="00D51A98">
            <w:pPr>
              <w:pStyle w:val="TableText"/>
              <w:ind w:left="252" w:right="850"/>
              <w:jc w:val="right"/>
              <w:rPr>
                <w:szCs w:val="22"/>
              </w:rPr>
            </w:pPr>
            <w:r w:rsidRPr="00607FB9">
              <w:rPr>
                <w:szCs w:val="22"/>
              </w:rPr>
              <w:t>16522</w:t>
            </w:r>
          </w:p>
        </w:tc>
        <w:tc>
          <w:tcPr>
            <w:tcW w:w="2356" w:type="dxa"/>
            <w:tcBorders>
              <w:top w:val="nil"/>
              <w:left w:val="nil"/>
              <w:bottom w:val="single" w:sz="4" w:space="0" w:color="auto"/>
              <w:right w:val="single" w:sz="4" w:space="0" w:color="auto"/>
            </w:tcBorders>
            <w:shd w:val="clear" w:color="auto" w:fill="auto"/>
            <w:noWrap/>
            <w:vAlign w:val="bottom"/>
          </w:tcPr>
          <w:p w14:paraId="32B7E0F4" w14:textId="36FFDD72" w:rsidR="00A4363F" w:rsidRPr="00607FB9" w:rsidRDefault="00A4363F" w:rsidP="00A4363F">
            <w:pPr>
              <w:keepNext/>
              <w:keepLines/>
              <w:ind w:left="68"/>
              <w:jc w:val="center"/>
              <w:rPr>
                <w:sz w:val="22"/>
                <w:szCs w:val="22"/>
              </w:rPr>
            </w:pPr>
            <w:r w:rsidRPr="00607FB9">
              <w:rPr>
                <w:sz w:val="22"/>
                <w:szCs w:val="22"/>
              </w:rPr>
              <w:t>438.90</w:t>
            </w:r>
          </w:p>
        </w:tc>
      </w:tr>
      <w:tr w:rsidR="00A4363F" w:rsidRPr="00243F93" w14:paraId="46BCC79B" w14:textId="77777777" w:rsidTr="00D51A98">
        <w:trPr>
          <w:trHeight w:val="285"/>
        </w:trPr>
        <w:tc>
          <w:tcPr>
            <w:tcW w:w="2311" w:type="dxa"/>
            <w:tcBorders>
              <w:top w:val="nil"/>
              <w:left w:val="single" w:sz="4" w:space="0" w:color="auto"/>
              <w:bottom w:val="single" w:sz="4" w:space="0" w:color="auto"/>
              <w:right w:val="single" w:sz="4" w:space="0" w:color="auto"/>
            </w:tcBorders>
            <w:shd w:val="clear" w:color="auto" w:fill="auto"/>
            <w:noWrap/>
            <w:vAlign w:val="bottom"/>
          </w:tcPr>
          <w:p w14:paraId="3B1F4235" w14:textId="53424DFD" w:rsidR="00A4363F" w:rsidRPr="00607FB9" w:rsidRDefault="00A4363F" w:rsidP="00D51A98">
            <w:pPr>
              <w:pStyle w:val="TableText"/>
              <w:ind w:left="252" w:right="850"/>
              <w:jc w:val="right"/>
              <w:rPr>
                <w:szCs w:val="22"/>
              </w:rPr>
            </w:pPr>
            <w:r w:rsidRPr="00607FB9">
              <w:rPr>
                <w:szCs w:val="22"/>
              </w:rPr>
              <w:t>16527</w:t>
            </w:r>
          </w:p>
        </w:tc>
        <w:tc>
          <w:tcPr>
            <w:tcW w:w="2356" w:type="dxa"/>
            <w:tcBorders>
              <w:top w:val="nil"/>
              <w:left w:val="nil"/>
              <w:bottom w:val="single" w:sz="4" w:space="0" w:color="auto"/>
              <w:right w:val="single" w:sz="4" w:space="0" w:color="auto"/>
            </w:tcBorders>
            <w:shd w:val="clear" w:color="auto" w:fill="auto"/>
            <w:noWrap/>
            <w:vAlign w:val="bottom"/>
          </w:tcPr>
          <w:p w14:paraId="393BD08F" w14:textId="31B6C418" w:rsidR="00A4363F" w:rsidRPr="00607FB9" w:rsidRDefault="00A4363F" w:rsidP="00A4363F">
            <w:pPr>
              <w:keepNext/>
              <w:keepLines/>
              <w:ind w:left="68"/>
              <w:jc w:val="center"/>
              <w:rPr>
                <w:sz w:val="22"/>
                <w:szCs w:val="22"/>
              </w:rPr>
            </w:pPr>
            <w:r w:rsidRPr="00607FB9">
              <w:rPr>
                <w:sz w:val="22"/>
                <w:szCs w:val="22"/>
              </w:rPr>
              <w:t>175.60</w:t>
            </w:r>
          </w:p>
        </w:tc>
      </w:tr>
      <w:tr w:rsidR="00A4363F" w:rsidRPr="00243F93" w14:paraId="57CB4F96" w14:textId="77777777" w:rsidTr="00D51A98">
        <w:trPr>
          <w:trHeight w:val="285"/>
        </w:trPr>
        <w:tc>
          <w:tcPr>
            <w:tcW w:w="2311" w:type="dxa"/>
            <w:tcBorders>
              <w:top w:val="nil"/>
              <w:left w:val="single" w:sz="4" w:space="0" w:color="auto"/>
              <w:bottom w:val="single" w:sz="4" w:space="0" w:color="auto"/>
              <w:right w:val="single" w:sz="4" w:space="0" w:color="auto"/>
            </w:tcBorders>
            <w:shd w:val="clear" w:color="auto" w:fill="auto"/>
            <w:noWrap/>
            <w:vAlign w:val="bottom"/>
          </w:tcPr>
          <w:p w14:paraId="67AB9F38" w14:textId="2DB90622" w:rsidR="00A4363F" w:rsidRPr="00607FB9" w:rsidRDefault="00A4363F" w:rsidP="00D51A98">
            <w:pPr>
              <w:pStyle w:val="TableText"/>
              <w:ind w:left="252" w:right="850"/>
              <w:jc w:val="right"/>
              <w:rPr>
                <w:szCs w:val="22"/>
              </w:rPr>
            </w:pPr>
            <w:r w:rsidRPr="00607FB9">
              <w:rPr>
                <w:szCs w:val="22"/>
              </w:rPr>
              <w:t>16528</w:t>
            </w:r>
          </w:p>
        </w:tc>
        <w:tc>
          <w:tcPr>
            <w:tcW w:w="2356" w:type="dxa"/>
            <w:tcBorders>
              <w:top w:val="nil"/>
              <w:left w:val="nil"/>
              <w:bottom w:val="single" w:sz="4" w:space="0" w:color="auto"/>
              <w:right w:val="single" w:sz="4" w:space="0" w:color="auto"/>
            </w:tcBorders>
            <w:shd w:val="clear" w:color="auto" w:fill="auto"/>
            <w:noWrap/>
            <w:vAlign w:val="bottom"/>
          </w:tcPr>
          <w:p w14:paraId="3E08199C" w14:textId="2E2D1B9F" w:rsidR="00A4363F" w:rsidRPr="00607FB9" w:rsidRDefault="00A4363F" w:rsidP="00A4363F">
            <w:pPr>
              <w:keepNext/>
              <w:keepLines/>
              <w:ind w:left="68"/>
              <w:jc w:val="center"/>
              <w:rPr>
                <w:sz w:val="22"/>
                <w:szCs w:val="22"/>
              </w:rPr>
            </w:pPr>
            <w:r w:rsidRPr="00607FB9">
              <w:rPr>
                <w:sz w:val="22"/>
                <w:szCs w:val="22"/>
              </w:rPr>
              <w:t>329.15</w:t>
            </w:r>
          </w:p>
        </w:tc>
      </w:tr>
      <w:tr w:rsidR="00607FB9" w:rsidRPr="00243F93" w14:paraId="27B8C052" w14:textId="77777777" w:rsidTr="00D51A98">
        <w:trPr>
          <w:trHeight w:val="285"/>
        </w:trPr>
        <w:tc>
          <w:tcPr>
            <w:tcW w:w="2311" w:type="dxa"/>
            <w:tcBorders>
              <w:top w:val="nil"/>
              <w:left w:val="single" w:sz="4" w:space="0" w:color="auto"/>
              <w:bottom w:val="single" w:sz="4" w:space="0" w:color="auto"/>
              <w:right w:val="single" w:sz="4" w:space="0" w:color="auto"/>
            </w:tcBorders>
            <w:shd w:val="clear" w:color="auto" w:fill="auto"/>
            <w:noWrap/>
            <w:vAlign w:val="bottom"/>
          </w:tcPr>
          <w:p w14:paraId="7F08FF76" w14:textId="75B6D311" w:rsidR="00607FB9" w:rsidRPr="002D56D5" w:rsidRDefault="00607FB9" w:rsidP="00D51A98">
            <w:pPr>
              <w:pStyle w:val="TableText"/>
              <w:ind w:left="252" w:right="850"/>
              <w:jc w:val="right"/>
              <w:rPr>
                <w:szCs w:val="22"/>
              </w:rPr>
            </w:pPr>
            <w:r w:rsidRPr="002D56D5">
              <w:rPr>
                <w:szCs w:val="22"/>
              </w:rPr>
              <w:t>16530</w:t>
            </w:r>
          </w:p>
        </w:tc>
        <w:tc>
          <w:tcPr>
            <w:tcW w:w="2356" w:type="dxa"/>
            <w:tcBorders>
              <w:top w:val="nil"/>
              <w:left w:val="nil"/>
              <w:bottom w:val="single" w:sz="4" w:space="0" w:color="auto"/>
              <w:right w:val="single" w:sz="4" w:space="0" w:color="auto"/>
            </w:tcBorders>
            <w:shd w:val="clear" w:color="auto" w:fill="auto"/>
            <w:noWrap/>
            <w:vAlign w:val="bottom"/>
          </w:tcPr>
          <w:p w14:paraId="173D5A2A" w14:textId="45BBF33B" w:rsidR="00607FB9" w:rsidRPr="002D56D5" w:rsidRDefault="00607FB9" w:rsidP="00A4363F">
            <w:pPr>
              <w:keepNext/>
              <w:keepLines/>
              <w:ind w:left="68"/>
              <w:jc w:val="center"/>
              <w:rPr>
                <w:sz w:val="22"/>
                <w:szCs w:val="22"/>
              </w:rPr>
            </w:pPr>
            <w:r w:rsidRPr="002D56D5">
              <w:t>65 percent of the Schedule fee for the item</w:t>
            </w:r>
          </w:p>
        </w:tc>
      </w:tr>
      <w:tr w:rsidR="00607FB9" w:rsidRPr="00243F93" w14:paraId="583BF9BB" w14:textId="77777777" w:rsidTr="00D51A98">
        <w:trPr>
          <w:trHeight w:val="285"/>
        </w:trPr>
        <w:tc>
          <w:tcPr>
            <w:tcW w:w="2311" w:type="dxa"/>
            <w:tcBorders>
              <w:top w:val="nil"/>
              <w:left w:val="single" w:sz="4" w:space="0" w:color="auto"/>
              <w:bottom w:val="single" w:sz="4" w:space="0" w:color="auto"/>
              <w:right w:val="single" w:sz="4" w:space="0" w:color="auto"/>
            </w:tcBorders>
            <w:shd w:val="clear" w:color="auto" w:fill="auto"/>
            <w:noWrap/>
            <w:vAlign w:val="bottom"/>
          </w:tcPr>
          <w:p w14:paraId="4DDD69CB" w14:textId="0FE85560" w:rsidR="00607FB9" w:rsidRPr="002D56D5" w:rsidRDefault="00607FB9" w:rsidP="00D51A98">
            <w:pPr>
              <w:pStyle w:val="TableText"/>
              <w:ind w:left="252" w:right="850"/>
              <w:jc w:val="right"/>
              <w:rPr>
                <w:szCs w:val="22"/>
              </w:rPr>
            </w:pPr>
            <w:r w:rsidRPr="002D56D5">
              <w:rPr>
                <w:szCs w:val="22"/>
              </w:rPr>
              <w:t>16531</w:t>
            </w:r>
          </w:p>
        </w:tc>
        <w:tc>
          <w:tcPr>
            <w:tcW w:w="2356" w:type="dxa"/>
            <w:tcBorders>
              <w:top w:val="nil"/>
              <w:left w:val="nil"/>
              <w:bottom w:val="single" w:sz="4" w:space="0" w:color="auto"/>
              <w:right w:val="single" w:sz="4" w:space="0" w:color="auto"/>
            </w:tcBorders>
            <w:shd w:val="clear" w:color="auto" w:fill="auto"/>
            <w:noWrap/>
            <w:vAlign w:val="bottom"/>
          </w:tcPr>
          <w:p w14:paraId="4230766D" w14:textId="5D3F4D5E" w:rsidR="00607FB9" w:rsidRPr="002D56D5" w:rsidRDefault="00607FB9" w:rsidP="00A4363F">
            <w:pPr>
              <w:keepNext/>
              <w:keepLines/>
              <w:ind w:left="68"/>
              <w:jc w:val="center"/>
            </w:pPr>
            <w:r w:rsidRPr="002D56D5">
              <w:t>65 percent of the Schedule fee for the item</w:t>
            </w:r>
          </w:p>
        </w:tc>
      </w:tr>
      <w:tr w:rsidR="00607FB9" w:rsidRPr="00243F93" w14:paraId="4E05C2F2" w14:textId="77777777" w:rsidTr="00D51A98">
        <w:trPr>
          <w:trHeight w:val="285"/>
        </w:trPr>
        <w:tc>
          <w:tcPr>
            <w:tcW w:w="2311" w:type="dxa"/>
            <w:tcBorders>
              <w:top w:val="nil"/>
              <w:left w:val="single" w:sz="4" w:space="0" w:color="auto"/>
              <w:bottom w:val="single" w:sz="4" w:space="0" w:color="auto"/>
              <w:right w:val="single" w:sz="4" w:space="0" w:color="auto"/>
            </w:tcBorders>
            <w:shd w:val="clear" w:color="auto" w:fill="auto"/>
            <w:noWrap/>
            <w:vAlign w:val="bottom"/>
          </w:tcPr>
          <w:p w14:paraId="0C7C9CBF" w14:textId="4E149F52" w:rsidR="00607FB9" w:rsidRPr="002D56D5" w:rsidRDefault="00607FB9" w:rsidP="00D51A98">
            <w:pPr>
              <w:pStyle w:val="TableText"/>
              <w:ind w:left="252" w:right="850"/>
              <w:jc w:val="right"/>
              <w:rPr>
                <w:szCs w:val="22"/>
              </w:rPr>
            </w:pPr>
            <w:r w:rsidRPr="002D56D5">
              <w:rPr>
                <w:szCs w:val="22"/>
              </w:rPr>
              <w:t>16533</w:t>
            </w:r>
          </w:p>
        </w:tc>
        <w:tc>
          <w:tcPr>
            <w:tcW w:w="2356" w:type="dxa"/>
            <w:tcBorders>
              <w:top w:val="nil"/>
              <w:left w:val="nil"/>
              <w:bottom w:val="single" w:sz="4" w:space="0" w:color="auto"/>
              <w:right w:val="single" w:sz="4" w:space="0" w:color="auto"/>
            </w:tcBorders>
            <w:shd w:val="clear" w:color="auto" w:fill="auto"/>
            <w:noWrap/>
            <w:vAlign w:val="bottom"/>
          </w:tcPr>
          <w:p w14:paraId="239609E1" w14:textId="3647D289" w:rsidR="00607FB9" w:rsidRPr="002D56D5" w:rsidRDefault="00607FB9" w:rsidP="00A4363F">
            <w:pPr>
              <w:keepNext/>
              <w:keepLines/>
              <w:ind w:left="68"/>
              <w:jc w:val="center"/>
              <w:rPr>
                <w:sz w:val="22"/>
                <w:szCs w:val="22"/>
              </w:rPr>
            </w:pPr>
            <w:r w:rsidRPr="002D56D5">
              <w:t>65 percent of the Schedule fee for the item</w:t>
            </w:r>
          </w:p>
        </w:tc>
      </w:tr>
      <w:tr w:rsidR="00607FB9" w:rsidRPr="00243F93" w14:paraId="7D09B1EE" w14:textId="77777777" w:rsidTr="00D51A98">
        <w:trPr>
          <w:trHeight w:val="285"/>
        </w:trPr>
        <w:tc>
          <w:tcPr>
            <w:tcW w:w="2311" w:type="dxa"/>
            <w:tcBorders>
              <w:top w:val="nil"/>
              <w:left w:val="single" w:sz="4" w:space="0" w:color="auto"/>
              <w:bottom w:val="single" w:sz="4" w:space="0" w:color="auto"/>
              <w:right w:val="single" w:sz="4" w:space="0" w:color="auto"/>
            </w:tcBorders>
            <w:shd w:val="clear" w:color="auto" w:fill="auto"/>
            <w:noWrap/>
            <w:vAlign w:val="bottom"/>
          </w:tcPr>
          <w:p w14:paraId="0324687A" w14:textId="77FBF09E" w:rsidR="00607FB9" w:rsidRPr="002D56D5" w:rsidRDefault="00607FB9" w:rsidP="00D51A98">
            <w:pPr>
              <w:pStyle w:val="TableText"/>
              <w:ind w:left="252" w:right="850"/>
              <w:jc w:val="right"/>
              <w:rPr>
                <w:szCs w:val="22"/>
              </w:rPr>
            </w:pPr>
            <w:r w:rsidRPr="002D56D5">
              <w:rPr>
                <w:szCs w:val="22"/>
              </w:rPr>
              <w:t>16534</w:t>
            </w:r>
          </w:p>
        </w:tc>
        <w:tc>
          <w:tcPr>
            <w:tcW w:w="2356" w:type="dxa"/>
            <w:tcBorders>
              <w:top w:val="nil"/>
              <w:left w:val="nil"/>
              <w:bottom w:val="single" w:sz="4" w:space="0" w:color="auto"/>
              <w:right w:val="single" w:sz="4" w:space="0" w:color="auto"/>
            </w:tcBorders>
            <w:shd w:val="clear" w:color="auto" w:fill="auto"/>
            <w:noWrap/>
            <w:vAlign w:val="bottom"/>
          </w:tcPr>
          <w:p w14:paraId="26C8B663" w14:textId="31C4224F" w:rsidR="00607FB9" w:rsidRPr="002D56D5" w:rsidRDefault="00607FB9" w:rsidP="00A4363F">
            <w:pPr>
              <w:keepNext/>
              <w:keepLines/>
              <w:ind w:left="68"/>
              <w:jc w:val="center"/>
            </w:pPr>
            <w:r w:rsidRPr="002D56D5">
              <w:t>65 percent of the Schedule fee for the item</w:t>
            </w:r>
          </w:p>
        </w:tc>
      </w:tr>
      <w:tr w:rsidR="00A4363F" w:rsidRPr="00243F93" w14:paraId="52B6CD13" w14:textId="77777777" w:rsidTr="00D51A98">
        <w:trPr>
          <w:trHeight w:val="285"/>
        </w:trPr>
        <w:tc>
          <w:tcPr>
            <w:tcW w:w="2311" w:type="dxa"/>
            <w:tcBorders>
              <w:top w:val="nil"/>
              <w:left w:val="single" w:sz="4" w:space="0" w:color="auto"/>
              <w:bottom w:val="single" w:sz="4" w:space="0" w:color="auto"/>
              <w:right w:val="single" w:sz="4" w:space="0" w:color="auto"/>
            </w:tcBorders>
            <w:shd w:val="clear" w:color="auto" w:fill="auto"/>
            <w:noWrap/>
            <w:vAlign w:val="bottom"/>
          </w:tcPr>
          <w:p w14:paraId="09690831" w14:textId="49E6339C" w:rsidR="00A4363F" w:rsidRPr="00607FB9" w:rsidRDefault="00A4363F" w:rsidP="00D51A98">
            <w:pPr>
              <w:pStyle w:val="TableText"/>
              <w:ind w:left="252" w:right="850"/>
              <w:jc w:val="right"/>
              <w:rPr>
                <w:szCs w:val="22"/>
              </w:rPr>
            </w:pPr>
            <w:r w:rsidRPr="00607FB9">
              <w:rPr>
                <w:szCs w:val="22"/>
              </w:rPr>
              <w:t>16564</w:t>
            </w:r>
          </w:p>
        </w:tc>
        <w:tc>
          <w:tcPr>
            <w:tcW w:w="2356" w:type="dxa"/>
            <w:tcBorders>
              <w:top w:val="nil"/>
              <w:left w:val="nil"/>
              <w:bottom w:val="single" w:sz="4" w:space="0" w:color="auto"/>
              <w:right w:val="single" w:sz="4" w:space="0" w:color="auto"/>
            </w:tcBorders>
            <w:shd w:val="clear" w:color="auto" w:fill="auto"/>
            <w:noWrap/>
            <w:vAlign w:val="bottom"/>
          </w:tcPr>
          <w:p w14:paraId="1D6BFC32" w14:textId="1F56BC1E" w:rsidR="00A4363F" w:rsidRPr="00607FB9" w:rsidRDefault="00A4363F" w:rsidP="00A4363F">
            <w:pPr>
              <w:keepNext/>
              <w:keepLines/>
              <w:ind w:left="68"/>
              <w:jc w:val="center"/>
              <w:rPr>
                <w:sz w:val="22"/>
                <w:szCs w:val="22"/>
              </w:rPr>
            </w:pPr>
            <w:r w:rsidRPr="00607FB9">
              <w:rPr>
                <w:sz w:val="22"/>
                <w:szCs w:val="22"/>
              </w:rPr>
              <w:t>219.45</w:t>
            </w:r>
          </w:p>
        </w:tc>
      </w:tr>
      <w:tr w:rsidR="00A4363F" w:rsidRPr="00243F93" w14:paraId="04107E19" w14:textId="77777777" w:rsidTr="00D51A98">
        <w:trPr>
          <w:trHeight w:val="285"/>
        </w:trPr>
        <w:tc>
          <w:tcPr>
            <w:tcW w:w="2311" w:type="dxa"/>
            <w:tcBorders>
              <w:top w:val="nil"/>
              <w:left w:val="single" w:sz="4" w:space="0" w:color="auto"/>
              <w:bottom w:val="single" w:sz="4" w:space="0" w:color="auto"/>
              <w:right w:val="single" w:sz="4" w:space="0" w:color="auto"/>
            </w:tcBorders>
            <w:shd w:val="clear" w:color="auto" w:fill="auto"/>
            <w:noWrap/>
            <w:vAlign w:val="bottom"/>
          </w:tcPr>
          <w:p w14:paraId="6F8FCC8F" w14:textId="07C232DE" w:rsidR="00A4363F" w:rsidRPr="00607FB9" w:rsidRDefault="00A4363F" w:rsidP="00D51A98">
            <w:pPr>
              <w:pStyle w:val="TableText"/>
              <w:ind w:left="252" w:right="850"/>
              <w:jc w:val="right"/>
              <w:rPr>
                <w:szCs w:val="22"/>
              </w:rPr>
            </w:pPr>
            <w:r w:rsidRPr="00607FB9">
              <w:rPr>
                <w:szCs w:val="22"/>
              </w:rPr>
              <w:t>16567</w:t>
            </w:r>
          </w:p>
        </w:tc>
        <w:tc>
          <w:tcPr>
            <w:tcW w:w="2356" w:type="dxa"/>
            <w:tcBorders>
              <w:top w:val="nil"/>
              <w:left w:val="nil"/>
              <w:bottom w:val="single" w:sz="4" w:space="0" w:color="auto"/>
              <w:right w:val="single" w:sz="4" w:space="0" w:color="auto"/>
            </w:tcBorders>
            <w:shd w:val="clear" w:color="auto" w:fill="auto"/>
            <w:noWrap/>
            <w:vAlign w:val="bottom"/>
          </w:tcPr>
          <w:p w14:paraId="7AA76D13" w14:textId="40262173" w:rsidR="00A4363F" w:rsidRPr="00607FB9" w:rsidRDefault="00A4363F" w:rsidP="00A4363F">
            <w:pPr>
              <w:keepNext/>
              <w:keepLines/>
              <w:ind w:left="68"/>
              <w:jc w:val="center"/>
              <w:rPr>
                <w:sz w:val="22"/>
                <w:szCs w:val="22"/>
              </w:rPr>
            </w:pPr>
            <w:r w:rsidRPr="00607FB9">
              <w:rPr>
                <w:sz w:val="22"/>
                <w:szCs w:val="22"/>
              </w:rPr>
              <w:t>219.45</w:t>
            </w:r>
          </w:p>
        </w:tc>
      </w:tr>
      <w:tr w:rsidR="00A4363F" w:rsidRPr="00243F93" w14:paraId="07E0B27A" w14:textId="77777777" w:rsidTr="00D51A98">
        <w:trPr>
          <w:trHeight w:val="285"/>
        </w:trPr>
        <w:tc>
          <w:tcPr>
            <w:tcW w:w="2311" w:type="dxa"/>
            <w:tcBorders>
              <w:top w:val="nil"/>
              <w:left w:val="single" w:sz="4" w:space="0" w:color="auto"/>
              <w:bottom w:val="single" w:sz="4" w:space="0" w:color="auto"/>
              <w:right w:val="single" w:sz="4" w:space="0" w:color="auto"/>
            </w:tcBorders>
            <w:shd w:val="clear" w:color="auto" w:fill="auto"/>
            <w:noWrap/>
            <w:vAlign w:val="bottom"/>
          </w:tcPr>
          <w:p w14:paraId="64461466" w14:textId="522B9C0E" w:rsidR="00A4363F" w:rsidRPr="00607FB9" w:rsidRDefault="00A4363F" w:rsidP="00D51A98">
            <w:pPr>
              <w:pStyle w:val="TableText"/>
              <w:ind w:left="252" w:right="850"/>
              <w:jc w:val="right"/>
              <w:rPr>
                <w:szCs w:val="22"/>
              </w:rPr>
            </w:pPr>
            <w:r w:rsidRPr="00607FB9">
              <w:rPr>
                <w:szCs w:val="22"/>
              </w:rPr>
              <w:t>16570</w:t>
            </w:r>
          </w:p>
        </w:tc>
        <w:tc>
          <w:tcPr>
            <w:tcW w:w="2356" w:type="dxa"/>
            <w:tcBorders>
              <w:top w:val="nil"/>
              <w:left w:val="nil"/>
              <w:bottom w:val="single" w:sz="4" w:space="0" w:color="auto"/>
              <w:right w:val="single" w:sz="4" w:space="0" w:color="auto"/>
            </w:tcBorders>
            <w:shd w:val="clear" w:color="auto" w:fill="auto"/>
            <w:noWrap/>
            <w:vAlign w:val="bottom"/>
          </w:tcPr>
          <w:p w14:paraId="6F897880" w14:textId="6E0EA597" w:rsidR="00A4363F" w:rsidRPr="00607FB9" w:rsidRDefault="00A4363F" w:rsidP="00A4363F">
            <w:pPr>
              <w:keepNext/>
              <w:keepLines/>
              <w:ind w:left="68"/>
              <w:jc w:val="center"/>
              <w:rPr>
                <w:sz w:val="22"/>
                <w:szCs w:val="22"/>
              </w:rPr>
            </w:pPr>
            <w:r w:rsidRPr="00607FB9">
              <w:rPr>
                <w:sz w:val="22"/>
                <w:szCs w:val="22"/>
              </w:rPr>
              <w:t>219.45</w:t>
            </w:r>
          </w:p>
        </w:tc>
      </w:tr>
      <w:tr w:rsidR="00A4363F" w:rsidRPr="00243F93" w14:paraId="5E8AB54A" w14:textId="77777777" w:rsidTr="00D51A98">
        <w:trPr>
          <w:trHeight w:val="285"/>
        </w:trPr>
        <w:tc>
          <w:tcPr>
            <w:tcW w:w="2311" w:type="dxa"/>
            <w:tcBorders>
              <w:top w:val="nil"/>
              <w:left w:val="single" w:sz="4" w:space="0" w:color="auto"/>
              <w:bottom w:val="single" w:sz="4" w:space="0" w:color="auto"/>
              <w:right w:val="single" w:sz="4" w:space="0" w:color="auto"/>
            </w:tcBorders>
            <w:shd w:val="clear" w:color="auto" w:fill="auto"/>
            <w:noWrap/>
            <w:vAlign w:val="bottom"/>
          </w:tcPr>
          <w:p w14:paraId="27814026" w14:textId="0A59C282" w:rsidR="00A4363F" w:rsidRPr="00607FB9" w:rsidRDefault="00A4363F" w:rsidP="00D51A98">
            <w:pPr>
              <w:pStyle w:val="TableText"/>
              <w:ind w:left="252" w:right="850"/>
              <w:jc w:val="right"/>
              <w:rPr>
                <w:szCs w:val="22"/>
              </w:rPr>
            </w:pPr>
            <w:r w:rsidRPr="00607FB9">
              <w:rPr>
                <w:szCs w:val="22"/>
              </w:rPr>
              <w:t>16571</w:t>
            </w:r>
          </w:p>
        </w:tc>
        <w:tc>
          <w:tcPr>
            <w:tcW w:w="2356" w:type="dxa"/>
            <w:tcBorders>
              <w:top w:val="nil"/>
              <w:left w:val="nil"/>
              <w:bottom w:val="single" w:sz="4" w:space="0" w:color="auto"/>
              <w:right w:val="single" w:sz="4" w:space="0" w:color="auto"/>
            </w:tcBorders>
            <w:shd w:val="clear" w:color="auto" w:fill="auto"/>
            <w:noWrap/>
            <w:vAlign w:val="bottom"/>
          </w:tcPr>
          <w:p w14:paraId="2486B2EB" w14:textId="3087BAE9" w:rsidR="00A4363F" w:rsidRPr="00607FB9" w:rsidRDefault="00A4363F" w:rsidP="00A4363F">
            <w:pPr>
              <w:keepNext/>
              <w:keepLines/>
              <w:ind w:left="68"/>
              <w:jc w:val="center"/>
              <w:rPr>
                <w:sz w:val="22"/>
                <w:szCs w:val="22"/>
              </w:rPr>
            </w:pPr>
            <w:r w:rsidRPr="00607FB9">
              <w:rPr>
                <w:sz w:val="22"/>
                <w:szCs w:val="22"/>
              </w:rPr>
              <w:t>219.45</w:t>
            </w:r>
          </w:p>
        </w:tc>
      </w:tr>
      <w:tr w:rsidR="00A4363F" w:rsidRPr="00243F93" w14:paraId="0240D5EA" w14:textId="77777777" w:rsidTr="00D51A98">
        <w:trPr>
          <w:trHeight w:val="285"/>
        </w:trPr>
        <w:tc>
          <w:tcPr>
            <w:tcW w:w="2311" w:type="dxa"/>
            <w:tcBorders>
              <w:top w:val="nil"/>
              <w:left w:val="single" w:sz="4" w:space="0" w:color="auto"/>
              <w:bottom w:val="single" w:sz="4" w:space="0" w:color="auto"/>
              <w:right w:val="single" w:sz="4" w:space="0" w:color="auto"/>
            </w:tcBorders>
            <w:shd w:val="clear" w:color="auto" w:fill="auto"/>
            <w:noWrap/>
            <w:vAlign w:val="bottom"/>
          </w:tcPr>
          <w:p w14:paraId="626C4863" w14:textId="0C5B276F" w:rsidR="00A4363F" w:rsidRPr="00607FB9" w:rsidRDefault="00A4363F" w:rsidP="00D51A98">
            <w:pPr>
              <w:pStyle w:val="TableText"/>
              <w:ind w:left="252" w:right="850"/>
              <w:jc w:val="right"/>
              <w:rPr>
                <w:szCs w:val="22"/>
              </w:rPr>
            </w:pPr>
            <w:r w:rsidRPr="00607FB9">
              <w:rPr>
                <w:szCs w:val="22"/>
              </w:rPr>
              <w:t>16573</w:t>
            </w:r>
          </w:p>
        </w:tc>
        <w:tc>
          <w:tcPr>
            <w:tcW w:w="2356" w:type="dxa"/>
            <w:tcBorders>
              <w:top w:val="nil"/>
              <w:left w:val="nil"/>
              <w:bottom w:val="single" w:sz="4" w:space="0" w:color="auto"/>
              <w:right w:val="single" w:sz="4" w:space="0" w:color="auto"/>
            </w:tcBorders>
            <w:shd w:val="clear" w:color="auto" w:fill="auto"/>
            <w:noWrap/>
            <w:vAlign w:val="bottom"/>
          </w:tcPr>
          <w:p w14:paraId="6F21E450" w14:textId="2004945C" w:rsidR="00A4363F" w:rsidRPr="00607FB9" w:rsidRDefault="00A4363F" w:rsidP="00A4363F">
            <w:pPr>
              <w:keepNext/>
              <w:keepLines/>
              <w:ind w:left="68"/>
              <w:jc w:val="center"/>
              <w:rPr>
                <w:sz w:val="22"/>
                <w:szCs w:val="22"/>
              </w:rPr>
            </w:pPr>
            <w:r w:rsidRPr="00607FB9">
              <w:rPr>
                <w:sz w:val="22"/>
                <w:szCs w:val="22"/>
              </w:rPr>
              <w:t>219.45</w:t>
            </w:r>
          </w:p>
        </w:tc>
      </w:tr>
      <w:tr w:rsidR="00A4363F" w:rsidRPr="00243F93" w14:paraId="5250DFB4" w14:textId="77777777" w:rsidTr="00D51A98">
        <w:trPr>
          <w:trHeight w:val="285"/>
        </w:trPr>
        <w:tc>
          <w:tcPr>
            <w:tcW w:w="2311" w:type="dxa"/>
            <w:tcBorders>
              <w:top w:val="nil"/>
              <w:left w:val="single" w:sz="4" w:space="0" w:color="auto"/>
              <w:bottom w:val="single" w:sz="4" w:space="0" w:color="auto"/>
              <w:right w:val="single" w:sz="4" w:space="0" w:color="auto"/>
            </w:tcBorders>
            <w:shd w:val="clear" w:color="auto" w:fill="auto"/>
            <w:noWrap/>
            <w:vAlign w:val="bottom"/>
          </w:tcPr>
          <w:p w14:paraId="4D5137BF" w14:textId="03A2CB85" w:rsidR="00A4363F" w:rsidRPr="00607FB9" w:rsidRDefault="00A4363F" w:rsidP="00D51A98">
            <w:pPr>
              <w:pStyle w:val="TableText"/>
              <w:ind w:left="252" w:right="850"/>
              <w:jc w:val="right"/>
              <w:rPr>
                <w:szCs w:val="22"/>
              </w:rPr>
            </w:pPr>
            <w:r w:rsidRPr="00607FB9">
              <w:rPr>
                <w:szCs w:val="22"/>
              </w:rPr>
              <w:t>16590</w:t>
            </w:r>
          </w:p>
        </w:tc>
        <w:tc>
          <w:tcPr>
            <w:tcW w:w="2356" w:type="dxa"/>
            <w:tcBorders>
              <w:top w:val="nil"/>
              <w:left w:val="nil"/>
              <w:bottom w:val="single" w:sz="4" w:space="0" w:color="auto"/>
              <w:right w:val="single" w:sz="4" w:space="0" w:color="auto"/>
            </w:tcBorders>
            <w:shd w:val="clear" w:color="auto" w:fill="auto"/>
            <w:noWrap/>
            <w:vAlign w:val="bottom"/>
          </w:tcPr>
          <w:p w14:paraId="3FD465C4" w14:textId="1766599A" w:rsidR="00A4363F" w:rsidRPr="00607FB9" w:rsidRDefault="00A4363F" w:rsidP="00A4363F">
            <w:pPr>
              <w:keepNext/>
              <w:keepLines/>
              <w:ind w:left="68"/>
              <w:jc w:val="center"/>
              <w:rPr>
                <w:sz w:val="22"/>
                <w:szCs w:val="22"/>
              </w:rPr>
            </w:pPr>
            <w:r w:rsidRPr="00607FB9">
              <w:rPr>
                <w:sz w:val="22"/>
                <w:szCs w:val="22"/>
              </w:rPr>
              <w:t>219.45</w:t>
            </w:r>
          </w:p>
        </w:tc>
      </w:tr>
      <w:tr w:rsidR="00A4363F" w:rsidRPr="00243F93" w14:paraId="64D98DEB" w14:textId="77777777" w:rsidTr="00D51A98">
        <w:trPr>
          <w:trHeight w:val="285"/>
        </w:trPr>
        <w:tc>
          <w:tcPr>
            <w:tcW w:w="2311" w:type="dxa"/>
            <w:tcBorders>
              <w:top w:val="nil"/>
              <w:left w:val="single" w:sz="4" w:space="0" w:color="auto"/>
              <w:bottom w:val="single" w:sz="4" w:space="0" w:color="auto"/>
              <w:right w:val="single" w:sz="4" w:space="0" w:color="auto"/>
            </w:tcBorders>
            <w:shd w:val="clear" w:color="auto" w:fill="auto"/>
            <w:noWrap/>
            <w:vAlign w:val="bottom"/>
          </w:tcPr>
          <w:p w14:paraId="557EA419" w14:textId="09265D3F" w:rsidR="00A4363F" w:rsidRPr="00607FB9" w:rsidRDefault="00A4363F" w:rsidP="00D51A98">
            <w:pPr>
              <w:pStyle w:val="TableText"/>
              <w:ind w:left="252" w:right="850"/>
              <w:jc w:val="right"/>
              <w:rPr>
                <w:szCs w:val="22"/>
              </w:rPr>
            </w:pPr>
            <w:r w:rsidRPr="00607FB9">
              <w:rPr>
                <w:szCs w:val="22"/>
              </w:rPr>
              <w:lastRenderedPageBreak/>
              <w:t>16591</w:t>
            </w:r>
          </w:p>
        </w:tc>
        <w:tc>
          <w:tcPr>
            <w:tcW w:w="2356" w:type="dxa"/>
            <w:tcBorders>
              <w:top w:val="nil"/>
              <w:left w:val="nil"/>
              <w:bottom w:val="single" w:sz="4" w:space="0" w:color="auto"/>
              <w:right w:val="single" w:sz="4" w:space="0" w:color="auto"/>
            </w:tcBorders>
            <w:shd w:val="clear" w:color="auto" w:fill="auto"/>
            <w:noWrap/>
            <w:vAlign w:val="bottom"/>
          </w:tcPr>
          <w:p w14:paraId="766A3E00" w14:textId="1FD3EA71" w:rsidR="00A4363F" w:rsidRPr="00607FB9" w:rsidRDefault="00A4363F" w:rsidP="00A4363F">
            <w:pPr>
              <w:keepNext/>
              <w:keepLines/>
              <w:ind w:left="68"/>
              <w:jc w:val="center"/>
              <w:rPr>
                <w:sz w:val="22"/>
                <w:szCs w:val="22"/>
              </w:rPr>
            </w:pPr>
            <w:r w:rsidRPr="00607FB9">
              <w:rPr>
                <w:sz w:val="22"/>
                <w:szCs w:val="22"/>
              </w:rPr>
              <w:t>109.75</w:t>
            </w:r>
          </w:p>
        </w:tc>
      </w:tr>
      <w:tr w:rsidR="00A4363F" w:rsidRPr="00243F93" w14:paraId="6180CEC0" w14:textId="77777777" w:rsidTr="00D51A98">
        <w:trPr>
          <w:trHeight w:val="285"/>
        </w:trPr>
        <w:tc>
          <w:tcPr>
            <w:tcW w:w="2311" w:type="dxa"/>
            <w:tcBorders>
              <w:top w:val="nil"/>
              <w:left w:val="single" w:sz="4" w:space="0" w:color="auto"/>
              <w:bottom w:val="single" w:sz="4" w:space="0" w:color="auto"/>
              <w:right w:val="single" w:sz="4" w:space="0" w:color="auto"/>
            </w:tcBorders>
            <w:shd w:val="clear" w:color="auto" w:fill="auto"/>
            <w:noWrap/>
            <w:vAlign w:val="bottom"/>
          </w:tcPr>
          <w:p w14:paraId="05C84E83" w14:textId="25888061" w:rsidR="00A4363F" w:rsidRPr="00607FB9" w:rsidRDefault="00A4363F" w:rsidP="00D51A98">
            <w:pPr>
              <w:pStyle w:val="TableText"/>
              <w:ind w:left="252" w:right="850"/>
              <w:jc w:val="right"/>
              <w:rPr>
                <w:szCs w:val="22"/>
              </w:rPr>
            </w:pPr>
            <w:r w:rsidRPr="00607FB9">
              <w:rPr>
                <w:szCs w:val="22"/>
              </w:rPr>
              <w:t>16600</w:t>
            </w:r>
          </w:p>
        </w:tc>
        <w:tc>
          <w:tcPr>
            <w:tcW w:w="2356" w:type="dxa"/>
            <w:tcBorders>
              <w:top w:val="nil"/>
              <w:left w:val="nil"/>
              <w:bottom w:val="single" w:sz="4" w:space="0" w:color="auto"/>
              <w:right w:val="single" w:sz="4" w:space="0" w:color="auto"/>
            </w:tcBorders>
            <w:shd w:val="clear" w:color="auto" w:fill="auto"/>
            <w:noWrap/>
            <w:vAlign w:val="bottom"/>
          </w:tcPr>
          <w:p w14:paraId="7078B33B" w14:textId="00B1E0E9" w:rsidR="00A4363F" w:rsidRPr="00607FB9" w:rsidRDefault="00A4363F" w:rsidP="00A4363F">
            <w:pPr>
              <w:keepNext/>
              <w:keepLines/>
              <w:ind w:left="68"/>
              <w:jc w:val="center"/>
              <w:rPr>
                <w:sz w:val="22"/>
                <w:szCs w:val="22"/>
              </w:rPr>
            </w:pPr>
            <w:r w:rsidRPr="00607FB9">
              <w:rPr>
                <w:sz w:val="22"/>
                <w:szCs w:val="22"/>
              </w:rPr>
              <w:t>32.95</w:t>
            </w:r>
          </w:p>
        </w:tc>
      </w:tr>
      <w:tr w:rsidR="00A4363F" w:rsidRPr="00243F93" w14:paraId="44E59381" w14:textId="77777777" w:rsidTr="00D51A98">
        <w:trPr>
          <w:trHeight w:val="285"/>
        </w:trPr>
        <w:tc>
          <w:tcPr>
            <w:tcW w:w="2311" w:type="dxa"/>
            <w:tcBorders>
              <w:top w:val="nil"/>
              <w:left w:val="single" w:sz="4" w:space="0" w:color="auto"/>
              <w:bottom w:val="single" w:sz="4" w:space="0" w:color="auto"/>
              <w:right w:val="single" w:sz="4" w:space="0" w:color="auto"/>
            </w:tcBorders>
            <w:shd w:val="clear" w:color="auto" w:fill="auto"/>
            <w:noWrap/>
            <w:vAlign w:val="bottom"/>
          </w:tcPr>
          <w:p w14:paraId="0CE54094" w14:textId="36589FBE" w:rsidR="00A4363F" w:rsidRPr="00607FB9" w:rsidRDefault="00A4363F" w:rsidP="00D51A98">
            <w:pPr>
              <w:pStyle w:val="TableText"/>
              <w:ind w:left="252" w:right="850"/>
              <w:jc w:val="right"/>
              <w:rPr>
                <w:szCs w:val="22"/>
              </w:rPr>
            </w:pPr>
            <w:r w:rsidRPr="00607FB9">
              <w:rPr>
                <w:szCs w:val="22"/>
              </w:rPr>
              <w:t>16603</w:t>
            </w:r>
          </w:p>
        </w:tc>
        <w:tc>
          <w:tcPr>
            <w:tcW w:w="2356" w:type="dxa"/>
            <w:tcBorders>
              <w:top w:val="nil"/>
              <w:left w:val="nil"/>
              <w:bottom w:val="single" w:sz="4" w:space="0" w:color="auto"/>
              <w:right w:val="single" w:sz="4" w:space="0" w:color="auto"/>
            </w:tcBorders>
            <w:shd w:val="clear" w:color="auto" w:fill="auto"/>
            <w:noWrap/>
            <w:vAlign w:val="bottom"/>
          </w:tcPr>
          <w:p w14:paraId="51EB248A" w14:textId="00F51ABD" w:rsidR="00A4363F" w:rsidRPr="00607FB9" w:rsidRDefault="00A4363F" w:rsidP="00A4363F">
            <w:pPr>
              <w:keepNext/>
              <w:keepLines/>
              <w:ind w:left="68"/>
              <w:jc w:val="center"/>
              <w:rPr>
                <w:sz w:val="22"/>
                <w:szCs w:val="22"/>
              </w:rPr>
            </w:pPr>
            <w:r w:rsidRPr="00607FB9">
              <w:rPr>
                <w:sz w:val="22"/>
                <w:szCs w:val="22"/>
              </w:rPr>
              <w:t>65.90</w:t>
            </w:r>
          </w:p>
        </w:tc>
      </w:tr>
      <w:tr w:rsidR="00A4363F" w:rsidRPr="00243F93" w14:paraId="7F91C4CA" w14:textId="77777777" w:rsidTr="00D51A98">
        <w:trPr>
          <w:trHeight w:val="285"/>
        </w:trPr>
        <w:tc>
          <w:tcPr>
            <w:tcW w:w="2311" w:type="dxa"/>
            <w:tcBorders>
              <w:top w:val="nil"/>
              <w:left w:val="single" w:sz="4" w:space="0" w:color="auto"/>
              <w:bottom w:val="single" w:sz="4" w:space="0" w:color="auto"/>
              <w:right w:val="single" w:sz="4" w:space="0" w:color="auto"/>
            </w:tcBorders>
            <w:shd w:val="clear" w:color="auto" w:fill="auto"/>
            <w:noWrap/>
            <w:vAlign w:val="bottom"/>
          </w:tcPr>
          <w:p w14:paraId="0B92B990" w14:textId="163773E5" w:rsidR="00A4363F" w:rsidRPr="00607FB9" w:rsidRDefault="00A4363F" w:rsidP="00D51A98">
            <w:pPr>
              <w:pStyle w:val="TableText"/>
              <w:ind w:left="252" w:right="850"/>
              <w:jc w:val="right"/>
              <w:rPr>
                <w:szCs w:val="22"/>
              </w:rPr>
            </w:pPr>
            <w:r w:rsidRPr="00607FB9">
              <w:rPr>
                <w:szCs w:val="22"/>
              </w:rPr>
              <w:t>16606</w:t>
            </w:r>
          </w:p>
        </w:tc>
        <w:tc>
          <w:tcPr>
            <w:tcW w:w="2356" w:type="dxa"/>
            <w:tcBorders>
              <w:top w:val="nil"/>
              <w:left w:val="nil"/>
              <w:bottom w:val="single" w:sz="4" w:space="0" w:color="auto"/>
              <w:right w:val="single" w:sz="4" w:space="0" w:color="auto"/>
            </w:tcBorders>
            <w:shd w:val="clear" w:color="auto" w:fill="auto"/>
            <w:noWrap/>
            <w:vAlign w:val="bottom"/>
          </w:tcPr>
          <w:p w14:paraId="16E58E53" w14:textId="6865CB11" w:rsidR="00A4363F" w:rsidRPr="00607FB9" w:rsidRDefault="00A4363F" w:rsidP="00A4363F">
            <w:pPr>
              <w:keepNext/>
              <w:keepLines/>
              <w:ind w:left="68"/>
              <w:jc w:val="center"/>
              <w:rPr>
                <w:sz w:val="22"/>
                <w:szCs w:val="22"/>
              </w:rPr>
            </w:pPr>
            <w:r w:rsidRPr="00607FB9">
              <w:rPr>
                <w:sz w:val="22"/>
                <w:szCs w:val="22"/>
              </w:rPr>
              <w:t>131.75</w:t>
            </w:r>
          </w:p>
        </w:tc>
      </w:tr>
      <w:tr w:rsidR="00A4363F" w:rsidRPr="00243F93" w14:paraId="5B32FF0F" w14:textId="77777777" w:rsidTr="00D51A98">
        <w:trPr>
          <w:trHeight w:val="285"/>
        </w:trPr>
        <w:tc>
          <w:tcPr>
            <w:tcW w:w="2311" w:type="dxa"/>
            <w:tcBorders>
              <w:top w:val="nil"/>
              <w:left w:val="single" w:sz="4" w:space="0" w:color="auto"/>
              <w:bottom w:val="single" w:sz="4" w:space="0" w:color="auto"/>
              <w:right w:val="single" w:sz="4" w:space="0" w:color="auto"/>
            </w:tcBorders>
            <w:shd w:val="clear" w:color="auto" w:fill="auto"/>
            <w:noWrap/>
            <w:vAlign w:val="bottom"/>
          </w:tcPr>
          <w:p w14:paraId="2ED64C52" w14:textId="4E6FDAB5" w:rsidR="00A4363F" w:rsidRPr="00607FB9" w:rsidRDefault="00A4363F" w:rsidP="00D51A98">
            <w:pPr>
              <w:pStyle w:val="TableText"/>
              <w:ind w:left="252" w:right="850"/>
              <w:jc w:val="right"/>
              <w:rPr>
                <w:szCs w:val="22"/>
              </w:rPr>
            </w:pPr>
            <w:r w:rsidRPr="00607FB9">
              <w:rPr>
                <w:szCs w:val="22"/>
              </w:rPr>
              <w:t>16609</w:t>
            </w:r>
          </w:p>
        </w:tc>
        <w:tc>
          <w:tcPr>
            <w:tcW w:w="2356" w:type="dxa"/>
            <w:tcBorders>
              <w:top w:val="nil"/>
              <w:left w:val="nil"/>
              <w:bottom w:val="single" w:sz="4" w:space="0" w:color="auto"/>
              <w:right w:val="single" w:sz="4" w:space="0" w:color="auto"/>
            </w:tcBorders>
            <w:shd w:val="clear" w:color="auto" w:fill="auto"/>
            <w:noWrap/>
            <w:vAlign w:val="bottom"/>
          </w:tcPr>
          <w:p w14:paraId="6E3AA759" w14:textId="3426400D" w:rsidR="00A4363F" w:rsidRPr="00607FB9" w:rsidRDefault="00A4363F" w:rsidP="00A4363F">
            <w:pPr>
              <w:keepNext/>
              <w:keepLines/>
              <w:ind w:left="68"/>
              <w:jc w:val="center"/>
              <w:rPr>
                <w:sz w:val="22"/>
                <w:szCs w:val="22"/>
              </w:rPr>
            </w:pPr>
            <w:r w:rsidRPr="00607FB9">
              <w:rPr>
                <w:sz w:val="22"/>
                <w:szCs w:val="22"/>
              </w:rPr>
              <w:t>252.40</w:t>
            </w:r>
          </w:p>
        </w:tc>
      </w:tr>
      <w:tr w:rsidR="00A4363F" w:rsidRPr="00243F93" w14:paraId="1B134A2F" w14:textId="77777777" w:rsidTr="00D51A98">
        <w:trPr>
          <w:trHeight w:val="285"/>
        </w:trPr>
        <w:tc>
          <w:tcPr>
            <w:tcW w:w="2311" w:type="dxa"/>
            <w:tcBorders>
              <w:top w:val="nil"/>
              <w:left w:val="single" w:sz="4" w:space="0" w:color="auto"/>
              <w:bottom w:val="single" w:sz="4" w:space="0" w:color="auto"/>
              <w:right w:val="single" w:sz="4" w:space="0" w:color="auto"/>
            </w:tcBorders>
            <w:shd w:val="clear" w:color="auto" w:fill="auto"/>
            <w:noWrap/>
            <w:vAlign w:val="bottom"/>
          </w:tcPr>
          <w:p w14:paraId="3FA45CED" w14:textId="4E11B441" w:rsidR="00A4363F" w:rsidRPr="00607FB9" w:rsidRDefault="00A4363F" w:rsidP="00D51A98">
            <w:pPr>
              <w:pStyle w:val="TableText"/>
              <w:ind w:left="252" w:right="850"/>
              <w:jc w:val="right"/>
              <w:rPr>
                <w:szCs w:val="22"/>
              </w:rPr>
            </w:pPr>
            <w:r w:rsidRPr="00607FB9">
              <w:rPr>
                <w:szCs w:val="22"/>
              </w:rPr>
              <w:t>16618</w:t>
            </w:r>
          </w:p>
        </w:tc>
        <w:tc>
          <w:tcPr>
            <w:tcW w:w="2356" w:type="dxa"/>
            <w:tcBorders>
              <w:top w:val="nil"/>
              <w:left w:val="nil"/>
              <w:bottom w:val="single" w:sz="4" w:space="0" w:color="auto"/>
              <w:right w:val="single" w:sz="4" w:space="0" w:color="auto"/>
            </w:tcBorders>
            <w:shd w:val="clear" w:color="auto" w:fill="auto"/>
            <w:noWrap/>
            <w:vAlign w:val="bottom"/>
          </w:tcPr>
          <w:p w14:paraId="1F8DB988" w14:textId="183D10E2" w:rsidR="00A4363F" w:rsidRPr="00607FB9" w:rsidRDefault="00A4363F" w:rsidP="00A4363F">
            <w:pPr>
              <w:keepNext/>
              <w:keepLines/>
              <w:ind w:left="68"/>
              <w:jc w:val="center"/>
              <w:rPr>
                <w:sz w:val="22"/>
                <w:szCs w:val="22"/>
              </w:rPr>
            </w:pPr>
            <w:r w:rsidRPr="00607FB9">
              <w:rPr>
                <w:sz w:val="22"/>
                <w:szCs w:val="22"/>
              </w:rPr>
              <w:t>104.30</w:t>
            </w:r>
          </w:p>
        </w:tc>
      </w:tr>
      <w:tr w:rsidR="00A4363F" w:rsidRPr="00243F93" w14:paraId="43D9F866" w14:textId="77777777" w:rsidTr="00D51A98">
        <w:trPr>
          <w:trHeight w:val="285"/>
        </w:trPr>
        <w:tc>
          <w:tcPr>
            <w:tcW w:w="2311" w:type="dxa"/>
            <w:tcBorders>
              <w:top w:val="nil"/>
              <w:left w:val="single" w:sz="4" w:space="0" w:color="auto"/>
              <w:bottom w:val="single" w:sz="4" w:space="0" w:color="auto"/>
              <w:right w:val="single" w:sz="4" w:space="0" w:color="auto"/>
            </w:tcBorders>
            <w:shd w:val="clear" w:color="auto" w:fill="auto"/>
            <w:noWrap/>
            <w:vAlign w:val="bottom"/>
          </w:tcPr>
          <w:p w14:paraId="53AE5EEE" w14:textId="1C1B3CD8" w:rsidR="00A4363F" w:rsidRPr="00607FB9" w:rsidRDefault="00A4363F" w:rsidP="00D51A98">
            <w:pPr>
              <w:pStyle w:val="TableText"/>
              <w:ind w:left="252" w:right="850"/>
              <w:jc w:val="right"/>
              <w:rPr>
                <w:szCs w:val="22"/>
              </w:rPr>
            </w:pPr>
            <w:r w:rsidRPr="00607FB9">
              <w:rPr>
                <w:szCs w:val="22"/>
              </w:rPr>
              <w:t>16624</w:t>
            </w:r>
          </w:p>
        </w:tc>
        <w:tc>
          <w:tcPr>
            <w:tcW w:w="2356" w:type="dxa"/>
            <w:tcBorders>
              <w:top w:val="nil"/>
              <w:left w:val="nil"/>
              <w:bottom w:val="single" w:sz="4" w:space="0" w:color="auto"/>
              <w:right w:val="single" w:sz="4" w:space="0" w:color="auto"/>
            </w:tcBorders>
            <w:shd w:val="clear" w:color="auto" w:fill="auto"/>
            <w:noWrap/>
            <w:vAlign w:val="bottom"/>
          </w:tcPr>
          <w:p w14:paraId="637CBFE1" w14:textId="5BF9F180" w:rsidR="00A4363F" w:rsidRPr="00607FB9" w:rsidRDefault="00A4363F" w:rsidP="00A4363F">
            <w:pPr>
              <w:keepNext/>
              <w:keepLines/>
              <w:ind w:left="68"/>
              <w:jc w:val="center"/>
              <w:rPr>
                <w:sz w:val="22"/>
                <w:szCs w:val="22"/>
              </w:rPr>
            </w:pPr>
            <w:r w:rsidRPr="00607FB9">
              <w:rPr>
                <w:sz w:val="22"/>
                <w:szCs w:val="22"/>
              </w:rPr>
              <w:t>142.65</w:t>
            </w:r>
          </w:p>
        </w:tc>
      </w:tr>
      <w:tr w:rsidR="00A4363F" w:rsidRPr="00243F93" w14:paraId="1F6A5CA1" w14:textId="77777777" w:rsidTr="00D51A98">
        <w:trPr>
          <w:trHeight w:val="285"/>
        </w:trPr>
        <w:tc>
          <w:tcPr>
            <w:tcW w:w="2311" w:type="dxa"/>
            <w:tcBorders>
              <w:top w:val="nil"/>
              <w:left w:val="single" w:sz="4" w:space="0" w:color="auto"/>
              <w:bottom w:val="single" w:sz="4" w:space="0" w:color="auto"/>
              <w:right w:val="single" w:sz="4" w:space="0" w:color="auto"/>
            </w:tcBorders>
            <w:shd w:val="clear" w:color="auto" w:fill="auto"/>
            <w:noWrap/>
            <w:vAlign w:val="bottom"/>
          </w:tcPr>
          <w:p w14:paraId="7AB7663F" w14:textId="4E703D31" w:rsidR="00A4363F" w:rsidRPr="00607FB9" w:rsidRDefault="00A4363F" w:rsidP="00D51A98">
            <w:pPr>
              <w:pStyle w:val="TableText"/>
              <w:ind w:left="252" w:right="850"/>
              <w:jc w:val="right"/>
              <w:rPr>
                <w:szCs w:val="22"/>
              </w:rPr>
            </w:pPr>
            <w:r w:rsidRPr="00607FB9">
              <w:rPr>
                <w:szCs w:val="22"/>
              </w:rPr>
              <w:t>16627</w:t>
            </w:r>
          </w:p>
        </w:tc>
        <w:tc>
          <w:tcPr>
            <w:tcW w:w="2356" w:type="dxa"/>
            <w:tcBorders>
              <w:top w:val="nil"/>
              <w:left w:val="nil"/>
              <w:bottom w:val="single" w:sz="4" w:space="0" w:color="auto"/>
              <w:right w:val="single" w:sz="4" w:space="0" w:color="auto"/>
            </w:tcBorders>
            <w:shd w:val="clear" w:color="auto" w:fill="auto"/>
            <w:noWrap/>
            <w:vAlign w:val="bottom"/>
          </w:tcPr>
          <w:p w14:paraId="68DA7293" w14:textId="42E85D30" w:rsidR="00A4363F" w:rsidRPr="00607FB9" w:rsidRDefault="00A4363F" w:rsidP="00A4363F">
            <w:pPr>
              <w:keepNext/>
              <w:keepLines/>
              <w:ind w:left="68"/>
              <w:jc w:val="center"/>
              <w:rPr>
                <w:sz w:val="22"/>
                <w:szCs w:val="22"/>
              </w:rPr>
            </w:pPr>
            <w:r w:rsidRPr="00607FB9">
              <w:rPr>
                <w:sz w:val="22"/>
                <w:szCs w:val="22"/>
              </w:rPr>
              <w:t>307.25</w:t>
            </w:r>
          </w:p>
        </w:tc>
      </w:tr>
      <w:tr w:rsidR="00607FB9" w:rsidRPr="007865EB" w14:paraId="7544DDC2" w14:textId="77777777" w:rsidTr="00607FB9">
        <w:trPr>
          <w:trHeight w:val="285"/>
        </w:trPr>
        <w:tc>
          <w:tcPr>
            <w:tcW w:w="23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51F75B" w14:textId="77777777" w:rsidR="00607FB9" w:rsidRPr="00700BC0" w:rsidRDefault="00607FB9" w:rsidP="00D51A98">
            <w:pPr>
              <w:pStyle w:val="TableText"/>
              <w:ind w:left="252" w:right="850"/>
              <w:jc w:val="right"/>
            </w:pPr>
            <w:r w:rsidRPr="00700BC0">
              <w:t>32500</w:t>
            </w:r>
          </w:p>
        </w:tc>
        <w:tc>
          <w:tcPr>
            <w:tcW w:w="2356" w:type="dxa"/>
            <w:tcBorders>
              <w:top w:val="single" w:sz="4" w:space="0" w:color="auto"/>
              <w:left w:val="nil"/>
              <w:bottom w:val="single" w:sz="4" w:space="0" w:color="auto"/>
              <w:right w:val="single" w:sz="4" w:space="0" w:color="auto"/>
            </w:tcBorders>
            <w:shd w:val="clear" w:color="auto" w:fill="auto"/>
            <w:noWrap/>
            <w:vAlign w:val="bottom"/>
          </w:tcPr>
          <w:p w14:paraId="428B4E3A" w14:textId="77777777" w:rsidR="00607FB9" w:rsidRPr="00607FB9" w:rsidRDefault="00607FB9" w:rsidP="00607FB9">
            <w:pPr>
              <w:keepNext/>
              <w:keepLines/>
              <w:ind w:left="68"/>
              <w:jc w:val="center"/>
            </w:pPr>
            <w:r w:rsidRPr="00607FB9">
              <w:t>110 percent of the Schedule fee for the item</w:t>
            </w:r>
          </w:p>
        </w:tc>
      </w:tr>
      <w:tr w:rsidR="00607FB9" w14:paraId="31C17FB6" w14:textId="77777777" w:rsidTr="00607FB9">
        <w:trPr>
          <w:trHeight w:val="285"/>
        </w:trPr>
        <w:tc>
          <w:tcPr>
            <w:tcW w:w="23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FC61BF" w14:textId="77777777" w:rsidR="00607FB9" w:rsidRDefault="00607FB9" w:rsidP="00D51A98">
            <w:pPr>
              <w:pStyle w:val="TableText"/>
              <w:ind w:left="252" w:right="850"/>
              <w:jc w:val="right"/>
            </w:pPr>
            <w:r w:rsidRPr="00700BC0">
              <w:t>32520</w:t>
            </w:r>
          </w:p>
        </w:tc>
        <w:tc>
          <w:tcPr>
            <w:tcW w:w="2356" w:type="dxa"/>
            <w:tcBorders>
              <w:top w:val="single" w:sz="4" w:space="0" w:color="auto"/>
              <w:left w:val="nil"/>
              <w:bottom w:val="single" w:sz="4" w:space="0" w:color="auto"/>
              <w:right w:val="single" w:sz="4" w:space="0" w:color="auto"/>
            </w:tcBorders>
            <w:shd w:val="clear" w:color="auto" w:fill="auto"/>
            <w:noWrap/>
            <w:vAlign w:val="bottom"/>
          </w:tcPr>
          <w:p w14:paraId="063EC969" w14:textId="77777777" w:rsidR="00607FB9" w:rsidRPr="00607FB9" w:rsidRDefault="00607FB9" w:rsidP="00607FB9">
            <w:pPr>
              <w:keepNext/>
              <w:keepLines/>
              <w:ind w:left="68"/>
              <w:jc w:val="center"/>
            </w:pPr>
            <w:r w:rsidRPr="00607FB9">
              <w:t>15 percent of the Schedule fee for the item</w:t>
            </w:r>
          </w:p>
        </w:tc>
      </w:tr>
      <w:tr w:rsidR="00607FB9" w14:paraId="6D3C18B6" w14:textId="77777777" w:rsidTr="00607FB9">
        <w:trPr>
          <w:trHeight w:val="285"/>
        </w:trPr>
        <w:tc>
          <w:tcPr>
            <w:tcW w:w="23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4D364B" w14:textId="77777777" w:rsidR="00607FB9" w:rsidRDefault="00607FB9" w:rsidP="00D51A98">
            <w:pPr>
              <w:pStyle w:val="TableText"/>
              <w:ind w:left="252" w:right="850"/>
              <w:jc w:val="right"/>
            </w:pPr>
            <w:r w:rsidRPr="00700BC0">
              <w:t>32522</w:t>
            </w:r>
          </w:p>
        </w:tc>
        <w:tc>
          <w:tcPr>
            <w:tcW w:w="2356" w:type="dxa"/>
            <w:tcBorders>
              <w:top w:val="single" w:sz="4" w:space="0" w:color="auto"/>
              <w:left w:val="nil"/>
              <w:bottom w:val="single" w:sz="4" w:space="0" w:color="auto"/>
              <w:right w:val="single" w:sz="4" w:space="0" w:color="auto"/>
            </w:tcBorders>
            <w:shd w:val="clear" w:color="auto" w:fill="auto"/>
            <w:noWrap/>
            <w:vAlign w:val="bottom"/>
          </w:tcPr>
          <w:p w14:paraId="1828B889" w14:textId="77777777" w:rsidR="00607FB9" w:rsidRPr="00607FB9" w:rsidRDefault="00607FB9" w:rsidP="00607FB9">
            <w:pPr>
              <w:keepNext/>
              <w:keepLines/>
              <w:ind w:left="68"/>
              <w:jc w:val="center"/>
            </w:pPr>
            <w:r w:rsidRPr="00607FB9">
              <w:t xml:space="preserve">10 percent of the Schedule fee for the item </w:t>
            </w:r>
          </w:p>
        </w:tc>
      </w:tr>
      <w:tr w:rsidR="00607FB9" w:rsidRPr="007865EB" w14:paraId="29159281" w14:textId="77777777" w:rsidTr="00607FB9">
        <w:trPr>
          <w:trHeight w:val="285"/>
        </w:trPr>
        <w:tc>
          <w:tcPr>
            <w:tcW w:w="23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8D001E" w14:textId="77777777" w:rsidR="00607FB9" w:rsidRDefault="00607FB9" w:rsidP="00D51A98">
            <w:pPr>
              <w:pStyle w:val="TableText"/>
              <w:ind w:left="252" w:right="850"/>
              <w:jc w:val="right"/>
            </w:pPr>
            <w:r>
              <w:t>32523</w:t>
            </w:r>
          </w:p>
        </w:tc>
        <w:tc>
          <w:tcPr>
            <w:tcW w:w="2356" w:type="dxa"/>
            <w:tcBorders>
              <w:top w:val="single" w:sz="4" w:space="0" w:color="auto"/>
              <w:left w:val="nil"/>
              <w:bottom w:val="single" w:sz="4" w:space="0" w:color="auto"/>
              <w:right w:val="single" w:sz="4" w:space="0" w:color="auto"/>
            </w:tcBorders>
            <w:shd w:val="clear" w:color="auto" w:fill="auto"/>
            <w:noWrap/>
            <w:vAlign w:val="bottom"/>
          </w:tcPr>
          <w:p w14:paraId="7D4A5E6E" w14:textId="77777777" w:rsidR="00607FB9" w:rsidRPr="00607FB9" w:rsidRDefault="00607FB9" w:rsidP="00607FB9">
            <w:pPr>
              <w:keepNext/>
              <w:keepLines/>
              <w:ind w:left="68"/>
              <w:jc w:val="center"/>
            </w:pPr>
            <w:r w:rsidRPr="00607FB9">
              <w:t>15 percent of the Schedule fee for the item</w:t>
            </w:r>
          </w:p>
        </w:tc>
      </w:tr>
      <w:tr w:rsidR="00607FB9" w:rsidRPr="00983613" w14:paraId="799ABC0A" w14:textId="77777777" w:rsidTr="00607FB9">
        <w:trPr>
          <w:trHeight w:val="285"/>
        </w:trPr>
        <w:tc>
          <w:tcPr>
            <w:tcW w:w="23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A231F6" w14:textId="77777777" w:rsidR="00607FB9" w:rsidRPr="00700BC0" w:rsidRDefault="00607FB9" w:rsidP="00D51A98">
            <w:pPr>
              <w:pStyle w:val="TableText"/>
              <w:ind w:left="252" w:right="850"/>
              <w:jc w:val="right"/>
            </w:pPr>
            <w:r>
              <w:t>32526</w:t>
            </w:r>
          </w:p>
        </w:tc>
        <w:tc>
          <w:tcPr>
            <w:tcW w:w="2356" w:type="dxa"/>
            <w:tcBorders>
              <w:top w:val="single" w:sz="4" w:space="0" w:color="auto"/>
              <w:left w:val="nil"/>
              <w:bottom w:val="single" w:sz="4" w:space="0" w:color="auto"/>
              <w:right w:val="single" w:sz="4" w:space="0" w:color="auto"/>
            </w:tcBorders>
            <w:shd w:val="clear" w:color="auto" w:fill="auto"/>
            <w:noWrap/>
            <w:vAlign w:val="bottom"/>
          </w:tcPr>
          <w:p w14:paraId="58636EB3" w14:textId="77777777" w:rsidR="00607FB9" w:rsidRPr="00607FB9" w:rsidRDefault="00607FB9" w:rsidP="00607FB9">
            <w:pPr>
              <w:keepNext/>
              <w:keepLines/>
              <w:ind w:left="68"/>
              <w:jc w:val="center"/>
            </w:pPr>
            <w:r w:rsidRPr="00607FB9">
              <w:t>10 percent of the Schedule fee for the item</w:t>
            </w:r>
          </w:p>
        </w:tc>
      </w:tr>
      <w:tr w:rsidR="00494507" w:rsidRPr="00983613" w14:paraId="481ACB63" w14:textId="77777777" w:rsidTr="00607FB9">
        <w:trPr>
          <w:trHeight w:val="285"/>
        </w:trPr>
        <w:tc>
          <w:tcPr>
            <w:tcW w:w="23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E9A196" w14:textId="46F95DF2" w:rsidR="00494507" w:rsidRDefault="00494507" w:rsidP="00D51A98">
            <w:pPr>
              <w:pStyle w:val="TableText"/>
              <w:ind w:left="252" w:right="850"/>
              <w:jc w:val="right"/>
            </w:pPr>
            <w:r>
              <w:t>32528</w:t>
            </w:r>
          </w:p>
        </w:tc>
        <w:tc>
          <w:tcPr>
            <w:tcW w:w="2356" w:type="dxa"/>
            <w:tcBorders>
              <w:top w:val="single" w:sz="4" w:space="0" w:color="auto"/>
              <w:left w:val="nil"/>
              <w:bottom w:val="single" w:sz="4" w:space="0" w:color="auto"/>
              <w:right w:val="single" w:sz="4" w:space="0" w:color="auto"/>
            </w:tcBorders>
            <w:shd w:val="clear" w:color="auto" w:fill="auto"/>
            <w:noWrap/>
            <w:vAlign w:val="bottom"/>
          </w:tcPr>
          <w:p w14:paraId="68E8DAB2" w14:textId="6795E39B" w:rsidR="00494507" w:rsidRPr="00607FB9" w:rsidRDefault="00494507" w:rsidP="00607FB9">
            <w:pPr>
              <w:keepNext/>
              <w:keepLines/>
              <w:ind w:left="68"/>
              <w:jc w:val="center"/>
            </w:pPr>
            <w:r>
              <w:t>15 percent of the Schedule fee for the item</w:t>
            </w:r>
          </w:p>
        </w:tc>
      </w:tr>
      <w:tr w:rsidR="00494507" w14:paraId="796335BC" w14:textId="77777777" w:rsidTr="00607FB9">
        <w:trPr>
          <w:trHeight w:val="285"/>
        </w:trPr>
        <w:tc>
          <w:tcPr>
            <w:tcW w:w="23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454B33" w14:textId="6E115E96" w:rsidR="00494507" w:rsidRPr="00700BC0" w:rsidRDefault="00494507" w:rsidP="00D51A98">
            <w:pPr>
              <w:pStyle w:val="TableText"/>
              <w:ind w:left="252" w:right="850"/>
              <w:jc w:val="right"/>
            </w:pPr>
            <w:r>
              <w:t>32529</w:t>
            </w:r>
          </w:p>
        </w:tc>
        <w:tc>
          <w:tcPr>
            <w:tcW w:w="2356" w:type="dxa"/>
            <w:tcBorders>
              <w:top w:val="single" w:sz="4" w:space="0" w:color="auto"/>
              <w:left w:val="nil"/>
              <w:bottom w:val="single" w:sz="4" w:space="0" w:color="auto"/>
              <w:right w:val="single" w:sz="4" w:space="0" w:color="auto"/>
            </w:tcBorders>
            <w:shd w:val="clear" w:color="auto" w:fill="auto"/>
            <w:noWrap/>
            <w:vAlign w:val="bottom"/>
          </w:tcPr>
          <w:p w14:paraId="5062CD1A" w14:textId="2B6692E9" w:rsidR="00494507" w:rsidRPr="00607FB9" w:rsidRDefault="00494507" w:rsidP="00607FB9">
            <w:pPr>
              <w:keepNext/>
              <w:keepLines/>
              <w:ind w:left="68"/>
              <w:jc w:val="center"/>
            </w:pPr>
            <w:r>
              <w:t>10 percent of the Schedule fee for the item</w:t>
            </w:r>
          </w:p>
        </w:tc>
      </w:tr>
      <w:tr w:rsidR="00494507" w14:paraId="3E45C180" w14:textId="77777777" w:rsidTr="00607FB9">
        <w:trPr>
          <w:trHeight w:val="285"/>
        </w:trPr>
        <w:tc>
          <w:tcPr>
            <w:tcW w:w="23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EF5CEE" w14:textId="191EB636" w:rsidR="00494507" w:rsidRPr="00700BC0" w:rsidRDefault="00494507" w:rsidP="00D51A98">
            <w:pPr>
              <w:pStyle w:val="TableText"/>
              <w:ind w:left="252" w:right="850"/>
              <w:jc w:val="right"/>
            </w:pPr>
            <w:r>
              <w:t>42505</w:t>
            </w:r>
          </w:p>
        </w:tc>
        <w:tc>
          <w:tcPr>
            <w:tcW w:w="2356" w:type="dxa"/>
            <w:tcBorders>
              <w:top w:val="single" w:sz="4" w:space="0" w:color="auto"/>
              <w:left w:val="nil"/>
              <w:bottom w:val="single" w:sz="4" w:space="0" w:color="auto"/>
              <w:right w:val="single" w:sz="4" w:space="0" w:color="auto"/>
            </w:tcBorders>
            <w:shd w:val="clear" w:color="auto" w:fill="auto"/>
            <w:noWrap/>
            <w:vAlign w:val="bottom"/>
          </w:tcPr>
          <w:p w14:paraId="3BCCE3A3" w14:textId="4A40E69F" w:rsidR="00494507" w:rsidRPr="00607FB9" w:rsidRDefault="00494507" w:rsidP="00607FB9">
            <w:pPr>
              <w:keepNext/>
              <w:keepLines/>
              <w:ind w:left="68"/>
              <w:jc w:val="center"/>
            </w:pPr>
            <w:r>
              <w:t>15 percent of the Schedule fee for the item</w:t>
            </w:r>
          </w:p>
        </w:tc>
      </w:tr>
      <w:tr w:rsidR="00607FB9" w14:paraId="7E931E10" w14:textId="77777777" w:rsidTr="00607FB9">
        <w:trPr>
          <w:trHeight w:val="285"/>
        </w:trPr>
        <w:tc>
          <w:tcPr>
            <w:tcW w:w="23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2CC4DE" w14:textId="77777777" w:rsidR="00607FB9" w:rsidRDefault="00607FB9" w:rsidP="00D51A98">
            <w:pPr>
              <w:pStyle w:val="TableText"/>
              <w:ind w:left="252" w:right="850"/>
              <w:jc w:val="right"/>
            </w:pPr>
            <w:r w:rsidRPr="00700BC0">
              <w:t>42702</w:t>
            </w:r>
          </w:p>
        </w:tc>
        <w:tc>
          <w:tcPr>
            <w:tcW w:w="2356" w:type="dxa"/>
            <w:tcBorders>
              <w:top w:val="single" w:sz="4" w:space="0" w:color="auto"/>
              <w:left w:val="nil"/>
              <w:bottom w:val="single" w:sz="4" w:space="0" w:color="auto"/>
              <w:right w:val="single" w:sz="4" w:space="0" w:color="auto"/>
            </w:tcBorders>
            <w:shd w:val="clear" w:color="auto" w:fill="auto"/>
            <w:noWrap/>
            <w:vAlign w:val="bottom"/>
          </w:tcPr>
          <w:p w14:paraId="10894E72" w14:textId="77777777" w:rsidR="00607FB9" w:rsidRPr="00607FB9" w:rsidRDefault="00607FB9" w:rsidP="00607FB9">
            <w:pPr>
              <w:keepNext/>
              <w:keepLines/>
              <w:ind w:left="68"/>
              <w:jc w:val="center"/>
            </w:pPr>
            <w:r w:rsidRPr="00607FB9">
              <w:t xml:space="preserve">15 percent of the Schedule fee for the item </w:t>
            </w:r>
          </w:p>
        </w:tc>
      </w:tr>
      <w:tr w:rsidR="00494507" w14:paraId="77C2C04F" w14:textId="77777777" w:rsidTr="00607FB9">
        <w:trPr>
          <w:trHeight w:val="285"/>
        </w:trPr>
        <w:tc>
          <w:tcPr>
            <w:tcW w:w="23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7E3260" w14:textId="05588692" w:rsidR="00494507" w:rsidRPr="00700BC0" w:rsidRDefault="00494507" w:rsidP="00D51A98">
            <w:pPr>
              <w:pStyle w:val="TableText"/>
              <w:ind w:left="252" w:right="850"/>
              <w:jc w:val="right"/>
            </w:pPr>
            <w:r>
              <w:t>42705</w:t>
            </w:r>
          </w:p>
        </w:tc>
        <w:tc>
          <w:tcPr>
            <w:tcW w:w="2356" w:type="dxa"/>
            <w:tcBorders>
              <w:top w:val="single" w:sz="4" w:space="0" w:color="auto"/>
              <w:left w:val="nil"/>
              <w:bottom w:val="single" w:sz="4" w:space="0" w:color="auto"/>
              <w:right w:val="single" w:sz="4" w:space="0" w:color="auto"/>
            </w:tcBorders>
            <w:shd w:val="clear" w:color="auto" w:fill="auto"/>
            <w:noWrap/>
            <w:vAlign w:val="bottom"/>
          </w:tcPr>
          <w:p w14:paraId="715F801D" w14:textId="302F49DC" w:rsidR="00494507" w:rsidRPr="00607FB9" w:rsidRDefault="00494507" w:rsidP="00607FB9">
            <w:pPr>
              <w:keepNext/>
              <w:keepLines/>
              <w:ind w:left="68"/>
              <w:jc w:val="center"/>
            </w:pPr>
            <w:r>
              <w:t>15 percent of the Schedule fee for the item</w:t>
            </w:r>
          </w:p>
        </w:tc>
      </w:tr>
      <w:tr w:rsidR="00607FB9" w:rsidRPr="007865EB" w14:paraId="40D663C5" w14:textId="77777777" w:rsidTr="00607FB9">
        <w:trPr>
          <w:trHeight w:val="285"/>
        </w:trPr>
        <w:tc>
          <w:tcPr>
            <w:tcW w:w="23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F543EC" w14:textId="77777777" w:rsidR="00607FB9" w:rsidRDefault="00607FB9" w:rsidP="00D51A98">
            <w:pPr>
              <w:pStyle w:val="TableText"/>
              <w:ind w:left="252" w:right="850"/>
              <w:jc w:val="right"/>
            </w:pPr>
            <w:r w:rsidRPr="00865B01">
              <w:t>45560</w:t>
            </w:r>
          </w:p>
        </w:tc>
        <w:tc>
          <w:tcPr>
            <w:tcW w:w="2356" w:type="dxa"/>
            <w:tcBorders>
              <w:top w:val="single" w:sz="4" w:space="0" w:color="auto"/>
              <w:left w:val="nil"/>
              <w:bottom w:val="single" w:sz="4" w:space="0" w:color="auto"/>
              <w:right w:val="single" w:sz="4" w:space="0" w:color="auto"/>
            </w:tcBorders>
            <w:shd w:val="clear" w:color="auto" w:fill="auto"/>
            <w:noWrap/>
            <w:vAlign w:val="bottom"/>
          </w:tcPr>
          <w:p w14:paraId="183B952B" w14:textId="77777777" w:rsidR="00607FB9" w:rsidRPr="00607FB9" w:rsidRDefault="00607FB9" w:rsidP="00607FB9">
            <w:pPr>
              <w:keepNext/>
              <w:keepLines/>
              <w:ind w:left="68"/>
              <w:jc w:val="center"/>
            </w:pPr>
            <w:r w:rsidRPr="00607FB9">
              <w:t xml:space="preserve">35 percent of the Schedule fee for the </w:t>
            </w:r>
            <w:r w:rsidRPr="00607FB9">
              <w:lastRenderedPageBreak/>
              <w:t>item</w:t>
            </w:r>
          </w:p>
        </w:tc>
      </w:tr>
      <w:tr w:rsidR="00607FB9" w:rsidRPr="00865B01" w14:paraId="2BAD05DB" w14:textId="77777777" w:rsidTr="00607FB9">
        <w:trPr>
          <w:trHeight w:val="285"/>
        </w:trPr>
        <w:tc>
          <w:tcPr>
            <w:tcW w:w="23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652172" w14:textId="77777777" w:rsidR="00607FB9" w:rsidRPr="00865B01" w:rsidRDefault="00607FB9" w:rsidP="00D51A98">
            <w:pPr>
              <w:pStyle w:val="TableText"/>
              <w:ind w:left="252" w:right="850"/>
              <w:jc w:val="right"/>
            </w:pPr>
            <w:r w:rsidRPr="00275BA1">
              <w:lastRenderedPageBreak/>
              <w:t>82100</w:t>
            </w:r>
          </w:p>
        </w:tc>
        <w:tc>
          <w:tcPr>
            <w:tcW w:w="2356" w:type="dxa"/>
            <w:tcBorders>
              <w:top w:val="single" w:sz="4" w:space="0" w:color="auto"/>
              <w:left w:val="nil"/>
              <w:bottom w:val="single" w:sz="4" w:space="0" w:color="auto"/>
              <w:right w:val="single" w:sz="4" w:space="0" w:color="auto"/>
            </w:tcBorders>
            <w:shd w:val="clear" w:color="auto" w:fill="auto"/>
            <w:noWrap/>
            <w:vAlign w:val="bottom"/>
          </w:tcPr>
          <w:p w14:paraId="53C0EF66" w14:textId="77777777" w:rsidR="00607FB9" w:rsidRPr="00607FB9" w:rsidRDefault="00607FB9" w:rsidP="00607FB9">
            <w:pPr>
              <w:keepNext/>
              <w:keepLines/>
              <w:ind w:left="68"/>
              <w:jc w:val="center"/>
            </w:pPr>
            <w:r w:rsidRPr="00983613">
              <w:t>21.70</w:t>
            </w:r>
          </w:p>
        </w:tc>
      </w:tr>
      <w:tr w:rsidR="00607FB9" w:rsidRPr="007865EB" w14:paraId="76E6AC42" w14:textId="77777777" w:rsidTr="00607FB9">
        <w:trPr>
          <w:trHeight w:val="285"/>
        </w:trPr>
        <w:tc>
          <w:tcPr>
            <w:tcW w:w="23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C66852" w14:textId="77777777" w:rsidR="00607FB9" w:rsidRDefault="00607FB9" w:rsidP="00D51A98">
            <w:pPr>
              <w:pStyle w:val="TableText"/>
              <w:ind w:left="252" w:right="850"/>
              <w:jc w:val="right"/>
            </w:pPr>
            <w:r w:rsidRPr="00700BC0">
              <w:t>82105</w:t>
            </w:r>
          </w:p>
        </w:tc>
        <w:tc>
          <w:tcPr>
            <w:tcW w:w="2356" w:type="dxa"/>
            <w:tcBorders>
              <w:top w:val="single" w:sz="4" w:space="0" w:color="auto"/>
              <w:left w:val="nil"/>
              <w:bottom w:val="single" w:sz="4" w:space="0" w:color="auto"/>
              <w:right w:val="single" w:sz="4" w:space="0" w:color="auto"/>
            </w:tcBorders>
            <w:shd w:val="clear" w:color="auto" w:fill="auto"/>
            <w:noWrap/>
            <w:vAlign w:val="bottom"/>
          </w:tcPr>
          <w:p w14:paraId="019CC964" w14:textId="77777777" w:rsidR="00607FB9" w:rsidRPr="007865EB" w:rsidRDefault="00607FB9" w:rsidP="00607FB9">
            <w:pPr>
              <w:keepNext/>
              <w:keepLines/>
              <w:ind w:left="68"/>
              <w:jc w:val="center"/>
            </w:pPr>
            <w:r w:rsidRPr="00983613">
              <w:t>16.30</w:t>
            </w:r>
          </w:p>
        </w:tc>
      </w:tr>
      <w:tr w:rsidR="00607FB9" w:rsidRPr="007865EB" w14:paraId="1D78A898" w14:textId="77777777" w:rsidTr="00607FB9">
        <w:trPr>
          <w:trHeight w:val="285"/>
        </w:trPr>
        <w:tc>
          <w:tcPr>
            <w:tcW w:w="23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6B6341" w14:textId="77777777" w:rsidR="00607FB9" w:rsidRDefault="00607FB9" w:rsidP="00D51A98">
            <w:pPr>
              <w:pStyle w:val="TableText"/>
              <w:ind w:left="252" w:right="850"/>
              <w:jc w:val="right"/>
            </w:pPr>
            <w:r w:rsidRPr="00700BC0">
              <w:t>82110</w:t>
            </w:r>
          </w:p>
        </w:tc>
        <w:tc>
          <w:tcPr>
            <w:tcW w:w="2356" w:type="dxa"/>
            <w:tcBorders>
              <w:top w:val="single" w:sz="4" w:space="0" w:color="auto"/>
              <w:left w:val="nil"/>
              <w:bottom w:val="single" w:sz="4" w:space="0" w:color="auto"/>
              <w:right w:val="single" w:sz="4" w:space="0" w:color="auto"/>
            </w:tcBorders>
            <w:shd w:val="clear" w:color="auto" w:fill="auto"/>
            <w:noWrap/>
            <w:vAlign w:val="bottom"/>
          </w:tcPr>
          <w:p w14:paraId="54CB7C9E" w14:textId="77777777" w:rsidR="00607FB9" w:rsidRPr="007865EB" w:rsidRDefault="00607FB9" w:rsidP="00607FB9">
            <w:pPr>
              <w:keepNext/>
              <w:keepLines/>
              <w:ind w:left="68"/>
              <w:jc w:val="center"/>
            </w:pPr>
            <w:r w:rsidRPr="00983613">
              <w:t>21.70</w:t>
            </w:r>
          </w:p>
        </w:tc>
      </w:tr>
      <w:tr w:rsidR="00607FB9" w:rsidRPr="007865EB" w14:paraId="7FCC0D94" w14:textId="77777777" w:rsidTr="00607FB9">
        <w:trPr>
          <w:trHeight w:val="285"/>
        </w:trPr>
        <w:tc>
          <w:tcPr>
            <w:tcW w:w="23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E897FA" w14:textId="77777777" w:rsidR="00607FB9" w:rsidRDefault="00607FB9" w:rsidP="00D51A98">
            <w:pPr>
              <w:pStyle w:val="TableText"/>
              <w:ind w:left="252" w:right="850"/>
              <w:jc w:val="right"/>
            </w:pPr>
            <w:r w:rsidRPr="00700BC0">
              <w:t>82115</w:t>
            </w:r>
          </w:p>
        </w:tc>
        <w:tc>
          <w:tcPr>
            <w:tcW w:w="2356" w:type="dxa"/>
            <w:tcBorders>
              <w:top w:val="single" w:sz="4" w:space="0" w:color="auto"/>
              <w:left w:val="nil"/>
              <w:bottom w:val="single" w:sz="4" w:space="0" w:color="auto"/>
              <w:right w:val="single" w:sz="4" w:space="0" w:color="auto"/>
            </w:tcBorders>
            <w:shd w:val="clear" w:color="auto" w:fill="auto"/>
            <w:noWrap/>
            <w:vAlign w:val="bottom"/>
          </w:tcPr>
          <w:p w14:paraId="4E1B139B" w14:textId="77777777" w:rsidR="00607FB9" w:rsidRPr="007865EB" w:rsidRDefault="00607FB9" w:rsidP="00607FB9">
            <w:pPr>
              <w:keepNext/>
              <w:keepLines/>
              <w:ind w:left="68"/>
              <w:jc w:val="center"/>
            </w:pPr>
            <w:r w:rsidRPr="00983613">
              <w:t>54.10</w:t>
            </w:r>
          </w:p>
        </w:tc>
      </w:tr>
      <w:tr w:rsidR="00607FB9" w:rsidRPr="007865EB" w14:paraId="2505E53A" w14:textId="77777777" w:rsidTr="00607FB9">
        <w:trPr>
          <w:trHeight w:val="285"/>
        </w:trPr>
        <w:tc>
          <w:tcPr>
            <w:tcW w:w="23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31D2A9" w14:textId="77777777" w:rsidR="00607FB9" w:rsidRDefault="00607FB9" w:rsidP="00D51A98">
            <w:pPr>
              <w:pStyle w:val="TableText"/>
              <w:ind w:left="252" w:right="850"/>
              <w:jc w:val="right"/>
            </w:pPr>
            <w:r w:rsidRPr="00700BC0">
              <w:t>82130</w:t>
            </w:r>
          </w:p>
        </w:tc>
        <w:tc>
          <w:tcPr>
            <w:tcW w:w="2356" w:type="dxa"/>
            <w:tcBorders>
              <w:top w:val="single" w:sz="4" w:space="0" w:color="auto"/>
              <w:left w:val="nil"/>
              <w:bottom w:val="single" w:sz="4" w:space="0" w:color="auto"/>
              <w:right w:val="single" w:sz="4" w:space="0" w:color="auto"/>
            </w:tcBorders>
            <w:shd w:val="clear" w:color="auto" w:fill="auto"/>
            <w:noWrap/>
            <w:vAlign w:val="bottom"/>
          </w:tcPr>
          <w:p w14:paraId="5C6B8CD0" w14:textId="77777777" w:rsidR="00607FB9" w:rsidRPr="007865EB" w:rsidRDefault="00607FB9" w:rsidP="00607FB9">
            <w:pPr>
              <w:keepNext/>
              <w:keepLines/>
              <w:ind w:left="68"/>
              <w:jc w:val="center"/>
            </w:pPr>
            <w:r w:rsidRPr="00983613">
              <w:t>16.30</w:t>
            </w:r>
          </w:p>
        </w:tc>
      </w:tr>
      <w:tr w:rsidR="00607FB9" w:rsidRPr="007865EB" w14:paraId="6B7C14F3" w14:textId="77777777" w:rsidTr="00607FB9">
        <w:trPr>
          <w:trHeight w:val="285"/>
        </w:trPr>
        <w:tc>
          <w:tcPr>
            <w:tcW w:w="23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37977E" w14:textId="77777777" w:rsidR="00607FB9" w:rsidRDefault="00607FB9" w:rsidP="00D51A98">
            <w:pPr>
              <w:pStyle w:val="TableText"/>
              <w:ind w:left="252" w:right="850"/>
              <w:jc w:val="right"/>
            </w:pPr>
            <w:r w:rsidRPr="00700BC0">
              <w:t>82135</w:t>
            </w:r>
          </w:p>
        </w:tc>
        <w:tc>
          <w:tcPr>
            <w:tcW w:w="2356" w:type="dxa"/>
            <w:tcBorders>
              <w:top w:val="single" w:sz="4" w:space="0" w:color="auto"/>
              <w:left w:val="nil"/>
              <w:bottom w:val="single" w:sz="4" w:space="0" w:color="auto"/>
              <w:right w:val="single" w:sz="4" w:space="0" w:color="auto"/>
            </w:tcBorders>
            <w:shd w:val="clear" w:color="auto" w:fill="auto"/>
            <w:noWrap/>
            <w:vAlign w:val="bottom"/>
          </w:tcPr>
          <w:p w14:paraId="65BBAA2B" w14:textId="77777777" w:rsidR="00607FB9" w:rsidRPr="007865EB" w:rsidRDefault="00607FB9" w:rsidP="00607FB9">
            <w:pPr>
              <w:keepNext/>
              <w:keepLines/>
              <w:ind w:left="68"/>
              <w:jc w:val="center"/>
            </w:pPr>
            <w:r w:rsidRPr="00983613">
              <w:t>21.70</w:t>
            </w:r>
          </w:p>
        </w:tc>
      </w:tr>
      <w:tr w:rsidR="00607FB9" w:rsidRPr="007865EB" w14:paraId="442F032E" w14:textId="77777777" w:rsidTr="00607FB9">
        <w:trPr>
          <w:trHeight w:val="285"/>
        </w:trPr>
        <w:tc>
          <w:tcPr>
            <w:tcW w:w="23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3CAC9C" w14:textId="77777777" w:rsidR="00607FB9" w:rsidRDefault="00607FB9" w:rsidP="00D51A98">
            <w:pPr>
              <w:pStyle w:val="TableText"/>
              <w:ind w:left="252" w:right="850"/>
              <w:jc w:val="right"/>
            </w:pPr>
            <w:r w:rsidRPr="00700BC0">
              <w:t>82140</w:t>
            </w:r>
          </w:p>
        </w:tc>
        <w:tc>
          <w:tcPr>
            <w:tcW w:w="2356" w:type="dxa"/>
            <w:tcBorders>
              <w:top w:val="single" w:sz="4" w:space="0" w:color="auto"/>
              <w:left w:val="nil"/>
              <w:bottom w:val="single" w:sz="4" w:space="0" w:color="auto"/>
              <w:right w:val="single" w:sz="4" w:space="0" w:color="auto"/>
            </w:tcBorders>
            <w:shd w:val="clear" w:color="auto" w:fill="auto"/>
            <w:noWrap/>
            <w:vAlign w:val="bottom"/>
          </w:tcPr>
          <w:p w14:paraId="3CB69997" w14:textId="77777777" w:rsidR="00607FB9" w:rsidRPr="007865EB" w:rsidRDefault="00607FB9" w:rsidP="00607FB9">
            <w:pPr>
              <w:keepNext/>
              <w:keepLines/>
              <w:ind w:left="68"/>
              <w:jc w:val="center"/>
            </w:pPr>
            <w:r w:rsidRPr="00983613">
              <w:t>16.30</w:t>
            </w:r>
          </w:p>
        </w:tc>
      </w:tr>
    </w:tbl>
    <w:p w14:paraId="71FEADC3" w14:textId="247258DB" w:rsidR="00B45977" w:rsidRPr="00B45977" w:rsidRDefault="00A86F83" w:rsidP="009D6F2C">
      <w:pPr>
        <w:pStyle w:val="Note"/>
      </w:pPr>
      <w:r w:rsidRPr="00983613">
        <w:rPr>
          <w:i/>
        </w:rPr>
        <w:t>Note</w:t>
      </w:r>
      <w:r>
        <w:rPr>
          <w:i/>
        </w:rPr>
        <w:t>   </w:t>
      </w:r>
      <w:r w:rsidRPr="00983613">
        <w:t xml:space="preserve">Items 82100, 82105, 82110, 82115, 82130, 82135 and 82140 appear in the determination made under subsection </w:t>
      </w:r>
      <w:proofErr w:type="gramStart"/>
      <w:r w:rsidRPr="00983613">
        <w:t>3C(</w:t>
      </w:r>
      <w:proofErr w:type="gramEnd"/>
      <w:r w:rsidRPr="00983613">
        <w:t>1) of the Act with respect to midwife and nurse practitioner services.  The determination operates so that the items are to be treated as if the items were in the general medical services table.</w:t>
      </w:r>
      <w:r w:rsidR="00B45977" w:rsidRPr="002D3AF8">
        <w:tab/>
      </w:r>
    </w:p>
    <w:p w14:paraId="71FEADC4" w14:textId="77D54AEE" w:rsidR="00A86F83" w:rsidRDefault="00A86F83" w:rsidP="00A86F83">
      <w:pPr>
        <w:pStyle w:val="R2"/>
        <w:keepNext/>
      </w:pPr>
      <w:r w:rsidRPr="002D3AF8">
        <w:tab/>
      </w:r>
      <w:r>
        <w:t>(</w:t>
      </w:r>
      <w:r w:rsidR="00BF55F1">
        <w:t>2</w:t>
      </w:r>
      <w:r>
        <w:t>)</w:t>
      </w:r>
      <w:r>
        <w:tab/>
        <w:t>For section 10B of the Act:</w:t>
      </w:r>
    </w:p>
    <w:p w14:paraId="71FEADC5" w14:textId="574C8E57" w:rsidR="00A86F83" w:rsidRDefault="00A86F83" w:rsidP="00A86F83">
      <w:pPr>
        <w:pStyle w:val="P1"/>
        <w:keepNext/>
        <w:keepLines/>
      </w:pPr>
      <w:r>
        <w:tab/>
      </w:r>
      <w:r w:rsidRPr="00983613">
        <w:t>(a)</w:t>
      </w:r>
      <w:r w:rsidRPr="00983613">
        <w:tab/>
        <w:t xml:space="preserve">subsections 10ACA(7A) and 10ADA(8A) apply to items 11700, 14100, 20142, 30071, 31560, 32504, 32507, 34106, 35533, 37619, 42590, 42738, 42739, 42740, 45003, 45025, 45026, 45200, 45203, 45206, 45545, 45584, 45585, 45587, 45614, 45617, 45620, 45623, 45624, 45632, 45635, 45652 and 45659 of the general medical services table; and  </w:t>
      </w:r>
    </w:p>
    <w:p w14:paraId="71FEADC6" w14:textId="77777777" w:rsidR="00A86F83" w:rsidRDefault="00A86F83" w:rsidP="00A86F83">
      <w:pPr>
        <w:pStyle w:val="P1"/>
      </w:pPr>
      <w:r>
        <w:tab/>
      </w:r>
      <w:r w:rsidRPr="00983613">
        <w:t>(b)</w:t>
      </w:r>
      <w:r w:rsidRPr="00983613">
        <w:tab/>
      </w:r>
      <w:proofErr w:type="gramStart"/>
      <w:r w:rsidRPr="00983613">
        <w:t>the</w:t>
      </w:r>
      <w:proofErr w:type="gramEnd"/>
      <w:r w:rsidRPr="00983613">
        <w:t xml:space="preserve"> maximum increase for each item is 80 percent of the Schedule fee for that item.</w:t>
      </w:r>
    </w:p>
    <w:p w14:paraId="71FEADC7" w14:textId="775D531F" w:rsidR="00A86F83" w:rsidRDefault="00A86F83" w:rsidP="00A86F83">
      <w:pPr>
        <w:pStyle w:val="R2"/>
      </w:pPr>
      <w:r>
        <w:tab/>
      </w:r>
      <w:r w:rsidRPr="00983613">
        <w:t>(</w:t>
      </w:r>
      <w:r w:rsidR="00BF55F1">
        <w:t>3</w:t>
      </w:r>
      <w:r w:rsidRPr="00983613">
        <w:t>)</w:t>
      </w:r>
      <w:r w:rsidRPr="00983613">
        <w:tab/>
        <w:t>For section 10B of the Act:</w:t>
      </w:r>
    </w:p>
    <w:p w14:paraId="71FEADC8" w14:textId="04B6744B" w:rsidR="00A86F83" w:rsidRDefault="00A86F83" w:rsidP="00A86F83">
      <w:pPr>
        <w:pStyle w:val="P1"/>
      </w:pPr>
      <w:r>
        <w:tab/>
      </w:r>
      <w:r w:rsidRPr="00983613">
        <w:t>(a)</w:t>
      </w:r>
      <w:r>
        <w:tab/>
      </w:r>
      <w:proofErr w:type="gramStart"/>
      <w:r w:rsidRPr="00983613">
        <w:t>subsections</w:t>
      </w:r>
      <w:proofErr w:type="gramEnd"/>
      <w:r w:rsidRPr="00983613">
        <w:t xml:space="preserve"> 10ACA(7A) and 10ADA(8A) apply to each item in the Group of the general medical services table listed in the column of the table below; and</w:t>
      </w:r>
    </w:p>
    <w:p w14:paraId="71FEADC9" w14:textId="77777777" w:rsidR="00A86F83" w:rsidRDefault="00A86F83" w:rsidP="00A86F83">
      <w:pPr>
        <w:pStyle w:val="P1"/>
      </w:pPr>
      <w:r>
        <w:tab/>
      </w:r>
      <w:r w:rsidRPr="00983613">
        <w:t>(b)</w:t>
      </w:r>
      <w:r>
        <w:tab/>
      </w:r>
      <w:proofErr w:type="gramStart"/>
      <w:r w:rsidRPr="00983613">
        <w:t>the</w:t>
      </w:r>
      <w:proofErr w:type="gramEnd"/>
      <w:r w:rsidRPr="00983613">
        <w:t xml:space="preserve"> maximum increase for each item is 300 percent of the Schedule fee for that item or $500.00 for that item whichever represents the lesser amount.</w:t>
      </w:r>
    </w:p>
    <w:p w14:paraId="71FEADCA" w14:textId="51C79217" w:rsidR="009D6F2C" w:rsidRDefault="009D6F2C">
      <w:pPr>
        <w:rPr>
          <w:sz w:val="18"/>
          <w:szCs w:val="18"/>
        </w:rPr>
      </w:pPr>
      <w:r>
        <w:rPr>
          <w:sz w:val="18"/>
          <w:szCs w:val="18"/>
        </w:rPr>
        <w:br w:type="page"/>
      </w:r>
    </w:p>
    <w:p w14:paraId="703C4F99" w14:textId="77777777" w:rsidR="00A86F83" w:rsidRDefault="00A86F83" w:rsidP="00A86F83">
      <w:pPr>
        <w:pStyle w:val="P1"/>
        <w:spacing w:before="0"/>
        <w:rPr>
          <w:sz w:val="18"/>
          <w:szCs w:val="18"/>
        </w:rPr>
      </w:pPr>
    </w:p>
    <w:tbl>
      <w:tblPr>
        <w:tblW w:w="0" w:type="auto"/>
        <w:tblInd w:w="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tblGrid>
      <w:tr w:rsidR="00A86F83" w:rsidRPr="00983613" w14:paraId="71FEADCC" w14:textId="77777777" w:rsidTr="00D51A98">
        <w:trPr>
          <w:tblHeader/>
        </w:trPr>
        <w:tc>
          <w:tcPr>
            <w:tcW w:w="1275" w:type="dxa"/>
            <w:shd w:val="clear" w:color="auto" w:fill="auto"/>
          </w:tcPr>
          <w:p w14:paraId="71FEADCB" w14:textId="77777777" w:rsidR="00A86F83" w:rsidRDefault="00A86F83" w:rsidP="00D51A98">
            <w:pPr>
              <w:keepNext/>
              <w:keepLines/>
              <w:rPr>
                <w:b/>
              </w:rPr>
            </w:pPr>
            <w:r w:rsidRPr="00983613">
              <w:rPr>
                <w:b/>
              </w:rPr>
              <w:t>Group</w:t>
            </w:r>
          </w:p>
        </w:tc>
      </w:tr>
      <w:tr w:rsidR="00A86F83" w:rsidRPr="00983613" w14:paraId="71FEADCE" w14:textId="77777777" w:rsidTr="00D51A98">
        <w:tc>
          <w:tcPr>
            <w:tcW w:w="1275" w:type="dxa"/>
            <w:shd w:val="clear" w:color="auto" w:fill="auto"/>
          </w:tcPr>
          <w:p w14:paraId="71FEADCD" w14:textId="77777777" w:rsidR="00A86F83" w:rsidRPr="00983613" w:rsidRDefault="00A86F83" w:rsidP="00D51A98">
            <w:pPr>
              <w:pStyle w:val="TableText"/>
              <w:spacing w:before="40"/>
            </w:pPr>
            <w:r w:rsidRPr="00983613">
              <w:t>A1</w:t>
            </w:r>
          </w:p>
        </w:tc>
      </w:tr>
      <w:tr w:rsidR="00A86F83" w:rsidRPr="00983613" w14:paraId="71FEADD0" w14:textId="77777777" w:rsidTr="00D51A98">
        <w:tc>
          <w:tcPr>
            <w:tcW w:w="1275" w:type="dxa"/>
            <w:shd w:val="clear" w:color="auto" w:fill="auto"/>
          </w:tcPr>
          <w:p w14:paraId="71FEADCF" w14:textId="77777777" w:rsidR="00A86F83" w:rsidRPr="00983613" w:rsidRDefault="00A86F83" w:rsidP="00D51A98">
            <w:pPr>
              <w:pStyle w:val="TableText"/>
              <w:spacing w:before="40"/>
            </w:pPr>
            <w:r w:rsidRPr="00983613">
              <w:t>A2</w:t>
            </w:r>
          </w:p>
        </w:tc>
      </w:tr>
      <w:tr w:rsidR="00A86F83" w:rsidRPr="00983613" w14:paraId="71FEADD2" w14:textId="77777777" w:rsidTr="00D51A98">
        <w:tc>
          <w:tcPr>
            <w:tcW w:w="1275" w:type="dxa"/>
            <w:shd w:val="clear" w:color="auto" w:fill="auto"/>
          </w:tcPr>
          <w:p w14:paraId="71FEADD1" w14:textId="77777777" w:rsidR="00A86F83" w:rsidRPr="00983613" w:rsidRDefault="00A86F83" w:rsidP="00D51A98">
            <w:pPr>
              <w:pStyle w:val="TableText"/>
              <w:spacing w:before="40"/>
            </w:pPr>
            <w:r w:rsidRPr="00983613">
              <w:t>A3</w:t>
            </w:r>
          </w:p>
        </w:tc>
      </w:tr>
      <w:tr w:rsidR="00A86F83" w:rsidRPr="00983613" w14:paraId="71FEADD4" w14:textId="77777777" w:rsidTr="00D51A98">
        <w:tc>
          <w:tcPr>
            <w:tcW w:w="1275" w:type="dxa"/>
            <w:shd w:val="clear" w:color="auto" w:fill="auto"/>
          </w:tcPr>
          <w:p w14:paraId="71FEADD3" w14:textId="77777777" w:rsidR="00A86F83" w:rsidRPr="00983613" w:rsidRDefault="00A86F83" w:rsidP="00D51A98">
            <w:pPr>
              <w:pStyle w:val="TableText"/>
              <w:spacing w:before="40"/>
            </w:pPr>
            <w:r w:rsidRPr="00983613">
              <w:t>A4</w:t>
            </w:r>
          </w:p>
        </w:tc>
      </w:tr>
      <w:tr w:rsidR="00A86F83" w:rsidRPr="00983613" w14:paraId="71FEADD6" w14:textId="77777777" w:rsidTr="00D51A98">
        <w:tc>
          <w:tcPr>
            <w:tcW w:w="1275" w:type="dxa"/>
            <w:shd w:val="clear" w:color="auto" w:fill="auto"/>
          </w:tcPr>
          <w:p w14:paraId="71FEADD5" w14:textId="77777777" w:rsidR="00A86F83" w:rsidRPr="00983613" w:rsidRDefault="00A86F83" w:rsidP="00D51A98">
            <w:pPr>
              <w:pStyle w:val="TableText"/>
              <w:spacing w:before="40"/>
            </w:pPr>
            <w:r w:rsidRPr="00983613">
              <w:t>A5</w:t>
            </w:r>
          </w:p>
        </w:tc>
      </w:tr>
      <w:tr w:rsidR="00A86F83" w:rsidRPr="00983613" w14:paraId="71FEADD8" w14:textId="77777777" w:rsidTr="00D51A98">
        <w:tc>
          <w:tcPr>
            <w:tcW w:w="1275" w:type="dxa"/>
            <w:shd w:val="clear" w:color="auto" w:fill="auto"/>
          </w:tcPr>
          <w:p w14:paraId="71FEADD7" w14:textId="77777777" w:rsidR="00A86F83" w:rsidRPr="00983613" w:rsidRDefault="00A86F83" w:rsidP="00D51A98">
            <w:pPr>
              <w:pStyle w:val="TableText"/>
              <w:spacing w:before="40"/>
            </w:pPr>
            <w:r w:rsidRPr="00983613">
              <w:t>A6</w:t>
            </w:r>
          </w:p>
        </w:tc>
      </w:tr>
      <w:tr w:rsidR="00A86F83" w:rsidRPr="00983613" w14:paraId="71FEADDA" w14:textId="77777777" w:rsidTr="00D51A98">
        <w:tc>
          <w:tcPr>
            <w:tcW w:w="1275" w:type="dxa"/>
            <w:shd w:val="clear" w:color="auto" w:fill="auto"/>
          </w:tcPr>
          <w:p w14:paraId="71FEADD9" w14:textId="77777777" w:rsidR="00A86F83" w:rsidRPr="00983613" w:rsidRDefault="00A86F83" w:rsidP="00D51A98">
            <w:pPr>
              <w:pStyle w:val="TableText"/>
              <w:spacing w:before="40"/>
            </w:pPr>
            <w:r w:rsidRPr="00983613">
              <w:t>A7</w:t>
            </w:r>
          </w:p>
        </w:tc>
      </w:tr>
      <w:tr w:rsidR="00A86F83" w:rsidRPr="00983613" w14:paraId="71FEADDC" w14:textId="77777777" w:rsidTr="00D51A98">
        <w:tc>
          <w:tcPr>
            <w:tcW w:w="1275" w:type="dxa"/>
            <w:shd w:val="clear" w:color="auto" w:fill="auto"/>
          </w:tcPr>
          <w:p w14:paraId="71FEADDB" w14:textId="77777777" w:rsidR="00A86F83" w:rsidRPr="00983613" w:rsidRDefault="00A86F83" w:rsidP="00D51A98">
            <w:pPr>
              <w:pStyle w:val="TableText"/>
              <w:spacing w:before="40"/>
            </w:pPr>
            <w:r w:rsidRPr="00983613">
              <w:t>A8</w:t>
            </w:r>
          </w:p>
        </w:tc>
      </w:tr>
      <w:tr w:rsidR="00A86F83" w:rsidRPr="00983613" w14:paraId="71FEADDE" w14:textId="77777777" w:rsidTr="00D51A98">
        <w:tc>
          <w:tcPr>
            <w:tcW w:w="1275" w:type="dxa"/>
            <w:shd w:val="clear" w:color="auto" w:fill="auto"/>
          </w:tcPr>
          <w:p w14:paraId="71FEADDD" w14:textId="77777777" w:rsidR="00A86F83" w:rsidRPr="00983613" w:rsidRDefault="00A86F83" w:rsidP="00D51A98">
            <w:pPr>
              <w:pStyle w:val="TableText"/>
              <w:spacing w:before="40"/>
            </w:pPr>
            <w:r w:rsidRPr="00983613">
              <w:t>A9</w:t>
            </w:r>
          </w:p>
        </w:tc>
      </w:tr>
      <w:tr w:rsidR="00A86F83" w:rsidRPr="00983613" w14:paraId="71FEADE0" w14:textId="77777777" w:rsidTr="00D51A98">
        <w:tc>
          <w:tcPr>
            <w:tcW w:w="1275" w:type="dxa"/>
            <w:shd w:val="clear" w:color="auto" w:fill="auto"/>
          </w:tcPr>
          <w:p w14:paraId="71FEADDF" w14:textId="77777777" w:rsidR="00A86F83" w:rsidRPr="00983613" w:rsidRDefault="00A86F83" w:rsidP="00D51A98">
            <w:pPr>
              <w:pStyle w:val="TableText"/>
              <w:spacing w:before="40"/>
            </w:pPr>
            <w:r w:rsidRPr="00983613">
              <w:t>A11</w:t>
            </w:r>
          </w:p>
        </w:tc>
      </w:tr>
      <w:tr w:rsidR="00A86F83" w:rsidRPr="00983613" w14:paraId="71FEADE2" w14:textId="77777777" w:rsidTr="00D51A98">
        <w:tc>
          <w:tcPr>
            <w:tcW w:w="1275" w:type="dxa"/>
            <w:shd w:val="clear" w:color="auto" w:fill="auto"/>
          </w:tcPr>
          <w:p w14:paraId="71FEADE1" w14:textId="77777777" w:rsidR="00A86F83" w:rsidRPr="00983613" w:rsidRDefault="00A86F83" w:rsidP="00D51A98">
            <w:pPr>
              <w:pStyle w:val="TableText"/>
              <w:spacing w:before="40"/>
            </w:pPr>
            <w:r w:rsidRPr="00983613">
              <w:t>A12</w:t>
            </w:r>
          </w:p>
        </w:tc>
      </w:tr>
      <w:tr w:rsidR="00A86F83" w:rsidRPr="00983613" w14:paraId="71FEADE4" w14:textId="77777777" w:rsidTr="00D51A98">
        <w:tc>
          <w:tcPr>
            <w:tcW w:w="1275" w:type="dxa"/>
            <w:shd w:val="clear" w:color="auto" w:fill="auto"/>
          </w:tcPr>
          <w:p w14:paraId="71FEADE3" w14:textId="77777777" w:rsidR="00A86F83" w:rsidRPr="00983613" w:rsidRDefault="00A86F83" w:rsidP="00D51A98">
            <w:pPr>
              <w:pStyle w:val="TableText"/>
              <w:spacing w:before="40"/>
            </w:pPr>
            <w:r w:rsidRPr="00983613">
              <w:t>A13</w:t>
            </w:r>
          </w:p>
        </w:tc>
      </w:tr>
      <w:tr w:rsidR="00A86F83" w:rsidRPr="00983613" w14:paraId="71FEADE6" w14:textId="77777777" w:rsidTr="00D51A98">
        <w:tc>
          <w:tcPr>
            <w:tcW w:w="1275" w:type="dxa"/>
            <w:shd w:val="clear" w:color="auto" w:fill="auto"/>
          </w:tcPr>
          <w:p w14:paraId="71FEADE5" w14:textId="77777777" w:rsidR="00A86F83" w:rsidRPr="00983613" w:rsidRDefault="00A86F83" w:rsidP="00D51A98">
            <w:pPr>
              <w:pStyle w:val="TableText"/>
              <w:spacing w:before="40"/>
            </w:pPr>
            <w:r w:rsidRPr="00983613">
              <w:t>A14</w:t>
            </w:r>
          </w:p>
        </w:tc>
      </w:tr>
      <w:tr w:rsidR="00A86F83" w:rsidRPr="00983613" w14:paraId="71FEADE8" w14:textId="77777777" w:rsidTr="00D51A98">
        <w:tc>
          <w:tcPr>
            <w:tcW w:w="1275" w:type="dxa"/>
            <w:shd w:val="clear" w:color="auto" w:fill="auto"/>
          </w:tcPr>
          <w:p w14:paraId="71FEADE7" w14:textId="77777777" w:rsidR="00A86F83" w:rsidRPr="00983613" w:rsidRDefault="00A86F83" w:rsidP="00D51A98">
            <w:pPr>
              <w:pStyle w:val="TableText"/>
              <w:spacing w:before="40"/>
            </w:pPr>
            <w:r w:rsidRPr="00983613">
              <w:t>A15</w:t>
            </w:r>
          </w:p>
        </w:tc>
      </w:tr>
      <w:tr w:rsidR="00A86F83" w:rsidRPr="00983613" w14:paraId="71FEADEA" w14:textId="77777777" w:rsidTr="00D51A98">
        <w:tc>
          <w:tcPr>
            <w:tcW w:w="1275" w:type="dxa"/>
            <w:shd w:val="clear" w:color="auto" w:fill="auto"/>
          </w:tcPr>
          <w:p w14:paraId="71FEADE9" w14:textId="77777777" w:rsidR="00A86F83" w:rsidRPr="00983613" w:rsidRDefault="00A86F83" w:rsidP="00D51A98">
            <w:pPr>
              <w:pStyle w:val="TableText"/>
              <w:spacing w:before="40"/>
            </w:pPr>
            <w:r w:rsidRPr="00983613">
              <w:t>A17</w:t>
            </w:r>
          </w:p>
        </w:tc>
      </w:tr>
      <w:tr w:rsidR="00A86F83" w:rsidRPr="00983613" w14:paraId="71FEADEC" w14:textId="77777777" w:rsidTr="00D51A98">
        <w:tc>
          <w:tcPr>
            <w:tcW w:w="1275" w:type="dxa"/>
            <w:shd w:val="clear" w:color="auto" w:fill="auto"/>
          </w:tcPr>
          <w:p w14:paraId="71FEADEB" w14:textId="77777777" w:rsidR="00A86F83" w:rsidRPr="00983613" w:rsidRDefault="00A86F83" w:rsidP="00D51A98">
            <w:pPr>
              <w:pStyle w:val="TableText"/>
              <w:spacing w:before="40"/>
            </w:pPr>
            <w:r w:rsidRPr="00983613">
              <w:t>A18</w:t>
            </w:r>
          </w:p>
        </w:tc>
      </w:tr>
      <w:tr w:rsidR="00A86F83" w:rsidRPr="00983613" w14:paraId="71FEADEE" w14:textId="77777777" w:rsidTr="00D51A98">
        <w:tc>
          <w:tcPr>
            <w:tcW w:w="1275" w:type="dxa"/>
            <w:shd w:val="clear" w:color="auto" w:fill="auto"/>
          </w:tcPr>
          <w:p w14:paraId="71FEADED" w14:textId="77777777" w:rsidR="00A86F83" w:rsidRPr="00983613" w:rsidRDefault="00A86F83" w:rsidP="00D51A98">
            <w:pPr>
              <w:pStyle w:val="TableText"/>
              <w:spacing w:before="40"/>
            </w:pPr>
            <w:r w:rsidRPr="00983613">
              <w:t>A19</w:t>
            </w:r>
          </w:p>
        </w:tc>
      </w:tr>
      <w:tr w:rsidR="00A86F83" w:rsidRPr="00983613" w14:paraId="71FEADF0" w14:textId="77777777" w:rsidTr="00D51A98">
        <w:tc>
          <w:tcPr>
            <w:tcW w:w="1275" w:type="dxa"/>
            <w:shd w:val="clear" w:color="auto" w:fill="auto"/>
          </w:tcPr>
          <w:p w14:paraId="71FEADEF" w14:textId="77777777" w:rsidR="00A86F83" w:rsidRPr="00983613" w:rsidRDefault="00A86F83" w:rsidP="00D51A98">
            <w:pPr>
              <w:pStyle w:val="TableText"/>
              <w:spacing w:before="40"/>
            </w:pPr>
            <w:r w:rsidRPr="00983613">
              <w:t>A20</w:t>
            </w:r>
          </w:p>
        </w:tc>
      </w:tr>
      <w:tr w:rsidR="00A86F83" w:rsidRPr="00983613" w14:paraId="71FEADF2" w14:textId="77777777" w:rsidTr="00D51A98">
        <w:tc>
          <w:tcPr>
            <w:tcW w:w="1275" w:type="dxa"/>
            <w:shd w:val="clear" w:color="auto" w:fill="auto"/>
          </w:tcPr>
          <w:p w14:paraId="71FEADF1" w14:textId="77777777" w:rsidR="00A86F83" w:rsidRPr="00983613" w:rsidRDefault="00A86F83" w:rsidP="00D51A98">
            <w:pPr>
              <w:pStyle w:val="TableText"/>
              <w:spacing w:before="40"/>
            </w:pPr>
            <w:r w:rsidRPr="00983613">
              <w:t>A21</w:t>
            </w:r>
          </w:p>
        </w:tc>
      </w:tr>
      <w:tr w:rsidR="00A86F83" w:rsidRPr="00983613" w14:paraId="71FEADF4" w14:textId="77777777" w:rsidTr="00D51A98">
        <w:tc>
          <w:tcPr>
            <w:tcW w:w="1275" w:type="dxa"/>
            <w:shd w:val="clear" w:color="auto" w:fill="auto"/>
          </w:tcPr>
          <w:p w14:paraId="71FEADF3" w14:textId="77777777" w:rsidR="00A86F83" w:rsidRPr="00983613" w:rsidRDefault="00A86F83" w:rsidP="00D51A98">
            <w:pPr>
              <w:pStyle w:val="TableText"/>
              <w:spacing w:before="40"/>
            </w:pPr>
            <w:r w:rsidRPr="00983613">
              <w:t>A22</w:t>
            </w:r>
          </w:p>
        </w:tc>
      </w:tr>
      <w:tr w:rsidR="00A86F83" w:rsidRPr="00983613" w14:paraId="71FEADF6" w14:textId="77777777" w:rsidTr="00D51A98">
        <w:tc>
          <w:tcPr>
            <w:tcW w:w="1275" w:type="dxa"/>
            <w:shd w:val="clear" w:color="auto" w:fill="auto"/>
          </w:tcPr>
          <w:p w14:paraId="71FEADF5" w14:textId="77777777" w:rsidR="00A86F83" w:rsidRPr="00983613" w:rsidRDefault="00A86F83" w:rsidP="00D51A98">
            <w:pPr>
              <w:pStyle w:val="TableText"/>
              <w:spacing w:before="40"/>
            </w:pPr>
            <w:r w:rsidRPr="00983613">
              <w:t>A23</w:t>
            </w:r>
          </w:p>
        </w:tc>
      </w:tr>
      <w:tr w:rsidR="00A86F83" w:rsidRPr="00983613" w14:paraId="71FEADF8" w14:textId="77777777" w:rsidTr="00D51A98">
        <w:tc>
          <w:tcPr>
            <w:tcW w:w="1275" w:type="dxa"/>
            <w:shd w:val="clear" w:color="auto" w:fill="auto"/>
          </w:tcPr>
          <w:p w14:paraId="71FEADF7" w14:textId="77777777" w:rsidR="00A86F83" w:rsidRPr="00983613" w:rsidRDefault="00A86F83" w:rsidP="00D51A98">
            <w:pPr>
              <w:pStyle w:val="TableText"/>
              <w:spacing w:before="40"/>
            </w:pPr>
            <w:r w:rsidRPr="00983613">
              <w:t>A24</w:t>
            </w:r>
          </w:p>
        </w:tc>
      </w:tr>
      <w:tr w:rsidR="00A86F83" w:rsidRPr="00983613" w14:paraId="71FEADFA" w14:textId="77777777" w:rsidTr="00D51A98">
        <w:tc>
          <w:tcPr>
            <w:tcW w:w="1275" w:type="dxa"/>
            <w:shd w:val="clear" w:color="auto" w:fill="auto"/>
          </w:tcPr>
          <w:p w14:paraId="71FEADF9" w14:textId="77777777" w:rsidR="00A86F83" w:rsidRPr="00983613" w:rsidRDefault="00A86F83" w:rsidP="00D51A98">
            <w:pPr>
              <w:pStyle w:val="TableText"/>
              <w:keepNext/>
              <w:keepLines/>
              <w:spacing w:before="40"/>
            </w:pPr>
            <w:r w:rsidRPr="00983613">
              <w:t>A26</w:t>
            </w:r>
          </w:p>
        </w:tc>
      </w:tr>
      <w:tr w:rsidR="00A86F83" w:rsidRPr="00983613" w14:paraId="71FEADFC" w14:textId="77777777" w:rsidTr="00D51A98">
        <w:tc>
          <w:tcPr>
            <w:tcW w:w="1275" w:type="dxa"/>
            <w:shd w:val="clear" w:color="auto" w:fill="auto"/>
          </w:tcPr>
          <w:p w14:paraId="71FEADFB" w14:textId="77777777" w:rsidR="00A86F83" w:rsidRPr="00983613" w:rsidRDefault="00A86F83" w:rsidP="00D51A98">
            <w:pPr>
              <w:pStyle w:val="TableText"/>
              <w:spacing w:before="40"/>
            </w:pPr>
            <w:r w:rsidRPr="00983613">
              <w:t>A27</w:t>
            </w:r>
          </w:p>
        </w:tc>
      </w:tr>
      <w:tr w:rsidR="00A86F83" w:rsidRPr="00983613" w14:paraId="71FEADFE" w14:textId="77777777" w:rsidTr="00D51A98">
        <w:tc>
          <w:tcPr>
            <w:tcW w:w="1275" w:type="dxa"/>
            <w:shd w:val="clear" w:color="auto" w:fill="auto"/>
          </w:tcPr>
          <w:p w14:paraId="71FEADFD" w14:textId="77777777" w:rsidR="00A86F83" w:rsidRPr="00983613" w:rsidRDefault="00A86F83" w:rsidP="00D51A98">
            <w:pPr>
              <w:pStyle w:val="TableText"/>
              <w:spacing w:before="40"/>
            </w:pPr>
            <w:r w:rsidRPr="00983613">
              <w:t>A28</w:t>
            </w:r>
          </w:p>
        </w:tc>
      </w:tr>
      <w:tr w:rsidR="00A86F83" w:rsidRPr="00983613" w14:paraId="71FEAE00" w14:textId="77777777" w:rsidTr="00D51A98">
        <w:tc>
          <w:tcPr>
            <w:tcW w:w="1275" w:type="dxa"/>
            <w:shd w:val="clear" w:color="auto" w:fill="auto"/>
          </w:tcPr>
          <w:p w14:paraId="71FEADFF" w14:textId="77777777" w:rsidR="00A86F83" w:rsidRPr="00983613" w:rsidRDefault="00A86F83" w:rsidP="00D51A98">
            <w:pPr>
              <w:pStyle w:val="TableText"/>
              <w:spacing w:before="40"/>
            </w:pPr>
            <w:r w:rsidRPr="00983613">
              <w:t>A29</w:t>
            </w:r>
          </w:p>
        </w:tc>
      </w:tr>
      <w:tr w:rsidR="00A86F83" w:rsidRPr="00983613" w14:paraId="71FEAE02" w14:textId="77777777" w:rsidTr="00D51A98">
        <w:tc>
          <w:tcPr>
            <w:tcW w:w="1275" w:type="dxa"/>
            <w:shd w:val="clear" w:color="auto" w:fill="auto"/>
          </w:tcPr>
          <w:p w14:paraId="71FEAE01" w14:textId="77777777" w:rsidR="00A86F83" w:rsidRPr="00983613" w:rsidRDefault="00A86F83" w:rsidP="00D51A98">
            <w:pPr>
              <w:pStyle w:val="TableText"/>
              <w:spacing w:before="40"/>
            </w:pPr>
            <w:r w:rsidRPr="00983613">
              <w:t>A30</w:t>
            </w:r>
          </w:p>
        </w:tc>
      </w:tr>
      <w:tr w:rsidR="00A86F83" w:rsidRPr="00983613" w14:paraId="71FEAE06" w14:textId="77777777" w:rsidTr="00D51A98">
        <w:tc>
          <w:tcPr>
            <w:tcW w:w="1275" w:type="dxa"/>
            <w:shd w:val="clear" w:color="auto" w:fill="auto"/>
          </w:tcPr>
          <w:p w14:paraId="71FEAE05" w14:textId="688A461E" w:rsidR="00A86F83" w:rsidRPr="00983613" w:rsidRDefault="003C27F1" w:rsidP="00D51A98">
            <w:pPr>
              <w:pStyle w:val="TableText"/>
              <w:spacing w:before="0"/>
            </w:pPr>
            <w:r>
              <w:t>T6</w:t>
            </w:r>
          </w:p>
        </w:tc>
      </w:tr>
    </w:tbl>
    <w:p w14:paraId="2B6D9D5E" w14:textId="2AECF3E4" w:rsidR="00494507" w:rsidRPr="00E31197" w:rsidRDefault="00494507" w:rsidP="00FC64FF">
      <w:pPr>
        <w:pStyle w:val="R2"/>
        <w:tabs>
          <w:tab w:val="clear" w:pos="794"/>
          <w:tab w:val="right" w:pos="993"/>
        </w:tabs>
        <w:rPr>
          <w:sz w:val="20"/>
          <w:szCs w:val="20"/>
        </w:rPr>
      </w:pPr>
      <w:r w:rsidRPr="00FC64FF">
        <w:rPr>
          <w:i/>
          <w:sz w:val="20"/>
          <w:szCs w:val="20"/>
        </w:rPr>
        <w:t>Note:</w:t>
      </w:r>
      <w:r w:rsidRPr="00FC64FF">
        <w:rPr>
          <w:i/>
          <w:sz w:val="20"/>
          <w:szCs w:val="20"/>
        </w:rPr>
        <w:tab/>
      </w:r>
      <w:r w:rsidRPr="00FC64FF">
        <w:rPr>
          <w:sz w:val="20"/>
          <w:szCs w:val="20"/>
        </w:rPr>
        <w:t xml:space="preserve">Items 179 to 212 in group A7 appear in the determination made under subsection </w:t>
      </w:r>
      <w:proofErr w:type="gramStart"/>
      <w:r w:rsidRPr="00FC64FF">
        <w:rPr>
          <w:sz w:val="20"/>
          <w:szCs w:val="20"/>
        </w:rPr>
        <w:t>3C(</w:t>
      </w:r>
      <w:proofErr w:type="gramEnd"/>
      <w:r w:rsidRPr="00FC64FF">
        <w:rPr>
          <w:sz w:val="20"/>
          <w:szCs w:val="20"/>
        </w:rPr>
        <w:t>1) of the Act with respect to other medical practitioner services.  The determination operates so that the items are to be treated as if the items were in the general medical services table.</w:t>
      </w:r>
    </w:p>
    <w:p w14:paraId="0D89415B" w14:textId="1A39A6EA" w:rsidR="0004120B" w:rsidRDefault="0004120B" w:rsidP="00A86F83">
      <w:pPr>
        <w:pStyle w:val="R2"/>
      </w:pPr>
      <w:r>
        <w:t>(</w:t>
      </w:r>
      <w:r w:rsidR="00BF55F1">
        <w:t>4</w:t>
      </w:r>
      <w:r>
        <w:t>) For section 10B of the Act:</w:t>
      </w:r>
    </w:p>
    <w:p w14:paraId="45D30C5C" w14:textId="73237198" w:rsidR="0004120B" w:rsidRDefault="0004120B" w:rsidP="00910B71">
      <w:pPr>
        <w:pStyle w:val="R2"/>
        <w:spacing w:before="0" w:after="120" w:line="240" w:lineRule="auto"/>
        <w:ind w:firstLine="28"/>
      </w:pPr>
      <w:r>
        <w:lastRenderedPageBreak/>
        <w:t>(a)</w:t>
      </w:r>
      <w:r>
        <w:tab/>
      </w:r>
      <w:proofErr w:type="gramStart"/>
      <w:r>
        <w:t>subsections</w:t>
      </w:r>
      <w:proofErr w:type="gramEnd"/>
      <w:r>
        <w:t xml:space="preserve"> 10ACA(7A) and 10ADA(8A) apply to each item in the Group of the general medical services table listed in the column of the table below; and</w:t>
      </w:r>
    </w:p>
    <w:p w14:paraId="3D85DB79" w14:textId="1D2BBD55" w:rsidR="0004120B" w:rsidRDefault="0004120B" w:rsidP="00910B71">
      <w:pPr>
        <w:pStyle w:val="R2"/>
        <w:spacing w:before="0" w:after="120" w:line="240" w:lineRule="auto"/>
        <w:ind w:firstLine="28"/>
      </w:pPr>
      <w:r>
        <w:t>(b)</w:t>
      </w:r>
      <w:r>
        <w:tab/>
      </w:r>
      <w:proofErr w:type="gramStart"/>
      <w:r>
        <w:t>the</w:t>
      </w:r>
      <w:proofErr w:type="gramEnd"/>
      <w:r>
        <w:t xml:space="preserve"> maximum increase for each item is 300 percent of the Schedule fee for that item or $500.00 for that item whichever represents the lesser amount.</w:t>
      </w:r>
      <w:r w:rsidR="00A86F83">
        <w:tab/>
      </w:r>
    </w:p>
    <w:tbl>
      <w:tblPr>
        <w:tblW w:w="0" w:type="auto"/>
        <w:tblInd w:w="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tblGrid>
      <w:tr w:rsidR="0004120B" w:rsidRPr="0004120B" w14:paraId="3A2566B0" w14:textId="77777777" w:rsidTr="00D51A98">
        <w:trPr>
          <w:tblHeader/>
        </w:trPr>
        <w:tc>
          <w:tcPr>
            <w:tcW w:w="1275" w:type="dxa"/>
            <w:shd w:val="clear" w:color="auto" w:fill="auto"/>
          </w:tcPr>
          <w:p w14:paraId="768DD4B0" w14:textId="77777777" w:rsidR="0004120B" w:rsidRPr="0004120B" w:rsidRDefault="0004120B" w:rsidP="0004120B">
            <w:pPr>
              <w:pStyle w:val="R2"/>
              <w:rPr>
                <w:b/>
              </w:rPr>
            </w:pPr>
            <w:r w:rsidRPr="0004120B">
              <w:rPr>
                <w:b/>
              </w:rPr>
              <w:t>Group</w:t>
            </w:r>
          </w:p>
        </w:tc>
      </w:tr>
      <w:tr w:rsidR="0004120B" w:rsidRPr="0004120B" w14:paraId="2857B14B" w14:textId="77777777" w:rsidTr="00D51A98">
        <w:tc>
          <w:tcPr>
            <w:tcW w:w="1275" w:type="dxa"/>
            <w:shd w:val="clear" w:color="auto" w:fill="auto"/>
          </w:tcPr>
          <w:p w14:paraId="47E1466D" w14:textId="20D47EC1" w:rsidR="0004120B" w:rsidRPr="0004120B" w:rsidRDefault="0004120B" w:rsidP="0004120B">
            <w:pPr>
              <w:pStyle w:val="R2"/>
            </w:pPr>
            <w:r>
              <w:t>M3</w:t>
            </w:r>
          </w:p>
        </w:tc>
      </w:tr>
      <w:tr w:rsidR="0004120B" w:rsidRPr="0004120B" w14:paraId="7F4E76D5" w14:textId="77777777" w:rsidTr="00D51A98">
        <w:tc>
          <w:tcPr>
            <w:tcW w:w="1275" w:type="dxa"/>
            <w:shd w:val="clear" w:color="auto" w:fill="auto"/>
          </w:tcPr>
          <w:p w14:paraId="47396116" w14:textId="130F6824" w:rsidR="0004120B" w:rsidRPr="0004120B" w:rsidRDefault="0004120B" w:rsidP="0004120B">
            <w:pPr>
              <w:pStyle w:val="R2"/>
            </w:pPr>
            <w:r>
              <w:t>M6</w:t>
            </w:r>
          </w:p>
        </w:tc>
      </w:tr>
      <w:tr w:rsidR="0004120B" w:rsidRPr="0004120B" w14:paraId="12B2D7FF" w14:textId="77777777" w:rsidTr="00D51A98">
        <w:tc>
          <w:tcPr>
            <w:tcW w:w="1275" w:type="dxa"/>
            <w:shd w:val="clear" w:color="auto" w:fill="auto"/>
          </w:tcPr>
          <w:p w14:paraId="0031D486" w14:textId="511AEAA2" w:rsidR="0004120B" w:rsidRPr="0004120B" w:rsidRDefault="0004120B" w:rsidP="0004120B">
            <w:pPr>
              <w:pStyle w:val="R2"/>
            </w:pPr>
            <w:r>
              <w:t>M7</w:t>
            </w:r>
          </w:p>
        </w:tc>
      </w:tr>
      <w:tr w:rsidR="0004120B" w:rsidRPr="0004120B" w14:paraId="2E3DC960" w14:textId="77777777" w:rsidTr="00D51A98">
        <w:tc>
          <w:tcPr>
            <w:tcW w:w="1275" w:type="dxa"/>
            <w:shd w:val="clear" w:color="auto" w:fill="auto"/>
          </w:tcPr>
          <w:p w14:paraId="721517C5" w14:textId="10A817DE" w:rsidR="0004120B" w:rsidRPr="0004120B" w:rsidRDefault="0004120B" w:rsidP="0004120B">
            <w:pPr>
              <w:pStyle w:val="R2"/>
            </w:pPr>
            <w:r>
              <w:t>M8</w:t>
            </w:r>
          </w:p>
        </w:tc>
      </w:tr>
      <w:tr w:rsidR="0004120B" w:rsidRPr="0004120B" w14:paraId="5DF48828" w14:textId="77777777" w:rsidTr="00D51A98">
        <w:tc>
          <w:tcPr>
            <w:tcW w:w="1275" w:type="dxa"/>
            <w:shd w:val="clear" w:color="auto" w:fill="auto"/>
          </w:tcPr>
          <w:p w14:paraId="136327A4" w14:textId="1BA854B3" w:rsidR="0004120B" w:rsidRPr="0004120B" w:rsidRDefault="0004120B" w:rsidP="0004120B">
            <w:pPr>
              <w:pStyle w:val="R2"/>
            </w:pPr>
            <w:r>
              <w:t>M9</w:t>
            </w:r>
          </w:p>
        </w:tc>
      </w:tr>
      <w:tr w:rsidR="0004120B" w:rsidRPr="0004120B" w14:paraId="048C759E" w14:textId="77777777" w:rsidTr="00D51A98">
        <w:tc>
          <w:tcPr>
            <w:tcW w:w="1275" w:type="dxa"/>
            <w:shd w:val="clear" w:color="auto" w:fill="auto"/>
          </w:tcPr>
          <w:p w14:paraId="09184E9C" w14:textId="28766C15" w:rsidR="0004120B" w:rsidRPr="0004120B" w:rsidRDefault="00910B71" w:rsidP="002F3F8C">
            <w:pPr>
              <w:pStyle w:val="R2"/>
            </w:pPr>
            <w:r>
              <w:t>M1</w:t>
            </w:r>
            <w:r w:rsidR="002F3F8C">
              <w:t>0</w:t>
            </w:r>
          </w:p>
        </w:tc>
      </w:tr>
      <w:tr w:rsidR="0004120B" w:rsidRPr="0004120B" w14:paraId="6AE13BFB" w14:textId="77777777" w:rsidTr="00D51A98">
        <w:tc>
          <w:tcPr>
            <w:tcW w:w="1275" w:type="dxa"/>
            <w:shd w:val="clear" w:color="auto" w:fill="auto"/>
          </w:tcPr>
          <w:p w14:paraId="1B88D1B1" w14:textId="1579A80A" w:rsidR="0004120B" w:rsidRPr="0004120B" w:rsidRDefault="00910B71" w:rsidP="002F3F8C">
            <w:pPr>
              <w:pStyle w:val="R2"/>
            </w:pPr>
            <w:r>
              <w:t>M1</w:t>
            </w:r>
            <w:r w:rsidR="002F3F8C">
              <w:t>1</w:t>
            </w:r>
          </w:p>
        </w:tc>
      </w:tr>
      <w:tr w:rsidR="00D66A17" w:rsidRPr="0004120B" w14:paraId="1794D80D" w14:textId="77777777" w:rsidTr="00D51A98">
        <w:tc>
          <w:tcPr>
            <w:tcW w:w="1275" w:type="dxa"/>
            <w:shd w:val="clear" w:color="auto" w:fill="auto"/>
          </w:tcPr>
          <w:p w14:paraId="43CC819A" w14:textId="44311BCD" w:rsidR="00D66A17" w:rsidRDefault="00D66A17" w:rsidP="002F3F8C">
            <w:pPr>
              <w:pStyle w:val="R2"/>
            </w:pPr>
            <w:r>
              <w:t>M12</w:t>
            </w:r>
          </w:p>
        </w:tc>
      </w:tr>
      <w:tr w:rsidR="0004120B" w:rsidRPr="0004120B" w14:paraId="338CF941" w14:textId="77777777" w:rsidTr="00D51A98">
        <w:tc>
          <w:tcPr>
            <w:tcW w:w="1275" w:type="dxa"/>
            <w:shd w:val="clear" w:color="auto" w:fill="auto"/>
          </w:tcPr>
          <w:p w14:paraId="5DC6ED5D" w14:textId="0FD2B5F9" w:rsidR="0004120B" w:rsidRPr="0004120B" w:rsidRDefault="00910B71" w:rsidP="0004120B">
            <w:pPr>
              <w:pStyle w:val="R2"/>
            </w:pPr>
            <w:r>
              <w:t>M14</w:t>
            </w:r>
          </w:p>
        </w:tc>
      </w:tr>
      <w:tr w:rsidR="00BE6CEC" w:rsidRPr="0004120B" w14:paraId="221E6706" w14:textId="77777777" w:rsidTr="00D51A98">
        <w:tc>
          <w:tcPr>
            <w:tcW w:w="1275" w:type="dxa"/>
            <w:shd w:val="clear" w:color="auto" w:fill="auto"/>
          </w:tcPr>
          <w:p w14:paraId="19D52CA5" w14:textId="036303AF" w:rsidR="00BE6CEC" w:rsidRDefault="00BE6CEC" w:rsidP="0004120B">
            <w:pPr>
              <w:pStyle w:val="R2"/>
            </w:pPr>
            <w:r>
              <w:t>M15</w:t>
            </w:r>
          </w:p>
        </w:tc>
      </w:tr>
    </w:tbl>
    <w:p w14:paraId="370DC020" w14:textId="122D7F65" w:rsidR="00910B71" w:rsidRDefault="00910B71" w:rsidP="00910B71">
      <w:pPr>
        <w:pStyle w:val="Note"/>
      </w:pPr>
      <w:r w:rsidRPr="00983613">
        <w:rPr>
          <w:i/>
        </w:rPr>
        <w:t>Note</w:t>
      </w:r>
      <w:r w:rsidR="006D762B">
        <w:rPr>
          <w:i/>
        </w:rPr>
        <w:t>s</w:t>
      </w:r>
      <w:r>
        <w:rPr>
          <w:i/>
        </w:rPr>
        <w:t>   </w:t>
      </w:r>
      <w:r w:rsidRPr="00983613">
        <w:t xml:space="preserve">Items </w:t>
      </w:r>
      <w:r>
        <w:t>in group</w:t>
      </w:r>
      <w:r w:rsidR="006D762B">
        <w:t>s</w:t>
      </w:r>
      <w:r>
        <w:t xml:space="preserve"> M3</w:t>
      </w:r>
      <w:r w:rsidRPr="00983613">
        <w:t>,</w:t>
      </w:r>
      <w:r w:rsidR="006D762B">
        <w:t xml:space="preserve"> M6, M7, M8</w:t>
      </w:r>
      <w:r w:rsidRPr="00983613">
        <w:t xml:space="preserve">, </w:t>
      </w:r>
      <w:r w:rsidR="006D762B">
        <w:t>M9</w:t>
      </w:r>
      <w:r w:rsidRPr="00983613">
        <w:t xml:space="preserve">, </w:t>
      </w:r>
      <w:r w:rsidR="006D762B">
        <w:t>M1</w:t>
      </w:r>
      <w:r w:rsidR="00BE651C">
        <w:t>0</w:t>
      </w:r>
      <w:r w:rsidR="006D762B">
        <w:t>,</w:t>
      </w:r>
      <w:r w:rsidRPr="00983613">
        <w:t xml:space="preserve"> </w:t>
      </w:r>
      <w:r w:rsidR="00BE6CEC">
        <w:t xml:space="preserve">M11 </w:t>
      </w:r>
      <w:r w:rsidRPr="00983613">
        <w:t xml:space="preserve">and </w:t>
      </w:r>
      <w:r w:rsidR="006D762B">
        <w:t>M</w:t>
      </w:r>
      <w:r w:rsidR="00BE651C">
        <w:t>1</w:t>
      </w:r>
      <w:r w:rsidR="00BE6CEC">
        <w:t>5</w:t>
      </w:r>
      <w:r w:rsidRPr="00983613">
        <w:t xml:space="preserve"> appear in the determination made under subsection 3C(1) of the Act with respect to allied health services. The determination operates so that the items are to be treated as if the items were in the general medical services table.</w:t>
      </w:r>
    </w:p>
    <w:p w14:paraId="65160A10" w14:textId="767D0A8C" w:rsidR="006D762B" w:rsidRDefault="006D762B" w:rsidP="00910B71">
      <w:pPr>
        <w:pStyle w:val="Note"/>
      </w:pPr>
      <w:r w:rsidRPr="006D762B">
        <w:t xml:space="preserve">Items </w:t>
      </w:r>
      <w:r>
        <w:t>in group M14</w:t>
      </w:r>
      <w:r w:rsidRPr="006D762B">
        <w:t xml:space="preserve"> appear in the determination made under subsection </w:t>
      </w:r>
      <w:proofErr w:type="gramStart"/>
      <w:r w:rsidRPr="006D762B">
        <w:t>3C(</w:t>
      </w:r>
      <w:proofErr w:type="gramEnd"/>
      <w:r w:rsidRPr="006D762B">
        <w:t>1) of the Act with respect to midwife and nurse practitioner services.  The determination operates so that the items are to be treated as if the items were in the general medical services table.</w:t>
      </w:r>
    </w:p>
    <w:p w14:paraId="71FEAE0D" w14:textId="15377BA4" w:rsidR="00A86F83" w:rsidRDefault="00A86F83" w:rsidP="00A86F83">
      <w:pPr>
        <w:pStyle w:val="R2"/>
      </w:pPr>
      <w:r>
        <w:tab/>
      </w:r>
      <w:r w:rsidRPr="00983613">
        <w:t>(</w:t>
      </w:r>
      <w:r w:rsidR="00BF55F1">
        <w:t>5</w:t>
      </w:r>
      <w:r w:rsidRPr="00983613">
        <w:t>)</w:t>
      </w:r>
      <w:r w:rsidRPr="00983613">
        <w:tab/>
        <w:t>For section 10B of the Act:</w:t>
      </w:r>
    </w:p>
    <w:p w14:paraId="71FEAE0E" w14:textId="228E96F5" w:rsidR="00A86F83" w:rsidRDefault="00A86F83" w:rsidP="00A86F83">
      <w:pPr>
        <w:pStyle w:val="P1"/>
      </w:pPr>
      <w:r>
        <w:tab/>
      </w:r>
      <w:r w:rsidRPr="00983613">
        <w:t>(a)</w:t>
      </w:r>
      <w:r>
        <w:tab/>
      </w:r>
      <w:proofErr w:type="gramStart"/>
      <w:r w:rsidRPr="00983613">
        <w:t>subsections</w:t>
      </w:r>
      <w:proofErr w:type="gramEnd"/>
      <w:r w:rsidRPr="00983613">
        <w:t xml:space="preserve"> 10ACA(7A) and 10ADA(8A) apply to items 82120, 82125, 82150, 82151, </w:t>
      </w:r>
      <w:r w:rsidR="004B1E0E">
        <w:t xml:space="preserve">and </w:t>
      </w:r>
      <w:r w:rsidRPr="00983613">
        <w:t xml:space="preserve">82152 of the general medical services table; and </w:t>
      </w:r>
    </w:p>
    <w:p w14:paraId="71FEAE0F" w14:textId="77777777" w:rsidR="00A86F83" w:rsidRDefault="00A86F83" w:rsidP="00A86F83">
      <w:pPr>
        <w:pStyle w:val="P1"/>
      </w:pPr>
      <w:r>
        <w:tab/>
      </w:r>
      <w:r w:rsidRPr="00983613">
        <w:t>(b)</w:t>
      </w:r>
      <w:r>
        <w:tab/>
      </w:r>
      <w:proofErr w:type="gramStart"/>
      <w:r w:rsidRPr="00983613">
        <w:t>the</w:t>
      </w:r>
      <w:proofErr w:type="gramEnd"/>
      <w:r w:rsidRPr="00983613">
        <w:t xml:space="preserve"> maximum increase for each item is 300 percent of the Schedule fee for that item or $500.00 for that item whichever represents the lesser amount.</w:t>
      </w:r>
    </w:p>
    <w:p w14:paraId="71FEAE10" w14:textId="3E023D58" w:rsidR="00A86F83" w:rsidRDefault="00A86F83" w:rsidP="00A86F83">
      <w:pPr>
        <w:pStyle w:val="Note"/>
      </w:pPr>
      <w:r w:rsidRPr="00983613">
        <w:rPr>
          <w:i/>
        </w:rPr>
        <w:t>Note</w:t>
      </w:r>
      <w:r>
        <w:rPr>
          <w:i/>
        </w:rPr>
        <w:t>   </w:t>
      </w:r>
      <w:r w:rsidRPr="00983613">
        <w:t xml:space="preserve">Items </w:t>
      </w:r>
      <w:r w:rsidR="004B1E0E">
        <w:t xml:space="preserve">82120, 82125, and 82150-82152 </w:t>
      </w:r>
      <w:r w:rsidRPr="00983613">
        <w:t xml:space="preserve">appear in the determination made under subsection </w:t>
      </w:r>
      <w:proofErr w:type="gramStart"/>
      <w:r w:rsidRPr="00983613">
        <w:t>3C(</w:t>
      </w:r>
      <w:proofErr w:type="gramEnd"/>
      <w:r w:rsidRPr="00983613">
        <w:t>1) of the Act with respect to midwife and nurse practitioner services.  The determination operates so that the items are to be treated as if the items were in the general medical services table.</w:t>
      </w:r>
    </w:p>
    <w:p w14:paraId="71FEAE11" w14:textId="62C5BB8D" w:rsidR="00A86F83" w:rsidRPr="00983613" w:rsidRDefault="00A86F83" w:rsidP="00A86F83">
      <w:pPr>
        <w:pStyle w:val="R2"/>
      </w:pPr>
      <w:r>
        <w:tab/>
      </w:r>
      <w:r w:rsidR="00BF55F1">
        <w:t>(6</w:t>
      </w:r>
      <w:r w:rsidRPr="00983613">
        <w:t>)</w:t>
      </w:r>
      <w:r w:rsidRPr="00983613">
        <w:tab/>
        <w:t>For section 10B of the Act:</w:t>
      </w:r>
    </w:p>
    <w:p w14:paraId="71FEAE12" w14:textId="25B9833E" w:rsidR="00A86F83" w:rsidRPr="00983613" w:rsidRDefault="00A86F83" w:rsidP="00A86F83">
      <w:pPr>
        <w:pStyle w:val="P1"/>
      </w:pPr>
      <w:r>
        <w:lastRenderedPageBreak/>
        <w:tab/>
      </w:r>
      <w:r w:rsidRPr="00983613">
        <w:t>(a)</w:t>
      </w:r>
      <w:r w:rsidRPr="00983613">
        <w:tab/>
      </w:r>
      <w:proofErr w:type="gramStart"/>
      <w:r w:rsidRPr="00983613">
        <w:t>subsections</w:t>
      </w:r>
      <w:proofErr w:type="gramEnd"/>
      <w:r w:rsidRPr="00983613">
        <w:t xml:space="preserve"> 10ACA(7A) and 10ADA(8A) apply to the items of the diagnostic imaging services table listed in column 1 of the table below; and</w:t>
      </w:r>
    </w:p>
    <w:p w14:paraId="71FEAE13" w14:textId="77777777" w:rsidR="00A86F83" w:rsidRDefault="00A86F83" w:rsidP="00A86F83">
      <w:pPr>
        <w:pStyle w:val="P1"/>
        <w:keepNext/>
        <w:keepLines/>
      </w:pPr>
      <w:r>
        <w:tab/>
      </w:r>
      <w:r w:rsidRPr="00983613">
        <w:t>(b)</w:t>
      </w:r>
      <w:r w:rsidRPr="00983613">
        <w:tab/>
      </w:r>
      <w:proofErr w:type="gramStart"/>
      <w:r w:rsidRPr="00983613">
        <w:t>the</w:t>
      </w:r>
      <w:proofErr w:type="gramEnd"/>
      <w:r w:rsidRPr="00983613">
        <w:t xml:space="preserve"> maximum increases for these items are listed in column 2.</w:t>
      </w:r>
    </w:p>
    <w:p w14:paraId="71FEAE14" w14:textId="77777777" w:rsidR="00A86F83" w:rsidRPr="00235665" w:rsidRDefault="00A86F83" w:rsidP="00A86F83">
      <w:pPr>
        <w:pStyle w:val="P1"/>
        <w:keepNext/>
        <w:keepLines/>
        <w:spacing w:before="0"/>
        <w:rPr>
          <w:sz w:val="16"/>
          <w:szCs w:val="16"/>
        </w:rPr>
      </w:pPr>
    </w:p>
    <w:tbl>
      <w:tblPr>
        <w:tblW w:w="4592" w:type="dxa"/>
        <w:tblInd w:w="1946" w:type="dxa"/>
        <w:tblLook w:val="0000" w:firstRow="0" w:lastRow="0" w:firstColumn="0" w:lastColumn="0" w:noHBand="0" w:noVBand="0"/>
      </w:tblPr>
      <w:tblGrid>
        <w:gridCol w:w="2296"/>
        <w:gridCol w:w="2296"/>
      </w:tblGrid>
      <w:tr w:rsidR="00A86F83" w:rsidRPr="00243F93" w14:paraId="71FEAE17" w14:textId="77777777" w:rsidTr="00D51A98">
        <w:trPr>
          <w:trHeight w:val="270"/>
          <w:tblHeader/>
        </w:trPr>
        <w:tc>
          <w:tcPr>
            <w:tcW w:w="22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FEAE15" w14:textId="77777777" w:rsidR="00A86F83" w:rsidRDefault="00A86F83" w:rsidP="00D51A98">
            <w:pPr>
              <w:pStyle w:val="TableColHead"/>
              <w:keepLines/>
              <w:ind w:left="819"/>
            </w:pPr>
            <w:r w:rsidRPr="00243F93">
              <w:t>Item</w:t>
            </w:r>
          </w:p>
        </w:tc>
        <w:tc>
          <w:tcPr>
            <w:tcW w:w="2296" w:type="dxa"/>
            <w:tcBorders>
              <w:top w:val="single" w:sz="4" w:space="0" w:color="auto"/>
              <w:left w:val="nil"/>
              <w:bottom w:val="single" w:sz="4" w:space="0" w:color="auto"/>
              <w:right w:val="single" w:sz="4" w:space="0" w:color="auto"/>
            </w:tcBorders>
            <w:shd w:val="clear" w:color="auto" w:fill="auto"/>
            <w:noWrap/>
            <w:vAlign w:val="bottom"/>
          </w:tcPr>
          <w:p w14:paraId="71FEAE16" w14:textId="77777777" w:rsidR="00A86F83" w:rsidRDefault="00A86F83" w:rsidP="00D51A98">
            <w:pPr>
              <w:pStyle w:val="TableColHead"/>
              <w:keepLines/>
              <w:jc w:val="center"/>
            </w:pPr>
            <w:r w:rsidRPr="00243F93">
              <w:t>Maximum increase ($)</w:t>
            </w:r>
          </w:p>
        </w:tc>
      </w:tr>
      <w:tr w:rsidR="00A86F83" w:rsidRPr="00983613" w14:paraId="71FEAE1A" w14:textId="77777777" w:rsidTr="00D51A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92"/>
        </w:trPr>
        <w:tc>
          <w:tcPr>
            <w:tcW w:w="2296" w:type="dxa"/>
            <w:shd w:val="clear" w:color="auto" w:fill="auto"/>
          </w:tcPr>
          <w:p w14:paraId="71FEAE18" w14:textId="77777777" w:rsidR="00A86F83" w:rsidRDefault="00A86F83" w:rsidP="00D51A98">
            <w:pPr>
              <w:pStyle w:val="TableText"/>
              <w:keepNext/>
              <w:keepLines/>
              <w:ind w:left="470" w:right="744"/>
              <w:jc w:val="right"/>
              <w:rPr>
                <w:b/>
              </w:rPr>
            </w:pPr>
            <w:r w:rsidRPr="002D3AF8">
              <w:t>55054</w:t>
            </w:r>
          </w:p>
        </w:tc>
        <w:tc>
          <w:tcPr>
            <w:tcW w:w="2296" w:type="dxa"/>
            <w:shd w:val="clear" w:color="auto" w:fill="auto"/>
          </w:tcPr>
          <w:p w14:paraId="71FEAE19" w14:textId="77777777" w:rsidR="00A86F83" w:rsidRDefault="00A86F83" w:rsidP="00D51A98">
            <w:pPr>
              <w:keepNext/>
              <w:keepLines/>
              <w:ind w:left="68"/>
              <w:rPr>
                <w:b/>
              </w:rPr>
            </w:pPr>
            <w:r w:rsidRPr="002D3AF8">
              <w:t xml:space="preserve">80 </w:t>
            </w:r>
            <w:r w:rsidRPr="00981B2C">
              <w:rPr>
                <w:bCs/>
                <w:lang w:val="en-US"/>
              </w:rPr>
              <w:t>percent</w:t>
            </w:r>
            <w:r w:rsidRPr="002D3AF8">
              <w:t xml:space="preserve"> of the Schedule fee for the item.</w:t>
            </w:r>
          </w:p>
        </w:tc>
      </w:tr>
      <w:tr w:rsidR="00A86F83" w:rsidRPr="00983613" w14:paraId="71FEAE1D" w14:textId="77777777" w:rsidTr="00D51A98">
        <w:trPr>
          <w:trHeight w:val="300"/>
        </w:trPr>
        <w:tc>
          <w:tcPr>
            <w:tcW w:w="2296" w:type="dxa"/>
            <w:tcBorders>
              <w:top w:val="single" w:sz="4" w:space="0" w:color="auto"/>
              <w:left w:val="single" w:sz="4" w:space="0" w:color="auto"/>
              <w:bottom w:val="single" w:sz="4" w:space="0" w:color="auto"/>
              <w:right w:val="single" w:sz="4" w:space="0" w:color="auto"/>
            </w:tcBorders>
            <w:shd w:val="clear" w:color="auto" w:fill="FFFFFF"/>
            <w:vAlign w:val="bottom"/>
          </w:tcPr>
          <w:p w14:paraId="71FEAE1B" w14:textId="77777777" w:rsidR="00A86F83" w:rsidRDefault="00A86F83" w:rsidP="00D51A98">
            <w:pPr>
              <w:pStyle w:val="TableText"/>
              <w:ind w:left="470" w:right="744"/>
              <w:jc w:val="right"/>
            </w:pPr>
            <w:r w:rsidRPr="00983613">
              <w:t>55700</w:t>
            </w:r>
          </w:p>
        </w:tc>
        <w:tc>
          <w:tcPr>
            <w:tcW w:w="2296" w:type="dxa"/>
            <w:tcBorders>
              <w:top w:val="single" w:sz="4" w:space="0" w:color="auto"/>
              <w:left w:val="nil"/>
              <w:bottom w:val="single" w:sz="4" w:space="0" w:color="auto"/>
              <w:right w:val="single" w:sz="4" w:space="0" w:color="auto"/>
            </w:tcBorders>
            <w:shd w:val="clear" w:color="auto" w:fill="FFFFFF"/>
            <w:noWrap/>
            <w:vAlign w:val="bottom"/>
          </w:tcPr>
          <w:p w14:paraId="71FEAE1C" w14:textId="77777777" w:rsidR="00A86F83" w:rsidRPr="00981B2C" w:rsidRDefault="00A86F83" w:rsidP="00D51A98">
            <w:pPr>
              <w:pStyle w:val="TableText"/>
              <w:tabs>
                <w:tab w:val="left" w:pos="1550"/>
              </w:tabs>
              <w:ind w:right="579"/>
              <w:jc w:val="right"/>
            </w:pPr>
            <w:r w:rsidRPr="00983613">
              <w:t>32.95</w:t>
            </w:r>
          </w:p>
        </w:tc>
      </w:tr>
      <w:tr w:rsidR="00A86F83" w:rsidRPr="00983613" w14:paraId="71FEAE20" w14:textId="77777777" w:rsidTr="00D51A98">
        <w:trPr>
          <w:trHeight w:val="300"/>
        </w:trPr>
        <w:tc>
          <w:tcPr>
            <w:tcW w:w="2296" w:type="dxa"/>
            <w:tcBorders>
              <w:top w:val="single" w:sz="4" w:space="0" w:color="auto"/>
              <w:left w:val="single" w:sz="4" w:space="0" w:color="auto"/>
              <w:bottom w:val="single" w:sz="4" w:space="0" w:color="auto"/>
              <w:right w:val="single" w:sz="4" w:space="0" w:color="auto"/>
            </w:tcBorders>
            <w:shd w:val="clear" w:color="auto" w:fill="FFFFFF"/>
            <w:vAlign w:val="bottom"/>
          </w:tcPr>
          <w:p w14:paraId="71FEAE1E" w14:textId="77777777" w:rsidR="00A86F83" w:rsidRDefault="00A86F83" w:rsidP="00D51A98">
            <w:pPr>
              <w:pStyle w:val="TableText"/>
              <w:ind w:left="470" w:right="744"/>
              <w:jc w:val="right"/>
            </w:pPr>
            <w:r w:rsidRPr="00983613">
              <w:t>55701</w:t>
            </w:r>
          </w:p>
        </w:tc>
        <w:tc>
          <w:tcPr>
            <w:tcW w:w="2296" w:type="dxa"/>
            <w:tcBorders>
              <w:top w:val="single" w:sz="4" w:space="0" w:color="auto"/>
              <w:left w:val="nil"/>
              <w:bottom w:val="single" w:sz="4" w:space="0" w:color="auto"/>
              <w:right w:val="single" w:sz="4" w:space="0" w:color="auto"/>
            </w:tcBorders>
            <w:shd w:val="clear" w:color="auto" w:fill="FFFFFF"/>
            <w:noWrap/>
            <w:vAlign w:val="bottom"/>
          </w:tcPr>
          <w:p w14:paraId="71FEAE1F" w14:textId="77777777" w:rsidR="00A86F83" w:rsidRPr="00981B2C" w:rsidRDefault="00A86F83" w:rsidP="00D51A98">
            <w:pPr>
              <w:pStyle w:val="TableText"/>
              <w:tabs>
                <w:tab w:val="left" w:pos="1550"/>
              </w:tabs>
              <w:ind w:right="579"/>
              <w:jc w:val="right"/>
            </w:pPr>
            <w:r w:rsidRPr="00983613">
              <w:t>16.50</w:t>
            </w:r>
          </w:p>
        </w:tc>
      </w:tr>
      <w:tr w:rsidR="00A86F83" w:rsidRPr="00983613" w14:paraId="71FEAE23" w14:textId="77777777" w:rsidTr="00D51A98">
        <w:trPr>
          <w:trHeight w:val="300"/>
        </w:trPr>
        <w:tc>
          <w:tcPr>
            <w:tcW w:w="2296" w:type="dxa"/>
            <w:tcBorders>
              <w:top w:val="single" w:sz="4" w:space="0" w:color="auto"/>
              <w:left w:val="single" w:sz="4" w:space="0" w:color="auto"/>
              <w:bottom w:val="single" w:sz="4" w:space="0" w:color="auto"/>
              <w:right w:val="single" w:sz="4" w:space="0" w:color="auto"/>
            </w:tcBorders>
            <w:shd w:val="clear" w:color="auto" w:fill="FFFFFF"/>
            <w:vAlign w:val="bottom"/>
          </w:tcPr>
          <w:p w14:paraId="71FEAE21" w14:textId="77777777" w:rsidR="00A86F83" w:rsidRDefault="00A86F83" w:rsidP="00D51A98">
            <w:pPr>
              <w:pStyle w:val="TableText"/>
              <w:ind w:left="470" w:right="744"/>
              <w:jc w:val="right"/>
            </w:pPr>
            <w:r w:rsidRPr="00983613">
              <w:t>55702</w:t>
            </w:r>
          </w:p>
        </w:tc>
        <w:tc>
          <w:tcPr>
            <w:tcW w:w="2296" w:type="dxa"/>
            <w:tcBorders>
              <w:top w:val="single" w:sz="4" w:space="0" w:color="auto"/>
              <w:left w:val="nil"/>
              <w:bottom w:val="single" w:sz="4" w:space="0" w:color="auto"/>
              <w:right w:val="single" w:sz="4" w:space="0" w:color="auto"/>
            </w:tcBorders>
            <w:shd w:val="clear" w:color="auto" w:fill="FFFFFF"/>
            <w:noWrap/>
            <w:vAlign w:val="bottom"/>
          </w:tcPr>
          <w:p w14:paraId="71FEAE22" w14:textId="77777777" w:rsidR="00A86F83" w:rsidRPr="00981B2C" w:rsidRDefault="00A86F83" w:rsidP="00D51A98">
            <w:pPr>
              <w:pStyle w:val="TableText"/>
              <w:tabs>
                <w:tab w:val="left" w:pos="1550"/>
              </w:tabs>
              <w:ind w:right="579"/>
              <w:jc w:val="right"/>
            </w:pPr>
            <w:r w:rsidRPr="00983613">
              <w:t>8.30</w:t>
            </w:r>
          </w:p>
        </w:tc>
      </w:tr>
      <w:tr w:rsidR="00A86F83" w:rsidRPr="00983613" w14:paraId="71FEAE26" w14:textId="77777777" w:rsidTr="00D51A98">
        <w:trPr>
          <w:trHeight w:val="300"/>
        </w:trPr>
        <w:tc>
          <w:tcPr>
            <w:tcW w:w="2296" w:type="dxa"/>
            <w:tcBorders>
              <w:top w:val="single" w:sz="4" w:space="0" w:color="auto"/>
              <w:left w:val="single" w:sz="4" w:space="0" w:color="auto"/>
              <w:bottom w:val="single" w:sz="4" w:space="0" w:color="auto"/>
              <w:right w:val="single" w:sz="4" w:space="0" w:color="auto"/>
            </w:tcBorders>
            <w:shd w:val="clear" w:color="auto" w:fill="FFFFFF"/>
            <w:vAlign w:val="bottom"/>
          </w:tcPr>
          <w:p w14:paraId="71FEAE24" w14:textId="77777777" w:rsidR="00A86F83" w:rsidRDefault="00A86F83" w:rsidP="00D51A98">
            <w:pPr>
              <w:pStyle w:val="TableText"/>
              <w:ind w:left="470" w:right="744"/>
              <w:jc w:val="right"/>
            </w:pPr>
            <w:r w:rsidRPr="00983613">
              <w:t>55703</w:t>
            </w:r>
          </w:p>
        </w:tc>
        <w:tc>
          <w:tcPr>
            <w:tcW w:w="2296" w:type="dxa"/>
            <w:tcBorders>
              <w:top w:val="single" w:sz="4" w:space="0" w:color="auto"/>
              <w:left w:val="nil"/>
              <w:bottom w:val="single" w:sz="4" w:space="0" w:color="auto"/>
              <w:right w:val="single" w:sz="4" w:space="0" w:color="auto"/>
            </w:tcBorders>
            <w:shd w:val="clear" w:color="auto" w:fill="FFFFFF"/>
            <w:noWrap/>
            <w:vAlign w:val="bottom"/>
          </w:tcPr>
          <w:p w14:paraId="71FEAE25" w14:textId="77777777" w:rsidR="00A86F83" w:rsidRPr="00981B2C" w:rsidRDefault="00A86F83" w:rsidP="00D51A98">
            <w:pPr>
              <w:pStyle w:val="TableText"/>
              <w:tabs>
                <w:tab w:val="left" w:pos="1550"/>
              </w:tabs>
              <w:ind w:right="579"/>
              <w:jc w:val="right"/>
            </w:pPr>
            <w:r w:rsidRPr="00983613">
              <w:t>16.55</w:t>
            </w:r>
          </w:p>
        </w:tc>
      </w:tr>
      <w:tr w:rsidR="00A86F83" w:rsidRPr="00983613" w14:paraId="71FEAE29" w14:textId="77777777" w:rsidTr="00D51A98">
        <w:trPr>
          <w:trHeight w:val="300"/>
        </w:trPr>
        <w:tc>
          <w:tcPr>
            <w:tcW w:w="2296" w:type="dxa"/>
            <w:tcBorders>
              <w:top w:val="single" w:sz="4" w:space="0" w:color="auto"/>
              <w:left w:val="single" w:sz="4" w:space="0" w:color="auto"/>
              <w:bottom w:val="single" w:sz="4" w:space="0" w:color="auto"/>
              <w:right w:val="single" w:sz="4" w:space="0" w:color="auto"/>
            </w:tcBorders>
            <w:shd w:val="clear" w:color="auto" w:fill="FFFFFF"/>
            <w:vAlign w:val="bottom"/>
          </w:tcPr>
          <w:p w14:paraId="71FEAE27" w14:textId="77777777" w:rsidR="00A86F83" w:rsidRDefault="00A86F83" w:rsidP="00D51A98">
            <w:pPr>
              <w:pStyle w:val="TableText"/>
              <w:ind w:left="470" w:right="744"/>
              <w:jc w:val="right"/>
            </w:pPr>
            <w:r w:rsidRPr="00983613">
              <w:t>55704</w:t>
            </w:r>
          </w:p>
        </w:tc>
        <w:tc>
          <w:tcPr>
            <w:tcW w:w="2296" w:type="dxa"/>
            <w:tcBorders>
              <w:top w:val="single" w:sz="4" w:space="0" w:color="auto"/>
              <w:left w:val="nil"/>
              <w:bottom w:val="single" w:sz="4" w:space="0" w:color="auto"/>
              <w:right w:val="single" w:sz="4" w:space="0" w:color="auto"/>
            </w:tcBorders>
            <w:shd w:val="clear" w:color="auto" w:fill="FFFFFF"/>
            <w:noWrap/>
            <w:vAlign w:val="bottom"/>
          </w:tcPr>
          <w:p w14:paraId="71FEAE28" w14:textId="77777777" w:rsidR="00A86F83" w:rsidRPr="00981B2C" w:rsidRDefault="00A86F83" w:rsidP="00D51A98">
            <w:pPr>
              <w:pStyle w:val="TableText"/>
              <w:tabs>
                <w:tab w:val="left" w:pos="1550"/>
              </w:tabs>
              <w:ind w:right="579"/>
              <w:jc w:val="right"/>
            </w:pPr>
            <w:r w:rsidRPr="00983613">
              <w:t>38.50</w:t>
            </w:r>
          </w:p>
        </w:tc>
      </w:tr>
      <w:tr w:rsidR="00A86F83" w:rsidRPr="00983613" w14:paraId="71FEAE2C" w14:textId="77777777" w:rsidTr="00D51A98">
        <w:trPr>
          <w:trHeight w:val="300"/>
        </w:trPr>
        <w:tc>
          <w:tcPr>
            <w:tcW w:w="2296" w:type="dxa"/>
            <w:tcBorders>
              <w:top w:val="single" w:sz="4" w:space="0" w:color="auto"/>
              <w:left w:val="single" w:sz="4" w:space="0" w:color="auto"/>
              <w:bottom w:val="single" w:sz="4" w:space="0" w:color="auto"/>
              <w:right w:val="single" w:sz="4" w:space="0" w:color="auto"/>
            </w:tcBorders>
            <w:shd w:val="clear" w:color="auto" w:fill="FFFFFF"/>
            <w:vAlign w:val="bottom"/>
          </w:tcPr>
          <w:p w14:paraId="71FEAE2A" w14:textId="77777777" w:rsidR="00A86F83" w:rsidRDefault="00A86F83" w:rsidP="00D51A98">
            <w:pPr>
              <w:pStyle w:val="TableText"/>
              <w:ind w:left="470" w:right="744"/>
              <w:jc w:val="right"/>
            </w:pPr>
            <w:r w:rsidRPr="00983613">
              <w:t>55705</w:t>
            </w:r>
          </w:p>
        </w:tc>
        <w:tc>
          <w:tcPr>
            <w:tcW w:w="2296" w:type="dxa"/>
            <w:tcBorders>
              <w:top w:val="single" w:sz="4" w:space="0" w:color="auto"/>
              <w:left w:val="nil"/>
              <w:bottom w:val="single" w:sz="4" w:space="0" w:color="auto"/>
              <w:right w:val="single" w:sz="4" w:space="0" w:color="auto"/>
            </w:tcBorders>
            <w:shd w:val="clear" w:color="auto" w:fill="FFFFFF"/>
            <w:noWrap/>
            <w:vAlign w:val="bottom"/>
          </w:tcPr>
          <w:p w14:paraId="71FEAE2B" w14:textId="77777777" w:rsidR="00A86F83" w:rsidRPr="00981B2C" w:rsidRDefault="00A86F83" w:rsidP="00D51A98">
            <w:pPr>
              <w:pStyle w:val="TableText"/>
              <w:tabs>
                <w:tab w:val="left" w:pos="1550"/>
              </w:tabs>
              <w:ind w:right="579"/>
              <w:jc w:val="right"/>
            </w:pPr>
            <w:r w:rsidRPr="00983613">
              <w:t>16.55</w:t>
            </w:r>
          </w:p>
        </w:tc>
      </w:tr>
      <w:tr w:rsidR="00A86F83" w:rsidRPr="00983613" w14:paraId="71FEAE2F" w14:textId="77777777" w:rsidTr="00D51A98">
        <w:trPr>
          <w:trHeight w:val="300"/>
        </w:trPr>
        <w:tc>
          <w:tcPr>
            <w:tcW w:w="2296" w:type="dxa"/>
            <w:tcBorders>
              <w:top w:val="single" w:sz="4" w:space="0" w:color="auto"/>
              <w:left w:val="single" w:sz="4" w:space="0" w:color="auto"/>
              <w:bottom w:val="single" w:sz="4" w:space="0" w:color="auto"/>
              <w:right w:val="single" w:sz="4" w:space="0" w:color="auto"/>
            </w:tcBorders>
            <w:shd w:val="clear" w:color="auto" w:fill="FFFFFF"/>
            <w:vAlign w:val="bottom"/>
          </w:tcPr>
          <w:p w14:paraId="71FEAE2D" w14:textId="77777777" w:rsidR="00A86F83" w:rsidRDefault="00A86F83" w:rsidP="00D51A98">
            <w:pPr>
              <w:pStyle w:val="TableText"/>
              <w:ind w:left="470" w:right="744"/>
              <w:jc w:val="right"/>
            </w:pPr>
            <w:r w:rsidRPr="00983613">
              <w:t>55706</w:t>
            </w:r>
          </w:p>
        </w:tc>
        <w:tc>
          <w:tcPr>
            <w:tcW w:w="2296" w:type="dxa"/>
            <w:tcBorders>
              <w:top w:val="single" w:sz="4" w:space="0" w:color="auto"/>
              <w:left w:val="nil"/>
              <w:bottom w:val="single" w:sz="4" w:space="0" w:color="auto"/>
              <w:right w:val="single" w:sz="4" w:space="0" w:color="auto"/>
            </w:tcBorders>
            <w:shd w:val="clear" w:color="auto" w:fill="FFFFFF"/>
            <w:noWrap/>
            <w:vAlign w:val="bottom"/>
          </w:tcPr>
          <w:p w14:paraId="71FEAE2E" w14:textId="77777777" w:rsidR="00A86F83" w:rsidRPr="00981B2C" w:rsidRDefault="00A86F83" w:rsidP="00D51A98">
            <w:pPr>
              <w:pStyle w:val="TableText"/>
              <w:tabs>
                <w:tab w:val="left" w:pos="1550"/>
              </w:tabs>
              <w:ind w:right="579"/>
              <w:jc w:val="right"/>
            </w:pPr>
            <w:r w:rsidRPr="00983613">
              <w:t>54.90</w:t>
            </w:r>
          </w:p>
        </w:tc>
      </w:tr>
      <w:tr w:rsidR="00A86F83" w:rsidRPr="00983613" w14:paraId="71FEAE32" w14:textId="77777777" w:rsidTr="00D51A98">
        <w:trPr>
          <w:trHeight w:val="300"/>
        </w:trPr>
        <w:tc>
          <w:tcPr>
            <w:tcW w:w="2296" w:type="dxa"/>
            <w:tcBorders>
              <w:top w:val="single" w:sz="4" w:space="0" w:color="auto"/>
              <w:left w:val="single" w:sz="4" w:space="0" w:color="auto"/>
              <w:bottom w:val="single" w:sz="4" w:space="0" w:color="auto"/>
              <w:right w:val="single" w:sz="4" w:space="0" w:color="auto"/>
            </w:tcBorders>
            <w:shd w:val="clear" w:color="auto" w:fill="FFFFFF"/>
            <w:vAlign w:val="bottom"/>
          </w:tcPr>
          <w:p w14:paraId="71FEAE30" w14:textId="77777777" w:rsidR="00A86F83" w:rsidRDefault="00A86F83" w:rsidP="00D51A98">
            <w:pPr>
              <w:pStyle w:val="TableText"/>
              <w:ind w:left="470" w:right="744"/>
              <w:jc w:val="right"/>
            </w:pPr>
            <w:r w:rsidRPr="00983613">
              <w:t>55707</w:t>
            </w:r>
          </w:p>
        </w:tc>
        <w:tc>
          <w:tcPr>
            <w:tcW w:w="2296" w:type="dxa"/>
            <w:tcBorders>
              <w:top w:val="single" w:sz="4" w:space="0" w:color="auto"/>
              <w:left w:val="nil"/>
              <w:bottom w:val="single" w:sz="4" w:space="0" w:color="auto"/>
              <w:right w:val="single" w:sz="4" w:space="0" w:color="auto"/>
            </w:tcBorders>
            <w:shd w:val="clear" w:color="auto" w:fill="FFFFFF"/>
            <w:noWrap/>
            <w:vAlign w:val="bottom"/>
          </w:tcPr>
          <w:p w14:paraId="71FEAE31" w14:textId="77777777" w:rsidR="00A86F83" w:rsidRPr="00981B2C" w:rsidRDefault="00A86F83" w:rsidP="00D51A98">
            <w:pPr>
              <w:pStyle w:val="TableText"/>
              <w:tabs>
                <w:tab w:val="left" w:pos="1550"/>
              </w:tabs>
              <w:ind w:right="579"/>
              <w:jc w:val="right"/>
            </w:pPr>
            <w:r>
              <w:t>38.50</w:t>
            </w:r>
          </w:p>
        </w:tc>
      </w:tr>
      <w:tr w:rsidR="00A86F83" w:rsidRPr="00983613" w14:paraId="71FEAE35" w14:textId="77777777" w:rsidTr="00D51A98">
        <w:trPr>
          <w:trHeight w:val="300"/>
        </w:trPr>
        <w:tc>
          <w:tcPr>
            <w:tcW w:w="2296" w:type="dxa"/>
            <w:tcBorders>
              <w:top w:val="single" w:sz="4" w:space="0" w:color="auto"/>
              <w:left w:val="single" w:sz="4" w:space="0" w:color="auto"/>
              <w:bottom w:val="single" w:sz="4" w:space="0" w:color="auto"/>
              <w:right w:val="single" w:sz="4" w:space="0" w:color="auto"/>
            </w:tcBorders>
            <w:shd w:val="clear" w:color="auto" w:fill="FFFFFF"/>
            <w:vAlign w:val="bottom"/>
          </w:tcPr>
          <w:p w14:paraId="71FEAE33" w14:textId="77777777" w:rsidR="00A86F83" w:rsidRDefault="00A86F83" w:rsidP="00D51A98">
            <w:pPr>
              <w:pStyle w:val="TableText"/>
              <w:ind w:left="470" w:right="744"/>
              <w:jc w:val="right"/>
            </w:pPr>
            <w:r w:rsidRPr="00983613">
              <w:t>55708</w:t>
            </w:r>
          </w:p>
        </w:tc>
        <w:tc>
          <w:tcPr>
            <w:tcW w:w="2296" w:type="dxa"/>
            <w:tcBorders>
              <w:top w:val="single" w:sz="4" w:space="0" w:color="auto"/>
              <w:left w:val="nil"/>
              <w:bottom w:val="single" w:sz="4" w:space="0" w:color="auto"/>
              <w:right w:val="single" w:sz="4" w:space="0" w:color="auto"/>
            </w:tcBorders>
            <w:shd w:val="clear" w:color="auto" w:fill="FFFFFF"/>
            <w:noWrap/>
            <w:vAlign w:val="bottom"/>
          </w:tcPr>
          <w:p w14:paraId="71FEAE34" w14:textId="77777777" w:rsidR="00A86F83" w:rsidRPr="00981B2C" w:rsidRDefault="00A86F83" w:rsidP="00D51A98">
            <w:pPr>
              <w:pStyle w:val="TableText"/>
              <w:tabs>
                <w:tab w:val="left" w:pos="1550"/>
              </w:tabs>
              <w:ind w:right="579"/>
              <w:jc w:val="right"/>
            </w:pPr>
            <w:r w:rsidRPr="00983613">
              <w:t>16.55</w:t>
            </w:r>
          </w:p>
        </w:tc>
      </w:tr>
      <w:tr w:rsidR="00A86F83" w:rsidRPr="00983613" w14:paraId="71FEAE38" w14:textId="77777777" w:rsidTr="00D51A98">
        <w:trPr>
          <w:trHeight w:val="300"/>
        </w:trPr>
        <w:tc>
          <w:tcPr>
            <w:tcW w:w="2296" w:type="dxa"/>
            <w:tcBorders>
              <w:top w:val="single" w:sz="4" w:space="0" w:color="auto"/>
              <w:left w:val="single" w:sz="4" w:space="0" w:color="auto"/>
              <w:bottom w:val="single" w:sz="4" w:space="0" w:color="auto"/>
              <w:right w:val="single" w:sz="4" w:space="0" w:color="auto"/>
            </w:tcBorders>
            <w:shd w:val="clear" w:color="auto" w:fill="FFFFFF"/>
            <w:vAlign w:val="bottom"/>
          </w:tcPr>
          <w:p w14:paraId="71FEAE36" w14:textId="77777777" w:rsidR="00A86F83" w:rsidRDefault="00A86F83" w:rsidP="00D51A98">
            <w:pPr>
              <w:pStyle w:val="TableText"/>
              <w:keepNext/>
              <w:keepLines/>
              <w:ind w:left="470" w:right="744"/>
              <w:jc w:val="right"/>
            </w:pPr>
            <w:r w:rsidRPr="00983613">
              <w:t>55709</w:t>
            </w:r>
          </w:p>
        </w:tc>
        <w:tc>
          <w:tcPr>
            <w:tcW w:w="2296" w:type="dxa"/>
            <w:tcBorders>
              <w:top w:val="single" w:sz="4" w:space="0" w:color="auto"/>
              <w:left w:val="nil"/>
              <w:bottom w:val="single" w:sz="4" w:space="0" w:color="auto"/>
              <w:right w:val="single" w:sz="4" w:space="0" w:color="auto"/>
            </w:tcBorders>
            <w:shd w:val="clear" w:color="auto" w:fill="FFFFFF"/>
            <w:noWrap/>
            <w:vAlign w:val="bottom"/>
          </w:tcPr>
          <w:p w14:paraId="71FEAE37" w14:textId="77777777" w:rsidR="00A86F83" w:rsidRPr="00981B2C" w:rsidRDefault="00A86F83" w:rsidP="00D51A98">
            <w:pPr>
              <w:pStyle w:val="TableText"/>
              <w:tabs>
                <w:tab w:val="left" w:pos="1550"/>
              </w:tabs>
              <w:ind w:right="579"/>
              <w:jc w:val="right"/>
            </w:pPr>
            <w:r w:rsidRPr="00983613">
              <w:t>22.00</w:t>
            </w:r>
          </w:p>
        </w:tc>
      </w:tr>
      <w:tr w:rsidR="00A86F83" w:rsidRPr="00983613" w14:paraId="71FEAE3B" w14:textId="77777777" w:rsidTr="00D51A98">
        <w:trPr>
          <w:trHeight w:val="300"/>
        </w:trPr>
        <w:tc>
          <w:tcPr>
            <w:tcW w:w="2296" w:type="dxa"/>
            <w:tcBorders>
              <w:top w:val="single" w:sz="4" w:space="0" w:color="auto"/>
              <w:left w:val="single" w:sz="4" w:space="0" w:color="auto"/>
              <w:bottom w:val="single" w:sz="4" w:space="0" w:color="auto"/>
              <w:right w:val="single" w:sz="4" w:space="0" w:color="auto"/>
            </w:tcBorders>
            <w:shd w:val="clear" w:color="auto" w:fill="FFFFFF"/>
            <w:vAlign w:val="bottom"/>
          </w:tcPr>
          <w:p w14:paraId="71FEAE39" w14:textId="77777777" w:rsidR="00A86F83" w:rsidRDefault="00A86F83" w:rsidP="00D51A98">
            <w:pPr>
              <w:pStyle w:val="TableText"/>
              <w:keepNext/>
              <w:keepLines/>
              <w:ind w:left="470" w:right="744"/>
              <w:jc w:val="right"/>
            </w:pPr>
            <w:r w:rsidRPr="00983613">
              <w:t>55710</w:t>
            </w:r>
          </w:p>
        </w:tc>
        <w:tc>
          <w:tcPr>
            <w:tcW w:w="2296" w:type="dxa"/>
            <w:tcBorders>
              <w:top w:val="single" w:sz="4" w:space="0" w:color="auto"/>
              <w:left w:val="nil"/>
              <w:bottom w:val="single" w:sz="4" w:space="0" w:color="auto"/>
              <w:right w:val="single" w:sz="4" w:space="0" w:color="auto"/>
            </w:tcBorders>
            <w:shd w:val="clear" w:color="auto" w:fill="FFFFFF"/>
            <w:noWrap/>
            <w:vAlign w:val="bottom"/>
          </w:tcPr>
          <w:p w14:paraId="71FEAE3A" w14:textId="77777777" w:rsidR="00A86F83" w:rsidRPr="00981B2C" w:rsidRDefault="00A86F83" w:rsidP="00D51A98">
            <w:pPr>
              <w:pStyle w:val="TableText"/>
              <w:tabs>
                <w:tab w:val="left" w:pos="1550"/>
              </w:tabs>
              <w:ind w:right="579"/>
              <w:jc w:val="right"/>
            </w:pPr>
            <w:r w:rsidRPr="00983613">
              <w:t>19.30</w:t>
            </w:r>
          </w:p>
        </w:tc>
      </w:tr>
      <w:tr w:rsidR="00A86F83" w:rsidRPr="00983613" w14:paraId="71FEAE3E" w14:textId="77777777" w:rsidTr="00D51A98">
        <w:trPr>
          <w:trHeight w:val="300"/>
        </w:trPr>
        <w:tc>
          <w:tcPr>
            <w:tcW w:w="2296" w:type="dxa"/>
            <w:tcBorders>
              <w:top w:val="single" w:sz="4" w:space="0" w:color="auto"/>
              <w:left w:val="single" w:sz="4" w:space="0" w:color="auto"/>
              <w:bottom w:val="single" w:sz="4" w:space="0" w:color="auto"/>
              <w:right w:val="single" w:sz="4" w:space="0" w:color="auto"/>
            </w:tcBorders>
            <w:shd w:val="clear" w:color="auto" w:fill="FFFFFF"/>
            <w:vAlign w:val="bottom"/>
          </w:tcPr>
          <w:p w14:paraId="71FEAE3C" w14:textId="77777777" w:rsidR="00A86F83" w:rsidRDefault="00A86F83" w:rsidP="00D51A98">
            <w:pPr>
              <w:pStyle w:val="TableText"/>
              <w:ind w:left="470" w:right="744"/>
              <w:jc w:val="right"/>
            </w:pPr>
            <w:r w:rsidRPr="00983613">
              <w:t>55711</w:t>
            </w:r>
          </w:p>
        </w:tc>
        <w:tc>
          <w:tcPr>
            <w:tcW w:w="2296" w:type="dxa"/>
            <w:tcBorders>
              <w:top w:val="single" w:sz="4" w:space="0" w:color="auto"/>
              <w:left w:val="nil"/>
              <w:bottom w:val="single" w:sz="4" w:space="0" w:color="auto"/>
              <w:right w:val="single" w:sz="4" w:space="0" w:color="auto"/>
            </w:tcBorders>
            <w:shd w:val="clear" w:color="auto" w:fill="FFFFFF"/>
            <w:noWrap/>
            <w:vAlign w:val="bottom"/>
          </w:tcPr>
          <w:p w14:paraId="71FEAE3D" w14:textId="77777777" w:rsidR="00A86F83" w:rsidRPr="00981B2C" w:rsidRDefault="00A86F83" w:rsidP="00D51A98">
            <w:pPr>
              <w:pStyle w:val="TableText"/>
              <w:tabs>
                <w:tab w:val="left" w:pos="1550"/>
              </w:tabs>
              <w:ind w:right="579"/>
              <w:jc w:val="right"/>
            </w:pPr>
            <w:r w:rsidRPr="00983613">
              <w:t>8.30</w:t>
            </w:r>
          </w:p>
        </w:tc>
      </w:tr>
      <w:tr w:rsidR="00A86F83" w:rsidRPr="00983613" w14:paraId="71FEAE41" w14:textId="77777777" w:rsidTr="00D51A98">
        <w:trPr>
          <w:trHeight w:val="300"/>
        </w:trPr>
        <w:tc>
          <w:tcPr>
            <w:tcW w:w="2296" w:type="dxa"/>
            <w:tcBorders>
              <w:top w:val="single" w:sz="4" w:space="0" w:color="auto"/>
              <w:left w:val="single" w:sz="4" w:space="0" w:color="auto"/>
              <w:bottom w:val="single" w:sz="4" w:space="0" w:color="auto"/>
              <w:right w:val="single" w:sz="4" w:space="0" w:color="auto"/>
            </w:tcBorders>
            <w:shd w:val="clear" w:color="auto" w:fill="FFFFFF"/>
            <w:vAlign w:val="bottom"/>
          </w:tcPr>
          <w:p w14:paraId="71FEAE3F" w14:textId="77777777" w:rsidR="00A86F83" w:rsidRDefault="00A86F83" w:rsidP="00D51A98">
            <w:pPr>
              <w:pStyle w:val="TableText"/>
              <w:ind w:left="470" w:right="744"/>
              <w:jc w:val="right"/>
            </w:pPr>
            <w:r w:rsidRPr="00983613">
              <w:t>55712</w:t>
            </w:r>
          </w:p>
        </w:tc>
        <w:tc>
          <w:tcPr>
            <w:tcW w:w="2296" w:type="dxa"/>
            <w:tcBorders>
              <w:top w:val="single" w:sz="4" w:space="0" w:color="auto"/>
              <w:left w:val="nil"/>
              <w:bottom w:val="single" w:sz="4" w:space="0" w:color="auto"/>
              <w:right w:val="single" w:sz="4" w:space="0" w:color="auto"/>
            </w:tcBorders>
            <w:shd w:val="clear" w:color="auto" w:fill="FFFFFF"/>
            <w:noWrap/>
            <w:vAlign w:val="bottom"/>
          </w:tcPr>
          <w:p w14:paraId="71FEAE40" w14:textId="77777777" w:rsidR="00A86F83" w:rsidRPr="00981B2C" w:rsidRDefault="00A86F83" w:rsidP="00D51A98">
            <w:pPr>
              <w:pStyle w:val="TableText"/>
              <w:tabs>
                <w:tab w:val="left" w:pos="1550"/>
              </w:tabs>
              <w:ind w:right="579"/>
              <w:jc w:val="right"/>
            </w:pPr>
            <w:r w:rsidRPr="00983613">
              <w:t>65.90</w:t>
            </w:r>
          </w:p>
        </w:tc>
      </w:tr>
      <w:tr w:rsidR="00A86F83" w:rsidRPr="00983613" w14:paraId="71FEAE44" w14:textId="77777777" w:rsidTr="00D51A98">
        <w:trPr>
          <w:trHeight w:val="300"/>
        </w:trPr>
        <w:tc>
          <w:tcPr>
            <w:tcW w:w="2296" w:type="dxa"/>
            <w:tcBorders>
              <w:top w:val="single" w:sz="4" w:space="0" w:color="auto"/>
              <w:left w:val="single" w:sz="4" w:space="0" w:color="auto"/>
              <w:bottom w:val="single" w:sz="4" w:space="0" w:color="auto"/>
              <w:right w:val="single" w:sz="4" w:space="0" w:color="auto"/>
            </w:tcBorders>
            <w:shd w:val="clear" w:color="auto" w:fill="FFFFFF"/>
            <w:vAlign w:val="bottom"/>
          </w:tcPr>
          <w:p w14:paraId="71FEAE42" w14:textId="77777777" w:rsidR="00A86F83" w:rsidRDefault="00A86F83" w:rsidP="00D51A98">
            <w:pPr>
              <w:pStyle w:val="TableText"/>
              <w:ind w:left="470" w:right="744"/>
              <w:jc w:val="right"/>
            </w:pPr>
            <w:r w:rsidRPr="00983613">
              <w:t>55713</w:t>
            </w:r>
          </w:p>
        </w:tc>
        <w:tc>
          <w:tcPr>
            <w:tcW w:w="2296" w:type="dxa"/>
            <w:tcBorders>
              <w:top w:val="single" w:sz="4" w:space="0" w:color="auto"/>
              <w:left w:val="nil"/>
              <w:bottom w:val="single" w:sz="4" w:space="0" w:color="auto"/>
              <w:right w:val="single" w:sz="4" w:space="0" w:color="auto"/>
            </w:tcBorders>
            <w:shd w:val="clear" w:color="auto" w:fill="FFFFFF"/>
            <w:noWrap/>
            <w:vAlign w:val="bottom"/>
          </w:tcPr>
          <w:p w14:paraId="71FEAE43" w14:textId="77777777" w:rsidR="00A86F83" w:rsidRPr="00981B2C" w:rsidRDefault="00A86F83" w:rsidP="00D51A98">
            <w:pPr>
              <w:pStyle w:val="TableText"/>
              <w:tabs>
                <w:tab w:val="left" w:pos="1550"/>
              </w:tabs>
              <w:ind w:right="579"/>
              <w:jc w:val="right"/>
            </w:pPr>
            <w:r w:rsidRPr="00983613">
              <w:t>27.50</w:t>
            </w:r>
          </w:p>
        </w:tc>
      </w:tr>
      <w:tr w:rsidR="00A86F83" w:rsidRPr="00983613" w14:paraId="71FEAE47" w14:textId="77777777" w:rsidTr="00D51A98">
        <w:trPr>
          <w:trHeight w:val="300"/>
        </w:trPr>
        <w:tc>
          <w:tcPr>
            <w:tcW w:w="2296" w:type="dxa"/>
            <w:tcBorders>
              <w:top w:val="single" w:sz="4" w:space="0" w:color="auto"/>
              <w:left w:val="single" w:sz="4" w:space="0" w:color="auto"/>
              <w:bottom w:val="single" w:sz="4" w:space="0" w:color="auto"/>
              <w:right w:val="single" w:sz="4" w:space="0" w:color="auto"/>
            </w:tcBorders>
            <w:shd w:val="clear" w:color="auto" w:fill="FFFFFF"/>
            <w:vAlign w:val="bottom"/>
          </w:tcPr>
          <w:p w14:paraId="71FEAE45" w14:textId="77777777" w:rsidR="00A86F83" w:rsidRDefault="00A86F83" w:rsidP="00D51A98">
            <w:pPr>
              <w:pStyle w:val="TableText"/>
              <w:ind w:left="470" w:right="744"/>
              <w:jc w:val="right"/>
            </w:pPr>
            <w:r w:rsidRPr="00983613">
              <w:t>55714</w:t>
            </w:r>
          </w:p>
        </w:tc>
        <w:tc>
          <w:tcPr>
            <w:tcW w:w="2296" w:type="dxa"/>
            <w:tcBorders>
              <w:top w:val="single" w:sz="4" w:space="0" w:color="auto"/>
              <w:left w:val="nil"/>
              <w:bottom w:val="single" w:sz="4" w:space="0" w:color="auto"/>
              <w:right w:val="single" w:sz="4" w:space="0" w:color="auto"/>
            </w:tcBorders>
            <w:shd w:val="clear" w:color="auto" w:fill="FFFFFF"/>
            <w:noWrap/>
            <w:vAlign w:val="bottom"/>
          </w:tcPr>
          <w:p w14:paraId="71FEAE46" w14:textId="77777777" w:rsidR="00A86F83" w:rsidRPr="00981B2C" w:rsidRDefault="00A86F83" w:rsidP="00D51A98">
            <w:pPr>
              <w:pStyle w:val="TableText"/>
              <w:tabs>
                <w:tab w:val="left" w:pos="1550"/>
              </w:tabs>
              <w:ind w:right="579"/>
              <w:jc w:val="right"/>
            </w:pPr>
            <w:r w:rsidRPr="00983613">
              <w:t>19.30</w:t>
            </w:r>
          </w:p>
        </w:tc>
      </w:tr>
      <w:tr w:rsidR="00A86F83" w:rsidRPr="00983613" w14:paraId="71FEAE4A" w14:textId="77777777" w:rsidTr="00D51A98">
        <w:trPr>
          <w:trHeight w:val="300"/>
        </w:trPr>
        <w:tc>
          <w:tcPr>
            <w:tcW w:w="2296" w:type="dxa"/>
            <w:tcBorders>
              <w:top w:val="single" w:sz="4" w:space="0" w:color="auto"/>
              <w:left w:val="single" w:sz="4" w:space="0" w:color="auto"/>
              <w:bottom w:val="single" w:sz="4" w:space="0" w:color="auto"/>
              <w:right w:val="single" w:sz="4" w:space="0" w:color="auto"/>
            </w:tcBorders>
            <w:shd w:val="clear" w:color="auto" w:fill="FFFFFF"/>
            <w:vAlign w:val="bottom"/>
          </w:tcPr>
          <w:p w14:paraId="71FEAE48" w14:textId="77777777" w:rsidR="00A86F83" w:rsidRDefault="00A86F83" w:rsidP="00D51A98">
            <w:pPr>
              <w:pStyle w:val="TableText"/>
              <w:ind w:left="470" w:right="744"/>
              <w:jc w:val="right"/>
            </w:pPr>
            <w:r w:rsidRPr="00983613">
              <w:t>55715</w:t>
            </w:r>
          </w:p>
        </w:tc>
        <w:tc>
          <w:tcPr>
            <w:tcW w:w="2296" w:type="dxa"/>
            <w:tcBorders>
              <w:top w:val="single" w:sz="4" w:space="0" w:color="auto"/>
              <w:left w:val="nil"/>
              <w:bottom w:val="single" w:sz="4" w:space="0" w:color="auto"/>
              <w:right w:val="single" w:sz="4" w:space="0" w:color="auto"/>
            </w:tcBorders>
            <w:shd w:val="clear" w:color="auto" w:fill="FFFFFF"/>
            <w:noWrap/>
            <w:vAlign w:val="bottom"/>
          </w:tcPr>
          <w:p w14:paraId="71FEAE49" w14:textId="77777777" w:rsidR="00A86F83" w:rsidRPr="00981B2C" w:rsidRDefault="00A86F83" w:rsidP="00D51A98">
            <w:pPr>
              <w:pStyle w:val="TableText"/>
              <w:tabs>
                <w:tab w:val="left" w:pos="1550"/>
              </w:tabs>
              <w:ind w:right="579"/>
              <w:jc w:val="right"/>
            </w:pPr>
            <w:r w:rsidRPr="00983613">
              <w:t>22.00</w:t>
            </w:r>
          </w:p>
        </w:tc>
      </w:tr>
      <w:tr w:rsidR="00A86F83" w:rsidRPr="00983613" w14:paraId="71FEAE4D" w14:textId="77777777" w:rsidTr="00D51A98">
        <w:trPr>
          <w:trHeight w:val="300"/>
        </w:trPr>
        <w:tc>
          <w:tcPr>
            <w:tcW w:w="2296" w:type="dxa"/>
            <w:tcBorders>
              <w:top w:val="single" w:sz="4" w:space="0" w:color="auto"/>
              <w:left w:val="single" w:sz="4" w:space="0" w:color="auto"/>
              <w:bottom w:val="single" w:sz="4" w:space="0" w:color="auto"/>
              <w:right w:val="single" w:sz="4" w:space="0" w:color="auto"/>
            </w:tcBorders>
            <w:shd w:val="clear" w:color="auto" w:fill="FFFFFF"/>
            <w:vAlign w:val="bottom"/>
          </w:tcPr>
          <w:p w14:paraId="71FEAE4B" w14:textId="77777777" w:rsidR="00A86F83" w:rsidRDefault="00A86F83" w:rsidP="00D51A98">
            <w:pPr>
              <w:pStyle w:val="TableText"/>
              <w:ind w:left="470" w:right="744"/>
              <w:jc w:val="right"/>
            </w:pPr>
            <w:r w:rsidRPr="00983613">
              <w:t>55716</w:t>
            </w:r>
          </w:p>
        </w:tc>
        <w:tc>
          <w:tcPr>
            <w:tcW w:w="2296" w:type="dxa"/>
            <w:tcBorders>
              <w:top w:val="single" w:sz="4" w:space="0" w:color="auto"/>
              <w:left w:val="nil"/>
              <w:bottom w:val="single" w:sz="4" w:space="0" w:color="auto"/>
              <w:right w:val="single" w:sz="4" w:space="0" w:color="auto"/>
            </w:tcBorders>
            <w:shd w:val="clear" w:color="auto" w:fill="FFFFFF"/>
            <w:noWrap/>
            <w:vAlign w:val="bottom"/>
          </w:tcPr>
          <w:p w14:paraId="71FEAE4C" w14:textId="77777777" w:rsidR="00A86F83" w:rsidRPr="00981B2C" w:rsidRDefault="00A86F83" w:rsidP="00D51A98">
            <w:pPr>
              <w:pStyle w:val="TableText"/>
              <w:tabs>
                <w:tab w:val="left" w:pos="1550"/>
              </w:tabs>
              <w:ind w:right="579"/>
              <w:jc w:val="right"/>
            </w:pPr>
            <w:r w:rsidRPr="00983613">
              <w:t>8.30</w:t>
            </w:r>
          </w:p>
        </w:tc>
      </w:tr>
      <w:tr w:rsidR="00A86F83" w:rsidRPr="00983613" w14:paraId="71FEAE50" w14:textId="77777777" w:rsidTr="00D51A98">
        <w:trPr>
          <w:trHeight w:val="300"/>
        </w:trPr>
        <w:tc>
          <w:tcPr>
            <w:tcW w:w="2296" w:type="dxa"/>
            <w:tcBorders>
              <w:top w:val="single" w:sz="4" w:space="0" w:color="auto"/>
              <w:left w:val="single" w:sz="4" w:space="0" w:color="auto"/>
              <w:bottom w:val="single" w:sz="4" w:space="0" w:color="auto"/>
              <w:right w:val="single" w:sz="4" w:space="0" w:color="auto"/>
            </w:tcBorders>
            <w:shd w:val="clear" w:color="auto" w:fill="FFFFFF"/>
            <w:vAlign w:val="bottom"/>
          </w:tcPr>
          <w:p w14:paraId="71FEAE4E" w14:textId="77777777" w:rsidR="00A86F83" w:rsidRDefault="00A86F83" w:rsidP="00D51A98">
            <w:pPr>
              <w:pStyle w:val="TableText"/>
              <w:ind w:left="470" w:right="744"/>
              <w:jc w:val="right"/>
            </w:pPr>
            <w:r w:rsidRPr="00983613">
              <w:t>55717</w:t>
            </w:r>
          </w:p>
        </w:tc>
        <w:tc>
          <w:tcPr>
            <w:tcW w:w="2296" w:type="dxa"/>
            <w:tcBorders>
              <w:top w:val="single" w:sz="4" w:space="0" w:color="auto"/>
              <w:left w:val="nil"/>
              <w:bottom w:val="single" w:sz="4" w:space="0" w:color="auto"/>
              <w:right w:val="single" w:sz="4" w:space="0" w:color="auto"/>
            </w:tcBorders>
            <w:shd w:val="clear" w:color="auto" w:fill="FFFFFF"/>
            <w:noWrap/>
            <w:vAlign w:val="bottom"/>
          </w:tcPr>
          <w:p w14:paraId="71FEAE4F" w14:textId="77777777" w:rsidR="00A86F83" w:rsidRPr="00981B2C" w:rsidRDefault="00A86F83" w:rsidP="00D51A98">
            <w:pPr>
              <w:pStyle w:val="TableText"/>
              <w:tabs>
                <w:tab w:val="left" w:pos="1550"/>
              </w:tabs>
              <w:ind w:right="579"/>
              <w:jc w:val="right"/>
            </w:pPr>
            <w:r w:rsidRPr="00983613">
              <w:t>11.05</w:t>
            </w:r>
          </w:p>
        </w:tc>
      </w:tr>
      <w:tr w:rsidR="00A86F83" w:rsidRPr="00983613" w14:paraId="71FEAE53" w14:textId="77777777" w:rsidTr="00D51A98">
        <w:trPr>
          <w:trHeight w:val="300"/>
        </w:trPr>
        <w:tc>
          <w:tcPr>
            <w:tcW w:w="2296" w:type="dxa"/>
            <w:tcBorders>
              <w:top w:val="single" w:sz="4" w:space="0" w:color="auto"/>
              <w:left w:val="single" w:sz="4" w:space="0" w:color="auto"/>
              <w:bottom w:val="single" w:sz="4" w:space="0" w:color="auto"/>
              <w:right w:val="single" w:sz="4" w:space="0" w:color="auto"/>
            </w:tcBorders>
            <w:shd w:val="clear" w:color="auto" w:fill="FFFFFF"/>
            <w:vAlign w:val="bottom"/>
          </w:tcPr>
          <w:p w14:paraId="71FEAE51" w14:textId="77777777" w:rsidR="00A86F83" w:rsidRDefault="00A86F83" w:rsidP="00D51A98">
            <w:pPr>
              <w:pStyle w:val="TableText"/>
              <w:ind w:left="470" w:right="744"/>
              <w:jc w:val="right"/>
            </w:pPr>
            <w:r w:rsidRPr="00983613">
              <w:t>55718</w:t>
            </w:r>
          </w:p>
        </w:tc>
        <w:tc>
          <w:tcPr>
            <w:tcW w:w="2296" w:type="dxa"/>
            <w:tcBorders>
              <w:top w:val="single" w:sz="4" w:space="0" w:color="auto"/>
              <w:left w:val="nil"/>
              <w:bottom w:val="single" w:sz="4" w:space="0" w:color="auto"/>
              <w:right w:val="single" w:sz="4" w:space="0" w:color="auto"/>
            </w:tcBorders>
            <w:shd w:val="clear" w:color="auto" w:fill="FFFFFF"/>
            <w:noWrap/>
            <w:vAlign w:val="bottom"/>
          </w:tcPr>
          <w:p w14:paraId="71FEAE52" w14:textId="77777777" w:rsidR="00A86F83" w:rsidRPr="00981B2C" w:rsidRDefault="00A86F83" w:rsidP="00D51A98">
            <w:pPr>
              <w:pStyle w:val="TableText"/>
              <w:tabs>
                <w:tab w:val="left" w:pos="1550"/>
              </w:tabs>
              <w:ind w:right="579"/>
              <w:jc w:val="right"/>
            </w:pPr>
            <w:r w:rsidRPr="00983613">
              <w:t>54.90</w:t>
            </w:r>
          </w:p>
        </w:tc>
      </w:tr>
      <w:tr w:rsidR="00A86F83" w:rsidRPr="00983613" w14:paraId="71FEAE56" w14:textId="77777777" w:rsidTr="00D51A98">
        <w:trPr>
          <w:trHeight w:val="300"/>
        </w:trPr>
        <w:tc>
          <w:tcPr>
            <w:tcW w:w="2296" w:type="dxa"/>
            <w:tcBorders>
              <w:top w:val="single" w:sz="4" w:space="0" w:color="auto"/>
              <w:left w:val="single" w:sz="4" w:space="0" w:color="auto"/>
              <w:bottom w:val="single" w:sz="4" w:space="0" w:color="auto"/>
              <w:right w:val="single" w:sz="4" w:space="0" w:color="auto"/>
            </w:tcBorders>
            <w:shd w:val="clear" w:color="auto" w:fill="FFFFFF"/>
            <w:vAlign w:val="bottom"/>
          </w:tcPr>
          <w:p w14:paraId="71FEAE54" w14:textId="77777777" w:rsidR="00A86F83" w:rsidRDefault="00A86F83" w:rsidP="00D51A98">
            <w:pPr>
              <w:pStyle w:val="TableText"/>
              <w:ind w:left="470" w:right="744"/>
              <w:jc w:val="right"/>
            </w:pPr>
            <w:r w:rsidRPr="00983613">
              <w:t>55719</w:t>
            </w:r>
          </w:p>
        </w:tc>
        <w:tc>
          <w:tcPr>
            <w:tcW w:w="2296" w:type="dxa"/>
            <w:tcBorders>
              <w:top w:val="single" w:sz="4" w:space="0" w:color="auto"/>
              <w:left w:val="nil"/>
              <w:bottom w:val="single" w:sz="4" w:space="0" w:color="auto"/>
              <w:right w:val="single" w:sz="4" w:space="0" w:color="auto"/>
            </w:tcBorders>
            <w:shd w:val="clear" w:color="auto" w:fill="FFFFFF"/>
            <w:noWrap/>
            <w:vAlign w:val="bottom"/>
          </w:tcPr>
          <w:p w14:paraId="71FEAE55" w14:textId="77777777" w:rsidR="00A86F83" w:rsidRPr="00981B2C" w:rsidRDefault="00A86F83" w:rsidP="00D51A98">
            <w:pPr>
              <w:pStyle w:val="TableText"/>
              <w:tabs>
                <w:tab w:val="left" w:pos="1550"/>
              </w:tabs>
              <w:ind w:right="579"/>
              <w:jc w:val="right"/>
            </w:pPr>
            <w:r w:rsidRPr="00983613">
              <w:t>32.95</w:t>
            </w:r>
          </w:p>
        </w:tc>
      </w:tr>
      <w:tr w:rsidR="00A86F83" w:rsidRPr="00983613" w14:paraId="71FEAE59" w14:textId="77777777" w:rsidTr="00D51A98">
        <w:trPr>
          <w:trHeight w:val="300"/>
        </w:trPr>
        <w:tc>
          <w:tcPr>
            <w:tcW w:w="2296" w:type="dxa"/>
            <w:tcBorders>
              <w:top w:val="single" w:sz="4" w:space="0" w:color="auto"/>
              <w:left w:val="single" w:sz="4" w:space="0" w:color="auto"/>
              <w:bottom w:val="single" w:sz="4" w:space="0" w:color="auto"/>
              <w:right w:val="single" w:sz="4" w:space="0" w:color="auto"/>
            </w:tcBorders>
            <w:shd w:val="clear" w:color="auto" w:fill="FFFFFF"/>
            <w:vAlign w:val="bottom"/>
          </w:tcPr>
          <w:p w14:paraId="71FEAE57" w14:textId="77777777" w:rsidR="00A86F83" w:rsidRDefault="00A86F83" w:rsidP="00D51A98">
            <w:pPr>
              <w:pStyle w:val="TableText"/>
              <w:ind w:left="470" w:right="744"/>
              <w:jc w:val="right"/>
            </w:pPr>
            <w:r w:rsidRPr="00983613">
              <w:t>55720</w:t>
            </w:r>
          </w:p>
        </w:tc>
        <w:tc>
          <w:tcPr>
            <w:tcW w:w="2296" w:type="dxa"/>
            <w:tcBorders>
              <w:top w:val="single" w:sz="4" w:space="0" w:color="auto"/>
              <w:left w:val="nil"/>
              <w:bottom w:val="single" w:sz="4" w:space="0" w:color="auto"/>
              <w:right w:val="single" w:sz="4" w:space="0" w:color="auto"/>
            </w:tcBorders>
            <w:shd w:val="clear" w:color="auto" w:fill="FFFFFF"/>
            <w:noWrap/>
            <w:vAlign w:val="bottom"/>
          </w:tcPr>
          <w:p w14:paraId="71FEAE58" w14:textId="77777777" w:rsidR="00A86F83" w:rsidRPr="00981B2C" w:rsidRDefault="00A86F83" w:rsidP="00D51A98">
            <w:pPr>
              <w:pStyle w:val="TableText"/>
              <w:tabs>
                <w:tab w:val="left" w:pos="1550"/>
              </w:tabs>
              <w:ind w:right="579"/>
              <w:jc w:val="right"/>
            </w:pPr>
            <w:r w:rsidRPr="00983613">
              <w:t>11.05</w:t>
            </w:r>
          </w:p>
        </w:tc>
      </w:tr>
      <w:tr w:rsidR="00A86F83" w:rsidRPr="00983613" w14:paraId="71FEAE5C" w14:textId="77777777" w:rsidTr="00D51A98">
        <w:trPr>
          <w:trHeight w:val="300"/>
        </w:trPr>
        <w:tc>
          <w:tcPr>
            <w:tcW w:w="2296" w:type="dxa"/>
            <w:tcBorders>
              <w:top w:val="single" w:sz="4" w:space="0" w:color="auto"/>
              <w:left w:val="single" w:sz="4" w:space="0" w:color="auto"/>
              <w:bottom w:val="single" w:sz="4" w:space="0" w:color="auto"/>
              <w:right w:val="single" w:sz="4" w:space="0" w:color="auto"/>
            </w:tcBorders>
            <w:shd w:val="clear" w:color="auto" w:fill="FFFFFF"/>
            <w:vAlign w:val="bottom"/>
          </w:tcPr>
          <w:p w14:paraId="71FEAE5A" w14:textId="77777777" w:rsidR="00A86F83" w:rsidRDefault="00A86F83" w:rsidP="00D51A98">
            <w:pPr>
              <w:pStyle w:val="TableText"/>
              <w:ind w:left="470" w:right="744"/>
              <w:jc w:val="right"/>
            </w:pPr>
            <w:r w:rsidRPr="00983613">
              <w:t>55721</w:t>
            </w:r>
          </w:p>
        </w:tc>
        <w:tc>
          <w:tcPr>
            <w:tcW w:w="2296" w:type="dxa"/>
            <w:tcBorders>
              <w:top w:val="single" w:sz="4" w:space="0" w:color="auto"/>
              <w:left w:val="nil"/>
              <w:bottom w:val="single" w:sz="4" w:space="0" w:color="auto"/>
              <w:right w:val="single" w:sz="4" w:space="0" w:color="auto"/>
            </w:tcBorders>
            <w:shd w:val="clear" w:color="auto" w:fill="FFFFFF"/>
            <w:noWrap/>
            <w:vAlign w:val="bottom"/>
          </w:tcPr>
          <w:p w14:paraId="71FEAE5B" w14:textId="77777777" w:rsidR="00A86F83" w:rsidRPr="00981B2C" w:rsidRDefault="00A86F83" w:rsidP="00D51A98">
            <w:pPr>
              <w:pStyle w:val="TableText"/>
              <w:tabs>
                <w:tab w:val="left" w:pos="1550"/>
              </w:tabs>
              <w:ind w:right="579"/>
              <w:jc w:val="right"/>
            </w:pPr>
            <w:r w:rsidRPr="00983613">
              <w:t>65.90</w:t>
            </w:r>
          </w:p>
        </w:tc>
      </w:tr>
      <w:tr w:rsidR="00A86F83" w:rsidRPr="00983613" w14:paraId="71FEAE5F" w14:textId="77777777" w:rsidTr="00D51A98">
        <w:trPr>
          <w:trHeight w:val="300"/>
        </w:trPr>
        <w:tc>
          <w:tcPr>
            <w:tcW w:w="2296" w:type="dxa"/>
            <w:tcBorders>
              <w:top w:val="single" w:sz="4" w:space="0" w:color="auto"/>
              <w:left w:val="single" w:sz="4" w:space="0" w:color="auto"/>
              <w:bottom w:val="single" w:sz="4" w:space="0" w:color="auto"/>
              <w:right w:val="single" w:sz="4" w:space="0" w:color="auto"/>
            </w:tcBorders>
            <w:shd w:val="clear" w:color="auto" w:fill="FFFFFF"/>
            <w:vAlign w:val="bottom"/>
          </w:tcPr>
          <w:p w14:paraId="71FEAE5D" w14:textId="77777777" w:rsidR="00A86F83" w:rsidRDefault="00A86F83" w:rsidP="00D51A98">
            <w:pPr>
              <w:pStyle w:val="TableText"/>
              <w:ind w:left="470" w:right="744"/>
              <w:jc w:val="right"/>
            </w:pPr>
            <w:r w:rsidRPr="00983613">
              <w:t>55722</w:t>
            </w:r>
          </w:p>
        </w:tc>
        <w:tc>
          <w:tcPr>
            <w:tcW w:w="2296" w:type="dxa"/>
            <w:tcBorders>
              <w:top w:val="single" w:sz="4" w:space="0" w:color="auto"/>
              <w:left w:val="nil"/>
              <w:bottom w:val="single" w:sz="4" w:space="0" w:color="auto"/>
              <w:right w:val="single" w:sz="4" w:space="0" w:color="auto"/>
            </w:tcBorders>
            <w:shd w:val="clear" w:color="auto" w:fill="FFFFFF"/>
            <w:noWrap/>
            <w:vAlign w:val="bottom"/>
          </w:tcPr>
          <w:p w14:paraId="71FEAE5E" w14:textId="77777777" w:rsidR="00A86F83" w:rsidRPr="00981B2C" w:rsidRDefault="00A86F83" w:rsidP="00D51A98">
            <w:pPr>
              <w:pStyle w:val="TableText"/>
              <w:tabs>
                <w:tab w:val="left" w:pos="1550"/>
              </w:tabs>
              <w:ind w:right="579"/>
              <w:jc w:val="right"/>
            </w:pPr>
            <w:r w:rsidRPr="00983613">
              <w:t>27.50</w:t>
            </w:r>
          </w:p>
        </w:tc>
      </w:tr>
      <w:tr w:rsidR="00A86F83" w:rsidRPr="00983613" w14:paraId="71FEAE62" w14:textId="77777777" w:rsidTr="00D51A98">
        <w:trPr>
          <w:trHeight w:val="300"/>
        </w:trPr>
        <w:tc>
          <w:tcPr>
            <w:tcW w:w="2296" w:type="dxa"/>
            <w:tcBorders>
              <w:top w:val="single" w:sz="4" w:space="0" w:color="auto"/>
              <w:left w:val="single" w:sz="4" w:space="0" w:color="auto"/>
              <w:bottom w:val="single" w:sz="4" w:space="0" w:color="auto"/>
              <w:right w:val="single" w:sz="4" w:space="0" w:color="auto"/>
            </w:tcBorders>
            <w:shd w:val="clear" w:color="auto" w:fill="FFFFFF"/>
            <w:vAlign w:val="bottom"/>
          </w:tcPr>
          <w:p w14:paraId="71FEAE60" w14:textId="77777777" w:rsidR="00A86F83" w:rsidRDefault="00A86F83" w:rsidP="00D51A98">
            <w:pPr>
              <w:pStyle w:val="TableText"/>
              <w:ind w:left="470" w:right="744"/>
              <w:jc w:val="right"/>
            </w:pPr>
            <w:r w:rsidRPr="00983613">
              <w:t>55723</w:t>
            </w:r>
          </w:p>
        </w:tc>
        <w:tc>
          <w:tcPr>
            <w:tcW w:w="2296" w:type="dxa"/>
            <w:tcBorders>
              <w:top w:val="single" w:sz="4" w:space="0" w:color="auto"/>
              <w:left w:val="nil"/>
              <w:bottom w:val="single" w:sz="4" w:space="0" w:color="auto"/>
              <w:right w:val="single" w:sz="4" w:space="0" w:color="auto"/>
            </w:tcBorders>
            <w:shd w:val="clear" w:color="auto" w:fill="FFFFFF"/>
            <w:noWrap/>
            <w:vAlign w:val="bottom"/>
          </w:tcPr>
          <w:p w14:paraId="71FEAE61" w14:textId="77777777" w:rsidR="00A86F83" w:rsidRPr="00981B2C" w:rsidRDefault="00A86F83" w:rsidP="00D51A98">
            <w:pPr>
              <w:pStyle w:val="TableText"/>
              <w:tabs>
                <w:tab w:val="left" w:pos="1550"/>
              </w:tabs>
              <w:ind w:right="579"/>
              <w:jc w:val="right"/>
            </w:pPr>
            <w:r w:rsidRPr="00983613">
              <w:t>22.00</w:t>
            </w:r>
          </w:p>
        </w:tc>
      </w:tr>
      <w:tr w:rsidR="00A86F83" w:rsidRPr="00983613" w14:paraId="71FEAE65" w14:textId="77777777" w:rsidTr="00D51A98">
        <w:trPr>
          <w:trHeight w:val="300"/>
        </w:trPr>
        <w:tc>
          <w:tcPr>
            <w:tcW w:w="2296" w:type="dxa"/>
            <w:tcBorders>
              <w:top w:val="single" w:sz="4" w:space="0" w:color="auto"/>
              <w:left w:val="single" w:sz="4" w:space="0" w:color="auto"/>
              <w:bottom w:val="single" w:sz="4" w:space="0" w:color="auto"/>
              <w:right w:val="single" w:sz="4" w:space="0" w:color="auto"/>
            </w:tcBorders>
            <w:shd w:val="clear" w:color="auto" w:fill="FFFFFF"/>
            <w:vAlign w:val="bottom"/>
          </w:tcPr>
          <w:p w14:paraId="71FEAE63" w14:textId="77777777" w:rsidR="00A86F83" w:rsidRDefault="00A86F83" w:rsidP="00D51A98">
            <w:pPr>
              <w:pStyle w:val="TableText"/>
              <w:ind w:left="470" w:right="744"/>
              <w:jc w:val="right"/>
            </w:pPr>
            <w:r w:rsidRPr="00983613">
              <w:t>55724</w:t>
            </w:r>
          </w:p>
        </w:tc>
        <w:tc>
          <w:tcPr>
            <w:tcW w:w="2296" w:type="dxa"/>
            <w:tcBorders>
              <w:top w:val="single" w:sz="4" w:space="0" w:color="auto"/>
              <w:left w:val="nil"/>
              <w:bottom w:val="single" w:sz="4" w:space="0" w:color="auto"/>
              <w:right w:val="single" w:sz="4" w:space="0" w:color="auto"/>
            </w:tcBorders>
            <w:shd w:val="clear" w:color="auto" w:fill="FFFFFF"/>
            <w:noWrap/>
            <w:vAlign w:val="bottom"/>
          </w:tcPr>
          <w:p w14:paraId="71FEAE64" w14:textId="77777777" w:rsidR="00A86F83" w:rsidRPr="00981B2C" w:rsidRDefault="00A86F83" w:rsidP="00D51A98">
            <w:pPr>
              <w:pStyle w:val="TableText"/>
              <w:tabs>
                <w:tab w:val="left" w:pos="1550"/>
              </w:tabs>
              <w:ind w:right="579"/>
              <w:jc w:val="right"/>
            </w:pPr>
            <w:r w:rsidRPr="00983613">
              <w:t>32.95</w:t>
            </w:r>
          </w:p>
        </w:tc>
      </w:tr>
      <w:tr w:rsidR="00A86F83" w:rsidRPr="00983613" w14:paraId="71FEAE68" w14:textId="77777777" w:rsidTr="00D51A98">
        <w:trPr>
          <w:trHeight w:val="300"/>
        </w:trPr>
        <w:tc>
          <w:tcPr>
            <w:tcW w:w="2296" w:type="dxa"/>
            <w:tcBorders>
              <w:top w:val="single" w:sz="4" w:space="0" w:color="auto"/>
              <w:left w:val="single" w:sz="4" w:space="0" w:color="auto"/>
              <w:bottom w:val="single" w:sz="4" w:space="0" w:color="auto"/>
              <w:right w:val="single" w:sz="4" w:space="0" w:color="auto"/>
            </w:tcBorders>
            <w:shd w:val="clear" w:color="auto" w:fill="FFFFFF"/>
            <w:vAlign w:val="bottom"/>
          </w:tcPr>
          <w:p w14:paraId="71FEAE66" w14:textId="77777777" w:rsidR="00A86F83" w:rsidRDefault="00A86F83" w:rsidP="00D51A98">
            <w:pPr>
              <w:pStyle w:val="TableText"/>
              <w:ind w:left="470" w:right="744"/>
              <w:jc w:val="right"/>
            </w:pPr>
            <w:r w:rsidRPr="00983613">
              <w:t>55725</w:t>
            </w:r>
          </w:p>
        </w:tc>
        <w:tc>
          <w:tcPr>
            <w:tcW w:w="2296" w:type="dxa"/>
            <w:tcBorders>
              <w:top w:val="single" w:sz="4" w:space="0" w:color="auto"/>
              <w:left w:val="nil"/>
              <w:bottom w:val="single" w:sz="4" w:space="0" w:color="auto"/>
              <w:right w:val="single" w:sz="4" w:space="0" w:color="auto"/>
            </w:tcBorders>
            <w:shd w:val="clear" w:color="auto" w:fill="FFFFFF"/>
            <w:noWrap/>
            <w:vAlign w:val="bottom"/>
          </w:tcPr>
          <w:p w14:paraId="71FEAE67" w14:textId="77777777" w:rsidR="00A86F83" w:rsidRPr="00981B2C" w:rsidRDefault="00A86F83" w:rsidP="00D51A98">
            <w:pPr>
              <w:pStyle w:val="TableText"/>
              <w:tabs>
                <w:tab w:val="left" w:pos="1550"/>
              </w:tabs>
              <w:ind w:right="579"/>
              <w:jc w:val="right"/>
            </w:pPr>
            <w:r w:rsidRPr="00983613">
              <w:t>22.00</w:t>
            </w:r>
          </w:p>
        </w:tc>
      </w:tr>
      <w:tr w:rsidR="00A86F83" w:rsidRPr="00983613" w14:paraId="71FEAE6B" w14:textId="77777777" w:rsidTr="00D51A98">
        <w:trPr>
          <w:trHeight w:val="300"/>
        </w:trPr>
        <w:tc>
          <w:tcPr>
            <w:tcW w:w="2296" w:type="dxa"/>
            <w:tcBorders>
              <w:top w:val="single" w:sz="4" w:space="0" w:color="auto"/>
              <w:left w:val="single" w:sz="4" w:space="0" w:color="auto"/>
              <w:bottom w:val="single" w:sz="4" w:space="0" w:color="auto"/>
              <w:right w:val="single" w:sz="4" w:space="0" w:color="auto"/>
            </w:tcBorders>
            <w:shd w:val="clear" w:color="auto" w:fill="FFFFFF"/>
            <w:vAlign w:val="bottom"/>
          </w:tcPr>
          <w:p w14:paraId="71FEAE69" w14:textId="77777777" w:rsidR="00A86F83" w:rsidRDefault="00A86F83" w:rsidP="00D51A98">
            <w:pPr>
              <w:pStyle w:val="TableText"/>
              <w:ind w:left="470" w:right="744"/>
              <w:jc w:val="right"/>
            </w:pPr>
            <w:r w:rsidRPr="00983613">
              <w:lastRenderedPageBreak/>
              <w:t>55726</w:t>
            </w:r>
          </w:p>
        </w:tc>
        <w:tc>
          <w:tcPr>
            <w:tcW w:w="2296" w:type="dxa"/>
            <w:tcBorders>
              <w:top w:val="single" w:sz="4" w:space="0" w:color="auto"/>
              <w:left w:val="nil"/>
              <w:bottom w:val="single" w:sz="4" w:space="0" w:color="auto"/>
              <w:right w:val="single" w:sz="4" w:space="0" w:color="auto"/>
            </w:tcBorders>
            <w:shd w:val="clear" w:color="auto" w:fill="FFFFFF"/>
            <w:noWrap/>
            <w:vAlign w:val="bottom"/>
          </w:tcPr>
          <w:p w14:paraId="71FEAE6A" w14:textId="77777777" w:rsidR="00A86F83" w:rsidRPr="00981B2C" w:rsidRDefault="00A86F83" w:rsidP="00D51A98">
            <w:pPr>
              <w:pStyle w:val="TableText"/>
              <w:tabs>
                <w:tab w:val="left" w:pos="1550"/>
              </w:tabs>
              <w:ind w:right="579"/>
              <w:jc w:val="right"/>
            </w:pPr>
            <w:r w:rsidRPr="00983613">
              <w:t>11.05</w:t>
            </w:r>
          </w:p>
        </w:tc>
      </w:tr>
      <w:tr w:rsidR="00A86F83" w:rsidRPr="00983613" w14:paraId="71FEAE6E" w14:textId="77777777" w:rsidTr="00D51A98">
        <w:trPr>
          <w:trHeight w:val="300"/>
        </w:trPr>
        <w:tc>
          <w:tcPr>
            <w:tcW w:w="2296" w:type="dxa"/>
            <w:tcBorders>
              <w:top w:val="single" w:sz="4" w:space="0" w:color="auto"/>
              <w:left w:val="single" w:sz="4" w:space="0" w:color="auto"/>
              <w:bottom w:val="single" w:sz="4" w:space="0" w:color="auto"/>
              <w:right w:val="single" w:sz="4" w:space="0" w:color="auto"/>
            </w:tcBorders>
            <w:shd w:val="clear" w:color="auto" w:fill="FFFFFF"/>
            <w:vAlign w:val="bottom"/>
          </w:tcPr>
          <w:p w14:paraId="71FEAE6C" w14:textId="77777777" w:rsidR="00A86F83" w:rsidRDefault="00A86F83" w:rsidP="00D51A98">
            <w:pPr>
              <w:pStyle w:val="TableText"/>
              <w:ind w:left="470" w:right="744"/>
              <w:jc w:val="right"/>
            </w:pPr>
            <w:r w:rsidRPr="00983613">
              <w:t>55727</w:t>
            </w:r>
          </w:p>
        </w:tc>
        <w:tc>
          <w:tcPr>
            <w:tcW w:w="2296" w:type="dxa"/>
            <w:tcBorders>
              <w:top w:val="single" w:sz="4" w:space="0" w:color="auto"/>
              <w:left w:val="nil"/>
              <w:bottom w:val="single" w:sz="4" w:space="0" w:color="auto"/>
              <w:right w:val="single" w:sz="4" w:space="0" w:color="auto"/>
            </w:tcBorders>
            <w:shd w:val="clear" w:color="auto" w:fill="FFFFFF"/>
            <w:noWrap/>
            <w:vAlign w:val="bottom"/>
          </w:tcPr>
          <w:p w14:paraId="71FEAE6D" w14:textId="77777777" w:rsidR="00A86F83" w:rsidRPr="00981B2C" w:rsidRDefault="00A86F83" w:rsidP="00D51A98">
            <w:pPr>
              <w:pStyle w:val="TableText"/>
              <w:tabs>
                <w:tab w:val="left" w:pos="1550"/>
              </w:tabs>
              <w:ind w:right="579"/>
              <w:jc w:val="right"/>
            </w:pPr>
            <w:r w:rsidRPr="00983613">
              <w:t>11.05</w:t>
            </w:r>
          </w:p>
        </w:tc>
      </w:tr>
      <w:tr w:rsidR="00A86F83" w:rsidRPr="00983613" w14:paraId="71FEAE71" w14:textId="77777777" w:rsidTr="00D51A98">
        <w:trPr>
          <w:trHeight w:val="319"/>
        </w:trPr>
        <w:tc>
          <w:tcPr>
            <w:tcW w:w="2296" w:type="dxa"/>
            <w:tcBorders>
              <w:top w:val="single" w:sz="4" w:space="0" w:color="auto"/>
              <w:left w:val="single" w:sz="4" w:space="0" w:color="auto"/>
              <w:bottom w:val="single" w:sz="4" w:space="0" w:color="auto"/>
              <w:right w:val="single" w:sz="4" w:space="0" w:color="auto"/>
            </w:tcBorders>
            <w:shd w:val="clear" w:color="auto" w:fill="FFFFFF"/>
            <w:vAlign w:val="bottom"/>
          </w:tcPr>
          <w:p w14:paraId="71FEAE6F" w14:textId="77777777" w:rsidR="00A86F83" w:rsidRDefault="00A86F83" w:rsidP="00D51A98">
            <w:pPr>
              <w:pStyle w:val="TableText"/>
              <w:ind w:left="470" w:right="744"/>
              <w:jc w:val="right"/>
            </w:pPr>
            <w:r w:rsidRPr="00983613">
              <w:t>55729</w:t>
            </w:r>
          </w:p>
        </w:tc>
        <w:tc>
          <w:tcPr>
            <w:tcW w:w="2296" w:type="dxa"/>
            <w:tcBorders>
              <w:top w:val="single" w:sz="4" w:space="0" w:color="auto"/>
              <w:left w:val="nil"/>
              <w:bottom w:val="single" w:sz="4" w:space="0" w:color="auto"/>
              <w:right w:val="single" w:sz="4" w:space="0" w:color="auto"/>
            </w:tcBorders>
            <w:shd w:val="clear" w:color="auto" w:fill="FFFFFF"/>
            <w:noWrap/>
            <w:vAlign w:val="bottom"/>
          </w:tcPr>
          <w:p w14:paraId="71FEAE70" w14:textId="77777777" w:rsidR="00A86F83" w:rsidRPr="00981B2C" w:rsidRDefault="00A86F83" w:rsidP="00D51A98">
            <w:pPr>
              <w:pStyle w:val="TableText"/>
              <w:tabs>
                <w:tab w:val="left" w:pos="1550"/>
              </w:tabs>
              <w:ind w:right="579"/>
              <w:jc w:val="right"/>
            </w:pPr>
            <w:r w:rsidRPr="00983613">
              <w:t>16.55</w:t>
            </w:r>
          </w:p>
        </w:tc>
      </w:tr>
      <w:tr w:rsidR="00A86F83" w:rsidRPr="00983613" w14:paraId="71FEAE74" w14:textId="77777777" w:rsidTr="00D51A98">
        <w:trPr>
          <w:trHeight w:val="300"/>
        </w:trPr>
        <w:tc>
          <w:tcPr>
            <w:tcW w:w="2296" w:type="dxa"/>
            <w:tcBorders>
              <w:top w:val="single" w:sz="4" w:space="0" w:color="auto"/>
              <w:left w:val="single" w:sz="4" w:space="0" w:color="auto"/>
              <w:bottom w:val="single" w:sz="4" w:space="0" w:color="auto"/>
              <w:right w:val="single" w:sz="4" w:space="0" w:color="auto"/>
            </w:tcBorders>
            <w:shd w:val="clear" w:color="auto" w:fill="FFFFFF"/>
            <w:vAlign w:val="bottom"/>
          </w:tcPr>
          <w:p w14:paraId="71FEAE72" w14:textId="77777777" w:rsidR="00A86F83" w:rsidRDefault="00A86F83" w:rsidP="00D51A98">
            <w:pPr>
              <w:pStyle w:val="TableText"/>
              <w:ind w:left="470" w:right="744"/>
              <w:jc w:val="right"/>
            </w:pPr>
            <w:r w:rsidRPr="00983613">
              <w:t>55730</w:t>
            </w:r>
          </w:p>
        </w:tc>
        <w:tc>
          <w:tcPr>
            <w:tcW w:w="2296" w:type="dxa"/>
            <w:tcBorders>
              <w:top w:val="single" w:sz="4" w:space="0" w:color="auto"/>
              <w:left w:val="nil"/>
              <w:bottom w:val="single" w:sz="4" w:space="0" w:color="auto"/>
              <w:right w:val="single" w:sz="4" w:space="0" w:color="auto"/>
            </w:tcBorders>
            <w:shd w:val="clear" w:color="auto" w:fill="FFFFFF"/>
            <w:noWrap/>
            <w:vAlign w:val="bottom"/>
          </w:tcPr>
          <w:p w14:paraId="71FEAE73" w14:textId="77777777" w:rsidR="00A86F83" w:rsidRPr="00981B2C" w:rsidRDefault="00A86F83" w:rsidP="00D51A98">
            <w:pPr>
              <w:pStyle w:val="TableText"/>
              <w:tabs>
                <w:tab w:val="left" w:pos="1550"/>
              </w:tabs>
              <w:ind w:right="579"/>
              <w:jc w:val="right"/>
            </w:pPr>
            <w:r w:rsidRPr="00983613">
              <w:t>8.30</w:t>
            </w:r>
          </w:p>
        </w:tc>
      </w:tr>
      <w:tr w:rsidR="00A86F83" w:rsidRPr="00983613" w14:paraId="71FEAE77" w14:textId="77777777" w:rsidTr="00D51A98">
        <w:trPr>
          <w:trHeight w:val="300"/>
        </w:trPr>
        <w:tc>
          <w:tcPr>
            <w:tcW w:w="2296" w:type="dxa"/>
            <w:tcBorders>
              <w:top w:val="single" w:sz="4" w:space="0" w:color="auto"/>
              <w:left w:val="single" w:sz="4" w:space="0" w:color="auto"/>
              <w:bottom w:val="single" w:sz="4" w:space="0" w:color="auto"/>
              <w:right w:val="single" w:sz="4" w:space="0" w:color="auto"/>
            </w:tcBorders>
            <w:shd w:val="clear" w:color="auto" w:fill="FFFFFF"/>
            <w:vAlign w:val="bottom"/>
          </w:tcPr>
          <w:p w14:paraId="71FEAE75" w14:textId="77777777" w:rsidR="00A86F83" w:rsidRDefault="00A86F83" w:rsidP="00D51A98">
            <w:pPr>
              <w:pStyle w:val="TableText"/>
              <w:ind w:left="470" w:right="744"/>
              <w:jc w:val="right"/>
            </w:pPr>
            <w:r w:rsidRPr="00983613">
              <w:t>55762</w:t>
            </w:r>
          </w:p>
        </w:tc>
        <w:tc>
          <w:tcPr>
            <w:tcW w:w="2296" w:type="dxa"/>
            <w:tcBorders>
              <w:top w:val="single" w:sz="4" w:space="0" w:color="auto"/>
              <w:left w:val="nil"/>
              <w:bottom w:val="single" w:sz="4" w:space="0" w:color="auto"/>
              <w:right w:val="single" w:sz="4" w:space="0" w:color="auto"/>
            </w:tcBorders>
            <w:shd w:val="clear" w:color="auto" w:fill="FFFFFF"/>
            <w:noWrap/>
            <w:vAlign w:val="bottom"/>
          </w:tcPr>
          <w:p w14:paraId="71FEAE76" w14:textId="77777777" w:rsidR="00A86F83" w:rsidRPr="00981B2C" w:rsidRDefault="00A86F83" w:rsidP="00D51A98">
            <w:pPr>
              <w:pStyle w:val="TableText"/>
              <w:tabs>
                <w:tab w:val="left" w:pos="1550"/>
              </w:tabs>
              <w:ind w:right="579"/>
              <w:jc w:val="right"/>
            </w:pPr>
            <w:r w:rsidRPr="00983613">
              <w:t>32.95</w:t>
            </w:r>
          </w:p>
        </w:tc>
      </w:tr>
      <w:tr w:rsidR="00A86F83" w:rsidRPr="00983613" w14:paraId="71FEAE7A" w14:textId="77777777" w:rsidTr="00D51A98">
        <w:trPr>
          <w:trHeight w:val="300"/>
        </w:trPr>
        <w:tc>
          <w:tcPr>
            <w:tcW w:w="2296" w:type="dxa"/>
            <w:tcBorders>
              <w:top w:val="single" w:sz="4" w:space="0" w:color="auto"/>
              <w:left w:val="single" w:sz="4" w:space="0" w:color="auto"/>
              <w:bottom w:val="single" w:sz="4" w:space="0" w:color="auto"/>
              <w:right w:val="single" w:sz="4" w:space="0" w:color="auto"/>
            </w:tcBorders>
            <w:shd w:val="clear" w:color="auto" w:fill="FFFFFF"/>
            <w:vAlign w:val="bottom"/>
          </w:tcPr>
          <w:p w14:paraId="71FEAE78" w14:textId="77777777" w:rsidR="00A86F83" w:rsidRDefault="00A86F83" w:rsidP="00D51A98">
            <w:pPr>
              <w:pStyle w:val="TableText"/>
              <w:ind w:left="470" w:right="744"/>
              <w:jc w:val="right"/>
            </w:pPr>
            <w:r w:rsidRPr="00983613">
              <w:t>55763</w:t>
            </w:r>
          </w:p>
        </w:tc>
        <w:tc>
          <w:tcPr>
            <w:tcW w:w="2296" w:type="dxa"/>
            <w:tcBorders>
              <w:top w:val="single" w:sz="4" w:space="0" w:color="auto"/>
              <w:left w:val="nil"/>
              <w:bottom w:val="single" w:sz="4" w:space="0" w:color="auto"/>
              <w:right w:val="single" w:sz="4" w:space="0" w:color="auto"/>
            </w:tcBorders>
            <w:shd w:val="clear" w:color="auto" w:fill="FFFFFF"/>
            <w:noWrap/>
            <w:vAlign w:val="bottom"/>
          </w:tcPr>
          <w:p w14:paraId="71FEAE79" w14:textId="77777777" w:rsidR="00A86F83" w:rsidRPr="00981B2C" w:rsidRDefault="00A86F83" w:rsidP="00D51A98">
            <w:pPr>
              <w:pStyle w:val="TableText"/>
              <w:tabs>
                <w:tab w:val="left" w:pos="1550"/>
              </w:tabs>
              <w:ind w:right="579"/>
              <w:jc w:val="right"/>
            </w:pPr>
            <w:r w:rsidRPr="00983613">
              <w:t>16.50</w:t>
            </w:r>
          </w:p>
        </w:tc>
      </w:tr>
      <w:tr w:rsidR="00A86F83" w:rsidRPr="00983613" w14:paraId="71FEAE7D" w14:textId="77777777" w:rsidTr="00D51A98">
        <w:trPr>
          <w:trHeight w:val="300"/>
        </w:trPr>
        <w:tc>
          <w:tcPr>
            <w:tcW w:w="2296" w:type="dxa"/>
            <w:tcBorders>
              <w:top w:val="single" w:sz="4" w:space="0" w:color="auto"/>
              <w:left w:val="single" w:sz="4" w:space="0" w:color="auto"/>
              <w:bottom w:val="single" w:sz="4" w:space="0" w:color="auto"/>
              <w:right w:val="single" w:sz="4" w:space="0" w:color="auto"/>
            </w:tcBorders>
            <w:shd w:val="clear" w:color="auto" w:fill="FFFFFF"/>
            <w:vAlign w:val="bottom"/>
          </w:tcPr>
          <w:p w14:paraId="71FEAE7B" w14:textId="77777777" w:rsidR="00A86F83" w:rsidRPr="00A3231E" w:rsidRDefault="00A86F83" w:rsidP="00D51A98">
            <w:pPr>
              <w:pStyle w:val="TableText"/>
              <w:ind w:left="470" w:right="744"/>
              <w:jc w:val="right"/>
            </w:pPr>
            <w:r w:rsidRPr="00983613">
              <w:t>55764</w:t>
            </w:r>
          </w:p>
        </w:tc>
        <w:tc>
          <w:tcPr>
            <w:tcW w:w="2296" w:type="dxa"/>
            <w:tcBorders>
              <w:top w:val="single" w:sz="4" w:space="0" w:color="auto"/>
              <w:left w:val="nil"/>
              <w:bottom w:val="single" w:sz="4" w:space="0" w:color="auto"/>
              <w:right w:val="single" w:sz="4" w:space="0" w:color="auto"/>
            </w:tcBorders>
            <w:shd w:val="clear" w:color="auto" w:fill="FFFFFF"/>
            <w:noWrap/>
            <w:vAlign w:val="bottom"/>
          </w:tcPr>
          <w:p w14:paraId="71FEAE7C" w14:textId="77777777" w:rsidR="00A86F83" w:rsidRPr="00981B2C" w:rsidRDefault="00A86F83" w:rsidP="00D51A98">
            <w:pPr>
              <w:pStyle w:val="TableText"/>
              <w:tabs>
                <w:tab w:val="left" w:pos="1550"/>
              </w:tabs>
              <w:ind w:right="579"/>
              <w:jc w:val="right"/>
            </w:pPr>
            <w:r w:rsidRPr="00983613">
              <w:t>87.85</w:t>
            </w:r>
          </w:p>
        </w:tc>
      </w:tr>
      <w:tr w:rsidR="00A86F83" w:rsidRPr="00983613" w14:paraId="71FEAE80" w14:textId="77777777" w:rsidTr="00D51A98">
        <w:trPr>
          <w:trHeight w:val="300"/>
        </w:trPr>
        <w:tc>
          <w:tcPr>
            <w:tcW w:w="2296" w:type="dxa"/>
            <w:tcBorders>
              <w:top w:val="single" w:sz="4" w:space="0" w:color="auto"/>
              <w:left w:val="single" w:sz="4" w:space="0" w:color="auto"/>
              <w:bottom w:val="single" w:sz="4" w:space="0" w:color="auto"/>
              <w:right w:val="single" w:sz="4" w:space="0" w:color="auto"/>
            </w:tcBorders>
            <w:shd w:val="clear" w:color="auto" w:fill="FFFFFF"/>
            <w:vAlign w:val="bottom"/>
          </w:tcPr>
          <w:p w14:paraId="71FEAE7E" w14:textId="77777777" w:rsidR="00A86F83" w:rsidRPr="00A3231E" w:rsidRDefault="00A86F83" w:rsidP="00D51A98">
            <w:pPr>
              <w:pStyle w:val="TableText"/>
              <w:ind w:left="470" w:right="744"/>
              <w:jc w:val="right"/>
            </w:pPr>
            <w:r w:rsidRPr="00983613">
              <w:t>55765</w:t>
            </w:r>
          </w:p>
        </w:tc>
        <w:tc>
          <w:tcPr>
            <w:tcW w:w="2296" w:type="dxa"/>
            <w:tcBorders>
              <w:top w:val="single" w:sz="4" w:space="0" w:color="auto"/>
              <w:left w:val="nil"/>
              <w:bottom w:val="single" w:sz="4" w:space="0" w:color="auto"/>
              <w:right w:val="single" w:sz="4" w:space="0" w:color="auto"/>
            </w:tcBorders>
            <w:shd w:val="clear" w:color="auto" w:fill="FFFFFF"/>
            <w:noWrap/>
            <w:vAlign w:val="bottom"/>
          </w:tcPr>
          <w:p w14:paraId="71FEAE7F" w14:textId="77777777" w:rsidR="00A86F83" w:rsidRPr="00981B2C" w:rsidRDefault="00A86F83" w:rsidP="00D51A98">
            <w:pPr>
              <w:pStyle w:val="TableText"/>
              <w:tabs>
                <w:tab w:val="left" w:pos="1550"/>
              </w:tabs>
              <w:ind w:right="579"/>
              <w:jc w:val="right"/>
            </w:pPr>
            <w:r w:rsidRPr="00983613">
              <w:t>44.00</w:t>
            </w:r>
          </w:p>
        </w:tc>
      </w:tr>
      <w:tr w:rsidR="00A86F83" w:rsidRPr="00983613" w14:paraId="71FEAE83" w14:textId="77777777" w:rsidTr="00D51A98">
        <w:trPr>
          <w:trHeight w:val="300"/>
        </w:trPr>
        <w:tc>
          <w:tcPr>
            <w:tcW w:w="2296" w:type="dxa"/>
            <w:tcBorders>
              <w:top w:val="single" w:sz="4" w:space="0" w:color="auto"/>
              <w:left w:val="single" w:sz="4" w:space="0" w:color="auto"/>
              <w:bottom w:val="single" w:sz="4" w:space="0" w:color="auto"/>
              <w:right w:val="single" w:sz="4" w:space="0" w:color="auto"/>
            </w:tcBorders>
            <w:shd w:val="clear" w:color="auto" w:fill="FFFFFF"/>
            <w:vAlign w:val="bottom"/>
          </w:tcPr>
          <w:p w14:paraId="71FEAE81" w14:textId="77777777" w:rsidR="00A86F83" w:rsidRPr="00A3231E" w:rsidRDefault="00A86F83" w:rsidP="00D51A98">
            <w:pPr>
              <w:pStyle w:val="TableText"/>
              <w:ind w:left="470" w:right="744"/>
              <w:jc w:val="right"/>
            </w:pPr>
            <w:r w:rsidRPr="00983613">
              <w:t>55766</w:t>
            </w:r>
          </w:p>
        </w:tc>
        <w:tc>
          <w:tcPr>
            <w:tcW w:w="2296" w:type="dxa"/>
            <w:tcBorders>
              <w:top w:val="single" w:sz="4" w:space="0" w:color="auto"/>
              <w:left w:val="nil"/>
              <w:bottom w:val="single" w:sz="4" w:space="0" w:color="auto"/>
              <w:right w:val="single" w:sz="4" w:space="0" w:color="auto"/>
            </w:tcBorders>
            <w:shd w:val="clear" w:color="auto" w:fill="FFFFFF"/>
            <w:noWrap/>
            <w:vAlign w:val="bottom"/>
          </w:tcPr>
          <w:p w14:paraId="71FEAE82" w14:textId="77777777" w:rsidR="00A86F83" w:rsidRPr="00981B2C" w:rsidRDefault="00A86F83" w:rsidP="00D51A98">
            <w:pPr>
              <w:pStyle w:val="TableText"/>
              <w:tabs>
                <w:tab w:val="left" w:pos="1550"/>
              </w:tabs>
              <w:ind w:right="579"/>
              <w:jc w:val="right"/>
            </w:pPr>
            <w:r w:rsidRPr="00983613">
              <w:t>32.95</w:t>
            </w:r>
          </w:p>
        </w:tc>
      </w:tr>
      <w:tr w:rsidR="00A86F83" w:rsidRPr="00983613" w14:paraId="71FEAE86" w14:textId="77777777" w:rsidTr="00D51A98">
        <w:trPr>
          <w:trHeight w:val="300"/>
        </w:trPr>
        <w:tc>
          <w:tcPr>
            <w:tcW w:w="2296" w:type="dxa"/>
            <w:tcBorders>
              <w:top w:val="single" w:sz="4" w:space="0" w:color="auto"/>
              <w:left w:val="single" w:sz="4" w:space="0" w:color="auto"/>
              <w:bottom w:val="single" w:sz="4" w:space="0" w:color="auto"/>
              <w:right w:val="single" w:sz="4" w:space="0" w:color="auto"/>
            </w:tcBorders>
            <w:shd w:val="clear" w:color="auto" w:fill="FFFFFF"/>
            <w:vAlign w:val="bottom"/>
          </w:tcPr>
          <w:p w14:paraId="71FEAE84" w14:textId="77777777" w:rsidR="00A86F83" w:rsidRPr="00A3231E" w:rsidRDefault="00A86F83" w:rsidP="00D51A98">
            <w:pPr>
              <w:pStyle w:val="TableText"/>
              <w:ind w:left="470" w:right="744"/>
              <w:jc w:val="right"/>
            </w:pPr>
            <w:r w:rsidRPr="00983613">
              <w:t>55767</w:t>
            </w:r>
          </w:p>
        </w:tc>
        <w:tc>
          <w:tcPr>
            <w:tcW w:w="2296" w:type="dxa"/>
            <w:tcBorders>
              <w:top w:val="single" w:sz="4" w:space="0" w:color="auto"/>
              <w:left w:val="nil"/>
              <w:bottom w:val="single" w:sz="4" w:space="0" w:color="auto"/>
              <w:right w:val="single" w:sz="4" w:space="0" w:color="auto"/>
            </w:tcBorders>
            <w:shd w:val="clear" w:color="auto" w:fill="FFFFFF"/>
            <w:noWrap/>
            <w:vAlign w:val="bottom"/>
          </w:tcPr>
          <w:p w14:paraId="71FEAE85" w14:textId="77777777" w:rsidR="00A86F83" w:rsidRPr="00981B2C" w:rsidRDefault="00A86F83" w:rsidP="00D51A98">
            <w:pPr>
              <w:pStyle w:val="TableText"/>
              <w:tabs>
                <w:tab w:val="left" w:pos="1550"/>
              </w:tabs>
              <w:ind w:right="579"/>
              <w:jc w:val="right"/>
            </w:pPr>
            <w:r w:rsidRPr="00983613">
              <w:t>16.50</w:t>
            </w:r>
          </w:p>
        </w:tc>
      </w:tr>
      <w:tr w:rsidR="00A86F83" w:rsidRPr="00983613" w14:paraId="71FEAE89" w14:textId="77777777" w:rsidTr="00D51A98">
        <w:trPr>
          <w:trHeight w:val="300"/>
        </w:trPr>
        <w:tc>
          <w:tcPr>
            <w:tcW w:w="2296" w:type="dxa"/>
            <w:tcBorders>
              <w:top w:val="single" w:sz="4" w:space="0" w:color="auto"/>
              <w:left w:val="single" w:sz="4" w:space="0" w:color="auto"/>
              <w:bottom w:val="single" w:sz="4" w:space="0" w:color="auto"/>
              <w:right w:val="single" w:sz="4" w:space="0" w:color="auto"/>
            </w:tcBorders>
            <w:shd w:val="clear" w:color="auto" w:fill="FFFFFF"/>
            <w:vAlign w:val="bottom"/>
          </w:tcPr>
          <w:p w14:paraId="71FEAE87" w14:textId="77777777" w:rsidR="00A86F83" w:rsidRPr="00A3231E" w:rsidRDefault="00A86F83" w:rsidP="00D51A98">
            <w:pPr>
              <w:pStyle w:val="TableText"/>
              <w:ind w:left="470" w:right="744"/>
              <w:jc w:val="right"/>
            </w:pPr>
            <w:r w:rsidRPr="00983613">
              <w:t>55768</w:t>
            </w:r>
          </w:p>
        </w:tc>
        <w:tc>
          <w:tcPr>
            <w:tcW w:w="2296" w:type="dxa"/>
            <w:tcBorders>
              <w:top w:val="single" w:sz="4" w:space="0" w:color="auto"/>
              <w:left w:val="nil"/>
              <w:bottom w:val="single" w:sz="4" w:space="0" w:color="auto"/>
              <w:right w:val="single" w:sz="4" w:space="0" w:color="auto"/>
            </w:tcBorders>
            <w:shd w:val="clear" w:color="auto" w:fill="FFFFFF"/>
            <w:noWrap/>
            <w:vAlign w:val="bottom"/>
          </w:tcPr>
          <w:p w14:paraId="71FEAE88" w14:textId="77777777" w:rsidR="00A86F83" w:rsidRPr="00981B2C" w:rsidRDefault="00A86F83" w:rsidP="00D51A98">
            <w:pPr>
              <w:pStyle w:val="TableText"/>
              <w:tabs>
                <w:tab w:val="left" w:pos="1550"/>
              </w:tabs>
              <w:ind w:right="579"/>
              <w:jc w:val="right"/>
            </w:pPr>
            <w:r w:rsidRPr="00983613">
              <w:t>82.40</w:t>
            </w:r>
          </w:p>
        </w:tc>
      </w:tr>
      <w:tr w:rsidR="00A86F83" w:rsidRPr="00983613" w14:paraId="71FEAE8C" w14:textId="77777777" w:rsidTr="00D51A98">
        <w:trPr>
          <w:trHeight w:val="300"/>
        </w:trPr>
        <w:tc>
          <w:tcPr>
            <w:tcW w:w="2296" w:type="dxa"/>
            <w:tcBorders>
              <w:top w:val="single" w:sz="4" w:space="0" w:color="auto"/>
              <w:left w:val="single" w:sz="4" w:space="0" w:color="auto"/>
              <w:bottom w:val="single" w:sz="4" w:space="0" w:color="auto"/>
              <w:right w:val="single" w:sz="4" w:space="0" w:color="auto"/>
            </w:tcBorders>
            <w:shd w:val="clear" w:color="auto" w:fill="FFFFFF"/>
            <w:vAlign w:val="bottom"/>
          </w:tcPr>
          <w:p w14:paraId="71FEAE8A" w14:textId="77777777" w:rsidR="00A86F83" w:rsidRPr="00A3231E" w:rsidRDefault="00A86F83" w:rsidP="00D51A98">
            <w:pPr>
              <w:pStyle w:val="TableText"/>
              <w:ind w:left="470" w:right="744"/>
              <w:jc w:val="right"/>
            </w:pPr>
            <w:r w:rsidRPr="00983613">
              <w:t>55769</w:t>
            </w:r>
          </w:p>
        </w:tc>
        <w:tc>
          <w:tcPr>
            <w:tcW w:w="2296" w:type="dxa"/>
            <w:tcBorders>
              <w:top w:val="single" w:sz="4" w:space="0" w:color="auto"/>
              <w:left w:val="nil"/>
              <w:bottom w:val="single" w:sz="4" w:space="0" w:color="auto"/>
              <w:right w:val="single" w:sz="4" w:space="0" w:color="auto"/>
            </w:tcBorders>
            <w:shd w:val="clear" w:color="auto" w:fill="FFFFFF"/>
            <w:noWrap/>
            <w:vAlign w:val="bottom"/>
          </w:tcPr>
          <w:p w14:paraId="71FEAE8B" w14:textId="77777777" w:rsidR="00A86F83" w:rsidRPr="00981B2C" w:rsidRDefault="00A86F83" w:rsidP="00D51A98">
            <w:pPr>
              <w:pStyle w:val="TableText"/>
              <w:tabs>
                <w:tab w:val="left" w:pos="1550"/>
              </w:tabs>
              <w:ind w:right="579"/>
              <w:jc w:val="right"/>
            </w:pPr>
            <w:r w:rsidRPr="00983613">
              <w:t>41.25</w:t>
            </w:r>
          </w:p>
        </w:tc>
      </w:tr>
      <w:tr w:rsidR="00A86F83" w:rsidRPr="00983613" w14:paraId="71FEAE8F" w14:textId="77777777" w:rsidTr="00D51A98">
        <w:trPr>
          <w:trHeight w:val="300"/>
        </w:trPr>
        <w:tc>
          <w:tcPr>
            <w:tcW w:w="2296" w:type="dxa"/>
            <w:tcBorders>
              <w:top w:val="single" w:sz="4" w:space="0" w:color="auto"/>
              <w:left w:val="single" w:sz="4" w:space="0" w:color="auto"/>
              <w:bottom w:val="single" w:sz="4" w:space="0" w:color="auto"/>
              <w:right w:val="single" w:sz="4" w:space="0" w:color="auto"/>
            </w:tcBorders>
            <w:shd w:val="clear" w:color="auto" w:fill="FFFFFF"/>
            <w:vAlign w:val="bottom"/>
          </w:tcPr>
          <w:p w14:paraId="71FEAE8D" w14:textId="77777777" w:rsidR="00A86F83" w:rsidRPr="00A3231E" w:rsidRDefault="00A86F83" w:rsidP="00D51A98">
            <w:pPr>
              <w:pStyle w:val="TableText"/>
              <w:ind w:left="470" w:right="744"/>
              <w:jc w:val="right"/>
            </w:pPr>
            <w:r w:rsidRPr="00983613">
              <w:t>55770</w:t>
            </w:r>
          </w:p>
        </w:tc>
        <w:tc>
          <w:tcPr>
            <w:tcW w:w="2296" w:type="dxa"/>
            <w:tcBorders>
              <w:top w:val="single" w:sz="4" w:space="0" w:color="auto"/>
              <w:left w:val="nil"/>
              <w:bottom w:val="single" w:sz="4" w:space="0" w:color="auto"/>
              <w:right w:val="single" w:sz="4" w:space="0" w:color="auto"/>
            </w:tcBorders>
            <w:shd w:val="clear" w:color="auto" w:fill="FFFFFF"/>
            <w:noWrap/>
            <w:vAlign w:val="bottom"/>
          </w:tcPr>
          <w:p w14:paraId="71FEAE8E" w14:textId="77777777" w:rsidR="00A86F83" w:rsidRPr="00981B2C" w:rsidRDefault="00A86F83" w:rsidP="00D51A98">
            <w:pPr>
              <w:pStyle w:val="TableText"/>
              <w:tabs>
                <w:tab w:val="left" w:pos="1550"/>
              </w:tabs>
              <w:ind w:right="579"/>
              <w:jc w:val="right"/>
            </w:pPr>
            <w:r w:rsidRPr="00983613">
              <w:t>32.95</w:t>
            </w:r>
          </w:p>
        </w:tc>
      </w:tr>
      <w:tr w:rsidR="00A86F83" w:rsidRPr="00983613" w14:paraId="71FEAE92" w14:textId="77777777" w:rsidTr="00D51A98">
        <w:trPr>
          <w:trHeight w:val="300"/>
        </w:trPr>
        <w:tc>
          <w:tcPr>
            <w:tcW w:w="2296" w:type="dxa"/>
            <w:tcBorders>
              <w:top w:val="single" w:sz="4" w:space="0" w:color="auto"/>
              <w:left w:val="single" w:sz="4" w:space="0" w:color="auto"/>
              <w:bottom w:val="single" w:sz="4" w:space="0" w:color="auto"/>
              <w:right w:val="single" w:sz="4" w:space="0" w:color="auto"/>
            </w:tcBorders>
            <w:shd w:val="clear" w:color="auto" w:fill="FFFFFF"/>
            <w:vAlign w:val="bottom"/>
          </w:tcPr>
          <w:p w14:paraId="71FEAE90" w14:textId="77777777" w:rsidR="00A86F83" w:rsidRPr="00A3231E" w:rsidRDefault="00A86F83" w:rsidP="00D51A98">
            <w:pPr>
              <w:pStyle w:val="TableText"/>
              <w:ind w:left="470" w:right="744"/>
              <w:jc w:val="right"/>
            </w:pPr>
            <w:r w:rsidRPr="00983613">
              <w:t>55771</w:t>
            </w:r>
          </w:p>
        </w:tc>
        <w:tc>
          <w:tcPr>
            <w:tcW w:w="2296" w:type="dxa"/>
            <w:tcBorders>
              <w:top w:val="single" w:sz="4" w:space="0" w:color="auto"/>
              <w:left w:val="nil"/>
              <w:bottom w:val="single" w:sz="4" w:space="0" w:color="auto"/>
              <w:right w:val="single" w:sz="4" w:space="0" w:color="auto"/>
            </w:tcBorders>
            <w:shd w:val="clear" w:color="auto" w:fill="FFFFFF"/>
            <w:noWrap/>
            <w:vAlign w:val="bottom"/>
          </w:tcPr>
          <w:p w14:paraId="71FEAE91" w14:textId="77777777" w:rsidR="00A86F83" w:rsidRPr="00981B2C" w:rsidRDefault="00A86F83" w:rsidP="00D51A98">
            <w:pPr>
              <w:pStyle w:val="TableText"/>
              <w:tabs>
                <w:tab w:val="left" w:pos="1550"/>
              </w:tabs>
              <w:ind w:right="579"/>
              <w:jc w:val="right"/>
            </w:pPr>
            <w:r w:rsidRPr="00983613">
              <w:t>16.50</w:t>
            </w:r>
          </w:p>
        </w:tc>
      </w:tr>
      <w:tr w:rsidR="00A86F83" w:rsidRPr="00983613" w14:paraId="71FEAE95" w14:textId="77777777" w:rsidTr="00D51A98">
        <w:trPr>
          <w:trHeight w:val="285"/>
        </w:trPr>
        <w:tc>
          <w:tcPr>
            <w:tcW w:w="2296" w:type="dxa"/>
            <w:tcBorders>
              <w:top w:val="single" w:sz="4" w:space="0" w:color="auto"/>
              <w:left w:val="single" w:sz="4" w:space="0" w:color="auto"/>
              <w:bottom w:val="single" w:sz="4" w:space="0" w:color="auto"/>
              <w:right w:val="single" w:sz="4" w:space="0" w:color="auto"/>
            </w:tcBorders>
            <w:shd w:val="clear" w:color="auto" w:fill="FFFFFF"/>
            <w:vAlign w:val="bottom"/>
          </w:tcPr>
          <w:p w14:paraId="71FEAE93" w14:textId="77777777" w:rsidR="00A86F83" w:rsidRPr="00A3231E" w:rsidRDefault="00A86F83" w:rsidP="00D51A98">
            <w:pPr>
              <w:pStyle w:val="TableText"/>
              <w:ind w:left="470" w:right="744"/>
              <w:jc w:val="right"/>
            </w:pPr>
            <w:r w:rsidRPr="00983613">
              <w:t>55772</w:t>
            </w:r>
          </w:p>
        </w:tc>
        <w:tc>
          <w:tcPr>
            <w:tcW w:w="2296" w:type="dxa"/>
            <w:tcBorders>
              <w:top w:val="single" w:sz="4" w:space="0" w:color="auto"/>
              <w:left w:val="nil"/>
              <w:bottom w:val="single" w:sz="4" w:space="0" w:color="auto"/>
              <w:right w:val="single" w:sz="4" w:space="0" w:color="auto"/>
            </w:tcBorders>
            <w:shd w:val="clear" w:color="auto" w:fill="FFFFFF"/>
            <w:noWrap/>
            <w:vAlign w:val="bottom"/>
          </w:tcPr>
          <w:p w14:paraId="71FEAE94" w14:textId="77777777" w:rsidR="00A86F83" w:rsidRPr="00981B2C" w:rsidRDefault="00A86F83" w:rsidP="00D51A98">
            <w:pPr>
              <w:pStyle w:val="TableText"/>
              <w:tabs>
                <w:tab w:val="left" w:pos="1550"/>
              </w:tabs>
              <w:ind w:right="579"/>
              <w:jc w:val="right"/>
            </w:pPr>
            <w:r w:rsidRPr="00983613">
              <w:t>87.85</w:t>
            </w:r>
          </w:p>
        </w:tc>
      </w:tr>
      <w:tr w:rsidR="00A86F83" w:rsidRPr="00983613" w14:paraId="71FEAE98" w14:textId="77777777" w:rsidTr="00D51A98">
        <w:trPr>
          <w:trHeight w:val="285"/>
        </w:trPr>
        <w:tc>
          <w:tcPr>
            <w:tcW w:w="2296" w:type="dxa"/>
            <w:tcBorders>
              <w:top w:val="single" w:sz="4" w:space="0" w:color="auto"/>
              <w:left w:val="single" w:sz="4" w:space="0" w:color="auto"/>
              <w:bottom w:val="single" w:sz="4" w:space="0" w:color="auto"/>
              <w:right w:val="single" w:sz="4" w:space="0" w:color="auto"/>
            </w:tcBorders>
            <w:shd w:val="clear" w:color="auto" w:fill="FFFFFF"/>
            <w:vAlign w:val="bottom"/>
          </w:tcPr>
          <w:p w14:paraId="71FEAE96" w14:textId="77777777" w:rsidR="00A86F83" w:rsidRPr="00A3231E" w:rsidRDefault="00A86F83" w:rsidP="00D51A98">
            <w:pPr>
              <w:pStyle w:val="TableText"/>
              <w:ind w:left="470" w:right="744"/>
              <w:jc w:val="right"/>
            </w:pPr>
            <w:r w:rsidRPr="00983613">
              <w:t>55773</w:t>
            </w:r>
          </w:p>
        </w:tc>
        <w:tc>
          <w:tcPr>
            <w:tcW w:w="2296" w:type="dxa"/>
            <w:tcBorders>
              <w:top w:val="single" w:sz="4" w:space="0" w:color="auto"/>
              <w:left w:val="nil"/>
              <w:bottom w:val="single" w:sz="4" w:space="0" w:color="auto"/>
              <w:right w:val="single" w:sz="4" w:space="0" w:color="auto"/>
            </w:tcBorders>
            <w:shd w:val="clear" w:color="auto" w:fill="FFFFFF"/>
            <w:noWrap/>
            <w:vAlign w:val="bottom"/>
          </w:tcPr>
          <w:p w14:paraId="71FEAE97" w14:textId="77777777" w:rsidR="00A86F83" w:rsidRPr="00981B2C" w:rsidRDefault="00A86F83" w:rsidP="00D51A98">
            <w:pPr>
              <w:pStyle w:val="TableText"/>
              <w:tabs>
                <w:tab w:val="left" w:pos="1550"/>
              </w:tabs>
              <w:ind w:right="579"/>
              <w:jc w:val="right"/>
            </w:pPr>
            <w:r w:rsidRPr="00983613">
              <w:t>44.00</w:t>
            </w:r>
          </w:p>
        </w:tc>
      </w:tr>
      <w:tr w:rsidR="00A86F83" w:rsidRPr="00983613" w14:paraId="71FEAE9B" w14:textId="77777777" w:rsidTr="00D51A98">
        <w:trPr>
          <w:trHeight w:val="285"/>
        </w:trPr>
        <w:tc>
          <w:tcPr>
            <w:tcW w:w="2296" w:type="dxa"/>
            <w:tcBorders>
              <w:top w:val="single" w:sz="4" w:space="0" w:color="auto"/>
              <w:left w:val="single" w:sz="4" w:space="0" w:color="auto"/>
              <w:bottom w:val="single" w:sz="4" w:space="0" w:color="auto"/>
              <w:right w:val="single" w:sz="4" w:space="0" w:color="auto"/>
            </w:tcBorders>
            <w:shd w:val="clear" w:color="auto" w:fill="FFFFFF"/>
            <w:vAlign w:val="bottom"/>
          </w:tcPr>
          <w:p w14:paraId="71FEAE99" w14:textId="77777777" w:rsidR="00A86F83" w:rsidRPr="00A3231E" w:rsidRDefault="00A86F83" w:rsidP="00D51A98">
            <w:pPr>
              <w:pStyle w:val="TableText"/>
              <w:ind w:left="470" w:right="744"/>
              <w:jc w:val="right"/>
            </w:pPr>
            <w:r w:rsidRPr="00983613">
              <w:t>55774</w:t>
            </w:r>
          </w:p>
        </w:tc>
        <w:tc>
          <w:tcPr>
            <w:tcW w:w="2296" w:type="dxa"/>
            <w:tcBorders>
              <w:top w:val="single" w:sz="4" w:space="0" w:color="auto"/>
              <w:left w:val="nil"/>
              <w:bottom w:val="single" w:sz="4" w:space="0" w:color="auto"/>
              <w:right w:val="single" w:sz="4" w:space="0" w:color="auto"/>
            </w:tcBorders>
            <w:shd w:val="clear" w:color="auto" w:fill="FFFFFF"/>
            <w:noWrap/>
            <w:vAlign w:val="bottom"/>
          </w:tcPr>
          <w:p w14:paraId="71FEAE9A" w14:textId="77777777" w:rsidR="00A86F83" w:rsidRDefault="00A86F83" w:rsidP="00D51A98">
            <w:pPr>
              <w:pStyle w:val="TableText"/>
              <w:tabs>
                <w:tab w:val="left" w:pos="1550"/>
              </w:tabs>
              <w:ind w:right="579"/>
              <w:jc w:val="right"/>
            </w:pPr>
            <w:r w:rsidRPr="00983613">
              <w:t>38.50</w:t>
            </w:r>
          </w:p>
        </w:tc>
      </w:tr>
      <w:tr w:rsidR="00A86F83" w:rsidRPr="00983613" w14:paraId="71FEAE9E" w14:textId="77777777" w:rsidTr="00D51A98">
        <w:trPr>
          <w:trHeight w:val="285"/>
        </w:trPr>
        <w:tc>
          <w:tcPr>
            <w:tcW w:w="2296" w:type="dxa"/>
            <w:tcBorders>
              <w:top w:val="single" w:sz="4" w:space="0" w:color="auto"/>
              <w:left w:val="single" w:sz="4" w:space="0" w:color="auto"/>
              <w:bottom w:val="single" w:sz="4" w:space="0" w:color="auto"/>
              <w:right w:val="single" w:sz="4" w:space="0" w:color="auto"/>
            </w:tcBorders>
            <w:shd w:val="clear" w:color="auto" w:fill="FFFFFF"/>
            <w:vAlign w:val="bottom"/>
          </w:tcPr>
          <w:p w14:paraId="71FEAE9C" w14:textId="77777777" w:rsidR="00A86F83" w:rsidRPr="00A3231E" w:rsidRDefault="00A86F83" w:rsidP="00D51A98">
            <w:pPr>
              <w:pStyle w:val="TableText"/>
              <w:ind w:left="470" w:right="744"/>
              <w:jc w:val="right"/>
            </w:pPr>
            <w:r w:rsidRPr="00983613">
              <w:t>55775</w:t>
            </w:r>
          </w:p>
        </w:tc>
        <w:tc>
          <w:tcPr>
            <w:tcW w:w="2296" w:type="dxa"/>
            <w:tcBorders>
              <w:top w:val="single" w:sz="4" w:space="0" w:color="auto"/>
              <w:left w:val="nil"/>
              <w:bottom w:val="single" w:sz="4" w:space="0" w:color="auto"/>
              <w:right w:val="single" w:sz="4" w:space="0" w:color="auto"/>
            </w:tcBorders>
            <w:shd w:val="clear" w:color="auto" w:fill="FFFFFF"/>
            <w:noWrap/>
            <w:vAlign w:val="bottom"/>
          </w:tcPr>
          <w:p w14:paraId="71FEAE9D" w14:textId="77777777" w:rsidR="00A86F83" w:rsidRDefault="00A86F83" w:rsidP="00D51A98">
            <w:pPr>
              <w:pStyle w:val="TableText"/>
              <w:tabs>
                <w:tab w:val="left" w:pos="1550"/>
              </w:tabs>
              <w:ind w:right="579"/>
              <w:jc w:val="right"/>
            </w:pPr>
            <w:r w:rsidRPr="00983613">
              <w:t>19.30</w:t>
            </w:r>
          </w:p>
        </w:tc>
      </w:tr>
    </w:tbl>
    <w:p w14:paraId="71FEAE9F" w14:textId="76F831D5" w:rsidR="00A86F83" w:rsidRPr="00DA5B9D" w:rsidRDefault="00A86F83" w:rsidP="00A86F83">
      <w:pPr>
        <w:pStyle w:val="Note"/>
      </w:pPr>
      <w:r w:rsidRPr="00983613">
        <w:rPr>
          <w:i/>
        </w:rPr>
        <w:t>Note</w:t>
      </w:r>
      <w:r>
        <w:rPr>
          <w:i/>
        </w:rPr>
        <w:t>   </w:t>
      </w:r>
      <w:r w:rsidRPr="00983613">
        <w:t xml:space="preserve">Items 55701, 55702, 55710, 55711, 55713, 55714, 55716, 55717, 55719, 55720, 55722, 55724, 55726, 55727, 55730, 55763, 55765, 55767, 55769, 55771, 55773 and 55775 </w:t>
      </w:r>
      <w:r w:rsidRPr="00DA5B9D">
        <w:t>appear in the determination made under subsection 3C(1) of the Act in relation to diagnostic imaging and capital sensitivity services. The determination operates so that the items are to be treated as if the items were in the diagnostic imaging services table.</w:t>
      </w:r>
    </w:p>
    <w:p w14:paraId="71FEAEA2" w14:textId="77777777" w:rsidR="00BE5540" w:rsidRDefault="00BE5540" w:rsidP="00BE5540"/>
    <w:p w14:paraId="71FEAEA3" w14:textId="54EEC6C8" w:rsidR="00BE5540" w:rsidRDefault="00864CAB" w:rsidP="00BE5540">
      <w:pPr>
        <w:pStyle w:val="Heading1"/>
      </w:pPr>
      <w:bookmarkStart w:id="6" w:name="_Toc529452109"/>
      <w:r>
        <w:t>5.</w:t>
      </w:r>
      <w:r>
        <w:tab/>
      </w:r>
      <w:r w:rsidR="00BE5540">
        <w:t>Repeal</w:t>
      </w:r>
      <w:bookmarkEnd w:id="6"/>
    </w:p>
    <w:p w14:paraId="7ABF5B78" w14:textId="77777777" w:rsidR="00B53336" w:rsidRDefault="00801BB3" w:rsidP="00864CAB">
      <w:pPr>
        <w:spacing w:after="120"/>
        <w:rPr>
          <w:bCs/>
          <w:i/>
        </w:rPr>
        <w:sectPr w:rsidR="00B53336" w:rsidSect="00B215A4">
          <w:footerReference w:type="default" r:id="rId20"/>
          <w:pgSz w:w="11906" w:h="16838"/>
          <w:pgMar w:top="1440" w:right="1800" w:bottom="993" w:left="1800" w:header="708" w:footer="708" w:gutter="0"/>
          <w:pgNumType w:start="1"/>
          <w:cols w:space="708"/>
          <w:docGrid w:linePitch="360"/>
        </w:sectPr>
      </w:pPr>
      <w:r>
        <w:rPr>
          <w:bCs/>
        </w:rPr>
        <w:t xml:space="preserve">This Determination repeals the </w:t>
      </w:r>
      <w:r w:rsidR="00BE5540" w:rsidRPr="00801BB3">
        <w:rPr>
          <w:bCs/>
          <w:i/>
        </w:rPr>
        <w:t>Health Insurance (Extended Medicare Safety Net) Determination 2009</w:t>
      </w:r>
      <w:r w:rsidR="002B408B">
        <w:rPr>
          <w:bCs/>
          <w:i/>
        </w:rPr>
        <w:t>.</w:t>
      </w:r>
    </w:p>
    <w:p w14:paraId="1018E493" w14:textId="77777777" w:rsidR="00B53336" w:rsidRPr="001778F8" w:rsidRDefault="00B53336" w:rsidP="00B53336">
      <w:pPr>
        <w:pStyle w:val="ENotesHeading1"/>
      </w:pPr>
      <w:bookmarkStart w:id="7" w:name="_Toc529452110"/>
      <w:r>
        <w:lastRenderedPageBreak/>
        <w:t>Endnotes</w:t>
      </w:r>
      <w:bookmarkEnd w:id="7"/>
    </w:p>
    <w:p w14:paraId="260582E4" w14:textId="77777777" w:rsidR="00B53336" w:rsidRPr="00BC57F4" w:rsidRDefault="00B53336" w:rsidP="00B53336">
      <w:pPr>
        <w:pStyle w:val="ENotesHeading20"/>
      </w:pPr>
      <w:bookmarkStart w:id="8" w:name="_Toc529452111"/>
      <w:r w:rsidRPr="00BC57F4">
        <w:t>Endnote 1—</w:t>
      </w:r>
      <w:proofErr w:type="gramStart"/>
      <w:r w:rsidRPr="00BC57F4">
        <w:t>About</w:t>
      </w:r>
      <w:proofErr w:type="gramEnd"/>
      <w:r w:rsidRPr="00BC57F4">
        <w:t xml:space="preserve"> the endnotes</w:t>
      </w:r>
      <w:bookmarkEnd w:id="8"/>
    </w:p>
    <w:p w14:paraId="3C7B341A" w14:textId="77777777" w:rsidR="00B53336" w:rsidRPr="00042EA7" w:rsidRDefault="00B53336" w:rsidP="00B53336">
      <w:pPr>
        <w:spacing w:after="120"/>
      </w:pPr>
      <w:r w:rsidRPr="00042EA7">
        <w:t>The endnotes provide information about this compilation and the compiled law.</w:t>
      </w:r>
    </w:p>
    <w:p w14:paraId="5D8AAA07" w14:textId="77777777" w:rsidR="00B53336" w:rsidRPr="00042EA7" w:rsidRDefault="00B53336" w:rsidP="00B53336">
      <w:pPr>
        <w:spacing w:after="120"/>
      </w:pPr>
      <w:r w:rsidRPr="00042EA7">
        <w:t>The following endnotes are included in every compilation:</w:t>
      </w:r>
    </w:p>
    <w:p w14:paraId="2BA9AD8E" w14:textId="77777777" w:rsidR="00B53336" w:rsidRPr="00042EA7" w:rsidRDefault="00B53336" w:rsidP="00B53336">
      <w:r w:rsidRPr="00042EA7">
        <w:t>Endnote 1—</w:t>
      </w:r>
      <w:proofErr w:type="gramStart"/>
      <w:r w:rsidRPr="00042EA7">
        <w:t>About</w:t>
      </w:r>
      <w:proofErr w:type="gramEnd"/>
      <w:r w:rsidRPr="00042EA7">
        <w:t xml:space="preserve"> the endnotes</w:t>
      </w:r>
    </w:p>
    <w:p w14:paraId="2773E05A" w14:textId="77777777" w:rsidR="00B53336" w:rsidRPr="00042EA7" w:rsidRDefault="00B53336" w:rsidP="00B53336">
      <w:r w:rsidRPr="00042EA7">
        <w:t>Endnote 2—Abbreviation key</w:t>
      </w:r>
    </w:p>
    <w:p w14:paraId="2372A647" w14:textId="77777777" w:rsidR="00B53336" w:rsidRPr="00042EA7" w:rsidRDefault="00B53336" w:rsidP="00B53336">
      <w:r w:rsidRPr="00042EA7">
        <w:t>Endnote 3—Legislation history</w:t>
      </w:r>
    </w:p>
    <w:p w14:paraId="0061B382" w14:textId="77777777" w:rsidR="00B53336" w:rsidRPr="00042EA7" w:rsidRDefault="00B53336" w:rsidP="00B53336">
      <w:pPr>
        <w:spacing w:after="120"/>
      </w:pPr>
      <w:r w:rsidRPr="00042EA7">
        <w:t>Endnote 4—Amendment history</w:t>
      </w:r>
    </w:p>
    <w:p w14:paraId="3F30412B" w14:textId="77777777" w:rsidR="00B53336" w:rsidRPr="00042EA7" w:rsidRDefault="00B53336" w:rsidP="00B53336">
      <w:r w:rsidRPr="00042EA7">
        <w:rPr>
          <w:b/>
        </w:rPr>
        <w:t>Abbreviation key—Endnote 2</w:t>
      </w:r>
    </w:p>
    <w:p w14:paraId="3940D847" w14:textId="77777777" w:rsidR="00B53336" w:rsidRPr="00042EA7" w:rsidRDefault="00B53336" w:rsidP="00B53336">
      <w:pPr>
        <w:spacing w:after="120"/>
      </w:pPr>
      <w:r w:rsidRPr="00042EA7">
        <w:t>The abbreviation key sets out abbreviations that may be used in the endnotes.</w:t>
      </w:r>
    </w:p>
    <w:p w14:paraId="07B5F2DD" w14:textId="77777777" w:rsidR="00B53336" w:rsidRPr="00042EA7" w:rsidRDefault="00B53336" w:rsidP="00B53336">
      <w:pPr>
        <w:rPr>
          <w:b/>
        </w:rPr>
      </w:pPr>
      <w:r w:rsidRPr="00042EA7">
        <w:rPr>
          <w:b/>
        </w:rPr>
        <w:t>Legislation history and amendment history—Endnotes 3 and 4</w:t>
      </w:r>
    </w:p>
    <w:p w14:paraId="6A32BE4E" w14:textId="77777777" w:rsidR="00B53336" w:rsidRPr="00042EA7" w:rsidRDefault="00B53336" w:rsidP="00B53336">
      <w:pPr>
        <w:spacing w:after="120"/>
      </w:pPr>
      <w:r w:rsidRPr="00042EA7">
        <w:t>Amending laws are annotated in the legislation history and amendment history.</w:t>
      </w:r>
    </w:p>
    <w:p w14:paraId="37BBB51E" w14:textId="77777777" w:rsidR="00B53336" w:rsidRPr="00042EA7" w:rsidRDefault="00B53336" w:rsidP="00B53336">
      <w:pPr>
        <w:spacing w:after="120"/>
      </w:pPr>
      <w:r w:rsidRPr="00042EA7">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37200043" w14:textId="77777777" w:rsidR="00B53336" w:rsidRPr="00042EA7" w:rsidRDefault="00B53336" w:rsidP="00B53336">
      <w:pPr>
        <w:spacing w:after="120"/>
      </w:pPr>
      <w:r w:rsidRPr="00042EA7">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61B6E54D" w14:textId="77777777" w:rsidR="00B53336" w:rsidRPr="00042EA7" w:rsidRDefault="00B53336" w:rsidP="00B53336">
      <w:pPr>
        <w:keepNext/>
      </w:pPr>
      <w:proofErr w:type="spellStart"/>
      <w:r w:rsidRPr="00042EA7">
        <w:rPr>
          <w:b/>
        </w:rPr>
        <w:t>Misdescribed</w:t>
      </w:r>
      <w:proofErr w:type="spellEnd"/>
      <w:r w:rsidRPr="00042EA7">
        <w:rPr>
          <w:b/>
        </w:rPr>
        <w:t xml:space="preserve"> amendments</w:t>
      </w:r>
    </w:p>
    <w:p w14:paraId="4087A871" w14:textId="77777777" w:rsidR="00B53336" w:rsidRPr="00042EA7" w:rsidRDefault="00B53336" w:rsidP="00B53336">
      <w:pPr>
        <w:spacing w:after="120"/>
      </w:pPr>
      <w:r w:rsidRPr="00042EA7">
        <w:t xml:space="preserve">A </w:t>
      </w:r>
      <w:proofErr w:type="spellStart"/>
      <w:r w:rsidRPr="00042EA7">
        <w:t>misdescribed</w:t>
      </w:r>
      <w:proofErr w:type="spellEnd"/>
      <w:r w:rsidRPr="00042EA7">
        <w:t xml:space="preserve"> amendment is an amendment that does not accurately describe the amendment to be made. If, despite the </w:t>
      </w:r>
      <w:proofErr w:type="spellStart"/>
      <w:r w:rsidRPr="00042EA7">
        <w:t>misdescription</w:t>
      </w:r>
      <w:proofErr w:type="spellEnd"/>
      <w:r w:rsidRPr="00042EA7">
        <w:t xml:space="preserve">, the amendment can be given effect as intended, the amendment is incorporated into the compiled law and the abbreviation “(md)” added to the details of the amendment included in the amendment history. </w:t>
      </w:r>
    </w:p>
    <w:p w14:paraId="2F55DF5A" w14:textId="77777777" w:rsidR="00B53336" w:rsidRPr="00C337CB" w:rsidRDefault="00B53336" w:rsidP="00B53336">
      <w:pPr>
        <w:spacing w:before="120"/>
      </w:pPr>
      <w:r w:rsidRPr="00C337CB">
        <w:t xml:space="preserve">If a </w:t>
      </w:r>
      <w:proofErr w:type="spellStart"/>
      <w:r w:rsidRPr="00C337CB">
        <w:t>misdescribed</w:t>
      </w:r>
      <w:proofErr w:type="spellEnd"/>
      <w:r w:rsidRPr="00C337CB">
        <w:t xml:space="preserve"> amendment cannot be given effect as intended, the abbreviation “(md not </w:t>
      </w:r>
      <w:proofErr w:type="spellStart"/>
      <w:r w:rsidRPr="00C337CB">
        <w:t>incorp</w:t>
      </w:r>
      <w:proofErr w:type="spellEnd"/>
      <w:r w:rsidRPr="00C337CB">
        <w:t>)” is added to the details of the amendment included in the amendment history.</w:t>
      </w:r>
      <w:r>
        <w:t xml:space="preserve">  </w:t>
      </w:r>
    </w:p>
    <w:p w14:paraId="0C66538B" w14:textId="77777777" w:rsidR="00B53336" w:rsidRPr="00BC57F4" w:rsidRDefault="00B53336" w:rsidP="00B53336">
      <w:pPr>
        <w:pStyle w:val="ENotesHeading20"/>
        <w:pageBreakBefore/>
        <w:outlineLvl w:val="9"/>
      </w:pPr>
      <w:r w:rsidRPr="00BC57F4">
        <w:lastRenderedPageBreak/>
        <w:t>Endnote 2—Abbreviation key</w:t>
      </w:r>
    </w:p>
    <w:tbl>
      <w:tblPr>
        <w:tblW w:w="7939" w:type="dxa"/>
        <w:tblInd w:w="108" w:type="dxa"/>
        <w:tblLayout w:type="fixed"/>
        <w:tblLook w:val="0000" w:firstRow="0" w:lastRow="0" w:firstColumn="0" w:lastColumn="0" w:noHBand="0" w:noVBand="0"/>
      </w:tblPr>
      <w:tblGrid>
        <w:gridCol w:w="4253"/>
        <w:gridCol w:w="3686"/>
      </w:tblGrid>
      <w:tr w:rsidR="00B53336" w:rsidRPr="008E7D28" w14:paraId="3A31F30E" w14:textId="77777777" w:rsidTr="00FB069E">
        <w:tc>
          <w:tcPr>
            <w:tcW w:w="4253" w:type="dxa"/>
            <w:shd w:val="clear" w:color="auto" w:fill="auto"/>
          </w:tcPr>
          <w:p w14:paraId="4C9FB8C9" w14:textId="77777777" w:rsidR="00B53336" w:rsidRPr="008E7D28" w:rsidRDefault="00B53336" w:rsidP="00FB069E">
            <w:pPr>
              <w:spacing w:before="60"/>
              <w:ind w:left="34"/>
              <w:rPr>
                <w:sz w:val="20"/>
              </w:rPr>
            </w:pPr>
          </w:p>
        </w:tc>
        <w:tc>
          <w:tcPr>
            <w:tcW w:w="3686" w:type="dxa"/>
            <w:shd w:val="clear" w:color="auto" w:fill="auto"/>
          </w:tcPr>
          <w:p w14:paraId="2680E730" w14:textId="77777777" w:rsidR="00B53336" w:rsidRPr="008E7D28" w:rsidRDefault="00B53336" w:rsidP="00FB069E">
            <w:pPr>
              <w:spacing w:before="60"/>
              <w:ind w:left="34"/>
              <w:rPr>
                <w:sz w:val="20"/>
              </w:rPr>
            </w:pPr>
            <w:r w:rsidRPr="008E7D28">
              <w:rPr>
                <w:sz w:val="20"/>
              </w:rPr>
              <w:t>o = order(s)</w:t>
            </w:r>
          </w:p>
        </w:tc>
      </w:tr>
      <w:tr w:rsidR="00B53336" w:rsidRPr="008E7D28" w14:paraId="44420A45" w14:textId="77777777" w:rsidTr="00FB069E">
        <w:tc>
          <w:tcPr>
            <w:tcW w:w="4253" w:type="dxa"/>
            <w:shd w:val="clear" w:color="auto" w:fill="auto"/>
          </w:tcPr>
          <w:p w14:paraId="29463907" w14:textId="77777777" w:rsidR="00B53336" w:rsidRPr="008E7D28" w:rsidRDefault="00B53336" w:rsidP="00FB069E">
            <w:pPr>
              <w:spacing w:before="60"/>
              <w:ind w:left="34"/>
              <w:rPr>
                <w:sz w:val="20"/>
              </w:rPr>
            </w:pPr>
            <w:r w:rsidRPr="008E7D28">
              <w:rPr>
                <w:sz w:val="20"/>
              </w:rPr>
              <w:t>ad = added or inserted</w:t>
            </w:r>
          </w:p>
        </w:tc>
        <w:tc>
          <w:tcPr>
            <w:tcW w:w="3686" w:type="dxa"/>
            <w:shd w:val="clear" w:color="auto" w:fill="auto"/>
          </w:tcPr>
          <w:p w14:paraId="06068C53" w14:textId="77777777" w:rsidR="00B53336" w:rsidRPr="008E7D28" w:rsidRDefault="00B53336" w:rsidP="00FB069E">
            <w:pPr>
              <w:spacing w:before="60"/>
              <w:ind w:left="34"/>
              <w:rPr>
                <w:sz w:val="20"/>
              </w:rPr>
            </w:pPr>
            <w:r w:rsidRPr="008E7D28">
              <w:rPr>
                <w:sz w:val="20"/>
              </w:rPr>
              <w:t>Ord = Ordinance</w:t>
            </w:r>
          </w:p>
        </w:tc>
      </w:tr>
      <w:tr w:rsidR="00B53336" w:rsidRPr="008E7D28" w14:paraId="4D347E89" w14:textId="77777777" w:rsidTr="00FB069E">
        <w:tc>
          <w:tcPr>
            <w:tcW w:w="4253" w:type="dxa"/>
            <w:shd w:val="clear" w:color="auto" w:fill="auto"/>
          </w:tcPr>
          <w:p w14:paraId="3490C2CC" w14:textId="77777777" w:rsidR="00B53336" w:rsidRPr="008E7D28" w:rsidRDefault="00B53336" w:rsidP="00FB069E">
            <w:pPr>
              <w:spacing w:before="60"/>
              <w:ind w:left="34"/>
              <w:rPr>
                <w:sz w:val="20"/>
              </w:rPr>
            </w:pPr>
            <w:r w:rsidRPr="008E7D28">
              <w:rPr>
                <w:sz w:val="20"/>
              </w:rPr>
              <w:t>am = amended</w:t>
            </w:r>
          </w:p>
        </w:tc>
        <w:tc>
          <w:tcPr>
            <w:tcW w:w="3686" w:type="dxa"/>
            <w:shd w:val="clear" w:color="auto" w:fill="auto"/>
          </w:tcPr>
          <w:p w14:paraId="308DDBC2" w14:textId="77777777" w:rsidR="00B53336" w:rsidRPr="008E7D28" w:rsidRDefault="00B53336" w:rsidP="00FB069E">
            <w:pPr>
              <w:spacing w:before="60"/>
              <w:ind w:left="34"/>
              <w:rPr>
                <w:sz w:val="20"/>
              </w:rPr>
            </w:pPr>
            <w:proofErr w:type="spellStart"/>
            <w:r w:rsidRPr="008E7D28">
              <w:rPr>
                <w:sz w:val="20"/>
              </w:rPr>
              <w:t>orig</w:t>
            </w:r>
            <w:proofErr w:type="spellEnd"/>
            <w:r w:rsidRPr="008E7D28">
              <w:rPr>
                <w:sz w:val="20"/>
              </w:rPr>
              <w:t xml:space="preserve"> = original</w:t>
            </w:r>
          </w:p>
        </w:tc>
      </w:tr>
      <w:tr w:rsidR="00B53336" w:rsidRPr="008E7D28" w14:paraId="561F64E6" w14:textId="77777777" w:rsidTr="00FB069E">
        <w:tc>
          <w:tcPr>
            <w:tcW w:w="4253" w:type="dxa"/>
            <w:shd w:val="clear" w:color="auto" w:fill="auto"/>
          </w:tcPr>
          <w:p w14:paraId="71E73E89" w14:textId="77777777" w:rsidR="00B53336" w:rsidRPr="008E7D28" w:rsidRDefault="00B53336" w:rsidP="00FB069E">
            <w:pPr>
              <w:spacing w:before="60"/>
              <w:ind w:left="34"/>
              <w:rPr>
                <w:sz w:val="20"/>
              </w:rPr>
            </w:pPr>
            <w:proofErr w:type="spellStart"/>
            <w:r w:rsidRPr="008E7D28">
              <w:rPr>
                <w:sz w:val="20"/>
              </w:rPr>
              <w:t>amdt</w:t>
            </w:r>
            <w:proofErr w:type="spellEnd"/>
            <w:r w:rsidRPr="008E7D28">
              <w:rPr>
                <w:sz w:val="20"/>
              </w:rPr>
              <w:t xml:space="preserve"> = amendment</w:t>
            </w:r>
          </w:p>
        </w:tc>
        <w:tc>
          <w:tcPr>
            <w:tcW w:w="3686" w:type="dxa"/>
            <w:shd w:val="clear" w:color="auto" w:fill="auto"/>
          </w:tcPr>
          <w:p w14:paraId="4F56F5C5" w14:textId="77777777" w:rsidR="00B53336" w:rsidRPr="008E7D28" w:rsidRDefault="00B53336" w:rsidP="00FB069E">
            <w:pPr>
              <w:spacing w:before="60"/>
              <w:ind w:left="34"/>
              <w:rPr>
                <w:sz w:val="20"/>
              </w:rPr>
            </w:pPr>
            <w:r w:rsidRPr="008E7D28">
              <w:rPr>
                <w:sz w:val="20"/>
              </w:rPr>
              <w:t>par = paragraph(s)/subparagraph(s)</w:t>
            </w:r>
          </w:p>
        </w:tc>
      </w:tr>
      <w:tr w:rsidR="00B53336" w:rsidRPr="008E7D28" w14:paraId="23B629CD" w14:textId="77777777" w:rsidTr="00FB069E">
        <w:tc>
          <w:tcPr>
            <w:tcW w:w="4253" w:type="dxa"/>
            <w:shd w:val="clear" w:color="auto" w:fill="auto"/>
          </w:tcPr>
          <w:p w14:paraId="0D6EBFB2" w14:textId="77777777" w:rsidR="00B53336" w:rsidRPr="008E7D28" w:rsidRDefault="00B53336" w:rsidP="00FB069E">
            <w:pPr>
              <w:spacing w:before="60"/>
              <w:ind w:left="34"/>
              <w:rPr>
                <w:sz w:val="20"/>
              </w:rPr>
            </w:pPr>
            <w:r w:rsidRPr="008E7D28">
              <w:rPr>
                <w:sz w:val="20"/>
              </w:rPr>
              <w:t>c = clause(s)</w:t>
            </w:r>
          </w:p>
        </w:tc>
        <w:tc>
          <w:tcPr>
            <w:tcW w:w="3686" w:type="dxa"/>
            <w:shd w:val="clear" w:color="auto" w:fill="auto"/>
          </w:tcPr>
          <w:p w14:paraId="6CBCD7F8" w14:textId="77777777" w:rsidR="00B53336" w:rsidRPr="008E7D28" w:rsidRDefault="00B53336" w:rsidP="00FB069E">
            <w:pPr>
              <w:ind w:left="34"/>
              <w:rPr>
                <w:sz w:val="20"/>
              </w:rPr>
            </w:pPr>
            <w:r w:rsidRPr="008E7D28">
              <w:rPr>
                <w:sz w:val="20"/>
              </w:rPr>
              <w:t xml:space="preserve">    /sub</w:t>
            </w:r>
            <w:r>
              <w:rPr>
                <w:sz w:val="20"/>
              </w:rPr>
              <w:noBreakHyphen/>
            </w:r>
            <w:r w:rsidRPr="008E7D28">
              <w:rPr>
                <w:sz w:val="20"/>
              </w:rPr>
              <w:t>subparagraph(s)</w:t>
            </w:r>
          </w:p>
        </w:tc>
      </w:tr>
      <w:tr w:rsidR="00B53336" w:rsidRPr="008E7D28" w14:paraId="621CFBAB" w14:textId="77777777" w:rsidTr="00FB069E">
        <w:tc>
          <w:tcPr>
            <w:tcW w:w="4253" w:type="dxa"/>
            <w:shd w:val="clear" w:color="auto" w:fill="auto"/>
          </w:tcPr>
          <w:p w14:paraId="1E6E55BF" w14:textId="77777777" w:rsidR="00B53336" w:rsidRPr="008E7D28" w:rsidRDefault="00B53336" w:rsidP="00FB069E">
            <w:pPr>
              <w:spacing w:before="60"/>
              <w:ind w:left="34"/>
              <w:rPr>
                <w:sz w:val="20"/>
              </w:rPr>
            </w:pPr>
            <w:r w:rsidRPr="008E7D28">
              <w:rPr>
                <w:sz w:val="20"/>
              </w:rPr>
              <w:t>C[x] = Compilation No. x</w:t>
            </w:r>
          </w:p>
        </w:tc>
        <w:tc>
          <w:tcPr>
            <w:tcW w:w="3686" w:type="dxa"/>
            <w:shd w:val="clear" w:color="auto" w:fill="auto"/>
          </w:tcPr>
          <w:p w14:paraId="09DC43AD" w14:textId="77777777" w:rsidR="00B53336" w:rsidRPr="008E7D28" w:rsidRDefault="00B53336" w:rsidP="00FB069E">
            <w:pPr>
              <w:spacing w:before="60"/>
              <w:ind w:left="34"/>
              <w:rPr>
                <w:sz w:val="20"/>
              </w:rPr>
            </w:pPr>
            <w:proofErr w:type="spellStart"/>
            <w:r w:rsidRPr="008E7D28">
              <w:rPr>
                <w:sz w:val="20"/>
              </w:rPr>
              <w:t>pres</w:t>
            </w:r>
            <w:proofErr w:type="spellEnd"/>
            <w:r w:rsidRPr="008E7D28">
              <w:rPr>
                <w:sz w:val="20"/>
              </w:rPr>
              <w:t xml:space="preserve"> = present</w:t>
            </w:r>
          </w:p>
        </w:tc>
      </w:tr>
      <w:tr w:rsidR="00B53336" w:rsidRPr="008E7D28" w14:paraId="5EAA13FB" w14:textId="77777777" w:rsidTr="00FB069E">
        <w:tc>
          <w:tcPr>
            <w:tcW w:w="4253" w:type="dxa"/>
            <w:shd w:val="clear" w:color="auto" w:fill="auto"/>
          </w:tcPr>
          <w:p w14:paraId="0CEFB554" w14:textId="77777777" w:rsidR="00B53336" w:rsidRPr="008E7D28" w:rsidRDefault="00B53336" w:rsidP="00FB069E">
            <w:pPr>
              <w:spacing w:before="60"/>
              <w:ind w:left="34"/>
              <w:rPr>
                <w:sz w:val="20"/>
              </w:rPr>
            </w:pPr>
            <w:proofErr w:type="spellStart"/>
            <w:r w:rsidRPr="008E7D28">
              <w:rPr>
                <w:sz w:val="20"/>
              </w:rPr>
              <w:t>Ch</w:t>
            </w:r>
            <w:proofErr w:type="spellEnd"/>
            <w:r w:rsidRPr="008E7D28">
              <w:rPr>
                <w:sz w:val="20"/>
              </w:rPr>
              <w:t xml:space="preserve"> = Chapter(s)</w:t>
            </w:r>
          </w:p>
        </w:tc>
        <w:tc>
          <w:tcPr>
            <w:tcW w:w="3686" w:type="dxa"/>
            <w:shd w:val="clear" w:color="auto" w:fill="auto"/>
          </w:tcPr>
          <w:p w14:paraId="630C01B3" w14:textId="77777777" w:rsidR="00B53336" w:rsidRPr="008E7D28" w:rsidRDefault="00B53336" w:rsidP="00FB069E">
            <w:pPr>
              <w:spacing w:before="60"/>
              <w:ind w:left="34"/>
              <w:rPr>
                <w:sz w:val="20"/>
              </w:rPr>
            </w:pPr>
            <w:proofErr w:type="spellStart"/>
            <w:r w:rsidRPr="008E7D28">
              <w:rPr>
                <w:sz w:val="20"/>
              </w:rPr>
              <w:t>prev</w:t>
            </w:r>
            <w:proofErr w:type="spellEnd"/>
            <w:r w:rsidRPr="008E7D28">
              <w:rPr>
                <w:sz w:val="20"/>
              </w:rPr>
              <w:t xml:space="preserve"> = previous</w:t>
            </w:r>
          </w:p>
        </w:tc>
      </w:tr>
      <w:tr w:rsidR="00B53336" w:rsidRPr="008E7D28" w14:paraId="4E6D284F" w14:textId="77777777" w:rsidTr="00FB069E">
        <w:tc>
          <w:tcPr>
            <w:tcW w:w="4253" w:type="dxa"/>
            <w:shd w:val="clear" w:color="auto" w:fill="auto"/>
          </w:tcPr>
          <w:p w14:paraId="3DCD69DD" w14:textId="77777777" w:rsidR="00B53336" w:rsidRPr="008E7D28" w:rsidRDefault="00B53336" w:rsidP="00FB069E">
            <w:pPr>
              <w:spacing w:before="60"/>
              <w:ind w:left="34"/>
              <w:rPr>
                <w:sz w:val="20"/>
              </w:rPr>
            </w:pPr>
            <w:proofErr w:type="spellStart"/>
            <w:r w:rsidRPr="008E7D28">
              <w:rPr>
                <w:sz w:val="20"/>
              </w:rPr>
              <w:t>def</w:t>
            </w:r>
            <w:proofErr w:type="spellEnd"/>
            <w:r w:rsidRPr="008E7D28">
              <w:rPr>
                <w:sz w:val="20"/>
              </w:rPr>
              <w:t xml:space="preserve"> = definition(s)</w:t>
            </w:r>
          </w:p>
        </w:tc>
        <w:tc>
          <w:tcPr>
            <w:tcW w:w="3686" w:type="dxa"/>
            <w:shd w:val="clear" w:color="auto" w:fill="auto"/>
          </w:tcPr>
          <w:p w14:paraId="0C63096C" w14:textId="77777777" w:rsidR="00B53336" w:rsidRPr="008E7D28" w:rsidRDefault="00B53336" w:rsidP="00FB069E">
            <w:pPr>
              <w:spacing w:before="60"/>
              <w:ind w:left="34"/>
              <w:rPr>
                <w:sz w:val="20"/>
              </w:rPr>
            </w:pPr>
            <w:r w:rsidRPr="008E7D28">
              <w:rPr>
                <w:sz w:val="20"/>
              </w:rPr>
              <w:t>(</w:t>
            </w:r>
            <w:proofErr w:type="spellStart"/>
            <w:proofErr w:type="gramStart"/>
            <w:r w:rsidRPr="008E7D28">
              <w:rPr>
                <w:sz w:val="20"/>
              </w:rPr>
              <w:t>prev</w:t>
            </w:r>
            <w:proofErr w:type="spellEnd"/>
            <w:proofErr w:type="gramEnd"/>
            <w:r w:rsidRPr="008E7D28">
              <w:rPr>
                <w:sz w:val="20"/>
              </w:rPr>
              <w:t>…) = previously</w:t>
            </w:r>
          </w:p>
        </w:tc>
      </w:tr>
      <w:tr w:rsidR="00B53336" w:rsidRPr="008E7D28" w14:paraId="02B9B3C8" w14:textId="77777777" w:rsidTr="00FB069E">
        <w:tc>
          <w:tcPr>
            <w:tcW w:w="4253" w:type="dxa"/>
            <w:shd w:val="clear" w:color="auto" w:fill="auto"/>
          </w:tcPr>
          <w:p w14:paraId="4CB041C1" w14:textId="77777777" w:rsidR="00B53336" w:rsidRPr="008E7D28" w:rsidRDefault="00B53336" w:rsidP="00FB069E">
            <w:pPr>
              <w:spacing w:before="60"/>
              <w:ind w:left="34"/>
              <w:rPr>
                <w:sz w:val="20"/>
              </w:rPr>
            </w:pPr>
            <w:proofErr w:type="spellStart"/>
            <w:r w:rsidRPr="008E7D28">
              <w:rPr>
                <w:sz w:val="20"/>
              </w:rPr>
              <w:t>Dict</w:t>
            </w:r>
            <w:proofErr w:type="spellEnd"/>
            <w:r w:rsidRPr="008E7D28">
              <w:rPr>
                <w:sz w:val="20"/>
              </w:rPr>
              <w:t xml:space="preserve"> = Dictionary</w:t>
            </w:r>
          </w:p>
        </w:tc>
        <w:tc>
          <w:tcPr>
            <w:tcW w:w="3686" w:type="dxa"/>
            <w:shd w:val="clear" w:color="auto" w:fill="auto"/>
          </w:tcPr>
          <w:p w14:paraId="20D767E6" w14:textId="77777777" w:rsidR="00B53336" w:rsidRPr="008E7D28" w:rsidRDefault="00B53336" w:rsidP="00FB069E">
            <w:pPr>
              <w:spacing w:before="60"/>
              <w:ind w:left="34"/>
              <w:rPr>
                <w:sz w:val="20"/>
              </w:rPr>
            </w:pPr>
            <w:r w:rsidRPr="008E7D28">
              <w:rPr>
                <w:sz w:val="20"/>
              </w:rPr>
              <w:t>Pt = Part(s)</w:t>
            </w:r>
          </w:p>
        </w:tc>
      </w:tr>
      <w:tr w:rsidR="00B53336" w:rsidRPr="008E7D28" w14:paraId="06F3E143" w14:textId="77777777" w:rsidTr="00FB069E">
        <w:tc>
          <w:tcPr>
            <w:tcW w:w="4253" w:type="dxa"/>
            <w:shd w:val="clear" w:color="auto" w:fill="auto"/>
          </w:tcPr>
          <w:p w14:paraId="2932AF3D" w14:textId="77777777" w:rsidR="00B53336" w:rsidRPr="008E7D28" w:rsidRDefault="00B53336" w:rsidP="00FB069E">
            <w:pPr>
              <w:spacing w:before="60"/>
              <w:ind w:left="34"/>
              <w:rPr>
                <w:sz w:val="20"/>
              </w:rPr>
            </w:pPr>
            <w:r w:rsidRPr="008E7D28">
              <w:rPr>
                <w:sz w:val="20"/>
              </w:rPr>
              <w:t>disallowed = disallowed by Parliament</w:t>
            </w:r>
          </w:p>
        </w:tc>
        <w:tc>
          <w:tcPr>
            <w:tcW w:w="3686" w:type="dxa"/>
            <w:shd w:val="clear" w:color="auto" w:fill="auto"/>
          </w:tcPr>
          <w:p w14:paraId="187977C1" w14:textId="77777777" w:rsidR="00B53336" w:rsidRPr="008E7D28" w:rsidRDefault="00B53336" w:rsidP="00FB069E">
            <w:pPr>
              <w:spacing w:before="60"/>
              <w:ind w:left="34"/>
              <w:rPr>
                <w:sz w:val="20"/>
              </w:rPr>
            </w:pPr>
            <w:r w:rsidRPr="008E7D28">
              <w:rPr>
                <w:sz w:val="20"/>
              </w:rPr>
              <w:t>r = regulation(s)/rule(s)</w:t>
            </w:r>
          </w:p>
        </w:tc>
      </w:tr>
      <w:tr w:rsidR="00B53336" w:rsidRPr="008E7D28" w14:paraId="5FB35A98" w14:textId="77777777" w:rsidTr="00FB069E">
        <w:tc>
          <w:tcPr>
            <w:tcW w:w="4253" w:type="dxa"/>
            <w:shd w:val="clear" w:color="auto" w:fill="auto"/>
          </w:tcPr>
          <w:p w14:paraId="55157904" w14:textId="77777777" w:rsidR="00B53336" w:rsidRPr="008E7D28" w:rsidRDefault="00B53336" w:rsidP="00FB069E">
            <w:pPr>
              <w:spacing w:before="60"/>
              <w:ind w:left="34"/>
              <w:rPr>
                <w:sz w:val="20"/>
              </w:rPr>
            </w:pPr>
            <w:proofErr w:type="spellStart"/>
            <w:r w:rsidRPr="008E7D28">
              <w:rPr>
                <w:sz w:val="20"/>
              </w:rPr>
              <w:t>Div</w:t>
            </w:r>
            <w:proofErr w:type="spellEnd"/>
            <w:r w:rsidRPr="008E7D28">
              <w:rPr>
                <w:sz w:val="20"/>
              </w:rPr>
              <w:t xml:space="preserve"> = Division(s)</w:t>
            </w:r>
          </w:p>
        </w:tc>
        <w:tc>
          <w:tcPr>
            <w:tcW w:w="3686" w:type="dxa"/>
            <w:shd w:val="clear" w:color="auto" w:fill="auto"/>
          </w:tcPr>
          <w:p w14:paraId="33D078B4" w14:textId="77777777" w:rsidR="00B53336" w:rsidRPr="008E7D28" w:rsidRDefault="00B53336" w:rsidP="00FB069E">
            <w:pPr>
              <w:spacing w:before="60"/>
              <w:ind w:left="34"/>
              <w:rPr>
                <w:sz w:val="20"/>
              </w:rPr>
            </w:pPr>
          </w:p>
        </w:tc>
      </w:tr>
      <w:tr w:rsidR="00B53336" w:rsidRPr="008E7D28" w14:paraId="29E7DED1" w14:textId="77777777" w:rsidTr="00FB069E">
        <w:tc>
          <w:tcPr>
            <w:tcW w:w="4253" w:type="dxa"/>
            <w:shd w:val="clear" w:color="auto" w:fill="auto"/>
          </w:tcPr>
          <w:p w14:paraId="7EA764D0" w14:textId="77777777" w:rsidR="00B53336" w:rsidRPr="008E7D28" w:rsidRDefault="00B53336" w:rsidP="00FB069E">
            <w:pPr>
              <w:spacing w:before="60"/>
              <w:ind w:left="34"/>
              <w:rPr>
                <w:sz w:val="20"/>
              </w:rPr>
            </w:pPr>
            <w:proofErr w:type="spellStart"/>
            <w:r w:rsidRPr="008E7D28">
              <w:rPr>
                <w:sz w:val="20"/>
              </w:rPr>
              <w:t>exp</w:t>
            </w:r>
            <w:proofErr w:type="spellEnd"/>
            <w:r w:rsidRPr="008E7D28">
              <w:rPr>
                <w:sz w:val="20"/>
              </w:rPr>
              <w:t xml:space="preserve"> = expires/expired or ceases/ceased to have</w:t>
            </w:r>
          </w:p>
        </w:tc>
        <w:tc>
          <w:tcPr>
            <w:tcW w:w="3686" w:type="dxa"/>
            <w:shd w:val="clear" w:color="auto" w:fill="auto"/>
          </w:tcPr>
          <w:p w14:paraId="76D37978" w14:textId="77777777" w:rsidR="00B53336" w:rsidRPr="008E7D28" w:rsidRDefault="00B53336" w:rsidP="00FB069E">
            <w:pPr>
              <w:spacing w:before="60"/>
              <w:ind w:left="34"/>
              <w:rPr>
                <w:sz w:val="20"/>
              </w:rPr>
            </w:pPr>
            <w:proofErr w:type="spellStart"/>
            <w:r w:rsidRPr="008E7D28">
              <w:rPr>
                <w:sz w:val="20"/>
              </w:rPr>
              <w:t>reloc</w:t>
            </w:r>
            <w:proofErr w:type="spellEnd"/>
            <w:r w:rsidRPr="008E7D28">
              <w:rPr>
                <w:sz w:val="20"/>
              </w:rPr>
              <w:t xml:space="preserve"> = relocated</w:t>
            </w:r>
          </w:p>
        </w:tc>
      </w:tr>
      <w:tr w:rsidR="00B53336" w:rsidRPr="008E7D28" w14:paraId="3AB388D0" w14:textId="77777777" w:rsidTr="00FB069E">
        <w:tc>
          <w:tcPr>
            <w:tcW w:w="4253" w:type="dxa"/>
            <w:shd w:val="clear" w:color="auto" w:fill="auto"/>
          </w:tcPr>
          <w:p w14:paraId="3F5BB2E5" w14:textId="77777777" w:rsidR="00B53336" w:rsidRPr="008E7D28" w:rsidRDefault="00B53336" w:rsidP="00FB069E">
            <w:pPr>
              <w:ind w:left="34"/>
              <w:rPr>
                <w:sz w:val="20"/>
              </w:rPr>
            </w:pPr>
            <w:r w:rsidRPr="008E7D28">
              <w:rPr>
                <w:sz w:val="20"/>
              </w:rPr>
              <w:t xml:space="preserve">    effect</w:t>
            </w:r>
          </w:p>
        </w:tc>
        <w:tc>
          <w:tcPr>
            <w:tcW w:w="3686" w:type="dxa"/>
            <w:shd w:val="clear" w:color="auto" w:fill="auto"/>
          </w:tcPr>
          <w:p w14:paraId="3BEAD328" w14:textId="77777777" w:rsidR="00B53336" w:rsidRPr="008E7D28" w:rsidRDefault="00B53336" w:rsidP="00FB069E">
            <w:pPr>
              <w:spacing w:before="60"/>
              <w:ind w:left="34"/>
              <w:rPr>
                <w:sz w:val="20"/>
              </w:rPr>
            </w:pPr>
            <w:proofErr w:type="spellStart"/>
            <w:r w:rsidRPr="008E7D28">
              <w:rPr>
                <w:sz w:val="20"/>
              </w:rPr>
              <w:t>renum</w:t>
            </w:r>
            <w:proofErr w:type="spellEnd"/>
            <w:r w:rsidRPr="008E7D28">
              <w:rPr>
                <w:sz w:val="20"/>
              </w:rPr>
              <w:t xml:space="preserve"> = renumbered</w:t>
            </w:r>
          </w:p>
        </w:tc>
      </w:tr>
      <w:tr w:rsidR="00B53336" w:rsidRPr="008E7D28" w14:paraId="460D6A01" w14:textId="77777777" w:rsidTr="00FB069E">
        <w:tc>
          <w:tcPr>
            <w:tcW w:w="4253" w:type="dxa"/>
            <w:shd w:val="clear" w:color="auto" w:fill="auto"/>
          </w:tcPr>
          <w:p w14:paraId="149460E4" w14:textId="77777777" w:rsidR="00B53336" w:rsidRPr="008E7D28" w:rsidRDefault="00B53336" w:rsidP="00FB069E">
            <w:pPr>
              <w:spacing w:before="60"/>
              <w:ind w:left="34"/>
              <w:rPr>
                <w:sz w:val="20"/>
              </w:rPr>
            </w:pPr>
            <w:r w:rsidRPr="008E7D28">
              <w:rPr>
                <w:sz w:val="20"/>
              </w:rPr>
              <w:t xml:space="preserve">F = Federal Register of </w:t>
            </w:r>
            <w:r>
              <w:rPr>
                <w:sz w:val="20"/>
              </w:rPr>
              <w:t>Legislation</w:t>
            </w:r>
          </w:p>
        </w:tc>
        <w:tc>
          <w:tcPr>
            <w:tcW w:w="3686" w:type="dxa"/>
            <w:shd w:val="clear" w:color="auto" w:fill="auto"/>
          </w:tcPr>
          <w:p w14:paraId="1B55CFB1" w14:textId="77777777" w:rsidR="00B53336" w:rsidRPr="008E7D28" w:rsidRDefault="00B53336" w:rsidP="00FB069E">
            <w:pPr>
              <w:spacing w:before="60"/>
              <w:ind w:left="34"/>
              <w:rPr>
                <w:sz w:val="20"/>
              </w:rPr>
            </w:pPr>
            <w:r w:rsidRPr="008E7D28">
              <w:rPr>
                <w:sz w:val="20"/>
              </w:rPr>
              <w:t>rep = repealed</w:t>
            </w:r>
          </w:p>
        </w:tc>
      </w:tr>
      <w:tr w:rsidR="00B53336" w:rsidRPr="008E7D28" w14:paraId="33693BFC" w14:textId="77777777" w:rsidTr="00FB069E">
        <w:tc>
          <w:tcPr>
            <w:tcW w:w="4253" w:type="dxa"/>
            <w:shd w:val="clear" w:color="auto" w:fill="auto"/>
          </w:tcPr>
          <w:p w14:paraId="0BA884C1" w14:textId="77777777" w:rsidR="00B53336" w:rsidRPr="008E7D28" w:rsidRDefault="00B53336" w:rsidP="00FB069E">
            <w:pPr>
              <w:spacing w:before="60"/>
              <w:ind w:left="34"/>
              <w:rPr>
                <w:sz w:val="20"/>
              </w:rPr>
            </w:pPr>
            <w:proofErr w:type="spellStart"/>
            <w:r w:rsidRPr="008E7D28">
              <w:rPr>
                <w:sz w:val="20"/>
              </w:rPr>
              <w:t>gaz</w:t>
            </w:r>
            <w:proofErr w:type="spellEnd"/>
            <w:r w:rsidRPr="008E7D28">
              <w:rPr>
                <w:sz w:val="20"/>
              </w:rPr>
              <w:t xml:space="preserve"> = gazette</w:t>
            </w:r>
          </w:p>
        </w:tc>
        <w:tc>
          <w:tcPr>
            <w:tcW w:w="3686" w:type="dxa"/>
            <w:shd w:val="clear" w:color="auto" w:fill="auto"/>
          </w:tcPr>
          <w:p w14:paraId="5AF9922A" w14:textId="77777777" w:rsidR="00B53336" w:rsidRPr="008E7D28" w:rsidRDefault="00B53336" w:rsidP="00FB069E">
            <w:pPr>
              <w:spacing w:before="60"/>
              <w:ind w:left="34"/>
              <w:rPr>
                <w:sz w:val="20"/>
              </w:rPr>
            </w:pPr>
            <w:proofErr w:type="spellStart"/>
            <w:r w:rsidRPr="008E7D28">
              <w:rPr>
                <w:sz w:val="20"/>
              </w:rPr>
              <w:t>rs</w:t>
            </w:r>
            <w:proofErr w:type="spellEnd"/>
            <w:r w:rsidRPr="008E7D28">
              <w:rPr>
                <w:sz w:val="20"/>
              </w:rPr>
              <w:t xml:space="preserve"> = repealed and substituted</w:t>
            </w:r>
          </w:p>
        </w:tc>
      </w:tr>
      <w:tr w:rsidR="00B53336" w:rsidRPr="008E7D28" w14:paraId="38E791F7" w14:textId="77777777" w:rsidTr="00FB069E">
        <w:tc>
          <w:tcPr>
            <w:tcW w:w="4253" w:type="dxa"/>
            <w:shd w:val="clear" w:color="auto" w:fill="auto"/>
          </w:tcPr>
          <w:p w14:paraId="672F0D82" w14:textId="77777777" w:rsidR="00B53336" w:rsidRPr="008E7D28" w:rsidRDefault="00B53336" w:rsidP="00FB069E">
            <w:pPr>
              <w:spacing w:before="60"/>
              <w:ind w:left="34"/>
              <w:rPr>
                <w:sz w:val="20"/>
              </w:rPr>
            </w:pPr>
            <w:r>
              <w:rPr>
                <w:sz w:val="20"/>
              </w:rPr>
              <w:t xml:space="preserve">LA = </w:t>
            </w:r>
            <w:r w:rsidRPr="009C3FDA">
              <w:rPr>
                <w:i/>
                <w:sz w:val="20"/>
              </w:rPr>
              <w:t>Legislation Act 2003</w:t>
            </w:r>
          </w:p>
        </w:tc>
        <w:tc>
          <w:tcPr>
            <w:tcW w:w="3686" w:type="dxa"/>
            <w:shd w:val="clear" w:color="auto" w:fill="auto"/>
          </w:tcPr>
          <w:p w14:paraId="132621B3" w14:textId="77777777" w:rsidR="00B53336" w:rsidRPr="008E7D28" w:rsidRDefault="00B53336" w:rsidP="00FB069E">
            <w:pPr>
              <w:spacing w:before="60"/>
              <w:ind w:left="34"/>
              <w:rPr>
                <w:sz w:val="20"/>
              </w:rPr>
            </w:pPr>
            <w:r w:rsidRPr="008E7D28">
              <w:rPr>
                <w:sz w:val="20"/>
              </w:rPr>
              <w:t>s = section(s)/subsection(s)</w:t>
            </w:r>
          </w:p>
        </w:tc>
      </w:tr>
      <w:tr w:rsidR="00B53336" w:rsidRPr="008E7D28" w14:paraId="3D4B0C41" w14:textId="77777777" w:rsidTr="00FB069E">
        <w:tc>
          <w:tcPr>
            <w:tcW w:w="4253" w:type="dxa"/>
            <w:shd w:val="clear" w:color="auto" w:fill="auto"/>
          </w:tcPr>
          <w:p w14:paraId="26D78494" w14:textId="77777777" w:rsidR="00B53336" w:rsidRPr="008E7D28" w:rsidRDefault="00B53336" w:rsidP="00FB069E">
            <w:pPr>
              <w:spacing w:before="60"/>
              <w:ind w:left="34"/>
              <w:rPr>
                <w:sz w:val="20"/>
              </w:rPr>
            </w:pPr>
            <w:r w:rsidRPr="008E7D28">
              <w:rPr>
                <w:sz w:val="20"/>
              </w:rPr>
              <w:t xml:space="preserve">LIA = </w:t>
            </w:r>
            <w:r w:rsidRPr="008E7D28">
              <w:rPr>
                <w:i/>
                <w:sz w:val="20"/>
              </w:rPr>
              <w:t>Legislative Instruments Act 2003</w:t>
            </w:r>
          </w:p>
        </w:tc>
        <w:tc>
          <w:tcPr>
            <w:tcW w:w="3686" w:type="dxa"/>
            <w:shd w:val="clear" w:color="auto" w:fill="auto"/>
          </w:tcPr>
          <w:p w14:paraId="3505DF0F" w14:textId="77777777" w:rsidR="00B53336" w:rsidRPr="008E7D28" w:rsidRDefault="00B53336" w:rsidP="00FB069E">
            <w:pPr>
              <w:spacing w:before="60"/>
              <w:ind w:left="34"/>
              <w:rPr>
                <w:sz w:val="20"/>
              </w:rPr>
            </w:pPr>
            <w:proofErr w:type="spellStart"/>
            <w:r w:rsidRPr="008E7D28">
              <w:rPr>
                <w:sz w:val="20"/>
              </w:rPr>
              <w:t>Sch</w:t>
            </w:r>
            <w:proofErr w:type="spellEnd"/>
            <w:r w:rsidRPr="008E7D28">
              <w:rPr>
                <w:sz w:val="20"/>
              </w:rPr>
              <w:t xml:space="preserve"> = Schedule(s)</w:t>
            </w:r>
          </w:p>
        </w:tc>
      </w:tr>
      <w:tr w:rsidR="00B53336" w:rsidRPr="008E7D28" w14:paraId="3DF18DA8" w14:textId="77777777" w:rsidTr="00FB069E">
        <w:tc>
          <w:tcPr>
            <w:tcW w:w="4253" w:type="dxa"/>
            <w:shd w:val="clear" w:color="auto" w:fill="auto"/>
          </w:tcPr>
          <w:p w14:paraId="0321F03C" w14:textId="77777777" w:rsidR="00B53336" w:rsidRPr="008E7D28" w:rsidRDefault="00B53336" w:rsidP="00FB069E">
            <w:pPr>
              <w:spacing w:before="60"/>
              <w:ind w:left="34"/>
              <w:rPr>
                <w:sz w:val="20"/>
              </w:rPr>
            </w:pPr>
            <w:r w:rsidRPr="008E7D28">
              <w:rPr>
                <w:sz w:val="20"/>
              </w:rPr>
              <w:t xml:space="preserve">(md) = </w:t>
            </w:r>
            <w:proofErr w:type="spellStart"/>
            <w:r w:rsidRPr="008E7D28">
              <w:rPr>
                <w:sz w:val="20"/>
              </w:rPr>
              <w:t>misdescribed</w:t>
            </w:r>
            <w:proofErr w:type="spellEnd"/>
            <w:r w:rsidRPr="008E7D28">
              <w:rPr>
                <w:sz w:val="20"/>
              </w:rPr>
              <w:t xml:space="preserve"> amendment can be given</w:t>
            </w:r>
          </w:p>
        </w:tc>
        <w:tc>
          <w:tcPr>
            <w:tcW w:w="3686" w:type="dxa"/>
            <w:shd w:val="clear" w:color="auto" w:fill="auto"/>
          </w:tcPr>
          <w:p w14:paraId="4809E060" w14:textId="77777777" w:rsidR="00B53336" w:rsidRPr="008E7D28" w:rsidRDefault="00B53336" w:rsidP="00FB069E">
            <w:pPr>
              <w:spacing w:before="60"/>
              <w:ind w:left="34"/>
              <w:rPr>
                <w:sz w:val="20"/>
              </w:rPr>
            </w:pPr>
            <w:proofErr w:type="spellStart"/>
            <w:r w:rsidRPr="008E7D28">
              <w:rPr>
                <w:sz w:val="20"/>
              </w:rPr>
              <w:t>Sdiv</w:t>
            </w:r>
            <w:proofErr w:type="spellEnd"/>
            <w:r w:rsidRPr="008E7D28">
              <w:rPr>
                <w:sz w:val="20"/>
              </w:rPr>
              <w:t xml:space="preserve"> = Subdivision(s)</w:t>
            </w:r>
          </w:p>
        </w:tc>
      </w:tr>
      <w:tr w:rsidR="00B53336" w:rsidRPr="008E7D28" w14:paraId="34AF46EE" w14:textId="77777777" w:rsidTr="00FB069E">
        <w:tc>
          <w:tcPr>
            <w:tcW w:w="4253" w:type="dxa"/>
            <w:shd w:val="clear" w:color="auto" w:fill="auto"/>
          </w:tcPr>
          <w:p w14:paraId="76D43B26" w14:textId="77777777" w:rsidR="00B53336" w:rsidRPr="008E7D28" w:rsidRDefault="00B53336" w:rsidP="00FB069E">
            <w:pPr>
              <w:ind w:left="34"/>
              <w:rPr>
                <w:sz w:val="20"/>
              </w:rPr>
            </w:pPr>
            <w:r w:rsidRPr="008E7D28">
              <w:rPr>
                <w:sz w:val="20"/>
              </w:rPr>
              <w:t xml:space="preserve">    effect</w:t>
            </w:r>
          </w:p>
        </w:tc>
        <w:tc>
          <w:tcPr>
            <w:tcW w:w="3686" w:type="dxa"/>
            <w:shd w:val="clear" w:color="auto" w:fill="auto"/>
          </w:tcPr>
          <w:p w14:paraId="46EE07D5" w14:textId="77777777" w:rsidR="00B53336" w:rsidRPr="008E7D28" w:rsidRDefault="00B53336" w:rsidP="00FB069E">
            <w:pPr>
              <w:spacing w:before="60"/>
              <w:ind w:left="34"/>
              <w:rPr>
                <w:sz w:val="20"/>
              </w:rPr>
            </w:pPr>
            <w:r w:rsidRPr="008E7D28">
              <w:rPr>
                <w:sz w:val="20"/>
              </w:rPr>
              <w:t>SLI = Select Legislative Instrument</w:t>
            </w:r>
          </w:p>
        </w:tc>
      </w:tr>
      <w:tr w:rsidR="00B53336" w:rsidRPr="008E7D28" w14:paraId="7976B38C" w14:textId="77777777" w:rsidTr="00FB069E">
        <w:tc>
          <w:tcPr>
            <w:tcW w:w="4253" w:type="dxa"/>
            <w:shd w:val="clear" w:color="auto" w:fill="auto"/>
          </w:tcPr>
          <w:p w14:paraId="4340D60D" w14:textId="77777777" w:rsidR="00B53336" w:rsidRPr="008E7D28" w:rsidRDefault="00B53336" w:rsidP="00FB069E">
            <w:pPr>
              <w:spacing w:before="60"/>
              <w:ind w:left="34"/>
              <w:rPr>
                <w:sz w:val="20"/>
              </w:rPr>
            </w:pPr>
            <w:r w:rsidRPr="008E7D28">
              <w:rPr>
                <w:sz w:val="20"/>
              </w:rPr>
              <w:t xml:space="preserve">(md not </w:t>
            </w:r>
            <w:proofErr w:type="spellStart"/>
            <w:r w:rsidRPr="008E7D28">
              <w:rPr>
                <w:sz w:val="20"/>
              </w:rPr>
              <w:t>incorp</w:t>
            </w:r>
            <w:proofErr w:type="spellEnd"/>
            <w:r w:rsidRPr="008E7D28">
              <w:rPr>
                <w:sz w:val="20"/>
              </w:rPr>
              <w:t xml:space="preserve">) = </w:t>
            </w:r>
            <w:proofErr w:type="spellStart"/>
            <w:r w:rsidRPr="008E7D28">
              <w:rPr>
                <w:sz w:val="20"/>
              </w:rPr>
              <w:t>misdescribed</w:t>
            </w:r>
            <w:proofErr w:type="spellEnd"/>
            <w:r w:rsidRPr="008E7D28">
              <w:rPr>
                <w:sz w:val="20"/>
              </w:rPr>
              <w:t xml:space="preserve"> amendment</w:t>
            </w:r>
          </w:p>
        </w:tc>
        <w:tc>
          <w:tcPr>
            <w:tcW w:w="3686" w:type="dxa"/>
            <w:shd w:val="clear" w:color="auto" w:fill="auto"/>
          </w:tcPr>
          <w:p w14:paraId="29609667" w14:textId="77777777" w:rsidR="00B53336" w:rsidRPr="008E7D28" w:rsidRDefault="00B53336" w:rsidP="00FB069E">
            <w:pPr>
              <w:spacing w:before="60"/>
              <w:ind w:left="34"/>
              <w:rPr>
                <w:sz w:val="20"/>
              </w:rPr>
            </w:pPr>
            <w:r w:rsidRPr="008E7D28">
              <w:rPr>
                <w:sz w:val="20"/>
              </w:rPr>
              <w:t>SR = Statutory Rules</w:t>
            </w:r>
          </w:p>
        </w:tc>
      </w:tr>
      <w:tr w:rsidR="00B53336" w:rsidRPr="008E7D28" w14:paraId="712D2A6E" w14:textId="77777777" w:rsidTr="00FB069E">
        <w:tc>
          <w:tcPr>
            <w:tcW w:w="4253" w:type="dxa"/>
            <w:shd w:val="clear" w:color="auto" w:fill="auto"/>
          </w:tcPr>
          <w:p w14:paraId="59D302A9" w14:textId="77777777" w:rsidR="00B53336" w:rsidRPr="008E7D28" w:rsidRDefault="00B53336" w:rsidP="00FB069E">
            <w:pPr>
              <w:ind w:left="34"/>
              <w:rPr>
                <w:sz w:val="20"/>
              </w:rPr>
            </w:pPr>
            <w:r w:rsidRPr="008E7D28">
              <w:rPr>
                <w:sz w:val="20"/>
              </w:rPr>
              <w:t xml:space="preserve">    cannot be given effect</w:t>
            </w:r>
          </w:p>
        </w:tc>
        <w:tc>
          <w:tcPr>
            <w:tcW w:w="3686" w:type="dxa"/>
            <w:shd w:val="clear" w:color="auto" w:fill="auto"/>
          </w:tcPr>
          <w:p w14:paraId="0F19F087" w14:textId="77777777" w:rsidR="00B53336" w:rsidRPr="008E7D28" w:rsidRDefault="00B53336" w:rsidP="00FB069E">
            <w:pPr>
              <w:spacing w:before="60"/>
              <w:ind w:left="34"/>
              <w:rPr>
                <w:sz w:val="20"/>
              </w:rPr>
            </w:pPr>
            <w:r w:rsidRPr="008E7D28">
              <w:rPr>
                <w:sz w:val="20"/>
              </w:rPr>
              <w:t>Sub</w:t>
            </w:r>
            <w:r>
              <w:rPr>
                <w:sz w:val="20"/>
              </w:rPr>
              <w:noBreakHyphen/>
            </w:r>
            <w:proofErr w:type="spellStart"/>
            <w:r w:rsidRPr="008E7D28">
              <w:rPr>
                <w:sz w:val="20"/>
              </w:rPr>
              <w:t>Ch</w:t>
            </w:r>
            <w:proofErr w:type="spellEnd"/>
            <w:r w:rsidRPr="008E7D28">
              <w:rPr>
                <w:sz w:val="20"/>
              </w:rPr>
              <w:t xml:space="preserve"> = Sub</w:t>
            </w:r>
            <w:r>
              <w:rPr>
                <w:sz w:val="20"/>
              </w:rPr>
              <w:noBreakHyphen/>
            </w:r>
            <w:r w:rsidRPr="008E7D28">
              <w:rPr>
                <w:sz w:val="20"/>
              </w:rPr>
              <w:t>Chapter(s)</w:t>
            </w:r>
          </w:p>
        </w:tc>
      </w:tr>
      <w:tr w:rsidR="00B53336" w:rsidRPr="008E7D28" w14:paraId="3BEE6C62" w14:textId="77777777" w:rsidTr="00FB069E">
        <w:tc>
          <w:tcPr>
            <w:tcW w:w="4253" w:type="dxa"/>
            <w:shd w:val="clear" w:color="auto" w:fill="auto"/>
          </w:tcPr>
          <w:p w14:paraId="6CC1B16C" w14:textId="77777777" w:rsidR="00B53336" w:rsidRPr="008E7D28" w:rsidRDefault="00B53336" w:rsidP="00FB069E">
            <w:pPr>
              <w:spacing w:before="60"/>
              <w:ind w:left="34"/>
              <w:rPr>
                <w:sz w:val="20"/>
              </w:rPr>
            </w:pPr>
            <w:r w:rsidRPr="008E7D28">
              <w:rPr>
                <w:sz w:val="20"/>
              </w:rPr>
              <w:t>mod = modified/modification</w:t>
            </w:r>
          </w:p>
        </w:tc>
        <w:tc>
          <w:tcPr>
            <w:tcW w:w="3686" w:type="dxa"/>
            <w:shd w:val="clear" w:color="auto" w:fill="auto"/>
          </w:tcPr>
          <w:p w14:paraId="5DC078FD" w14:textId="77777777" w:rsidR="00B53336" w:rsidRPr="008E7D28" w:rsidRDefault="00B53336" w:rsidP="00FB069E">
            <w:pPr>
              <w:spacing w:before="60"/>
              <w:ind w:left="34"/>
              <w:rPr>
                <w:sz w:val="20"/>
              </w:rPr>
            </w:pPr>
            <w:proofErr w:type="spellStart"/>
            <w:r w:rsidRPr="008E7D28">
              <w:rPr>
                <w:sz w:val="20"/>
              </w:rPr>
              <w:t>SubPt</w:t>
            </w:r>
            <w:proofErr w:type="spellEnd"/>
            <w:r w:rsidRPr="008E7D28">
              <w:rPr>
                <w:sz w:val="20"/>
              </w:rPr>
              <w:t xml:space="preserve"> = Subpart(s)</w:t>
            </w:r>
          </w:p>
        </w:tc>
      </w:tr>
      <w:tr w:rsidR="00B53336" w:rsidRPr="008E7D28" w14:paraId="34F0935E" w14:textId="77777777" w:rsidTr="00FB069E">
        <w:tc>
          <w:tcPr>
            <w:tcW w:w="4253" w:type="dxa"/>
            <w:shd w:val="clear" w:color="auto" w:fill="auto"/>
          </w:tcPr>
          <w:p w14:paraId="44C0C9B6" w14:textId="77777777" w:rsidR="00B53336" w:rsidRPr="008E7D28" w:rsidRDefault="00B53336" w:rsidP="00FB069E">
            <w:pPr>
              <w:spacing w:before="60"/>
              <w:ind w:left="34"/>
              <w:rPr>
                <w:sz w:val="20"/>
              </w:rPr>
            </w:pPr>
            <w:r w:rsidRPr="008E7D28">
              <w:rPr>
                <w:sz w:val="20"/>
              </w:rPr>
              <w:t>No. = Number(s)</w:t>
            </w:r>
          </w:p>
        </w:tc>
        <w:tc>
          <w:tcPr>
            <w:tcW w:w="3686" w:type="dxa"/>
            <w:shd w:val="clear" w:color="auto" w:fill="auto"/>
          </w:tcPr>
          <w:p w14:paraId="33072A5A" w14:textId="77777777" w:rsidR="00B53336" w:rsidRPr="008E7D28" w:rsidRDefault="00B53336" w:rsidP="00FB069E">
            <w:pPr>
              <w:spacing w:before="60"/>
              <w:ind w:left="34"/>
              <w:rPr>
                <w:sz w:val="20"/>
              </w:rPr>
            </w:pPr>
            <w:r w:rsidRPr="008E7D28">
              <w:rPr>
                <w:sz w:val="20"/>
                <w:u w:val="single"/>
              </w:rPr>
              <w:t>underlining</w:t>
            </w:r>
            <w:r w:rsidRPr="008E7D28">
              <w:rPr>
                <w:sz w:val="20"/>
              </w:rPr>
              <w:t xml:space="preserve"> = whole or part not</w:t>
            </w:r>
          </w:p>
        </w:tc>
      </w:tr>
      <w:tr w:rsidR="00B53336" w:rsidRPr="008E7D28" w14:paraId="1764A04A" w14:textId="77777777" w:rsidTr="00FB069E">
        <w:trPr>
          <w:trHeight w:val="302"/>
        </w:trPr>
        <w:tc>
          <w:tcPr>
            <w:tcW w:w="4253" w:type="dxa"/>
            <w:shd w:val="clear" w:color="auto" w:fill="auto"/>
          </w:tcPr>
          <w:p w14:paraId="0C523A5E" w14:textId="77777777" w:rsidR="00B53336" w:rsidRPr="008E7D28" w:rsidRDefault="00B53336" w:rsidP="00FB069E">
            <w:pPr>
              <w:spacing w:before="60"/>
              <w:ind w:left="34"/>
              <w:rPr>
                <w:sz w:val="20"/>
              </w:rPr>
            </w:pPr>
          </w:p>
        </w:tc>
        <w:tc>
          <w:tcPr>
            <w:tcW w:w="3686" w:type="dxa"/>
            <w:shd w:val="clear" w:color="auto" w:fill="auto"/>
          </w:tcPr>
          <w:p w14:paraId="4995EAFC" w14:textId="77777777" w:rsidR="00B53336" w:rsidRPr="008E7D28" w:rsidRDefault="00B53336" w:rsidP="00FB069E">
            <w:pPr>
              <w:ind w:left="34"/>
              <w:rPr>
                <w:sz w:val="20"/>
              </w:rPr>
            </w:pPr>
            <w:r w:rsidRPr="008E7D28">
              <w:rPr>
                <w:sz w:val="20"/>
              </w:rPr>
              <w:t xml:space="preserve">    commenced or to be commenced</w:t>
            </w:r>
          </w:p>
        </w:tc>
      </w:tr>
    </w:tbl>
    <w:p w14:paraId="0A65E917" w14:textId="77777777" w:rsidR="00B53336" w:rsidRPr="00BC57F4" w:rsidRDefault="00B53336" w:rsidP="00B53336">
      <w:pPr>
        <w:pStyle w:val="Tabletext1"/>
      </w:pPr>
    </w:p>
    <w:p w14:paraId="02ABBF4C" w14:textId="77777777" w:rsidR="00B53336" w:rsidRDefault="00B53336" w:rsidP="00B53336">
      <w:pPr>
        <w:pStyle w:val="ENotesHeading20"/>
        <w:pageBreakBefore/>
      </w:pPr>
      <w:bookmarkStart w:id="9" w:name="_Toc529452112"/>
      <w:r>
        <w:lastRenderedPageBreak/>
        <w:t>Endnote 3—Legislation history</w:t>
      </w:r>
      <w:bookmarkEnd w:id="9"/>
    </w:p>
    <w:p w14:paraId="11D672F8" w14:textId="77777777" w:rsidR="00B53336" w:rsidRDefault="00B53336" w:rsidP="00B53336">
      <w:pPr>
        <w:pStyle w:val="Tabletext1"/>
      </w:pPr>
    </w:p>
    <w:tbl>
      <w:tblPr>
        <w:tblW w:w="722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806"/>
        <w:gridCol w:w="1806"/>
        <w:gridCol w:w="1806"/>
      </w:tblGrid>
      <w:tr w:rsidR="00B53336" w:rsidRPr="0098546F" w14:paraId="785EE766" w14:textId="77777777" w:rsidTr="00FB069E">
        <w:trPr>
          <w:cantSplit/>
          <w:tblHeader/>
        </w:trPr>
        <w:tc>
          <w:tcPr>
            <w:tcW w:w="1809" w:type="dxa"/>
            <w:tcBorders>
              <w:top w:val="single" w:sz="12" w:space="0" w:color="auto"/>
              <w:bottom w:val="single" w:sz="12" w:space="0" w:color="auto"/>
            </w:tcBorders>
            <w:shd w:val="clear" w:color="auto" w:fill="auto"/>
          </w:tcPr>
          <w:p w14:paraId="6B055BF3" w14:textId="77777777" w:rsidR="00B53336" w:rsidRPr="00E117A3" w:rsidRDefault="00B53336" w:rsidP="00FB069E">
            <w:pPr>
              <w:pStyle w:val="ENoteTableHeading"/>
            </w:pPr>
            <w:r>
              <w:t>Name</w:t>
            </w:r>
          </w:p>
        </w:tc>
        <w:tc>
          <w:tcPr>
            <w:tcW w:w="1809" w:type="dxa"/>
            <w:tcBorders>
              <w:top w:val="single" w:sz="12" w:space="0" w:color="auto"/>
              <w:bottom w:val="single" w:sz="12" w:space="0" w:color="auto"/>
            </w:tcBorders>
            <w:shd w:val="clear" w:color="auto" w:fill="auto"/>
          </w:tcPr>
          <w:p w14:paraId="47A5718A" w14:textId="77777777" w:rsidR="00B53336" w:rsidRPr="00E117A3" w:rsidRDefault="00B53336" w:rsidP="00FB069E">
            <w:pPr>
              <w:pStyle w:val="ENoteTableHeading"/>
            </w:pPr>
            <w:r>
              <w:t>Registration</w:t>
            </w:r>
          </w:p>
        </w:tc>
        <w:tc>
          <w:tcPr>
            <w:tcW w:w="1809" w:type="dxa"/>
            <w:tcBorders>
              <w:top w:val="single" w:sz="12" w:space="0" w:color="auto"/>
              <w:bottom w:val="single" w:sz="12" w:space="0" w:color="auto"/>
            </w:tcBorders>
            <w:shd w:val="clear" w:color="auto" w:fill="auto"/>
          </w:tcPr>
          <w:p w14:paraId="31018324" w14:textId="77777777" w:rsidR="00B53336" w:rsidRPr="00E117A3" w:rsidRDefault="00B53336" w:rsidP="00FB069E">
            <w:pPr>
              <w:pStyle w:val="ENoteTableHeading"/>
            </w:pPr>
            <w:r>
              <w:t>Commencement</w:t>
            </w:r>
          </w:p>
        </w:tc>
        <w:tc>
          <w:tcPr>
            <w:tcW w:w="1809" w:type="dxa"/>
            <w:tcBorders>
              <w:top w:val="single" w:sz="12" w:space="0" w:color="auto"/>
              <w:bottom w:val="single" w:sz="12" w:space="0" w:color="auto"/>
            </w:tcBorders>
            <w:shd w:val="clear" w:color="auto" w:fill="auto"/>
          </w:tcPr>
          <w:p w14:paraId="2210C4E9" w14:textId="77777777" w:rsidR="00B53336" w:rsidRPr="00E117A3" w:rsidRDefault="00B53336" w:rsidP="00FB069E">
            <w:pPr>
              <w:pStyle w:val="ENoteTableHeading"/>
            </w:pPr>
            <w:r w:rsidRPr="00E117A3">
              <w:t>Application, saving and transitional provisions</w:t>
            </w:r>
          </w:p>
        </w:tc>
      </w:tr>
      <w:tr w:rsidR="00B53336" w:rsidRPr="00E117A3" w14:paraId="5F3DE306" w14:textId="77777777" w:rsidTr="00FB069E">
        <w:trPr>
          <w:cantSplit/>
        </w:trPr>
        <w:tc>
          <w:tcPr>
            <w:tcW w:w="1809" w:type="dxa"/>
            <w:tcBorders>
              <w:top w:val="single" w:sz="12" w:space="0" w:color="auto"/>
              <w:bottom w:val="single" w:sz="4" w:space="0" w:color="auto"/>
            </w:tcBorders>
            <w:shd w:val="clear" w:color="auto" w:fill="auto"/>
          </w:tcPr>
          <w:p w14:paraId="6BE01C34" w14:textId="4B94945D" w:rsidR="00B53336" w:rsidRPr="00E117A3" w:rsidRDefault="00863BFB" w:rsidP="00FB069E">
            <w:pPr>
              <w:pStyle w:val="ENoteTableText0"/>
            </w:pPr>
            <w:r>
              <w:t>Health Insurance (Extended Medicare Safety Net) Determination 2017</w:t>
            </w:r>
          </w:p>
        </w:tc>
        <w:tc>
          <w:tcPr>
            <w:tcW w:w="1809" w:type="dxa"/>
            <w:tcBorders>
              <w:top w:val="single" w:sz="12" w:space="0" w:color="auto"/>
              <w:bottom w:val="single" w:sz="4" w:space="0" w:color="auto"/>
            </w:tcBorders>
            <w:shd w:val="clear" w:color="auto" w:fill="auto"/>
          </w:tcPr>
          <w:p w14:paraId="0FA6E32A" w14:textId="030BC577" w:rsidR="00B53336" w:rsidRPr="00863BFB" w:rsidRDefault="00863BFB" w:rsidP="00BC5E10">
            <w:pPr>
              <w:pStyle w:val="ENoteTableText0"/>
            </w:pPr>
            <w:r>
              <w:t xml:space="preserve">24 </w:t>
            </w:r>
            <w:r w:rsidR="00312343">
              <w:t xml:space="preserve">Aug </w:t>
            </w:r>
            <w:r>
              <w:t>2017 (</w:t>
            </w:r>
            <w:r>
              <w:rPr>
                <w:i/>
              </w:rPr>
              <w:t>see</w:t>
            </w:r>
            <w:r>
              <w:t xml:space="preserve"> F2017L01082)</w:t>
            </w:r>
          </w:p>
        </w:tc>
        <w:tc>
          <w:tcPr>
            <w:tcW w:w="1809" w:type="dxa"/>
            <w:tcBorders>
              <w:top w:val="single" w:sz="12" w:space="0" w:color="auto"/>
              <w:bottom w:val="single" w:sz="4" w:space="0" w:color="auto"/>
            </w:tcBorders>
            <w:shd w:val="clear" w:color="auto" w:fill="auto"/>
          </w:tcPr>
          <w:p w14:paraId="106587DF" w14:textId="7A7E0074" w:rsidR="00B53336" w:rsidRPr="00E117A3" w:rsidRDefault="00863BFB" w:rsidP="00FB069E">
            <w:pPr>
              <w:pStyle w:val="ENoteTableText0"/>
            </w:pPr>
            <w:r>
              <w:t>1 November 2017</w:t>
            </w:r>
          </w:p>
        </w:tc>
        <w:tc>
          <w:tcPr>
            <w:tcW w:w="1809" w:type="dxa"/>
            <w:tcBorders>
              <w:top w:val="single" w:sz="12" w:space="0" w:color="auto"/>
              <w:bottom w:val="single" w:sz="4" w:space="0" w:color="auto"/>
            </w:tcBorders>
            <w:shd w:val="clear" w:color="auto" w:fill="auto"/>
          </w:tcPr>
          <w:p w14:paraId="221A1FAD" w14:textId="77777777" w:rsidR="00B53336" w:rsidRPr="00E117A3" w:rsidRDefault="00B53336" w:rsidP="00FB069E">
            <w:pPr>
              <w:pStyle w:val="ENoteTableText0"/>
            </w:pPr>
          </w:p>
        </w:tc>
      </w:tr>
      <w:tr w:rsidR="00B53336" w14:paraId="70695137" w14:textId="77777777" w:rsidTr="00FB069E">
        <w:trPr>
          <w:cantSplit/>
        </w:trPr>
        <w:tc>
          <w:tcPr>
            <w:tcW w:w="1809" w:type="dxa"/>
            <w:tcBorders>
              <w:bottom w:val="single" w:sz="12" w:space="0" w:color="auto"/>
            </w:tcBorders>
            <w:shd w:val="clear" w:color="auto" w:fill="auto"/>
          </w:tcPr>
          <w:p w14:paraId="643B3957" w14:textId="67A46AF7" w:rsidR="00B53336" w:rsidRPr="00E117A3" w:rsidRDefault="00863BFB" w:rsidP="00FB069E">
            <w:pPr>
              <w:pStyle w:val="ENoteTableText0"/>
            </w:pPr>
            <w:r>
              <w:t>Health Insurance (Extended Medicare Safety Net) Amendment Determination 2019</w:t>
            </w:r>
          </w:p>
        </w:tc>
        <w:tc>
          <w:tcPr>
            <w:tcW w:w="1809" w:type="dxa"/>
            <w:tcBorders>
              <w:bottom w:val="single" w:sz="12" w:space="0" w:color="auto"/>
            </w:tcBorders>
            <w:shd w:val="clear" w:color="auto" w:fill="auto"/>
          </w:tcPr>
          <w:p w14:paraId="4F13A87B" w14:textId="66FA1E90" w:rsidR="00B53336" w:rsidRPr="00863BFB" w:rsidRDefault="00863BFB" w:rsidP="00FB069E">
            <w:pPr>
              <w:pStyle w:val="ENoteTableText0"/>
            </w:pPr>
            <w:r>
              <w:t>30 Oct 2018 (</w:t>
            </w:r>
            <w:r>
              <w:rPr>
                <w:i/>
              </w:rPr>
              <w:t>see</w:t>
            </w:r>
            <w:r>
              <w:t xml:space="preserve"> F2018L01502)</w:t>
            </w:r>
          </w:p>
        </w:tc>
        <w:tc>
          <w:tcPr>
            <w:tcW w:w="1809" w:type="dxa"/>
            <w:tcBorders>
              <w:bottom w:val="single" w:sz="12" w:space="0" w:color="auto"/>
            </w:tcBorders>
            <w:shd w:val="clear" w:color="auto" w:fill="auto"/>
          </w:tcPr>
          <w:p w14:paraId="40334369" w14:textId="2473568D" w:rsidR="00B53336" w:rsidRPr="00E117A3" w:rsidRDefault="00863BFB" w:rsidP="00FB069E">
            <w:pPr>
              <w:pStyle w:val="ENoteTableText0"/>
            </w:pPr>
            <w:r>
              <w:t>1 January 2019</w:t>
            </w:r>
          </w:p>
        </w:tc>
        <w:tc>
          <w:tcPr>
            <w:tcW w:w="1809" w:type="dxa"/>
            <w:tcBorders>
              <w:bottom w:val="single" w:sz="12" w:space="0" w:color="auto"/>
            </w:tcBorders>
            <w:shd w:val="clear" w:color="auto" w:fill="auto"/>
          </w:tcPr>
          <w:p w14:paraId="09ADECFD" w14:textId="77777777" w:rsidR="00B53336" w:rsidRPr="00E117A3" w:rsidRDefault="00B53336" w:rsidP="00FB069E">
            <w:pPr>
              <w:pStyle w:val="ENoteTableText0"/>
            </w:pPr>
          </w:p>
        </w:tc>
      </w:tr>
    </w:tbl>
    <w:p w14:paraId="135DAABC" w14:textId="77777777" w:rsidR="00B53336" w:rsidRDefault="00B53336" w:rsidP="00B53336"/>
    <w:p w14:paraId="0B6BBC9A" w14:textId="77777777" w:rsidR="00B53336" w:rsidRDefault="00B53336" w:rsidP="00B53336">
      <w:pPr>
        <w:pStyle w:val="ENotesHeading20"/>
        <w:pageBreakBefore/>
      </w:pPr>
      <w:bookmarkStart w:id="10" w:name="_Toc529452113"/>
      <w:r>
        <w:lastRenderedPageBreak/>
        <w:t>Endnote 4—Amendment history</w:t>
      </w:r>
      <w:bookmarkEnd w:id="10"/>
    </w:p>
    <w:p w14:paraId="3F2F0C4E" w14:textId="77777777" w:rsidR="00B53336" w:rsidRDefault="00B53336" w:rsidP="00B53336">
      <w:pPr>
        <w:pStyle w:val="Tabletext1"/>
      </w:pPr>
    </w:p>
    <w:tbl>
      <w:tblPr>
        <w:tblW w:w="7082" w:type="dxa"/>
        <w:tblInd w:w="113" w:type="dxa"/>
        <w:tblLayout w:type="fixed"/>
        <w:tblLook w:val="0000" w:firstRow="0" w:lastRow="0" w:firstColumn="0" w:lastColumn="0" w:noHBand="0" w:noVBand="0"/>
      </w:tblPr>
      <w:tblGrid>
        <w:gridCol w:w="2139"/>
        <w:gridCol w:w="4943"/>
      </w:tblGrid>
      <w:tr w:rsidR="00B53336" w:rsidRPr="0098546F" w14:paraId="31F73973" w14:textId="77777777" w:rsidTr="00FB069E">
        <w:trPr>
          <w:cantSplit/>
          <w:tblHeader/>
        </w:trPr>
        <w:tc>
          <w:tcPr>
            <w:tcW w:w="2139" w:type="dxa"/>
            <w:tcBorders>
              <w:top w:val="single" w:sz="12" w:space="0" w:color="auto"/>
              <w:bottom w:val="single" w:sz="12" w:space="0" w:color="auto"/>
            </w:tcBorders>
            <w:shd w:val="clear" w:color="auto" w:fill="auto"/>
          </w:tcPr>
          <w:p w14:paraId="0AF7D432" w14:textId="77777777" w:rsidR="00B53336" w:rsidRPr="00E117A3" w:rsidRDefault="00B53336" w:rsidP="00FB069E">
            <w:pPr>
              <w:pStyle w:val="ENoteTableHeading"/>
            </w:pPr>
            <w:r w:rsidRPr="00E117A3">
              <w:t>Provision affected</w:t>
            </w:r>
          </w:p>
        </w:tc>
        <w:tc>
          <w:tcPr>
            <w:tcW w:w="4943" w:type="dxa"/>
            <w:tcBorders>
              <w:top w:val="single" w:sz="12" w:space="0" w:color="auto"/>
              <w:bottom w:val="single" w:sz="12" w:space="0" w:color="auto"/>
            </w:tcBorders>
            <w:shd w:val="clear" w:color="auto" w:fill="auto"/>
          </w:tcPr>
          <w:p w14:paraId="60943D0E" w14:textId="77777777" w:rsidR="00B53336" w:rsidRPr="00E117A3" w:rsidRDefault="00B53336" w:rsidP="00FB069E">
            <w:pPr>
              <w:pStyle w:val="ENoteTableHeading"/>
            </w:pPr>
            <w:r w:rsidRPr="00E117A3">
              <w:t>How affected</w:t>
            </w:r>
          </w:p>
        </w:tc>
      </w:tr>
      <w:tr w:rsidR="00B53336" w:rsidRPr="00E117A3" w14:paraId="119C5F32" w14:textId="77777777" w:rsidTr="00FB069E">
        <w:trPr>
          <w:cantSplit/>
        </w:trPr>
        <w:tc>
          <w:tcPr>
            <w:tcW w:w="2139" w:type="dxa"/>
            <w:tcBorders>
              <w:top w:val="single" w:sz="12" w:space="0" w:color="auto"/>
            </w:tcBorders>
            <w:shd w:val="clear" w:color="auto" w:fill="auto"/>
          </w:tcPr>
          <w:p w14:paraId="7463B1D0" w14:textId="7877D5CE" w:rsidR="00B53336" w:rsidRPr="00E117A3" w:rsidRDefault="00863BFB" w:rsidP="00FB069E">
            <w:pPr>
              <w:pStyle w:val="ENoteTableText0"/>
            </w:pPr>
            <w:r>
              <w:t>4(1)</w:t>
            </w:r>
            <w:r w:rsidR="00FE3140">
              <w:t>………………………….</w:t>
            </w:r>
          </w:p>
        </w:tc>
        <w:tc>
          <w:tcPr>
            <w:tcW w:w="4943" w:type="dxa"/>
            <w:tcBorders>
              <w:top w:val="single" w:sz="12" w:space="0" w:color="auto"/>
            </w:tcBorders>
            <w:shd w:val="clear" w:color="auto" w:fill="auto"/>
          </w:tcPr>
          <w:p w14:paraId="2FA96BE1" w14:textId="7DE6CAB7" w:rsidR="00B53336" w:rsidRPr="00E117A3" w:rsidRDefault="00317884" w:rsidP="00FB069E">
            <w:pPr>
              <w:pStyle w:val="ENoteTableText0"/>
            </w:pPr>
            <w:r>
              <w:t>a</w:t>
            </w:r>
            <w:r w:rsidR="009C681D">
              <w:t>m</w:t>
            </w:r>
            <w:r>
              <w:t xml:space="preserve"> </w:t>
            </w:r>
            <w:r w:rsidR="00FE3140">
              <w:t>F2018L01502</w:t>
            </w:r>
          </w:p>
        </w:tc>
      </w:tr>
      <w:tr w:rsidR="00B53336" w14:paraId="23025F73" w14:textId="77777777" w:rsidTr="00FB069E">
        <w:trPr>
          <w:cantSplit/>
        </w:trPr>
        <w:tc>
          <w:tcPr>
            <w:tcW w:w="2139" w:type="dxa"/>
            <w:shd w:val="clear" w:color="auto" w:fill="auto"/>
          </w:tcPr>
          <w:p w14:paraId="36FCCD71" w14:textId="5B1F11CC" w:rsidR="00B53336" w:rsidRPr="00E117A3" w:rsidRDefault="00FE3140" w:rsidP="00FB069E">
            <w:pPr>
              <w:pStyle w:val="ENoteTableText0"/>
            </w:pPr>
            <w:r>
              <w:t>4(2</w:t>
            </w:r>
            <w:proofErr w:type="gramStart"/>
            <w:r>
              <w:t>)(</w:t>
            </w:r>
            <w:proofErr w:type="gramEnd"/>
            <w:r>
              <w:t>a)………………………</w:t>
            </w:r>
          </w:p>
        </w:tc>
        <w:tc>
          <w:tcPr>
            <w:tcW w:w="4943" w:type="dxa"/>
            <w:shd w:val="clear" w:color="auto" w:fill="auto"/>
          </w:tcPr>
          <w:p w14:paraId="1B623E72" w14:textId="19FBBF53" w:rsidR="00B53336" w:rsidRPr="00E117A3" w:rsidRDefault="00AD3C53" w:rsidP="00FB069E">
            <w:pPr>
              <w:pStyle w:val="ENoteTableText0"/>
            </w:pPr>
            <w:r>
              <w:t>am</w:t>
            </w:r>
            <w:r w:rsidR="00FE3140">
              <w:t xml:space="preserve"> F2018L01502</w:t>
            </w:r>
          </w:p>
        </w:tc>
      </w:tr>
      <w:tr w:rsidR="00B53336" w14:paraId="61A822DD" w14:textId="77777777" w:rsidTr="00FB069E">
        <w:trPr>
          <w:cantSplit/>
        </w:trPr>
        <w:tc>
          <w:tcPr>
            <w:tcW w:w="2139" w:type="dxa"/>
            <w:tcBorders>
              <w:bottom w:val="single" w:sz="12" w:space="0" w:color="auto"/>
            </w:tcBorders>
            <w:shd w:val="clear" w:color="auto" w:fill="auto"/>
          </w:tcPr>
          <w:p w14:paraId="2D1495EC" w14:textId="2C7FA21F" w:rsidR="00B53336" w:rsidRPr="00E117A3" w:rsidRDefault="00FE3140" w:rsidP="00FB069E">
            <w:pPr>
              <w:pStyle w:val="ENoteTableText0"/>
            </w:pPr>
            <w:r>
              <w:t>4(3)………………………….</w:t>
            </w:r>
          </w:p>
        </w:tc>
        <w:tc>
          <w:tcPr>
            <w:tcW w:w="4943" w:type="dxa"/>
            <w:tcBorders>
              <w:bottom w:val="single" w:sz="12" w:space="0" w:color="auto"/>
            </w:tcBorders>
            <w:shd w:val="clear" w:color="auto" w:fill="auto"/>
          </w:tcPr>
          <w:p w14:paraId="09C83BBB" w14:textId="69E79BE8" w:rsidR="00B53336" w:rsidRPr="00E117A3" w:rsidRDefault="00FE3140" w:rsidP="00FB069E">
            <w:pPr>
              <w:pStyle w:val="ENoteTableText0"/>
            </w:pPr>
            <w:r>
              <w:t>a</w:t>
            </w:r>
            <w:r w:rsidR="009C681D">
              <w:t>m</w:t>
            </w:r>
            <w:r>
              <w:t xml:space="preserve"> F2018L01502</w:t>
            </w:r>
          </w:p>
        </w:tc>
      </w:tr>
    </w:tbl>
    <w:p w14:paraId="71FEAEA4" w14:textId="65F1726B" w:rsidR="00BE5540" w:rsidRPr="00801BB3" w:rsidRDefault="00BE5540" w:rsidP="00864CAB">
      <w:pPr>
        <w:spacing w:after="120"/>
        <w:rPr>
          <w:bCs/>
          <w:i/>
          <w:vertAlign w:val="superscript"/>
        </w:rPr>
      </w:pPr>
    </w:p>
    <w:sectPr w:rsidR="00BE5540" w:rsidRPr="00801BB3" w:rsidSect="00F10876">
      <w:headerReference w:type="even" r:id="rId21"/>
      <w:headerReference w:type="default" r:id="rId22"/>
      <w:footerReference w:type="even" r:id="rId23"/>
      <w:pgSz w:w="11906" w:h="16838"/>
      <w:pgMar w:top="1440" w:right="1800" w:bottom="993"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FEAEAB" w14:textId="77777777" w:rsidR="0047728A" w:rsidRDefault="0047728A" w:rsidP="00864CAB">
      <w:r>
        <w:separator/>
      </w:r>
    </w:p>
  </w:endnote>
  <w:endnote w:type="continuationSeparator" w:id="0">
    <w:p w14:paraId="71FEAEAC" w14:textId="77777777" w:rsidR="0047728A" w:rsidRDefault="0047728A" w:rsidP="00864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EAEBB" w14:textId="77777777" w:rsidR="0047728A" w:rsidRDefault="0047728A">
    <w:pPr>
      <w:spacing w:line="200" w:lineRule="exact"/>
      <w:ind w:right="360"/>
    </w:pPr>
  </w:p>
  <w:tbl>
    <w:tblPr>
      <w:tblStyle w:val="TableGrid"/>
      <w:tblW w:w="0" w:type="auto"/>
      <w:tblInd w:w="108" w:type="dxa"/>
      <w:tblBorders>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134"/>
      <w:gridCol w:w="6095"/>
      <w:gridCol w:w="1134"/>
    </w:tblGrid>
    <w:tr w:rsidR="0047728A" w14:paraId="71FEAEBF" w14:textId="77777777">
      <w:tc>
        <w:tcPr>
          <w:tcW w:w="1134" w:type="dxa"/>
        </w:tcPr>
        <w:p w14:paraId="71FEAEBC" w14:textId="77777777" w:rsidR="0047728A" w:rsidRPr="003D7214" w:rsidRDefault="0047728A">
          <w:pPr>
            <w:spacing w:line="240" w:lineRule="exact"/>
            <w:rPr>
              <w:rFonts w:ascii="Arial" w:hAnsi="Arial" w:cs="Arial"/>
              <w:sz w:val="22"/>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Pr>
              <w:rStyle w:val="PageNumber"/>
              <w:rFonts w:cs="Arial"/>
              <w:noProof/>
              <w:szCs w:val="22"/>
            </w:rPr>
            <w:t>4</w:t>
          </w:r>
          <w:r w:rsidRPr="003D7214">
            <w:rPr>
              <w:rStyle w:val="PageNumber"/>
              <w:rFonts w:cs="Arial"/>
              <w:szCs w:val="22"/>
            </w:rPr>
            <w:fldChar w:fldCharType="end"/>
          </w:r>
        </w:p>
      </w:tc>
      <w:tc>
        <w:tcPr>
          <w:tcW w:w="6095" w:type="dxa"/>
        </w:tcPr>
        <w:p w14:paraId="71FEAEBD" w14:textId="77777777" w:rsidR="0047728A" w:rsidRPr="004F5D6D" w:rsidRDefault="0047728A">
          <w:pPr>
            <w:pStyle w:val="Footer"/>
            <w:spacing w:before="20" w:line="240" w:lineRule="exact"/>
          </w:pPr>
          <w:r w:rsidRPr="00EF2F9D">
            <w:fldChar w:fldCharType="begin"/>
          </w:r>
          <w:r w:rsidRPr="00EF2F9D">
            <w:instrText xml:space="preserve"> REF  Citation\*charformat </w:instrText>
          </w:r>
          <w:r w:rsidRPr="00EF2F9D">
            <w:fldChar w:fldCharType="separate"/>
          </w:r>
          <w:r>
            <w:rPr>
              <w:b/>
              <w:bCs/>
              <w:lang w:val="en-US"/>
            </w:rPr>
            <w:t>Error! Reference source not found.</w:t>
          </w:r>
          <w:r w:rsidRPr="00EF2F9D">
            <w:fldChar w:fldCharType="end"/>
          </w:r>
        </w:p>
      </w:tc>
      <w:tc>
        <w:tcPr>
          <w:tcW w:w="1134" w:type="dxa"/>
        </w:tcPr>
        <w:p w14:paraId="71FEAEBE" w14:textId="77777777" w:rsidR="0047728A" w:rsidRPr="00451BF5" w:rsidRDefault="0047728A">
          <w:pPr>
            <w:spacing w:line="240" w:lineRule="exact"/>
            <w:jc w:val="right"/>
            <w:rPr>
              <w:rStyle w:val="PageNumber"/>
            </w:rPr>
          </w:pPr>
        </w:p>
      </w:tc>
    </w:tr>
  </w:tbl>
  <w:p w14:paraId="71FEAEC0" w14:textId="77777777" w:rsidR="0047728A" w:rsidRDefault="0047728A">
    <w:pPr>
      <w:pStyle w:val="FooterDraft"/>
      <w:ind w:right="360" w:firstLine="360"/>
    </w:pPr>
    <w:r>
      <w:t>DRAFT ONLY</w:t>
    </w:r>
  </w:p>
  <w:p w14:paraId="71FEAEC1" w14:textId="2A1923BF" w:rsidR="0047728A" w:rsidRDefault="0047728A">
    <w:pPr>
      <w:pStyle w:val="FooterInfo"/>
    </w:pPr>
    <w:r>
      <w:rPr>
        <w:noProof/>
      </w:rPr>
      <w:fldChar w:fldCharType="begin"/>
    </w:r>
    <w:r>
      <w:rPr>
        <w:noProof/>
      </w:rPr>
      <w:instrText xml:space="preserve"> FILENAME   \* MERGEFORMAT </w:instrText>
    </w:r>
    <w:r>
      <w:rPr>
        <w:noProof/>
      </w:rPr>
      <w:fldChar w:fldCharType="separate"/>
    </w:r>
    <w:r>
      <w:rPr>
        <w:noProof/>
      </w:rPr>
      <w:t>CURRENT DRAFT - EMSN Determination 2017 - only new items capped(incorp LSB comment).DOCX</w:t>
    </w:r>
    <w:r>
      <w:rPr>
        <w:noProof/>
      </w:rPr>
      <w:fldChar w:fldCharType="end"/>
    </w:r>
    <w:r w:rsidRPr="00974D8C">
      <w:t xml:space="preserve"> </w:t>
    </w:r>
    <w:r>
      <w:fldChar w:fldCharType="begin"/>
    </w:r>
    <w:r>
      <w:instrText xml:space="preserve"> DATE  \@ "D/MM/YYYY"  \* MERGEFORMAT </w:instrText>
    </w:r>
    <w:r>
      <w:fldChar w:fldCharType="separate"/>
    </w:r>
    <w:r w:rsidR="00A20E69">
      <w:rPr>
        <w:noProof/>
      </w:rPr>
      <w:t>4/01/2019</w:t>
    </w:r>
    <w:r>
      <w:fldChar w:fldCharType="end"/>
    </w:r>
    <w:r>
      <w:t xml:space="preserve"> </w:t>
    </w:r>
    <w:r>
      <w:fldChar w:fldCharType="begin"/>
    </w:r>
    <w:r>
      <w:instrText xml:space="preserve"> TIME  \@ "h:mm am/pm"  \* MERGEFORMAT </w:instrText>
    </w:r>
    <w:r>
      <w:fldChar w:fldCharType="separate"/>
    </w:r>
    <w:r w:rsidR="00A20E69">
      <w:rPr>
        <w:noProof/>
      </w:rPr>
      <w:t>4:14 PM</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0F0F2" w14:textId="6FF272F4" w:rsidR="0047728A" w:rsidRDefault="0047728A">
    <w:pPr>
      <w:pStyle w:val="Footer"/>
    </w:pPr>
  </w:p>
  <w:p w14:paraId="36FB56A7" w14:textId="77777777" w:rsidR="0047728A" w:rsidRDefault="0047728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FABFB" w14:textId="3F297375" w:rsidR="0047728A" w:rsidRDefault="0047728A">
    <w:pPr>
      <w:pStyle w:val="Footer"/>
      <w:jc w:val="right"/>
    </w:pPr>
  </w:p>
  <w:p w14:paraId="71FEAEC9" w14:textId="77777777" w:rsidR="0047728A" w:rsidRDefault="0047728A" w:rsidP="00D51A98">
    <w:pPr>
      <w:pStyle w:val="FooterDraft"/>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472" w:type="dxa"/>
      <w:tblLayout w:type="fixed"/>
      <w:tblLook w:val="04A0" w:firstRow="1" w:lastRow="0" w:firstColumn="1" w:lastColumn="0" w:noHBand="0" w:noVBand="1"/>
    </w:tblPr>
    <w:tblGrid>
      <w:gridCol w:w="1383"/>
      <w:gridCol w:w="807"/>
      <w:gridCol w:w="2920"/>
      <w:gridCol w:w="2653"/>
      <w:gridCol w:w="567"/>
      <w:gridCol w:w="142"/>
    </w:tblGrid>
    <w:tr w:rsidR="0047728A" w14:paraId="7B0EBCB9" w14:textId="77777777" w:rsidTr="00FB069E">
      <w:tc>
        <w:tcPr>
          <w:tcW w:w="1383" w:type="dxa"/>
          <w:tcBorders>
            <w:top w:val="nil"/>
            <w:left w:val="nil"/>
            <w:bottom w:val="nil"/>
            <w:right w:val="nil"/>
          </w:tcBorders>
        </w:tcPr>
        <w:p w14:paraId="770A6183" w14:textId="12BE14F1" w:rsidR="0047728A" w:rsidRDefault="0047728A" w:rsidP="00FB069E">
          <w:pPr>
            <w:spacing w:line="0" w:lineRule="atLeast"/>
            <w:rPr>
              <w:sz w:val="18"/>
            </w:rPr>
          </w:pPr>
        </w:p>
      </w:tc>
      <w:tc>
        <w:tcPr>
          <w:tcW w:w="6380" w:type="dxa"/>
          <w:gridSpan w:val="3"/>
          <w:tcBorders>
            <w:top w:val="nil"/>
            <w:left w:val="nil"/>
            <w:bottom w:val="nil"/>
            <w:right w:val="nil"/>
          </w:tcBorders>
        </w:tcPr>
        <w:p w14:paraId="644BE0BD" w14:textId="4EC1FE0D" w:rsidR="0047728A" w:rsidRDefault="0047728A" w:rsidP="00FB069E">
          <w:pPr>
            <w:spacing w:line="0" w:lineRule="atLeast"/>
            <w:jc w:val="center"/>
            <w:rPr>
              <w:i/>
            </w:rPr>
          </w:pPr>
          <w:r>
            <w:rPr>
              <w:i/>
            </w:rPr>
            <w:t>Health Insurance (Extended Medicare Safety Net) Determination 2017</w:t>
          </w:r>
        </w:p>
        <w:p w14:paraId="4DF9A021" w14:textId="77777777" w:rsidR="0047728A" w:rsidRPr="00910EED" w:rsidRDefault="0047728A" w:rsidP="00FB069E">
          <w:pPr>
            <w:spacing w:line="0" w:lineRule="atLeast"/>
            <w:jc w:val="center"/>
            <w:rPr>
              <w:i/>
              <w:sz w:val="18"/>
            </w:rPr>
          </w:pPr>
        </w:p>
      </w:tc>
      <w:tc>
        <w:tcPr>
          <w:tcW w:w="709" w:type="dxa"/>
          <w:gridSpan w:val="2"/>
          <w:tcBorders>
            <w:top w:val="nil"/>
            <w:left w:val="nil"/>
            <w:bottom w:val="nil"/>
            <w:right w:val="nil"/>
          </w:tcBorders>
        </w:tcPr>
        <w:p w14:paraId="7C80FA49" w14:textId="5E23CC87" w:rsidR="0047728A" w:rsidRPr="00B215A4" w:rsidRDefault="0047728A" w:rsidP="00494507">
          <w:pPr>
            <w:spacing w:line="0" w:lineRule="atLeast"/>
            <w:jc w:val="right"/>
            <w:rPr>
              <w:i/>
              <w:sz w:val="18"/>
            </w:rPr>
          </w:pPr>
          <w:proofErr w:type="spellStart"/>
          <w:r>
            <w:rPr>
              <w:i/>
              <w:sz w:val="18"/>
            </w:rPr>
            <w:t>i</w:t>
          </w:r>
          <w:proofErr w:type="spellEnd"/>
        </w:p>
      </w:tc>
    </w:tr>
    <w:tr w:rsidR="0047728A" w:rsidRPr="00130F37" w14:paraId="72AC032D" w14:textId="77777777" w:rsidTr="00FB06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2190" w:type="dxa"/>
          <w:gridSpan w:val="2"/>
        </w:tcPr>
        <w:p w14:paraId="7F6B0F4C" w14:textId="5FF34E46" w:rsidR="0047728A" w:rsidRPr="00130F37" w:rsidRDefault="0047728A" w:rsidP="00FB069E">
          <w:pPr>
            <w:spacing w:before="120"/>
            <w:rPr>
              <w:sz w:val="16"/>
              <w:szCs w:val="16"/>
            </w:rPr>
          </w:pPr>
          <w:r w:rsidRPr="00130F37">
            <w:rPr>
              <w:sz w:val="16"/>
              <w:szCs w:val="16"/>
            </w:rPr>
            <w:t xml:space="preserve">Compilation No. </w:t>
          </w:r>
          <w:r>
            <w:rPr>
              <w:sz w:val="16"/>
              <w:szCs w:val="16"/>
            </w:rPr>
            <w:t>1</w:t>
          </w:r>
        </w:p>
      </w:tc>
      <w:tc>
        <w:tcPr>
          <w:tcW w:w="2920" w:type="dxa"/>
        </w:tcPr>
        <w:p w14:paraId="4936CDD2" w14:textId="77777777" w:rsidR="0047728A" w:rsidRPr="00130F37" w:rsidRDefault="0047728A" w:rsidP="00FB069E">
          <w:pPr>
            <w:spacing w:before="120"/>
            <w:jc w:val="center"/>
            <w:rPr>
              <w:sz w:val="16"/>
              <w:szCs w:val="16"/>
            </w:rPr>
          </w:pPr>
        </w:p>
      </w:tc>
      <w:tc>
        <w:tcPr>
          <w:tcW w:w="3220" w:type="dxa"/>
          <w:gridSpan w:val="2"/>
        </w:tcPr>
        <w:p w14:paraId="5682CAD4" w14:textId="1E812055" w:rsidR="0047728A" w:rsidRPr="00130F37" w:rsidRDefault="0047728A" w:rsidP="007D441C">
          <w:pPr>
            <w:spacing w:before="120"/>
            <w:jc w:val="right"/>
            <w:rPr>
              <w:sz w:val="16"/>
              <w:szCs w:val="16"/>
            </w:rPr>
          </w:pPr>
          <w:r w:rsidRPr="00130F37">
            <w:rPr>
              <w:sz w:val="16"/>
              <w:szCs w:val="16"/>
            </w:rPr>
            <w:t xml:space="preserve">Compilation date: </w:t>
          </w:r>
          <w:r>
            <w:rPr>
              <w:sz w:val="16"/>
              <w:szCs w:val="16"/>
            </w:rPr>
            <w:t>01/01/2019</w:t>
          </w:r>
        </w:p>
      </w:tc>
    </w:tr>
    <w:tr w:rsidR="0047728A" w14:paraId="206EBA83" w14:textId="77777777" w:rsidTr="00FB06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6"/>
        </w:tcPr>
        <w:p w14:paraId="4C02BF39" w14:textId="77777777" w:rsidR="0047728A" w:rsidRDefault="0047728A" w:rsidP="00FB069E">
          <w:pPr>
            <w:rPr>
              <w:sz w:val="18"/>
            </w:rPr>
          </w:pPr>
        </w:p>
      </w:tc>
    </w:tr>
  </w:tbl>
  <w:p w14:paraId="04903F07" w14:textId="48EE3F97" w:rsidR="0047728A" w:rsidRPr="007D441C" w:rsidRDefault="0047728A" w:rsidP="007D441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472" w:type="dxa"/>
      <w:tblLayout w:type="fixed"/>
      <w:tblLook w:val="04A0" w:firstRow="1" w:lastRow="0" w:firstColumn="1" w:lastColumn="0" w:noHBand="0" w:noVBand="1"/>
    </w:tblPr>
    <w:tblGrid>
      <w:gridCol w:w="1383"/>
      <w:gridCol w:w="807"/>
      <w:gridCol w:w="2920"/>
      <w:gridCol w:w="2653"/>
      <w:gridCol w:w="567"/>
      <w:gridCol w:w="142"/>
    </w:tblGrid>
    <w:tr w:rsidR="0047728A" w14:paraId="22888875" w14:textId="77777777" w:rsidTr="00FB069E">
      <w:tc>
        <w:tcPr>
          <w:tcW w:w="1383" w:type="dxa"/>
          <w:tcBorders>
            <w:top w:val="nil"/>
            <w:left w:val="nil"/>
            <w:bottom w:val="nil"/>
            <w:right w:val="nil"/>
          </w:tcBorders>
        </w:tcPr>
        <w:p w14:paraId="40B5D7D5" w14:textId="77777777" w:rsidR="0047728A" w:rsidRDefault="0047728A" w:rsidP="00FB069E">
          <w:pPr>
            <w:spacing w:line="0" w:lineRule="atLeast"/>
            <w:rPr>
              <w:sz w:val="18"/>
            </w:rPr>
          </w:pPr>
        </w:p>
      </w:tc>
      <w:tc>
        <w:tcPr>
          <w:tcW w:w="6380" w:type="dxa"/>
          <w:gridSpan w:val="3"/>
          <w:tcBorders>
            <w:top w:val="nil"/>
            <w:left w:val="nil"/>
            <w:bottom w:val="nil"/>
            <w:right w:val="nil"/>
          </w:tcBorders>
        </w:tcPr>
        <w:p w14:paraId="1B25E491" w14:textId="77777777" w:rsidR="0047728A" w:rsidRDefault="0047728A" w:rsidP="00FB069E">
          <w:pPr>
            <w:spacing w:line="0" w:lineRule="atLeast"/>
            <w:jc w:val="center"/>
            <w:rPr>
              <w:i/>
            </w:rPr>
          </w:pPr>
          <w:r>
            <w:rPr>
              <w:i/>
            </w:rPr>
            <w:t>Health Insurance (Extended Medicare Safety Net) Determination 2017</w:t>
          </w:r>
        </w:p>
        <w:p w14:paraId="17BE4E84" w14:textId="77777777" w:rsidR="0047728A" w:rsidRPr="00910EED" w:rsidRDefault="0047728A" w:rsidP="00FB069E">
          <w:pPr>
            <w:spacing w:line="0" w:lineRule="atLeast"/>
            <w:jc w:val="center"/>
            <w:rPr>
              <w:i/>
              <w:sz w:val="18"/>
            </w:rPr>
          </w:pPr>
        </w:p>
      </w:tc>
      <w:tc>
        <w:tcPr>
          <w:tcW w:w="709" w:type="dxa"/>
          <w:gridSpan w:val="2"/>
          <w:tcBorders>
            <w:top w:val="nil"/>
            <w:left w:val="nil"/>
            <w:bottom w:val="nil"/>
            <w:right w:val="nil"/>
          </w:tcBorders>
        </w:tcPr>
        <w:p w14:paraId="7AD6EE7F" w14:textId="49D42E81" w:rsidR="0047728A" w:rsidRPr="00B215A4" w:rsidRDefault="0047728A" w:rsidP="00494507">
          <w:pPr>
            <w:spacing w:line="0" w:lineRule="atLeast"/>
            <w:jc w:val="right"/>
            <w:rPr>
              <w:i/>
              <w:sz w:val="18"/>
            </w:rPr>
          </w:pPr>
          <w:r w:rsidRPr="00B53336">
            <w:rPr>
              <w:i/>
              <w:sz w:val="18"/>
            </w:rPr>
            <w:fldChar w:fldCharType="begin"/>
          </w:r>
          <w:r w:rsidRPr="00B53336">
            <w:rPr>
              <w:i/>
              <w:sz w:val="18"/>
            </w:rPr>
            <w:instrText xml:space="preserve"> PAGE   \* MERGEFORMAT </w:instrText>
          </w:r>
          <w:r w:rsidRPr="00B53336">
            <w:rPr>
              <w:i/>
              <w:sz w:val="18"/>
            </w:rPr>
            <w:fldChar w:fldCharType="separate"/>
          </w:r>
          <w:r w:rsidR="00A20E69">
            <w:rPr>
              <w:i/>
              <w:noProof/>
              <w:sz w:val="18"/>
            </w:rPr>
            <w:t>13</w:t>
          </w:r>
          <w:r w:rsidRPr="00B53336">
            <w:rPr>
              <w:i/>
              <w:noProof/>
              <w:sz w:val="18"/>
            </w:rPr>
            <w:fldChar w:fldCharType="end"/>
          </w:r>
        </w:p>
      </w:tc>
    </w:tr>
    <w:tr w:rsidR="0047728A" w:rsidRPr="00130F37" w14:paraId="59CA078A" w14:textId="77777777" w:rsidTr="00FB06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2190" w:type="dxa"/>
          <w:gridSpan w:val="2"/>
        </w:tcPr>
        <w:p w14:paraId="6AE7AFD1" w14:textId="77777777" w:rsidR="0047728A" w:rsidRPr="00130F37" w:rsidRDefault="0047728A" w:rsidP="00FB069E">
          <w:pPr>
            <w:spacing w:before="120"/>
            <w:rPr>
              <w:sz w:val="16"/>
              <w:szCs w:val="16"/>
            </w:rPr>
          </w:pPr>
          <w:r w:rsidRPr="00130F37">
            <w:rPr>
              <w:sz w:val="16"/>
              <w:szCs w:val="16"/>
            </w:rPr>
            <w:t xml:space="preserve">Compilation No. </w:t>
          </w:r>
          <w:r>
            <w:rPr>
              <w:sz w:val="16"/>
              <w:szCs w:val="16"/>
            </w:rPr>
            <w:t>1</w:t>
          </w:r>
        </w:p>
      </w:tc>
      <w:tc>
        <w:tcPr>
          <w:tcW w:w="2920" w:type="dxa"/>
        </w:tcPr>
        <w:p w14:paraId="5550D16C" w14:textId="77777777" w:rsidR="0047728A" w:rsidRPr="00130F37" w:rsidRDefault="0047728A" w:rsidP="00FB069E">
          <w:pPr>
            <w:spacing w:before="120"/>
            <w:jc w:val="center"/>
            <w:rPr>
              <w:sz w:val="16"/>
              <w:szCs w:val="16"/>
            </w:rPr>
          </w:pPr>
        </w:p>
      </w:tc>
      <w:tc>
        <w:tcPr>
          <w:tcW w:w="3220" w:type="dxa"/>
          <w:gridSpan w:val="2"/>
        </w:tcPr>
        <w:p w14:paraId="187EF6AD" w14:textId="77777777" w:rsidR="0047728A" w:rsidRPr="00130F37" w:rsidRDefault="0047728A" w:rsidP="007D441C">
          <w:pPr>
            <w:spacing w:before="120"/>
            <w:jc w:val="right"/>
            <w:rPr>
              <w:sz w:val="16"/>
              <w:szCs w:val="16"/>
            </w:rPr>
          </w:pPr>
          <w:r w:rsidRPr="00130F37">
            <w:rPr>
              <w:sz w:val="16"/>
              <w:szCs w:val="16"/>
            </w:rPr>
            <w:t xml:space="preserve">Compilation date: </w:t>
          </w:r>
          <w:r>
            <w:rPr>
              <w:sz w:val="16"/>
              <w:szCs w:val="16"/>
            </w:rPr>
            <w:t>01/01/2019</w:t>
          </w:r>
        </w:p>
      </w:tc>
    </w:tr>
    <w:tr w:rsidR="0047728A" w14:paraId="50F26398" w14:textId="77777777" w:rsidTr="00FB06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6"/>
        </w:tcPr>
        <w:p w14:paraId="369017EB" w14:textId="77777777" w:rsidR="0047728A" w:rsidRDefault="0047728A" w:rsidP="00FB069E">
          <w:pPr>
            <w:rPr>
              <w:sz w:val="18"/>
            </w:rPr>
          </w:pPr>
        </w:p>
      </w:tc>
    </w:tr>
  </w:tbl>
  <w:p w14:paraId="7DE39428" w14:textId="77777777" w:rsidR="0047728A" w:rsidRPr="007D441C" w:rsidRDefault="0047728A" w:rsidP="007D441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704AF2" w14:textId="77777777" w:rsidR="0047728A" w:rsidRPr="00E33C1C" w:rsidRDefault="0047728A" w:rsidP="00FB069E">
    <w:pPr>
      <w:pBdr>
        <w:top w:val="single" w:sz="6" w:space="1" w:color="auto"/>
      </w:pBdr>
      <w:spacing w:line="0" w:lineRule="atLeast"/>
      <w:rPr>
        <w:sz w:val="16"/>
        <w:szCs w:val="16"/>
      </w:rPr>
    </w:pPr>
  </w:p>
  <w:tbl>
    <w:tblPr>
      <w:tblStyle w:val="TableGrid"/>
      <w:tblW w:w="8755" w:type="dxa"/>
      <w:tblLayout w:type="fixed"/>
      <w:tblLook w:val="04A0" w:firstRow="1" w:lastRow="0" w:firstColumn="1" w:lastColumn="0" w:noHBand="0" w:noVBand="1"/>
    </w:tblPr>
    <w:tblGrid>
      <w:gridCol w:w="709"/>
      <w:gridCol w:w="1481"/>
      <w:gridCol w:w="2920"/>
      <w:gridCol w:w="1978"/>
      <w:gridCol w:w="1384"/>
      <w:gridCol w:w="283"/>
    </w:tblGrid>
    <w:tr w:rsidR="0047728A" w14:paraId="46EF2EF6" w14:textId="77777777" w:rsidTr="00FB069E">
      <w:trPr>
        <w:gridAfter w:val="1"/>
        <w:wAfter w:w="283" w:type="dxa"/>
      </w:trPr>
      <w:tc>
        <w:tcPr>
          <w:tcW w:w="709" w:type="dxa"/>
          <w:tcBorders>
            <w:top w:val="nil"/>
            <w:left w:val="nil"/>
            <w:bottom w:val="nil"/>
            <w:right w:val="nil"/>
          </w:tcBorders>
        </w:tcPr>
        <w:p w14:paraId="67F80A51" w14:textId="77777777" w:rsidR="0047728A" w:rsidRDefault="0047728A" w:rsidP="00FB069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gridSpan w:val="3"/>
          <w:tcBorders>
            <w:top w:val="nil"/>
            <w:left w:val="nil"/>
            <w:bottom w:val="nil"/>
            <w:right w:val="nil"/>
          </w:tcBorders>
        </w:tcPr>
        <w:p w14:paraId="31B0AE8D" w14:textId="77777777" w:rsidR="0047728A" w:rsidRPr="00910EED" w:rsidRDefault="0047728A" w:rsidP="00FB069E">
          <w:pPr>
            <w:spacing w:line="0" w:lineRule="atLeast"/>
            <w:jc w:val="center"/>
            <w:rPr>
              <w:i/>
              <w:sz w:val="18"/>
            </w:rPr>
          </w:pPr>
          <w:r w:rsidRPr="00910EED">
            <w:rPr>
              <w:i/>
            </w:rPr>
            <w:t>[name of principal legislative instrument</w:t>
          </w:r>
          <w:r>
            <w:rPr>
              <w:i/>
            </w:rPr>
            <w:t xml:space="preserve"> or notifiable instrument</w:t>
          </w:r>
          <w:r w:rsidRPr="00910EED">
            <w:rPr>
              <w:i/>
            </w:rPr>
            <w:t>]</w:t>
          </w:r>
        </w:p>
      </w:tc>
      <w:tc>
        <w:tcPr>
          <w:tcW w:w="1384" w:type="dxa"/>
          <w:tcBorders>
            <w:top w:val="nil"/>
            <w:left w:val="nil"/>
            <w:bottom w:val="nil"/>
            <w:right w:val="nil"/>
          </w:tcBorders>
        </w:tcPr>
        <w:p w14:paraId="62252AFE" w14:textId="77777777" w:rsidR="0047728A" w:rsidRDefault="0047728A" w:rsidP="00FB069E">
          <w:pPr>
            <w:spacing w:line="0" w:lineRule="atLeast"/>
            <w:jc w:val="right"/>
            <w:rPr>
              <w:sz w:val="18"/>
            </w:rPr>
          </w:pPr>
        </w:p>
      </w:tc>
    </w:tr>
    <w:tr w:rsidR="0047728A" w14:paraId="7446507C" w14:textId="77777777" w:rsidTr="00FB06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3" w:type="dxa"/>
      </w:trPr>
      <w:tc>
        <w:tcPr>
          <w:tcW w:w="8472" w:type="dxa"/>
          <w:gridSpan w:val="5"/>
        </w:tcPr>
        <w:p w14:paraId="60E9614A" w14:textId="77777777" w:rsidR="0047728A" w:rsidRDefault="0047728A" w:rsidP="00FB069E">
          <w:pPr>
            <w:jc w:val="right"/>
            <w:rPr>
              <w:sz w:val="18"/>
            </w:rPr>
          </w:pPr>
        </w:p>
      </w:tc>
    </w:tr>
    <w:tr w:rsidR="0047728A" w:rsidRPr="00130F37" w14:paraId="392B6CF3" w14:textId="77777777" w:rsidTr="00FB06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90" w:type="dxa"/>
          <w:gridSpan w:val="2"/>
        </w:tcPr>
        <w:p w14:paraId="488AA7DF" w14:textId="77777777" w:rsidR="0047728A" w:rsidRPr="00130F37" w:rsidRDefault="0047728A" w:rsidP="00FB069E">
          <w:pPr>
            <w:spacing w:before="120"/>
            <w:rPr>
              <w:sz w:val="16"/>
              <w:szCs w:val="16"/>
            </w:rPr>
          </w:pPr>
          <w:r w:rsidRPr="00130F37">
            <w:rPr>
              <w:sz w:val="16"/>
              <w:szCs w:val="16"/>
            </w:rPr>
            <w:t xml:space="preserve">Compilation No. </w:t>
          </w:r>
          <w:r>
            <w:rPr>
              <w:sz w:val="16"/>
              <w:szCs w:val="16"/>
            </w:rPr>
            <w:t>XX</w:t>
          </w:r>
        </w:p>
      </w:tc>
      <w:tc>
        <w:tcPr>
          <w:tcW w:w="2920" w:type="dxa"/>
        </w:tcPr>
        <w:p w14:paraId="0A56F566" w14:textId="77777777" w:rsidR="0047728A" w:rsidRPr="00130F37" w:rsidRDefault="0047728A" w:rsidP="00FB069E">
          <w:pPr>
            <w:spacing w:before="120"/>
            <w:jc w:val="center"/>
            <w:rPr>
              <w:sz w:val="16"/>
              <w:szCs w:val="16"/>
            </w:rPr>
          </w:pPr>
        </w:p>
      </w:tc>
      <w:tc>
        <w:tcPr>
          <w:tcW w:w="3645" w:type="dxa"/>
          <w:gridSpan w:val="3"/>
        </w:tcPr>
        <w:p w14:paraId="4511064C" w14:textId="77777777" w:rsidR="0047728A" w:rsidRPr="00130F37" w:rsidRDefault="0047728A" w:rsidP="00FB069E">
          <w:pPr>
            <w:spacing w:before="120"/>
            <w:jc w:val="right"/>
            <w:rPr>
              <w:sz w:val="16"/>
              <w:szCs w:val="16"/>
            </w:rPr>
          </w:pPr>
          <w:r w:rsidRPr="00130F37">
            <w:rPr>
              <w:sz w:val="16"/>
              <w:szCs w:val="16"/>
            </w:rPr>
            <w:t xml:space="preserve">Compilation date: </w:t>
          </w:r>
          <w:proofErr w:type="spellStart"/>
          <w:r>
            <w:rPr>
              <w:sz w:val="16"/>
              <w:szCs w:val="16"/>
            </w:rPr>
            <w:t>dd</w:t>
          </w:r>
          <w:proofErr w:type="spellEnd"/>
          <w:r>
            <w:rPr>
              <w:sz w:val="16"/>
              <w:szCs w:val="16"/>
            </w:rPr>
            <w:t>/mm/</w:t>
          </w:r>
          <w:proofErr w:type="spellStart"/>
          <w:r>
            <w:rPr>
              <w:sz w:val="16"/>
              <w:szCs w:val="16"/>
            </w:rPr>
            <w:t>yyyy</w:t>
          </w:r>
          <w:proofErr w:type="spellEnd"/>
        </w:p>
      </w:tc>
    </w:tr>
  </w:tbl>
  <w:p w14:paraId="51FF69DD" w14:textId="77777777" w:rsidR="0047728A" w:rsidRPr="00ED79B6" w:rsidRDefault="0047728A" w:rsidP="00FB069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FEAEA9" w14:textId="77777777" w:rsidR="0047728A" w:rsidRDefault="0047728A" w:rsidP="00864CAB">
      <w:r>
        <w:separator/>
      </w:r>
    </w:p>
  </w:footnote>
  <w:footnote w:type="continuationSeparator" w:id="0">
    <w:p w14:paraId="71FEAEAA" w14:textId="77777777" w:rsidR="0047728A" w:rsidRDefault="0047728A" w:rsidP="00864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385" w:type="dxa"/>
      <w:tblInd w:w="80" w:type="dxa"/>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85"/>
    </w:tblGrid>
    <w:tr w:rsidR="0047728A" w14:paraId="71FEAEAE" w14:textId="77777777">
      <w:tc>
        <w:tcPr>
          <w:tcW w:w="8385" w:type="dxa"/>
        </w:tcPr>
        <w:p w14:paraId="71FEAEAD" w14:textId="77777777" w:rsidR="0047728A" w:rsidRDefault="0047728A">
          <w:pPr>
            <w:pStyle w:val="HeaderLiteEven"/>
          </w:pPr>
        </w:p>
      </w:tc>
    </w:tr>
    <w:tr w:rsidR="0047728A" w14:paraId="71FEAEB0" w14:textId="77777777">
      <w:tc>
        <w:tcPr>
          <w:tcW w:w="8385" w:type="dxa"/>
        </w:tcPr>
        <w:p w14:paraId="71FEAEAF" w14:textId="77777777" w:rsidR="0047728A" w:rsidRDefault="0047728A">
          <w:pPr>
            <w:pStyle w:val="HeaderLiteEven"/>
          </w:pPr>
        </w:p>
      </w:tc>
    </w:tr>
    <w:tr w:rsidR="0047728A" w14:paraId="71FEAEB2" w14:textId="77777777">
      <w:tc>
        <w:tcPr>
          <w:tcW w:w="8385" w:type="dxa"/>
        </w:tcPr>
        <w:p w14:paraId="71FEAEB1" w14:textId="77777777" w:rsidR="0047728A" w:rsidRDefault="0047728A">
          <w:pPr>
            <w:pStyle w:val="HeaderBoldEven"/>
          </w:pPr>
        </w:p>
      </w:tc>
    </w:tr>
  </w:tbl>
  <w:p w14:paraId="71FEAEB3" w14:textId="77777777" w:rsidR="0047728A" w:rsidRDefault="0047728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68C90" w14:textId="77777777" w:rsidR="0047728A" w:rsidRDefault="004772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78667B" w14:textId="77777777" w:rsidR="0047728A" w:rsidRDefault="0047728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D6E59" w14:textId="77777777" w:rsidR="0047728A" w:rsidRPr="00965EE7" w:rsidRDefault="0047728A" w:rsidP="00B53336">
    <w:pPr>
      <w:jc w:val="right"/>
      <w:rPr>
        <w:b/>
        <w:sz w:val="20"/>
      </w:rPr>
    </w:pPr>
    <w:r w:rsidRPr="00965EE7">
      <w:rPr>
        <w:b/>
        <w:sz w:val="20"/>
      </w:rPr>
      <w:t>Endnotes</w:t>
    </w:r>
  </w:p>
  <w:p w14:paraId="36FEFBB0" w14:textId="77777777" w:rsidR="0047728A" w:rsidRPr="007A1328" w:rsidRDefault="0047728A" w:rsidP="00B53336">
    <w:pPr>
      <w:jc w:val="right"/>
      <w:rPr>
        <w:sz w:val="20"/>
      </w:rPr>
    </w:pPr>
  </w:p>
  <w:p w14:paraId="6F0A60FB" w14:textId="77777777" w:rsidR="0047728A" w:rsidRPr="007A1328" w:rsidRDefault="0047728A" w:rsidP="00B53336">
    <w:pPr>
      <w:jc w:val="right"/>
      <w:rPr>
        <w:b/>
      </w:rPr>
    </w:pPr>
  </w:p>
  <w:p w14:paraId="68ED2A6B" w14:textId="22450175" w:rsidR="0047728A" w:rsidRDefault="0047728A" w:rsidP="00B53336">
    <w:pPr>
      <w:pBdr>
        <w:bottom w:val="single" w:sz="6" w:space="1" w:color="auto"/>
      </w:pBdr>
      <w:jc w:val="right"/>
      <w:rPr>
        <w:lang w:val="en-US"/>
      </w:rPr>
    </w:pPr>
    <w:r>
      <w:rPr>
        <w:szCs w:val="22"/>
      </w:rPr>
      <w:t>Endnote 1 – About the endnotes</w:t>
    </w:r>
  </w:p>
  <w:p w14:paraId="2D048961" w14:textId="77777777" w:rsidR="0047728A" w:rsidRPr="007D441C" w:rsidRDefault="0047728A" w:rsidP="007D441C">
    <w:pPr>
      <w:pBdr>
        <w:bottom w:val="single" w:sz="4" w:space="1" w:color="auto"/>
      </w:pBdr>
      <w:rPr>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83DEA5" w14:textId="77777777" w:rsidR="0047728A" w:rsidRPr="00C4473E" w:rsidRDefault="0047728A" w:rsidP="00FB069E">
    <w:pPr>
      <w:rPr>
        <w:sz w:val="26"/>
        <w:szCs w:val="26"/>
      </w:rPr>
    </w:pPr>
  </w:p>
  <w:p w14:paraId="32014A1E" w14:textId="77777777" w:rsidR="0047728A" w:rsidRPr="00965EE7" w:rsidRDefault="0047728A" w:rsidP="00FB069E">
    <w:pPr>
      <w:rPr>
        <w:b/>
        <w:sz w:val="20"/>
      </w:rPr>
    </w:pPr>
    <w:r w:rsidRPr="00965EE7">
      <w:rPr>
        <w:b/>
        <w:sz w:val="20"/>
      </w:rPr>
      <w:t>Endnotes</w:t>
    </w:r>
  </w:p>
  <w:p w14:paraId="76852322" w14:textId="77777777" w:rsidR="0047728A" w:rsidRPr="007A1328" w:rsidRDefault="0047728A" w:rsidP="00FB069E">
    <w:pPr>
      <w:rPr>
        <w:sz w:val="20"/>
      </w:rPr>
    </w:pPr>
  </w:p>
  <w:p w14:paraId="6CA1BF11" w14:textId="77777777" w:rsidR="0047728A" w:rsidRPr="007A1328" w:rsidRDefault="0047728A" w:rsidP="00FB069E">
    <w:pPr>
      <w:rPr>
        <w:b/>
      </w:rPr>
    </w:pPr>
  </w:p>
  <w:p w14:paraId="142BE8CA" w14:textId="77777777" w:rsidR="0047728A" w:rsidRPr="00C4473E" w:rsidRDefault="0047728A" w:rsidP="00FB069E">
    <w:pPr>
      <w:pBdr>
        <w:bottom w:val="single" w:sz="6"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Pr>
        <w:noProof/>
        <w:szCs w:val="22"/>
      </w:rPr>
      <w:t>Endnote 1—About the endnotes</w:t>
    </w:r>
    <w:r w:rsidRPr="00C4473E">
      <w:rPr>
        <w:szCs w:val="22"/>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B9687" w14:textId="77777777" w:rsidR="0047728A" w:rsidRPr="00C4473E" w:rsidRDefault="0047728A" w:rsidP="00FB069E">
    <w:pPr>
      <w:jc w:val="right"/>
      <w:rPr>
        <w:sz w:val="26"/>
        <w:szCs w:val="26"/>
      </w:rPr>
    </w:pPr>
  </w:p>
  <w:p w14:paraId="330A888B" w14:textId="77777777" w:rsidR="0047728A" w:rsidRPr="00965EE7" w:rsidRDefault="0047728A" w:rsidP="00FB069E">
    <w:pPr>
      <w:jc w:val="right"/>
      <w:rPr>
        <w:b/>
        <w:sz w:val="20"/>
      </w:rPr>
    </w:pPr>
    <w:r w:rsidRPr="00965EE7">
      <w:rPr>
        <w:b/>
        <w:sz w:val="20"/>
      </w:rPr>
      <w:t>Endnotes</w:t>
    </w:r>
  </w:p>
  <w:p w14:paraId="36250B9F" w14:textId="77777777" w:rsidR="0047728A" w:rsidRPr="007A1328" w:rsidRDefault="0047728A" w:rsidP="00FB069E">
    <w:pPr>
      <w:jc w:val="right"/>
      <w:rPr>
        <w:sz w:val="20"/>
      </w:rPr>
    </w:pPr>
  </w:p>
  <w:p w14:paraId="463BA568" w14:textId="77777777" w:rsidR="0047728A" w:rsidRPr="007A1328" w:rsidRDefault="0047728A" w:rsidP="00FB069E">
    <w:pPr>
      <w:jc w:val="right"/>
      <w:rPr>
        <w:b/>
      </w:rPr>
    </w:pPr>
  </w:p>
  <w:p w14:paraId="79456E07" w14:textId="14914330" w:rsidR="0047728A" w:rsidRPr="00C4473E" w:rsidRDefault="0047728A" w:rsidP="00FB069E">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A20E69">
      <w:rPr>
        <w:noProof/>
        <w:szCs w:val="22"/>
      </w:rPr>
      <w:t>Endnote 4—Amendment history</w:t>
    </w:r>
    <w:r w:rsidRPr="00C4473E">
      <w:rPr>
        <w:szCs w:val="22"/>
      </w:rPr>
      <w:fldChar w:fldCharType="end"/>
    </w:r>
  </w:p>
  <w:p w14:paraId="779B0E48" w14:textId="77777777" w:rsidR="0047728A" w:rsidRDefault="0047728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1E0"/>
    <w:rsid w:val="00003743"/>
    <w:rsid w:val="00005432"/>
    <w:rsid w:val="0004120B"/>
    <w:rsid w:val="00067456"/>
    <w:rsid w:val="00097CFF"/>
    <w:rsid w:val="000B33E2"/>
    <w:rsid w:val="000F7CD2"/>
    <w:rsid w:val="00113E44"/>
    <w:rsid w:val="001466E3"/>
    <w:rsid w:val="00186D97"/>
    <w:rsid w:val="001B3443"/>
    <w:rsid w:val="001E6101"/>
    <w:rsid w:val="00246594"/>
    <w:rsid w:val="002B408B"/>
    <w:rsid w:val="002D08FC"/>
    <w:rsid w:val="002D56D5"/>
    <w:rsid w:val="002F3AE3"/>
    <w:rsid w:val="002F3F8C"/>
    <w:rsid w:val="0030786C"/>
    <w:rsid w:val="00312343"/>
    <w:rsid w:val="00317884"/>
    <w:rsid w:val="003226C6"/>
    <w:rsid w:val="00377EBC"/>
    <w:rsid w:val="003C27F1"/>
    <w:rsid w:val="003C2986"/>
    <w:rsid w:val="003C5931"/>
    <w:rsid w:val="003D17F9"/>
    <w:rsid w:val="003D3121"/>
    <w:rsid w:val="003D50B3"/>
    <w:rsid w:val="00401859"/>
    <w:rsid w:val="0040567C"/>
    <w:rsid w:val="0040680C"/>
    <w:rsid w:val="0047728A"/>
    <w:rsid w:val="004867E2"/>
    <w:rsid w:val="00494507"/>
    <w:rsid w:val="004B1E0E"/>
    <w:rsid w:val="004C1603"/>
    <w:rsid w:val="004D4B63"/>
    <w:rsid w:val="004F3BB3"/>
    <w:rsid w:val="0056069F"/>
    <w:rsid w:val="00607FB9"/>
    <w:rsid w:val="006664D3"/>
    <w:rsid w:val="006C01BD"/>
    <w:rsid w:val="006D762B"/>
    <w:rsid w:val="006F77E2"/>
    <w:rsid w:val="00703255"/>
    <w:rsid w:val="00776B28"/>
    <w:rsid w:val="007902E5"/>
    <w:rsid w:val="007D441C"/>
    <w:rsid w:val="00801BB3"/>
    <w:rsid w:val="008134BF"/>
    <w:rsid w:val="008264EB"/>
    <w:rsid w:val="008521E0"/>
    <w:rsid w:val="00854F53"/>
    <w:rsid w:val="00863BFB"/>
    <w:rsid w:val="00864CAB"/>
    <w:rsid w:val="0086647E"/>
    <w:rsid w:val="008B4DA0"/>
    <w:rsid w:val="00903161"/>
    <w:rsid w:val="0090320C"/>
    <w:rsid w:val="00910B71"/>
    <w:rsid w:val="00970A5C"/>
    <w:rsid w:val="009C681D"/>
    <w:rsid w:val="009D4B55"/>
    <w:rsid w:val="009D6F2C"/>
    <w:rsid w:val="009D70DD"/>
    <w:rsid w:val="009F6872"/>
    <w:rsid w:val="00A02AAD"/>
    <w:rsid w:val="00A04CA8"/>
    <w:rsid w:val="00A20E69"/>
    <w:rsid w:val="00A4363F"/>
    <w:rsid w:val="00A4512D"/>
    <w:rsid w:val="00A572B7"/>
    <w:rsid w:val="00A67EE0"/>
    <w:rsid w:val="00A705AF"/>
    <w:rsid w:val="00A7446F"/>
    <w:rsid w:val="00A775E5"/>
    <w:rsid w:val="00A86F83"/>
    <w:rsid w:val="00AD3C53"/>
    <w:rsid w:val="00AD51BF"/>
    <w:rsid w:val="00AD7505"/>
    <w:rsid w:val="00B207D7"/>
    <w:rsid w:val="00B215A4"/>
    <w:rsid w:val="00B32FAB"/>
    <w:rsid w:val="00B42851"/>
    <w:rsid w:val="00B45977"/>
    <w:rsid w:val="00B53336"/>
    <w:rsid w:val="00B60C3F"/>
    <w:rsid w:val="00B70EA3"/>
    <w:rsid w:val="00B8213B"/>
    <w:rsid w:val="00B86959"/>
    <w:rsid w:val="00BB009D"/>
    <w:rsid w:val="00BB4664"/>
    <w:rsid w:val="00BC5E10"/>
    <w:rsid w:val="00BD66E1"/>
    <w:rsid w:val="00BE5540"/>
    <w:rsid w:val="00BE651C"/>
    <w:rsid w:val="00BE6CEC"/>
    <w:rsid w:val="00BF55F1"/>
    <w:rsid w:val="00CA26F4"/>
    <w:rsid w:val="00CB5B1A"/>
    <w:rsid w:val="00D210C4"/>
    <w:rsid w:val="00D51A98"/>
    <w:rsid w:val="00D66A17"/>
    <w:rsid w:val="00DD3756"/>
    <w:rsid w:val="00DD5EB8"/>
    <w:rsid w:val="00E14D14"/>
    <w:rsid w:val="00E31197"/>
    <w:rsid w:val="00E3649F"/>
    <w:rsid w:val="00E45F1A"/>
    <w:rsid w:val="00EA7061"/>
    <w:rsid w:val="00EC17CE"/>
    <w:rsid w:val="00EE70B3"/>
    <w:rsid w:val="00EF58F0"/>
    <w:rsid w:val="00F10876"/>
    <w:rsid w:val="00FB069E"/>
    <w:rsid w:val="00FC64FF"/>
    <w:rsid w:val="00FE3140"/>
    <w:rsid w:val="00FE5742"/>
    <w:rsid w:val="00FF69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71FEA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20B"/>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Footer">
    <w:name w:val="footer"/>
    <w:basedOn w:val="Normal"/>
    <w:link w:val="FooterChar"/>
    <w:rsid w:val="008521E0"/>
    <w:pPr>
      <w:tabs>
        <w:tab w:val="center" w:pos="4513"/>
        <w:tab w:val="right" w:pos="9026"/>
      </w:tabs>
    </w:pPr>
  </w:style>
  <w:style w:type="character" w:customStyle="1" w:styleId="FooterChar">
    <w:name w:val="Footer Char"/>
    <w:basedOn w:val="DefaultParagraphFont"/>
    <w:link w:val="Footer"/>
    <w:rsid w:val="008521E0"/>
    <w:rPr>
      <w:sz w:val="24"/>
      <w:szCs w:val="24"/>
      <w:lang w:eastAsia="en-US"/>
    </w:rPr>
  </w:style>
  <w:style w:type="paragraph" w:customStyle="1" w:styleId="HeaderBoldEven">
    <w:name w:val="HeaderBoldEven"/>
    <w:basedOn w:val="Normal"/>
    <w:rsid w:val="008521E0"/>
    <w:pPr>
      <w:spacing w:before="120" w:after="60"/>
    </w:pPr>
    <w:rPr>
      <w:rFonts w:ascii="Arial" w:hAnsi="Arial"/>
      <w:b/>
      <w:sz w:val="20"/>
      <w:lang w:eastAsia="en-AU"/>
    </w:rPr>
  </w:style>
  <w:style w:type="paragraph" w:customStyle="1" w:styleId="HeaderBoldOdd">
    <w:name w:val="HeaderBoldOdd"/>
    <w:basedOn w:val="Normal"/>
    <w:rsid w:val="008521E0"/>
    <w:pPr>
      <w:spacing w:before="120" w:after="60"/>
      <w:jc w:val="right"/>
    </w:pPr>
    <w:rPr>
      <w:rFonts w:ascii="Arial" w:hAnsi="Arial"/>
      <w:b/>
      <w:sz w:val="20"/>
      <w:lang w:eastAsia="en-AU"/>
    </w:rPr>
  </w:style>
  <w:style w:type="paragraph" w:customStyle="1" w:styleId="HeaderLiteEven">
    <w:name w:val="HeaderLiteEven"/>
    <w:basedOn w:val="Normal"/>
    <w:rsid w:val="008521E0"/>
    <w:pPr>
      <w:tabs>
        <w:tab w:val="center" w:pos="3969"/>
        <w:tab w:val="right" w:pos="8505"/>
      </w:tabs>
      <w:spacing w:before="60"/>
    </w:pPr>
    <w:rPr>
      <w:rFonts w:ascii="Arial" w:hAnsi="Arial"/>
      <w:sz w:val="18"/>
      <w:lang w:eastAsia="en-AU"/>
    </w:rPr>
  </w:style>
  <w:style w:type="paragraph" w:customStyle="1" w:styleId="HeaderLiteOdd">
    <w:name w:val="HeaderLiteOdd"/>
    <w:basedOn w:val="Normal"/>
    <w:rsid w:val="008521E0"/>
    <w:pPr>
      <w:tabs>
        <w:tab w:val="center" w:pos="3969"/>
        <w:tab w:val="right" w:pos="8505"/>
      </w:tabs>
      <w:spacing w:before="60"/>
      <w:jc w:val="right"/>
    </w:pPr>
    <w:rPr>
      <w:rFonts w:ascii="Arial" w:hAnsi="Arial"/>
      <w:sz w:val="18"/>
      <w:lang w:eastAsia="en-AU"/>
    </w:rPr>
  </w:style>
  <w:style w:type="paragraph" w:customStyle="1" w:styleId="FooterDraft">
    <w:name w:val="FooterDraft"/>
    <w:basedOn w:val="Normal"/>
    <w:rsid w:val="008521E0"/>
    <w:pPr>
      <w:jc w:val="center"/>
    </w:pPr>
    <w:rPr>
      <w:rFonts w:ascii="Arial" w:hAnsi="Arial"/>
      <w:b/>
      <w:sz w:val="40"/>
      <w:lang w:eastAsia="en-AU"/>
    </w:rPr>
  </w:style>
  <w:style w:type="paragraph" w:customStyle="1" w:styleId="FooterInfo">
    <w:name w:val="FooterInfo"/>
    <w:basedOn w:val="Normal"/>
    <w:rsid w:val="008521E0"/>
    <w:rPr>
      <w:rFonts w:ascii="Arial" w:hAnsi="Arial"/>
      <w:sz w:val="12"/>
      <w:lang w:eastAsia="en-AU"/>
    </w:rPr>
  </w:style>
  <w:style w:type="character" w:styleId="PageNumber">
    <w:name w:val="page number"/>
    <w:basedOn w:val="DefaultParagraphFont"/>
    <w:rsid w:val="008521E0"/>
    <w:rPr>
      <w:rFonts w:ascii="Arial" w:hAnsi="Arial"/>
      <w:sz w:val="22"/>
    </w:rPr>
  </w:style>
  <w:style w:type="table" w:styleId="TableGrid">
    <w:name w:val="Table Grid"/>
    <w:basedOn w:val="TableNormal"/>
    <w:uiPriority w:val="59"/>
    <w:rsid w:val="008521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pNo">
    <w:name w:val="CharChapNo"/>
    <w:basedOn w:val="DefaultParagraphFont"/>
    <w:qFormat/>
    <w:rsid w:val="008521E0"/>
  </w:style>
  <w:style w:type="character" w:customStyle="1" w:styleId="CharDivText">
    <w:name w:val="CharDivText"/>
    <w:basedOn w:val="DefaultParagraphFont"/>
    <w:qFormat/>
    <w:rsid w:val="008521E0"/>
  </w:style>
  <w:style w:type="paragraph" w:customStyle="1" w:styleId="FooterCitation">
    <w:name w:val="FooterCitation"/>
    <w:basedOn w:val="Footer"/>
    <w:rsid w:val="008521E0"/>
    <w:pPr>
      <w:tabs>
        <w:tab w:val="clear" w:pos="4513"/>
        <w:tab w:val="clear" w:pos="9026"/>
        <w:tab w:val="center" w:pos="4153"/>
        <w:tab w:val="right" w:pos="8306"/>
      </w:tabs>
      <w:spacing w:before="20" w:line="240" w:lineRule="exact"/>
      <w:jc w:val="center"/>
    </w:pPr>
    <w:rPr>
      <w:rFonts w:ascii="Arial" w:hAnsi="Arial"/>
      <w:i/>
      <w:sz w:val="18"/>
      <w:lang w:eastAsia="en-AU"/>
    </w:rPr>
  </w:style>
  <w:style w:type="paragraph" w:styleId="BalloonText">
    <w:name w:val="Balloon Text"/>
    <w:basedOn w:val="Normal"/>
    <w:link w:val="BalloonTextChar"/>
    <w:rsid w:val="008521E0"/>
    <w:rPr>
      <w:rFonts w:ascii="Tahoma" w:hAnsi="Tahoma" w:cs="Tahoma"/>
      <w:sz w:val="16"/>
      <w:szCs w:val="16"/>
    </w:rPr>
  </w:style>
  <w:style w:type="character" w:customStyle="1" w:styleId="BalloonTextChar">
    <w:name w:val="Balloon Text Char"/>
    <w:basedOn w:val="DefaultParagraphFont"/>
    <w:link w:val="BalloonText"/>
    <w:rsid w:val="008521E0"/>
    <w:rPr>
      <w:rFonts w:ascii="Tahoma" w:hAnsi="Tahoma" w:cs="Tahoma"/>
      <w:sz w:val="16"/>
      <w:szCs w:val="16"/>
      <w:lang w:eastAsia="en-US"/>
    </w:rPr>
  </w:style>
  <w:style w:type="paragraph" w:customStyle="1" w:styleId="definition">
    <w:name w:val="definition"/>
    <w:basedOn w:val="Normal"/>
    <w:rsid w:val="008521E0"/>
    <w:pPr>
      <w:spacing w:before="80" w:line="260" w:lineRule="exact"/>
      <w:ind w:left="964"/>
      <w:jc w:val="both"/>
    </w:pPr>
  </w:style>
  <w:style w:type="paragraph" w:customStyle="1" w:styleId="MainBodySectionBreak">
    <w:name w:val="MainBody Section Break"/>
    <w:basedOn w:val="Normal"/>
    <w:next w:val="Normal"/>
    <w:rsid w:val="00A86F83"/>
  </w:style>
  <w:style w:type="paragraph" w:styleId="NoteHeading">
    <w:name w:val="Note Heading"/>
    <w:aliases w:val="HN"/>
    <w:basedOn w:val="Normal"/>
    <w:next w:val="Normal"/>
    <w:link w:val="NoteHeadingChar"/>
    <w:rsid w:val="00A86F83"/>
    <w:pPr>
      <w:keepNext/>
      <w:keepLines/>
      <w:pageBreakBefore/>
      <w:tabs>
        <w:tab w:val="left" w:pos="1559"/>
      </w:tabs>
      <w:spacing w:before="120" w:line="240" w:lineRule="atLeast"/>
    </w:pPr>
    <w:rPr>
      <w:rFonts w:ascii="Arial" w:hAnsi="Arial"/>
      <w:b/>
      <w:sz w:val="32"/>
      <w:lang w:eastAsia="en-AU"/>
    </w:rPr>
  </w:style>
  <w:style w:type="character" w:customStyle="1" w:styleId="NoteHeadingChar">
    <w:name w:val="Note Heading Char"/>
    <w:aliases w:val="HN Char"/>
    <w:basedOn w:val="DefaultParagraphFont"/>
    <w:link w:val="NoteHeading"/>
    <w:rsid w:val="00A86F83"/>
    <w:rPr>
      <w:rFonts w:ascii="Arial" w:hAnsi="Arial"/>
      <w:b/>
      <w:sz w:val="32"/>
      <w:szCs w:val="24"/>
    </w:rPr>
  </w:style>
  <w:style w:type="character" w:customStyle="1" w:styleId="CharSectno">
    <w:name w:val="CharSectno"/>
    <w:basedOn w:val="DefaultParagraphFont"/>
    <w:rsid w:val="00A86F83"/>
  </w:style>
  <w:style w:type="paragraph" w:customStyle="1" w:styleId="HR">
    <w:name w:val="HR"/>
    <w:aliases w:val="Regulation Heading"/>
    <w:basedOn w:val="Normal"/>
    <w:next w:val="Normal"/>
    <w:rsid w:val="00A86F83"/>
    <w:pPr>
      <w:keepNext/>
      <w:spacing w:before="360"/>
      <w:ind w:left="964" w:hanging="964"/>
    </w:pPr>
    <w:rPr>
      <w:rFonts w:ascii="Arial" w:hAnsi="Arial"/>
      <w:b/>
    </w:rPr>
  </w:style>
  <w:style w:type="paragraph" w:customStyle="1" w:styleId="Note">
    <w:name w:val="Note"/>
    <w:rsid w:val="00A86F83"/>
    <w:pPr>
      <w:spacing w:before="120" w:line="220" w:lineRule="exact"/>
      <w:ind w:left="964"/>
      <w:jc w:val="both"/>
    </w:pPr>
    <w:rPr>
      <w:szCs w:val="24"/>
    </w:rPr>
  </w:style>
  <w:style w:type="paragraph" w:customStyle="1" w:styleId="P1">
    <w:name w:val="P1"/>
    <w:aliases w:val="(a)"/>
    <w:basedOn w:val="Normal"/>
    <w:rsid w:val="00A86F83"/>
    <w:pPr>
      <w:tabs>
        <w:tab w:val="right" w:pos="1191"/>
      </w:tabs>
      <w:spacing w:before="60" w:line="260" w:lineRule="exact"/>
      <w:ind w:left="1418" w:hanging="1418"/>
      <w:jc w:val="both"/>
    </w:pPr>
  </w:style>
  <w:style w:type="paragraph" w:customStyle="1" w:styleId="R1">
    <w:name w:val="R1"/>
    <w:aliases w:val="1. or 1.(1)"/>
    <w:basedOn w:val="Normal"/>
    <w:next w:val="Normal"/>
    <w:rsid w:val="00A86F83"/>
    <w:pPr>
      <w:keepLines/>
      <w:tabs>
        <w:tab w:val="right" w:pos="794"/>
      </w:tabs>
      <w:spacing w:before="120" w:line="260" w:lineRule="exact"/>
      <w:ind w:left="964" w:hanging="964"/>
      <w:jc w:val="both"/>
    </w:pPr>
  </w:style>
  <w:style w:type="paragraph" w:customStyle="1" w:styleId="R2">
    <w:name w:val="R2"/>
    <w:aliases w:val="(2)"/>
    <w:basedOn w:val="Normal"/>
    <w:rsid w:val="00A86F83"/>
    <w:pPr>
      <w:keepLines/>
      <w:tabs>
        <w:tab w:val="right" w:pos="794"/>
      </w:tabs>
      <w:spacing w:before="180" w:line="260" w:lineRule="exact"/>
      <w:ind w:left="964" w:hanging="964"/>
      <w:jc w:val="both"/>
    </w:pPr>
  </w:style>
  <w:style w:type="paragraph" w:customStyle="1" w:styleId="TableColHead">
    <w:name w:val="TableColHead"/>
    <w:basedOn w:val="Normal"/>
    <w:rsid w:val="00A86F83"/>
    <w:pPr>
      <w:keepNext/>
      <w:spacing w:before="120" w:after="60" w:line="200" w:lineRule="exact"/>
    </w:pPr>
    <w:rPr>
      <w:rFonts w:ascii="Arial" w:hAnsi="Arial"/>
      <w:b/>
      <w:sz w:val="18"/>
    </w:rPr>
  </w:style>
  <w:style w:type="paragraph" w:customStyle="1" w:styleId="TableText">
    <w:name w:val="TableText"/>
    <w:basedOn w:val="Normal"/>
    <w:rsid w:val="00A86F83"/>
    <w:pPr>
      <w:spacing w:before="60" w:after="60" w:line="240" w:lineRule="exact"/>
    </w:pPr>
    <w:rPr>
      <w:sz w:val="22"/>
    </w:rPr>
  </w:style>
  <w:style w:type="paragraph" w:customStyle="1" w:styleId="enotesheading2">
    <w:name w:val="enotesheading2"/>
    <w:basedOn w:val="Normal"/>
    <w:rsid w:val="00A86F83"/>
    <w:pPr>
      <w:spacing w:before="100" w:beforeAutospacing="1" w:after="100" w:afterAutospacing="1"/>
    </w:pPr>
    <w:rPr>
      <w:lang w:eastAsia="en-AU"/>
    </w:rPr>
  </w:style>
  <w:style w:type="paragraph" w:customStyle="1" w:styleId="tabletext0">
    <w:name w:val="tabletext"/>
    <w:basedOn w:val="Normal"/>
    <w:rsid w:val="00A86F83"/>
    <w:pPr>
      <w:spacing w:before="100" w:beforeAutospacing="1" w:after="100" w:afterAutospacing="1"/>
    </w:pPr>
    <w:rPr>
      <w:lang w:eastAsia="en-AU"/>
    </w:rPr>
  </w:style>
  <w:style w:type="paragraph" w:customStyle="1" w:styleId="enotetabletext">
    <w:name w:val="enotetabletext"/>
    <w:basedOn w:val="Normal"/>
    <w:rsid w:val="00A86F83"/>
    <w:pPr>
      <w:spacing w:before="100" w:beforeAutospacing="1" w:after="100" w:afterAutospacing="1"/>
    </w:pPr>
    <w:rPr>
      <w:lang w:eastAsia="en-AU"/>
    </w:rPr>
  </w:style>
  <w:style w:type="character" w:customStyle="1" w:styleId="apple-converted-space">
    <w:name w:val="apple-converted-space"/>
    <w:basedOn w:val="DefaultParagraphFont"/>
    <w:rsid w:val="00A86F83"/>
  </w:style>
  <w:style w:type="paragraph" w:customStyle="1" w:styleId="NoteEnd">
    <w:name w:val="Note End"/>
    <w:basedOn w:val="Normal"/>
    <w:rsid w:val="00BE5540"/>
    <w:pPr>
      <w:keepLines/>
      <w:spacing w:before="120" w:line="240" w:lineRule="exact"/>
      <w:ind w:left="567" w:hanging="567"/>
      <w:jc w:val="both"/>
    </w:pPr>
    <w:rPr>
      <w:sz w:val="22"/>
      <w:lang w:eastAsia="en-AU"/>
    </w:rPr>
  </w:style>
  <w:style w:type="paragraph" w:styleId="TOCHeading">
    <w:name w:val="TOC Heading"/>
    <w:basedOn w:val="Heading1"/>
    <w:next w:val="Normal"/>
    <w:uiPriority w:val="39"/>
    <w:unhideWhenUsed/>
    <w:qFormat/>
    <w:rsid w:val="00864CAB"/>
    <w:pPr>
      <w:keepLines/>
      <w:spacing w:before="480" w:after="0" w:line="276" w:lineRule="auto"/>
      <w:outlineLvl w:val="9"/>
    </w:pPr>
    <w:rPr>
      <w:rFonts w:asciiTheme="majorHAnsi" w:eastAsiaTheme="majorEastAsia" w:hAnsiTheme="majorHAnsi" w:cstheme="majorBidi"/>
      <w:color w:val="365F91" w:themeColor="accent1" w:themeShade="BF"/>
      <w:kern w:val="0"/>
      <w:szCs w:val="28"/>
      <w:lang w:val="en-US" w:eastAsia="ja-JP"/>
    </w:rPr>
  </w:style>
  <w:style w:type="paragraph" w:styleId="TOC1">
    <w:name w:val="toc 1"/>
    <w:basedOn w:val="Normal"/>
    <w:next w:val="Normal"/>
    <w:autoRedefine/>
    <w:uiPriority w:val="39"/>
    <w:rsid w:val="00864CAB"/>
    <w:pPr>
      <w:spacing w:after="100"/>
    </w:pPr>
  </w:style>
  <w:style w:type="character" w:styleId="Hyperlink">
    <w:name w:val="Hyperlink"/>
    <w:basedOn w:val="DefaultParagraphFont"/>
    <w:uiPriority w:val="99"/>
    <w:unhideWhenUsed/>
    <w:rsid w:val="00864CAB"/>
    <w:rPr>
      <w:color w:val="0000FF" w:themeColor="hyperlink"/>
      <w:u w:val="single"/>
    </w:rPr>
  </w:style>
  <w:style w:type="paragraph" w:styleId="Header">
    <w:name w:val="header"/>
    <w:basedOn w:val="Normal"/>
    <w:link w:val="HeaderChar"/>
    <w:rsid w:val="00864CAB"/>
    <w:pPr>
      <w:tabs>
        <w:tab w:val="center" w:pos="4513"/>
        <w:tab w:val="right" w:pos="9026"/>
      </w:tabs>
    </w:pPr>
  </w:style>
  <w:style w:type="character" w:customStyle="1" w:styleId="HeaderChar">
    <w:name w:val="Header Char"/>
    <w:basedOn w:val="DefaultParagraphFont"/>
    <w:link w:val="Header"/>
    <w:rsid w:val="00864CAB"/>
    <w:rPr>
      <w:sz w:val="24"/>
      <w:szCs w:val="24"/>
      <w:lang w:eastAsia="en-US"/>
    </w:rPr>
  </w:style>
  <w:style w:type="character" w:styleId="CommentReference">
    <w:name w:val="annotation reference"/>
    <w:basedOn w:val="DefaultParagraphFont"/>
    <w:rsid w:val="00A7446F"/>
    <w:rPr>
      <w:sz w:val="16"/>
      <w:szCs w:val="16"/>
    </w:rPr>
  </w:style>
  <w:style w:type="paragraph" w:styleId="CommentText">
    <w:name w:val="annotation text"/>
    <w:basedOn w:val="Normal"/>
    <w:link w:val="CommentTextChar"/>
    <w:rsid w:val="00A7446F"/>
    <w:rPr>
      <w:sz w:val="20"/>
      <w:szCs w:val="20"/>
    </w:rPr>
  </w:style>
  <w:style w:type="character" w:customStyle="1" w:styleId="CommentTextChar">
    <w:name w:val="Comment Text Char"/>
    <w:basedOn w:val="DefaultParagraphFont"/>
    <w:link w:val="CommentText"/>
    <w:rsid w:val="00A7446F"/>
    <w:rPr>
      <w:lang w:eastAsia="en-US"/>
    </w:rPr>
  </w:style>
  <w:style w:type="paragraph" w:styleId="CommentSubject">
    <w:name w:val="annotation subject"/>
    <w:basedOn w:val="CommentText"/>
    <w:next w:val="CommentText"/>
    <w:link w:val="CommentSubjectChar"/>
    <w:rsid w:val="00A7446F"/>
    <w:rPr>
      <w:b/>
      <w:bCs/>
    </w:rPr>
  </w:style>
  <w:style w:type="character" w:customStyle="1" w:styleId="CommentSubjectChar">
    <w:name w:val="Comment Subject Char"/>
    <w:basedOn w:val="CommentTextChar"/>
    <w:link w:val="CommentSubject"/>
    <w:rsid w:val="00A7446F"/>
    <w:rPr>
      <w:b/>
      <w:bCs/>
      <w:lang w:eastAsia="en-US"/>
    </w:rPr>
  </w:style>
  <w:style w:type="paragraph" w:styleId="Revision">
    <w:name w:val="Revision"/>
    <w:hidden/>
    <w:uiPriority w:val="99"/>
    <w:semiHidden/>
    <w:rsid w:val="008B4DA0"/>
    <w:rPr>
      <w:sz w:val="24"/>
      <w:szCs w:val="24"/>
      <w:lang w:eastAsia="en-US"/>
    </w:rPr>
  </w:style>
  <w:style w:type="paragraph" w:customStyle="1" w:styleId="subsection">
    <w:name w:val="subsection"/>
    <w:aliases w:val="ss"/>
    <w:basedOn w:val="Normal"/>
    <w:link w:val="subsectionChar"/>
    <w:rsid w:val="00854F53"/>
    <w:pPr>
      <w:tabs>
        <w:tab w:val="right" w:pos="1021"/>
      </w:tabs>
      <w:spacing w:before="180"/>
      <w:ind w:left="1134" w:hanging="1134"/>
    </w:pPr>
    <w:rPr>
      <w:sz w:val="22"/>
      <w:szCs w:val="20"/>
      <w:lang w:eastAsia="en-AU"/>
    </w:rPr>
  </w:style>
  <w:style w:type="paragraph" w:customStyle="1" w:styleId="Tablea">
    <w:name w:val="Table(a)"/>
    <w:aliases w:val="ta"/>
    <w:basedOn w:val="Normal"/>
    <w:rsid w:val="00854F53"/>
    <w:pPr>
      <w:spacing w:before="60"/>
      <w:ind w:left="284" w:hanging="284"/>
    </w:pPr>
    <w:rPr>
      <w:sz w:val="20"/>
      <w:szCs w:val="20"/>
      <w:lang w:eastAsia="en-AU"/>
    </w:rPr>
  </w:style>
  <w:style w:type="paragraph" w:customStyle="1" w:styleId="Tabletext1">
    <w:name w:val="Tabletext"/>
    <w:aliases w:val="tt"/>
    <w:basedOn w:val="Normal"/>
    <w:rsid w:val="00854F53"/>
    <w:pPr>
      <w:spacing w:before="60" w:line="240" w:lineRule="atLeast"/>
    </w:pPr>
    <w:rPr>
      <w:sz w:val="20"/>
      <w:szCs w:val="20"/>
      <w:lang w:eastAsia="en-AU"/>
    </w:rPr>
  </w:style>
  <w:style w:type="paragraph" w:customStyle="1" w:styleId="notetext">
    <w:name w:val="note(text)"/>
    <w:aliases w:val="n"/>
    <w:basedOn w:val="Normal"/>
    <w:link w:val="notetextChar"/>
    <w:rsid w:val="00854F53"/>
    <w:pPr>
      <w:spacing w:before="122"/>
      <w:ind w:left="1985" w:hanging="851"/>
    </w:pPr>
    <w:rPr>
      <w:sz w:val="18"/>
      <w:szCs w:val="20"/>
      <w:lang w:eastAsia="en-AU"/>
    </w:rPr>
  </w:style>
  <w:style w:type="paragraph" w:customStyle="1" w:styleId="TableHeading">
    <w:name w:val="TableHeading"/>
    <w:aliases w:val="th"/>
    <w:basedOn w:val="Normal"/>
    <w:next w:val="Tabletext1"/>
    <w:rsid w:val="00854F53"/>
    <w:pPr>
      <w:keepNext/>
      <w:spacing w:before="60" w:line="240" w:lineRule="atLeast"/>
    </w:pPr>
    <w:rPr>
      <w:b/>
      <w:sz w:val="20"/>
      <w:szCs w:val="20"/>
      <w:lang w:eastAsia="en-AU"/>
    </w:rPr>
  </w:style>
  <w:style w:type="character" w:customStyle="1" w:styleId="subsectionChar">
    <w:name w:val="subsection Char"/>
    <w:aliases w:val="ss Char"/>
    <w:link w:val="subsection"/>
    <w:locked/>
    <w:rsid w:val="00854F53"/>
    <w:rPr>
      <w:sz w:val="22"/>
    </w:rPr>
  </w:style>
  <w:style w:type="character" w:customStyle="1" w:styleId="notetextChar">
    <w:name w:val="note(text) Char"/>
    <w:aliases w:val="n Char"/>
    <w:link w:val="notetext"/>
    <w:rsid w:val="00854F53"/>
    <w:rPr>
      <w:sz w:val="18"/>
    </w:rPr>
  </w:style>
  <w:style w:type="character" w:customStyle="1" w:styleId="CharChapText">
    <w:name w:val="CharChapText"/>
    <w:basedOn w:val="DefaultParagraphFont"/>
    <w:qFormat/>
    <w:rsid w:val="009D70DD"/>
  </w:style>
  <w:style w:type="character" w:customStyle="1" w:styleId="CharDivNo">
    <w:name w:val="CharDivNo"/>
    <w:basedOn w:val="DefaultParagraphFont"/>
    <w:qFormat/>
    <w:rsid w:val="009D70DD"/>
  </w:style>
  <w:style w:type="character" w:customStyle="1" w:styleId="CharPartNo">
    <w:name w:val="CharPartNo"/>
    <w:basedOn w:val="DefaultParagraphFont"/>
    <w:qFormat/>
    <w:rsid w:val="009D70DD"/>
  </w:style>
  <w:style w:type="character" w:customStyle="1" w:styleId="CharPartText">
    <w:name w:val="CharPartText"/>
    <w:basedOn w:val="DefaultParagraphFont"/>
    <w:qFormat/>
    <w:rsid w:val="009D70DD"/>
  </w:style>
  <w:style w:type="paragraph" w:customStyle="1" w:styleId="CompiledMadeUnder">
    <w:name w:val="CompiledMadeUnder"/>
    <w:basedOn w:val="Normal"/>
    <w:next w:val="Normal"/>
    <w:rsid w:val="009D70DD"/>
    <w:pPr>
      <w:spacing w:line="260" w:lineRule="atLeast"/>
    </w:pPr>
    <w:rPr>
      <w:i/>
      <w:lang w:eastAsia="en-AU"/>
    </w:rPr>
  </w:style>
  <w:style w:type="paragraph" w:customStyle="1" w:styleId="MadeunderText">
    <w:name w:val="MadeunderText"/>
    <w:basedOn w:val="Normal"/>
    <w:next w:val="CompiledMadeUnder"/>
    <w:rsid w:val="009D70DD"/>
    <w:pPr>
      <w:spacing w:before="240" w:line="260" w:lineRule="atLeast"/>
    </w:pPr>
    <w:rPr>
      <w:lang w:eastAsia="en-AU"/>
    </w:rPr>
  </w:style>
  <w:style w:type="paragraph" w:customStyle="1" w:styleId="ENoteTableHeading">
    <w:name w:val="ENoteTableHeading"/>
    <w:aliases w:val="enth"/>
    <w:basedOn w:val="Normal"/>
    <w:rsid w:val="00B53336"/>
    <w:pPr>
      <w:keepNext/>
      <w:spacing w:before="60" w:line="240" w:lineRule="atLeast"/>
    </w:pPr>
    <w:rPr>
      <w:rFonts w:ascii="Arial" w:hAnsi="Arial"/>
      <w:b/>
      <w:sz w:val="16"/>
      <w:szCs w:val="20"/>
      <w:lang w:eastAsia="en-AU"/>
    </w:rPr>
  </w:style>
  <w:style w:type="paragraph" w:customStyle="1" w:styleId="ENoteTableText0">
    <w:name w:val="ENoteTableText"/>
    <w:aliases w:val="entt"/>
    <w:basedOn w:val="Normal"/>
    <w:rsid w:val="00B53336"/>
    <w:pPr>
      <w:spacing w:before="60" w:line="240" w:lineRule="atLeast"/>
    </w:pPr>
    <w:rPr>
      <w:sz w:val="16"/>
      <w:szCs w:val="20"/>
      <w:lang w:eastAsia="en-AU"/>
    </w:rPr>
  </w:style>
  <w:style w:type="paragraph" w:customStyle="1" w:styleId="ENotesHeading1">
    <w:name w:val="ENotesHeading 1"/>
    <w:aliases w:val="Enh1,ENh1"/>
    <w:basedOn w:val="Normal"/>
    <w:next w:val="Normal"/>
    <w:rsid w:val="00B53336"/>
    <w:pPr>
      <w:spacing w:before="120" w:line="260" w:lineRule="atLeast"/>
      <w:outlineLvl w:val="1"/>
    </w:pPr>
    <w:rPr>
      <w:b/>
      <w:sz w:val="28"/>
      <w:szCs w:val="28"/>
      <w:lang w:eastAsia="en-AU"/>
    </w:rPr>
  </w:style>
  <w:style w:type="paragraph" w:customStyle="1" w:styleId="ENotesHeading20">
    <w:name w:val="ENotesHeading 2"/>
    <w:aliases w:val="Enh2,ENh2"/>
    <w:basedOn w:val="Normal"/>
    <w:next w:val="Normal"/>
    <w:rsid w:val="00B53336"/>
    <w:pPr>
      <w:spacing w:before="120" w:after="120" w:line="260" w:lineRule="atLeast"/>
      <w:outlineLvl w:val="2"/>
    </w:pPr>
    <w:rPr>
      <w:b/>
      <w:szCs w:val="28"/>
      <w:lang w:eastAsia="en-AU"/>
    </w:rPr>
  </w:style>
  <w:style w:type="paragraph" w:styleId="TOC2">
    <w:name w:val="toc 2"/>
    <w:basedOn w:val="Normal"/>
    <w:next w:val="Normal"/>
    <w:autoRedefine/>
    <w:uiPriority w:val="39"/>
    <w:rsid w:val="006C01BD"/>
    <w:pPr>
      <w:spacing w:after="100"/>
      <w:ind w:left="240"/>
    </w:pPr>
  </w:style>
  <w:style w:type="paragraph" w:styleId="TOC3">
    <w:name w:val="toc 3"/>
    <w:basedOn w:val="Normal"/>
    <w:next w:val="Normal"/>
    <w:autoRedefine/>
    <w:uiPriority w:val="39"/>
    <w:rsid w:val="006C01BD"/>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20B"/>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Footer">
    <w:name w:val="footer"/>
    <w:basedOn w:val="Normal"/>
    <w:link w:val="FooterChar"/>
    <w:rsid w:val="008521E0"/>
    <w:pPr>
      <w:tabs>
        <w:tab w:val="center" w:pos="4513"/>
        <w:tab w:val="right" w:pos="9026"/>
      </w:tabs>
    </w:pPr>
  </w:style>
  <w:style w:type="character" w:customStyle="1" w:styleId="FooterChar">
    <w:name w:val="Footer Char"/>
    <w:basedOn w:val="DefaultParagraphFont"/>
    <w:link w:val="Footer"/>
    <w:rsid w:val="008521E0"/>
    <w:rPr>
      <w:sz w:val="24"/>
      <w:szCs w:val="24"/>
      <w:lang w:eastAsia="en-US"/>
    </w:rPr>
  </w:style>
  <w:style w:type="paragraph" w:customStyle="1" w:styleId="HeaderBoldEven">
    <w:name w:val="HeaderBoldEven"/>
    <w:basedOn w:val="Normal"/>
    <w:rsid w:val="008521E0"/>
    <w:pPr>
      <w:spacing w:before="120" w:after="60"/>
    </w:pPr>
    <w:rPr>
      <w:rFonts w:ascii="Arial" w:hAnsi="Arial"/>
      <w:b/>
      <w:sz w:val="20"/>
      <w:lang w:eastAsia="en-AU"/>
    </w:rPr>
  </w:style>
  <w:style w:type="paragraph" w:customStyle="1" w:styleId="HeaderBoldOdd">
    <w:name w:val="HeaderBoldOdd"/>
    <w:basedOn w:val="Normal"/>
    <w:rsid w:val="008521E0"/>
    <w:pPr>
      <w:spacing w:before="120" w:after="60"/>
      <w:jc w:val="right"/>
    </w:pPr>
    <w:rPr>
      <w:rFonts w:ascii="Arial" w:hAnsi="Arial"/>
      <w:b/>
      <w:sz w:val="20"/>
      <w:lang w:eastAsia="en-AU"/>
    </w:rPr>
  </w:style>
  <w:style w:type="paragraph" w:customStyle="1" w:styleId="HeaderLiteEven">
    <w:name w:val="HeaderLiteEven"/>
    <w:basedOn w:val="Normal"/>
    <w:rsid w:val="008521E0"/>
    <w:pPr>
      <w:tabs>
        <w:tab w:val="center" w:pos="3969"/>
        <w:tab w:val="right" w:pos="8505"/>
      </w:tabs>
      <w:spacing w:before="60"/>
    </w:pPr>
    <w:rPr>
      <w:rFonts w:ascii="Arial" w:hAnsi="Arial"/>
      <w:sz w:val="18"/>
      <w:lang w:eastAsia="en-AU"/>
    </w:rPr>
  </w:style>
  <w:style w:type="paragraph" w:customStyle="1" w:styleId="HeaderLiteOdd">
    <w:name w:val="HeaderLiteOdd"/>
    <w:basedOn w:val="Normal"/>
    <w:rsid w:val="008521E0"/>
    <w:pPr>
      <w:tabs>
        <w:tab w:val="center" w:pos="3969"/>
        <w:tab w:val="right" w:pos="8505"/>
      </w:tabs>
      <w:spacing w:before="60"/>
      <w:jc w:val="right"/>
    </w:pPr>
    <w:rPr>
      <w:rFonts w:ascii="Arial" w:hAnsi="Arial"/>
      <w:sz w:val="18"/>
      <w:lang w:eastAsia="en-AU"/>
    </w:rPr>
  </w:style>
  <w:style w:type="paragraph" w:customStyle="1" w:styleId="FooterDraft">
    <w:name w:val="FooterDraft"/>
    <w:basedOn w:val="Normal"/>
    <w:rsid w:val="008521E0"/>
    <w:pPr>
      <w:jc w:val="center"/>
    </w:pPr>
    <w:rPr>
      <w:rFonts w:ascii="Arial" w:hAnsi="Arial"/>
      <w:b/>
      <w:sz w:val="40"/>
      <w:lang w:eastAsia="en-AU"/>
    </w:rPr>
  </w:style>
  <w:style w:type="paragraph" w:customStyle="1" w:styleId="FooterInfo">
    <w:name w:val="FooterInfo"/>
    <w:basedOn w:val="Normal"/>
    <w:rsid w:val="008521E0"/>
    <w:rPr>
      <w:rFonts w:ascii="Arial" w:hAnsi="Arial"/>
      <w:sz w:val="12"/>
      <w:lang w:eastAsia="en-AU"/>
    </w:rPr>
  </w:style>
  <w:style w:type="character" w:styleId="PageNumber">
    <w:name w:val="page number"/>
    <w:basedOn w:val="DefaultParagraphFont"/>
    <w:rsid w:val="008521E0"/>
    <w:rPr>
      <w:rFonts w:ascii="Arial" w:hAnsi="Arial"/>
      <w:sz w:val="22"/>
    </w:rPr>
  </w:style>
  <w:style w:type="table" w:styleId="TableGrid">
    <w:name w:val="Table Grid"/>
    <w:basedOn w:val="TableNormal"/>
    <w:uiPriority w:val="59"/>
    <w:rsid w:val="008521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pNo">
    <w:name w:val="CharChapNo"/>
    <w:basedOn w:val="DefaultParagraphFont"/>
    <w:qFormat/>
    <w:rsid w:val="008521E0"/>
  </w:style>
  <w:style w:type="character" w:customStyle="1" w:styleId="CharDivText">
    <w:name w:val="CharDivText"/>
    <w:basedOn w:val="DefaultParagraphFont"/>
    <w:qFormat/>
    <w:rsid w:val="008521E0"/>
  </w:style>
  <w:style w:type="paragraph" w:customStyle="1" w:styleId="FooterCitation">
    <w:name w:val="FooterCitation"/>
    <w:basedOn w:val="Footer"/>
    <w:rsid w:val="008521E0"/>
    <w:pPr>
      <w:tabs>
        <w:tab w:val="clear" w:pos="4513"/>
        <w:tab w:val="clear" w:pos="9026"/>
        <w:tab w:val="center" w:pos="4153"/>
        <w:tab w:val="right" w:pos="8306"/>
      </w:tabs>
      <w:spacing w:before="20" w:line="240" w:lineRule="exact"/>
      <w:jc w:val="center"/>
    </w:pPr>
    <w:rPr>
      <w:rFonts w:ascii="Arial" w:hAnsi="Arial"/>
      <w:i/>
      <w:sz w:val="18"/>
      <w:lang w:eastAsia="en-AU"/>
    </w:rPr>
  </w:style>
  <w:style w:type="paragraph" w:styleId="BalloonText">
    <w:name w:val="Balloon Text"/>
    <w:basedOn w:val="Normal"/>
    <w:link w:val="BalloonTextChar"/>
    <w:rsid w:val="008521E0"/>
    <w:rPr>
      <w:rFonts w:ascii="Tahoma" w:hAnsi="Tahoma" w:cs="Tahoma"/>
      <w:sz w:val="16"/>
      <w:szCs w:val="16"/>
    </w:rPr>
  </w:style>
  <w:style w:type="character" w:customStyle="1" w:styleId="BalloonTextChar">
    <w:name w:val="Balloon Text Char"/>
    <w:basedOn w:val="DefaultParagraphFont"/>
    <w:link w:val="BalloonText"/>
    <w:rsid w:val="008521E0"/>
    <w:rPr>
      <w:rFonts w:ascii="Tahoma" w:hAnsi="Tahoma" w:cs="Tahoma"/>
      <w:sz w:val="16"/>
      <w:szCs w:val="16"/>
      <w:lang w:eastAsia="en-US"/>
    </w:rPr>
  </w:style>
  <w:style w:type="paragraph" w:customStyle="1" w:styleId="definition">
    <w:name w:val="definition"/>
    <w:basedOn w:val="Normal"/>
    <w:rsid w:val="008521E0"/>
    <w:pPr>
      <w:spacing w:before="80" w:line="260" w:lineRule="exact"/>
      <w:ind w:left="964"/>
      <w:jc w:val="both"/>
    </w:pPr>
  </w:style>
  <w:style w:type="paragraph" w:customStyle="1" w:styleId="MainBodySectionBreak">
    <w:name w:val="MainBody Section Break"/>
    <w:basedOn w:val="Normal"/>
    <w:next w:val="Normal"/>
    <w:rsid w:val="00A86F83"/>
  </w:style>
  <w:style w:type="paragraph" w:styleId="NoteHeading">
    <w:name w:val="Note Heading"/>
    <w:aliases w:val="HN"/>
    <w:basedOn w:val="Normal"/>
    <w:next w:val="Normal"/>
    <w:link w:val="NoteHeadingChar"/>
    <w:rsid w:val="00A86F83"/>
    <w:pPr>
      <w:keepNext/>
      <w:keepLines/>
      <w:pageBreakBefore/>
      <w:tabs>
        <w:tab w:val="left" w:pos="1559"/>
      </w:tabs>
      <w:spacing w:before="120" w:line="240" w:lineRule="atLeast"/>
    </w:pPr>
    <w:rPr>
      <w:rFonts w:ascii="Arial" w:hAnsi="Arial"/>
      <w:b/>
      <w:sz w:val="32"/>
      <w:lang w:eastAsia="en-AU"/>
    </w:rPr>
  </w:style>
  <w:style w:type="character" w:customStyle="1" w:styleId="NoteHeadingChar">
    <w:name w:val="Note Heading Char"/>
    <w:aliases w:val="HN Char"/>
    <w:basedOn w:val="DefaultParagraphFont"/>
    <w:link w:val="NoteHeading"/>
    <w:rsid w:val="00A86F83"/>
    <w:rPr>
      <w:rFonts w:ascii="Arial" w:hAnsi="Arial"/>
      <w:b/>
      <w:sz w:val="32"/>
      <w:szCs w:val="24"/>
    </w:rPr>
  </w:style>
  <w:style w:type="character" w:customStyle="1" w:styleId="CharSectno">
    <w:name w:val="CharSectno"/>
    <w:basedOn w:val="DefaultParagraphFont"/>
    <w:rsid w:val="00A86F83"/>
  </w:style>
  <w:style w:type="paragraph" w:customStyle="1" w:styleId="HR">
    <w:name w:val="HR"/>
    <w:aliases w:val="Regulation Heading"/>
    <w:basedOn w:val="Normal"/>
    <w:next w:val="Normal"/>
    <w:rsid w:val="00A86F83"/>
    <w:pPr>
      <w:keepNext/>
      <w:spacing w:before="360"/>
      <w:ind w:left="964" w:hanging="964"/>
    </w:pPr>
    <w:rPr>
      <w:rFonts w:ascii="Arial" w:hAnsi="Arial"/>
      <w:b/>
    </w:rPr>
  </w:style>
  <w:style w:type="paragraph" w:customStyle="1" w:styleId="Note">
    <w:name w:val="Note"/>
    <w:rsid w:val="00A86F83"/>
    <w:pPr>
      <w:spacing w:before="120" w:line="220" w:lineRule="exact"/>
      <w:ind w:left="964"/>
      <w:jc w:val="both"/>
    </w:pPr>
    <w:rPr>
      <w:szCs w:val="24"/>
    </w:rPr>
  </w:style>
  <w:style w:type="paragraph" w:customStyle="1" w:styleId="P1">
    <w:name w:val="P1"/>
    <w:aliases w:val="(a)"/>
    <w:basedOn w:val="Normal"/>
    <w:rsid w:val="00A86F83"/>
    <w:pPr>
      <w:tabs>
        <w:tab w:val="right" w:pos="1191"/>
      </w:tabs>
      <w:spacing w:before="60" w:line="260" w:lineRule="exact"/>
      <w:ind w:left="1418" w:hanging="1418"/>
      <w:jc w:val="both"/>
    </w:pPr>
  </w:style>
  <w:style w:type="paragraph" w:customStyle="1" w:styleId="R1">
    <w:name w:val="R1"/>
    <w:aliases w:val="1. or 1.(1)"/>
    <w:basedOn w:val="Normal"/>
    <w:next w:val="Normal"/>
    <w:rsid w:val="00A86F83"/>
    <w:pPr>
      <w:keepLines/>
      <w:tabs>
        <w:tab w:val="right" w:pos="794"/>
      </w:tabs>
      <w:spacing w:before="120" w:line="260" w:lineRule="exact"/>
      <w:ind w:left="964" w:hanging="964"/>
      <w:jc w:val="both"/>
    </w:pPr>
  </w:style>
  <w:style w:type="paragraph" w:customStyle="1" w:styleId="R2">
    <w:name w:val="R2"/>
    <w:aliases w:val="(2)"/>
    <w:basedOn w:val="Normal"/>
    <w:rsid w:val="00A86F83"/>
    <w:pPr>
      <w:keepLines/>
      <w:tabs>
        <w:tab w:val="right" w:pos="794"/>
      </w:tabs>
      <w:spacing w:before="180" w:line="260" w:lineRule="exact"/>
      <w:ind w:left="964" w:hanging="964"/>
      <w:jc w:val="both"/>
    </w:pPr>
  </w:style>
  <w:style w:type="paragraph" w:customStyle="1" w:styleId="TableColHead">
    <w:name w:val="TableColHead"/>
    <w:basedOn w:val="Normal"/>
    <w:rsid w:val="00A86F83"/>
    <w:pPr>
      <w:keepNext/>
      <w:spacing w:before="120" w:after="60" w:line="200" w:lineRule="exact"/>
    </w:pPr>
    <w:rPr>
      <w:rFonts w:ascii="Arial" w:hAnsi="Arial"/>
      <w:b/>
      <w:sz w:val="18"/>
    </w:rPr>
  </w:style>
  <w:style w:type="paragraph" w:customStyle="1" w:styleId="TableText">
    <w:name w:val="TableText"/>
    <w:basedOn w:val="Normal"/>
    <w:rsid w:val="00A86F83"/>
    <w:pPr>
      <w:spacing w:before="60" w:after="60" w:line="240" w:lineRule="exact"/>
    </w:pPr>
    <w:rPr>
      <w:sz w:val="22"/>
    </w:rPr>
  </w:style>
  <w:style w:type="paragraph" w:customStyle="1" w:styleId="enotesheading2">
    <w:name w:val="enotesheading2"/>
    <w:basedOn w:val="Normal"/>
    <w:rsid w:val="00A86F83"/>
    <w:pPr>
      <w:spacing w:before="100" w:beforeAutospacing="1" w:after="100" w:afterAutospacing="1"/>
    </w:pPr>
    <w:rPr>
      <w:lang w:eastAsia="en-AU"/>
    </w:rPr>
  </w:style>
  <w:style w:type="paragraph" w:customStyle="1" w:styleId="tabletext0">
    <w:name w:val="tabletext"/>
    <w:basedOn w:val="Normal"/>
    <w:rsid w:val="00A86F83"/>
    <w:pPr>
      <w:spacing w:before="100" w:beforeAutospacing="1" w:after="100" w:afterAutospacing="1"/>
    </w:pPr>
    <w:rPr>
      <w:lang w:eastAsia="en-AU"/>
    </w:rPr>
  </w:style>
  <w:style w:type="paragraph" w:customStyle="1" w:styleId="enotetabletext">
    <w:name w:val="enotetabletext"/>
    <w:basedOn w:val="Normal"/>
    <w:rsid w:val="00A86F83"/>
    <w:pPr>
      <w:spacing w:before="100" w:beforeAutospacing="1" w:after="100" w:afterAutospacing="1"/>
    </w:pPr>
    <w:rPr>
      <w:lang w:eastAsia="en-AU"/>
    </w:rPr>
  </w:style>
  <w:style w:type="character" w:customStyle="1" w:styleId="apple-converted-space">
    <w:name w:val="apple-converted-space"/>
    <w:basedOn w:val="DefaultParagraphFont"/>
    <w:rsid w:val="00A86F83"/>
  </w:style>
  <w:style w:type="paragraph" w:customStyle="1" w:styleId="NoteEnd">
    <w:name w:val="Note End"/>
    <w:basedOn w:val="Normal"/>
    <w:rsid w:val="00BE5540"/>
    <w:pPr>
      <w:keepLines/>
      <w:spacing w:before="120" w:line="240" w:lineRule="exact"/>
      <w:ind w:left="567" w:hanging="567"/>
      <w:jc w:val="both"/>
    </w:pPr>
    <w:rPr>
      <w:sz w:val="22"/>
      <w:lang w:eastAsia="en-AU"/>
    </w:rPr>
  </w:style>
  <w:style w:type="paragraph" w:styleId="TOCHeading">
    <w:name w:val="TOC Heading"/>
    <w:basedOn w:val="Heading1"/>
    <w:next w:val="Normal"/>
    <w:uiPriority w:val="39"/>
    <w:unhideWhenUsed/>
    <w:qFormat/>
    <w:rsid w:val="00864CAB"/>
    <w:pPr>
      <w:keepLines/>
      <w:spacing w:before="480" w:after="0" w:line="276" w:lineRule="auto"/>
      <w:outlineLvl w:val="9"/>
    </w:pPr>
    <w:rPr>
      <w:rFonts w:asciiTheme="majorHAnsi" w:eastAsiaTheme="majorEastAsia" w:hAnsiTheme="majorHAnsi" w:cstheme="majorBidi"/>
      <w:color w:val="365F91" w:themeColor="accent1" w:themeShade="BF"/>
      <w:kern w:val="0"/>
      <w:szCs w:val="28"/>
      <w:lang w:val="en-US" w:eastAsia="ja-JP"/>
    </w:rPr>
  </w:style>
  <w:style w:type="paragraph" w:styleId="TOC1">
    <w:name w:val="toc 1"/>
    <w:basedOn w:val="Normal"/>
    <w:next w:val="Normal"/>
    <w:autoRedefine/>
    <w:uiPriority w:val="39"/>
    <w:rsid w:val="00864CAB"/>
    <w:pPr>
      <w:spacing w:after="100"/>
    </w:pPr>
  </w:style>
  <w:style w:type="character" w:styleId="Hyperlink">
    <w:name w:val="Hyperlink"/>
    <w:basedOn w:val="DefaultParagraphFont"/>
    <w:uiPriority w:val="99"/>
    <w:unhideWhenUsed/>
    <w:rsid w:val="00864CAB"/>
    <w:rPr>
      <w:color w:val="0000FF" w:themeColor="hyperlink"/>
      <w:u w:val="single"/>
    </w:rPr>
  </w:style>
  <w:style w:type="paragraph" w:styleId="Header">
    <w:name w:val="header"/>
    <w:basedOn w:val="Normal"/>
    <w:link w:val="HeaderChar"/>
    <w:rsid w:val="00864CAB"/>
    <w:pPr>
      <w:tabs>
        <w:tab w:val="center" w:pos="4513"/>
        <w:tab w:val="right" w:pos="9026"/>
      </w:tabs>
    </w:pPr>
  </w:style>
  <w:style w:type="character" w:customStyle="1" w:styleId="HeaderChar">
    <w:name w:val="Header Char"/>
    <w:basedOn w:val="DefaultParagraphFont"/>
    <w:link w:val="Header"/>
    <w:rsid w:val="00864CAB"/>
    <w:rPr>
      <w:sz w:val="24"/>
      <w:szCs w:val="24"/>
      <w:lang w:eastAsia="en-US"/>
    </w:rPr>
  </w:style>
  <w:style w:type="character" w:styleId="CommentReference">
    <w:name w:val="annotation reference"/>
    <w:basedOn w:val="DefaultParagraphFont"/>
    <w:rsid w:val="00A7446F"/>
    <w:rPr>
      <w:sz w:val="16"/>
      <w:szCs w:val="16"/>
    </w:rPr>
  </w:style>
  <w:style w:type="paragraph" w:styleId="CommentText">
    <w:name w:val="annotation text"/>
    <w:basedOn w:val="Normal"/>
    <w:link w:val="CommentTextChar"/>
    <w:rsid w:val="00A7446F"/>
    <w:rPr>
      <w:sz w:val="20"/>
      <w:szCs w:val="20"/>
    </w:rPr>
  </w:style>
  <w:style w:type="character" w:customStyle="1" w:styleId="CommentTextChar">
    <w:name w:val="Comment Text Char"/>
    <w:basedOn w:val="DefaultParagraphFont"/>
    <w:link w:val="CommentText"/>
    <w:rsid w:val="00A7446F"/>
    <w:rPr>
      <w:lang w:eastAsia="en-US"/>
    </w:rPr>
  </w:style>
  <w:style w:type="paragraph" w:styleId="CommentSubject">
    <w:name w:val="annotation subject"/>
    <w:basedOn w:val="CommentText"/>
    <w:next w:val="CommentText"/>
    <w:link w:val="CommentSubjectChar"/>
    <w:rsid w:val="00A7446F"/>
    <w:rPr>
      <w:b/>
      <w:bCs/>
    </w:rPr>
  </w:style>
  <w:style w:type="character" w:customStyle="1" w:styleId="CommentSubjectChar">
    <w:name w:val="Comment Subject Char"/>
    <w:basedOn w:val="CommentTextChar"/>
    <w:link w:val="CommentSubject"/>
    <w:rsid w:val="00A7446F"/>
    <w:rPr>
      <w:b/>
      <w:bCs/>
      <w:lang w:eastAsia="en-US"/>
    </w:rPr>
  </w:style>
  <w:style w:type="paragraph" w:styleId="Revision">
    <w:name w:val="Revision"/>
    <w:hidden/>
    <w:uiPriority w:val="99"/>
    <w:semiHidden/>
    <w:rsid w:val="008B4DA0"/>
    <w:rPr>
      <w:sz w:val="24"/>
      <w:szCs w:val="24"/>
      <w:lang w:eastAsia="en-US"/>
    </w:rPr>
  </w:style>
  <w:style w:type="paragraph" w:customStyle="1" w:styleId="subsection">
    <w:name w:val="subsection"/>
    <w:aliases w:val="ss"/>
    <w:basedOn w:val="Normal"/>
    <w:link w:val="subsectionChar"/>
    <w:rsid w:val="00854F53"/>
    <w:pPr>
      <w:tabs>
        <w:tab w:val="right" w:pos="1021"/>
      </w:tabs>
      <w:spacing w:before="180"/>
      <w:ind w:left="1134" w:hanging="1134"/>
    </w:pPr>
    <w:rPr>
      <w:sz w:val="22"/>
      <w:szCs w:val="20"/>
      <w:lang w:eastAsia="en-AU"/>
    </w:rPr>
  </w:style>
  <w:style w:type="paragraph" w:customStyle="1" w:styleId="Tablea">
    <w:name w:val="Table(a)"/>
    <w:aliases w:val="ta"/>
    <w:basedOn w:val="Normal"/>
    <w:rsid w:val="00854F53"/>
    <w:pPr>
      <w:spacing w:before="60"/>
      <w:ind w:left="284" w:hanging="284"/>
    </w:pPr>
    <w:rPr>
      <w:sz w:val="20"/>
      <w:szCs w:val="20"/>
      <w:lang w:eastAsia="en-AU"/>
    </w:rPr>
  </w:style>
  <w:style w:type="paragraph" w:customStyle="1" w:styleId="Tabletext1">
    <w:name w:val="Tabletext"/>
    <w:aliases w:val="tt"/>
    <w:basedOn w:val="Normal"/>
    <w:rsid w:val="00854F53"/>
    <w:pPr>
      <w:spacing w:before="60" w:line="240" w:lineRule="atLeast"/>
    </w:pPr>
    <w:rPr>
      <w:sz w:val="20"/>
      <w:szCs w:val="20"/>
      <w:lang w:eastAsia="en-AU"/>
    </w:rPr>
  </w:style>
  <w:style w:type="paragraph" w:customStyle="1" w:styleId="notetext">
    <w:name w:val="note(text)"/>
    <w:aliases w:val="n"/>
    <w:basedOn w:val="Normal"/>
    <w:link w:val="notetextChar"/>
    <w:rsid w:val="00854F53"/>
    <w:pPr>
      <w:spacing w:before="122"/>
      <w:ind w:left="1985" w:hanging="851"/>
    </w:pPr>
    <w:rPr>
      <w:sz w:val="18"/>
      <w:szCs w:val="20"/>
      <w:lang w:eastAsia="en-AU"/>
    </w:rPr>
  </w:style>
  <w:style w:type="paragraph" w:customStyle="1" w:styleId="TableHeading">
    <w:name w:val="TableHeading"/>
    <w:aliases w:val="th"/>
    <w:basedOn w:val="Normal"/>
    <w:next w:val="Tabletext1"/>
    <w:rsid w:val="00854F53"/>
    <w:pPr>
      <w:keepNext/>
      <w:spacing w:before="60" w:line="240" w:lineRule="atLeast"/>
    </w:pPr>
    <w:rPr>
      <w:b/>
      <w:sz w:val="20"/>
      <w:szCs w:val="20"/>
      <w:lang w:eastAsia="en-AU"/>
    </w:rPr>
  </w:style>
  <w:style w:type="character" w:customStyle="1" w:styleId="subsectionChar">
    <w:name w:val="subsection Char"/>
    <w:aliases w:val="ss Char"/>
    <w:link w:val="subsection"/>
    <w:locked/>
    <w:rsid w:val="00854F53"/>
    <w:rPr>
      <w:sz w:val="22"/>
    </w:rPr>
  </w:style>
  <w:style w:type="character" w:customStyle="1" w:styleId="notetextChar">
    <w:name w:val="note(text) Char"/>
    <w:aliases w:val="n Char"/>
    <w:link w:val="notetext"/>
    <w:rsid w:val="00854F53"/>
    <w:rPr>
      <w:sz w:val="18"/>
    </w:rPr>
  </w:style>
  <w:style w:type="character" w:customStyle="1" w:styleId="CharChapText">
    <w:name w:val="CharChapText"/>
    <w:basedOn w:val="DefaultParagraphFont"/>
    <w:qFormat/>
    <w:rsid w:val="009D70DD"/>
  </w:style>
  <w:style w:type="character" w:customStyle="1" w:styleId="CharDivNo">
    <w:name w:val="CharDivNo"/>
    <w:basedOn w:val="DefaultParagraphFont"/>
    <w:qFormat/>
    <w:rsid w:val="009D70DD"/>
  </w:style>
  <w:style w:type="character" w:customStyle="1" w:styleId="CharPartNo">
    <w:name w:val="CharPartNo"/>
    <w:basedOn w:val="DefaultParagraphFont"/>
    <w:qFormat/>
    <w:rsid w:val="009D70DD"/>
  </w:style>
  <w:style w:type="character" w:customStyle="1" w:styleId="CharPartText">
    <w:name w:val="CharPartText"/>
    <w:basedOn w:val="DefaultParagraphFont"/>
    <w:qFormat/>
    <w:rsid w:val="009D70DD"/>
  </w:style>
  <w:style w:type="paragraph" w:customStyle="1" w:styleId="CompiledMadeUnder">
    <w:name w:val="CompiledMadeUnder"/>
    <w:basedOn w:val="Normal"/>
    <w:next w:val="Normal"/>
    <w:rsid w:val="009D70DD"/>
    <w:pPr>
      <w:spacing w:line="260" w:lineRule="atLeast"/>
    </w:pPr>
    <w:rPr>
      <w:i/>
      <w:lang w:eastAsia="en-AU"/>
    </w:rPr>
  </w:style>
  <w:style w:type="paragraph" w:customStyle="1" w:styleId="MadeunderText">
    <w:name w:val="MadeunderText"/>
    <w:basedOn w:val="Normal"/>
    <w:next w:val="CompiledMadeUnder"/>
    <w:rsid w:val="009D70DD"/>
    <w:pPr>
      <w:spacing w:before="240" w:line="260" w:lineRule="atLeast"/>
    </w:pPr>
    <w:rPr>
      <w:lang w:eastAsia="en-AU"/>
    </w:rPr>
  </w:style>
  <w:style w:type="paragraph" w:customStyle="1" w:styleId="ENoteTableHeading">
    <w:name w:val="ENoteTableHeading"/>
    <w:aliases w:val="enth"/>
    <w:basedOn w:val="Normal"/>
    <w:rsid w:val="00B53336"/>
    <w:pPr>
      <w:keepNext/>
      <w:spacing w:before="60" w:line="240" w:lineRule="atLeast"/>
    </w:pPr>
    <w:rPr>
      <w:rFonts w:ascii="Arial" w:hAnsi="Arial"/>
      <w:b/>
      <w:sz w:val="16"/>
      <w:szCs w:val="20"/>
      <w:lang w:eastAsia="en-AU"/>
    </w:rPr>
  </w:style>
  <w:style w:type="paragraph" w:customStyle="1" w:styleId="ENoteTableText0">
    <w:name w:val="ENoteTableText"/>
    <w:aliases w:val="entt"/>
    <w:basedOn w:val="Normal"/>
    <w:rsid w:val="00B53336"/>
    <w:pPr>
      <w:spacing w:before="60" w:line="240" w:lineRule="atLeast"/>
    </w:pPr>
    <w:rPr>
      <w:sz w:val="16"/>
      <w:szCs w:val="20"/>
      <w:lang w:eastAsia="en-AU"/>
    </w:rPr>
  </w:style>
  <w:style w:type="paragraph" w:customStyle="1" w:styleId="ENotesHeading1">
    <w:name w:val="ENotesHeading 1"/>
    <w:aliases w:val="Enh1,ENh1"/>
    <w:basedOn w:val="Normal"/>
    <w:next w:val="Normal"/>
    <w:rsid w:val="00B53336"/>
    <w:pPr>
      <w:spacing w:before="120" w:line="260" w:lineRule="atLeast"/>
      <w:outlineLvl w:val="1"/>
    </w:pPr>
    <w:rPr>
      <w:b/>
      <w:sz w:val="28"/>
      <w:szCs w:val="28"/>
      <w:lang w:eastAsia="en-AU"/>
    </w:rPr>
  </w:style>
  <w:style w:type="paragraph" w:customStyle="1" w:styleId="ENotesHeading20">
    <w:name w:val="ENotesHeading 2"/>
    <w:aliases w:val="Enh2,ENh2"/>
    <w:basedOn w:val="Normal"/>
    <w:next w:val="Normal"/>
    <w:rsid w:val="00B53336"/>
    <w:pPr>
      <w:spacing w:before="120" w:after="120" w:line="260" w:lineRule="atLeast"/>
      <w:outlineLvl w:val="2"/>
    </w:pPr>
    <w:rPr>
      <w:b/>
      <w:szCs w:val="28"/>
      <w:lang w:eastAsia="en-AU"/>
    </w:rPr>
  </w:style>
  <w:style w:type="paragraph" w:styleId="TOC2">
    <w:name w:val="toc 2"/>
    <w:basedOn w:val="Normal"/>
    <w:next w:val="Normal"/>
    <w:autoRedefine/>
    <w:uiPriority w:val="39"/>
    <w:rsid w:val="006C01BD"/>
    <w:pPr>
      <w:spacing w:after="100"/>
      <w:ind w:left="240"/>
    </w:pPr>
  </w:style>
  <w:style w:type="paragraph" w:styleId="TOC3">
    <w:name w:val="toc 3"/>
    <w:basedOn w:val="Normal"/>
    <w:next w:val="Normal"/>
    <w:autoRedefine/>
    <w:uiPriority w:val="39"/>
    <w:rsid w:val="006C01BD"/>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45136-30FC-4782-9351-A67CEDA8D124}">
  <ds:schemaRefs>
    <ds:schemaRef ds:uri="http://schemas.microsoft.com/sharepoint/v3/contenttype/forms"/>
  </ds:schemaRefs>
</ds:datastoreItem>
</file>

<file path=customXml/itemProps2.xml><?xml version="1.0" encoding="utf-8"?>
<ds:datastoreItem xmlns:ds="http://schemas.openxmlformats.org/officeDocument/2006/customXml" ds:itemID="{FDBBF3E1-D380-4E47-8555-471846D88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41CFCC-DFC1-419F-B91D-8DC4A1E93B97}">
  <ds:schemaRefs>
    <ds:schemaRef ds:uri="http://schemas.microsoft.com/office/infopath/2007/PartnerControls"/>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purl.org/dc/terms/"/>
    <ds:schemaRef ds:uri="http://www.w3.org/XML/1998/namespace"/>
    <ds:schemaRef ds:uri="http://purl.org/dc/elements/1.1/"/>
    <ds:schemaRef ds:uri="8bd9498f-fa43-4ae2-8bb2-4c55a71680ad"/>
  </ds:schemaRefs>
</ds:datastoreItem>
</file>

<file path=customXml/itemProps4.xml><?xml version="1.0" encoding="utf-8"?>
<ds:datastoreItem xmlns:ds="http://schemas.openxmlformats.org/officeDocument/2006/customXml" ds:itemID="{62774CB5-8525-4D52-9F9B-05CEDC3BF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2191</Words>
  <Characters>11964</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14127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Golkowski Izabela</dc:creator>
  <cp:lastModifiedBy>Pooja Bedi</cp:lastModifiedBy>
  <cp:revision>2</cp:revision>
  <cp:lastPrinted>2017-07-27T23:25:00Z</cp:lastPrinted>
  <dcterms:created xsi:type="dcterms:W3CDTF">2019-01-04T05:16:00Z</dcterms:created>
  <dcterms:modified xsi:type="dcterms:W3CDTF">2019-01-04T05:16:00Z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0x010100DD4509C3D779E74F86554752994C3202</vt:lpwstr>
  </property>
</Properties>
</file>