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5FCEA" w14:textId="77777777" w:rsidR="002352E4" w:rsidRPr="00EC38B3" w:rsidRDefault="002352E4" w:rsidP="002352E4">
      <w:pPr>
        <w:jc w:val="center"/>
        <w:rPr>
          <w:rFonts w:ascii="Times New Roman" w:hAnsi="Times New Roman"/>
          <w:b/>
          <w:bCs/>
          <w:sz w:val="28"/>
          <w:szCs w:val="28"/>
        </w:rPr>
      </w:pPr>
      <w:r w:rsidRPr="00EC38B3">
        <w:rPr>
          <w:rFonts w:ascii="Times New Roman" w:hAnsi="Times New Roman"/>
          <w:b/>
          <w:bCs/>
          <w:sz w:val="28"/>
          <w:szCs w:val="28"/>
        </w:rPr>
        <w:t>EXPLANATORY STATEMENT</w:t>
      </w:r>
    </w:p>
    <w:p w14:paraId="0A845C8D" w14:textId="77777777" w:rsidR="002352E4" w:rsidRPr="00EC38B3" w:rsidRDefault="00540FF2" w:rsidP="002352E4">
      <w:pPr>
        <w:jc w:val="center"/>
        <w:rPr>
          <w:rFonts w:ascii="Times New Roman" w:hAnsi="Times New Roman"/>
          <w:b/>
          <w:i/>
          <w:sz w:val="24"/>
          <w:szCs w:val="24"/>
        </w:rPr>
      </w:pPr>
      <w:r w:rsidRPr="00EC38B3">
        <w:rPr>
          <w:rFonts w:ascii="Times New Roman" w:hAnsi="Times New Roman"/>
          <w:b/>
          <w:bCs/>
          <w:sz w:val="24"/>
          <w:szCs w:val="24"/>
        </w:rPr>
        <w:t>Prepared</w:t>
      </w:r>
      <w:r w:rsidR="002352E4" w:rsidRPr="00EC38B3">
        <w:rPr>
          <w:rFonts w:ascii="Times New Roman" w:hAnsi="Times New Roman"/>
          <w:b/>
          <w:bCs/>
          <w:sz w:val="24"/>
          <w:szCs w:val="24"/>
        </w:rPr>
        <w:t xml:space="preserve"> by</w:t>
      </w:r>
      <w:r w:rsidR="000632DC" w:rsidRPr="00EC38B3">
        <w:rPr>
          <w:rFonts w:ascii="Times New Roman" w:hAnsi="Times New Roman"/>
          <w:b/>
          <w:bCs/>
          <w:sz w:val="24"/>
          <w:szCs w:val="24"/>
        </w:rPr>
        <w:t xml:space="preserve"> the </w:t>
      </w:r>
      <w:r w:rsidR="002352E4" w:rsidRPr="00EC38B3">
        <w:rPr>
          <w:rFonts w:ascii="Times New Roman" w:hAnsi="Times New Roman"/>
          <w:b/>
          <w:bCs/>
          <w:sz w:val="24"/>
          <w:szCs w:val="24"/>
        </w:rPr>
        <w:t>Australian Communications and Media Authority</w:t>
      </w:r>
      <w:r w:rsidR="002352E4" w:rsidRPr="00EC38B3">
        <w:rPr>
          <w:rFonts w:ascii="Times New Roman" w:hAnsi="Times New Roman"/>
          <w:b/>
          <w:i/>
          <w:sz w:val="24"/>
          <w:szCs w:val="24"/>
        </w:rPr>
        <w:t xml:space="preserve"> </w:t>
      </w:r>
    </w:p>
    <w:p w14:paraId="12DF41E6" w14:textId="77777777" w:rsidR="00377DBC" w:rsidRPr="00EC38B3" w:rsidRDefault="00EC38B3" w:rsidP="00377DBC">
      <w:pPr>
        <w:jc w:val="center"/>
        <w:rPr>
          <w:rFonts w:ascii="Times New Roman" w:hAnsi="Times New Roman"/>
          <w:b/>
          <w:i/>
          <w:sz w:val="24"/>
          <w:szCs w:val="24"/>
        </w:rPr>
      </w:pPr>
      <w:proofErr w:type="spellStart"/>
      <w:r w:rsidRPr="00EC38B3">
        <w:rPr>
          <w:rFonts w:ascii="Times New Roman" w:hAnsi="Times New Roman"/>
          <w:b/>
          <w:i/>
          <w:sz w:val="24"/>
          <w:szCs w:val="24"/>
        </w:rPr>
        <w:t>Radiocommunications</w:t>
      </w:r>
      <w:proofErr w:type="spellEnd"/>
      <w:r w:rsidR="00377DBC" w:rsidRPr="00EC38B3">
        <w:rPr>
          <w:rFonts w:ascii="Times New Roman" w:hAnsi="Times New Roman"/>
          <w:b/>
          <w:i/>
          <w:sz w:val="24"/>
          <w:szCs w:val="24"/>
        </w:rPr>
        <w:t xml:space="preserve"> Act 199</w:t>
      </w:r>
      <w:r w:rsidR="004507BB">
        <w:rPr>
          <w:rFonts w:ascii="Times New Roman" w:hAnsi="Times New Roman"/>
          <w:b/>
          <w:i/>
          <w:sz w:val="24"/>
          <w:szCs w:val="24"/>
        </w:rPr>
        <w:t>2</w:t>
      </w:r>
    </w:p>
    <w:p w14:paraId="19EFE2A2" w14:textId="77777777" w:rsidR="00EC38B3" w:rsidRPr="00EC38B3" w:rsidRDefault="00EC38B3" w:rsidP="003F471D">
      <w:pPr>
        <w:jc w:val="center"/>
        <w:rPr>
          <w:rFonts w:ascii="Times New Roman" w:hAnsi="Times New Roman"/>
          <w:b/>
          <w:i/>
          <w:sz w:val="24"/>
          <w:szCs w:val="24"/>
        </w:rPr>
      </w:pPr>
      <w:proofErr w:type="spellStart"/>
      <w:r w:rsidRPr="00EC38B3">
        <w:rPr>
          <w:rFonts w:ascii="Times New Roman" w:hAnsi="Times New Roman"/>
          <w:b/>
          <w:i/>
          <w:sz w:val="24"/>
          <w:szCs w:val="24"/>
        </w:rPr>
        <w:t>Radiocommunicati</w:t>
      </w:r>
      <w:r w:rsidR="00A73198">
        <w:rPr>
          <w:rFonts w:ascii="Times New Roman" w:hAnsi="Times New Roman"/>
          <w:b/>
          <w:i/>
          <w:sz w:val="24"/>
          <w:szCs w:val="24"/>
        </w:rPr>
        <w:t>ons</w:t>
      </w:r>
      <w:proofErr w:type="spellEnd"/>
      <w:r w:rsidR="00A73198">
        <w:rPr>
          <w:rFonts w:ascii="Times New Roman" w:hAnsi="Times New Roman"/>
          <w:b/>
          <w:i/>
          <w:sz w:val="24"/>
          <w:szCs w:val="24"/>
        </w:rPr>
        <w:t xml:space="preserve"> (Devices Used in the Inshore</w:t>
      </w:r>
      <w:r w:rsidRPr="00EC38B3">
        <w:rPr>
          <w:rFonts w:ascii="Times New Roman" w:hAnsi="Times New Roman"/>
          <w:b/>
          <w:i/>
          <w:sz w:val="24"/>
          <w:szCs w:val="24"/>
        </w:rPr>
        <w:t xml:space="preserve"> Boating Radio Services Band) Standard 2017</w:t>
      </w:r>
    </w:p>
    <w:p w14:paraId="22D61EAB" w14:textId="77777777" w:rsidR="00EC38B3" w:rsidRPr="00EC38B3" w:rsidRDefault="00EC38B3" w:rsidP="00EC38B3">
      <w:pPr>
        <w:jc w:val="center"/>
        <w:rPr>
          <w:rFonts w:ascii="Times New Roman" w:hAnsi="Times New Roman"/>
          <w:b/>
          <w:i/>
          <w:sz w:val="24"/>
          <w:szCs w:val="24"/>
        </w:rPr>
      </w:pPr>
      <w:proofErr w:type="spellStart"/>
      <w:r w:rsidRPr="00EC38B3">
        <w:rPr>
          <w:rFonts w:ascii="Times New Roman" w:hAnsi="Times New Roman"/>
          <w:b/>
          <w:i/>
          <w:sz w:val="24"/>
          <w:szCs w:val="24"/>
        </w:rPr>
        <w:t>Radiocommunications</w:t>
      </w:r>
      <w:proofErr w:type="spellEnd"/>
      <w:r w:rsidRPr="00EC38B3">
        <w:rPr>
          <w:rFonts w:ascii="Times New Roman" w:hAnsi="Times New Roman"/>
          <w:b/>
          <w:i/>
          <w:sz w:val="24"/>
          <w:szCs w:val="24"/>
        </w:rPr>
        <w:t xml:space="preserve"> (Digital Cordless Communications Devices – DECT Devices) Standard 2017</w:t>
      </w:r>
    </w:p>
    <w:p w14:paraId="0B635A58" w14:textId="77777777" w:rsidR="00EC38B3" w:rsidRPr="00EC38B3" w:rsidRDefault="00EC38B3" w:rsidP="003F471D">
      <w:pPr>
        <w:jc w:val="center"/>
        <w:rPr>
          <w:rFonts w:ascii="Times New Roman" w:hAnsi="Times New Roman"/>
          <w:b/>
          <w:i/>
          <w:sz w:val="24"/>
          <w:szCs w:val="24"/>
        </w:rPr>
      </w:pPr>
      <w:proofErr w:type="spellStart"/>
      <w:r w:rsidRPr="00EC38B3">
        <w:rPr>
          <w:rFonts w:ascii="Times New Roman" w:hAnsi="Times New Roman"/>
          <w:b/>
          <w:i/>
          <w:sz w:val="24"/>
          <w:szCs w:val="24"/>
        </w:rPr>
        <w:t>Radiocommunications</w:t>
      </w:r>
      <w:proofErr w:type="spellEnd"/>
      <w:r w:rsidRPr="00EC38B3">
        <w:rPr>
          <w:rFonts w:ascii="Times New Roman" w:hAnsi="Times New Roman"/>
          <w:b/>
          <w:i/>
          <w:sz w:val="24"/>
          <w:szCs w:val="24"/>
        </w:rPr>
        <w:t xml:space="preserve"> (HF CB and </w:t>
      </w:r>
      <w:proofErr w:type="spellStart"/>
      <w:r w:rsidRPr="00EC38B3">
        <w:rPr>
          <w:rFonts w:ascii="Times New Roman" w:hAnsi="Times New Roman"/>
          <w:b/>
          <w:i/>
          <w:sz w:val="24"/>
          <w:szCs w:val="24"/>
        </w:rPr>
        <w:t>Handphone</w:t>
      </w:r>
      <w:proofErr w:type="spellEnd"/>
      <w:r w:rsidRPr="00EC38B3">
        <w:rPr>
          <w:rFonts w:ascii="Times New Roman" w:hAnsi="Times New Roman"/>
          <w:b/>
          <w:i/>
          <w:sz w:val="24"/>
          <w:szCs w:val="24"/>
        </w:rPr>
        <w:t xml:space="preserve"> Equipment) Standard 2017</w:t>
      </w:r>
    </w:p>
    <w:p w14:paraId="7D8D9BBC" w14:textId="77777777" w:rsidR="00377DBC" w:rsidRPr="00EC38B3" w:rsidRDefault="00065702" w:rsidP="00686FEB">
      <w:pPr>
        <w:spacing w:before="240" w:after="120" w:line="240" w:lineRule="atLeast"/>
        <w:rPr>
          <w:rFonts w:ascii="Times New Roman" w:hAnsi="Times New Roman"/>
          <w:b/>
          <w:sz w:val="24"/>
          <w:szCs w:val="24"/>
        </w:rPr>
      </w:pPr>
      <w:r w:rsidRPr="00EC38B3">
        <w:rPr>
          <w:rFonts w:ascii="Times New Roman" w:hAnsi="Times New Roman"/>
          <w:b/>
          <w:sz w:val="24"/>
          <w:szCs w:val="24"/>
        </w:rPr>
        <w:t>Outline</w:t>
      </w:r>
    </w:p>
    <w:p w14:paraId="3C9C7D39" w14:textId="77777777" w:rsidR="00DE5C8E" w:rsidRPr="00EC38B3" w:rsidRDefault="00065702" w:rsidP="00686FEB">
      <w:pPr>
        <w:pStyle w:val="ListParagraph"/>
        <w:spacing w:line="240" w:lineRule="atLeast"/>
        <w:ind w:left="0"/>
        <w:rPr>
          <w:rFonts w:ascii="Times New Roman" w:hAnsi="Times New Roman"/>
          <w:sz w:val="24"/>
          <w:szCs w:val="24"/>
        </w:rPr>
      </w:pPr>
      <w:r w:rsidRPr="00EC38B3">
        <w:rPr>
          <w:rFonts w:ascii="Times New Roman" w:hAnsi="Times New Roman"/>
          <w:sz w:val="24"/>
          <w:szCs w:val="24"/>
        </w:rPr>
        <w:t>The Australian Communications and Media Authority (</w:t>
      </w:r>
      <w:r w:rsidRPr="00EC38B3">
        <w:rPr>
          <w:rFonts w:ascii="Times New Roman" w:hAnsi="Times New Roman"/>
          <w:b/>
          <w:sz w:val="24"/>
          <w:szCs w:val="24"/>
        </w:rPr>
        <w:t>the</w:t>
      </w:r>
      <w:r w:rsidRPr="00EC38B3">
        <w:rPr>
          <w:rFonts w:ascii="Times New Roman" w:hAnsi="Times New Roman"/>
          <w:sz w:val="24"/>
          <w:szCs w:val="24"/>
        </w:rPr>
        <w:t xml:space="preserve"> </w:t>
      </w:r>
      <w:r w:rsidRPr="00EC38B3">
        <w:rPr>
          <w:rFonts w:ascii="Times New Roman" w:hAnsi="Times New Roman"/>
          <w:b/>
          <w:sz w:val="24"/>
          <w:szCs w:val="24"/>
        </w:rPr>
        <w:t>ACMA</w:t>
      </w:r>
      <w:r w:rsidRPr="00EC38B3">
        <w:rPr>
          <w:rFonts w:ascii="Times New Roman" w:hAnsi="Times New Roman"/>
          <w:sz w:val="24"/>
          <w:szCs w:val="24"/>
        </w:rPr>
        <w:t xml:space="preserve">) has made the technical standards identified </w:t>
      </w:r>
      <w:r w:rsidR="00540FF2" w:rsidRPr="00EC38B3">
        <w:rPr>
          <w:rFonts w:ascii="Times New Roman" w:hAnsi="Times New Roman"/>
          <w:sz w:val="24"/>
          <w:szCs w:val="24"/>
        </w:rPr>
        <w:t>above</w:t>
      </w:r>
      <w:r w:rsidR="00C43FEC" w:rsidRPr="00EC38B3">
        <w:rPr>
          <w:rFonts w:ascii="Times New Roman" w:hAnsi="Times New Roman"/>
          <w:sz w:val="24"/>
          <w:szCs w:val="24"/>
        </w:rPr>
        <w:t xml:space="preserve"> (</w:t>
      </w:r>
      <w:r w:rsidR="00073C5C" w:rsidRPr="00EC38B3">
        <w:rPr>
          <w:rFonts w:ascii="Times New Roman" w:hAnsi="Times New Roman"/>
          <w:sz w:val="24"/>
          <w:szCs w:val="24"/>
        </w:rPr>
        <w:t xml:space="preserve">collectively, </w:t>
      </w:r>
      <w:r w:rsidR="00C43FEC" w:rsidRPr="00EC38B3">
        <w:rPr>
          <w:rFonts w:ascii="Times New Roman" w:hAnsi="Times New Roman"/>
          <w:b/>
          <w:sz w:val="24"/>
          <w:szCs w:val="24"/>
        </w:rPr>
        <w:t xml:space="preserve">the </w:t>
      </w:r>
      <w:r w:rsidR="00626792" w:rsidRPr="00EC38B3">
        <w:rPr>
          <w:rFonts w:ascii="Times New Roman" w:hAnsi="Times New Roman"/>
          <w:b/>
          <w:sz w:val="24"/>
          <w:szCs w:val="24"/>
        </w:rPr>
        <w:t xml:space="preserve">ACMA </w:t>
      </w:r>
      <w:r w:rsidR="00C43FEC" w:rsidRPr="00EC38B3">
        <w:rPr>
          <w:rFonts w:ascii="Times New Roman" w:hAnsi="Times New Roman"/>
          <w:b/>
          <w:sz w:val="24"/>
          <w:szCs w:val="24"/>
        </w:rPr>
        <w:t>Standards</w:t>
      </w:r>
      <w:r w:rsidR="00C43FEC" w:rsidRPr="00EC38B3">
        <w:rPr>
          <w:rFonts w:ascii="Times New Roman" w:hAnsi="Times New Roman"/>
          <w:sz w:val="24"/>
          <w:szCs w:val="24"/>
        </w:rPr>
        <w:t xml:space="preserve">) </w:t>
      </w:r>
      <w:r w:rsidR="00EC38B3" w:rsidRPr="00EC38B3">
        <w:rPr>
          <w:rFonts w:ascii="Times New Roman" w:hAnsi="Times New Roman"/>
          <w:sz w:val="24"/>
          <w:szCs w:val="24"/>
        </w:rPr>
        <w:t xml:space="preserve">under subsection 162(1) of the </w:t>
      </w:r>
      <w:proofErr w:type="spellStart"/>
      <w:r w:rsidR="00EC38B3" w:rsidRPr="00EC38B3">
        <w:rPr>
          <w:rFonts w:ascii="Times New Roman" w:hAnsi="Times New Roman"/>
          <w:i/>
          <w:sz w:val="24"/>
          <w:szCs w:val="24"/>
        </w:rPr>
        <w:t>Radi</w:t>
      </w:r>
      <w:r w:rsidR="00E576CD">
        <w:rPr>
          <w:rFonts w:ascii="Times New Roman" w:hAnsi="Times New Roman"/>
          <w:i/>
          <w:sz w:val="24"/>
          <w:szCs w:val="24"/>
        </w:rPr>
        <w:t>o</w:t>
      </w:r>
      <w:r w:rsidR="00EC38B3" w:rsidRPr="00EC38B3">
        <w:rPr>
          <w:rFonts w:ascii="Times New Roman" w:hAnsi="Times New Roman"/>
          <w:i/>
          <w:sz w:val="24"/>
          <w:szCs w:val="24"/>
        </w:rPr>
        <w:t>communications</w:t>
      </w:r>
      <w:proofErr w:type="spellEnd"/>
      <w:r w:rsidR="00EC38B3" w:rsidRPr="00EC38B3">
        <w:rPr>
          <w:rFonts w:ascii="Times New Roman" w:hAnsi="Times New Roman"/>
          <w:i/>
          <w:sz w:val="24"/>
          <w:szCs w:val="24"/>
        </w:rPr>
        <w:t xml:space="preserve"> Act 1992 </w:t>
      </w:r>
      <w:r w:rsidR="00EC38B3" w:rsidRPr="00EC38B3">
        <w:rPr>
          <w:rFonts w:ascii="Times New Roman" w:hAnsi="Times New Roman"/>
          <w:sz w:val="24"/>
          <w:szCs w:val="24"/>
        </w:rPr>
        <w:t>(</w:t>
      </w:r>
      <w:r w:rsidR="00EC38B3" w:rsidRPr="00EC38B3">
        <w:rPr>
          <w:rFonts w:ascii="Times New Roman" w:hAnsi="Times New Roman"/>
          <w:b/>
          <w:sz w:val="24"/>
          <w:szCs w:val="24"/>
        </w:rPr>
        <w:t>the Act</w:t>
      </w:r>
      <w:r w:rsidR="00EC38B3" w:rsidRPr="00EC38B3">
        <w:rPr>
          <w:rFonts w:ascii="Times New Roman" w:hAnsi="Times New Roman"/>
          <w:sz w:val="24"/>
          <w:szCs w:val="24"/>
        </w:rPr>
        <w:t xml:space="preserve">) and subsection 33(3) of the </w:t>
      </w:r>
      <w:r w:rsidR="00EC38B3" w:rsidRPr="00EC38B3">
        <w:rPr>
          <w:rFonts w:ascii="Times New Roman" w:hAnsi="Times New Roman"/>
          <w:i/>
          <w:sz w:val="24"/>
          <w:szCs w:val="24"/>
        </w:rPr>
        <w:t>Acts Interpretation Act 1901</w:t>
      </w:r>
      <w:r w:rsidR="00EC38B3" w:rsidRPr="00EC38B3">
        <w:rPr>
          <w:rFonts w:ascii="Times New Roman" w:hAnsi="Times New Roman"/>
          <w:sz w:val="24"/>
          <w:szCs w:val="24"/>
        </w:rPr>
        <w:t xml:space="preserve"> (</w:t>
      </w:r>
      <w:r w:rsidR="00EC38B3" w:rsidRPr="00EC38B3">
        <w:rPr>
          <w:rFonts w:ascii="Times New Roman" w:hAnsi="Times New Roman"/>
          <w:b/>
          <w:sz w:val="24"/>
          <w:szCs w:val="24"/>
        </w:rPr>
        <w:t>the AIA</w:t>
      </w:r>
      <w:r w:rsidR="00EC38B3" w:rsidRPr="00EC38B3">
        <w:rPr>
          <w:rFonts w:ascii="Times New Roman" w:hAnsi="Times New Roman"/>
          <w:sz w:val="24"/>
          <w:szCs w:val="24"/>
        </w:rPr>
        <w:t>)</w:t>
      </w:r>
      <w:r w:rsidR="00540FF2" w:rsidRPr="00EC38B3">
        <w:rPr>
          <w:rFonts w:ascii="Times New Roman" w:hAnsi="Times New Roman"/>
          <w:sz w:val="24"/>
          <w:szCs w:val="24"/>
        </w:rPr>
        <w:t xml:space="preserve">.  </w:t>
      </w:r>
    </w:p>
    <w:p w14:paraId="5A7CCC59" w14:textId="77777777" w:rsidR="00EC38B3" w:rsidRPr="00EC38B3" w:rsidRDefault="00EC38B3" w:rsidP="00EC38B3">
      <w:pPr>
        <w:rPr>
          <w:rFonts w:ascii="Times New Roman" w:hAnsi="Times New Roman"/>
          <w:snapToGrid w:val="0"/>
          <w:sz w:val="24"/>
          <w:szCs w:val="24"/>
        </w:rPr>
      </w:pPr>
      <w:r w:rsidRPr="00EC38B3">
        <w:rPr>
          <w:rFonts w:ascii="Times New Roman" w:hAnsi="Times New Roman"/>
          <w:snapToGrid w:val="0"/>
          <w:sz w:val="24"/>
          <w:szCs w:val="24"/>
        </w:rPr>
        <w:t xml:space="preserve">Subsection 162(1) of the Act provides that the ACMA may, by written instrument, make standards for the performance of specified devices or </w:t>
      </w:r>
      <w:r w:rsidR="00727170">
        <w:rPr>
          <w:rFonts w:ascii="Times New Roman" w:hAnsi="Times New Roman"/>
          <w:snapToGrid w:val="0"/>
          <w:sz w:val="24"/>
          <w:szCs w:val="24"/>
        </w:rPr>
        <w:t xml:space="preserve">for </w:t>
      </w:r>
      <w:r w:rsidRPr="00EC38B3">
        <w:rPr>
          <w:rFonts w:ascii="Times New Roman" w:hAnsi="Times New Roman"/>
          <w:snapToGrid w:val="0"/>
          <w:sz w:val="24"/>
          <w:szCs w:val="24"/>
        </w:rPr>
        <w:t>the maximum permitted level of radio emissions from specified devices</w:t>
      </w:r>
      <w:r w:rsidR="00971804">
        <w:rPr>
          <w:rFonts w:ascii="Times New Roman" w:hAnsi="Times New Roman"/>
          <w:snapToGrid w:val="0"/>
          <w:sz w:val="24"/>
          <w:szCs w:val="24"/>
        </w:rPr>
        <w:t xml:space="preserve"> within specified parts of the spectrum</w:t>
      </w:r>
      <w:r w:rsidRPr="00EC38B3">
        <w:rPr>
          <w:rFonts w:ascii="Times New Roman" w:hAnsi="Times New Roman"/>
          <w:snapToGrid w:val="0"/>
          <w:sz w:val="24"/>
          <w:szCs w:val="24"/>
        </w:rPr>
        <w:t xml:space="preserve">.  </w:t>
      </w:r>
    </w:p>
    <w:p w14:paraId="00B8479B" w14:textId="77777777" w:rsidR="00EC38B3" w:rsidRDefault="00EC38B3" w:rsidP="00EC38B3">
      <w:pPr>
        <w:pStyle w:val="CommentText"/>
        <w:rPr>
          <w:rFonts w:ascii="Times New Roman" w:hAnsi="Times New Roman"/>
          <w:sz w:val="24"/>
          <w:szCs w:val="24"/>
        </w:rPr>
      </w:pPr>
      <w:r w:rsidRPr="00EC38B3">
        <w:rPr>
          <w:rFonts w:ascii="Times New Roman" w:hAnsi="Times New Roman"/>
          <w:sz w:val="24"/>
          <w:szCs w:val="24"/>
        </w:rPr>
        <w:t xml:space="preserve">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 </w:t>
      </w:r>
    </w:p>
    <w:p w14:paraId="389FAD8C" w14:textId="77777777" w:rsidR="00EC38B3" w:rsidRPr="00EC38B3" w:rsidRDefault="00EC38B3" w:rsidP="00EC38B3">
      <w:pPr>
        <w:pStyle w:val="CommentText"/>
        <w:rPr>
          <w:rFonts w:ascii="Times New Roman" w:hAnsi="Times New Roman"/>
          <w:b/>
          <w:sz w:val="24"/>
          <w:szCs w:val="24"/>
        </w:rPr>
      </w:pPr>
      <w:r w:rsidRPr="00EC38B3">
        <w:rPr>
          <w:rFonts w:ascii="Times New Roman" w:hAnsi="Times New Roman"/>
          <w:b/>
          <w:sz w:val="24"/>
          <w:szCs w:val="24"/>
        </w:rPr>
        <w:t>Purpose and operation of the instruments</w:t>
      </w:r>
    </w:p>
    <w:p w14:paraId="60D19C17" w14:textId="566AC904" w:rsidR="00B235B5" w:rsidRDefault="00C078AB" w:rsidP="002A1A15">
      <w:pPr>
        <w:rPr>
          <w:rFonts w:ascii="Times New Roman" w:hAnsi="Times New Roman"/>
          <w:sz w:val="24"/>
          <w:szCs w:val="24"/>
        </w:rPr>
      </w:pPr>
      <w:r>
        <w:rPr>
          <w:rFonts w:ascii="Times New Roman" w:hAnsi="Times New Roman"/>
          <w:sz w:val="24"/>
          <w:szCs w:val="24"/>
        </w:rPr>
        <w:t xml:space="preserve">Under subsection 162(1) of the Act, the ACMA makes standards </w:t>
      </w:r>
      <w:r w:rsidR="00F01011">
        <w:rPr>
          <w:rFonts w:ascii="Times New Roman" w:hAnsi="Times New Roman"/>
          <w:sz w:val="24"/>
          <w:szCs w:val="24"/>
        </w:rPr>
        <w:t>(</w:t>
      </w:r>
      <w:r w:rsidR="00F01011" w:rsidRPr="002A1A15">
        <w:rPr>
          <w:rFonts w:ascii="Times New Roman" w:hAnsi="Times New Roman"/>
          <w:b/>
          <w:sz w:val="24"/>
          <w:szCs w:val="24"/>
        </w:rPr>
        <w:t>section 162 standards</w:t>
      </w:r>
      <w:r w:rsidR="00F01011">
        <w:rPr>
          <w:rFonts w:ascii="Times New Roman" w:hAnsi="Times New Roman"/>
          <w:sz w:val="24"/>
          <w:szCs w:val="24"/>
        </w:rPr>
        <w:t xml:space="preserve">) </w:t>
      </w:r>
      <w:r>
        <w:rPr>
          <w:rFonts w:ascii="Times New Roman" w:hAnsi="Times New Roman"/>
          <w:sz w:val="24"/>
          <w:szCs w:val="24"/>
        </w:rPr>
        <w:t xml:space="preserve">for </w:t>
      </w:r>
      <w:proofErr w:type="spellStart"/>
      <w:r>
        <w:rPr>
          <w:rFonts w:ascii="Times New Roman" w:hAnsi="Times New Roman"/>
          <w:sz w:val="24"/>
          <w:szCs w:val="24"/>
        </w:rPr>
        <w:t>radiocommunications</w:t>
      </w:r>
      <w:proofErr w:type="spellEnd"/>
      <w:r>
        <w:rPr>
          <w:rFonts w:ascii="Times New Roman" w:hAnsi="Times New Roman"/>
          <w:sz w:val="24"/>
          <w:szCs w:val="24"/>
        </w:rPr>
        <w:t xml:space="preserve"> transmitters and receivers which reference one or more industry standards for technical performance matters (including test methods and limits)</w:t>
      </w:r>
      <w:r w:rsidR="000C52BC">
        <w:rPr>
          <w:rFonts w:ascii="Times New Roman" w:hAnsi="Times New Roman"/>
          <w:sz w:val="24"/>
          <w:szCs w:val="24"/>
        </w:rPr>
        <w:t xml:space="preserve"> and in relation to the </w:t>
      </w:r>
      <w:r w:rsidR="000C52BC" w:rsidRPr="00EC38B3">
        <w:rPr>
          <w:rFonts w:ascii="Times New Roman" w:hAnsi="Times New Roman"/>
          <w:snapToGrid w:val="0"/>
          <w:sz w:val="24"/>
          <w:szCs w:val="24"/>
        </w:rPr>
        <w:t>maximum permitted level of radio emissions</w:t>
      </w:r>
      <w:r>
        <w:rPr>
          <w:rFonts w:ascii="Times New Roman" w:hAnsi="Times New Roman"/>
          <w:sz w:val="24"/>
          <w:szCs w:val="24"/>
        </w:rPr>
        <w:t xml:space="preserve">.  </w:t>
      </w:r>
      <w:r w:rsidR="00EE1922">
        <w:rPr>
          <w:rFonts w:ascii="Times New Roman" w:hAnsi="Times New Roman"/>
          <w:sz w:val="24"/>
          <w:szCs w:val="24"/>
        </w:rPr>
        <w:t xml:space="preserve">Once an industry standard </w:t>
      </w:r>
      <w:r>
        <w:rPr>
          <w:rFonts w:ascii="Times New Roman" w:hAnsi="Times New Roman"/>
          <w:sz w:val="24"/>
          <w:szCs w:val="24"/>
        </w:rPr>
        <w:t>is referenced by a standard made by the ACMA under subsection 162(1) of the Act</w:t>
      </w:r>
      <w:r w:rsidR="00EE1922">
        <w:rPr>
          <w:rFonts w:ascii="Times New Roman" w:hAnsi="Times New Roman"/>
          <w:sz w:val="24"/>
          <w:szCs w:val="24"/>
        </w:rPr>
        <w:t>, compliance with the standard becomes mandatory</w:t>
      </w:r>
      <w:r>
        <w:rPr>
          <w:rFonts w:ascii="Times New Roman" w:hAnsi="Times New Roman"/>
          <w:sz w:val="24"/>
          <w:szCs w:val="24"/>
        </w:rPr>
        <w:t>.</w:t>
      </w:r>
      <w:r w:rsidR="00B235B5">
        <w:rPr>
          <w:rFonts w:ascii="Times New Roman" w:hAnsi="Times New Roman"/>
          <w:sz w:val="24"/>
          <w:szCs w:val="24"/>
        </w:rPr>
        <w:t xml:space="preserve">  Relevantly, s</w:t>
      </w:r>
      <w:r w:rsidR="00B235B5" w:rsidRPr="00B235B5">
        <w:rPr>
          <w:rFonts w:ascii="Times New Roman" w:hAnsi="Times New Roman"/>
          <w:sz w:val="24"/>
          <w:szCs w:val="24"/>
        </w:rPr>
        <w:t xml:space="preserve">ubject to certain exemptions in Division 5 of Part 4.1 of the Act, it is an offence under section 160 to knowingly supply a non-standard device (that is, a device </w:t>
      </w:r>
      <w:r w:rsidR="00C54B50">
        <w:rPr>
          <w:rFonts w:ascii="Times New Roman" w:hAnsi="Times New Roman"/>
          <w:sz w:val="24"/>
          <w:szCs w:val="24"/>
        </w:rPr>
        <w:t xml:space="preserve">that </w:t>
      </w:r>
      <w:r w:rsidR="00B235B5" w:rsidRPr="00B235B5">
        <w:rPr>
          <w:rFonts w:ascii="Times New Roman" w:hAnsi="Times New Roman"/>
          <w:sz w:val="24"/>
          <w:szCs w:val="24"/>
        </w:rPr>
        <w:t xml:space="preserve">does not comply with the requirements of a section 162 standard that applies to the device). </w:t>
      </w:r>
    </w:p>
    <w:p w14:paraId="645E078E" w14:textId="77777777" w:rsidR="008D1FC5" w:rsidRPr="008D1FC5" w:rsidRDefault="008D1FC5" w:rsidP="008D1FC5">
      <w:pPr>
        <w:rPr>
          <w:rFonts w:ascii="Times New Roman" w:hAnsi="Times New Roman"/>
          <w:sz w:val="24"/>
          <w:szCs w:val="24"/>
        </w:rPr>
      </w:pPr>
      <w:r w:rsidRPr="008D1FC5">
        <w:rPr>
          <w:rFonts w:ascii="Times New Roman" w:hAnsi="Times New Roman"/>
          <w:sz w:val="24"/>
          <w:szCs w:val="24"/>
        </w:rPr>
        <w:t xml:space="preserve">In concert with the </w:t>
      </w:r>
      <w:proofErr w:type="spellStart"/>
      <w:r w:rsidRPr="008D1FC5">
        <w:rPr>
          <w:rFonts w:ascii="Times New Roman" w:hAnsi="Times New Roman"/>
          <w:i/>
          <w:sz w:val="24"/>
          <w:szCs w:val="24"/>
        </w:rPr>
        <w:t>Radiocommunications</w:t>
      </w:r>
      <w:proofErr w:type="spellEnd"/>
      <w:r w:rsidRPr="008D1FC5">
        <w:rPr>
          <w:rFonts w:ascii="Times New Roman" w:hAnsi="Times New Roman"/>
          <w:i/>
          <w:sz w:val="24"/>
          <w:szCs w:val="24"/>
        </w:rPr>
        <w:t xml:space="preserve"> (Compliance Labelling – Devices) Notice 2014</w:t>
      </w:r>
      <w:r w:rsidRPr="008D1FC5">
        <w:rPr>
          <w:rFonts w:ascii="Times New Roman" w:hAnsi="Times New Roman"/>
          <w:sz w:val="24"/>
          <w:szCs w:val="24"/>
        </w:rPr>
        <w:t xml:space="preserve"> (</w:t>
      </w:r>
      <w:r w:rsidRPr="002A1A15">
        <w:rPr>
          <w:rFonts w:ascii="Times New Roman" w:hAnsi="Times New Roman"/>
          <w:b/>
          <w:sz w:val="24"/>
          <w:szCs w:val="24"/>
        </w:rPr>
        <w:t xml:space="preserve">the </w:t>
      </w:r>
      <w:r w:rsidRPr="008D1FC5">
        <w:rPr>
          <w:rFonts w:ascii="Times New Roman" w:hAnsi="Times New Roman"/>
          <w:b/>
          <w:sz w:val="24"/>
          <w:szCs w:val="24"/>
        </w:rPr>
        <w:t>R</w:t>
      </w:r>
      <w:r>
        <w:rPr>
          <w:rFonts w:ascii="Times New Roman" w:hAnsi="Times New Roman"/>
          <w:b/>
          <w:sz w:val="24"/>
          <w:szCs w:val="24"/>
        </w:rPr>
        <w:t>LN</w:t>
      </w:r>
      <w:r w:rsidRPr="008D1FC5">
        <w:rPr>
          <w:rFonts w:ascii="Times New Roman" w:hAnsi="Times New Roman"/>
          <w:sz w:val="24"/>
          <w:szCs w:val="24"/>
        </w:rPr>
        <w:t xml:space="preserve">) made under subsection 182(1) of the Act, section 162 standards regulate the supply of </w:t>
      </w:r>
      <w:proofErr w:type="spellStart"/>
      <w:r w:rsidRPr="008D1FC5">
        <w:rPr>
          <w:rFonts w:ascii="Times New Roman" w:hAnsi="Times New Roman"/>
          <w:sz w:val="24"/>
          <w:szCs w:val="24"/>
        </w:rPr>
        <w:t>radiocommunications</w:t>
      </w:r>
      <w:proofErr w:type="spellEnd"/>
      <w:r w:rsidRPr="008D1FC5">
        <w:rPr>
          <w:rFonts w:ascii="Times New Roman" w:hAnsi="Times New Roman"/>
          <w:sz w:val="24"/>
          <w:szCs w:val="24"/>
        </w:rPr>
        <w:t xml:space="preserve"> devices into Australia.  Section 162 standards define performance and radio emission level requirements for specified </w:t>
      </w:r>
      <w:proofErr w:type="spellStart"/>
      <w:r w:rsidRPr="008D1FC5">
        <w:rPr>
          <w:rFonts w:ascii="Times New Roman" w:hAnsi="Times New Roman"/>
          <w:sz w:val="24"/>
          <w:szCs w:val="24"/>
        </w:rPr>
        <w:t>radiocommunications</w:t>
      </w:r>
      <w:proofErr w:type="spellEnd"/>
      <w:r w:rsidRPr="008D1FC5">
        <w:rPr>
          <w:rFonts w:ascii="Times New Roman" w:hAnsi="Times New Roman"/>
          <w:sz w:val="24"/>
          <w:szCs w:val="24"/>
        </w:rPr>
        <w:t xml:space="preserve"> devices.</w:t>
      </w:r>
    </w:p>
    <w:p w14:paraId="0654AD54" w14:textId="77777777" w:rsidR="008D1FC5" w:rsidRPr="008D1FC5" w:rsidRDefault="008D1FC5" w:rsidP="008D1FC5">
      <w:pPr>
        <w:rPr>
          <w:rFonts w:ascii="Times New Roman" w:hAnsi="Times New Roman"/>
          <w:sz w:val="24"/>
          <w:szCs w:val="24"/>
        </w:rPr>
      </w:pPr>
      <w:r w:rsidRPr="008D1FC5">
        <w:rPr>
          <w:rFonts w:ascii="Times New Roman" w:hAnsi="Times New Roman"/>
          <w:sz w:val="24"/>
          <w:szCs w:val="24"/>
        </w:rPr>
        <w:lastRenderedPageBreak/>
        <w:t xml:space="preserve">The </w:t>
      </w:r>
      <w:r w:rsidR="006A14D9">
        <w:rPr>
          <w:rFonts w:ascii="Times New Roman" w:hAnsi="Times New Roman"/>
          <w:sz w:val="24"/>
          <w:szCs w:val="24"/>
        </w:rPr>
        <w:t>RLN</w:t>
      </w:r>
      <w:r w:rsidRPr="008D1FC5">
        <w:rPr>
          <w:rFonts w:ascii="Times New Roman" w:hAnsi="Times New Roman"/>
          <w:sz w:val="24"/>
          <w:szCs w:val="24"/>
        </w:rPr>
        <w:t xml:space="preserve"> specifies testing, labelling and record keeping obligations for suppliers of those </w:t>
      </w:r>
      <w:proofErr w:type="spellStart"/>
      <w:r w:rsidRPr="008D1FC5">
        <w:rPr>
          <w:rFonts w:ascii="Times New Roman" w:hAnsi="Times New Roman"/>
          <w:sz w:val="24"/>
          <w:szCs w:val="24"/>
        </w:rPr>
        <w:t>radiocommunications</w:t>
      </w:r>
      <w:proofErr w:type="spellEnd"/>
      <w:r w:rsidRPr="008D1FC5">
        <w:rPr>
          <w:rFonts w:ascii="Times New Roman" w:hAnsi="Times New Roman"/>
          <w:sz w:val="24"/>
          <w:szCs w:val="24"/>
        </w:rPr>
        <w:t xml:space="preserve"> devices subject to an applicable section 162 standard.</w:t>
      </w:r>
      <w:r w:rsidRPr="008D1FC5">
        <w:rPr>
          <w:rFonts w:ascii="Times New Roman" w:hAnsi="Times New Roman"/>
          <w:sz w:val="24"/>
          <w:szCs w:val="24"/>
          <w:vertAlign w:val="superscript"/>
        </w:rPr>
        <w:footnoteReference w:id="2"/>
      </w:r>
    </w:p>
    <w:p w14:paraId="798A21B7" w14:textId="399615C6" w:rsidR="008D1FC5" w:rsidRPr="008D1FC5" w:rsidRDefault="008D1FC5" w:rsidP="008D1FC5">
      <w:pPr>
        <w:rPr>
          <w:rFonts w:ascii="Times New Roman" w:hAnsi="Times New Roman"/>
          <w:sz w:val="24"/>
          <w:szCs w:val="24"/>
        </w:rPr>
      </w:pPr>
      <w:r w:rsidRPr="008D1FC5">
        <w:rPr>
          <w:rFonts w:ascii="Times New Roman" w:hAnsi="Times New Roman"/>
          <w:sz w:val="24"/>
          <w:szCs w:val="24"/>
        </w:rPr>
        <w:t xml:space="preserve">The </w:t>
      </w:r>
      <w:r w:rsidR="0015682D">
        <w:rPr>
          <w:rFonts w:ascii="Times New Roman" w:hAnsi="Times New Roman"/>
          <w:sz w:val="24"/>
          <w:szCs w:val="24"/>
        </w:rPr>
        <w:t xml:space="preserve">key </w:t>
      </w:r>
      <w:r w:rsidRPr="008D1FC5">
        <w:rPr>
          <w:rFonts w:ascii="Times New Roman" w:hAnsi="Times New Roman"/>
          <w:sz w:val="24"/>
          <w:szCs w:val="24"/>
        </w:rPr>
        <w:t xml:space="preserve">purpose of </w:t>
      </w:r>
      <w:r w:rsidR="0015682D">
        <w:rPr>
          <w:rFonts w:ascii="Times New Roman" w:hAnsi="Times New Roman"/>
          <w:sz w:val="24"/>
          <w:szCs w:val="24"/>
        </w:rPr>
        <w:t>the ACMA</w:t>
      </w:r>
      <w:r w:rsidRPr="008D1FC5">
        <w:rPr>
          <w:rFonts w:ascii="Times New Roman" w:hAnsi="Times New Roman"/>
          <w:sz w:val="24"/>
          <w:szCs w:val="24"/>
        </w:rPr>
        <w:t xml:space="preserve"> </w:t>
      </w:r>
      <w:r w:rsidR="0015682D">
        <w:rPr>
          <w:rFonts w:ascii="Times New Roman" w:hAnsi="Times New Roman"/>
          <w:sz w:val="24"/>
          <w:szCs w:val="24"/>
        </w:rPr>
        <w:t>S</w:t>
      </w:r>
      <w:r w:rsidRPr="008D1FC5">
        <w:rPr>
          <w:rFonts w:ascii="Times New Roman" w:hAnsi="Times New Roman"/>
          <w:sz w:val="24"/>
          <w:szCs w:val="24"/>
        </w:rPr>
        <w:t xml:space="preserve">tandards is to manage the risk of interference to </w:t>
      </w:r>
      <w:proofErr w:type="spellStart"/>
      <w:r w:rsidRPr="008D1FC5">
        <w:rPr>
          <w:rFonts w:ascii="Times New Roman" w:hAnsi="Times New Roman"/>
          <w:sz w:val="24"/>
          <w:szCs w:val="24"/>
        </w:rPr>
        <w:t>radiocommunications</w:t>
      </w:r>
      <w:proofErr w:type="spellEnd"/>
      <w:r w:rsidRPr="008D1FC5">
        <w:rPr>
          <w:rFonts w:ascii="Times New Roman" w:hAnsi="Times New Roman"/>
          <w:sz w:val="24"/>
          <w:szCs w:val="24"/>
        </w:rPr>
        <w:t xml:space="preserve"> and </w:t>
      </w:r>
      <w:proofErr w:type="spellStart"/>
      <w:r w:rsidRPr="008D1FC5">
        <w:rPr>
          <w:rFonts w:ascii="Times New Roman" w:hAnsi="Times New Roman"/>
          <w:sz w:val="24"/>
          <w:szCs w:val="24"/>
        </w:rPr>
        <w:t>radiocommunications</w:t>
      </w:r>
      <w:proofErr w:type="spellEnd"/>
      <w:r w:rsidRPr="008D1FC5">
        <w:rPr>
          <w:rFonts w:ascii="Times New Roman" w:hAnsi="Times New Roman"/>
          <w:sz w:val="24"/>
          <w:szCs w:val="24"/>
        </w:rPr>
        <w:t xml:space="preserve"> devices. </w:t>
      </w:r>
    </w:p>
    <w:p w14:paraId="433C5E25" w14:textId="77777777" w:rsidR="000E0E33" w:rsidRPr="002A1A15" w:rsidRDefault="000E0E33" w:rsidP="002A1A15">
      <w:pPr>
        <w:rPr>
          <w:rFonts w:ascii="Times New Roman" w:hAnsi="Times New Roman"/>
          <w:i/>
          <w:sz w:val="24"/>
          <w:szCs w:val="24"/>
        </w:rPr>
      </w:pPr>
      <w:proofErr w:type="spellStart"/>
      <w:r>
        <w:rPr>
          <w:rFonts w:ascii="Times New Roman" w:hAnsi="Times New Roman"/>
          <w:i/>
          <w:sz w:val="24"/>
          <w:szCs w:val="24"/>
        </w:rPr>
        <w:t>Sunsetting</w:t>
      </w:r>
      <w:proofErr w:type="spellEnd"/>
      <w:r>
        <w:rPr>
          <w:rFonts w:ascii="Times New Roman" w:hAnsi="Times New Roman"/>
          <w:i/>
          <w:sz w:val="24"/>
          <w:szCs w:val="24"/>
        </w:rPr>
        <w:t xml:space="preserve"> </w:t>
      </w:r>
      <w:proofErr w:type="spellStart"/>
      <w:r>
        <w:rPr>
          <w:rFonts w:ascii="Times New Roman" w:hAnsi="Times New Roman"/>
          <w:i/>
          <w:sz w:val="24"/>
          <w:szCs w:val="24"/>
        </w:rPr>
        <w:t>radiocommunications</w:t>
      </w:r>
      <w:proofErr w:type="spellEnd"/>
      <w:r>
        <w:rPr>
          <w:rFonts w:ascii="Times New Roman" w:hAnsi="Times New Roman"/>
          <w:i/>
          <w:sz w:val="24"/>
          <w:szCs w:val="24"/>
        </w:rPr>
        <w:t xml:space="preserve"> standards</w:t>
      </w:r>
    </w:p>
    <w:p w14:paraId="7DF4843C" w14:textId="5B49F13E" w:rsidR="000E0E33" w:rsidRPr="002A1A15" w:rsidRDefault="000E0E33" w:rsidP="000E0E33">
      <w:pPr>
        <w:pStyle w:val="CommentText"/>
        <w:rPr>
          <w:rFonts w:ascii="Times New Roman" w:hAnsi="Times New Roman"/>
          <w:sz w:val="24"/>
          <w:szCs w:val="24"/>
        </w:rPr>
      </w:pPr>
      <w:r w:rsidRPr="002A1A15">
        <w:rPr>
          <w:rFonts w:ascii="Times New Roman" w:hAnsi="Times New Roman"/>
          <w:sz w:val="24"/>
          <w:szCs w:val="24"/>
        </w:rPr>
        <w:t>Under Part 4 of Chapter 3 of</w:t>
      </w:r>
      <w:r w:rsidR="00940A74">
        <w:rPr>
          <w:rFonts w:ascii="Times New Roman" w:hAnsi="Times New Roman"/>
          <w:sz w:val="24"/>
          <w:szCs w:val="24"/>
        </w:rPr>
        <w:t xml:space="preserve"> the</w:t>
      </w:r>
      <w:r w:rsidRPr="002A1A15">
        <w:rPr>
          <w:rFonts w:ascii="Times New Roman" w:hAnsi="Times New Roman"/>
          <w:sz w:val="24"/>
          <w:szCs w:val="24"/>
        </w:rPr>
        <w:t xml:space="preserve"> </w:t>
      </w:r>
      <w:r w:rsidRPr="002A1A15">
        <w:rPr>
          <w:rFonts w:ascii="Times New Roman" w:hAnsi="Times New Roman"/>
          <w:i/>
          <w:sz w:val="24"/>
          <w:szCs w:val="24"/>
        </w:rPr>
        <w:t xml:space="preserve">Legislation Act 2003 </w:t>
      </w:r>
      <w:r w:rsidRPr="002A1A15">
        <w:rPr>
          <w:rFonts w:ascii="Times New Roman" w:hAnsi="Times New Roman"/>
          <w:sz w:val="24"/>
          <w:szCs w:val="24"/>
        </w:rPr>
        <w:t>(</w:t>
      </w:r>
      <w:r w:rsidRPr="002A1A15">
        <w:rPr>
          <w:rFonts w:ascii="Times New Roman" w:hAnsi="Times New Roman"/>
          <w:b/>
          <w:sz w:val="24"/>
          <w:szCs w:val="24"/>
        </w:rPr>
        <w:t>the LA</w:t>
      </w:r>
      <w:r w:rsidRPr="002A1A15">
        <w:rPr>
          <w:rFonts w:ascii="Times New Roman" w:hAnsi="Times New Roman"/>
          <w:sz w:val="24"/>
          <w:szCs w:val="24"/>
        </w:rPr>
        <w:t xml:space="preserve">), most legislative instruments ‘sunset’ (that is, they are automatically repealed) on </w:t>
      </w:r>
      <w:r w:rsidR="00C648C4">
        <w:rPr>
          <w:rFonts w:ascii="Times New Roman" w:hAnsi="Times New Roman"/>
          <w:sz w:val="24"/>
          <w:szCs w:val="24"/>
        </w:rPr>
        <w:t xml:space="preserve">the </w:t>
      </w:r>
      <w:r w:rsidRPr="002A1A15">
        <w:rPr>
          <w:rFonts w:ascii="Times New Roman" w:hAnsi="Times New Roman"/>
          <w:sz w:val="24"/>
          <w:szCs w:val="24"/>
        </w:rPr>
        <w:t xml:space="preserve">1 April or 1 October that first occurs 10 years after they are registered. </w:t>
      </w:r>
    </w:p>
    <w:p w14:paraId="2881E6FD" w14:textId="4DCE12D6" w:rsidR="00B468ED" w:rsidRDefault="00B468ED" w:rsidP="00B468ED">
      <w:pPr>
        <w:spacing w:after="40"/>
        <w:rPr>
          <w:rFonts w:ascii="Times New Roman" w:hAnsi="Times New Roman"/>
          <w:sz w:val="24"/>
          <w:szCs w:val="24"/>
        </w:rPr>
      </w:pPr>
      <w:r w:rsidRPr="003B70F2">
        <w:rPr>
          <w:rFonts w:ascii="Times New Roman" w:hAnsi="Times New Roman"/>
          <w:sz w:val="24"/>
          <w:szCs w:val="24"/>
        </w:rPr>
        <w:t>The ACMA has made th</w:t>
      </w:r>
      <w:r>
        <w:rPr>
          <w:rFonts w:ascii="Times New Roman" w:hAnsi="Times New Roman"/>
          <w:sz w:val="24"/>
          <w:szCs w:val="24"/>
        </w:rPr>
        <w:t>e ACMA S</w:t>
      </w:r>
      <w:r w:rsidRPr="003B70F2">
        <w:rPr>
          <w:rFonts w:ascii="Times New Roman" w:hAnsi="Times New Roman"/>
          <w:sz w:val="24"/>
          <w:szCs w:val="24"/>
        </w:rPr>
        <w:t xml:space="preserve">tandards </w:t>
      </w:r>
      <w:r>
        <w:rPr>
          <w:rFonts w:ascii="Times New Roman" w:hAnsi="Times New Roman"/>
          <w:sz w:val="24"/>
          <w:szCs w:val="24"/>
        </w:rPr>
        <w:t xml:space="preserve">to replace the </w:t>
      </w:r>
      <w:r w:rsidR="003043BD">
        <w:rPr>
          <w:rFonts w:ascii="Times New Roman" w:hAnsi="Times New Roman"/>
          <w:sz w:val="24"/>
          <w:szCs w:val="24"/>
        </w:rPr>
        <w:t>following section 162 standards</w:t>
      </w:r>
      <w:r>
        <w:rPr>
          <w:rFonts w:ascii="Times New Roman" w:hAnsi="Times New Roman"/>
          <w:sz w:val="24"/>
          <w:szCs w:val="24"/>
        </w:rPr>
        <w:t xml:space="preserve"> which were variously</w:t>
      </w:r>
      <w:r w:rsidRPr="003B70F2">
        <w:rPr>
          <w:rFonts w:ascii="Times New Roman" w:hAnsi="Times New Roman"/>
          <w:sz w:val="24"/>
          <w:szCs w:val="24"/>
        </w:rPr>
        <w:t xml:space="preserve"> due to sunset on 1 October 2017 </w:t>
      </w:r>
      <w:r w:rsidR="009224A4">
        <w:rPr>
          <w:rFonts w:ascii="Times New Roman" w:hAnsi="Times New Roman"/>
          <w:sz w:val="24"/>
          <w:szCs w:val="24"/>
        </w:rPr>
        <w:t>or</w:t>
      </w:r>
      <w:r w:rsidRPr="003B70F2">
        <w:rPr>
          <w:rFonts w:ascii="Times New Roman" w:hAnsi="Times New Roman"/>
          <w:sz w:val="24"/>
          <w:szCs w:val="24"/>
        </w:rPr>
        <w:t xml:space="preserve"> 1 October 2018</w:t>
      </w:r>
      <w:r>
        <w:rPr>
          <w:rFonts w:ascii="Times New Roman" w:hAnsi="Times New Roman"/>
          <w:sz w:val="24"/>
          <w:szCs w:val="24"/>
        </w:rPr>
        <w:t>:</w:t>
      </w:r>
    </w:p>
    <w:p w14:paraId="1A872EAF" w14:textId="77777777" w:rsidR="00B468ED" w:rsidRDefault="00B468ED" w:rsidP="00B468ED">
      <w:pPr>
        <w:pStyle w:val="ListParagraph"/>
        <w:numPr>
          <w:ilvl w:val="0"/>
          <w:numId w:val="31"/>
        </w:numPr>
        <w:spacing w:after="40"/>
        <w:rPr>
          <w:rFonts w:ascii="Times New Roman" w:hAnsi="Times New Roman"/>
          <w:sz w:val="24"/>
          <w:szCs w:val="24"/>
        </w:rPr>
      </w:pPr>
      <w:r>
        <w:rPr>
          <w:rFonts w:ascii="Times New Roman" w:hAnsi="Times New Roman"/>
          <w:sz w:val="24"/>
          <w:szCs w:val="24"/>
        </w:rPr>
        <w:t xml:space="preserve">the </w:t>
      </w:r>
      <w:proofErr w:type="spellStart"/>
      <w:r w:rsidRPr="002D7EA3">
        <w:rPr>
          <w:rFonts w:ascii="Times New Roman" w:hAnsi="Times New Roman"/>
          <w:i/>
          <w:sz w:val="24"/>
          <w:szCs w:val="24"/>
        </w:rPr>
        <w:t>Radiocommunications</w:t>
      </w:r>
      <w:proofErr w:type="spellEnd"/>
      <w:r w:rsidRPr="002D7EA3">
        <w:rPr>
          <w:rFonts w:ascii="Times New Roman" w:hAnsi="Times New Roman"/>
          <w:i/>
          <w:sz w:val="24"/>
          <w:szCs w:val="24"/>
        </w:rPr>
        <w:t xml:space="preserve"> (Digital Cordless Communications Devices - DECT Devices) Standard 2007</w:t>
      </w:r>
      <w:r>
        <w:rPr>
          <w:rFonts w:ascii="Times New Roman" w:hAnsi="Times New Roman"/>
          <w:sz w:val="24"/>
          <w:szCs w:val="24"/>
        </w:rPr>
        <w:t>;</w:t>
      </w:r>
    </w:p>
    <w:p w14:paraId="4F16C0F2" w14:textId="77777777" w:rsidR="00B468ED" w:rsidRDefault="00B468ED" w:rsidP="00B468ED">
      <w:pPr>
        <w:pStyle w:val="ListParagraph"/>
        <w:numPr>
          <w:ilvl w:val="0"/>
          <w:numId w:val="31"/>
        </w:numPr>
        <w:spacing w:after="40"/>
        <w:rPr>
          <w:rFonts w:ascii="Times New Roman" w:hAnsi="Times New Roman"/>
          <w:sz w:val="24"/>
          <w:szCs w:val="24"/>
        </w:rPr>
      </w:pPr>
      <w:r w:rsidRPr="002D7EA3">
        <w:rPr>
          <w:rFonts w:ascii="Times New Roman" w:hAnsi="Times New Roman"/>
          <w:sz w:val="24"/>
          <w:szCs w:val="24"/>
        </w:rPr>
        <w:t xml:space="preserve">the </w:t>
      </w:r>
      <w:proofErr w:type="spellStart"/>
      <w:r w:rsidRPr="002D7EA3">
        <w:rPr>
          <w:rFonts w:ascii="Times New Roman" w:hAnsi="Times New Roman"/>
          <w:i/>
          <w:sz w:val="24"/>
          <w:szCs w:val="24"/>
        </w:rPr>
        <w:t>Radiocommunications</w:t>
      </w:r>
      <w:proofErr w:type="spellEnd"/>
      <w:r w:rsidRPr="002D7EA3">
        <w:rPr>
          <w:rFonts w:ascii="Times New Roman" w:hAnsi="Times New Roman"/>
          <w:i/>
          <w:sz w:val="24"/>
          <w:szCs w:val="24"/>
        </w:rPr>
        <w:t xml:space="preserve"> (Devices Used in the Inshore Boating Radio Services Band) Standard 2008</w:t>
      </w:r>
      <w:r>
        <w:rPr>
          <w:rFonts w:ascii="Times New Roman" w:hAnsi="Times New Roman"/>
          <w:sz w:val="24"/>
          <w:szCs w:val="24"/>
        </w:rPr>
        <w:t>; and</w:t>
      </w:r>
    </w:p>
    <w:p w14:paraId="36F4E7CB" w14:textId="77777777" w:rsidR="00B468ED" w:rsidRPr="00497AB4" w:rsidRDefault="00B468ED" w:rsidP="00B468ED">
      <w:pPr>
        <w:pStyle w:val="ListParagraph"/>
        <w:numPr>
          <w:ilvl w:val="0"/>
          <w:numId w:val="31"/>
        </w:numPr>
        <w:ind w:left="714" w:hanging="357"/>
        <w:rPr>
          <w:rFonts w:ascii="Times New Roman" w:hAnsi="Times New Roman"/>
          <w:sz w:val="24"/>
          <w:szCs w:val="24"/>
        </w:rPr>
      </w:pPr>
      <w:proofErr w:type="gramStart"/>
      <w:r w:rsidRPr="00497AB4">
        <w:rPr>
          <w:rFonts w:ascii="Times New Roman" w:hAnsi="Times New Roman"/>
          <w:sz w:val="24"/>
          <w:szCs w:val="24"/>
        </w:rPr>
        <w:t>the</w:t>
      </w:r>
      <w:proofErr w:type="gramEnd"/>
      <w:r w:rsidRPr="00497AB4">
        <w:rPr>
          <w:rFonts w:ascii="Times New Roman" w:hAnsi="Times New Roman"/>
          <w:sz w:val="24"/>
          <w:szCs w:val="24"/>
        </w:rPr>
        <w:t xml:space="preserve"> </w:t>
      </w:r>
      <w:proofErr w:type="spellStart"/>
      <w:r w:rsidRPr="002D7EA3">
        <w:rPr>
          <w:rFonts w:ascii="Times New Roman" w:hAnsi="Times New Roman"/>
          <w:i/>
          <w:sz w:val="24"/>
          <w:szCs w:val="24"/>
        </w:rPr>
        <w:t>Radiocommunications</w:t>
      </w:r>
      <w:proofErr w:type="spellEnd"/>
      <w:r w:rsidRPr="002D7EA3">
        <w:rPr>
          <w:rFonts w:ascii="Times New Roman" w:hAnsi="Times New Roman"/>
          <w:i/>
          <w:sz w:val="24"/>
          <w:szCs w:val="24"/>
        </w:rPr>
        <w:t xml:space="preserve"> (HF CB and </w:t>
      </w:r>
      <w:proofErr w:type="spellStart"/>
      <w:r w:rsidRPr="002D7EA3">
        <w:rPr>
          <w:rFonts w:ascii="Times New Roman" w:hAnsi="Times New Roman"/>
          <w:i/>
          <w:sz w:val="24"/>
          <w:szCs w:val="24"/>
        </w:rPr>
        <w:t>Handphone</w:t>
      </w:r>
      <w:proofErr w:type="spellEnd"/>
      <w:r w:rsidRPr="002D7EA3">
        <w:rPr>
          <w:rFonts w:ascii="Times New Roman" w:hAnsi="Times New Roman"/>
          <w:i/>
          <w:sz w:val="24"/>
          <w:szCs w:val="24"/>
        </w:rPr>
        <w:t xml:space="preserve"> Equipment) Standard 2008</w:t>
      </w:r>
      <w:r w:rsidRPr="00497AB4">
        <w:rPr>
          <w:rFonts w:ascii="Times New Roman" w:hAnsi="Times New Roman"/>
          <w:sz w:val="24"/>
          <w:szCs w:val="24"/>
        </w:rPr>
        <w:t>.</w:t>
      </w:r>
      <w:r>
        <w:rPr>
          <w:rStyle w:val="FootnoteReference"/>
          <w:rFonts w:ascii="Times New Roman" w:hAnsi="Times New Roman"/>
          <w:sz w:val="24"/>
          <w:szCs w:val="24"/>
        </w:rPr>
        <w:footnoteReference w:id="3"/>
      </w:r>
    </w:p>
    <w:p w14:paraId="6C6D3574" w14:textId="717D6AB8" w:rsidR="00BE68A1" w:rsidRDefault="00C43FEC" w:rsidP="002A1A15">
      <w:pPr>
        <w:rPr>
          <w:rFonts w:ascii="Times New Roman" w:hAnsi="Times New Roman"/>
          <w:sz w:val="24"/>
          <w:szCs w:val="24"/>
        </w:rPr>
      </w:pPr>
      <w:r w:rsidRPr="00EC38B3">
        <w:rPr>
          <w:rFonts w:ascii="Times New Roman" w:hAnsi="Times New Roman"/>
          <w:sz w:val="24"/>
          <w:szCs w:val="24"/>
        </w:rPr>
        <w:t xml:space="preserve">Each one of the </w:t>
      </w:r>
      <w:r w:rsidR="0035099B" w:rsidRPr="00EC38B3">
        <w:rPr>
          <w:rFonts w:ascii="Times New Roman" w:hAnsi="Times New Roman"/>
          <w:sz w:val="24"/>
          <w:szCs w:val="24"/>
        </w:rPr>
        <w:t xml:space="preserve">ACMA </w:t>
      </w:r>
      <w:r w:rsidRPr="00EC38B3">
        <w:rPr>
          <w:rFonts w:ascii="Times New Roman" w:hAnsi="Times New Roman"/>
          <w:sz w:val="24"/>
          <w:szCs w:val="24"/>
        </w:rPr>
        <w:t xml:space="preserve">Standards </w:t>
      </w:r>
      <w:r w:rsidR="00BB29C2">
        <w:rPr>
          <w:rFonts w:ascii="Times New Roman" w:hAnsi="Times New Roman"/>
          <w:sz w:val="24"/>
          <w:szCs w:val="24"/>
        </w:rPr>
        <w:t>repeals</w:t>
      </w:r>
      <w:r w:rsidR="00BB29C2" w:rsidRPr="00EC38B3">
        <w:rPr>
          <w:rFonts w:ascii="Times New Roman" w:hAnsi="Times New Roman"/>
          <w:sz w:val="24"/>
          <w:szCs w:val="24"/>
        </w:rPr>
        <w:t xml:space="preserve"> </w:t>
      </w:r>
      <w:r w:rsidR="009F2B93" w:rsidRPr="00EC38B3">
        <w:rPr>
          <w:rFonts w:ascii="Times New Roman" w:hAnsi="Times New Roman"/>
          <w:sz w:val="24"/>
          <w:szCs w:val="24"/>
        </w:rPr>
        <w:t xml:space="preserve">and </w:t>
      </w:r>
      <w:r w:rsidRPr="00EC38B3">
        <w:rPr>
          <w:rFonts w:ascii="Times New Roman" w:hAnsi="Times New Roman"/>
          <w:sz w:val="24"/>
          <w:szCs w:val="24"/>
        </w:rPr>
        <w:t xml:space="preserve">replaces </w:t>
      </w:r>
      <w:r w:rsidR="00AD26FE" w:rsidRPr="00EC38B3">
        <w:rPr>
          <w:rFonts w:ascii="Times New Roman" w:hAnsi="Times New Roman"/>
          <w:sz w:val="24"/>
          <w:szCs w:val="24"/>
        </w:rPr>
        <w:t xml:space="preserve">a </w:t>
      </w:r>
      <w:r w:rsidR="007A1170">
        <w:rPr>
          <w:rFonts w:ascii="Times New Roman" w:hAnsi="Times New Roman"/>
          <w:sz w:val="24"/>
          <w:szCs w:val="24"/>
        </w:rPr>
        <w:t>section 162</w:t>
      </w:r>
      <w:r w:rsidR="007A1170" w:rsidRPr="00EC38B3">
        <w:rPr>
          <w:rFonts w:ascii="Times New Roman" w:hAnsi="Times New Roman"/>
          <w:sz w:val="24"/>
          <w:szCs w:val="24"/>
        </w:rPr>
        <w:t xml:space="preserve"> </w:t>
      </w:r>
      <w:r w:rsidRPr="00EC38B3">
        <w:rPr>
          <w:rFonts w:ascii="Times New Roman" w:hAnsi="Times New Roman"/>
          <w:sz w:val="24"/>
          <w:szCs w:val="24"/>
        </w:rPr>
        <w:t>standard</w:t>
      </w:r>
      <w:r w:rsidR="0072061F" w:rsidRPr="00EC38B3">
        <w:rPr>
          <w:rFonts w:ascii="Times New Roman" w:hAnsi="Times New Roman"/>
          <w:sz w:val="24"/>
          <w:szCs w:val="24"/>
        </w:rPr>
        <w:t xml:space="preserve"> </w:t>
      </w:r>
      <w:r w:rsidRPr="00EC38B3">
        <w:rPr>
          <w:rFonts w:ascii="Times New Roman" w:hAnsi="Times New Roman"/>
          <w:sz w:val="24"/>
          <w:szCs w:val="24"/>
        </w:rPr>
        <w:t xml:space="preserve">dealing with the same (or substantially similar) subject matter.  </w:t>
      </w:r>
      <w:r w:rsidR="00BE68A1" w:rsidRPr="00A543CE">
        <w:rPr>
          <w:rFonts w:ascii="Times New Roman" w:hAnsi="Times New Roman"/>
          <w:sz w:val="24"/>
          <w:szCs w:val="24"/>
        </w:rPr>
        <w:t xml:space="preserve">The </w:t>
      </w:r>
      <w:r w:rsidR="00BE68A1">
        <w:rPr>
          <w:rFonts w:ascii="Times New Roman" w:hAnsi="Times New Roman"/>
          <w:sz w:val="24"/>
          <w:szCs w:val="24"/>
        </w:rPr>
        <w:t>ACMA Standards</w:t>
      </w:r>
      <w:r w:rsidR="00BE68A1" w:rsidRPr="00A543CE">
        <w:rPr>
          <w:rFonts w:ascii="Times New Roman" w:hAnsi="Times New Roman"/>
          <w:sz w:val="24"/>
          <w:szCs w:val="24"/>
        </w:rPr>
        <w:t xml:space="preserve"> repeal </w:t>
      </w:r>
      <w:r w:rsidR="007C3967">
        <w:rPr>
          <w:rFonts w:ascii="Times New Roman" w:hAnsi="Times New Roman"/>
          <w:sz w:val="24"/>
          <w:szCs w:val="24"/>
        </w:rPr>
        <w:t xml:space="preserve">and replace </w:t>
      </w:r>
      <w:r w:rsidR="00BE68A1" w:rsidRPr="00A543CE">
        <w:rPr>
          <w:rFonts w:ascii="Times New Roman" w:hAnsi="Times New Roman"/>
          <w:sz w:val="24"/>
          <w:szCs w:val="24"/>
        </w:rPr>
        <w:t xml:space="preserve">the </w:t>
      </w:r>
      <w:r w:rsidR="00BE68A1">
        <w:rPr>
          <w:rFonts w:ascii="Times New Roman" w:hAnsi="Times New Roman"/>
          <w:sz w:val="24"/>
          <w:szCs w:val="24"/>
        </w:rPr>
        <w:t xml:space="preserve">following </w:t>
      </w:r>
      <w:proofErr w:type="spellStart"/>
      <w:r w:rsidR="00BE68A1">
        <w:rPr>
          <w:rFonts w:ascii="Times New Roman" w:hAnsi="Times New Roman"/>
          <w:sz w:val="24"/>
          <w:szCs w:val="24"/>
        </w:rPr>
        <w:t>sunsetting</w:t>
      </w:r>
      <w:proofErr w:type="spellEnd"/>
      <w:r w:rsidR="00BE68A1" w:rsidRPr="00C76797">
        <w:rPr>
          <w:rFonts w:ascii="Times New Roman" w:hAnsi="Times New Roman"/>
          <w:sz w:val="24"/>
          <w:szCs w:val="24"/>
        </w:rPr>
        <w:t xml:space="preserve"> </w:t>
      </w:r>
      <w:r w:rsidR="00640233">
        <w:rPr>
          <w:rFonts w:ascii="Times New Roman" w:hAnsi="Times New Roman"/>
          <w:sz w:val="24"/>
          <w:szCs w:val="24"/>
        </w:rPr>
        <w:t xml:space="preserve">section 162 </w:t>
      </w:r>
      <w:r w:rsidR="00BE68A1" w:rsidRPr="00C76797">
        <w:rPr>
          <w:rFonts w:ascii="Times New Roman" w:hAnsi="Times New Roman"/>
          <w:sz w:val="24"/>
          <w:szCs w:val="24"/>
        </w:rPr>
        <w:t>standards</w:t>
      </w:r>
      <w:r w:rsidR="00167FB5">
        <w:rPr>
          <w:rFonts w:ascii="Times New Roman" w:hAnsi="Times New Roman"/>
          <w:sz w:val="24"/>
          <w:szCs w:val="24"/>
        </w:rPr>
        <w:t xml:space="preserve"> (collectively, </w:t>
      </w:r>
      <w:r w:rsidR="00167FB5" w:rsidRPr="008F5058">
        <w:rPr>
          <w:rFonts w:ascii="Times New Roman" w:hAnsi="Times New Roman"/>
          <w:b/>
          <w:sz w:val="24"/>
          <w:szCs w:val="24"/>
        </w:rPr>
        <w:t>the</w:t>
      </w:r>
      <w:r w:rsidR="00167FB5">
        <w:rPr>
          <w:rFonts w:ascii="Times New Roman" w:hAnsi="Times New Roman"/>
          <w:sz w:val="24"/>
          <w:szCs w:val="24"/>
        </w:rPr>
        <w:t xml:space="preserve"> </w:t>
      </w:r>
      <w:proofErr w:type="spellStart"/>
      <w:r w:rsidR="00167FB5">
        <w:rPr>
          <w:rFonts w:ascii="Times New Roman" w:hAnsi="Times New Roman"/>
          <w:b/>
          <w:sz w:val="24"/>
          <w:szCs w:val="24"/>
        </w:rPr>
        <w:t>sunsetting</w:t>
      </w:r>
      <w:proofErr w:type="spellEnd"/>
      <w:r w:rsidR="00167FB5">
        <w:rPr>
          <w:rFonts w:ascii="Times New Roman" w:hAnsi="Times New Roman"/>
          <w:b/>
          <w:sz w:val="24"/>
          <w:szCs w:val="24"/>
        </w:rPr>
        <w:t xml:space="preserve"> standards</w:t>
      </w:r>
      <w:r w:rsidR="00167FB5" w:rsidRPr="00BE68A1">
        <w:rPr>
          <w:rFonts w:ascii="Times New Roman" w:hAnsi="Times New Roman"/>
          <w:sz w:val="24"/>
          <w:szCs w:val="24"/>
        </w:rPr>
        <w:t>)</w:t>
      </w:r>
      <w:r w:rsidR="00BE68A1">
        <w:rPr>
          <w:rFonts w:ascii="Times New Roman" w:hAnsi="Times New Roman"/>
          <w:sz w:val="24"/>
          <w:szCs w:val="24"/>
        </w:rPr>
        <w:t>:</w:t>
      </w:r>
    </w:p>
    <w:p w14:paraId="34A893C2" w14:textId="77777777" w:rsidR="00BE68A1" w:rsidRPr="002A1A15" w:rsidRDefault="00B235B5" w:rsidP="00D437F7">
      <w:pPr>
        <w:pStyle w:val="ListParagraph"/>
        <w:numPr>
          <w:ilvl w:val="0"/>
          <w:numId w:val="23"/>
        </w:numPr>
        <w:ind w:hanging="720"/>
        <w:contextualSpacing w:val="0"/>
        <w:rPr>
          <w:rFonts w:ascii="Times New Roman" w:hAnsi="Times New Roman"/>
          <w:sz w:val="24"/>
          <w:szCs w:val="24"/>
        </w:rPr>
      </w:pPr>
      <w:r>
        <w:rPr>
          <w:rFonts w:ascii="Times New Roman" w:hAnsi="Times New Roman"/>
          <w:sz w:val="24"/>
          <w:szCs w:val="24"/>
        </w:rPr>
        <w:t xml:space="preserve">The </w:t>
      </w:r>
      <w:proofErr w:type="spellStart"/>
      <w:r w:rsidR="00BE68A1" w:rsidRPr="000E238D">
        <w:rPr>
          <w:rFonts w:ascii="Times New Roman" w:hAnsi="Times New Roman"/>
          <w:i/>
          <w:sz w:val="24"/>
          <w:szCs w:val="24"/>
        </w:rPr>
        <w:t>Radiocommunications</w:t>
      </w:r>
      <w:proofErr w:type="spellEnd"/>
      <w:r w:rsidR="00BE68A1" w:rsidRPr="000E238D">
        <w:rPr>
          <w:rFonts w:ascii="Times New Roman" w:hAnsi="Times New Roman"/>
          <w:i/>
          <w:sz w:val="24"/>
          <w:szCs w:val="24"/>
        </w:rPr>
        <w:t xml:space="preserve"> (Devices Used in the Inshore Boating Radio Services Band) Standard 2008</w:t>
      </w:r>
      <w:r w:rsidR="00D437F7" w:rsidRPr="002A1A15">
        <w:rPr>
          <w:rFonts w:ascii="Times New Roman" w:hAnsi="Times New Roman"/>
          <w:sz w:val="24"/>
          <w:szCs w:val="24"/>
        </w:rPr>
        <w:t xml:space="preserve"> </w:t>
      </w:r>
      <w:r w:rsidR="00D437F7" w:rsidRPr="000E238D">
        <w:rPr>
          <w:rFonts w:ascii="Times New Roman" w:hAnsi="Times New Roman"/>
          <w:sz w:val="24"/>
          <w:szCs w:val="24"/>
        </w:rPr>
        <w:t>(</w:t>
      </w:r>
      <w:r w:rsidR="00D437F7" w:rsidRPr="008F5058">
        <w:rPr>
          <w:rFonts w:ascii="Times New Roman" w:hAnsi="Times New Roman"/>
          <w:b/>
          <w:sz w:val="24"/>
          <w:szCs w:val="24"/>
        </w:rPr>
        <w:t>the</w:t>
      </w:r>
      <w:r w:rsidR="00D437F7" w:rsidRPr="000E238D">
        <w:rPr>
          <w:rFonts w:ascii="Times New Roman" w:hAnsi="Times New Roman"/>
          <w:sz w:val="24"/>
          <w:szCs w:val="24"/>
        </w:rPr>
        <w:t xml:space="preserve"> </w:t>
      </w:r>
      <w:proofErr w:type="spellStart"/>
      <w:r w:rsidR="00D437F7" w:rsidRPr="000E238D">
        <w:rPr>
          <w:rFonts w:ascii="Times New Roman" w:hAnsi="Times New Roman"/>
          <w:b/>
          <w:sz w:val="24"/>
          <w:szCs w:val="24"/>
        </w:rPr>
        <w:t>sunsetting</w:t>
      </w:r>
      <w:proofErr w:type="spellEnd"/>
      <w:r w:rsidR="00D437F7" w:rsidRPr="000E238D">
        <w:rPr>
          <w:rFonts w:ascii="Times New Roman" w:hAnsi="Times New Roman"/>
          <w:b/>
          <w:sz w:val="24"/>
          <w:szCs w:val="24"/>
        </w:rPr>
        <w:t xml:space="preserve"> Inshore Boating Standard</w:t>
      </w:r>
      <w:r w:rsidR="00D437F7" w:rsidRPr="000E238D">
        <w:rPr>
          <w:rFonts w:ascii="Times New Roman" w:hAnsi="Times New Roman"/>
          <w:sz w:val="24"/>
          <w:szCs w:val="24"/>
        </w:rPr>
        <w:t>)</w:t>
      </w:r>
      <w:r w:rsidR="00BE68A1" w:rsidRPr="002A1A15">
        <w:rPr>
          <w:rFonts w:ascii="Times New Roman" w:hAnsi="Times New Roman"/>
          <w:sz w:val="24"/>
          <w:szCs w:val="24"/>
        </w:rPr>
        <w:t>.</w:t>
      </w:r>
    </w:p>
    <w:p w14:paraId="06CA484E" w14:textId="01351095" w:rsidR="00D437F7" w:rsidRPr="00D437F7" w:rsidRDefault="00D437F7">
      <w:pPr>
        <w:pStyle w:val="ListParagraph"/>
        <w:contextualSpacing w:val="0"/>
      </w:pPr>
      <w:r>
        <w:rPr>
          <w:rFonts w:ascii="Times New Roman" w:hAnsi="Times New Roman"/>
          <w:sz w:val="24"/>
          <w:szCs w:val="24"/>
        </w:rPr>
        <w:t>Th</w:t>
      </w:r>
      <w:r w:rsidR="007C3967">
        <w:rPr>
          <w:rFonts w:ascii="Times New Roman" w:hAnsi="Times New Roman"/>
          <w:sz w:val="24"/>
          <w:szCs w:val="24"/>
        </w:rPr>
        <w:t xml:space="preserve">e </w:t>
      </w:r>
      <w:proofErr w:type="spellStart"/>
      <w:r w:rsidR="007C3967">
        <w:rPr>
          <w:rFonts w:ascii="Times New Roman" w:hAnsi="Times New Roman"/>
          <w:sz w:val="24"/>
          <w:szCs w:val="24"/>
        </w:rPr>
        <w:t>sunsetting</w:t>
      </w:r>
      <w:proofErr w:type="spellEnd"/>
      <w:r w:rsidR="007C3967">
        <w:rPr>
          <w:rFonts w:ascii="Times New Roman" w:hAnsi="Times New Roman"/>
          <w:sz w:val="24"/>
          <w:szCs w:val="24"/>
        </w:rPr>
        <w:t xml:space="preserve"> Inshore Boating</w:t>
      </w:r>
      <w:r>
        <w:rPr>
          <w:rFonts w:ascii="Times New Roman" w:hAnsi="Times New Roman"/>
          <w:sz w:val="24"/>
          <w:szCs w:val="24"/>
        </w:rPr>
        <w:t xml:space="preserve"> </w:t>
      </w:r>
      <w:r w:rsidR="007C3967">
        <w:rPr>
          <w:rFonts w:ascii="Times New Roman" w:hAnsi="Times New Roman"/>
          <w:sz w:val="24"/>
          <w:szCs w:val="24"/>
        </w:rPr>
        <w:t>S</w:t>
      </w:r>
      <w:r w:rsidRPr="00D437F7">
        <w:rPr>
          <w:rFonts w:ascii="Times New Roman" w:hAnsi="Times New Roman"/>
          <w:sz w:val="24"/>
          <w:szCs w:val="24"/>
        </w:rPr>
        <w:t xml:space="preserve">tandard </w:t>
      </w:r>
      <w:r w:rsidR="007C3967">
        <w:rPr>
          <w:rFonts w:ascii="Times New Roman" w:hAnsi="Times New Roman"/>
          <w:sz w:val="24"/>
          <w:szCs w:val="24"/>
        </w:rPr>
        <w:t xml:space="preserve">previously </w:t>
      </w:r>
      <w:r w:rsidRPr="00D437F7">
        <w:rPr>
          <w:rFonts w:ascii="Times New Roman" w:hAnsi="Times New Roman"/>
          <w:sz w:val="24"/>
          <w:szCs w:val="24"/>
        </w:rPr>
        <w:t xml:space="preserve">set out the applicable performance and testing requirements for Inshore Boating Radio Service equipment for the purposes of the Australian </w:t>
      </w:r>
      <w:proofErr w:type="spellStart"/>
      <w:r w:rsidRPr="00D437F7">
        <w:rPr>
          <w:rFonts w:ascii="Times New Roman" w:hAnsi="Times New Roman"/>
          <w:sz w:val="24"/>
          <w:szCs w:val="24"/>
        </w:rPr>
        <w:t>radiocommunications</w:t>
      </w:r>
      <w:proofErr w:type="spellEnd"/>
      <w:r w:rsidRPr="00D437F7">
        <w:rPr>
          <w:rFonts w:ascii="Times New Roman" w:hAnsi="Times New Roman"/>
          <w:sz w:val="24"/>
          <w:szCs w:val="24"/>
        </w:rPr>
        <w:t xml:space="preserve"> compliance and labelling regime. The </w:t>
      </w:r>
      <w:proofErr w:type="spellStart"/>
      <w:r>
        <w:rPr>
          <w:rFonts w:ascii="Times New Roman" w:hAnsi="Times New Roman"/>
          <w:sz w:val="24"/>
          <w:szCs w:val="24"/>
        </w:rPr>
        <w:t>sunsetting</w:t>
      </w:r>
      <w:proofErr w:type="spellEnd"/>
      <w:r>
        <w:rPr>
          <w:rFonts w:ascii="Times New Roman" w:hAnsi="Times New Roman"/>
          <w:sz w:val="24"/>
          <w:szCs w:val="24"/>
        </w:rPr>
        <w:t xml:space="preserve"> </w:t>
      </w:r>
      <w:r w:rsidRPr="00D437F7">
        <w:rPr>
          <w:rFonts w:ascii="Times New Roman" w:hAnsi="Times New Roman"/>
          <w:sz w:val="24"/>
          <w:szCs w:val="24"/>
        </w:rPr>
        <w:t xml:space="preserve">Inshore Boating Standard </w:t>
      </w:r>
      <w:r w:rsidR="009224A4">
        <w:rPr>
          <w:rFonts w:ascii="Times New Roman" w:hAnsi="Times New Roman"/>
          <w:sz w:val="24"/>
          <w:szCs w:val="24"/>
        </w:rPr>
        <w:t xml:space="preserve">had </w:t>
      </w:r>
      <w:r w:rsidRPr="00D437F7">
        <w:rPr>
          <w:rFonts w:ascii="Times New Roman" w:hAnsi="Times New Roman"/>
          <w:sz w:val="24"/>
          <w:szCs w:val="24"/>
        </w:rPr>
        <w:t>adopt</w:t>
      </w:r>
      <w:r w:rsidR="009224A4">
        <w:rPr>
          <w:rFonts w:ascii="Times New Roman" w:hAnsi="Times New Roman"/>
          <w:sz w:val="24"/>
          <w:szCs w:val="24"/>
        </w:rPr>
        <w:t>ed</w:t>
      </w:r>
      <w:r w:rsidR="00B0628C">
        <w:rPr>
          <w:rFonts w:ascii="Times New Roman" w:hAnsi="Times New Roman"/>
          <w:sz w:val="24"/>
          <w:szCs w:val="24"/>
        </w:rPr>
        <w:t>, with modifications,</w:t>
      </w:r>
      <w:r w:rsidRPr="00D437F7">
        <w:rPr>
          <w:rFonts w:ascii="Times New Roman" w:hAnsi="Times New Roman"/>
          <w:sz w:val="24"/>
          <w:szCs w:val="24"/>
        </w:rPr>
        <w:t xml:space="preserve"> the industry standard ‘AS 4367:2007 </w:t>
      </w:r>
      <w:proofErr w:type="spellStart"/>
      <w:r w:rsidRPr="00722E17">
        <w:rPr>
          <w:rFonts w:ascii="Times New Roman" w:hAnsi="Times New Roman"/>
          <w:i/>
          <w:sz w:val="24"/>
          <w:szCs w:val="24"/>
        </w:rPr>
        <w:t>Radiocommunications</w:t>
      </w:r>
      <w:proofErr w:type="spellEnd"/>
      <w:r w:rsidRPr="00722E17">
        <w:rPr>
          <w:rFonts w:ascii="Times New Roman" w:hAnsi="Times New Roman"/>
          <w:i/>
          <w:sz w:val="24"/>
          <w:szCs w:val="24"/>
        </w:rPr>
        <w:t xml:space="preserve"> equipment used in the inshore boating radio services band</w:t>
      </w:r>
      <w:r w:rsidRPr="00D437F7">
        <w:rPr>
          <w:rFonts w:ascii="Times New Roman" w:hAnsi="Times New Roman"/>
          <w:sz w:val="24"/>
          <w:szCs w:val="24"/>
        </w:rPr>
        <w:t xml:space="preserve">’, published by Standards Australia. </w:t>
      </w:r>
    </w:p>
    <w:p w14:paraId="19449EB2" w14:textId="77777777" w:rsidR="00BE68A1" w:rsidRPr="002A1A15" w:rsidRDefault="00E7562B" w:rsidP="00D437F7">
      <w:pPr>
        <w:pStyle w:val="ListParagraph"/>
        <w:numPr>
          <w:ilvl w:val="0"/>
          <w:numId w:val="23"/>
        </w:numPr>
        <w:ind w:hanging="720"/>
        <w:contextualSpacing w:val="0"/>
        <w:rPr>
          <w:rFonts w:ascii="Times New Roman" w:hAnsi="Times New Roman"/>
          <w:sz w:val="24"/>
          <w:szCs w:val="24"/>
        </w:rPr>
      </w:pPr>
      <w:r>
        <w:rPr>
          <w:rFonts w:ascii="Times New Roman" w:hAnsi="Times New Roman"/>
          <w:sz w:val="24"/>
          <w:szCs w:val="24"/>
        </w:rPr>
        <w:t xml:space="preserve">The </w:t>
      </w:r>
      <w:proofErr w:type="spellStart"/>
      <w:r w:rsidR="00BE68A1" w:rsidRPr="003D3931">
        <w:rPr>
          <w:rFonts w:ascii="Times New Roman" w:hAnsi="Times New Roman"/>
          <w:i/>
          <w:sz w:val="24"/>
          <w:szCs w:val="24"/>
        </w:rPr>
        <w:t>Radiocommunications</w:t>
      </w:r>
      <w:proofErr w:type="spellEnd"/>
      <w:r w:rsidR="00BE68A1" w:rsidRPr="003D3931">
        <w:rPr>
          <w:rFonts w:ascii="Times New Roman" w:hAnsi="Times New Roman"/>
          <w:i/>
          <w:sz w:val="24"/>
          <w:szCs w:val="24"/>
        </w:rPr>
        <w:t xml:space="preserve"> (Digital Cordless Communications Devices – DECT Devices) Standard 2007</w:t>
      </w:r>
      <w:r w:rsidR="00D437F7" w:rsidRPr="002A1A15">
        <w:rPr>
          <w:rFonts w:ascii="Times New Roman" w:hAnsi="Times New Roman"/>
          <w:sz w:val="24"/>
          <w:szCs w:val="24"/>
        </w:rPr>
        <w:t xml:space="preserve"> </w:t>
      </w:r>
      <w:r w:rsidR="00D437F7" w:rsidRPr="003D3931">
        <w:rPr>
          <w:rFonts w:ascii="Times New Roman" w:hAnsi="Times New Roman"/>
          <w:sz w:val="24"/>
          <w:szCs w:val="24"/>
        </w:rPr>
        <w:t>(</w:t>
      </w:r>
      <w:r w:rsidR="00D437F7" w:rsidRPr="008F5058">
        <w:rPr>
          <w:rFonts w:ascii="Times New Roman" w:hAnsi="Times New Roman"/>
          <w:b/>
          <w:sz w:val="24"/>
          <w:szCs w:val="24"/>
        </w:rPr>
        <w:t>the</w:t>
      </w:r>
      <w:r w:rsidR="00D437F7" w:rsidRPr="003D3931">
        <w:rPr>
          <w:rFonts w:ascii="Times New Roman" w:hAnsi="Times New Roman"/>
          <w:sz w:val="24"/>
          <w:szCs w:val="24"/>
        </w:rPr>
        <w:t xml:space="preserve"> </w:t>
      </w:r>
      <w:proofErr w:type="spellStart"/>
      <w:r w:rsidR="00D437F7" w:rsidRPr="003D3931">
        <w:rPr>
          <w:rFonts w:ascii="Times New Roman" w:hAnsi="Times New Roman"/>
          <w:b/>
          <w:sz w:val="24"/>
          <w:szCs w:val="24"/>
        </w:rPr>
        <w:t>sunsetting</w:t>
      </w:r>
      <w:proofErr w:type="spellEnd"/>
      <w:r w:rsidR="00D437F7" w:rsidRPr="003D3931">
        <w:rPr>
          <w:rFonts w:ascii="Times New Roman" w:hAnsi="Times New Roman"/>
          <w:b/>
          <w:sz w:val="24"/>
          <w:szCs w:val="24"/>
        </w:rPr>
        <w:t xml:space="preserve"> DECT Standard</w:t>
      </w:r>
      <w:r w:rsidR="00D437F7" w:rsidRPr="003D3931">
        <w:rPr>
          <w:rFonts w:ascii="Times New Roman" w:hAnsi="Times New Roman"/>
          <w:sz w:val="24"/>
          <w:szCs w:val="24"/>
        </w:rPr>
        <w:t>)</w:t>
      </w:r>
      <w:r w:rsidR="00BE68A1" w:rsidRPr="002A1A15">
        <w:rPr>
          <w:rFonts w:ascii="Times New Roman" w:hAnsi="Times New Roman"/>
          <w:sz w:val="24"/>
          <w:szCs w:val="24"/>
        </w:rPr>
        <w:t>.</w:t>
      </w:r>
    </w:p>
    <w:p w14:paraId="22CE6AE2" w14:textId="5D0A2A42" w:rsidR="00D437F7" w:rsidRPr="009224A4" w:rsidRDefault="00D437F7" w:rsidP="003F085C">
      <w:pPr>
        <w:pStyle w:val="ListParagraph"/>
        <w:tabs>
          <w:tab w:val="left" w:pos="1185"/>
        </w:tabs>
        <w:contextualSpacing w:val="0"/>
      </w:pPr>
      <w:r w:rsidRPr="00D437F7">
        <w:rPr>
          <w:rFonts w:ascii="Times New Roman" w:hAnsi="Times New Roman"/>
          <w:sz w:val="24"/>
          <w:szCs w:val="24"/>
        </w:rPr>
        <w:t>The</w:t>
      </w:r>
      <w:r>
        <w:rPr>
          <w:rFonts w:ascii="Times New Roman" w:hAnsi="Times New Roman"/>
          <w:sz w:val="24"/>
          <w:szCs w:val="24"/>
        </w:rPr>
        <w:t xml:space="preserve"> </w:t>
      </w:r>
      <w:proofErr w:type="spellStart"/>
      <w:r>
        <w:rPr>
          <w:rFonts w:ascii="Times New Roman" w:hAnsi="Times New Roman"/>
          <w:sz w:val="24"/>
          <w:szCs w:val="24"/>
        </w:rPr>
        <w:t>sunsetting</w:t>
      </w:r>
      <w:proofErr w:type="spellEnd"/>
      <w:r w:rsidRPr="00D437F7">
        <w:rPr>
          <w:rFonts w:ascii="Times New Roman" w:hAnsi="Times New Roman"/>
          <w:sz w:val="24"/>
          <w:szCs w:val="24"/>
        </w:rPr>
        <w:t xml:space="preserve"> DECT Standard </w:t>
      </w:r>
      <w:r w:rsidR="00284273">
        <w:rPr>
          <w:rFonts w:ascii="Times New Roman" w:hAnsi="Times New Roman"/>
          <w:sz w:val="24"/>
          <w:szCs w:val="24"/>
        </w:rPr>
        <w:t xml:space="preserve">previously </w:t>
      </w:r>
      <w:r w:rsidRPr="00D437F7">
        <w:rPr>
          <w:rFonts w:ascii="Times New Roman" w:hAnsi="Times New Roman"/>
          <w:sz w:val="24"/>
          <w:szCs w:val="24"/>
        </w:rPr>
        <w:t>set out the applicable performance and testing requirements for Digital Enhanced Cordless Telecommunications (</w:t>
      </w:r>
      <w:r w:rsidRPr="008F5058">
        <w:rPr>
          <w:rFonts w:ascii="Times New Roman" w:hAnsi="Times New Roman"/>
          <w:b/>
          <w:sz w:val="24"/>
          <w:szCs w:val="24"/>
        </w:rPr>
        <w:t>DECT</w:t>
      </w:r>
      <w:r w:rsidRPr="00D437F7">
        <w:rPr>
          <w:rFonts w:ascii="Times New Roman" w:hAnsi="Times New Roman"/>
          <w:sz w:val="24"/>
          <w:szCs w:val="24"/>
        </w:rPr>
        <w:t xml:space="preserve">) </w:t>
      </w:r>
      <w:r w:rsidRPr="00D437F7">
        <w:rPr>
          <w:rFonts w:ascii="Times New Roman" w:hAnsi="Times New Roman"/>
          <w:sz w:val="24"/>
          <w:szCs w:val="24"/>
        </w:rPr>
        <w:lastRenderedPageBreak/>
        <w:t>equipment</w:t>
      </w:r>
      <w:r w:rsidR="007C3967" w:rsidRPr="00D437F7">
        <w:rPr>
          <w:rFonts w:ascii="Times New Roman" w:hAnsi="Times New Roman"/>
          <w:sz w:val="24"/>
          <w:szCs w:val="24"/>
        </w:rPr>
        <w:t xml:space="preserve"> for the purposes of the Australian </w:t>
      </w:r>
      <w:proofErr w:type="spellStart"/>
      <w:r w:rsidR="007C3967" w:rsidRPr="00D437F7">
        <w:rPr>
          <w:rFonts w:ascii="Times New Roman" w:hAnsi="Times New Roman"/>
          <w:sz w:val="24"/>
          <w:szCs w:val="24"/>
        </w:rPr>
        <w:t>radiocommunications</w:t>
      </w:r>
      <w:proofErr w:type="spellEnd"/>
      <w:r w:rsidR="007C3967" w:rsidRPr="00D437F7">
        <w:rPr>
          <w:rFonts w:ascii="Times New Roman" w:hAnsi="Times New Roman"/>
          <w:sz w:val="24"/>
          <w:szCs w:val="24"/>
        </w:rPr>
        <w:t xml:space="preserve"> compliance and labelling regime</w:t>
      </w:r>
      <w:r w:rsidRPr="00D437F7">
        <w:rPr>
          <w:rFonts w:ascii="Times New Roman" w:hAnsi="Times New Roman"/>
          <w:sz w:val="24"/>
          <w:szCs w:val="24"/>
        </w:rPr>
        <w:t xml:space="preserve">.  The </w:t>
      </w:r>
      <w:proofErr w:type="spellStart"/>
      <w:r>
        <w:rPr>
          <w:rFonts w:ascii="Times New Roman" w:hAnsi="Times New Roman"/>
          <w:sz w:val="24"/>
          <w:szCs w:val="24"/>
        </w:rPr>
        <w:t>sunsetting</w:t>
      </w:r>
      <w:proofErr w:type="spellEnd"/>
      <w:r>
        <w:rPr>
          <w:rFonts w:ascii="Times New Roman" w:hAnsi="Times New Roman"/>
          <w:sz w:val="24"/>
          <w:szCs w:val="24"/>
        </w:rPr>
        <w:t xml:space="preserve"> </w:t>
      </w:r>
      <w:r w:rsidRPr="00D437F7">
        <w:rPr>
          <w:rFonts w:ascii="Times New Roman" w:hAnsi="Times New Roman"/>
          <w:sz w:val="24"/>
          <w:szCs w:val="24"/>
        </w:rPr>
        <w:t xml:space="preserve">DECT Standard </w:t>
      </w:r>
      <w:r w:rsidR="009224A4">
        <w:rPr>
          <w:rFonts w:ascii="Times New Roman" w:hAnsi="Times New Roman"/>
          <w:sz w:val="24"/>
          <w:szCs w:val="24"/>
        </w:rPr>
        <w:t xml:space="preserve">had </w:t>
      </w:r>
      <w:r w:rsidRPr="00D437F7">
        <w:rPr>
          <w:rFonts w:ascii="Times New Roman" w:hAnsi="Times New Roman"/>
          <w:sz w:val="24"/>
          <w:szCs w:val="24"/>
        </w:rPr>
        <w:t>adopt</w:t>
      </w:r>
      <w:r w:rsidR="009224A4">
        <w:rPr>
          <w:rFonts w:ascii="Times New Roman" w:hAnsi="Times New Roman"/>
          <w:sz w:val="24"/>
          <w:szCs w:val="24"/>
        </w:rPr>
        <w:t xml:space="preserve">ed, with modifications, </w:t>
      </w:r>
      <w:r w:rsidRPr="00D437F7">
        <w:rPr>
          <w:rFonts w:ascii="Times New Roman" w:hAnsi="Times New Roman"/>
          <w:sz w:val="24"/>
          <w:szCs w:val="24"/>
        </w:rPr>
        <w:t xml:space="preserve"> the ‘ETSI EN 301 406 </w:t>
      </w:r>
      <w:r w:rsidRPr="00722E17">
        <w:rPr>
          <w:rFonts w:ascii="Times New Roman" w:hAnsi="Times New Roman"/>
          <w:i/>
          <w:sz w:val="24"/>
          <w:szCs w:val="24"/>
        </w:rPr>
        <w:t>Digital Enhanced Cordless Telecommunications (DECT) Harmonised Standard covering the essential requirements of Article 3.2 of the Directive 2014/53/EU</w:t>
      </w:r>
      <w:r w:rsidRPr="00D437F7">
        <w:rPr>
          <w:rFonts w:ascii="Times New Roman" w:hAnsi="Times New Roman"/>
          <w:sz w:val="24"/>
          <w:szCs w:val="24"/>
        </w:rPr>
        <w:t>’, published by the European Telecommunications Standards Institute (</w:t>
      </w:r>
      <w:r w:rsidRPr="00A0123B">
        <w:rPr>
          <w:rFonts w:ascii="Times New Roman" w:hAnsi="Times New Roman"/>
          <w:b/>
          <w:sz w:val="24"/>
          <w:szCs w:val="24"/>
        </w:rPr>
        <w:t>ETSI</w:t>
      </w:r>
      <w:r w:rsidRPr="00D437F7">
        <w:rPr>
          <w:rFonts w:ascii="Times New Roman" w:hAnsi="Times New Roman"/>
          <w:sz w:val="24"/>
          <w:szCs w:val="24"/>
        </w:rPr>
        <w:t xml:space="preserve">). </w:t>
      </w:r>
    </w:p>
    <w:p w14:paraId="63E726AF" w14:textId="77777777" w:rsidR="00BE68A1" w:rsidRPr="002A1A15" w:rsidRDefault="00E7562B" w:rsidP="00D437F7">
      <w:pPr>
        <w:pStyle w:val="ListParagraph"/>
        <w:numPr>
          <w:ilvl w:val="0"/>
          <w:numId w:val="23"/>
        </w:numPr>
        <w:spacing w:before="240"/>
        <w:ind w:hanging="720"/>
        <w:contextualSpacing w:val="0"/>
        <w:rPr>
          <w:rFonts w:ascii="Times New Roman" w:hAnsi="Times New Roman"/>
          <w:sz w:val="24"/>
          <w:szCs w:val="24"/>
        </w:rPr>
      </w:pPr>
      <w:r>
        <w:rPr>
          <w:rFonts w:ascii="Times New Roman" w:hAnsi="Times New Roman"/>
          <w:sz w:val="24"/>
          <w:szCs w:val="24"/>
        </w:rPr>
        <w:t xml:space="preserve">The </w:t>
      </w:r>
      <w:proofErr w:type="spellStart"/>
      <w:r w:rsidR="00BE68A1" w:rsidRPr="003D3931">
        <w:rPr>
          <w:rFonts w:ascii="Times New Roman" w:hAnsi="Times New Roman"/>
          <w:i/>
          <w:sz w:val="24"/>
          <w:szCs w:val="24"/>
        </w:rPr>
        <w:t>Radiocommunications</w:t>
      </w:r>
      <w:proofErr w:type="spellEnd"/>
      <w:r w:rsidR="00BE68A1" w:rsidRPr="003D3931">
        <w:rPr>
          <w:rFonts w:ascii="Times New Roman" w:hAnsi="Times New Roman"/>
          <w:i/>
          <w:sz w:val="24"/>
          <w:szCs w:val="24"/>
        </w:rPr>
        <w:t xml:space="preserve"> (HF CB and </w:t>
      </w:r>
      <w:proofErr w:type="spellStart"/>
      <w:r w:rsidR="00BE68A1" w:rsidRPr="003D3931">
        <w:rPr>
          <w:rFonts w:ascii="Times New Roman" w:hAnsi="Times New Roman"/>
          <w:i/>
          <w:sz w:val="24"/>
          <w:szCs w:val="24"/>
        </w:rPr>
        <w:t>Handphone</w:t>
      </w:r>
      <w:proofErr w:type="spellEnd"/>
      <w:r w:rsidR="00BE68A1" w:rsidRPr="003D3931">
        <w:rPr>
          <w:rFonts w:ascii="Times New Roman" w:hAnsi="Times New Roman"/>
          <w:i/>
          <w:sz w:val="24"/>
          <w:szCs w:val="24"/>
        </w:rPr>
        <w:t xml:space="preserve"> Equipment) Standard 2008</w:t>
      </w:r>
      <w:r w:rsidR="00D437F7" w:rsidRPr="002A1A15">
        <w:rPr>
          <w:rFonts w:ascii="Times New Roman" w:hAnsi="Times New Roman"/>
          <w:sz w:val="24"/>
          <w:szCs w:val="24"/>
        </w:rPr>
        <w:t xml:space="preserve"> </w:t>
      </w:r>
      <w:r w:rsidR="00D437F7" w:rsidRPr="003D3931">
        <w:rPr>
          <w:rFonts w:ascii="Times New Roman" w:hAnsi="Times New Roman"/>
          <w:sz w:val="24"/>
          <w:szCs w:val="24"/>
        </w:rPr>
        <w:t>(</w:t>
      </w:r>
      <w:r w:rsidR="00D437F7" w:rsidRPr="008F5058">
        <w:rPr>
          <w:rFonts w:ascii="Times New Roman" w:hAnsi="Times New Roman"/>
          <w:b/>
          <w:sz w:val="24"/>
          <w:szCs w:val="24"/>
        </w:rPr>
        <w:t>the</w:t>
      </w:r>
      <w:r w:rsidR="00D437F7" w:rsidRPr="003D3931">
        <w:rPr>
          <w:rFonts w:ascii="Times New Roman" w:hAnsi="Times New Roman"/>
          <w:sz w:val="24"/>
          <w:szCs w:val="24"/>
        </w:rPr>
        <w:t xml:space="preserve"> </w:t>
      </w:r>
      <w:proofErr w:type="spellStart"/>
      <w:r w:rsidR="00D437F7" w:rsidRPr="003D3931">
        <w:rPr>
          <w:rFonts w:ascii="Times New Roman" w:hAnsi="Times New Roman"/>
          <w:b/>
          <w:sz w:val="24"/>
          <w:szCs w:val="24"/>
        </w:rPr>
        <w:t>sunsetting</w:t>
      </w:r>
      <w:proofErr w:type="spellEnd"/>
      <w:r w:rsidR="00D437F7" w:rsidRPr="003D3931">
        <w:rPr>
          <w:rFonts w:ascii="Times New Roman" w:hAnsi="Times New Roman"/>
          <w:b/>
          <w:sz w:val="24"/>
          <w:szCs w:val="24"/>
        </w:rPr>
        <w:t xml:space="preserve"> HF CB Standard</w:t>
      </w:r>
      <w:r w:rsidR="00D437F7" w:rsidRPr="003D3931">
        <w:rPr>
          <w:rFonts w:ascii="Times New Roman" w:hAnsi="Times New Roman"/>
          <w:sz w:val="24"/>
          <w:szCs w:val="24"/>
        </w:rPr>
        <w:t>)</w:t>
      </w:r>
      <w:r w:rsidR="00BE68A1" w:rsidRPr="002A1A15">
        <w:rPr>
          <w:rFonts w:ascii="Times New Roman" w:hAnsi="Times New Roman"/>
          <w:sz w:val="24"/>
          <w:szCs w:val="24"/>
        </w:rPr>
        <w:t>.</w:t>
      </w:r>
    </w:p>
    <w:p w14:paraId="1D8CB3F1" w14:textId="2A305978" w:rsidR="00D437F7" w:rsidRPr="003D3931" w:rsidRDefault="00D437F7" w:rsidP="003F085C">
      <w:pPr>
        <w:pStyle w:val="ListParagraph"/>
        <w:contextualSpacing w:val="0"/>
        <w:rPr>
          <w:rFonts w:ascii="Times New Roman" w:hAnsi="Times New Roman"/>
          <w:i/>
          <w:sz w:val="24"/>
          <w:szCs w:val="24"/>
        </w:rPr>
      </w:pPr>
      <w:r w:rsidRPr="00D437F7">
        <w:rPr>
          <w:rFonts w:ascii="Times New Roman" w:hAnsi="Times New Roman"/>
          <w:sz w:val="24"/>
          <w:szCs w:val="24"/>
        </w:rPr>
        <w:t>The</w:t>
      </w:r>
      <w:r>
        <w:rPr>
          <w:rFonts w:ascii="Times New Roman" w:hAnsi="Times New Roman"/>
          <w:sz w:val="24"/>
          <w:szCs w:val="24"/>
        </w:rPr>
        <w:t xml:space="preserve"> </w:t>
      </w:r>
      <w:proofErr w:type="spellStart"/>
      <w:r>
        <w:rPr>
          <w:rFonts w:ascii="Times New Roman" w:hAnsi="Times New Roman"/>
          <w:sz w:val="24"/>
          <w:szCs w:val="24"/>
        </w:rPr>
        <w:t>sunsetting</w:t>
      </w:r>
      <w:proofErr w:type="spellEnd"/>
      <w:r w:rsidRPr="00D437F7">
        <w:rPr>
          <w:rFonts w:ascii="Times New Roman" w:hAnsi="Times New Roman"/>
          <w:sz w:val="24"/>
          <w:szCs w:val="24"/>
        </w:rPr>
        <w:t xml:space="preserve"> </w:t>
      </w:r>
      <w:r w:rsidR="00E7562B">
        <w:rPr>
          <w:rFonts w:ascii="Times New Roman" w:hAnsi="Times New Roman"/>
          <w:sz w:val="24"/>
          <w:szCs w:val="24"/>
        </w:rPr>
        <w:t>HF CB</w:t>
      </w:r>
      <w:r w:rsidR="00E7562B" w:rsidRPr="00D437F7">
        <w:rPr>
          <w:rFonts w:ascii="Times New Roman" w:hAnsi="Times New Roman"/>
          <w:sz w:val="24"/>
          <w:szCs w:val="24"/>
        </w:rPr>
        <w:t xml:space="preserve"> </w:t>
      </w:r>
      <w:r w:rsidRPr="00D437F7">
        <w:rPr>
          <w:rFonts w:ascii="Times New Roman" w:hAnsi="Times New Roman"/>
          <w:sz w:val="24"/>
          <w:szCs w:val="24"/>
        </w:rPr>
        <w:t xml:space="preserve">Standard </w:t>
      </w:r>
      <w:r w:rsidR="007C3967">
        <w:rPr>
          <w:rFonts w:ascii="Times New Roman" w:hAnsi="Times New Roman"/>
          <w:sz w:val="24"/>
          <w:szCs w:val="24"/>
        </w:rPr>
        <w:t xml:space="preserve">previously </w:t>
      </w:r>
      <w:r w:rsidRPr="00D437F7">
        <w:rPr>
          <w:rFonts w:ascii="Times New Roman" w:hAnsi="Times New Roman"/>
          <w:sz w:val="24"/>
          <w:szCs w:val="24"/>
        </w:rPr>
        <w:t>set out the applicable performance and testing requirements for High Frequency Citizen Band (</w:t>
      </w:r>
      <w:r w:rsidRPr="002A1A15">
        <w:rPr>
          <w:rFonts w:ascii="Times New Roman" w:hAnsi="Times New Roman"/>
          <w:b/>
          <w:sz w:val="24"/>
          <w:szCs w:val="24"/>
        </w:rPr>
        <w:t>HF CB</w:t>
      </w:r>
      <w:r w:rsidRPr="00D437F7">
        <w:rPr>
          <w:rFonts w:ascii="Times New Roman" w:hAnsi="Times New Roman"/>
          <w:sz w:val="24"/>
          <w:szCs w:val="24"/>
        </w:rPr>
        <w:t xml:space="preserve">) and </w:t>
      </w:r>
      <w:proofErr w:type="spellStart"/>
      <w:r w:rsidRPr="00D437F7">
        <w:rPr>
          <w:rFonts w:ascii="Times New Roman" w:hAnsi="Times New Roman"/>
          <w:sz w:val="24"/>
          <w:szCs w:val="24"/>
        </w:rPr>
        <w:t>Handphone</w:t>
      </w:r>
      <w:proofErr w:type="spellEnd"/>
      <w:r w:rsidRPr="00D437F7">
        <w:rPr>
          <w:rFonts w:ascii="Times New Roman" w:hAnsi="Times New Roman"/>
          <w:sz w:val="24"/>
          <w:szCs w:val="24"/>
        </w:rPr>
        <w:t xml:space="preserve"> equipment for the purposes of the Australian </w:t>
      </w:r>
      <w:proofErr w:type="spellStart"/>
      <w:r w:rsidRPr="00D437F7">
        <w:rPr>
          <w:rFonts w:ascii="Times New Roman" w:hAnsi="Times New Roman"/>
          <w:sz w:val="24"/>
          <w:szCs w:val="24"/>
        </w:rPr>
        <w:t>radiocommunications</w:t>
      </w:r>
      <w:proofErr w:type="spellEnd"/>
      <w:r w:rsidRPr="00D437F7">
        <w:rPr>
          <w:rFonts w:ascii="Times New Roman" w:hAnsi="Times New Roman"/>
          <w:sz w:val="24"/>
          <w:szCs w:val="24"/>
        </w:rPr>
        <w:t xml:space="preserve"> compliance and labelling regime.  The </w:t>
      </w:r>
      <w:proofErr w:type="spellStart"/>
      <w:r>
        <w:rPr>
          <w:rFonts w:ascii="Times New Roman" w:hAnsi="Times New Roman"/>
          <w:sz w:val="24"/>
          <w:szCs w:val="24"/>
        </w:rPr>
        <w:t>sunsetting</w:t>
      </w:r>
      <w:proofErr w:type="spellEnd"/>
      <w:r>
        <w:rPr>
          <w:rFonts w:ascii="Times New Roman" w:hAnsi="Times New Roman"/>
          <w:sz w:val="24"/>
          <w:szCs w:val="24"/>
        </w:rPr>
        <w:t xml:space="preserve"> </w:t>
      </w:r>
      <w:r w:rsidR="00567D8D">
        <w:rPr>
          <w:rFonts w:ascii="Times New Roman" w:hAnsi="Times New Roman"/>
          <w:sz w:val="24"/>
          <w:szCs w:val="24"/>
        </w:rPr>
        <w:t>HF CB</w:t>
      </w:r>
      <w:r w:rsidR="00567D8D" w:rsidRPr="00D437F7">
        <w:rPr>
          <w:rFonts w:ascii="Times New Roman" w:hAnsi="Times New Roman"/>
          <w:sz w:val="24"/>
          <w:szCs w:val="24"/>
        </w:rPr>
        <w:t xml:space="preserve"> </w:t>
      </w:r>
      <w:r w:rsidRPr="00D437F7">
        <w:rPr>
          <w:rFonts w:ascii="Times New Roman" w:hAnsi="Times New Roman"/>
          <w:sz w:val="24"/>
          <w:szCs w:val="24"/>
        </w:rPr>
        <w:t>Standard</w:t>
      </w:r>
      <w:r w:rsidR="009224A4">
        <w:rPr>
          <w:rFonts w:ascii="Times New Roman" w:hAnsi="Times New Roman"/>
          <w:sz w:val="24"/>
          <w:szCs w:val="24"/>
        </w:rPr>
        <w:t xml:space="preserve"> had</w:t>
      </w:r>
      <w:r w:rsidRPr="00D437F7">
        <w:rPr>
          <w:rFonts w:ascii="Times New Roman" w:hAnsi="Times New Roman"/>
          <w:sz w:val="24"/>
          <w:szCs w:val="24"/>
        </w:rPr>
        <w:t xml:space="preserve"> adopt</w:t>
      </w:r>
      <w:r w:rsidR="009224A4">
        <w:rPr>
          <w:rFonts w:ascii="Times New Roman" w:hAnsi="Times New Roman"/>
          <w:sz w:val="24"/>
          <w:szCs w:val="24"/>
        </w:rPr>
        <w:t>ed</w:t>
      </w:r>
      <w:r w:rsidR="00B0628C">
        <w:rPr>
          <w:rFonts w:ascii="Times New Roman" w:hAnsi="Times New Roman"/>
          <w:sz w:val="24"/>
          <w:szCs w:val="24"/>
        </w:rPr>
        <w:t>, with modifications,</w:t>
      </w:r>
      <w:r w:rsidRPr="00D437F7">
        <w:rPr>
          <w:rFonts w:ascii="Times New Roman" w:hAnsi="Times New Roman"/>
          <w:sz w:val="24"/>
          <w:szCs w:val="24"/>
        </w:rPr>
        <w:t xml:space="preserve"> the industry standard ‘AS/NZS 4355:2006 (R2016) </w:t>
      </w:r>
      <w:proofErr w:type="spellStart"/>
      <w:r w:rsidRPr="00722E17">
        <w:rPr>
          <w:rFonts w:ascii="Times New Roman" w:hAnsi="Times New Roman"/>
          <w:i/>
          <w:sz w:val="24"/>
          <w:szCs w:val="24"/>
        </w:rPr>
        <w:t>Radiocommunications</w:t>
      </w:r>
      <w:proofErr w:type="spellEnd"/>
      <w:r w:rsidRPr="00722E17">
        <w:rPr>
          <w:rFonts w:ascii="Times New Roman" w:hAnsi="Times New Roman"/>
          <w:i/>
          <w:sz w:val="24"/>
          <w:szCs w:val="24"/>
        </w:rPr>
        <w:t xml:space="preserve"> equipment used in the </w:t>
      </w:r>
      <w:proofErr w:type="spellStart"/>
      <w:r w:rsidRPr="00722E17">
        <w:rPr>
          <w:rFonts w:ascii="Times New Roman" w:hAnsi="Times New Roman"/>
          <w:i/>
          <w:sz w:val="24"/>
          <w:szCs w:val="24"/>
        </w:rPr>
        <w:t>handphone</w:t>
      </w:r>
      <w:proofErr w:type="spellEnd"/>
      <w:r w:rsidRPr="00722E17">
        <w:rPr>
          <w:rFonts w:ascii="Times New Roman" w:hAnsi="Times New Roman"/>
          <w:i/>
          <w:sz w:val="24"/>
          <w:szCs w:val="24"/>
        </w:rPr>
        <w:t xml:space="preserve"> and citizen band radio services operating at frequencies not exceeding 30 MHz</w:t>
      </w:r>
      <w:r w:rsidRPr="00D437F7">
        <w:rPr>
          <w:rFonts w:ascii="Times New Roman" w:hAnsi="Times New Roman"/>
          <w:sz w:val="24"/>
          <w:szCs w:val="24"/>
        </w:rPr>
        <w:t>’.</w:t>
      </w:r>
    </w:p>
    <w:p w14:paraId="39DFDAF3" w14:textId="77777777" w:rsidR="00C43FEC" w:rsidRPr="00EC38B3" w:rsidRDefault="00BE68A1" w:rsidP="00686FEB">
      <w:pPr>
        <w:pStyle w:val="ListParagraph"/>
        <w:spacing w:line="240" w:lineRule="atLeast"/>
        <w:ind w:left="0"/>
        <w:rPr>
          <w:rFonts w:ascii="Times New Roman" w:hAnsi="Times New Roman"/>
          <w:sz w:val="24"/>
          <w:szCs w:val="24"/>
        </w:rPr>
      </w:pPr>
      <w:r>
        <w:rPr>
          <w:rFonts w:ascii="Times New Roman" w:hAnsi="Times New Roman"/>
          <w:sz w:val="24"/>
          <w:szCs w:val="24"/>
        </w:rPr>
        <w:t>T</w:t>
      </w:r>
      <w:r w:rsidR="00C43FEC" w:rsidRPr="00EC38B3">
        <w:rPr>
          <w:rFonts w:ascii="Times New Roman" w:hAnsi="Times New Roman"/>
          <w:sz w:val="24"/>
          <w:szCs w:val="24"/>
        </w:rPr>
        <w:t xml:space="preserve">he </w:t>
      </w:r>
      <w:r w:rsidR="0035099B" w:rsidRPr="00EC38B3">
        <w:rPr>
          <w:rFonts w:ascii="Times New Roman" w:hAnsi="Times New Roman"/>
          <w:sz w:val="24"/>
          <w:szCs w:val="24"/>
        </w:rPr>
        <w:t xml:space="preserve">ACMA </w:t>
      </w:r>
      <w:r w:rsidR="00C43FEC" w:rsidRPr="00EC38B3">
        <w:rPr>
          <w:rFonts w:ascii="Times New Roman" w:hAnsi="Times New Roman"/>
          <w:sz w:val="24"/>
          <w:szCs w:val="24"/>
        </w:rPr>
        <w:t>Standards</w:t>
      </w:r>
      <w:r w:rsidR="00967532" w:rsidRPr="00EC38B3">
        <w:rPr>
          <w:rFonts w:ascii="Times New Roman" w:hAnsi="Times New Roman"/>
          <w:sz w:val="24"/>
          <w:szCs w:val="24"/>
        </w:rPr>
        <w:t xml:space="preserve"> do not substantially change</w:t>
      </w:r>
      <w:r w:rsidR="00C43FEC" w:rsidRPr="00EC38B3">
        <w:rPr>
          <w:rFonts w:ascii="Times New Roman" w:hAnsi="Times New Roman"/>
          <w:sz w:val="24"/>
          <w:szCs w:val="24"/>
        </w:rPr>
        <w:t xml:space="preserve"> the regulatory arrangements created by the </w:t>
      </w:r>
      <w:proofErr w:type="spellStart"/>
      <w:r>
        <w:rPr>
          <w:rFonts w:ascii="Times New Roman" w:hAnsi="Times New Roman"/>
          <w:sz w:val="24"/>
          <w:szCs w:val="24"/>
        </w:rPr>
        <w:t>sunsetting</w:t>
      </w:r>
      <w:proofErr w:type="spellEnd"/>
      <w:r w:rsidR="00C43FEC" w:rsidRPr="00EC38B3">
        <w:rPr>
          <w:rFonts w:ascii="Times New Roman" w:hAnsi="Times New Roman"/>
          <w:sz w:val="24"/>
          <w:szCs w:val="24"/>
        </w:rPr>
        <w:t xml:space="preserve"> standards.</w:t>
      </w:r>
    </w:p>
    <w:p w14:paraId="5BDF712B" w14:textId="77777777" w:rsidR="00EC38B3" w:rsidRPr="00A543CE" w:rsidRDefault="00EC38B3" w:rsidP="002A1A15">
      <w:pPr>
        <w:rPr>
          <w:rFonts w:ascii="Times New Roman" w:hAnsi="Times New Roman"/>
          <w:sz w:val="24"/>
          <w:szCs w:val="24"/>
        </w:rPr>
      </w:pPr>
      <w:r w:rsidRPr="00A543CE">
        <w:rPr>
          <w:rFonts w:ascii="Times New Roman" w:hAnsi="Times New Roman"/>
          <w:sz w:val="24"/>
          <w:szCs w:val="24"/>
        </w:rPr>
        <w:t xml:space="preserve">The ACMA has formed the view that </w:t>
      </w:r>
      <w:r>
        <w:rPr>
          <w:rFonts w:ascii="Times New Roman" w:hAnsi="Times New Roman"/>
          <w:sz w:val="24"/>
          <w:szCs w:val="24"/>
        </w:rPr>
        <w:t xml:space="preserve">the </w:t>
      </w:r>
      <w:proofErr w:type="spellStart"/>
      <w:r w:rsidR="00BE68A1">
        <w:rPr>
          <w:rFonts w:ascii="Times New Roman" w:hAnsi="Times New Roman"/>
          <w:sz w:val="24"/>
          <w:szCs w:val="24"/>
        </w:rPr>
        <w:t>sunsetting</w:t>
      </w:r>
      <w:proofErr w:type="spellEnd"/>
      <w:r w:rsidR="00BE68A1">
        <w:rPr>
          <w:rFonts w:ascii="Times New Roman" w:hAnsi="Times New Roman"/>
          <w:sz w:val="24"/>
          <w:szCs w:val="24"/>
        </w:rPr>
        <w:t xml:space="preserve"> s</w:t>
      </w:r>
      <w:r w:rsidRPr="00C76797">
        <w:rPr>
          <w:rFonts w:ascii="Times New Roman" w:hAnsi="Times New Roman"/>
          <w:sz w:val="24"/>
          <w:szCs w:val="24"/>
        </w:rPr>
        <w:t>tandard</w:t>
      </w:r>
      <w:r w:rsidR="00C76797">
        <w:rPr>
          <w:rFonts w:ascii="Times New Roman" w:hAnsi="Times New Roman"/>
          <w:sz w:val="24"/>
          <w:szCs w:val="24"/>
        </w:rPr>
        <w:t>s</w:t>
      </w:r>
      <w:r w:rsidRPr="00A543CE">
        <w:rPr>
          <w:rFonts w:ascii="Times New Roman" w:hAnsi="Times New Roman"/>
          <w:sz w:val="24"/>
          <w:szCs w:val="24"/>
        </w:rPr>
        <w:t xml:space="preserve"> </w:t>
      </w:r>
      <w:r w:rsidR="00BE68A1">
        <w:rPr>
          <w:rFonts w:ascii="Times New Roman" w:hAnsi="Times New Roman"/>
          <w:sz w:val="24"/>
          <w:szCs w:val="24"/>
        </w:rPr>
        <w:t>were</w:t>
      </w:r>
      <w:r w:rsidRPr="00A543CE">
        <w:rPr>
          <w:rFonts w:ascii="Times New Roman" w:hAnsi="Times New Roman"/>
          <w:sz w:val="24"/>
          <w:szCs w:val="24"/>
        </w:rPr>
        <w:t xml:space="preserve"> operating effectively and eff</w:t>
      </w:r>
      <w:r w:rsidR="00C76797">
        <w:rPr>
          <w:rFonts w:ascii="Times New Roman" w:hAnsi="Times New Roman"/>
          <w:sz w:val="24"/>
          <w:szCs w:val="24"/>
        </w:rPr>
        <w:t>iciently and, as such, continue</w:t>
      </w:r>
      <w:r w:rsidRPr="00A543CE">
        <w:rPr>
          <w:rFonts w:ascii="Times New Roman" w:hAnsi="Times New Roman"/>
          <w:sz w:val="24"/>
          <w:szCs w:val="24"/>
        </w:rPr>
        <w:t xml:space="preserve"> to form a necessary and useful part of the legislative framework. </w:t>
      </w:r>
      <w:r w:rsidR="00167FB5">
        <w:rPr>
          <w:rFonts w:ascii="Times New Roman" w:hAnsi="Times New Roman"/>
          <w:sz w:val="24"/>
          <w:szCs w:val="24"/>
        </w:rPr>
        <w:t xml:space="preserve"> </w:t>
      </w:r>
      <w:r w:rsidRPr="00A543CE">
        <w:rPr>
          <w:rFonts w:ascii="Times New Roman" w:hAnsi="Times New Roman"/>
          <w:sz w:val="24"/>
          <w:szCs w:val="24"/>
        </w:rPr>
        <w:t xml:space="preserve">Accordingly, the ACMA </w:t>
      </w:r>
      <w:r>
        <w:rPr>
          <w:rFonts w:ascii="Times New Roman" w:hAnsi="Times New Roman"/>
          <w:sz w:val="24"/>
          <w:szCs w:val="24"/>
        </w:rPr>
        <w:t>has</w:t>
      </w:r>
      <w:r w:rsidRPr="00027CA5">
        <w:rPr>
          <w:rFonts w:ascii="Times New Roman" w:hAnsi="Times New Roman"/>
          <w:sz w:val="24"/>
          <w:szCs w:val="24"/>
        </w:rPr>
        <w:t xml:space="preserve"> made</w:t>
      </w:r>
      <w:r w:rsidRPr="00A543CE">
        <w:rPr>
          <w:rFonts w:ascii="Times New Roman" w:hAnsi="Times New Roman"/>
          <w:sz w:val="24"/>
          <w:szCs w:val="24"/>
        </w:rPr>
        <w:t xml:space="preserve"> </w:t>
      </w:r>
      <w:r>
        <w:rPr>
          <w:rFonts w:ascii="Times New Roman" w:hAnsi="Times New Roman"/>
          <w:sz w:val="24"/>
          <w:szCs w:val="24"/>
        </w:rPr>
        <w:t>the</w:t>
      </w:r>
      <w:r w:rsidR="00167FB5">
        <w:rPr>
          <w:rFonts w:ascii="Times New Roman" w:hAnsi="Times New Roman"/>
          <w:sz w:val="24"/>
          <w:szCs w:val="24"/>
        </w:rPr>
        <w:t xml:space="preserve"> ACMA Standards to</w:t>
      </w:r>
      <w:r>
        <w:rPr>
          <w:rFonts w:ascii="Times New Roman" w:hAnsi="Times New Roman"/>
          <w:sz w:val="24"/>
          <w:szCs w:val="24"/>
        </w:rPr>
        <w:t xml:space="preserve"> </w:t>
      </w:r>
      <w:r w:rsidR="00167FB5">
        <w:rPr>
          <w:rFonts w:ascii="Times New Roman" w:hAnsi="Times New Roman"/>
          <w:sz w:val="24"/>
          <w:szCs w:val="24"/>
        </w:rPr>
        <w:t xml:space="preserve">replace the </w:t>
      </w:r>
      <w:proofErr w:type="spellStart"/>
      <w:r w:rsidR="00BE68A1">
        <w:rPr>
          <w:rFonts w:ascii="Times New Roman" w:hAnsi="Times New Roman"/>
          <w:sz w:val="24"/>
          <w:szCs w:val="24"/>
        </w:rPr>
        <w:t>sunsetting</w:t>
      </w:r>
      <w:proofErr w:type="spellEnd"/>
      <w:r w:rsidR="00BE68A1">
        <w:rPr>
          <w:rFonts w:ascii="Times New Roman" w:hAnsi="Times New Roman"/>
          <w:sz w:val="24"/>
          <w:szCs w:val="24"/>
        </w:rPr>
        <w:t xml:space="preserve"> s</w:t>
      </w:r>
      <w:r w:rsidR="00C76797">
        <w:rPr>
          <w:rFonts w:ascii="Times New Roman" w:hAnsi="Times New Roman"/>
          <w:sz w:val="24"/>
          <w:szCs w:val="24"/>
        </w:rPr>
        <w:t>tandards</w:t>
      </w:r>
      <w:r w:rsidRPr="00A543CE">
        <w:rPr>
          <w:rFonts w:ascii="Times New Roman" w:hAnsi="Times New Roman"/>
          <w:sz w:val="24"/>
          <w:szCs w:val="24"/>
        </w:rPr>
        <w:t xml:space="preserve"> prior to the date</w:t>
      </w:r>
      <w:r w:rsidR="00DA0F11">
        <w:rPr>
          <w:rFonts w:ascii="Times New Roman" w:hAnsi="Times New Roman"/>
          <w:sz w:val="24"/>
          <w:szCs w:val="24"/>
        </w:rPr>
        <w:t>(s) on which they would be automatically repealed</w:t>
      </w:r>
      <w:r w:rsidRPr="00A543CE">
        <w:rPr>
          <w:rFonts w:ascii="Times New Roman" w:hAnsi="Times New Roman"/>
          <w:sz w:val="24"/>
          <w:szCs w:val="24"/>
        </w:rPr>
        <w:t xml:space="preserve">, so that </w:t>
      </w:r>
      <w:r w:rsidR="00DA0F11">
        <w:rPr>
          <w:rFonts w:ascii="Times New Roman" w:hAnsi="Times New Roman"/>
          <w:sz w:val="24"/>
          <w:szCs w:val="24"/>
        </w:rPr>
        <w:t>the</w:t>
      </w:r>
      <w:r w:rsidR="00DA0F11" w:rsidRPr="00A543CE">
        <w:rPr>
          <w:rFonts w:ascii="Times New Roman" w:hAnsi="Times New Roman"/>
          <w:sz w:val="24"/>
          <w:szCs w:val="24"/>
        </w:rPr>
        <w:t xml:space="preserve"> </w:t>
      </w:r>
      <w:r w:rsidRPr="00A543CE">
        <w:rPr>
          <w:rFonts w:ascii="Times New Roman" w:hAnsi="Times New Roman"/>
          <w:sz w:val="24"/>
          <w:szCs w:val="24"/>
        </w:rPr>
        <w:t>ongoing effect</w:t>
      </w:r>
      <w:r w:rsidR="00DA0F11">
        <w:rPr>
          <w:rFonts w:ascii="Times New Roman" w:hAnsi="Times New Roman"/>
          <w:sz w:val="24"/>
          <w:szCs w:val="24"/>
        </w:rPr>
        <w:t xml:space="preserve"> of each of those instruments is</w:t>
      </w:r>
      <w:r w:rsidR="00DA0F11" w:rsidRPr="00A543CE">
        <w:rPr>
          <w:rFonts w:ascii="Times New Roman" w:hAnsi="Times New Roman"/>
          <w:sz w:val="24"/>
          <w:szCs w:val="24"/>
        </w:rPr>
        <w:t xml:space="preserve"> </w:t>
      </w:r>
      <w:r w:rsidRPr="00A543CE">
        <w:rPr>
          <w:rFonts w:ascii="Times New Roman" w:hAnsi="Times New Roman"/>
          <w:sz w:val="24"/>
          <w:szCs w:val="24"/>
        </w:rPr>
        <w:t>preserved.</w:t>
      </w:r>
    </w:p>
    <w:p w14:paraId="2605771C" w14:textId="77777777" w:rsidR="00EC38B3" w:rsidRPr="00A543CE" w:rsidRDefault="00EC38B3" w:rsidP="00EC38B3">
      <w:pPr>
        <w:rPr>
          <w:rFonts w:ascii="Times New Roman" w:hAnsi="Times New Roman"/>
          <w:sz w:val="24"/>
          <w:szCs w:val="24"/>
        </w:rPr>
      </w:pPr>
      <w:r w:rsidRPr="00A543CE">
        <w:rPr>
          <w:rFonts w:ascii="Times New Roman" w:hAnsi="Times New Roman"/>
          <w:sz w:val="24"/>
          <w:szCs w:val="24"/>
        </w:rPr>
        <w:t xml:space="preserve">A provision-by-provision description of the </w:t>
      </w:r>
      <w:r w:rsidR="00C76797">
        <w:rPr>
          <w:rFonts w:ascii="Times New Roman" w:hAnsi="Times New Roman"/>
          <w:sz w:val="24"/>
          <w:szCs w:val="24"/>
        </w:rPr>
        <w:t>ACMA</w:t>
      </w:r>
      <w:r w:rsidRPr="00A543CE">
        <w:rPr>
          <w:rFonts w:ascii="Times New Roman" w:hAnsi="Times New Roman"/>
          <w:sz w:val="24"/>
          <w:szCs w:val="24"/>
        </w:rPr>
        <w:t xml:space="preserve"> </w:t>
      </w:r>
      <w:r w:rsidR="00A73198">
        <w:rPr>
          <w:rFonts w:ascii="Times New Roman" w:hAnsi="Times New Roman"/>
          <w:sz w:val="24"/>
          <w:szCs w:val="24"/>
        </w:rPr>
        <w:t xml:space="preserve">Standards </w:t>
      </w:r>
      <w:r w:rsidRPr="00A543CE">
        <w:rPr>
          <w:rFonts w:ascii="Times New Roman" w:hAnsi="Times New Roman"/>
          <w:sz w:val="24"/>
          <w:szCs w:val="24"/>
        </w:rPr>
        <w:t xml:space="preserve">is set out in the notes at </w:t>
      </w:r>
      <w:r w:rsidRPr="00A543CE">
        <w:rPr>
          <w:rFonts w:ascii="Times New Roman" w:hAnsi="Times New Roman"/>
          <w:b/>
          <w:sz w:val="24"/>
          <w:szCs w:val="24"/>
        </w:rPr>
        <w:t>Attachment A</w:t>
      </w:r>
      <w:r w:rsidRPr="00A543CE">
        <w:rPr>
          <w:rFonts w:ascii="Times New Roman" w:hAnsi="Times New Roman"/>
          <w:sz w:val="24"/>
          <w:szCs w:val="24"/>
        </w:rPr>
        <w:t>.</w:t>
      </w:r>
    </w:p>
    <w:p w14:paraId="3AB723A5" w14:textId="77777777" w:rsidR="00EC38B3" w:rsidRPr="00A543CE" w:rsidRDefault="00EC38B3" w:rsidP="00EC38B3">
      <w:pPr>
        <w:rPr>
          <w:rFonts w:ascii="Times New Roman" w:hAnsi="Times New Roman"/>
          <w:sz w:val="24"/>
          <w:szCs w:val="24"/>
        </w:rPr>
      </w:pPr>
      <w:r w:rsidRPr="00A543CE">
        <w:rPr>
          <w:rFonts w:ascii="Times New Roman" w:hAnsi="Times New Roman"/>
          <w:sz w:val="24"/>
          <w:szCs w:val="24"/>
        </w:rPr>
        <w:t xml:space="preserve">The </w:t>
      </w:r>
      <w:r w:rsidR="00FB4E26">
        <w:rPr>
          <w:rFonts w:ascii="Times New Roman" w:hAnsi="Times New Roman"/>
          <w:sz w:val="24"/>
          <w:szCs w:val="24"/>
        </w:rPr>
        <w:t>ACMA Standards are</w:t>
      </w:r>
      <w:r w:rsidRPr="00A543CE">
        <w:rPr>
          <w:rFonts w:ascii="Times New Roman" w:hAnsi="Times New Roman"/>
          <w:sz w:val="24"/>
          <w:szCs w:val="24"/>
        </w:rPr>
        <w:t xml:space="preserve"> legislative instrument</w:t>
      </w:r>
      <w:r w:rsidR="00FB4E26">
        <w:rPr>
          <w:rFonts w:ascii="Times New Roman" w:hAnsi="Times New Roman"/>
          <w:sz w:val="24"/>
          <w:szCs w:val="24"/>
        </w:rPr>
        <w:t>s</w:t>
      </w:r>
      <w:r w:rsidRPr="00A543CE">
        <w:rPr>
          <w:rFonts w:ascii="Times New Roman" w:hAnsi="Times New Roman"/>
          <w:sz w:val="24"/>
          <w:szCs w:val="24"/>
        </w:rPr>
        <w:t xml:space="preserve"> for the purposes of the LA. </w:t>
      </w:r>
    </w:p>
    <w:p w14:paraId="1EDF4CCE" w14:textId="2188FA38" w:rsidR="00EE4C22" w:rsidRPr="00EC38B3" w:rsidRDefault="00EE4C22" w:rsidP="002A1A15">
      <w:pPr>
        <w:rPr>
          <w:rFonts w:ascii="Times New Roman" w:hAnsi="Times New Roman"/>
          <w:sz w:val="24"/>
          <w:szCs w:val="24"/>
        </w:rPr>
      </w:pPr>
      <w:r w:rsidRPr="00EC38B3">
        <w:rPr>
          <w:rFonts w:ascii="Times New Roman" w:hAnsi="Times New Roman"/>
          <w:sz w:val="24"/>
          <w:szCs w:val="24"/>
        </w:rPr>
        <w:t xml:space="preserve">Each one of the </w:t>
      </w:r>
      <w:r w:rsidR="00D04805" w:rsidRPr="00EC38B3">
        <w:rPr>
          <w:rFonts w:ascii="Times New Roman" w:hAnsi="Times New Roman"/>
          <w:sz w:val="24"/>
          <w:szCs w:val="24"/>
        </w:rPr>
        <w:t xml:space="preserve">ACMA </w:t>
      </w:r>
      <w:r w:rsidRPr="00EC38B3">
        <w:rPr>
          <w:rFonts w:ascii="Times New Roman" w:hAnsi="Times New Roman"/>
          <w:sz w:val="24"/>
          <w:szCs w:val="24"/>
        </w:rPr>
        <w:t>Standards adopt</w:t>
      </w:r>
      <w:r w:rsidR="00FB4E26">
        <w:rPr>
          <w:rFonts w:ascii="Times New Roman" w:hAnsi="Times New Roman"/>
          <w:sz w:val="24"/>
          <w:szCs w:val="24"/>
        </w:rPr>
        <w:t>s a specified industry standard</w:t>
      </w:r>
      <w:r w:rsidRPr="00EC38B3">
        <w:rPr>
          <w:rFonts w:ascii="Times New Roman" w:hAnsi="Times New Roman"/>
          <w:sz w:val="24"/>
          <w:szCs w:val="24"/>
        </w:rPr>
        <w:t xml:space="preserve"> as </w:t>
      </w:r>
      <w:r w:rsidR="008B7B69" w:rsidRPr="00EC38B3">
        <w:rPr>
          <w:rFonts w:ascii="Times New Roman" w:hAnsi="Times New Roman"/>
          <w:sz w:val="24"/>
          <w:szCs w:val="24"/>
        </w:rPr>
        <w:t xml:space="preserve">the standard with which </w:t>
      </w:r>
      <w:r w:rsidR="00FB4E26">
        <w:rPr>
          <w:rFonts w:ascii="Times New Roman" w:hAnsi="Times New Roman"/>
          <w:sz w:val="24"/>
          <w:szCs w:val="24"/>
        </w:rPr>
        <w:t>devices</w:t>
      </w:r>
      <w:r w:rsidR="00D04805" w:rsidRPr="00EC38B3" w:rsidDel="00D04805">
        <w:rPr>
          <w:rFonts w:ascii="Times New Roman" w:hAnsi="Times New Roman"/>
          <w:sz w:val="24"/>
          <w:szCs w:val="24"/>
        </w:rPr>
        <w:t xml:space="preserve"> </w:t>
      </w:r>
      <w:r w:rsidR="008B7B69" w:rsidRPr="00EC38B3">
        <w:rPr>
          <w:rFonts w:ascii="Times New Roman" w:hAnsi="Times New Roman"/>
          <w:sz w:val="24"/>
          <w:szCs w:val="24"/>
        </w:rPr>
        <w:t>of a specified description must comply.  The table below identifies each ACMA Standard</w:t>
      </w:r>
      <w:r w:rsidR="00B77DD6" w:rsidRPr="00EC38B3">
        <w:rPr>
          <w:rFonts w:ascii="Times New Roman" w:hAnsi="Times New Roman"/>
          <w:sz w:val="24"/>
          <w:szCs w:val="24"/>
        </w:rPr>
        <w:t>,</w:t>
      </w:r>
      <w:r w:rsidR="008B7B69" w:rsidRPr="00EC38B3">
        <w:rPr>
          <w:rFonts w:ascii="Times New Roman" w:hAnsi="Times New Roman"/>
          <w:sz w:val="24"/>
          <w:szCs w:val="24"/>
        </w:rPr>
        <w:t xml:space="preserve"> the industry standard adopted</w:t>
      </w:r>
      <w:r w:rsidR="000E25E0" w:rsidRPr="00EC38B3">
        <w:rPr>
          <w:rFonts w:ascii="Times New Roman" w:hAnsi="Times New Roman"/>
          <w:sz w:val="24"/>
          <w:szCs w:val="24"/>
        </w:rPr>
        <w:t xml:space="preserve"> by the ACMA Standard</w:t>
      </w:r>
      <w:r w:rsidR="00B77DD6" w:rsidRPr="00EC38B3">
        <w:rPr>
          <w:rFonts w:ascii="Times New Roman" w:hAnsi="Times New Roman"/>
          <w:sz w:val="24"/>
          <w:szCs w:val="24"/>
        </w:rPr>
        <w:t>,</w:t>
      </w:r>
      <w:r w:rsidR="008B7B69" w:rsidRPr="00EC38B3">
        <w:rPr>
          <w:rFonts w:ascii="Times New Roman" w:hAnsi="Times New Roman"/>
          <w:sz w:val="24"/>
          <w:szCs w:val="24"/>
        </w:rPr>
        <w:t xml:space="preserve"> and the </w:t>
      </w:r>
      <w:proofErr w:type="spellStart"/>
      <w:r w:rsidR="00BE68A1">
        <w:rPr>
          <w:rFonts w:ascii="Times New Roman" w:hAnsi="Times New Roman"/>
          <w:sz w:val="24"/>
          <w:szCs w:val="24"/>
        </w:rPr>
        <w:t>radiocommunications</w:t>
      </w:r>
      <w:proofErr w:type="spellEnd"/>
      <w:r w:rsidR="00BE68A1">
        <w:rPr>
          <w:rFonts w:ascii="Times New Roman" w:hAnsi="Times New Roman"/>
          <w:sz w:val="24"/>
          <w:szCs w:val="24"/>
        </w:rPr>
        <w:t xml:space="preserve"> </w:t>
      </w:r>
      <w:r w:rsidR="00FB4E26">
        <w:rPr>
          <w:rFonts w:ascii="Times New Roman" w:hAnsi="Times New Roman"/>
          <w:sz w:val="24"/>
          <w:szCs w:val="24"/>
        </w:rPr>
        <w:t>devices</w:t>
      </w:r>
      <w:r w:rsidR="00D04805" w:rsidRPr="00EC38B3" w:rsidDel="00D04805">
        <w:rPr>
          <w:rFonts w:ascii="Times New Roman" w:hAnsi="Times New Roman"/>
          <w:sz w:val="24"/>
          <w:szCs w:val="24"/>
        </w:rPr>
        <w:t xml:space="preserve"> </w:t>
      </w:r>
      <w:r w:rsidR="008B7B69" w:rsidRPr="00EC38B3">
        <w:rPr>
          <w:rFonts w:ascii="Times New Roman" w:hAnsi="Times New Roman"/>
          <w:sz w:val="24"/>
          <w:szCs w:val="24"/>
        </w:rPr>
        <w:t xml:space="preserve">which </w:t>
      </w:r>
      <w:r w:rsidR="00064F59" w:rsidRPr="00EC38B3">
        <w:rPr>
          <w:rFonts w:ascii="Times New Roman" w:hAnsi="Times New Roman"/>
          <w:sz w:val="24"/>
          <w:szCs w:val="24"/>
        </w:rPr>
        <w:t xml:space="preserve">must comply with </w:t>
      </w:r>
      <w:r w:rsidR="008B7B69" w:rsidRPr="00EC38B3">
        <w:rPr>
          <w:rFonts w:ascii="Times New Roman" w:hAnsi="Times New Roman"/>
          <w:sz w:val="24"/>
          <w:szCs w:val="24"/>
        </w:rPr>
        <w:t xml:space="preserve">the </w:t>
      </w:r>
      <w:r w:rsidR="00A20EAC" w:rsidRPr="00EC38B3">
        <w:rPr>
          <w:rFonts w:ascii="Times New Roman" w:hAnsi="Times New Roman"/>
          <w:sz w:val="24"/>
          <w:szCs w:val="24"/>
        </w:rPr>
        <w:t>ACMA Standard</w:t>
      </w:r>
      <w:r w:rsidR="008B7B69" w:rsidRPr="00EC38B3">
        <w:rPr>
          <w:rFonts w:ascii="Times New Roman" w:hAnsi="Times New Roman"/>
          <w:sz w:val="24"/>
          <w:szCs w:val="24"/>
        </w:rPr>
        <w:t>.</w:t>
      </w:r>
    </w:p>
    <w:tbl>
      <w:tblPr>
        <w:tblStyle w:val="TableGrid"/>
        <w:tblW w:w="0" w:type="auto"/>
        <w:tblLook w:val="04A0" w:firstRow="1" w:lastRow="0" w:firstColumn="1" w:lastColumn="0" w:noHBand="0" w:noVBand="1"/>
      </w:tblPr>
      <w:tblGrid>
        <w:gridCol w:w="2363"/>
        <w:gridCol w:w="2843"/>
        <w:gridCol w:w="3810"/>
      </w:tblGrid>
      <w:tr w:rsidR="008B7B69" w:rsidRPr="00EC38B3" w14:paraId="5BAD8AF1" w14:textId="77777777" w:rsidTr="00D72E09">
        <w:trPr>
          <w:tblHeader/>
        </w:trPr>
        <w:tc>
          <w:tcPr>
            <w:tcW w:w="2203" w:type="dxa"/>
            <w:shd w:val="clear" w:color="auto" w:fill="D9D9D9" w:themeFill="background1" w:themeFillShade="D9"/>
          </w:tcPr>
          <w:p w14:paraId="779248D5" w14:textId="77777777" w:rsidR="008B7B69" w:rsidRPr="00EC38B3" w:rsidRDefault="00A10641" w:rsidP="00B01B44">
            <w:pPr>
              <w:spacing w:line="240" w:lineRule="atLeast"/>
              <w:rPr>
                <w:rFonts w:ascii="Times New Roman" w:hAnsi="Times New Roman"/>
                <w:b/>
                <w:sz w:val="24"/>
                <w:szCs w:val="24"/>
              </w:rPr>
            </w:pPr>
            <w:r w:rsidRPr="00EC38B3">
              <w:rPr>
                <w:rFonts w:ascii="Times New Roman" w:hAnsi="Times New Roman"/>
                <w:b/>
                <w:sz w:val="24"/>
                <w:szCs w:val="24"/>
              </w:rPr>
              <w:t xml:space="preserve">Column 1 - </w:t>
            </w:r>
            <w:r w:rsidR="008B7B69" w:rsidRPr="00EC38B3">
              <w:rPr>
                <w:rFonts w:ascii="Times New Roman" w:hAnsi="Times New Roman"/>
                <w:b/>
                <w:sz w:val="24"/>
                <w:szCs w:val="24"/>
              </w:rPr>
              <w:t>ACMA Standard</w:t>
            </w:r>
          </w:p>
        </w:tc>
        <w:tc>
          <w:tcPr>
            <w:tcW w:w="2889" w:type="dxa"/>
            <w:shd w:val="clear" w:color="auto" w:fill="D9D9D9" w:themeFill="background1" w:themeFillShade="D9"/>
          </w:tcPr>
          <w:p w14:paraId="420116F4" w14:textId="77777777" w:rsidR="008B7B69" w:rsidRPr="00EC38B3" w:rsidRDefault="00A10641" w:rsidP="00B01B44">
            <w:pPr>
              <w:spacing w:line="240" w:lineRule="atLeast"/>
              <w:rPr>
                <w:rFonts w:ascii="Times New Roman" w:hAnsi="Times New Roman"/>
                <w:b/>
                <w:sz w:val="24"/>
                <w:szCs w:val="24"/>
              </w:rPr>
            </w:pPr>
            <w:r w:rsidRPr="00EC38B3">
              <w:rPr>
                <w:rFonts w:ascii="Times New Roman" w:hAnsi="Times New Roman"/>
                <w:b/>
                <w:sz w:val="24"/>
                <w:szCs w:val="24"/>
              </w:rPr>
              <w:t xml:space="preserve">Column 2 - </w:t>
            </w:r>
            <w:r w:rsidR="002B09F8" w:rsidRPr="00EC38B3">
              <w:rPr>
                <w:rFonts w:ascii="Times New Roman" w:hAnsi="Times New Roman"/>
                <w:b/>
                <w:sz w:val="24"/>
                <w:szCs w:val="24"/>
              </w:rPr>
              <w:t xml:space="preserve">Adopted </w:t>
            </w:r>
            <w:r w:rsidR="00FB4E26">
              <w:rPr>
                <w:rFonts w:ascii="Times New Roman" w:hAnsi="Times New Roman"/>
                <w:b/>
                <w:sz w:val="24"/>
                <w:szCs w:val="24"/>
              </w:rPr>
              <w:t>Industry Standard</w:t>
            </w:r>
          </w:p>
        </w:tc>
        <w:tc>
          <w:tcPr>
            <w:tcW w:w="3924" w:type="dxa"/>
            <w:shd w:val="clear" w:color="auto" w:fill="D9D9D9" w:themeFill="background1" w:themeFillShade="D9"/>
          </w:tcPr>
          <w:p w14:paraId="3EDA66FB" w14:textId="77777777" w:rsidR="008B7B69" w:rsidRPr="00EC38B3" w:rsidRDefault="00A10641" w:rsidP="00FB4E26">
            <w:pPr>
              <w:spacing w:line="240" w:lineRule="atLeast"/>
              <w:rPr>
                <w:rFonts w:ascii="Times New Roman" w:hAnsi="Times New Roman"/>
                <w:b/>
                <w:sz w:val="24"/>
                <w:szCs w:val="24"/>
              </w:rPr>
            </w:pPr>
            <w:r w:rsidRPr="00EC38B3">
              <w:rPr>
                <w:rFonts w:ascii="Times New Roman" w:hAnsi="Times New Roman"/>
                <w:b/>
                <w:sz w:val="24"/>
                <w:szCs w:val="24"/>
              </w:rPr>
              <w:t xml:space="preserve">Column 3 - </w:t>
            </w:r>
            <w:r w:rsidR="008B7B69" w:rsidRPr="00EC38B3">
              <w:rPr>
                <w:rFonts w:ascii="Times New Roman" w:hAnsi="Times New Roman"/>
                <w:b/>
                <w:sz w:val="24"/>
                <w:szCs w:val="24"/>
              </w:rPr>
              <w:t xml:space="preserve">Applicable </w:t>
            </w:r>
            <w:r w:rsidR="00FB4E26">
              <w:rPr>
                <w:rFonts w:ascii="Times New Roman" w:hAnsi="Times New Roman"/>
                <w:b/>
                <w:sz w:val="24"/>
                <w:szCs w:val="24"/>
              </w:rPr>
              <w:t>Devices</w:t>
            </w:r>
          </w:p>
        </w:tc>
      </w:tr>
      <w:tr w:rsidR="008B7B69" w:rsidRPr="00EC38B3" w14:paraId="5B6CD208" w14:textId="77777777" w:rsidTr="00D72E09">
        <w:tc>
          <w:tcPr>
            <w:tcW w:w="2203" w:type="dxa"/>
          </w:tcPr>
          <w:p w14:paraId="2BB81EA3" w14:textId="77777777" w:rsidR="008B7B69" w:rsidRPr="00FB4E26" w:rsidRDefault="00BE68A1" w:rsidP="0080588D">
            <w:pPr>
              <w:jc w:val="center"/>
              <w:rPr>
                <w:rFonts w:ascii="Times New Roman" w:hAnsi="Times New Roman"/>
                <w:sz w:val="24"/>
                <w:szCs w:val="24"/>
              </w:rPr>
            </w:pPr>
            <w:proofErr w:type="spellStart"/>
            <w:r w:rsidRPr="00BE68A1">
              <w:rPr>
                <w:rFonts w:ascii="Times New Roman" w:hAnsi="Times New Roman"/>
                <w:i/>
                <w:sz w:val="24"/>
                <w:szCs w:val="24"/>
              </w:rPr>
              <w:t>Radiocommunications</w:t>
            </w:r>
            <w:proofErr w:type="spellEnd"/>
            <w:r w:rsidRPr="00BE68A1">
              <w:rPr>
                <w:rFonts w:ascii="Times New Roman" w:hAnsi="Times New Roman"/>
                <w:i/>
                <w:sz w:val="24"/>
                <w:szCs w:val="24"/>
              </w:rPr>
              <w:t xml:space="preserve"> (Devices Used in the Inshore Boating Radio Services Band) Standard 2017</w:t>
            </w:r>
            <w:r w:rsidR="00EE7E54">
              <w:rPr>
                <w:rFonts w:ascii="Times New Roman" w:hAnsi="Times New Roman"/>
                <w:sz w:val="24"/>
                <w:szCs w:val="24"/>
              </w:rPr>
              <w:t xml:space="preserve"> (</w:t>
            </w:r>
            <w:r w:rsidR="00EE7E54" w:rsidRPr="00146678">
              <w:rPr>
                <w:rFonts w:ascii="Times New Roman" w:hAnsi="Times New Roman"/>
                <w:b/>
                <w:sz w:val="24"/>
                <w:szCs w:val="24"/>
              </w:rPr>
              <w:t>the</w:t>
            </w:r>
            <w:r w:rsidR="00EE7E54">
              <w:rPr>
                <w:rFonts w:ascii="Times New Roman" w:hAnsi="Times New Roman"/>
                <w:sz w:val="24"/>
                <w:szCs w:val="24"/>
              </w:rPr>
              <w:t xml:space="preserve"> </w:t>
            </w:r>
            <w:r w:rsidR="00EE7E54" w:rsidRPr="00EE7E54">
              <w:rPr>
                <w:rFonts w:ascii="Times New Roman" w:hAnsi="Times New Roman"/>
                <w:b/>
                <w:sz w:val="24"/>
                <w:szCs w:val="24"/>
              </w:rPr>
              <w:lastRenderedPageBreak/>
              <w:t>Inshore Boating Standard</w:t>
            </w:r>
            <w:r w:rsidR="00EE7E54">
              <w:rPr>
                <w:rFonts w:ascii="Times New Roman" w:hAnsi="Times New Roman"/>
                <w:sz w:val="24"/>
                <w:szCs w:val="24"/>
              </w:rPr>
              <w:t>)</w:t>
            </w:r>
          </w:p>
        </w:tc>
        <w:tc>
          <w:tcPr>
            <w:tcW w:w="2889" w:type="dxa"/>
          </w:tcPr>
          <w:p w14:paraId="517C19F2" w14:textId="1EF3F92F" w:rsidR="008B7B69" w:rsidRPr="0080588D" w:rsidRDefault="0080588D" w:rsidP="00791F2E">
            <w:pPr>
              <w:spacing w:line="240" w:lineRule="atLeast"/>
              <w:rPr>
                <w:rFonts w:ascii="Times New Roman" w:hAnsi="Times New Roman"/>
                <w:sz w:val="24"/>
                <w:szCs w:val="24"/>
              </w:rPr>
            </w:pPr>
            <w:r w:rsidRPr="0080588D">
              <w:rPr>
                <w:rFonts w:ascii="Times New Roman" w:hAnsi="Times New Roman"/>
                <w:sz w:val="24"/>
                <w:szCs w:val="24"/>
              </w:rPr>
              <w:lastRenderedPageBreak/>
              <w:t>Australian Standard AS 4367</w:t>
            </w:r>
            <w:r w:rsidR="00791F2E">
              <w:rPr>
                <w:rFonts w:ascii="Times New Roman" w:hAnsi="Times New Roman"/>
                <w:sz w:val="24"/>
                <w:szCs w:val="24"/>
              </w:rPr>
              <w:t>:</w:t>
            </w:r>
            <w:r w:rsidRPr="0080588D">
              <w:rPr>
                <w:rFonts w:ascii="Times New Roman" w:hAnsi="Times New Roman"/>
                <w:sz w:val="24"/>
                <w:szCs w:val="24"/>
              </w:rPr>
              <w:t xml:space="preserve">2007 (R2015- </w:t>
            </w:r>
            <w:proofErr w:type="spellStart"/>
            <w:r w:rsidRPr="0080588D">
              <w:rPr>
                <w:rFonts w:ascii="Times New Roman" w:hAnsi="Times New Roman"/>
                <w:i/>
                <w:sz w:val="24"/>
                <w:szCs w:val="24"/>
              </w:rPr>
              <w:t>Radi</w:t>
            </w:r>
            <w:r w:rsidR="00E576CD">
              <w:rPr>
                <w:rFonts w:ascii="Times New Roman" w:hAnsi="Times New Roman"/>
                <w:i/>
                <w:sz w:val="24"/>
                <w:szCs w:val="24"/>
              </w:rPr>
              <w:t>o</w:t>
            </w:r>
            <w:r w:rsidRPr="0080588D">
              <w:rPr>
                <w:rFonts w:ascii="Times New Roman" w:hAnsi="Times New Roman"/>
                <w:i/>
                <w:sz w:val="24"/>
                <w:szCs w:val="24"/>
              </w:rPr>
              <w:t>communications</w:t>
            </w:r>
            <w:proofErr w:type="spellEnd"/>
            <w:r w:rsidRPr="0080588D">
              <w:rPr>
                <w:rFonts w:ascii="Times New Roman" w:hAnsi="Times New Roman"/>
                <w:i/>
                <w:sz w:val="24"/>
                <w:szCs w:val="24"/>
              </w:rPr>
              <w:t xml:space="preserve"> e</w:t>
            </w:r>
            <w:r>
              <w:rPr>
                <w:rFonts w:ascii="Times New Roman" w:hAnsi="Times New Roman"/>
                <w:i/>
                <w:sz w:val="24"/>
                <w:szCs w:val="24"/>
              </w:rPr>
              <w:t xml:space="preserve">quipment used in the inshore </w:t>
            </w:r>
            <w:r w:rsidR="00E576CD">
              <w:rPr>
                <w:rFonts w:ascii="Times New Roman" w:hAnsi="Times New Roman"/>
                <w:i/>
                <w:sz w:val="24"/>
                <w:szCs w:val="24"/>
              </w:rPr>
              <w:t>bo</w:t>
            </w:r>
            <w:r w:rsidR="00E576CD" w:rsidRPr="0080588D">
              <w:rPr>
                <w:rFonts w:ascii="Times New Roman" w:hAnsi="Times New Roman"/>
                <w:i/>
                <w:sz w:val="24"/>
                <w:szCs w:val="24"/>
              </w:rPr>
              <w:t>a</w:t>
            </w:r>
            <w:r w:rsidR="00E576CD">
              <w:rPr>
                <w:rFonts w:ascii="Times New Roman" w:hAnsi="Times New Roman"/>
                <w:i/>
                <w:sz w:val="24"/>
                <w:szCs w:val="24"/>
              </w:rPr>
              <w:t>t</w:t>
            </w:r>
            <w:r w:rsidR="00E576CD" w:rsidRPr="0080588D">
              <w:rPr>
                <w:rFonts w:ascii="Times New Roman" w:hAnsi="Times New Roman"/>
                <w:i/>
                <w:sz w:val="24"/>
                <w:szCs w:val="24"/>
              </w:rPr>
              <w:t>ing</w:t>
            </w:r>
            <w:r w:rsidRPr="0080588D">
              <w:rPr>
                <w:rFonts w:ascii="Times New Roman" w:hAnsi="Times New Roman"/>
                <w:i/>
                <w:sz w:val="24"/>
                <w:szCs w:val="24"/>
              </w:rPr>
              <w:t xml:space="preserve"> radio services band</w:t>
            </w:r>
            <w:r w:rsidRPr="0080588D">
              <w:rPr>
                <w:rFonts w:ascii="Times New Roman" w:hAnsi="Times New Roman"/>
                <w:sz w:val="24"/>
                <w:szCs w:val="24"/>
              </w:rPr>
              <w:t xml:space="preserve"> published by </w:t>
            </w:r>
            <w:r w:rsidRPr="0080588D">
              <w:rPr>
                <w:rFonts w:ascii="Times New Roman" w:hAnsi="Times New Roman"/>
                <w:sz w:val="24"/>
                <w:szCs w:val="24"/>
              </w:rPr>
              <w:lastRenderedPageBreak/>
              <w:t>Standards Australia on 22 January 2007.</w:t>
            </w:r>
          </w:p>
        </w:tc>
        <w:tc>
          <w:tcPr>
            <w:tcW w:w="3924" w:type="dxa"/>
          </w:tcPr>
          <w:p w14:paraId="20FC44BD" w14:textId="77777777" w:rsidR="0080588D" w:rsidRDefault="00C60F89" w:rsidP="00D2190E">
            <w:pPr>
              <w:spacing w:after="40" w:line="240" w:lineRule="atLeast"/>
              <w:rPr>
                <w:rFonts w:ascii="Times New Roman" w:hAnsi="Times New Roman"/>
                <w:sz w:val="24"/>
                <w:szCs w:val="24"/>
              </w:rPr>
            </w:pPr>
            <w:r>
              <w:rPr>
                <w:rFonts w:ascii="Times New Roman" w:hAnsi="Times New Roman"/>
                <w:sz w:val="24"/>
                <w:szCs w:val="24"/>
              </w:rPr>
              <w:lastRenderedPageBreak/>
              <w:t xml:space="preserve">A </w:t>
            </w:r>
            <w:proofErr w:type="spellStart"/>
            <w:r>
              <w:rPr>
                <w:rFonts w:ascii="Times New Roman" w:hAnsi="Times New Roman"/>
                <w:sz w:val="24"/>
                <w:szCs w:val="24"/>
              </w:rPr>
              <w:t>radiocommunications</w:t>
            </w:r>
            <w:proofErr w:type="spellEnd"/>
            <w:r>
              <w:rPr>
                <w:rFonts w:ascii="Times New Roman" w:hAnsi="Times New Roman"/>
                <w:sz w:val="24"/>
                <w:szCs w:val="24"/>
              </w:rPr>
              <w:t xml:space="preserve"> </w:t>
            </w:r>
            <w:r w:rsidR="0080588D">
              <w:rPr>
                <w:rFonts w:ascii="Times New Roman" w:hAnsi="Times New Roman"/>
                <w:sz w:val="24"/>
                <w:szCs w:val="24"/>
              </w:rPr>
              <w:t>device that</w:t>
            </w:r>
            <w:r>
              <w:rPr>
                <w:rFonts w:ascii="Times New Roman" w:hAnsi="Times New Roman"/>
                <w:sz w:val="24"/>
                <w:szCs w:val="24"/>
              </w:rPr>
              <w:t>:</w:t>
            </w:r>
            <w:r w:rsidR="0080588D">
              <w:rPr>
                <w:rFonts w:ascii="Times New Roman" w:hAnsi="Times New Roman"/>
                <w:sz w:val="24"/>
                <w:szCs w:val="24"/>
              </w:rPr>
              <w:t xml:space="preserve"> </w:t>
            </w:r>
          </w:p>
          <w:p w14:paraId="08E5C8C0" w14:textId="4305CEB4" w:rsidR="0080588D" w:rsidRPr="0080588D" w:rsidRDefault="00C91172" w:rsidP="0080588D">
            <w:pPr>
              <w:pStyle w:val="ListParagraph"/>
              <w:numPr>
                <w:ilvl w:val="0"/>
                <w:numId w:val="27"/>
              </w:numPr>
              <w:spacing w:line="240" w:lineRule="atLeast"/>
              <w:ind w:left="494" w:hanging="494"/>
              <w:rPr>
                <w:rFonts w:ascii="Times New Roman" w:hAnsi="Times New Roman"/>
                <w:sz w:val="24"/>
                <w:szCs w:val="24"/>
              </w:rPr>
            </w:pPr>
            <w:r>
              <w:rPr>
                <w:rFonts w:ascii="Times New Roman" w:hAnsi="Times New Roman"/>
                <w:sz w:val="24"/>
                <w:szCs w:val="24"/>
              </w:rPr>
              <w:t>is used in an inshore boating radio service and can operate on the 27 MHz maritime frequencies</w:t>
            </w:r>
            <w:r w:rsidR="0080588D" w:rsidRPr="0080588D">
              <w:rPr>
                <w:rFonts w:ascii="Times New Roman" w:hAnsi="Times New Roman"/>
                <w:sz w:val="24"/>
                <w:szCs w:val="24"/>
              </w:rPr>
              <w:t xml:space="preserve">; or </w:t>
            </w:r>
          </w:p>
          <w:p w14:paraId="7253292A" w14:textId="77777777" w:rsidR="0080588D" w:rsidRDefault="0080588D" w:rsidP="0080588D">
            <w:pPr>
              <w:pStyle w:val="ListParagraph"/>
              <w:numPr>
                <w:ilvl w:val="0"/>
                <w:numId w:val="27"/>
              </w:numPr>
              <w:spacing w:line="240" w:lineRule="atLeast"/>
              <w:ind w:left="494" w:hanging="494"/>
              <w:rPr>
                <w:rFonts w:ascii="Times New Roman" w:hAnsi="Times New Roman"/>
                <w:sz w:val="24"/>
                <w:szCs w:val="24"/>
              </w:rPr>
            </w:pPr>
            <w:r>
              <w:rPr>
                <w:rFonts w:ascii="Times New Roman" w:hAnsi="Times New Roman"/>
                <w:sz w:val="24"/>
                <w:szCs w:val="24"/>
              </w:rPr>
              <w:t xml:space="preserve">was designed or intended to operate on a carrier frequency </w:t>
            </w:r>
            <w:r>
              <w:rPr>
                <w:rFonts w:ascii="Times New Roman" w:hAnsi="Times New Roman"/>
                <w:sz w:val="24"/>
                <w:szCs w:val="24"/>
              </w:rPr>
              <w:lastRenderedPageBreak/>
              <w:t xml:space="preserve">below 30 MHz specified for a service that is: </w:t>
            </w:r>
          </w:p>
          <w:p w14:paraId="7B5F3208" w14:textId="77777777" w:rsidR="0080588D" w:rsidRDefault="00C60F89" w:rsidP="0080588D">
            <w:pPr>
              <w:pStyle w:val="ListParagraph"/>
              <w:numPr>
                <w:ilvl w:val="0"/>
                <w:numId w:val="28"/>
              </w:numPr>
              <w:spacing w:line="240" w:lineRule="atLeast"/>
              <w:ind w:left="1203" w:hanging="709"/>
              <w:rPr>
                <w:rFonts w:ascii="Times New Roman" w:hAnsi="Times New Roman"/>
                <w:sz w:val="24"/>
                <w:szCs w:val="24"/>
              </w:rPr>
            </w:pPr>
            <w:r>
              <w:rPr>
                <w:rFonts w:ascii="Times New Roman" w:hAnsi="Times New Roman"/>
                <w:sz w:val="24"/>
                <w:szCs w:val="24"/>
              </w:rPr>
              <w:t xml:space="preserve">a </w:t>
            </w:r>
            <w:r w:rsidR="0080588D">
              <w:rPr>
                <w:rFonts w:ascii="Times New Roman" w:hAnsi="Times New Roman"/>
                <w:sz w:val="24"/>
                <w:szCs w:val="24"/>
              </w:rPr>
              <w:t>substantially similar service to an inshore boating radio service;</w:t>
            </w:r>
          </w:p>
          <w:p w14:paraId="0E0F4DD4" w14:textId="77777777" w:rsidR="0080588D" w:rsidRPr="0080588D" w:rsidRDefault="0080588D" w:rsidP="00D2190E">
            <w:pPr>
              <w:pStyle w:val="ListParagraph"/>
              <w:numPr>
                <w:ilvl w:val="0"/>
                <w:numId w:val="28"/>
              </w:numPr>
              <w:spacing w:after="40" w:line="240" w:lineRule="atLeast"/>
              <w:ind w:left="1213"/>
              <w:rPr>
                <w:rFonts w:ascii="Times New Roman" w:hAnsi="Times New Roman"/>
                <w:sz w:val="24"/>
                <w:szCs w:val="24"/>
              </w:rPr>
            </w:pPr>
            <w:r w:rsidRPr="0080588D">
              <w:rPr>
                <w:rFonts w:ascii="Times New Roman" w:hAnsi="Times New Roman"/>
                <w:sz w:val="24"/>
                <w:szCs w:val="24"/>
              </w:rPr>
              <w:t>outside Australia;</w:t>
            </w:r>
          </w:p>
          <w:p w14:paraId="7C29674C" w14:textId="77777777" w:rsidR="008B7B69" w:rsidRPr="00D72E09" w:rsidRDefault="0080588D" w:rsidP="0080588D">
            <w:pPr>
              <w:spacing w:line="240" w:lineRule="atLeast"/>
              <w:ind w:left="494"/>
              <w:rPr>
                <w:rFonts w:ascii="Times New Roman" w:hAnsi="Times New Roman"/>
                <w:sz w:val="24"/>
                <w:szCs w:val="24"/>
                <w:highlight w:val="yellow"/>
              </w:rPr>
            </w:pPr>
            <w:proofErr w:type="gramStart"/>
            <w:r>
              <w:rPr>
                <w:rFonts w:ascii="Times New Roman" w:hAnsi="Times New Roman"/>
                <w:sz w:val="24"/>
                <w:szCs w:val="24"/>
              </w:rPr>
              <w:t>unless</w:t>
            </w:r>
            <w:proofErr w:type="gramEnd"/>
            <w:r>
              <w:rPr>
                <w:rFonts w:ascii="Times New Roman" w:hAnsi="Times New Roman"/>
                <w:sz w:val="24"/>
                <w:szCs w:val="24"/>
              </w:rPr>
              <w:t xml:space="preserve"> the device is an exempt item.</w:t>
            </w:r>
          </w:p>
        </w:tc>
      </w:tr>
      <w:tr w:rsidR="008C6525" w:rsidRPr="00EC38B3" w14:paraId="6C15C4C9" w14:textId="77777777" w:rsidTr="00D72E09">
        <w:tc>
          <w:tcPr>
            <w:tcW w:w="2203" w:type="dxa"/>
          </w:tcPr>
          <w:p w14:paraId="78C26DD2" w14:textId="77777777" w:rsidR="008C6525" w:rsidRPr="00EE7E54" w:rsidRDefault="00BE68A1" w:rsidP="00BE68A1">
            <w:pPr>
              <w:jc w:val="center"/>
              <w:rPr>
                <w:rFonts w:ascii="Times New Roman" w:hAnsi="Times New Roman"/>
                <w:sz w:val="24"/>
                <w:szCs w:val="24"/>
              </w:rPr>
            </w:pPr>
            <w:proofErr w:type="spellStart"/>
            <w:r w:rsidRPr="00BE68A1">
              <w:rPr>
                <w:rFonts w:ascii="Times New Roman" w:hAnsi="Times New Roman"/>
                <w:i/>
                <w:sz w:val="24"/>
                <w:szCs w:val="24"/>
              </w:rPr>
              <w:lastRenderedPageBreak/>
              <w:t>Radiocommunications</w:t>
            </w:r>
            <w:proofErr w:type="spellEnd"/>
            <w:r w:rsidRPr="00BE68A1">
              <w:rPr>
                <w:rFonts w:ascii="Times New Roman" w:hAnsi="Times New Roman"/>
                <w:i/>
                <w:sz w:val="24"/>
                <w:szCs w:val="24"/>
              </w:rPr>
              <w:t xml:space="preserve"> (Digital Cordless Communications Devices – DECT </w:t>
            </w:r>
            <w:r>
              <w:rPr>
                <w:rFonts w:ascii="Times New Roman" w:hAnsi="Times New Roman"/>
                <w:i/>
                <w:sz w:val="24"/>
                <w:szCs w:val="24"/>
              </w:rPr>
              <w:t>Devices) Standard 2017</w:t>
            </w:r>
            <w:r w:rsidR="00EE7E54">
              <w:rPr>
                <w:rFonts w:ascii="Times New Roman" w:hAnsi="Times New Roman"/>
                <w:i/>
                <w:sz w:val="24"/>
                <w:szCs w:val="24"/>
              </w:rPr>
              <w:t xml:space="preserve"> </w:t>
            </w:r>
            <w:r w:rsidR="00EE7E54">
              <w:rPr>
                <w:rFonts w:ascii="Times New Roman" w:hAnsi="Times New Roman"/>
                <w:sz w:val="24"/>
                <w:szCs w:val="24"/>
              </w:rPr>
              <w:t>(</w:t>
            </w:r>
            <w:r w:rsidR="00EE7E54" w:rsidRPr="00146678">
              <w:rPr>
                <w:rFonts w:ascii="Times New Roman" w:hAnsi="Times New Roman"/>
                <w:b/>
                <w:sz w:val="24"/>
                <w:szCs w:val="24"/>
              </w:rPr>
              <w:t>the</w:t>
            </w:r>
            <w:r w:rsidR="00EE7E54">
              <w:rPr>
                <w:rFonts w:ascii="Times New Roman" w:hAnsi="Times New Roman"/>
                <w:sz w:val="24"/>
                <w:szCs w:val="24"/>
              </w:rPr>
              <w:t xml:space="preserve"> </w:t>
            </w:r>
            <w:r w:rsidR="00EE7E54" w:rsidRPr="00EE7E54">
              <w:rPr>
                <w:rFonts w:ascii="Times New Roman" w:hAnsi="Times New Roman"/>
                <w:b/>
                <w:sz w:val="24"/>
                <w:szCs w:val="24"/>
              </w:rPr>
              <w:t>DECT Standard</w:t>
            </w:r>
            <w:r w:rsidR="00EE7E54">
              <w:rPr>
                <w:rFonts w:ascii="Times New Roman" w:hAnsi="Times New Roman"/>
                <w:sz w:val="24"/>
                <w:szCs w:val="24"/>
              </w:rPr>
              <w:t>)</w:t>
            </w:r>
          </w:p>
        </w:tc>
        <w:tc>
          <w:tcPr>
            <w:tcW w:w="2889" w:type="dxa"/>
          </w:tcPr>
          <w:p w14:paraId="55FC073A" w14:textId="25CFBCF2" w:rsidR="008C6525" w:rsidRPr="0080588D" w:rsidRDefault="00462C63" w:rsidP="00462C63">
            <w:pPr>
              <w:spacing w:line="240" w:lineRule="atLeast"/>
              <w:rPr>
                <w:rFonts w:ascii="Times New Roman" w:hAnsi="Times New Roman"/>
                <w:sz w:val="24"/>
                <w:szCs w:val="24"/>
              </w:rPr>
            </w:pPr>
            <w:r>
              <w:rPr>
                <w:rFonts w:ascii="Times New Roman" w:hAnsi="Times New Roman"/>
                <w:sz w:val="24"/>
                <w:szCs w:val="24"/>
              </w:rPr>
              <w:t>ETSI</w:t>
            </w:r>
            <w:r w:rsidR="00A0123B">
              <w:rPr>
                <w:rFonts w:ascii="Times New Roman" w:hAnsi="Times New Roman"/>
                <w:sz w:val="24"/>
                <w:szCs w:val="24"/>
              </w:rPr>
              <w:t xml:space="preserve"> </w:t>
            </w:r>
            <w:r w:rsidR="0080588D">
              <w:rPr>
                <w:rFonts w:ascii="Times New Roman" w:hAnsi="Times New Roman"/>
                <w:sz w:val="24"/>
                <w:szCs w:val="24"/>
              </w:rPr>
              <w:t xml:space="preserve">standard ETSI EN 301 406 V2.2.2 (2016-09) – </w:t>
            </w:r>
            <w:r w:rsidR="0080588D">
              <w:rPr>
                <w:rFonts w:ascii="Times New Roman" w:hAnsi="Times New Roman"/>
                <w:i/>
                <w:sz w:val="24"/>
                <w:szCs w:val="24"/>
              </w:rPr>
              <w:t xml:space="preserve">Digital Enhanced Cordless Telecommunications (DECT); Harmonised Standard covering the essential requirements of article 3.2 of the Directive 2014/53/EU </w:t>
            </w:r>
            <w:r w:rsidR="0080588D">
              <w:rPr>
                <w:rFonts w:ascii="Times New Roman" w:hAnsi="Times New Roman"/>
                <w:sz w:val="24"/>
                <w:szCs w:val="24"/>
              </w:rPr>
              <w:t xml:space="preserve">published by </w:t>
            </w:r>
            <w:r>
              <w:rPr>
                <w:rFonts w:ascii="Times New Roman" w:hAnsi="Times New Roman"/>
                <w:sz w:val="24"/>
                <w:szCs w:val="24"/>
              </w:rPr>
              <w:t>ETSI</w:t>
            </w:r>
            <w:r w:rsidR="0080588D">
              <w:rPr>
                <w:rFonts w:ascii="Times New Roman" w:hAnsi="Times New Roman"/>
                <w:sz w:val="24"/>
                <w:szCs w:val="24"/>
              </w:rPr>
              <w:t xml:space="preserve"> in September 2016.</w:t>
            </w:r>
          </w:p>
        </w:tc>
        <w:tc>
          <w:tcPr>
            <w:tcW w:w="3924" w:type="dxa"/>
            <w:shd w:val="clear" w:color="auto" w:fill="auto"/>
          </w:tcPr>
          <w:p w14:paraId="40AE1250" w14:textId="77777777" w:rsidR="008C6525" w:rsidRDefault="00387F1C" w:rsidP="00D2190E">
            <w:pPr>
              <w:pStyle w:val="P1"/>
              <w:tabs>
                <w:tab w:val="clear" w:pos="1191"/>
              </w:tabs>
              <w:spacing w:before="0" w:after="40" w:line="240" w:lineRule="atLeast"/>
              <w:ind w:left="0" w:firstLine="0"/>
              <w:jc w:val="left"/>
            </w:pPr>
            <w:r>
              <w:t xml:space="preserve">A </w:t>
            </w:r>
            <w:proofErr w:type="spellStart"/>
            <w:r>
              <w:t>r</w:t>
            </w:r>
            <w:r w:rsidR="0080588D">
              <w:t>adiocommunications</w:t>
            </w:r>
            <w:proofErr w:type="spellEnd"/>
            <w:r w:rsidR="0080588D">
              <w:t xml:space="preserve"> device that use</w:t>
            </w:r>
            <w:r w:rsidR="005F2111">
              <w:t>s</w:t>
            </w:r>
            <w:r w:rsidR="0080588D">
              <w:t xml:space="preserve"> DECT technology unless: </w:t>
            </w:r>
          </w:p>
          <w:p w14:paraId="71016385" w14:textId="77777777" w:rsidR="0080588D" w:rsidRDefault="0080588D" w:rsidP="00D2190E">
            <w:pPr>
              <w:pStyle w:val="P1"/>
              <w:numPr>
                <w:ilvl w:val="0"/>
                <w:numId w:val="29"/>
              </w:numPr>
              <w:tabs>
                <w:tab w:val="clear" w:pos="1191"/>
              </w:tabs>
              <w:spacing w:before="0" w:after="40" w:line="240" w:lineRule="atLeast"/>
              <w:ind w:left="499" w:hanging="567"/>
              <w:jc w:val="left"/>
            </w:pPr>
            <w:r>
              <w:t xml:space="preserve">the device was designed or intended to operate within one or more of the following frequency bands: </w:t>
            </w:r>
          </w:p>
          <w:p w14:paraId="5D53EB10" w14:textId="77777777" w:rsidR="0080588D" w:rsidRDefault="0080588D" w:rsidP="0080588D">
            <w:pPr>
              <w:pStyle w:val="ListParagraph"/>
              <w:numPr>
                <w:ilvl w:val="0"/>
                <w:numId w:val="30"/>
              </w:numPr>
              <w:spacing w:line="240" w:lineRule="atLeast"/>
              <w:rPr>
                <w:rFonts w:ascii="Times New Roman" w:hAnsi="Times New Roman"/>
                <w:sz w:val="24"/>
                <w:szCs w:val="24"/>
              </w:rPr>
            </w:pPr>
            <w:r w:rsidRPr="0080588D">
              <w:rPr>
                <w:rFonts w:ascii="Times New Roman" w:hAnsi="Times New Roman"/>
                <w:sz w:val="24"/>
                <w:szCs w:val="24"/>
              </w:rPr>
              <w:t>greater than</w:t>
            </w:r>
            <w:r>
              <w:rPr>
                <w:rFonts w:ascii="Times New Roman" w:hAnsi="Times New Roman"/>
                <w:sz w:val="24"/>
                <w:szCs w:val="24"/>
              </w:rPr>
              <w:t xml:space="preserve"> 915 and less than or equal to 928 MHz;</w:t>
            </w:r>
          </w:p>
          <w:p w14:paraId="776DA77D" w14:textId="77777777" w:rsidR="0080588D" w:rsidRDefault="0080588D" w:rsidP="0080588D">
            <w:pPr>
              <w:pStyle w:val="ListParagraph"/>
              <w:numPr>
                <w:ilvl w:val="0"/>
                <w:numId w:val="30"/>
              </w:numPr>
              <w:spacing w:line="240" w:lineRule="atLeast"/>
              <w:rPr>
                <w:rFonts w:ascii="Times New Roman" w:hAnsi="Times New Roman"/>
                <w:sz w:val="24"/>
                <w:szCs w:val="24"/>
              </w:rPr>
            </w:pPr>
            <w:r>
              <w:rPr>
                <w:rFonts w:ascii="Times New Roman" w:hAnsi="Times New Roman"/>
                <w:sz w:val="24"/>
                <w:szCs w:val="24"/>
              </w:rPr>
              <w:t>greater than 2400 and less than or equal to 2483.5 MHz;</w:t>
            </w:r>
          </w:p>
          <w:p w14:paraId="44BF6F14" w14:textId="77777777" w:rsidR="0080588D" w:rsidRPr="0080588D" w:rsidRDefault="0080588D" w:rsidP="00D2190E">
            <w:pPr>
              <w:pStyle w:val="ListParagraph"/>
              <w:numPr>
                <w:ilvl w:val="0"/>
                <w:numId w:val="30"/>
              </w:numPr>
              <w:spacing w:after="40" w:line="240" w:lineRule="atLeast"/>
              <w:ind w:left="1213"/>
              <w:rPr>
                <w:rFonts w:ascii="Times New Roman" w:hAnsi="Times New Roman"/>
                <w:sz w:val="24"/>
                <w:szCs w:val="24"/>
              </w:rPr>
            </w:pPr>
            <w:r>
              <w:rPr>
                <w:rFonts w:ascii="Times New Roman" w:hAnsi="Times New Roman"/>
                <w:sz w:val="24"/>
                <w:szCs w:val="24"/>
              </w:rPr>
              <w:t>greater than 5725 and less than or equal to 5</w:t>
            </w:r>
            <w:bookmarkStart w:id="0" w:name="_GoBack"/>
            <w:bookmarkEnd w:id="0"/>
            <w:r>
              <w:rPr>
                <w:rFonts w:ascii="Times New Roman" w:hAnsi="Times New Roman"/>
                <w:sz w:val="24"/>
                <w:szCs w:val="24"/>
              </w:rPr>
              <w:t xml:space="preserve">850 MHz; or </w:t>
            </w:r>
          </w:p>
          <w:p w14:paraId="7F153817" w14:textId="77777777" w:rsidR="0080588D" w:rsidRPr="0080588D" w:rsidRDefault="0080588D" w:rsidP="0080588D">
            <w:pPr>
              <w:pStyle w:val="P1"/>
              <w:numPr>
                <w:ilvl w:val="0"/>
                <w:numId w:val="29"/>
              </w:numPr>
              <w:tabs>
                <w:tab w:val="clear" w:pos="1191"/>
              </w:tabs>
              <w:spacing w:before="0" w:after="200" w:line="240" w:lineRule="atLeast"/>
              <w:ind w:left="500" w:hanging="567"/>
              <w:jc w:val="left"/>
            </w:pPr>
            <w:proofErr w:type="gramStart"/>
            <w:r>
              <w:t>the</w:t>
            </w:r>
            <w:proofErr w:type="gramEnd"/>
            <w:r>
              <w:t xml:space="preserve"> device is an exempt item.</w:t>
            </w:r>
          </w:p>
        </w:tc>
      </w:tr>
      <w:tr w:rsidR="00D72E09" w:rsidRPr="00EC38B3" w14:paraId="1A7C7954" w14:textId="77777777" w:rsidTr="00D72E09">
        <w:tc>
          <w:tcPr>
            <w:tcW w:w="2203" w:type="dxa"/>
          </w:tcPr>
          <w:p w14:paraId="1A2B4BBB" w14:textId="77777777" w:rsidR="00D72E09" w:rsidRPr="00EE7E54" w:rsidRDefault="00BE68A1" w:rsidP="00BE68A1">
            <w:pPr>
              <w:jc w:val="center"/>
              <w:rPr>
                <w:rFonts w:ascii="Times New Roman" w:hAnsi="Times New Roman"/>
                <w:sz w:val="24"/>
                <w:szCs w:val="24"/>
              </w:rPr>
            </w:pPr>
            <w:proofErr w:type="spellStart"/>
            <w:r w:rsidRPr="00BE68A1">
              <w:rPr>
                <w:rFonts w:ascii="Times New Roman" w:hAnsi="Times New Roman"/>
                <w:i/>
                <w:sz w:val="24"/>
                <w:szCs w:val="24"/>
              </w:rPr>
              <w:t>Radiocommunications</w:t>
            </w:r>
            <w:proofErr w:type="spellEnd"/>
            <w:r w:rsidRPr="00BE68A1">
              <w:rPr>
                <w:rFonts w:ascii="Times New Roman" w:hAnsi="Times New Roman"/>
                <w:i/>
                <w:sz w:val="24"/>
                <w:szCs w:val="24"/>
              </w:rPr>
              <w:t xml:space="preserve"> (HF CB and </w:t>
            </w:r>
            <w:proofErr w:type="spellStart"/>
            <w:r w:rsidRPr="00BE68A1">
              <w:rPr>
                <w:rFonts w:ascii="Times New Roman" w:hAnsi="Times New Roman"/>
                <w:i/>
                <w:sz w:val="24"/>
                <w:szCs w:val="24"/>
              </w:rPr>
              <w:t>Handphone</w:t>
            </w:r>
            <w:proofErr w:type="spellEnd"/>
            <w:r w:rsidRPr="00BE68A1">
              <w:rPr>
                <w:rFonts w:ascii="Times New Roman" w:hAnsi="Times New Roman"/>
                <w:i/>
                <w:sz w:val="24"/>
                <w:szCs w:val="24"/>
              </w:rPr>
              <w:t xml:space="preserve"> Equipment) Standard </w:t>
            </w:r>
            <w:r w:rsidRPr="00BE68A1">
              <w:rPr>
                <w:rFonts w:ascii="Times New Roman" w:hAnsi="Times New Roman"/>
                <w:i/>
                <w:sz w:val="24"/>
                <w:szCs w:val="24"/>
              </w:rPr>
              <w:lastRenderedPageBreak/>
              <w:t>2017</w:t>
            </w:r>
            <w:r w:rsidR="00EE7E54">
              <w:rPr>
                <w:rFonts w:ascii="Times New Roman" w:hAnsi="Times New Roman"/>
                <w:i/>
                <w:sz w:val="24"/>
                <w:szCs w:val="24"/>
              </w:rPr>
              <w:t xml:space="preserve"> </w:t>
            </w:r>
            <w:r w:rsidR="00EE7E54">
              <w:rPr>
                <w:rFonts w:ascii="Times New Roman" w:hAnsi="Times New Roman"/>
                <w:sz w:val="24"/>
                <w:szCs w:val="24"/>
              </w:rPr>
              <w:t>(</w:t>
            </w:r>
            <w:r w:rsidR="00EE7E54" w:rsidRPr="00146678">
              <w:rPr>
                <w:rFonts w:ascii="Times New Roman" w:hAnsi="Times New Roman"/>
                <w:b/>
                <w:sz w:val="24"/>
                <w:szCs w:val="24"/>
              </w:rPr>
              <w:t>the</w:t>
            </w:r>
            <w:r w:rsidR="00EE7E54">
              <w:rPr>
                <w:rFonts w:ascii="Times New Roman" w:hAnsi="Times New Roman"/>
                <w:sz w:val="24"/>
                <w:szCs w:val="24"/>
              </w:rPr>
              <w:t xml:space="preserve"> </w:t>
            </w:r>
            <w:r w:rsidR="00EE7E54" w:rsidRPr="00EE7E54">
              <w:rPr>
                <w:rFonts w:ascii="Times New Roman" w:hAnsi="Times New Roman"/>
                <w:b/>
                <w:sz w:val="24"/>
                <w:szCs w:val="24"/>
              </w:rPr>
              <w:t>HF CB Standard</w:t>
            </w:r>
            <w:r w:rsidR="00EE7E54">
              <w:rPr>
                <w:rFonts w:ascii="Times New Roman" w:hAnsi="Times New Roman"/>
                <w:sz w:val="24"/>
                <w:szCs w:val="24"/>
              </w:rPr>
              <w:t>)</w:t>
            </w:r>
          </w:p>
        </w:tc>
        <w:tc>
          <w:tcPr>
            <w:tcW w:w="2889" w:type="dxa"/>
          </w:tcPr>
          <w:p w14:paraId="0A051064" w14:textId="3AF8DE46" w:rsidR="00D72E09" w:rsidRPr="00B3748C" w:rsidRDefault="00B3748C" w:rsidP="00B3748C">
            <w:pPr>
              <w:spacing w:line="240" w:lineRule="atLeast"/>
              <w:rPr>
                <w:rFonts w:ascii="Times New Roman" w:hAnsi="Times New Roman"/>
                <w:sz w:val="24"/>
                <w:szCs w:val="24"/>
              </w:rPr>
            </w:pPr>
            <w:r>
              <w:rPr>
                <w:rFonts w:ascii="Times New Roman" w:hAnsi="Times New Roman"/>
                <w:sz w:val="24"/>
                <w:szCs w:val="24"/>
              </w:rPr>
              <w:lastRenderedPageBreak/>
              <w:t xml:space="preserve">Australian/New Zealand AS/NZS 4355:2006 (R2016) – </w:t>
            </w:r>
            <w:proofErr w:type="spellStart"/>
            <w:r>
              <w:rPr>
                <w:rFonts w:ascii="Times New Roman" w:hAnsi="Times New Roman"/>
                <w:i/>
                <w:sz w:val="24"/>
                <w:szCs w:val="24"/>
              </w:rPr>
              <w:t>Radiocommunications</w:t>
            </w:r>
            <w:proofErr w:type="spellEnd"/>
            <w:r>
              <w:rPr>
                <w:rFonts w:ascii="Times New Roman" w:hAnsi="Times New Roman"/>
                <w:i/>
                <w:sz w:val="24"/>
                <w:szCs w:val="24"/>
              </w:rPr>
              <w:t xml:space="preserve"> equipment used in the </w:t>
            </w:r>
            <w:proofErr w:type="spellStart"/>
            <w:r>
              <w:rPr>
                <w:rFonts w:ascii="Times New Roman" w:hAnsi="Times New Roman"/>
                <w:i/>
                <w:sz w:val="24"/>
                <w:szCs w:val="24"/>
              </w:rPr>
              <w:t>handphone</w:t>
            </w:r>
            <w:proofErr w:type="spellEnd"/>
            <w:r>
              <w:rPr>
                <w:rFonts w:ascii="Times New Roman" w:hAnsi="Times New Roman"/>
                <w:i/>
                <w:sz w:val="24"/>
                <w:szCs w:val="24"/>
              </w:rPr>
              <w:t xml:space="preserve"> and citizen band radio services </w:t>
            </w:r>
            <w:r>
              <w:rPr>
                <w:rFonts w:ascii="Times New Roman" w:hAnsi="Times New Roman"/>
                <w:i/>
                <w:sz w:val="24"/>
                <w:szCs w:val="24"/>
              </w:rPr>
              <w:lastRenderedPageBreak/>
              <w:t xml:space="preserve">operating at frequencies not exceeding 30 MHz </w:t>
            </w:r>
            <w:r w:rsidR="008A5DAE">
              <w:rPr>
                <w:rFonts w:ascii="Times New Roman" w:hAnsi="Times New Roman"/>
                <w:sz w:val="24"/>
                <w:szCs w:val="24"/>
              </w:rPr>
              <w:t xml:space="preserve">jointly </w:t>
            </w:r>
            <w:r>
              <w:rPr>
                <w:rFonts w:ascii="Times New Roman" w:hAnsi="Times New Roman"/>
                <w:sz w:val="24"/>
                <w:szCs w:val="24"/>
              </w:rPr>
              <w:t>published by Standards Australia and Standards New Zealand on 22 September 2006.</w:t>
            </w:r>
          </w:p>
        </w:tc>
        <w:tc>
          <w:tcPr>
            <w:tcW w:w="3924" w:type="dxa"/>
            <w:shd w:val="clear" w:color="auto" w:fill="auto"/>
          </w:tcPr>
          <w:p w14:paraId="7F527C6E" w14:textId="28C619C9" w:rsidR="00D72E09" w:rsidRPr="00B3748C" w:rsidRDefault="00387F1C" w:rsidP="00BB0FB8">
            <w:pPr>
              <w:pStyle w:val="P1"/>
              <w:tabs>
                <w:tab w:val="clear" w:pos="1191"/>
              </w:tabs>
              <w:spacing w:before="0" w:after="200" w:line="240" w:lineRule="atLeast"/>
              <w:ind w:left="68" w:hanging="1"/>
              <w:jc w:val="left"/>
            </w:pPr>
            <w:r>
              <w:lastRenderedPageBreak/>
              <w:t xml:space="preserve">A </w:t>
            </w:r>
            <w:proofErr w:type="spellStart"/>
            <w:r>
              <w:t>r</w:t>
            </w:r>
            <w:r w:rsidR="00B3748C">
              <w:t>adiocommunications</w:t>
            </w:r>
            <w:proofErr w:type="spellEnd"/>
            <w:r w:rsidR="00B3748C">
              <w:t xml:space="preserve"> device that </w:t>
            </w:r>
            <w:r>
              <w:t xml:space="preserve">is </w:t>
            </w:r>
            <w:proofErr w:type="spellStart"/>
            <w:r w:rsidR="00B3748C">
              <w:t>handphone</w:t>
            </w:r>
            <w:proofErr w:type="spellEnd"/>
            <w:r w:rsidR="00B3748C">
              <w:t xml:space="preserve"> radio equipment</w:t>
            </w:r>
            <w:r w:rsidR="00AB0815">
              <w:rPr>
                <w:rStyle w:val="FootnoteReference"/>
              </w:rPr>
              <w:footnoteReference w:id="4"/>
            </w:r>
            <w:r w:rsidR="00B3748C">
              <w:t xml:space="preserve"> or HF CB radio equipment</w:t>
            </w:r>
            <w:r w:rsidR="00C33BE2">
              <w:rPr>
                <w:rStyle w:val="FootnoteReference"/>
              </w:rPr>
              <w:footnoteReference w:id="5"/>
            </w:r>
            <w:r w:rsidR="00BB0FB8">
              <w:t>, unless the device is an exempt item.</w:t>
            </w:r>
          </w:p>
        </w:tc>
      </w:tr>
    </w:tbl>
    <w:p w14:paraId="34475E9D" w14:textId="77777777" w:rsidR="00391EAB" w:rsidRDefault="00391EAB" w:rsidP="00391EAB">
      <w:pPr>
        <w:rPr>
          <w:rFonts w:ascii="Times New Roman" w:hAnsi="Times New Roman"/>
          <w:b/>
          <w:sz w:val="24"/>
          <w:szCs w:val="24"/>
          <w:highlight w:val="yellow"/>
        </w:rPr>
      </w:pPr>
    </w:p>
    <w:p w14:paraId="3105715F" w14:textId="77777777" w:rsidR="00391EAB" w:rsidRPr="00391EAB" w:rsidRDefault="00391EAB" w:rsidP="003D3931">
      <w:pPr>
        <w:rPr>
          <w:rFonts w:ascii="Times New Roman" w:hAnsi="Times New Roman"/>
          <w:b/>
          <w:sz w:val="24"/>
          <w:szCs w:val="24"/>
        </w:rPr>
      </w:pPr>
      <w:r w:rsidRPr="00391EAB">
        <w:rPr>
          <w:rFonts w:ascii="Times New Roman" w:hAnsi="Times New Roman"/>
          <w:b/>
          <w:sz w:val="24"/>
          <w:szCs w:val="24"/>
        </w:rPr>
        <w:t>Documents incorporated by reference</w:t>
      </w:r>
    </w:p>
    <w:p w14:paraId="38DB162A" w14:textId="11BB7524" w:rsidR="00391EAB" w:rsidRPr="00391EAB" w:rsidRDefault="00391EAB" w:rsidP="00391EAB">
      <w:pPr>
        <w:spacing w:after="40"/>
        <w:rPr>
          <w:rFonts w:ascii="Times New Roman" w:hAnsi="Times New Roman"/>
          <w:sz w:val="24"/>
          <w:szCs w:val="24"/>
        </w:rPr>
      </w:pPr>
      <w:r w:rsidRPr="00391EAB">
        <w:rPr>
          <w:rFonts w:ascii="Times New Roman" w:hAnsi="Times New Roman"/>
          <w:sz w:val="24"/>
          <w:szCs w:val="24"/>
        </w:rPr>
        <w:t xml:space="preserve">The </w:t>
      </w:r>
      <w:r w:rsidR="00AC44BE">
        <w:rPr>
          <w:rFonts w:ascii="Times New Roman" w:hAnsi="Times New Roman"/>
          <w:sz w:val="24"/>
          <w:szCs w:val="24"/>
        </w:rPr>
        <w:t>ACMA Standards</w:t>
      </w:r>
      <w:r w:rsidR="00AC44BE" w:rsidRPr="00391EAB">
        <w:rPr>
          <w:rFonts w:ascii="Times New Roman" w:hAnsi="Times New Roman"/>
          <w:sz w:val="24"/>
          <w:szCs w:val="24"/>
        </w:rPr>
        <w:t xml:space="preserve"> </w:t>
      </w:r>
      <w:r w:rsidRPr="00391EAB">
        <w:rPr>
          <w:rFonts w:ascii="Times New Roman" w:hAnsi="Times New Roman"/>
          <w:sz w:val="24"/>
          <w:szCs w:val="24"/>
        </w:rPr>
        <w:t xml:space="preserve">incorporate the following documents by reference, or otherwise refer to them: </w:t>
      </w:r>
    </w:p>
    <w:p w14:paraId="47EE1C21" w14:textId="77777777" w:rsidR="00391EAB" w:rsidRPr="00391EAB" w:rsidRDefault="00391EAB" w:rsidP="00391EAB">
      <w:pPr>
        <w:pStyle w:val="ListParagraph"/>
        <w:numPr>
          <w:ilvl w:val="0"/>
          <w:numId w:val="24"/>
        </w:numPr>
        <w:spacing w:after="40" w:line="259" w:lineRule="auto"/>
        <w:rPr>
          <w:rFonts w:ascii="Times New Roman" w:hAnsi="Times New Roman"/>
          <w:sz w:val="24"/>
          <w:szCs w:val="24"/>
        </w:rPr>
      </w:pPr>
      <w:r w:rsidRPr="00391EAB">
        <w:rPr>
          <w:rFonts w:ascii="Times New Roman" w:hAnsi="Times New Roman"/>
          <w:sz w:val="24"/>
          <w:szCs w:val="24"/>
        </w:rPr>
        <w:t>the Act;</w:t>
      </w:r>
    </w:p>
    <w:p w14:paraId="3BDD5154" w14:textId="2069D604" w:rsidR="00A26434" w:rsidRDefault="00A26434" w:rsidP="00391EAB">
      <w:pPr>
        <w:pStyle w:val="ListParagraph"/>
        <w:numPr>
          <w:ilvl w:val="0"/>
          <w:numId w:val="24"/>
        </w:numPr>
        <w:spacing w:after="40" w:line="259" w:lineRule="auto"/>
        <w:rPr>
          <w:rFonts w:ascii="Times New Roman" w:hAnsi="Times New Roman"/>
          <w:sz w:val="24"/>
          <w:szCs w:val="24"/>
        </w:rPr>
      </w:pPr>
      <w:r>
        <w:rPr>
          <w:rFonts w:ascii="Times New Roman" w:hAnsi="Times New Roman"/>
          <w:sz w:val="24"/>
          <w:szCs w:val="24"/>
        </w:rPr>
        <w:t xml:space="preserve">the </w:t>
      </w:r>
      <w:proofErr w:type="spellStart"/>
      <w:r w:rsidRPr="00A26434">
        <w:rPr>
          <w:rFonts w:ascii="Times New Roman" w:hAnsi="Times New Roman"/>
          <w:i/>
          <w:sz w:val="24"/>
          <w:szCs w:val="24"/>
        </w:rPr>
        <w:t>Radiocommunications</w:t>
      </w:r>
      <w:proofErr w:type="spellEnd"/>
      <w:r w:rsidRPr="00A26434">
        <w:rPr>
          <w:rFonts w:ascii="Times New Roman" w:hAnsi="Times New Roman"/>
          <w:i/>
          <w:sz w:val="24"/>
          <w:szCs w:val="24"/>
        </w:rPr>
        <w:t xml:space="preserve"> (27 MHz </w:t>
      </w:r>
      <w:proofErr w:type="spellStart"/>
      <w:r w:rsidRPr="00A26434">
        <w:rPr>
          <w:rFonts w:ascii="Times New Roman" w:hAnsi="Times New Roman"/>
          <w:i/>
          <w:sz w:val="24"/>
          <w:szCs w:val="24"/>
        </w:rPr>
        <w:t>Handphone</w:t>
      </w:r>
      <w:proofErr w:type="spellEnd"/>
      <w:r w:rsidRPr="00A26434">
        <w:rPr>
          <w:rFonts w:ascii="Times New Roman" w:hAnsi="Times New Roman"/>
          <w:i/>
          <w:sz w:val="24"/>
          <w:szCs w:val="24"/>
        </w:rPr>
        <w:t xml:space="preserve"> Stations) Class Licence 2015</w:t>
      </w:r>
      <w:r>
        <w:rPr>
          <w:rFonts w:ascii="Times New Roman" w:hAnsi="Times New Roman"/>
          <w:sz w:val="24"/>
          <w:szCs w:val="24"/>
        </w:rPr>
        <w:t>;</w:t>
      </w:r>
    </w:p>
    <w:p w14:paraId="0B7957A0" w14:textId="25FD2AB0" w:rsidR="00624931" w:rsidRDefault="00624931" w:rsidP="00391EAB">
      <w:pPr>
        <w:pStyle w:val="ListParagraph"/>
        <w:numPr>
          <w:ilvl w:val="0"/>
          <w:numId w:val="24"/>
        </w:numPr>
        <w:spacing w:after="40" w:line="259" w:lineRule="auto"/>
        <w:rPr>
          <w:rFonts w:ascii="Times New Roman" w:hAnsi="Times New Roman"/>
          <w:sz w:val="24"/>
          <w:szCs w:val="24"/>
        </w:rPr>
      </w:pPr>
      <w:r>
        <w:rPr>
          <w:rFonts w:ascii="Times New Roman" w:hAnsi="Times New Roman"/>
          <w:sz w:val="24"/>
          <w:szCs w:val="24"/>
        </w:rPr>
        <w:t xml:space="preserve">the </w:t>
      </w:r>
      <w:bookmarkStart w:id="1" w:name="Citation"/>
      <w:proofErr w:type="spellStart"/>
      <w:r w:rsidRPr="00624931">
        <w:rPr>
          <w:rFonts w:ascii="Times New Roman" w:hAnsi="Times New Roman"/>
          <w:i/>
          <w:sz w:val="24"/>
          <w:szCs w:val="24"/>
        </w:rPr>
        <w:t>Radiocommunications</w:t>
      </w:r>
      <w:proofErr w:type="spellEnd"/>
      <w:r w:rsidRPr="00624931">
        <w:rPr>
          <w:rFonts w:ascii="Times New Roman" w:hAnsi="Times New Roman"/>
          <w:i/>
          <w:sz w:val="24"/>
          <w:szCs w:val="24"/>
        </w:rPr>
        <w:t xml:space="preserve"> (</w:t>
      </w:r>
      <w:bookmarkEnd w:id="1"/>
      <w:r w:rsidRPr="00624931">
        <w:rPr>
          <w:rFonts w:ascii="Times New Roman" w:hAnsi="Times New Roman"/>
          <w:i/>
          <w:sz w:val="24"/>
          <w:szCs w:val="24"/>
        </w:rPr>
        <w:t>Citizen Band Radio Stations) Class Licence 2015</w:t>
      </w:r>
      <w:r>
        <w:rPr>
          <w:rFonts w:ascii="Times New Roman" w:hAnsi="Times New Roman"/>
          <w:sz w:val="24"/>
          <w:szCs w:val="24"/>
        </w:rPr>
        <w:t>;</w:t>
      </w:r>
    </w:p>
    <w:p w14:paraId="40F78CF1" w14:textId="77777777" w:rsidR="00624931" w:rsidRDefault="00391EAB" w:rsidP="00391EAB">
      <w:pPr>
        <w:pStyle w:val="ListParagraph"/>
        <w:numPr>
          <w:ilvl w:val="0"/>
          <w:numId w:val="24"/>
        </w:numPr>
        <w:spacing w:after="40" w:line="259" w:lineRule="auto"/>
        <w:rPr>
          <w:rFonts w:ascii="Times New Roman" w:hAnsi="Times New Roman"/>
          <w:sz w:val="24"/>
          <w:szCs w:val="24"/>
        </w:rPr>
      </w:pPr>
      <w:r w:rsidRPr="00391EAB">
        <w:rPr>
          <w:rFonts w:ascii="Times New Roman" w:hAnsi="Times New Roman"/>
          <w:sz w:val="24"/>
          <w:szCs w:val="24"/>
        </w:rPr>
        <w:t xml:space="preserve">the </w:t>
      </w:r>
      <w:proofErr w:type="spellStart"/>
      <w:r w:rsidRPr="00391EAB">
        <w:rPr>
          <w:rFonts w:ascii="Times New Roman" w:hAnsi="Times New Roman"/>
          <w:i/>
          <w:sz w:val="24"/>
          <w:szCs w:val="24"/>
        </w:rPr>
        <w:t>Radiocommunications</w:t>
      </w:r>
      <w:proofErr w:type="spellEnd"/>
      <w:r w:rsidRPr="00391EAB">
        <w:rPr>
          <w:rFonts w:ascii="Times New Roman" w:hAnsi="Times New Roman"/>
          <w:i/>
          <w:sz w:val="24"/>
          <w:szCs w:val="24"/>
        </w:rPr>
        <w:t xml:space="preserve"> (Interpretation) Determination 2015</w:t>
      </w:r>
      <w:r w:rsidRPr="00391EAB">
        <w:rPr>
          <w:rFonts w:ascii="Times New Roman" w:hAnsi="Times New Roman"/>
          <w:sz w:val="24"/>
          <w:szCs w:val="24"/>
        </w:rPr>
        <w:t xml:space="preserve"> (</w:t>
      </w:r>
      <w:r w:rsidRPr="00391EAB">
        <w:rPr>
          <w:rFonts w:ascii="Times New Roman" w:hAnsi="Times New Roman"/>
          <w:b/>
          <w:sz w:val="24"/>
          <w:szCs w:val="24"/>
        </w:rPr>
        <w:t>the Interpretation Determination</w:t>
      </w:r>
      <w:r w:rsidRPr="00391EAB">
        <w:rPr>
          <w:rFonts w:ascii="Times New Roman" w:hAnsi="Times New Roman"/>
          <w:sz w:val="24"/>
          <w:szCs w:val="24"/>
        </w:rPr>
        <w:t xml:space="preserve">); </w:t>
      </w:r>
    </w:p>
    <w:p w14:paraId="0C6A9557" w14:textId="2AAE2A53" w:rsidR="00A26434" w:rsidRDefault="00A26434" w:rsidP="00391EAB">
      <w:pPr>
        <w:pStyle w:val="ListParagraph"/>
        <w:numPr>
          <w:ilvl w:val="0"/>
          <w:numId w:val="24"/>
        </w:numPr>
        <w:spacing w:after="40" w:line="259" w:lineRule="auto"/>
        <w:rPr>
          <w:rFonts w:ascii="Times New Roman" w:hAnsi="Times New Roman"/>
          <w:sz w:val="24"/>
          <w:szCs w:val="24"/>
        </w:rPr>
      </w:pPr>
      <w:r>
        <w:rPr>
          <w:rFonts w:ascii="Times New Roman" w:hAnsi="Times New Roman"/>
          <w:sz w:val="24"/>
          <w:szCs w:val="24"/>
        </w:rPr>
        <w:t xml:space="preserve">the </w:t>
      </w:r>
      <w:proofErr w:type="spellStart"/>
      <w:r w:rsidRPr="00A26434">
        <w:rPr>
          <w:rFonts w:ascii="Times New Roman" w:hAnsi="Times New Roman"/>
          <w:i/>
          <w:sz w:val="24"/>
          <w:szCs w:val="24"/>
        </w:rPr>
        <w:t>Radiocommunications</w:t>
      </w:r>
      <w:proofErr w:type="spellEnd"/>
      <w:r w:rsidRPr="00A26434">
        <w:rPr>
          <w:rFonts w:ascii="Times New Roman" w:hAnsi="Times New Roman"/>
          <w:i/>
          <w:sz w:val="24"/>
          <w:szCs w:val="24"/>
        </w:rPr>
        <w:t xml:space="preserve"> (Maritime Ship Station — 27 MHz and VHF) Class Licence 2015</w:t>
      </w:r>
      <w:r>
        <w:rPr>
          <w:rFonts w:ascii="Times New Roman" w:hAnsi="Times New Roman"/>
          <w:sz w:val="24"/>
          <w:szCs w:val="24"/>
        </w:rPr>
        <w:t>;</w:t>
      </w:r>
    </w:p>
    <w:p w14:paraId="14B9F3C9" w14:textId="54D73130" w:rsidR="00391EAB" w:rsidRPr="00391EAB" w:rsidRDefault="00624931" w:rsidP="00391EAB">
      <w:pPr>
        <w:pStyle w:val="ListParagraph"/>
        <w:numPr>
          <w:ilvl w:val="0"/>
          <w:numId w:val="24"/>
        </w:numPr>
        <w:spacing w:after="40" w:line="259" w:lineRule="auto"/>
        <w:rPr>
          <w:rFonts w:ascii="Times New Roman" w:hAnsi="Times New Roman"/>
          <w:sz w:val="24"/>
          <w:szCs w:val="24"/>
        </w:rPr>
      </w:pPr>
      <w:r>
        <w:rPr>
          <w:rFonts w:ascii="Times New Roman" w:hAnsi="Times New Roman"/>
          <w:sz w:val="24"/>
          <w:szCs w:val="24"/>
        </w:rPr>
        <w:t xml:space="preserve">the </w:t>
      </w:r>
      <w:proofErr w:type="spellStart"/>
      <w:r w:rsidRPr="00624931">
        <w:rPr>
          <w:rFonts w:ascii="Times New Roman" w:hAnsi="Times New Roman"/>
          <w:i/>
          <w:sz w:val="24"/>
          <w:szCs w:val="24"/>
        </w:rPr>
        <w:t>Radiocommunications</w:t>
      </w:r>
      <w:proofErr w:type="spellEnd"/>
      <w:r w:rsidRPr="00624931">
        <w:rPr>
          <w:rFonts w:ascii="Times New Roman" w:hAnsi="Times New Roman"/>
          <w:i/>
          <w:sz w:val="24"/>
          <w:szCs w:val="24"/>
        </w:rPr>
        <w:t xml:space="preserve"> (Short Range Devices) Standard </w:t>
      </w:r>
      <w:r w:rsidRPr="00FA0B94">
        <w:rPr>
          <w:rFonts w:ascii="Times New Roman" w:hAnsi="Times New Roman"/>
          <w:i/>
          <w:sz w:val="24"/>
          <w:szCs w:val="24"/>
        </w:rPr>
        <w:t>2014</w:t>
      </w:r>
      <w:r w:rsidR="00126834">
        <w:rPr>
          <w:rFonts w:ascii="Times New Roman" w:hAnsi="Times New Roman"/>
          <w:sz w:val="24"/>
          <w:szCs w:val="24"/>
        </w:rPr>
        <w:t xml:space="preserve"> (</w:t>
      </w:r>
      <w:r w:rsidR="00126834" w:rsidRPr="003F085C">
        <w:rPr>
          <w:rFonts w:ascii="Times New Roman" w:hAnsi="Times New Roman"/>
          <w:b/>
          <w:sz w:val="24"/>
          <w:szCs w:val="24"/>
        </w:rPr>
        <w:t>the Short Range Devices Standard</w:t>
      </w:r>
      <w:r w:rsidR="00126834">
        <w:rPr>
          <w:rFonts w:ascii="Times New Roman" w:hAnsi="Times New Roman"/>
          <w:sz w:val="24"/>
          <w:szCs w:val="24"/>
        </w:rPr>
        <w:t>)</w:t>
      </w:r>
      <w:r>
        <w:rPr>
          <w:rFonts w:ascii="Times New Roman" w:hAnsi="Times New Roman"/>
          <w:sz w:val="24"/>
          <w:szCs w:val="24"/>
        </w:rPr>
        <w:t xml:space="preserve">; </w:t>
      </w:r>
      <w:r w:rsidR="00391EAB" w:rsidRPr="00694CE0">
        <w:rPr>
          <w:rFonts w:ascii="Times New Roman" w:hAnsi="Times New Roman"/>
          <w:sz w:val="24"/>
          <w:szCs w:val="24"/>
        </w:rPr>
        <w:t>and</w:t>
      </w:r>
      <w:r w:rsidR="00391EAB" w:rsidRPr="00391EAB">
        <w:rPr>
          <w:rFonts w:ascii="Times New Roman" w:hAnsi="Times New Roman"/>
          <w:sz w:val="24"/>
          <w:szCs w:val="24"/>
        </w:rPr>
        <w:t xml:space="preserve"> </w:t>
      </w:r>
    </w:p>
    <w:p w14:paraId="3CCA18AC" w14:textId="77777777" w:rsidR="00391EAB" w:rsidRPr="00391EAB" w:rsidRDefault="00391EAB" w:rsidP="002A1A15">
      <w:pPr>
        <w:pStyle w:val="ListParagraph"/>
        <w:numPr>
          <w:ilvl w:val="0"/>
          <w:numId w:val="24"/>
        </w:numPr>
        <w:spacing w:line="259" w:lineRule="auto"/>
        <w:ind w:left="714" w:hanging="357"/>
        <w:contextualSpacing w:val="0"/>
        <w:rPr>
          <w:rFonts w:ascii="Times New Roman" w:hAnsi="Times New Roman"/>
          <w:sz w:val="24"/>
          <w:szCs w:val="24"/>
        </w:rPr>
      </w:pPr>
      <w:proofErr w:type="gramStart"/>
      <w:r w:rsidRPr="00391EAB">
        <w:rPr>
          <w:rFonts w:ascii="Times New Roman" w:hAnsi="Times New Roman"/>
          <w:sz w:val="24"/>
          <w:szCs w:val="24"/>
        </w:rPr>
        <w:t>the</w:t>
      </w:r>
      <w:proofErr w:type="gramEnd"/>
      <w:r w:rsidRPr="00391EAB">
        <w:rPr>
          <w:rFonts w:ascii="Times New Roman" w:hAnsi="Times New Roman"/>
          <w:sz w:val="24"/>
          <w:szCs w:val="24"/>
        </w:rPr>
        <w:t xml:space="preserve"> industry standards referred to in column 2 of the table above.   </w:t>
      </w:r>
    </w:p>
    <w:p w14:paraId="3021503C" w14:textId="7C02B3EC" w:rsidR="00391EAB" w:rsidRDefault="00391EAB" w:rsidP="00391EAB">
      <w:pPr>
        <w:rPr>
          <w:rFonts w:ascii="Times New Roman" w:hAnsi="Times New Roman"/>
          <w:sz w:val="24"/>
          <w:szCs w:val="24"/>
        </w:rPr>
      </w:pPr>
      <w:r w:rsidRPr="00391EAB">
        <w:rPr>
          <w:rFonts w:ascii="Times New Roman" w:hAnsi="Times New Roman"/>
          <w:sz w:val="24"/>
          <w:szCs w:val="24"/>
        </w:rPr>
        <w:t xml:space="preserve">Under subsection 314A(2) of the Act, an instrument made under the Act may make provision for certain matters by applying, adopting or incorporating (with or without modifications) matter contained in any other instrument, as in force or existing from time to time. The instrument adopts, by reference, the </w:t>
      </w:r>
      <w:r w:rsidR="000C0728">
        <w:rPr>
          <w:rFonts w:ascii="Times New Roman" w:hAnsi="Times New Roman"/>
          <w:sz w:val="24"/>
          <w:szCs w:val="24"/>
        </w:rPr>
        <w:t>industry</w:t>
      </w:r>
      <w:r w:rsidR="000C0728" w:rsidRPr="00391EAB">
        <w:rPr>
          <w:rFonts w:ascii="Times New Roman" w:hAnsi="Times New Roman"/>
          <w:sz w:val="24"/>
          <w:szCs w:val="24"/>
        </w:rPr>
        <w:t xml:space="preserve"> </w:t>
      </w:r>
      <w:r w:rsidRPr="00391EAB">
        <w:rPr>
          <w:rFonts w:ascii="Times New Roman" w:hAnsi="Times New Roman"/>
          <w:sz w:val="24"/>
          <w:szCs w:val="24"/>
        </w:rPr>
        <w:t>standard</w:t>
      </w:r>
      <w:r w:rsidR="000C0728">
        <w:rPr>
          <w:rFonts w:ascii="Times New Roman" w:hAnsi="Times New Roman"/>
          <w:sz w:val="24"/>
          <w:szCs w:val="24"/>
        </w:rPr>
        <w:t>s</w:t>
      </w:r>
      <w:r w:rsidRPr="00391EAB">
        <w:rPr>
          <w:rFonts w:ascii="Times New Roman" w:hAnsi="Times New Roman"/>
          <w:sz w:val="24"/>
          <w:szCs w:val="24"/>
        </w:rPr>
        <w:t xml:space="preserve"> referred to in column 2 of the table above as in force from time to time.</w:t>
      </w:r>
    </w:p>
    <w:p w14:paraId="090FC7CC" w14:textId="2A9627CA" w:rsidR="00391EAB" w:rsidRPr="00A543CE" w:rsidRDefault="00391EAB" w:rsidP="00391EAB">
      <w:pPr>
        <w:rPr>
          <w:rFonts w:ascii="Times New Roman" w:hAnsi="Times New Roman"/>
          <w:sz w:val="24"/>
          <w:szCs w:val="24"/>
        </w:rPr>
      </w:pPr>
      <w:r w:rsidRPr="00A543CE">
        <w:rPr>
          <w:rFonts w:ascii="Times New Roman" w:hAnsi="Times New Roman"/>
          <w:sz w:val="24"/>
          <w:szCs w:val="24"/>
        </w:rPr>
        <w:t>The Act</w:t>
      </w:r>
      <w:r w:rsidR="00624931">
        <w:rPr>
          <w:rFonts w:ascii="Times New Roman" w:hAnsi="Times New Roman"/>
          <w:sz w:val="24"/>
          <w:szCs w:val="24"/>
        </w:rPr>
        <w:t>,</w:t>
      </w:r>
      <w:r w:rsidRPr="00A543CE">
        <w:rPr>
          <w:rFonts w:ascii="Times New Roman" w:hAnsi="Times New Roman"/>
          <w:sz w:val="24"/>
          <w:szCs w:val="24"/>
        </w:rPr>
        <w:t xml:space="preserve"> </w:t>
      </w:r>
      <w:r w:rsidR="00A26434">
        <w:rPr>
          <w:rFonts w:ascii="Times New Roman" w:hAnsi="Times New Roman"/>
          <w:sz w:val="24"/>
          <w:szCs w:val="24"/>
        </w:rPr>
        <w:t xml:space="preserve">the class licences, </w:t>
      </w:r>
      <w:r w:rsidR="00624931">
        <w:rPr>
          <w:rFonts w:ascii="Times New Roman" w:hAnsi="Times New Roman"/>
          <w:sz w:val="24"/>
          <w:szCs w:val="24"/>
        </w:rPr>
        <w:t>the</w:t>
      </w:r>
      <w:r w:rsidR="00624931" w:rsidRPr="00A543CE">
        <w:rPr>
          <w:rFonts w:ascii="Times New Roman" w:hAnsi="Times New Roman"/>
          <w:sz w:val="24"/>
          <w:szCs w:val="24"/>
        </w:rPr>
        <w:t xml:space="preserve"> </w:t>
      </w:r>
      <w:r w:rsidRPr="00A543CE">
        <w:rPr>
          <w:rFonts w:ascii="Times New Roman" w:hAnsi="Times New Roman"/>
          <w:sz w:val="24"/>
          <w:szCs w:val="24"/>
        </w:rPr>
        <w:t>Interpretation Determination</w:t>
      </w:r>
      <w:r w:rsidR="00624931">
        <w:rPr>
          <w:rFonts w:ascii="Times New Roman" w:hAnsi="Times New Roman"/>
          <w:sz w:val="24"/>
          <w:szCs w:val="24"/>
        </w:rPr>
        <w:t xml:space="preserve"> and the </w:t>
      </w:r>
      <w:r w:rsidR="00126834">
        <w:rPr>
          <w:rFonts w:ascii="Times New Roman" w:hAnsi="Times New Roman"/>
          <w:sz w:val="24"/>
          <w:szCs w:val="24"/>
        </w:rPr>
        <w:t>Short Range Devices</w:t>
      </w:r>
      <w:r w:rsidR="00694CE0">
        <w:rPr>
          <w:rFonts w:ascii="Times New Roman" w:hAnsi="Times New Roman"/>
          <w:sz w:val="24"/>
          <w:szCs w:val="24"/>
        </w:rPr>
        <w:t xml:space="preserve"> </w:t>
      </w:r>
      <w:r w:rsidR="00126834">
        <w:rPr>
          <w:rFonts w:ascii="Times New Roman" w:hAnsi="Times New Roman"/>
          <w:sz w:val="24"/>
          <w:szCs w:val="24"/>
        </w:rPr>
        <w:t>S</w:t>
      </w:r>
      <w:r w:rsidR="00694CE0">
        <w:rPr>
          <w:rFonts w:ascii="Times New Roman" w:hAnsi="Times New Roman"/>
          <w:sz w:val="24"/>
          <w:szCs w:val="24"/>
        </w:rPr>
        <w:t>tandard</w:t>
      </w:r>
      <w:r w:rsidRPr="00A543CE">
        <w:rPr>
          <w:rFonts w:ascii="Times New Roman" w:hAnsi="Times New Roman"/>
          <w:sz w:val="24"/>
          <w:szCs w:val="24"/>
        </w:rPr>
        <w:t xml:space="preserve"> can</w:t>
      </w:r>
      <w:r w:rsidR="00722E17">
        <w:rPr>
          <w:rFonts w:ascii="Times New Roman" w:hAnsi="Times New Roman"/>
          <w:sz w:val="24"/>
          <w:szCs w:val="24"/>
        </w:rPr>
        <w:t xml:space="preserve"> be</w:t>
      </w:r>
      <w:r w:rsidRPr="00A543CE">
        <w:rPr>
          <w:rFonts w:ascii="Times New Roman" w:hAnsi="Times New Roman"/>
          <w:sz w:val="24"/>
          <w:szCs w:val="24"/>
        </w:rPr>
        <w:t xml:space="preserve"> found on the Australian Government’s </w:t>
      </w:r>
      <w:r w:rsidR="00A6438B">
        <w:rPr>
          <w:rFonts w:ascii="Times New Roman" w:hAnsi="Times New Roman"/>
          <w:sz w:val="24"/>
          <w:szCs w:val="24"/>
        </w:rPr>
        <w:t>Federal Register of Legislation</w:t>
      </w:r>
      <w:r w:rsidRPr="00A543CE">
        <w:rPr>
          <w:rFonts w:ascii="Times New Roman" w:hAnsi="Times New Roman"/>
          <w:sz w:val="24"/>
          <w:szCs w:val="24"/>
        </w:rPr>
        <w:t xml:space="preserve"> (</w:t>
      </w:r>
      <w:hyperlink r:id="rId12" w:history="1">
        <w:r w:rsidR="001E0272" w:rsidRPr="00FA0B94">
          <w:rPr>
            <w:rStyle w:val="Hyperlink"/>
            <w:rFonts w:ascii="Times New Roman" w:hAnsi="Times New Roman"/>
            <w:sz w:val="24"/>
            <w:szCs w:val="24"/>
          </w:rPr>
          <w:t>http://www.legislation.gov.au</w:t>
        </w:r>
      </w:hyperlink>
      <w:r w:rsidRPr="00A543CE">
        <w:rPr>
          <w:rFonts w:ascii="Times New Roman" w:hAnsi="Times New Roman"/>
          <w:sz w:val="24"/>
          <w:szCs w:val="24"/>
        </w:rPr>
        <w:t xml:space="preserve">). </w:t>
      </w:r>
    </w:p>
    <w:p w14:paraId="3D7080DA" w14:textId="5D81383D" w:rsidR="002D0658" w:rsidRDefault="00391EAB" w:rsidP="008F5058">
      <w:pPr>
        <w:keepNext/>
        <w:rPr>
          <w:rFonts w:ascii="Times New Roman" w:hAnsi="Times New Roman"/>
          <w:sz w:val="24"/>
          <w:szCs w:val="24"/>
        </w:rPr>
      </w:pPr>
      <w:r w:rsidRPr="002D0658">
        <w:rPr>
          <w:rFonts w:ascii="Times New Roman" w:hAnsi="Times New Roman"/>
          <w:sz w:val="24"/>
          <w:szCs w:val="24"/>
        </w:rPr>
        <w:lastRenderedPageBreak/>
        <w:t xml:space="preserve">The </w:t>
      </w:r>
      <w:r w:rsidR="002D0658">
        <w:rPr>
          <w:rFonts w:ascii="Times New Roman" w:hAnsi="Times New Roman"/>
          <w:sz w:val="24"/>
          <w:szCs w:val="24"/>
        </w:rPr>
        <w:t xml:space="preserve">adopted </w:t>
      </w:r>
      <w:r w:rsidRPr="002D0658">
        <w:rPr>
          <w:rFonts w:ascii="Times New Roman" w:hAnsi="Times New Roman"/>
          <w:sz w:val="24"/>
          <w:szCs w:val="24"/>
        </w:rPr>
        <w:t>industry st</w:t>
      </w:r>
      <w:r w:rsidR="002D0658">
        <w:rPr>
          <w:rFonts w:ascii="Times New Roman" w:hAnsi="Times New Roman"/>
          <w:sz w:val="24"/>
          <w:szCs w:val="24"/>
        </w:rPr>
        <w:t>andards could</w:t>
      </w:r>
      <w:r w:rsidR="00D37D61">
        <w:rPr>
          <w:rFonts w:ascii="Times New Roman" w:hAnsi="Times New Roman"/>
          <w:sz w:val="24"/>
          <w:szCs w:val="24"/>
        </w:rPr>
        <w:t>,</w:t>
      </w:r>
      <w:r w:rsidR="002D0658">
        <w:rPr>
          <w:rFonts w:ascii="Times New Roman" w:hAnsi="Times New Roman"/>
          <w:sz w:val="24"/>
          <w:szCs w:val="24"/>
        </w:rPr>
        <w:t xml:space="preserve"> </w:t>
      </w:r>
      <w:r w:rsidR="00B618A7">
        <w:rPr>
          <w:rFonts w:ascii="Times New Roman" w:hAnsi="Times New Roman"/>
          <w:sz w:val="24"/>
          <w:szCs w:val="24"/>
        </w:rPr>
        <w:t>at the time of making the ACMA Standards</w:t>
      </w:r>
      <w:r w:rsidR="00D37D61">
        <w:rPr>
          <w:rFonts w:ascii="Times New Roman" w:hAnsi="Times New Roman"/>
          <w:sz w:val="24"/>
          <w:szCs w:val="24"/>
        </w:rPr>
        <w:t>,</w:t>
      </w:r>
      <w:r w:rsidRPr="002D0658">
        <w:rPr>
          <w:rFonts w:ascii="Times New Roman" w:hAnsi="Times New Roman"/>
          <w:sz w:val="24"/>
          <w:szCs w:val="24"/>
        </w:rPr>
        <w:t xml:space="preserve"> be </w:t>
      </w:r>
      <w:r w:rsidR="002D0658">
        <w:rPr>
          <w:rFonts w:ascii="Times New Roman" w:hAnsi="Times New Roman"/>
          <w:sz w:val="24"/>
          <w:szCs w:val="24"/>
        </w:rPr>
        <w:t xml:space="preserve">obtained as follows: </w:t>
      </w:r>
    </w:p>
    <w:p w14:paraId="200BF753" w14:textId="6D20060C" w:rsidR="002D0658" w:rsidRDefault="00B618A7" w:rsidP="008F5058">
      <w:pPr>
        <w:pStyle w:val="ListParagraph"/>
        <w:keepNext/>
        <w:numPr>
          <w:ilvl w:val="0"/>
          <w:numId w:val="26"/>
        </w:numPr>
        <w:rPr>
          <w:rFonts w:ascii="Times New Roman" w:hAnsi="Times New Roman"/>
          <w:sz w:val="24"/>
          <w:szCs w:val="24"/>
        </w:rPr>
      </w:pPr>
      <w:r>
        <w:rPr>
          <w:rFonts w:ascii="Times New Roman" w:hAnsi="Times New Roman"/>
          <w:sz w:val="24"/>
          <w:szCs w:val="24"/>
        </w:rPr>
        <w:t xml:space="preserve">in the case of the industry standards adopted by </w:t>
      </w:r>
      <w:r w:rsidR="002D0658">
        <w:rPr>
          <w:rFonts w:ascii="Times New Roman" w:hAnsi="Times New Roman"/>
          <w:sz w:val="24"/>
          <w:szCs w:val="24"/>
        </w:rPr>
        <w:t>the Inshore Boating Standard and the HF CB Standard</w:t>
      </w:r>
      <w:r>
        <w:rPr>
          <w:rFonts w:ascii="Times New Roman" w:hAnsi="Times New Roman"/>
          <w:sz w:val="24"/>
          <w:szCs w:val="24"/>
        </w:rPr>
        <w:t xml:space="preserve"> </w:t>
      </w:r>
      <w:r w:rsidR="002D0658">
        <w:rPr>
          <w:rFonts w:ascii="Times New Roman" w:hAnsi="Times New Roman"/>
          <w:sz w:val="24"/>
          <w:szCs w:val="24"/>
        </w:rPr>
        <w:t>–</w:t>
      </w:r>
      <w:r w:rsidR="00B67253">
        <w:rPr>
          <w:rFonts w:ascii="Times New Roman" w:hAnsi="Times New Roman"/>
          <w:sz w:val="24"/>
          <w:szCs w:val="24"/>
        </w:rPr>
        <w:t xml:space="preserve"> copies could be obtained </w:t>
      </w:r>
      <w:r w:rsidR="002D0658">
        <w:rPr>
          <w:rFonts w:ascii="Times New Roman" w:hAnsi="Times New Roman"/>
          <w:sz w:val="24"/>
          <w:szCs w:val="24"/>
        </w:rPr>
        <w:t xml:space="preserve">from SAI Global Pty Limited’s website at </w:t>
      </w:r>
      <w:hyperlink r:id="rId13" w:history="1">
        <w:r w:rsidR="002D0658" w:rsidRPr="00BF5689">
          <w:rPr>
            <w:rStyle w:val="Hyperlink"/>
            <w:rFonts w:ascii="Times New Roman" w:hAnsi="Times New Roman"/>
            <w:sz w:val="24"/>
            <w:szCs w:val="24"/>
          </w:rPr>
          <w:t>https://infostore.saiglobal.com/</w:t>
        </w:r>
      </w:hyperlink>
      <w:r w:rsidR="002D0658">
        <w:rPr>
          <w:rFonts w:ascii="Times New Roman" w:hAnsi="Times New Roman"/>
          <w:sz w:val="24"/>
          <w:szCs w:val="24"/>
        </w:rPr>
        <w:t xml:space="preserve"> for a fee or may be viewed at an office of the ACMA on </w:t>
      </w:r>
      <w:r w:rsidR="00D37D61">
        <w:rPr>
          <w:rFonts w:ascii="Times New Roman" w:hAnsi="Times New Roman"/>
          <w:sz w:val="24"/>
          <w:szCs w:val="24"/>
        </w:rPr>
        <w:t xml:space="preserve">prior </w:t>
      </w:r>
      <w:r w:rsidR="002D0658">
        <w:rPr>
          <w:rFonts w:ascii="Times New Roman" w:hAnsi="Times New Roman"/>
          <w:sz w:val="24"/>
          <w:szCs w:val="24"/>
        </w:rPr>
        <w:t>request and subject to licensing conditions</w:t>
      </w:r>
      <w:r w:rsidR="00762234">
        <w:rPr>
          <w:rFonts w:ascii="Times New Roman" w:hAnsi="Times New Roman"/>
          <w:sz w:val="24"/>
          <w:szCs w:val="24"/>
        </w:rPr>
        <w:t>;</w:t>
      </w:r>
    </w:p>
    <w:p w14:paraId="061BF39D" w14:textId="2D9060EA" w:rsidR="008B7B69" w:rsidRPr="002D0658" w:rsidRDefault="00B67253" w:rsidP="008F5058">
      <w:pPr>
        <w:pStyle w:val="ListParagraph"/>
        <w:keepNext/>
        <w:numPr>
          <w:ilvl w:val="0"/>
          <w:numId w:val="26"/>
        </w:numPr>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the case of the industry standard adopted by </w:t>
      </w:r>
      <w:r w:rsidR="002D0658">
        <w:rPr>
          <w:rFonts w:ascii="Times New Roman" w:hAnsi="Times New Roman"/>
          <w:sz w:val="24"/>
          <w:szCs w:val="24"/>
        </w:rPr>
        <w:t xml:space="preserve">the DECT Standard – </w:t>
      </w:r>
      <w:r>
        <w:rPr>
          <w:rFonts w:ascii="Times New Roman" w:hAnsi="Times New Roman"/>
          <w:sz w:val="24"/>
          <w:szCs w:val="24"/>
        </w:rPr>
        <w:t xml:space="preserve">a copy could be obtained </w:t>
      </w:r>
      <w:r w:rsidR="002D0658">
        <w:rPr>
          <w:rFonts w:ascii="Times New Roman" w:hAnsi="Times New Roman"/>
          <w:sz w:val="24"/>
          <w:szCs w:val="24"/>
        </w:rPr>
        <w:t xml:space="preserve">from </w:t>
      </w:r>
      <w:r w:rsidR="00462C63">
        <w:rPr>
          <w:rFonts w:ascii="Times New Roman" w:hAnsi="Times New Roman"/>
          <w:sz w:val="24"/>
          <w:szCs w:val="24"/>
        </w:rPr>
        <w:t>ETSI</w:t>
      </w:r>
      <w:r w:rsidR="002D0658">
        <w:rPr>
          <w:rFonts w:ascii="Times New Roman" w:hAnsi="Times New Roman"/>
          <w:sz w:val="24"/>
          <w:szCs w:val="24"/>
        </w:rPr>
        <w:t xml:space="preserve">’s website at </w:t>
      </w:r>
      <w:hyperlink r:id="rId14" w:history="1">
        <w:r w:rsidR="00762234" w:rsidRPr="00762234">
          <w:rPr>
            <w:rStyle w:val="Hyperlink"/>
            <w:rFonts w:ascii="Times New Roman" w:hAnsi="Times New Roman"/>
            <w:sz w:val="24"/>
            <w:szCs w:val="24"/>
          </w:rPr>
          <w:t>http://www.etsi.org/</w:t>
        </w:r>
      </w:hyperlink>
      <w:r w:rsidR="00762234">
        <w:rPr>
          <w:rFonts w:ascii="Times New Roman" w:hAnsi="Times New Roman"/>
          <w:sz w:val="24"/>
          <w:szCs w:val="24"/>
        </w:rPr>
        <w:t xml:space="preserve"> </w:t>
      </w:r>
      <w:r>
        <w:rPr>
          <w:rFonts w:ascii="Times New Roman" w:hAnsi="Times New Roman"/>
          <w:sz w:val="24"/>
          <w:szCs w:val="24"/>
        </w:rPr>
        <w:t>free of charge</w:t>
      </w:r>
      <w:r w:rsidR="002D0658">
        <w:rPr>
          <w:rFonts w:ascii="Times New Roman" w:hAnsi="Times New Roman"/>
          <w:sz w:val="24"/>
          <w:szCs w:val="24"/>
        </w:rPr>
        <w:t xml:space="preserve">. </w:t>
      </w:r>
    </w:p>
    <w:p w14:paraId="795D73F2" w14:textId="77777777" w:rsidR="00564895" w:rsidRPr="00EC38B3" w:rsidRDefault="00564895" w:rsidP="00722E17">
      <w:pPr>
        <w:keepNext/>
        <w:rPr>
          <w:rFonts w:ascii="Times New Roman" w:hAnsi="Times New Roman"/>
          <w:b/>
          <w:snapToGrid w:val="0"/>
          <w:sz w:val="24"/>
          <w:szCs w:val="24"/>
        </w:rPr>
      </w:pPr>
      <w:r w:rsidRPr="00EC38B3">
        <w:rPr>
          <w:rFonts w:ascii="Times New Roman" w:hAnsi="Times New Roman"/>
          <w:b/>
          <w:snapToGrid w:val="0"/>
          <w:sz w:val="24"/>
          <w:szCs w:val="24"/>
        </w:rPr>
        <w:t xml:space="preserve">Consultation </w:t>
      </w:r>
    </w:p>
    <w:p w14:paraId="113607AC" w14:textId="77777777" w:rsidR="00391EAB" w:rsidRPr="00A543CE" w:rsidRDefault="00391EAB" w:rsidP="00391EAB">
      <w:pPr>
        <w:rPr>
          <w:rFonts w:ascii="Times New Roman" w:hAnsi="Times New Roman"/>
          <w:sz w:val="24"/>
          <w:szCs w:val="24"/>
        </w:rPr>
      </w:pPr>
      <w:r w:rsidRPr="00A543CE">
        <w:rPr>
          <w:rFonts w:ascii="Times New Roman" w:hAnsi="Times New Roman"/>
          <w:sz w:val="24"/>
          <w:szCs w:val="24"/>
        </w:rPr>
        <w:t xml:space="preserve">Before the </w:t>
      </w:r>
      <w:r w:rsidR="00F45BEF">
        <w:rPr>
          <w:rFonts w:ascii="Times New Roman" w:hAnsi="Times New Roman"/>
          <w:sz w:val="24"/>
          <w:szCs w:val="24"/>
        </w:rPr>
        <w:t>ACMA Standards were</w:t>
      </w:r>
      <w:r w:rsidRPr="00A543CE">
        <w:rPr>
          <w:rFonts w:ascii="Times New Roman" w:hAnsi="Times New Roman"/>
          <w:sz w:val="24"/>
          <w:szCs w:val="24"/>
        </w:rPr>
        <w:t xml:space="preserve"> made, the ACMA was satisfied that consultation was undertaken to the extent appropriate and reasonably practicable, in accordance with section 17 of the LA.  </w:t>
      </w:r>
    </w:p>
    <w:p w14:paraId="60D11598" w14:textId="77777777" w:rsidR="00391EAB" w:rsidRPr="00A543CE" w:rsidRDefault="00391EAB" w:rsidP="00391EAB">
      <w:pPr>
        <w:rPr>
          <w:rFonts w:ascii="Times New Roman" w:hAnsi="Times New Roman"/>
          <w:sz w:val="24"/>
          <w:szCs w:val="24"/>
        </w:rPr>
      </w:pPr>
      <w:r w:rsidRPr="00A543CE">
        <w:rPr>
          <w:rFonts w:ascii="Times New Roman" w:hAnsi="Times New Roman"/>
          <w:snapToGrid w:val="0"/>
          <w:sz w:val="24"/>
          <w:szCs w:val="24"/>
        </w:rPr>
        <w:t xml:space="preserve">Subsection 163(1) of the Act requires that before the ACMA makes a standard the ACMA must, so far as is practicable, try to ensure that interested persons have had an adequate opportunity to comment on the proposed standard and that due consideration has been given to any representations made. </w:t>
      </w:r>
    </w:p>
    <w:p w14:paraId="50364654" w14:textId="6C6ECE4D" w:rsidR="00391EAB" w:rsidRPr="00A543CE" w:rsidRDefault="00391EAB" w:rsidP="00391EAB">
      <w:pPr>
        <w:rPr>
          <w:rFonts w:ascii="Times New Roman" w:hAnsi="Times New Roman"/>
          <w:sz w:val="24"/>
          <w:szCs w:val="24"/>
        </w:rPr>
      </w:pPr>
      <w:r w:rsidRPr="00A543CE">
        <w:rPr>
          <w:rFonts w:ascii="Times New Roman" w:hAnsi="Times New Roman"/>
          <w:sz w:val="24"/>
          <w:szCs w:val="24"/>
        </w:rPr>
        <w:t xml:space="preserve">The ACMA conducted a public consultation process in relation to the proposal to make the </w:t>
      </w:r>
      <w:r w:rsidR="00F45BEF">
        <w:rPr>
          <w:rFonts w:ascii="Times New Roman" w:hAnsi="Times New Roman"/>
          <w:sz w:val="24"/>
          <w:szCs w:val="24"/>
        </w:rPr>
        <w:t>ACMA Standards</w:t>
      </w:r>
      <w:r w:rsidRPr="00A543CE">
        <w:rPr>
          <w:rFonts w:ascii="Times New Roman" w:hAnsi="Times New Roman"/>
          <w:sz w:val="24"/>
          <w:szCs w:val="24"/>
        </w:rPr>
        <w:t xml:space="preserve"> during the period 11 April 2017 </w:t>
      </w:r>
      <w:r w:rsidR="00C023D5">
        <w:rPr>
          <w:rFonts w:ascii="Times New Roman" w:hAnsi="Times New Roman"/>
          <w:sz w:val="24"/>
          <w:szCs w:val="24"/>
        </w:rPr>
        <w:t>to</w:t>
      </w:r>
      <w:r w:rsidRPr="00A543CE">
        <w:rPr>
          <w:rFonts w:ascii="Times New Roman" w:hAnsi="Times New Roman"/>
          <w:sz w:val="24"/>
          <w:szCs w:val="24"/>
        </w:rPr>
        <w:t xml:space="preserve"> 26 May 2017. </w:t>
      </w:r>
      <w:r w:rsidR="001013B5">
        <w:rPr>
          <w:rFonts w:ascii="Times New Roman" w:hAnsi="Times New Roman"/>
          <w:sz w:val="24"/>
          <w:szCs w:val="24"/>
        </w:rPr>
        <w:t xml:space="preserve"> </w:t>
      </w:r>
      <w:r w:rsidRPr="00A543CE">
        <w:rPr>
          <w:rFonts w:ascii="Times New Roman" w:hAnsi="Times New Roman"/>
          <w:sz w:val="24"/>
          <w:szCs w:val="24"/>
        </w:rPr>
        <w:t xml:space="preserve">A consultation paper and draft template standard were made available on the ACMA website. </w:t>
      </w:r>
      <w:r w:rsidR="001013B5">
        <w:rPr>
          <w:rFonts w:ascii="Times New Roman" w:hAnsi="Times New Roman"/>
          <w:sz w:val="24"/>
          <w:szCs w:val="24"/>
        </w:rPr>
        <w:t xml:space="preserve"> </w:t>
      </w:r>
      <w:r w:rsidRPr="00A543CE">
        <w:rPr>
          <w:rFonts w:ascii="Times New Roman" w:hAnsi="Times New Roman"/>
          <w:snapToGrid w:val="0"/>
          <w:sz w:val="24"/>
          <w:szCs w:val="24"/>
        </w:rPr>
        <w:t xml:space="preserve">The consultation paper explained the </w:t>
      </w:r>
      <w:proofErr w:type="spellStart"/>
      <w:r w:rsidRPr="00A543CE">
        <w:rPr>
          <w:rFonts w:ascii="Times New Roman" w:hAnsi="Times New Roman"/>
          <w:snapToGrid w:val="0"/>
          <w:sz w:val="24"/>
          <w:szCs w:val="24"/>
        </w:rPr>
        <w:t>sunsetting</w:t>
      </w:r>
      <w:proofErr w:type="spellEnd"/>
      <w:r w:rsidRPr="00A543CE">
        <w:rPr>
          <w:rFonts w:ascii="Times New Roman" w:hAnsi="Times New Roman"/>
          <w:snapToGrid w:val="0"/>
          <w:sz w:val="24"/>
          <w:szCs w:val="24"/>
        </w:rPr>
        <w:t xml:space="preserve"> (automatic repeal) process and the ACMA’s preliminary view that the existing arrangements should be continued in the </w:t>
      </w:r>
      <w:r w:rsidR="00F45BEF">
        <w:rPr>
          <w:rFonts w:ascii="Times New Roman" w:hAnsi="Times New Roman"/>
          <w:snapToGrid w:val="0"/>
          <w:sz w:val="24"/>
          <w:szCs w:val="24"/>
        </w:rPr>
        <w:t>ACMA Standards</w:t>
      </w:r>
      <w:r w:rsidRPr="00A543CE">
        <w:rPr>
          <w:rFonts w:ascii="Times New Roman" w:hAnsi="Times New Roman"/>
          <w:snapToGrid w:val="0"/>
          <w:sz w:val="24"/>
          <w:szCs w:val="24"/>
        </w:rPr>
        <w:t xml:space="preserve"> without any significant changes. </w:t>
      </w:r>
      <w:r w:rsidR="001013B5">
        <w:rPr>
          <w:rFonts w:ascii="Times New Roman" w:hAnsi="Times New Roman"/>
          <w:snapToGrid w:val="0"/>
          <w:sz w:val="24"/>
          <w:szCs w:val="24"/>
        </w:rPr>
        <w:t xml:space="preserve"> </w:t>
      </w:r>
      <w:r w:rsidRPr="00A543CE">
        <w:rPr>
          <w:rFonts w:ascii="Times New Roman" w:hAnsi="Times New Roman"/>
          <w:snapToGrid w:val="0"/>
          <w:sz w:val="24"/>
          <w:szCs w:val="24"/>
        </w:rPr>
        <w:t xml:space="preserve">Interested parties were notified of the release of the </w:t>
      </w:r>
      <w:r w:rsidR="00B0628C">
        <w:rPr>
          <w:rFonts w:ascii="Times New Roman" w:hAnsi="Times New Roman"/>
          <w:snapToGrid w:val="0"/>
          <w:sz w:val="24"/>
          <w:szCs w:val="24"/>
        </w:rPr>
        <w:t>consultation</w:t>
      </w:r>
      <w:r w:rsidRPr="00A543CE">
        <w:rPr>
          <w:rFonts w:ascii="Times New Roman" w:hAnsi="Times New Roman"/>
          <w:snapToGrid w:val="0"/>
          <w:sz w:val="24"/>
          <w:szCs w:val="24"/>
        </w:rPr>
        <w:t xml:space="preserve"> paper and invited to comment. </w:t>
      </w:r>
    </w:p>
    <w:p w14:paraId="4D34E3C0" w14:textId="388732F8" w:rsidR="00391EAB" w:rsidRPr="00A543CE" w:rsidRDefault="00391EAB" w:rsidP="00391EAB">
      <w:pPr>
        <w:pStyle w:val="Default"/>
        <w:spacing w:after="200" w:line="276" w:lineRule="auto"/>
        <w:rPr>
          <w:snapToGrid w:val="0"/>
          <w:color w:val="auto"/>
        </w:rPr>
      </w:pPr>
      <w:r w:rsidRPr="00A543CE">
        <w:rPr>
          <w:snapToGrid w:val="0"/>
          <w:color w:val="auto"/>
        </w:rPr>
        <w:t>The ACMA did not receive any submissions in response to the consultation paper.</w:t>
      </w:r>
    </w:p>
    <w:p w14:paraId="0112116C" w14:textId="77777777" w:rsidR="00564895" w:rsidRPr="00EC38B3" w:rsidRDefault="00564895" w:rsidP="00564895">
      <w:pPr>
        <w:rPr>
          <w:rFonts w:ascii="Times New Roman" w:hAnsi="Times New Roman"/>
          <w:b/>
          <w:snapToGrid w:val="0"/>
          <w:sz w:val="24"/>
          <w:szCs w:val="24"/>
        </w:rPr>
      </w:pPr>
      <w:r w:rsidRPr="00EC38B3">
        <w:rPr>
          <w:rFonts w:ascii="Times New Roman" w:hAnsi="Times New Roman"/>
          <w:b/>
          <w:snapToGrid w:val="0"/>
          <w:sz w:val="24"/>
          <w:szCs w:val="24"/>
        </w:rPr>
        <w:t xml:space="preserve">Regulation </w:t>
      </w:r>
      <w:r w:rsidR="00A10641" w:rsidRPr="00EC38B3">
        <w:rPr>
          <w:rFonts w:ascii="Times New Roman" w:hAnsi="Times New Roman"/>
          <w:b/>
          <w:snapToGrid w:val="0"/>
          <w:sz w:val="24"/>
          <w:szCs w:val="24"/>
        </w:rPr>
        <w:t>i</w:t>
      </w:r>
      <w:r w:rsidRPr="00EC38B3">
        <w:rPr>
          <w:rFonts w:ascii="Times New Roman" w:hAnsi="Times New Roman"/>
          <w:b/>
          <w:snapToGrid w:val="0"/>
          <w:sz w:val="24"/>
          <w:szCs w:val="24"/>
        </w:rPr>
        <w:t xml:space="preserve">mpact </w:t>
      </w:r>
    </w:p>
    <w:p w14:paraId="2D331974" w14:textId="77777777" w:rsidR="00391EAB" w:rsidRPr="00A543CE" w:rsidRDefault="00391EAB" w:rsidP="00391EAB">
      <w:pPr>
        <w:rPr>
          <w:rFonts w:ascii="Times New Roman" w:hAnsi="Times New Roman"/>
          <w:sz w:val="24"/>
          <w:szCs w:val="24"/>
        </w:rPr>
      </w:pPr>
      <w:r w:rsidRPr="00A543CE">
        <w:rPr>
          <w:rFonts w:ascii="Times New Roman" w:hAnsi="Times New Roman"/>
          <w:sz w:val="24"/>
          <w:szCs w:val="24"/>
        </w:rPr>
        <w:t xml:space="preserve">A preliminary assessment of the proposal to make the </w:t>
      </w:r>
      <w:r w:rsidR="00F45BEF">
        <w:rPr>
          <w:rFonts w:ascii="Times New Roman" w:hAnsi="Times New Roman"/>
          <w:sz w:val="24"/>
          <w:szCs w:val="24"/>
        </w:rPr>
        <w:t>ACMA Standards</w:t>
      </w:r>
      <w:r w:rsidRPr="00A543CE">
        <w:rPr>
          <w:rFonts w:ascii="Times New Roman" w:hAnsi="Times New Roman"/>
          <w:sz w:val="24"/>
          <w:szCs w:val="24"/>
        </w:rPr>
        <w:t xml:space="preserve"> was conducted by the Office of Best Practice Regulation (</w:t>
      </w:r>
      <w:r w:rsidRPr="00A543CE">
        <w:rPr>
          <w:rFonts w:ascii="Times New Roman" w:hAnsi="Times New Roman"/>
          <w:b/>
          <w:sz w:val="24"/>
          <w:szCs w:val="24"/>
        </w:rPr>
        <w:t>OBPR</w:t>
      </w:r>
      <w:r w:rsidRPr="00A543CE">
        <w:rPr>
          <w:rFonts w:ascii="Times New Roman" w:hAnsi="Times New Roman"/>
          <w:sz w:val="24"/>
          <w:szCs w:val="24"/>
        </w:rPr>
        <w:t>), based on information provided by the ACMA, for the purposes of determining whether a Regulation Impact Statement (</w:t>
      </w:r>
      <w:r w:rsidRPr="00A543CE">
        <w:rPr>
          <w:rFonts w:ascii="Times New Roman" w:hAnsi="Times New Roman"/>
          <w:b/>
          <w:sz w:val="24"/>
          <w:szCs w:val="24"/>
        </w:rPr>
        <w:t>RIS</w:t>
      </w:r>
      <w:r w:rsidRPr="00A543CE">
        <w:rPr>
          <w:rFonts w:ascii="Times New Roman" w:hAnsi="Times New Roman"/>
          <w:sz w:val="24"/>
          <w:szCs w:val="24"/>
        </w:rPr>
        <w:t xml:space="preserve">) would be required. OBPR advised that a RIS would not be required because the </w:t>
      </w:r>
      <w:r w:rsidR="00F45BEF">
        <w:rPr>
          <w:rFonts w:ascii="Times New Roman" w:hAnsi="Times New Roman"/>
          <w:sz w:val="24"/>
          <w:szCs w:val="24"/>
        </w:rPr>
        <w:t>ACMA Standards were</w:t>
      </w:r>
      <w:r w:rsidRPr="00A543CE">
        <w:rPr>
          <w:rFonts w:ascii="Times New Roman" w:hAnsi="Times New Roman"/>
          <w:sz w:val="24"/>
          <w:szCs w:val="24"/>
        </w:rPr>
        <w:t xml:space="preserve"> expected to have a minor and machinery regulatory impact (OBPR reference number 21590).</w:t>
      </w:r>
    </w:p>
    <w:p w14:paraId="1C6439FB" w14:textId="77777777" w:rsidR="00564895" w:rsidRPr="00EC38B3" w:rsidRDefault="00564895" w:rsidP="00782F89">
      <w:pPr>
        <w:pStyle w:val="ACMABodyText"/>
        <w:spacing w:after="200"/>
        <w:rPr>
          <w:b/>
          <w:szCs w:val="24"/>
        </w:rPr>
      </w:pPr>
      <w:r w:rsidRPr="00EC38B3">
        <w:rPr>
          <w:b/>
          <w:szCs w:val="24"/>
        </w:rPr>
        <w:t xml:space="preserve">Statement of compatibility with human rights </w:t>
      </w:r>
    </w:p>
    <w:p w14:paraId="4C11120F" w14:textId="0B172C61" w:rsidR="00564895" w:rsidRPr="00EC38B3" w:rsidRDefault="00564895" w:rsidP="00A642CF">
      <w:pPr>
        <w:pStyle w:val="PlainText"/>
        <w:spacing w:after="200" w:line="276" w:lineRule="auto"/>
        <w:rPr>
          <w:rFonts w:ascii="Times New Roman" w:hAnsi="Times New Roman" w:cs="Times New Roman"/>
          <w:snapToGrid w:val="0"/>
          <w:color w:val="000000" w:themeColor="text1"/>
          <w:sz w:val="24"/>
          <w:szCs w:val="24"/>
        </w:rPr>
      </w:pPr>
      <w:r w:rsidRPr="00EC38B3">
        <w:rPr>
          <w:rFonts w:ascii="Times New Roman" w:hAnsi="Times New Roman" w:cs="Times New Roman"/>
          <w:snapToGrid w:val="0"/>
          <w:color w:val="000000" w:themeColor="text1"/>
          <w:sz w:val="24"/>
          <w:szCs w:val="24"/>
        </w:rPr>
        <w:t xml:space="preserve">Subsection 9(1) of the </w:t>
      </w:r>
      <w:r w:rsidRPr="00EC38B3">
        <w:rPr>
          <w:rFonts w:ascii="Times New Roman" w:hAnsi="Times New Roman" w:cs="Times New Roman"/>
          <w:i/>
          <w:snapToGrid w:val="0"/>
          <w:color w:val="000000" w:themeColor="text1"/>
          <w:sz w:val="24"/>
          <w:szCs w:val="24"/>
        </w:rPr>
        <w:t xml:space="preserve">Human Rights (Parliamentary Scrutiny) Act 2011 </w:t>
      </w:r>
      <w:r w:rsidRPr="00EC38B3">
        <w:rPr>
          <w:rFonts w:ascii="Times New Roman" w:hAnsi="Times New Roman" w:cs="Times New Roman"/>
          <w:snapToGrid w:val="0"/>
          <w:color w:val="000000" w:themeColor="text1"/>
          <w:sz w:val="24"/>
          <w:szCs w:val="24"/>
        </w:rPr>
        <w:t>requires the rule</w:t>
      </w:r>
      <w:r w:rsidR="00CD467C" w:rsidRPr="00EC38B3">
        <w:rPr>
          <w:rFonts w:ascii="Times New Roman" w:hAnsi="Times New Roman" w:cs="Times New Roman"/>
          <w:snapToGrid w:val="0"/>
          <w:color w:val="000000" w:themeColor="text1"/>
          <w:sz w:val="24"/>
          <w:szCs w:val="24"/>
        </w:rPr>
        <w:t>-</w:t>
      </w:r>
      <w:r w:rsidRPr="00EC38B3">
        <w:rPr>
          <w:rFonts w:ascii="Times New Roman" w:hAnsi="Times New Roman" w:cs="Times New Roman"/>
          <w:snapToGrid w:val="0"/>
          <w:color w:val="000000" w:themeColor="text1"/>
          <w:sz w:val="24"/>
          <w:szCs w:val="24"/>
        </w:rPr>
        <w:t xml:space="preserve">maker in relation to a legislative instrument to which section 42 (disallowance) of the LA applies to cause a statement of compatibility to be prepared in respect of that legislative instrument. </w:t>
      </w:r>
    </w:p>
    <w:p w14:paraId="45EEB0AA" w14:textId="77777777" w:rsidR="00564895" w:rsidRPr="00EC38B3" w:rsidRDefault="00564895" w:rsidP="00A642CF">
      <w:pPr>
        <w:pStyle w:val="PlainText"/>
        <w:spacing w:after="200" w:line="276" w:lineRule="auto"/>
        <w:rPr>
          <w:rFonts w:ascii="Times New Roman" w:hAnsi="Times New Roman" w:cs="Times New Roman"/>
          <w:snapToGrid w:val="0"/>
          <w:color w:val="000000" w:themeColor="text1"/>
          <w:sz w:val="24"/>
          <w:szCs w:val="24"/>
        </w:rPr>
      </w:pPr>
      <w:r w:rsidRPr="00EC38B3">
        <w:rPr>
          <w:rFonts w:ascii="Times New Roman" w:hAnsi="Times New Roman" w:cs="Times New Roman"/>
          <w:snapToGrid w:val="0"/>
          <w:color w:val="000000" w:themeColor="text1"/>
          <w:sz w:val="24"/>
          <w:szCs w:val="24"/>
        </w:rPr>
        <w:lastRenderedPageBreak/>
        <w:t xml:space="preserve">This statement has been prepared in accordance with Part 3 of the </w:t>
      </w:r>
      <w:r w:rsidRPr="00EC38B3">
        <w:rPr>
          <w:rFonts w:ascii="Times New Roman" w:hAnsi="Times New Roman" w:cs="Times New Roman"/>
          <w:i/>
          <w:snapToGrid w:val="0"/>
          <w:color w:val="000000" w:themeColor="text1"/>
          <w:sz w:val="24"/>
          <w:szCs w:val="24"/>
        </w:rPr>
        <w:t>Human Rights (Parliamentary Scrutiny) Act 2011</w:t>
      </w:r>
      <w:r w:rsidRPr="00EC38B3">
        <w:rPr>
          <w:rFonts w:ascii="Times New Roman" w:hAnsi="Times New Roman" w:cs="Times New Roman"/>
          <w:snapToGrid w:val="0"/>
          <w:color w:val="000000" w:themeColor="text1"/>
          <w:sz w:val="24"/>
          <w:szCs w:val="24"/>
        </w:rPr>
        <w:t>.</w:t>
      </w:r>
    </w:p>
    <w:p w14:paraId="70FC386E" w14:textId="6CBA4CBA" w:rsidR="00564895" w:rsidRPr="00EC38B3" w:rsidRDefault="000039CB" w:rsidP="00A642CF">
      <w:pPr>
        <w:pStyle w:val="PlainText"/>
        <w:spacing w:after="200" w:line="276" w:lineRule="auto"/>
        <w:rPr>
          <w:rFonts w:ascii="Times New Roman" w:hAnsi="Times New Roman" w:cs="Times New Roman"/>
          <w:snapToGrid w:val="0"/>
          <w:color w:val="000000" w:themeColor="text1"/>
          <w:sz w:val="24"/>
          <w:szCs w:val="24"/>
        </w:rPr>
      </w:pPr>
      <w:r w:rsidRPr="00EC38B3">
        <w:rPr>
          <w:rFonts w:ascii="Times New Roman" w:hAnsi="Times New Roman" w:cs="Times New Roman"/>
          <w:snapToGrid w:val="0"/>
          <w:color w:val="000000" w:themeColor="text1"/>
          <w:sz w:val="24"/>
          <w:szCs w:val="24"/>
        </w:rPr>
        <w:t>The ACMA considers that t</w:t>
      </w:r>
      <w:r w:rsidR="00564895" w:rsidRPr="00EC38B3">
        <w:rPr>
          <w:rFonts w:ascii="Times New Roman" w:hAnsi="Times New Roman" w:cs="Times New Roman"/>
          <w:snapToGrid w:val="0"/>
          <w:color w:val="000000" w:themeColor="text1"/>
          <w:sz w:val="24"/>
          <w:szCs w:val="24"/>
        </w:rPr>
        <w:t xml:space="preserve">he </w:t>
      </w:r>
      <w:r w:rsidR="005D4DAA" w:rsidRPr="00EC38B3">
        <w:rPr>
          <w:rFonts w:ascii="Times New Roman" w:hAnsi="Times New Roman" w:cs="Times New Roman"/>
          <w:snapToGrid w:val="0"/>
          <w:color w:val="000000" w:themeColor="text1"/>
          <w:sz w:val="24"/>
          <w:szCs w:val="24"/>
        </w:rPr>
        <w:t xml:space="preserve">ACMA </w:t>
      </w:r>
      <w:r w:rsidR="00564895" w:rsidRPr="00EC38B3">
        <w:rPr>
          <w:rFonts w:ascii="Times New Roman" w:hAnsi="Times New Roman" w:cs="Times New Roman"/>
          <w:snapToGrid w:val="0"/>
          <w:color w:val="000000" w:themeColor="text1"/>
          <w:sz w:val="24"/>
          <w:szCs w:val="24"/>
        </w:rPr>
        <w:t>Standard</w:t>
      </w:r>
      <w:r w:rsidR="00305B9C" w:rsidRPr="00EC38B3">
        <w:rPr>
          <w:rFonts w:ascii="Times New Roman" w:hAnsi="Times New Roman" w:cs="Times New Roman"/>
          <w:snapToGrid w:val="0"/>
          <w:color w:val="000000" w:themeColor="text1"/>
          <w:sz w:val="24"/>
          <w:szCs w:val="24"/>
        </w:rPr>
        <w:t>s</w:t>
      </w:r>
      <w:r w:rsidR="00B70AC5" w:rsidRPr="00EC38B3">
        <w:rPr>
          <w:rFonts w:ascii="Times New Roman" w:hAnsi="Times New Roman" w:cs="Times New Roman"/>
          <w:snapToGrid w:val="0"/>
          <w:color w:val="000000" w:themeColor="text1"/>
          <w:sz w:val="24"/>
          <w:szCs w:val="24"/>
        </w:rPr>
        <w:t>,</w:t>
      </w:r>
      <w:r w:rsidR="00564895" w:rsidRPr="00EC38B3">
        <w:rPr>
          <w:rFonts w:ascii="Times New Roman" w:hAnsi="Times New Roman" w:cs="Times New Roman"/>
          <w:snapToGrid w:val="0"/>
          <w:color w:val="000000" w:themeColor="text1"/>
          <w:sz w:val="24"/>
          <w:szCs w:val="24"/>
        </w:rPr>
        <w:t xml:space="preserve"> </w:t>
      </w:r>
      <w:r w:rsidR="00564895" w:rsidRPr="002D0658">
        <w:rPr>
          <w:rFonts w:ascii="Times New Roman" w:hAnsi="Times New Roman" w:cs="Times New Roman"/>
          <w:snapToGrid w:val="0"/>
          <w:color w:val="000000" w:themeColor="text1"/>
          <w:sz w:val="24"/>
          <w:szCs w:val="24"/>
        </w:rPr>
        <w:t xml:space="preserve">which require suppliers of </w:t>
      </w:r>
      <w:r w:rsidR="00CD467C" w:rsidRPr="002D0658">
        <w:rPr>
          <w:rFonts w:ascii="Times New Roman" w:hAnsi="Times New Roman" w:cs="Times New Roman"/>
          <w:snapToGrid w:val="0"/>
          <w:color w:val="000000" w:themeColor="text1"/>
          <w:sz w:val="24"/>
          <w:szCs w:val="24"/>
        </w:rPr>
        <w:t>speci</w:t>
      </w:r>
      <w:r w:rsidR="00305B9C" w:rsidRPr="002D0658">
        <w:rPr>
          <w:rFonts w:ascii="Times New Roman" w:hAnsi="Times New Roman" w:cs="Times New Roman"/>
          <w:snapToGrid w:val="0"/>
          <w:color w:val="000000" w:themeColor="text1"/>
          <w:sz w:val="24"/>
          <w:szCs w:val="24"/>
        </w:rPr>
        <w:t>fied</w:t>
      </w:r>
      <w:r w:rsidR="00564895" w:rsidRPr="002D0658">
        <w:rPr>
          <w:rFonts w:ascii="Times New Roman" w:hAnsi="Times New Roman" w:cs="Times New Roman"/>
          <w:snapToGrid w:val="0"/>
          <w:color w:val="000000" w:themeColor="text1"/>
          <w:sz w:val="24"/>
          <w:szCs w:val="24"/>
        </w:rPr>
        <w:t xml:space="preserve"> </w:t>
      </w:r>
      <w:proofErr w:type="spellStart"/>
      <w:r w:rsidR="002D0658">
        <w:rPr>
          <w:rFonts w:ascii="Times New Roman" w:hAnsi="Times New Roman" w:cs="Times New Roman"/>
          <w:snapToGrid w:val="0"/>
          <w:color w:val="000000" w:themeColor="text1"/>
          <w:sz w:val="24"/>
          <w:szCs w:val="24"/>
        </w:rPr>
        <w:t>radiocommunications</w:t>
      </w:r>
      <w:proofErr w:type="spellEnd"/>
      <w:r w:rsidR="002D0658">
        <w:rPr>
          <w:rFonts w:ascii="Times New Roman" w:hAnsi="Times New Roman" w:cs="Times New Roman"/>
          <w:snapToGrid w:val="0"/>
          <w:color w:val="000000" w:themeColor="text1"/>
          <w:sz w:val="24"/>
          <w:szCs w:val="24"/>
        </w:rPr>
        <w:t xml:space="preserve"> devices</w:t>
      </w:r>
      <w:r w:rsidR="00CD467C" w:rsidRPr="002D0658">
        <w:rPr>
          <w:rFonts w:ascii="Times New Roman" w:hAnsi="Times New Roman" w:cs="Times New Roman"/>
          <w:snapToGrid w:val="0"/>
          <w:color w:val="000000" w:themeColor="text1"/>
          <w:sz w:val="24"/>
          <w:szCs w:val="24"/>
        </w:rPr>
        <w:t xml:space="preserve"> </w:t>
      </w:r>
      <w:r w:rsidR="00564895" w:rsidRPr="002D0658">
        <w:rPr>
          <w:rFonts w:ascii="Times New Roman" w:hAnsi="Times New Roman" w:cs="Times New Roman"/>
          <w:snapToGrid w:val="0"/>
          <w:color w:val="000000" w:themeColor="text1"/>
          <w:sz w:val="24"/>
          <w:szCs w:val="24"/>
        </w:rPr>
        <w:t>to comply with particular technical requirements</w:t>
      </w:r>
      <w:r w:rsidR="00FA0B94">
        <w:rPr>
          <w:rFonts w:ascii="Times New Roman" w:hAnsi="Times New Roman" w:cs="Times New Roman"/>
          <w:snapToGrid w:val="0"/>
          <w:color w:val="000000" w:themeColor="text1"/>
          <w:sz w:val="24"/>
          <w:szCs w:val="24"/>
        </w:rPr>
        <w:t xml:space="preserve"> and to meet maximum emission requirements (as applicable)</w:t>
      </w:r>
      <w:r w:rsidR="00564895" w:rsidRPr="002D0658">
        <w:rPr>
          <w:rFonts w:ascii="Times New Roman" w:hAnsi="Times New Roman" w:cs="Times New Roman"/>
          <w:snapToGrid w:val="0"/>
          <w:color w:val="000000" w:themeColor="text1"/>
          <w:sz w:val="24"/>
          <w:szCs w:val="24"/>
        </w:rPr>
        <w:t>,</w:t>
      </w:r>
      <w:r w:rsidR="00564895" w:rsidRPr="00EC38B3">
        <w:rPr>
          <w:rFonts w:ascii="Times New Roman" w:hAnsi="Times New Roman" w:cs="Times New Roman"/>
          <w:snapToGrid w:val="0"/>
          <w:color w:val="000000" w:themeColor="text1"/>
          <w:sz w:val="24"/>
          <w:szCs w:val="24"/>
        </w:rPr>
        <w:t xml:space="preserve"> </w:t>
      </w:r>
      <w:r w:rsidR="00CD467C" w:rsidRPr="00EC38B3">
        <w:rPr>
          <w:rFonts w:ascii="Times New Roman" w:hAnsi="Times New Roman" w:cs="Times New Roman"/>
          <w:snapToGrid w:val="0"/>
          <w:color w:val="000000" w:themeColor="text1"/>
          <w:sz w:val="24"/>
          <w:szCs w:val="24"/>
        </w:rPr>
        <w:t xml:space="preserve">do not engage any of </w:t>
      </w:r>
      <w:r w:rsidR="00564895" w:rsidRPr="00EC38B3">
        <w:rPr>
          <w:rFonts w:ascii="Times New Roman" w:hAnsi="Times New Roman" w:cs="Times New Roman"/>
          <w:snapToGrid w:val="0"/>
          <w:color w:val="000000" w:themeColor="text1"/>
          <w:sz w:val="24"/>
          <w:szCs w:val="24"/>
        </w:rPr>
        <w:t xml:space="preserve">the human rights </w:t>
      </w:r>
      <w:r w:rsidRPr="00EC38B3">
        <w:rPr>
          <w:rFonts w:ascii="Times New Roman" w:hAnsi="Times New Roman" w:cs="Times New Roman"/>
          <w:snapToGrid w:val="0"/>
          <w:color w:val="000000" w:themeColor="text1"/>
          <w:sz w:val="24"/>
          <w:szCs w:val="24"/>
        </w:rPr>
        <w:t>or</w:t>
      </w:r>
      <w:r w:rsidR="00564895" w:rsidRPr="00EC38B3">
        <w:rPr>
          <w:rFonts w:ascii="Times New Roman" w:hAnsi="Times New Roman" w:cs="Times New Roman"/>
          <w:snapToGrid w:val="0"/>
          <w:color w:val="000000" w:themeColor="text1"/>
          <w:sz w:val="24"/>
          <w:szCs w:val="24"/>
        </w:rPr>
        <w:t xml:space="preserve"> freedoms recognised or declared </w:t>
      </w:r>
      <w:r w:rsidRPr="00EC38B3">
        <w:rPr>
          <w:rFonts w:ascii="Times New Roman" w:hAnsi="Times New Roman" w:cs="Times New Roman"/>
          <w:snapToGrid w:val="0"/>
          <w:color w:val="000000" w:themeColor="text1"/>
          <w:sz w:val="24"/>
          <w:szCs w:val="24"/>
        </w:rPr>
        <w:t>by</w:t>
      </w:r>
      <w:r w:rsidR="00564895" w:rsidRPr="00EC38B3">
        <w:rPr>
          <w:rFonts w:ascii="Times New Roman" w:hAnsi="Times New Roman" w:cs="Times New Roman"/>
          <w:snapToGrid w:val="0"/>
          <w:color w:val="000000" w:themeColor="text1"/>
          <w:sz w:val="24"/>
          <w:szCs w:val="24"/>
        </w:rPr>
        <w:t xml:space="preserve"> the international instruments listed in section 3 of the </w:t>
      </w:r>
      <w:r w:rsidR="00564895" w:rsidRPr="00EC38B3">
        <w:rPr>
          <w:rFonts w:ascii="Times New Roman" w:hAnsi="Times New Roman" w:cs="Times New Roman"/>
          <w:i/>
          <w:snapToGrid w:val="0"/>
          <w:color w:val="000000" w:themeColor="text1"/>
          <w:sz w:val="24"/>
          <w:szCs w:val="24"/>
        </w:rPr>
        <w:t>Human Rights (Parliamentary Scrutiny) Act 2011</w:t>
      </w:r>
      <w:r w:rsidR="00564895" w:rsidRPr="00EC38B3">
        <w:rPr>
          <w:rFonts w:ascii="Times New Roman" w:hAnsi="Times New Roman" w:cs="Times New Roman"/>
          <w:snapToGrid w:val="0"/>
          <w:color w:val="000000" w:themeColor="text1"/>
          <w:sz w:val="24"/>
          <w:szCs w:val="24"/>
        </w:rPr>
        <w:t>.</w:t>
      </w:r>
    </w:p>
    <w:p w14:paraId="170DC987" w14:textId="77777777" w:rsidR="002A3C8E" w:rsidRDefault="00564895" w:rsidP="00A642CF">
      <w:pPr>
        <w:pStyle w:val="PlainText"/>
        <w:spacing w:after="200" w:line="276" w:lineRule="auto"/>
        <w:rPr>
          <w:rFonts w:ascii="Times New Roman" w:hAnsi="Times New Roman" w:cs="Times New Roman"/>
          <w:snapToGrid w:val="0"/>
          <w:color w:val="000000" w:themeColor="text1"/>
          <w:sz w:val="24"/>
          <w:szCs w:val="24"/>
        </w:rPr>
      </w:pPr>
      <w:r w:rsidRPr="00EC38B3">
        <w:rPr>
          <w:rFonts w:ascii="Times New Roman" w:hAnsi="Times New Roman" w:cs="Times New Roman"/>
          <w:snapToGrid w:val="0"/>
          <w:color w:val="000000" w:themeColor="text1"/>
          <w:sz w:val="24"/>
          <w:szCs w:val="24"/>
        </w:rPr>
        <w:t xml:space="preserve">The </w:t>
      </w:r>
      <w:r w:rsidR="00BE7CD3" w:rsidRPr="00EC38B3">
        <w:rPr>
          <w:rFonts w:ascii="Times New Roman" w:hAnsi="Times New Roman" w:cs="Times New Roman"/>
          <w:snapToGrid w:val="0"/>
          <w:color w:val="000000" w:themeColor="text1"/>
          <w:sz w:val="24"/>
          <w:szCs w:val="24"/>
        </w:rPr>
        <w:t xml:space="preserve">ACMA </w:t>
      </w:r>
      <w:r w:rsidRPr="00EC38B3">
        <w:rPr>
          <w:rFonts w:ascii="Times New Roman" w:hAnsi="Times New Roman" w:cs="Times New Roman"/>
          <w:snapToGrid w:val="0"/>
          <w:color w:val="000000" w:themeColor="text1"/>
          <w:sz w:val="24"/>
          <w:szCs w:val="24"/>
        </w:rPr>
        <w:t>Standard</w:t>
      </w:r>
      <w:r w:rsidR="008252FA" w:rsidRPr="00EC38B3">
        <w:rPr>
          <w:rFonts w:ascii="Times New Roman" w:hAnsi="Times New Roman" w:cs="Times New Roman"/>
          <w:snapToGrid w:val="0"/>
          <w:color w:val="000000" w:themeColor="text1"/>
          <w:sz w:val="24"/>
          <w:szCs w:val="24"/>
        </w:rPr>
        <w:t>s</w:t>
      </w:r>
      <w:r w:rsidRPr="00EC38B3">
        <w:rPr>
          <w:rFonts w:ascii="Times New Roman" w:hAnsi="Times New Roman" w:cs="Times New Roman"/>
          <w:snapToGrid w:val="0"/>
          <w:color w:val="000000" w:themeColor="text1"/>
          <w:sz w:val="24"/>
          <w:szCs w:val="24"/>
        </w:rPr>
        <w:t xml:space="preserve"> </w:t>
      </w:r>
      <w:r w:rsidR="008252FA" w:rsidRPr="00EC38B3">
        <w:rPr>
          <w:rFonts w:ascii="Times New Roman" w:hAnsi="Times New Roman" w:cs="Times New Roman"/>
          <w:snapToGrid w:val="0"/>
          <w:color w:val="000000" w:themeColor="text1"/>
          <w:sz w:val="24"/>
          <w:szCs w:val="24"/>
        </w:rPr>
        <w:t>are</w:t>
      </w:r>
      <w:r w:rsidRPr="00EC38B3">
        <w:rPr>
          <w:rFonts w:ascii="Times New Roman" w:hAnsi="Times New Roman" w:cs="Times New Roman"/>
          <w:snapToGrid w:val="0"/>
          <w:color w:val="000000" w:themeColor="text1"/>
          <w:sz w:val="24"/>
          <w:szCs w:val="24"/>
        </w:rPr>
        <w:t xml:space="preserve"> compatible with human rights</w:t>
      </w:r>
      <w:r w:rsidR="000039CB" w:rsidRPr="00EC38B3">
        <w:rPr>
          <w:rFonts w:ascii="Times New Roman" w:hAnsi="Times New Roman" w:cs="Times New Roman"/>
          <w:snapToGrid w:val="0"/>
          <w:color w:val="000000" w:themeColor="text1"/>
          <w:sz w:val="24"/>
          <w:szCs w:val="24"/>
        </w:rPr>
        <w:t xml:space="preserve"> a</w:t>
      </w:r>
      <w:r w:rsidR="00B86CFE" w:rsidRPr="00EC38B3">
        <w:rPr>
          <w:rFonts w:ascii="Times New Roman" w:hAnsi="Times New Roman" w:cs="Times New Roman"/>
          <w:snapToGrid w:val="0"/>
          <w:color w:val="000000" w:themeColor="text1"/>
          <w:sz w:val="24"/>
          <w:szCs w:val="24"/>
        </w:rPr>
        <w:t>n</w:t>
      </w:r>
      <w:r w:rsidR="000039CB" w:rsidRPr="00EC38B3">
        <w:rPr>
          <w:rFonts w:ascii="Times New Roman" w:hAnsi="Times New Roman" w:cs="Times New Roman"/>
          <w:snapToGrid w:val="0"/>
          <w:color w:val="000000" w:themeColor="text1"/>
          <w:sz w:val="24"/>
          <w:szCs w:val="24"/>
        </w:rPr>
        <w:t>d freedoms</w:t>
      </w:r>
      <w:r w:rsidRPr="00EC38B3">
        <w:rPr>
          <w:rFonts w:ascii="Times New Roman" w:hAnsi="Times New Roman" w:cs="Times New Roman"/>
          <w:snapToGrid w:val="0"/>
          <w:color w:val="000000" w:themeColor="text1"/>
          <w:sz w:val="24"/>
          <w:szCs w:val="24"/>
        </w:rPr>
        <w:t xml:space="preserve"> as </w:t>
      </w:r>
      <w:r w:rsidR="008252FA" w:rsidRPr="00EC38B3">
        <w:rPr>
          <w:rFonts w:ascii="Times New Roman" w:hAnsi="Times New Roman" w:cs="Times New Roman"/>
          <w:snapToGrid w:val="0"/>
          <w:color w:val="000000" w:themeColor="text1"/>
          <w:sz w:val="24"/>
          <w:szCs w:val="24"/>
        </w:rPr>
        <w:t xml:space="preserve">they </w:t>
      </w:r>
      <w:r w:rsidRPr="00EC38B3">
        <w:rPr>
          <w:rFonts w:ascii="Times New Roman" w:hAnsi="Times New Roman" w:cs="Times New Roman"/>
          <w:snapToGrid w:val="0"/>
          <w:color w:val="000000" w:themeColor="text1"/>
          <w:sz w:val="24"/>
          <w:szCs w:val="24"/>
        </w:rPr>
        <w:t>do not raise any human rights issues.</w:t>
      </w:r>
    </w:p>
    <w:p w14:paraId="06F8F35F" w14:textId="77777777" w:rsidR="002A3C8E" w:rsidRDefault="002A3C8E">
      <w:pPr>
        <w:spacing w:after="0" w:line="240" w:lineRule="auto"/>
        <w:rPr>
          <w:rFonts w:ascii="Times New Roman" w:eastAsiaTheme="minorHAnsi" w:hAnsi="Times New Roman"/>
          <w:snapToGrid w:val="0"/>
          <w:color w:val="000000" w:themeColor="text1"/>
          <w:sz w:val="24"/>
          <w:szCs w:val="24"/>
          <w:lang w:eastAsia="en-AU"/>
        </w:rPr>
      </w:pPr>
      <w:r>
        <w:rPr>
          <w:rFonts w:ascii="Times New Roman" w:hAnsi="Times New Roman"/>
          <w:snapToGrid w:val="0"/>
          <w:color w:val="000000" w:themeColor="text1"/>
          <w:sz w:val="24"/>
          <w:szCs w:val="24"/>
        </w:rPr>
        <w:br w:type="page"/>
      </w:r>
    </w:p>
    <w:p w14:paraId="179D4740" w14:textId="77777777" w:rsidR="002A3C8E" w:rsidRPr="002A3C8E" w:rsidRDefault="002A3C8E" w:rsidP="002A3C8E">
      <w:pPr>
        <w:pStyle w:val="PlainText"/>
        <w:spacing w:after="200" w:line="276" w:lineRule="auto"/>
        <w:jc w:val="right"/>
        <w:rPr>
          <w:rFonts w:ascii="Times New Roman" w:hAnsi="Times New Roman" w:cs="Times New Roman"/>
          <w:b/>
          <w:snapToGrid w:val="0"/>
          <w:color w:val="000000" w:themeColor="text1"/>
          <w:sz w:val="24"/>
          <w:szCs w:val="24"/>
        </w:rPr>
      </w:pPr>
      <w:r w:rsidRPr="002A3C8E">
        <w:rPr>
          <w:rFonts w:ascii="Times New Roman" w:hAnsi="Times New Roman" w:cs="Times New Roman"/>
          <w:b/>
          <w:snapToGrid w:val="0"/>
          <w:color w:val="000000" w:themeColor="text1"/>
          <w:sz w:val="24"/>
          <w:szCs w:val="24"/>
        </w:rPr>
        <w:lastRenderedPageBreak/>
        <w:t>ATTACHMENT A</w:t>
      </w:r>
    </w:p>
    <w:p w14:paraId="07C31D86" w14:textId="77777777" w:rsidR="002A3C8E" w:rsidRDefault="002A3C8E" w:rsidP="00686FEB">
      <w:pPr>
        <w:spacing w:line="240" w:lineRule="atLeast"/>
        <w:rPr>
          <w:rFonts w:ascii="Times New Roman" w:hAnsi="Times New Roman"/>
          <w:b/>
          <w:sz w:val="24"/>
          <w:szCs w:val="24"/>
        </w:rPr>
      </w:pPr>
    </w:p>
    <w:p w14:paraId="635044CA" w14:textId="77777777" w:rsidR="007B5255" w:rsidRPr="00EC38B3" w:rsidRDefault="002A3C8E" w:rsidP="00686FEB">
      <w:pPr>
        <w:spacing w:line="240" w:lineRule="atLeast"/>
        <w:rPr>
          <w:rFonts w:ascii="Times New Roman" w:hAnsi="Times New Roman"/>
          <w:b/>
          <w:sz w:val="24"/>
          <w:szCs w:val="24"/>
        </w:rPr>
      </w:pPr>
      <w:r>
        <w:rPr>
          <w:rFonts w:ascii="Times New Roman" w:hAnsi="Times New Roman"/>
          <w:b/>
          <w:sz w:val="24"/>
          <w:szCs w:val="24"/>
        </w:rPr>
        <w:t>Notes to the</w:t>
      </w:r>
      <w:r w:rsidR="007B5255" w:rsidRPr="00EC38B3">
        <w:rPr>
          <w:rFonts w:ascii="Times New Roman" w:hAnsi="Times New Roman"/>
          <w:b/>
          <w:sz w:val="24"/>
          <w:szCs w:val="24"/>
        </w:rPr>
        <w:t xml:space="preserve"> ACMA Standards</w:t>
      </w:r>
    </w:p>
    <w:p w14:paraId="196BF28B" w14:textId="2F1A307C" w:rsidR="00D977FD" w:rsidRPr="00EC38B3" w:rsidRDefault="00D977FD" w:rsidP="001C4F99">
      <w:pPr>
        <w:rPr>
          <w:rFonts w:ascii="Times New Roman" w:hAnsi="Times New Roman"/>
          <w:sz w:val="24"/>
          <w:szCs w:val="24"/>
        </w:rPr>
      </w:pPr>
      <w:r w:rsidRPr="00EC38B3">
        <w:rPr>
          <w:rFonts w:ascii="Times New Roman" w:hAnsi="Times New Roman"/>
          <w:sz w:val="24"/>
          <w:szCs w:val="24"/>
        </w:rPr>
        <w:t xml:space="preserve">Each of the </w:t>
      </w:r>
      <w:r w:rsidR="000B171D">
        <w:rPr>
          <w:rFonts w:ascii="Times New Roman" w:hAnsi="Times New Roman"/>
          <w:sz w:val="24"/>
          <w:szCs w:val="24"/>
        </w:rPr>
        <w:t>ACMA S</w:t>
      </w:r>
      <w:r w:rsidRPr="00EC38B3">
        <w:rPr>
          <w:rFonts w:ascii="Times New Roman" w:hAnsi="Times New Roman"/>
          <w:sz w:val="24"/>
          <w:szCs w:val="24"/>
        </w:rPr>
        <w:t>tandards follow</w:t>
      </w:r>
      <w:r w:rsidR="00AE334F" w:rsidRPr="00EC38B3">
        <w:rPr>
          <w:rFonts w:ascii="Times New Roman" w:hAnsi="Times New Roman"/>
          <w:sz w:val="24"/>
          <w:szCs w:val="24"/>
        </w:rPr>
        <w:t>s</w:t>
      </w:r>
      <w:r w:rsidRPr="00EC38B3">
        <w:rPr>
          <w:rFonts w:ascii="Times New Roman" w:hAnsi="Times New Roman"/>
          <w:sz w:val="24"/>
          <w:szCs w:val="24"/>
        </w:rPr>
        <w:t xml:space="preserve"> the same template.  The differences between th</w:t>
      </w:r>
      <w:r w:rsidR="005204B2" w:rsidRPr="00EC38B3">
        <w:rPr>
          <w:rFonts w:ascii="Times New Roman" w:hAnsi="Times New Roman"/>
          <w:sz w:val="24"/>
          <w:szCs w:val="24"/>
        </w:rPr>
        <w:t>os</w:t>
      </w:r>
      <w:r w:rsidRPr="00EC38B3">
        <w:rPr>
          <w:rFonts w:ascii="Times New Roman" w:hAnsi="Times New Roman"/>
          <w:sz w:val="24"/>
          <w:szCs w:val="24"/>
        </w:rPr>
        <w:t xml:space="preserve">e standards are </w:t>
      </w:r>
      <w:r w:rsidR="00D37D61">
        <w:rPr>
          <w:rFonts w:ascii="Times New Roman" w:hAnsi="Times New Roman"/>
          <w:sz w:val="24"/>
          <w:szCs w:val="24"/>
        </w:rPr>
        <w:t xml:space="preserve">largely </w:t>
      </w:r>
      <w:r w:rsidRPr="00EC38B3">
        <w:rPr>
          <w:rFonts w:ascii="Times New Roman" w:hAnsi="Times New Roman"/>
          <w:sz w:val="24"/>
          <w:szCs w:val="24"/>
        </w:rPr>
        <w:t>confined to which industry standard</w:t>
      </w:r>
      <w:r w:rsidR="00AE334F" w:rsidRPr="00EC38B3">
        <w:rPr>
          <w:rFonts w:ascii="Times New Roman" w:hAnsi="Times New Roman"/>
          <w:sz w:val="24"/>
          <w:szCs w:val="24"/>
        </w:rPr>
        <w:t>s</w:t>
      </w:r>
      <w:r w:rsidRPr="00EC38B3">
        <w:rPr>
          <w:rFonts w:ascii="Times New Roman" w:hAnsi="Times New Roman"/>
          <w:sz w:val="24"/>
          <w:szCs w:val="24"/>
        </w:rPr>
        <w:t xml:space="preserve"> </w:t>
      </w:r>
      <w:r w:rsidR="00AE334F" w:rsidRPr="00EC38B3">
        <w:rPr>
          <w:rFonts w:ascii="Times New Roman" w:hAnsi="Times New Roman"/>
          <w:sz w:val="24"/>
          <w:szCs w:val="24"/>
        </w:rPr>
        <w:t>are</w:t>
      </w:r>
      <w:r w:rsidRPr="00EC38B3">
        <w:rPr>
          <w:rFonts w:ascii="Times New Roman" w:hAnsi="Times New Roman"/>
          <w:sz w:val="24"/>
          <w:szCs w:val="24"/>
        </w:rPr>
        <w:t xml:space="preserve"> adopted and the type</w:t>
      </w:r>
      <w:r w:rsidR="001C0CF1">
        <w:rPr>
          <w:rFonts w:ascii="Times New Roman" w:hAnsi="Times New Roman"/>
          <w:sz w:val="24"/>
          <w:szCs w:val="24"/>
        </w:rPr>
        <w:t>s</w:t>
      </w:r>
      <w:r w:rsidRPr="00EC38B3">
        <w:rPr>
          <w:rFonts w:ascii="Times New Roman" w:hAnsi="Times New Roman"/>
          <w:sz w:val="24"/>
          <w:szCs w:val="24"/>
        </w:rPr>
        <w:t xml:space="preserve"> of </w:t>
      </w:r>
      <w:proofErr w:type="spellStart"/>
      <w:r w:rsidR="000B171D">
        <w:rPr>
          <w:rFonts w:ascii="Times New Roman" w:hAnsi="Times New Roman"/>
          <w:sz w:val="24"/>
          <w:szCs w:val="24"/>
        </w:rPr>
        <w:t>radiocommunications</w:t>
      </w:r>
      <w:proofErr w:type="spellEnd"/>
      <w:r w:rsidR="000B171D">
        <w:rPr>
          <w:rFonts w:ascii="Times New Roman" w:hAnsi="Times New Roman"/>
          <w:sz w:val="24"/>
          <w:szCs w:val="24"/>
        </w:rPr>
        <w:t xml:space="preserve"> device</w:t>
      </w:r>
      <w:r w:rsidR="004E7823">
        <w:rPr>
          <w:rFonts w:ascii="Times New Roman" w:hAnsi="Times New Roman"/>
          <w:sz w:val="24"/>
          <w:szCs w:val="24"/>
        </w:rPr>
        <w:t>s</w:t>
      </w:r>
      <w:r w:rsidRPr="00EC38B3">
        <w:rPr>
          <w:rFonts w:ascii="Times New Roman" w:hAnsi="Times New Roman"/>
          <w:sz w:val="24"/>
          <w:szCs w:val="24"/>
        </w:rPr>
        <w:t xml:space="preserve"> to which the standards apply</w:t>
      </w:r>
      <w:r w:rsidR="00FB0AF7" w:rsidRPr="00EC38B3">
        <w:rPr>
          <w:rFonts w:ascii="Times New Roman" w:hAnsi="Times New Roman"/>
          <w:sz w:val="24"/>
          <w:szCs w:val="24"/>
        </w:rPr>
        <w:t>.  Those differences are referred to in columns 2 and 3 of the table above</w:t>
      </w:r>
      <w:r w:rsidRPr="00EC38B3">
        <w:rPr>
          <w:rFonts w:ascii="Times New Roman" w:hAnsi="Times New Roman"/>
          <w:sz w:val="24"/>
          <w:szCs w:val="24"/>
        </w:rPr>
        <w:t>.</w:t>
      </w:r>
    </w:p>
    <w:p w14:paraId="5D448D52" w14:textId="77777777" w:rsidR="001C4F99" w:rsidRPr="00EC38B3" w:rsidRDefault="007B5255" w:rsidP="001C4F99">
      <w:pPr>
        <w:rPr>
          <w:rFonts w:ascii="Times New Roman" w:hAnsi="Times New Roman"/>
          <w:snapToGrid w:val="0"/>
          <w:sz w:val="24"/>
          <w:szCs w:val="24"/>
        </w:rPr>
      </w:pPr>
      <w:r w:rsidRPr="00EC38B3">
        <w:rPr>
          <w:rFonts w:ascii="Times New Roman" w:hAnsi="Times New Roman"/>
          <w:sz w:val="24"/>
          <w:szCs w:val="24"/>
        </w:rPr>
        <w:t>A detailed description of the provisions</w:t>
      </w:r>
      <w:r w:rsidR="00F362A9" w:rsidRPr="00EC38B3">
        <w:rPr>
          <w:rFonts w:ascii="Times New Roman" w:hAnsi="Times New Roman"/>
          <w:sz w:val="24"/>
          <w:szCs w:val="24"/>
        </w:rPr>
        <w:t xml:space="preserve"> which are common to each ACMA Standard are</w:t>
      </w:r>
      <w:r w:rsidRPr="00EC38B3">
        <w:rPr>
          <w:rFonts w:ascii="Times New Roman" w:hAnsi="Times New Roman"/>
          <w:sz w:val="24"/>
          <w:szCs w:val="24"/>
        </w:rPr>
        <w:t xml:space="preserve"> set out below.</w:t>
      </w:r>
      <w:r w:rsidR="001C4F99" w:rsidRPr="00EC38B3">
        <w:rPr>
          <w:rFonts w:ascii="Times New Roman" w:hAnsi="Times New Roman"/>
          <w:sz w:val="24"/>
          <w:szCs w:val="24"/>
        </w:rPr>
        <w:t xml:space="preserve">  </w:t>
      </w:r>
    </w:p>
    <w:p w14:paraId="29EE5FED" w14:textId="77777777" w:rsidR="007B5255" w:rsidRPr="00EC38B3" w:rsidRDefault="007B5255" w:rsidP="00334AF8">
      <w:pPr>
        <w:pStyle w:val="Heading3"/>
        <w:tabs>
          <w:tab w:val="left" w:pos="1620"/>
        </w:tabs>
        <w:spacing w:after="120" w:line="240" w:lineRule="atLeast"/>
        <w:contextualSpacing/>
        <w:rPr>
          <w:rFonts w:eastAsia="Calibri"/>
          <w:szCs w:val="24"/>
          <w:lang w:eastAsia="en-US"/>
        </w:rPr>
      </w:pPr>
      <w:r w:rsidRPr="00EC38B3">
        <w:rPr>
          <w:rFonts w:eastAsia="Calibri"/>
          <w:szCs w:val="24"/>
          <w:lang w:eastAsia="en-US"/>
        </w:rPr>
        <w:t>Part 1 –</w:t>
      </w:r>
      <w:r w:rsidR="005C4B68" w:rsidRPr="00EC38B3">
        <w:rPr>
          <w:rFonts w:eastAsia="Calibri"/>
          <w:szCs w:val="24"/>
          <w:lang w:eastAsia="en-US"/>
        </w:rPr>
        <w:t xml:space="preserve"> </w:t>
      </w:r>
      <w:r w:rsidRPr="00EC38B3">
        <w:rPr>
          <w:rFonts w:eastAsia="Calibri"/>
          <w:szCs w:val="24"/>
          <w:lang w:eastAsia="en-US"/>
        </w:rPr>
        <w:t>Preliminary</w:t>
      </w:r>
    </w:p>
    <w:p w14:paraId="38E2D878" w14:textId="77777777" w:rsidR="007B5255" w:rsidRPr="00EC38B3" w:rsidRDefault="007B5255" w:rsidP="00334AF8">
      <w:pPr>
        <w:pStyle w:val="Heading3"/>
        <w:tabs>
          <w:tab w:val="left" w:pos="1620"/>
        </w:tabs>
        <w:spacing w:after="120" w:line="240" w:lineRule="atLeast"/>
        <w:contextualSpacing/>
        <w:rPr>
          <w:szCs w:val="24"/>
        </w:rPr>
      </w:pPr>
      <w:r w:rsidRPr="00EC38B3">
        <w:rPr>
          <w:rFonts w:eastAsia="Calibri"/>
          <w:szCs w:val="24"/>
          <w:lang w:eastAsia="en-US"/>
        </w:rPr>
        <w:br/>
      </w:r>
      <w:r w:rsidRPr="00EC38B3">
        <w:rPr>
          <w:szCs w:val="24"/>
        </w:rPr>
        <w:t>Section 1</w:t>
      </w:r>
      <w:r w:rsidRPr="00EC38B3">
        <w:rPr>
          <w:szCs w:val="24"/>
        </w:rPr>
        <w:tab/>
        <w:t xml:space="preserve">Name </w:t>
      </w:r>
    </w:p>
    <w:p w14:paraId="71975778" w14:textId="77777777" w:rsidR="007B5255" w:rsidRPr="00EC38B3" w:rsidRDefault="007B5255" w:rsidP="00334AF8">
      <w:pPr>
        <w:spacing w:before="120" w:after="120"/>
        <w:rPr>
          <w:rFonts w:ascii="Times New Roman" w:hAnsi="Times New Roman"/>
          <w:sz w:val="24"/>
          <w:szCs w:val="24"/>
        </w:rPr>
      </w:pPr>
      <w:r w:rsidRPr="00EC38B3">
        <w:rPr>
          <w:rFonts w:ascii="Times New Roman" w:hAnsi="Times New Roman"/>
          <w:color w:val="000000"/>
          <w:sz w:val="24"/>
          <w:szCs w:val="24"/>
        </w:rPr>
        <w:t xml:space="preserve">This section </w:t>
      </w:r>
      <w:r w:rsidR="00090DA4" w:rsidRPr="00EC38B3">
        <w:rPr>
          <w:rFonts w:ascii="Times New Roman" w:hAnsi="Times New Roman"/>
          <w:color w:val="000000"/>
          <w:sz w:val="24"/>
          <w:szCs w:val="24"/>
        </w:rPr>
        <w:t xml:space="preserve">states </w:t>
      </w:r>
      <w:r w:rsidRPr="00EC38B3">
        <w:rPr>
          <w:rFonts w:ascii="Times New Roman" w:hAnsi="Times New Roman"/>
          <w:color w:val="000000"/>
          <w:sz w:val="24"/>
          <w:szCs w:val="24"/>
        </w:rPr>
        <w:t xml:space="preserve">the name of the </w:t>
      </w:r>
      <w:r w:rsidR="00CD5189" w:rsidRPr="00EC38B3">
        <w:rPr>
          <w:rFonts w:ascii="Times New Roman" w:hAnsi="Times New Roman"/>
          <w:color w:val="000000"/>
          <w:sz w:val="24"/>
          <w:szCs w:val="24"/>
        </w:rPr>
        <w:t xml:space="preserve">relevant </w:t>
      </w:r>
      <w:r w:rsidRPr="00EC38B3">
        <w:rPr>
          <w:rFonts w:ascii="Times New Roman" w:hAnsi="Times New Roman"/>
          <w:color w:val="000000"/>
          <w:sz w:val="24"/>
          <w:szCs w:val="24"/>
        </w:rPr>
        <w:t>ACMA Standard</w:t>
      </w:r>
      <w:r w:rsidR="000B171D">
        <w:rPr>
          <w:rFonts w:ascii="Times New Roman" w:hAnsi="Times New Roman"/>
          <w:color w:val="000000"/>
          <w:sz w:val="24"/>
          <w:szCs w:val="24"/>
        </w:rPr>
        <w:t>.</w:t>
      </w:r>
      <w:r w:rsidR="00EE693E" w:rsidRPr="00EC38B3">
        <w:rPr>
          <w:rFonts w:ascii="Times New Roman" w:hAnsi="Times New Roman"/>
          <w:sz w:val="24"/>
          <w:szCs w:val="24"/>
        </w:rPr>
        <w:t xml:space="preserve">  </w:t>
      </w:r>
    </w:p>
    <w:p w14:paraId="56039BAA" w14:textId="77777777" w:rsidR="000A458A" w:rsidRPr="00EC38B3" w:rsidRDefault="000A458A" w:rsidP="000A458A">
      <w:pPr>
        <w:pStyle w:val="Heading3"/>
        <w:tabs>
          <w:tab w:val="left" w:pos="1620"/>
        </w:tabs>
        <w:spacing w:after="120" w:line="240" w:lineRule="atLeast"/>
        <w:rPr>
          <w:color w:val="000000"/>
          <w:szCs w:val="24"/>
        </w:rPr>
      </w:pPr>
      <w:r w:rsidRPr="00EC38B3">
        <w:rPr>
          <w:szCs w:val="24"/>
        </w:rPr>
        <w:t>Section 2</w:t>
      </w:r>
      <w:r w:rsidRPr="00EC38B3">
        <w:rPr>
          <w:szCs w:val="24"/>
        </w:rPr>
        <w:tab/>
        <w:t>Commencement</w:t>
      </w:r>
    </w:p>
    <w:p w14:paraId="6377B960" w14:textId="77777777" w:rsidR="000A458A" w:rsidRPr="00EC38B3" w:rsidRDefault="000A458A" w:rsidP="000A458A">
      <w:pPr>
        <w:spacing w:before="120" w:after="120" w:line="240" w:lineRule="atLeast"/>
        <w:rPr>
          <w:rFonts w:ascii="Times New Roman" w:hAnsi="Times New Roman"/>
          <w:color w:val="000000"/>
          <w:sz w:val="24"/>
          <w:szCs w:val="24"/>
        </w:rPr>
      </w:pPr>
      <w:r w:rsidRPr="00EC38B3">
        <w:rPr>
          <w:rFonts w:ascii="Times New Roman" w:hAnsi="Times New Roman"/>
          <w:color w:val="000000"/>
          <w:sz w:val="24"/>
          <w:szCs w:val="24"/>
        </w:rPr>
        <w:t xml:space="preserve">This section provides that the relevant ACMA Standard commences </w:t>
      </w:r>
      <w:r w:rsidR="00D07F54" w:rsidRPr="00D07F54">
        <w:rPr>
          <w:rFonts w:ascii="Times New Roman" w:hAnsi="Times New Roman"/>
          <w:color w:val="000000"/>
          <w:sz w:val="24"/>
          <w:szCs w:val="24"/>
        </w:rPr>
        <w:t>at the start of the day after it is registered on the Federal Register of Legislation.</w:t>
      </w:r>
    </w:p>
    <w:p w14:paraId="030F71F1" w14:textId="77777777" w:rsidR="000B171D" w:rsidRDefault="000B171D" w:rsidP="000B171D">
      <w:pPr>
        <w:pStyle w:val="Heading3"/>
        <w:tabs>
          <w:tab w:val="left" w:pos="1620"/>
        </w:tabs>
        <w:spacing w:after="120" w:line="240" w:lineRule="atLeast"/>
        <w:rPr>
          <w:szCs w:val="24"/>
        </w:rPr>
      </w:pPr>
      <w:r>
        <w:rPr>
          <w:szCs w:val="24"/>
        </w:rPr>
        <w:t>Section 3</w:t>
      </w:r>
      <w:r>
        <w:rPr>
          <w:szCs w:val="24"/>
        </w:rPr>
        <w:tab/>
        <w:t>Authority</w:t>
      </w:r>
    </w:p>
    <w:p w14:paraId="0292EAC5" w14:textId="35BB1728" w:rsidR="000B171D" w:rsidRPr="000B171D" w:rsidRDefault="000B171D" w:rsidP="000B171D">
      <w:pPr>
        <w:rPr>
          <w:rFonts w:ascii="Times New Roman" w:hAnsi="Times New Roman"/>
          <w:sz w:val="24"/>
          <w:szCs w:val="24"/>
          <w:lang w:eastAsia="en-AU"/>
        </w:rPr>
      </w:pPr>
      <w:r w:rsidRPr="000B171D">
        <w:rPr>
          <w:rFonts w:ascii="Times New Roman" w:hAnsi="Times New Roman"/>
          <w:sz w:val="24"/>
          <w:szCs w:val="24"/>
          <w:lang w:eastAsia="en-AU"/>
        </w:rPr>
        <w:t>This s</w:t>
      </w:r>
      <w:r>
        <w:rPr>
          <w:rFonts w:ascii="Times New Roman" w:hAnsi="Times New Roman"/>
          <w:sz w:val="24"/>
          <w:szCs w:val="24"/>
          <w:lang w:eastAsia="en-AU"/>
        </w:rPr>
        <w:t xml:space="preserve">ection identifies the provision of the Act that authorises the making of the </w:t>
      </w:r>
      <w:r w:rsidR="004C633C">
        <w:rPr>
          <w:rFonts w:ascii="Times New Roman" w:hAnsi="Times New Roman"/>
          <w:sz w:val="24"/>
          <w:szCs w:val="24"/>
          <w:lang w:eastAsia="en-AU"/>
        </w:rPr>
        <w:t xml:space="preserve">relevant </w:t>
      </w:r>
      <w:r w:rsidR="00BE68A1">
        <w:rPr>
          <w:rFonts w:ascii="Times New Roman" w:hAnsi="Times New Roman"/>
          <w:sz w:val="24"/>
          <w:szCs w:val="24"/>
          <w:lang w:eastAsia="en-AU"/>
        </w:rPr>
        <w:t>ACMA Standard</w:t>
      </w:r>
      <w:r>
        <w:rPr>
          <w:rFonts w:ascii="Times New Roman" w:hAnsi="Times New Roman"/>
          <w:sz w:val="24"/>
          <w:szCs w:val="24"/>
          <w:lang w:eastAsia="en-AU"/>
        </w:rPr>
        <w:t>, namely subsection 162(1) of the Act.</w:t>
      </w:r>
    </w:p>
    <w:p w14:paraId="59452E3B" w14:textId="2F54B700" w:rsidR="000A458A" w:rsidRPr="00EC38B3" w:rsidRDefault="00F45BEF" w:rsidP="000A458A">
      <w:pPr>
        <w:pStyle w:val="Heading3"/>
        <w:tabs>
          <w:tab w:val="left" w:pos="1620"/>
        </w:tabs>
        <w:spacing w:after="120" w:line="240" w:lineRule="atLeast"/>
        <w:rPr>
          <w:color w:val="000000"/>
          <w:szCs w:val="24"/>
        </w:rPr>
      </w:pPr>
      <w:r>
        <w:rPr>
          <w:szCs w:val="24"/>
        </w:rPr>
        <w:t>Section 4</w:t>
      </w:r>
      <w:r w:rsidR="000A458A" w:rsidRPr="00EC38B3">
        <w:rPr>
          <w:szCs w:val="24"/>
        </w:rPr>
        <w:tab/>
      </w:r>
      <w:r w:rsidR="000B171D">
        <w:rPr>
          <w:szCs w:val="24"/>
        </w:rPr>
        <w:t xml:space="preserve">Repeal of the </w:t>
      </w:r>
      <w:proofErr w:type="spellStart"/>
      <w:r w:rsidR="005443CD" w:rsidRPr="008F5058">
        <w:rPr>
          <w:i/>
          <w:szCs w:val="24"/>
        </w:rPr>
        <w:t>Radiocommunications</w:t>
      </w:r>
      <w:proofErr w:type="spellEnd"/>
      <w:r w:rsidR="005443CD" w:rsidRPr="008F5058">
        <w:rPr>
          <w:i/>
          <w:szCs w:val="24"/>
        </w:rPr>
        <w:t xml:space="preserve"> (Devices Used in the Inshore Boating Radio Services Band) Standard 20</w:t>
      </w:r>
      <w:r w:rsidR="00722E17">
        <w:rPr>
          <w:i/>
          <w:szCs w:val="24"/>
        </w:rPr>
        <w:t>08</w:t>
      </w:r>
      <w:r w:rsidR="005443CD" w:rsidRPr="008F5058">
        <w:rPr>
          <w:i/>
          <w:szCs w:val="24"/>
        </w:rPr>
        <w:t xml:space="preserve">, the </w:t>
      </w:r>
      <w:proofErr w:type="spellStart"/>
      <w:r w:rsidR="005443CD" w:rsidRPr="008F5058">
        <w:rPr>
          <w:i/>
        </w:rPr>
        <w:t>Radiocommunications</w:t>
      </w:r>
      <w:proofErr w:type="spellEnd"/>
      <w:r w:rsidR="005443CD" w:rsidRPr="008F5058">
        <w:rPr>
          <w:i/>
        </w:rPr>
        <w:t xml:space="preserve"> (Digital Cordless Communications Devices — DECT Devices) Standard 20</w:t>
      </w:r>
      <w:r w:rsidR="00722E17">
        <w:rPr>
          <w:i/>
        </w:rPr>
        <w:t>07</w:t>
      </w:r>
      <w:r w:rsidR="005443CD" w:rsidRPr="008F5058">
        <w:rPr>
          <w:i/>
        </w:rPr>
        <w:t xml:space="preserve"> </w:t>
      </w:r>
      <w:r w:rsidR="005443CD" w:rsidRPr="005443CD">
        <w:t>or the</w:t>
      </w:r>
      <w:r w:rsidR="005443CD" w:rsidRPr="00722E17">
        <w:rPr>
          <w:i/>
        </w:rPr>
        <w:t xml:space="preserve"> </w:t>
      </w:r>
      <w:proofErr w:type="spellStart"/>
      <w:r w:rsidR="005443CD" w:rsidRPr="00722E17">
        <w:rPr>
          <w:i/>
          <w:szCs w:val="24"/>
        </w:rPr>
        <w:t>Radiocommunications</w:t>
      </w:r>
      <w:proofErr w:type="spellEnd"/>
      <w:r w:rsidR="005443CD" w:rsidRPr="00722E17">
        <w:rPr>
          <w:i/>
          <w:szCs w:val="24"/>
        </w:rPr>
        <w:t xml:space="preserve"> (HF CB and </w:t>
      </w:r>
      <w:proofErr w:type="spellStart"/>
      <w:r w:rsidR="005443CD" w:rsidRPr="00722E17">
        <w:rPr>
          <w:i/>
          <w:szCs w:val="24"/>
        </w:rPr>
        <w:t>Handphone</w:t>
      </w:r>
      <w:proofErr w:type="spellEnd"/>
      <w:r w:rsidR="005443CD" w:rsidRPr="00722E17">
        <w:rPr>
          <w:i/>
          <w:szCs w:val="24"/>
        </w:rPr>
        <w:t xml:space="preserve"> Equipment) Standard 20</w:t>
      </w:r>
      <w:r w:rsidR="00722E17">
        <w:rPr>
          <w:i/>
          <w:szCs w:val="24"/>
        </w:rPr>
        <w:t>08</w:t>
      </w:r>
      <w:r w:rsidR="005443CD">
        <w:rPr>
          <w:szCs w:val="24"/>
        </w:rPr>
        <w:t xml:space="preserve"> (as applicable)</w:t>
      </w:r>
    </w:p>
    <w:p w14:paraId="4E0B73C8" w14:textId="77777777" w:rsidR="000A458A" w:rsidRPr="00EC38B3" w:rsidRDefault="000A458A" w:rsidP="00334AF8">
      <w:pPr>
        <w:spacing w:before="120" w:after="120" w:line="240" w:lineRule="atLeast"/>
        <w:rPr>
          <w:rFonts w:ascii="Times New Roman" w:hAnsi="Times New Roman"/>
          <w:color w:val="000000"/>
          <w:sz w:val="24"/>
          <w:szCs w:val="24"/>
        </w:rPr>
      </w:pPr>
      <w:r w:rsidRPr="00EC38B3">
        <w:rPr>
          <w:rFonts w:ascii="Times New Roman" w:hAnsi="Times New Roman"/>
          <w:color w:val="000000"/>
          <w:sz w:val="24"/>
          <w:szCs w:val="24"/>
        </w:rPr>
        <w:t xml:space="preserve">This section </w:t>
      </w:r>
      <w:r w:rsidR="00F45BEF">
        <w:rPr>
          <w:rFonts w:ascii="Times New Roman" w:hAnsi="Times New Roman"/>
          <w:color w:val="000000"/>
          <w:sz w:val="24"/>
          <w:szCs w:val="24"/>
        </w:rPr>
        <w:t>repeals</w:t>
      </w:r>
      <w:r w:rsidR="000C4734" w:rsidRPr="00EC38B3">
        <w:rPr>
          <w:rFonts w:ascii="Times New Roman" w:hAnsi="Times New Roman"/>
          <w:color w:val="000000"/>
          <w:sz w:val="24"/>
          <w:szCs w:val="24"/>
        </w:rPr>
        <w:t xml:space="preserve"> the </w:t>
      </w:r>
      <w:proofErr w:type="spellStart"/>
      <w:r w:rsidR="00F45BEF">
        <w:rPr>
          <w:rFonts w:ascii="Times New Roman" w:hAnsi="Times New Roman"/>
          <w:color w:val="000000"/>
          <w:sz w:val="24"/>
          <w:szCs w:val="24"/>
        </w:rPr>
        <w:t>sunsetting</w:t>
      </w:r>
      <w:proofErr w:type="spellEnd"/>
      <w:r w:rsidR="00F45BEF">
        <w:rPr>
          <w:rFonts w:ascii="Times New Roman" w:hAnsi="Times New Roman"/>
          <w:color w:val="000000"/>
          <w:sz w:val="24"/>
          <w:szCs w:val="24"/>
        </w:rPr>
        <w:t xml:space="preserve"> standard</w:t>
      </w:r>
      <w:r w:rsidR="000C4734" w:rsidRPr="00EC38B3">
        <w:rPr>
          <w:rFonts w:ascii="Times New Roman" w:hAnsi="Times New Roman"/>
          <w:color w:val="000000"/>
          <w:sz w:val="24"/>
          <w:szCs w:val="24"/>
        </w:rPr>
        <w:t xml:space="preserve"> which the relevant ACMA Standard </w:t>
      </w:r>
      <w:r w:rsidR="00650CEF" w:rsidRPr="00EC38B3">
        <w:rPr>
          <w:rFonts w:ascii="Times New Roman" w:hAnsi="Times New Roman"/>
          <w:color w:val="000000"/>
          <w:sz w:val="24"/>
          <w:szCs w:val="24"/>
        </w:rPr>
        <w:t>has</w:t>
      </w:r>
      <w:r w:rsidR="000C4734" w:rsidRPr="00EC38B3">
        <w:rPr>
          <w:rFonts w:ascii="Times New Roman" w:hAnsi="Times New Roman"/>
          <w:color w:val="000000"/>
          <w:sz w:val="24"/>
          <w:szCs w:val="24"/>
        </w:rPr>
        <w:t xml:space="preserve"> replac</w:t>
      </w:r>
      <w:r w:rsidR="00650CEF" w:rsidRPr="00EC38B3">
        <w:rPr>
          <w:rFonts w:ascii="Times New Roman" w:hAnsi="Times New Roman"/>
          <w:color w:val="000000"/>
          <w:sz w:val="24"/>
          <w:szCs w:val="24"/>
        </w:rPr>
        <w:t>ed</w:t>
      </w:r>
      <w:r w:rsidR="000C4734" w:rsidRPr="00EC38B3">
        <w:rPr>
          <w:rFonts w:ascii="Times New Roman" w:hAnsi="Times New Roman"/>
          <w:color w:val="000000"/>
          <w:sz w:val="24"/>
          <w:szCs w:val="24"/>
        </w:rPr>
        <w:t>.</w:t>
      </w:r>
    </w:p>
    <w:p w14:paraId="28659680" w14:textId="77777777" w:rsidR="000A458A" w:rsidRPr="00EC38B3" w:rsidRDefault="00F45BEF" w:rsidP="000A458A">
      <w:pPr>
        <w:pStyle w:val="Heading3"/>
        <w:tabs>
          <w:tab w:val="left" w:pos="1620"/>
        </w:tabs>
        <w:spacing w:after="120" w:line="240" w:lineRule="atLeast"/>
        <w:rPr>
          <w:color w:val="000000"/>
          <w:szCs w:val="24"/>
        </w:rPr>
      </w:pPr>
      <w:r>
        <w:rPr>
          <w:szCs w:val="24"/>
        </w:rPr>
        <w:t>Section 5</w:t>
      </w:r>
      <w:r w:rsidR="000A458A" w:rsidRPr="00EC38B3">
        <w:rPr>
          <w:szCs w:val="24"/>
        </w:rPr>
        <w:tab/>
      </w:r>
      <w:r>
        <w:rPr>
          <w:szCs w:val="24"/>
        </w:rPr>
        <w:t>Background</w:t>
      </w:r>
    </w:p>
    <w:p w14:paraId="5C4B73FB" w14:textId="77777777" w:rsidR="0061232D" w:rsidRDefault="002A3C8E" w:rsidP="002A1A15">
      <w:pPr>
        <w:rPr>
          <w:rFonts w:ascii="Times New Roman" w:hAnsi="Times New Roman"/>
          <w:sz w:val="24"/>
          <w:szCs w:val="24"/>
          <w:lang w:eastAsia="en-AU"/>
        </w:rPr>
      </w:pPr>
      <w:r w:rsidRPr="002A1A15">
        <w:rPr>
          <w:rFonts w:ascii="Times New Roman" w:hAnsi="Times New Roman"/>
          <w:sz w:val="24"/>
          <w:szCs w:val="24"/>
          <w:lang w:eastAsia="en-AU"/>
        </w:rPr>
        <w:t>Subsection 5(1)</w:t>
      </w:r>
      <w:r w:rsidR="00F45BEF" w:rsidRPr="002A1A15">
        <w:rPr>
          <w:rFonts w:ascii="Times New Roman" w:hAnsi="Times New Roman"/>
          <w:sz w:val="24"/>
          <w:szCs w:val="24"/>
          <w:lang w:eastAsia="en-AU"/>
        </w:rPr>
        <w:t xml:space="preserve"> provides that the relevant ACMA Standard applies to the item described in section 12.  </w:t>
      </w:r>
    </w:p>
    <w:p w14:paraId="55AD48F6" w14:textId="77777777" w:rsidR="0061232D" w:rsidRDefault="00D07F54" w:rsidP="002A1A15">
      <w:pPr>
        <w:rPr>
          <w:rFonts w:ascii="Times New Roman" w:hAnsi="Times New Roman"/>
          <w:sz w:val="24"/>
          <w:szCs w:val="24"/>
          <w:lang w:eastAsia="en-AU"/>
        </w:rPr>
      </w:pPr>
      <w:r>
        <w:rPr>
          <w:rFonts w:ascii="Times New Roman" w:hAnsi="Times New Roman"/>
          <w:sz w:val="24"/>
          <w:szCs w:val="24"/>
          <w:lang w:eastAsia="en-AU"/>
        </w:rPr>
        <w:t xml:space="preserve">For the Inshore Boating Standard and the HF CB Standard, </w:t>
      </w:r>
      <w:r w:rsidR="00C66973">
        <w:rPr>
          <w:rFonts w:ascii="Times New Roman" w:hAnsi="Times New Roman"/>
          <w:sz w:val="24"/>
          <w:szCs w:val="24"/>
          <w:lang w:eastAsia="en-AU"/>
        </w:rPr>
        <w:t>subsection 5(1)</w:t>
      </w:r>
      <w:r w:rsidR="00F45BEF" w:rsidRPr="002A1A15">
        <w:rPr>
          <w:rFonts w:ascii="Times New Roman" w:hAnsi="Times New Roman"/>
          <w:sz w:val="24"/>
          <w:szCs w:val="24"/>
          <w:lang w:eastAsia="en-AU"/>
        </w:rPr>
        <w:t xml:space="preserve"> also provides, as is required by subsection 162(1) of the </w:t>
      </w:r>
      <w:proofErr w:type="gramStart"/>
      <w:r w:rsidR="00F45BEF" w:rsidRPr="002A1A15">
        <w:rPr>
          <w:rFonts w:ascii="Times New Roman" w:hAnsi="Times New Roman"/>
          <w:sz w:val="24"/>
          <w:szCs w:val="24"/>
          <w:lang w:eastAsia="en-AU"/>
        </w:rPr>
        <w:t>Act, that</w:t>
      </w:r>
      <w:proofErr w:type="gramEnd"/>
      <w:r w:rsidR="00F45BEF" w:rsidRPr="002A1A15">
        <w:rPr>
          <w:rFonts w:ascii="Times New Roman" w:hAnsi="Times New Roman"/>
          <w:sz w:val="24"/>
          <w:szCs w:val="24"/>
          <w:lang w:eastAsia="en-AU"/>
        </w:rPr>
        <w:t xml:space="preserve"> </w:t>
      </w:r>
      <w:r w:rsidR="0061232D">
        <w:rPr>
          <w:rFonts w:ascii="Times New Roman" w:hAnsi="Times New Roman"/>
          <w:sz w:val="24"/>
          <w:szCs w:val="24"/>
          <w:lang w:eastAsia="en-AU"/>
        </w:rPr>
        <w:t>each s</w:t>
      </w:r>
      <w:r w:rsidR="00F45BEF" w:rsidRPr="002A1A15">
        <w:rPr>
          <w:rFonts w:ascii="Times New Roman" w:hAnsi="Times New Roman"/>
          <w:sz w:val="24"/>
          <w:szCs w:val="24"/>
          <w:lang w:eastAsia="en-AU"/>
        </w:rPr>
        <w:t>tandard is made for the performance of the devices specified in section 12 of each standard.</w:t>
      </w:r>
      <w:r w:rsidR="00D437F7" w:rsidRPr="002A1A15">
        <w:rPr>
          <w:rFonts w:ascii="Times New Roman" w:hAnsi="Times New Roman"/>
          <w:sz w:val="24"/>
          <w:szCs w:val="24"/>
          <w:lang w:eastAsia="en-AU"/>
        </w:rPr>
        <w:t xml:space="preserve"> </w:t>
      </w:r>
      <w:r w:rsidR="0061232D">
        <w:rPr>
          <w:rFonts w:ascii="Times New Roman" w:hAnsi="Times New Roman"/>
          <w:sz w:val="24"/>
          <w:szCs w:val="24"/>
          <w:lang w:eastAsia="en-AU"/>
        </w:rPr>
        <w:t xml:space="preserve"> </w:t>
      </w:r>
    </w:p>
    <w:p w14:paraId="73D4EAF8" w14:textId="77777777" w:rsidR="0061232D" w:rsidRDefault="0061232D" w:rsidP="002A1A15">
      <w:pPr>
        <w:rPr>
          <w:rFonts w:ascii="Times New Roman" w:hAnsi="Times New Roman"/>
          <w:sz w:val="24"/>
          <w:szCs w:val="24"/>
          <w:lang w:eastAsia="en-AU"/>
        </w:rPr>
      </w:pPr>
      <w:r>
        <w:rPr>
          <w:rFonts w:ascii="Times New Roman" w:hAnsi="Times New Roman"/>
          <w:sz w:val="24"/>
          <w:szCs w:val="24"/>
          <w:lang w:eastAsia="en-AU"/>
        </w:rPr>
        <w:t>For the DECT Standard, subsection 5(1)</w:t>
      </w:r>
      <w:r w:rsidRPr="002D7EA3">
        <w:rPr>
          <w:rFonts w:ascii="Times New Roman" w:hAnsi="Times New Roman"/>
          <w:sz w:val="24"/>
          <w:szCs w:val="24"/>
          <w:lang w:eastAsia="en-AU"/>
        </w:rPr>
        <w:t xml:space="preserve"> also provides</w:t>
      </w:r>
      <w:r>
        <w:rPr>
          <w:rFonts w:ascii="Times New Roman" w:hAnsi="Times New Roman"/>
          <w:sz w:val="24"/>
          <w:szCs w:val="24"/>
          <w:lang w:eastAsia="en-AU"/>
        </w:rPr>
        <w:t xml:space="preserve"> </w:t>
      </w:r>
      <w:r w:rsidRPr="002D7EA3">
        <w:rPr>
          <w:rFonts w:ascii="Times New Roman" w:hAnsi="Times New Roman"/>
          <w:sz w:val="24"/>
          <w:szCs w:val="24"/>
          <w:lang w:eastAsia="en-AU"/>
        </w:rPr>
        <w:t xml:space="preserve">that </w:t>
      </w:r>
      <w:r>
        <w:rPr>
          <w:rFonts w:ascii="Times New Roman" w:hAnsi="Times New Roman"/>
          <w:sz w:val="24"/>
          <w:szCs w:val="24"/>
          <w:lang w:eastAsia="en-AU"/>
        </w:rPr>
        <w:t>the standard is made for:</w:t>
      </w:r>
    </w:p>
    <w:p w14:paraId="4A47119F" w14:textId="77777777" w:rsidR="000A458A" w:rsidRPr="003D3931" w:rsidRDefault="0061232D" w:rsidP="002A1A15">
      <w:pPr>
        <w:pStyle w:val="ListParagraph"/>
        <w:numPr>
          <w:ilvl w:val="0"/>
          <w:numId w:val="37"/>
        </w:numPr>
        <w:rPr>
          <w:rFonts w:ascii="Times New Roman" w:hAnsi="Times New Roman"/>
          <w:sz w:val="24"/>
          <w:szCs w:val="24"/>
          <w:lang w:eastAsia="en-AU"/>
        </w:rPr>
      </w:pPr>
      <w:r w:rsidRPr="002A1A15">
        <w:rPr>
          <w:rFonts w:ascii="Times New Roman" w:hAnsi="Times New Roman"/>
          <w:sz w:val="24"/>
          <w:szCs w:val="24"/>
          <w:lang w:eastAsia="en-AU"/>
        </w:rPr>
        <w:t>the performance of the devices specified in section 12 of the</w:t>
      </w:r>
      <w:r w:rsidRPr="003D3931">
        <w:rPr>
          <w:rFonts w:ascii="Times New Roman" w:hAnsi="Times New Roman"/>
          <w:sz w:val="24"/>
          <w:szCs w:val="24"/>
          <w:lang w:eastAsia="en-AU"/>
        </w:rPr>
        <w:t xml:space="preserve"> standard; and</w:t>
      </w:r>
    </w:p>
    <w:p w14:paraId="237BDF66" w14:textId="77777777" w:rsidR="0061232D" w:rsidRPr="002A1A15" w:rsidRDefault="0061232D" w:rsidP="002A1A15">
      <w:pPr>
        <w:pStyle w:val="ListParagraph"/>
        <w:numPr>
          <w:ilvl w:val="0"/>
          <w:numId w:val="37"/>
        </w:numPr>
        <w:rPr>
          <w:rFonts w:ascii="Times New Roman" w:hAnsi="Times New Roman"/>
          <w:sz w:val="24"/>
          <w:szCs w:val="24"/>
          <w:lang w:eastAsia="en-AU"/>
        </w:rPr>
      </w:pPr>
      <w:proofErr w:type="gramStart"/>
      <w:r w:rsidRPr="0061232D">
        <w:rPr>
          <w:rFonts w:ascii="Times New Roman" w:hAnsi="Times New Roman"/>
          <w:sz w:val="24"/>
          <w:szCs w:val="24"/>
          <w:lang w:eastAsia="en-AU"/>
        </w:rPr>
        <w:lastRenderedPageBreak/>
        <w:t>the</w:t>
      </w:r>
      <w:proofErr w:type="gramEnd"/>
      <w:r w:rsidRPr="0061232D">
        <w:rPr>
          <w:rFonts w:ascii="Times New Roman" w:hAnsi="Times New Roman"/>
          <w:sz w:val="24"/>
          <w:szCs w:val="24"/>
          <w:lang w:eastAsia="en-AU"/>
        </w:rPr>
        <w:t xml:space="preserve"> maximum permitted level of radio emissions from </w:t>
      </w:r>
      <w:r>
        <w:rPr>
          <w:rFonts w:ascii="Times New Roman" w:hAnsi="Times New Roman"/>
          <w:sz w:val="24"/>
          <w:szCs w:val="24"/>
          <w:lang w:eastAsia="en-AU"/>
        </w:rPr>
        <w:t xml:space="preserve">the </w:t>
      </w:r>
      <w:r w:rsidRPr="002D7EA3">
        <w:rPr>
          <w:rFonts w:ascii="Times New Roman" w:hAnsi="Times New Roman"/>
          <w:sz w:val="24"/>
          <w:szCs w:val="24"/>
          <w:lang w:eastAsia="en-AU"/>
        </w:rPr>
        <w:t>devices specified in section 12 of the standard</w:t>
      </w:r>
      <w:r w:rsidRPr="0061232D">
        <w:rPr>
          <w:rFonts w:ascii="Times New Roman" w:hAnsi="Times New Roman"/>
          <w:sz w:val="24"/>
          <w:szCs w:val="24"/>
          <w:lang w:eastAsia="en-AU"/>
        </w:rPr>
        <w:t xml:space="preserve"> (other than </w:t>
      </w:r>
      <w:proofErr w:type="spellStart"/>
      <w:r w:rsidRPr="0061232D">
        <w:rPr>
          <w:rFonts w:ascii="Times New Roman" w:hAnsi="Times New Roman"/>
          <w:sz w:val="24"/>
          <w:szCs w:val="24"/>
          <w:lang w:eastAsia="en-AU"/>
        </w:rPr>
        <w:t>radiocommunications</w:t>
      </w:r>
      <w:proofErr w:type="spellEnd"/>
      <w:r w:rsidRPr="0061232D">
        <w:rPr>
          <w:rFonts w:ascii="Times New Roman" w:hAnsi="Times New Roman"/>
          <w:sz w:val="24"/>
          <w:szCs w:val="24"/>
          <w:lang w:eastAsia="en-AU"/>
        </w:rPr>
        <w:t xml:space="preserve"> from those devices in accordance with Chapter 3 of the Act) within specified parts of the spectrum.</w:t>
      </w:r>
    </w:p>
    <w:p w14:paraId="62360F57" w14:textId="77777777" w:rsidR="002A3C8E" w:rsidRPr="00F45BEF" w:rsidRDefault="002A3C8E" w:rsidP="00F45BEF">
      <w:pPr>
        <w:spacing w:before="120" w:after="120" w:line="240" w:lineRule="atLeast"/>
        <w:rPr>
          <w:rFonts w:ascii="Times New Roman" w:hAnsi="Times New Roman"/>
          <w:color w:val="000000"/>
          <w:sz w:val="24"/>
          <w:szCs w:val="24"/>
        </w:rPr>
      </w:pPr>
      <w:r>
        <w:rPr>
          <w:rFonts w:ascii="Times New Roman" w:hAnsi="Times New Roman"/>
          <w:color w:val="000000"/>
          <w:sz w:val="24"/>
          <w:szCs w:val="24"/>
        </w:rPr>
        <w:t xml:space="preserve">Subsection 5(2) provides, pursuant to subsection 162(3) of the Act, that the relevant ACMA Standard consists of only such requirements as are necessary or convenient for the purpose of </w:t>
      </w:r>
      <w:r w:rsidRPr="002D0658">
        <w:rPr>
          <w:rFonts w:ascii="Times New Roman" w:hAnsi="Times New Roman"/>
          <w:color w:val="000000"/>
          <w:sz w:val="24"/>
          <w:szCs w:val="24"/>
        </w:rPr>
        <w:t xml:space="preserve">containing interference to </w:t>
      </w:r>
      <w:proofErr w:type="spellStart"/>
      <w:r w:rsidRPr="002D0658">
        <w:rPr>
          <w:rFonts w:ascii="Times New Roman" w:hAnsi="Times New Roman"/>
          <w:color w:val="000000"/>
          <w:sz w:val="24"/>
          <w:szCs w:val="24"/>
        </w:rPr>
        <w:t>radiocommunications</w:t>
      </w:r>
      <w:proofErr w:type="spellEnd"/>
      <w:r>
        <w:rPr>
          <w:rFonts w:ascii="Times New Roman" w:hAnsi="Times New Roman"/>
          <w:color w:val="000000"/>
          <w:sz w:val="24"/>
          <w:szCs w:val="24"/>
        </w:rPr>
        <w:t>.</w:t>
      </w:r>
    </w:p>
    <w:p w14:paraId="4EF75ACA" w14:textId="77777777" w:rsidR="000C4734" w:rsidRPr="00EC38B3" w:rsidRDefault="000C4734" w:rsidP="0044707A">
      <w:pPr>
        <w:keepNext/>
        <w:spacing w:before="240"/>
        <w:rPr>
          <w:rFonts w:ascii="Times New Roman" w:hAnsi="Times New Roman"/>
          <w:b/>
          <w:sz w:val="24"/>
          <w:szCs w:val="24"/>
          <w:lang w:eastAsia="en-AU"/>
        </w:rPr>
      </w:pPr>
      <w:r w:rsidRPr="00EC38B3">
        <w:rPr>
          <w:rFonts w:ascii="Times New Roman" w:hAnsi="Times New Roman"/>
          <w:b/>
          <w:sz w:val="24"/>
          <w:szCs w:val="24"/>
        </w:rPr>
        <w:t>Part 2 –</w:t>
      </w:r>
      <w:r w:rsidR="005C4B68" w:rsidRPr="00EC38B3">
        <w:rPr>
          <w:rFonts w:ascii="Times New Roman" w:hAnsi="Times New Roman"/>
          <w:b/>
          <w:sz w:val="24"/>
          <w:szCs w:val="24"/>
        </w:rPr>
        <w:t xml:space="preserve"> </w:t>
      </w:r>
      <w:r w:rsidRPr="00EC38B3">
        <w:rPr>
          <w:rFonts w:ascii="Times New Roman" w:hAnsi="Times New Roman"/>
          <w:b/>
          <w:sz w:val="24"/>
          <w:szCs w:val="24"/>
        </w:rPr>
        <w:t>Interpretation</w:t>
      </w:r>
    </w:p>
    <w:p w14:paraId="0262DD97" w14:textId="77777777" w:rsidR="000A458A" w:rsidRPr="00EC38B3" w:rsidRDefault="00F45BEF" w:rsidP="000A458A">
      <w:pPr>
        <w:pStyle w:val="Heading3"/>
        <w:tabs>
          <w:tab w:val="left" w:pos="1620"/>
        </w:tabs>
        <w:spacing w:after="120" w:line="240" w:lineRule="atLeast"/>
        <w:rPr>
          <w:szCs w:val="24"/>
        </w:rPr>
      </w:pPr>
      <w:r>
        <w:rPr>
          <w:szCs w:val="24"/>
        </w:rPr>
        <w:t>Section 6</w:t>
      </w:r>
      <w:r w:rsidR="000A458A" w:rsidRPr="00EC38B3">
        <w:rPr>
          <w:szCs w:val="24"/>
        </w:rPr>
        <w:tab/>
      </w:r>
      <w:r w:rsidR="000C4734" w:rsidRPr="00EC38B3">
        <w:rPr>
          <w:szCs w:val="24"/>
        </w:rPr>
        <w:t>Definitions</w:t>
      </w:r>
    </w:p>
    <w:p w14:paraId="25DB940B" w14:textId="77777777" w:rsidR="000C4734" w:rsidRDefault="000C4734" w:rsidP="00334AF8">
      <w:pPr>
        <w:rPr>
          <w:rFonts w:ascii="Times New Roman" w:hAnsi="Times New Roman"/>
          <w:color w:val="000000"/>
          <w:sz w:val="24"/>
          <w:szCs w:val="24"/>
        </w:rPr>
      </w:pPr>
      <w:r w:rsidRPr="00EC38B3">
        <w:rPr>
          <w:rFonts w:ascii="Times New Roman" w:hAnsi="Times New Roman"/>
          <w:color w:val="000000"/>
          <w:sz w:val="24"/>
          <w:szCs w:val="24"/>
        </w:rPr>
        <w:t xml:space="preserve">This section </w:t>
      </w:r>
      <w:r w:rsidR="00564895" w:rsidRPr="00EC38B3">
        <w:rPr>
          <w:rFonts w:ascii="Times New Roman" w:hAnsi="Times New Roman"/>
          <w:color w:val="000000"/>
          <w:sz w:val="24"/>
          <w:szCs w:val="24"/>
        </w:rPr>
        <w:t>defines</w:t>
      </w:r>
      <w:r w:rsidRPr="00EC38B3">
        <w:rPr>
          <w:rFonts w:ascii="Times New Roman" w:hAnsi="Times New Roman"/>
          <w:color w:val="000000"/>
          <w:sz w:val="24"/>
          <w:szCs w:val="24"/>
        </w:rPr>
        <w:t xml:space="preserve"> </w:t>
      </w:r>
      <w:r w:rsidR="00CD5189" w:rsidRPr="00EC38B3">
        <w:rPr>
          <w:rFonts w:ascii="Times New Roman" w:hAnsi="Times New Roman"/>
          <w:color w:val="000000"/>
          <w:sz w:val="24"/>
          <w:szCs w:val="24"/>
        </w:rPr>
        <w:t xml:space="preserve">the key </w:t>
      </w:r>
      <w:r w:rsidRPr="00EC38B3">
        <w:rPr>
          <w:rFonts w:ascii="Times New Roman" w:hAnsi="Times New Roman"/>
          <w:color w:val="000000"/>
          <w:sz w:val="24"/>
          <w:szCs w:val="24"/>
        </w:rPr>
        <w:t>terms used in the relevant ACMA Standard.</w:t>
      </w:r>
    </w:p>
    <w:p w14:paraId="73CB2796" w14:textId="77777777" w:rsidR="00F45BEF" w:rsidRPr="00F45BEF" w:rsidRDefault="00F45BEF" w:rsidP="00F45BEF">
      <w:pPr>
        <w:rPr>
          <w:rFonts w:ascii="Times New Roman" w:hAnsi="Times New Roman"/>
          <w:color w:val="000000"/>
          <w:sz w:val="24"/>
          <w:szCs w:val="24"/>
        </w:rPr>
      </w:pPr>
      <w:r w:rsidRPr="00F45BEF">
        <w:rPr>
          <w:rFonts w:ascii="Times New Roman" w:hAnsi="Times New Roman"/>
          <w:color w:val="000000"/>
          <w:sz w:val="24"/>
          <w:szCs w:val="24"/>
        </w:rPr>
        <w:t xml:space="preserve">A number of other expressions used in the instrument are defined in the </w:t>
      </w:r>
      <w:r w:rsidR="008D653B">
        <w:rPr>
          <w:rFonts w:ascii="Times New Roman" w:hAnsi="Times New Roman"/>
          <w:color w:val="000000"/>
          <w:sz w:val="24"/>
          <w:szCs w:val="24"/>
        </w:rPr>
        <w:t xml:space="preserve">Act and the </w:t>
      </w:r>
      <w:r w:rsidR="002A3C8E" w:rsidRPr="00860367">
        <w:rPr>
          <w:rFonts w:ascii="Times New Roman" w:hAnsi="Times New Roman"/>
          <w:color w:val="000000"/>
          <w:sz w:val="24"/>
          <w:szCs w:val="24"/>
        </w:rPr>
        <w:t>Interpretation Determination</w:t>
      </w:r>
      <w:r w:rsidRPr="00F45BEF">
        <w:rPr>
          <w:rFonts w:ascii="Times New Roman" w:hAnsi="Times New Roman"/>
          <w:color w:val="000000"/>
          <w:sz w:val="24"/>
          <w:szCs w:val="24"/>
        </w:rPr>
        <w:t xml:space="preserve">. </w:t>
      </w:r>
    </w:p>
    <w:p w14:paraId="53BAA22C" w14:textId="77777777" w:rsidR="007704AC" w:rsidRPr="00EC38B3" w:rsidRDefault="00F45BEF" w:rsidP="007704AC">
      <w:pPr>
        <w:pStyle w:val="Heading3"/>
        <w:tabs>
          <w:tab w:val="left" w:pos="1620"/>
        </w:tabs>
        <w:spacing w:after="120" w:line="240" w:lineRule="atLeast"/>
        <w:rPr>
          <w:szCs w:val="24"/>
        </w:rPr>
      </w:pPr>
      <w:r>
        <w:rPr>
          <w:szCs w:val="24"/>
        </w:rPr>
        <w:t>Section 7</w:t>
      </w:r>
      <w:r w:rsidR="007704AC" w:rsidRPr="00EC38B3">
        <w:rPr>
          <w:b w:val="0"/>
          <w:szCs w:val="24"/>
        </w:rPr>
        <w:tab/>
      </w:r>
      <w:r w:rsidR="002A3C8E">
        <w:rPr>
          <w:szCs w:val="24"/>
        </w:rPr>
        <w:t>References to other instruments</w:t>
      </w:r>
    </w:p>
    <w:p w14:paraId="39EC556A" w14:textId="77777777" w:rsidR="002A3C8E" w:rsidRPr="00D437F7" w:rsidRDefault="002A3C8E" w:rsidP="002A1A15">
      <w:pPr>
        <w:spacing w:line="259" w:lineRule="auto"/>
        <w:rPr>
          <w:rFonts w:ascii="Times New Roman" w:hAnsi="Times New Roman"/>
          <w:sz w:val="24"/>
          <w:szCs w:val="24"/>
        </w:rPr>
      </w:pPr>
      <w:r w:rsidRPr="00D437F7">
        <w:rPr>
          <w:rFonts w:ascii="Times New Roman" w:hAnsi="Times New Roman"/>
          <w:sz w:val="24"/>
          <w:szCs w:val="24"/>
        </w:rPr>
        <w:t>Th</w:t>
      </w:r>
      <w:r w:rsidR="0024792C" w:rsidRPr="00D437F7">
        <w:rPr>
          <w:rFonts w:ascii="Times New Roman" w:hAnsi="Times New Roman"/>
          <w:sz w:val="24"/>
          <w:szCs w:val="24"/>
        </w:rPr>
        <w:t xml:space="preserve">is section provides that </w:t>
      </w:r>
      <w:r w:rsidRPr="00D437F7">
        <w:rPr>
          <w:rFonts w:ascii="Times New Roman" w:hAnsi="Times New Roman"/>
          <w:sz w:val="24"/>
          <w:szCs w:val="24"/>
        </w:rPr>
        <w:t>unless the contrary intention appears:</w:t>
      </w:r>
    </w:p>
    <w:p w14:paraId="3A959EC5" w14:textId="77777777" w:rsidR="002A3C8E" w:rsidRPr="00D437F7" w:rsidRDefault="002A3C8E" w:rsidP="002A3C8E">
      <w:pPr>
        <w:numPr>
          <w:ilvl w:val="0"/>
          <w:numId w:val="25"/>
        </w:numPr>
        <w:spacing w:after="160" w:line="259" w:lineRule="auto"/>
        <w:contextualSpacing/>
        <w:rPr>
          <w:rFonts w:ascii="Times New Roman" w:hAnsi="Times New Roman"/>
          <w:sz w:val="24"/>
          <w:szCs w:val="24"/>
        </w:rPr>
      </w:pPr>
      <w:r w:rsidRPr="00D437F7">
        <w:rPr>
          <w:rFonts w:ascii="Times New Roman" w:hAnsi="Times New Roman"/>
          <w:sz w:val="24"/>
          <w:szCs w:val="24"/>
        </w:rPr>
        <w:t>a reference to any other legislative instrument is a reference to that other legislative instrument as in force from time to time; and</w:t>
      </w:r>
    </w:p>
    <w:p w14:paraId="18F8CE8D" w14:textId="77777777" w:rsidR="002A3C8E" w:rsidRPr="002A3C8E" w:rsidRDefault="002A3C8E" w:rsidP="002A3C8E">
      <w:pPr>
        <w:numPr>
          <w:ilvl w:val="0"/>
          <w:numId w:val="25"/>
        </w:numPr>
        <w:spacing w:after="160" w:line="259" w:lineRule="auto"/>
        <w:contextualSpacing/>
        <w:rPr>
          <w:rFonts w:ascii="Times New Roman" w:hAnsi="Times New Roman"/>
        </w:rPr>
      </w:pPr>
      <w:proofErr w:type="gramStart"/>
      <w:r w:rsidRPr="00D437F7">
        <w:rPr>
          <w:rFonts w:ascii="Times New Roman" w:hAnsi="Times New Roman"/>
          <w:sz w:val="24"/>
          <w:szCs w:val="24"/>
        </w:rPr>
        <w:t>a</w:t>
      </w:r>
      <w:proofErr w:type="gramEnd"/>
      <w:r w:rsidRPr="00D437F7">
        <w:rPr>
          <w:rFonts w:ascii="Times New Roman" w:hAnsi="Times New Roman"/>
          <w:sz w:val="24"/>
          <w:szCs w:val="24"/>
        </w:rPr>
        <w:t xml:space="preserve"> reference to any other kind of instrument is a reference to that other instrument as in force from time to time</w:t>
      </w:r>
      <w:r w:rsidRPr="002A3C8E">
        <w:rPr>
          <w:rFonts w:ascii="Times New Roman" w:hAnsi="Times New Roman"/>
        </w:rPr>
        <w:t>.</w:t>
      </w:r>
    </w:p>
    <w:p w14:paraId="1C18A8AE" w14:textId="77777777" w:rsidR="0024792C" w:rsidRPr="00EC38B3" w:rsidRDefault="0024792C" w:rsidP="0024792C">
      <w:pPr>
        <w:pStyle w:val="Heading3"/>
        <w:tabs>
          <w:tab w:val="left" w:pos="1620"/>
        </w:tabs>
        <w:spacing w:after="120" w:line="240" w:lineRule="atLeast"/>
        <w:rPr>
          <w:szCs w:val="24"/>
        </w:rPr>
      </w:pPr>
      <w:r w:rsidRPr="00EC38B3">
        <w:rPr>
          <w:szCs w:val="24"/>
        </w:rPr>
        <w:t>Section 8</w:t>
      </w:r>
      <w:r w:rsidRPr="00EC38B3">
        <w:rPr>
          <w:b w:val="0"/>
          <w:szCs w:val="24"/>
        </w:rPr>
        <w:tab/>
      </w:r>
      <w:r w:rsidRPr="00EC38B3">
        <w:rPr>
          <w:szCs w:val="24"/>
        </w:rPr>
        <w:t xml:space="preserve">Class of items </w:t>
      </w:r>
    </w:p>
    <w:p w14:paraId="790BCA30" w14:textId="77777777" w:rsidR="0024792C" w:rsidRPr="00EC38B3" w:rsidRDefault="0024792C" w:rsidP="002A1A15">
      <w:pPr>
        <w:spacing w:before="120" w:line="240" w:lineRule="atLeast"/>
        <w:rPr>
          <w:rFonts w:ascii="Times New Roman" w:hAnsi="Times New Roman"/>
          <w:color w:val="000000"/>
          <w:sz w:val="24"/>
          <w:szCs w:val="24"/>
        </w:rPr>
      </w:pPr>
      <w:r w:rsidRPr="00EC38B3">
        <w:rPr>
          <w:rFonts w:ascii="Times New Roman" w:hAnsi="Times New Roman"/>
          <w:sz w:val="24"/>
          <w:szCs w:val="24"/>
          <w:lang w:eastAsia="en-AU"/>
        </w:rPr>
        <w:t>This section</w:t>
      </w:r>
      <w:r w:rsidRPr="00EC38B3">
        <w:rPr>
          <w:rFonts w:ascii="Times New Roman" w:hAnsi="Times New Roman"/>
          <w:color w:val="000000"/>
          <w:sz w:val="24"/>
          <w:szCs w:val="24"/>
        </w:rPr>
        <w:t xml:space="preserve"> defines key concepts necessary for interpreting the application of Part 3 of the relevant ACMA Standard.  </w:t>
      </w:r>
    </w:p>
    <w:p w14:paraId="54588F5E" w14:textId="77777777" w:rsidR="0024792C" w:rsidRPr="00EC38B3" w:rsidRDefault="0024792C" w:rsidP="0024792C">
      <w:pPr>
        <w:spacing w:before="120" w:after="120" w:line="240" w:lineRule="atLeast"/>
        <w:rPr>
          <w:rFonts w:ascii="Times New Roman" w:hAnsi="Times New Roman"/>
          <w:sz w:val="24"/>
          <w:szCs w:val="24"/>
        </w:rPr>
      </w:pPr>
      <w:r w:rsidRPr="00EC38B3">
        <w:rPr>
          <w:rFonts w:ascii="Times New Roman" w:hAnsi="Times New Roman"/>
          <w:color w:val="000000"/>
          <w:sz w:val="24"/>
          <w:szCs w:val="24"/>
        </w:rPr>
        <w:t>The following concepts are defined in this section</w:t>
      </w:r>
      <w:r w:rsidRPr="00EC38B3">
        <w:rPr>
          <w:rFonts w:ascii="Times New Roman" w:hAnsi="Times New Roman"/>
          <w:sz w:val="24"/>
          <w:szCs w:val="24"/>
        </w:rPr>
        <w:t>:</w:t>
      </w:r>
    </w:p>
    <w:p w14:paraId="6480F3C5" w14:textId="77777777" w:rsidR="0024792C" w:rsidRPr="00EC38B3" w:rsidRDefault="0024792C" w:rsidP="0024792C">
      <w:pPr>
        <w:pStyle w:val="ListParagraph"/>
        <w:numPr>
          <w:ilvl w:val="0"/>
          <w:numId w:val="2"/>
        </w:numPr>
        <w:spacing w:before="120" w:after="120" w:line="240" w:lineRule="atLeast"/>
        <w:rPr>
          <w:rFonts w:ascii="Times New Roman" w:hAnsi="Times New Roman"/>
          <w:color w:val="000000"/>
          <w:sz w:val="24"/>
          <w:szCs w:val="24"/>
        </w:rPr>
      </w:pPr>
      <w:r w:rsidRPr="00EC38B3">
        <w:rPr>
          <w:rFonts w:ascii="Times New Roman" w:hAnsi="Times New Roman"/>
          <w:color w:val="000000"/>
          <w:sz w:val="24"/>
          <w:szCs w:val="24"/>
        </w:rPr>
        <w:t>‘included in a class of items’;</w:t>
      </w:r>
    </w:p>
    <w:p w14:paraId="4214B89D" w14:textId="77777777" w:rsidR="0024792C" w:rsidRPr="00EC38B3" w:rsidRDefault="0024792C" w:rsidP="0024792C">
      <w:pPr>
        <w:pStyle w:val="ListParagraph"/>
        <w:numPr>
          <w:ilvl w:val="0"/>
          <w:numId w:val="2"/>
        </w:numPr>
        <w:spacing w:before="120" w:after="120" w:line="240" w:lineRule="atLeast"/>
        <w:rPr>
          <w:rFonts w:ascii="Times New Roman" w:hAnsi="Times New Roman"/>
          <w:color w:val="000000"/>
          <w:sz w:val="24"/>
          <w:szCs w:val="24"/>
        </w:rPr>
      </w:pPr>
      <w:r w:rsidRPr="00EC38B3">
        <w:rPr>
          <w:rFonts w:ascii="Times New Roman" w:hAnsi="Times New Roman"/>
          <w:color w:val="000000"/>
          <w:sz w:val="24"/>
          <w:szCs w:val="24"/>
        </w:rPr>
        <w:t>‘original item’; and</w:t>
      </w:r>
    </w:p>
    <w:p w14:paraId="2FFB3607" w14:textId="77777777" w:rsidR="0024792C" w:rsidRPr="00EC38B3" w:rsidRDefault="0024792C" w:rsidP="002A1A15">
      <w:pPr>
        <w:pStyle w:val="ListParagraph"/>
        <w:numPr>
          <w:ilvl w:val="0"/>
          <w:numId w:val="2"/>
        </w:numPr>
        <w:spacing w:before="120" w:line="240" w:lineRule="atLeast"/>
        <w:ind w:left="714" w:hanging="357"/>
        <w:contextualSpacing w:val="0"/>
        <w:rPr>
          <w:rFonts w:ascii="Times New Roman" w:hAnsi="Times New Roman"/>
          <w:color w:val="000000"/>
          <w:sz w:val="24"/>
          <w:szCs w:val="24"/>
        </w:rPr>
      </w:pPr>
      <w:r w:rsidRPr="00EC38B3">
        <w:rPr>
          <w:rFonts w:ascii="Times New Roman" w:hAnsi="Times New Roman"/>
          <w:color w:val="000000"/>
          <w:sz w:val="24"/>
          <w:szCs w:val="24"/>
        </w:rPr>
        <w:t>‘</w:t>
      </w:r>
      <w:proofErr w:type="gramStart"/>
      <w:r w:rsidRPr="00EC38B3">
        <w:rPr>
          <w:rFonts w:ascii="Times New Roman" w:hAnsi="Times New Roman"/>
          <w:color w:val="000000"/>
          <w:sz w:val="24"/>
          <w:szCs w:val="24"/>
        </w:rPr>
        <w:t>original</w:t>
      </w:r>
      <w:proofErr w:type="gramEnd"/>
      <w:r w:rsidRPr="00EC38B3">
        <w:rPr>
          <w:rFonts w:ascii="Times New Roman" w:hAnsi="Times New Roman"/>
          <w:color w:val="000000"/>
          <w:sz w:val="24"/>
          <w:szCs w:val="24"/>
        </w:rPr>
        <w:t xml:space="preserve"> modified item’.</w:t>
      </w:r>
    </w:p>
    <w:p w14:paraId="53547FF6" w14:textId="77777777" w:rsidR="0024792C" w:rsidRPr="0024792C" w:rsidRDefault="0024792C" w:rsidP="003D3931">
      <w:pPr>
        <w:rPr>
          <w:rFonts w:ascii="Times New Roman" w:hAnsi="Times New Roman"/>
          <w:sz w:val="24"/>
          <w:szCs w:val="24"/>
        </w:rPr>
      </w:pPr>
      <w:r w:rsidRPr="00EC38B3">
        <w:rPr>
          <w:rFonts w:ascii="Times New Roman" w:hAnsi="Times New Roman"/>
          <w:sz w:val="24"/>
          <w:szCs w:val="24"/>
        </w:rPr>
        <w:t xml:space="preserve">The above terms are important for the purpose of defining the time at which an item of </w:t>
      </w:r>
      <w:proofErr w:type="spellStart"/>
      <w:r>
        <w:rPr>
          <w:rFonts w:ascii="Times New Roman" w:hAnsi="Times New Roman"/>
          <w:sz w:val="24"/>
          <w:szCs w:val="24"/>
        </w:rPr>
        <w:t>radiocommunications</w:t>
      </w:r>
      <w:proofErr w:type="spellEnd"/>
      <w:r>
        <w:rPr>
          <w:rFonts w:ascii="Times New Roman" w:hAnsi="Times New Roman"/>
          <w:sz w:val="24"/>
          <w:szCs w:val="24"/>
        </w:rPr>
        <w:t xml:space="preserve"> </w:t>
      </w:r>
      <w:r w:rsidR="00E576CD">
        <w:rPr>
          <w:rFonts w:ascii="Times New Roman" w:hAnsi="Times New Roman"/>
          <w:sz w:val="24"/>
          <w:szCs w:val="24"/>
        </w:rPr>
        <w:t>equipment</w:t>
      </w:r>
      <w:r w:rsidRPr="00EC38B3">
        <w:rPr>
          <w:rFonts w:ascii="Times New Roman" w:hAnsi="Times New Roman"/>
          <w:sz w:val="24"/>
          <w:szCs w:val="24"/>
        </w:rPr>
        <w:t xml:space="preserve"> must comply with the adopted industry standard in order to meet the requirements of the relevant ACMA Standard.  </w:t>
      </w:r>
    </w:p>
    <w:p w14:paraId="6BBDDCE7" w14:textId="77777777" w:rsidR="00F95957" w:rsidRPr="00EC38B3" w:rsidRDefault="00F95957" w:rsidP="00F95957">
      <w:pPr>
        <w:pStyle w:val="Heading3"/>
        <w:tabs>
          <w:tab w:val="left" w:pos="1620"/>
        </w:tabs>
        <w:spacing w:after="120" w:line="240" w:lineRule="atLeast"/>
        <w:rPr>
          <w:szCs w:val="24"/>
        </w:rPr>
      </w:pPr>
      <w:r w:rsidRPr="00EC38B3">
        <w:rPr>
          <w:szCs w:val="24"/>
        </w:rPr>
        <w:t>Section 9</w:t>
      </w:r>
      <w:r w:rsidRPr="00EC38B3">
        <w:rPr>
          <w:b w:val="0"/>
          <w:szCs w:val="24"/>
        </w:rPr>
        <w:tab/>
      </w:r>
      <w:r w:rsidR="00DF43BF">
        <w:rPr>
          <w:szCs w:val="24"/>
        </w:rPr>
        <w:t>Date</w:t>
      </w:r>
      <w:r w:rsidRPr="00EC38B3">
        <w:rPr>
          <w:szCs w:val="24"/>
        </w:rPr>
        <w:t xml:space="preserve"> a modified item is </w:t>
      </w:r>
      <w:r w:rsidR="00DF43BF">
        <w:rPr>
          <w:szCs w:val="24"/>
        </w:rPr>
        <w:t>created</w:t>
      </w:r>
    </w:p>
    <w:p w14:paraId="6DD07044" w14:textId="77777777" w:rsidR="00F95957" w:rsidRPr="002A1A15" w:rsidRDefault="00F95957" w:rsidP="002A1A15">
      <w:pPr>
        <w:rPr>
          <w:rFonts w:ascii="Times New Roman" w:hAnsi="Times New Roman"/>
          <w:sz w:val="24"/>
          <w:szCs w:val="24"/>
        </w:rPr>
      </w:pPr>
      <w:r w:rsidRPr="00EC38B3">
        <w:rPr>
          <w:rFonts w:ascii="Times New Roman" w:hAnsi="Times New Roman"/>
          <w:sz w:val="24"/>
          <w:szCs w:val="24"/>
        </w:rPr>
        <w:t>This section</w:t>
      </w:r>
      <w:r w:rsidRPr="002A1A15">
        <w:rPr>
          <w:rFonts w:ascii="Times New Roman" w:hAnsi="Times New Roman"/>
          <w:sz w:val="24"/>
          <w:szCs w:val="24"/>
        </w:rPr>
        <w:t xml:space="preserve"> provides that, in the relevant ACMA S</w:t>
      </w:r>
      <w:r w:rsidR="00DF43BF" w:rsidRPr="002A1A15">
        <w:rPr>
          <w:rFonts w:ascii="Times New Roman" w:hAnsi="Times New Roman"/>
          <w:sz w:val="24"/>
          <w:szCs w:val="24"/>
        </w:rPr>
        <w:t>tandard, a reference to “the dat</w:t>
      </w:r>
      <w:r w:rsidRPr="002A1A15">
        <w:rPr>
          <w:rFonts w:ascii="Times New Roman" w:hAnsi="Times New Roman"/>
          <w:sz w:val="24"/>
          <w:szCs w:val="24"/>
        </w:rPr>
        <w:t>e a modified item is</w:t>
      </w:r>
      <w:r w:rsidR="00DF43BF" w:rsidRPr="002A1A15">
        <w:rPr>
          <w:rFonts w:ascii="Times New Roman" w:hAnsi="Times New Roman"/>
          <w:sz w:val="24"/>
          <w:szCs w:val="24"/>
        </w:rPr>
        <w:t xml:space="preserve"> created</w:t>
      </w:r>
      <w:r w:rsidRPr="002A1A15">
        <w:rPr>
          <w:rFonts w:ascii="Times New Roman" w:hAnsi="Times New Roman"/>
          <w:sz w:val="24"/>
          <w:szCs w:val="24"/>
        </w:rPr>
        <w:t xml:space="preserve">” is a reference to the </w:t>
      </w:r>
      <w:r w:rsidR="00DF43BF" w:rsidRPr="002A1A15">
        <w:rPr>
          <w:rFonts w:ascii="Times New Roman" w:hAnsi="Times New Roman"/>
          <w:sz w:val="24"/>
          <w:szCs w:val="24"/>
        </w:rPr>
        <w:t>date</w:t>
      </w:r>
      <w:r w:rsidRPr="002A1A15">
        <w:rPr>
          <w:rFonts w:ascii="Times New Roman" w:hAnsi="Times New Roman"/>
          <w:sz w:val="24"/>
          <w:szCs w:val="24"/>
        </w:rPr>
        <w:t xml:space="preserve"> of making</w:t>
      </w:r>
      <w:r w:rsidR="00530866" w:rsidRPr="002A1A15">
        <w:rPr>
          <w:rFonts w:ascii="Times New Roman" w:hAnsi="Times New Roman"/>
          <w:sz w:val="24"/>
          <w:szCs w:val="24"/>
        </w:rPr>
        <w:t xml:space="preserve"> of</w:t>
      </w:r>
      <w:r w:rsidRPr="002A1A15">
        <w:rPr>
          <w:rFonts w:ascii="Times New Roman" w:hAnsi="Times New Roman"/>
          <w:sz w:val="24"/>
          <w:szCs w:val="24"/>
        </w:rPr>
        <w:t xml:space="preserve"> the modification which </w:t>
      </w:r>
      <w:r w:rsidR="00DF43BF" w:rsidRPr="002A1A15">
        <w:rPr>
          <w:rFonts w:ascii="Times New Roman" w:hAnsi="Times New Roman"/>
          <w:sz w:val="24"/>
          <w:szCs w:val="24"/>
        </w:rPr>
        <w:t>creates</w:t>
      </w:r>
      <w:r w:rsidRPr="002A1A15">
        <w:rPr>
          <w:rFonts w:ascii="Times New Roman" w:hAnsi="Times New Roman"/>
          <w:sz w:val="24"/>
          <w:szCs w:val="24"/>
        </w:rPr>
        <w:t xml:space="preserve"> </w:t>
      </w:r>
      <w:r w:rsidR="00DF43BF" w:rsidRPr="002A1A15">
        <w:rPr>
          <w:rFonts w:ascii="Times New Roman" w:hAnsi="Times New Roman"/>
          <w:sz w:val="24"/>
          <w:szCs w:val="24"/>
        </w:rPr>
        <w:t>that</w:t>
      </w:r>
      <w:r w:rsidRPr="002A1A15">
        <w:rPr>
          <w:rFonts w:ascii="Times New Roman" w:hAnsi="Times New Roman"/>
          <w:sz w:val="24"/>
          <w:szCs w:val="24"/>
        </w:rPr>
        <w:t xml:space="preserve"> item.</w:t>
      </w:r>
    </w:p>
    <w:p w14:paraId="706FE5B3" w14:textId="77777777" w:rsidR="00DF43BF" w:rsidRDefault="00DF43BF" w:rsidP="00F95957">
      <w:pPr>
        <w:spacing w:before="120" w:after="120" w:line="240" w:lineRule="atLeast"/>
        <w:rPr>
          <w:rFonts w:ascii="Times New Roman" w:hAnsi="Times New Roman"/>
          <w:b/>
          <w:color w:val="000000"/>
          <w:sz w:val="24"/>
          <w:szCs w:val="24"/>
        </w:rPr>
      </w:pPr>
      <w:r w:rsidRPr="00DF43BF">
        <w:rPr>
          <w:rFonts w:ascii="Times New Roman" w:hAnsi="Times New Roman"/>
          <w:b/>
          <w:color w:val="000000"/>
          <w:sz w:val="24"/>
          <w:szCs w:val="24"/>
        </w:rPr>
        <w:t xml:space="preserve">Section 10 </w:t>
      </w:r>
      <w:r w:rsidRPr="00DF43BF">
        <w:rPr>
          <w:rFonts w:ascii="Times New Roman" w:hAnsi="Times New Roman"/>
          <w:b/>
          <w:color w:val="000000"/>
          <w:sz w:val="24"/>
          <w:szCs w:val="24"/>
        </w:rPr>
        <w:tab/>
        <w:t>Relevant date for an item</w:t>
      </w:r>
    </w:p>
    <w:p w14:paraId="0FCBEDC1" w14:textId="77777777" w:rsidR="007A0EA2" w:rsidRPr="007A0EA2" w:rsidRDefault="007A0EA2" w:rsidP="002A1A15">
      <w:pPr>
        <w:shd w:val="clear" w:color="auto" w:fill="FFFFFF"/>
        <w:spacing w:before="100" w:beforeAutospacing="1"/>
        <w:rPr>
          <w:rFonts w:ascii="Times New Roman" w:eastAsia="Times New Roman" w:hAnsi="Times New Roman"/>
          <w:sz w:val="24"/>
          <w:szCs w:val="24"/>
          <w:lang w:eastAsia="en-AU"/>
        </w:rPr>
      </w:pPr>
      <w:r w:rsidRPr="007A0EA2">
        <w:rPr>
          <w:rFonts w:ascii="Times New Roman" w:eastAsia="Times New Roman" w:hAnsi="Times New Roman"/>
          <w:sz w:val="24"/>
          <w:szCs w:val="24"/>
          <w:lang w:eastAsia="en-AU"/>
        </w:rPr>
        <w:t>This section defines the ‘relevant date’ for an item as follows:</w:t>
      </w:r>
    </w:p>
    <w:p w14:paraId="1D6CC3FB" w14:textId="657422CF" w:rsidR="007A0EA2" w:rsidRPr="007A0EA2" w:rsidRDefault="007A0EA2" w:rsidP="002A1A15">
      <w:pPr>
        <w:pStyle w:val="ListParagraph"/>
        <w:numPr>
          <w:ilvl w:val="0"/>
          <w:numId w:val="2"/>
        </w:numPr>
        <w:spacing w:before="120" w:line="240" w:lineRule="atLeast"/>
        <w:ind w:left="714" w:hanging="357"/>
        <w:contextualSpacing w:val="0"/>
        <w:rPr>
          <w:rFonts w:ascii="Arial" w:eastAsia="Times New Roman" w:hAnsi="Arial" w:cs="Arial"/>
          <w:sz w:val="24"/>
          <w:szCs w:val="24"/>
          <w:lang w:eastAsia="en-AU"/>
        </w:rPr>
      </w:pPr>
      <w:r w:rsidRPr="007A0EA2">
        <w:rPr>
          <w:rFonts w:ascii="Times New Roman" w:eastAsia="Times New Roman" w:hAnsi="Times New Roman"/>
          <w:sz w:val="24"/>
          <w:szCs w:val="24"/>
          <w:lang w:eastAsia="en-AU"/>
        </w:rPr>
        <w:lastRenderedPageBreak/>
        <w:t xml:space="preserve">in the case of an item (other than a modified item) that is included in a class of items – the date the original item (being the </w:t>
      </w:r>
      <w:r w:rsidR="00DB1361">
        <w:rPr>
          <w:rFonts w:ascii="Times New Roman" w:eastAsia="Times New Roman" w:hAnsi="Times New Roman"/>
          <w:sz w:val="24"/>
          <w:szCs w:val="24"/>
          <w:lang w:eastAsia="en-AU"/>
        </w:rPr>
        <w:t xml:space="preserve">item </w:t>
      </w:r>
      <w:r w:rsidRPr="007A0EA2">
        <w:rPr>
          <w:rFonts w:ascii="Times New Roman" w:eastAsia="Times New Roman" w:hAnsi="Times New Roman"/>
          <w:sz w:val="24"/>
          <w:szCs w:val="24"/>
          <w:lang w:eastAsia="en-AU"/>
        </w:rPr>
        <w:t>of the class</w:t>
      </w:r>
      <w:r w:rsidR="00DB1361">
        <w:rPr>
          <w:rFonts w:ascii="Times New Roman" w:eastAsia="Times New Roman" w:hAnsi="Times New Roman"/>
          <w:sz w:val="24"/>
          <w:szCs w:val="24"/>
          <w:lang w:eastAsia="en-AU"/>
        </w:rPr>
        <w:t xml:space="preserve"> that was the first</w:t>
      </w:r>
      <w:r w:rsidRPr="007A0EA2">
        <w:rPr>
          <w:rFonts w:ascii="Times New Roman" w:eastAsia="Times New Roman" w:hAnsi="Times New Roman"/>
          <w:sz w:val="24"/>
          <w:szCs w:val="24"/>
          <w:lang w:eastAsia="en-AU"/>
        </w:rPr>
        <w:t xml:space="preserve"> to be manufactured</w:t>
      </w:r>
      <w:r w:rsidR="00DB1361">
        <w:rPr>
          <w:rFonts w:ascii="Times New Roman" w:eastAsia="Times New Roman" w:hAnsi="Times New Roman"/>
          <w:sz w:val="24"/>
          <w:szCs w:val="24"/>
          <w:lang w:eastAsia="en-AU"/>
        </w:rPr>
        <w:t xml:space="preserve"> in Australia</w:t>
      </w:r>
      <w:r w:rsidRPr="007A0EA2">
        <w:rPr>
          <w:rFonts w:ascii="Times New Roman" w:eastAsia="Times New Roman" w:hAnsi="Times New Roman"/>
          <w:sz w:val="24"/>
          <w:szCs w:val="24"/>
          <w:lang w:eastAsia="en-AU"/>
        </w:rPr>
        <w:t xml:space="preserve"> or imported) was manufactured</w:t>
      </w:r>
      <w:r w:rsidR="00DB1361">
        <w:rPr>
          <w:rFonts w:ascii="Times New Roman" w:eastAsia="Times New Roman" w:hAnsi="Times New Roman"/>
          <w:sz w:val="24"/>
          <w:szCs w:val="24"/>
          <w:lang w:eastAsia="en-AU"/>
        </w:rPr>
        <w:t xml:space="preserve"> in Australia</w:t>
      </w:r>
      <w:r w:rsidRPr="007A0EA2">
        <w:rPr>
          <w:rFonts w:ascii="Times New Roman" w:eastAsia="Times New Roman" w:hAnsi="Times New Roman"/>
          <w:sz w:val="24"/>
          <w:szCs w:val="24"/>
          <w:lang w:eastAsia="en-AU"/>
        </w:rPr>
        <w:t xml:space="preserve"> or imported;</w:t>
      </w:r>
    </w:p>
    <w:p w14:paraId="70A736DE" w14:textId="0C0037A6" w:rsidR="007A0EA2" w:rsidRPr="007A0EA2" w:rsidRDefault="007A0EA2" w:rsidP="002A1A15">
      <w:pPr>
        <w:pStyle w:val="ListParagraph"/>
        <w:numPr>
          <w:ilvl w:val="0"/>
          <w:numId w:val="2"/>
        </w:numPr>
        <w:spacing w:before="120" w:line="240" w:lineRule="atLeast"/>
        <w:ind w:left="714" w:hanging="357"/>
        <w:contextualSpacing w:val="0"/>
        <w:rPr>
          <w:rFonts w:ascii="Times New Roman" w:eastAsia="Times New Roman" w:hAnsi="Times New Roman"/>
          <w:sz w:val="24"/>
          <w:szCs w:val="24"/>
          <w:lang w:eastAsia="en-AU"/>
        </w:rPr>
      </w:pPr>
      <w:r w:rsidRPr="007A0EA2">
        <w:rPr>
          <w:rFonts w:ascii="Times New Roman" w:eastAsia="Times New Roman" w:hAnsi="Times New Roman"/>
          <w:sz w:val="24"/>
          <w:szCs w:val="24"/>
          <w:lang w:eastAsia="en-AU"/>
        </w:rPr>
        <w:t>in the case of a modified item that is included in a class of items – the date the</w:t>
      </w:r>
      <w:r w:rsidR="00DB1361">
        <w:rPr>
          <w:rFonts w:ascii="Times New Roman" w:eastAsia="Times New Roman" w:hAnsi="Times New Roman"/>
          <w:sz w:val="24"/>
          <w:szCs w:val="24"/>
          <w:lang w:eastAsia="en-AU"/>
        </w:rPr>
        <w:t xml:space="preserve"> original modified item (being the item of the class that was the first to be created in Australia or imported) </w:t>
      </w:r>
      <w:r w:rsidRPr="007A0EA2">
        <w:rPr>
          <w:rFonts w:ascii="Times New Roman" w:eastAsia="Times New Roman" w:hAnsi="Times New Roman"/>
          <w:sz w:val="24"/>
          <w:szCs w:val="24"/>
          <w:lang w:eastAsia="en-AU"/>
        </w:rPr>
        <w:t>was create</w:t>
      </w:r>
      <w:r w:rsidR="00DB1361">
        <w:rPr>
          <w:rFonts w:ascii="Times New Roman" w:eastAsia="Times New Roman" w:hAnsi="Times New Roman"/>
          <w:sz w:val="24"/>
          <w:szCs w:val="24"/>
          <w:lang w:eastAsia="en-AU"/>
        </w:rPr>
        <w:t>d in Australia or imported</w:t>
      </w:r>
      <w:r w:rsidRPr="007A0EA2">
        <w:rPr>
          <w:rFonts w:ascii="Times New Roman" w:eastAsia="Times New Roman" w:hAnsi="Times New Roman"/>
          <w:sz w:val="24"/>
          <w:szCs w:val="24"/>
          <w:lang w:eastAsia="en-AU"/>
        </w:rPr>
        <w:t>; or</w:t>
      </w:r>
    </w:p>
    <w:p w14:paraId="59F0D5D0" w14:textId="7F638BB4" w:rsidR="00DF43BF" w:rsidRPr="002A1A15" w:rsidRDefault="00C1355D" w:rsidP="002A1A15">
      <w:pPr>
        <w:pStyle w:val="ListParagraph"/>
        <w:numPr>
          <w:ilvl w:val="0"/>
          <w:numId w:val="2"/>
        </w:numPr>
        <w:spacing w:before="120" w:line="240" w:lineRule="atLeast"/>
        <w:ind w:left="714" w:hanging="357"/>
        <w:contextualSpacing w:val="0"/>
        <w:rPr>
          <w:rFonts w:ascii="Times New Roman" w:eastAsia="Times New Roman" w:hAnsi="Times New Roman"/>
          <w:sz w:val="24"/>
          <w:szCs w:val="24"/>
          <w:lang w:eastAsia="en-AU"/>
        </w:rPr>
      </w:pPr>
      <w:proofErr w:type="gramStart"/>
      <w:r>
        <w:rPr>
          <w:rFonts w:ascii="Times New Roman" w:eastAsia="Times New Roman" w:hAnsi="Times New Roman"/>
          <w:sz w:val="24"/>
          <w:szCs w:val="24"/>
          <w:lang w:eastAsia="en-AU"/>
        </w:rPr>
        <w:t>in</w:t>
      </w:r>
      <w:proofErr w:type="gramEnd"/>
      <w:r>
        <w:rPr>
          <w:rFonts w:ascii="Times New Roman" w:eastAsia="Times New Roman" w:hAnsi="Times New Roman"/>
          <w:sz w:val="24"/>
          <w:szCs w:val="24"/>
          <w:lang w:eastAsia="en-AU"/>
        </w:rPr>
        <w:t xml:space="preserve"> any case</w:t>
      </w:r>
      <w:r w:rsidR="007A0EA2" w:rsidRPr="007A0EA2">
        <w:rPr>
          <w:rFonts w:ascii="Times New Roman" w:eastAsia="Times New Roman" w:hAnsi="Times New Roman"/>
          <w:sz w:val="24"/>
          <w:szCs w:val="24"/>
          <w:lang w:eastAsia="en-AU"/>
        </w:rPr>
        <w:t xml:space="preserve"> – the date the item was manufactured</w:t>
      </w:r>
      <w:r w:rsidR="00E473D0">
        <w:rPr>
          <w:rFonts w:ascii="Times New Roman" w:eastAsia="Times New Roman" w:hAnsi="Times New Roman"/>
          <w:sz w:val="24"/>
          <w:szCs w:val="24"/>
          <w:lang w:eastAsia="en-AU"/>
        </w:rPr>
        <w:t>,</w:t>
      </w:r>
      <w:r w:rsidR="00755F9A">
        <w:rPr>
          <w:rFonts w:ascii="Times New Roman" w:eastAsia="Times New Roman" w:hAnsi="Times New Roman"/>
          <w:sz w:val="24"/>
          <w:szCs w:val="24"/>
          <w:lang w:eastAsia="en-AU"/>
        </w:rPr>
        <w:t xml:space="preserve"> </w:t>
      </w:r>
      <w:r w:rsidR="00DB1361">
        <w:rPr>
          <w:rFonts w:ascii="Times New Roman" w:eastAsia="Times New Roman" w:hAnsi="Times New Roman"/>
          <w:sz w:val="24"/>
          <w:szCs w:val="24"/>
          <w:lang w:eastAsia="en-AU"/>
        </w:rPr>
        <w:t>or created</w:t>
      </w:r>
      <w:r w:rsidR="00E473D0">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in Australia</w:t>
      </w:r>
      <w:r w:rsidR="007A0EA2" w:rsidRPr="007A0EA2">
        <w:rPr>
          <w:rFonts w:ascii="Times New Roman" w:eastAsia="Times New Roman" w:hAnsi="Times New Roman"/>
          <w:sz w:val="24"/>
          <w:szCs w:val="24"/>
          <w:lang w:eastAsia="en-AU"/>
        </w:rPr>
        <w:t xml:space="preserve"> or imported.</w:t>
      </w:r>
    </w:p>
    <w:p w14:paraId="07476D73" w14:textId="77777777" w:rsidR="00DF43BF" w:rsidRPr="00EC38B3" w:rsidRDefault="00DF43BF" w:rsidP="00DF43BF">
      <w:pPr>
        <w:pStyle w:val="Heading3"/>
        <w:tabs>
          <w:tab w:val="left" w:pos="1620"/>
        </w:tabs>
        <w:spacing w:after="120" w:line="240" w:lineRule="atLeast"/>
        <w:rPr>
          <w:b w:val="0"/>
          <w:szCs w:val="24"/>
        </w:rPr>
      </w:pPr>
      <w:r>
        <w:rPr>
          <w:szCs w:val="24"/>
        </w:rPr>
        <w:t>Section 11</w:t>
      </w:r>
      <w:r w:rsidRPr="00EC38B3">
        <w:rPr>
          <w:szCs w:val="24"/>
        </w:rPr>
        <w:tab/>
      </w:r>
      <w:r>
        <w:rPr>
          <w:szCs w:val="24"/>
        </w:rPr>
        <w:t>T</w:t>
      </w:r>
      <w:r w:rsidRPr="00EC38B3">
        <w:rPr>
          <w:szCs w:val="24"/>
        </w:rPr>
        <w:t xml:space="preserve">ransition period </w:t>
      </w:r>
    </w:p>
    <w:p w14:paraId="5A3E82EF" w14:textId="77777777" w:rsidR="007A0EA2" w:rsidRDefault="007A0EA2" w:rsidP="00DF43BF">
      <w:pPr>
        <w:pStyle w:val="Heading3"/>
        <w:tabs>
          <w:tab w:val="left" w:pos="1620"/>
        </w:tabs>
        <w:spacing w:after="120" w:line="240" w:lineRule="atLeast"/>
        <w:rPr>
          <w:b w:val="0"/>
          <w:szCs w:val="24"/>
        </w:rPr>
      </w:pPr>
      <w:r>
        <w:rPr>
          <w:b w:val="0"/>
          <w:szCs w:val="24"/>
        </w:rPr>
        <w:t xml:space="preserve">This section defines the term “transition period”.  This transition period is a period that applies in a case where an industry standard, adopted by the relevant ACMA Standard, is amended or replaced. </w:t>
      </w:r>
    </w:p>
    <w:p w14:paraId="2B31E078" w14:textId="77777777" w:rsidR="00DB7F06" w:rsidRPr="00EC38B3" w:rsidRDefault="00DB7F06" w:rsidP="00B81251">
      <w:pPr>
        <w:keepNext/>
        <w:spacing w:before="240"/>
        <w:rPr>
          <w:rFonts w:ascii="Times New Roman" w:hAnsi="Times New Roman"/>
          <w:b/>
          <w:sz w:val="24"/>
          <w:szCs w:val="24"/>
          <w:lang w:eastAsia="en-AU"/>
        </w:rPr>
      </w:pPr>
      <w:r w:rsidRPr="00EC38B3">
        <w:rPr>
          <w:rFonts w:ascii="Times New Roman" w:hAnsi="Times New Roman"/>
          <w:b/>
          <w:sz w:val="24"/>
          <w:szCs w:val="24"/>
        </w:rPr>
        <w:t>Part 3 – Application and requirements</w:t>
      </w:r>
    </w:p>
    <w:p w14:paraId="337D26AC" w14:textId="77777777" w:rsidR="00DB7F06" w:rsidRPr="00EC38B3" w:rsidRDefault="00DB7F06" w:rsidP="00DB7F06">
      <w:pPr>
        <w:pStyle w:val="Heading3"/>
        <w:tabs>
          <w:tab w:val="left" w:pos="1620"/>
        </w:tabs>
        <w:spacing w:after="120" w:line="240" w:lineRule="atLeast"/>
        <w:rPr>
          <w:szCs w:val="24"/>
        </w:rPr>
      </w:pPr>
      <w:r w:rsidRPr="00EC38B3">
        <w:rPr>
          <w:szCs w:val="24"/>
        </w:rPr>
        <w:t xml:space="preserve">Section </w:t>
      </w:r>
      <w:r w:rsidR="007A0EA2">
        <w:rPr>
          <w:szCs w:val="24"/>
        </w:rPr>
        <w:t>12</w:t>
      </w:r>
      <w:r w:rsidRPr="00EC38B3">
        <w:rPr>
          <w:szCs w:val="24"/>
        </w:rPr>
        <w:tab/>
      </w:r>
      <w:r w:rsidR="00C36EF6" w:rsidRPr="00EC38B3">
        <w:rPr>
          <w:szCs w:val="24"/>
        </w:rPr>
        <w:t xml:space="preserve">Application </w:t>
      </w:r>
    </w:p>
    <w:p w14:paraId="63416E79" w14:textId="224D4D11" w:rsidR="00F95957" w:rsidRPr="002A1A15" w:rsidRDefault="004755B1" w:rsidP="002A1A15">
      <w:pPr>
        <w:pStyle w:val="Heading3"/>
        <w:tabs>
          <w:tab w:val="left" w:pos="1620"/>
        </w:tabs>
        <w:spacing w:after="120" w:line="240" w:lineRule="atLeast"/>
        <w:rPr>
          <w:b w:val="0"/>
        </w:rPr>
      </w:pPr>
      <w:r w:rsidRPr="003D3931">
        <w:rPr>
          <w:b w:val="0"/>
          <w:szCs w:val="24"/>
        </w:rPr>
        <w:t xml:space="preserve">This section specifies the </w:t>
      </w:r>
      <w:proofErr w:type="spellStart"/>
      <w:r w:rsidR="007A0EA2" w:rsidRPr="003D3931">
        <w:rPr>
          <w:b w:val="0"/>
          <w:szCs w:val="24"/>
        </w:rPr>
        <w:t>radiocommunications</w:t>
      </w:r>
      <w:proofErr w:type="spellEnd"/>
      <w:r w:rsidR="007A0EA2" w:rsidRPr="003D3931">
        <w:rPr>
          <w:b w:val="0"/>
          <w:szCs w:val="24"/>
        </w:rPr>
        <w:t xml:space="preserve"> device</w:t>
      </w:r>
      <w:r w:rsidRPr="003D3931">
        <w:rPr>
          <w:b w:val="0"/>
          <w:szCs w:val="24"/>
        </w:rPr>
        <w:t xml:space="preserve"> to which the relevant ACMA Standard applies</w:t>
      </w:r>
      <w:r w:rsidR="008A3C8C" w:rsidRPr="003D3931">
        <w:rPr>
          <w:b w:val="0"/>
          <w:szCs w:val="24"/>
        </w:rPr>
        <w:t xml:space="preserve">.  </w:t>
      </w:r>
      <w:r w:rsidR="00D437F7" w:rsidRPr="003D3931">
        <w:rPr>
          <w:b w:val="0"/>
          <w:szCs w:val="24"/>
        </w:rPr>
        <w:t xml:space="preserve">Column 3 of the table above </w:t>
      </w:r>
      <w:r w:rsidR="00CD6DA1">
        <w:rPr>
          <w:b w:val="0"/>
          <w:szCs w:val="24"/>
        </w:rPr>
        <w:t xml:space="preserve">refers </w:t>
      </w:r>
      <w:proofErr w:type="gramStart"/>
      <w:r w:rsidR="00CD6DA1">
        <w:rPr>
          <w:b w:val="0"/>
          <w:szCs w:val="24"/>
        </w:rPr>
        <w:t xml:space="preserve">to </w:t>
      </w:r>
      <w:r w:rsidR="00D437F7" w:rsidRPr="003D3931">
        <w:rPr>
          <w:b w:val="0"/>
          <w:szCs w:val="24"/>
        </w:rPr>
        <w:t xml:space="preserve"> the</w:t>
      </w:r>
      <w:proofErr w:type="gramEnd"/>
      <w:r w:rsidR="001C0CF1">
        <w:rPr>
          <w:b w:val="0"/>
          <w:szCs w:val="24"/>
        </w:rPr>
        <w:t xml:space="preserve"> differences between</w:t>
      </w:r>
      <w:r w:rsidR="00CD6DA1">
        <w:rPr>
          <w:b w:val="0"/>
          <w:szCs w:val="24"/>
        </w:rPr>
        <w:t xml:space="preserve"> the ACMA Standards in </w:t>
      </w:r>
      <w:r w:rsidR="001C0CF1">
        <w:rPr>
          <w:b w:val="0"/>
          <w:szCs w:val="24"/>
        </w:rPr>
        <w:t>the types of</w:t>
      </w:r>
      <w:r w:rsidR="00D437F7" w:rsidRPr="003D3931">
        <w:rPr>
          <w:b w:val="0"/>
          <w:szCs w:val="24"/>
        </w:rPr>
        <w:t xml:space="preserve"> </w:t>
      </w:r>
      <w:proofErr w:type="spellStart"/>
      <w:r w:rsidR="00D437F7" w:rsidRPr="003D3931">
        <w:rPr>
          <w:b w:val="0"/>
          <w:szCs w:val="24"/>
        </w:rPr>
        <w:t>radiocommunications</w:t>
      </w:r>
      <w:proofErr w:type="spellEnd"/>
      <w:r w:rsidR="00D437F7" w:rsidRPr="003D3931">
        <w:rPr>
          <w:b w:val="0"/>
          <w:szCs w:val="24"/>
        </w:rPr>
        <w:t xml:space="preserve"> devices to which th</w:t>
      </w:r>
      <w:r w:rsidR="001C0CF1">
        <w:rPr>
          <w:b w:val="0"/>
          <w:szCs w:val="24"/>
        </w:rPr>
        <w:t>os</w:t>
      </w:r>
      <w:r w:rsidR="00D437F7" w:rsidRPr="003D3931">
        <w:rPr>
          <w:b w:val="0"/>
          <w:szCs w:val="24"/>
        </w:rPr>
        <w:t xml:space="preserve">e </w:t>
      </w:r>
      <w:r w:rsidR="001C0CF1">
        <w:rPr>
          <w:b w:val="0"/>
          <w:szCs w:val="24"/>
        </w:rPr>
        <w:t>s</w:t>
      </w:r>
      <w:r w:rsidR="00D437F7" w:rsidRPr="003D3931">
        <w:rPr>
          <w:b w:val="0"/>
          <w:szCs w:val="24"/>
        </w:rPr>
        <w:t>tandards apply.</w:t>
      </w:r>
    </w:p>
    <w:p w14:paraId="6037F790" w14:textId="77777777" w:rsidR="006D0849" w:rsidRPr="00EC38B3" w:rsidRDefault="006D0849" w:rsidP="006D0849">
      <w:pPr>
        <w:pStyle w:val="Heading3"/>
        <w:tabs>
          <w:tab w:val="left" w:pos="1620"/>
        </w:tabs>
        <w:spacing w:after="120" w:line="240" w:lineRule="atLeast"/>
        <w:rPr>
          <w:szCs w:val="24"/>
        </w:rPr>
      </w:pPr>
      <w:r w:rsidRPr="00EC38B3">
        <w:rPr>
          <w:szCs w:val="24"/>
        </w:rPr>
        <w:t xml:space="preserve">Section </w:t>
      </w:r>
      <w:r w:rsidR="007A0EA2">
        <w:rPr>
          <w:szCs w:val="24"/>
        </w:rPr>
        <w:t>13</w:t>
      </w:r>
      <w:r w:rsidRPr="00EC38B3">
        <w:rPr>
          <w:szCs w:val="24"/>
        </w:rPr>
        <w:tab/>
        <w:t xml:space="preserve">Requirements </w:t>
      </w:r>
    </w:p>
    <w:p w14:paraId="5E2146D2" w14:textId="283D9D34" w:rsidR="006D0849" w:rsidRPr="002A1A15" w:rsidRDefault="003D3931" w:rsidP="002A1A15">
      <w:pPr>
        <w:pStyle w:val="Heading3"/>
        <w:tabs>
          <w:tab w:val="left" w:pos="1620"/>
        </w:tabs>
        <w:spacing w:after="200" w:line="240" w:lineRule="atLeast"/>
        <w:rPr>
          <w:szCs w:val="24"/>
        </w:rPr>
      </w:pPr>
      <w:r w:rsidRPr="002A1A15">
        <w:rPr>
          <w:b w:val="0"/>
          <w:szCs w:val="24"/>
        </w:rPr>
        <w:t>In the Inshore Boating Standard and the HF CB Standard, t</w:t>
      </w:r>
      <w:r w:rsidR="007A0EA2" w:rsidRPr="002A1A15">
        <w:rPr>
          <w:b w:val="0"/>
          <w:szCs w:val="24"/>
        </w:rPr>
        <w:t xml:space="preserve">his section specifies that the </w:t>
      </w:r>
      <w:r w:rsidR="0021455E">
        <w:rPr>
          <w:b w:val="0"/>
          <w:szCs w:val="24"/>
        </w:rPr>
        <w:t>item</w:t>
      </w:r>
      <w:r w:rsidR="007A0EA2" w:rsidRPr="002A1A15">
        <w:rPr>
          <w:b w:val="0"/>
          <w:szCs w:val="24"/>
        </w:rPr>
        <w:t xml:space="preserve"> must meet the requirements of subsection 14(1), (2) or (3) in order to comply with th</w:t>
      </w:r>
      <w:r w:rsidR="0021455E">
        <w:rPr>
          <w:b w:val="0"/>
          <w:szCs w:val="24"/>
        </w:rPr>
        <w:t>e</w:t>
      </w:r>
      <w:r w:rsidR="007A0EA2" w:rsidRPr="002A1A15">
        <w:rPr>
          <w:b w:val="0"/>
          <w:szCs w:val="24"/>
        </w:rPr>
        <w:t xml:space="preserve"> standard.</w:t>
      </w:r>
    </w:p>
    <w:p w14:paraId="3DA6DBA1" w14:textId="224AEF9A" w:rsidR="003D3931" w:rsidRDefault="00D437F7" w:rsidP="00B81251">
      <w:pPr>
        <w:spacing w:before="120" w:after="120" w:line="240" w:lineRule="atLeast"/>
        <w:rPr>
          <w:rFonts w:ascii="Times New Roman" w:hAnsi="Times New Roman"/>
          <w:color w:val="000000"/>
          <w:sz w:val="24"/>
          <w:szCs w:val="24"/>
        </w:rPr>
      </w:pPr>
      <w:r>
        <w:rPr>
          <w:rFonts w:ascii="Times New Roman" w:hAnsi="Times New Roman"/>
          <w:color w:val="000000"/>
          <w:sz w:val="24"/>
          <w:szCs w:val="24"/>
        </w:rPr>
        <w:t>In the DECT Standard</w:t>
      </w:r>
      <w:r w:rsidR="00736096">
        <w:rPr>
          <w:rFonts w:ascii="Times New Roman" w:hAnsi="Times New Roman"/>
          <w:color w:val="000000"/>
          <w:sz w:val="24"/>
          <w:szCs w:val="24"/>
        </w:rPr>
        <w:t>,</w:t>
      </w:r>
      <w:r>
        <w:rPr>
          <w:rFonts w:ascii="Times New Roman" w:hAnsi="Times New Roman"/>
          <w:color w:val="000000"/>
          <w:sz w:val="24"/>
          <w:szCs w:val="24"/>
        </w:rPr>
        <w:t xml:space="preserve"> </w:t>
      </w:r>
      <w:r w:rsidR="003D3931">
        <w:rPr>
          <w:rFonts w:ascii="Times New Roman" w:hAnsi="Times New Roman"/>
          <w:color w:val="000000"/>
          <w:sz w:val="24"/>
          <w:szCs w:val="24"/>
        </w:rPr>
        <w:t xml:space="preserve">this section </w:t>
      </w:r>
      <w:r>
        <w:rPr>
          <w:rFonts w:ascii="Times New Roman" w:hAnsi="Times New Roman"/>
          <w:color w:val="000000"/>
          <w:sz w:val="24"/>
          <w:szCs w:val="24"/>
        </w:rPr>
        <w:t>provides that</w:t>
      </w:r>
      <w:r w:rsidR="00860367">
        <w:rPr>
          <w:rFonts w:ascii="Times New Roman" w:hAnsi="Times New Roman"/>
          <w:color w:val="000000"/>
          <w:sz w:val="24"/>
          <w:szCs w:val="24"/>
        </w:rPr>
        <w:t>, in order to comply with the standard,</w:t>
      </w:r>
      <w:r w:rsidR="003D3931">
        <w:rPr>
          <w:rFonts w:ascii="Times New Roman" w:hAnsi="Times New Roman"/>
          <w:color w:val="000000"/>
          <w:sz w:val="24"/>
          <w:szCs w:val="24"/>
        </w:rPr>
        <w:t xml:space="preserve"> an item must:</w:t>
      </w:r>
    </w:p>
    <w:p w14:paraId="45447433" w14:textId="77777777" w:rsidR="003D3931" w:rsidRPr="003D3931" w:rsidRDefault="003D3931" w:rsidP="002A1A15">
      <w:pPr>
        <w:numPr>
          <w:ilvl w:val="0"/>
          <w:numId w:val="40"/>
        </w:numPr>
        <w:spacing w:before="120" w:after="120" w:line="240" w:lineRule="atLeast"/>
        <w:rPr>
          <w:rFonts w:ascii="Times New Roman" w:hAnsi="Times New Roman"/>
          <w:sz w:val="24"/>
          <w:szCs w:val="24"/>
          <w:lang w:eastAsia="en-AU"/>
        </w:rPr>
      </w:pPr>
      <w:r w:rsidRPr="003D3931">
        <w:rPr>
          <w:rFonts w:ascii="Times New Roman" w:hAnsi="Times New Roman"/>
          <w:sz w:val="24"/>
          <w:szCs w:val="24"/>
          <w:lang w:eastAsia="en-AU"/>
        </w:rPr>
        <w:t xml:space="preserve">operate: </w:t>
      </w:r>
    </w:p>
    <w:p w14:paraId="6E2A91A8" w14:textId="5EC48AD0" w:rsidR="003D3931" w:rsidRPr="002A1A15" w:rsidRDefault="003D3931" w:rsidP="002A1A15">
      <w:pPr>
        <w:pStyle w:val="ListParagraph"/>
        <w:numPr>
          <w:ilvl w:val="1"/>
          <w:numId w:val="40"/>
        </w:numPr>
        <w:spacing w:before="120" w:after="120" w:line="240" w:lineRule="atLeast"/>
        <w:rPr>
          <w:rFonts w:ascii="Times New Roman" w:hAnsi="Times New Roman"/>
          <w:sz w:val="24"/>
          <w:szCs w:val="24"/>
          <w:lang w:eastAsia="en-AU"/>
        </w:rPr>
      </w:pPr>
      <w:r w:rsidRPr="002A1A15">
        <w:rPr>
          <w:rFonts w:ascii="Times New Roman" w:hAnsi="Times New Roman"/>
          <w:sz w:val="24"/>
          <w:szCs w:val="24"/>
          <w:lang w:eastAsia="en-AU"/>
        </w:rPr>
        <w:t xml:space="preserve">only on frequencies </w:t>
      </w:r>
      <w:r w:rsidR="000A3622">
        <w:rPr>
          <w:rFonts w:ascii="Times New Roman" w:hAnsi="Times New Roman"/>
          <w:sz w:val="24"/>
          <w:szCs w:val="24"/>
          <w:lang w:eastAsia="en-AU"/>
        </w:rPr>
        <w:t>greater than</w:t>
      </w:r>
      <w:r w:rsidRPr="002A1A15">
        <w:rPr>
          <w:rFonts w:ascii="Times New Roman" w:hAnsi="Times New Roman"/>
          <w:sz w:val="24"/>
          <w:szCs w:val="24"/>
          <w:lang w:eastAsia="en-AU"/>
        </w:rPr>
        <w:t xml:space="preserve"> 1880 and </w:t>
      </w:r>
      <w:r w:rsidR="009E2C1C">
        <w:rPr>
          <w:rFonts w:ascii="Times New Roman" w:hAnsi="Times New Roman"/>
          <w:sz w:val="24"/>
          <w:szCs w:val="24"/>
          <w:lang w:eastAsia="en-AU"/>
        </w:rPr>
        <w:t xml:space="preserve">less than or equal to </w:t>
      </w:r>
      <w:r w:rsidRPr="002A1A15">
        <w:rPr>
          <w:rFonts w:ascii="Times New Roman" w:hAnsi="Times New Roman"/>
          <w:sz w:val="24"/>
          <w:szCs w:val="24"/>
          <w:lang w:eastAsia="en-AU"/>
        </w:rPr>
        <w:t xml:space="preserve">1900 MHz; and </w:t>
      </w:r>
    </w:p>
    <w:p w14:paraId="7222BEA8" w14:textId="77777777" w:rsidR="003D3931" w:rsidRPr="002A1A15" w:rsidRDefault="003D3931" w:rsidP="002A1A15">
      <w:pPr>
        <w:pStyle w:val="ListParagraph"/>
        <w:numPr>
          <w:ilvl w:val="1"/>
          <w:numId w:val="40"/>
        </w:numPr>
        <w:spacing w:before="120" w:after="120" w:line="240" w:lineRule="atLeast"/>
        <w:rPr>
          <w:rFonts w:ascii="Times New Roman" w:hAnsi="Times New Roman"/>
          <w:sz w:val="24"/>
          <w:szCs w:val="24"/>
          <w:lang w:eastAsia="en-AU"/>
        </w:rPr>
      </w:pPr>
      <w:r w:rsidRPr="002A1A15">
        <w:rPr>
          <w:rFonts w:ascii="Times New Roman" w:hAnsi="Times New Roman"/>
          <w:sz w:val="24"/>
          <w:szCs w:val="24"/>
          <w:lang w:eastAsia="en-AU"/>
        </w:rPr>
        <w:t xml:space="preserve">with a radiated power of no more than 36 </w:t>
      </w:r>
      <w:proofErr w:type="spellStart"/>
      <w:r w:rsidRPr="002A1A15">
        <w:rPr>
          <w:rFonts w:ascii="Times New Roman" w:hAnsi="Times New Roman"/>
          <w:sz w:val="24"/>
          <w:szCs w:val="24"/>
          <w:lang w:eastAsia="en-AU"/>
        </w:rPr>
        <w:t>dBm</w:t>
      </w:r>
      <w:proofErr w:type="spellEnd"/>
      <w:r w:rsidRPr="002A1A15">
        <w:rPr>
          <w:rFonts w:ascii="Times New Roman" w:hAnsi="Times New Roman"/>
          <w:sz w:val="24"/>
          <w:szCs w:val="24"/>
          <w:lang w:eastAsia="en-AU"/>
        </w:rPr>
        <w:t xml:space="preserve"> EIRP; and </w:t>
      </w:r>
    </w:p>
    <w:p w14:paraId="39F93123" w14:textId="77777777" w:rsidR="003D3931" w:rsidRPr="003D3931" w:rsidRDefault="003D3931" w:rsidP="002A1A15">
      <w:pPr>
        <w:numPr>
          <w:ilvl w:val="0"/>
          <w:numId w:val="40"/>
        </w:numPr>
        <w:spacing w:before="120" w:after="120" w:line="240" w:lineRule="atLeast"/>
        <w:rPr>
          <w:rFonts w:ascii="Times New Roman" w:hAnsi="Times New Roman"/>
          <w:sz w:val="24"/>
          <w:szCs w:val="24"/>
          <w:lang w:eastAsia="en-AU"/>
        </w:rPr>
      </w:pPr>
      <w:proofErr w:type="gramStart"/>
      <w:r w:rsidRPr="003D3931">
        <w:rPr>
          <w:rFonts w:ascii="Times New Roman" w:hAnsi="Times New Roman"/>
          <w:sz w:val="24"/>
          <w:szCs w:val="24"/>
          <w:lang w:eastAsia="en-AU"/>
        </w:rPr>
        <w:t>meet</w:t>
      </w:r>
      <w:proofErr w:type="gramEnd"/>
      <w:r w:rsidRPr="003D3931">
        <w:rPr>
          <w:rFonts w:ascii="Times New Roman" w:hAnsi="Times New Roman"/>
          <w:sz w:val="24"/>
          <w:szCs w:val="24"/>
          <w:lang w:eastAsia="en-AU"/>
        </w:rPr>
        <w:t xml:space="preserve"> the requirements of subsection 14(1), (2) or (3).</w:t>
      </w:r>
    </w:p>
    <w:p w14:paraId="27DEDA2B" w14:textId="77777777" w:rsidR="00B64FC0" w:rsidRPr="00EC38B3" w:rsidRDefault="00B64FC0" w:rsidP="00B64FC0">
      <w:pPr>
        <w:pStyle w:val="Heading3"/>
        <w:tabs>
          <w:tab w:val="left" w:pos="1620"/>
        </w:tabs>
        <w:spacing w:after="120" w:line="240" w:lineRule="atLeast"/>
        <w:rPr>
          <w:szCs w:val="24"/>
        </w:rPr>
      </w:pPr>
      <w:r w:rsidRPr="00EC38B3">
        <w:rPr>
          <w:szCs w:val="24"/>
        </w:rPr>
        <w:t xml:space="preserve">Section </w:t>
      </w:r>
      <w:r>
        <w:rPr>
          <w:szCs w:val="24"/>
        </w:rPr>
        <w:t>14</w:t>
      </w:r>
      <w:r>
        <w:rPr>
          <w:szCs w:val="24"/>
        </w:rPr>
        <w:tab/>
        <w:t>Standard for items</w:t>
      </w:r>
    </w:p>
    <w:p w14:paraId="2B645DEB" w14:textId="3B8338C5" w:rsidR="00B64FC0" w:rsidRDefault="00B64FC0" w:rsidP="00B64FC0">
      <w:pPr>
        <w:rPr>
          <w:rFonts w:ascii="Times New Roman" w:hAnsi="Times New Roman"/>
          <w:sz w:val="24"/>
          <w:szCs w:val="24"/>
        </w:rPr>
      </w:pPr>
      <w:r w:rsidRPr="00502001">
        <w:rPr>
          <w:rFonts w:ascii="Times New Roman" w:hAnsi="Times New Roman"/>
          <w:sz w:val="24"/>
          <w:szCs w:val="24"/>
        </w:rPr>
        <w:t xml:space="preserve">This section specifies the requirements which items must meet in order to comply with subsection 14(1), (2), or (3). </w:t>
      </w:r>
      <w:r>
        <w:rPr>
          <w:rFonts w:ascii="Times New Roman" w:hAnsi="Times New Roman"/>
          <w:sz w:val="24"/>
          <w:szCs w:val="24"/>
        </w:rPr>
        <w:t xml:space="preserve"> </w:t>
      </w:r>
      <w:r w:rsidRPr="00502001">
        <w:rPr>
          <w:rFonts w:ascii="Times New Roman" w:hAnsi="Times New Roman"/>
          <w:sz w:val="24"/>
          <w:szCs w:val="24"/>
        </w:rPr>
        <w:t xml:space="preserve">Different options for compliance with the industry standard are specified in this section. </w:t>
      </w:r>
      <w:r>
        <w:rPr>
          <w:rFonts w:ascii="Times New Roman" w:hAnsi="Times New Roman"/>
          <w:sz w:val="24"/>
          <w:szCs w:val="24"/>
        </w:rPr>
        <w:t xml:space="preserve"> </w:t>
      </w:r>
      <w:r w:rsidRPr="00502001">
        <w:rPr>
          <w:rFonts w:ascii="Times New Roman" w:hAnsi="Times New Roman"/>
          <w:sz w:val="24"/>
          <w:szCs w:val="24"/>
        </w:rPr>
        <w:t xml:space="preserve">These different options are provided in recognition of the fact that, over time, the industry standard may be amended or replaced. </w:t>
      </w:r>
    </w:p>
    <w:p w14:paraId="4473BFFC" w14:textId="2C56F4CA" w:rsidR="00B64FC0" w:rsidRDefault="00B64FC0" w:rsidP="00B64FC0">
      <w:pPr>
        <w:rPr>
          <w:rFonts w:ascii="Times New Roman" w:hAnsi="Times New Roman"/>
          <w:sz w:val="24"/>
          <w:szCs w:val="24"/>
        </w:rPr>
      </w:pPr>
      <w:r>
        <w:rPr>
          <w:rFonts w:ascii="Times New Roman" w:hAnsi="Times New Roman"/>
          <w:sz w:val="24"/>
          <w:szCs w:val="24"/>
        </w:rPr>
        <w:t>The DECT Standard and the Inshore Boating Standard modify the respective industry standards which they adopt.  Section 14 of each of those standards adopt</w:t>
      </w:r>
      <w:r w:rsidR="00884144">
        <w:rPr>
          <w:rFonts w:ascii="Times New Roman" w:hAnsi="Times New Roman"/>
          <w:sz w:val="24"/>
          <w:szCs w:val="24"/>
        </w:rPr>
        <w:t>s</w:t>
      </w:r>
      <w:r>
        <w:rPr>
          <w:rFonts w:ascii="Times New Roman" w:hAnsi="Times New Roman"/>
          <w:sz w:val="24"/>
          <w:szCs w:val="24"/>
        </w:rPr>
        <w:t xml:space="preserve"> the same drafting.</w:t>
      </w:r>
    </w:p>
    <w:p w14:paraId="2799088E" w14:textId="3056AD7B" w:rsidR="00B64FC0" w:rsidRPr="00502001" w:rsidRDefault="00884144" w:rsidP="00B64FC0">
      <w:pPr>
        <w:rPr>
          <w:rFonts w:ascii="Times New Roman" w:hAnsi="Times New Roman"/>
          <w:sz w:val="24"/>
          <w:szCs w:val="24"/>
        </w:rPr>
      </w:pPr>
      <w:r>
        <w:rPr>
          <w:rFonts w:ascii="Times New Roman" w:hAnsi="Times New Roman"/>
          <w:sz w:val="24"/>
          <w:szCs w:val="24"/>
        </w:rPr>
        <w:lastRenderedPageBreak/>
        <w:t>T</w:t>
      </w:r>
      <w:r w:rsidR="00B64FC0">
        <w:rPr>
          <w:rFonts w:ascii="Times New Roman" w:hAnsi="Times New Roman"/>
          <w:sz w:val="24"/>
          <w:szCs w:val="24"/>
        </w:rPr>
        <w:t xml:space="preserve">he </w:t>
      </w:r>
      <w:r w:rsidR="00B64FC0" w:rsidRPr="00275769">
        <w:rPr>
          <w:rFonts w:ascii="Times New Roman" w:hAnsi="Times New Roman"/>
          <w:sz w:val="24"/>
          <w:szCs w:val="24"/>
        </w:rPr>
        <w:t>HF CB Equipment Standard</w:t>
      </w:r>
      <w:r w:rsidR="00B64FC0">
        <w:rPr>
          <w:rFonts w:ascii="Times New Roman" w:hAnsi="Times New Roman"/>
          <w:sz w:val="24"/>
          <w:szCs w:val="24"/>
        </w:rPr>
        <w:t xml:space="preserve"> adopts the relevant industry standard without any modifications.  As a consequence, section 14 of that standard is drafted differently to the equivalent provision in the DECT Standard and the Inshore Boating Standard.</w:t>
      </w:r>
    </w:p>
    <w:p w14:paraId="34E9F98B" w14:textId="77777777" w:rsidR="00B64FC0" w:rsidRPr="00F227A9" w:rsidRDefault="00B64FC0" w:rsidP="00AD75CA">
      <w:pPr>
        <w:keepNext/>
        <w:rPr>
          <w:rFonts w:ascii="Times New Roman" w:hAnsi="Times New Roman"/>
          <w:i/>
          <w:sz w:val="24"/>
          <w:szCs w:val="24"/>
        </w:rPr>
      </w:pPr>
      <w:r>
        <w:rPr>
          <w:rFonts w:ascii="Times New Roman" w:hAnsi="Times New Roman"/>
          <w:i/>
          <w:sz w:val="24"/>
          <w:szCs w:val="24"/>
        </w:rPr>
        <w:t>The HF CB Equipment Standard</w:t>
      </w:r>
    </w:p>
    <w:p w14:paraId="0F1707B1" w14:textId="7BDC42A5" w:rsidR="00B64FC0" w:rsidRPr="00AA3317" w:rsidRDefault="00B64FC0" w:rsidP="00AD75CA">
      <w:pPr>
        <w:keepNext/>
        <w:rPr>
          <w:rFonts w:ascii="Times New Roman" w:hAnsi="Times New Roman"/>
          <w:sz w:val="24"/>
          <w:szCs w:val="24"/>
        </w:rPr>
      </w:pPr>
      <w:r>
        <w:rPr>
          <w:rFonts w:ascii="Times New Roman" w:hAnsi="Times New Roman"/>
          <w:sz w:val="24"/>
          <w:szCs w:val="24"/>
        </w:rPr>
        <w:t>U</w:t>
      </w:r>
      <w:r w:rsidRPr="00AA3317">
        <w:rPr>
          <w:rFonts w:ascii="Times New Roman" w:hAnsi="Times New Roman"/>
          <w:sz w:val="24"/>
          <w:szCs w:val="24"/>
        </w:rPr>
        <w:t>nder subsection 1</w:t>
      </w:r>
      <w:r>
        <w:rPr>
          <w:rFonts w:ascii="Times New Roman" w:hAnsi="Times New Roman"/>
          <w:sz w:val="24"/>
          <w:szCs w:val="24"/>
        </w:rPr>
        <w:t>4</w:t>
      </w:r>
      <w:r w:rsidRPr="00AA3317">
        <w:rPr>
          <w:rFonts w:ascii="Times New Roman" w:hAnsi="Times New Roman"/>
          <w:sz w:val="24"/>
          <w:szCs w:val="24"/>
        </w:rPr>
        <w:t>(1)</w:t>
      </w:r>
      <w:r>
        <w:rPr>
          <w:rFonts w:ascii="Times New Roman" w:hAnsi="Times New Roman"/>
          <w:sz w:val="24"/>
          <w:szCs w:val="24"/>
        </w:rPr>
        <w:t xml:space="preserve"> of the </w:t>
      </w:r>
      <w:r w:rsidRPr="00275769">
        <w:rPr>
          <w:rFonts w:ascii="Times New Roman" w:hAnsi="Times New Roman"/>
          <w:sz w:val="24"/>
          <w:szCs w:val="24"/>
        </w:rPr>
        <w:t>HF CB Equipment Standard</w:t>
      </w:r>
      <w:r w:rsidRPr="00AA3317">
        <w:rPr>
          <w:rFonts w:ascii="Times New Roman" w:hAnsi="Times New Roman"/>
          <w:sz w:val="24"/>
          <w:szCs w:val="24"/>
        </w:rPr>
        <w:t xml:space="preserve">, if </w:t>
      </w:r>
      <w:r>
        <w:rPr>
          <w:rFonts w:ascii="Times New Roman" w:hAnsi="Times New Roman"/>
          <w:sz w:val="24"/>
          <w:szCs w:val="24"/>
        </w:rPr>
        <w:t xml:space="preserve">a relevant date (see section 10) for an item does not occur during a transition period (see section 11), and </w:t>
      </w:r>
      <w:r w:rsidR="004913BF">
        <w:rPr>
          <w:rFonts w:ascii="Times New Roman" w:hAnsi="Times New Roman"/>
          <w:sz w:val="24"/>
          <w:szCs w:val="24"/>
        </w:rPr>
        <w:t>the</w:t>
      </w:r>
      <w:r w:rsidRPr="00AA3317">
        <w:rPr>
          <w:rFonts w:ascii="Times New Roman" w:hAnsi="Times New Roman"/>
          <w:sz w:val="24"/>
          <w:szCs w:val="24"/>
        </w:rPr>
        <w:t xml:space="preserve"> item complies with the adopted industry standard</w:t>
      </w:r>
      <w:r>
        <w:rPr>
          <w:rFonts w:ascii="Times New Roman" w:hAnsi="Times New Roman"/>
          <w:sz w:val="24"/>
          <w:szCs w:val="24"/>
        </w:rPr>
        <w:t xml:space="preserve"> </w:t>
      </w:r>
      <w:r w:rsidRPr="00AA3317">
        <w:rPr>
          <w:rFonts w:ascii="Times New Roman" w:hAnsi="Times New Roman"/>
          <w:sz w:val="24"/>
          <w:szCs w:val="24"/>
        </w:rPr>
        <w:t>as in force at the</w:t>
      </w:r>
      <w:r w:rsidR="00E473D0">
        <w:rPr>
          <w:rFonts w:ascii="Times New Roman" w:hAnsi="Times New Roman"/>
          <w:sz w:val="24"/>
          <w:szCs w:val="24"/>
        </w:rPr>
        <w:t xml:space="preserve"> relevant date</w:t>
      </w:r>
      <w:r w:rsidRPr="00AA3317">
        <w:rPr>
          <w:rFonts w:ascii="Times New Roman" w:hAnsi="Times New Roman"/>
          <w:sz w:val="24"/>
          <w:szCs w:val="24"/>
        </w:rPr>
        <w:t xml:space="preserve"> </w:t>
      </w:r>
      <w:r w:rsidR="00E473D0">
        <w:rPr>
          <w:rFonts w:ascii="Times New Roman" w:hAnsi="Times New Roman"/>
          <w:sz w:val="24"/>
          <w:szCs w:val="24"/>
        </w:rPr>
        <w:t>(such as the date</w:t>
      </w:r>
      <w:r w:rsidRPr="00AA3317">
        <w:rPr>
          <w:rFonts w:ascii="Times New Roman" w:hAnsi="Times New Roman"/>
          <w:sz w:val="24"/>
          <w:szCs w:val="24"/>
        </w:rPr>
        <w:t xml:space="preserve"> the item is manufactured in Australia or imported</w:t>
      </w:r>
      <w:r w:rsidR="00E473D0">
        <w:rPr>
          <w:rFonts w:ascii="Times New Roman" w:hAnsi="Times New Roman"/>
          <w:sz w:val="24"/>
          <w:szCs w:val="24"/>
        </w:rPr>
        <w:t>)</w:t>
      </w:r>
      <w:r w:rsidRPr="00AA3317">
        <w:rPr>
          <w:rFonts w:ascii="Times New Roman" w:hAnsi="Times New Roman"/>
          <w:sz w:val="24"/>
          <w:szCs w:val="24"/>
        </w:rPr>
        <w:t>, the item meets the requirements of the subsection.</w:t>
      </w:r>
    </w:p>
    <w:p w14:paraId="018EBBA4" w14:textId="397C2FFB" w:rsidR="00B64FC0" w:rsidRPr="00AA3317" w:rsidRDefault="00B64FC0" w:rsidP="00B64FC0">
      <w:pPr>
        <w:rPr>
          <w:rFonts w:ascii="Times New Roman" w:hAnsi="Times New Roman"/>
          <w:sz w:val="24"/>
          <w:szCs w:val="24"/>
        </w:rPr>
      </w:pPr>
      <w:r w:rsidRPr="00AA3317">
        <w:rPr>
          <w:rFonts w:ascii="Times New Roman" w:hAnsi="Times New Roman"/>
          <w:sz w:val="24"/>
          <w:szCs w:val="24"/>
        </w:rPr>
        <w:t xml:space="preserve">Subsection </w:t>
      </w:r>
      <w:r>
        <w:rPr>
          <w:rFonts w:ascii="Times New Roman" w:hAnsi="Times New Roman"/>
          <w:sz w:val="24"/>
          <w:szCs w:val="24"/>
        </w:rPr>
        <w:t>14</w:t>
      </w:r>
      <w:r w:rsidRPr="00AA3317">
        <w:rPr>
          <w:rFonts w:ascii="Times New Roman" w:hAnsi="Times New Roman"/>
          <w:sz w:val="24"/>
          <w:szCs w:val="24"/>
        </w:rPr>
        <w:t xml:space="preserve">(2) </w:t>
      </w:r>
      <w:r>
        <w:rPr>
          <w:rFonts w:ascii="Times New Roman" w:hAnsi="Times New Roman"/>
          <w:sz w:val="24"/>
          <w:szCs w:val="24"/>
        </w:rPr>
        <w:t xml:space="preserve">of the </w:t>
      </w:r>
      <w:r w:rsidRPr="00275769">
        <w:rPr>
          <w:rFonts w:ascii="Times New Roman" w:hAnsi="Times New Roman"/>
          <w:sz w:val="24"/>
          <w:szCs w:val="24"/>
        </w:rPr>
        <w:t>HF CB Equipment Standard</w:t>
      </w:r>
      <w:r w:rsidRPr="00AA3317">
        <w:rPr>
          <w:rFonts w:ascii="Times New Roman" w:hAnsi="Times New Roman"/>
          <w:sz w:val="24"/>
          <w:szCs w:val="24"/>
        </w:rPr>
        <w:t xml:space="preserve"> deals with the case where</w:t>
      </w:r>
      <w:r w:rsidR="00F44B16">
        <w:rPr>
          <w:rFonts w:ascii="Times New Roman" w:hAnsi="Times New Roman"/>
          <w:sz w:val="24"/>
          <w:szCs w:val="24"/>
        </w:rPr>
        <w:t xml:space="preserve"> a relevant date for an item</w:t>
      </w:r>
      <w:r w:rsidR="00652609">
        <w:rPr>
          <w:rFonts w:ascii="Times New Roman" w:hAnsi="Times New Roman"/>
          <w:sz w:val="24"/>
          <w:szCs w:val="24"/>
        </w:rPr>
        <w:t>,</w:t>
      </w:r>
      <w:r w:rsidR="00F44B16">
        <w:rPr>
          <w:rFonts w:ascii="Times New Roman" w:hAnsi="Times New Roman"/>
          <w:sz w:val="24"/>
          <w:szCs w:val="24"/>
        </w:rPr>
        <w:t xml:space="preserve"> such as the date</w:t>
      </w:r>
      <w:r w:rsidRPr="00AA3317">
        <w:rPr>
          <w:rFonts w:ascii="Times New Roman" w:hAnsi="Times New Roman"/>
          <w:sz w:val="24"/>
          <w:szCs w:val="24"/>
        </w:rPr>
        <w:t xml:space="preserve"> </w:t>
      </w:r>
      <w:r w:rsidR="00F44B16">
        <w:rPr>
          <w:rFonts w:ascii="Times New Roman" w:hAnsi="Times New Roman"/>
          <w:sz w:val="24"/>
          <w:szCs w:val="24"/>
        </w:rPr>
        <w:t>the</w:t>
      </w:r>
      <w:r w:rsidRPr="00AA3317">
        <w:rPr>
          <w:rFonts w:ascii="Times New Roman" w:hAnsi="Times New Roman"/>
          <w:sz w:val="24"/>
          <w:szCs w:val="24"/>
        </w:rPr>
        <w:t xml:space="preserve"> item is manufactured in Australia or </w:t>
      </w:r>
      <w:r>
        <w:rPr>
          <w:rFonts w:ascii="Times New Roman" w:hAnsi="Times New Roman"/>
          <w:sz w:val="24"/>
          <w:szCs w:val="24"/>
        </w:rPr>
        <w:t>imported</w:t>
      </w:r>
      <w:r w:rsidR="00652609">
        <w:rPr>
          <w:rFonts w:ascii="Times New Roman" w:hAnsi="Times New Roman"/>
          <w:sz w:val="24"/>
          <w:szCs w:val="24"/>
        </w:rPr>
        <w:t>,</w:t>
      </w:r>
      <w:r w:rsidR="00DC5AFF">
        <w:rPr>
          <w:rFonts w:ascii="Times New Roman" w:hAnsi="Times New Roman"/>
          <w:sz w:val="24"/>
          <w:szCs w:val="24"/>
        </w:rPr>
        <w:t xml:space="preserve"> occurs</w:t>
      </w:r>
      <w:r>
        <w:rPr>
          <w:rFonts w:ascii="Times New Roman" w:hAnsi="Times New Roman"/>
          <w:sz w:val="24"/>
          <w:szCs w:val="24"/>
        </w:rPr>
        <w:t xml:space="preserve"> during a </w:t>
      </w:r>
      <w:r w:rsidRPr="00AA3317">
        <w:rPr>
          <w:rFonts w:ascii="Times New Roman" w:hAnsi="Times New Roman"/>
          <w:sz w:val="24"/>
          <w:szCs w:val="24"/>
        </w:rPr>
        <w:t xml:space="preserve">transition period, which is triggered by the amendment or replacement of the adopted industry standard.  </w:t>
      </w:r>
      <w:r w:rsidR="000A3622">
        <w:rPr>
          <w:rFonts w:ascii="Times New Roman" w:hAnsi="Times New Roman"/>
          <w:sz w:val="24"/>
          <w:szCs w:val="24"/>
        </w:rPr>
        <w:t>T</w:t>
      </w:r>
      <w:r w:rsidRPr="00AA3317">
        <w:rPr>
          <w:rFonts w:ascii="Times New Roman" w:hAnsi="Times New Roman"/>
          <w:sz w:val="24"/>
          <w:szCs w:val="24"/>
        </w:rPr>
        <w:t xml:space="preserve">he item may comply with: </w:t>
      </w:r>
    </w:p>
    <w:p w14:paraId="5BC127BE" w14:textId="77777777" w:rsidR="00B64FC0" w:rsidRPr="00AA3317" w:rsidRDefault="00B64FC0" w:rsidP="00B64FC0">
      <w:pPr>
        <w:pStyle w:val="ListParagraph"/>
        <w:numPr>
          <w:ilvl w:val="0"/>
          <w:numId w:val="19"/>
        </w:numPr>
        <w:spacing w:before="120" w:after="120" w:line="240" w:lineRule="atLeast"/>
        <w:rPr>
          <w:rFonts w:ascii="Times New Roman" w:hAnsi="Times New Roman"/>
          <w:sz w:val="24"/>
          <w:szCs w:val="24"/>
        </w:rPr>
      </w:pPr>
      <w:r w:rsidRPr="00AA3317">
        <w:rPr>
          <w:rFonts w:ascii="Times New Roman" w:hAnsi="Times New Roman"/>
          <w:sz w:val="24"/>
          <w:szCs w:val="24"/>
        </w:rPr>
        <w:t>the adopted industry standard as in force immediately before its amendment or replacement (</w:t>
      </w:r>
      <w:r w:rsidRPr="00AA3317">
        <w:rPr>
          <w:rFonts w:ascii="Times New Roman" w:hAnsi="Times New Roman"/>
          <w:b/>
          <w:sz w:val="24"/>
          <w:szCs w:val="24"/>
        </w:rPr>
        <w:t>the old standard</w:t>
      </w:r>
      <w:r w:rsidRPr="00AA3317">
        <w:rPr>
          <w:rFonts w:ascii="Times New Roman" w:hAnsi="Times New Roman"/>
          <w:sz w:val="24"/>
          <w:szCs w:val="24"/>
        </w:rPr>
        <w:t xml:space="preserve">); or </w:t>
      </w:r>
    </w:p>
    <w:p w14:paraId="1C1E8176" w14:textId="58C3F473" w:rsidR="00B64FC0" w:rsidRPr="00AA3317" w:rsidRDefault="00B64FC0" w:rsidP="00B64FC0">
      <w:pPr>
        <w:pStyle w:val="ListParagraph"/>
        <w:numPr>
          <w:ilvl w:val="0"/>
          <w:numId w:val="19"/>
        </w:numPr>
        <w:spacing w:before="120" w:after="120" w:line="240" w:lineRule="atLeast"/>
        <w:rPr>
          <w:rFonts w:ascii="Times New Roman" w:hAnsi="Times New Roman"/>
          <w:sz w:val="24"/>
          <w:szCs w:val="24"/>
        </w:rPr>
      </w:pPr>
      <w:proofErr w:type="gramStart"/>
      <w:r w:rsidRPr="00AA3317">
        <w:rPr>
          <w:rFonts w:ascii="Times New Roman" w:hAnsi="Times New Roman"/>
          <w:sz w:val="24"/>
          <w:szCs w:val="24"/>
        </w:rPr>
        <w:t>the</w:t>
      </w:r>
      <w:proofErr w:type="gramEnd"/>
      <w:r w:rsidRPr="00AA3317">
        <w:rPr>
          <w:rFonts w:ascii="Times New Roman" w:hAnsi="Times New Roman"/>
          <w:sz w:val="24"/>
          <w:szCs w:val="24"/>
        </w:rPr>
        <w:t xml:space="preserve"> adopted industry standard</w:t>
      </w:r>
      <w:r w:rsidR="003F21E1">
        <w:rPr>
          <w:rFonts w:ascii="Times New Roman" w:hAnsi="Times New Roman"/>
          <w:sz w:val="24"/>
          <w:szCs w:val="24"/>
        </w:rPr>
        <w:t>,</w:t>
      </w:r>
      <w:r w:rsidRPr="00AA3317">
        <w:rPr>
          <w:rFonts w:ascii="Times New Roman" w:hAnsi="Times New Roman"/>
          <w:sz w:val="24"/>
          <w:szCs w:val="24"/>
        </w:rPr>
        <w:t xml:space="preserve"> or </w:t>
      </w:r>
      <w:r w:rsidR="004E7823">
        <w:rPr>
          <w:rFonts w:ascii="Times New Roman" w:hAnsi="Times New Roman"/>
          <w:sz w:val="24"/>
          <w:szCs w:val="24"/>
        </w:rPr>
        <w:t>a</w:t>
      </w:r>
      <w:r w:rsidRPr="00AA3317">
        <w:rPr>
          <w:rFonts w:ascii="Times New Roman" w:hAnsi="Times New Roman"/>
          <w:sz w:val="24"/>
          <w:szCs w:val="24"/>
        </w:rPr>
        <w:t xml:space="preserve"> replacement standard, as in force at the commencement of the transition period. </w:t>
      </w:r>
    </w:p>
    <w:p w14:paraId="59595E36" w14:textId="596A6350" w:rsidR="00B64FC0" w:rsidRPr="00AA3317" w:rsidRDefault="000A3622" w:rsidP="00B64FC0">
      <w:pPr>
        <w:spacing w:before="120" w:after="120" w:line="240" w:lineRule="atLeast"/>
        <w:rPr>
          <w:rFonts w:ascii="Times New Roman" w:hAnsi="Times New Roman"/>
          <w:sz w:val="24"/>
          <w:szCs w:val="24"/>
        </w:rPr>
      </w:pPr>
      <w:r>
        <w:rPr>
          <w:rFonts w:ascii="Times New Roman" w:hAnsi="Times New Roman"/>
          <w:sz w:val="24"/>
          <w:szCs w:val="24"/>
        </w:rPr>
        <w:t>If the</w:t>
      </w:r>
      <w:r w:rsidR="00B64FC0" w:rsidRPr="00AA3317">
        <w:rPr>
          <w:rFonts w:ascii="Times New Roman" w:hAnsi="Times New Roman"/>
          <w:sz w:val="24"/>
          <w:szCs w:val="24"/>
        </w:rPr>
        <w:t xml:space="preserve"> item does so comply</w:t>
      </w:r>
      <w:r>
        <w:rPr>
          <w:rFonts w:ascii="Times New Roman" w:hAnsi="Times New Roman"/>
          <w:sz w:val="24"/>
          <w:szCs w:val="24"/>
        </w:rPr>
        <w:t>, it</w:t>
      </w:r>
      <w:r w:rsidR="00B64FC0" w:rsidRPr="00AA3317">
        <w:rPr>
          <w:rFonts w:ascii="Times New Roman" w:hAnsi="Times New Roman"/>
          <w:sz w:val="24"/>
          <w:szCs w:val="24"/>
        </w:rPr>
        <w:t xml:space="preserve"> meets the requirements of subsection</w:t>
      </w:r>
      <w:r w:rsidR="00B64FC0">
        <w:rPr>
          <w:rFonts w:ascii="Times New Roman" w:hAnsi="Times New Roman"/>
          <w:sz w:val="24"/>
          <w:szCs w:val="24"/>
        </w:rPr>
        <w:t xml:space="preserve"> 14(2)</w:t>
      </w:r>
      <w:r w:rsidR="00B64FC0" w:rsidRPr="00AA3317">
        <w:rPr>
          <w:rFonts w:ascii="Times New Roman" w:hAnsi="Times New Roman"/>
          <w:sz w:val="24"/>
          <w:szCs w:val="24"/>
        </w:rPr>
        <w:t xml:space="preserve">. </w:t>
      </w:r>
      <w:r w:rsidR="00B64FC0">
        <w:rPr>
          <w:rFonts w:ascii="Times New Roman" w:hAnsi="Times New Roman"/>
          <w:sz w:val="24"/>
          <w:szCs w:val="24"/>
        </w:rPr>
        <w:t xml:space="preserve"> </w:t>
      </w:r>
      <w:r w:rsidR="00B64FC0" w:rsidRPr="00AA3317">
        <w:rPr>
          <w:rFonts w:ascii="Times New Roman" w:hAnsi="Times New Roman"/>
          <w:sz w:val="24"/>
          <w:szCs w:val="24"/>
        </w:rPr>
        <w:t>This recognises that changes to an adopted industry standard may occur at a time disadvantageous to the manufacturer or importer (e.g. where development and testing of the item has been predicated on the old standard rather than the adopted industry standard as amended or the replacement standard).</w:t>
      </w:r>
    </w:p>
    <w:p w14:paraId="54802F5B" w14:textId="6170E0C8" w:rsidR="00B64FC0" w:rsidRPr="00AA3317" w:rsidRDefault="00B64FC0" w:rsidP="00B64FC0">
      <w:pPr>
        <w:spacing w:before="120" w:after="120" w:line="240" w:lineRule="atLeast"/>
        <w:rPr>
          <w:rFonts w:ascii="Times New Roman" w:hAnsi="Times New Roman"/>
          <w:sz w:val="24"/>
          <w:szCs w:val="24"/>
        </w:rPr>
      </w:pPr>
      <w:r w:rsidRPr="00AA3317">
        <w:rPr>
          <w:rFonts w:ascii="Times New Roman" w:hAnsi="Times New Roman"/>
          <w:sz w:val="24"/>
          <w:szCs w:val="24"/>
        </w:rPr>
        <w:t>S</w:t>
      </w:r>
      <w:r>
        <w:rPr>
          <w:rFonts w:ascii="Times New Roman" w:hAnsi="Times New Roman"/>
          <w:sz w:val="24"/>
          <w:szCs w:val="24"/>
        </w:rPr>
        <w:t>ubsection 14(3</w:t>
      </w:r>
      <w:r w:rsidRPr="00AA3317">
        <w:rPr>
          <w:rFonts w:ascii="Times New Roman" w:hAnsi="Times New Roman"/>
          <w:sz w:val="24"/>
          <w:szCs w:val="24"/>
        </w:rPr>
        <w:t xml:space="preserve">) </w:t>
      </w:r>
      <w:r>
        <w:rPr>
          <w:rFonts w:ascii="Times New Roman" w:hAnsi="Times New Roman"/>
          <w:sz w:val="24"/>
          <w:szCs w:val="24"/>
        </w:rPr>
        <w:t xml:space="preserve">of the HF CB Equipment Standard </w:t>
      </w:r>
      <w:r w:rsidRPr="00AA3317">
        <w:rPr>
          <w:rFonts w:ascii="Times New Roman" w:hAnsi="Times New Roman"/>
          <w:sz w:val="24"/>
          <w:szCs w:val="24"/>
        </w:rPr>
        <w:t xml:space="preserve">deals with the case where there are multiple transition periods that overlap.   Where </w:t>
      </w:r>
      <w:r w:rsidR="007D13D6">
        <w:rPr>
          <w:rFonts w:ascii="Times New Roman" w:hAnsi="Times New Roman"/>
          <w:sz w:val="24"/>
          <w:szCs w:val="24"/>
        </w:rPr>
        <w:t>a relevant date for an item</w:t>
      </w:r>
      <w:r w:rsidR="00366545">
        <w:rPr>
          <w:rFonts w:ascii="Times New Roman" w:hAnsi="Times New Roman"/>
          <w:sz w:val="24"/>
          <w:szCs w:val="24"/>
        </w:rPr>
        <w:t>,</w:t>
      </w:r>
      <w:r w:rsidR="007D13D6" w:rsidRPr="007D13D6">
        <w:rPr>
          <w:rFonts w:ascii="Times New Roman" w:hAnsi="Times New Roman"/>
          <w:sz w:val="24"/>
          <w:szCs w:val="24"/>
        </w:rPr>
        <w:t xml:space="preserve"> </w:t>
      </w:r>
      <w:r w:rsidR="007D13D6">
        <w:rPr>
          <w:rFonts w:ascii="Times New Roman" w:hAnsi="Times New Roman"/>
          <w:sz w:val="24"/>
          <w:szCs w:val="24"/>
        </w:rPr>
        <w:t>such as the date</w:t>
      </w:r>
      <w:r w:rsidR="007D13D6" w:rsidRPr="00AA3317">
        <w:rPr>
          <w:rFonts w:ascii="Times New Roman" w:hAnsi="Times New Roman"/>
          <w:sz w:val="24"/>
          <w:szCs w:val="24"/>
        </w:rPr>
        <w:t xml:space="preserve"> </w:t>
      </w:r>
      <w:r w:rsidR="007D13D6">
        <w:rPr>
          <w:rFonts w:ascii="Times New Roman" w:hAnsi="Times New Roman"/>
          <w:sz w:val="24"/>
          <w:szCs w:val="24"/>
        </w:rPr>
        <w:t>the</w:t>
      </w:r>
      <w:r w:rsidRPr="00AA3317">
        <w:rPr>
          <w:rFonts w:ascii="Times New Roman" w:hAnsi="Times New Roman"/>
          <w:sz w:val="24"/>
          <w:szCs w:val="24"/>
        </w:rPr>
        <w:t xml:space="preserve"> item is manufactured in Australia or imported</w:t>
      </w:r>
      <w:r w:rsidR="00366545">
        <w:rPr>
          <w:rFonts w:ascii="Times New Roman" w:hAnsi="Times New Roman"/>
          <w:sz w:val="24"/>
          <w:szCs w:val="24"/>
        </w:rPr>
        <w:t>,</w:t>
      </w:r>
      <w:r w:rsidR="007D13D6">
        <w:rPr>
          <w:rFonts w:ascii="Times New Roman" w:hAnsi="Times New Roman"/>
          <w:sz w:val="24"/>
          <w:szCs w:val="24"/>
        </w:rPr>
        <w:t xml:space="preserve"> occurs</w:t>
      </w:r>
      <w:r w:rsidRPr="00AA3317">
        <w:rPr>
          <w:rFonts w:ascii="Times New Roman" w:hAnsi="Times New Roman"/>
          <w:sz w:val="24"/>
          <w:szCs w:val="24"/>
        </w:rPr>
        <w:t xml:space="preserve"> during the period of overlap, the item may comply with:</w:t>
      </w:r>
    </w:p>
    <w:p w14:paraId="54A5ABEB" w14:textId="77777777" w:rsidR="00B64FC0" w:rsidRPr="00AA3317" w:rsidRDefault="00B64FC0" w:rsidP="00B64FC0">
      <w:pPr>
        <w:pStyle w:val="ListParagraph"/>
        <w:numPr>
          <w:ilvl w:val="0"/>
          <w:numId w:val="15"/>
        </w:numPr>
        <w:spacing w:before="120" w:after="120" w:line="240" w:lineRule="atLeast"/>
        <w:rPr>
          <w:rFonts w:ascii="Times New Roman" w:hAnsi="Times New Roman"/>
          <w:sz w:val="24"/>
          <w:szCs w:val="24"/>
        </w:rPr>
      </w:pPr>
      <w:r w:rsidRPr="00AA3317">
        <w:rPr>
          <w:rFonts w:ascii="Times New Roman" w:hAnsi="Times New Roman"/>
          <w:sz w:val="24"/>
          <w:szCs w:val="24"/>
        </w:rPr>
        <w:t>the old standard; or</w:t>
      </w:r>
    </w:p>
    <w:p w14:paraId="72C14BDB" w14:textId="4F12FEB1" w:rsidR="00B64FC0" w:rsidRPr="00AA3317" w:rsidRDefault="00B64FC0" w:rsidP="00B64FC0">
      <w:pPr>
        <w:pStyle w:val="ListParagraph"/>
        <w:numPr>
          <w:ilvl w:val="0"/>
          <w:numId w:val="15"/>
        </w:numPr>
        <w:spacing w:before="120" w:after="120" w:line="240" w:lineRule="atLeast"/>
        <w:rPr>
          <w:rFonts w:ascii="Times New Roman" w:hAnsi="Times New Roman"/>
          <w:sz w:val="24"/>
          <w:szCs w:val="24"/>
        </w:rPr>
      </w:pPr>
      <w:proofErr w:type="gramStart"/>
      <w:r w:rsidRPr="00AA3317">
        <w:rPr>
          <w:rFonts w:ascii="Times New Roman" w:hAnsi="Times New Roman"/>
          <w:sz w:val="24"/>
          <w:szCs w:val="24"/>
        </w:rPr>
        <w:t>the</w:t>
      </w:r>
      <w:proofErr w:type="gramEnd"/>
      <w:r w:rsidRPr="00AA3317">
        <w:rPr>
          <w:rFonts w:ascii="Times New Roman" w:hAnsi="Times New Roman"/>
          <w:sz w:val="24"/>
          <w:szCs w:val="24"/>
        </w:rPr>
        <w:t xml:space="preserve"> adopted industry standard</w:t>
      </w:r>
      <w:r w:rsidR="007D13D6">
        <w:rPr>
          <w:rFonts w:ascii="Times New Roman" w:hAnsi="Times New Roman"/>
          <w:sz w:val="24"/>
          <w:szCs w:val="24"/>
        </w:rPr>
        <w:t>,</w:t>
      </w:r>
      <w:r w:rsidRPr="00AA3317">
        <w:rPr>
          <w:rFonts w:ascii="Times New Roman" w:hAnsi="Times New Roman"/>
          <w:sz w:val="24"/>
          <w:szCs w:val="24"/>
        </w:rPr>
        <w:t xml:space="preserve"> or </w:t>
      </w:r>
      <w:r w:rsidR="004E7823">
        <w:rPr>
          <w:rFonts w:ascii="Times New Roman" w:hAnsi="Times New Roman"/>
          <w:sz w:val="24"/>
          <w:szCs w:val="24"/>
        </w:rPr>
        <w:t>a</w:t>
      </w:r>
      <w:r w:rsidRPr="00AA3317">
        <w:rPr>
          <w:rFonts w:ascii="Times New Roman" w:hAnsi="Times New Roman"/>
          <w:sz w:val="24"/>
          <w:szCs w:val="24"/>
        </w:rPr>
        <w:t xml:space="preserve"> replacement standard, as in force at the commencement of any one of the overlapping transition periods.</w:t>
      </w:r>
    </w:p>
    <w:p w14:paraId="7C880990" w14:textId="6EF85A46" w:rsidR="00B64FC0" w:rsidRDefault="000A3622" w:rsidP="00B64FC0">
      <w:pPr>
        <w:spacing w:before="120" w:line="240" w:lineRule="atLeast"/>
        <w:rPr>
          <w:rFonts w:ascii="Times New Roman" w:hAnsi="Times New Roman"/>
          <w:sz w:val="24"/>
          <w:szCs w:val="24"/>
        </w:rPr>
      </w:pPr>
      <w:r>
        <w:rPr>
          <w:rFonts w:ascii="Times New Roman" w:hAnsi="Times New Roman"/>
          <w:sz w:val="24"/>
          <w:szCs w:val="24"/>
        </w:rPr>
        <w:t>If the</w:t>
      </w:r>
      <w:r w:rsidR="00B64FC0" w:rsidRPr="00AA3317">
        <w:rPr>
          <w:rFonts w:ascii="Times New Roman" w:hAnsi="Times New Roman"/>
          <w:sz w:val="24"/>
          <w:szCs w:val="24"/>
        </w:rPr>
        <w:t xml:space="preserve"> item does so comply</w:t>
      </w:r>
      <w:r>
        <w:rPr>
          <w:rFonts w:ascii="Times New Roman" w:hAnsi="Times New Roman"/>
          <w:sz w:val="24"/>
          <w:szCs w:val="24"/>
        </w:rPr>
        <w:t>, it</w:t>
      </w:r>
      <w:r w:rsidR="00B64FC0" w:rsidRPr="00AA3317">
        <w:rPr>
          <w:rFonts w:ascii="Times New Roman" w:hAnsi="Times New Roman"/>
          <w:sz w:val="24"/>
          <w:szCs w:val="24"/>
        </w:rPr>
        <w:t xml:space="preserve"> meets the requirements of subsection</w:t>
      </w:r>
      <w:r w:rsidR="00B64FC0">
        <w:rPr>
          <w:rFonts w:ascii="Times New Roman" w:hAnsi="Times New Roman"/>
          <w:sz w:val="24"/>
          <w:szCs w:val="24"/>
        </w:rPr>
        <w:t xml:space="preserve"> 14(3)</w:t>
      </w:r>
      <w:r w:rsidR="00B64FC0" w:rsidRPr="00AA3317">
        <w:rPr>
          <w:rFonts w:ascii="Times New Roman" w:hAnsi="Times New Roman"/>
          <w:sz w:val="24"/>
          <w:szCs w:val="24"/>
        </w:rPr>
        <w:t>.</w:t>
      </w:r>
    </w:p>
    <w:p w14:paraId="09E3E701" w14:textId="77777777" w:rsidR="00B64FC0" w:rsidRPr="00C4153D" w:rsidRDefault="00B64FC0" w:rsidP="00B64FC0">
      <w:pPr>
        <w:spacing w:before="120" w:line="240" w:lineRule="atLeast"/>
        <w:rPr>
          <w:rFonts w:ascii="Times New Roman" w:hAnsi="Times New Roman"/>
          <w:i/>
          <w:sz w:val="24"/>
          <w:szCs w:val="24"/>
        </w:rPr>
      </w:pPr>
      <w:r>
        <w:rPr>
          <w:rFonts w:ascii="Times New Roman" w:hAnsi="Times New Roman"/>
          <w:i/>
          <w:sz w:val="24"/>
          <w:szCs w:val="24"/>
        </w:rPr>
        <w:t>The DECT Standard and the Inshore Boating Standard</w:t>
      </w:r>
    </w:p>
    <w:p w14:paraId="0721D76D" w14:textId="0C92FAE1" w:rsidR="00B64FC0" w:rsidRPr="00AA3317" w:rsidRDefault="00B64FC0" w:rsidP="00B64FC0">
      <w:pPr>
        <w:rPr>
          <w:rFonts w:ascii="Times New Roman" w:hAnsi="Times New Roman"/>
          <w:sz w:val="24"/>
          <w:szCs w:val="24"/>
        </w:rPr>
      </w:pPr>
      <w:r>
        <w:rPr>
          <w:rFonts w:ascii="Times New Roman" w:hAnsi="Times New Roman"/>
          <w:sz w:val="24"/>
          <w:szCs w:val="24"/>
        </w:rPr>
        <w:t>U</w:t>
      </w:r>
      <w:r w:rsidRPr="00AA3317">
        <w:rPr>
          <w:rFonts w:ascii="Times New Roman" w:hAnsi="Times New Roman"/>
          <w:sz w:val="24"/>
          <w:szCs w:val="24"/>
        </w:rPr>
        <w:t>nder subsection 1</w:t>
      </w:r>
      <w:r>
        <w:rPr>
          <w:rFonts w:ascii="Times New Roman" w:hAnsi="Times New Roman"/>
          <w:sz w:val="24"/>
          <w:szCs w:val="24"/>
        </w:rPr>
        <w:t>4</w:t>
      </w:r>
      <w:r w:rsidRPr="00AA3317">
        <w:rPr>
          <w:rFonts w:ascii="Times New Roman" w:hAnsi="Times New Roman"/>
          <w:sz w:val="24"/>
          <w:szCs w:val="24"/>
        </w:rPr>
        <w:t>(1)</w:t>
      </w:r>
      <w:r>
        <w:rPr>
          <w:rFonts w:ascii="Times New Roman" w:hAnsi="Times New Roman"/>
          <w:sz w:val="24"/>
          <w:szCs w:val="24"/>
        </w:rPr>
        <w:t xml:space="preserve"> of the </w:t>
      </w:r>
      <w:r w:rsidRPr="00A4033C">
        <w:rPr>
          <w:rFonts w:ascii="Times New Roman" w:hAnsi="Times New Roman"/>
          <w:sz w:val="24"/>
          <w:szCs w:val="24"/>
        </w:rPr>
        <w:t>DECT Standard and the Inshore Boating Standard</w:t>
      </w:r>
      <w:r w:rsidRPr="00AA3317">
        <w:rPr>
          <w:rFonts w:ascii="Times New Roman" w:hAnsi="Times New Roman"/>
          <w:sz w:val="24"/>
          <w:szCs w:val="24"/>
        </w:rPr>
        <w:t xml:space="preserve">, if </w:t>
      </w:r>
      <w:r>
        <w:rPr>
          <w:rFonts w:ascii="Times New Roman" w:hAnsi="Times New Roman"/>
          <w:sz w:val="24"/>
          <w:szCs w:val="24"/>
        </w:rPr>
        <w:t xml:space="preserve">a relevant date for an item does not occur during a transition period, and </w:t>
      </w:r>
      <w:r w:rsidR="000B4318">
        <w:rPr>
          <w:rFonts w:ascii="Times New Roman" w:hAnsi="Times New Roman"/>
          <w:sz w:val="24"/>
          <w:szCs w:val="24"/>
        </w:rPr>
        <w:t>the</w:t>
      </w:r>
      <w:r w:rsidRPr="00AA3317">
        <w:rPr>
          <w:rFonts w:ascii="Times New Roman" w:hAnsi="Times New Roman"/>
          <w:sz w:val="24"/>
          <w:szCs w:val="24"/>
        </w:rPr>
        <w:t xml:space="preserve"> item complies with the</w:t>
      </w:r>
      <w:r>
        <w:rPr>
          <w:rFonts w:ascii="Times New Roman" w:hAnsi="Times New Roman"/>
          <w:sz w:val="24"/>
          <w:szCs w:val="24"/>
        </w:rPr>
        <w:t xml:space="preserve"> </w:t>
      </w:r>
      <w:r w:rsidRPr="00AA3317">
        <w:rPr>
          <w:rFonts w:ascii="Times New Roman" w:hAnsi="Times New Roman"/>
          <w:sz w:val="24"/>
          <w:szCs w:val="24"/>
        </w:rPr>
        <w:t>adopted industry standard</w:t>
      </w:r>
      <w:r>
        <w:rPr>
          <w:rFonts w:ascii="Times New Roman" w:hAnsi="Times New Roman"/>
          <w:sz w:val="24"/>
          <w:szCs w:val="24"/>
        </w:rPr>
        <w:t xml:space="preserve"> </w:t>
      </w:r>
      <w:r w:rsidRPr="00AA3317">
        <w:rPr>
          <w:rFonts w:ascii="Times New Roman" w:hAnsi="Times New Roman"/>
          <w:sz w:val="24"/>
          <w:szCs w:val="24"/>
        </w:rPr>
        <w:t>as in force at the</w:t>
      </w:r>
      <w:r w:rsidR="00652609">
        <w:rPr>
          <w:rFonts w:ascii="Times New Roman" w:hAnsi="Times New Roman"/>
          <w:sz w:val="24"/>
          <w:szCs w:val="24"/>
        </w:rPr>
        <w:t xml:space="preserve"> relevant date</w:t>
      </w:r>
      <w:r w:rsidR="00366545">
        <w:rPr>
          <w:rFonts w:ascii="Times New Roman" w:hAnsi="Times New Roman"/>
          <w:sz w:val="24"/>
          <w:szCs w:val="24"/>
        </w:rPr>
        <w:t>,</w:t>
      </w:r>
      <w:r w:rsidRPr="00AA3317">
        <w:rPr>
          <w:rFonts w:ascii="Times New Roman" w:hAnsi="Times New Roman"/>
          <w:sz w:val="24"/>
          <w:szCs w:val="24"/>
        </w:rPr>
        <w:t xml:space="preserve"> </w:t>
      </w:r>
      <w:r w:rsidR="00652609">
        <w:rPr>
          <w:rFonts w:ascii="Times New Roman" w:hAnsi="Times New Roman"/>
          <w:sz w:val="24"/>
          <w:szCs w:val="24"/>
        </w:rPr>
        <w:t xml:space="preserve">such as the date </w:t>
      </w:r>
      <w:r w:rsidRPr="00AA3317">
        <w:rPr>
          <w:rFonts w:ascii="Times New Roman" w:hAnsi="Times New Roman"/>
          <w:sz w:val="24"/>
          <w:szCs w:val="24"/>
        </w:rPr>
        <w:t>the item is manufactured in Australia or imported</w:t>
      </w:r>
      <w:r>
        <w:rPr>
          <w:rFonts w:ascii="Times New Roman" w:hAnsi="Times New Roman"/>
          <w:sz w:val="24"/>
          <w:szCs w:val="24"/>
        </w:rPr>
        <w:t xml:space="preserve"> (with the modifications specified in Schedule 1)</w:t>
      </w:r>
      <w:r w:rsidRPr="00AA3317">
        <w:rPr>
          <w:rFonts w:ascii="Times New Roman" w:hAnsi="Times New Roman"/>
          <w:sz w:val="24"/>
          <w:szCs w:val="24"/>
        </w:rPr>
        <w:t>, the item meets the requirements of the subsection.</w:t>
      </w:r>
    </w:p>
    <w:p w14:paraId="38521DB5" w14:textId="148C5C6D" w:rsidR="00B64FC0" w:rsidRPr="00AA3317" w:rsidRDefault="00B64FC0" w:rsidP="00B64FC0">
      <w:pPr>
        <w:rPr>
          <w:rFonts w:ascii="Times New Roman" w:hAnsi="Times New Roman"/>
          <w:sz w:val="24"/>
          <w:szCs w:val="24"/>
        </w:rPr>
      </w:pPr>
      <w:r w:rsidRPr="00AA3317">
        <w:rPr>
          <w:rFonts w:ascii="Times New Roman" w:hAnsi="Times New Roman"/>
          <w:sz w:val="24"/>
          <w:szCs w:val="24"/>
        </w:rPr>
        <w:t xml:space="preserve">Subsection </w:t>
      </w:r>
      <w:r>
        <w:rPr>
          <w:rFonts w:ascii="Times New Roman" w:hAnsi="Times New Roman"/>
          <w:sz w:val="24"/>
          <w:szCs w:val="24"/>
        </w:rPr>
        <w:t>14</w:t>
      </w:r>
      <w:r w:rsidRPr="00AA3317">
        <w:rPr>
          <w:rFonts w:ascii="Times New Roman" w:hAnsi="Times New Roman"/>
          <w:sz w:val="24"/>
          <w:szCs w:val="24"/>
        </w:rPr>
        <w:t xml:space="preserve">(2) </w:t>
      </w:r>
      <w:r>
        <w:rPr>
          <w:rFonts w:ascii="Times New Roman" w:hAnsi="Times New Roman"/>
          <w:sz w:val="24"/>
          <w:szCs w:val="24"/>
        </w:rPr>
        <w:t xml:space="preserve">of the </w:t>
      </w:r>
      <w:r w:rsidRPr="00A4033C">
        <w:rPr>
          <w:rFonts w:ascii="Times New Roman" w:hAnsi="Times New Roman"/>
          <w:sz w:val="24"/>
          <w:szCs w:val="24"/>
        </w:rPr>
        <w:t>DECT Standard and the Inshore Boating Standard</w:t>
      </w:r>
      <w:r w:rsidRPr="00AA3317">
        <w:rPr>
          <w:rFonts w:ascii="Times New Roman" w:hAnsi="Times New Roman"/>
          <w:sz w:val="24"/>
          <w:szCs w:val="24"/>
        </w:rPr>
        <w:t xml:space="preserve"> </w:t>
      </w:r>
      <w:r>
        <w:rPr>
          <w:rFonts w:ascii="Times New Roman" w:hAnsi="Times New Roman"/>
          <w:sz w:val="24"/>
          <w:szCs w:val="24"/>
        </w:rPr>
        <w:t xml:space="preserve">each </w:t>
      </w:r>
      <w:r w:rsidRPr="00AA3317">
        <w:rPr>
          <w:rFonts w:ascii="Times New Roman" w:hAnsi="Times New Roman"/>
          <w:sz w:val="24"/>
          <w:szCs w:val="24"/>
        </w:rPr>
        <w:t>deal with the case where</w:t>
      </w:r>
      <w:r w:rsidR="00366545">
        <w:rPr>
          <w:rFonts w:ascii="Times New Roman" w:hAnsi="Times New Roman"/>
          <w:sz w:val="24"/>
          <w:szCs w:val="24"/>
        </w:rPr>
        <w:t xml:space="preserve"> </w:t>
      </w:r>
      <w:r w:rsidR="000A3622">
        <w:rPr>
          <w:rFonts w:ascii="Times New Roman" w:hAnsi="Times New Roman"/>
          <w:sz w:val="24"/>
          <w:szCs w:val="24"/>
        </w:rPr>
        <w:t>a</w:t>
      </w:r>
      <w:r w:rsidR="00366545">
        <w:rPr>
          <w:rFonts w:ascii="Times New Roman" w:hAnsi="Times New Roman"/>
          <w:sz w:val="24"/>
          <w:szCs w:val="24"/>
        </w:rPr>
        <w:t xml:space="preserve"> relevant date for an item, such the date</w:t>
      </w:r>
      <w:r w:rsidRPr="00AA3317">
        <w:rPr>
          <w:rFonts w:ascii="Times New Roman" w:hAnsi="Times New Roman"/>
          <w:sz w:val="24"/>
          <w:szCs w:val="24"/>
        </w:rPr>
        <w:t xml:space="preserve"> </w:t>
      </w:r>
      <w:r w:rsidR="00366545">
        <w:rPr>
          <w:rFonts w:ascii="Times New Roman" w:hAnsi="Times New Roman"/>
          <w:sz w:val="24"/>
          <w:szCs w:val="24"/>
        </w:rPr>
        <w:t>the</w:t>
      </w:r>
      <w:r w:rsidRPr="00AA3317">
        <w:rPr>
          <w:rFonts w:ascii="Times New Roman" w:hAnsi="Times New Roman"/>
          <w:sz w:val="24"/>
          <w:szCs w:val="24"/>
        </w:rPr>
        <w:t xml:space="preserve"> item is manufactured in Australia or </w:t>
      </w:r>
      <w:r>
        <w:rPr>
          <w:rFonts w:ascii="Times New Roman" w:hAnsi="Times New Roman"/>
          <w:sz w:val="24"/>
          <w:szCs w:val="24"/>
        </w:rPr>
        <w:t>imported</w:t>
      </w:r>
      <w:r w:rsidR="00CF26EF">
        <w:rPr>
          <w:rFonts w:ascii="Times New Roman" w:hAnsi="Times New Roman"/>
          <w:sz w:val="24"/>
          <w:szCs w:val="24"/>
        </w:rPr>
        <w:t>, occurs</w:t>
      </w:r>
      <w:r>
        <w:rPr>
          <w:rFonts w:ascii="Times New Roman" w:hAnsi="Times New Roman"/>
          <w:sz w:val="24"/>
          <w:szCs w:val="24"/>
        </w:rPr>
        <w:t xml:space="preserve"> during a </w:t>
      </w:r>
      <w:r w:rsidRPr="00AA3317">
        <w:rPr>
          <w:rFonts w:ascii="Times New Roman" w:hAnsi="Times New Roman"/>
          <w:sz w:val="24"/>
          <w:szCs w:val="24"/>
        </w:rPr>
        <w:t xml:space="preserve">transition period, which is triggered by the amendment or replacement of the adopted industry standard.  </w:t>
      </w:r>
      <w:r w:rsidR="00677CC7">
        <w:rPr>
          <w:rFonts w:ascii="Times New Roman" w:hAnsi="Times New Roman"/>
          <w:sz w:val="24"/>
          <w:szCs w:val="24"/>
        </w:rPr>
        <w:t>T</w:t>
      </w:r>
      <w:r w:rsidRPr="00AA3317">
        <w:rPr>
          <w:rFonts w:ascii="Times New Roman" w:hAnsi="Times New Roman"/>
          <w:sz w:val="24"/>
          <w:szCs w:val="24"/>
        </w:rPr>
        <w:t xml:space="preserve">he item may comply with: </w:t>
      </w:r>
    </w:p>
    <w:p w14:paraId="414A6991" w14:textId="77777777" w:rsidR="00B64FC0" w:rsidRPr="00AA3317" w:rsidRDefault="00B64FC0" w:rsidP="00B64FC0">
      <w:pPr>
        <w:pStyle w:val="ListParagraph"/>
        <w:numPr>
          <w:ilvl w:val="0"/>
          <w:numId w:val="19"/>
        </w:numPr>
        <w:spacing w:before="120" w:after="120" w:line="240" w:lineRule="atLeast"/>
        <w:rPr>
          <w:rFonts w:ascii="Times New Roman" w:hAnsi="Times New Roman"/>
          <w:sz w:val="24"/>
          <w:szCs w:val="24"/>
        </w:rPr>
      </w:pPr>
      <w:r w:rsidRPr="00AA3317">
        <w:rPr>
          <w:rFonts w:ascii="Times New Roman" w:hAnsi="Times New Roman"/>
          <w:sz w:val="24"/>
          <w:szCs w:val="24"/>
        </w:rPr>
        <w:lastRenderedPageBreak/>
        <w:t>the adopted industry standard as in force immediately before its amendment or replacement</w:t>
      </w:r>
      <w:r>
        <w:rPr>
          <w:rFonts w:ascii="Times New Roman" w:hAnsi="Times New Roman"/>
          <w:sz w:val="24"/>
          <w:szCs w:val="24"/>
        </w:rPr>
        <w:t xml:space="preserve"> (with the modifications specified in Schedule 1)</w:t>
      </w:r>
      <w:r w:rsidRPr="00AA3317">
        <w:rPr>
          <w:rFonts w:ascii="Times New Roman" w:hAnsi="Times New Roman"/>
          <w:sz w:val="24"/>
          <w:szCs w:val="24"/>
        </w:rPr>
        <w:t xml:space="preserve"> (</w:t>
      </w:r>
      <w:r w:rsidRPr="00AA3317">
        <w:rPr>
          <w:rFonts w:ascii="Times New Roman" w:hAnsi="Times New Roman"/>
          <w:b/>
          <w:sz w:val="24"/>
          <w:szCs w:val="24"/>
        </w:rPr>
        <w:t>the old standard</w:t>
      </w:r>
      <w:r w:rsidRPr="00AA3317">
        <w:rPr>
          <w:rFonts w:ascii="Times New Roman" w:hAnsi="Times New Roman"/>
          <w:sz w:val="24"/>
          <w:szCs w:val="24"/>
        </w:rPr>
        <w:t xml:space="preserve">); </w:t>
      </w:r>
    </w:p>
    <w:p w14:paraId="5EC0BE15" w14:textId="67C28122" w:rsidR="00B64FC0" w:rsidRDefault="00B64FC0" w:rsidP="00B64FC0">
      <w:pPr>
        <w:pStyle w:val="ListParagraph"/>
        <w:numPr>
          <w:ilvl w:val="0"/>
          <w:numId w:val="19"/>
        </w:numPr>
        <w:spacing w:before="120" w:after="120" w:line="240" w:lineRule="atLeast"/>
        <w:rPr>
          <w:rFonts w:ascii="Times New Roman" w:hAnsi="Times New Roman"/>
          <w:sz w:val="24"/>
          <w:szCs w:val="24"/>
        </w:rPr>
      </w:pPr>
      <w:r w:rsidRPr="00AA3317">
        <w:rPr>
          <w:rFonts w:ascii="Times New Roman" w:hAnsi="Times New Roman"/>
          <w:sz w:val="24"/>
          <w:szCs w:val="24"/>
        </w:rPr>
        <w:t>the adopted</w:t>
      </w:r>
      <w:r>
        <w:rPr>
          <w:rFonts w:ascii="Times New Roman" w:hAnsi="Times New Roman"/>
          <w:sz w:val="24"/>
          <w:szCs w:val="24"/>
        </w:rPr>
        <w:t xml:space="preserve"> industry standard</w:t>
      </w:r>
      <w:r w:rsidR="00677CC7">
        <w:rPr>
          <w:rFonts w:ascii="Times New Roman" w:hAnsi="Times New Roman"/>
          <w:sz w:val="24"/>
          <w:szCs w:val="24"/>
        </w:rPr>
        <w:t>,</w:t>
      </w:r>
      <w:r>
        <w:rPr>
          <w:rFonts w:ascii="Times New Roman" w:hAnsi="Times New Roman"/>
          <w:sz w:val="24"/>
          <w:szCs w:val="24"/>
        </w:rPr>
        <w:t xml:space="preserve"> </w:t>
      </w:r>
      <w:r w:rsidRPr="00AA3317">
        <w:rPr>
          <w:rFonts w:ascii="Times New Roman" w:hAnsi="Times New Roman"/>
          <w:sz w:val="24"/>
          <w:szCs w:val="24"/>
        </w:rPr>
        <w:t>as in force at the commencement of the transition period</w:t>
      </w:r>
      <w:r>
        <w:rPr>
          <w:rFonts w:ascii="Times New Roman" w:hAnsi="Times New Roman"/>
          <w:sz w:val="24"/>
          <w:szCs w:val="24"/>
        </w:rPr>
        <w:t xml:space="preserve"> (with the modifications specified in Schedule 1);</w:t>
      </w:r>
      <w:r w:rsidRPr="00AA3317">
        <w:rPr>
          <w:rFonts w:ascii="Times New Roman" w:hAnsi="Times New Roman"/>
          <w:sz w:val="24"/>
          <w:szCs w:val="24"/>
        </w:rPr>
        <w:t xml:space="preserve"> </w:t>
      </w:r>
      <w:r>
        <w:rPr>
          <w:rFonts w:ascii="Times New Roman" w:hAnsi="Times New Roman"/>
          <w:sz w:val="24"/>
          <w:szCs w:val="24"/>
        </w:rPr>
        <w:t>or</w:t>
      </w:r>
    </w:p>
    <w:p w14:paraId="234926BD" w14:textId="224B8FC0" w:rsidR="00B64FC0" w:rsidRPr="00AA3317" w:rsidRDefault="00B64FC0" w:rsidP="00B64FC0">
      <w:pPr>
        <w:pStyle w:val="ListParagraph"/>
        <w:numPr>
          <w:ilvl w:val="0"/>
          <w:numId w:val="19"/>
        </w:numPr>
        <w:spacing w:before="120" w:after="120" w:line="24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replacement standard</w:t>
      </w:r>
      <w:r w:rsidR="000A3622">
        <w:rPr>
          <w:rFonts w:ascii="Times New Roman" w:hAnsi="Times New Roman"/>
          <w:sz w:val="24"/>
          <w:szCs w:val="24"/>
        </w:rPr>
        <w:t>,</w:t>
      </w:r>
      <w:r>
        <w:rPr>
          <w:rFonts w:ascii="Times New Roman" w:hAnsi="Times New Roman"/>
          <w:sz w:val="24"/>
          <w:szCs w:val="24"/>
        </w:rPr>
        <w:t xml:space="preserve"> </w:t>
      </w:r>
      <w:r w:rsidRPr="00AA3317">
        <w:rPr>
          <w:rFonts w:ascii="Times New Roman" w:hAnsi="Times New Roman"/>
          <w:sz w:val="24"/>
          <w:szCs w:val="24"/>
        </w:rPr>
        <w:t>as in force at the commencement of the transition period</w:t>
      </w:r>
      <w:r>
        <w:rPr>
          <w:rFonts w:ascii="Times New Roman" w:hAnsi="Times New Roman"/>
          <w:sz w:val="24"/>
          <w:szCs w:val="24"/>
        </w:rPr>
        <w:t>.</w:t>
      </w:r>
    </w:p>
    <w:p w14:paraId="485FE4D8" w14:textId="70671830" w:rsidR="00B64FC0" w:rsidRDefault="000A3622" w:rsidP="00B64FC0">
      <w:pPr>
        <w:spacing w:before="120" w:after="120" w:line="240" w:lineRule="atLeast"/>
        <w:rPr>
          <w:rFonts w:ascii="Times New Roman" w:hAnsi="Times New Roman"/>
          <w:sz w:val="24"/>
          <w:szCs w:val="24"/>
        </w:rPr>
      </w:pPr>
      <w:r>
        <w:rPr>
          <w:rFonts w:ascii="Times New Roman" w:hAnsi="Times New Roman"/>
          <w:sz w:val="24"/>
          <w:szCs w:val="24"/>
        </w:rPr>
        <w:t>If the</w:t>
      </w:r>
      <w:r w:rsidR="00B64FC0" w:rsidRPr="00AA3317">
        <w:rPr>
          <w:rFonts w:ascii="Times New Roman" w:hAnsi="Times New Roman"/>
          <w:sz w:val="24"/>
          <w:szCs w:val="24"/>
        </w:rPr>
        <w:t xml:space="preserve"> item does so comply</w:t>
      </w:r>
      <w:r>
        <w:rPr>
          <w:rFonts w:ascii="Times New Roman" w:hAnsi="Times New Roman"/>
          <w:sz w:val="24"/>
          <w:szCs w:val="24"/>
        </w:rPr>
        <w:t>, it</w:t>
      </w:r>
      <w:r w:rsidR="00B64FC0" w:rsidRPr="00AA3317">
        <w:rPr>
          <w:rFonts w:ascii="Times New Roman" w:hAnsi="Times New Roman"/>
          <w:sz w:val="24"/>
          <w:szCs w:val="24"/>
        </w:rPr>
        <w:t xml:space="preserve"> meets the requirements of subsection</w:t>
      </w:r>
      <w:r w:rsidR="00B64FC0">
        <w:rPr>
          <w:rFonts w:ascii="Times New Roman" w:hAnsi="Times New Roman"/>
          <w:sz w:val="24"/>
          <w:szCs w:val="24"/>
        </w:rPr>
        <w:t xml:space="preserve"> 14(2)</w:t>
      </w:r>
      <w:r w:rsidR="00B64FC0" w:rsidRPr="00AA3317">
        <w:rPr>
          <w:rFonts w:ascii="Times New Roman" w:hAnsi="Times New Roman"/>
          <w:sz w:val="24"/>
          <w:szCs w:val="24"/>
        </w:rPr>
        <w:t>.</w:t>
      </w:r>
    </w:p>
    <w:p w14:paraId="21DB178D" w14:textId="018EB1FB" w:rsidR="00B64FC0" w:rsidRPr="00AA3317" w:rsidRDefault="00B64FC0" w:rsidP="00B64FC0">
      <w:pPr>
        <w:spacing w:before="120" w:after="120" w:line="240" w:lineRule="atLeast"/>
        <w:rPr>
          <w:rFonts w:ascii="Times New Roman" w:hAnsi="Times New Roman"/>
          <w:sz w:val="24"/>
          <w:szCs w:val="24"/>
        </w:rPr>
      </w:pPr>
      <w:r w:rsidRPr="00AA3317">
        <w:rPr>
          <w:rFonts w:ascii="Times New Roman" w:hAnsi="Times New Roman"/>
          <w:sz w:val="24"/>
          <w:szCs w:val="24"/>
        </w:rPr>
        <w:t>S</w:t>
      </w:r>
      <w:r>
        <w:rPr>
          <w:rFonts w:ascii="Times New Roman" w:hAnsi="Times New Roman"/>
          <w:sz w:val="24"/>
          <w:szCs w:val="24"/>
        </w:rPr>
        <w:t>ubsection 14(3</w:t>
      </w:r>
      <w:r w:rsidRPr="00AA3317">
        <w:rPr>
          <w:rFonts w:ascii="Times New Roman" w:hAnsi="Times New Roman"/>
          <w:sz w:val="24"/>
          <w:szCs w:val="24"/>
        </w:rPr>
        <w:t xml:space="preserve">) </w:t>
      </w:r>
      <w:r>
        <w:rPr>
          <w:rFonts w:ascii="Times New Roman" w:hAnsi="Times New Roman"/>
          <w:sz w:val="24"/>
          <w:szCs w:val="24"/>
        </w:rPr>
        <w:t xml:space="preserve">of the </w:t>
      </w:r>
      <w:r w:rsidRPr="00A4033C">
        <w:rPr>
          <w:rFonts w:ascii="Times New Roman" w:hAnsi="Times New Roman"/>
          <w:sz w:val="24"/>
          <w:szCs w:val="24"/>
        </w:rPr>
        <w:t>DECT Standard and the Inshore Boating Standard</w:t>
      </w:r>
      <w:r w:rsidRPr="00AA3317">
        <w:rPr>
          <w:rFonts w:ascii="Times New Roman" w:hAnsi="Times New Roman"/>
          <w:sz w:val="24"/>
          <w:szCs w:val="24"/>
        </w:rPr>
        <w:t xml:space="preserve"> </w:t>
      </w:r>
      <w:r>
        <w:rPr>
          <w:rFonts w:ascii="Times New Roman" w:hAnsi="Times New Roman"/>
          <w:sz w:val="24"/>
          <w:szCs w:val="24"/>
        </w:rPr>
        <w:t xml:space="preserve">each </w:t>
      </w:r>
      <w:r w:rsidRPr="00AA3317">
        <w:rPr>
          <w:rFonts w:ascii="Times New Roman" w:hAnsi="Times New Roman"/>
          <w:sz w:val="24"/>
          <w:szCs w:val="24"/>
        </w:rPr>
        <w:t xml:space="preserve">deal with the case where there are multiple transition periods that overlap.   Where </w:t>
      </w:r>
      <w:r w:rsidR="000A3622">
        <w:rPr>
          <w:rFonts w:ascii="Times New Roman" w:hAnsi="Times New Roman"/>
          <w:sz w:val="24"/>
          <w:szCs w:val="24"/>
        </w:rPr>
        <w:t xml:space="preserve">a relevant date for </w:t>
      </w:r>
      <w:r w:rsidRPr="00AA3317">
        <w:rPr>
          <w:rFonts w:ascii="Times New Roman" w:hAnsi="Times New Roman"/>
          <w:sz w:val="24"/>
          <w:szCs w:val="24"/>
        </w:rPr>
        <w:t>an item</w:t>
      </w:r>
      <w:r w:rsidR="000A3622">
        <w:rPr>
          <w:rFonts w:ascii="Times New Roman" w:hAnsi="Times New Roman"/>
          <w:sz w:val="24"/>
          <w:szCs w:val="24"/>
        </w:rPr>
        <w:t>, such as the date the item</w:t>
      </w:r>
      <w:r w:rsidRPr="00AA3317">
        <w:rPr>
          <w:rFonts w:ascii="Times New Roman" w:hAnsi="Times New Roman"/>
          <w:sz w:val="24"/>
          <w:szCs w:val="24"/>
        </w:rPr>
        <w:t xml:space="preserve"> is manufactured in Australia or imported</w:t>
      </w:r>
      <w:r w:rsidR="000A3622">
        <w:rPr>
          <w:rFonts w:ascii="Times New Roman" w:hAnsi="Times New Roman"/>
          <w:sz w:val="24"/>
          <w:szCs w:val="24"/>
        </w:rPr>
        <w:t>, occurs</w:t>
      </w:r>
      <w:r w:rsidRPr="00AA3317">
        <w:rPr>
          <w:rFonts w:ascii="Times New Roman" w:hAnsi="Times New Roman"/>
          <w:sz w:val="24"/>
          <w:szCs w:val="24"/>
        </w:rPr>
        <w:t xml:space="preserve"> during the period of overlap, the item may comply with:</w:t>
      </w:r>
    </w:p>
    <w:p w14:paraId="6D2330F8" w14:textId="77777777" w:rsidR="00B64FC0" w:rsidRPr="00AA3317" w:rsidRDefault="00B64FC0" w:rsidP="00B64FC0">
      <w:pPr>
        <w:pStyle w:val="ListParagraph"/>
        <w:numPr>
          <w:ilvl w:val="0"/>
          <w:numId w:val="15"/>
        </w:numPr>
        <w:spacing w:before="120" w:after="120" w:line="240" w:lineRule="atLeast"/>
        <w:rPr>
          <w:rFonts w:ascii="Times New Roman" w:hAnsi="Times New Roman"/>
          <w:sz w:val="24"/>
          <w:szCs w:val="24"/>
        </w:rPr>
      </w:pPr>
      <w:r w:rsidRPr="00AA3317">
        <w:rPr>
          <w:rFonts w:ascii="Times New Roman" w:hAnsi="Times New Roman"/>
          <w:sz w:val="24"/>
          <w:szCs w:val="24"/>
        </w:rPr>
        <w:t xml:space="preserve">the old standard; </w:t>
      </w:r>
    </w:p>
    <w:p w14:paraId="7A1A957F" w14:textId="28993F67" w:rsidR="00B64FC0" w:rsidRDefault="00B64FC0" w:rsidP="00B64FC0">
      <w:pPr>
        <w:pStyle w:val="ListParagraph"/>
        <w:numPr>
          <w:ilvl w:val="0"/>
          <w:numId w:val="15"/>
        </w:numPr>
        <w:spacing w:before="120" w:after="120" w:line="240" w:lineRule="atLeast"/>
        <w:rPr>
          <w:rFonts w:ascii="Times New Roman" w:hAnsi="Times New Roman"/>
          <w:sz w:val="24"/>
          <w:szCs w:val="24"/>
        </w:rPr>
      </w:pPr>
      <w:r w:rsidRPr="00AA3317">
        <w:rPr>
          <w:rFonts w:ascii="Times New Roman" w:hAnsi="Times New Roman"/>
          <w:sz w:val="24"/>
          <w:szCs w:val="24"/>
        </w:rPr>
        <w:t xml:space="preserve">the adopted industry standard as </w:t>
      </w:r>
      <w:r w:rsidR="000A3622" w:rsidRPr="000A3622">
        <w:rPr>
          <w:rFonts w:ascii="Times New Roman" w:hAnsi="Times New Roman"/>
          <w:sz w:val="24"/>
          <w:szCs w:val="24"/>
        </w:rPr>
        <w:t xml:space="preserve"> </w:t>
      </w:r>
      <w:r w:rsidR="000A3622" w:rsidRPr="00AA3317">
        <w:rPr>
          <w:rFonts w:ascii="Times New Roman" w:hAnsi="Times New Roman"/>
          <w:sz w:val="24"/>
          <w:szCs w:val="24"/>
        </w:rPr>
        <w:t>in</w:t>
      </w:r>
      <w:r w:rsidR="000A3622">
        <w:rPr>
          <w:rFonts w:ascii="Times New Roman" w:hAnsi="Times New Roman"/>
          <w:sz w:val="24"/>
          <w:szCs w:val="24"/>
        </w:rPr>
        <w:t xml:space="preserve"> </w:t>
      </w:r>
      <w:r w:rsidR="000A3622" w:rsidRPr="00AA3317">
        <w:rPr>
          <w:rFonts w:ascii="Times New Roman" w:hAnsi="Times New Roman"/>
          <w:sz w:val="24"/>
          <w:szCs w:val="24"/>
        </w:rPr>
        <w:t>force at the commencement of any one of the overlapping transition periods</w:t>
      </w:r>
      <w:r>
        <w:rPr>
          <w:rFonts w:ascii="Times New Roman" w:hAnsi="Times New Roman"/>
          <w:sz w:val="24"/>
          <w:szCs w:val="24"/>
        </w:rPr>
        <w:t xml:space="preserve"> (with the modifications specified in Schedule 1); or</w:t>
      </w:r>
    </w:p>
    <w:p w14:paraId="68E62FA1" w14:textId="77777777" w:rsidR="00B64FC0" w:rsidRPr="00820ECA" w:rsidRDefault="00B64FC0" w:rsidP="00B64FC0">
      <w:pPr>
        <w:pStyle w:val="ListParagraph"/>
        <w:numPr>
          <w:ilvl w:val="0"/>
          <w:numId w:val="15"/>
        </w:numPr>
        <w:spacing w:before="120" w:after="120" w:line="24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replacement standard </w:t>
      </w:r>
      <w:r w:rsidRPr="00AA3317">
        <w:rPr>
          <w:rFonts w:ascii="Times New Roman" w:hAnsi="Times New Roman"/>
          <w:sz w:val="24"/>
          <w:szCs w:val="24"/>
        </w:rPr>
        <w:t>as in force at the commencement of any one of the overlapping transition periods</w:t>
      </w:r>
      <w:r>
        <w:rPr>
          <w:rFonts w:ascii="Times New Roman" w:hAnsi="Times New Roman"/>
          <w:sz w:val="24"/>
          <w:szCs w:val="24"/>
        </w:rPr>
        <w:t>.</w:t>
      </w:r>
    </w:p>
    <w:p w14:paraId="61BE357D" w14:textId="2BACB5CA" w:rsidR="00B64FC0" w:rsidRPr="00FA622B" w:rsidRDefault="000A3622" w:rsidP="00B64FC0">
      <w:pPr>
        <w:spacing w:before="120" w:line="240" w:lineRule="atLeast"/>
        <w:rPr>
          <w:rFonts w:ascii="Times New Roman" w:hAnsi="Times New Roman"/>
          <w:sz w:val="24"/>
          <w:szCs w:val="24"/>
        </w:rPr>
      </w:pPr>
      <w:r>
        <w:rPr>
          <w:rFonts w:ascii="Times New Roman" w:hAnsi="Times New Roman"/>
          <w:sz w:val="24"/>
          <w:szCs w:val="24"/>
        </w:rPr>
        <w:t>If the</w:t>
      </w:r>
      <w:r w:rsidR="00B64FC0" w:rsidRPr="00AA3317">
        <w:rPr>
          <w:rFonts w:ascii="Times New Roman" w:hAnsi="Times New Roman"/>
          <w:sz w:val="24"/>
          <w:szCs w:val="24"/>
        </w:rPr>
        <w:t xml:space="preserve"> item does so comply</w:t>
      </w:r>
      <w:r>
        <w:rPr>
          <w:rFonts w:ascii="Times New Roman" w:hAnsi="Times New Roman"/>
          <w:sz w:val="24"/>
          <w:szCs w:val="24"/>
        </w:rPr>
        <w:t>, it</w:t>
      </w:r>
      <w:r w:rsidR="00B64FC0" w:rsidRPr="00AA3317">
        <w:rPr>
          <w:rFonts w:ascii="Times New Roman" w:hAnsi="Times New Roman"/>
          <w:sz w:val="24"/>
          <w:szCs w:val="24"/>
        </w:rPr>
        <w:t xml:space="preserve"> meets the requirements of subsection</w:t>
      </w:r>
      <w:r w:rsidR="00B64FC0">
        <w:rPr>
          <w:rFonts w:ascii="Times New Roman" w:hAnsi="Times New Roman"/>
          <w:sz w:val="24"/>
          <w:szCs w:val="24"/>
        </w:rPr>
        <w:t xml:space="preserve"> 14(3)</w:t>
      </w:r>
      <w:r w:rsidR="00B64FC0" w:rsidRPr="00AA3317">
        <w:rPr>
          <w:rFonts w:ascii="Times New Roman" w:hAnsi="Times New Roman"/>
          <w:sz w:val="24"/>
          <w:szCs w:val="24"/>
        </w:rPr>
        <w:t>.</w:t>
      </w:r>
    </w:p>
    <w:p w14:paraId="5916DBDE" w14:textId="77777777" w:rsidR="003D1E48" w:rsidRPr="00EC38B3" w:rsidRDefault="003D1E48" w:rsidP="002A1A15">
      <w:pPr>
        <w:spacing w:before="120" w:line="240" w:lineRule="atLeast"/>
        <w:rPr>
          <w:rFonts w:ascii="Times New Roman" w:hAnsi="Times New Roman"/>
          <w:b/>
          <w:sz w:val="24"/>
          <w:szCs w:val="24"/>
        </w:rPr>
      </w:pPr>
      <w:r w:rsidRPr="00EC38B3">
        <w:rPr>
          <w:rFonts w:ascii="Times New Roman" w:hAnsi="Times New Roman"/>
          <w:b/>
          <w:sz w:val="24"/>
          <w:szCs w:val="24"/>
        </w:rPr>
        <w:t>Part 4 – Savings and transitional arrangements</w:t>
      </w:r>
    </w:p>
    <w:p w14:paraId="5CFDBD39" w14:textId="77777777" w:rsidR="003D1E48" w:rsidRPr="00EC38B3" w:rsidRDefault="003D1E48" w:rsidP="00A642CF">
      <w:pPr>
        <w:keepNext/>
        <w:rPr>
          <w:rFonts w:ascii="Times New Roman" w:hAnsi="Times New Roman"/>
          <w:b/>
          <w:sz w:val="24"/>
          <w:szCs w:val="24"/>
        </w:rPr>
      </w:pPr>
      <w:r w:rsidRPr="00EE7E54">
        <w:rPr>
          <w:rFonts w:ascii="Times New Roman" w:hAnsi="Times New Roman"/>
          <w:b/>
          <w:sz w:val="24"/>
          <w:szCs w:val="24"/>
          <w:lang w:eastAsia="en-AU"/>
        </w:rPr>
        <w:t>Section 1</w:t>
      </w:r>
      <w:r w:rsidR="007A0EA2" w:rsidRPr="00EE7E54">
        <w:rPr>
          <w:rFonts w:ascii="Times New Roman" w:hAnsi="Times New Roman"/>
          <w:b/>
          <w:sz w:val="24"/>
          <w:szCs w:val="24"/>
          <w:lang w:eastAsia="en-AU"/>
        </w:rPr>
        <w:t>5</w:t>
      </w:r>
      <w:r w:rsidRPr="00EE7E54">
        <w:rPr>
          <w:rFonts w:ascii="Times New Roman" w:hAnsi="Times New Roman"/>
          <w:b/>
          <w:sz w:val="24"/>
          <w:szCs w:val="24"/>
          <w:lang w:eastAsia="en-AU"/>
        </w:rPr>
        <w:tab/>
      </w:r>
      <w:r w:rsidRPr="00EE7E54">
        <w:rPr>
          <w:rFonts w:ascii="Times New Roman" w:hAnsi="Times New Roman"/>
          <w:b/>
          <w:sz w:val="24"/>
          <w:szCs w:val="24"/>
        </w:rPr>
        <w:t xml:space="preserve">Items </w:t>
      </w:r>
      <w:r w:rsidR="007A0EA2" w:rsidRPr="00EE7E54">
        <w:rPr>
          <w:rFonts w:ascii="Times New Roman" w:hAnsi="Times New Roman"/>
          <w:b/>
          <w:sz w:val="24"/>
          <w:szCs w:val="24"/>
        </w:rPr>
        <w:t>for which the relevant date occurred before commencement day</w:t>
      </w:r>
    </w:p>
    <w:p w14:paraId="0D510AED" w14:textId="1AA7F4E3" w:rsidR="005E6CCD" w:rsidRPr="00EC38B3" w:rsidRDefault="002651F7" w:rsidP="002A1A15">
      <w:pPr>
        <w:rPr>
          <w:rFonts w:ascii="Times New Roman" w:hAnsi="Times New Roman"/>
          <w:sz w:val="24"/>
          <w:szCs w:val="24"/>
        </w:rPr>
      </w:pPr>
      <w:r w:rsidRPr="00EC38B3">
        <w:rPr>
          <w:rFonts w:ascii="Times New Roman" w:hAnsi="Times New Roman"/>
          <w:sz w:val="24"/>
          <w:szCs w:val="24"/>
        </w:rPr>
        <w:t xml:space="preserve">This section specifies the transitional arrangements arising from the </w:t>
      </w:r>
      <w:r w:rsidR="00EE7E54">
        <w:rPr>
          <w:rFonts w:ascii="Times New Roman" w:hAnsi="Times New Roman"/>
          <w:sz w:val="24"/>
          <w:szCs w:val="24"/>
        </w:rPr>
        <w:t>re</w:t>
      </w:r>
      <w:r w:rsidR="00884144">
        <w:rPr>
          <w:rFonts w:ascii="Times New Roman" w:hAnsi="Times New Roman"/>
          <w:sz w:val="24"/>
          <w:szCs w:val="24"/>
        </w:rPr>
        <w:t xml:space="preserve">peal of the </w:t>
      </w:r>
      <w:proofErr w:type="spellStart"/>
      <w:r w:rsidR="00884144">
        <w:rPr>
          <w:rFonts w:ascii="Times New Roman" w:hAnsi="Times New Roman"/>
          <w:sz w:val="24"/>
          <w:szCs w:val="24"/>
        </w:rPr>
        <w:t>sunsetting</w:t>
      </w:r>
      <w:proofErr w:type="spellEnd"/>
      <w:r w:rsidR="00884144">
        <w:rPr>
          <w:rFonts w:ascii="Times New Roman" w:hAnsi="Times New Roman"/>
          <w:sz w:val="24"/>
          <w:szCs w:val="24"/>
        </w:rPr>
        <w:t xml:space="preserve"> standard</w:t>
      </w:r>
      <w:r w:rsidR="00EE7E54">
        <w:rPr>
          <w:rFonts w:ascii="Times New Roman" w:hAnsi="Times New Roman"/>
          <w:sz w:val="24"/>
          <w:szCs w:val="24"/>
        </w:rPr>
        <w:t xml:space="preserve"> mentioned in section 4.</w:t>
      </w:r>
      <w:r w:rsidR="00AA47BF" w:rsidRPr="00EC38B3">
        <w:rPr>
          <w:rFonts w:ascii="Times New Roman" w:hAnsi="Times New Roman"/>
          <w:sz w:val="24"/>
          <w:szCs w:val="24"/>
        </w:rPr>
        <w:t xml:space="preserve">  </w:t>
      </w:r>
    </w:p>
    <w:p w14:paraId="791CEA0E" w14:textId="1BC6CA32" w:rsidR="005E6CCD" w:rsidRPr="00EC38B3" w:rsidRDefault="00EE7E54" w:rsidP="002A1A15">
      <w:pPr>
        <w:rPr>
          <w:rFonts w:ascii="Times New Roman" w:hAnsi="Times New Roman"/>
          <w:sz w:val="24"/>
          <w:szCs w:val="24"/>
        </w:rPr>
      </w:pPr>
      <w:r>
        <w:rPr>
          <w:rFonts w:ascii="Times New Roman" w:hAnsi="Times New Roman"/>
          <w:sz w:val="24"/>
          <w:szCs w:val="24"/>
        </w:rPr>
        <w:t>This section</w:t>
      </w:r>
      <w:r w:rsidR="005E6CCD" w:rsidRPr="00EC38B3">
        <w:rPr>
          <w:rFonts w:ascii="Times New Roman" w:hAnsi="Times New Roman"/>
          <w:sz w:val="24"/>
          <w:szCs w:val="24"/>
        </w:rPr>
        <w:t xml:space="preserve"> </w:t>
      </w:r>
      <w:r w:rsidR="004438EC" w:rsidRPr="00EC38B3">
        <w:rPr>
          <w:rFonts w:ascii="Times New Roman" w:hAnsi="Times New Roman"/>
          <w:sz w:val="24"/>
          <w:szCs w:val="24"/>
        </w:rPr>
        <w:t xml:space="preserve">generally </w:t>
      </w:r>
      <w:r w:rsidR="005E6CCD" w:rsidRPr="00EC38B3">
        <w:rPr>
          <w:rFonts w:ascii="Times New Roman" w:hAnsi="Times New Roman"/>
          <w:sz w:val="24"/>
          <w:szCs w:val="24"/>
        </w:rPr>
        <w:t>provides that i</w:t>
      </w:r>
      <w:r w:rsidR="00AA47BF" w:rsidRPr="00EC38B3">
        <w:rPr>
          <w:rFonts w:ascii="Times New Roman" w:hAnsi="Times New Roman"/>
          <w:sz w:val="24"/>
          <w:szCs w:val="24"/>
        </w:rPr>
        <w:t xml:space="preserve">f </w:t>
      </w:r>
      <w:r w:rsidR="000A3622">
        <w:rPr>
          <w:rFonts w:ascii="Times New Roman" w:hAnsi="Times New Roman"/>
          <w:sz w:val="24"/>
          <w:szCs w:val="24"/>
        </w:rPr>
        <w:t>a relevant date for an item</w:t>
      </w:r>
      <w:r w:rsidR="004E7823">
        <w:rPr>
          <w:rFonts w:ascii="Times New Roman" w:hAnsi="Times New Roman"/>
          <w:sz w:val="24"/>
          <w:szCs w:val="24"/>
        </w:rPr>
        <w:t>,</w:t>
      </w:r>
      <w:r w:rsidR="000A3622">
        <w:rPr>
          <w:rFonts w:ascii="Times New Roman" w:hAnsi="Times New Roman"/>
          <w:sz w:val="24"/>
          <w:szCs w:val="24"/>
        </w:rPr>
        <w:t xml:space="preserve"> such as the date the</w:t>
      </w:r>
      <w:r w:rsidR="00AA47BF" w:rsidRPr="00EC38B3">
        <w:rPr>
          <w:rFonts w:ascii="Times New Roman" w:hAnsi="Times New Roman"/>
          <w:sz w:val="24"/>
          <w:szCs w:val="24"/>
        </w:rPr>
        <w:t xml:space="preserve"> item was manufactured in Australia</w:t>
      </w:r>
      <w:r w:rsidR="005E6CCD" w:rsidRPr="00EC38B3">
        <w:rPr>
          <w:rFonts w:ascii="Times New Roman" w:hAnsi="Times New Roman"/>
          <w:sz w:val="24"/>
          <w:szCs w:val="24"/>
        </w:rPr>
        <w:t xml:space="preserve"> or</w:t>
      </w:r>
      <w:r w:rsidR="00AA47BF" w:rsidRPr="00EC38B3">
        <w:rPr>
          <w:rFonts w:ascii="Times New Roman" w:hAnsi="Times New Roman"/>
          <w:sz w:val="24"/>
          <w:szCs w:val="24"/>
        </w:rPr>
        <w:t xml:space="preserve"> imported</w:t>
      </w:r>
      <w:r w:rsidR="004E7823">
        <w:rPr>
          <w:rFonts w:ascii="Times New Roman" w:hAnsi="Times New Roman"/>
          <w:sz w:val="24"/>
          <w:szCs w:val="24"/>
        </w:rPr>
        <w:t>,</w:t>
      </w:r>
      <w:r w:rsidR="000A3622">
        <w:rPr>
          <w:rFonts w:ascii="Times New Roman" w:hAnsi="Times New Roman"/>
          <w:sz w:val="24"/>
          <w:szCs w:val="24"/>
        </w:rPr>
        <w:t xml:space="preserve"> occurred</w:t>
      </w:r>
      <w:r w:rsidR="00AA47BF" w:rsidRPr="00EC38B3">
        <w:rPr>
          <w:rFonts w:ascii="Times New Roman" w:hAnsi="Times New Roman"/>
          <w:sz w:val="24"/>
          <w:szCs w:val="24"/>
        </w:rPr>
        <w:t xml:space="preserve"> before the commencement of the ACMA</w:t>
      </w:r>
      <w:r w:rsidR="005E6CCD" w:rsidRPr="00EC38B3">
        <w:rPr>
          <w:rFonts w:ascii="Times New Roman" w:hAnsi="Times New Roman"/>
          <w:sz w:val="24"/>
          <w:szCs w:val="24"/>
        </w:rPr>
        <w:t xml:space="preserve"> Standard</w:t>
      </w:r>
      <w:r w:rsidR="00AA47BF" w:rsidRPr="00EC38B3">
        <w:rPr>
          <w:rFonts w:ascii="Times New Roman" w:hAnsi="Times New Roman"/>
          <w:sz w:val="24"/>
          <w:szCs w:val="24"/>
        </w:rPr>
        <w:t xml:space="preserve"> and</w:t>
      </w:r>
      <w:r w:rsidR="000A3622">
        <w:rPr>
          <w:rFonts w:ascii="Times New Roman" w:hAnsi="Times New Roman"/>
          <w:sz w:val="24"/>
          <w:szCs w:val="24"/>
        </w:rPr>
        <w:t xml:space="preserve"> the item</w:t>
      </w:r>
      <w:r w:rsidR="00AA47BF" w:rsidRPr="00EC38B3">
        <w:rPr>
          <w:rFonts w:ascii="Times New Roman" w:hAnsi="Times New Roman"/>
          <w:sz w:val="24"/>
          <w:szCs w:val="24"/>
        </w:rPr>
        <w:t xml:space="preserve"> complies with the </w:t>
      </w:r>
      <w:r w:rsidR="00BE02F0" w:rsidRPr="00EC38B3">
        <w:rPr>
          <w:rFonts w:ascii="Times New Roman" w:hAnsi="Times New Roman"/>
          <w:sz w:val="24"/>
          <w:szCs w:val="24"/>
        </w:rPr>
        <w:t>previous</w:t>
      </w:r>
      <w:r w:rsidR="00884144">
        <w:rPr>
          <w:rFonts w:ascii="Times New Roman" w:hAnsi="Times New Roman"/>
          <w:sz w:val="24"/>
          <w:szCs w:val="24"/>
        </w:rPr>
        <w:t xml:space="preserve"> standard</w:t>
      </w:r>
      <w:r w:rsidR="00AA47BF" w:rsidRPr="00EC38B3">
        <w:rPr>
          <w:rFonts w:ascii="Times New Roman" w:hAnsi="Times New Roman"/>
          <w:sz w:val="24"/>
          <w:szCs w:val="24"/>
        </w:rPr>
        <w:t xml:space="preserve"> as in force immediately before the commencement of the ACMA Standard, the item is taken to comply with the</w:t>
      </w:r>
      <w:r w:rsidR="005E6CCD" w:rsidRPr="00EC38B3">
        <w:rPr>
          <w:rFonts w:ascii="Times New Roman" w:hAnsi="Times New Roman"/>
          <w:sz w:val="24"/>
          <w:szCs w:val="24"/>
        </w:rPr>
        <w:t xml:space="preserve"> ACMA S</w:t>
      </w:r>
      <w:r w:rsidR="00AA47BF" w:rsidRPr="00EC38B3">
        <w:rPr>
          <w:rFonts w:ascii="Times New Roman" w:hAnsi="Times New Roman"/>
          <w:sz w:val="24"/>
          <w:szCs w:val="24"/>
        </w:rPr>
        <w:t>tandard.</w:t>
      </w:r>
      <w:r w:rsidR="005E6CCD" w:rsidRPr="00EC38B3">
        <w:rPr>
          <w:rFonts w:ascii="Times New Roman" w:hAnsi="Times New Roman"/>
          <w:sz w:val="24"/>
          <w:szCs w:val="24"/>
        </w:rPr>
        <w:t xml:space="preserve"> </w:t>
      </w:r>
    </w:p>
    <w:p w14:paraId="654C119F" w14:textId="0B8750A2" w:rsidR="0050221C" w:rsidRPr="002A1A15" w:rsidRDefault="00EE7E54" w:rsidP="002A1A15">
      <w:pPr>
        <w:rPr>
          <w:rFonts w:ascii="Times New Roman" w:hAnsi="Times New Roman"/>
          <w:b/>
          <w:sz w:val="24"/>
          <w:szCs w:val="24"/>
        </w:rPr>
      </w:pPr>
      <w:r w:rsidRPr="002A1A15">
        <w:rPr>
          <w:rFonts w:ascii="Times New Roman" w:hAnsi="Times New Roman"/>
          <w:b/>
          <w:sz w:val="24"/>
          <w:szCs w:val="24"/>
        </w:rPr>
        <w:t>Schedule 1–Modifications of the industry standard</w:t>
      </w:r>
      <w:r w:rsidR="00AA3317" w:rsidRPr="002A1A15">
        <w:rPr>
          <w:rFonts w:ascii="Times New Roman" w:hAnsi="Times New Roman"/>
          <w:b/>
          <w:sz w:val="24"/>
          <w:szCs w:val="24"/>
        </w:rPr>
        <w:t xml:space="preserve"> (DECT Standard and Inshore Boating Standard only)</w:t>
      </w:r>
    </w:p>
    <w:p w14:paraId="324CE864" w14:textId="3447A267" w:rsidR="00EE7E54" w:rsidRPr="002A1A15" w:rsidRDefault="00AA3317" w:rsidP="002A1A15">
      <w:pPr>
        <w:rPr>
          <w:rFonts w:ascii="Times New Roman" w:hAnsi="Times New Roman"/>
          <w:sz w:val="24"/>
          <w:szCs w:val="24"/>
        </w:rPr>
      </w:pPr>
      <w:r w:rsidRPr="002A1A15">
        <w:rPr>
          <w:rFonts w:ascii="Times New Roman" w:hAnsi="Times New Roman"/>
          <w:sz w:val="24"/>
          <w:szCs w:val="24"/>
        </w:rPr>
        <w:t>There is a Schedule to</w:t>
      </w:r>
      <w:r w:rsidR="003F2283" w:rsidRPr="002A1A15">
        <w:rPr>
          <w:rFonts w:ascii="Times New Roman" w:hAnsi="Times New Roman"/>
          <w:sz w:val="24"/>
          <w:szCs w:val="24"/>
        </w:rPr>
        <w:t xml:space="preserve"> both</w:t>
      </w:r>
      <w:r w:rsidRPr="002A1A15">
        <w:rPr>
          <w:rFonts w:ascii="Times New Roman" w:hAnsi="Times New Roman"/>
          <w:sz w:val="24"/>
          <w:szCs w:val="24"/>
        </w:rPr>
        <w:t xml:space="preserve"> the Inshore Boating Standard and the DECT Standard which describes the modifications to the </w:t>
      </w:r>
      <w:r w:rsidR="000A3622">
        <w:rPr>
          <w:rFonts w:ascii="Times New Roman" w:hAnsi="Times New Roman"/>
          <w:sz w:val="24"/>
          <w:szCs w:val="24"/>
        </w:rPr>
        <w:t>adopted</w:t>
      </w:r>
      <w:r w:rsidRPr="002A1A15">
        <w:rPr>
          <w:rFonts w:ascii="Times New Roman" w:hAnsi="Times New Roman"/>
          <w:sz w:val="24"/>
          <w:szCs w:val="24"/>
        </w:rPr>
        <w:t xml:space="preserve"> industry standard in each case. </w:t>
      </w:r>
    </w:p>
    <w:p w14:paraId="4B7BFFD2" w14:textId="15E5CF86" w:rsidR="00AA3317" w:rsidRPr="002A1A15" w:rsidRDefault="00AA3317" w:rsidP="002A1A15">
      <w:pPr>
        <w:rPr>
          <w:rFonts w:ascii="Times New Roman" w:hAnsi="Times New Roman"/>
          <w:sz w:val="24"/>
          <w:szCs w:val="24"/>
        </w:rPr>
      </w:pPr>
      <w:r w:rsidRPr="002A1A15">
        <w:rPr>
          <w:rFonts w:ascii="Times New Roman" w:hAnsi="Times New Roman"/>
          <w:sz w:val="24"/>
          <w:szCs w:val="24"/>
        </w:rPr>
        <w:t>In the case of the Inshore Boating Standard, the table in Schedule 1 provides that subclause 4.1 of the industry standard</w:t>
      </w:r>
      <w:r w:rsidR="00884144">
        <w:rPr>
          <w:rFonts w:ascii="Times New Roman" w:hAnsi="Times New Roman"/>
          <w:sz w:val="24"/>
          <w:szCs w:val="24"/>
        </w:rPr>
        <w:t>,</w:t>
      </w:r>
      <w:r w:rsidRPr="002A1A15">
        <w:rPr>
          <w:rFonts w:ascii="Times New Roman" w:hAnsi="Times New Roman"/>
          <w:sz w:val="24"/>
          <w:szCs w:val="24"/>
        </w:rPr>
        <w:t xml:space="preserve"> relating to equipment markings, does not apply.</w:t>
      </w:r>
    </w:p>
    <w:p w14:paraId="203D75EB" w14:textId="5B708F5B" w:rsidR="00AA3317" w:rsidRPr="00EC38B3" w:rsidRDefault="00AA3317" w:rsidP="003F085C">
      <w:pPr>
        <w:rPr>
          <w:rFonts w:ascii="Times New Roman" w:hAnsi="Times New Roman"/>
          <w:color w:val="000000"/>
          <w:sz w:val="24"/>
          <w:szCs w:val="24"/>
        </w:rPr>
      </w:pPr>
      <w:r w:rsidRPr="002A1A15">
        <w:rPr>
          <w:rFonts w:ascii="Times New Roman" w:hAnsi="Times New Roman"/>
          <w:sz w:val="24"/>
          <w:szCs w:val="24"/>
        </w:rPr>
        <w:t>In the case of the DECT Standard, subparagraphs 13(a</w:t>
      </w:r>
      <w:proofErr w:type="gramStart"/>
      <w:r w:rsidRPr="002A1A15">
        <w:rPr>
          <w:rFonts w:ascii="Times New Roman" w:hAnsi="Times New Roman"/>
          <w:sz w:val="24"/>
          <w:szCs w:val="24"/>
        </w:rPr>
        <w:t>)(</w:t>
      </w:r>
      <w:proofErr w:type="spellStart"/>
      <w:proofErr w:type="gramEnd"/>
      <w:r w:rsidRPr="002A1A15">
        <w:rPr>
          <w:rFonts w:ascii="Times New Roman" w:hAnsi="Times New Roman"/>
          <w:sz w:val="24"/>
          <w:szCs w:val="24"/>
        </w:rPr>
        <w:t>i</w:t>
      </w:r>
      <w:proofErr w:type="spellEnd"/>
      <w:r w:rsidRPr="002A1A15">
        <w:rPr>
          <w:rFonts w:ascii="Times New Roman" w:hAnsi="Times New Roman"/>
          <w:sz w:val="24"/>
          <w:szCs w:val="24"/>
        </w:rPr>
        <w:t xml:space="preserve">) and (ii) </w:t>
      </w:r>
      <w:r w:rsidR="00D95F73">
        <w:rPr>
          <w:rFonts w:ascii="Times New Roman" w:hAnsi="Times New Roman"/>
          <w:sz w:val="24"/>
          <w:szCs w:val="24"/>
        </w:rPr>
        <w:t xml:space="preserve">of that standard </w:t>
      </w:r>
      <w:r w:rsidRPr="002A1A15">
        <w:rPr>
          <w:rFonts w:ascii="Times New Roman" w:hAnsi="Times New Roman"/>
          <w:sz w:val="24"/>
          <w:szCs w:val="24"/>
        </w:rPr>
        <w:t xml:space="preserve">prescribe additional requirements that an item must meet.  </w:t>
      </w:r>
      <w:r w:rsidR="009E2C1C">
        <w:rPr>
          <w:rFonts w:ascii="Times New Roman" w:hAnsi="Times New Roman"/>
          <w:sz w:val="24"/>
          <w:szCs w:val="24"/>
        </w:rPr>
        <w:t>In particular</w:t>
      </w:r>
      <w:r w:rsidRPr="002A1A15">
        <w:rPr>
          <w:rFonts w:ascii="Times New Roman" w:hAnsi="Times New Roman"/>
          <w:sz w:val="24"/>
          <w:szCs w:val="24"/>
        </w:rPr>
        <w:t xml:space="preserve">, an item must operate only on frequencies </w:t>
      </w:r>
      <w:r w:rsidR="00E43A7E">
        <w:rPr>
          <w:rFonts w:ascii="Times New Roman" w:hAnsi="Times New Roman"/>
          <w:sz w:val="24"/>
          <w:szCs w:val="24"/>
        </w:rPr>
        <w:t>greater than</w:t>
      </w:r>
      <w:r w:rsidR="00E43A7E" w:rsidRPr="002A1A15">
        <w:rPr>
          <w:rFonts w:ascii="Times New Roman" w:hAnsi="Times New Roman"/>
          <w:sz w:val="24"/>
          <w:szCs w:val="24"/>
        </w:rPr>
        <w:t xml:space="preserve"> </w:t>
      </w:r>
      <w:r w:rsidRPr="002A1A15">
        <w:rPr>
          <w:rFonts w:ascii="Times New Roman" w:hAnsi="Times New Roman"/>
          <w:sz w:val="24"/>
          <w:szCs w:val="24"/>
        </w:rPr>
        <w:t xml:space="preserve">1880 and </w:t>
      </w:r>
      <w:r w:rsidR="00320F02">
        <w:rPr>
          <w:rFonts w:ascii="Times New Roman" w:hAnsi="Times New Roman"/>
          <w:sz w:val="24"/>
          <w:szCs w:val="24"/>
        </w:rPr>
        <w:t xml:space="preserve">less than or equal to </w:t>
      </w:r>
      <w:r w:rsidRPr="002A1A15">
        <w:rPr>
          <w:rFonts w:ascii="Times New Roman" w:hAnsi="Times New Roman"/>
          <w:sz w:val="24"/>
          <w:szCs w:val="24"/>
        </w:rPr>
        <w:t xml:space="preserve">1900 MHz and with radiated power </w:t>
      </w:r>
      <w:r w:rsidR="00E576CD" w:rsidRPr="002A1A15">
        <w:rPr>
          <w:rFonts w:ascii="Times New Roman" w:hAnsi="Times New Roman"/>
          <w:sz w:val="24"/>
          <w:szCs w:val="24"/>
        </w:rPr>
        <w:t>of not</w:t>
      </w:r>
      <w:r w:rsidRPr="002A1A15">
        <w:rPr>
          <w:rFonts w:ascii="Times New Roman" w:hAnsi="Times New Roman"/>
          <w:sz w:val="24"/>
          <w:szCs w:val="24"/>
        </w:rPr>
        <w:t xml:space="preserve"> more than 36 </w:t>
      </w:r>
      <w:proofErr w:type="spellStart"/>
      <w:r w:rsidRPr="002A1A15">
        <w:rPr>
          <w:rFonts w:ascii="Times New Roman" w:hAnsi="Times New Roman"/>
          <w:sz w:val="24"/>
          <w:szCs w:val="24"/>
        </w:rPr>
        <w:t>dBm</w:t>
      </w:r>
      <w:proofErr w:type="spellEnd"/>
      <w:r w:rsidRPr="002A1A15">
        <w:rPr>
          <w:rFonts w:ascii="Times New Roman" w:hAnsi="Times New Roman"/>
          <w:sz w:val="24"/>
          <w:szCs w:val="24"/>
        </w:rPr>
        <w:t xml:space="preserve"> EIRP.  Schedule 1 modifies the industry standard by providing that a requirement in the industry standard which is inconsistent with the requirement specified in subparagraph 13(a</w:t>
      </w:r>
      <w:proofErr w:type="gramStart"/>
      <w:r w:rsidRPr="002A1A15">
        <w:rPr>
          <w:rFonts w:ascii="Times New Roman" w:hAnsi="Times New Roman"/>
          <w:sz w:val="24"/>
          <w:szCs w:val="24"/>
        </w:rPr>
        <w:t>)(</w:t>
      </w:r>
      <w:proofErr w:type="spellStart"/>
      <w:proofErr w:type="gramEnd"/>
      <w:r w:rsidRPr="002A1A15">
        <w:rPr>
          <w:rFonts w:ascii="Times New Roman" w:hAnsi="Times New Roman"/>
          <w:sz w:val="24"/>
          <w:szCs w:val="24"/>
        </w:rPr>
        <w:t>i</w:t>
      </w:r>
      <w:proofErr w:type="spellEnd"/>
      <w:r w:rsidRPr="002A1A15">
        <w:rPr>
          <w:rFonts w:ascii="Times New Roman" w:hAnsi="Times New Roman"/>
          <w:sz w:val="24"/>
          <w:szCs w:val="24"/>
        </w:rPr>
        <w:t xml:space="preserve">) or (ii) will not apply to the extent </w:t>
      </w:r>
      <w:r w:rsidR="009E2C1C">
        <w:rPr>
          <w:rFonts w:ascii="Times New Roman" w:hAnsi="Times New Roman"/>
          <w:sz w:val="24"/>
          <w:szCs w:val="24"/>
        </w:rPr>
        <w:t xml:space="preserve">that </w:t>
      </w:r>
      <w:r w:rsidRPr="002A1A15">
        <w:rPr>
          <w:rFonts w:ascii="Times New Roman" w:hAnsi="Times New Roman"/>
          <w:sz w:val="24"/>
          <w:szCs w:val="24"/>
        </w:rPr>
        <w:t>it is inconsistent.</w:t>
      </w:r>
    </w:p>
    <w:sectPr w:rsidR="00AA3317" w:rsidRPr="00EC38B3" w:rsidSect="00B84157">
      <w:footerReference w:type="default" r:id="rId15"/>
      <w:pgSz w:w="11906" w:h="16838"/>
      <w:pgMar w:top="1440" w:right="1440" w:bottom="1440" w:left="1440" w:header="708" w:footer="2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86A2" w14:textId="77777777" w:rsidR="00330E49" w:rsidRDefault="00330E49" w:rsidP="00377860">
      <w:pPr>
        <w:spacing w:after="0" w:line="240" w:lineRule="auto"/>
      </w:pPr>
      <w:r>
        <w:separator/>
      </w:r>
    </w:p>
  </w:endnote>
  <w:endnote w:type="continuationSeparator" w:id="0">
    <w:p w14:paraId="55452CE1" w14:textId="77777777" w:rsidR="00330E49" w:rsidRDefault="00330E49" w:rsidP="00377860">
      <w:pPr>
        <w:spacing w:after="0" w:line="240" w:lineRule="auto"/>
      </w:pPr>
      <w:r>
        <w:continuationSeparator/>
      </w:r>
    </w:p>
  </w:endnote>
  <w:endnote w:type="continuationNotice" w:id="1">
    <w:p w14:paraId="412DAC99" w14:textId="77777777" w:rsidR="00330E49" w:rsidRDefault="00330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28C9F" w14:textId="77777777" w:rsidR="005204B2" w:rsidRDefault="005204B2" w:rsidP="00B84157">
    <w:pPr>
      <w:pStyle w:val="Footer"/>
      <w:pBdr>
        <w:top w:val="single" w:sz="4" w:space="1" w:color="auto"/>
      </w:pBdr>
      <w:ind w:left="-851"/>
      <w:jc w:val="right"/>
      <w:rPr>
        <w:noProof/>
      </w:rPr>
    </w:pPr>
    <w:r>
      <w:fldChar w:fldCharType="begin"/>
    </w:r>
    <w:r>
      <w:instrText xml:space="preserve"> PAGE   \* MERGEFORMAT </w:instrText>
    </w:r>
    <w:r>
      <w:fldChar w:fldCharType="separate"/>
    </w:r>
    <w:r w:rsidR="00D2190E">
      <w:rPr>
        <w:noProof/>
      </w:rPr>
      <w:t>5</w:t>
    </w:r>
    <w:r>
      <w:rPr>
        <w:noProof/>
      </w:rPr>
      <w:fldChar w:fldCharType="end"/>
    </w:r>
  </w:p>
  <w:p w14:paraId="3A0139F9" w14:textId="77777777" w:rsidR="00AD75CA" w:rsidRDefault="00AD75CA">
    <w:pPr>
      <w:pStyle w:val="Footer"/>
      <w:jc w:val="right"/>
    </w:pPr>
  </w:p>
  <w:p w14:paraId="15B588F1" w14:textId="6CADC692" w:rsidR="00AD75CA" w:rsidRPr="00AD75CA" w:rsidRDefault="00D37D61" w:rsidP="00AD75CA">
    <w:pPr>
      <w:ind w:left="-851" w:right="-472"/>
      <w:jc w:val="center"/>
      <w:rPr>
        <w:rFonts w:ascii="Times New Roman" w:hAnsi="Times New Roman"/>
        <w:i/>
        <w:sz w:val="20"/>
        <w:szCs w:val="18"/>
      </w:rPr>
    </w:pPr>
    <w:r w:rsidRPr="00AD75CA">
      <w:rPr>
        <w:rFonts w:ascii="Times New Roman" w:hAnsi="Times New Roman"/>
        <w:i/>
        <w:sz w:val="20"/>
        <w:szCs w:val="18"/>
      </w:rPr>
      <w:t xml:space="preserve">Explanatory Statement to the </w:t>
    </w:r>
    <w:proofErr w:type="spellStart"/>
    <w:r w:rsidRPr="00AD75CA">
      <w:rPr>
        <w:rFonts w:ascii="Times New Roman" w:hAnsi="Times New Roman"/>
        <w:i/>
        <w:sz w:val="20"/>
        <w:szCs w:val="18"/>
      </w:rPr>
      <w:t>Radiocommunications</w:t>
    </w:r>
    <w:proofErr w:type="spellEnd"/>
    <w:r w:rsidRPr="00AD75CA">
      <w:rPr>
        <w:rFonts w:ascii="Times New Roman" w:hAnsi="Times New Roman"/>
        <w:i/>
        <w:sz w:val="20"/>
        <w:szCs w:val="18"/>
      </w:rPr>
      <w:t xml:space="preserve"> (Devices Used in the Inshore Boating Radio Services Band) Standard 2017, the </w:t>
    </w:r>
    <w:proofErr w:type="spellStart"/>
    <w:r w:rsidRPr="00AD75CA">
      <w:rPr>
        <w:rFonts w:ascii="Times New Roman" w:hAnsi="Times New Roman"/>
        <w:i/>
        <w:sz w:val="20"/>
        <w:szCs w:val="18"/>
      </w:rPr>
      <w:t>Radiocommunications</w:t>
    </w:r>
    <w:proofErr w:type="spellEnd"/>
    <w:r w:rsidRPr="00AD75CA">
      <w:rPr>
        <w:rFonts w:ascii="Times New Roman" w:hAnsi="Times New Roman"/>
        <w:i/>
        <w:sz w:val="20"/>
        <w:szCs w:val="18"/>
      </w:rPr>
      <w:t xml:space="preserve"> (Digital Cordless Communications Devices – DECT Devices) Standard 2017 and the </w:t>
    </w:r>
    <w:proofErr w:type="spellStart"/>
    <w:r w:rsidRPr="00AD75CA">
      <w:rPr>
        <w:rFonts w:ascii="Times New Roman" w:hAnsi="Times New Roman"/>
        <w:i/>
        <w:sz w:val="20"/>
        <w:szCs w:val="18"/>
      </w:rPr>
      <w:t>Radiocommunications</w:t>
    </w:r>
    <w:proofErr w:type="spellEnd"/>
    <w:r w:rsidRPr="00AD75CA">
      <w:rPr>
        <w:rFonts w:ascii="Times New Roman" w:hAnsi="Times New Roman"/>
        <w:i/>
        <w:sz w:val="20"/>
        <w:szCs w:val="18"/>
      </w:rPr>
      <w:t xml:space="preserve"> (HF CB and </w:t>
    </w:r>
    <w:proofErr w:type="spellStart"/>
    <w:r w:rsidRPr="00AD75CA">
      <w:rPr>
        <w:rFonts w:ascii="Times New Roman" w:hAnsi="Times New Roman"/>
        <w:i/>
        <w:sz w:val="20"/>
        <w:szCs w:val="18"/>
      </w:rPr>
      <w:t>Handphone</w:t>
    </w:r>
    <w:proofErr w:type="spellEnd"/>
    <w:r w:rsidRPr="00AD75CA">
      <w:rPr>
        <w:rFonts w:ascii="Times New Roman" w:hAnsi="Times New Roman"/>
        <w:i/>
        <w:sz w:val="20"/>
        <w:szCs w:val="18"/>
      </w:rPr>
      <w:t xml:space="preserve"> Equipment) Standard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32219" w14:textId="77777777" w:rsidR="00330E49" w:rsidRDefault="00330E49" w:rsidP="00377860">
      <w:pPr>
        <w:spacing w:after="0" w:line="240" w:lineRule="auto"/>
      </w:pPr>
      <w:r>
        <w:separator/>
      </w:r>
    </w:p>
  </w:footnote>
  <w:footnote w:type="continuationSeparator" w:id="0">
    <w:p w14:paraId="70281850" w14:textId="77777777" w:rsidR="00330E49" w:rsidRDefault="00330E49" w:rsidP="00377860">
      <w:pPr>
        <w:spacing w:after="0" w:line="240" w:lineRule="auto"/>
      </w:pPr>
      <w:r>
        <w:continuationSeparator/>
      </w:r>
    </w:p>
  </w:footnote>
  <w:footnote w:type="continuationNotice" w:id="1">
    <w:p w14:paraId="37FA79E6" w14:textId="77777777" w:rsidR="00330E49" w:rsidRDefault="00330E49">
      <w:pPr>
        <w:spacing w:after="0" w:line="240" w:lineRule="auto"/>
      </w:pPr>
    </w:p>
  </w:footnote>
  <w:footnote w:id="2">
    <w:p w14:paraId="7C9451A5" w14:textId="77777777" w:rsidR="008D1FC5" w:rsidRPr="00AD75CA" w:rsidRDefault="008D1FC5" w:rsidP="002A1A15">
      <w:pPr>
        <w:pStyle w:val="FootnoteText"/>
        <w:spacing w:after="120"/>
        <w:rPr>
          <w:rFonts w:ascii="Times New Roman" w:hAnsi="Times New Roman"/>
          <w:lang w:val="en-US"/>
        </w:rPr>
      </w:pPr>
      <w:r>
        <w:rPr>
          <w:rStyle w:val="FootnoteReference"/>
        </w:rPr>
        <w:footnoteRef/>
      </w:r>
      <w:r>
        <w:t xml:space="preserve">  </w:t>
      </w:r>
      <w:r w:rsidRPr="00AD75CA">
        <w:rPr>
          <w:rFonts w:ascii="Times New Roman" w:hAnsi="Times New Roman"/>
          <w:lang w:val="en-US"/>
        </w:rPr>
        <w:t xml:space="preserve">The </w:t>
      </w:r>
      <w:proofErr w:type="spellStart"/>
      <w:r w:rsidRPr="00AD75CA">
        <w:rPr>
          <w:rFonts w:ascii="Times New Roman" w:hAnsi="Times New Roman"/>
          <w:i/>
          <w:lang w:val="en-US"/>
        </w:rPr>
        <w:t>Radiocommunications</w:t>
      </w:r>
      <w:proofErr w:type="spellEnd"/>
      <w:r w:rsidRPr="00AD75CA">
        <w:rPr>
          <w:rFonts w:ascii="Times New Roman" w:hAnsi="Times New Roman"/>
          <w:i/>
          <w:lang w:val="en-US"/>
        </w:rPr>
        <w:t xml:space="preserve"> (Compliance Labelling – Electromagnetic Radiation) Notice 2014 </w:t>
      </w:r>
      <w:r w:rsidRPr="00AD75CA">
        <w:rPr>
          <w:rFonts w:ascii="Times New Roman" w:hAnsi="Times New Roman"/>
          <w:lang w:val="en-US"/>
        </w:rPr>
        <w:t>and the</w:t>
      </w:r>
      <w:r w:rsidRPr="00AD75CA">
        <w:rPr>
          <w:rFonts w:ascii="Times New Roman" w:hAnsi="Times New Roman"/>
          <w:i/>
        </w:rPr>
        <w:t xml:space="preserve"> </w:t>
      </w:r>
      <w:proofErr w:type="spellStart"/>
      <w:r w:rsidRPr="00AD75CA">
        <w:rPr>
          <w:rFonts w:ascii="Times New Roman" w:hAnsi="Times New Roman"/>
          <w:i/>
        </w:rPr>
        <w:t>Radiocommunications</w:t>
      </w:r>
      <w:proofErr w:type="spellEnd"/>
      <w:r w:rsidRPr="00AD75CA">
        <w:rPr>
          <w:rFonts w:ascii="Times New Roman" w:hAnsi="Times New Roman"/>
          <w:i/>
        </w:rPr>
        <w:t xml:space="preserve"> Labelling (Electromagnetic Compatibility) Notice 2008</w:t>
      </w:r>
      <w:r w:rsidRPr="00AD75CA">
        <w:rPr>
          <w:rFonts w:ascii="Times New Roman" w:hAnsi="Times New Roman"/>
          <w:lang w:val="en-US"/>
        </w:rPr>
        <w:t xml:space="preserve"> may also affect the supply of devices that are </w:t>
      </w:r>
      <w:proofErr w:type="spellStart"/>
      <w:r w:rsidRPr="00AD75CA">
        <w:rPr>
          <w:rFonts w:ascii="Times New Roman" w:hAnsi="Times New Roman"/>
          <w:lang w:val="en-US"/>
        </w:rPr>
        <w:t>radiocommunications</w:t>
      </w:r>
      <w:proofErr w:type="spellEnd"/>
      <w:r w:rsidRPr="00AD75CA">
        <w:rPr>
          <w:rFonts w:ascii="Times New Roman" w:hAnsi="Times New Roman"/>
          <w:lang w:val="en-US"/>
        </w:rPr>
        <w:t xml:space="preserve"> transmitters. </w:t>
      </w:r>
    </w:p>
  </w:footnote>
  <w:footnote w:id="3">
    <w:p w14:paraId="610D3335" w14:textId="63690D6A" w:rsidR="00B468ED" w:rsidRPr="00AD75CA" w:rsidRDefault="00B468ED" w:rsidP="00B468ED">
      <w:pPr>
        <w:pStyle w:val="FootnoteText"/>
        <w:rPr>
          <w:rFonts w:ascii="Times New Roman" w:hAnsi="Times New Roman"/>
        </w:rPr>
      </w:pPr>
      <w:r w:rsidRPr="00AD75CA">
        <w:rPr>
          <w:rStyle w:val="FootnoteReference"/>
          <w:rFonts w:ascii="Times New Roman" w:hAnsi="Times New Roman"/>
        </w:rPr>
        <w:footnoteRef/>
      </w:r>
      <w:r w:rsidRPr="00AD75CA">
        <w:rPr>
          <w:rFonts w:ascii="Times New Roman" w:hAnsi="Times New Roman"/>
        </w:rPr>
        <w:t xml:space="preserve"> </w:t>
      </w:r>
      <w:r w:rsidR="007C3967">
        <w:rPr>
          <w:rFonts w:ascii="Times New Roman" w:hAnsi="Times New Roman"/>
        </w:rPr>
        <w:t>T</w:t>
      </w:r>
      <w:r w:rsidRPr="00AD75CA">
        <w:rPr>
          <w:rFonts w:ascii="Times New Roman" w:hAnsi="Times New Roman"/>
        </w:rPr>
        <w:t xml:space="preserve">he </w:t>
      </w:r>
      <w:proofErr w:type="spellStart"/>
      <w:r w:rsidRPr="00AD75CA">
        <w:rPr>
          <w:rFonts w:ascii="Times New Roman" w:hAnsi="Times New Roman"/>
          <w:i/>
        </w:rPr>
        <w:t>Radiocommunications</w:t>
      </w:r>
      <w:proofErr w:type="spellEnd"/>
      <w:r w:rsidRPr="00AD75CA">
        <w:rPr>
          <w:rFonts w:ascii="Times New Roman" w:hAnsi="Times New Roman"/>
          <w:i/>
        </w:rPr>
        <w:t xml:space="preserve"> (Digital Cordless Communications Devices - DECT Devices) Standard 2007</w:t>
      </w:r>
      <w:r w:rsidRPr="00AD75CA">
        <w:rPr>
          <w:rFonts w:ascii="Times New Roman" w:hAnsi="Times New Roman"/>
        </w:rPr>
        <w:t xml:space="preserve"> was due to sunset on 1 October </w:t>
      </w:r>
      <w:r w:rsidR="00D37D61" w:rsidRPr="00AD75CA">
        <w:rPr>
          <w:rFonts w:ascii="Times New Roman" w:hAnsi="Times New Roman"/>
        </w:rPr>
        <w:t xml:space="preserve">2017 </w:t>
      </w:r>
      <w:r w:rsidRPr="00AD75CA">
        <w:rPr>
          <w:rFonts w:ascii="Times New Roman" w:hAnsi="Times New Roman"/>
        </w:rPr>
        <w:t xml:space="preserve">and the </w:t>
      </w:r>
      <w:proofErr w:type="spellStart"/>
      <w:r w:rsidRPr="00AD75CA">
        <w:rPr>
          <w:rFonts w:ascii="Times New Roman" w:hAnsi="Times New Roman"/>
          <w:i/>
        </w:rPr>
        <w:t>Radiocommunications</w:t>
      </w:r>
      <w:proofErr w:type="spellEnd"/>
      <w:r w:rsidRPr="00AD75CA">
        <w:rPr>
          <w:rFonts w:ascii="Times New Roman" w:hAnsi="Times New Roman"/>
          <w:i/>
        </w:rPr>
        <w:t xml:space="preserve"> (Devices Used in the Inshore Boating Radio Services Band) Standard 2008</w:t>
      </w:r>
      <w:r w:rsidRPr="00AD75CA">
        <w:rPr>
          <w:rFonts w:ascii="Times New Roman" w:hAnsi="Times New Roman"/>
        </w:rPr>
        <w:t xml:space="preserve"> and the </w:t>
      </w:r>
      <w:proofErr w:type="spellStart"/>
      <w:r w:rsidRPr="00AD75CA">
        <w:rPr>
          <w:rFonts w:ascii="Times New Roman" w:hAnsi="Times New Roman"/>
          <w:i/>
        </w:rPr>
        <w:t>Radiocommunications</w:t>
      </w:r>
      <w:proofErr w:type="spellEnd"/>
      <w:r w:rsidRPr="00AD75CA">
        <w:rPr>
          <w:rFonts w:ascii="Times New Roman" w:hAnsi="Times New Roman"/>
          <w:i/>
        </w:rPr>
        <w:t xml:space="preserve"> (HF CB and </w:t>
      </w:r>
      <w:proofErr w:type="spellStart"/>
      <w:r w:rsidRPr="00AD75CA">
        <w:rPr>
          <w:rFonts w:ascii="Times New Roman" w:hAnsi="Times New Roman"/>
          <w:i/>
        </w:rPr>
        <w:t>Handphone</w:t>
      </w:r>
      <w:proofErr w:type="spellEnd"/>
      <w:r w:rsidRPr="00AD75CA">
        <w:rPr>
          <w:rFonts w:ascii="Times New Roman" w:hAnsi="Times New Roman"/>
          <w:i/>
        </w:rPr>
        <w:t xml:space="preserve"> Equipment) Standard 2008</w:t>
      </w:r>
      <w:r w:rsidRPr="00AD75CA">
        <w:rPr>
          <w:rFonts w:ascii="Times New Roman" w:hAnsi="Times New Roman"/>
        </w:rPr>
        <w:t xml:space="preserve"> were due to sunset on 1 October 2018.</w:t>
      </w:r>
    </w:p>
  </w:footnote>
  <w:footnote w:id="4">
    <w:p w14:paraId="03DDFB7C" w14:textId="08E8E22C" w:rsidR="00AB0815" w:rsidRPr="00722E17" w:rsidRDefault="00AB0815">
      <w:pPr>
        <w:pStyle w:val="FootnoteText"/>
        <w:rPr>
          <w:rFonts w:ascii="Times New Roman" w:hAnsi="Times New Roman"/>
        </w:rPr>
      </w:pPr>
      <w:r>
        <w:rPr>
          <w:rStyle w:val="FootnoteReference"/>
        </w:rPr>
        <w:footnoteRef/>
      </w:r>
      <w:r w:rsidRPr="00722E17">
        <w:rPr>
          <w:rFonts w:ascii="Times New Roman" w:hAnsi="Times New Roman"/>
        </w:rPr>
        <w:t xml:space="preserve"> In the HF CB Standard, “</w:t>
      </w:r>
      <w:proofErr w:type="spellStart"/>
      <w:r w:rsidRPr="00722E17">
        <w:rPr>
          <w:rFonts w:ascii="Times New Roman" w:hAnsi="Times New Roman"/>
        </w:rPr>
        <w:t>handphone</w:t>
      </w:r>
      <w:proofErr w:type="spellEnd"/>
      <w:r w:rsidRPr="00722E17">
        <w:rPr>
          <w:rFonts w:ascii="Times New Roman" w:hAnsi="Times New Roman"/>
        </w:rPr>
        <w:t xml:space="preserve"> radio equipment” means a </w:t>
      </w:r>
      <w:proofErr w:type="spellStart"/>
      <w:r w:rsidR="00AC44BE">
        <w:rPr>
          <w:rFonts w:ascii="Times New Roman" w:hAnsi="Times New Roman"/>
        </w:rPr>
        <w:t>r</w:t>
      </w:r>
      <w:r w:rsidRPr="00722E17">
        <w:rPr>
          <w:rFonts w:ascii="Times New Roman" w:hAnsi="Times New Roman"/>
        </w:rPr>
        <w:t>adiocommunications</w:t>
      </w:r>
      <w:proofErr w:type="spellEnd"/>
      <w:r w:rsidRPr="00722E17">
        <w:rPr>
          <w:rFonts w:ascii="Times New Roman" w:hAnsi="Times New Roman"/>
        </w:rPr>
        <w:t xml:space="preserve"> device that</w:t>
      </w:r>
      <w:r w:rsidR="008F79A7" w:rsidRPr="00722E17">
        <w:rPr>
          <w:rFonts w:ascii="Times New Roman" w:hAnsi="Times New Roman"/>
        </w:rPr>
        <w:t xml:space="preserve"> is</w:t>
      </w:r>
      <w:r w:rsidRPr="00722E17">
        <w:rPr>
          <w:rFonts w:ascii="Times New Roman" w:hAnsi="Times New Roman"/>
        </w:rPr>
        <w:t>:</w:t>
      </w:r>
    </w:p>
    <w:p w14:paraId="42552D52" w14:textId="51BDC0D7" w:rsidR="008F79A7" w:rsidRPr="00722E17" w:rsidRDefault="008F79A7" w:rsidP="00722E17">
      <w:pPr>
        <w:pStyle w:val="FootnoteText"/>
        <w:numPr>
          <w:ilvl w:val="0"/>
          <w:numId w:val="42"/>
        </w:numPr>
        <w:rPr>
          <w:rFonts w:ascii="Times New Roman" w:hAnsi="Times New Roman"/>
        </w:rPr>
      </w:pPr>
      <w:r w:rsidRPr="00722E17">
        <w:rPr>
          <w:rFonts w:ascii="Times New Roman" w:hAnsi="Times New Roman"/>
        </w:rPr>
        <w:t xml:space="preserve">a </w:t>
      </w:r>
      <w:proofErr w:type="spellStart"/>
      <w:r w:rsidRPr="00722E17">
        <w:rPr>
          <w:rFonts w:ascii="Times New Roman" w:hAnsi="Times New Roman"/>
        </w:rPr>
        <w:t>handphone</w:t>
      </w:r>
      <w:proofErr w:type="spellEnd"/>
      <w:r w:rsidRPr="00722E17">
        <w:rPr>
          <w:rFonts w:ascii="Times New Roman" w:hAnsi="Times New Roman"/>
        </w:rPr>
        <w:t xml:space="preserve"> station that is designed to be carried personally and can operate on a carrier frequency specified in the </w:t>
      </w:r>
      <w:proofErr w:type="spellStart"/>
      <w:r w:rsidRPr="00722E17">
        <w:rPr>
          <w:rFonts w:ascii="Times New Roman" w:hAnsi="Times New Roman"/>
          <w:i/>
        </w:rPr>
        <w:t>Radiocommunications</w:t>
      </w:r>
      <w:proofErr w:type="spellEnd"/>
      <w:r w:rsidRPr="00722E17">
        <w:rPr>
          <w:rFonts w:ascii="Times New Roman" w:hAnsi="Times New Roman"/>
          <w:i/>
        </w:rPr>
        <w:t xml:space="preserve"> (27 MHz </w:t>
      </w:r>
      <w:proofErr w:type="spellStart"/>
      <w:r w:rsidRPr="00722E17">
        <w:rPr>
          <w:rFonts w:ascii="Times New Roman" w:hAnsi="Times New Roman"/>
          <w:i/>
        </w:rPr>
        <w:t>Handphone</w:t>
      </w:r>
      <w:proofErr w:type="spellEnd"/>
      <w:r w:rsidRPr="00722E17">
        <w:rPr>
          <w:rFonts w:ascii="Times New Roman" w:hAnsi="Times New Roman"/>
          <w:i/>
        </w:rPr>
        <w:t xml:space="preserve"> Stations) Class Licence 2015</w:t>
      </w:r>
      <w:r w:rsidRPr="00722E17">
        <w:rPr>
          <w:rFonts w:ascii="Times New Roman" w:hAnsi="Times New Roman"/>
        </w:rPr>
        <w:t>; or</w:t>
      </w:r>
    </w:p>
    <w:p w14:paraId="7962C270" w14:textId="16E2B20C" w:rsidR="008F79A7" w:rsidRPr="00722E17" w:rsidRDefault="007B0E2E" w:rsidP="00722E17">
      <w:pPr>
        <w:pStyle w:val="FootnoteText"/>
        <w:numPr>
          <w:ilvl w:val="0"/>
          <w:numId w:val="42"/>
        </w:numPr>
        <w:rPr>
          <w:rFonts w:ascii="Times New Roman" w:hAnsi="Times New Roman"/>
        </w:rPr>
      </w:pPr>
      <w:r w:rsidRPr="007B0E2E">
        <w:rPr>
          <w:rFonts w:ascii="Times New Roman" w:hAnsi="Times New Roman"/>
        </w:rPr>
        <w:t>a station that was designed or intended</w:t>
      </w:r>
      <w:r w:rsidR="008F79A7" w:rsidRPr="00722E17">
        <w:rPr>
          <w:rFonts w:ascii="Times New Roman" w:hAnsi="Times New Roman"/>
        </w:rPr>
        <w:t>:</w:t>
      </w:r>
    </w:p>
    <w:p w14:paraId="1BAA0800" w14:textId="08165944" w:rsidR="008F79A7" w:rsidRPr="00722E17" w:rsidRDefault="007B0E2E" w:rsidP="00722E17">
      <w:pPr>
        <w:pStyle w:val="FootnoteText"/>
        <w:numPr>
          <w:ilvl w:val="1"/>
          <w:numId w:val="43"/>
        </w:numPr>
        <w:rPr>
          <w:rFonts w:ascii="Times New Roman" w:hAnsi="Times New Roman"/>
        </w:rPr>
      </w:pPr>
      <w:r w:rsidRPr="007B0E2E">
        <w:rPr>
          <w:rFonts w:ascii="Times New Roman" w:hAnsi="Times New Roman"/>
        </w:rPr>
        <w:t>to be carried personally</w:t>
      </w:r>
      <w:r w:rsidR="00231C4A" w:rsidRPr="00722E17">
        <w:rPr>
          <w:rFonts w:ascii="Times New Roman" w:hAnsi="Times New Roman"/>
        </w:rPr>
        <w:t>; and</w:t>
      </w:r>
    </w:p>
    <w:p w14:paraId="207A5B56" w14:textId="77777777" w:rsidR="007B0E2E" w:rsidRDefault="007B0E2E" w:rsidP="00722E17">
      <w:pPr>
        <w:pStyle w:val="FootnoteText"/>
        <w:numPr>
          <w:ilvl w:val="1"/>
          <w:numId w:val="43"/>
        </w:numPr>
        <w:rPr>
          <w:rFonts w:ascii="Times New Roman" w:hAnsi="Times New Roman"/>
        </w:rPr>
      </w:pPr>
      <w:r w:rsidRPr="007B0E2E">
        <w:rPr>
          <w:rFonts w:ascii="Times New Roman" w:hAnsi="Times New Roman"/>
        </w:rPr>
        <w:t>to operate on a carrier frequency below 30 MHz specified for a service that is</w:t>
      </w:r>
      <w:r>
        <w:rPr>
          <w:rFonts w:ascii="Times New Roman" w:hAnsi="Times New Roman"/>
        </w:rPr>
        <w:t>:</w:t>
      </w:r>
    </w:p>
    <w:p w14:paraId="7F8D3D14" w14:textId="5FD1EF31" w:rsidR="000150FB" w:rsidRDefault="007B0E2E" w:rsidP="008F5058">
      <w:pPr>
        <w:pStyle w:val="FootnoteText"/>
        <w:ind w:left="1440"/>
        <w:rPr>
          <w:rFonts w:ascii="Times New Roman" w:hAnsi="Times New Roman"/>
        </w:rPr>
      </w:pPr>
      <w:r>
        <w:rPr>
          <w:rFonts w:ascii="Times New Roman" w:hAnsi="Times New Roman"/>
        </w:rPr>
        <w:t xml:space="preserve">(A) substantially </w:t>
      </w:r>
      <w:r w:rsidR="000150FB">
        <w:rPr>
          <w:rFonts w:ascii="Times New Roman" w:hAnsi="Times New Roman"/>
        </w:rPr>
        <w:t xml:space="preserve">similar to a “regulated </w:t>
      </w:r>
      <w:proofErr w:type="spellStart"/>
      <w:r w:rsidR="000150FB">
        <w:rPr>
          <w:rFonts w:ascii="Times New Roman" w:hAnsi="Times New Roman"/>
        </w:rPr>
        <w:t>handphone</w:t>
      </w:r>
      <w:proofErr w:type="spellEnd"/>
      <w:r w:rsidR="000150FB">
        <w:rPr>
          <w:rFonts w:ascii="Times New Roman" w:hAnsi="Times New Roman"/>
        </w:rPr>
        <w:t xml:space="preserve"> service”; and</w:t>
      </w:r>
    </w:p>
    <w:p w14:paraId="7DD236F1" w14:textId="1763B80F" w:rsidR="00231C4A" w:rsidRPr="008F5058" w:rsidRDefault="000150FB" w:rsidP="008F5058">
      <w:pPr>
        <w:pStyle w:val="FootnoteText"/>
        <w:ind w:left="1440"/>
        <w:rPr>
          <w:rFonts w:ascii="Times New Roman" w:hAnsi="Times New Roman"/>
        </w:rPr>
      </w:pPr>
      <w:r>
        <w:rPr>
          <w:rFonts w:ascii="Times New Roman" w:hAnsi="Times New Roman"/>
        </w:rPr>
        <w:t xml:space="preserve">(B) </w:t>
      </w:r>
      <w:proofErr w:type="gramStart"/>
      <w:r>
        <w:rPr>
          <w:rFonts w:ascii="Times New Roman" w:hAnsi="Times New Roman"/>
        </w:rPr>
        <w:t>outside</w:t>
      </w:r>
      <w:proofErr w:type="gramEnd"/>
      <w:r>
        <w:rPr>
          <w:rFonts w:ascii="Times New Roman" w:hAnsi="Times New Roman"/>
        </w:rPr>
        <w:t xml:space="preserve"> Australia.</w:t>
      </w:r>
    </w:p>
  </w:footnote>
  <w:footnote w:id="5">
    <w:p w14:paraId="5272534A" w14:textId="77777777" w:rsidR="00C33BE2" w:rsidRPr="00AD75CA" w:rsidRDefault="00C33BE2" w:rsidP="00C33BE2">
      <w:pPr>
        <w:pStyle w:val="FootnoteText"/>
        <w:rPr>
          <w:rFonts w:ascii="Times New Roman" w:hAnsi="Times New Roman"/>
        </w:rPr>
      </w:pPr>
      <w:r>
        <w:rPr>
          <w:rStyle w:val="FootnoteReference"/>
        </w:rPr>
        <w:footnoteRef/>
      </w:r>
      <w:r>
        <w:t xml:space="preserve"> </w:t>
      </w:r>
      <w:r w:rsidRPr="00AD75CA">
        <w:rPr>
          <w:rFonts w:ascii="Times New Roman" w:hAnsi="Times New Roman"/>
        </w:rPr>
        <w:t xml:space="preserve">In the HF CB Standard, “HF CB radio equipment” means a </w:t>
      </w:r>
      <w:proofErr w:type="spellStart"/>
      <w:r w:rsidRPr="00AD75CA">
        <w:rPr>
          <w:rFonts w:ascii="Times New Roman" w:hAnsi="Times New Roman"/>
        </w:rPr>
        <w:t>radiocommunications</w:t>
      </w:r>
      <w:proofErr w:type="spellEnd"/>
      <w:r w:rsidRPr="00AD75CA">
        <w:rPr>
          <w:rFonts w:ascii="Times New Roman" w:hAnsi="Times New Roman"/>
        </w:rPr>
        <w:t xml:space="preserve"> device that:</w:t>
      </w:r>
    </w:p>
    <w:p w14:paraId="5FE11AD3" w14:textId="08FBF8E4" w:rsidR="00C648C4" w:rsidRPr="00AD75CA" w:rsidRDefault="00AB0815" w:rsidP="003F085C">
      <w:pPr>
        <w:pStyle w:val="FootnoteText"/>
        <w:numPr>
          <w:ilvl w:val="0"/>
          <w:numId w:val="35"/>
        </w:numPr>
        <w:ind w:left="720"/>
        <w:rPr>
          <w:rFonts w:ascii="Times New Roman" w:hAnsi="Times New Roman"/>
        </w:rPr>
      </w:pPr>
      <w:r>
        <w:rPr>
          <w:rFonts w:ascii="Times New Roman" w:hAnsi="Times New Roman"/>
        </w:rPr>
        <w:t>is a HF CB station</w:t>
      </w:r>
      <w:r w:rsidR="00DA13D4">
        <w:rPr>
          <w:rFonts w:ascii="Times New Roman" w:hAnsi="Times New Roman"/>
        </w:rPr>
        <w:t xml:space="preserve"> operating on </w:t>
      </w:r>
      <w:r w:rsidR="00DA13D4" w:rsidRPr="00DA13D4">
        <w:rPr>
          <w:rFonts w:ascii="Times New Roman" w:hAnsi="Times New Roman"/>
        </w:rPr>
        <w:t xml:space="preserve">a channel mentioned in Part 1 of Schedule 1 to the </w:t>
      </w:r>
      <w:proofErr w:type="spellStart"/>
      <w:r w:rsidR="00DA13D4" w:rsidRPr="00DA13D4">
        <w:rPr>
          <w:rFonts w:ascii="Times New Roman" w:hAnsi="Times New Roman"/>
          <w:i/>
        </w:rPr>
        <w:t>Radiocommunications</w:t>
      </w:r>
      <w:proofErr w:type="spellEnd"/>
      <w:r w:rsidR="00DA13D4" w:rsidRPr="00DA13D4">
        <w:rPr>
          <w:rFonts w:ascii="Times New Roman" w:hAnsi="Times New Roman"/>
          <w:i/>
        </w:rPr>
        <w:t xml:space="preserve"> (Citizen Band Radio Stations) Class Licence 2015</w:t>
      </w:r>
      <w:r w:rsidR="00C33BE2" w:rsidRPr="00AD75CA">
        <w:rPr>
          <w:rFonts w:ascii="Times New Roman" w:hAnsi="Times New Roman"/>
        </w:rPr>
        <w:t>; or</w:t>
      </w:r>
    </w:p>
    <w:p w14:paraId="148157F9" w14:textId="77777777" w:rsidR="00C33BE2" w:rsidRPr="00C648C4" w:rsidRDefault="00C33BE2" w:rsidP="003F085C">
      <w:pPr>
        <w:pStyle w:val="FootnoteText"/>
        <w:numPr>
          <w:ilvl w:val="0"/>
          <w:numId w:val="35"/>
        </w:numPr>
        <w:ind w:left="720"/>
        <w:rPr>
          <w:rFonts w:ascii="Times New Roman" w:hAnsi="Times New Roman"/>
        </w:rPr>
      </w:pPr>
      <w:r w:rsidRPr="00C648C4">
        <w:rPr>
          <w:rFonts w:ascii="Times New Roman" w:hAnsi="Times New Roman"/>
        </w:rPr>
        <w:t xml:space="preserve">was designed or intended to operate on a carrier frequency specified for a service that is: </w:t>
      </w:r>
    </w:p>
    <w:p w14:paraId="41189950" w14:textId="582F0141" w:rsidR="00C33BE2" w:rsidRPr="00AD75CA" w:rsidRDefault="00C33BE2" w:rsidP="003F085C">
      <w:pPr>
        <w:pStyle w:val="FootnoteText"/>
        <w:ind w:left="720"/>
        <w:rPr>
          <w:rFonts w:ascii="Times New Roman" w:hAnsi="Times New Roman"/>
        </w:rPr>
      </w:pPr>
      <w:r w:rsidRPr="00AD75CA">
        <w:rPr>
          <w:rFonts w:ascii="Times New Roman" w:hAnsi="Times New Roman"/>
        </w:rPr>
        <w:t>(</w:t>
      </w:r>
      <w:proofErr w:type="spellStart"/>
      <w:r w:rsidRPr="00AD75CA">
        <w:rPr>
          <w:rFonts w:ascii="Times New Roman" w:hAnsi="Times New Roman"/>
        </w:rPr>
        <w:t>i</w:t>
      </w:r>
      <w:proofErr w:type="spellEnd"/>
      <w:r w:rsidRPr="00AD75CA">
        <w:rPr>
          <w:rFonts w:ascii="Times New Roman" w:hAnsi="Times New Roman"/>
        </w:rPr>
        <w:t>)</w:t>
      </w:r>
      <w:r w:rsidRPr="00AD75CA">
        <w:rPr>
          <w:rFonts w:ascii="Times New Roman" w:hAnsi="Times New Roman"/>
        </w:rPr>
        <w:tab/>
      </w:r>
      <w:r w:rsidR="00AB0815">
        <w:rPr>
          <w:rFonts w:ascii="Times New Roman" w:hAnsi="Times New Roman"/>
        </w:rPr>
        <w:t xml:space="preserve">substantially similar </w:t>
      </w:r>
      <w:r w:rsidR="00231C4A">
        <w:rPr>
          <w:rFonts w:ascii="Times New Roman" w:hAnsi="Times New Roman"/>
        </w:rPr>
        <w:t xml:space="preserve">to a </w:t>
      </w:r>
      <w:r w:rsidR="00DA13D4">
        <w:rPr>
          <w:rFonts w:ascii="Times New Roman" w:hAnsi="Times New Roman"/>
        </w:rPr>
        <w:t>“</w:t>
      </w:r>
      <w:r w:rsidR="00231C4A">
        <w:rPr>
          <w:rFonts w:ascii="Times New Roman" w:hAnsi="Times New Roman"/>
        </w:rPr>
        <w:t>HF CB service</w:t>
      </w:r>
      <w:r w:rsidR="00DA13D4">
        <w:rPr>
          <w:rFonts w:ascii="Times New Roman" w:hAnsi="Times New Roman"/>
        </w:rPr>
        <w:t>”</w:t>
      </w:r>
      <w:r w:rsidRPr="00AD75CA">
        <w:rPr>
          <w:rFonts w:ascii="Times New Roman" w:hAnsi="Times New Roman"/>
        </w:rPr>
        <w:t>; and</w:t>
      </w:r>
    </w:p>
    <w:p w14:paraId="67BE7232" w14:textId="77777777" w:rsidR="00C33BE2" w:rsidRPr="00AD75CA" w:rsidRDefault="00C33BE2" w:rsidP="003F085C">
      <w:pPr>
        <w:pStyle w:val="FootnoteText"/>
        <w:ind w:left="720"/>
        <w:rPr>
          <w:rFonts w:ascii="Times New Roman" w:hAnsi="Times New Roman"/>
        </w:rPr>
      </w:pPr>
      <w:r w:rsidRPr="00AD75CA">
        <w:rPr>
          <w:rFonts w:ascii="Times New Roman" w:hAnsi="Times New Roman"/>
        </w:rPr>
        <w:t>(ii)</w:t>
      </w:r>
      <w:r w:rsidRPr="00AD75CA">
        <w:rPr>
          <w:rFonts w:ascii="Times New Roman" w:hAnsi="Times New Roman"/>
        </w:rPr>
        <w:tab/>
      </w:r>
      <w:proofErr w:type="gramStart"/>
      <w:r w:rsidRPr="00AD75CA">
        <w:rPr>
          <w:rFonts w:ascii="Times New Roman" w:hAnsi="Times New Roman"/>
        </w:rPr>
        <w:t>outside</w:t>
      </w:r>
      <w:proofErr w:type="gramEnd"/>
      <w:r w:rsidRPr="00AD75CA">
        <w:rPr>
          <w:rFonts w:ascii="Times New Roman" w:hAnsi="Times New Roman"/>
        </w:rPr>
        <w:t xml:space="preserve"> Australia.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C38"/>
    <w:multiLevelType w:val="hybridMultilevel"/>
    <w:tmpl w:val="62BE9510"/>
    <w:lvl w:ilvl="0" w:tplc="D6AC3644">
      <w:start w:val="1"/>
      <w:numFmt w:val="lowerLetter"/>
      <w:lvlText w:val="(%1)"/>
      <w:lvlJc w:val="left"/>
      <w:pPr>
        <w:ind w:left="1815" w:hanging="37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0DE407CB"/>
    <w:multiLevelType w:val="hybridMultilevel"/>
    <w:tmpl w:val="5A0A9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337810"/>
    <w:multiLevelType w:val="hybridMultilevel"/>
    <w:tmpl w:val="7B70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3837D6"/>
    <w:multiLevelType w:val="hybridMultilevel"/>
    <w:tmpl w:val="4F9C7A5C"/>
    <w:lvl w:ilvl="0" w:tplc="802A2F4A">
      <w:start w:val="1"/>
      <w:numFmt w:val="lowerLetter"/>
      <w:pStyle w:val="DraftingParagraph"/>
      <w:lvlText w:val="(%1)"/>
      <w:lvlJc w:val="left"/>
      <w:pPr>
        <w:ind w:left="360" w:hanging="360"/>
      </w:pPr>
      <w:rPr>
        <w:rFonts w:hint="default"/>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09D6F0E"/>
    <w:multiLevelType w:val="hybridMultilevel"/>
    <w:tmpl w:val="77824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8C0EB6"/>
    <w:multiLevelType w:val="hybridMultilevel"/>
    <w:tmpl w:val="17B0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496D87"/>
    <w:multiLevelType w:val="hybridMultilevel"/>
    <w:tmpl w:val="09A67072"/>
    <w:lvl w:ilvl="0" w:tplc="2154F9E2">
      <w:start w:val="1"/>
      <w:numFmt w:val="lowerRoman"/>
      <w:lvlText w:val="(%1)"/>
      <w:lvlJc w:val="left"/>
      <w:pPr>
        <w:ind w:left="1214" w:hanging="720"/>
      </w:pPr>
      <w:rPr>
        <w:rFonts w:hint="default"/>
      </w:rPr>
    </w:lvl>
    <w:lvl w:ilvl="1" w:tplc="0C090019" w:tentative="1">
      <w:start w:val="1"/>
      <w:numFmt w:val="lowerLetter"/>
      <w:lvlText w:val="%2."/>
      <w:lvlJc w:val="left"/>
      <w:pPr>
        <w:ind w:left="1574" w:hanging="360"/>
      </w:pPr>
    </w:lvl>
    <w:lvl w:ilvl="2" w:tplc="0C09001B" w:tentative="1">
      <w:start w:val="1"/>
      <w:numFmt w:val="lowerRoman"/>
      <w:lvlText w:val="%3."/>
      <w:lvlJc w:val="right"/>
      <w:pPr>
        <w:ind w:left="2294" w:hanging="180"/>
      </w:pPr>
    </w:lvl>
    <w:lvl w:ilvl="3" w:tplc="0C09000F" w:tentative="1">
      <w:start w:val="1"/>
      <w:numFmt w:val="decimal"/>
      <w:lvlText w:val="%4."/>
      <w:lvlJc w:val="left"/>
      <w:pPr>
        <w:ind w:left="3014" w:hanging="360"/>
      </w:pPr>
    </w:lvl>
    <w:lvl w:ilvl="4" w:tplc="0C090019" w:tentative="1">
      <w:start w:val="1"/>
      <w:numFmt w:val="lowerLetter"/>
      <w:lvlText w:val="%5."/>
      <w:lvlJc w:val="left"/>
      <w:pPr>
        <w:ind w:left="3734" w:hanging="360"/>
      </w:pPr>
    </w:lvl>
    <w:lvl w:ilvl="5" w:tplc="0C09001B" w:tentative="1">
      <w:start w:val="1"/>
      <w:numFmt w:val="lowerRoman"/>
      <w:lvlText w:val="%6."/>
      <w:lvlJc w:val="right"/>
      <w:pPr>
        <w:ind w:left="4454" w:hanging="180"/>
      </w:pPr>
    </w:lvl>
    <w:lvl w:ilvl="6" w:tplc="0C09000F" w:tentative="1">
      <w:start w:val="1"/>
      <w:numFmt w:val="decimal"/>
      <w:lvlText w:val="%7."/>
      <w:lvlJc w:val="left"/>
      <w:pPr>
        <w:ind w:left="5174" w:hanging="360"/>
      </w:pPr>
    </w:lvl>
    <w:lvl w:ilvl="7" w:tplc="0C090019" w:tentative="1">
      <w:start w:val="1"/>
      <w:numFmt w:val="lowerLetter"/>
      <w:lvlText w:val="%8."/>
      <w:lvlJc w:val="left"/>
      <w:pPr>
        <w:ind w:left="5894" w:hanging="360"/>
      </w:pPr>
    </w:lvl>
    <w:lvl w:ilvl="8" w:tplc="0C09001B" w:tentative="1">
      <w:start w:val="1"/>
      <w:numFmt w:val="lowerRoman"/>
      <w:lvlText w:val="%9."/>
      <w:lvlJc w:val="right"/>
      <w:pPr>
        <w:ind w:left="6614" w:hanging="180"/>
      </w:pPr>
    </w:lvl>
  </w:abstractNum>
  <w:abstractNum w:abstractNumId="8">
    <w:nsid w:val="2CDF1A65"/>
    <w:multiLevelType w:val="hybridMultilevel"/>
    <w:tmpl w:val="09A67072"/>
    <w:lvl w:ilvl="0" w:tplc="2154F9E2">
      <w:start w:val="1"/>
      <w:numFmt w:val="lowerRoman"/>
      <w:lvlText w:val="(%1)"/>
      <w:lvlJc w:val="left"/>
      <w:pPr>
        <w:ind w:left="1214" w:hanging="720"/>
      </w:pPr>
      <w:rPr>
        <w:rFonts w:hint="default"/>
      </w:rPr>
    </w:lvl>
    <w:lvl w:ilvl="1" w:tplc="0C090019" w:tentative="1">
      <w:start w:val="1"/>
      <w:numFmt w:val="lowerLetter"/>
      <w:lvlText w:val="%2."/>
      <w:lvlJc w:val="left"/>
      <w:pPr>
        <w:ind w:left="1574" w:hanging="360"/>
      </w:pPr>
    </w:lvl>
    <w:lvl w:ilvl="2" w:tplc="0C09001B" w:tentative="1">
      <w:start w:val="1"/>
      <w:numFmt w:val="lowerRoman"/>
      <w:lvlText w:val="%3."/>
      <w:lvlJc w:val="right"/>
      <w:pPr>
        <w:ind w:left="2294" w:hanging="180"/>
      </w:pPr>
    </w:lvl>
    <w:lvl w:ilvl="3" w:tplc="0C09000F" w:tentative="1">
      <w:start w:val="1"/>
      <w:numFmt w:val="decimal"/>
      <w:lvlText w:val="%4."/>
      <w:lvlJc w:val="left"/>
      <w:pPr>
        <w:ind w:left="3014" w:hanging="360"/>
      </w:pPr>
    </w:lvl>
    <w:lvl w:ilvl="4" w:tplc="0C090019" w:tentative="1">
      <w:start w:val="1"/>
      <w:numFmt w:val="lowerLetter"/>
      <w:lvlText w:val="%5."/>
      <w:lvlJc w:val="left"/>
      <w:pPr>
        <w:ind w:left="3734" w:hanging="360"/>
      </w:pPr>
    </w:lvl>
    <w:lvl w:ilvl="5" w:tplc="0C09001B" w:tentative="1">
      <w:start w:val="1"/>
      <w:numFmt w:val="lowerRoman"/>
      <w:lvlText w:val="%6."/>
      <w:lvlJc w:val="right"/>
      <w:pPr>
        <w:ind w:left="4454" w:hanging="180"/>
      </w:pPr>
    </w:lvl>
    <w:lvl w:ilvl="6" w:tplc="0C09000F" w:tentative="1">
      <w:start w:val="1"/>
      <w:numFmt w:val="decimal"/>
      <w:lvlText w:val="%7."/>
      <w:lvlJc w:val="left"/>
      <w:pPr>
        <w:ind w:left="5174" w:hanging="360"/>
      </w:pPr>
    </w:lvl>
    <w:lvl w:ilvl="7" w:tplc="0C090019" w:tentative="1">
      <w:start w:val="1"/>
      <w:numFmt w:val="lowerLetter"/>
      <w:lvlText w:val="%8."/>
      <w:lvlJc w:val="left"/>
      <w:pPr>
        <w:ind w:left="5894" w:hanging="360"/>
      </w:pPr>
    </w:lvl>
    <w:lvl w:ilvl="8" w:tplc="0C09001B" w:tentative="1">
      <w:start w:val="1"/>
      <w:numFmt w:val="lowerRoman"/>
      <w:lvlText w:val="%9."/>
      <w:lvlJc w:val="right"/>
      <w:pPr>
        <w:ind w:left="6614" w:hanging="180"/>
      </w:pPr>
    </w:lvl>
  </w:abstractNum>
  <w:abstractNum w:abstractNumId="9">
    <w:nsid w:val="2D5F465F"/>
    <w:multiLevelType w:val="hybridMultilevel"/>
    <w:tmpl w:val="45449A34"/>
    <w:lvl w:ilvl="0" w:tplc="5A9C89F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EA950A8"/>
    <w:multiLevelType w:val="hybridMultilevel"/>
    <w:tmpl w:val="E0F47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D83D57"/>
    <w:multiLevelType w:val="hybridMultilevel"/>
    <w:tmpl w:val="E8FA6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E56288"/>
    <w:multiLevelType w:val="hybridMultilevel"/>
    <w:tmpl w:val="7CA2B408"/>
    <w:lvl w:ilvl="0" w:tplc="E1262B40">
      <w:start w:val="2"/>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867432"/>
    <w:multiLevelType w:val="hybridMultilevel"/>
    <w:tmpl w:val="67A468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43D281C"/>
    <w:multiLevelType w:val="hybridMultilevel"/>
    <w:tmpl w:val="3B769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5A938DD"/>
    <w:multiLevelType w:val="hybridMultilevel"/>
    <w:tmpl w:val="897A8814"/>
    <w:lvl w:ilvl="0" w:tplc="8E280948">
      <w:start w:val="2"/>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322BA4"/>
    <w:multiLevelType w:val="hybridMultilevel"/>
    <w:tmpl w:val="C1CC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39120F"/>
    <w:multiLevelType w:val="hybridMultilevel"/>
    <w:tmpl w:val="F3B028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4C341CEB"/>
    <w:multiLevelType w:val="hybridMultilevel"/>
    <w:tmpl w:val="167AB12A"/>
    <w:lvl w:ilvl="0" w:tplc="9AC2862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C424D65"/>
    <w:multiLevelType w:val="hybridMultilevel"/>
    <w:tmpl w:val="F8BE4CB8"/>
    <w:lvl w:ilvl="0" w:tplc="0C090001">
      <w:start w:val="1"/>
      <w:numFmt w:val="bullet"/>
      <w:lvlText w:val=""/>
      <w:lvlJc w:val="left"/>
      <w:pPr>
        <w:ind w:left="720" w:hanging="360"/>
      </w:pPr>
      <w:rPr>
        <w:rFonts w:ascii="Symbol" w:hAnsi="Symbol" w:hint="default"/>
      </w:rPr>
    </w:lvl>
    <w:lvl w:ilvl="1" w:tplc="A190AF5A">
      <w:numFmt w:val="bullet"/>
      <w:lvlText w:val=""/>
      <w:lvlJc w:val="left"/>
      <w:pPr>
        <w:ind w:left="1800" w:hanging="720"/>
      </w:pPr>
      <w:rPr>
        <w:rFonts w:ascii="Wingdings" w:eastAsia="Calibri" w:hAnsi="Wingding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AF6514"/>
    <w:multiLevelType w:val="hybridMultilevel"/>
    <w:tmpl w:val="F38E1C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5BC55912"/>
    <w:multiLevelType w:val="hybridMultilevel"/>
    <w:tmpl w:val="9AE61850"/>
    <w:lvl w:ilvl="0" w:tplc="BBA8CD6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FD7B06"/>
    <w:multiLevelType w:val="hybridMultilevel"/>
    <w:tmpl w:val="26FC1832"/>
    <w:lvl w:ilvl="0" w:tplc="1A06B362">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FD4D68"/>
    <w:multiLevelType w:val="hybridMultilevel"/>
    <w:tmpl w:val="B3625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BE3DD4"/>
    <w:multiLevelType w:val="hybridMultilevel"/>
    <w:tmpl w:val="42D8C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25345C"/>
    <w:multiLevelType w:val="hybridMultilevel"/>
    <w:tmpl w:val="CD48C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5327D98"/>
    <w:multiLevelType w:val="hybridMultilevel"/>
    <w:tmpl w:val="0B96E6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57D27E4"/>
    <w:multiLevelType w:val="hybridMultilevel"/>
    <w:tmpl w:val="EA6CC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7FF63CA"/>
    <w:multiLevelType w:val="hybridMultilevel"/>
    <w:tmpl w:val="8C96BCB4"/>
    <w:lvl w:ilvl="0" w:tplc="5136E23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E2559D2"/>
    <w:multiLevelType w:val="hybridMultilevel"/>
    <w:tmpl w:val="2102B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1BE6451"/>
    <w:multiLevelType w:val="hybridMultilevel"/>
    <w:tmpl w:val="AB008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3E73DC"/>
    <w:multiLevelType w:val="hybridMultilevel"/>
    <w:tmpl w:val="40BA6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4535D16"/>
    <w:multiLevelType w:val="hybridMultilevel"/>
    <w:tmpl w:val="BCB611B8"/>
    <w:lvl w:ilvl="0" w:tplc="A0648B8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57E3C0D"/>
    <w:multiLevelType w:val="hybridMultilevel"/>
    <w:tmpl w:val="D7E62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B27273"/>
    <w:multiLevelType w:val="hybridMultilevel"/>
    <w:tmpl w:val="D0C00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5FE6360"/>
    <w:multiLevelType w:val="hybridMultilevel"/>
    <w:tmpl w:val="4D60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564C03"/>
    <w:multiLevelType w:val="hybridMultilevel"/>
    <w:tmpl w:val="95FA10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8A435B"/>
    <w:multiLevelType w:val="hybridMultilevel"/>
    <w:tmpl w:val="7C286C4C"/>
    <w:lvl w:ilvl="0" w:tplc="8E280948">
      <w:start w:val="2"/>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B9568D3"/>
    <w:multiLevelType w:val="hybridMultilevel"/>
    <w:tmpl w:val="7E5869AE"/>
    <w:lvl w:ilvl="0" w:tplc="9AC2862A">
      <w:start w:val="1"/>
      <w:numFmt w:val="lowerLetter"/>
      <w:lvlText w:val="(%1)"/>
      <w:lvlJc w:val="left"/>
      <w:pPr>
        <w:ind w:left="720" w:hanging="360"/>
      </w:pPr>
      <w:rPr>
        <w:rFonts w:hint="default"/>
      </w:rPr>
    </w:lvl>
    <w:lvl w:ilvl="1" w:tplc="D0CCBBB4">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C7B5BB3"/>
    <w:multiLevelType w:val="hybridMultilevel"/>
    <w:tmpl w:val="EE2EFFA0"/>
    <w:lvl w:ilvl="0" w:tplc="0C090001">
      <w:start w:val="1"/>
      <w:numFmt w:val="bullet"/>
      <w:lvlText w:val=""/>
      <w:lvlJc w:val="left"/>
      <w:pPr>
        <w:ind w:left="360" w:hanging="360"/>
      </w:pPr>
      <w:rPr>
        <w:rFonts w:ascii="Symbol" w:hAnsi="Symbol" w:hint="default"/>
      </w:rPr>
    </w:lvl>
    <w:lvl w:ilvl="1" w:tplc="8E280948">
      <w:start w:val="2"/>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EFA0C6E"/>
    <w:multiLevelType w:val="hybridMultilevel"/>
    <w:tmpl w:val="2A1CCC02"/>
    <w:lvl w:ilvl="0" w:tplc="8E280948">
      <w:start w:val="2"/>
      <w:numFmt w:val="bullet"/>
      <w:lvlText w:val="-"/>
      <w:lvlJc w:val="left"/>
      <w:pPr>
        <w:ind w:left="720" w:hanging="360"/>
      </w:pPr>
      <w:rPr>
        <w:rFonts w:ascii="Arial" w:eastAsia="Calibri" w:hAnsi="Arial" w:cs="Arial" w:hint="default"/>
      </w:rPr>
    </w:lvl>
    <w:lvl w:ilvl="1" w:tplc="8E280948">
      <w:start w:val="2"/>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7"/>
  </w:num>
  <w:num w:numId="4">
    <w:abstractNumId w:val="9"/>
  </w:num>
  <w:num w:numId="5">
    <w:abstractNumId w:val="37"/>
  </w:num>
  <w:num w:numId="6">
    <w:abstractNumId w:val="29"/>
  </w:num>
  <w:num w:numId="7">
    <w:abstractNumId w:val="13"/>
  </w:num>
  <w:num w:numId="8">
    <w:abstractNumId w:val="27"/>
  </w:num>
  <w:num w:numId="9">
    <w:abstractNumId w:val="14"/>
  </w:num>
  <w:num w:numId="10">
    <w:abstractNumId w:val="39"/>
  </w:num>
  <w:num w:numId="11">
    <w:abstractNumId w:val="25"/>
  </w:num>
  <w:num w:numId="12">
    <w:abstractNumId w:val="16"/>
  </w:num>
  <w:num w:numId="13">
    <w:abstractNumId w:val="24"/>
  </w:num>
  <w:num w:numId="14">
    <w:abstractNumId w:val="30"/>
  </w:num>
  <w:num w:numId="15">
    <w:abstractNumId w:val="34"/>
  </w:num>
  <w:num w:numId="16">
    <w:abstractNumId w:val="33"/>
  </w:num>
  <w:num w:numId="17">
    <w:abstractNumId w:val="15"/>
  </w:num>
  <w:num w:numId="18">
    <w:abstractNumId w:val="40"/>
  </w:num>
  <w:num w:numId="19">
    <w:abstractNumId w:val="10"/>
  </w:num>
  <w:num w:numId="20">
    <w:abstractNumId w:val="31"/>
  </w:num>
  <w:num w:numId="21">
    <w:abstractNumId w:val="35"/>
  </w:num>
  <w:num w:numId="22">
    <w:abstractNumId w:val="36"/>
  </w:num>
  <w:num w:numId="23">
    <w:abstractNumId w:val="1"/>
  </w:num>
  <w:num w:numId="24">
    <w:abstractNumId w:val="22"/>
  </w:num>
  <w:num w:numId="25">
    <w:abstractNumId w:val="5"/>
  </w:num>
  <w:num w:numId="26">
    <w:abstractNumId w:val="20"/>
  </w:num>
  <w:num w:numId="27">
    <w:abstractNumId w:val="28"/>
  </w:num>
  <w:num w:numId="28">
    <w:abstractNumId w:val="8"/>
  </w:num>
  <w:num w:numId="29">
    <w:abstractNumId w:val="21"/>
  </w:num>
  <w:num w:numId="30">
    <w:abstractNumId w:val="7"/>
  </w:num>
  <w:num w:numId="31">
    <w:abstractNumId w:val="19"/>
  </w:num>
  <w:num w:numId="32">
    <w:abstractNumId w:val="26"/>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2"/>
  </w:num>
  <w:num w:numId="37">
    <w:abstractNumId w:val="4"/>
  </w:num>
  <w:num w:numId="38">
    <w:abstractNumId w:val="0"/>
  </w:num>
  <w:num w:numId="39">
    <w:abstractNumId w:val="12"/>
  </w:num>
  <w:num w:numId="40">
    <w:abstractNumId w:val="23"/>
  </w:num>
  <w:num w:numId="41">
    <w:abstractNumId w:val="32"/>
  </w:num>
  <w:num w:numId="42">
    <w:abstractNumId w:val="18"/>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BC"/>
    <w:rsid w:val="00003806"/>
    <w:rsid w:val="000039CB"/>
    <w:rsid w:val="00003A45"/>
    <w:rsid w:val="00005039"/>
    <w:rsid w:val="00005F9A"/>
    <w:rsid w:val="0000640E"/>
    <w:rsid w:val="00010638"/>
    <w:rsid w:val="00012C89"/>
    <w:rsid w:val="00013AD1"/>
    <w:rsid w:val="000150FB"/>
    <w:rsid w:val="00015DFC"/>
    <w:rsid w:val="0002068D"/>
    <w:rsid w:val="00020843"/>
    <w:rsid w:val="0002216F"/>
    <w:rsid w:val="0002361C"/>
    <w:rsid w:val="00027585"/>
    <w:rsid w:val="00027678"/>
    <w:rsid w:val="000336BB"/>
    <w:rsid w:val="000408D6"/>
    <w:rsid w:val="00040AE2"/>
    <w:rsid w:val="00041490"/>
    <w:rsid w:val="00042072"/>
    <w:rsid w:val="0004235A"/>
    <w:rsid w:val="0004283E"/>
    <w:rsid w:val="00042C9A"/>
    <w:rsid w:val="000435A0"/>
    <w:rsid w:val="0004547D"/>
    <w:rsid w:val="0004596E"/>
    <w:rsid w:val="0004730E"/>
    <w:rsid w:val="00050374"/>
    <w:rsid w:val="000509CA"/>
    <w:rsid w:val="000517F2"/>
    <w:rsid w:val="00054DD0"/>
    <w:rsid w:val="00056F2B"/>
    <w:rsid w:val="000574BD"/>
    <w:rsid w:val="00057D6F"/>
    <w:rsid w:val="00060008"/>
    <w:rsid w:val="00061D65"/>
    <w:rsid w:val="00062BD0"/>
    <w:rsid w:val="000632DC"/>
    <w:rsid w:val="00064F59"/>
    <w:rsid w:val="000651AF"/>
    <w:rsid w:val="00065702"/>
    <w:rsid w:val="00065A14"/>
    <w:rsid w:val="000669D9"/>
    <w:rsid w:val="0006798D"/>
    <w:rsid w:val="0007166D"/>
    <w:rsid w:val="00071D89"/>
    <w:rsid w:val="00072FCB"/>
    <w:rsid w:val="00073C5C"/>
    <w:rsid w:val="000757D6"/>
    <w:rsid w:val="000769BD"/>
    <w:rsid w:val="000805DB"/>
    <w:rsid w:val="0008064F"/>
    <w:rsid w:val="000826F2"/>
    <w:rsid w:val="00082924"/>
    <w:rsid w:val="00082CBD"/>
    <w:rsid w:val="00083742"/>
    <w:rsid w:val="00084D05"/>
    <w:rsid w:val="00085508"/>
    <w:rsid w:val="00086706"/>
    <w:rsid w:val="0008776D"/>
    <w:rsid w:val="00087F25"/>
    <w:rsid w:val="00090635"/>
    <w:rsid w:val="00090DA4"/>
    <w:rsid w:val="00091A33"/>
    <w:rsid w:val="00092944"/>
    <w:rsid w:val="00094655"/>
    <w:rsid w:val="000949A5"/>
    <w:rsid w:val="000968E0"/>
    <w:rsid w:val="00097579"/>
    <w:rsid w:val="000A17E6"/>
    <w:rsid w:val="000A19C5"/>
    <w:rsid w:val="000A1B3D"/>
    <w:rsid w:val="000A3622"/>
    <w:rsid w:val="000A458A"/>
    <w:rsid w:val="000A6038"/>
    <w:rsid w:val="000B171D"/>
    <w:rsid w:val="000B1F37"/>
    <w:rsid w:val="000B2523"/>
    <w:rsid w:val="000B25D6"/>
    <w:rsid w:val="000B3104"/>
    <w:rsid w:val="000B36C9"/>
    <w:rsid w:val="000B3971"/>
    <w:rsid w:val="000B4318"/>
    <w:rsid w:val="000C0728"/>
    <w:rsid w:val="000C1669"/>
    <w:rsid w:val="000C29B2"/>
    <w:rsid w:val="000C4734"/>
    <w:rsid w:val="000C52BC"/>
    <w:rsid w:val="000C55FE"/>
    <w:rsid w:val="000C5BC8"/>
    <w:rsid w:val="000C7A0F"/>
    <w:rsid w:val="000D2896"/>
    <w:rsid w:val="000D2D0D"/>
    <w:rsid w:val="000D61C1"/>
    <w:rsid w:val="000D7B0F"/>
    <w:rsid w:val="000E0E33"/>
    <w:rsid w:val="000E1F9B"/>
    <w:rsid w:val="000E1FB9"/>
    <w:rsid w:val="000E238D"/>
    <w:rsid w:val="000E25E0"/>
    <w:rsid w:val="000E51D7"/>
    <w:rsid w:val="000E6B3B"/>
    <w:rsid w:val="000E7794"/>
    <w:rsid w:val="000F090E"/>
    <w:rsid w:val="000F365F"/>
    <w:rsid w:val="000F4E98"/>
    <w:rsid w:val="000F7DEE"/>
    <w:rsid w:val="001013B5"/>
    <w:rsid w:val="00102B82"/>
    <w:rsid w:val="0010415A"/>
    <w:rsid w:val="001043E6"/>
    <w:rsid w:val="001062C5"/>
    <w:rsid w:val="0010770F"/>
    <w:rsid w:val="001105B6"/>
    <w:rsid w:val="00110A2F"/>
    <w:rsid w:val="001110DE"/>
    <w:rsid w:val="00112A62"/>
    <w:rsid w:val="00112A9B"/>
    <w:rsid w:val="0011438F"/>
    <w:rsid w:val="00121984"/>
    <w:rsid w:val="00123E17"/>
    <w:rsid w:val="00126834"/>
    <w:rsid w:val="00130BA6"/>
    <w:rsid w:val="001336DD"/>
    <w:rsid w:val="0013396F"/>
    <w:rsid w:val="00133E18"/>
    <w:rsid w:val="001354A8"/>
    <w:rsid w:val="001359E3"/>
    <w:rsid w:val="00135C56"/>
    <w:rsid w:val="00136C33"/>
    <w:rsid w:val="00140CE7"/>
    <w:rsid w:val="0014148C"/>
    <w:rsid w:val="00143093"/>
    <w:rsid w:val="0014454D"/>
    <w:rsid w:val="0014662C"/>
    <w:rsid w:val="00146678"/>
    <w:rsid w:val="001469F1"/>
    <w:rsid w:val="001511BC"/>
    <w:rsid w:val="0015682D"/>
    <w:rsid w:val="001602FF"/>
    <w:rsid w:val="00163F8E"/>
    <w:rsid w:val="0016403A"/>
    <w:rsid w:val="00164ECB"/>
    <w:rsid w:val="001658AB"/>
    <w:rsid w:val="001669AF"/>
    <w:rsid w:val="00166B11"/>
    <w:rsid w:val="00167FB5"/>
    <w:rsid w:val="00171829"/>
    <w:rsid w:val="00173BF9"/>
    <w:rsid w:val="00173CCD"/>
    <w:rsid w:val="00174657"/>
    <w:rsid w:val="00176558"/>
    <w:rsid w:val="00180F13"/>
    <w:rsid w:val="0018137E"/>
    <w:rsid w:val="00182231"/>
    <w:rsid w:val="00183B61"/>
    <w:rsid w:val="00184A17"/>
    <w:rsid w:val="001873E5"/>
    <w:rsid w:val="00187BC8"/>
    <w:rsid w:val="00192D94"/>
    <w:rsid w:val="00194CF0"/>
    <w:rsid w:val="001977E2"/>
    <w:rsid w:val="001A0797"/>
    <w:rsid w:val="001A1CC5"/>
    <w:rsid w:val="001A382D"/>
    <w:rsid w:val="001A4DE4"/>
    <w:rsid w:val="001A4DE7"/>
    <w:rsid w:val="001A63BA"/>
    <w:rsid w:val="001B01F1"/>
    <w:rsid w:val="001B2B18"/>
    <w:rsid w:val="001B2B7D"/>
    <w:rsid w:val="001B325B"/>
    <w:rsid w:val="001B35B1"/>
    <w:rsid w:val="001B3ABF"/>
    <w:rsid w:val="001B415E"/>
    <w:rsid w:val="001B4CD4"/>
    <w:rsid w:val="001B58C7"/>
    <w:rsid w:val="001B5F05"/>
    <w:rsid w:val="001C0CF1"/>
    <w:rsid w:val="001C191E"/>
    <w:rsid w:val="001C2953"/>
    <w:rsid w:val="001C4F99"/>
    <w:rsid w:val="001C5D75"/>
    <w:rsid w:val="001C6BDB"/>
    <w:rsid w:val="001D018A"/>
    <w:rsid w:val="001D0F4D"/>
    <w:rsid w:val="001D0F52"/>
    <w:rsid w:val="001D1334"/>
    <w:rsid w:val="001D2209"/>
    <w:rsid w:val="001D25D6"/>
    <w:rsid w:val="001D3C5F"/>
    <w:rsid w:val="001D3D08"/>
    <w:rsid w:val="001D45B5"/>
    <w:rsid w:val="001D562C"/>
    <w:rsid w:val="001D6032"/>
    <w:rsid w:val="001D7B22"/>
    <w:rsid w:val="001E0272"/>
    <w:rsid w:val="001E0607"/>
    <w:rsid w:val="001E0AD7"/>
    <w:rsid w:val="001E3081"/>
    <w:rsid w:val="001E5E3E"/>
    <w:rsid w:val="001E6F0E"/>
    <w:rsid w:val="001E6F17"/>
    <w:rsid w:val="001E6F40"/>
    <w:rsid w:val="001E78F7"/>
    <w:rsid w:val="001F067E"/>
    <w:rsid w:val="001F31ED"/>
    <w:rsid w:val="001F55DC"/>
    <w:rsid w:val="001F66AD"/>
    <w:rsid w:val="001F7834"/>
    <w:rsid w:val="002030B3"/>
    <w:rsid w:val="00206178"/>
    <w:rsid w:val="00210150"/>
    <w:rsid w:val="00213195"/>
    <w:rsid w:val="00213E02"/>
    <w:rsid w:val="0021455E"/>
    <w:rsid w:val="002164BC"/>
    <w:rsid w:val="00222C33"/>
    <w:rsid w:val="00223BE6"/>
    <w:rsid w:val="00227FD0"/>
    <w:rsid w:val="00230179"/>
    <w:rsid w:val="0023064E"/>
    <w:rsid w:val="0023089D"/>
    <w:rsid w:val="00231C4A"/>
    <w:rsid w:val="002352E4"/>
    <w:rsid w:val="00235F33"/>
    <w:rsid w:val="0023637C"/>
    <w:rsid w:val="002421ED"/>
    <w:rsid w:val="00242C66"/>
    <w:rsid w:val="0024429C"/>
    <w:rsid w:val="0024540F"/>
    <w:rsid w:val="0024628F"/>
    <w:rsid w:val="0024665D"/>
    <w:rsid w:val="0024792C"/>
    <w:rsid w:val="00250EBD"/>
    <w:rsid w:val="002540A7"/>
    <w:rsid w:val="002551CD"/>
    <w:rsid w:val="002558C2"/>
    <w:rsid w:val="00256692"/>
    <w:rsid w:val="00260514"/>
    <w:rsid w:val="002651F7"/>
    <w:rsid w:val="00265F67"/>
    <w:rsid w:val="00270D16"/>
    <w:rsid w:val="0027259A"/>
    <w:rsid w:val="00272D2E"/>
    <w:rsid w:val="002732D8"/>
    <w:rsid w:val="00280E78"/>
    <w:rsid w:val="00282309"/>
    <w:rsid w:val="00283606"/>
    <w:rsid w:val="00284273"/>
    <w:rsid w:val="002846F6"/>
    <w:rsid w:val="002849D4"/>
    <w:rsid w:val="002854E7"/>
    <w:rsid w:val="002863B8"/>
    <w:rsid w:val="00287154"/>
    <w:rsid w:val="0029564A"/>
    <w:rsid w:val="00297094"/>
    <w:rsid w:val="002A1A15"/>
    <w:rsid w:val="002A2D6F"/>
    <w:rsid w:val="002A3C8E"/>
    <w:rsid w:val="002A43FC"/>
    <w:rsid w:val="002A5F20"/>
    <w:rsid w:val="002A6C08"/>
    <w:rsid w:val="002A6E8B"/>
    <w:rsid w:val="002A7DC8"/>
    <w:rsid w:val="002B0576"/>
    <w:rsid w:val="002B09F8"/>
    <w:rsid w:val="002B17CA"/>
    <w:rsid w:val="002B3AF8"/>
    <w:rsid w:val="002B436C"/>
    <w:rsid w:val="002B620E"/>
    <w:rsid w:val="002B6739"/>
    <w:rsid w:val="002C0D62"/>
    <w:rsid w:val="002C11AD"/>
    <w:rsid w:val="002C1944"/>
    <w:rsid w:val="002C37F9"/>
    <w:rsid w:val="002C3A78"/>
    <w:rsid w:val="002C7179"/>
    <w:rsid w:val="002D0658"/>
    <w:rsid w:val="002D08E3"/>
    <w:rsid w:val="002D1721"/>
    <w:rsid w:val="002D22AC"/>
    <w:rsid w:val="002D3888"/>
    <w:rsid w:val="002D710E"/>
    <w:rsid w:val="002D74DF"/>
    <w:rsid w:val="002E0E05"/>
    <w:rsid w:val="002E4D6A"/>
    <w:rsid w:val="002E543E"/>
    <w:rsid w:val="002E583C"/>
    <w:rsid w:val="002E61A4"/>
    <w:rsid w:val="002E6AEA"/>
    <w:rsid w:val="002E7B08"/>
    <w:rsid w:val="002F1784"/>
    <w:rsid w:val="002F22F4"/>
    <w:rsid w:val="002F3382"/>
    <w:rsid w:val="002F4FE8"/>
    <w:rsid w:val="002F5EF1"/>
    <w:rsid w:val="002F7E41"/>
    <w:rsid w:val="00300228"/>
    <w:rsid w:val="00301950"/>
    <w:rsid w:val="003043BD"/>
    <w:rsid w:val="00304B6C"/>
    <w:rsid w:val="00304CB0"/>
    <w:rsid w:val="00304D9A"/>
    <w:rsid w:val="00305B9C"/>
    <w:rsid w:val="0030626E"/>
    <w:rsid w:val="003073F7"/>
    <w:rsid w:val="003118A7"/>
    <w:rsid w:val="00312103"/>
    <w:rsid w:val="003165A7"/>
    <w:rsid w:val="0031679D"/>
    <w:rsid w:val="0031755B"/>
    <w:rsid w:val="00320F02"/>
    <w:rsid w:val="003212B6"/>
    <w:rsid w:val="00325FE1"/>
    <w:rsid w:val="00326AC8"/>
    <w:rsid w:val="0032704C"/>
    <w:rsid w:val="00330E49"/>
    <w:rsid w:val="003325B6"/>
    <w:rsid w:val="00332720"/>
    <w:rsid w:val="003344E8"/>
    <w:rsid w:val="00334AF8"/>
    <w:rsid w:val="00335571"/>
    <w:rsid w:val="00336678"/>
    <w:rsid w:val="003404CF"/>
    <w:rsid w:val="00340C3A"/>
    <w:rsid w:val="00342A7F"/>
    <w:rsid w:val="00342EF4"/>
    <w:rsid w:val="003443FD"/>
    <w:rsid w:val="00344FF8"/>
    <w:rsid w:val="00345809"/>
    <w:rsid w:val="00346872"/>
    <w:rsid w:val="00346F99"/>
    <w:rsid w:val="0035017B"/>
    <w:rsid w:val="0035099B"/>
    <w:rsid w:val="00351671"/>
    <w:rsid w:val="00351D64"/>
    <w:rsid w:val="0036023C"/>
    <w:rsid w:val="0036438A"/>
    <w:rsid w:val="0036518B"/>
    <w:rsid w:val="003653CA"/>
    <w:rsid w:val="00365D4A"/>
    <w:rsid w:val="00366545"/>
    <w:rsid w:val="00371AB5"/>
    <w:rsid w:val="00371D74"/>
    <w:rsid w:val="00372D9B"/>
    <w:rsid w:val="00373CF5"/>
    <w:rsid w:val="00374D26"/>
    <w:rsid w:val="003775A1"/>
    <w:rsid w:val="00377860"/>
    <w:rsid w:val="00377DBC"/>
    <w:rsid w:val="00381191"/>
    <w:rsid w:val="00382AB8"/>
    <w:rsid w:val="00387F1C"/>
    <w:rsid w:val="00387F68"/>
    <w:rsid w:val="00391EAB"/>
    <w:rsid w:val="00392ED3"/>
    <w:rsid w:val="003939B4"/>
    <w:rsid w:val="00397CB5"/>
    <w:rsid w:val="003A1040"/>
    <w:rsid w:val="003A117A"/>
    <w:rsid w:val="003A654E"/>
    <w:rsid w:val="003B3672"/>
    <w:rsid w:val="003B70F2"/>
    <w:rsid w:val="003B7415"/>
    <w:rsid w:val="003B7B6B"/>
    <w:rsid w:val="003C0049"/>
    <w:rsid w:val="003C103A"/>
    <w:rsid w:val="003C1286"/>
    <w:rsid w:val="003C27CC"/>
    <w:rsid w:val="003C2DEB"/>
    <w:rsid w:val="003C5730"/>
    <w:rsid w:val="003C733D"/>
    <w:rsid w:val="003C77AA"/>
    <w:rsid w:val="003D0A0A"/>
    <w:rsid w:val="003D1E48"/>
    <w:rsid w:val="003D29B9"/>
    <w:rsid w:val="003D3931"/>
    <w:rsid w:val="003D429C"/>
    <w:rsid w:val="003D5821"/>
    <w:rsid w:val="003D6EC1"/>
    <w:rsid w:val="003D7C51"/>
    <w:rsid w:val="003E24AF"/>
    <w:rsid w:val="003E28ED"/>
    <w:rsid w:val="003E2F31"/>
    <w:rsid w:val="003E7C6C"/>
    <w:rsid w:val="003F0718"/>
    <w:rsid w:val="003F085C"/>
    <w:rsid w:val="003F21E1"/>
    <w:rsid w:val="003F2283"/>
    <w:rsid w:val="003F2717"/>
    <w:rsid w:val="003F2729"/>
    <w:rsid w:val="003F2E89"/>
    <w:rsid w:val="003F471D"/>
    <w:rsid w:val="003F56F9"/>
    <w:rsid w:val="003F67D6"/>
    <w:rsid w:val="003F7F65"/>
    <w:rsid w:val="00404CB3"/>
    <w:rsid w:val="00410648"/>
    <w:rsid w:val="00411157"/>
    <w:rsid w:val="004113D7"/>
    <w:rsid w:val="00411E71"/>
    <w:rsid w:val="00412EC9"/>
    <w:rsid w:val="00412FDF"/>
    <w:rsid w:val="004157EB"/>
    <w:rsid w:val="004159BA"/>
    <w:rsid w:val="004160DF"/>
    <w:rsid w:val="004163BD"/>
    <w:rsid w:val="00416CBA"/>
    <w:rsid w:val="00420027"/>
    <w:rsid w:val="004208CE"/>
    <w:rsid w:val="00420EBC"/>
    <w:rsid w:val="004223C6"/>
    <w:rsid w:val="0042330E"/>
    <w:rsid w:val="0042386D"/>
    <w:rsid w:val="00423BAD"/>
    <w:rsid w:val="00423F28"/>
    <w:rsid w:val="0042624B"/>
    <w:rsid w:val="00430F28"/>
    <w:rsid w:val="00432323"/>
    <w:rsid w:val="00434AD5"/>
    <w:rsid w:val="00435BC2"/>
    <w:rsid w:val="00435EA6"/>
    <w:rsid w:val="004438EC"/>
    <w:rsid w:val="00446117"/>
    <w:rsid w:val="00446BA8"/>
    <w:rsid w:val="0044707A"/>
    <w:rsid w:val="00447684"/>
    <w:rsid w:val="004507BB"/>
    <w:rsid w:val="0045195A"/>
    <w:rsid w:val="00453721"/>
    <w:rsid w:val="00456636"/>
    <w:rsid w:val="00457B5E"/>
    <w:rsid w:val="0046130A"/>
    <w:rsid w:val="0046288E"/>
    <w:rsid w:val="00462C63"/>
    <w:rsid w:val="00463BC2"/>
    <w:rsid w:val="00466614"/>
    <w:rsid w:val="00471AD8"/>
    <w:rsid w:val="00474E18"/>
    <w:rsid w:val="004755B1"/>
    <w:rsid w:val="00476496"/>
    <w:rsid w:val="00476F22"/>
    <w:rsid w:val="00477D0F"/>
    <w:rsid w:val="00480C0B"/>
    <w:rsid w:val="0048215F"/>
    <w:rsid w:val="00482BCF"/>
    <w:rsid w:val="00486DCC"/>
    <w:rsid w:val="0048789B"/>
    <w:rsid w:val="00490122"/>
    <w:rsid w:val="004911D2"/>
    <w:rsid w:val="004913BF"/>
    <w:rsid w:val="004913CF"/>
    <w:rsid w:val="004931E6"/>
    <w:rsid w:val="004941C5"/>
    <w:rsid w:val="00494265"/>
    <w:rsid w:val="00494595"/>
    <w:rsid w:val="0049481E"/>
    <w:rsid w:val="00494A53"/>
    <w:rsid w:val="004954BD"/>
    <w:rsid w:val="00497109"/>
    <w:rsid w:val="00497AB4"/>
    <w:rsid w:val="004A1CD4"/>
    <w:rsid w:val="004A1DE4"/>
    <w:rsid w:val="004A21EF"/>
    <w:rsid w:val="004A447D"/>
    <w:rsid w:val="004A59E0"/>
    <w:rsid w:val="004A64DB"/>
    <w:rsid w:val="004B01A0"/>
    <w:rsid w:val="004B0D64"/>
    <w:rsid w:val="004B0D9E"/>
    <w:rsid w:val="004B192C"/>
    <w:rsid w:val="004B1BE2"/>
    <w:rsid w:val="004B24F3"/>
    <w:rsid w:val="004B3D44"/>
    <w:rsid w:val="004B4D10"/>
    <w:rsid w:val="004B4F1D"/>
    <w:rsid w:val="004B68D6"/>
    <w:rsid w:val="004B7F4D"/>
    <w:rsid w:val="004C191F"/>
    <w:rsid w:val="004C2D36"/>
    <w:rsid w:val="004C3B80"/>
    <w:rsid w:val="004C633C"/>
    <w:rsid w:val="004C690D"/>
    <w:rsid w:val="004C7222"/>
    <w:rsid w:val="004D0C31"/>
    <w:rsid w:val="004D699C"/>
    <w:rsid w:val="004E50BE"/>
    <w:rsid w:val="004E7823"/>
    <w:rsid w:val="004E78B7"/>
    <w:rsid w:val="004F1B6D"/>
    <w:rsid w:val="004F2586"/>
    <w:rsid w:val="004F31AB"/>
    <w:rsid w:val="004F42E8"/>
    <w:rsid w:val="004F48A7"/>
    <w:rsid w:val="004F5A68"/>
    <w:rsid w:val="004F71A2"/>
    <w:rsid w:val="0050221C"/>
    <w:rsid w:val="00503E58"/>
    <w:rsid w:val="00506824"/>
    <w:rsid w:val="0050685C"/>
    <w:rsid w:val="00507BC5"/>
    <w:rsid w:val="00511BDA"/>
    <w:rsid w:val="00513057"/>
    <w:rsid w:val="00514D03"/>
    <w:rsid w:val="0051620F"/>
    <w:rsid w:val="005204B2"/>
    <w:rsid w:val="00520D93"/>
    <w:rsid w:val="005210AE"/>
    <w:rsid w:val="00522498"/>
    <w:rsid w:val="0052459D"/>
    <w:rsid w:val="00527ABD"/>
    <w:rsid w:val="00530866"/>
    <w:rsid w:val="00531849"/>
    <w:rsid w:val="00531E43"/>
    <w:rsid w:val="00540FF2"/>
    <w:rsid w:val="00541E45"/>
    <w:rsid w:val="005438EE"/>
    <w:rsid w:val="005443CD"/>
    <w:rsid w:val="00546A75"/>
    <w:rsid w:val="00546B41"/>
    <w:rsid w:val="00550A69"/>
    <w:rsid w:val="00550B33"/>
    <w:rsid w:val="005522D4"/>
    <w:rsid w:val="0055302F"/>
    <w:rsid w:val="00560A7D"/>
    <w:rsid w:val="005615E2"/>
    <w:rsid w:val="0056278D"/>
    <w:rsid w:val="005645F4"/>
    <w:rsid w:val="00564895"/>
    <w:rsid w:val="005652CE"/>
    <w:rsid w:val="00567BC9"/>
    <w:rsid w:val="00567D8D"/>
    <w:rsid w:val="00570C4A"/>
    <w:rsid w:val="00570E6C"/>
    <w:rsid w:val="00573739"/>
    <w:rsid w:val="00574D93"/>
    <w:rsid w:val="00576509"/>
    <w:rsid w:val="00576704"/>
    <w:rsid w:val="005807E0"/>
    <w:rsid w:val="005808C3"/>
    <w:rsid w:val="005816C2"/>
    <w:rsid w:val="0058219A"/>
    <w:rsid w:val="00583B04"/>
    <w:rsid w:val="005865B4"/>
    <w:rsid w:val="00587209"/>
    <w:rsid w:val="0059053E"/>
    <w:rsid w:val="00591149"/>
    <w:rsid w:val="00592496"/>
    <w:rsid w:val="005952A0"/>
    <w:rsid w:val="005952EF"/>
    <w:rsid w:val="00596058"/>
    <w:rsid w:val="00597163"/>
    <w:rsid w:val="005978CA"/>
    <w:rsid w:val="005979E7"/>
    <w:rsid w:val="00597DBE"/>
    <w:rsid w:val="005A0875"/>
    <w:rsid w:val="005A5AA9"/>
    <w:rsid w:val="005A7AEB"/>
    <w:rsid w:val="005A7C4C"/>
    <w:rsid w:val="005B2C3D"/>
    <w:rsid w:val="005C0AF4"/>
    <w:rsid w:val="005C1452"/>
    <w:rsid w:val="005C154B"/>
    <w:rsid w:val="005C1764"/>
    <w:rsid w:val="005C29A9"/>
    <w:rsid w:val="005C43FD"/>
    <w:rsid w:val="005C495D"/>
    <w:rsid w:val="005C4B68"/>
    <w:rsid w:val="005D0340"/>
    <w:rsid w:val="005D0BAF"/>
    <w:rsid w:val="005D0D6A"/>
    <w:rsid w:val="005D4DAA"/>
    <w:rsid w:val="005D6336"/>
    <w:rsid w:val="005E2CBE"/>
    <w:rsid w:val="005E334B"/>
    <w:rsid w:val="005E3854"/>
    <w:rsid w:val="005E6CCD"/>
    <w:rsid w:val="005F2111"/>
    <w:rsid w:val="005F2CEB"/>
    <w:rsid w:val="005F3CB8"/>
    <w:rsid w:val="005F507A"/>
    <w:rsid w:val="005F5BC1"/>
    <w:rsid w:val="005F77A9"/>
    <w:rsid w:val="00600F49"/>
    <w:rsid w:val="006011B0"/>
    <w:rsid w:val="00604036"/>
    <w:rsid w:val="00605934"/>
    <w:rsid w:val="00605F32"/>
    <w:rsid w:val="00606C52"/>
    <w:rsid w:val="00610565"/>
    <w:rsid w:val="0061221E"/>
    <w:rsid w:val="0061232D"/>
    <w:rsid w:val="00614551"/>
    <w:rsid w:val="0061495E"/>
    <w:rsid w:val="0061532A"/>
    <w:rsid w:val="006207C2"/>
    <w:rsid w:val="00620E1D"/>
    <w:rsid w:val="00622A80"/>
    <w:rsid w:val="00624931"/>
    <w:rsid w:val="006258C1"/>
    <w:rsid w:val="00626485"/>
    <w:rsid w:val="0062666A"/>
    <w:rsid w:val="00626792"/>
    <w:rsid w:val="0063093F"/>
    <w:rsid w:val="006321A5"/>
    <w:rsid w:val="00634A77"/>
    <w:rsid w:val="006350D3"/>
    <w:rsid w:val="00635E02"/>
    <w:rsid w:val="00637047"/>
    <w:rsid w:val="0063757E"/>
    <w:rsid w:val="00640233"/>
    <w:rsid w:val="0064130D"/>
    <w:rsid w:val="00641C2F"/>
    <w:rsid w:val="0064466C"/>
    <w:rsid w:val="006460D7"/>
    <w:rsid w:val="006469DF"/>
    <w:rsid w:val="00647DE4"/>
    <w:rsid w:val="00650CEF"/>
    <w:rsid w:val="00651AC1"/>
    <w:rsid w:val="00652609"/>
    <w:rsid w:val="00652C82"/>
    <w:rsid w:val="006532A8"/>
    <w:rsid w:val="00653C9D"/>
    <w:rsid w:val="00653E07"/>
    <w:rsid w:val="00657365"/>
    <w:rsid w:val="00657F17"/>
    <w:rsid w:val="00660991"/>
    <w:rsid w:val="00661B3E"/>
    <w:rsid w:val="006639EF"/>
    <w:rsid w:val="00663C5F"/>
    <w:rsid w:val="00664616"/>
    <w:rsid w:val="00665C0A"/>
    <w:rsid w:val="00666E66"/>
    <w:rsid w:val="00671FEF"/>
    <w:rsid w:val="006720D4"/>
    <w:rsid w:val="00675B51"/>
    <w:rsid w:val="006763FF"/>
    <w:rsid w:val="00677CC7"/>
    <w:rsid w:val="00681082"/>
    <w:rsid w:val="00681BF1"/>
    <w:rsid w:val="00682173"/>
    <w:rsid w:val="00683000"/>
    <w:rsid w:val="00684046"/>
    <w:rsid w:val="00685E56"/>
    <w:rsid w:val="00686FEB"/>
    <w:rsid w:val="00690BC5"/>
    <w:rsid w:val="00692D9B"/>
    <w:rsid w:val="00693869"/>
    <w:rsid w:val="00694CE0"/>
    <w:rsid w:val="006A14D9"/>
    <w:rsid w:val="006A1CE5"/>
    <w:rsid w:val="006A379C"/>
    <w:rsid w:val="006A59FB"/>
    <w:rsid w:val="006B2B7C"/>
    <w:rsid w:val="006B2D30"/>
    <w:rsid w:val="006B364D"/>
    <w:rsid w:val="006B393C"/>
    <w:rsid w:val="006B666D"/>
    <w:rsid w:val="006B70F3"/>
    <w:rsid w:val="006C0395"/>
    <w:rsid w:val="006C0DAC"/>
    <w:rsid w:val="006C1BAD"/>
    <w:rsid w:val="006C24BC"/>
    <w:rsid w:val="006C2810"/>
    <w:rsid w:val="006C2D29"/>
    <w:rsid w:val="006C318D"/>
    <w:rsid w:val="006D0849"/>
    <w:rsid w:val="006D3BC3"/>
    <w:rsid w:val="006D564E"/>
    <w:rsid w:val="006D6AE1"/>
    <w:rsid w:val="006D7616"/>
    <w:rsid w:val="006E05EA"/>
    <w:rsid w:val="006E0A54"/>
    <w:rsid w:val="006E1BF0"/>
    <w:rsid w:val="006E4D6E"/>
    <w:rsid w:val="006E5FC6"/>
    <w:rsid w:val="006E6513"/>
    <w:rsid w:val="006E79D9"/>
    <w:rsid w:val="006F0CB5"/>
    <w:rsid w:val="006F23B7"/>
    <w:rsid w:val="006F289B"/>
    <w:rsid w:val="006F360B"/>
    <w:rsid w:val="006F4E26"/>
    <w:rsid w:val="006F502E"/>
    <w:rsid w:val="007014D8"/>
    <w:rsid w:val="0070155E"/>
    <w:rsid w:val="007026ED"/>
    <w:rsid w:val="00703AF3"/>
    <w:rsid w:val="007045F4"/>
    <w:rsid w:val="0070765D"/>
    <w:rsid w:val="0071086A"/>
    <w:rsid w:val="00711BC8"/>
    <w:rsid w:val="00712E45"/>
    <w:rsid w:val="00714B94"/>
    <w:rsid w:val="00714E0E"/>
    <w:rsid w:val="007161E1"/>
    <w:rsid w:val="007179AB"/>
    <w:rsid w:val="0072061F"/>
    <w:rsid w:val="00722E17"/>
    <w:rsid w:val="00723E9C"/>
    <w:rsid w:val="0072446C"/>
    <w:rsid w:val="00724BC6"/>
    <w:rsid w:val="007257FB"/>
    <w:rsid w:val="00727170"/>
    <w:rsid w:val="00731408"/>
    <w:rsid w:val="00731A72"/>
    <w:rsid w:val="0073226D"/>
    <w:rsid w:val="00732471"/>
    <w:rsid w:val="007328CF"/>
    <w:rsid w:val="007341A1"/>
    <w:rsid w:val="007342B0"/>
    <w:rsid w:val="00736096"/>
    <w:rsid w:val="00736470"/>
    <w:rsid w:val="00740EE5"/>
    <w:rsid w:val="007449DA"/>
    <w:rsid w:val="0074584B"/>
    <w:rsid w:val="00746944"/>
    <w:rsid w:val="00746DC3"/>
    <w:rsid w:val="00750E22"/>
    <w:rsid w:val="007518B8"/>
    <w:rsid w:val="00751E3F"/>
    <w:rsid w:val="0075266A"/>
    <w:rsid w:val="00755633"/>
    <w:rsid w:val="00755F9A"/>
    <w:rsid w:val="007562C8"/>
    <w:rsid w:val="00762234"/>
    <w:rsid w:val="0076369D"/>
    <w:rsid w:val="007640D0"/>
    <w:rsid w:val="0076513B"/>
    <w:rsid w:val="00765CA0"/>
    <w:rsid w:val="007663F9"/>
    <w:rsid w:val="00767083"/>
    <w:rsid w:val="007704AC"/>
    <w:rsid w:val="00770CEB"/>
    <w:rsid w:val="00770D59"/>
    <w:rsid w:val="00773B21"/>
    <w:rsid w:val="0077429D"/>
    <w:rsid w:val="00774967"/>
    <w:rsid w:val="00775110"/>
    <w:rsid w:val="0077577A"/>
    <w:rsid w:val="00775DD6"/>
    <w:rsid w:val="00782412"/>
    <w:rsid w:val="00782E92"/>
    <w:rsid w:val="00782F89"/>
    <w:rsid w:val="00783AF7"/>
    <w:rsid w:val="00786213"/>
    <w:rsid w:val="00787A2E"/>
    <w:rsid w:val="00790C6D"/>
    <w:rsid w:val="00791F2E"/>
    <w:rsid w:val="00794D6D"/>
    <w:rsid w:val="007A0EA2"/>
    <w:rsid w:val="007A1170"/>
    <w:rsid w:val="007A18E0"/>
    <w:rsid w:val="007A1977"/>
    <w:rsid w:val="007A394F"/>
    <w:rsid w:val="007A6E52"/>
    <w:rsid w:val="007A72C1"/>
    <w:rsid w:val="007A743C"/>
    <w:rsid w:val="007B0644"/>
    <w:rsid w:val="007B0B45"/>
    <w:rsid w:val="007B0E2E"/>
    <w:rsid w:val="007B1245"/>
    <w:rsid w:val="007B281F"/>
    <w:rsid w:val="007B33FF"/>
    <w:rsid w:val="007B3D87"/>
    <w:rsid w:val="007B401B"/>
    <w:rsid w:val="007B459B"/>
    <w:rsid w:val="007B5255"/>
    <w:rsid w:val="007B55EB"/>
    <w:rsid w:val="007B5A3A"/>
    <w:rsid w:val="007C119D"/>
    <w:rsid w:val="007C3967"/>
    <w:rsid w:val="007C4CB6"/>
    <w:rsid w:val="007D08BF"/>
    <w:rsid w:val="007D13D6"/>
    <w:rsid w:val="007D1AB1"/>
    <w:rsid w:val="007D2F86"/>
    <w:rsid w:val="007D7174"/>
    <w:rsid w:val="007E400A"/>
    <w:rsid w:val="007E6C24"/>
    <w:rsid w:val="007F369A"/>
    <w:rsid w:val="007F390A"/>
    <w:rsid w:val="007F6D13"/>
    <w:rsid w:val="008011C0"/>
    <w:rsid w:val="00802B5D"/>
    <w:rsid w:val="0080588D"/>
    <w:rsid w:val="008115C0"/>
    <w:rsid w:val="00811F3B"/>
    <w:rsid w:val="00812075"/>
    <w:rsid w:val="008139C5"/>
    <w:rsid w:val="00815D27"/>
    <w:rsid w:val="008168CB"/>
    <w:rsid w:val="008179C2"/>
    <w:rsid w:val="00820D4A"/>
    <w:rsid w:val="008215A8"/>
    <w:rsid w:val="00821E1F"/>
    <w:rsid w:val="00823560"/>
    <w:rsid w:val="00824364"/>
    <w:rsid w:val="00824996"/>
    <w:rsid w:val="008252FA"/>
    <w:rsid w:val="00825491"/>
    <w:rsid w:val="008262E7"/>
    <w:rsid w:val="00826EEC"/>
    <w:rsid w:val="0082781E"/>
    <w:rsid w:val="0083036F"/>
    <w:rsid w:val="00832430"/>
    <w:rsid w:val="00833640"/>
    <w:rsid w:val="00833EAC"/>
    <w:rsid w:val="00834162"/>
    <w:rsid w:val="00834AA6"/>
    <w:rsid w:val="00834B5B"/>
    <w:rsid w:val="00834E49"/>
    <w:rsid w:val="008402A6"/>
    <w:rsid w:val="0084363A"/>
    <w:rsid w:val="008438BE"/>
    <w:rsid w:val="00847A32"/>
    <w:rsid w:val="008501A4"/>
    <w:rsid w:val="00850CEF"/>
    <w:rsid w:val="008513FA"/>
    <w:rsid w:val="00851EEE"/>
    <w:rsid w:val="0085213D"/>
    <w:rsid w:val="00852275"/>
    <w:rsid w:val="008543E5"/>
    <w:rsid w:val="00854598"/>
    <w:rsid w:val="008560CF"/>
    <w:rsid w:val="00860367"/>
    <w:rsid w:val="00860978"/>
    <w:rsid w:val="00861480"/>
    <w:rsid w:val="00861674"/>
    <w:rsid w:val="00861692"/>
    <w:rsid w:val="00863517"/>
    <w:rsid w:val="00866556"/>
    <w:rsid w:val="00870501"/>
    <w:rsid w:val="00871810"/>
    <w:rsid w:val="00876BAD"/>
    <w:rsid w:val="008776DC"/>
    <w:rsid w:val="00881FDC"/>
    <w:rsid w:val="00882491"/>
    <w:rsid w:val="008825DA"/>
    <w:rsid w:val="008840A5"/>
    <w:rsid w:val="00884144"/>
    <w:rsid w:val="00885691"/>
    <w:rsid w:val="00885EEF"/>
    <w:rsid w:val="0088714D"/>
    <w:rsid w:val="00887CD1"/>
    <w:rsid w:val="00890714"/>
    <w:rsid w:val="00890849"/>
    <w:rsid w:val="00891F80"/>
    <w:rsid w:val="00895E1F"/>
    <w:rsid w:val="008A0153"/>
    <w:rsid w:val="008A0998"/>
    <w:rsid w:val="008A20FC"/>
    <w:rsid w:val="008A321B"/>
    <w:rsid w:val="008A3456"/>
    <w:rsid w:val="008A3C8C"/>
    <w:rsid w:val="008A3E7E"/>
    <w:rsid w:val="008A3F60"/>
    <w:rsid w:val="008A4CCC"/>
    <w:rsid w:val="008A5054"/>
    <w:rsid w:val="008A5DAE"/>
    <w:rsid w:val="008A5F68"/>
    <w:rsid w:val="008A6C59"/>
    <w:rsid w:val="008B07F9"/>
    <w:rsid w:val="008B14EE"/>
    <w:rsid w:val="008B35AA"/>
    <w:rsid w:val="008B721D"/>
    <w:rsid w:val="008B7B69"/>
    <w:rsid w:val="008C0653"/>
    <w:rsid w:val="008C6525"/>
    <w:rsid w:val="008C6D72"/>
    <w:rsid w:val="008C743C"/>
    <w:rsid w:val="008C7556"/>
    <w:rsid w:val="008D0934"/>
    <w:rsid w:val="008D0F2C"/>
    <w:rsid w:val="008D0FA3"/>
    <w:rsid w:val="008D1FC5"/>
    <w:rsid w:val="008D32F0"/>
    <w:rsid w:val="008D4F08"/>
    <w:rsid w:val="008D57B1"/>
    <w:rsid w:val="008D653B"/>
    <w:rsid w:val="008D6613"/>
    <w:rsid w:val="008D6BEB"/>
    <w:rsid w:val="008E045E"/>
    <w:rsid w:val="008E0C7E"/>
    <w:rsid w:val="008E218D"/>
    <w:rsid w:val="008E400A"/>
    <w:rsid w:val="008E4255"/>
    <w:rsid w:val="008E5A75"/>
    <w:rsid w:val="008E7E14"/>
    <w:rsid w:val="008F01D6"/>
    <w:rsid w:val="008F0CE3"/>
    <w:rsid w:val="008F24C4"/>
    <w:rsid w:val="008F39DE"/>
    <w:rsid w:val="008F4618"/>
    <w:rsid w:val="008F5058"/>
    <w:rsid w:val="008F5C6A"/>
    <w:rsid w:val="008F64DE"/>
    <w:rsid w:val="008F71E4"/>
    <w:rsid w:val="008F76ED"/>
    <w:rsid w:val="008F79A7"/>
    <w:rsid w:val="009004E0"/>
    <w:rsid w:val="009007CB"/>
    <w:rsid w:val="00901795"/>
    <w:rsid w:val="00902550"/>
    <w:rsid w:val="0091127D"/>
    <w:rsid w:val="00911D29"/>
    <w:rsid w:val="00912182"/>
    <w:rsid w:val="009127BD"/>
    <w:rsid w:val="009130CC"/>
    <w:rsid w:val="0091354B"/>
    <w:rsid w:val="009224A4"/>
    <w:rsid w:val="009241EC"/>
    <w:rsid w:val="009244EC"/>
    <w:rsid w:val="00925212"/>
    <w:rsid w:val="00926358"/>
    <w:rsid w:val="009267AC"/>
    <w:rsid w:val="009305CE"/>
    <w:rsid w:val="00934887"/>
    <w:rsid w:val="009348E0"/>
    <w:rsid w:val="00936B6D"/>
    <w:rsid w:val="009401B0"/>
    <w:rsid w:val="00940A74"/>
    <w:rsid w:val="00940B62"/>
    <w:rsid w:val="00941F67"/>
    <w:rsid w:val="00943892"/>
    <w:rsid w:val="0094631D"/>
    <w:rsid w:val="00946A95"/>
    <w:rsid w:val="00947C29"/>
    <w:rsid w:val="009519DB"/>
    <w:rsid w:val="009520F2"/>
    <w:rsid w:val="009528DB"/>
    <w:rsid w:val="00953FA2"/>
    <w:rsid w:val="0095702B"/>
    <w:rsid w:val="00957DA4"/>
    <w:rsid w:val="00960048"/>
    <w:rsid w:val="009611CA"/>
    <w:rsid w:val="009619A5"/>
    <w:rsid w:val="0096283B"/>
    <w:rsid w:val="0096359B"/>
    <w:rsid w:val="00964BB8"/>
    <w:rsid w:val="00967317"/>
    <w:rsid w:val="00967532"/>
    <w:rsid w:val="00967C44"/>
    <w:rsid w:val="00971804"/>
    <w:rsid w:val="009739BA"/>
    <w:rsid w:val="00975F91"/>
    <w:rsid w:val="009770BB"/>
    <w:rsid w:val="009845AA"/>
    <w:rsid w:val="00986AE6"/>
    <w:rsid w:val="00987655"/>
    <w:rsid w:val="00990E80"/>
    <w:rsid w:val="009910A4"/>
    <w:rsid w:val="009918BF"/>
    <w:rsid w:val="0099318B"/>
    <w:rsid w:val="009932A2"/>
    <w:rsid w:val="009933E1"/>
    <w:rsid w:val="00994356"/>
    <w:rsid w:val="00994764"/>
    <w:rsid w:val="0099481A"/>
    <w:rsid w:val="009954C4"/>
    <w:rsid w:val="00997036"/>
    <w:rsid w:val="009A0B17"/>
    <w:rsid w:val="009A2434"/>
    <w:rsid w:val="009A5065"/>
    <w:rsid w:val="009A5392"/>
    <w:rsid w:val="009A5C00"/>
    <w:rsid w:val="009A6500"/>
    <w:rsid w:val="009B01BA"/>
    <w:rsid w:val="009B26E2"/>
    <w:rsid w:val="009B2C2B"/>
    <w:rsid w:val="009B3DF6"/>
    <w:rsid w:val="009B68AC"/>
    <w:rsid w:val="009B7D73"/>
    <w:rsid w:val="009C26F8"/>
    <w:rsid w:val="009C49C7"/>
    <w:rsid w:val="009C5787"/>
    <w:rsid w:val="009C674C"/>
    <w:rsid w:val="009C7795"/>
    <w:rsid w:val="009C7E8B"/>
    <w:rsid w:val="009D2767"/>
    <w:rsid w:val="009D28A6"/>
    <w:rsid w:val="009D3C70"/>
    <w:rsid w:val="009D47F9"/>
    <w:rsid w:val="009D4C0E"/>
    <w:rsid w:val="009D7577"/>
    <w:rsid w:val="009E0171"/>
    <w:rsid w:val="009E0BA4"/>
    <w:rsid w:val="009E17D1"/>
    <w:rsid w:val="009E24A4"/>
    <w:rsid w:val="009E2C1C"/>
    <w:rsid w:val="009E4319"/>
    <w:rsid w:val="009F12E1"/>
    <w:rsid w:val="009F14CA"/>
    <w:rsid w:val="009F179D"/>
    <w:rsid w:val="009F23D0"/>
    <w:rsid w:val="009F2B93"/>
    <w:rsid w:val="009F404A"/>
    <w:rsid w:val="009F4AE1"/>
    <w:rsid w:val="009F60B0"/>
    <w:rsid w:val="00A0123B"/>
    <w:rsid w:val="00A0179D"/>
    <w:rsid w:val="00A02271"/>
    <w:rsid w:val="00A03419"/>
    <w:rsid w:val="00A03A1B"/>
    <w:rsid w:val="00A07221"/>
    <w:rsid w:val="00A10641"/>
    <w:rsid w:val="00A11421"/>
    <w:rsid w:val="00A126ED"/>
    <w:rsid w:val="00A12C87"/>
    <w:rsid w:val="00A16110"/>
    <w:rsid w:val="00A17E9A"/>
    <w:rsid w:val="00A20EAC"/>
    <w:rsid w:val="00A236E7"/>
    <w:rsid w:val="00A23EFE"/>
    <w:rsid w:val="00A24505"/>
    <w:rsid w:val="00A2497D"/>
    <w:rsid w:val="00A2522D"/>
    <w:rsid w:val="00A260B7"/>
    <w:rsid w:val="00A26434"/>
    <w:rsid w:val="00A2770B"/>
    <w:rsid w:val="00A30270"/>
    <w:rsid w:val="00A33B38"/>
    <w:rsid w:val="00A40432"/>
    <w:rsid w:val="00A4132D"/>
    <w:rsid w:val="00A41DF4"/>
    <w:rsid w:val="00A4287B"/>
    <w:rsid w:val="00A4432F"/>
    <w:rsid w:val="00A45E6A"/>
    <w:rsid w:val="00A47786"/>
    <w:rsid w:val="00A47C2A"/>
    <w:rsid w:val="00A51C1D"/>
    <w:rsid w:val="00A555A2"/>
    <w:rsid w:val="00A55B75"/>
    <w:rsid w:val="00A55EE5"/>
    <w:rsid w:val="00A57666"/>
    <w:rsid w:val="00A642CF"/>
    <w:rsid w:val="00A6438B"/>
    <w:rsid w:val="00A64393"/>
    <w:rsid w:val="00A65D0A"/>
    <w:rsid w:val="00A6625F"/>
    <w:rsid w:val="00A67B7C"/>
    <w:rsid w:val="00A67D6E"/>
    <w:rsid w:val="00A71BD5"/>
    <w:rsid w:val="00A73198"/>
    <w:rsid w:val="00A7352C"/>
    <w:rsid w:val="00A74BCB"/>
    <w:rsid w:val="00A7559E"/>
    <w:rsid w:val="00A75B36"/>
    <w:rsid w:val="00A76173"/>
    <w:rsid w:val="00A80DA1"/>
    <w:rsid w:val="00A83FA5"/>
    <w:rsid w:val="00A87E9E"/>
    <w:rsid w:val="00A901A7"/>
    <w:rsid w:val="00A901C1"/>
    <w:rsid w:val="00A9269A"/>
    <w:rsid w:val="00A93533"/>
    <w:rsid w:val="00A96123"/>
    <w:rsid w:val="00A96132"/>
    <w:rsid w:val="00A9656B"/>
    <w:rsid w:val="00AA19F8"/>
    <w:rsid w:val="00AA3317"/>
    <w:rsid w:val="00AA47BF"/>
    <w:rsid w:val="00AA52D6"/>
    <w:rsid w:val="00AA6361"/>
    <w:rsid w:val="00AB047D"/>
    <w:rsid w:val="00AB0815"/>
    <w:rsid w:val="00AB0DE6"/>
    <w:rsid w:val="00AB0FBA"/>
    <w:rsid w:val="00AB2C61"/>
    <w:rsid w:val="00AB41E7"/>
    <w:rsid w:val="00AB5FB2"/>
    <w:rsid w:val="00AB7F36"/>
    <w:rsid w:val="00AC0996"/>
    <w:rsid w:val="00AC1516"/>
    <w:rsid w:val="00AC26C0"/>
    <w:rsid w:val="00AC275A"/>
    <w:rsid w:val="00AC2F5C"/>
    <w:rsid w:val="00AC4175"/>
    <w:rsid w:val="00AC44BE"/>
    <w:rsid w:val="00AC78D5"/>
    <w:rsid w:val="00AD01ED"/>
    <w:rsid w:val="00AD02D2"/>
    <w:rsid w:val="00AD26FE"/>
    <w:rsid w:val="00AD38A1"/>
    <w:rsid w:val="00AD4D48"/>
    <w:rsid w:val="00AD575B"/>
    <w:rsid w:val="00AD6A01"/>
    <w:rsid w:val="00AD75CA"/>
    <w:rsid w:val="00AE334F"/>
    <w:rsid w:val="00AE41D9"/>
    <w:rsid w:val="00AE46EB"/>
    <w:rsid w:val="00AE477C"/>
    <w:rsid w:val="00AE4833"/>
    <w:rsid w:val="00AE5205"/>
    <w:rsid w:val="00AE58EE"/>
    <w:rsid w:val="00AE68D0"/>
    <w:rsid w:val="00AE6D14"/>
    <w:rsid w:val="00AF1721"/>
    <w:rsid w:val="00AF33AA"/>
    <w:rsid w:val="00B0128E"/>
    <w:rsid w:val="00B01B44"/>
    <w:rsid w:val="00B0214D"/>
    <w:rsid w:val="00B02C5C"/>
    <w:rsid w:val="00B035F1"/>
    <w:rsid w:val="00B03A42"/>
    <w:rsid w:val="00B056D2"/>
    <w:rsid w:val="00B0628C"/>
    <w:rsid w:val="00B06C43"/>
    <w:rsid w:val="00B07950"/>
    <w:rsid w:val="00B07D17"/>
    <w:rsid w:val="00B1047D"/>
    <w:rsid w:val="00B12315"/>
    <w:rsid w:val="00B151C7"/>
    <w:rsid w:val="00B16487"/>
    <w:rsid w:val="00B1683F"/>
    <w:rsid w:val="00B2267C"/>
    <w:rsid w:val="00B234F5"/>
    <w:rsid w:val="00B235B5"/>
    <w:rsid w:val="00B24C98"/>
    <w:rsid w:val="00B2669E"/>
    <w:rsid w:val="00B3085A"/>
    <w:rsid w:val="00B30876"/>
    <w:rsid w:val="00B31F0B"/>
    <w:rsid w:val="00B33722"/>
    <w:rsid w:val="00B370B6"/>
    <w:rsid w:val="00B3748C"/>
    <w:rsid w:val="00B37607"/>
    <w:rsid w:val="00B4062D"/>
    <w:rsid w:val="00B409CA"/>
    <w:rsid w:val="00B4103E"/>
    <w:rsid w:val="00B4117C"/>
    <w:rsid w:val="00B468D8"/>
    <w:rsid w:val="00B468ED"/>
    <w:rsid w:val="00B5151E"/>
    <w:rsid w:val="00B51B9A"/>
    <w:rsid w:val="00B52131"/>
    <w:rsid w:val="00B54838"/>
    <w:rsid w:val="00B55FBC"/>
    <w:rsid w:val="00B56C80"/>
    <w:rsid w:val="00B57BAE"/>
    <w:rsid w:val="00B618A7"/>
    <w:rsid w:val="00B61A19"/>
    <w:rsid w:val="00B62980"/>
    <w:rsid w:val="00B62C2F"/>
    <w:rsid w:val="00B63E42"/>
    <w:rsid w:val="00B64FC0"/>
    <w:rsid w:val="00B658EF"/>
    <w:rsid w:val="00B67253"/>
    <w:rsid w:val="00B6754F"/>
    <w:rsid w:val="00B70AC5"/>
    <w:rsid w:val="00B70ED9"/>
    <w:rsid w:val="00B71903"/>
    <w:rsid w:val="00B71B0D"/>
    <w:rsid w:val="00B72FE4"/>
    <w:rsid w:val="00B7442F"/>
    <w:rsid w:val="00B753BD"/>
    <w:rsid w:val="00B75FC2"/>
    <w:rsid w:val="00B77DD6"/>
    <w:rsid w:val="00B81251"/>
    <w:rsid w:val="00B81C2B"/>
    <w:rsid w:val="00B83D43"/>
    <w:rsid w:val="00B84157"/>
    <w:rsid w:val="00B8596E"/>
    <w:rsid w:val="00B86051"/>
    <w:rsid w:val="00B86CFE"/>
    <w:rsid w:val="00B91CAB"/>
    <w:rsid w:val="00B922E4"/>
    <w:rsid w:val="00B9237B"/>
    <w:rsid w:val="00B92394"/>
    <w:rsid w:val="00B96617"/>
    <w:rsid w:val="00B967B5"/>
    <w:rsid w:val="00B96F50"/>
    <w:rsid w:val="00B9789E"/>
    <w:rsid w:val="00B97C88"/>
    <w:rsid w:val="00BA0FBD"/>
    <w:rsid w:val="00BA3C6C"/>
    <w:rsid w:val="00BA479D"/>
    <w:rsid w:val="00BA5B5C"/>
    <w:rsid w:val="00BA75A2"/>
    <w:rsid w:val="00BA761E"/>
    <w:rsid w:val="00BA7696"/>
    <w:rsid w:val="00BA779C"/>
    <w:rsid w:val="00BB0D8C"/>
    <w:rsid w:val="00BB0FB8"/>
    <w:rsid w:val="00BB1F80"/>
    <w:rsid w:val="00BB29C2"/>
    <w:rsid w:val="00BB440C"/>
    <w:rsid w:val="00BB4F01"/>
    <w:rsid w:val="00BB52B1"/>
    <w:rsid w:val="00BB6AE6"/>
    <w:rsid w:val="00BB77DE"/>
    <w:rsid w:val="00BC155E"/>
    <w:rsid w:val="00BC538E"/>
    <w:rsid w:val="00BC62F8"/>
    <w:rsid w:val="00BC7461"/>
    <w:rsid w:val="00BD2155"/>
    <w:rsid w:val="00BD37A5"/>
    <w:rsid w:val="00BD3EFA"/>
    <w:rsid w:val="00BD576D"/>
    <w:rsid w:val="00BD6BAC"/>
    <w:rsid w:val="00BE02F0"/>
    <w:rsid w:val="00BE1193"/>
    <w:rsid w:val="00BE1F42"/>
    <w:rsid w:val="00BE229B"/>
    <w:rsid w:val="00BE275E"/>
    <w:rsid w:val="00BE68A1"/>
    <w:rsid w:val="00BE7CD3"/>
    <w:rsid w:val="00BF0CE9"/>
    <w:rsid w:val="00BF3D89"/>
    <w:rsid w:val="00BF566C"/>
    <w:rsid w:val="00BF6F3C"/>
    <w:rsid w:val="00BF7F4F"/>
    <w:rsid w:val="00C0108C"/>
    <w:rsid w:val="00C023D5"/>
    <w:rsid w:val="00C03599"/>
    <w:rsid w:val="00C04944"/>
    <w:rsid w:val="00C05351"/>
    <w:rsid w:val="00C058DF"/>
    <w:rsid w:val="00C06BDE"/>
    <w:rsid w:val="00C078AB"/>
    <w:rsid w:val="00C07F99"/>
    <w:rsid w:val="00C1355D"/>
    <w:rsid w:val="00C13924"/>
    <w:rsid w:val="00C13DB5"/>
    <w:rsid w:val="00C143CC"/>
    <w:rsid w:val="00C15E24"/>
    <w:rsid w:val="00C163E7"/>
    <w:rsid w:val="00C2598C"/>
    <w:rsid w:val="00C25E2C"/>
    <w:rsid w:val="00C26048"/>
    <w:rsid w:val="00C273E0"/>
    <w:rsid w:val="00C274D0"/>
    <w:rsid w:val="00C327BB"/>
    <w:rsid w:val="00C32E9E"/>
    <w:rsid w:val="00C3360E"/>
    <w:rsid w:val="00C33BE2"/>
    <w:rsid w:val="00C36770"/>
    <w:rsid w:val="00C36EF6"/>
    <w:rsid w:val="00C37E4D"/>
    <w:rsid w:val="00C37EC9"/>
    <w:rsid w:val="00C414C2"/>
    <w:rsid w:val="00C43FEC"/>
    <w:rsid w:val="00C458E3"/>
    <w:rsid w:val="00C471AE"/>
    <w:rsid w:val="00C47B23"/>
    <w:rsid w:val="00C525E6"/>
    <w:rsid w:val="00C52FC8"/>
    <w:rsid w:val="00C53CF7"/>
    <w:rsid w:val="00C54B50"/>
    <w:rsid w:val="00C561AD"/>
    <w:rsid w:val="00C60F89"/>
    <w:rsid w:val="00C648C4"/>
    <w:rsid w:val="00C6510A"/>
    <w:rsid w:val="00C66973"/>
    <w:rsid w:val="00C66D2D"/>
    <w:rsid w:val="00C66F1D"/>
    <w:rsid w:val="00C707BD"/>
    <w:rsid w:val="00C71085"/>
    <w:rsid w:val="00C711FF"/>
    <w:rsid w:val="00C7130B"/>
    <w:rsid w:val="00C71FC2"/>
    <w:rsid w:val="00C72462"/>
    <w:rsid w:val="00C75842"/>
    <w:rsid w:val="00C76797"/>
    <w:rsid w:val="00C767B6"/>
    <w:rsid w:val="00C76D52"/>
    <w:rsid w:val="00C76D95"/>
    <w:rsid w:val="00C77589"/>
    <w:rsid w:val="00C8435E"/>
    <w:rsid w:val="00C84509"/>
    <w:rsid w:val="00C905F3"/>
    <w:rsid w:val="00C91172"/>
    <w:rsid w:val="00C91883"/>
    <w:rsid w:val="00C923E8"/>
    <w:rsid w:val="00C93821"/>
    <w:rsid w:val="00C9450C"/>
    <w:rsid w:val="00C95789"/>
    <w:rsid w:val="00C95A69"/>
    <w:rsid w:val="00C95B4D"/>
    <w:rsid w:val="00C97A52"/>
    <w:rsid w:val="00CA1DE5"/>
    <w:rsid w:val="00CA4B6E"/>
    <w:rsid w:val="00CA51DC"/>
    <w:rsid w:val="00CA5505"/>
    <w:rsid w:val="00CA6FFF"/>
    <w:rsid w:val="00CB0336"/>
    <w:rsid w:val="00CB14FC"/>
    <w:rsid w:val="00CB42E4"/>
    <w:rsid w:val="00CB56D8"/>
    <w:rsid w:val="00CB63BD"/>
    <w:rsid w:val="00CB66C9"/>
    <w:rsid w:val="00CB6762"/>
    <w:rsid w:val="00CB6B32"/>
    <w:rsid w:val="00CC09C8"/>
    <w:rsid w:val="00CC25BC"/>
    <w:rsid w:val="00CC295A"/>
    <w:rsid w:val="00CC4FF4"/>
    <w:rsid w:val="00CC5AB8"/>
    <w:rsid w:val="00CC6A1A"/>
    <w:rsid w:val="00CD1D54"/>
    <w:rsid w:val="00CD467C"/>
    <w:rsid w:val="00CD49FC"/>
    <w:rsid w:val="00CD5189"/>
    <w:rsid w:val="00CD523D"/>
    <w:rsid w:val="00CD5741"/>
    <w:rsid w:val="00CD6DA1"/>
    <w:rsid w:val="00CD754E"/>
    <w:rsid w:val="00CE02A2"/>
    <w:rsid w:val="00CE1C10"/>
    <w:rsid w:val="00CE3D53"/>
    <w:rsid w:val="00CF21D0"/>
    <w:rsid w:val="00CF23F1"/>
    <w:rsid w:val="00CF26EF"/>
    <w:rsid w:val="00CF30B7"/>
    <w:rsid w:val="00CF4585"/>
    <w:rsid w:val="00CF64FF"/>
    <w:rsid w:val="00CF65CE"/>
    <w:rsid w:val="00CF6917"/>
    <w:rsid w:val="00CF6BB9"/>
    <w:rsid w:val="00D00A0E"/>
    <w:rsid w:val="00D0277A"/>
    <w:rsid w:val="00D03115"/>
    <w:rsid w:val="00D04487"/>
    <w:rsid w:val="00D04805"/>
    <w:rsid w:val="00D07F54"/>
    <w:rsid w:val="00D10849"/>
    <w:rsid w:val="00D119DD"/>
    <w:rsid w:val="00D13B2B"/>
    <w:rsid w:val="00D13DDB"/>
    <w:rsid w:val="00D14193"/>
    <w:rsid w:val="00D146E8"/>
    <w:rsid w:val="00D153C1"/>
    <w:rsid w:val="00D15ED1"/>
    <w:rsid w:val="00D17848"/>
    <w:rsid w:val="00D20A2F"/>
    <w:rsid w:val="00D20CFE"/>
    <w:rsid w:val="00D20F4F"/>
    <w:rsid w:val="00D20F93"/>
    <w:rsid w:val="00D2190E"/>
    <w:rsid w:val="00D22F87"/>
    <w:rsid w:val="00D23C89"/>
    <w:rsid w:val="00D24A50"/>
    <w:rsid w:val="00D25B7A"/>
    <w:rsid w:val="00D266D4"/>
    <w:rsid w:val="00D27510"/>
    <w:rsid w:val="00D27A6A"/>
    <w:rsid w:val="00D33E8D"/>
    <w:rsid w:val="00D35FFE"/>
    <w:rsid w:val="00D3797C"/>
    <w:rsid w:val="00D37D61"/>
    <w:rsid w:val="00D420B0"/>
    <w:rsid w:val="00D42E53"/>
    <w:rsid w:val="00D43175"/>
    <w:rsid w:val="00D437F7"/>
    <w:rsid w:val="00D44557"/>
    <w:rsid w:val="00D46674"/>
    <w:rsid w:val="00D46C28"/>
    <w:rsid w:val="00D47214"/>
    <w:rsid w:val="00D502B6"/>
    <w:rsid w:val="00D50CC1"/>
    <w:rsid w:val="00D51BAA"/>
    <w:rsid w:val="00D52062"/>
    <w:rsid w:val="00D539DD"/>
    <w:rsid w:val="00D6107A"/>
    <w:rsid w:val="00D61AA4"/>
    <w:rsid w:val="00D61F9C"/>
    <w:rsid w:val="00D62B74"/>
    <w:rsid w:val="00D63E7C"/>
    <w:rsid w:val="00D70224"/>
    <w:rsid w:val="00D70E94"/>
    <w:rsid w:val="00D72E09"/>
    <w:rsid w:val="00D7304D"/>
    <w:rsid w:val="00D744BA"/>
    <w:rsid w:val="00D75FE0"/>
    <w:rsid w:val="00D76D7E"/>
    <w:rsid w:val="00D84288"/>
    <w:rsid w:val="00D8541F"/>
    <w:rsid w:val="00D9071E"/>
    <w:rsid w:val="00D90EA2"/>
    <w:rsid w:val="00D9229A"/>
    <w:rsid w:val="00D92515"/>
    <w:rsid w:val="00D93239"/>
    <w:rsid w:val="00D9367E"/>
    <w:rsid w:val="00D93894"/>
    <w:rsid w:val="00D93B22"/>
    <w:rsid w:val="00D93D60"/>
    <w:rsid w:val="00D93DAE"/>
    <w:rsid w:val="00D9423E"/>
    <w:rsid w:val="00D945D6"/>
    <w:rsid w:val="00D94B90"/>
    <w:rsid w:val="00D95F73"/>
    <w:rsid w:val="00D966E7"/>
    <w:rsid w:val="00D9740B"/>
    <w:rsid w:val="00D977FD"/>
    <w:rsid w:val="00DA0F11"/>
    <w:rsid w:val="00DA13D4"/>
    <w:rsid w:val="00DA14B5"/>
    <w:rsid w:val="00DA1BA6"/>
    <w:rsid w:val="00DA1C6C"/>
    <w:rsid w:val="00DA2102"/>
    <w:rsid w:val="00DA3552"/>
    <w:rsid w:val="00DB093B"/>
    <w:rsid w:val="00DB0C71"/>
    <w:rsid w:val="00DB1361"/>
    <w:rsid w:val="00DB3534"/>
    <w:rsid w:val="00DB36F2"/>
    <w:rsid w:val="00DB4130"/>
    <w:rsid w:val="00DB54C5"/>
    <w:rsid w:val="00DB60D2"/>
    <w:rsid w:val="00DB7F06"/>
    <w:rsid w:val="00DC0686"/>
    <w:rsid w:val="00DC211E"/>
    <w:rsid w:val="00DC2F5A"/>
    <w:rsid w:val="00DC3215"/>
    <w:rsid w:val="00DC5AFF"/>
    <w:rsid w:val="00DC613D"/>
    <w:rsid w:val="00DC6CA2"/>
    <w:rsid w:val="00DD1CC6"/>
    <w:rsid w:val="00DD62A7"/>
    <w:rsid w:val="00DD7186"/>
    <w:rsid w:val="00DE043F"/>
    <w:rsid w:val="00DE04DA"/>
    <w:rsid w:val="00DE165C"/>
    <w:rsid w:val="00DE1D0E"/>
    <w:rsid w:val="00DE4445"/>
    <w:rsid w:val="00DE5C8E"/>
    <w:rsid w:val="00DE6984"/>
    <w:rsid w:val="00DE70CE"/>
    <w:rsid w:val="00DE7DB9"/>
    <w:rsid w:val="00DF1397"/>
    <w:rsid w:val="00DF2056"/>
    <w:rsid w:val="00DF2954"/>
    <w:rsid w:val="00DF2C5C"/>
    <w:rsid w:val="00DF31DC"/>
    <w:rsid w:val="00DF43BF"/>
    <w:rsid w:val="00DF4EF3"/>
    <w:rsid w:val="00DF6C76"/>
    <w:rsid w:val="00E06783"/>
    <w:rsid w:val="00E109EC"/>
    <w:rsid w:val="00E13023"/>
    <w:rsid w:val="00E151E1"/>
    <w:rsid w:val="00E15383"/>
    <w:rsid w:val="00E15588"/>
    <w:rsid w:val="00E16876"/>
    <w:rsid w:val="00E1699D"/>
    <w:rsid w:val="00E173BF"/>
    <w:rsid w:val="00E2115A"/>
    <w:rsid w:val="00E22D56"/>
    <w:rsid w:val="00E234C7"/>
    <w:rsid w:val="00E24E9D"/>
    <w:rsid w:val="00E2575D"/>
    <w:rsid w:val="00E26494"/>
    <w:rsid w:val="00E27E13"/>
    <w:rsid w:val="00E314BC"/>
    <w:rsid w:val="00E327F9"/>
    <w:rsid w:val="00E33A56"/>
    <w:rsid w:val="00E33C1E"/>
    <w:rsid w:val="00E33D97"/>
    <w:rsid w:val="00E33F50"/>
    <w:rsid w:val="00E34336"/>
    <w:rsid w:val="00E35D26"/>
    <w:rsid w:val="00E36D0C"/>
    <w:rsid w:val="00E36FA4"/>
    <w:rsid w:val="00E42074"/>
    <w:rsid w:val="00E43A7E"/>
    <w:rsid w:val="00E43FE3"/>
    <w:rsid w:val="00E45F89"/>
    <w:rsid w:val="00E473D0"/>
    <w:rsid w:val="00E47589"/>
    <w:rsid w:val="00E50E8E"/>
    <w:rsid w:val="00E52331"/>
    <w:rsid w:val="00E52F71"/>
    <w:rsid w:val="00E53454"/>
    <w:rsid w:val="00E53F71"/>
    <w:rsid w:val="00E54EE6"/>
    <w:rsid w:val="00E5634F"/>
    <w:rsid w:val="00E576CD"/>
    <w:rsid w:val="00E6105B"/>
    <w:rsid w:val="00E61437"/>
    <w:rsid w:val="00E6211D"/>
    <w:rsid w:val="00E629E0"/>
    <w:rsid w:val="00E62FE3"/>
    <w:rsid w:val="00E63888"/>
    <w:rsid w:val="00E647FF"/>
    <w:rsid w:val="00E6624A"/>
    <w:rsid w:val="00E72411"/>
    <w:rsid w:val="00E73C81"/>
    <w:rsid w:val="00E7460B"/>
    <w:rsid w:val="00E7562B"/>
    <w:rsid w:val="00E77F72"/>
    <w:rsid w:val="00E80E36"/>
    <w:rsid w:val="00E82401"/>
    <w:rsid w:val="00E8398E"/>
    <w:rsid w:val="00E84BFE"/>
    <w:rsid w:val="00E85274"/>
    <w:rsid w:val="00E85767"/>
    <w:rsid w:val="00E86BC1"/>
    <w:rsid w:val="00E87A7C"/>
    <w:rsid w:val="00E91016"/>
    <w:rsid w:val="00E91A36"/>
    <w:rsid w:val="00E97C0F"/>
    <w:rsid w:val="00EA0145"/>
    <w:rsid w:val="00EA0918"/>
    <w:rsid w:val="00EA26A8"/>
    <w:rsid w:val="00EA2E74"/>
    <w:rsid w:val="00EA3558"/>
    <w:rsid w:val="00EA4A67"/>
    <w:rsid w:val="00EA4CD3"/>
    <w:rsid w:val="00EA582C"/>
    <w:rsid w:val="00EA5C6D"/>
    <w:rsid w:val="00EA64F0"/>
    <w:rsid w:val="00EB0F1B"/>
    <w:rsid w:val="00EB1407"/>
    <w:rsid w:val="00EB1563"/>
    <w:rsid w:val="00EB1881"/>
    <w:rsid w:val="00EB18F9"/>
    <w:rsid w:val="00EB4A84"/>
    <w:rsid w:val="00EB591B"/>
    <w:rsid w:val="00EC03D1"/>
    <w:rsid w:val="00EC1BAF"/>
    <w:rsid w:val="00EC1F00"/>
    <w:rsid w:val="00EC1FDF"/>
    <w:rsid w:val="00EC2E45"/>
    <w:rsid w:val="00EC361A"/>
    <w:rsid w:val="00EC38B3"/>
    <w:rsid w:val="00EC4AA7"/>
    <w:rsid w:val="00EC5B08"/>
    <w:rsid w:val="00ED0A9F"/>
    <w:rsid w:val="00ED2349"/>
    <w:rsid w:val="00ED2B75"/>
    <w:rsid w:val="00ED6088"/>
    <w:rsid w:val="00ED71D6"/>
    <w:rsid w:val="00EE0076"/>
    <w:rsid w:val="00EE039B"/>
    <w:rsid w:val="00EE1922"/>
    <w:rsid w:val="00EE1971"/>
    <w:rsid w:val="00EE1CC1"/>
    <w:rsid w:val="00EE2198"/>
    <w:rsid w:val="00EE3C96"/>
    <w:rsid w:val="00EE4C22"/>
    <w:rsid w:val="00EE611E"/>
    <w:rsid w:val="00EE64D9"/>
    <w:rsid w:val="00EE6592"/>
    <w:rsid w:val="00EE66EF"/>
    <w:rsid w:val="00EE693E"/>
    <w:rsid w:val="00EE7A71"/>
    <w:rsid w:val="00EE7E54"/>
    <w:rsid w:val="00EF346D"/>
    <w:rsid w:val="00EF418F"/>
    <w:rsid w:val="00EF4753"/>
    <w:rsid w:val="00EF54B4"/>
    <w:rsid w:val="00EF5F32"/>
    <w:rsid w:val="00EF6F01"/>
    <w:rsid w:val="00EF7635"/>
    <w:rsid w:val="00F01011"/>
    <w:rsid w:val="00F02548"/>
    <w:rsid w:val="00F030C5"/>
    <w:rsid w:val="00F0701D"/>
    <w:rsid w:val="00F10B60"/>
    <w:rsid w:val="00F15768"/>
    <w:rsid w:val="00F15D14"/>
    <w:rsid w:val="00F16F25"/>
    <w:rsid w:val="00F17A1D"/>
    <w:rsid w:val="00F17C4E"/>
    <w:rsid w:val="00F22A5B"/>
    <w:rsid w:val="00F239A3"/>
    <w:rsid w:val="00F24C9D"/>
    <w:rsid w:val="00F25F6C"/>
    <w:rsid w:val="00F32415"/>
    <w:rsid w:val="00F343F7"/>
    <w:rsid w:val="00F35084"/>
    <w:rsid w:val="00F362A9"/>
    <w:rsid w:val="00F3745A"/>
    <w:rsid w:val="00F403B1"/>
    <w:rsid w:val="00F41AA7"/>
    <w:rsid w:val="00F43AD9"/>
    <w:rsid w:val="00F43DB7"/>
    <w:rsid w:val="00F448C4"/>
    <w:rsid w:val="00F44B16"/>
    <w:rsid w:val="00F45BEF"/>
    <w:rsid w:val="00F474C7"/>
    <w:rsid w:val="00F47FA8"/>
    <w:rsid w:val="00F50E5B"/>
    <w:rsid w:val="00F51C64"/>
    <w:rsid w:val="00F51EBF"/>
    <w:rsid w:val="00F53532"/>
    <w:rsid w:val="00F53688"/>
    <w:rsid w:val="00F5501A"/>
    <w:rsid w:val="00F563C3"/>
    <w:rsid w:val="00F56F33"/>
    <w:rsid w:val="00F61B43"/>
    <w:rsid w:val="00F62A19"/>
    <w:rsid w:val="00F70E28"/>
    <w:rsid w:val="00F71CB3"/>
    <w:rsid w:val="00F72139"/>
    <w:rsid w:val="00F72FEC"/>
    <w:rsid w:val="00F73A80"/>
    <w:rsid w:val="00F76ECD"/>
    <w:rsid w:val="00F80AB2"/>
    <w:rsid w:val="00F821F1"/>
    <w:rsid w:val="00F82E1E"/>
    <w:rsid w:val="00F84184"/>
    <w:rsid w:val="00F84BAD"/>
    <w:rsid w:val="00F87B8E"/>
    <w:rsid w:val="00F93C8D"/>
    <w:rsid w:val="00F93D80"/>
    <w:rsid w:val="00F94365"/>
    <w:rsid w:val="00F95957"/>
    <w:rsid w:val="00FA0B94"/>
    <w:rsid w:val="00FA7787"/>
    <w:rsid w:val="00FB094F"/>
    <w:rsid w:val="00FB0AF7"/>
    <w:rsid w:val="00FB0C8C"/>
    <w:rsid w:val="00FB3432"/>
    <w:rsid w:val="00FB4C23"/>
    <w:rsid w:val="00FB4E26"/>
    <w:rsid w:val="00FB4FD3"/>
    <w:rsid w:val="00FB505B"/>
    <w:rsid w:val="00FB574E"/>
    <w:rsid w:val="00FB58DE"/>
    <w:rsid w:val="00FB60FD"/>
    <w:rsid w:val="00FB66EB"/>
    <w:rsid w:val="00FC0D84"/>
    <w:rsid w:val="00FC1D3A"/>
    <w:rsid w:val="00FC203D"/>
    <w:rsid w:val="00FC26C8"/>
    <w:rsid w:val="00FC482F"/>
    <w:rsid w:val="00FC499C"/>
    <w:rsid w:val="00FC5CE6"/>
    <w:rsid w:val="00FC6F7C"/>
    <w:rsid w:val="00FC7515"/>
    <w:rsid w:val="00FD0408"/>
    <w:rsid w:val="00FD0818"/>
    <w:rsid w:val="00FD1727"/>
    <w:rsid w:val="00FD3D4B"/>
    <w:rsid w:val="00FE03B0"/>
    <w:rsid w:val="00FE17F6"/>
    <w:rsid w:val="00FE237F"/>
    <w:rsid w:val="00FE2828"/>
    <w:rsid w:val="00FE3C53"/>
    <w:rsid w:val="00FE6C73"/>
    <w:rsid w:val="00FE797B"/>
    <w:rsid w:val="00FE7D8E"/>
    <w:rsid w:val="00FF0411"/>
    <w:rsid w:val="00FF4E6D"/>
    <w:rsid w:val="00FF5426"/>
    <w:rsid w:val="00FF6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3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97"/>
    <w:pPr>
      <w:spacing w:after="200" w:line="276" w:lineRule="auto"/>
    </w:pPr>
    <w:rPr>
      <w:sz w:val="22"/>
      <w:szCs w:val="22"/>
      <w:lang w:eastAsia="en-US"/>
    </w:rPr>
  </w:style>
  <w:style w:type="paragraph" w:styleId="Heading1">
    <w:name w:val="heading 1"/>
    <w:basedOn w:val="Normal"/>
    <w:next w:val="Normal"/>
    <w:link w:val="Heading1Char"/>
    <w:uiPriority w:val="9"/>
    <w:qFormat/>
    <w:rsid w:val="008B35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7B459B"/>
    <w:pPr>
      <w:keepNext/>
      <w:spacing w:before="240" w:after="60" w:line="240" w:lineRule="auto"/>
      <w:outlineLvl w:val="2"/>
    </w:pPr>
    <w:rPr>
      <w:rFonts w:ascii="Times New Roman" w:eastAsia="Times New Roman" w:hAnsi="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795"/>
    <w:pPr>
      <w:ind w:left="720"/>
      <w:contextualSpacing/>
    </w:pPr>
  </w:style>
  <w:style w:type="paragraph" w:styleId="FootnoteText">
    <w:name w:val="footnote text"/>
    <w:basedOn w:val="Normal"/>
    <w:link w:val="FootnoteTextChar"/>
    <w:uiPriority w:val="99"/>
    <w:semiHidden/>
    <w:unhideWhenUsed/>
    <w:rsid w:val="00377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60"/>
    <w:rPr>
      <w:sz w:val="20"/>
      <w:szCs w:val="20"/>
    </w:rPr>
  </w:style>
  <w:style w:type="character" w:styleId="FootnoteReference">
    <w:name w:val="footnote reference"/>
    <w:basedOn w:val="DefaultParagraphFont"/>
    <w:uiPriority w:val="99"/>
    <w:semiHidden/>
    <w:unhideWhenUsed/>
    <w:rsid w:val="00377860"/>
    <w:rPr>
      <w:vertAlign w:val="superscript"/>
    </w:rPr>
  </w:style>
  <w:style w:type="character" w:styleId="Hyperlink">
    <w:name w:val="Hyperlink"/>
    <w:basedOn w:val="DefaultParagraphFont"/>
    <w:uiPriority w:val="99"/>
    <w:unhideWhenUsed/>
    <w:rsid w:val="00A87E9E"/>
    <w:rPr>
      <w:color w:val="0000FF"/>
      <w:u w:val="single"/>
    </w:rPr>
  </w:style>
  <w:style w:type="character" w:customStyle="1" w:styleId="Heading3Char">
    <w:name w:val="Heading 3 Char"/>
    <w:basedOn w:val="DefaultParagraphFont"/>
    <w:link w:val="Heading3"/>
    <w:rsid w:val="007B459B"/>
    <w:rPr>
      <w:rFonts w:ascii="Times New Roman" w:eastAsia="Times New Roman" w:hAnsi="Times New Roman" w:cs="Times New Roman"/>
      <w:b/>
      <w:sz w:val="24"/>
      <w:szCs w:val="20"/>
      <w:lang w:eastAsia="en-AU"/>
    </w:rPr>
  </w:style>
  <w:style w:type="paragraph" w:styleId="Header">
    <w:name w:val="header"/>
    <w:basedOn w:val="Normal"/>
    <w:link w:val="HeaderChar"/>
    <w:uiPriority w:val="99"/>
    <w:unhideWhenUsed/>
    <w:rsid w:val="00600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49"/>
  </w:style>
  <w:style w:type="paragraph" w:styleId="Footer">
    <w:name w:val="footer"/>
    <w:basedOn w:val="Normal"/>
    <w:link w:val="FooterChar"/>
    <w:uiPriority w:val="99"/>
    <w:unhideWhenUsed/>
    <w:rsid w:val="00600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49"/>
  </w:style>
  <w:style w:type="character" w:styleId="CommentReference">
    <w:name w:val="annotation reference"/>
    <w:basedOn w:val="DefaultParagraphFont"/>
    <w:unhideWhenUsed/>
    <w:rsid w:val="00997036"/>
    <w:rPr>
      <w:sz w:val="16"/>
      <w:szCs w:val="16"/>
    </w:rPr>
  </w:style>
  <w:style w:type="paragraph" w:styleId="CommentText">
    <w:name w:val="annotation text"/>
    <w:basedOn w:val="Normal"/>
    <w:link w:val="CommentTextChar"/>
    <w:uiPriority w:val="99"/>
    <w:unhideWhenUsed/>
    <w:rsid w:val="00997036"/>
    <w:pPr>
      <w:spacing w:line="240" w:lineRule="auto"/>
    </w:pPr>
    <w:rPr>
      <w:sz w:val="20"/>
      <w:szCs w:val="20"/>
    </w:rPr>
  </w:style>
  <w:style w:type="character" w:customStyle="1" w:styleId="CommentTextChar">
    <w:name w:val="Comment Text Char"/>
    <w:basedOn w:val="DefaultParagraphFont"/>
    <w:link w:val="CommentText"/>
    <w:uiPriority w:val="99"/>
    <w:rsid w:val="00997036"/>
    <w:rPr>
      <w:sz w:val="20"/>
      <w:szCs w:val="20"/>
    </w:rPr>
  </w:style>
  <w:style w:type="paragraph" w:styleId="CommentSubject">
    <w:name w:val="annotation subject"/>
    <w:basedOn w:val="CommentText"/>
    <w:next w:val="CommentText"/>
    <w:link w:val="CommentSubjectChar"/>
    <w:uiPriority w:val="99"/>
    <w:semiHidden/>
    <w:unhideWhenUsed/>
    <w:rsid w:val="00997036"/>
    <w:rPr>
      <w:b/>
      <w:bCs/>
    </w:rPr>
  </w:style>
  <w:style w:type="character" w:customStyle="1" w:styleId="CommentSubjectChar">
    <w:name w:val="Comment Subject Char"/>
    <w:basedOn w:val="CommentTextChar"/>
    <w:link w:val="CommentSubject"/>
    <w:uiPriority w:val="99"/>
    <w:semiHidden/>
    <w:rsid w:val="00997036"/>
    <w:rPr>
      <w:b/>
      <w:bCs/>
      <w:sz w:val="20"/>
      <w:szCs w:val="20"/>
    </w:rPr>
  </w:style>
  <w:style w:type="paragraph" w:styleId="BalloonText">
    <w:name w:val="Balloon Text"/>
    <w:basedOn w:val="Normal"/>
    <w:link w:val="BalloonTextChar"/>
    <w:uiPriority w:val="99"/>
    <w:semiHidden/>
    <w:unhideWhenUsed/>
    <w:rsid w:val="0099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036"/>
    <w:rPr>
      <w:rFonts w:ascii="Tahoma" w:hAnsi="Tahoma" w:cs="Tahoma"/>
      <w:sz w:val="16"/>
      <w:szCs w:val="16"/>
    </w:rPr>
  </w:style>
  <w:style w:type="paragraph" w:customStyle="1" w:styleId="Note">
    <w:name w:val="Note"/>
    <w:basedOn w:val="Normal"/>
    <w:rsid w:val="003D429C"/>
    <w:pPr>
      <w:keepLines/>
      <w:spacing w:before="120" w:after="0" w:line="220" w:lineRule="exact"/>
      <w:ind w:left="964"/>
      <w:jc w:val="both"/>
    </w:pPr>
    <w:rPr>
      <w:rFonts w:ascii="Times New Roman" w:eastAsia="Times New Roman" w:hAnsi="Times New Roman"/>
      <w:sz w:val="20"/>
      <w:szCs w:val="24"/>
      <w:lang w:eastAsia="en-AU"/>
    </w:rPr>
  </w:style>
  <w:style w:type="paragraph" w:customStyle="1" w:styleId="Default">
    <w:name w:val="Default"/>
    <w:rsid w:val="00F17C4E"/>
    <w:pPr>
      <w:autoSpaceDE w:val="0"/>
      <w:autoSpaceDN w:val="0"/>
      <w:adjustRightInd w:val="0"/>
    </w:pPr>
    <w:rPr>
      <w:rFonts w:ascii="Times New Roman" w:hAnsi="Times New Roman"/>
      <w:color w:val="000000"/>
      <w:sz w:val="24"/>
      <w:szCs w:val="24"/>
      <w:lang w:eastAsia="en-US"/>
    </w:rPr>
  </w:style>
  <w:style w:type="paragraph" w:customStyle="1" w:styleId="ACMANumberedList">
    <w:name w:val="ACMA Numbered List"/>
    <w:rsid w:val="00EC1BAF"/>
    <w:pPr>
      <w:autoSpaceDE w:val="0"/>
      <w:autoSpaceDN w:val="0"/>
      <w:adjustRightInd w:val="0"/>
    </w:pPr>
    <w:rPr>
      <w:rFonts w:ascii="Arial" w:hAnsi="Arial" w:cs="Arial"/>
      <w:sz w:val="24"/>
      <w:szCs w:val="24"/>
      <w:lang w:eastAsia="en-US"/>
    </w:rPr>
  </w:style>
  <w:style w:type="paragraph" w:customStyle="1" w:styleId="ACMABodyText">
    <w:name w:val="ACMA Body Text"/>
    <w:link w:val="ACMABodyTextChar1"/>
    <w:uiPriority w:val="99"/>
    <w:rsid w:val="00CC25BC"/>
    <w:pPr>
      <w:suppressAutoHyphens/>
      <w:spacing w:before="80" w:after="120" w:line="280" w:lineRule="atLeast"/>
    </w:pPr>
    <w:rPr>
      <w:rFonts w:ascii="Times New Roman" w:eastAsia="Times New Roman" w:hAnsi="Times New Roman"/>
      <w:snapToGrid w:val="0"/>
      <w:sz w:val="24"/>
      <w:lang w:eastAsia="en-US"/>
    </w:rPr>
  </w:style>
  <w:style w:type="character" w:customStyle="1" w:styleId="ACMABodyTextChar1">
    <w:name w:val="ACMA Body Text Char1"/>
    <w:basedOn w:val="DefaultParagraphFont"/>
    <w:link w:val="ACMABodyText"/>
    <w:uiPriority w:val="99"/>
    <w:rsid w:val="00CC25BC"/>
    <w:rPr>
      <w:rFonts w:ascii="Times New Roman" w:eastAsia="Times New Roman" w:hAnsi="Times New Roman"/>
      <w:snapToGrid w:val="0"/>
      <w:sz w:val="24"/>
      <w:lang w:eastAsia="en-US"/>
    </w:rPr>
  </w:style>
  <w:style w:type="character" w:styleId="FollowedHyperlink">
    <w:name w:val="FollowedHyperlink"/>
    <w:basedOn w:val="DefaultParagraphFont"/>
    <w:uiPriority w:val="99"/>
    <w:semiHidden/>
    <w:unhideWhenUsed/>
    <w:rsid w:val="0046288E"/>
    <w:rPr>
      <w:color w:val="800080" w:themeColor="followedHyperlink"/>
      <w:u w:val="single"/>
    </w:rPr>
  </w:style>
  <w:style w:type="table" w:styleId="TableGrid">
    <w:name w:val="Table Grid"/>
    <w:basedOn w:val="TableNormal"/>
    <w:uiPriority w:val="59"/>
    <w:rsid w:val="008B7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420EBC"/>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420EBC"/>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customStyle="1" w:styleId="R1">
    <w:name w:val="R1"/>
    <w:aliases w:val="1. or 1.(1)"/>
    <w:basedOn w:val="Normal"/>
    <w:next w:val="R2"/>
    <w:link w:val="R1Char"/>
    <w:rsid w:val="007D08BF"/>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character" w:customStyle="1" w:styleId="R1Char">
    <w:name w:val="R1 Char"/>
    <w:aliases w:val="1. or 1.(1) Char"/>
    <w:basedOn w:val="DefaultParagraphFont"/>
    <w:link w:val="R1"/>
    <w:rsid w:val="007D08BF"/>
    <w:rPr>
      <w:rFonts w:ascii="Times New Roman" w:eastAsia="Times New Roman" w:hAnsi="Times New Roman"/>
      <w:sz w:val="24"/>
      <w:szCs w:val="24"/>
    </w:rPr>
  </w:style>
  <w:style w:type="paragraph" w:styleId="EnvelopeAddress">
    <w:name w:val="envelope address"/>
    <w:basedOn w:val="Normal"/>
    <w:rsid w:val="005A0875"/>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PlainText">
    <w:name w:val="Plain Text"/>
    <w:basedOn w:val="Normal"/>
    <w:link w:val="PlainTextChar"/>
    <w:uiPriority w:val="99"/>
    <w:unhideWhenUsed/>
    <w:rsid w:val="00564895"/>
    <w:pPr>
      <w:spacing w:after="0" w:line="240" w:lineRule="auto"/>
    </w:pPr>
    <w:rPr>
      <w:rFonts w:ascii="Consolas" w:eastAsiaTheme="minorHAnsi" w:hAnsi="Consolas" w:cs="Consolas"/>
      <w:sz w:val="21"/>
      <w:szCs w:val="21"/>
      <w:lang w:eastAsia="en-AU"/>
    </w:rPr>
  </w:style>
  <w:style w:type="character" w:customStyle="1" w:styleId="PlainTextChar">
    <w:name w:val="Plain Text Char"/>
    <w:basedOn w:val="DefaultParagraphFont"/>
    <w:link w:val="PlainText"/>
    <w:uiPriority w:val="99"/>
    <w:rsid w:val="00564895"/>
    <w:rPr>
      <w:rFonts w:ascii="Consolas" w:eastAsiaTheme="minorHAnsi" w:hAnsi="Consolas" w:cs="Consolas"/>
      <w:sz w:val="21"/>
      <w:szCs w:val="21"/>
    </w:rPr>
  </w:style>
  <w:style w:type="paragraph" w:customStyle="1" w:styleId="definition">
    <w:name w:val="definition"/>
    <w:basedOn w:val="Normal"/>
    <w:rsid w:val="00A236E7"/>
    <w:pPr>
      <w:spacing w:before="80" w:after="0" w:line="260" w:lineRule="exact"/>
      <w:ind w:left="964"/>
      <w:jc w:val="both"/>
    </w:pPr>
    <w:rPr>
      <w:rFonts w:ascii="Times New Roman" w:eastAsia="Times New Roman" w:hAnsi="Times New Roman"/>
      <w:noProof/>
      <w:sz w:val="24"/>
      <w:szCs w:val="24"/>
    </w:rPr>
  </w:style>
  <w:style w:type="paragraph" w:customStyle="1" w:styleId="HR">
    <w:name w:val="HR"/>
    <w:aliases w:val="Regulation Heading"/>
    <w:basedOn w:val="Normal"/>
    <w:next w:val="R1"/>
    <w:rsid w:val="00013AD1"/>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FB094F"/>
    <w:rPr>
      <w:sz w:val="22"/>
      <w:szCs w:val="22"/>
      <w:lang w:eastAsia="en-US"/>
    </w:rPr>
  </w:style>
  <w:style w:type="character" w:customStyle="1" w:styleId="Heading1Char">
    <w:name w:val="Heading 1 Char"/>
    <w:basedOn w:val="DefaultParagraphFont"/>
    <w:link w:val="Heading1"/>
    <w:uiPriority w:val="9"/>
    <w:rsid w:val="008B35AA"/>
    <w:rPr>
      <w:rFonts w:asciiTheme="majorHAnsi" w:eastAsiaTheme="majorEastAsia" w:hAnsiTheme="majorHAnsi" w:cstheme="majorBidi"/>
      <w:color w:val="365F91" w:themeColor="accent1" w:themeShade="BF"/>
      <w:sz w:val="32"/>
      <w:szCs w:val="32"/>
      <w:lang w:eastAsia="en-US"/>
    </w:rPr>
  </w:style>
  <w:style w:type="paragraph" w:customStyle="1" w:styleId="DraftingParagraph">
    <w:name w:val="Drafting: Paragraph"/>
    <w:basedOn w:val="Normal"/>
    <w:qFormat/>
    <w:rsid w:val="00C33BE2"/>
    <w:pPr>
      <w:numPr>
        <w:numId w:val="33"/>
      </w:numPr>
      <w:tabs>
        <w:tab w:val="right" w:pos="1191"/>
      </w:tabs>
      <w:spacing w:before="120" w:after="120" w:line="260" w:lineRule="exact"/>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90167">
      <w:bodyDiv w:val="1"/>
      <w:marLeft w:val="0"/>
      <w:marRight w:val="0"/>
      <w:marTop w:val="0"/>
      <w:marBottom w:val="0"/>
      <w:divBdr>
        <w:top w:val="none" w:sz="0" w:space="0" w:color="auto"/>
        <w:left w:val="none" w:sz="0" w:space="0" w:color="auto"/>
        <w:bottom w:val="none" w:sz="0" w:space="0" w:color="auto"/>
        <w:right w:val="none" w:sz="0" w:space="0" w:color="auto"/>
      </w:divBdr>
    </w:div>
    <w:div w:id="1874537964">
      <w:bodyDiv w:val="1"/>
      <w:marLeft w:val="0"/>
      <w:marRight w:val="0"/>
      <w:marTop w:val="0"/>
      <w:marBottom w:val="0"/>
      <w:divBdr>
        <w:top w:val="none" w:sz="0" w:space="0" w:color="auto"/>
        <w:left w:val="none" w:sz="0" w:space="0" w:color="auto"/>
        <w:bottom w:val="none" w:sz="0" w:space="0" w:color="auto"/>
        <w:right w:val="none" w:sz="0" w:space="0" w:color="auto"/>
      </w:divBdr>
      <w:divsChild>
        <w:div w:id="145556069">
          <w:marLeft w:val="0"/>
          <w:marRight w:val="0"/>
          <w:marTop w:val="0"/>
          <w:marBottom w:val="0"/>
          <w:divBdr>
            <w:top w:val="none" w:sz="0" w:space="0" w:color="auto"/>
            <w:left w:val="none" w:sz="0" w:space="0" w:color="auto"/>
            <w:bottom w:val="none" w:sz="0" w:space="0" w:color="auto"/>
            <w:right w:val="none" w:sz="0" w:space="0" w:color="auto"/>
          </w:divBdr>
          <w:divsChild>
            <w:div w:id="1593659264">
              <w:marLeft w:val="0"/>
              <w:marRight w:val="0"/>
              <w:marTop w:val="0"/>
              <w:marBottom w:val="0"/>
              <w:divBdr>
                <w:top w:val="none" w:sz="0" w:space="0" w:color="auto"/>
                <w:left w:val="none" w:sz="0" w:space="0" w:color="auto"/>
                <w:bottom w:val="none" w:sz="0" w:space="0" w:color="auto"/>
                <w:right w:val="none" w:sz="0" w:space="0" w:color="auto"/>
              </w:divBdr>
              <w:divsChild>
                <w:div w:id="138234244">
                  <w:marLeft w:val="2850"/>
                  <w:marRight w:val="180"/>
                  <w:marTop w:val="0"/>
                  <w:marBottom w:val="0"/>
                  <w:divBdr>
                    <w:top w:val="none" w:sz="0" w:space="0" w:color="auto"/>
                    <w:left w:val="none" w:sz="0" w:space="0" w:color="auto"/>
                    <w:bottom w:val="none" w:sz="0" w:space="0" w:color="auto"/>
                    <w:right w:val="none" w:sz="0" w:space="0" w:color="auto"/>
                  </w:divBdr>
                  <w:divsChild>
                    <w:div w:id="13135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store.saigloba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egacy_x0020_Record_x0020_Number xmlns="83630db1-6fc2-4dfd-b3fe-d61d34e1440c" xsi:nil="true"/>
    <_dlc_DocId xmlns="1d983eb4-33f7-44b0-aea1-cbdcf0c55136">3NE2HDV7HD6D-2038751701-2750</_dlc_DocId>
    <_dlc_DocIdUrl xmlns="1d983eb4-33f7-44b0-aea1-cbdcf0c55136">
      <Url>http://collaboration/organisation/cid/OB/TRDS/_layouts/15/DocIdRedir.aspx?ID=3NE2HDV7HD6D-2038751701-2750</Url>
      <Description>3NE2HDV7HD6D-2038751701-2750</Description>
    </_dlc_DocIdUrl>
    <RecordPoint_x0020_Number xmlns="17f777bc-f954-4adf-b685-9afef15c32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2AACAFEE31E24D89A6743F7D423479" ma:contentTypeVersion="10" ma:contentTypeDescription="Create a new document." ma:contentTypeScope="" ma:versionID="95152ce1a077e1e660fc811ac7937ce5">
  <xsd:schema xmlns:xsd="http://www.w3.org/2001/XMLSchema" xmlns:xs="http://www.w3.org/2001/XMLSchema" xmlns:p="http://schemas.microsoft.com/office/2006/metadata/properties" xmlns:ns2="1d983eb4-33f7-44b0-aea1-cbdcf0c55136" xmlns:ns3="83630db1-6fc2-4dfd-b3fe-d61d34e1440c" xmlns:ns4="17f777bc-f954-4adf-b685-9afef15c321e" targetNamespace="http://schemas.microsoft.com/office/2006/metadata/properties" ma:root="true" ma:fieldsID="7558bb6d544d387e10d715801dc062b9" ns2:_="" ns3:_="" ns4:_="">
    <xsd:import namespace="1d983eb4-33f7-44b0-aea1-cbdcf0c55136"/>
    <xsd:import namespace="83630db1-6fc2-4dfd-b3fe-d61d34e1440c"/>
    <xsd:import namespace="17f777bc-f954-4adf-b685-9afef15c321e"/>
    <xsd:element name="properties">
      <xsd:complexType>
        <xsd:sequence>
          <xsd:element name="documentManagement">
            <xsd:complexType>
              <xsd:all>
                <xsd:element ref="ns2:_dlc_DocId" minOccurs="0"/>
                <xsd:element ref="ns2:_dlc_DocIdUrl" minOccurs="0"/>
                <xsd:element ref="ns2:_dlc_DocIdPersistId" minOccurs="0"/>
                <xsd:element ref="ns3:Legacy_x0020_Record_x0020_Number" minOccurs="0"/>
                <xsd:element ref="ns4:RecordPoi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11" nillable="true" ma:displayName="Legacy Record Number" ma:description="Captures legacy record numbers, eg from TRIM." ma:internalName="Legacy_x0020_Record_x0020_Number">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7f777bc-f954-4adf-b685-9afef15c321e" elementFormDefault="qualified">
    <xsd:import namespace="http://schemas.microsoft.com/office/2006/documentManagement/types"/>
    <xsd:import namespace="http://schemas.microsoft.com/office/infopath/2007/PartnerControls"/>
    <xsd:element name="RecordPoint_x0020_Number" ma:index="12" nillable="true" ma:displayName="RecordPoint Number" ma:internalName="RecordPoint_x0020_Number">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FAB7-67C4-4FC5-82DE-7F9063E59827}">
  <ds:schemaRefs>
    <ds:schemaRef ds:uri="http://schemas.microsoft.com/sharepoint/v3/contenttype/forms"/>
  </ds:schemaRefs>
</ds:datastoreItem>
</file>

<file path=customXml/itemProps2.xml><?xml version="1.0" encoding="utf-8"?>
<ds:datastoreItem xmlns:ds="http://schemas.openxmlformats.org/officeDocument/2006/customXml" ds:itemID="{B672981E-F7DA-48C1-88D5-0CB542CCAAC3}">
  <ds:schemaRefs>
    <ds:schemaRef ds:uri="http://schemas.microsoft.com/sharepoint/events"/>
  </ds:schemaRefs>
</ds:datastoreItem>
</file>

<file path=customXml/itemProps3.xml><?xml version="1.0" encoding="utf-8"?>
<ds:datastoreItem xmlns:ds="http://schemas.openxmlformats.org/officeDocument/2006/customXml" ds:itemID="{B171F425-64AA-40F8-AA87-32B464FDBFF2}">
  <ds:schemaRefs>
    <ds:schemaRef ds:uri="http://schemas.microsoft.com/office/2006/metadata/properties"/>
    <ds:schemaRef ds:uri="http://schemas.microsoft.com/office/infopath/2007/PartnerControls"/>
    <ds:schemaRef ds:uri="83630db1-6fc2-4dfd-b3fe-d61d34e1440c"/>
    <ds:schemaRef ds:uri="1d983eb4-33f7-44b0-aea1-cbdcf0c55136"/>
    <ds:schemaRef ds:uri="17f777bc-f954-4adf-b685-9afef15c321e"/>
  </ds:schemaRefs>
</ds:datastoreItem>
</file>

<file path=customXml/itemProps4.xml><?xml version="1.0" encoding="utf-8"?>
<ds:datastoreItem xmlns:ds="http://schemas.openxmlformats.org/officeDocument/2006/customXml" ds:itemID="{F2529393-C3D4-455D-81C4-DEBAB2CFD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83630db1-6fc2-4dfd-b3fe-d61d34e1440c"/>
    <ds:schemaRef ds:uri="17f777bc-f954-4adf-b685-9afef15c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00BFFA-0AA5-4878-8E4C-6318872F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3664</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24503</CharactersWithSpaces>
  <SharedDoc>false</SharedDoc>
  <HLinks>
    <vt:vector size="6" baseType="variant">
      <vt:variant>
        <vt:i4>7405605</vt:i4>
      </vt:variant>
      <vt:variant>
        <vt:i4>0</vt:i4>
      </vt:variant>
      <vt:variant>
        <vt:i4>0</vt:i4>
      </vt:variant>
      <vt:variant>
        <vt:i4>5</vt:i4>
      </vt:variant>
      <vt:variant>
        <vt:lpwstr>http://www.commsalliance.com.au/Documents/Technical-CE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AS/CA S002-2014</dc:subject>
  <dc:creator/>
  <cp:keywords/>
  <dc:description/>
  <cp:lastModifiedBy/>
  <cp:revision>1</cp:revision>
  <cp:lastPrinted>2010-08-26T03:56:00Z</cp:lastPrinted>
  <dcterms:created xsi:type="dcterms:W3CDTF">2017-08-16T03:12:00Z</dcterms:created>
  <dcterms:modified xsi:type="dcterms:W3CDTF">2017-08-16T06:46:00Z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0x010100192AACAFEE31E24D89A6743F7D423479</vt:lpwstr>
  </property>
  <property fmtid="{D5CDD505-2E9C-101B-9397-08002B2CF9AE}" pid="3" name="_dlc_DocIdItemGuid">
    <vt:lpwstr>95e1eb8d-ac6a-4d89-b526-40e89b17819b</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{1db5e248-6bb5-4ca1-956d-7fcda2a2342e}</vt:lpwstr>
  </property>
  <property fmtid="{D5CDD505-2E9C-101B-9397-08002B2CF9AE}" pid="7" name="RecordPoint_SubmissionCompleted">
    <vt:lpwstr>2015-01-20T14:53:13.9029509+11:00</vt:lpwstr>
  </property>
  <property fmtid="{D5CDD505-2E9C-101B-9397-08002B2CF9AE}" pid="8" name="RecordPoint_ActiveItemMoved">
    <vt:lpwstr/>
  </property>
  <property fmtid="{D5CDD505-2E9C-101B-9397-08002B2CF9AE}" pid="9" name="RecordPoint_ActiveItemUniqueId">
    <vt:lpwstr>{ba8fb3ae-105a-4fdc-a70c-83c2aec9f2b5}</vt:lpwstr>
  </property>
  <property fmtid="{D5CDD505-2E9C-101B-9397-08002B2CF9AE}" pid="10" name="RecordPoint_RecordFormat">
    <vt:lpwstr/>
  </property>
  <property fmtid="{D5CDD505-2E9C-101B-9397-08002B2CF9AE}" pid="11" name="RecordPoint_ActiveItemWebId">
    <vt:lpwstr>{ef1f6c22-ec5e-481f-b38d-33461acacea0}</vt:lpwstr>
  </property>
  <property fmtid="{D5CDD505-2E9C-101B-9397-08002B2CF9AE}" pid="12" name="RecordPoint_WorkflowType">
    <vt:lpwstr>ActiveSubmitStub</vt:lpwstr>
  </property>
</Properties>
</file>