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56E" w:rsidRPr="0098156E" w:rsidRDefault="0098156E" w:rsidP="0098156E">
      <w:pPr>
        <w:spacing w:before="120" w:after="24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8"/>
          <w:szCs w:val="28"/>
          <w:lang w:eastAsia="en-AU"/>
        </w:rPr>
      </w:pPr>
      <w:bookmarkStart w:id="0" w:name="_GoBack"/>
      <w:bookmarkEnd w:id="0"/>
      <w:r w:rsidRPr="0098156E">
        <w:rPr>
          <w:rFonts w:ascii="Cambria" w:eastAsia="Times New Roman" w:hAnsi="Cambria" w:cs="Times New Roman"/>
          <w:b/>
          <w:bCs/>
          <w:kern w:val="36"/>
          <w:sz w:val="28"/>
          <w:szCs w:val="28"/>
          <w:lang w:val="en-US" w:eastAsia="en-AU"/>
        </w:rPr>
        <w:t>EXPLANATORY STATEMENT</w:t>
      </w:r>
    </w:p>
    <w:p w:rsidR="0098156E" w:rsidRPr="0098156E" w:rsidRDefault="0098156E" w:rsidP="0098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Issued by the Authority of the Minister for Finance</w:t>
      </w:r>
    </w:p>
    <w:p w:rsidR="0098156E" w:rsidRPr="0098156E" w:rsidRDefault="0098156E" w:rsidP="0098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 </w:t>
      </w:r>
    </w:p>
    <w:p w:rsidR="0098156E" w:rsidRPr="0098156E" w:rsidRDefault="00FC6650" w:rsidP="0098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Public Governance,</w:t>
      </w:r>
      <w:r w:rsidR="0098156E" w:rsidRPr="0098156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 Performance and Accountability Act 2013</w:t>
      </w:r>
    </w:p>
    <w:p w:rsidR="00B41A11" w:rsidRDefault="00B41A11" w:rsidP="00A024C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</w:pPr>
      <w:r>
        <w:t xml:space="preserve"> </w:t>
      </w:r>
      <w:r w:rsidR="00FC6650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Public Governance, </w:t>
      </w:r>
      <w:r w:rsidRPr="00B41A1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Performance and Accountability </w:t>
      </w:r>
    </w:p>
    <w:p w:rsidR="0098156E" w:rsidRPr="00B41A11" w:rsidRDefault="00B41A11" w:rsidP="00A024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</w:pPr>
      <w:r w:rsidRPr="00B41A1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(Charging for Re</w:t>
      </w:r>
      <w:r w:rsidR="00A5233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gulatory Activities) Order 2017</w:t>
      </w:r>
    </w:p>
    <w:p w:rsidR="0098156E" w:rsidRPr="0098156E" w:rsidRDefault="0098156E" w:rsidP="00981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 </w:t>
      </w:r>
    </w:p>
    <w:p w:rsidR="00730E07" w:rsidRPr="00D0712A" w:rsidRDefault="00A024C6" w:rsidP="00D0712A">
      <w:pPr>
        <w:spacing w:before="200" w:after="120" w:line="240" w:lineRule="auto"/>
        <w:outlineLvl w:val="1"/>
        <w:rPr>
          <w:rFonts w:ascii="Cambria" w:eastAsia="Times New Roman" w:hAnsi="Cambria" w:cs="Times New Roman"/>
          <w:b/>
          <w:bCs/>
          <w:sz w:val="26"/>
          <w:szCs w:val="26"/>
          <w:lang w:val="en-US" w:eastAsia="en-AU"/>
        </w:rPr>
      </w:pPr>
      <w:r>
        <w:rPr>
          <w:rFonts w:ascii="Cambria" w:eastAsia="Times New Roman" w:hAnsi="Cambria" w:cs="Times New Roman"/>
          <w:b/>
          <w:bCs/>
          <w:sz w:val="26"/>
          <w:szCs w:val="26"/>
          <w:lang w:val="en-US" w:eastAsia="en-AU"/>
        </w:rPr>
        <w:t>Charging for r</w:t>
      </w:r>
      <w:r w:rsidR="00730E07" w:rsidRPr="00D0712A">
        <w:rPr>
          <w:rFonts w:ascii="Cambria" w:eastAsia="Times New Roman" w:hAnsi="Cambria" w:cs="Times New Roman"/>
          <w:b/>
          <w:bCs/>
          <w:sz w:val="26"/>
          <w:szCs w:val="26"/>
          <w:lang w:val="en-US" w:eastAsia="en-AU"/>
        </w:rPr>
        <w:t xml:space="preserve">egulatory </w:t>
      </w:r>
      <w:r>
        <w:rPr>
          <w:rFonts w:ascii="Cambria" w:eastAsia="Times New Roman" w:hAnsi="Cambria" w:cs="Times New Roman"/>
          <w:b/>
          <w:bCs/>
          <w:sz w:val="26"/>
          <w:szCs w:val="26"/>
          <w:lang w:val="en-US" w:eastAsia="en-AU"/>
        </w:rPr>
        <w:t>activities g</w:t>
      </w:r>
      <w:r w:rsidR="00730E07" w:rsidRPr="00D0712A">
        <w:rPr>
          <w:rFonts w:ascii="Cambria" w:eastAsia="Times New Roman" w:hAnsi="Cambria" w:cs="Times New Roman"/>
          <w:b/>
          <w:bCs/>
          <w:sz w:val="26"/>
          <w:szCs w:val="26"/>
          <w:lang w:val="en-US" w:eastAsia="en-AU"/>
        </w:rPr>
        <w:t xml:space="preserve">overnment </w:t>
      </w:r>
      <w:r>
        <w:rPr>
          <w:rFonts w:ascii="Cambria" w:eastAsia="Times New Roman" w:hAnsi="Cambria" w:cs="Times New Roman"/>
          <w:b/>
          <w:bCs/>
          <w:sz w:val="26"/>
          <w:szCs w:val="26"/>
          <w:lang w:val="en-US" w:eastAsia="en-AU"/>
        </w:rPr>
        <w:t>p</w:t>
      </w:r>
      <w:r w:rsidR="00730E07" w:rsidRPr="00D0712A">
        <w:rPr>
          <w:rFonts w:ascii="Cambria" w:eastAsia="Times New Roman" w:hAnsi="Cambria" w:cs="Times New Roman"/>
          <w:b/>
          <w:bCs/>
          <w:sz w:val="26"/>
          <w:szCs w:val="26"/>
          <w:lang w:val="en-US" w:eastAsia="en-AU"/>
        </w:rPr>
        <w:t xml:space="preserve">olicy </w:t>
      </w:r>
      <w:r>
        <w:rPr>
          <w:rFonts w:ascii="Cambria" w:eastAsia="Times New Roman" w:hAnsi="Cambria" w:cs="Times New Roman"/>
          <w:b/>
          <w:bCs/>
          <w:sz w:val="26"/>
          <w:szCs w:val="26"/>
          <w:lang w:val="en-US" w:eastAsia="en-AU"/>
        </w:rPr>
        <w:t>o</w:t>
      </w:r>
      <w:r w:rsidR="00730E07" w:rsidRPr="00D0712A">
        <w:rPr>
          <w:rFonts w:ascii="Cambria" w:eastAsia="Times New Roman" w:hAnsi="Cambria" w:cs="Times New Roman"/>
          <w:b/>
          <w:bCs/>
          <w:sz w:val="26"/>
          <w:szCs w:val="26"/>
          <w:lang w:val="en-US" w:eastAsia="en-AU"/>
        </w:rPr>
        <w:t>rder</w:t>
      </w:r>
    </w:p>
    <w:p w:rsidR="0098156E" w:rsidRPr="0098156E" w:rsidRDefault="00FC6650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Subs</w:t>
      </w:r>
      <w:r w:rsidR="0098156E"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ection </w:t>
      </w:r>
      <w:r w:rsidR="00D44FC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22</w:t>
      </w:r>
      <w:r w:rsidR="00730E0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(1)</w:t>
      </w:r>
      <w:r w:rsidR="0098156E"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the </w:t>
      </w:r>
      <w:r w:rsidR="00B41A11" w:rsidRPr="009815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Public Governance, Performance and Accountability Act</w:t>
      </w:r>
      <w:r w:rsidR="00BC5C1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 </w:t>
      </w:r>
      <w:r w:rsidR="00B41A11" w:rsidRPr="009815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2013</w:t>
      </w:r>
      <w:r w:rsidR="00B41A11"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> (PGPA Act)</w:t>
      </w:r>
      <w:r w:rsidR="0098156E"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provides that the Finance Minister may make </w:t>
      </w:r>
      <w:r w:rsidR="00D44FC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order that specifies a policy of the Australian Government that is to apply in relation to one or more corporate Commonwealth entities (CCE)</w:t>
      </w:r>
      <w:r w:rsidR="0098156E"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98156E" w:rsidRPr="0098156E" w:rsidRDefault="0098156E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 </w:t>
      </w:r>
    </w:p>
    <w:p w:rsidR="00D44FC1" w:rsidRDefault="0098156E" w:rsidP="00D44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 </w:t>
      </w:r>
      <w:r w:rsidR="00D44FC1" w:rsidRPr="00B41A1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Public Governance, Performance and Accountability (Charging for R</w:t>
      </w:r>
      <w:r w:rsidR="003B2DCC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egulatory Activities) Order 2017</w:t>
      </w:r>
      <w:r w:rsidR="00D44FC1"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(</w:t>
      </w:r>
      <w:r w:rsidR="007B10C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Order</w:t>
      </w:r>
      <w:r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) support</w:t>
      </w:r>
      <w:r w:rsidR="00263D0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</w:t>
      </w:r>
      <w:r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implementation of </w:t>
      </w:r>
      <w:r w:rsidR="00D44FC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Australian Government Charging Framework</w:t>
      </w:r>
      <w:r w:rsidR="00FC2B3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(the Framework)</w:t>
      </w:r>
      <w:r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The </w:t>
      </w:r>
      <w:r w:rsidR="00A639C5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Order</w:t>
      </w:r>
      <w:r w:rsidR="00D44FC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1F7FB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specifies the Australian Government policy relating to charging for regulatory activities tha</w:t>
      </w:r>
      <w:r w:rsidR="00D3127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 is to apply to certain CCEs. </w:t>
      </w:r>
      <w:r w:rsidR="001F7FB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It </w:t>
      </w:r>
      <w:r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contains provisions </w:t>
      </w:r>
      <w:r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that relate to </w:t>
      </w:r>
      <w:r w:rsidR="002A67C3"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how </w:t>
      </w:r>
      <w:r w:rsidR="00D44FC1"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regulatory charging activities</w:t>
      </w:r>
      <w:r w:rsidR="001F7FB9"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are to</w:t>
      </w:r>
      <w:r w:rsidR="00472CA5"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be </w:t>
      </w:r>
      <w:r w:rsidR="002A67C3"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undertaken</w:t>
      </w:r>
      <w:r w:rsidR="00472CA5"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by a CCE</w:t>
      </w:r>
      <w:r w:rsidR="00D44FC1"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. </w:t>
      </w:r>
      <w:r w:rsidR="00171299"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The O</w:t>
      </w:r>
      <w:r w:rsidR="00B157B6"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rder</w:t>
      </w:r>
      <w:r w:rsidR="00171299"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does</w:t>
      </w:r>
      <w:r w:rsidR="008E4A0C"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not</w:t>
      </w:r>
      <w:r w:rsidR="00171299"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govern or restrict resource and commercial activities undertaken by</w:t>
      </w:r>
      <w:r w:rsidR="00516D5B"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 xml:space="preserve"> a CCE</w:t>
      </w:r>
      <w:r w:rsidR="00171299" w:rsidRPr="00516D5B"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  <w:t>.</w:t>
      </w:r>
    </w:p>
    <w:p w:rsidR="00D44FC1" w:rsidRDefault="00D44FC1" w:rsidP="00D44F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AU"/>
        </w:rPr>
      </w:pPr>
    </w:p>
    <w:p w:rsidR="00263D0D" w:rsidRDefault="0098156E" w:rsidP="00263D0D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Details of the </w:t>
      </w:r>
      <w:r w:rsidR="002A67C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Framework </w:t>
      </w: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are </w:t>
      </w:r>
      <w:r w:rsidR="00472CA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available on the </w:t>
      </w:r>
      <w:r w:rsidR="00455BB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Department of </w:t>
      </w:r>
      <w:r w:rsidR="00472CA5">
        <w:rPr>
          <w:rFonts w:ascii="Times New Roman" w:eastAsia="Times New Roman" w:hAnsi="Times New Roman" w:cs="Times New Roman"/>
          <w:sz w:val="24"/>
          <w:szCs w:val="24"/>
          <w:lang w:eastAsia="en-AU"/>
        </w:rPr>
        <w:t>Finance</w:t>
      </w:r>
      <w:r w:rsidR="00FC6650">
        <w:rPr>
          <w:rFonts w:ascii="Times New Roman" w:eastAsia="Times New Roman" w:hAnsi="Times New Roman" w:cs="Times New Roman"/>
          <w:sz w:val="24"/>
          <w:szCs w:val="24"/>
          <w:lang w:eastAsia="en-AU"/>
        </w:rPr>
        <w:t>’s</w:t>
      </w:r>
      <w:r w:rsidR="00472CA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455BB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(Finance) </w:t>
      </w:r>
      <w:r w:rsidR="00472CA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website </w:t>
      </w:r>
      <w:r w:rsidR="00472CA5" w:rsidRPr="00472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 xml:space="preserve">at </w:t>
      </w:r>
      <w:r w:rsidR="00171B1C" w:rsidRPr="00171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www.</w:t>
      </w:r>
      <w:r w:rsidR="00FC2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f</w:t>
      </w:r>
      <w:r w:rsidR="00171B1C" w:rsidRPr="00171B1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inance.gov.au</w:t>
      </w:r>
      <w:r w:rsidRPr="00472C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t>.</w:t>
      </w:r>
      <w:r w:rsidR="00BC5C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A639C5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Order </w:t>
      </w: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>is a legislative instrument for the purposes of the</w:t>
      </w:r>
      <w:r w:rsidR="00FC6650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 xml:space="preserve"> Legislation </w:t>
      </w:r>
      <w:r w:rsidRPr="009815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 2003</w:t>
      </w:r>
      <w:r w:rsidR="00BC5C1E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 (Legislation Act)</w:t>
      </w:r>
      <w:r w:rsidRPr="00BC5C1E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>.</w:t>
      </w:r>
      <w:r w:rsidR="00263D0D" w:rsidRPr="00263D0D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 </w:t>
      </w:r>
      <w:r w:rsidR="00263D0D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>However,</w:t>
      </w:r>
      <w:r w:rsidR="00263D0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subsection 22(4) of the PGPA Act provides that the Order is not subject to disallowance. Therefore</w:t>
      </w:r>
      <w:r w:rsid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  <w:r w:rsidR="00263D0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statement of compatibility with human </w:t>
      </w:r>
      <w:proofErr w:type="gramStart"/>
      <w:r w:rsidR="00263D0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rights</w:t>
      </w:r>
      <w:proofErr w:type="gramEnd"/>
      <w:r w:rsidR="00263D0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not required (subsection 9(1) of the </w:t>
      </w:r>
      <w:r w:rsidR="00263D0D">
        <w:rPr>
          <w:rFonts w:ascii="Times New Roman" w:eastAsia="Times New Roman" w:hAnsi="Times New Roman" w:cs="Times New Roman"/>
          <w:i/>
          <w:sz w:val="24"/>
          <w:szCs w:val="24"/>
          <w:lang w:val="en-US" w:eastAsia="en-AU"/>
        </w:rPr>
        <w:t>Human Rights (Parliamentary Scrutiny) Act</w:t>
      </w:r>
      <w:r w:rsidR="00BC5C1E">
        <w:rPr>
          <w:rFonts w:ascii="Times New Roman" w:eastAsia="Times New Roman" w:hAnsi="Times New Roman" w:cs="Times New Roman"/>
          <w:i/>
          <w:sz w:val="24"/>
          <w:szCs w:val="24"/>
          <w:lang w:val="en-US" w:eastAsia="en-AU"/>
        </w:rPr>
        <w:t> </w:t>
      </w:r>
      <w:r w:rsidR="00263D0D">
        <w:rPr>
          <w:rFonts w:ascii="Times New Roman" w:eastAsia="Times New Roman" w:hAnsi="Times New Roman" w:cs="Times New Roman"/>
          <w:i/>
          <w:sz w:val="24"/>
          <w:szCs w:val="24"/>
          <w:lang w:val="en-US" w:eastAsia="en-AU"/>
        </w:rPr>
        <w:t>2011</w:t>
      </w:r>
      <w:r w:rsidR="00263D0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).</w:t>
      </w:r>
    </w:p>
    <w:p w:rsidR="0098156E" w:rsidRPr="0098156E" w:rsidRDefault="0098156E" w:rsidP="00730E07">
      <w:pPr>
        <w:spacing w:before="200" w:after="120" w:line="240" w:lineRule="auto"/>
        <w:outlineLvl w:val="1"/>
        <w:rPr>
          <w:rFonts w:ascii="Cambria" w:eastAsia="Times New Roman" w:hAnsi="Cambria" w:cs="Times New Roman"/>
          <w:b/>
          <w:bCs/>
          <w:sz w:val="26"/>
          <w:szCs w:val="26"/>
          <w:lang w:eastAsia="en-AU"/>
        </w:rPr>
      </w:pPr>
      <w:r w:rsidRPr="0098156E">
        <w:rPr>
          <w:rFonts w:ascii="Cambria" w:eastAsia="Times New Roman" w:hAnsi="Cambria" w:cs="Times New Roman"/>
          <w:b/>
          <w:bCs/>
          <w:sz w:val="26"/>
          <w:szCs w:val="26"/>
          <w:lang w:val="en-US" w:eastAsia="en-AU"/>
        </w:rPr>
        <w:t>Consultation</w:t>
      </w:r>
    </w:p>
    <w:p w:rsidR="0098156E" w:rsidRDefault="0098156E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>In accordance with section 17 of the </w:t>
      </w:r>
      <w:r w:rsidR="00263D0D" w:rsidRPr="00BC5C1E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 xml:space="preserve">Legislation </w:t>
      </w:r>
      <w:r w:rsidRPr="00BC5C1E">
        <w:rPr>
          <w:rFonts w:ascii="Times New Roman" w:eastAsia="Times New Roman" w:hAnsi="Times New Roman" w:cs="Times New Roman"/>
          <w:iCs/>
          <w:sz w:val="24"/>
          <w:szCs w:val="24"/>
          <w:lang w:eastAsia="en-AU"/>
        </w:rPr>
        <w:t>Act</w:t>
      </w: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="00455BBF">
        <w:rPr>
          <w:rFonts w:ascii="Times New Roman" w:eastAsia="Times New Roman" w:hAnsi="Times New Roman" w:cs="Times New Roman"/>
          <w:sz w:val="24"/>
          <w:szCs w:val="24"/>
          <w:lang w:eastAsia="en-AU"/>
        </w:rPr>
        <w:t>Finance</w:t>
      </w:r>
      <w:r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consulted stakeholders from across the Commonwealth in the development of </w:t>
      </w:r>
      <w:r w:rsidR="002A67C3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</w:t>
      </w:r>
      <w:r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r w:rsidR="00A639C5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Order</w:t>
      </w:r>
      <w:r w:rsidR="0061672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 The whole-of-government C</w:t>
      </w:r>
      <w:r w:rsidR="002A67C3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harging </w:t>
      </w:r>
      <w:r w:rsidR="0061672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</w:t>
      </w:r>
      <w:r w:rsidR="002A67C3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orking </w:t>
      </w:r>
      <w:r w:rsidR="0061672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</w:t>
      </w:r>
      <w:r w:rsidR="002A67C3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roup</w:t>
      </w:r>
      <w:r w:rsidR="000D00C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  <w:r w:rsidR="002A67C3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chaired by </w:t>
      </w:r>
      <w:r w:rsidR="00677F3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Finance</w:t>
      </w:r>
      <w:r w:rsidR="00455BB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  <w:r w:rsidR="00677F3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oversaw the development process</w:t>
      </w:r>
      <w:r w:rsidR="00455BB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th</w:t>
      </w:r>
      <w:r w:rsidR="00CF717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</w:t>
      </w:r>
      <w:r w:rsidR="00A639C5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Order</w:t>
      </w:r>
      <w:r w:rsidR="002A67C3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2A67C3" w:rsidRDefault="002A67C3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:rsidR="002A67C3" w:rsidRPr="0098156E" w:rsidRDefault="00677F3D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Consistent with </w:t>
      </w:r>
      <w:r w:rsidR="000B62D0"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Pr="00677F3D">
        <w:rPr>
          <w:rFonts w:ascii="Times New Roman" w:eastAsia="Times New Roman" w:hAnsi="Times New Roman" w:cs="Times New Roman"/>
          <w:sz w:val="24"/>
          <w:szCs w:val="24"/>
          <w:lang w:eastAsia="en-AU"/>
        </w:rPr>
        <w:t>ubsection 22(2) of the PGPA Act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prior to issuing a </w:t>
      </w:r>
      <w:r w:rsidR="00CF717E">
        <w:rPr>
          <w:rFonts w:ascii="Times New Roman" w:eastAsia="Times New Roman" w:hAnsi="Times New Roman" w:cs="Times New Roman"/>
          <w:sz w:val="24"/>
          <w:szCs w:val="24"/>
          <w:lang w:eastAsia="en-AU"/>
        </w:rPr>
        <w:t>government policy order</w:t>
      </w:r>
      <w:r w:rsidRPr="00677F3D">
        <w:rPr>
          <w:rFonts w:ascii="Times New Roman" w:eastAsia="Times New Roman" w:hAnsi="Times New Roman" w:cs="Times New Roman"/>
          <w:sz w:val="24"/>
          <w:szCs w:val="24"/>
          <w:lang w:eastAsia="en-AU"/>
        </w:rPr>
        <w:t>, the Finance Minister must be satisfied that the minister responsible for the policy has consulted the affected entities on the application of the policy.</w:t>
      </w:r>
      <w:r w:rsidR="00BC5C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consultation process occurred </w:t>
      </w:r>
      <w:r w:rsidR="009952DC">
        <w:rPr>
          <w:rFonts w:ascii="Times New Roman" w:eastAsia="Times New Roman" w:hAnsi="Times New Roman" w:cs="Times New Roman"/>
          <w:sz w:val="24"/>
          <w:szCs w:val="24"/>
          <w:lang w:eastAsia="en-AU"/>
        </w:rPr>
        <w:t>with select</w:t>
      </w:r>
      <w:r w:rsidR="00654FD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ed CCEs in December 2016 - </w:t>
      </w:r>
      <w:r w:rsidR="00654FD2" w:rsidRPr="00516D5B">
        <w:rPr>
          <w:rFonts w:ascii="Times New Roman" w:eastAsia="Times New Roman" w:hAnsi="Times New Roman" w:cs="Times New Roman"/>
          <w:sz w:val="24"/>
          <w:szCs w:val="24"/>
          <w:lang w:eastAsia="en-AU"/>
        </w:rPr>
        <w:t>May</w:t>
      </w:r>
      <w:r w:rsidR="009952DC" w:rsidRPr="00516D5B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2017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98156E" w:rsidRPr="0098156E" w:rsidRDefault="0098156E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 </w:t>
      </w:r>
    </w:p>
    <w:p w:rsidR="00263D0D" w:rsidRDefault="002A67C3" w:rsidP="00263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63D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="00A639C5" w:rsidRPr="00263D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Order </w:t>
      </w:r>
      <w:r w:rsidR="0098156E"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only applies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selected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711C0C">
        <w:rPr>
          <w:rFonts w:ascii="Times New Roman" w:eastAsia="Times New Roman" w:hAnsi="Times New Roman" w:cs="Times New Roman"/>
          <w:sz w:val="24"/>
          <w:szCs w:val="24"/>
          <w:lang w:eastAsia="en-AU"/>
        </w:rPr>
        <w:t>CCEs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general government sector</w:t>
      </w:r>
      <w:r w:rsidR="0098156E"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does not adversely affect the private sector. </w:t>
      </w:r>
      <w:r w:rsidR="0098156E" w:rsidRPr="00472CA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Office of Best Practice Regulation advised </w:t>
      </w:r>
      <w:r w:rsidR="00263D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(reference number </w:t>
      </w:r>
      <w:r w:rsidR="00263D0D" w:rsidRPr="00263D0D">
        <w:rPr>
          <w:rFonts w:ascii="Times New Roman" w:eastAsia="Times New Roman" w:hAnsi="Times New Roman" w:cs="Times New Roman"/>
          <w:sz w:val="24"/>
          <w:szCs w:val="24"/>
          <w:lang w:eastAsia="en-AU"/>
        </w:rPr>
        <w:t>17871</w:t>
      </w:r>
      <w:r w:rsidR="00263D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) </w:t>
      </w:r>
      <w:r w:rsidR="0098156E" w:rsidRPr="00472CA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that </w:t>
      </w:r>
      <w:r w:rsidR="00472CA5" w:rsidRPr="00472CA5">
        <w:rPr>
          <w:rFonts w:ascii="Times New Roman" w:eastAsia="Times New Roman" w:hAnsi="Times New Roman" w:cs="Times New Roman"/>
          <w:sz w:val="24"/>
          <w:szCs w:val="24"/>
          <w:lang w:eastAsia="en-AU"/>
        </w:rPr>
        <w:t>only a short form Regulatory Impact Statement (RIS) was required to implement the Framework</w:t>
      </w:r>
      <w:r w:rsidR="004D2AD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="00BC5C1E">
        <w:rPr>
          <w:rFonts w:ascii="Times New Roman" w:eastAsia="Times New Roman" w:hAnsi="Times New Roman" w:cs="Times New Roman"/>
          <w:sz w:val="24"/>
          <w:szCs w:val="24"/>
          <w:lang w:eastAsia="en-AU"/>
        </w:rPr>
        <w:t>The short form RIS stated that ‘T</w:t>
      </w:r>
      <w:r w:rsidR="004D2ADE" w:rsidRPr="00263D0D">
        <w:rPr>
          <w:rFonts w:ascii="Times New Roman" w:eastAsia="Times New Roman" w:hAnsi="Times New Roman" w:cs="Times New Roman"/>
          <w:sz w:val="24"/>
          <w:szCs w:val="24"/>
          <w:lang w:eastAsia="en-AU"/>
        </w:rPr>
        <w:t>here are no regulatory impacts or compliance costs to businesses or individuals from the implementation of Framework</w:t>
      </w:r>
      <w:r w:rsidR="00BC5C1E">
        <w:rPr>
          <w:rFonts w:ascii="Times New Roman" w:eastAsia="Times New Roman" w:hAnsi="Times New Roman" w:cs="Times New Roman"/>
          <w:sz w:val="24"/>
          <w:szCs w:val="24"/>
          <w:lang w:eastAsia="en-AU"/>
        </w:rPr>
        <w:t>’</w:t>
      </w:r>
      <w:r w:rsidR="004D2ADE" w:rsidRPr="00263D0D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  <w:r w:rsidR="004D2AD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A639C5">
        <w:rPr>
          <w:rFonts w:ascii="Times New Roman" w:eastAsia="Times New Roman" w:hAnsi="Times New Roman" w:cs="Times New Roman"/>
          <w:sz w:val="24"/>
          <w:szCs w:val="24"/>
          <w:lang w:eastAsia="en-AU"/>
        </w:rPr>
        <w:t>Issuing the Order</w:t>
      </w:r>
      <w:r w:rsidR="00455BB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part of the broader im</w:t>
      </w:r>
      <w:r w:rsidR="00BC5C1E">
        <w:rPr>
          <w:rFonts w:ascii="Times New Roman" w:eastAsia="Times New Roman" w:hAnsi="Times New Roman" w:cs="Times New Roman"/>
          <w:sz w:val="24"/>
          <w:szCs w:val="24"/>
          <w:lang w:eastAsia="en-AU"/>
        </w:rPr>
        <w:t>plementation of the Framework.</w:t>
      </w:r>
    </w:p>
    <w:p w:rsidR="00522555" w:rsidRDefault="0098156E" w:rsidP="00522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AU"/>
        </w:rPr>
      </w:pPr>
      <w:r w:rsidRPr="0098156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br w:type="page"/>
      </w:r>
      <w:r w:rsidRPr="009815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AU"/>
        </w:rPr>
        <w:lastRenderedPageBreak/>
        <w:t>Details of the </w:t>
      </w:r>
      <w:r w:rsidR="00522555" w:rsidRPr="005225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AU"/>
        </w:rPr>
        <w:t xml:space="preserve">Public Governance, Performance and Accountability </w:t>
      </w:r>
    </w:p>
    <w:p w:rsidR="0098156E" w:rsidRPr="00522555" w:rsidRDefault="00522555" w:rsidP="005225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AU"/>
        </w:rPr>
      </w:pPr>
      <w:r w:rsidRPr="0052255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AU"/>
        </w:rPr>
        <w:t>(Charging for Re</w:t>
      </w:r>
      <w:r w:rsidR="003B2D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AU"/>
        </w:rPr>
        <w:t>gulatory Activities) Order 2017</w:t>
      </w:r>
    </w:p>
    <w:p w:rsidR="0098156E" w:rsidRPr="0098156E" w:rsidRDefault="0098156E" w:rsidP="0098156E">
      <w:pPr>
        <w:spacing w:after="0" w:line="240" w:lineRule="auto"/>
        <w:outlineLvl w:val="1"/>
        <w:rPr>
          <w:rFonts w:ascii="Cambria" w:eastAsia="Times New Roman" w:hAnsi="Cambria" w:cs="Times New Roman"/>
          <w:b/>
          <w:bCs/>
          <w:sz w:val="26"/>
          <w:szCs w:val="26"/>
          <w:lang w:eastAsia="en-AU"/>
        </w:rPr>
      </w:pPr>
      <w:r w:rsidRPr="0098156E">
        <w:rPr>
          <w:rFonts w:ascii="Cambria" w:eastAsia="Times New Roman" w:hAnsi="Cambria" w:cs="Times New Roman"/>
          <w:b/>
          <w:bCs/>
          <w:sz w:val="26"/>
          <w:szCs w:val="26"/>
          <w:lang w:val="en-US" w:eastAsia="en-AU"/>
        </w:rPr>
        <w:t> </w:t>
      </w:r>
    </w:p>
    <w:p w:rsidR="00522555" w:rsidRPr="00522555" w:rsidRDefault="00522555" w:rsidP="001A11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52255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Section </w:t>
      </w:r>
      <w:r w:rsidR="0098156E" w:rsidRPr="0052255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</w:t>
      </w:r>
      <w:r w:rsidR="00066C99" w:rsidRPr="0098156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—</w:t>
      </w:r>
      <w:r w:rsidRPr="00522555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Name </w:t>
      </w:r>
    </w:p>
    <w:p w:rsidR="00522555" w:rsidRPr="00522555" w:rsidRDefault="00522555" w:rsidP="000B62D0">
      <w:pPr>
        <w:spacing w:after="0" w:line="240" w:lineRule="auto"/>
        <w:ind w:right="-18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AU"/>
        </w:rPr>
      </w:pPr>
      <w:r w:rsidRPr="005225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AU"/>
        </w:rPr>
        <w:t xml:space="preserve">This section </w:t>
      </w: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provides that the title of the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legislative instrument </w:t>
      </w: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</w:t>
      </w:r>
      <w:r w:rsidR="000B62D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</w:t>
      </w:r>
      <w:r w:rsidRPr="00522555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n-US" w:eastAsia="en-AU"/>
        </w:rPr>
        <w:t>Public Governance, Performance and Accountability (Charging for R</w:t>
      </w:r>
      <w:r w:rsidR="003B2DC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n-US" w:eastAsia="en-AU"/>
        </w:rPr>
        <w:t>egulatory Activities) Order 2017</w:t>
      </w:r>
      <w:r w:rsidR="00E275D2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val="en-US" w:eastAsia="en-AU"/>
        </w:rPr>
        <w:t xml:space="preserve"> </w:t>
      </w:r>
      <w:r w:rsidR="00A639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AU"/>
        </w:rPr>
        <w:t>(the Order</w:t>
      </w:r>
      <w:r w:rsidR="00E275D2" w:rsidRPr="00E275D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AU"/>
        </w:rPr>
        <w:t>)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eastAsia="en-AU"/>
        </w:rPr>
        <w:t>.</w:t>
      </w:r>
    </w:p>
    <w:p w:rsidR="0098156E" w:rsidRPr="00522555" w:rsidRDefault="0098156E" w:rsidP="005225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</w:pPr>
      <w:r w:rsidRPr="0052255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AU"/>
        </w:rPr>
        <w:t>  </w:t>
      </w:r>
    </w:p>
    <w:p w:rsidR="0098156E" w:rsidRPr="00522555" w:rsidRDefault="0098156E" w:rsidP="001A11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Section 2—Commencement</w:t>
      </w:r>
    </w:p>
    <w:p w:rsidR="0098156E" w:rsidRPr="0098156E" w:rsidRDefault="0098156E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section </w:t>
      </w:r>
      <w:r w:rsidR="00263D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provides </w:t>
      </w: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>for the commen</w:t>
      </w:r>
      <w:r w:rsidR="00A639C5">
        <w:rPr>
          <w:rFonts w:ascii="Times New Roman" w:eastAsia="Times New Roman" w:hAnsi="Times New Roman" w:cs="Times New Roman"/>
          <w:sz w:val="24"/>
          <w:szCs w:val="24"/>
          <w:lang w:eastAsia="en-AU"/>
        </w:rPr>
        <w:t>cement of the Order</w:t>
      </w:r>
      <w:r w:rsidR="00263D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 Order </w:t>
      </w: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>commence</w:t>
      </w:r>
      <w:r w:rsidR="0052255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 </w:t>
      </w: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on </w:t>
      </w:r>
      <w:r w:rsidR="00263D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later of </w:t>
      </w:r>
      <w:r w:rsidR="003B2DCC">
        <w:rPr>
          <w:rFonts w:ascii="Times New Roman" w:eastAsia="Times New Roman" w:hAnsi="Times New Roman" w:cs="Times New Roman"/>
          <w:sz w:val="24"/>
          <w:szCs w:val="24"/>
          <w:lang w:eastAsia="en-AU"/>
        </w:rPr>
        <w:t>1 July 2017</w:t>
      </w:r>
      <w:r w:rsidR="0052255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the </w:t>
      </w: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day after the </w:t>
      </w:r>
      <w:r w:rsidR="0052255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legislative instrument </w:t>
      </w: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registered on the Federal Register of </w:t>
      </w:r>
      <w:r w:rsidR="00263D0D">
        <w:rPr>
          <w:rFonts w:ascii="Times New Roman" w:eastAsia="Times New Roman" w:hAnsi="Times New Roman" w:cs="Times New Roman"/>
          <w:sz w:val="24"/>
          <w:szCs w:val="24"/>
          <w:lang w:eastAsia="en-AU"/>
        </w:rPr>
        <w:t>Legislation</w:t>
      </w:r>
      <w:r w:rsidR="00522555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98156E" w:rsidRPr="0098156E" w:rsidRDefault="0098156E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</w:p>
    <w:p w:rsidR="0098156E" w:rsidRPr="00522555" w:rsidRDefault="0098156E" w:rsidP="001A11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Section 3—Authority</w:t>
      </w:r>
    </w:p>
    <w:p w:rsidR="0098156E" w:rsidRPr="0098156E" w:rsidRDefault="0098156E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section states that the </w:t>
      </w:r>
      <w:r w:rsidR="00A639C5">
        <w:rPr>
          <w:rFonts w:ascii="Times New Roman" w:eastAsia="Times New Roman" w:hAnsi="Times New Roman" w:cs="Times New Roman"/>
          <w:sz w:val="24"/>
          <w:szCs w:val="24"/>
          <w:lang w:eastAsia="en-AU"/>
        </w:rPr>
        <w:t>Order</w:t>
      </w:r>
      <w:r w:rsidR="006433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is made under </w:t>
      </w:r>
      <w:r w:rsidR="006433F5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subsection 22(1) of the </w:t>
      </w:r>
      <w:r w:rsidR="00BC5C1E" w:rsidRPr="009815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Public Governance, Performance and Accountability Act</w:t>
      </w:r>
      <w:r w:rsidR="00BC5C1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 </w:t>
      </w:r>
      <w:r w:rsidR="00BC5C1E" w:rsidRPr="0098156E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2013</w:t>
      </w:r>
      <w:r w:rsidR="00BC5C1E"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> </w:t>
      </w:r>
      <w:r w:rsidR="00BC5C1E">
        <w:rPr>
          <w:rFonts w:ascii="Times New Roman" w:eastAsia="Times New Roman" w:hAnsi="Times New Roman" w:cs="Times New Roman"/>
          <w:sz w:val="24"/>
          <w:szCs w:val="24"/>
          <w:lang w:eastAsia="en-AU"/>
        </w:rPr>
        <w:t>(</w:t>
      </w: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>PGPA Act</w:t>
      </w:r>
      <w:r w:rsidR="00BC5C1E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522555" w:rsidRDefault="00522555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522555" w:rsidRDefault="00522555" w:rsidP="001A11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Section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4</w:t>
      </w:r>
      <w:r w:rsidRPr="0098156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—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Application</w:t>
      </w:r>
    </w:p>
    <w:p w:rsidR="00522555" w:rsidRDefault="000B62D0" w:rsidP="00730E0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This section specifies that t</w:t>
      </w:r>
      <w:r w:rsidR="006433F5" w:rsidRPr="006433F5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he </w:t>
      </w:r>
      <w:r w:rsidR="00A639C5">
        <w:rPr>
          <w:rFonts w:ascii="Times New Roman" w:eastAsia="Times New Roman" w:hAnsi="Times New Roman" w:cs="Times New Roman"/>
          <w:sz w:val="24"/>
          <w:szCs w:val="24"/>
          <w:lang w:eastAsia="en-AU"/>
        </w:rPr>
        <w:t>Order</w:t>
      </w:r>
      <w:r w:rsidR="006433F5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only applies to those </w:t>
      </w:r>
      <w:r w:rsidR="00BC5C1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corporate Commonwealth entities</w:t>
      </w:r>
      <w:r w:rsidR="00BC5C1E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(</w:t>
      </w:r>
      <w:r w:rsidR="006433F5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CCE</w:t>
      </w:r>
      <w:r w:rsidR="00BC5C1E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)</w:t>
      </w:r>
      <w:r w:rsidR="006433F5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 xml:space="preserve"> that undertake regulatory charging activities. Schedule 1 lists the CCEs that are subject to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the Order</w:t>
      </w:r>
      <w:r w:rsidR="00711C0C">
        <w:rPr>
          <w:rFonts w:ascii="Times New Roman" w:eastAsia="Times New Roman" w:hAnsi="Times New Roman" w:cs="Times New Roman"/>
          <w:bCs/>
          <w:sz w:val="24"/>
          <w:szCs w:val="24"/>
          <w:lang w:eastAsia="en-AU"/>
        </w:rPr>
        <w:t>.</w:t>
      </w:r>
    </w:p>
    <w:p w:rsidR="00730E07" w:rsidRPr="00730E07" w:rsidRDefault="00730E07" w:rsidP="00730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8156E" w:rsidRPr="0098156E" w:rsidRDefault="0098156E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Section 5—</w:t>
      </w:r>
      <w:r w:rsidR="00730E0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Simplified outline of this instrument</w:t>
      </w:r>
    </w:p>
    <w:p w:rsidR="00730E07" w:rsidRDefault="00196AB2" w:rsidP="00730E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This section</w:t>
      </w:r>
      <w:r w:rsidR="00263D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provides a simplified outline, which details the effect of the Order as a whole. The intention of the Order is to apply the key requirements of the Australian Government Charging Framework</w:t>
      </w:r>
      <w:r w:rsidR="00BC5C1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(the Framework)</w:t>
      </w:r>
      <w:r w:rsidR="00263D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CCEs that undertake regulatory charging activities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</w:t>
      </w:r>
      <w:r w:rsidR="00263D0D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98156E" w:rsidRPr="0098156E" w:rsidRDefault="0098156E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1A1142" w:rsidRPr="00730E07" w:rsidRDefault="001A1142" w:rsidP="001A11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1A1142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Section 6—Definitions</w:t>
      </w:r>
    </w:p>
    <w:p w:rsidR="001A1142" w:rsidRPr="0098156E" w:rsidRDefault="001A1142" w:rsidP="001A1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section defines certain terms that are used in the </w:t>
      </w:r>
      <w:r w:rsidR="00A639C5">
        <w:rPr>
          <w:rFonts w:ascii="Times New Roman" w:eastAsia="Times New Roman" w:hAnsi="Times New Roman" w:cs="Times New Roman"/>
          <w:sz w:val="24"/>
          <w:szCs w:val="24"/>
          <w:lang w:eastAsia="en-AU"/>
        </w:rPr>
        <w:t>Order</w:t>
      </w:r>
      <w:r w:rsidRPr="0098156E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1A1142" w:rsidRDefault="001A1142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98156E" w:rsidRPr="00516D5B" w:rsidRDefault="0098156E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 xml:space="preserve">Section </w:t>
      </w:r>
      <w:r w:rsidR="00DC7A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7</w:t>
      </w:r>
      <w:r w:rsidRPr="00981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—</w:t>
      </w:r>
      <w:proofErr w:type="gramStart"/>
      <w:r w:rsidR="00DC7A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Approved</w:t>
      </w:r>
      <w:proofErr w:type="gramEnd"/>
      <w:r w:rsidR="00DC7A1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 xml:space="preserve"> </w:t>
      </w:r>
      <w:r w:rsidR="00DC7A1F" w:rsidRPr="00516D5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regulatory charging activity requirements</w:t>
      </w:r>
    </w:p>
    <w:p w:rsidR="007C49C7" w:rsidRPr="00516D5B" w:rsidRDefault="00DC7A1F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This section details those requirements that </w:t>
      </w:r>
      <w:r w:rsidR="00FC2B3F"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</w:t>
      </w:r>
      <w:r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CCE must undertake in respect to charging for regulatory activities.</w:t>
      </w:r>
      <w:r w:rsidR="00B157B6"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These requirements are the same as those that apply to </w:t>
      </w:r>
      <w:r w:rsidR="00DF1750"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non-corporate Commonwealth entities</w:t>
      </w:r>
      <w:r w:rsidR="00B157B6"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in</w:t>
      </w:r>
      <w:r w:rsidR="00DF1750"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cluding </w:t>
      </w:r>
      <w:r w:rsidR="00B157B6"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that </w:t>
      </w:r>
      <w:r w:rsidR="00DF1750"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there are no financial or other thresholds for application of these requirements.</w:t>
      </w:r>
      <w:r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 approved regulatory activity is an activity that has</w:t>
      </w:r>
      <w:r w:rsidR="007C49C7"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:</w:t>
      </w:r>
    </w:p>
    <w:p w:rsidR="007C49C7" w:rsidRDefault="00DC7A1F" w:rsidP="007C49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policy approval from the Australian Government </w:t>
      </w:r>
      <w:r w:rsidR="007C49C7"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CCE </w:t>
      </w:r>
      <w:r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conduct </w:t>
      </w:r>
      <w:r w:rsidR="007C49C7"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and charge for </w:t>
      </w:r>
      <w:r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regulatory </w:t>
      </w:r>
      <w:r w:rsidR="00455BBF"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activity</w:t>
      </w:r>
      <w:r w:rsidR="001F7FB9" w:rsidRPr="00516D5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(this includes</w:t>
      </w:r>
      <w:r w:rsidR="001F7FB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authority for partial cost recovery e.g. 80</w:t>
      </w:r>
      <w:r w:rsidR="00F32D2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 </w:t>
      </w:r>
      <w:r w:rsidR="001F7FB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per</w:t>
      </w:r>
      <w:r w:rsidR="00F32D2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 </w:t>
      </w:r>
      <w:r w:rsidR="001F7FB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cent of the total costs of the activity)</w:t>
      </w:r>
      <w:r w:rsidR="007C49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; and </w:t>
      </w:r>
    </w:p>
    <w:p w:rsidR="00DC7A1F" w:rsidRPr="007C49C7" w:rsidRDefault="007C49C7" w:rsidP="007C49C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7C49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statutory basis </w:t>
      </w:r>
      <w:r w:rsidR="00455BB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allow the CCE to charge </w:t>
      </w:r>
      <w:r w:rsidRPr="007C49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regulatory </w:t>
      </w:r>
      <w:r w:rsidR="00455BB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activity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D4552B" w:rsidRDefault="00D4552B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:rsidR="00DC7A1F" w:rsidRDefault="0021352F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each approved regulatory charging activity a CCE must:</w:t>
      </w:r>
    </w:p>
    <w:p w:rsidR="0021352F" w:rsidRDefault="00D4552B" w:rsidP="00D455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ensure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expenses and revenue </w:t>
      </w:r>
      <w:r w:rsidR="002061E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activity </w:t>
      </w:r>
      <w:r w:rsidR="00BC5C1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align </w:t>
      </w:r>
      <w:r w:rsidR="002061E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</w:t>
      </w:r>
      <w:r w:rsidR="00BC5C1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ver a reasonable period of time</w:t>
      </w:r>
      <w:r w:rsidR="002061E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BC5C1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(</w:t>
      </w:r>
      <w:r w:rsidR="002061E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usually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over the business cycle of the activity</w:t>
      </w:r>
      <w:r w:rsidR="00711C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rather than on a year-by-</w:t>
      </w:r>
      <w:r w:rsidR="002061E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year basis</w:t>
      </w:r>
      <w:r w:rsidR="00BC5C1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)</w:t>
      </w:r>
      <w:r w:rsidR="001F7FB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When the policy approval includes authority for partial cost recovery, expenses and revenue must align to the </w:t>
      </w:r>
      <w:r w:rsidR="000D00C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percentage or portion of the costs that will be recovered, as</w:t>
      </w:r>
      <w:r w:rsidR="001F7FB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agreed by the Australian Government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;</w:t>
      </w:r>
    </w:p>
    <w:p w:rsidR="00D4552B" w:rsidRDefault="00D4552B" w:rsidP="00D455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have up-to-date, published information about </w:t>
      </w:r>
      <w:r w:rsidR="0051117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activity, in the form of a C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ost Recovery Implementation Statement (CRIS); and</w:t>
      </w:r>
    </w:p>
    <w:p w:rsidR="00D4552B" w:rsidRDefault="007E7F58" w:rsidP="00D4552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measure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</w:t>
      </w:r>
      <w:r w:rsidR="00D4552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assess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document</w:t>
      </w:r>
      <w:r w:rsidR="00D4552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performance of the activity</w:t>
      </w:r>
      <w:r w:rsidR="00151B6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to ensure that </w:t>
      </w:r>
      <w:r w:rsidR="00711C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activity is efficient and is</w:t>
      </w:r>
      <w:r w:rsidR="00151B6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meeting the </w:t>
      </w:r>
      <w:r w:rsidR="002061E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intended policy outcomes of the Government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  <w:r w:rsidR="00D4552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D4552B" w:rsidRDefault="00D4552B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:rsidR="007C49C7" w:rsidRDefault="007C49C7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Further information on the application of regulatory charging is provided in the Framework</w:t>
      </w:r>
      <w:r w:rsidR="00BC5C1E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which can be viewed at www.finance.gov.au. </w:t>
      </w:r>
    </w:p>
    <w:p w:rsidR="00DF1750" w:rsidRDefault="00DF1750" w:rsidP="007C49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</w:pPr>
    </w:p>
    <w:p w:rsidR="007C49C7" w:rsidRPr="0098156E" w:rsidRDefault="007C49C7" w:rsidP="007C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981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 xml:space="preserve">Section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8</w:t>
      </w:r>
      <w:r w:rsidRPr="0098156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>—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AU"/>
        </w:rPr>
        <w:t xml:space="preserve">Cost Recovery Implementation Statement </w:t>
      </w:r>
    </w:p>
    <w:p w:rsidR="007C49C7" w:rsidRDefault="006C756C" w:rsidP="007C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7C49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CRIS must be prepared for each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approved regulatory charging activity </w:t>
      </w:r>
      <w:r w:rsidRPr="007C49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conducted by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CCE regardless of the value of </w:t>
      </w:r>
      <w:r w:rsidR="00E275D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regulatory activity</w:t>
      </w:r>
      <w:r w:rsidRPr="007C49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  <w:r w:rsidR="004E27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The CRIS is a </w:t>
      </w:r>
      <w:r w:rsidR="007C49C7" w:rsidRPr="007C49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tool </w:t>
      </w:r>
      <w:r w:rsidR="00171B1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to </w:t>
      </w:r>
      <w:r w:rsidR="007C49C7" w:rsidRPr="007C49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document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regulatory </w:t>
      </w:r>
      <w:r w:rsidR="007C49C7" w:rsidRPr="007C49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design</w:t>
      </w:r>
      <w:r w:rsidR="00FC2B3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</w:t>
      </w:r>
      <w:r w:rsidR="007C49C7" w:rsidRPr="007C49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operation</w:t>
      </w:r>
      <w:r w:rsidR="00711C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  <w:r w:rsidR="007C49C7" w:rsidRPr="007C49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FC2B3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 well</w:t>
      </w:r>
      <w:r w:rsidR="000B62D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reporting financial and non-</w:t>
      </w:r>
      <w:r w:rsidR="00FC2B3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financial performance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of an approved regulatory charging activity</w:t>
      </w:r>
      <w:r w:rsidR="007C49C7" w:rsidRPr="007C49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6C756C" w:rsidRDefault="006C756C" w:rsidP="007C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:rsidR="006C756C" w:rsidRDefault="0001333E" w:rsidP="007C4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Paragraphs</w:t>
      </w:r>
      <w:r w:rsidR="006C756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8(1</w:t>
      </w:r>
      <w:proofErr w:type="gramStart"/>
      <w:r w:rsidR="006C756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)(</w:t>
      </w:r>
      <w:proofErr w:type="gramEnd"/>
      <w:r w:rsidR="006C756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a) to </w:t>
      </w:r>
      <w:r w:rsidR="002061E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(</w:t>
      </w:r>
      <w:r w:rsidR="006C756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k) of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Order</w:t>
      </w:r>
      <w:r w:rsidR="000B62D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set</w:t>
      </w:r>
      <w:r w:rsidR="006C756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out the d</w:t>
      </w:r>
      <w:r w:rsidR="004E27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etails required within a CRIS. </w:t>
      </w:r>
      <w:r w:rsidR="006C756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CRIS template is available and can be </w:t>
      </w:r>
      <w:r w:rsidR="00171B1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accessed </w:t>
      </w:r>
      <w:r w:rsidR="006C756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from the </w:t>
      </w:r>
      <w:r w:rsidR="00711C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Department of </w:t>
      </w:r>
      <w:r w:rsidR="006C756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Finance</w:t>
      </w:r>
      <w:r w:rsidR="00711C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’s</w:t>
      </w:r>
      <w:r w:rsidR="006C756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website </w:t>
      </w:r>
      <w:r w:rsidR="00171B1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at </w:t>
      </w:r>
      <w:r w:rsidR="006C756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www.</w:t>
      </w:r>
      <w:r w:rsidR="00FC2B3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</w:t>
      </w:r>
      <w:r w:rsidR="006C756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inance.gov.au.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CRIS is an explanatory document that provides key information on how cost recovery is implemented for an approved regulatory charging activity. After charging commences, the CRIS also becomes</w:t>
      </w:r>
      <w:r w:rsidR="004E27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continuous disclosure tool.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It </w:t>
      </w:r>
      <w:r w:rsidR="00AB0E1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initially prepare</w:t>
      </w:r>
      <w:r w:rsidR="00AB0E1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after the Australian Government makes a decision to cost recover a </w:t>
      </w:r>
      <w:r w:rsidR="00AB0E1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regulatory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activity and provides the basis for on</w:t>
      </w:r>
      <w:r w:rsidR="00AB0E1A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oing engagement with stakeholders on various aspects of the approved regulatory charging activity.  </w:t>
      </w:r>
    </w:p>
    <w:p w:rsidR="007C49C7" w:rsidRDefault="007C49C7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:rsidR="00A93575" w:rsidRDefault="00A93575" w:rsidP="00A93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Paragraph 8(1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)(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k) refers to a portfolio charging review. All CCEs that undertake charging activities contribute to a scheduled portfolio charging review, which is </w:t>
      </w:r>
      <w:r w:rsidR="000D00C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coordinated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by the Department of State.  </w:t>
      </w:r>
    </w:p>
    <w:p w:rsidR="00A93575" w:rsidRDefault="00A93575" w:rsidP="00A935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:rsidR="006C756C" w:rsidRPr="00001A7F" w:rsidRDefault="0001333E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Paragraphs </w:t>
      </w:r>
      <w:r w:rsidR="000C30A7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8(2</w:t>
      </w:r>
      <w:proofErr w:type="gramStart"/>
      <w:r w:rsidR="000C30A7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)(</w:t>
      </w:r>
      <w:proofErr w:type="gramEnd"/>
      <w:r w:rsidR="000C30A7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a) detail </w:t>
      </w:r>
      <w:r w:rsidR="006C756C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approval process for a CRIS. The</w:t>
      </w:r>
      <w:r w:rsidR="000C30A7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CRIS must be certified by the accountable a</w:t>
      </w:r>
      <w:r w:rsidR="006C756C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uthority of the CCE</w:t>
      </w:r>
      <w:r w:rsidR="00A93575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prior to</w:t>
      </w:r>
      <w:r w:rsidR="00862E4C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A93575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consideration </w:t>
      </w:r>
      <w:r w:rsidR="00862E4C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by </w:t>
      </w:r>
      <w:r w:rsidR="004E2729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responsible minister of the </w:t>
      </w:r>
      <w:r w:rsidR="00862E4C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CCE.</w:t>
      </w:r>
    </w:p>
    <w:p w:rsidR="006C756C" w:rsidRPr="00001A7F" w:rsidRDefault="006C756C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:rsidR="00862E4C" w:rsidRDefault="0001333E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Paragraph</w:t>
      </w:r>
      <w:r w:rsidR="00862E4C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8(2</w:t>
      </w:r>
      <w:proofErr w:type="gramStart"/>
      <w:r w:rsidR="00862E4C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)(</w:t>
      </w:r>
      <w:proofErr w:type="gramEnd"/>
      <w:r w:rsidR="00A93575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</w:t>
      </w:r>
      <w:r w:rsidR="00862E4C" w:rsidRPr="00001A7F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) requires a CCE to publish the CRIS on its website prior to it commencing to charge for the approved regulatory charging activity.</w:t>
      </w:r>
    </w:p>
    <w:p w:rsidR="00862E4C" w:rsidRDefault="00862E4C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:rsidR="00862E4C" w:rsidRDefault="0001333E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Sub-section</w:t>
      </w:r>
      <w:r w:rsidR="00862E4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8(3) refers to the charging risk </w:t>
      </w:r>
      <w:r w:rsidR="005D13D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rating of </w:t>
      </w:r>
      <w:r w:rsidR="00862E4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approved regulatory charging activity</w:t>
      </w:r>
      <w:r w:rsidR="004E27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  <w:r w:rsidR="0071537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 charging risk assessment is required </w:t>
      </w:r>
      <w:r w:rsidR="000B760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by the Budget Pro</w:t>
      </w:r>
      <w:r w:rsidR="00913C63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cess Operational</w:t>
      </w:r>
      <w:r w:rsidR="000B760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Rules </w:t>
      </w:r>
      <w:r w:rsidR="0071537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when a new </w:t>
      </w:r>
      <w:r w:rsidR="005D13D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regulatory </w:t>
      </w:r>
      <w:r w:rsidR="0071537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charging activity is being proposed or an existing </w:t>
      </w:r>
      <w:r w:rsidR="005D13D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regulatory </w:t>
      </w:r>
      <w:r w:rsidR="0071537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charging activity is being amended.</w:t>
      </w:r>
      <w:r w:rsidR="00862E4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5D13D6" w:rsidRDefault="005D13D6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:rsidR="005D13D6" w:rsidRDefault="005D13D6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charging risk assessment results in a rating of either</w:t>
      </w:r>
      <w:r w:rsidR="00FD194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FD194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igh, </w:t>
      </w:r>
      <w:r w:rsidR="00FD194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edium or </w:t>
      </w:r>
      <w:r w:rsidR="00FD194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ow risk. Whe</w:t>
      </w:r>
      <w:r w:rsidR="000C30A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 the charging risk rating is h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igh, the Finance Minister’s written agreement is </w:t>
      </w:r>
      <w:r w:rsidR="00FD194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also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required for the </w:t>
      </w:r>
      <w:r w:rsidR="00711C0C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CRIS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</w:t>
      </w:r>
      <w:r w:rsidR="000C30A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 addition to</w:t>
      </w:r>
      <w:r w:rsidR="00FD194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requirements set out in </w:t>
      </w:r>
      <w:r w:rsidR="00A47FB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subsection</w:t>
      </w:r>
      <w:r w:rsidR="00FD194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8(2)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7C49C7" w:rsidRDefault="007C49C7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</w:p>
    <w:p w:rsidR="00DC7A1F" w:rsidRPr="00876D20" w:rsidRDefault="00DC7A1F" w:rsidP="009815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876D20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Schedule 1</w:t>
      </w:r>
    </w:p>
    <w:p w:rsidR="0098156E" w:rsidRDefault="005D13D6" w:rsidP="009815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Only those CCEs listed at Schedule 1 </w:t>
      </w:r>
      <w:r w:rsidR="0085444D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 required to comply with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</w:t>
      </w:r>
      <w:r w:rsidR="00E275D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A639C5">
        <w:rPr>
          <w:rFonts w:ascii="Times New Roman" w:eastAsia="Times New Roman" w:hAnsi="Times New Roman" w:cs="Times New Roman"/>
          <w:sz w:val="24"/>
          <w:szCs w:val="24"/>
          <w:lang w:eastAsia="en-AU"/>
        </w:rPr>
        <w:t>Order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CCEs can </w:t>
      </w:r>
      <w:r w:rsidR="000F36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added from this list</w:t>
      </w:r>
      <w:r w:rsidR="004E2729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D3127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depending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whether they undertake </w:t>
      </w:r>
      <w:r w:rsidR="000F36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 approve</w:t>
      </w:r>
      <w:r w:rsidR="00C153C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d regulatory charging </w:t>
      </w:r>
      <w:r w:rsidR="00C153C1" w:rsidRPr="00ED55C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activity</w:t>
      </w:r>
      <w:r w:rsidR="00ED55C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  <w:r w:rsidR="00D31272" w:rsidRPr="00ED55C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ED55C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</w:t>
      </w:r>
      <w:r w:rsidR="00ED55CB" w:rsidRPr="00ED55C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hen CCEs</w:t>
      </w:r>
      <w:r w:rsidR="00D31272" w:rsidRPr="00ED55C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 longer conduct regulatory activities, </w:t>
      </w:r>
      <w:r w:rsidR="00ED55CB" w:rsidRPr="00ED55C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Regulatory Charging</w:t>
      </w:r>
      <w:r w:rsidR="00D31272" w:rsidRPr="00ED55C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GPO</w:t>
      </w:r>
      <w:r w:rsidR="00ED55CB" w:rsidRPr="00ED55C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</w:t>
      </w:r>
      <w:r w:rsidR="00ED55C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 longer apply</w:t>
      </w:r>
      <w:r w:rsidR="000F36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 Consist</w:t>
      </w:r>
      <w:r w:rsidR="00D3127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ent with the requirements under </w:t>
      </w:r>
      <w:r w:rsidR="00F368B6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sub</w:t>
      </w:r>
      <w:r w:rsidR="00C153C1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</w:t>
      </w:r>
      <w:r w:rsidR="000F36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ection 22(2) of the PGPA Act, a</w:t>
      </w:r>
      <w:r w:rsidR="00ED55C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ppropriate consultation with relevant</w:t>
      </w:r>
      <w:r w:rsidR="000F36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CCE</w:t>
      </w:r>
      <w:r w:rsidR="00ED55CB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</w:t>
      </w:r>
      <w:r w:rsidR="000F36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occur prior to the entity being </w:t>
      </w:r>
      <w:r w:rsidR="00876D2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added</w:t>
      </w:r>
      <w:r w:rsidR="00D31272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="00876D2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 S</w:t>
      </w:r>
      <w:r w:rsidR="000F36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chedule</w:t>
      </w:r>
      <w:r w:rsidR="00876D20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1 of this legislative instrument</w:t>
      </w:r>
      <w:r w:rsidR="000F36E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sectPr w:rsidR="0098156E" w:rsidSect="00B16F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84" w:rsidRDefault="00E14E84" w:rsidP="00876D20">
      <w:pPr>
        <w:spacing w:after="0" w:line="240" w:lineRule="auto"/>
      </w:pPr>
      <w:r>
        <w:separator/>
      </w:r>
    </w:p>
  </w:endnote>
  <w:endnote w:type="continuationSeparator" w:id="0">
    <w:p w:rsidR="00E14E84" w:rsidRDefault="00E14E84" w:rsidP="0087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4E3" w:rsidRDefault="00443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84577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8845777"/>
          <w:docPartObj>
            <w:docPartGallery w:val="Page Numbers (Top of Page)"/>
            <w:docPartUnique/>
          </w:docPartObj>
        </w:sdtPr>
        <w:sdtEndPr/>
        <w:sdtContent>
          <w:p w:rsidR="00E14E84" w:rsidRDefault="00E14E84">
            <w:pPr>
              <w:pStyle w:val="Footer"/>
              <w:jc w:val="right"/>
              <w:rPr>
                <w:rFonts w:ascii="Times New Roman" w:hAnsi="Times New Roman" w:cs="Times New Roman"/>
                <w:b/>
              </w:rPr>
            </w:pPr>
            <w:r w:rsidRPr="00D0712A">
              <w:rPr>
                <w:rFonts w:ascii="Times New Roman" w:hAnsi="Times New Roman" w:cs="Times New Roman"/>
              </w:rPr>
              <w:t xml:space="preserve">Page </w:t>
            </w:r>
            <w:r w:rsidRPr="00D0712A">
              <w:rPr>
                <w:rFonts w:ascii="Times New Roman" w:hAnsi="Times New Roman" w:cs="Times New Roman"/>
                <w:b/>
              </w:rPr>
              <w:fldChar w:fldCharType="begin"/>
            </w:r>
            <w:r w:rsidRPr="00D0712A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D0712A">
              <w:rPr>
                <w:rFonts w:ascii="Times New Roman" w:hAnsi="Times New Roman" w:cs="Times New Roman"/>
                <w:b/>
              </w:rPr>
              <w:fldChar w:fldCharType="separate"/>
            </w:r>
            <w:r w:rsidR="002D3D8C">
              <w:rPr>
                <w:rFonts w:ascii="Times New Roman" w:hAnsi="Times New Roman" w:cs="Times New Roman"/>
                <w:b/>
                <w:noProof/>
              </w:rPr>
              <w:t>3</w:t>
            </w:r>
            <w:r w:rsidRPr="00D0712A">
              <w:rPr>
                <w:rFonts w:ascii="Times New Roman" w:hAnsi="Times New Roman" w:cs="Times New Roman"/>
                <w:b/>
              </w:rPr>
              <w:fldChar w:fldCharType="end"/>
            </w:r>
            <w:r w:rsidRPr="00D0712A">
              <w:rPr>
                <w:rFonts w:ascii="Times New Roman" w:hAnsi="Times New Roman" w:cs="Times New Roman"/>
              </w:rPr>
              <w:t xml:space="preserve"> of </w:t>
            </w:r>
            <w:r w:rsidRPr="00D0712A">
              <w:rPr>
                <w:rFonts w:ascii="Times New Roman" w:hAnsi="Times New Roman" w:cs="Times New Roman"/>
                <w:b/>
              </w:rPr>
              <w:fldChar w:fldCharType="begin"/>
            </w:r>
            <w:r w:rsidRPr="00D0712A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D0712A">
              <w:rPr>
                <w:rFonts w:ascii="Times New Roman" w:hAnsi="Times New Roman" w:cs="Times New Roman"/>
                <w:b/>
              </w:rPr>
              <w:fldChar w:fldCharType="separate"/>
            </w:r>
            <w:r w:rsidR="002D3D8C">
              <w:rPr>
                <w:rFonts w:ascii="Times New Roman" w:hAnsi="Times New Roman" w:cs="Times New Roman"/>
                <w:b/>
                <w:noProof/>
              </w:rPr>
              <w:t>3</w:t>
            </w:r>
            <w:r w:rsidRPr="00D0712A">
              <w:rPr>
                <w:rFonts w:ascii="Times New Roman" w:hAnsi="Times New Roman" w:cs="Times New Roman"/>
                <w:b/>
              </w:rPr>
              <w:fldChar w:fldCharType="end"/>
            </w:r>
          </w:p>
          <w:p w:rsidR="00E14E84" w:rsidRPr="00455BBF" w:rsidRDefault="002D3D8C">
            <w:pPr>
              <w:pStyle w:val="Footer"/>
              <w:rPr>
                <w:rFonts w:ascii="Times New Roman" w:hAnsi="Times New Roman" w:cs="Times New Roman"/>
              </w:rPr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4E3" w:rsidRDefault="004434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84" w:rsidRDefault="00E14E84" w:rsidP="00876D20">
      <w:pPr>
        <w:spacing w:after="0" w:line="240" w:lineRule="auto"/>
      </w:pPr>
      <w:r>
        <w:separator/>
      </w:r>
    </w:p>
  </w:footnote>
  <w:footnote w:type="continuationSeparator" w:id="0">
    <w:p w:rsidR="00E14E84" w:rsidRDefault="00E14E84" w:rsidP="0087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4E3" w:rsidRDefault="004434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E84" w:rsidRDefault="00E14E84" w:rsidP="00086A73">
    <w:pPr>
      <w:pStyle w:val="Header"/>
      <w:tabs>
        <w:tab w:val="clear" w:pos="9026"/>
        <w:tab w:val="right" w:pos="9639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E84" w:rsidRDefault="00E14E84" w:rsidP="00B16F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1131"/>
    <w:multiLevelType w:val="hybridMultilevel"/>
    <w:tmpl w:val="59CE8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968B1"/>
    <w:multiLevelType w:val="hybridMultilevel"/>
    <w:tmpl w:val="7C4608B0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6E"/>
    <w:rsid w:val="00001A7F"/>
    <w:rsid w:val="000041EF"/>
    <w:rsid w:val="00005922"/>
    <w:rsid w:val="0001333E"/>
    <w:rsid w:val="00041F4C"/>
    <w:rsid w:val="00066C99"/>
    <w:rsid w:val="000677BE"/>
    <w:rsid w:val="00083867"/>
    <w:rsid w:val="00086A73"/>
    <w:rsid w:val="000B62D0"/>
    <w:rsid w:val="000B760D"/>
    <w:rsid w:val="000B7FAF"/>
    <w:rsid w:val="000C30A7"/>
    <w:rsid w:val="000D00CD"/>
    <w:rsid w:val="000D1758"/>
    <w:rsid w:val="000D64E2"/>
    <w:rsid w:val="000F36E7"/>
    <w:rsid w:val="000F6BAE"/>
    <w:rsid w:val="00133684"/>
    <w:rsid w:val="00151B61"/>
    <w:rsid w:val="00165234"/>
    <w:rsid w:val="00171299"/>
    <w:rsid w:val="00171B1C"/>
    <w:rsid w:val="00193B5E"/>
    <w:rsid w:val="00196AB2"/>
    <w:rsid w:val="001A1142"/>
    <w:rsid w:val="001C2CDE"/>
    <w:rsid w:val="001C4041"/>
    <w:rsid w:val="001E0A98"/>
    <w:rsid w:val="001F0E2B"/>
    <w:rsid w:val="001F7FB9"/>
    <w:rsid w:val="002042C1"/>
    <w:rsid w:val="002061E2"/>
    <w:rsid w:val="002116F8"/>
    <w:rsid w:val="0021352F"/>
    <w:rsid w:val="00242D63"/>
    <w:rsid w:val="00244D28"/>
    <w:rsid w:val="002462DD"/>
    <w:rsid w:val="00253B5E"/>
    <w:rsid w:val="00263D0D"/>
    <w:rsid w:val="00280A11"/>
    <w:rsid w:val="002A67C3"/>
    <w:rsid w:val="002C01CF"/>
    <w:rsid w:val="002D3D8C"/>
    <w:rsid w:val="002E493F"/>
    <w:rsid w:val="002F0910"/>
    <w:rsid w:val="0031106F"/>
    <w:rsid w:val="003216FC"/>
    <w:rsid w:val="0033669F"/>
    <w:rsid w:val="00342626"/>
    <w:rsid w:val="0034707D"/>
    <w:rsid w:val="00370BDF"/>
    <w:rsid w:val="003B2DCC"/>
    <w:rsid w:val="00424EF0"/>
    <w:rsid w:val="00430631"/>
    <w:rsid w:val="004434E3"/>
    <w:rsid w:val="00447510"/>
    <w:rsid w:val="00451941"/>
    <w:rsid w:val="00455BBF"/>
    <w:rsid w:val="0047194D"/>
    <w:rsid w:val="00472CA5"/>
    <w:rsid w:val="004A34C5"/>
    <w:rsid w:val="004A6EC9"/>
    <w:rsid w:val="004C6AC0"/>
    <w:rsid w:val="004D2454"/>
    <w:rsid w:val="004D2ADE"/>
    <w:rsid w:val="004E2729"/>
    <w:rsid w:val="004F0842"/>
    <w:rsid w:val="00506FD7"/>
    <w:rsid w:val="0051117C"/>
    <w:rsid w:val="00516D5B"/>
    <w:rsid w:val="00517561"/>
    <w:rsid w:val="00522555"/>
    <w:rsid w:val="00522FDC"/>
    <w:rsid w:val="00540AE8"/>
    <w:rsid w:val="00543A20"/>
    <w:rsid w:val="00544545"/>
    <w:rsid w:val="00552857"/>
    <w:rsid w:val="005632BA"/>
    <w:rsid w:val="005664A6"/>
    <w:rsid w:val="00592D60"/>
    <w:rsid w:val="00596340"/>
    <w:rsid w:val="005A68D2"/>
    <w:rsid w:val="005D13D6"/>
    <w:rsid w:val="005D2B55"/>
    <w:rsid w:val="005D41A0"/>
    <w:rsid w:val="005E2A24"/>
    <w:rsid w:val="005E4D57"/>
    <w:rsid w:val="005F189F"/>
    <w:rsid w:val="005F5A82"/>
    <w:rsid w:val="0061672B"/>
    <w:rsid w:val="006433F5"/>
    <w:rsid w:val="00654FD2"/>
    <w:rsid w:val="00677F3D"/>
    <w:rsid w:val="00682FEF"/>
    <w:rsid w:val="006C756C"/>
    <w:rsid w:val="006D11AB"/>
    <w:rsid w:val="006D263B"/>
    <w:rsid w:val="006E59A2"/>
    <w:rsid w:val="007038C0"/>
    <w:rsid w:val="00711C0C"/>
    <w:rsid w:val="0071537B"/>
    <w:rsid w:val="00730E07"/>
    <w:rsid w:val="00733F1C"/>
    <w:rsid w:val="00737A00"/>
    <w:rsid w:val="00797981"/>
    <w:rsid w:val="007B0050"/>
    <w:rsid w:val="007B10CF"/>
    <w:rsid w:val="007C49C7"/>
    <w:rsid w:val="007D6BFF"/>
    <w:rsid w:val="007E7F58"/>
    <w:rsid w:val="00807E82"/>
    <w:rsid w:val="00826722"/>
    <w:rsid w:val="0085444D"/>
    <w:rsid w:val="00862E4C"/>
    <w:rsid w:val="00876D20"/>
    <w:rsid w:val="008813C7"/>
    <w:rsid w:val="00894CDE"/>
    <w:rsid w:val="008B1BA1"/>
    <w:rsid w:val="008B2CA1"/>
    <w:rsid w:val="008D2C22"/>
    <w:rsid w:val="008D4058"/>
    <w:rsid w:val="008D5272"/>
    <w:rsid w:val="008E4A0C"/>
    <w:rsid w:val="008E774F"/>
    <w:rsid w:val="00902CFA"/>
    <w:rsid w:val="00913C63"/>
    <w:rsid w:val="00933A4A"/>
    <w:rsid w:val="00970C04"/>
    <w:rsid w:val="0098156E"/>
    <w:rsid w:val="009871D4"/>
    <w:rsid w:val="009952DC"/>
    <w:rsid w:val="009A3ADA"/>
    <w:rsid w:val="009C37EA"/>
    <w:rsid w:val="009F3B87"/>
    <w:rsid w:val="009F6ECD"/>
    <w:rsid w:val="00A024C6"/>
    <w:rsid w:val="00A42242"/>
    <w:rsid w:val="00A47FBB"/>
    <w:rsid w:val="00A52332"/>
    <w:rsid w:val="00A601C2"/>
    <w:rsid w:val="00A639C5"/>
    <w:rsid w:val="00A93575"/>
    <w:rsid w:val="00AA26C9"/>
    <w:rsid w:val="00AA27D5"/>
    <w:rsid w:val="00AA5454"/>
    <w:rsid w:val="00AB0E1A"/>
    <w:rsid w:val="00AD0085"/>
    <w:rsid w:val="00AD45FA"/>
    <w:rsid w:val="00AD7FF6"/>
    <w:rsid w:val="00AF6020"/>
    <w:rsid w:val="00B157B6"/>
    <w:rsid w:val="00B16F2A"/>
    <w:rsid w:val="00B41A11"/>
    <w:rsid w:val="00B44075"/>
    <w:rsid w:val="00B448B0"/>
    <w:rsid w:val="00B53B1D"/>
    <w:rsid w:val="00B60347"/>
    <w:rsid w:val="00BA0CC9"/>
    <w:rsid w:val="00BC2A25"/>
    <w:rsid w:val="00BC5C1E"/>
    <w:rsid w:val="00BD52B4"/>
    <w:rsid w:val="00C00C33"/>
    <w:rsid w:val="00C12813"/>
    <w:rsid w:val="00C153C1"/>
    <w:rsid w:val="00C23778"/>
    <w:rsid w:val="00C57FA0"/>
    <w:rsid w:val="00C91BAC"/>
    <w:rsid w:val="00CE6762"/>
    <w:rsid w:val="00CF717E"/>
    <w:rsid w:val="00D060B2"/>
    <w:rsid w:val="00D0712A"/>
    <w:rsid w:val="00D31272"/>
    <w:rsid w:val="00D362E0"/>
    <w:rsid w:val="00D44FC1"/>
    <w:rsid w:val="00D4552B"/>
    <w:rsid w:val="00D934F6"/>
    <w:rsid w:val="00DA1ECA"/>
    <w:rsid w:val="00DB277D"/>
    <w:rsid w:val="00DB4FBE"/>
    <w:rsid w:val="00DC7A1F"/>
    <w:rsid w:val="00DD25EF"/>
    <w:rsid w:val="00DE2B35"/>
    <w:rsid w:val="00DF1750"/>
    <w:rsid w:val="00E14E84"/>
    <w:rsid w:val="00E17E73"/>
    <w:rsid w:val="00E250CC"/>
    <w:rsid w:val="00E275D2"/>
    <w:rsid w:val="00E859DD"/>
    <w:rsid w:val="00EB222B"/>
    <w:rsid w:val="00EB4D1D"/>
    <w:rsid w:val="00EB5263"/>
    <w:rsid w:val="00ED55CB"/>
    <w:rsid w:val="00F01C03"/>
    <w:rsid w:val="00F101C5"/>
    <w:rsid w:val="00F32D2A"/>
    <w:rsid w:val="00F368B6"/>
    <w:rsid w:val="00F7408C"/>
    <w:rsid w:val="00FC01FF"/>
    <w:rsid w:val="00FC2B3F"/>
    <w:rsid w:val="00FC6650"/>
    <w:rsid w:val="00FD1940"/>
    <w:rsid w:val="00FD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F0D3A0E-AFA5-4865-9559-8E46BCC4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8B0"/>
  </w:style>
  <w:style w:type="paragraph" w:styleId="Heading1">
    <w:name w:val="heading 1"/>
    <w:basedOn w:val="Normal"/>
    <w:link w:val="Heading1Char"/>
    <w:uiPriority w:val="9"/>
    <w:qFormat/>
    <w:rsid w:val="00981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9815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56E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8156E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customStyle="1" w:styleId="Default">
    <w:name w:val="Default"/>
    <w:rsid w:val="00B41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C4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6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D20"/>
  </w:style>
  <w:style w:type="paragraph" w:styleId="Footer">
    <w:name w:val="footer"/>
    <w:basedOn w:val="Normal"/>
    <w:link w:val="FooterChar"/>
    <w:uiPriority w:val="99"/>
    <w:unhideWhenUsed/>
    <w:rsid w:val="00876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D20"/>
  </w:style>
  <w:style w:type="character" w:styleId="Hyperlink">
    <w:name w:val="Hyperlink"/>
    <w:basedOn w:val="DefaultParagraphFont"/>
    <w:uiPriority w:val="99"/>
    <w:unhideWhenUsed/>
    <w:rsid w:val="00472C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BF"/>
    <w:rPr>
      <w:rFonts w:ascii="Tahoma" w:hAnsi="Tahoma" w:cs="Tahoma"/>
      <w:sz w:val="16"/>
      <w:szCs w:val="16"/>
    </w:rPr>
  </w:style>
  <w:style w:type="paragraph" w:customStyle="1" w:styleId="CABHeading1">
    <w:name w:val="CAB Heading 1"/>
    <w:basedOn w:val="Normal"/>
    <w:qFormat/>
    <w:rsid w:val="00263D0D"/>
    <w:pPr>
      <w:spacing w:before="120" w:after="120" w:line="240" w:lineRule="auto"/>
    </w:pPr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2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23F0E60-DDB4-4717-83FA-074B0D3EB1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8F602A214D655408BCA8F28B0C8BC02" ma:contentTypeVersion="" ma:contentTypeDescription="PDMS Document Site Content Type" ma:contentTypeScope="" ma:versionID="134968c7ae045124c5dcfcd9c079c6bf">
  <xsd:schema xmlns:xsd="http://www.w3.org/2001/XMLSchema" xmlns:xs="http://www.w3.org/2001/XMLSchema" xmlns:p="http://schemas.microsoft.com/office/2006/metadata/properties" xmlns:ns2="823F0E60-DDB4-4717-83FA-074B0D3EB14F" targetNamespace="http://schemas.microsoft.com/office/2006/metadata/properties" ma:root="true" ma:fieldsID="72c056d7f009c50b8a2761d15a8b4a66" ns2:_="">
    <xsd:import namespace="823F0E60-DDB4-4717-83FA-074B0D3EB14F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F0E60-DDB4-4717-83FA-074B0D3EB14F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5C1C1-B992-44C2-9146-04749ACFB7A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23F0E60-DDB4-4717-83FA-074B0D3EB14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70C8390-A2B3-4407-9828-197B548B3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F0E60-DDB4-4717-83FA-074B0D3EB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7B6F6-ACB1-4F41-B8F9-9872CFD622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1BAB1-C492-4DA3-A38E-BA530B5B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1842645</Template>
  <TotalTime>0</TotalTime>
  <Pages>3</Pages>
  <Words>1236</Words>
  <Characters>7049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FINANCE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RMB</dc:creator>
  <cp:lastModifiedBy>Primmer, Kim</cp:lastModifiedBy>
  <cp:revision>2</cp:revision>
  <cp:lastPrinted>2017-07-20T04:57:00Z</cp:lastPrinted>
  <dcterms:created xsi:type="dcterms:W3CDTF">2017-08-21T01:46:00Z</dcterms:created>
  <dcterms:modified xsi:type="dcterms:W3CDTF">2017-08-21T01:46:00Z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0x010100266966F133664895A6EE3632470D45F500A8F602A214D655408BCA8F28B0C8BC02</vt:lpwstr>
  </property>
</Properties>
</file>