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06" w:rsidRPr="008B52ED" w:rsidRDefault="00E84506" w:rsidP="00353466">
      <w:pPr>
        <w:spacing w:after="120"/>
        <w:ind w:right="91"/>
        <w:jc w:val="center"/>
        <w:rPr>
          <w:u w:val="single"/>
        </w:rPr>
      </w:pPr>
      <w:r w:rsidRPr="008B52ED">
        <w:rPr>
          <w:b/>
          <w:u w:val="single"/>
        </w:rPr>
        <w:t>EXPLANATORY STATEMENT</w:t>
      </w:r>
    </w:p>
    <w:p w:rsidR="00E84506" w:rsidRPr="008B52ED" w:rsidRDefault="00E84506" w:rsidP="00353466">
      <w:pPr>
        <w:spacing w:after="120"/>
        <w:ind w:right="91"/>
        <w:rPr>
          <w:u w:val="single"/>
        </w:rPr>
      </w:pPr>
    </w:p>
    <w:p w:rsidR="00E84506" w:rsidRPr="008B52ED" w:rsidRDefault="00E84506" w:rsidP="00353466">
      <w:pPr>
        <w:spacing w:after="120"/>
        <w:jc w:val="center"/>
        <w:rPr>
          <w:u w:val="single"/>
        </w:rPr>
      </w:pPr>
      <w:r w:rsidRPr="008B52ED">
        <w:rPr>
          <w:u w:val="single"/>
        </w:rPr>
        <w:t>Issued by the authority of the Minister for Employment</w:t>
      </w:r>
    </w:p>
    <w:p w:rsidR="00E84506" w:rsidRPr="008B52ED" w:rsidRDefault="00E84506" w:rsidP="00353466">
      <w:pPr>
        <w:tabs>
          <w:tab w:val="left" w:pos="993"/>
        </w:tabs>
        <w:spacing w:after="120"/>
        <w:ind w:left="1440" w:right="91" w:hanging="1440"/>
      </w:pPr>
    </w:p>
    <w:p w:rsidR="00E84506" w:rsidRPr="008B52ED" w:rsidRDefault="00E84506" w:rsidP="00353466">
      <w:pPr>
        <w:tabs>
          <w:tab w:val="left" w:pos="993"/>
        </w:tabs>
        <w:spacing w:after="120"/>
        <w:ind w:left="1440" w:right="91" w:hanging="1440"/>
        <w:rPr>
          <w:i/>
        </w:rPr>
      </w:pPr>
      <w:r w:rsidRPr="008B52ED">
        <w:t xml:space="preserve">Subject – </w:t>
      </w:r>
      <w:r w:rsidRPr="008B52ED">
        <w:tab/>
      </w:r>
      <w:r w:rsidRPr="008B52ED">
        <w:tab/>
      </w:r>
      <w:r w:rsidRPr="008B52ED">
        <w:rPr>
          <w:i/>
        </w:rPr>
        <w:t xml:space="preserve">Building and Construction Industry (Improving Productivity) Act 2016 </w:t>
      </w:r>
    </w:p>
    <w:p w:rsidR="00E84506" w:rsidRPr="008B52ED" w:rsidRDefault="00E84506" w:rsidP="00353466">
      <w:pPr>
        <w:tabs>
          <w:tab w:val="left" w:pos="993"/>
        </w:tabs>
        <w:spacing w:after="120"/>
        <w:ind w:left="1440" w:right="91" w:hanging="1440"/>
        <w:rPr>
          <w:i/>
        </w:rPr>
      </w:pPr>
      <w:r w:rsidRPr="008B52ED">
        <w:rPr>
          <w:i/>
        </w:rPr>
        <w:tab/>
      </w:r>
      <w:r w:rsidRPr="008B52ED">
        <w:rPr>
          <w:i/>
        </w:rPr>
        <w:tab/>
        <w:t>Code for the Tendering and Performance of Building Work</w:t>
      </w:r>
      <w:r w:rsidR="00982CF9">
        <w:rPr>
          <w:i/>
        </w:rPr>
        <w:t xml:space="preserve"> Amendment</w:t>
      </w:r>
      <w:r w:rsidRPr="008B52ED">
        <w:rPr>
          <w:i/>
        </w:rPr>
        <w:t xml:space="preserve"> </w:t>
      </w:r>
      <w:r w:rsidR="00353466" w:rsidRPr="008B52ED">
        <w:rPr>
          <w:i/>
        </w:rPr>
        <w:t>(</w:t>
      </w:r>
      <w:r w:rsidR="00AE4A5F" w:rsidRPr="008B52ED">
        <w:rPr>
          <w:i/>
        </w:rPr>
        <w:t xml:space="preserve">Infrastructure </w:t>
      </w:r>
      <w:r w:rsidR="008A66FE" w:rsidRPr="008B52ED">
        <w:rPr>
          <w:i/>
        </w:rPr>
        <w:t>Exemption</w:t>
      </w:r>
      <w:r w:rsidR="00AE4A5F" w:rsidRPr="008B52ED">
        <w:rPr>
          <w:i/>
        </w:rPr>
        <w:t>s</w:t>
      </w:r>
      <w:r w:rsidR="00353466" w:rsidRPr="008B52ED">
        <w:rPr>
          <w:i/>
        </w:rPr>
        <w:t xml:space="preserve">) </w:t>
      </w:r>
      <w:r w:rsidRPr="008B52ED">
        <w:rPr>
          <w:i/>
        </w:rPr>
        <w:t xml:space="preserve">Instrument 2017 </w:t>
      </w:r>
    </w:p>
    <w:p w:rsidR="00E84506" w:rsidRPr="008B52ED" w:rsidRDefault="00E84506" w:rsidP="00353466">
      <w:pPr>
        <w:autoSpaceDE w:val="0"/>
        <w:autoSpaceDN w:val="0"/>
        <w:adjustRightInd w:val="0"/>
        <w:spacing w:after="120"/>
      </w:pPr>
      <w:r w:rsidRPr="008B52ED">
        <w:t xml:space="preserve">The </w:t>
      </w:r>
      <w:r w:rsidRPr="008B52ED">
        <w:rPr>
          <w:i/>
        </w:rPr>
        <w:t>Building and Construction Industry (Improving Productivity) Act 2016</w:t>
      </w:r>
      <w:r w:rsidRPr="008B52ED">
        <w:t xml:space="preserve"> (the </w:t>
      </w:r>
      <w:proofErr w:type="spellStart"/>
      <w:r w:rsidRPr="008B52ED">
        <w:t>BCI</w:t>
      </w:r>
      <w:proofErr w:type="spellEnd"/>
      <w:r w:rsidRPr="008B52ED">
        <w:t xml:space="preserve"> Act) enables the Minister for Employment to issue a code of practice that is to be </w:t>
      </w:r>
      <w:proofErr w:type="gramStart"/>
      <w:r w:rsidRPr="008B52ED">
        <w:t>complied</w:t>
      </w:r>
      <w:proofErr w:type="gramEnd"/>
      <w:r w:rsidRPr="008B52ED">
        <w:t xml:space="preserve"> with by persons in respect of building work (subsection 34(1)). </w:t>
      </w:r>
    </w:p>
    <w:p w:rsidR="00E84506" w:rsidRPr="008B52ED" w:rsidRDefault="00E84506" w:rsidP="00353466">
      <w:pPr>
        <w:autoSpaceDE w:val="0"/>
        <w:autoSpaceDN w:val="0"/>
        <w:adjustRightInd w:val="0"/>
        <w:spacing w:after="120"/>
      </w:pPr>
      <w:r w:rsidRPr="008B52ED">
        <w:t xml:space="preserve">Section 33(3) of the </w:t>
      </w:r>
      <w:r w:rsidRPr="008B52ED">
        <w:rPr>
          <w:i/>
          <w:iCs/>
        </w:rPr>
        <w:t xml:space="preserve">Acts Interpretation Act 1901 </w:t>
      </w:r>
      <w:r w:rsidRPr="008B52ED">
        <w:t>provides that where an Act confers a power to make an instrument of legislative character the power shall, unless the contrary intention appears, be construed as including a power to repeal, rescind, revoke, amend or vary any such instrument.</w:t>
      </w:r>
    </w:p>
    <w:p w:rsidR="00E84506" w:rsidRPr="008B52ED" w:rsidRDefault="00E84506" w:rsidP="00353466">
      <w:pPr>
        <w:autoSpaceDE w:val="0"/>
        <w:autoSpaceDN w:val="0"/>
        <w:adjustRightInd w:val="0"/>
        <w:spacing w:after="120"/>
      </w:pPr>
      <w:r w:rsidRPr="008B52ED">
        <w:t xml:space="preserve">The </w:t>
      </w:r>
      <w:r w:rsidRPr="008B52ED">
        <w:rPr>
          <w:i/>
        </w:rPr>
        <w:t xml:space="preserve">Code for the Tendering and Performance of Building Work 2016 </w:t>
      </w:r>
      <w:r w:rsidRPr="008B52ED">
        <w:t xml:space="preserve">(the 2016 Code) </w:t>
      </w:r>
      <w:r w:rsidR="0017720D" w:rsidRPr="008B52ED">
        <w:t xml:space="preserve">is </w:t>
      </w:r>
      <w:r w:rsidRPr="008B52ED">
        <w:t>issued under subsectio</w:t>
      </w:r>
      <w:r w:rsidR="0017720D" w:rsidRPr="008B52ED">
        <w:t xml:space="preserve">n 34(1) of the </w:t>
      </w:r>
      <w:proofErr w:type="spellStart"/>
      <w:r w:rsidR="0017720D" w:rsidRPr="008B52ED">
        <w:t>BCI</w:t>
      </w:r>
      <w:proofErr w:type="spellEnd"/>
      <w:r w:rsidR="0017720D" w:rsidRPr="008B52ED">
        <w:t xml:space="preserve"> Act. A building</w:t>
      </w:r>
      <w:r w:rsidR="00992696" w:rsidRPr="008B52ED">
        <w:t xml:space="preserve"> contractor or building</w:t>
      </w:r>
      <w:r w:rsidR="0017720D" w:rsidRPr="008B52ED">
        <w:t xml:space="preserve"> industry participant that could be required to comply with the 2016 Code under section 34 of the </w:t>
      </w:r>
      <w:proofErr w:type="spellStart"/>
      <w:r w:rsidR="00D52B97" w:rsidRPr="008B52ED">
        <w:t>BCI</w:t>
      </w:r>
      <w:proofErr w:type="spellEnd"/>
      <w:r w:rsidR="000A225D" w:rsidRPr="008B52ED">
        <w:t> </w:t>
      </w:r>
      <w:r w:rsidR="0017720D" w:rsidRPr="008B52ED">
        <w:t>Act becomes subject to the 2016 Code from the first time they submit an expression of interest or tender (how</w:t>
      </w:r>
      <w:r w:rsidR="000A225D" w:rsidRPr="008B52ED">
        <w:t>so</w:t>
      </w:r>
      <w:r w:rsidR="0017720D" w:rsidRPr="008B52ED">
        <w:t>ever described) for Commonwealth funded building work on or after</w:t>
      </w:r>
      <w:r w:rsidR="00D52B97" w:rsidRPr="008B52ED">
        <w:t xml:space="preserve"> the</w:t>
      </w:r>
      <w:r w:rsidR="0017720D" w:rsidRPr="008B52ED">
        <w:t xml:space="preserve"> </w:t>
      </w:r>
      <w:r w:rsidR="00992696" w:rsidRPr="008B52ED">
        <w:t>commencement of the 2016 Code (section 6). The 2016 Code commenced on 2</w:t>
      </w:r>
      <w:r w:rsidR="00D34773" w:rsidRPr="008B52ED">
        <w:t> </w:t>
      </w:r>
      <w:r w:rsidR="00992696" w:rsidRPr="008B52ED">
        <w:t>December</w:t>
      </w:r>
      <w:r w:rsidR="00D34773" w:rsidRPr="008B52ED">
        <w:t> </w:t>
      </w:r>
      <w:r w:rsidR="00992696" w:rsidRPr="008B52ED">
        <w:t>2016.</w:t>
      </w:r>
      <w:r w:rsidR="0017720D" w:rsidRPr="008B52ED">
        <w:t xml:space="preserve"> </w:t>
      </w:r>
    </w:p>
    <w:p w:rsidR="000A225D" w:rsidRPr="008B52ED" w:rsidRDefault="00D34773" w:rsidP="00D0005A">
      <w:pPr>
        <w:autoSpaceDE w:val="0"/>
        <w:autoSpaceDN w:val="0"/>
        <w:adjustRightInd w:val="0"/>
        <w:spacing w:after="120"/>
      </w:pPr>
      <w:r w:rsidRPr="008B52ED">
        <w:t>Section </w:t>
      </w:r>
      <w:proofErr w:type="spellStart"/>
      <w:r w:rsidR="000A225D" w:rsidRPr="008B52ED">
        <w:t>6A</w:t>
      </w:r>
      <w:proofErr w:type="spellEnd"/>
      <w:r w:rsidR="000A225D" w:rsidRPr="008B52ED">
        <w:t xml:space="preserve"> of t</w:t>
      </w:r>
      <w:r w:rsidR="00FE626E" w:rsidRPr="008B52ED">
        <w:t xml:space="preserve">he 2016 Code currently </w:t>
      </w:r>
      <w:r w:rsidR="00907895" w:rsidRPr="008B52ED">
        <w:t>permits</w:t>
      </w:r>
      <w:r w:rsidR="000A225D" w:rsidRPr="008B52ED">
        <w:t xml:space="preserve"> </w:t>
      </w:r>
      <w:r w:rsidR="00FE626E" w:rsidRPr="008B52ED">
        <w:t>the Australian Building and Construction Commission</w:t>
      </w:r>
      <w:r w:rsidR="00DA58D9" w:rsidRPr="008B52ED">
        <w:t>er (</w:t>
      </w:r>
      <w:r w:rsidR="00CD2A35" w:rsidRPr="008B52ED">
        <w:t xml:space="preserve">the </w:t>
      </w:r>
      <w:r w:rsidR="00DA58D9" w:rsidRPr="008B52ED">
        <w:t xml:space="preserve">ABC Commissioner) </w:t>
      </w:r>
      <w:r w:rsidR="000A225D" w:rsidRPr="008B52ED">
        <w:t>to</w:t>
      </w:r>
      <w:r w:rsidR="00DA58D9" w:rsidRPr="008B52ED">
        <w:t xml:space="preserve"> </w:t>
      </w:r>
      <w:r w:rsidR="00FE626E" w:rsidRPr="008B52ED">
        <w:t xml:space="preserve">exempt </w:t>
      </w:r>
      <w:r w:rsidR="00DA58D9" w:rsidRPr="008B52ED">
        <w:t xml:space="preserve">a </w:t>
      </w:r>
      <w:r w:rsidR="00FE626E" w:rsidRPr="008B52ED">
        <w:t>building contractor or building industry participant from the 2016 Code</w:t>
      </w:r>
      <w:r w:rsidR="00DA58D9" w:rsidRPr="008B52ED">
        <w:t xml:space="preserve"> </w:t>
      </w:r>
      <w:r w:rsidR="000A225D" w:rsidRPr="008B52ED">
        <w:t>if the ABC Commissioner is satisfied that</w:t>
      </w:r>
      <w:r w:rsidR="00D0005A" w:rsidRPr="008B52ED">
        <w:t xml:space="preserve"> </w:t>
      </w:r>
      <w:r w:rsidR="00DA58D9" w:rsidRPr="008B52ED">
        <w:t>building work</w:t>
      </w:r>
      <w:r w:rsidR="00992696" w:rsidRPr="008B52ED">
        <w:t xml:space="preserve"> performed by the contractor or participant </w:t>
      </w:r>
      <w:r w:rsidR="00DA58D9" w:rsidRPr="008B52ED">
        <w:t xml:space="preserve">involves the provision of </w:t>
      </w:r>
      <w:r w:rsidR="00D0005A" w:rsidRPr="008B52ED">
        <w:t xml:space="preserve">certain </w:t>
      </w:r>
      <w:r w:rsidR="00DA58D9" w:rsidRPr="008B52ED">
        <w:t>essential services</w:t>
      </w:r>
      <w:r w:rsidR="00D0005A" w:rsidRPr="008B52ED">
        <w:t xml:space="preserve">, and that </w:t>
      </w:r>
      <w:r w:rsidR="000A225D" w:rsidRPr="008B52ED">
        <w:t>granting the exemption would be appropriate having regard to the objectiv</w:t>
      </w:r>
      <w:r w:rsidRPr="008B52ED">
        <w:t>e in paragraph 5(a) of the 2016 </w:t>
      </w:r>
      <w:r w:rsidR="000A225D" w:rsidRPr="008B52ED">
        <w:t>Code.</w:t>
      </w:r>
    </w:p>
    <w:p w:rsidR="00A94EAB" w:rsidRPr="008B52ED" w:rsidRDefault="00353466" w:rsidP="00D0005A">
      <w:pPr>
        <w:autoSpaceDE w:val="0"/>
        <w:autoSpaceDN w:val="0"/>
        <w:adjustRightInd w:val="0"/>
        <w:spacing w:after="120"/>
      </w:pPr>
      <w:r w:rsidRPr="008B52ED">
        <w:t xml:space="preserve">The </w:t>
      </w:r>
      <w:r w:rsidRPr="008B52ED">
        <w:rPr>
          <w:i/>
        </w:rPr>
        <w:t xml:space="preserve">Code for the Tendering and Performance of Building Work </w:t>
      </w:r>
      <w:r w:rsidR="00982CF9">
        <w:rPr>
          <w:i/>
        </w:rPr>
        <w:t xml:space="preserve">Amendment </w:t>
      </w:r>
      <w:r w:rsidRPr="008B52ED">
        <w:rPr>
          <w:i/>
        </w:rPr>
        <w:t>(</w:t>
      </w:r>
      <w:r w:rsidR="00AE4A5F" w:rsidRPr="008B52ED">
        <w:rPr>
          <w:i/>
        </w:rPr>
        <w:t xml:space="preserve">Infrastructure </w:t>
      </w:r>
      <w:r w:rsidRPr="008B52ED">
        <w:rPr>
          <w:i/>
        </w:rPr>
        <w:t>E</w:t>
      </w:r>
      <w:r w:rsidR="001C2DA5" w:rsidRPr="008B52ED">
        <w:rPr>
          <w:i/>
        </w:rPr>
        <w:t>xemption</w:t>
      </w:r>
      <w:r w:rsidR="00AE4A5F" w:rsidRPr="008B52ED">
        <w:rPr>
          <w:i/>
        </w:rPr>
        <w:t>s</w:t>
      </w:r>
      <w:r w:rsidRPr="008B52ED">
        <w:rPr>
          <w:i/>
        </w:rPr>
        <w:t>)</w:t>
      </w:r>
      <w:r w:rsidR="00182110">
        <w:rPr>
          <w:i/>
        </w:rPr>
        <w:t xml:space="preserve"> Instrument </w:t>
      </w:r>
      <w:r w:rsidRPr="008B52ED">
        <w:rPr>
          <w:i/>
        </w:rPr>
        <w:t xml:space="preserve">2017 </w:t>
      </w:r>
      <w:r w:rsidRPr="008B52ED">
        <w:t xml:space="preserve">(the Amendment Instrument) </w:t>
      </w:r>
      <w:r w:rsidR="00A94EAB" w:rsidRPr="008B52ED">
        <w:t>insert</w:t>
      </w:r>
      <w:r w:rsidR="00D0005A" w:rsidRPr="008B52ED">
        <w:t>s</w:t>
      </w:r>
      <w:r w:rsidR="00A94EAB" w:rsidRPr="008B52ED">
        <w:t xml:space="preserve"> </w:t>
      </w:r>
      <w:r w:rsidR="00D34773" w:rsidRPr="008B52ED">
        <w:t>new section </w:t>
      </w:r>
      <w:proofErr w:type="spellStart"/>
      <w:r w:rsidR="00907895" w:rsidRPr="008B52ED">
        <w:t>6B</w:t>
      </w:r>
      <w:proofErr w:type="spellEnd"/>
      <w:r w:rsidR="00907895" w:rsidRPr="008B52ED">
        <w:t xml:space="preserve"> which </w:t>
      </w:r>
      <w:r w:rsidR="00D0005A" w:rsidRPr="008B52ED">
        <w:t>requires</w:t>
      </w:r>
      <w:r w:rsidR="00B53FD4" w:rsidRPr="008B52ED">
        <w:t xml:space="preserve"> the </w:t>
      </w:r>
      <w:r w:rsidR="00992696" w:rsidRPr="008B52ED">
        <w:t>ABC Commissioner</w:t>
      </w:r>
      <w:r w:rsidR="00D0005A" w:rsidRPr="008B52ED">
        <w:t xml:space="preserve">, on an application by </w:t>
      </w:r>
      <w:r w:rsidR="00992696" w:rsidRPr="008B52ED">
        <w:t xml:space="preserve">a </w:t>
      </w:r>
      <w:r w:rsidR="00132CF7" w:rsidRPr="008B52ED">
        <w:t>building contractor or building industry participant</w:t>
      </w:r>
      <w:r w:rsidR="00D0005A" w:rsidRPr="008B52ED">
        <w:t>, to grant</w:t>
      </w:r>
      <w:r w:rsidR="00132CF7" w:rsidRPr="008B52ED">
        <w:t xml:space="preserve"> </w:t>
      </w:r>
      <w:r w:rsidR="00D0005A" w:rsidRPr="008B52ED">
        <w:t xml:space="preserve">an </w:t>
      </w:r>
      <w:r w:rsidR="00907895" w:rsidRPr="008B52ED">
        <w:t xml:space="preserve">exemption from the 2016 Code (an </w:t>
      </w:r>
      <w:r w:rsidR="00D0005A" w:rsidRPr="008B52ED">
        <w:t>infrastructure exemption</w:t>
      </w:r>
      <w:r w:rsidR="00907895" w:rsidRPr="008B52ED">
        <w:t>)</w:t>
      </w:r>
      <w:r w:rsidR="00D0005A" w:rsidRPr="008B52ED">
        <w:t xml:space="preserve"> if he or she is satisfied that the</w:t>
      </w:r>
      <w:r w:rsidR="00132CF7" w:rsidRPr="008B52ED">
        <w:t xml:space="preserve"> princip</w:t>
      </w:r>
      <w:r w:rsidR="00992696" w:rsidRPr="008B52ED">
        <w:t>al</w:t>
      </w:r>
      <w:r w:rsidR="00132CF7" w:rsidRPr="008B52ED">
        <w:t xml:space="preserve"> business </w:t>
      </w:r>
      <w:r w:rsidR="00D0005A" w:rsidRPr="008B52ED">
        <w:t xml:space="preserve">of the contractor or participant </w:t>
      </w:r>
      <w:r w:rsidR="00132CF7" w:rsidRPr="008B52ED">
        <w:t xml:space="preserve">involves </w:t>
      </w:r>
      <w:r w:rsidR="00853FBC" w:rsidRPr="008B52ED">
        <w:t xml:space="preserve">performing work for the </w:t>
      </w:r>
      <w:r w:rsidR="00A94EAB" w:rsidRPr="008B52ED">
        <w:t xml:space="preserve">provision of </w:t>
      </w:r>
      <w:r w:rsidR="00D0005A" w:rsidRPr="008B52ED">
        <w:t xml:space="preserve">certain </w:t>
      </w:r>
      <w:r w:rsidR="00A94EAB" w:rsidRPr="008B52ED">
        <w:t>essential services</w:t>
      </w:r>
      <w:r w:rsidR="00D0005A" w:rsidRPr="008B52ED">
        <w:t>,</w:t>
      </w:r>
      <w:r w:rsidR="00A94EAB" w:rsidRPr="008B52ED">
        <w:t xml:space="preserve"> and </w:t>
      </w:r>
      <w:r w:rsidR="00B53FD4" w:rsidRPr="008B52ED">
        <w:t>the princip</w:t>
      </w:r>
      <w:r w:rsidR="00992696" w:rsidRPr="008B52ED">
        <w:t>a</w:t>
      </w:r>
      <w:r w:rsidR="00B53FD4" w:rsidRPr="008B52ED">
        <w:t>l building work</w:t>
      </w:r>
      <w:r w:rsidR="00992696" w:rsidRPr="008B52ED">
        <w:t xml:space="preserve"> of th</w:t>
      </w:r>
      <w:r w:rsidR="00D52B97" w:rsidRPr="008B52ED">
        <w:t>e</w:t>
      </w:r>
      <w:r w:rsidR="00992696" w:rsidRPr="008B52ED">
        <w:t xml:space="preserve"> contractor or participant</w:t>
      </w:r>
      <w:r w:rsidR="00B53FD4" w:rsidRPr="008B52ED">
        <w:t xml:space="preserve"> involves</w:t>
      </w:r>
      <w:r w:rsidR="00853FBC" w:rsidRPr="008B52ED">
        <w:t xml:space="preserve"> performing work for the provision of</w:t>
      </w:r>
      <w:r w:rsidR="00B53FD4" w:rsidRPr="008B52ED">
        <w:t xml:space="preserve"> </w:t>
      </w:r>
      <w:r w:rsidR="00132CF7" w:rsidRPr="008B52ED">
        <w:t xml:space="preserve">essential services infrastructure. </w:t>
      </w:r>
    </w:p>
    <w:p w:rsidR="00353466" w:rsidRPr="008B52ED" w:rsidRDefault="00353466" w:rsidP="00353466">
      <w:pPr>
        <w:autoSpaceDE w:val="0"/>
        <w:autoSpaceDN w:val="0"/>
        <w:adjustRightInd w:val="0"/>
        <w:spacing w:after="120"/>
      </w:pPr>
      <w:r w:rsidRPr="008B52ED">
        <w:t xml:space="preserve">Details of the Amendment Instrument are set out in </w:t>
      </w:r>
      <w:r w:rsidRPr="008B52ED">
        <w:rPr>
          <w:u w:val="single"/>
        </w:rPr>
        <w:t>Attachment A.</w:t>
      </w:r>
    </w:p>
    <w:p w:rsidR="00E84506" w:rsidRPr="008B52ED" w:rsidRDefault="00992696" w:rsidP="00353466">
      <w:pPr>
        <w:shd w:val="clear" w:color="auto" w:fill="FFFFFF"/>
        <w:spacing w:before="120" w:after="120"/>
        <w:rPr>
          <w:color w:val="000000"/>
        </w:rPr>
      </w:pPr>
      <w:r w:rsidRPr="008B52ED">
        <w:rPr>
          <w:color w:val="000000"/>
        </w:rPr>
        <w:t>The A</w:t>
      </w:r>
      <w:r w:rsidR="000D4203" w:rsidRPr="008B52ED">
        <w:rPr>
          <w:color w:val="000000"/>
        </w:rPr>
        <w:t xml:space="preserve">ustralian </w:t>
      </w:r>
      <w:r w:rsidRPr="008B52ED">
        <w:rPr>
          <w:color w:val="000000"/>
        </w:rPr>
        <w:t>B</w:t>
      </w:r>
      <w:r w:rsidR="000D4203" w:rsidRPr="008B52ED">
        <w:rPr>
          <w:color w:val="000000"/>
        </w:rPr>
        <w:t xml:space="preserve">uilding and </w:t>
      </w:r>
      <w:r w:rsidRPr="008B52ED">
        <w:rPr>
          <w:color w:val="000000"/>
        </w:rPr>
        <w:t>C</w:t>
      </w:r>
      <w:r w:rsidR="000D4203" w:rsidRPr="008B52ED">
        <w:rPr>
          <w:color w:val="000000"/>
        </w:rPr>
        <w:t>onstruction</w:t>
      </w:r>
      <w:r w:rsidRPr="008B52ED">
        <w:rPr>
          <w:color w:val="000000"/>
        </w:rPr>
        <w:t xml:space="preserve"> Commission was consulted on the </w:t>
      </w:r>
      <w:r w:rsidR="00E84506" w:rsidRPr="008B52ED">
        <w:rPr>
          <w:color w:val="000000"/>
        </w:rPr>
        <w:t>Amendment Instrument.</w:t>
      </w:r>
    </w:p>
    <w:p w:rsidR="00E84506" w:rsidRPr="008B52ED" w:rsidRDefault="00E84506" w:rsidP="00353466">
      <w:pPr>
        <w:shd w:val="clear" w:color="auto" w:fill="FFFFFF"/>
        <w:spacing w:before="120" w:after="120"/>
        <w:rPr>
          <w:color w:val="000000"/>
        </w:rPr>
      </w:pPr>
      <w:r w:rsidRPr="008B52ED">
        <w:rPr>
          <w:color w:val="000000"/>
        </w:rPr>
        <w:t xml:space="preserve">The Office of Best Practice Regulation </w:t>
      </w:r>
      <w:r w:rsidR="00D50194">
        <w:rPr>
          <w:color w:val="000000"/>
        </w:rPr>
        <w:t>(</w:t>
      </w:r>
      <w:proofErr w:type="spellStart"/>
      <w:r w:rsidR="00D50194">
        <w:rPr>
          <w:color w:val="000000"/>
        </w:rPr>
        <w:t>OBPR</w:t>
      </w:r>
      <w:proofErr w:type="spellEnd"/>
      <w:r w:rsidR="00D50194">
        <w:rPr>
          <w:color w:val="000000"/>
        </w:rPr>
        <w:t xml:space="preserve">) </w:t>
      </w:r>
      <w:r w:rsidRPr="008B52ED">
        <w:rPr>
          <w:color w:val="000000"/>
        </w:rPr>
        <w:t>has advised that no Regulation Impact Statement is required as the changes are minor in nature (</w:t>
      </w:r>
      <w:proofErr w:type="spellStart"/>
      <w:r w:rsidRPr="008B52ED">
        <w:rPr>
          <w:color w:val="000000"/>
        </w:rPr>
        <w:t>OBPR</w:t>
      </w:r>
      <w:proofErr w:type="spellEnd"/>
      <w:r w:rsidRPr="008B52ED">
        <w:rPr>
          <w:color w:val="000000"/>
        </w:rPr>
        <w:t xml:space="preserve"> reference number </w:t>
      </w:r>
      <w:r w:rsidR="00DF305B" w:rsidRPr="008B52ED">
        <w:rPr>
          <w:color w:val="000000"/>
        </w:rPr>
        <w:t>22666</w:t>
      </w:r>
      <w:r w:rsidRPr="008B52ED">
        <w:rPr>
          <w:color w:val="000000"/>
        </w:rPr>
        <w:t>).</w:t>
      </w:r>
    </w:p>
    <w:p w:rsidR="00E84506" w:rsidRPr="008B52ED" w:rsidRDefault="00E84506" w:rsidP="00353466">
      <w:pPr>
        <w:shd w:val="clear" w:color="auto" w:fill="FFFFFF"/>
        <w:spacing w:before="120" w:after="120"/>
      </w:pPr>
      <w:r w:rsidRPr="008B52ED">
        <w:t xml:space="preserve">A Statement of Compatibility with Human Rights has been completed for the Amendment Instrument in accordance with the </w:t>
      </w:r>
      <w:r w:rsidRPr="008B52ED">
        <w:rPr>
          <w:i/>
          <w:iCs/>
        </w:rPr>
        <w:t>Human Rights (Parliamentary Scrutiny) Act 2011</w:t>
      </w:r>
      <w:r w:rsidRPr="008B52ED">
        <w:t xml:space="preserve">. The Statement’s assessment is that the Amendment Instrument is compatible with human rights. A copy of the Statement is at </w:t>
      </w:r>
      <w:r w:rsidRPr="008B52ED">
        <w:rPr>
          <w:u w:val="single"/>
        </w:rPr>
        <w:t>Attachment B</w:t>
      </w:r>
      <w:r w:rsidRPr="008B52ED">
        <w:t>.</w:t>
      </w:r>
    </w:p>
    <w:p w:rsidR="00E84506" w:rsidRPr="008B52ED" w:rsidRDefault="00E84506" w:rsidP="00353466">
      <w:pPr>
        <w:shd w:val="clear" w:color="auto" w:fill="FFFFFF"/>
        <w:spacing w:before="120" w:after="120"/>
      </w:pPr>
      <w:r w:rsidRPr="008B52ED">
        <w:t xml:space="preserve">The Amendment Instrument is a legislative instrument for the purposes of the </w:t>
      </w:r>
      <w:r w:rsidRPr="008B52ED">
        <w:rPr>
          <w:i/>
        </w:rPr>
        <w:t>Legislation Act 2003</w:t>
      </w:r>
      <w:r w:rsidRPr="008B52ED">
        <w:t xml:space="preserve">. </w:t>
      </w:r>
    </w:p>
    <w:p w:rsidR="00E84506" w:rsidRPr="008B52ED" w:rsidRDefault="00E84506" w:rsidP="00353466">
      <w:pPr>
        <w:shd w:val="clear" w:color="auto" w:fill="FFFFFF"/>
        <w:spacing w:before="120" w:after="120"/>
      </w:pPr>
      <w:r w:rsidRPr="008B52ED">
        <w:t xml:space="preserve">The Amendment Instrument commences </w:t>
      </w:r>
      <w:r w:rsidR="00D34773" w:rsidRPr="008B52ED">
        <w:t xml:space="preserve">on </w:t>
      </w:r>
      <w:r w:rsidRPr="008B52ED">
        <w:t xml:space="preserve">the day after </w:t>
      </w:r>
      <w:r w:rsidR="000A225D" w:rsidRPr="008B52ED">
        <w:t>it</w:t>
      </w:r>
      <w:r w:rsidRPr="008B52ED">
        <w:t xml:space="preserve"> is registered on the Federal Register of Legislation.</w:t>
      </w:r>
    </w:p>
    <w:p w:rsidR="00E84506" w:rsidRPr="008B52ED" w:rsidRDefault="00E84506" w:rsidP="00353466">
      <w:pPr>
        <w:spacing w:after="120"/>
        <w:sectPr w:rsidR="00E84506" w:rsidRPr="008B52ED" w:rsidSect="00992696">
          <w:pgSz w:w="11906" w:h="16838"/>
          <w:pgMar w:top="1134" w:right="1440" w:bottom="1134" w:left="1440" w:header="708" w:footer="708" w:gutter="0"/>
          <w:cols w:space="720"/>
        </w:sectPr>
      </w:pPr>
    </w:p>
    <w:p w:rsidR="00353466" w:rsidRPr="008B52ED" w:rsidRDefault="00353466" w:rsidP="00353466">
      <w:pPr>
        <w:tabs>
          <w:tab w:val="right" w:pos="4536"/>
        </w:tabs>
        <w:spacing w:after="120"/>
        <w:ind w:left="5760" w:right="91" w:hanging="5760"/>
        <w:jc w:val="right"/>
        <w:rPr>
          <w:b/>
          <w:u w:val="single"/>
        </w:rPr>
      </w:pPr>
      <w:r w:rsidRPr="008B52ED">
        <w:rPr>
          <w:b/>
          <w:u w:val="single"/>
        </w:rPr>
        <w:t>ATTACHMENT A</w:t>
      </w:r>
    </w:p>
    <w:p w:rsidR="00353466" w:rsidRPr="008B52ED" w:rsidRDefault="00353466" w:rsidP="00353466">
      <w:pPr>
        <w:tabs>
          <w:tab w:val="right" w:pos="4536"/>
        </w:tabs>
        <w:spacing w:after="120"/>
        <w:ind w:right="91"/>
        <w:rPr>
          <w:u w:val="single"/>
        </w:rPr>
      </w:pPr>
      <w:r w:rsidRPr="008B52ED">
        <w:rPr>
          <w:u w:val="single"/>
        </w:rPr>
        <w:t>Section 1 – Name</w:t>
      </w:r>
    </w:p>
    <w:p w:rsidR="00353466" w:rsidRPr="008B52ED" w:rsidRDefault="00353466" w:rsidP="00353466">
      <w:pPr>
        <w:pStyle w:val="ListParagraph"/>
        <w:keepLines/>
        <w:numPr>
          <w:ilvl w:val="0"/>
          <w:numId w:val="2"/>
        </w:numPr>
        <w:spacing w:before="0" w:beforeAutospacing="0" w:after="120" w:afterAutospacing="0"/>
        <w:ind w:left="567" w:hanging="567"/>
        <w:contextualSpacing/>
        <w:rPr>
          <w:color w:val="000000"/>
        </w:rPr>
      </w:pPr>
      <w:r w:rsidRPr="008B52ED">
        <w:t>This</w:t>
      </w:r>
      <w:r w:rsidRPr="008B52ED">
        <w:rPr>
          <w:color w:val="000000"/>
        </w:rPr>
        <w:t xml:space="preserve"> section provides that the name of this instrument is the </w:t>
      </w:r>
      <w:r w:rsidRPr="008B52ED">
        <w:rPr>
          <w:i/>
          <w:color w:val="000000"/>
        </w:rPr>
        <w:t xml:space="preserve">Code for the </w:t>
      </w:r>
      <w:r w:rsidR="00A15C82">
        <w:rPr>
          <w:i/>
          <w:color w:val="000000"/>
        </w:rPr>
        <w:t xml:space="preserve">Tendering and Performance </w:t>
      </w:r>
      <w:r w:rsidR="001C2DA5" w:rsidRPr="008B52ED">
        <w:rPr>
          <w:i/>
          <w:color w:val="000000"/>
        </w:rPr>
        <w:t>of Building Work</w:t>
      </w:r>
      <w:r w:rsidR="00982CF9">
        <w:rPr>
          <w:i/>
          <w:color w:val="000000"/>
        </w:rPr>
        <w:t xml:space="preserve"> Amendment</w:t>
      </w:r>
      <w:r w:rsidR="001C2DA5" w:rsidRPr="008B52ED">
        <w:rPr>
          <w:i/>
          <w:color w:val="000000"/>
        </w:rPr>
        <w:t xml:space="preserve"> (</w:t>
      </w:r>
      <w:r w:rsidR="00AE4A5F" w:rsidRPr="008B52ED">
        <w:rPr>
          <w:i/>
          <w:color w:val="000000"/>
        </w:rPr>
        <w:t>Infrastructure</w:t>
      </w:r>
      <w:r w:rsidR="002872AA">
        <w:rPr>
          <w:i/>
          <w:color w:val="000000"/>
        </w:rPr>
        <w:t xml:space="preserve"> </w:t>
      </w:r>
      <w:r w:rsidR="001C2DA5" w:rsidRPr="008B52ED">
        <w:rPr>
          <w:i/>
          <w:color w:val="000000"/>
        </w:rPr>
        <w:t>Exemption</w:t>
      </w:r>
      <w:r w:rsidR="00AE4A5F" w:rsidRPr="008B52ED">
        <w:rPr>
          <w:i/>
          <w:color w:val="000000"/>
        </w:rPr>
        <w:t>s</w:t>
      </w:r>
      <w:r w:rsidRPr="008B52ED">
        <w:rPr>
          <w:i/>
          <w:color w:val="000000"/>
        </w:rPr>
        <w:t>)</w:t>
      </w:r>
      <w:r w:rsidR="005D23EF">
        <w:rPr>
          <w:i/>
          <w:color w:val="000000"/>
        </w:rPr>
        <w:t xml:space="preserve"> </w:t>
      </w:r>
      <w:r w:rsidRPr="008B52ED">
        <w:rPr>
          <w:i/>
          <w:color w:val="000000"/>
        </w:rPr>
        <w:t xml:space="preserve">Instrument 2017 </w:t>
      </w:r>
      <w:r w:rsidRPr="008B52ED">
        <w:rPr>
          <w:color w:val="000000"/>
        </w:rPr>
        <w:t>(the Amendment Instrument).</w:t>
      </w:r>
    </w:p>
    <w:p w:rsidR="00353466" w:rsidRPr="008B52ED" w:rsidRDefault="00353466" w:rsidP="00353466">
      <w:pPr>
        <w:tabs>
          <w:tab w:val="right" w:pos="4536"/>
        </w:tabs>
        <w:spacing w:after="120"/>
        <w:ind w:right="91"/>
        <w:rPr>
          <w:u w:val="single"/>
        </w:rPr>
      </w:pPr>
      <w:r w:rsidRPr="008B52ED">
        <w:rPr>
          <w:u w:val="single"/>
        </w:rPr>
        <w:t>Section 2 – Commencement</w:t>
      </w:r>
    </w:p>
    <w:p w:rsidR="00353466" w:rsidRPr="008B52ED" w:rsidRDefault="00353466" w:rsidP="00353466">
      <w:pPr>
        <w:pStyle w:val="ListParagraph"/>
        <w:keepLines/>
        <w:numPr>
          <w:ilvl w:val="0"/>
          <w:numId w:val="2"/>
        </w:numPr>
        <w:spacing w:before="0" w:beforeAutospacing="0" w:after="120" w:afterAutospacing="0"/>
        <w:ind w:left="567" w:hanging="567"/>
        <w:contextualSpacing/>
        <w:rPr>
          <w:color w:val="000000"/>
        </w:rPr>
      </w:pPr>
      <w:r w:rsidRPr="008B52ED">
        <w:t>This</w:t>
      </w:r>
      <w:r w:rsidRPr="008B52ED">
        <w:rPr>
          <w:color w:val="000000"/>
        </w:rPr>
        <w:t xml:space="preserve"> section provides for the commencement of the Amendment Instrument.</w:t>
      </w:r>
    </w:p>
    <w:p w:rsidR="00353466" w:rsidRPr="008B52ED" w:rsidRDefault="00353466" w:rsidP="00353466">
      <w:pPr>
        <w:tabs>
          <w:tab w:val="right" w:pos="4536"/>
        </w:tabs>
        <w:spacing w:after="120"/>
        <w:ind w:right="91"/>
        <w:rPr>
          <w:u w:val="single"/>
        </w:rPr>
      </w:pPr>
      <w:r w:rsidRPr="008B52ED">
        <w:rPr>
          <w:u w:val="single"/>
        </w:rPr>
        <w:t>Section 3 – Authority</w:t>
      </w:r>
    </w:p>
    <w:p w:rsidR="00353466" w:rsidRPr="008B52ED" w:rsidRDefault="00353466" w:rsidP="00353466">
      <w:pPr>
        <w:pStyle w:val="ListParagraph"/>
        <w:keepLines/>
        <w:numPr>
          <w:ilvl w:val="0"/>
          <w:numId w:val="2"/>
        </w:numPr>
        <w:spacing w:before="0" w:beforeAutospacing="0" w:after="120" w:afterAutospacing="0"/>
        <w:ind w:left="567" w:hanging="567"/>
        <w:contextualSpacing/>
        <w:rPr>
          <w:color w:val="000000"/>
        </w:rPr>
      </w:pPr>
      <w:r w:rsidRPr="008B52ED">
        <w:t>This</w:t>
      </w:r>
      <w:r w:rsidRPr="008B52ED">
        <w:rPr>
          <w:color w:val="000000"/>
        </w:rPr>
        <w:t xml:space="preserve"> section provides that the Amendment Instrument is made under section 34 of the </w:t>
      </w:r>
      <w:r w:rsidRPr="008B52ED">
        <w:rPr>
          <w:i/>
          <w:color w:val="000000"/>
        </w:rPr>
        <w:t>Building and Construction Industry (Improving Productivity) Act 2016</w:t>
      </w:r>
      <w:r w:rsidRPr="008B52ED">
        <w:rPr>
          <w:color w:val="000000"/>
        </w:rPr>
        <w:t>.</w:t>
      </w:r>
    </w:p>
    <w:p w:rsidR="00353466" w:rsidRPr="008B52ED" w:rsidRDefault="00353466" w:rsidP="00353466">
      <w:pPr>
        <w:shd w:val="clear" w:color="auto" w:fill="FFFFFF"/>
        <w:spacing w:after="120"/>
        <w:rPr>
          <w:color w:val="000000"/>
        </w:rPr>
      </w:pPr>
      <w:r w:rsidRPr="008B52ED">
        <w:rPr>
          <w:color w:val="000000"/>
          <w:u w:val="single"/>
        </w:rPr>
        <w:t>Section 4 – Schedules</w:t>
      </w:r>
    </w:p>
    <w:p w:rsidR="00353466" w:rsidRPr="008B52ED" w:rsidRDefault="00353466" w:rsidP="00353466">
      <w:pPr>
        <w:pStyle w:val="ListParagraph"/>
        <w:keepLines/>
        <w:numPr>
          <w:ilvl w:val="0"/>
          <w:numId w:val="2"/>
        </w:numPr>
        <w:spacing w:before="0" w:beforeAutospacing="0" w:after="120" w:afterAutospacing="0"/>
        <w:ind w:left="567" w:hanging="567"/>
        <w:contextualSpacing/>
      </w:pPr>
      <w:r w:rsidRPr="008B52ED">
        <w:t>This</w:t>
      </w:r>
      <w:r w:rsidRPr="008B52ED">
        <w:rPr>
          <w:color w:val="000000"/>
        </w:rPr>
        <w:t xml:space="preserve"> section provides that each instrument that is specified in a Schedule to the Amendment Instrument is amended or repealed as set out in the applicable items in the Schedule concerned, and any other item in a Schedule to th</w:t>
      </w:r>
      <w:r w:rsidR="000474EF">
        <w:rPr>
          <w:color w:val="000000"/>
        </w:rPr>
        <w:t>e Amendment I</w:t>
      </w:r>
      <w:r w:rsidRPr="008B52ED">
        <w:rPr>
          <w:color w:val="000000"/>
        </w:rPr>
        <w:t>nstrument has effect according to its terms.</w:t>
      </w:r>
    </w:p>
    <w:p w:rsidR="00353466" w:rsidRPr="008B52ED" w:rsidRDefault="00353466" w:rsidP="00353466">
      <w:pPr>
        <w:spacing w:after="120" w:line="276" w:lineRule="auto"/>
        <w:rPr>
          <w:b/>
        </w:rPr>
      </w:pPr>
      <w:r w:rsidRPr="008B52ED">
        <w:rPr>
          <w:b/>
        </w:rPr>
        <w:t>Schedule 1 – Amendments</w:t>
      </w:r>
    </w:p>
    <w:p w:rsidR="00353466" w:rsidRPr="008B52ED" w:rsidRDefault="00353466" w:rsidP="00353466">
      <w:pPr>
        <w:spacing w:after="120" w:line="276" w:lineRule="auto"/>
        <w:rPr>
          <w:b/>
          <w:i/>
        </w:rPr>
      </w:pPr>
      <w:r w:rsidRPr="008B52ED">
        <w:rPr>
          <w:b/>
          <w:i/>
        </w:rPr>
        <w:t>Code for the Tendering and Performance of Building Work 2016</w:t>
      </w:r>
    </w:p>
    <w:p w:rsidR="00D73C6E" w:rsidRPr="008B52ED" w:rsidRDefault="00353466" w:rsidP="00353466">
      <w:pPr>
        <w:pStyle w:val="paragraph"/>
        <w:keepNext/>
        <w:spacing w:after="120"/>
        <w:rPr>
          <w:sz w:val="24"/>
          <w:szCs w:val="24"/>
          <w:u w:val="single"/>
        </w:rPr>
      </w:pPr>
      <w:r w:rsidRPr="008B52ED">
        <w:rPr>
          <w:sz w:val="24"/>
          <w:szCs w:val="24"/>
          <w:u w:val="single"/>
        </w:rPr>
        <w:t>Item 1 –</w:t>
      </w:r>
      <w:r w:rsidR="00D73C6E" w:rsidRPr="008B52ED">
        <w:rPr>
          <w:sz w:val="24"/>
          <w:szCs w:val="24"/>
          <w:u w:val="single"/>
        </w:rPr>
        <w:t xml:space="preserve"> Subsection 3(1)</w:t>
      </w:r>
    </w:p>
    <w:p w:rsidR="00D73C6E" w:rsidRPr="008B52ED" w:rsidRDefault="00D34773" w:rsidP="004070C3">
      <w:pPr>
        <w:pStyle w:val="paragraph"/>
        <w:keepNext/>
        <w:numPr>
          <w:ilvl w:val="0"/>
          <w:numId w:val="2"/>
        </w:numPr>
        <w:spacing w:after="120"/>
        <w:ind w:left="567" w:hanging="567"/>
        <w:rPr>
          <w:sz w:val="24"/>
          <w:szCs w:val="24"/>
        </w:rPr>
      </w:pPr>
      <w:r w:rsidRPr="008B52ED">
        <w:rPr>
          <w:sz w:val="24"/>
          <w:szCs w:val="24"/>
        </w:rPr>
        <w:t xml:space="preserve">Item 1 </w:t>
      </w:r>
      <w:r w:rsidR="00D73C6E" w:rsidRPr="008B52ED">
        <w:rPr>
          <w:sz w:val="24"/>
          <w:szCs w:val="24"/>
        </w:rPr>
        <w:t xml:space="preserve">inserts new definitions that are relevant to new section </w:t>
      </w:r>
      <w:proofErr w:type="spellStart"/>
      <w:r w:rsidR="00D73C6E" w:rsidRPr="008B52ED">
        <w:rPr>
          <w:sz w:val="24"/>
          <w:szCs w:val="24"/>
        </w:rPr>
        <w:t>6B</w:t>
      </w:r>
      <w:proofErr w:type="spellEnd"/>
      <w:r w:rsidR="00D73C6E" w:rsidRPr="008B52ED">
        <w:rPr>
          <w:sz w:val="24"/>
          <w:szCs w:val="24"/>
        </w:rPr>
        <w:t>.</w:t>
      </w:r>
    </w:p>
    <w:p w:rsidR="00D73C6E" w:rsidRPr="008B52ED" w:rsidRDefault="00D73C6E" w:rsidP="00D73C6E">
      <w:pPr>
        <w:pStyle w:val="paragraph"/>
        <w:keepNext/>
        <w:spacing w:after="120"/>
        <w:rPr>
          <w:sz w:val="24"/>
          <w:szCs w:val="24"/>
          <w:u w:val="single"/>
        </w:rPr>
      </w:pPr>
      <w:r w:rsidRPr="008B52ED">
        <w:rPr>
          <w:sz w:val="24"/>
          <w:szCs w:val="24"/>
          <w:u w:val="single"/>
        </w:rPr>
        <w:t xml:space="preserve">Item 2 – After section </w:t>
      </w:r>
      <w:proofErr w:type="spellStart"/>
      <w:r w:rsidRPr="008B52ED">
        <w:rPr>
          <w:sz w:val="24"/>
          <w:szCs w:val="24"/>
          <w:u w:val="single"/>
        </w:rPr>
        <w:t>6A</w:t>
      </w:r>
      <w:proofErr w:type="spellEnd"/>
    </w:p>
    <w:p w:rsidR="006D36A9" w:rsidRPr="008B52ED" w:rsidRDefault="00FB4582" w:rsidP="00C64D3C">
      <w:pPr>
        <w:pStyle w:val="ListParagraph"/>
        <w:keepLines/>
        <w:numPr>
          <w:ilvl w:val="0"/>
          <w:numId w:val="2"/>
        </w:numPr>
        <w:spacing w:before="0" w:beforeAutospacing="0" w:after="120" w:afterAutospacing="0"/>
        <w:ind w:left="567" w:hanging="567"/>
      </w:pPr>
      <w:r w:rsidRPr="008B52ED">
        <w:t xml:space="preserve">Item 2 inserts new </w:t>
      </w:r>
      <w:r w:rsidR="007C2F5F" w:rsidRPr="008B52ED">
        <w:t xml:space="preserve">section </w:t>
      </w:r>
      <w:proofErr w:type="spellStart"/>
      <w:r w:rsidR="007C2F5F" w:rsidRPr="008B52ED">
        <w:t>6B</w:t>
      </w:r>
      <w:proofErr w:type="spellEnd"/>
      <w:r w:rsidR="00D52B97" w:rsidRPr="008B52ED">
        <w:t xml:space="preserve">, </w:t>
      </w:r>
      <w:r w:rsidR="00DF2081" w:rsidRPr="008B52ED">
        <w:t xml:space="preserve">which </w:t>
      </w:r>
      <w:r w:rsidR="00907895" w:rsidRPr="008B52ED">
        <w:t xml:space="preserve">requires the Australian Building and Construction Commissioner (the ABC Commissioner) to </w:t>
      </w:r>
      <w:r w:rsidR="007C2F5F" w:rsidRPr="008B52ED">
        <w:t>exempt</w:t>
      </w:r>
      <w:r w:rsidR="00D52B97" w:rsidRPr="008B52ED">
        <w:t xml:space="preserve"> </w:t>
      </w:r>
      <w:r w:rsidR="00DF2081" w:rsidRPr="008B52ED">
        <w:t xml:space="preserve">certain </w:t>
      </w:r>
      <w:r w:rsidR="00D22EE4">
        <w:t xml:space="preserve">building contractors or building industry participants involved in </w:t>
      </w:r>
      <w:r w:rsidR="00D52B97" w:rsidRPr="008B52ED">
        <w:t xml:space="preserve">essential services </w:t>
      </w:r>
      <w:r w:rsidR="00D22EE4">
        <w:t>provision</w:t>
      </w:r>
      <w:r w:rsidR="00D22EE4" w:rsidRPr="008B52ED">
        <w:t xml:space="preserve"> </w:t>
      </w:r>
      <w:r w:rsidR="00907895" w:rsidRPr="008B52ED">
        <w:t xml:space="preserve">from the </w:t>
      </w:r>
      <w:r w:rsidR="00907895" w:rsidRPr="008B52ED">
        <w:rPr>
          <w:i/>
        </w:rPr>
        <w:t>Code for the Tendering and Performance of Building Work 2016</w:t>
      </w:r>
      <w:r w:rsidR="00907895" w:rsidRPr="008B52ED">
        <w:t xml:space="preserve"> (the 2016 Code)</w:t>
      </w:r>
      <w:r w:rsidR="00D50194">
        <w:t>.</w:t>
      </w:r>
      <w:r w:rsidR="00D52B97" w:rsidRPr="008B52ED">
        <w:t xml:space="preserve"> This exemption is referred to as an infrastructure exemption.</w:t>
      </w:r>
    </w:p>
    <w:p w:rsidR="00DF2081" w:rsidRPr="008B52ED" w:rsidRDefault="00FB4582" w:rsidP="006D36A9">
      <w:pPr>
        <w:pStyle w:val="ListParagraph"/>
        <w:keepLines/>
        <w:numPr>
          <w:ilvl w:val="0"/>
          <w:numId w:val="2"/>
        </w:numPr>
        <w:spacing w:before="0" w:beforeAutospacing="0" w:after="120" w:afterAutospacing="0"/>
        <w:ind w:left="567" w:hanging="567"/>
      </w:pPr>
      <w:r w:rsidRPr="008B52ED">
        <w:t xml:space="preserve">Subsection </w:t>
      </w:r>
      <w:proofErr w:type="spellStart"/>
      <w:proofErr w:type="gramStart"/>
      <w:r w:rsidRPr="008B52ED">
        <w:t>6B</w:t>
      </w:r>
      <w:proofErr w:type="spellEnd"/>
      <w:r w:rsidRPr="008B52ED">
        <w:t>(</w:t>
      </w:r>
      <w:proofErr w:type="gramEnd"/>
      <w:r w:rsidRPr="008B52ED">
        <w:t xml:space="preserve">1) </w:t>
      </w:r>
      <w:r w:rsidR="00D73C6E" w:rsidRPr="008B52ED">
        <w:t>enables a building contractor or building industry participant</w:t>
      </w:r>
      <w:r w:rsidR="007C2F5F" w:rsidRPr="008B52ED">
        <w:t xml:space="preserve"> to apply</w:t>
      </w:r>
      <w:r w:rsidR="00992696" w:rsidRPr="008B52ED">
        <w:t xml:space="preserve"> to the ABC Commissioner</w:t>
      </w:r>
      <w:r w:rsidR="007C2F5F" w:rsidRPr="008B52ED">
        <w:t xml:space="preserve"> for an infrastructure exemption</w:t>
      </w:r>
      <w:r w:rsidR="00D73C6E" w:rsidRPr="008B52ED">
        <w:t xml:space="preserve">. </w:t>
      </w:r>
    </w:p>
    <w:p w:rsidR="00D73C6E" w:rsidRPr="008B52ED" w:rsidRDefault="00D73C6E" w:rsidP="006D36A9">
      <w:pPr>
        <w:pStyle w:val="ListParagraph"/>
        <w:keepLines/>
        <w:numPr>
          <w:ilvl w:val="0"/>
          <w:numId w:val="2"/>
        </w:numPr>
        <w:spacing w:before="0" w:beforeAutospacing="0" w:after="120" w:afterAutospacing="0"/>
        <w:ind w:left="567" w:hanging="567"/>
      </w:pPr>
      <w:r w:rsidRPr="008B52ED">
        <w:t xml:space="preserve">Subsection </w:t>
      </w:r>
      <w:proofErr w:type="spellStart"/>
      <w:r w:rsidRPr="008B52ED">
        <w:t>6B</w:t>
      </w:r>
      <w:proofErr w:type="spellEnd"/>
      <w:r w:rsidRPr="008B52ED">
        <w:t>(2) requires the A</w:t>
      </w:r>
      <w:r w:rsidR="007C2F5F" w:rsidRPr="008B52ED">
        <w:t xml:space="preserve">BC </w:t>
      </w:r>
      <w:r w:rsidRPr="008B52ED">
        <w:t>Commissioner to grant an</w:t>
      </w:r>
      <w:r w:rsidR="00FE4172" w:rsidRPr="008B52ED">
        <w:t xml:space="preserve"> infrastructure</w:t>
      </w:r>
      <w:r w:rsidRPr="008B52ED">
        <w:t xml:space="preserve"> exemption if the Commissioner is satisfied that</w:t>
      </w:r>
      <w:r w:rsidR="00FE4172" w:rsidRPr="008B52ED">
        <w:t>:</w:t>
      </w:r>
      <w:r w:rsidRPr="008B52ED">
        <w:t xml:space="preserve"> </w:t>
      </w:r>
    </w:p>
    <w:p w:rsidR="00D73C6E" w:rsidRPr="008B52ED" w:rsidRDefault="00D73C6E" w:rsidP="006D36A9">
      <w:pPr>
        <w:pStyle w:val="ListParagraph"/>
        <w:numPr>
          <w:ilvl w:val="1"/>
          <w:numId w:val="2"/>
        </w:numPr>
        <w:autoSpaceDE w:val="0"/>
        <w:autoSpaceDN w:val="0"/>
        <w:adjustRightInd w:val="0"/>
        <w:spacing w:after="120" w:afterAutospacing="0"/>
      </w:pPr>
      <w:r w:rsidRPr="008B52ED">
        <w:t>the principal business of the building contractor or building industry participant involves</w:t>
      </w:r>
      <w:r w:rsidR="006134B5" w:rsidRPr="008B52ED">
        <w:t xml:space="preserve"> performing work for the prov</w:t>
      </w:r>
      <w:r w:rsidRPr="008B52ED">
        <w:t>ision of essential services related to supply of electricity, natural gas, water, waste water, or telecommunications; and</w:t>
      </w:r>
    </w:p>
    <w:p w:rsidR="00D73C6E" w:rsidRPr="008B52ED" w:rsidRDefault="00D73C6E" w:rsidP="006D36A9">
      <w:pPr>
        <w:pStyle w:val="ListParagraph"/>
        <w:numPr>
          <w:ilvl w:val="1"/>
          <w:numId w:val="2"/>
        </w:numPr>
        <w:autoSpaceDE w:val="0"/>
        <w:autoSpaceDN w:val="0"/>
        <w:adjustRightInd w:val="0"/>
        <w:spacing w:after="120" w:afterAutospacing="0"/>
      </w:pPr>
      <w:proofErr w:type="gramStart"/>
      <w:r w:rsidRPr="008B52ED">
        <w:t>the</w:t>
      </w:r>
      <w:proofErr w:type="gramEnd"/>
      <w:r w:rsidRPr="008B52ED">
        <w:t xml:space="preserve"> principal building work of the building contractor or building industry participant involves </w:t>
      </w:r>
      <w:r w:rsidR="006134B5" w:rsidRPr="008B52ED">
        <w:t xml:space="preserve">performing work for </w:t>
      </w:r>
      <w:r w:rsidRPr="008B52ED">
        <w:t>the provision of essential services infrastructure.</w:t>
      </w:r>
    </w:p>
    <w:p w:rsidR="00FB4582" w:rsidRPr="008B52ED" w:rsidRDefault="00FB4582" w:rsidP="006D36A9">
      <w:pPr>
        <w:pStyle w:val="ListParagraph"/>
        <w:keepLines/>
        <w:numPr>
          <w:ilvl w:val="0"/>
          <w:numId w:val="2"/>
        </w:numPr>
        <w:spacing w:before="0" w:beforeAutospacing="0" w:after="120" w:afterAutospacing="0"/>
        <w:ind w:left="567" w:hanging="567"/>
      </w:pPr>
      <w:r w:rsidRPr="008B52ED">
        <w:t xml:space="preserve">Subsection </w:t>
      </w:r>
      <w:proofErr w:type="spellStart"/>
      <w:r w:rsidRPr="008B52ED">
        <w:t>6B</w:t>
      </w:r>
      <w:proofErr w:type="spellEnd"/>
      <w:r w:rsidRPr="008B52ED">
        <w:t xml:space="preserve">(5) defines essential services infrastructure to mean systems or networks to which consumers can connect for supply of electricity, natural gas, water, waste water, or telecommunications. Those systems </w:t>
      </w:r>
      <w:r w:rsidR="00992696" w:rsidRPr="008B52ED">
        <w:t>or</w:t>
      </w:r>
      <w:r w:rsidRPr="008B52ED">
        <w:t xml:space="preserve"> networks must </w:t>
      </w:r>
      <w:r w:rsidR="00FE4172" w:rsidRPr="008B52ED">
        <w:t xml:space="preserve">also be </w:t>
      </w:r>
      <w:r w:rsidRPr="008B52ED">
        <w:t>important for the life, the personal safety or health, or the welfare</w:t>
      </w:r>
      <w:r w:rsidR="00D34773" w:rsidRPr="008B52ED">
        <w:t>,</w:t>
      </w:r>
      <w:r w:rsidRPr="008B52ED">
        <w:t xml:space="preserve"> of the population or a significant part of it</w:t>
      </w:r>
      <w:r w:rsidR="00907895" w:rsidRPr="008B52ED">
        <w:t>,</w:t>
      </w:r>
      <w:r w:rsidRPr="008B52ED">
        <w:t xml:space="preserve"> or make a significant contribution to the Australian economy or an important part of it.</w:t>
      </w:r>
    </w:p>
    <w:p w:rsidR="00D73C6E" w:rsidRPr="008B52ED" w:rsidRDefault="00853FBC" w:rsidP="006D36A9">
      <w:pPr>
        <w:pStyle w:val="ListParagraph"/>
        <w:keepLines/>
        <w:numPr>
          <w:ilvl w:val="0"/>
          <w:numId w:val="2"/>
        </w:numPr>
        <w:spacing w:before="0" w:beforeAutospacing="0" w:after="120" w:afterAutospacing="0"/>
        <w:ind w:left="567" w:hanging="567"/>
      </w:pPr>
      <w:r w:rsidRPr="008B52ED">
        <w:t xml:space="preserve">An </w:t>
      </w:r>
      <w:r w:rsidR="00FE4172" w:rsidRPr="008B52ED">
        <w:t xml:space="preserve">infrastructure </w:t>
      </w:r>
      <w:r w:rsidR="00D73C6E" w:rsidRPr="008B52ED">
        <w:t>exemption must be issued in writ</w:t>
      </w:r>
      <w:r w:rsidR="00FB4582" w:rsidRPr="008B52ED">
        <w:t>ing</w:t>
      </w:r>
      <w:r w:rsidR="00D34773" w:rsidRPr="008B52ED">
        <w:t xml:space="preserve"> and</w:t>
      </w:r>
      <w:r w:rsidR="00FB4582" w:rsidRPr="008B52ED">
        <w:t xml:space="preserve"> appl</w:t>
      </w:r>
      <w:r w:rsidR="00D34773" w:rsidRPr="008B52ED">
        <w:t>ies</w:t>
      </w:r>
      <w:r w:rsidR="00FB4582" w:rsidRPr="008B52ED">
        <w:t xml:space="preserve"> for</w:t>
      </w:r>
      <w:r w:rsidRPr="008B52ED">
        <w:t xml:space="preserve"> the period </w:t>
      </w:r>
      <w:r w:rsidR="00FB4582" w:rsidRPr="008B52ED">
        <w:t>specified in the exemption or</w:t>
      </w:r>
      <w:r w:rsidR="00D34773" w:rsidRPr="008B52ED">
        <w:t>,</w:t>
      </w:r>
      <w:r w:rsidR="00FB4582" w:rsidRPr="008B52ED">
        <w:t xml:space="preserve"> if no period is s</w:t>
      </w:r>
      <w:r w:rsidRPr="008B52ED">
        <w:t>pecified</w:t>
      </w:r>
      <w:r w:rsidR="00FB4582" w:rsidRPr="008B52ED">
        <w:t xml:space="preserve">, until the exemption is revoked (subsection </w:t>
      </w:r>
      <w:proofErr w:type="spellStart"/>
      <w:proofErr w:type="gramStart"/>
      <w:r w:rsidR="00FB4582" w:rsidRPr="008B52ED">
        <w:t>6B</w:t>
      </w:r>
      <w:proofErr w:type="spellEnd"/>
      <w:r w:rsidR="00FB4582" w:rsidRPr="008B52ED">
        <w:t>(</w:t>
      </w:r>
      <w:proofErr w:type="gramEnd"/>
      <w:r w:rsidR="00FB4582" w:rsidRPr="008B52ED">
        <w:t>3)).</w:t>
      </w:r>
    </w:p>
    <w:p w:rsidR="00853FBC" w:rsidRPr="008B52ED" w:rsidRDefault="00FB4582" w:rsidP="00C64D3C">
      <w:pPr>
        <w:pStyle w:val="ListParagraph"/>
        <w:keepLines/>
        <w:numPr>
          <w:ilvl w:val="0"/>
          <w:numId w:val="2"/>
        </w:numPr>
        <w:spacing w:before="0" w:beforeAutospacing="0" w:after="120" w:afterAutospacing="0"/>
        <w:ind w:left="567" w:hanging="567"/>
      </w:pPr>
      <w:r w:rsidRPr="008B52ED">
        <w:t xml:space="preserve">The ABC Commissioner </w:t>
      </w:r>
      <w:r w:rsidR="00853FBC" w:rsidRPr="008B52ED">
        <w:t xml:space="preserve">must </w:t>
      </w:r>
      <w:r w:rsidRPr="008B52ED">
        <w:t>revoke an infrastructure exemption</w:t>
      </w:r>
      <w:r w:rsidR="00882F0F">
        <w:t xml:space="preserve"> (including an exemption issued for a specified period)</w:t>
      </w:r>
      <w:r w:rsidRPr="008B52ED">
        <w:t xml:space="preserve"> if the Commissioner is satisfied that</w:t>
      </w:r>
      <w:r w:rsidR="00853FBC" w:rsidRPr="008B52ED">
        <w:t xml:space="preserve"> paragraph</w:t>
      </w:r>
      <w:r w:rsidR="00D50194">
        <w:t> </w:t>
      </w:r>
      <w:proofErr w:type="spellStart"/>
      <w:proofErr w:type="gramStart"/>
      <w:r w:rsidR="00992696" w:rsidRPr="008B52ED">
        <w:t>6B</w:t>
      </w:r>
      <w:proofErr w:type="spellEnd"/>
      <w:r w:rsidR="00992696" w:rsidRPr="008B52ED">
        <w:t>(</w:t>
      </w:r>
      <w:proofErr w:type="gramEnd"/>
      <w:r w:rsidR="00853FBC" w:rsidRPr="008B52ED">
        <w:t>2</w:t>
      </w:r>
      <w:r w:rsidR="00992696" w:rsidRPr="008B52ED">
        <w:t>)</w:t>
      </w:r>
      <w:r w:rsidR="00853FBC" w:rsidRPr="008B52ED">
        <w:t xml:space="preserve">(a) or (b) no longer applies in relation to </w:t>
      </w:r>
      <w:r w:rsidR="00907895" w:rsidRPr="008B52ED">
        <w:t>the</w:t>
      </w:r>
      <w:r w:rsidR="00853FBC" w:rsidRPr="008B52ED">
        <w:t xml:space="preserve"> building contractor or building industry participant (subsection </w:t>
      </w:r>
      <w:proofErr w:type="spellStart"/>
      <w:r w:rsidR="00853FBC" w:rsidRPr="008B52ED">
        <w:t>6B</w:t>
      </w:r>
      <w:proofErr w:type="spellEnd"/>
      <w:r w:rsidR="00853FBC" w:rsidRPr="008B52ED">
        <w:t xml:space="preserve">(4)). </w:t>
      </w:r>
    </w:p>
    <w:p w:rsidR="00FB4582" w:rsidRPr="008B52ED" w:rsidRDefault="00FB4582" w:rsidP="00C64D3C">
      <w:pPr>
        <w:pStyle w:val="ListParagraph"/>
        <w:keepLines/>
        <w:numPr>
          <w:ilvl w:val="0"/>
          <w:numId w:val="2"/>
        </w:numPr>
        <w:spacing w:before="0" w:beforeAutospacing="0" w:after="120" w:afterAutospacing="0"/>
        <w:ind w:left="567" w:hanging="567"/>
      </w:pPr>
      <w:r w:rsidRPr="008B52ED">
        <w:t xml:space="preserve">The revocation of an </w:t>
      </w:r>
      <w:r w:rsidR="00853FBC" w:rsidRPr="008B52ED">
        <w:t xml:space="preserve">infrastructure </w:t>
      </w:r>
      <w:r w:rsidRPr="008B52ED">
        <w:t xml:space="preserve">exemption under subsection </w:t>
      </w:r>
      <w:proofErr w:type="spellStart"/>
      <w:proofErr w:type="gramStart"/>
      <w:r w:rsidRPr="008B52ED">
        <w:t>6B</w:t>
      </w:r>
      <w:proofErr w:type="spellEnd"/>
      <w:r w:rsidRPr="008B52ED">
        <w:t>(</w:t>
      </w:r>
      <w:proofErr w:type="gramEnd"/>
      <w:r w:rsidRPr="008B52ED">
        <w:t xml:space="preserve">4) does not prevent a building contractor or building industry participant from applying for an exemption under section </w:t>
      </w:r>
      <w:proofErr w:type="spellStart"/>
      <w:r w:rsidRPr="008B52ED">
        <w:t>6A</w:t>
      </w:r>
      <w:proofErr w:type="spellEnd"/>
      <w:r w:rsidRPr="008B52ED">
        <w:t xml:space="preserve"> of the 2016 Code.</w:t>
      </w:r>
    </w:p>
    <w:p w:rsidR="00CD2A35" w:rsidRPr="008B52ED" w:rsidRDefault="00FB4582" w:rsidP="006D36A9">
      <w:pPr>
        <w:pStyle w:val="ListParagraph"/>
        <w:keepLines/>
        <w:numPr>
          <w:ilvl w:val="0"/>
          <w:numId w:val="2"/>
        </w:numPr>
        <w:spacing w:before="0" w:beforeAutospacing="0" w:after="120" w:afterAutospacing="0"/>
        <w:ind w:left="567" w:hanging="567"/>
      </w:pPr>
      <w:r w:rsidRPr="008B52ED">
        <w:t xml:space="preserve">Subsections </w:t>
      </w:r>
      <w:proofErr w:type="spellStart"/>
      <w:proofErr w:type="gramStart"/>
      <w:r w:rsidRPr="008B52ED">
        <w:t>6B</w:t>
      </w:r>
      <w:proofErr w:type="spellEnd"/>
      <w:r w:rsidRPr="008B52ED">
        <w:t>(</w:t>
      </w:r>
      <w:proofErr w:type="gramEnd"/>
      <w:r w:rsidRPr="008B52ED">
        <w:t xml:space="preserve">6) and (7) </w:t>
      </w:r>
      <w:r w:rsidR="00907895" w:rsidRPr="008B52ED">
        <w:t xml:space="preserve">explain </w:t>
      </w:r>
      <w:r w:rsidRPr="008B52ED">
        <w:t xml:space="preserve">the effect of an infrastructure exemption. </w:t>
      </w:r>
    </w:p>
    <w:p w:rsidR="00FB4582" w:rsidRPr="008B52ED" w:rsidRDefault="00FB4582" w:rsidP="006D36A9">
      <w:pPr>
        <w:pStyle w:val="ListParagraph"/>
        <w:keepLines/>
        <w:numPr>
          <w:ilvl w:val="0"/>
          <w:numId w:val="2"/>
        </w:numPr>
        <w:spacing w:before="0" w:beforeAutospacing="0" w:after="120" w:afterAutospacing="0"/>
        <w:ind w:left="567" w:hanging="567"/>
      </w:pPr>
      <w:r w:rsidRPr="008B52ED">
        <w:t>If the building contractor or building industry participant is</w:t>
      </w:r>
      <w:r w:rsidR="0020312F" w:rsidRPr="008B52ED">
        <w:t xml:space="preserve"> </w:t>
      </w:r>
      <w:r w:rsidR="00CD2A35" w:rsidRPr="008B52ED">
        <w:t xml:space="preserve">already </w:t>
      </w:r>
      <w:r w:rsidR="0020312F" w:rsidRPr="008B52ED">
        <w:t>a code covered entity</w:t>
      </w:r>
      <w:r w:rsidR="00CD2A35" w:rsidRPr="008B52ED">
        <w:t>,</w:t>
      </w:r>
      <w:r w:rsidR="0020312F" w:rsidRPr="008B52ED">
        <w:t xml:space="preserve"> the effect of an infrastructure exemption is that the entity is deemed to not be a code covered entity while the exemption applies</w:t>
      </w:r>
      <w:r w:rsidR="007C2F5F" w:rsidRPr="008B52ED">
        <w:t xml:space="preserve"> (subsection </w:t>
      </w:r>
      <w:proofErr w:type="spellStart"/>
      <w:r w:rsidR="007C2F5F" w:rsidRPr="008B52ED">
        <w:t>6B</w:t>
      </w:r>
      <w:proofErr w:type="spellEnd"/>
      <w:r w:rsidR="007C2F5F" w:rsidRPr="008B52ED">
        <w:t>(6))</w:t>
      </w:r>
      <w:r w:rsidRPr="008B52ED">
        <w:t>.</w:t>
      </w:r>
    </w:p>
    <w:p w:rsidR="00FB4582" w:rsidRPr="008B52ED" w:rsidRDefault="00FB4582" w:rsidP="006D36A9">
      <w:pPr>
        <w:pStyle w:val="ListParagraph"/>
        <w:keepLines/>
        <w:numPr>
          <w:ilvl w:val="0"/>
          <w:numId w:val="2"/>
        </w:numPr>
        <w:spacing w:before="0" w:beforeAutospacing="0" w:after="120" w:afterAutospacing="0"/>
        <w:ind w:left="567" w:hanging="567"/>
        <w:rPr>
          <w:sz w:val="22"/>
          <w:szCs w:val="20"/>
        </w:rPr>
      </w:pPr>
      <w:r w:rsidRPr="008B52ED">
        <w:t>If a building contractor or building industry participant is not a code covered entity</w:t>
      </w:r>
      <w:r w:rsidR="00CD2A35" w:rsidRPr="008B52ED">
        <w:t>,</w:t>
      </w:r>
      <w:r w:rsidRPr="008B52ED">
        <w:t xml:space="preserve"> the effect of an infrastructure exemption is that section 6 does not apply while the infrastructure exemption applies</w:t>
      </w:r>
      <w:r w:rsidR="00CD2A35" w:rsidRPr="008B52ED">
        <w:t xml:space="preserve"> (subsection </w:t>
      </w:r>
      <w:proofErr w:type="spellStart"/>
      <w:proofErr w:type="gramStart"/>
      <w:r w:rsidR="00CD2A35" w:rsidRPr="008B52ED">
        <w:t>6B</w:t>
      </w:r>
      <w:proofErr w:type="spellEnd"/>
      <w:r w:rsidR="00CD2A35" w:rsidRPr="008B52ED">
        <w:t>(</w:t>
      </w:r>
      <w:proofErr w:type="gramEnd"/>
      <w:r w:rsidR="00CD2A35" w:rsidRPr="008B52ED">
        <w:t>7))</w:t>
      </w:r>
      <w:r w:rsidRPr="008B52ED">
        <w:t>.</w:t>
      </w:r>
      <w:r w:rsidR="0020312F" w:rsidRPr="008B52ED">
        <w:t xml:space="preserve"> This mean</w:t>
      </w:r>
      <w:r w:rsidR="00907895" w:rsidRPr="008B52ED">
        <w:t>s</w:t>
      </w:r>
      <w:r w:rsidR="0020312F" w:rsidRPr="008B52ED">
        <w:t xml:space="preserve"> that the </w:t>
      </w:r>
      <w:r w:rsidR="00CD2A35" w:rsidRPr="008B52ED">
        <w:t xml:space="preserve">building contractor or building industry participant </w:t>
      </w:r>
      <w:r w:rsidR="0020312F" w:rsidRPr="008B52ED">
        <w:t>will not become a code covered entity as a result of submitt</w:t>
      </w:r>
      <w:r w:rsidR="00870E70" w:rsidRPr="008B52ED">
        <w:t>ing</w:t>
      </w:r>
      <w:r w:rsidR="0020312F" w:rsidRPr="008B52ED">
        <w:t xml:space="preserve"> an expression of interest or tender (how</w:t>
      </w:r>
      <w:r w:rsidR="00907895" w:rsidRPr="008B52ED">
        <w:t>so</w:t>
      </w:r>
      <w:r w:rsidR="0020312F" w:rsidRPr="008B52ED">
        <w:t xml:space="preserve">ever described) for </w:t>
      </w:r>
      <w:r w:rsidR="00CD2A35" w:rsidRPr="008B52ED">
        <w:t xml:space="preserve">Commonwealth funded </w:t>
      </w:r>
      <w:r w:rsidR="0020312F" w:rsidRPr="008B52ED">
        <w:t>building work</w:t>
      </w:r>
      <w:r w:rsidR="00CD2A35" w:rsidRPr="008B52ED">
        <w:t xml:space="preserve"> while the infrastructure exemption applies</w:t>
      </w:r>
      <w:r w:rsidR="0020312F" w:rsidRPr="008B52ED">
        <w:t xml:space="preserve">. </w:t>
      </w:r>
    </w:p>
    <w:p w:rsidR="004070C3" w:rsidRPr="008B52ED" w:rsidRDefault="004070C3" w:rsidP="00D73C6E">
      <w:pPr>
        <w:pStyle w:val="paragraph"/>
        <w:keepNext/>
        <w:spacing w:after="120"/>
        <w:rPr>
          <w:sz w:val="24"/>
          <w:szCs w:val="24"/>
        </w:rPr>
      </w:pPr>
    </w:p>
    <w:p w:rsidR="00C032D8" w:rsidRPr="008B52ED" w:rsidRDefault="00C032D8" w:rsidP="00353466">
      <w:pPr>
        <w:spacing w:after="120"/>
        <w:sectPr w:rsidR="00C032D8" w:rsidRPr="008B52ED">
          <w:pgSz w:w="11906" w:h="16838"/>
          <w:pgMar w:top="1440" w:right="1440" w:bottom="1440" w:left="1440" w:header="708" w:footer="708" w:gutter="0"/>
          <w:cols w:space="708"/>
          <w:docGrid w:linePitch="360"/>
        </w:sectPr>
      </w:pPr>
    </w:p>
    <w:p w:rsidR="00C032D8" w:rsidRPr="008B52ED" w:rsidRDefault="00C032D8" w:rsidP="00C032D8">
      <w:pPr>
        <w:tabs>
          <w:tab w:val="right" w:pos="4536"/>
        </w:tabs>
        <w:spacing w:after="120"/>
        <w:ind w:left="5760" w:right="91" w:hanging="5760"/>
        <w:jc w:val="right"/>
        <w:rPr>
          <w:b/>
        </w:rPr>
      </w:pPr>
      <w:r w:rsidRPr="008B52ED">
        <w:rPr>
          <w:b/>
          <w:u w:val="single"/>
        </w:rPr>
        <w:t>ATTACHMENT B</w:t>
      </w:r>
    </w:p>
    <w:p w:rsidR="00C032D8" w:rsidRPr="008B52ED" w:rsidRDefault="00C032D8" w:rsidP="00C032D8">
      <w:pPr>
        <w:pStyle w:val="OverviewNotesheading"/>
        <w:spacing w:after="120" w:line="240" w:lineRule="auto"/>
        <w:jc w:val="center"/>
        <w:rPr>
          <w:rFonts w:ascii="Times New Roman" w:hAnsi="Times New Roman"/>
          <w:sz w:val="24"/>
          <w:szCs w:val="24"/>
          <w:u w:val="none"/>
        </w:rPr>
      </w:pPr>
    </w:p>
    <w:p w:rsidR="00C032D8" w:rsidRPr="008B52ED" w:rsidRDefault="00C032D8" w:rsidP="00C032D8">
      <w:pPr>
        <w:pStyle w:val="OverviewNotesheading"/>
        <w:spacing w:after="240" w:line="240" w:lineRule="auto"/>
        <w:jc w:val="center"/>
        <w:rPr>
          <w:rFonts w:ascii="Times New Roman" w:hAnsi="Times New Roman"/>
          <w:sz w:val="24"/>
          <w:szCs w:val="24"/>
          <w:u w:val="none"/>
        </w:rPr>
      </w:pPr>
      <w:r w:rsidRPr="008B52ED">
        <w:rPr>
          <w:rFonts w:ascii="Times New Roman" w:hAnsi="Times New Roman"/>
          <w:sz w:val="24"/>
          <w:szCs w:val="24"/>
          <w:u w:val="none"/>
        </w:rPr>
        <w:t>Statement of Compatibility with Human Rights</w:t>
      </w:r>
    </w:p>
    <w:p w:rsidR="00C032D8" w:rsidRPr="008B52ED" w:rsidRDefault="00C032D8" w:rsidP="00C032D8">
      <w:pPr>
        <w:spacing w:after="240"/>
        <w:rPr>
          <w:i/>
        </w:rPr>
      </w:pPr>
      <w:r w:rsidRPr="008B52ED">
        <w:rPr>
          <w:i/>
        </w:rPr>
        <w:t>Prepared in accordance with Part 3 of the Human Rights (Parliamentary Scrutiny) Act 2011</w:t>
      </w:r>
    </w:p>
    <w:p w:rsidR="001C2DA5" w:rsidRPr="008B52ED" w:rsidRDefault="001C2DA5" w:rsidP="00C032D8">
      <w:pPr>
        <w:spacing w:after="120"/>
        <w:rPr>
          <w:b/>
          <w:i/>
        </w:rPr>
      </w:pPr>
      <w:r w:rsidRPr="008B52ED">
        <w:rPr>
          <w:b/>
          <w:i/>
        </w:rPr>
        <w:t xml:space="preserve">Code for the Tendering and Performance of Building Work </w:t>
      </w:r>
      <w:r w:rsidR="00982CF9">
        <w:rPr>
          <w:b/>
          <w:i/>
        </w:rPr>
        <w:t xml:space="preserve">Amendment </w:t>
      </w:r>
      <w:r w:rsidRPr="008B52ED">
        <w:rPr>
          <w:b/>
          <w:i/>
        </w:rPr>
        <w:t>(</w:t>
      </w:r>
      <w:r w:rsidR="008B52ED">
        <w:rPr>
          <w:b/>
          <w:i/>
        </w:rPr>
        <w:t xml:space="preserve">Infrastructure </w:t>
      </w:r>
      <w:r w:rsidRPr="008B52ED">
        <w:rPr>
          <w:b/>
          <w:i/>
        </w:rPr>
        <w:t>Exemption</w:t>
      </w:r>
      <w:r w:rsidR="008B52ED">
        <w:rPr>
          <w:b/>
          <w:i/>
        </w:rPr>
        <w:t>s</w:t>
      </w:r>
      <w:r w:rsidRPr="008B52ED">
        <w:rPr>
          <w:b/>
          <w:i/>
        </w:rPr>
        <w:t>)</w:t>
      </w:r>
      <w:r w:rsidR="005D23EF">
        <w:rPr>
          <w:b/>
          <w:i/>
        </w:rPr>
        <w:t xml:space="preserve"> </w:t>
      </w:r>
      <w:r w:rsidRPr="008B52ED">
        <w:rPr>
          <w:b/>
          <w:i/>
        </w:rPr>
        <w:t xml:space="preserve">Instrument 2017 </w:t>
      </w:r>
    </w:p>
    <w:p w:rsidR="00C032D8" w:rsidRPr="008B52ED" w:rsidRDefault="00C032D8" w:rsidP="00C032D8">
      <w:pPr>
        <w:spacing w:after="120"/>
        <w:rPr>
          <w:rFonts w:eastAsiaTheme="minorHAnsi"/>
          <w:lang w:eastAsia="en-US"/>
        </w:rPr>
      </w:pPr>
      <w:r w:rsidRPr="008B52ED">
        <w:rPr>
          <w:rFonts w:eastAsiaTheme="minorHAnsi"/>
          <w:lang w:eastAsia="en-US"/>
        </w:rPr>
        <w:t xml:space="preserve">The </w:t>
      </w:r>
      <w:r w:rsidR="001C2DA5" w:rsidRPr="008B52ED">
        <w:rPr>
          <w:i/>
        </w:rPr>
        <w:t xml:space="preserve">Code for the Tendering and Performance of Building Work </w:t>
      </w:r>
      <w:r w:rsidR="00982CF9">
        <w:rPr>
          <w:i/>
        </w:rPr>
        <w:t xml:space="preserve">Amendment </w:t>
      </w:r>
      <w:r w:rsidR="001C2DA5" w:rsidRPr="008B52ED">
        <w:rPr>
          <w:i/>
        </w:rPr>
        <w:t>(</w:t>
      </w:r>
      <w:r w:rsidR="00AE4A5F" w:rsidRPr="008B52ED">
        <w:rPr>
          <w:i/>
        </w:rPr>
        <w:t xml:space="preserve">Infrastructure </w:t>
      </w:r>
      <w:r w:rsidR="001C2DA5" w:rsidRPr="008B52ED">
        <w:rPr>
          <w:i/>
        </w:rPr>
        <w:t>Exemption</w:t>
      </w:r>
      <w:r w:rsidR="00AE4A5F" w:rsidRPr="008B52ED">
        <w:rPr>
          <w:i/>
        </w:rPr>
        <w:t>s</w:t>
      </w:r>
      <w:r w:rsidR="001C2DA5" w:rsidRPr="008B52ED">
        <w:rPr>
          <w:i/>
        </w:rPr>
        <w:t xml:space="preserve">) Instrument 2017 </w:t>
      </w:r>
      <w:r w:rsidRPr="008B52ED">
        <w:rPr>
          <w:rFonts w:eastAsiaTheme="minorHAnsi"/>
          <w:lang w:eastAsia="en-US"/>
        </w:rPr>
        <w:t xml:space="preserve">(the Amendment Instrument) is compatible with the human rights and freedoms recognised or declared in the international instruments listed in section 3 of the </w:t>
      </w:r>
      <w:r w:rsidRPr="008B52ED">
        <w:rPr>
          <w:rFonts w:eastAsiaTheme="minorHAnsi"/>
          <w:i/>
          <w:lang w:eastAsia="en-US"/>
        </w:rPr>
        <w:t>Human Rights (Parliamentary Scrutiny) Act 2011</w:t>
      </w:r>
      <w:r w:rsidRPr="008B52ED">
        <w:rPr>
          <w:rFonts w:eastAsiaTheme="minorHAnsi"/>
          <w:lang w:eastAsia="en-US"/>
        </w:rPr>
        <w:t>.</w:t>
      </w:r>
    </w:p>
    <w:p w:rsidR="00C032D8" w:rsidRPr="008B52ED" w:rsidRDefault="00C032D8" w:rsidP="00C032D8">
      <w:pPr>
        <w:spacing w:after="120"/>
        <w:rPr>
          <w:rFonts w:eastAsiaTheme="minorHAnsi"/>
          <w:b/>
          <w:lang w:eastAsia="en-US"/>
        </w:rPr>
      </w:pPr>
      <w:r w:rsidRPr="008B52ED">
        <w:rPr>
          <w:rFonts w:eastAsiaTheme="minorHAnsi"/>
          <w:b/>
          <w:lang w:eastAsia="en-US"/>
        </w:rPr>
        <w:t xml:space="preserve">Overview </w:t>
      </w:r>
    </w:p>
    <w:p w:rsidR="00C032D8" w:rsidRPr="008B52ED" w:rsidRDefault="00C032D8" w:rsidP="00C032D8">
      <w:pPr>
        <w:autoSpaceDE w:val="0"/>
        <w:autoSpaceDN w:val="0"/>
        <w:adjustRightInd w:val="0"/>
        <w:spacing w:after="120"/>
      </w:pPr>
      <w:r w:rsidRPr="008B52ED">
        <w:t xml:space="preserve">The </w:t>
      </w:r>
      <w:r w:rsidRPr="008B52ED">
        <w:rPr>
          <w:i/>
        </w:rPr>
        <w:t xml:space="preserve">Code for the Tendering and Performance of Building Work 2016 </w:t>
      </w:r>
      <w:r w:rsidRPr="008B52ED">
        <w:t xml:space="preserve">(the 2016 Code), issued under subsection 34(1) of the </w:t>
      </w:r>
      <w:r w:rsidRPr="008B52ED">
        <w:rPr>
          <w:i/>
        </w:rPr>
        <w:t>Building and Construction Industry (Improving Productivity) Act 2016</w:t>
      </w:r>
      <w:r w:rsidRPr="008B52ED">
        <w:t>, commenced on 2 December 2016.</w:t>
      </w:r>
    </w:p>
    <w:p w:rsidR="00CD2A35" w:rsidRPr="008B52ED" w:rsidRDefault="00CD2A35" w:rsidP="005F6F1B">
      <w:pPr>
        <w:autoSpaceDE w:val="0"/>
        <w:autoSpaceDN w:val="0"/>
        <w:adjustRightInd w:val="0"/>
        <w:spacing w:after="120"/>
      </w:pPr>
      <w:r w:rsidRPr="008B52ED">
        <w:t xml:space="preserve">Section </w:t>
      </w:r>
      <w:proofErr w:type="spellStart"/>
      <w:r w:rsidRPr="008B52ED">
        <w:t>6A</w:t>
      </w:r>
      <w:proofErr w:type="spellEnd"/>
      <w:r w:rsidRPr="008B52ED">
        <w:t xml:space="preserve"> of the 2016 Code currently permits the Australian Building and Construction Commissioner (the ABC Commissioner) to exempt a building contractor or building industry participant from the 2016 Code if the ABC Commissioner is satisfied that building work performed by the contractor or participant involves the provision of certain essential services, and that granting the exemption would be appropriate having regard to the objective in paragraph 5(a) of the 2016 Code.</w:t>
      </w:r>
    </w:p>
    <w:p w:rsidR="00C032D8" w:rsidRPr="008B52ED" w:rsidRDefault="00CD2A35" w:rsidP="00353466">
      <w:pPr>
        <w:spacing w:after="120"/>
      </w:pPr>
      <w:r w:rsidRPr="008B52ED">
        <w:t xml:space="preserve">The Amendment Instrument inserts </w:t>
      </w:r>
      <w:r w:rsidR="00F50A31" w:rsidRPr="008B52ED">
        <w:t>new section </w:t>
      </w:r>
      <w:proofErr w:type="spellStart"/>
      <w:r w:rsidRPr="008B52ED">
        <w:t>6B</w:t>
      </w:r>
      <w:proofErr w:type="spellEnd"/>
      <w:r w:rsidRPr="008B52ED">
        <w:t xml:space="preserve"> which requires the ABC Commissioner, on an application by a building contractor or building industry participant, to grant an exemption from the 2016 Code (an infrastructure exemption) if he or she is satisfied that the principal business of the contractor or participant involves performing work for the provision of certain essential services, and the principal building work of the contractor or participant involves performing work for the provision of essential services infrastructure. </w:t>
      </w:r>
    </w:p>
    <w:p w:rsidR="00C032D8" w:rsidRPr="008B52ED" w:rsidRDefault="00C032D8" w:rsidP="00C032D8">
      <w:pPr>
        <w:spacing w:after="120"/>
        <w:rPr>
          <w:b/>
        </w:rPr>
      </w:pPr>
      <w:r w:rsidRPr="008B52ED">
        <w:rPr>
          <w:b/>
        </w:rPr>
        <w:t xml:space="preserve">Human rights </w:t>
      </w:r>
      <w:r w:rsidR="005D23EF">
        <w:rPr>
          <w:b/>
        </w:rPr>
        <w:t>i</w:t>
      </w:r>
      <w:r w:rsidRPr="008B52ED">
        <w:rPr>
          <w:b/>
        </w:rPr>
        <w:t>mplications</w:t>
      </w:r>
    </w:p>
    <w:p w:rsidR="00C032D8" w:rsidRPr="008B52ED" w:rsidRDefault="00C032D8" w:rsidP="00C032D8">
      <w:pPr>
        <w:shd w:val="clear" w:color="auto" w:fill="FFFFFF"/>
        <w:spacing w:after="120"/>
        <w:rPr>
          <w:color w:val="000000"/>
        </w:rPr>
      </w:pPr>
      <w:r w:rsidRPr="008B52ED">
        <w:rPr>
          <w:color w:val="000000"/>
        </w:rPr>
        <w:t xml:space="preserve">The Amendment Instrument does not engage any of the applicable rights or freedoms. </w:t>
      </w:r>
    </w:p>
    <w:p w:rsidR="00C032D8" w:rsidRPr="008B52ED" w:rsidRDefault="00C032D8" w:rsidP="00C64D3C">
      <w:pPr>
        <w:keepNext/>
        <w:shd w:val="clear" w:color="auto" w:fill="FFFFFF"/>
        <w:spacing w:after="120"/>
        <w:rPr>
          <w:b/>
          <w:color w:val="000000"/>
        </w:rPr>
      </w:pPr>
      <w:r w:rsidRPr="008B52ED">
        <w:rPr>
          <w:b/>
          <w:color w:val="000000"/>
        </w:rPr>
        <w:t>Conclusion</w:t>
      </w:r>
    </w:p>
    <w:p w:rsidR="00C032D8" w:rsidRPr="008B52ED" w:rsidRDefault="00C032D8" w:rsidP="00C032D8">
      <w:pPr>
        <w:pStyle w:val="SCHRtext"/>
        <w:keepNext/>
        <w:keepLines/>
        <w:spacing w:after="120"/>
      </w:pPr>
      <w:r w:rsidRPr="008B52ED">
        <w:t xml:space="preserve">The amendments to the 2016 Code contained in the Amendment Instrument are compatible with human rights and freedoms recognised or declared in the international instruments listed in section 3 of the </w:t>
      </w:r>
      <w:r w:rsidRPr="008B52ED">
        <w:rPr>
          <w:i/>
        </w:rPr>
        <w:t xml:space="preserve">Human Rights (Parliamentary Scrutiny) Act 2011 </w:t>
      </w:r>
      <w:r w:rsidRPr="008B52ED">
        <w:t xml:space="preserve">as they do not engage any of those rights or freedoms. </w:t>
      </w:r>
    </w:p>
    <w:p w:rsidR="00C032D8" w:rsidRDefault="00C032D8" w:rsidP="00C032D8">
      <w:pPr>
        <w:keepLines/>
        <w:spacing w:after="120"/>
      </w:pPr>
      <w:r w:rsidRPr="008B52ED">
        <w:rPr>
          <w:b/>
          <w:bCs/>
        </w:rPr>
        <w:t xml:space="preserve">Minister for Employment, Senator </w:t>
      </w:r>
      <w:r w:rsidRPr="008B52ED">
        <w:rPr>
          <w:b/>
        </w:rPr>
        <w:t xml:space="preserve">the Hon </w:t>
      </w:r>
      <w:proofErr w:type="spellStart"/>
      <w:r w:rsidRPr="008B52ED">
        <w:rPr>
          <w:b/>
        </w:rPr>
        <w:t>Michaelia</w:t>
      </w:r>
      <w:proofErr w:type="spellEnd"/>
      <w:r w:rsidRPr="008B52ED">
        <w:rPr>
          <w:b/>
        </w:rPr>
        <w:t xml:space="preserve"> Cash</w:t>
      </w:r>
      <w:r>
        <w:rPr>
          <w:b/>
        </w:rPr>
        <w:t xml:space="preserve"> </w:t>
      </w:r>
    </w:p>
    <w:p w:rsidR="00C032D8" w:rsidRDefault="00C032D8" w:rsidP="00353466">
      <w:pPr>
        <w:spacing w:after="120"/>
      </w:pPr>
    </w:p>
    <w:sectPr w:rsidR="00C032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0C" w:rsidRDefault="00187F0C" w:rsidP="00C032D8">
      <w:r>
        <w:separator/>
      </w:r>
    </w:p>
  </w:endnote>
  <w:endnote w:type="continuationSeparator" w:id="0">
    <w:p w:rsidR="00187F0C" w:rsidRDefault="00187F0C" w:rsidP="00C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0C" w:rsidRDefault="00187F0C" w:rsidP="00C032D8">
      <w:r>
        <w:separator/>
      </w:r>
    </w:p>
  </w:footnote>
  <w:footnote w:type="continuationSeparator" w:id="0">
    <w:p w:rsidR="00187F0C" w:rsidRDefault="00187F0C" w:rsidP="00C0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30E4266"/>
    <w:lvl w:ilvl="0">
      <w:start w:val="1"/>
      <w:numFmt w:val="bullet"/>
      <w:lvlText w:val=""/>
      <w:lvlJc w:val="left"/>
      <w:pPr>
        <w:tabs>
          <w:tab w:val="num" w:pos="643"/>
        </w:tabs>
        <w:ind w:left="643" w:hanging="360"/>
      </w:pPr>
      <w:rPr>
        <w:rFonts w:ascii="Symbol" w:hAnsi="Symbol" w:hint="default"/>
      </w:rPr>
    </w:lvl>
  </w:abstractNum>
  <w:abstractNum w:abstractNumId="1">
    <w:nsid w:val="012813D4"/>
    <w:multiLevelType w:val="hybridMultilevel"/>
    <w:tmpl w:val="14D0BB4A"/>
    <w:lvl w:ilvl="0" w:tplc="9F36633C">
      <w:start w:val="1"/>
      <w:numFmt w:val="decimal"/>
      <w:lvlText w:val="%1."/>
      <w:lvlJc w:val="left"/>
      <w:pPr>
        <w:ind w:left="928" w:hanging="360"/>
      </w:pPr>
      <w:rPr>
        <w:rFonts w:ascii="Times New Roman" w:hAnsi="Times New Roman" w:cs="Times New Roman" w:hint="default"/>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1A16657E"/>
    <w:multiLevelType w:val="hybridMultilevel"/>
    <w:tmpl w:val="14D0BB4A"/>
    <w:lvl w:ilvl="0" w:tplc="9F36633C">
      <w:start w:val="1"/>
      <w:numFmt w:val="decimal"/>
      <w:lvlText w:val="%1."/>
      <w:lvlJc w:val="left"/>
      <w:pPr>
        <w:ind w:left="928" w:hanging="360"/>
      </w:pPr>
      <w:rPr>
        <w:rFonts w:ascii="Times New Roman" w:hAnsi="Times New Roman" w:cs="Times New Roman" w:hint="default"/>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333540C5"/>
    <w:multiLevelType w:val="hybridMultilevel"/>
    <w:tmpl w:val="40764884"/>
    <w:lvl w:ilvl="0" w:tplc="5FEAE97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8F67E65"/>
    <w:multiLevelType w:val="hybridMultilevel"/>
    <w:tmpl w:val="60EA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0827185"/>
    <w:multiLevelType w:val="hybridMultilevel"/>
    <w:tmpl w:val="234800BC"/>
    <w:lvl w:ilvl="0" w:tplc="CA6C3D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06"/>
    <w:rsid w:val="000474EF"/>
    <w:rsid w:val="00052109"/>
    <w:rsid w:val="000A225D"/>
    <w:rsid w:val="000B2842"/>
    <w:rsid w:val="000B383B"/>
    <w:rsid w:val="000D4203"/>
    <w:rsid w:val="000E69E5"/>
    <w:rsid w:val="00132CF7"/>
    <w:rsid w:val="00135A09"/>
    <w:rsid w:val="0017720D"/>
    <w:rsid w:val="00182110"/>
    <w:rsid w:val="00187F0C"/>
    <w:rsid w:val="001C2DA5"/>
    <w:rsid w:val="0020312F"/>
    <w:rsid w:val="00267082"/>
    <w:rsid w:val="00271C3E"/>
    <w:rsid w:val="002872AA"/>
    <w:rsid w:val="002A2344"/>
    <w:rsid w:val="00353466"/>
    <w:rsid w:val="00372623"/>
    <w:rsid w:val="003C6FED"/>
    <w:rsid w:val="004070C3"/>
    <w:rsid w:val="005D23EF"/>
    <w:rsid w:val="005F6F1B"/>
    <w:rsid w:val="006134B5"/>
    <w:rsid w:val="006D36A9"/>
    <w:rsid w:val="00774299"/>
    <w:rsid w:val="007C2F5F"/>
    <w:rsid w:val="00815BEB"/>
    <w:rsid w:val="00817BDC"/>
    <w:rsid w:val="00835857"/>
    <w:rsid w:val="00851BAC"/>
    <w:rsid w:val="00853FBC"/>
    <w:rsid w:val="00870E70"/>
    <w:rsid w:val="00882F0F"/>
    <w:rsid w:val="00886BF1"/>
    <w:rsid w:val="008A66FE"/>
    <w:rsid w:val="008B52ED"/>
    <w:rsid w:val="00907895"/>
    <w:rsid w:val="00934388"/>
    <w:rsid w:val="00980E5C"/>
    <w:rsid w:val="00982CF9"/>
    <w:rsid w:val="00992696"/>
    <w:rsid w:val="009B67B1"/>
    <w:rsid w:val="00A15C82"/>
    <w:rsid w:val="00A37F18"/>
    <w:rsid w:val="00A94EAB"/>
    <w:rsid w:val="00AC5A7A"/>
    <w:rsid w:val="00AE4A5F"/>
    <w:rsid w:val="00B36FE5"/>
    <w:rsid w:val="00B53FD4"/>
    <w:rsid w:val="00BB5CB0"/>
    <w:rsid w:val="00BD7276"/>
    <w:rsid w:val="00BF7ACF"/>
    <w:rsid w:val="00C032D8"/>
    <w:rsid w:val="00C14754"/>
    <w:rsid w:val="00C64D3C"/>
    <w:rsid w:val="00CD2A35"/>
    <w:rsid w:val="00D0005A"/>
    <w:rsid w:val="00D163AA"/>
    <w:rsid w:val="00D22EE4"/>
    <w:rsid w:val="00D34773"/>
    <w:rsid w:val="00D50194"/>
    <w:rsid w:val="00D52B97"/>
    <w:rsid w:val="00D73C6E"/>
    <w:rsid w:val="00D921E3"/>
    <w:rsid w:val="00D97A32"/>
    <w:rsid w:val="00DA58D9"/>
    <w:rsid w:val="00DF2081"/>
    <w:rsid w:val="00DF305B"/>
    <w:rsid w:val="00E84506"/>
    <w:rsid w:val="00F01E71"/>
    <w:rsid w:val="00F01F2A"/>
    <w:rsid w:val="00F10BE7"/>
    <w:rsid w:val="00F50A31"/>
    <w:rsid w:val="00F67747"/>
    <w:rsid w:val="00F90A3E"/>
    <w:rsid w:val="00FB4582"/>
    <w:rsid w:val="00FB6B59"/>
    <w:rsid w:val="00FE4172"/>
    <w:rsid w:val="00FE62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9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link w:val="Heading2Char"/>
    <w:uiPriority w:val="9"/>
    <w:qFormat/>
    <w:rsid w:val="00E8450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506"/>
    <w:rPr>
      <w:rFonts w:ascii="Times New Roman" w:eastAsia="Times New Roman" w:hAnsi="Times New Roman" w:cs="Times New Roman"/>
      <w:b/>
      <w:bCs/>
      <w:sz w:val="36"/>
      <w:szCs w:val="36"/>
      <w:lang w:eastAsia="en-AU"/>
    </w:rPr>
  </w:style>
  <w:style w:type="paragraph" w:styleId="ListParagraph">
    <w:name w:val="List Paragraph"/>
    <w:basedOn w:val="Normal"/>
    <w:uiPriority w:val="34"/>
    <w:qFormat/>
    <w:rsid w:val="00E84506"/>
    <w:pPr>
      <w:spacing w:before="100" w:beforeAutospacing="1" w:after="100" w:afterAutospacing="1"/>
    </w:pPr>
  </w:style>
  <w:style w:type="paragraph" w:customStyle="1" w:styleId="paragraph">
    <w:name w:val="paragraph"/>
    <w:aliases w:val="a"/>
    <w:basedOn w:val="Normal"/>
    <w:rsid w:val="00353466"/>
    <w:pPr>
      <w:tabs>
        <w:tab w:val="right" w:pos="1531"/>
      </w:tabs>
      <w:spacing w:before="40"/>
      <w:ind w:left="1644" w:hanging="1644"/>
    </w:pPr>
    <w:rPr>
      <w:sz w:val="22"/>
      <w:szCs w:val="20"/>
    </w:rPr>
  </w:style>
  <w:style w:type="character" w:customStyle="1" w:styleId="OverviewNotesheadingChar">
    <w:name w:val="Overview/Notes (heading) Char"/>
    <w:basedOn w:val="DefaultParagraphFont"/>
    <w:link w:val="OverviewNotesheading"/>
    <w:uiPriority w:val="99"/>
    <w:locked/>
    <w:rsid w:val="00C032D8"/>
    <w:rPr>
      <w:b/>
      <w:sz w:val="28"/>
      <w:szCs w:val="28"/>
      <w:u w:val="single"/>
    </w:rPr>
  </w:style>
  <w:style w:type="paragraph" w:customStyle="1" w:styleId="OverviewNotesheading">
    <w:name w:val="Overview/Notes (heading)"/>
    <w:basedOn w:val="Normal"/>
    <w:link w:val="OverviewNotesheadingChar"/>
    <w:uiPriority w:val="99"/>
    <w:qFormat/>
    <w:rsid w:val="00C032D8"/>
    <w:pPr>
      <w:spacing w:after="200" w:line="276" w:lineRule="auto"/>
    </w:pPr>
    <w:rPr>
      <w:rFonts w:asciiTheme="minorHAnsi" w:eastAsiaTheme="minorHAnsi" w:hAnsiTheme="minorHAnsi" w:cstheme="minorBidi"/>
      <w:b/>
      <w:sz w:val="28"/>
      <w:szCs w:val="28"/>
      <w:u w:val="single"/>
      <w:lang w:eastAsia="en-US"/>
    </w:rPr>
  </w:style>
  <w:style w:type="character" w:styleId="Hyperlink">
    <w:name w:val="Hyperlink"/>
    <w:basedOn w:val="DefaultParagraphFont"/>
    <w:uiPriority w:val="99"/>
    <w:semiHidden/>
    <w:unhideWhenUsed/>
    <w:rsid w:val="00C032D8"/>
    <w:rPr>
      <w:color w:val="0000FF"/>
      <w:u w:val="single"/>
    </w:rPr>
  </w:style>
  <w:style w:type="paragraph" w:styleId="FootnoteText">
    <w:name w:val="footnote text"/>
    <w:basedOn w:val="Normal"/>
    <w:link w:val="FootnoteTextChar"/>
    <w:uiPriority w:val="99"/>
    <w:semiHidden/>
    <w:unhideWhenUsed/>
    <w:rsid w:val="00C032D8"/>
    <w:rPr>
      <w:sz w:val="20"/>
      <w:szCs w:val="20"/>
    </w:rPr>
  </w:style>
  <w:style w:type="character" w:customStyle="1" w:styleId="FootnoteTextChar">
    <w:name w:val="Footnote Text Char"/>
    <w:basedOn w:val="DefaultParagraphFont"/>
    <w:link w:val="FootnoteText"/>
    <w:uiPriority w:val="99"/>
    <w:semiHidden/>
    <w:rsid w:val="00C032D8"/>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C032D8"/>
    <w:rPr>
      <w:vertAlign w:val="superscript"/>
    </w:rPr>
  </w:style>
  <w:style w:type="character" w:customStyle="1" w:styleId="SCHRtextChar">
    <w:name w:val="SCHR text Char"/>
    <w:basedOn w:val="DefaultParagraphFont"/>
    <w:link w:val="SCHRtext"/>
    <w:locked/>
    <w:rsid w:val="00C032D8"/>
    <w:rPr>
      <w:rFonts w:ascii="Times New Roman" w:eastAsia="Times New Roman" w:hAnsi="Times New Roman" w:cs="Times New Roman"/>
      <w:sz w:val="24"/>
      <w:szCs w:val="24"/>
    </w:rPr>
  </w:style>
  <w:style w:type="paragraph" w:customStyle="1" w:styleId="SCHRtext">
    <w:name w:val="SCHR text"/>
    <w:basedOn w:val="Normal"/>
    <w:link w:val="SCHRtextChar"/>
    <w:qFormat/>
    <w:rsid w:val="00C032D8"/>
    <w:pPr>
      <w:spacing w:after="240"/>
    </w:pPr>
    <w:rPr>
      <w:lang w:eastAsia="en-US"/>
    </w:rPr>
  </w:style>
  <w:style w:type="paragraph" w:styleId="BalloonText">
    <w:name w:val="Balloon Text"/>
    <w:basedOn w:val="Normal"/>
    <w:link w:val="BalloonTextChar"/>
    <w:uiPriority w:val="99"/>
    <w:semiHidden/>
    <w:unhideWhenUsed/>
    <w:rsid w:val="000E69E5"/>
    <w:rPr>
      <w:rFonts w:ascii="Tahoma" w:hAnsi="Tahoma" w:cs="Tahoma"/>
      <w:sz w:val="16"/>
      <w:szCs w:val="16"/>
    </w:rPr>
  </w:style>
  <w:style w:type="character" w:customStyle="1" w:styleId="BalloonTextChar">
    <w:name w:val="Balloon Text Char"/>
    <w:basedOn w:val="DefaultParagraphFont"/>
    <w:link w:val="BalloonText"/>
    <w:uiPriority w:val="99"/>
    <w:semiHidden/>
    <w:rsid w:val="000E69E5"/>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0A225D"/>
    <w:rPr>
      <w:sz w:val="16"/>
      <w:szCs w:val="16"/>
    </w:rPr>
  </w:style>
  <w:style w:type="paragraph" w:styleId="CommentText">
    <w:name w:val="annotation text"/>
    <w:basedOn w:val="Normal"/>
    <w:link w:val="CommentTextChar"/>
    <w:uiPriority w:val="99"/>
    <w:semiHidden/>
    <w:unhideWhenUsed/>
    <w:rsid w:val="000A225D"/>
    <w:rPr>
      <w:sz w:val="20"/>
      <w:szCs w:val="20"/>
    </w:rPr>
  </w:style>
  <w:style w:type="character" w:customStyle="1" w:styleId="CommentTextChar">
    <w:name w:val="Comment Text Char"/>
    <w:basedOn w:val="DefaultParagraphFont"/>
    <w:link w:val="CommentText"/>
    <w:uiPriority w:val="99"/>
    <w:semiHidden/>
    <w:rsid w:val="000A225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225D"/>
    <w:rPr>
      <w:b/>
      <w:bCs/>
    </w:rPr>
  </w:style>
  <w:style w:type="character" w:customStyle="1" w:styleId="CommentSubjectChar">
    <w:name w:val="Comment Subject Char"/>
    <w:basedOn w:val="CommentTextChar"/>
    <w:link w:val="CommentSubject"/>
    <w:uiPriority w:val="99"/>
    <w:semiHidden/>
    <w:rsid w:val="000A225D"/>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9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link w:val="Heading2Char"/>
    <w:uiPriority w:val="9"/>
    <w:qFormat/>
    <w:rsid w:val="00E8450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506"/>
    <w:rPr>
      <w:rFonts w:ascii="Times New Roman" w:eastAsia="Times New Roman" w:hAnsi="Times New Roman" w:cs="Times New Roman"/>
      <w:b/>
      <w:bCs/>
      <w:sz w:val="36"/>
      <w:szCs w:val="36"/>
      <w:lang w:eastAsia="en-AU"/>
    </w:rPr>
  </w:style>
  <w:style w:type="paragraph" w:styleId="ListParagraph">
    <w:name w:val="List Paragraph"/>
    <w:basedOn w:val="Normal"/>
    <w:uiPriority w:val="34"/>
    <w:qFormat/>
    <w:rsid w:val="00E84506"/>
    <w:pPr>
      <w:spacing w:before="100" w:beforeAutospacing="1" w:after="100" w:afterAutospacing="1"/>
    </w:pPr>
  </w:style>
  <w:style w:type="paragraph" w:customStyle="1" w:styleId="paragraph">
    <w:name w:val="paragraph"/>
    <w:aliases w:val="a"/>
    <w:basedOn w:val="Normal"/>
    <w:rsid w:val="00353466"/>
    <w:pPr>
      <w:tabs>
        <w:tab w:val="right" w:pos="1531"/>
      </w:tabs>
      <w:spacing w:before="40"/>
      <w:ind w:left="1644" w:hanging="1644"/>
    </w:pPr>
    <w:rPr>
      <w:sz w:val="22"/>
      <w:szCs w:val="20"/>
    </w:rPr>
  </w:style>
  <w:style w:type="character" w:customStyle="1" w:styleId="OverviewNotesheadingChar">
    <w:name w:val="Overview/Notes (heading) Char"/>
    <w:basedOn w:val="DefaultParagraphFont"/>
    <w:link w:val="OverviewNotesheading"/>
    <w:uiPriority w:val="99"/>
    <w:locked/>
    <w:rsid w:val="00C032D8"/>
    <w:rPr>
      <w:b/>
      <w:sz w:val="28"/>
      <w:szCs w:val="28"/>
      <w:u w:val="single"/>
    </w:rPr>
  </w:style>
  <w:style w:type="paragraph" w:customStyle="1" w:styleId="OverviewNotesheading">
    <w:name w:val="Overview/Notes (heading)"/>
    <w:basedOn w:val="Normal"/>
    <w:link w:val="OverviewNotesheadingChar"/>
    <w:uiPriority w:val="99"/>
    <w:qFormat/>
    <w:rsid w:val="00C032D8"/>
    <w:pPr>
      <w:spacing w:after="200" w:line="276" w:lineRule="auto"/>
    </w:pPr>
    <w:rPr>
      <w:rFonts w:asciiTheme="minorHAnsi" w:eastAsiaTheme="minorHAnsi" w:hAnsiTheme="minorHAnsi" w:cstheme="minorBidi"/>
      <w:b/>
      <w:sz w:val="28"/>
      <w:szCs w:val="28"/>
      <w:u w:val="single"/>
      <w:lang w:eastAsia="en-US"/>
    </w:rPr>
  </w:style>
  <w:style w:type="character" w:styleId="Hyperlink">
    <w:name w:val="Hyperlink"/>
    <w:basedOn w:val="DefaultParagraphFont"/>
    <w:uiPriority w:val="99"/>
    <w:semiHidden/>
    <w:unhideWhenUsed/>
    <w:rsid w:val="00C032D8"/>
    <w:rPr>
      <w:color w:val="0000FF"/>
      <w:u w:val="single"/>
    </w:rPr>
  </w:style>
  <w:style w:type="paragraph" w:styleId="FootnoteText">
    <w:name w:val="footnote text"/>
    <w:basedOn w:val="Normal"/>
    <w:link w:val="FootnoteTextChar"/>
    <w:uiPriority w:val="99"/>
    <w:semiHidden/>
    <w:unhideWhenUsed/>
    <w:rsid w:val="00C032D8"/>
    <w:rPr>
      <w:sz w:val="20"/>
      <w:szCs w:val="20"/>
    </w:rPr>
  </w:style>
  <w:style w:type="character" w:customStyle="1" w:styleId="FootnoteTextChar">
    <w:name w:val="Footnote Text Char"/>
    <w:basedOn w:val="DefaultParagraphFont"/>
    <w:link w:val="FootnoteText"/>
    <w:uiPriority w:val="99"/>
    <w:semiHidden/>
    <w:rsid w:val="00C032D8"/>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C032D8"/>
    <w:rPr>
      <w:vertAlign w:val="superscript"/>
    </w:rPr>
  </w:style>
  <w:style w:type="character" w:customStyle="1" w:styleId="SCHRtextChar">
    <w:name w:val="SCHR text Char"/>
    <w:basedOn w:val="DefaultParagraphFont"/>
    <w:link w:val="SCHRtext"/>
    <w:locked/>
    <w:rsid w:val="00C032D8"/>
    <w:rPr>
      <w:rFonts w:ascii="Times New Roman" w:eastAsia="Times New Roman" w:hAnsi="Times New Roman" w:cs="Times New Roman"/>
      <w:sz w:val="24"/>
      <w:szCs w:val="24"/>
    </w:rPr>
  </w:style>
  <w:style w:type="paragraph" w:customStyle="1" w:styleId="SCHRtext">
    <w:name w:val="SCHR text"/>
    <w:basedOn w:val="Normal"/>
    <w:link w:val="SCHRtextChar"/>
    <w:qFormat/>
    <w:rsid w:val="00C032D8"/>
    <w:pPr>
      <w:spacing w:after="240"/>
    </w:pPr>
    <w:rPr>
      <w:lang w:eastAsia="en-US"/>
    </w:rPr>
  </w:style>
  <w:style w:type="paragraph" w:styleId="BalloonText">
    <w:name w:val="Balloon Text"/>
    <w:basedOn w:val="Normal"/>
    <w:link w:val="BalloonTextChar"/>
    <w:uiPriority w:val="99"/>
    <w:semiHidden/>
    <w:unhideWhenUsed/>
    <w:rsid w:val="000E69E5"/>
    <w:rPr>
      <w:rFonts w:ascii="Tahoma" w:hAnsi="Tahoma" w:cs="Tahoma"/>
      <w:sz w:val="16"/>
      <w:szCs w:val="16"/>
    </w:rPr>
  </w:style>
  <w:style w:type="character" w:customStyle="1" w:styleId="BalloonTextChar">
    <w:name w:val="Balloon Text Char"/>
    <w:basedOn w:val="DefaultParagraphFont"/>
    <w:link w:val="BalloonText"/>
    <w:uiPriority w:val="99"/>
    <w:semiHidden/>
    <w:rsid w:val="000E69E5"/>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0A225D"/>
    <w:rPr>
      <w:sz w:val="16"/>
      <w:szCs w:val="16"/>
    </w:rPr>
  </w:style>
  <w:style w:type="paragraph" w:styleId="CommentText">
    <w:name w:val="annotation text"/>
    <w:basedOn w:val="Normal"/>
    <w:link w:val="CommentTextChar"/>
    <w:uiPriority w:val="99"/>
    <w:semiHidden/>
    <w:unhideWhenUsed/>
    <w:rsid w:val="000A225D"/>
    <w:rPr>
      <w:sz w:val="20"/>
      <w:szCs w:val="20"/>
    </w:rPr>
  </w:style>
  <w:style w:type="character" w:customStyle="1" w:styleId="CommentTextChar">
    <w:name w:val="Comment Text Char"/>
    <w:basedOn w:val="DefaultParagraphFont"/>
    <w:link w:val="CommentText"/>
    <w:uiPriority w:val="99"/>
    <w:semiHidden/>
    <w:rsid w:val="000A225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225D"/>
    <w:rPr>
      <w:b/>
      <w:bCs/>
    </w:rPr>
  </w:style>
  <w:style w:type="character" w:customStyle="1" w:styleId="CommentSubjectChar">
    <w:name w:val="Comment Subject Char"/>
    <w:basedOn w:val="CommentTextChar"/>
    <w:link w:val="CommentSubject"/>
    <w:uiPriority w:val="99"/>
    <w:semiHidden/>
    <w:rsid w:val="000A225D"/>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5722">
      <w:bodyDiv w:val="1"/>
      <w:marLeft w:val="0"/>
      <w:marRight w:val="0"/>
      <w:marTop w:val="0"/>
      <w:marBottom w:val="0"/>
      <w:divBdr>
        <w:top w:val="none" w:sz="0" w:space="0" w:color="auto"/>
        <w:left w:val="none" w:sz="0" w:space="0" w:color="auto"/>
        <w:bottom w:val="none" w:sz="0" w:space="0" w:color="auto"/>
        <w:right w:val="none" w:sz="0" w:space="0" w:color="auto"/>
      </w:divBdr>
      <w:divsChild>
        <w:div w:id="692851954">
          <w:marLeft w:val="0"/>
          <w:marRight w:val="0"/>
          <w:marTop w:val="0"/>
          <w:marBottom w:val="0"/>
          <w:divBdr>
            <w:top w:val="none" w:sz="0" w:space="0" w:color="auto"/>
            <w:left w:val="none" w:sz="0" w:space="0" w:color="auto"/>
            <w:bottom w:val="none" w:sz="0" w:space="0" w:color="auto"/>
            <w:right w:val="none" w:sz="0" w:space="0" w:color="auto"/>
          </w:divBdr>
          <w:divsChild>
            <w:div w:id="295376448">
              <w:marLeft w:val="0"/>
              <w:marRight w:val="0"/>
              <w:marTop w:val="0"/>
              <w:marBottom w:val="0"/>
              <w:divBdr>
                <w:top w:val="none" w:sz="0" w:space="0" w:color="auto"/>
                <w:left w:val="none" w:sz="0" w:space="0" w:color="auto"/>
                <w:bottom w:val="none" w:sz="0" w:space="0" w:color="auto"/>
                <w:right w:val="none" w:sz="0" w:space="0" w:color="auto"/>
              </w:divBdr>
              <w:divsChild>
                <w:div w:id="909651688">
                  <w:marLeft w:val="0"/>
                  <w:marRight w:val="0"/>
                  <w:marTop w:val="0"/>
                  <w:marBottom w:val="0"/>
                  <w:divBdr>
                    <w:top w:val="none" w:sz="0" w:space="0" w:color="auto"/>
                    <w:left w:val="none" w:sz="0" w:space="0" w:color="auto"/>
                    <w:bottom w:val="none" w:sz="0" w:space="0" w:color="auto"/>
                    <w:right w:val="none" w:sz="0" w:space="0" w:color="auto"/>
                  </w:divBdr>
                  <w:divsChild>
                    <w:div w:id="1293824989">
                      <w:marLeft w:val="0"/>
                      <w:marRight w:val="0"/>
                      <w:marTop w:val="0"/>
                      <w:marBottom w:val="0"/>
                      <w:divBdr>
                        <w:top w:val="none" w:sz="0" w:space="0" w:color="auto"/>
                        <w:left w:val="none" w:sz="0" w:space="0" w:color="auto"/>
                        <w:bottom w:val="none" w:sz="0" w:space="0" w:color="auto"/>
                        <w:right w:val="none" w:sz="0" w:space="0" w:color="auto"/>
                      </w:divBdr>
                      <w:divsChild>
                        <w:div w:id="2027901202">
                          <w:marLeft w:val="0"/>
                          <w:marRight w:val="0"/>
                          <w:marTop w:val="0"/>
                          <w:marBottom w:val="0"/>
                          <w:divBdr>
                            <w:top w:val="none" w:sz="0" w:space="0" w:color="auto"/>
                            <w:left w:val="none" w:sz="0" w:space="0" w:color="auto"/>
                            <w:bottom w:val="none" w:sz="0" w:space="0" w:color="auto"/>
                            <w:right w:val="none" w:sz="0" w:space="0" w:color="auto"/>
                          </w:divBdr>
                          <w:divsChild>
                            <w:div w:id="637610036">
                              <w:marLeft w:val="0"/>
                              <w:marRight w:val="0"/>
                              <w:marTop w:val="0"/>
                              <w:marBottom w:val="0"/>
                              <w:divBdr>
                                <w:top w:val="none" w:sz="0" w:space="0" w:color="auto"/>
                                <w:left w:val="none" w:sz="0" w:space="0" w:color="auto"/>
                                <w:bottom w:val="none" w:sz="0" w:space="0" w:color="auto"/>
                                <w:right w:val="none" w:sz="0" w:space="0" w:color="auto"/>
                              </w:divBdr>
                              <w:divsChild>
                                <w:div w:id="1609312603">
                                  <w:marLeft w:val="0"/>
                                  <w:marRight w:val="0"/>
                                  <w:marTop w:val="0"/>
                                  <w:marBottom w:val="0"/>
                                  <w:divBdr>
                                    <w:top w:val="none" w:sz="0" w:space="0" w:color="auto"/>
                                    <w:left w:val="none" w:sz="0" w:space="0" w:color="auto"/>
                                    <w:bottom w:val="none" w:sz="0" w:space="0" w:color="auto"/>
                                    <w:right w:val="none" w:sz="0" w:space="0" w:color="auto"/>
                                  </w:divBdr>
                                  <w:divsChild>
                                    <w:div w:id="1631280077">
                                      <w:marLeft w:val="0"/>
                                      <w:marRight w:val="0"/>
                                      <w:marTop w:val="0"/>
                                      <w:marBottom w:val="0"/>
                                      <w:divBdr>
                                        <w:top w:val="none" w:sz="0" w:space="0" w:color="auto"/>
                                        <w:left w:val="none" w:sz="0" w:space="0" w:color="auto"/>
                                        <w:bottom w:val="none" w:sz="0" w:space="0" w:color="auto"/>
                                        <w:right w:val="none" w:sz="0" w:space="0" w:color="auto"/>
                                      </w:divBdr>
                                      <w:divsChild>
                                        <w:div w:id="1751734611">
                                          <w:marLeft w:val="0"/>
                                          <w:marRight w:val="0"/>
                                          <w:marTop w:val="0"/>
                                          <w:marBottom w:val="0"/>
                                          <w:divBdr>
                                            <w:top w:val="none" w:sz="0" w:space="0" w:color="auto"/>
                                            <w:left w:val="none" w:sz="0" w:space="0" w:color="auto"/>
                                            <w:bottom w:val="none" w:sz="0" w:space="0" w:color="auto"/>
                                            <w:right w:val="none" w:sz="0" w:space="0" w:color="auto"/>
                                          </w:divBdr>
                                          <w:divsChild>
                                            <w:div w:id="1405295404">
                                              <w:marLeft w:val="0"/>
                                              <w:marRight w:val="0"/>
                                              <w:marTop w:val="0"/>
                                              <w:marBottom w:val="0"/>
                                              <w:divBdr>
                                                <w:top w:val="none" w:sz="0" w:space="0" w:color="auto"/>
                                                <w:left w:val="none" w:sz="0" w:space="0" w:color="auto"/>
                                                <w:bottom w:val="none" w:sz="0" w:space="0" w:color="auto"/>
                                                <w:right w:val="none" w:sz="0" w:space="0" w:color="auto"/>
                                              </w:divBdr>
                                              <w:divsChild>
                                                <w:div w:id="1806656047">
                                                  <w:marLeft w:val="0"/>
                                                  <w:marRight w:val="0"/>
                                                  <w:marTop w:val="0"/>
                                                  <w:marBottom w:val="0"/>
                                                  <w:divBdr>
                                                    <w:top w:val="none" w:sz="0" w:space="0" w:color="auto"/>
                                                    <w:left w:val="none" w:sz="0" w:space="0" w:color="auto"/>
                                                    <w:bottom w:val="none" w:sz="0" w:space="0" w:color="auto"/>
                                                    <w:right w:val="none" w:sz="0" w:space="0" w:color="auto"/>
                                                  </w:divBdr>
                                                  <w:divsChild>
                                                    <w:div w:id="962232175">
                                                      <w:marLeft w:val="0"/>
                                                      <w:marRight w:val="0"/>
                                                      <w:marTop w:val="0"/>
                                                      <w:marBottom w:val="0"/>
                                                      <w:divBdr>
                                                        <w:top w:val="none" w:sz="0" w:space="0" w:color="auto"/>
                                                        <w:left w:val="none" w:sz="0" w:space="0" w:color="auto"/>
                                                        <w:bottom w:val="none" w:sz="0" w:space="0" w:color="auto"/>
                                                        <w:right w:val="none" w:sz="0" w:space="0" w:color="auto"/>
                                                      </w:divBdr>
                                                      <w:divsChild>
                                                        <w:div w:id="19239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2235698">
      <w:bodyDiv w:val="1"/>
      <w:marLeft w:val="0"/>
      <w:marRight w:val="0"/>
      <w:marTop w:val="0"/>
      <w:marBottom w:val="0"/>
      <w:divBdr>
        <w:top w:val="none" w:sz="0" w:space="0" w:color="auto"/>
        <w:left w:val="none" w:sz="0" w:space="0" w:color="auto"/>
        <w:bottom w:val="none" w:sz="0" w:space="0" w:color="auto"/>
        <w:right w:val="none" w:sz="0" w:space="0" w:color="auto"/>
      </w:divBdr>
    </w:div>
    <w:div w:id="795293288">
      <w:bodyDiv w:val="1"/>
      <w:marLeft w:val="0"/>
      <w:marRight w:val="0"/>
      <w:marTop w:val="0"/>
      <w:marBottom w:val="0"/>
      <w:divBdr>
        <w:top w:val="none" w:sz="0" w:space="0" w:color="auto"/>
        <w:left w:val="none" w:sz="0" w:space="0" w:color="auto"/>
        <w:bottom w:val="none" w:sz="0" w:space="0" w:color="auto"/>
        <w:right w:val="none" w:sz="0" w:space="0" w:color="auto"/>
      </w:divBdr>
    </w:div>
    <w:div w:id="1114978681">
      <w:bodyDiv w:val="1"/>
      <w:marLeft w:val="0"/>
      <w:marRight w:val="0"/>
      <w:marTop w:val="0"/>
      <w:marBottom w:val="0"/>
      <w:divBdr>
        <w:top w:val="none" w:sz="0" w:space="0" w:color="auto"/>
        <w:left w:val="none" w:sz="0" w:space="0" w:color="auto"/>
        <w:bottom w:val="none" w:sz="0" w:space="0" w:color="auto"/>
        <w:right w:val="none" w:sz="0" w:space="0" w:color="auto"/>
      </w:divBdr>
    </w:div>
    <w:div w:id="1161772222">
      <w:bodyDiv w:val="1"/>
      <w:marLeft w:val="0"/>
      <w:marRight w:val="0"/>
      <w:marTop w:val="0"/>
      <w:marBottom w:val="0"/>
      <w:divBdr>
        <w:top w:val="none" w:sz="0" w:space="0" w:color="auto"/>
        <w:left w:val="none" w:sz="0" w:space="0" w:color="auto"/>
        <w:bottom w:val="none" w:sz="0" w:space="0" w:color="auto"/>
        <w:right w:val="none" w:sz="0" w:space="0" w:color="auto"/>
      </w:divBdr>
    </w:div>
    <w:div w:id="1333147957">
      <w:bodyDiv w:val="1"/>
      <w:marLeft w:val="0"/>
      <w:marRight w:val="0"/>
      <w:marTop w:val="0"/>
      <w:marBottom w:val="0"/>
      <w:divBdr>
        <w:top w:val="none" w:sz="0" w:space="0" w:color="auto"/>
        <w:left w:val="none" w:sz="0" w:space="0" w:color="auto"/>
        <w:bottom w:val="none" w:sz="0" w:space="0" w:color="auto"/>
        <w:right w:val="none" w:sz="0" w:space="0" w:color="auto"/>
      </w:divBdr>
    </w:div>
    <w:div w:id="1442189035">
      <w:bodyDiv w:val="1"/>
      <w:marLeft w:val="0"/>
      <w:marRight w:val="0"/>
      <w:marTop w:val="0"/>
      <w:marBottom w:val="0"/>
      <w:divBdr>
        <w:top w:val="none" w:sz="0" w:space="0" w:color="auto"/>
        <w:left w:val="none" w:sz="0" w:space="0" w:color="auto"/>
        <w:bottom w:val="none" w:sz="0" w:space="0" w:color="auto"/>
        <w:right w:val="none" w:sz="0" w:space="0" w:color="auto"/>
      </w:divBdr>
    </w:div>
    <w:div w:id="1595280635">
      <w:bodyDiv w:val="1"/>
      <w:marLeft w:val="0"/>
      <w:marRight w:val="0"/>
      <w:marTop w:val="0"/>
      <w:marBottom w:val="0"/>
      <w:divBdr>
        <w:top w:val="none" w:sz="0" w:space="0" w:color="auto"/>
        <w:left w:val="none" w:sz="0" w:space="0" w:color="auto"/>
        <w:bottom w:val="none" w:sz="0" w:space="0" w:color="auto"/>
        <w:right w:val="none" w:sz="0" w:space="0" w:color="auto"/>
      </w:divBdr>
    </w:div>
    <w:div w:id="186012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C99851850DBED5479E3993248FB8F88C" ma:contentTypeVersion="34" ma:contentTypeDescription="Ddocs' Word Content Type" ma:contentTypeScope="" ma:versionID="1ab8345dfaa387ecd377ff971e0a6388">
  <xsd:schema xmlns:xsd="http://www.w3.org/2001/XMLSchema" xmlns:xs="http://www.w3.org/2001/XMLSchema" xmlns:p="http://schemas.microsoft.com/office/2006/metadata/properties" xmlns:ns2="http://schemas.microsoft.com/sharepoint/v3/fields" xmlns:ns3="aa4207c7-5642-493f-9786-e265201cbb14" targetNamespace="http://schemas.microsoft.com/office/2006/metadata/properties" ma:root="true" ma:fieldsID="057f453f3ebc735b32496a852dc4cd9f"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3.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4.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s>
</p:Policy>
</file>

<file path=customXml/itemProps1.xml><?xml version="1.0" encoding="utf-8"?>
<ds:datastoreItem xmlns:ds="http://schemas.openxmlformats.org/officeDocument/2006/customXml" ds:itemID="{322C0DE0-7FB2-4CE3-B538-6307AD4FA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B0222-F107-46EA-86E0-82FEAD3DE67A}">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4A952AB0-6536-4A51-87F7-DD575DD92E27}">
  <ds:schemaRefs>
    <ds:schemaRef ds:uri="http://schemas.microsoft.com/sharepoint/events"/>
  </ds:schemaRefs>
</ds:datastoreItem>
</file>

<file path=customXml/itemProps4.xml><?xml version="1.0" encoding="utf-8"?>
<ds:datastoreItem xmlns:ds="http://schemas.openxmlformats.org/officeDocument/2006/customXml" ds:itemID="{A6A22BDD-E2C8-4F51-A94B-822AEBEAE27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C06CEF9B.dotm</Template>
  <TotalTime>1060</TotalTime>
  <Pages>1</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Sinead McHugh</dc:creator>
  <cp:lastModifiedBy>QUILL,Rebecca</cp:lastModifiedBy>
  <cp:revision>51</cp:revision>
  <cp:lastPrinted>2017-08-15T23:09:00Z</cp:lastPrinted>
  <dcterms:created xsi:type="dcterms:W3CDTF">2017-08-08T02:06:00Z</dcterms:created>
  <dcterms:modified xsi:type="dcterms:W3CDTF">2017-08-15T23:09:00Z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0x0101009EDC4876AF524A70BD125A9D2C0D191E0C00C99851850DBED5479E3993248FB8F88C</vt:lpwstr>
  </property>
  <property fmtid="{D5CDD505-2E9C-101B-9397-08002B2CF9AE}" pid="3" name="ItemRetentionFormula">
    <vt:lpwstr/>
  </property>
  <property fmtid="{D5CDD505-2E9C-101B-9397-08002B2CF9AE}" pid="4" name="_dlc_policyId">
    <vt:lpwstr/>
  </property>
</Properties>
</file>