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945C9" w14:textId="09CA6049" w:rsidR="00F72A90" w:rsidRDefault="00B0401E" w:rsidP="00E70047">
      <w:pPr>
        <w:pStyle w:val="Heading"/>
        <w:spacing w:before="120"/>
        <w:jc w:val="center"/>
        <w:rPr>
          <w:rFonts w:ascii="Times New Roman" w:hAnsi="Times New Roman"/>
          <w:b/>
          <w:sz w:val="24"/>
          <w:u w:val="single"/>
        </w:rPr>
      </w:pPr>
      <w:bookmarkStart w:id="0" w:name="_GoBack"/>
      <w:r w:rsidRPr="00BD0C19">
        <w:rPr>
          <w:rFonts w:ascii="Times New Roman" w:hAnsi="Times New Roman"/>
          <w:b/>
          <w:sz w:val="24"/>
        </w:rPr>
        <w:t xml:space="preserve">Financial Sector (Collection of Data) (reporting standard) determination No. </w:t>
      </w:r>
      <w:r w:rsidR="006502E8">
        <w:rPr>
          <w:rFonts w:ascii="Times New Roman" w:hAnsi="Times New Roman"/>
          <w:b/>
          <w:sz w:val="24"/>
        </w:rPr>
        <w:t>5</w:t>
      </w:r>
      <w:r w:rsidR="00AA73C1">
        <w:rPr>
          <w:rFonts w:ascii="Times New Roman" w:hAnsi="Times New Roman"/>
          <w:b/>
          <w:sz w:val="24"/>
        </w:rPr>
        <w:t xml:space="preserve"> </w:t>
      </w:r>
      <w:r w:rsidRPr="00BD0C19">
        <w:rPr>
          <w:rFonts w:ascii="Times New Roman" w:hAnsi="Times New Roman"/>
          <w:b/>
          <w:sz w:val="24"/>
        </w:rPr>
        <w:t>of 201</w:t>
      </w:r>
      <w:r w:rsidR="00E70047">
        <w:rPr>
          <w:rFonts w:ascii="Times New Roman" w:hAnsi="Times New Roman"/>
          <w:b/>
          <w:sz w:val="24"/>
        </w:rPr>
        <w:t>7</w:t>
      </w:r>
      <w:bookmarkEnd w:id="0"/>
      <w:r w:rsidRPr="00BD0C19">
        <w:rPr>
          <w:rFonts w:ascii="Times New Roman" w:hAnsi="Times New Roman"/>
          <w:b/>
          <w:sz w:val="24"/>
        </w:rPr>
        <w:t xml:space="preserve"> – </w:t>
      </w:r>
      <w:bookmarkStart w:id="1" w:name="bkInstrumentSubTitle"/>
      <w:bookmarkStart w:id="2" w:name="bkStart"/>
      <w:bookmarkEnd w:id="1"/>
      <w:bookmarkEnd w:id="2"/>
      <w:r w:rsidR="006502E8" w:rsidRPr="006502E8">
        <w:rPr>
          <w:rFonts w:ascii="Times New Roman" w:hAnsi="Times New Roman"/>
          <w:b/>
          <w:sz w:val="24"/>
        </w:rPr>
        <w:t>Reporting Standard ARS 731.4 International Banking Statistics — Balance Sheet Items</w:t>
      </w:r>
    </w:p>
    <w:p w14:paraId="3A5945CA" w14:textId="77777777" w:rsidR="006424B5" w:rsidRPr="00BD0C19" w:rsidRDefault="00B0401E" w:rsidP="006424B5">
      <w:pPr>
        <w:pStyle w:val="Heading"/>
        <w:tabs>
          <w:tab w:val="left" w:pos="360"/>
        </w:tabs>
        <w:spacing w:before="120"/>
        <w:jc w:val="center"/>
        <w:rPr>
          <w:rFonts w:ascii="Times New Roman" w:hAnsi="Times New Roman"/>
          <w:b/>
          <w:sz w:val="24"/>
          <w:u w:val="single"/>
        </w:rPr>
      </w:pPr>
      <w:r w:rsidRPr="00BD0C19">
        <w:rPr>
          <w:rFonts w:ascii="Times New Roman" w:hAnsi="Times New Roman"/>
          <w:b/>
          <w:sz w:val="24"/>
          <w:u w:val="single"/>
        </w:rPr>
        <w:t>EXPLANATORY STATEMENT</w:t>
      </w:r>
    </w:p>
    <w:p w14:paraId="3A5945CB" w14:textId="77777777" w:rsidR="006424B5" w:rsidRPr="00BD0C19" w:rsidRDefault="00B0401E" w:rsidP="006424B5">
      <w:pPr>
        <w:pStyle w:val="Heading"/>
        <w:spacing w:before="120"/>
        <w:jc w:val="center"/>
        <w:rPr>
          <w:rFonts w:ascii="Times New Roman" w:hAnsi="Times New Roman"/>
          <w:b/>
          <w:sz w:val="24"/>
        </w:rPr>
      </w:pPr>
      <w:r w:rsidRPr="00BD0C19">
        <w:rPr>
          <w:rFonts w:ascii="Times New Roman" w:hAnsi="Times New Roman"/>
          <w:b/>
          <w:sz w:val="24"/>
        </w:rPr>
        <w:t>Prepared by the Australian Prudential Regulation Authority (APRA)</w:t>
      </w:r>
    </w:p>
    <w:p w14:paraId="3A5945CC" w14:textId="73C10289" w:rsidR="006424B5" w:rsidRPr="00BD0C19" w:rsidRDefault="00B0401E" w:rsidP="006424B5">
      <w:pPr>
        <w:pStyle w:val="Heading"/>
        <w:tabs>
          <w:tab w:val="left" w:pos="360"/>
        </w:tabs>
        <w:spacing w:before="120"/>
        <w:jc w:val="center"/>
        <w:rPr>
          <w:rFonts w:ascii="Times New Roman" w:hAnsi="Times New Roman"/>
          <w:sz w:val="24"/>
        </w:rPr>
      </w:pPr>
      <w:r w:rsidRPr="00BD0C19">
        <w:rPr>
          <w:rFonts w:ascii="Times New Roman" w:hAnsi="Times New Roman"/>
          <w:i/>
          <w:sz w:val="24"/>
        </w:rPr>
        <w:t>Financial Sector (Collection of Data) Act 2001</w:t>
      </w:r>
      <w:r w:rsidRPr="00BD0C19">
        <w:rPr>
          <w:rFonts w:ascii="Times New Roman" w:hAnsi="Times New Roman"/>
          <w:sz w:val="24"/>
        </w:rPr>
        <w:t xml:space="preserve"> (the Act)</w:t>
      </w:r>
      <w:r w:rsidR="000825D0" w:rsidRPr="00BD0C19">
        <w:rPr>
          <w:rFonts w:ascii="Times New Roman" w:hAnsi="Times New Roman"/>
          <w:sz w:val="24"/>
        </w:rPr>
        <w:t>,</w:t>
      </w:r>
      <w:r w:rsidRPr="00BD0C19">
        <w:rPr>
          <w:rFonts w:ascii="Times New Roman" w:hAnsi="Times New Roman"/>
          <w:sz w:val="24"/>
        </w:rPr>
        <w:t xml:space="preserve"> subsection</w:t>
      </w:r>
      <w:r w:rsidR="00D46E13">
        <w:rPr>
          <w:rFonts w:ascii="Times New Roman" w:hAnsi="Times New Roman"/>
          <w:sz w:val="24"/>
        </w:rPr>
        <w:t>s</w:t>
      </w:r>
      <w:r w:rsidRPr="00BD0C19">
        <w:rPr>
          <w:rFonts w:ascii="Times New Roman" w:hAnsi="Times New Roman"/>
          <w:sz w:val="24"/>
        </w:rPr>
        <w:t xml:space="preserve"> 13(1)</w:t>
      </w:r>
      <w:r w:rsidR="00D46E13">
        <w:rPr>
          <w:rFonts w:ascii="Times New Roman" w:hAnsi="Times New Roman"/>
          <w:sz w:val="24"/>
        </w:rPr>
        <w:t xml:space="preserve"> and 15(1)</w:t>
      </w:r>
    </w:p>
    <w:p w14:paraId="6C221D13" w14:textId="4BE26C04" w:rsidR="002E23F1" w:rsidRDefault="002E23F1" w:rsidP="006424B5">
      <w:pPr>
        <w:widowControl w:val="0"/>
        <w:spacing w:before="120" w:after="60"/>
        <w:rPr>
          <w:rFonts w:ascii="Times New Roman" w:hAnsi="Times New Roman"/>
          <w:sz w:val="24"/>
        </w:rPr>
      </w:pPr>
      <w:bookmarkStart w:id="3" w:name="bkAct"/>
      <w:bookmarkStart w:id="4" w:name="bkExplanatory"/>
      <w:bookmarkEnd w:id="3"/>
      <w:bookmarkEnd w:id="4"/>
    </w:p>
    <w:p w14:paraId="619032CF" w14:textId="7B504658" w:rsidR="009839D5" w:rsidRDefault="006424B5" w:rsidP="006424B5">
      <w:pPr>
        <w:widowControl w:val="0"/>
        <w:spacing w:before="120" w:after="60"/>
        <w:rPr>
          <w:rFonts w:ascii="Times New Roman" w:hAnsi="Times New Roman"/>
          <w:sz w:val="24"/>
        </w:rPr>
      </w:pPr>
      <w:r w:rsidRPr="00BD0C19">
        <w:rPr>
          <w:rFonts w:ascii="Times New Roman" w:hAnsi="Times New Roman"/>
          <w:sz w:val="24"/>
        </w:rPr>
        <w:t xml:space="preserve">Under </w:t>
      </w:r>
      <w:r w:rsidR="00E02376" w:rsidRPr="00BD0C19">
        <w:rPr>
          <w:rFonts w:ascii="Times New Roman" w:hAnsi="Times New Roman"/>
          <w:sz w:val="24"/>
        </w:rPr>
        <w:t xml:space="preserve">paragraph </w:t>
      </w:r>
      <w:r w:rsidRPr="00BD0C19">
        <w:rPr>
          <w:rFonts w:ascii="Times New Roman" w:hAnsi="Times New Roman"/>
          <w:sz w:val="24"/>
        </w:rPr>
        <w:t>13(1)</w:t>
      </w:r>
      <w:r w:rsidR="00E02376" w:rsidRPr="00BD0C19">
        <w:rPr>
          <w:rFonts w:ascii="Times New Roman" w:hAnsi="Times New Roman"/>
          <w:sz w:val="24"/>
        </w:rPr>
        <w:t>(a)</w:t>
      </w:r>
      <w:r w:rsidRPr="00BD0C19">
        <w:rPr>
          <w:rFonts w:ascii="Times New Roman" w:hAnsi="Times New Roman"/>
          <w:sz w:val="24"/>
        </w:rPr>
        <w:t xml:space="preserve"> of the Act</w:t>
      </w:r>
      <w:r w:rsidR="00E02376" w:rsidRPr="00BD0C19">
        <w:rPr>
          <w:rFonts w:ascii="Times New Roman" w:hAnsi="Times New Roman"/>
          <w:sz w:val="24"/>
        </w:rPr>
        <w:t>,</w:t>
      </w:r>
      <w:r w:rsidRPr="00BD0C19">
        <w:rPr>
          <w:rFonts w:ascii="Times New Roman" w:hAnsi="Times New Roman"/>
          <w:sz w:val="24"/>
        </w:rPr>
        <w:t xml:space="preserve"> APRA </w:t>
      </w:r>
      <w:r w:rsidR="00E02376" w:rsidRPr="00BD0C19">
        <w:rPr>
          <w:rFonts w:ascii="Times New Roman" w:hAnsi="Times New Roman"/>
          <w:sz w:val="24"/>
        </w:rPr>
        <w:t xml:space="preserve">may, by writing, </w:t>
      </w:r>
      <w:r w:rsidRPr="00BD0C19">
        <w:rPr>
          <w:rFonts w:ascii="Times New Roman" w:hAnsi="Times New Roman"/>
          <w:sz w:val="24"/>
        </w:rPr>
        <w:t xml:space="preserve">determine reporting standards </w:t>
      </w:r>
      <w:r w:rsidR="00E02376" w:rsidRPr="00BD0C19">
        <w:rPr>
          <w:rFonts w:ascii="Times New Roman" w:hAnsi="Times New Roman"/>
          <w:sz w:val="24"/>
        </w:rPr>
        <w:t xml:space="preserve">with which </w:t>
      </w:r>
      <w:r w:rsidRPr="00BD0C19">
        <w:rPr>
          <w:rFonts w:ascii="Times New Roman" w:hAnsi="Times New Roman"/>
          <w:sz w:val="24"/>
        </w:rPr>
        <w:t>financial sector entities</w:t>
      </w:r>
      <w:r w:rsidR="00E02376" w:rsidRPr="00BD0C19">
        <w:rPr>
          <w:rFonts w:ascii="Times New Roman" w:hAnsi="Times New Roman"/>
          <w:sz w:val="24"/>
        </w:rPr>
        <w:t xml:space="preserve"> must comply</w:t>
      </w:r>
      <w:r w:rsidRPr="00BD0C19">
        <w:rPr>
          <w:rFonts w:ascii="Times New Roman" w:hAnsi="Times New Roman"/>
          <w:sz w:val="24"/>
        </w:rPr>
        <w:t xml:space="preserve">. </w:t>
      </w:r>
      <w:r w:rsidR="00652690" w:rsidRPr="00652690">
        <w:rPr>
          <w:rFonts w:ascii="Times New Roman" w:hAnsi="Times New Roman"/>
          <w:sz w:val="24"/>
        </w:rPr>
        <w:t>Such standards relate to reporting financial or accounting data and other information regarding the business or activities of the entities.  Subsection 15(1) of the Act provides that APRA may declare a day on and after which the reporting standards are to apply.</w:t>
      </w:r>
      <w:r w:rsidR="00652690">
        <w:rPr>
          <w:rFonts w:ascii="Times New Roman" w:hAnsi="Times New Roman"/>
          <w:sz w:val="24"/>
        </w:rPr>
        <w:t xml:space="preserve"> </w:t>
      </w:r>
    </w:p>
    <w:p w14:paraId="3EA8792A" w14:textId="180B15B4" w:rsidR="00B57B8F" w:rsidRDefault="00BB297D" w:rsidP="006502E8">
      <w:pPr>
        <w:widowControl w:val="0"/>
        <w:spacing w:before="120" w:after="60"/>
        <w:rPr>
          <w:rFonts w:ascii="Times New Roman" w:hAnsi="Times New Roman"/>
          <w:sz w:val="24"/>
        </w:rPr>
      </w:pPr>
      <w:r w:rsidRPr="00BB297D">
        <w:rPr>
          <w:rFonts w:ascii="Times New Roman" w:hAnsi="Times New Roman"/>
          <w:sz w:val="24"/>
        </w:rPr>
        <w:t xml:space="preserve">On </w:t>
      </w:r>
      <w:r w:rsidR="00EB457F">
        <w:rPr>
          <w:rFonts w:ascii="Times New Roman" w:hAnsi="Times New Roman"/>
          <w:sz w:val="24"/>
        </w:rPr>
        <w:t>08 August 2</w:t>
      </w:r>
      <w:r>
        <w:rPr>
          <w:rFonts w:ascii="Times New Roman" w:hAnsi="Times New Roman"/>
          <w:sz w:val="24"/>
        </w:rPr>
        <w:t>017</w:t>
      </w:r>
      <w:r w:rsidRPr="00BB297D">
        <w:rPr>
          <w:rFonts w:ascii="Times New Roman" w:hAnsi="Times New Roman"/>
          <w:sz w:val="24"/>
        </w:rPr>
        <w:t xml:space="preserve">, APRA made the </w:t>
      </w:r>
      <w:r w:rsidR="006424B5" w:rsidRPr="00BD0C19">
        <w:rPr>
          <w:rFonts w:ascii="Times New Roman" w:hAnsi="Times New Roman"/>
          <w:sz w:val="24"/>
        </w:rPr>
        <w:t xml:space="preserve">Financial Sector (Collection of Data) (reporting standard) determination No. </w:t>
      </w:r>
      <w:r w:rsidR="006502E8">
        <w:rPr>
          <w:rFonts w:ascii="Times New Roman" w:hAnsi="Times New Roman"/>
          <w:sz w:val="24"/>
        </w:rPr>
        <w:t>5</w:t>
      </w:r>
      <w:r w:rsidR="00142296">
        <w:rPr>
          <w:rFonts w:ascii="Times New Roman" w:hAnsi="Times New Roman"/>
          <w:sz w:val="24"/>
        </w:rPr>
        <w:t xml:space="preserve"> </w:t>
      </w:r>
      <w:r w:rsidR="006424B5" w:rsidRPr="00BD0C19">
        <w:rPr>
          <w:rFonts w:ascii="Times New Roman" w:hAnsi="Times New Roman"/>
          <w:sz w:val="24"/>
        </w:rPr>
        <w:t>of 20</w:t>
      </w:r>
      <w:r w:rsidR="00793106" w:rsidRPr="00BD0C19">
        <w:rPr>
          <w:rFonts w:ascii="Times New Roman" w:hAnsi="Times New Roman"/>
          <w:sz w:val="24"/>
        </w:rPr>
        <w:t>1</w:t>
      </w:r>
      <w:r w:rsidR="00E70047">
        <w:rPr>
          <w:rFonts w:ascii="Times New Roman" w:hAnsi="Times New Roman"/>
          <w:sz w:val="24"/>
        </w:rPr>
        <w:t>7</w:t>
      </w:r>
      <w:r w:rsidR="006502E8">
        <w:rPr>
          <w:rFonts w:ascii="Times New Roman" w:hAnsi="Times New Roman"/>
          <w:sz w:val="24"/>
        </w:rPr>
        <w:t xml:space="preserve"> </w:t>
      </w:r>
      <w:r w:rsidR="00B05385" w:rsidRPr="00BD0C19">
        <w:rPr>
          <w:rFonts w:ascii="Times New Roman" w:hAnsi="Times New Roman"/>
          <w:sz w:val="24"/>
        </w:rPr>
        <w:t xml:space="preserve">(the instrument) </w:t>
      </w:r>
      <w:r w:rsidR="006502E8">
        <w:rPr>
          <w:rFonts w:ascii="Times New Roman" w:hAnsi="Times New Roman"/>
          <w:sz w:val="24"/>
        </w:rPr>
        <w:t xml:space="preserve">which </w:t>
      </w:r>
      <w:r w:rsidR="00375505">
        <w:rPr>
          <w:rFonts w:ascii="Times New Roman" w:hAnsi="Times New Roman"/>
          <w:sz w:val="24"/>
        </w:rPr>
        <w:t xml:space="preserve">determines </w:t>
      </w:r>
      <w:r w:rsidR="006502E8" w:rsidRPr="006502E8">
        <w:rPr>
          <w:rFonts w:ascii="Times New Roman" w:hAnsi="Times New Roman"/>
          <w:i/>
          <w:sz w:val="24"/>
        </w:rPr>
        <w:t>Reporting Standard ARS 731.4 International Banking Statistics — Balance Sheet Items</w:t>
      </w:r>
      <w:r w:rsidR="00142296">
        <w:rPr>
          <w:rFonts w:ascii="Times New Roman" w:hAnsi="Times New Roman"/>
          <w:sz w:val="24"/>
        </w:rPr>
        <w:t>.</w:t>
      </w:r>
      <w:r w:rsidR="00C93BD1">
        <w:rPr>
          <w:rFonts w:ascii="Times New Roman" w:hAnsi="Times New Roman"/>
          <w:sz w:val="24"/>
        </w:rPr>
        <w:t xml:space="preserve"> </w:t>
      </w:r>
    </w:p>
    <w:p w14:paraId="6C1BE38C" w14:textId="48D3D011" w:rsidR="005014EA" w:rsidRPr="00815A3B" w:rsidRDefault="005014EA" w:rsidP="006502E8">
      <w:pPr>
        <w:widowControl w:val="0"/>
        <w:spacing w:before="120" w:after="60"/>
        <w:rPr>
          <w:rFonts w:ascii="Times New Roman" w:hAnsi="Times New Roman"/>
          <w:sz w:val="24"/>
        </w:rPr>
      </w:pPr>
      <w:r w:rsidRPr="005014EA">
        <w:rPr>
          <w:rFonts w:ascii="Times New Roman" w:hAnsi="Times New Roman"/>
          <w:sz w:val="24"/>
        </w:rPr>
        <w:t>This instrument commences on 1 October 2017.</w:t>
      </w:r>
    </w:p>
    <w:p w14:paraId="3A5945D2" w14:textId="77777777" w:rsidR="006424B5" w:rsidRPr="00BD0C19" w:rsidRDefault="00B0401E" w:rsidP="006424B5">
      <w:pPr>
        <w:pStyle w:val="Heading"/>
        <w:numPr>
          <w:ilvl w:val="0"/>
          <w:numId w:val="1"/>
        </w:numPr>
        <w:spacing w:before="120" w:after="60"/>
        <w:jc w:val="both"/>
        <w:outlineLvl w:val="0"/>
        <w:rPr>
          <w:rFonts w:ascii="Times New Roman" w:hAnsi="Times New Roman"/>
          <w:b/>
          <w:sz w:val="24"/>
        </w:rPr>
      </w:pPr>
      <w:r w:rsidRPr="00BD0C19">
        <w:rPr>
          <w:rFonts w:ascii="Times New Roman" w:hAnsi="Times New Roman"/>
          <w:b/>
          <w:sz w:val="24"/>
        </w:rPr>
        <w:t>Background</w:t>
      </w:r>
    </w:p>
    <w:p w14:paraId="3A5945D3" w14:textId="77777777" w:rsidR="002E683B" w:rsidRDefault="002E683B" w:rsidP="002E683B">
      <w:pPr>
        <w:widowControl w:val="0"/>
        <w:spacing w:before="120" w:after="60"/>
        <w:rPr>
          <w:rFonts w:ascii="Times New Roman" w:hAnsi="Times New Roman"/>
          <w:sz w:val="24"/>
        </w:rPr>
      </w:pPr>
      <w:bookmarkStart w:id="5" w:name="bkBackground"/>
      <w:bookmarkEnd w:id="5"/>
      <w:r w:rsidRPr="002E683B">
        <w:rPr>
          <w:rFonts w:ascii="Times New Roman" w:hAnsi="Times New Roman"/>
          <w:sz w:val="24"/>
        </w:rPr>
        <w:t xml:space="preserve">The Bank for International Settlements (BIS) compiles quarterly aggregate statistics on international banking activity in the International </w:t>
      </w:r>
      <w:r>
        <w:rPr>
          <w:rFonts w:ascii="Times New Roman" w:hAnsi="Times New Roman"/>
          <w:sz w:val="24"/>
        </w:rPr>
        <w:t xml:space="preserve">Banking Statistics (IBS). The IBS include </w:t>
      </w:r>
      <w:r w:rsidRPr="002E683B">
        <w:rPr>
          <w:rFonts w:ascii="Times New Roman" w:hAnsi="Times New Roman"/>
          <w:sz w:val="24"/>
        </w:rPr>
        <w:t>data supplied by APRA. In 2012 the BIS approved enhancements to the IBS to fill some of the data gaps identified in IBS.</w:t>
      </w:r>
    </w:p>
    <w:p w14:paraId="3A5945D4" w14:textId="77777777" w:rsidR="007A47D4" w:rsidRPr="00BD0C19" w:rsidRDefault="007A47D4" w:rsidP="007A47D4">
      <w:pPr>
        <w:jc w:val="both"/>
        <w:rPr>
          <w:rFonts w:ascii="Times New Roman" w:hAnsi="Times New Roman"/>
          <w:sz w:val="24"/>
          <w:lang w:eastAsia="en-US"/>
        </w:rPr>
      </w:pPr>
      <w:r w:rsidRPr="00BD0C19">
        <w:rPr>
          <w:rFonts w:ascii="Times New Roman" w:hAnsi="Times New Roman"/>
          <w:sz w:val="24"/>
          <w:lang w:eastAsia="en-US"/>
        </w:rPr>
        <w:t>Following industry consultation APRA decided to implement improvements</w:t>
      </w:r>
      <w:r w:rsidR="00107EB1" w:rsidRPr="00BD0C19">
        <w:rPr>
          <w:rFonts w:ascii="Times New Roman" w:hAnsi="Times New Roman"/>
          <w:sz w:val="24"/>
          <w:lang w:eastAsia="en-US"/>
        </w:rPr>
        <w:t xml:space="preserve"> to its</w:t>
      </w:r>
      <w:r w:rsidRPr="00BD0C19">
        <w:rPr>
          <w:rFonts w:ascii="Times New Roman" w:hAnsi="Times New Roman"/>
          <w:sz w:val="24"/>
          <w:lang w:eastAsia="en-US"/>
        </w:rPr>
        <w:t xml:space="preserve"> </w:t>
      </w:r>
      <w:r w:rsidR="0091439F" w:rsidRPr="00BD0C19">
        <w:rPr>
          <w:rFonts w:ascii="Times New Roman" w:hAnsi="Times New Roman"/>
          <w:sz w:val="24"/>
          <w:lang w:eastAsia="en-US"/>
        </w:rPr>
        <w:t>collection</w:t>
      </w:r>
      <w:r w:rsidR="00107EB1" w:rsidRPr="00BD0C19">
        <w:rPr>
          <w:rFonts w:ascii="Times New Roman" w:hAnsi="Times New Roman"/>
          <w:sz w:val="24"/>
          <w:lang w:eastAsia="en-US"/>
        </w:rPr>
        <w:t xml:space="preserve"> </w:t>
      </w:r>
      <w:r w:rsidR="0091439F" w:rsidRPr="00BD0C19">
        <w:rPr>
          <w:rFonts w:ascii="Times New Roman" w:hAnsi="Times New Roman"/>
          <w:sz w:val="24"/>
          <w:lang w:eastAsia="en-US"/>
        </w:rPr>
        <w:t xml:space="preserve">of the </w:t>
      </w:r>
      <w:r w:rsidR="00193206">
        <w:rPr>
          <w:rFonts w:ascii="Times New Roman" w:hAnsi="Times New Roman"/>
          <w:sz w:val="24"/>
          <w:lang w:eastAsia="en-US"/>
        </w:rPr>
        <w:t>BIS IE</w:t>
      </w:r>
      <w:r w:rsidRPr="00BD0C19">
        <w:rPr>
          <w:rFonts w:ascii="Times New Roman" w:hAnsi="Times New Roman"/>
          <w:sz w:val="24"/>
          <w:lang w:eastAsia="en-US"/>
        </w:rPr>
        <w:t xml:space="preserve"> statistics. These improvements include: </w:t>
      </w:r>
    </w:p>
    <w:p w14:paraId="3A5945D5" w14:textId="77777777" w:rsidR="0091439F" w:rsidRPr="00BD0C19" w:rsidRDefault="0091439F" w:rsidP="007A47D4">
      <w:pPr>
        <w:jc w:val="both"/>
        <w:rPr>
          <w:rFonts w:ascii="Times New Roman" w:hAnsi="Times New Roman"/>
          <w:sz w:val="24"/>
          <w:lang w:eastAsia="en-US"/>
        </w:rPr>
      </w:pPr>
    </w:p>
    <w:p w14:paraId="3A5945D6" w14:textId="77777777" w:rsidR="007A47D4" w:rsidRPr="00BD0C19" w:rsidRDefault="00193206" w:rsidP="007A47D4">
      <w:pPr>
        <w:numPr>
          <w:ilvl w:val="0"/>
          <w:numId w:val="4"/>
        </w:numPr>
        <w:spacing w:after="240"/>
        <w:contextualSpacing/>
        <w:jc w:val="both"/>
        <w:rPr>
          <w:rFonts w:ascii="Times New Roman" w:eastAsia="Calibri" w:hAnsi="Times New Roman"/>
          <w:sz w:val="24"/>
        </w:rPr>
      </w:pPr>
      <w:r>
        <w:rPr>
          <w:rFonts w:ascii="Times New Roman" w:eastAsia="Calibri" w:hAnsi="Times New Roman"/>
          <w:sz w:val="24"/>
        </w:rPr>
        <w:t>rationalisation of the number of forms from three to one</w:t>
      </w:r>
      <w:r w:rsidR="007A47D4" w:rsidRPr="00BD0C19">
        <w:rPr>
          <w:rFonts w:ascii="Times New Roman" w:eastAsia="Calibri" w:hAnsi="Times New Roman"/>
          <w:sz w:val="24"/>
        </w:rPr>
        <w:t>;</w:t>
      </w:r>
    </w:p>
    <w:p w14:paraId="3A5945D7" w14:textId="77777777" w:rsidR="007A47D4" w:rsidRPr="00BD0C19" w:rsidRDefault="00193206" w:rsidP="007A47D4">
      <w:pPr>
        <w:numPr>
          <w:ilvl w:val="0"/>
          <w:numId w:val="4"/>
        </w:numPr>
        <w:spacing w:after="240"/>
        <w:contextualSpacing/>
        <w:jc w:val="both"/>
        <w:rPr>
          <w:rFonts w:ascii="Times New Roman" w:eastAsia="Calibri" w:hAnsi="Times New Roman"/>
          <w:sz w:val="24"/>
        </w:rPr>
      </w:pPr>
      <w:r>
        <w:rPr>
          <w:rFonts w:ascii="Times New Roman" w:eastAsia="Calibri" w:hAnsi="Times New Roman"/>
          <w:sz w:val="24"/>
        </w:rPr>
        <w:t>including additional counterparty sector information</w:t>
      </w:r>
      <w:r w:rsidR="007A47D4" w:rsidRPr="00BD0C19">
        <w:rPr>
          <w:rFonts w:ascii="Times New Roman" w:eastAsia="Calibri" w:hAnsi="Times New Roman"/>
          <w:sz w:val="24"/>
        </w:rPr>
        <w:t xml:space="preserve">; </w:t>
      </w:r>
    </w:p>
    <w:p w14:paraId="3A5945D8" w14:textId="77777777" w:rsidR="007A47D4" w:rsidRPr="00BD0C19" w:rsidRDefault="00193206" w:rsidP="007A47D4">
      <w:pPr>
        <w:numPr>
          <w:ilvl w:val="0"/>
          <w:numId w:val="4"/>
        </w:numPr>
        <w:spacing w:after="240"/>
        <w:contextualSpacing/>
        <w:jc w:val="both"/>
        <w:rPr>
          <w:rFonts w:ascii="Times New Roman" w:eastAsia="Calibri" w:hAnsi="Times New Roman"/>
          <w:sz w:val="24"/>
        </w:rPr>
      </w:pPr>
      <w:r>
        <w:rPr>
          <w:rFonts w:ascii="Times New Roman" w:eastAsia="Calibri" w:hAnsi="Times New Roman"/>
          <w:sz w:val="24"/>
        </w:rPr>
        <w:t>including information on positions vis-à-vis Australia</w:t>
      </w:r>
      <w:r w:rsidR="007A47D4" w:rsidRPr="00BD0C19">
        <w:rPr>
          <w:rFonts w:ascii="Times New Roman" w:eastAsia="Calibri" w:hAnsi="Times New Roman"/>
          <w:sz w:val="24"/>
        </w:rPr>
        <w:t xml:space="preserve">; and </w:t>
      </w:r>
    </w:p>
    <w:p w14:paraId="3A5945D9" w14:textId="77777777" w:rsidR="007A47D4" w:rsidRDefault="00193206" w:rsidP="007A47D4">
      <w:pPr>
        <w:numPr>
          <w:ilvl w:val="0"/>
          <w:numId w:val="4"/>
        </w:numPr>
        <w:spacing w:after="240"/>
        <w:contextualSpacing/>
        <w:jc w:val="both"/>
        <w:rPr>
          <w:rFonts w:ascii="Times New Roman" w:eastAsia="Calibri" w:hAnsi="Times New Roman"/>
          <w:sz w:val="24"/>
        </w:rPr>
      </w:pPr>
      <w:r>
        <w:rPr>
          <w:rFonts w:ascii="Times New Roman" w:eastAsia="Calibri" w:hAnsi="Times New Roman"/>
          <w:sz w:val="24"/>
        </w:rPr>
        <w:t>including one additional currency</w:t>
      </w:r>
      <w:r w:rsidR="007A47D4" w:rsidRPr="00BD0C19">
        <w:rPr>
          <w:rFonts w:ascii="Times New Roman" w:eastAsia="Calibri" w:hAnsi="Times New Roman"/>
          <w:sz w:val="24"/>
        </w:rPr>
        <w:t xml:space="preserve">. </w:t>
      </w:r>
    </w:p>
    <w:p w14:paraId="3A5945DA" w14:textId="77777777" w:rsidR="006424B5" w:rsidRPr="00BD0C19" w:rsidRDefault="00B0401E" w:rsidP="00133A27">
      <w:pPr>
        <w:pStyle w:val="ListParagraph"/>
        <w:widowControl w:val="0"/>
        <w:numPr>
          <w:ilvl w:val="0"/>
          <w:numId w:val="1"/>
        </w:numPr>
        <w:spacing w:before="120" w:after="60"/>
        <w:rPr>
          <w:rFonts w:ascii="Times New Roman" w:hAnsi="Times New Roman"/>
          <w:b/>
          <w:sz w:val="24"/>
        </w:rPr>
      </w:pPr>
      <w:r w:rsidRPr="00BD0C19">
        <w:rPr>
          <w:rFonts w:ascii="Times New Roman" w:hAnsi="Times New Roman"/>
          <w:b/>
          <w:sz w:val="24"/>
        </w:rPr>
        <w:t>Purpose of the instrument</w:t>
      </w:r>
    </w:p>
    <w:p w14:paraId="4266D4F7" w14:textId="32049D68" w:rsidR="00A76A99" w:rsidRPr="006502E8" w:rsidRDefault="006424B5" w:rsidP="006502E8">
      <w:pPr>
        <w:widowControl w:val="0"/>
        <w:spacing w:before="120" w:after="60"/>
        <w:rPr>
          <w:rFonts w:ascii="Times New Roman" w:hAnsi="Times New Roman"/>
          <w:sz w:val="24"/>
        </w:rPr>
      </w:pPr>
      <w:r w:rsidRPr="00BD0C19">
        <w:rPr>
          <w:rFonts w:ascii="Times New Roman" w:hAnsi="Times New Roman"/>
          <w:sz w:val="24"/>
        </w:rPr>
        <w:t xml:space="preserve">The purpose of the instrument is to </w:t>
      </w:r>
      <w:r w:rsidR="009A7C6B" w:rsidRPr="00BD0C19">
        <w:rPr>
          <w:rFonts w:ascii="Times New Roman" w:hAnsi="Times New Roman"/>
          <w:sz w:val="24"/>
        </w:rPr>
        <w:t xml:space="preserve">determine a new reporting standard </w:t>
      </w:r>
      <w:r w:rsidR="002E683B">
        <w:rPr>
          <w:rFonts w:ascii="Times New Roman" w:hAnsi="Times New Roman"/>
          <w:sz w:val="24"/>
        </w:rPr>
        <w:t xml:space="preserve">to replace </w:t>
      </w:r>
      <w:r w:rsidR="00142296">
        <w:rPr>
          <w:rFonts w:ascii="Times New Roman" w:hAnsi="Times New Roman"/>
          <w:sz w:val="24"/>
        </w:rPr>
        <w:t>an existing reporting standard</w:t>
      </w:r>
      <w:r w:rsidR="002E683B">
        <w:rPr>
          <w:rFonts w:ascii="Times New Roman" w:hAnsi="Times New Roman"/>
          <w:sz w:val="24"/>
        </w:rPr>
        <w:t xml:space="preserve"> used to collect data to provide to the BIS for use in the IBS. The data may also be used by APRA for supervision, and by the Reserve Bank of Australia.</w:t>
      </w:r>
    </w:p>
    <w:p w14:paraId="3A5945E3" w14:textId="77777777" w:rsidR="009A7C6B" w:rsidRPr="00BD0C19" w:rsidRDefault="009A7C6B" w:rsidP="00142296">
      <w:pPr>
        <w:pStyle w:val="Heading"/>
        <w:numPr>
          <w:ilvl w:val="0"/>
          <w:numId w:val="9"/>
        </w:numPr>
        <w:tabs>
          <w:tab w:val="left" w:pos="360"/>
        </w:tabs>
        <w:spacing w:before="120"/>
        <w:rPr>
          <w:rFonts w:ascii="Times New Roman" w:hAnsi="Times New Roman"/>
          <w:b/>
          <w:sz w:val="24"/>
        </w:rPr>
      </w:pPr>
      <w:bookmarkStart w:id="6" w:name="bkConsultation"/>
      <w:bookmarkEnd w:id="6"/>
      <w:r w:rsidRPr="00BD0C19">
        <w:rPr>
          <w:rFonts w:ascii="Times New Roman" w:hAnsi="Times New Roman"/>
          <w:b/>
          <w:sz w:val="24"/>
        </w:rPr>
        <w:t>Consultation</w:t>
      </w:r>
    </w:p>
    <w:p w14:paraId="3A5945E4" w14:textId="77777777" w:rsidR="0071518A" w:rsidRPr="00BD0C19" w:rsidRDefault="0071518A" w:rsidP="0071518A">
      <w:pPr>
        <w:jc w:val="both"/>
        <w:rPr>
          <w:sz w:val="24"/>
          <w:lang w:eastAsia="en-US"/>
        </w:rPr>
      </w:pPr>
      <w:bookmarkStart w:id="7" w:name="bkRISNO"/>
      <w:bookmarkEnd w:id="7"/>
    </w:p>
    <w:p w14:paraId="3A5945E5" w14:textId="77777777" w:rsidR="0071518A" w:rsidRPr="00BD0C19" w:rsidRDefault="00B153F0" w:rsidP="0071518A">
      <w:pPr>
        <w:jc w:val="both"/>
        <w:rPr>
          <w:rFonts w:ascii="Times New Roman" w:hAnsi="Times New Roman"/>
          <w:sz w:val="24"/>
          <w:lang w:eastAsia="en-US"/>
        </w:rPr>
      </w:pPr>
      <w:r>
        <w:rPr>
          <w:rFonts w:ascii="Times New Roman" w:hAnsi="Times New Roman"/>
          <w:sz w:val="24"/>
          <w:lang w:eastAsia="en-US"/>
        </w:rPr>
        <w:t>On 28</w:t>
      </w:r>
      <w:r w:rsidR="0071518A" w:rsidRPr="00BD0C19">
        <w:rPr>
          <w:rFonts w:ascii="Times New Roman" w:hAnsi="Times New Roman"/>
          <w:sz w:val="24"/>
          <w:lang w:eastAsia="en-US"/>
        </w:rPr>
        <w:t xml:space="preserve"> </w:t>
      </w:r>
      <w:r>
        <w:rPr>
          <w:rFonts w:ascii="Times New Roman" w:hAnsi="Times New Roman"/>
          <w:sz w:val="24"/>
          <w:lang w:eastAsia="en-US"/>
        </w:rPr>
        <w:t>July 2016</w:t>
      </w:r>
      <w:r w:rsidR="0071518A" w:rsidRPr="00BD0C19">
        <w:rPr>
          <w:rFonts w:ascii="Times New Roman" w:hAnsi="Times New Roman"/>
          <w:sz w:val="24"/>
          <w:lang w:eastAsia="en-US"/>
        </w:rPr>
        <w:t xml:space="preserve">, APRA released a discussion paper, </w:t>
      </w:r>
      <w:r w:rsidRPr="00B153F0">
        <w:rPr>
          <w:rFonts w:ascii="Times New Roman" w:hAnsi="Times New Roman"/>
          <w:i/>
          <w:sz w:val="24"/>
          <w:lang w:eastAsia="en-US"/>
        </w:rPr>
        <w:t>Banks’ International Exposures Reporting Requirements</w:t>
      </w:r>
      <w:r w:rsidR="0071518A" w:rsidRPr="00BD0C19">
        <w:rPr>
          <w:rFonts w:ascii="Times New Roman" w:hAnsi="Times New Roman"/>
          <w:i/>
          <w:sz w:val="24"/>
          <w:lang w:eastAsia="en-US"/>
        </w:rPr>
        <w:t xml:space="preserve"> </w:t>
      </w:r>
      <w:r w:rsidR="0071518A" w:rsidRPr="00BD0C19">
        <w:rPr>
          <w:rFonts w:ascii="Times New Roman" w:hAnsi="Times New Roman"/>
          <w:sz w:val="24"/>
          <w:lang w:eastAsia="en-US"/>
        </w:rPr>
        <w:t>(</w:t>
      </w:r>
      <w:r w:rsidR="00BE42AF" w:rsidRPr="00BD0C19">
        <w:rPr>
          <w:rFonts w:ascii="Times New Roman" w:hAnsi="Times New Roman"/>
          <w:sz w:val="24"/>
          <w:lang w:eastAsia="en-US"/>
        </w:rPr>
        <w:t xml:space="preserve">the </w:t>
      </w:r>
      <w:r w:rsidR="0071518A" w:rsidRPr="00BD0C19">
        <w:rPr>
          <w:rFonts w:ascii="Times New Roman" w:hAnsi="Times New Roman"/>
          <w:sz w:val="24"/>
          <w:lang w:eastAsia="en-US"/>
        </w:rPr>
        <w:t xml:space="preserve">Discussion Paper), on </w:t>
      </w:r>
      <w:r>
        <w:rPr>
          <w:rFonts w:ascii="Times New Roman" w:hAnsi="Times New Roman"/>
          <w:sz w:val="24"/>
          <w:lang w:eastAsia="en-US"/>
        </w:rPr>
        <w:t xml:space="preserve">proposed </w:t>
      </w:r>
      <w:r w:rsidR="0071518A" w:rsidRPr="00BD0C19">
        <w:rPr>
          <w:rFonts w:ascii="Times New Roman" w:hAnsi="Times New Roman"/>
          <w:sz w:val="24"/>
          <w:lang w:eastAsia="en-US"/>
        </w:rPr>
        <w:t xml:space="preserve">changes to the collection of </w:t>
      </w:r>
      <w:r>
        <w:rPr>
          <w:rFonts w:ascii="Times New Roman" w:hAnsi="Times New Roman"/>
          <w:sz w:val="24"/>
          <w:lang w:eastAsia="en-US"/>
        </w:rPr>
        <w:t xml:space="preserve">international exposures </w:t>
      </w:r>
      <w:r w:rsidR="0071518A" w:rsidRPr="00BD0C19">
        <w:rPr>
          <w:rFonts w:ascii="Times New Roman" w:hAnsi="Times New Roman"/>
          <w:sz w:val="24"/>
          <w:lang w:eastAsia="en-US"/>
        </w:rPr>
        <w:t>from ADIs.</w:t>
      </w:r>
    </w:p>
    <w:p w14:paraId="3A5945E6" w14:textId="77777777" w:rsidR="00A4054F" w:rsidRPr="00BD0C19" w:rsidRDefault="00A4054F" w:rsidP="0071518A">
      <w:pPr>
        <w:jc w:val="both"/>
        <w:rPr>
          <w:rFonts w:ascii="Times New Roman" w:hAnsi="Times New Roman"/>
          <w:sz w:val="24"/>
          <w:lang w:eastAsia="en-US"/>
        </w:rPr>
      </w:pPr>
    </w:p>
    <w:p w14:paraId="3A5945E7" w14:textId="2FD232C3" w:rsidR="00A4054F" w:rsidRPr="00BD0C19" w:rsidRDefault="00A4054F" w:rsidP="0071518A">
      <w:pPr>
        <w:jc w:val="both"/>
        <w:rPr>
          <w:rFonts w:ascii="Times New Roman" w:hAnsi="Times New Roman"/>
          <w:sz w:val="24"/>
        </w:rPr>
      </w:pPr>
      <w:r w:rsidRPr="00BD0C19">
        <w:rPr>
          <w:rFonts w:ascii="Times New Roman" w:hAnsi="Times New Roman"/>
          <w:sz w:val="24"/>
        </w:rPr>
        <w:t xml:space="preserve">In the Discussion Paper, APRA sought feedback </w:t>
      </w:r>
      <w:r w:rsidR="00B153F0">
        <w:rPr>
          <w:rFonts w:ascii="Times New Roman" w:hAnsi="Times New Roman"/>
          <w:sz w:val="24"/>
        </w:rPr>
        <w:t xml:space="preserve">from ADIs </w:t>
      </w:r>
      <w:r w:rsidRPr="00BD0C19">
        <w:rPr>
          <w:rFonts w:ascii="Times New Roman" w:hAnsi="Times New Roman"/>
          <w:sz w:val="24"/>
        </w:rPr>
        <w:t xml:space="preserve">on the </w:t>
      </w:r>
      <w:r w:rsidR="00B153F0">
        <w:rPr>
          <w:rFonts w:ascii="Times New Roman" w:hAnsi="Times New Roman"/>
          <w:sz w:val="24"/>
        </w:rPr>
        <w:t xml:space="preserve">proposed new reporting requirements, and the proposal to determine data reported under the new reporting standard non-confidential under s57 of the </w:t>
      </w:r>
      <w:r w:rsidR="00B153F0">
        <w:rPr>
          <w:rFonts w:ascii="Times New Roman" w:hAnsi="Times New Roman"/>
          <w:i/>
          <w:sz w:val="24"/>
        </w:rPr>
        <w:t xml:space="preserve">Australian Prudential Regulation Authority Act 1997. </w:t>
      </w:r>
    </w:p>
    <w:p w14:paraId="3A5945E8" w14:textId="77777777" w:rsidR="00A4054F" w:rsidRPr="00BD0C19" w:rsidRDefault="00A4054F" w:rsidP="0071518A">
      <w:pPr>
        <w:jc w:val="both"/>
        <w:rPr>
          <w:rFonts w:ascii="Times New Roman" w:hAnsi="Times New Roman"/>
          <w:sz w:val="24"/>
        </w:rPr>
      </w:pPr>
    </w:p>
    <w:p w14:paraId="3A5945E9" w14:textId="77777777" w:rsidR="00A4054F" w:rsidRPr="00BD0C19" w:rsidRDefault="00A4054F" w:rsidP="00A4054F">
      <w:pPr>
        <w:jc w:val="both"/>
        <w:rPr>
          <w:rFonts w:ascii="Times New Roman" w:hAnsi="Times New Roman"/>
          <w:sz w:val="24"/>
          <w:lang w:eastAsia="en-US"/>
        </w:rPr>
      </w:pPr>
      <w:r w:rsidRPr="00BD0C19">
        <w:rPr>
          <w:rFonts w:ascii="Times New Roman" w:hAnsi="Times New Roman"/>
          <w:sz w:val="24"/>
          <w:lang w:eastAsia="en-US"/>
        </w:rPr>
        <w:lastRenderedPageBreak/>
        <w:t xml:space="preserve">The submissions received by APRA from industry indicated general support for </w:t>
      </w:r>
      <w:r w:rsidR="00B153F0">
        <w:rPr>
          <w:rFonts w:ascii="Times New Roman" w:hAnsi="Times New Roman"/>
          <w:sz w:val="24"/>
          <w:lang w:eastAsia="en-US"/>
        </w:rPr>
        <w:t xml:space="preserve">the reporting changes, </w:t>
      </w:r>
      <w:r w:rsidR="00B153F0" w:rsidRPr="00B153F0">
        <w:rPr>
          <w:rFonts w:ascii="Times New Roman" w:hAnsi="Times New Roman"/>
          <w:sz w:val="24"/>
          <w:lang w:eastAsia="en-US"/>
        </w:rPr>
        <w:t>however all objected to the proposed first reporting period</w:t>
      </w:r>
      <w:r w:rsidR="00B153F0">
        <w:rPr>
          <w:rFonts w:ascii="Times New Roman" w:hAnsi="Times New Roman"/>
          <w:sz w:val="24"/>
          <w:lang w:eastAsia="en-US"/>
        </w:rPr>
        <w:t xml:space="preserve"> and made various comments on specific parts of the reporting requirements</w:t>
      </w:r>
      <w:r w:rsidR="00CF6615" w:rsidRPr="00BD0C19">
        <w:rPr>
          <w:rFonts w:ascii="Times New Roman" w:hAnsi="Times New Roman"/>
          <w:sz w:val="24"/>
        </w:rPr>
        <w:t>.</w:t>
      </w:r>
      <w:r w:rsidR="00B153F0">
        <w:rPr>
          <w:rFonts w:ascii="Times New Roman" w:hAnsi="Times New Roman"/>
          <w:sz w:val="24"/>
        </w:rPr>
        <w:t xml:space="preserve"> APRA issued a response to the submissions on 16 December 2016.</w:t>
      </w:r>
    </w:p>
    <w:p w14:paraId="3A5945EA" w14:textId="77777777" w:rsidR="00A4054F" w:rsidRPr="00BD0C19" w:rsidRDefault="00A4054F" w:rsidP="00A4054F">
      <w:pPr>
        <w:jc w:val="both"/>
        <w:rPr>
          <w:rFonts w:ascii="Times New Roman" w:hAnsi="Times New Roman"/>
          <w:sz w:val="24"/>
          <w:lang w:eastAsia="en-US"/>
        </w:rPr>
      </w:pPr>
    </w:p>
    <w:p w14:paraId="3A5945EB" w14:textId="683829FA" w:rsidR="00A4054F" w:rsidRPr="00BD0C19" w:rsidRDefault="001C67C8" w:rsidP="00A4054F">
      <w:pPr>
        <w:jc w:val="both"/>
        <w:rPr>
          <w:rFonts w:ascii="Times New Roman" w:hAnsi="Times New Roman"/>
          <w:sz w:val="24"/>
          <w:lang w:eastAsia="en-US"/>
        </w:rPr>
      </w:pPr>
      <w:r w:rsidRPr="00BD0C19">
        <w:rPr>
          <w:rFonts w:ascii="Times New Roman" w:hAnsi="Times New Roman"/>
          <w:sz w:val="24"/>
          <w:lang w:eastAsia="en-US"/>
        </w:rPr>
        <w:t>APRA took the</w:t>
      </w:r>
      <w:r w:rsidR="00A4054F" w:rsidRPr="00BD0C19">
        <w:rPr>
          <w:rFonts w:ascii="Times New Roman" w:hAnsi="Times New Roman"/>
          <w:sz w:val="24"/>
          <w:lang w:eastAsia="en-US"/>
        </w:rPr>
        <w:t xml:space="preserve"> submissions into account in deciding </w:t>
      </w:r>
      <w:r w:rsidR="00200B4F" w:rsidRPr="00BD0C19">
        <w:rPr>
          <w:rFonts w:ascii="Times New Roman" w:hAnsi="Times New Roman"/>
          <w:sz w:val="24"/>
          <w:lang w:eastAsia="en-US"/>
        </w:rPr>
        <w:t>the content of</w:t>
      </w:r>
      <w:r w:rsidR="00A4054F" w:rsidRPr="00BD0C19">
        <w:rPr>
          <w:rFonts w:ascii="Times New Roman" w:hAnsi="Times New Roman"/>
          <w:sz w:val="24"/>
          <w:lang w:eastAsia="en-US"/>
        </w:rPr>
        <w:t xml:space="preserve"> </w:t>
      </w:r>
      <w:r w:rsidR="006502E8" w:rsidRPr="006502E8">
        <w:rPr>
          <w:rFonts w:ascii="Times New Roman" w:hAnsi="Times New Roman"/>
          <w:i/>
          <w:sz w:val="24"/>
          <w:lang w:eastAsia="en-US"/>
        </w:rPr>
        <w:t>Reporting Standard ARS 731.4 International Banking Statistics — Balance Sheet Items</w:t>
      </w:r>
      <w:r w:rsidR="00B153F0">
        <w:rPr>
          <w:rFonts w:ascii="Times New Roman" w:hAnsi="Times New Roman"/>
          <w:sz w:val="24"/>
          <w:lang w:eastAsia="en-US"/>
        </w:rPr>
        <w:t>.</w:t>
      </w:r>
    </w:p>
    <w:p w14:paraId="3A5945EC" w14:textId="77777777" w:rsidR="00A4054F" w:rsidRPr="00BD0C19" w:rsidRDefault="00A4054F" w:rsidP="0071518A">
      <w:pPr>
        <w:jc w:val="both"/>
        <w:rPr>
          <w:rFonts w:ascii="Times New Roman" w:hAnsi="Times New Roman"/>
          <w:sz w:val="24"/>
          <w:lang w:eastAsia="en-US"/>
        </w:rPr>
      </w:pPr>
    </w:p>
    <w:p w14:paraId="3A5945ED" w14:textId="77777777" w:rsidR="00555DAC" w:rsidRPr="00BD0C19" w:rsidRDefault="00555DAC" w:rsidP="00142296">
      <w:pPr>
        <w:pStyle w:val="Heading"/>
        <w:numPr>
          <w:ilvl w:val="0"/>
          <w:numId w:val="9"/>
        </w:numPr>
        <w:tabs>
          <w:tab w:val="left" w:pos="360"/>
        </w:tabs>
        <w:spacing w:after="240"/>
        <w:rPr>
          <w:rFonts w:ascii="Times New Roman" w:hAnsi="Times New Roman"/>
          <w:b/>
          <w:sz w:val="24"/>
        </w:rPr>
      </w:pPr>
      <w:bookmarkStart w:id="8" w:name="bkRIS"/>
      <w:r w:rsidRPr="00BD0C19">
        <w:rPr>
          <w:rFonts w:ascii="Times New Roman" w:hAnsi="Times New Roman"/>
          <w:b/>
          <w:sz w:val="24"/>
        </w:rPr>
        <w:t>Regulation Impact Statement</w:t>
      </w:r>
    </w:p>
    <w:bookmarkEnd w:id="8"/>
    <w:p w14:paraId="3A5945EE" w14:textId="77777777" w:rsidR="00555DAC" w:rsidRDefault="00555DAC" w:rsidP="00555DAC">
      <w:pPr>
        <w:pStyle w:val="Heading"/>
        <w:spacing w:after="240"/>
        <w:rPr>
          <w:rFonts w:ascii="Times New Roman" w:hAnsi="Times New Roman"/>
          <w:sz w:val="24"/>
        </w:rPr>
      </w:pPr>
      <w:r w:rsidRPr="00BD0C19">
        <w:rPr>
          <w:rFonts w:ascii="Times New Roman" w:hAnsi="Times New Roman"/>
          <w:sz w:val="24"/>
        </w:rPr>
        <w:t>The Office of Best Practice Regulation has advised that a Regulation Impact Statement is not required for this legislative instrument.</w:t>
      </w:r>
    </w:p>
    <w:p w14:paraId="3A5945EF" w14:textId="77777777" w:rsidR="00555DAC" w:rsidRPr="00BD0C19" w:rsidRDefault="00555DAC" w:rsidP="00142296">
      <w:pPr>
        <w:pStyle w:val="Heading"/>
        <w:numPr>
          <w:ilvl w:val="0"/>
          <w:numId w:val="9"/>
        </w:numPr>
        <w:tabs>
          <w:tab w:val="left" w:pos="360"/>
        </w:tabs>
        <w:spacing w:after="240"/>
        <w:rPr>
          <w:rFonts w:ascii="Times New Roman" w:hAnsi="Times New Roman"/>
          <w:b/>
          <w:sz w:val="24"/>
        </w:rPr>
      </w:pPr>
      <w:r w:rsidRPr="00BD0C19">
        <w:rPr>
          <w:rFonts w:ascii="Times New Roman" w:hAnsi="Times New Roman"/>
          <w:b/>
          <w:sz w:val="24"/>
        </w:rPr>
        <w:t>Statement of compatibility prepared in accordance with Part 3 of the Human Rights (Parliamentary Scrutiny) Act 2011</w:t>
      </w:r>
    </w:p>
    <w:p w14:paraId="3A5945F0" w14:textId="77777777" w:rsidR="00555DAC" w:rsidRPr="00BD0C19" w:rsidRDefault="00555DAC" w:rsidP="00555DAC">
      <w:pPr>
        <w:pStyle w:val="Heading"/>
        <w:spacing w:after="240"/>
        <w:rPr>
          <w:rFonts w:ascii="Times New Roman" w:hAnsi="Times New Roman"/>
          <w:b/>
          <w:sz w:val="24"/>
        </w:rPr>
      </w:pPr>
      <w:r w:rsidRPr="00BD0C19">
        <w:rPr>
          <w:rFonts w:ascii="Times New Roman" w:hAnsi="Times New Roman"/>
          <w:sz w:val="24"/>
        </w:rPr>
        <w:t xml:space="preserve">A Statement of compatibility prepared in accordance with Part 3 of the </w:t>
      </w:r>
      <w:r w:rsidRPr="00BD0C19">
        <w:rPr>
          <w:rFonts w:ascii="Times New Roman" w:hAnsi="Times New Roman"/>
          <w:i/>
          <w:sz w:val="24"/>
        </w:rPr>
        <w:t>Human Rights (Parliamentary Scrutiny) Act 2011</w:t>
      </w:r>
      <w:r w:rsidRPr="00BD0C19">
        <w:rPr>
          <w:rFonts w:ascii="Times New Roman" w:hAnsi="Times New Roman"/>
          <w:sz w:val="24"/>
        </w:rPr>
        <w:t xml:space="preserve"> is provided at Attachment A to this Explanatory Statement.</w:t>
      </w:r>
    </w:p>
    <w:p w14:paraId="3A5945F1" w14:textId="77777777" w:rsidR="00555DAC" w:rsidRDefault="00555DAC" w:rsidP="00555DAC">
      <w:pPr>
        <w:rPr>
          <w:b/>
          <w:sz w:val="26"/>
          <w:szCs w:val="22"/>
        </w:rPr>
      </w:pPr>
      <w:r>
        <w:br w:type="page"/>
      </w:r>
    </w:p>
    <w:p w14:paraId="3A5945F2" w14:textId="77777777" w:rsidR="00555DAC" w:rsidRDefault="00555DAC" w:rsidP="00555DAC">
      <w:pPr>
        <w:pStyle w:val="Heading"/>
        <w:spacing w:after="240"/>
      </w:pPr>
    </w:p>
    <w:p w14:paraId="3A5945F3" w14:textId="77777777" w:rsidR="00555DAC" w:rsidRDefault="00555DAC" w:rsidP="00555DAC">
      <w:pPr>
        <w:pStyle w:val="Heading"/>
        <w:spacing w:after="240"/>
      </w:pPr>
    </w:p>
    <w:p w14:paraId="3A5945F4" w14:textId="77777777" w:rsidR="00555DAC" w:rsidRDefault="00555DAC" w:rsidP="00555DAC">
      <w:pPr>
        <w:pStyle w:val="Heading"/>
        <w:spacing w:after="240"/>
      </w:pPr>
    </w:p>
    <w:p w14:paraId="3A5945F5" w14:textId="77777777" w:rsidR="00555DAC" w:rsidRPr="008178C2" w:rsidRDefault="00555DAC" w:rsidP="00555DAC">
      <w:pPr>
        <w:spacing w:after="360"/>
        <w:jc w:val="both"/>
        <w:rPr>
          <w:rFonts w:ascii="Times New Roman" w:hAnsi="Times New Roman"/>
          <w:b/>
          <w:sz w:val="24"/>
        </w:rPr>
      </w:pPr>
      <w:r w:rsidRPr="008178C2">
        <w:rPr>
          <w:rFonts w:ascii="Times New Roman" w:hAnsi="Times New Roman"/>
          <w:b/>
          <w:sz w:val="24"/>
          <w:u w:val="single"/>
          <w:lang w:val="en-GB"/>
        </w:rPr>
        <w:t>ATTACHMENT A</w:t>
      </w:r>
    </w:p>
    <w:p w14:paraId="3A5945F6" w14:textId="77777777" w:rsidR="00555DAC" w:rsidRPr="00751835" w:rsidRDefault="00555DAC" w:rsidP="00555DAC">
      <w:pPr>
        <w:spacing w:after="240"/>
        <w:jc w:val="center"/>
        <w:rPr>
          <w:rFonts w:ascii="Times New Roman" w:hAnsi="Times New Roman"/>
          <w:b/>
          <w:sz w:val="24"/>
        </w:rPr>
      </w:pPr>
      <w:r w:rsidRPr="00751835">
        <w:rPr>
          <w:rFonts w:ascii="Times New Roman" w:hAnsi="Times New Roman"/>
          <w:b/>
          <w:sz w:val="24"/>
        </w:rPr>
        <w:t>Statement of Compatibility with Human Rights</w:t>
      </w:r>
    </w:p>
    <w:p w14:paraId="3A5945F7" w14:textId="77777777" w:rsidR="00555DAC" w:rsidRPr="00751835" w:rsidRDefault="00555DAC" w:rsidP="00555DAC">
      <w:pPr>
        <w:keepNext/>
        <w:keepLines/>
        <w:spacing w:after="240"/>
        <w:jc w:val="center"/>
        <w:outlineLvl w:val="0"/>
        <w:rPr>
          <w:rFonts w:ascii="Times New Roman" w:hAnsi="Times New Roman"/>
          <w:bCs/>
          <w:i/>
          <w:color w:val="000000"/>
          <w:sz w:val="24"/>
        </w:rPr>
      </w:pPr>
      <w:r w:rsidRPr="00751835">
        <w:rPr>
          <w:rFonts w:ascii="Times New Roman" w:hAnsi="Times New Roman"/>
          <w:bCs/>
          <w:i/>
          <w:color w:val="000000"/>
          <w:sz w:val="24"/>
        </w:rPr>
        <w:t>Prepared in accordance with Part 3 of the Human Rights (Parliamentary Scrutiny) Act 2011</w:t>
      </w:r>
    </w:p>
    <w:p w14:paraId="42876F63" w14:textId="516A53DB" w:rsidR="007C2091" w:rsidRDefault="00F4178E" w:rsidP="007C2091">
      <w:pPr>
        <w:pStyle w:val="Heading"/>
        <w:spacing w:before="120"/>
        <w:jc w:val="center"/>
        <w:rPr>
          <w:rFonts w:ascii="Times New Roman" w:hAnsi="Times New Roman"/>
          <w:b/>
          <w:sz w:val="24"/>
        </w:rPr>
      </w:pPr>
      <w:r w:rsidRPr="00751835">
        <w:rPr>
          <w:rFonts w:ascii="Times New Roman" w:hAnsi="Times New Roman"/>
          <w:b/>
          <w:sz w:val="24"/>
        </w:rPr>
        <w:t xml:space="preserve">Financial Sector (Collection of Data) (reporting standard) determination No. </w:t>
      </w:r>
      <w:r w:rsidR="006502E8">
        <w:rPr>
          <w:rFonts w:ascii="Times New Roman" w:hAnsi="Times New Roman"/>
          <w:b/>
          <w:sz w:val="24"/>
        </w:rPr>
        <w:t>5</w:t>
      </w:r>
      <w:r w:rsidR="0043657E">
        <w:rPr>
          <w:rFonts w:ascii="Times New Roman" w:hAnsi="Times New Roman"/>
          <w:b/>
          <w:sz w:val="24"/>
        </w:rPr>
        <w:t xml:space="preserve"> </w:t>
      </w:r>
      <w:r w:rsidRPr="00751835">
        <w:rPr>
          <w:rFonts w:ascii="Times New Roman" w:hAnsi="Times New Roman"/>
          <w:b/>
          <w:sz w:val="24"/>
        </w:rPr>
        <w:t>of 201</w:t>
      </w:r>
      <w:r w:rsidR="0043657E">
        <w:rPr>
          <w:rFonts w:ascii="Times New Roman" w:hAnsi="Times New Roman"/>
          <w:b/>
          <w:sz w:val="24"/>
        </w:rPr>
        <w:t>7</w:t>
      </w:r>
      <w:r w:rsidRPr="00751835">
        <w:rPr>
          <w:rFonts w:ascii="Times New Roman" w:hAnsi="Times New Roman"/>
          <w:b/>
          <w:sz w:val="24"/>
        </w:rPr>
        <w:t xml:space="preserve"> – </w:t>
      </w:r>
      <w:r w:rsidR="006502E8" w:rsidRPr="006502E8">
        <w:rPr>
          <w:rFonts w:ascii="Times New Roman" w:hAnsi="Times New Roman"/>
          <w:b/>
          <w:sz w:val="24"/>
        </w:rPr>
        <w:t>Reporting Standard ARS 731.4 International Banking Statistics — Balance Sheet Items</w:t>
      </w:r>
    </w:p>
    <w:p w14:paraId="02960C81" w14:textId="77777777" w:rsidR="006502E8" w:rsidRPr="00751835" w:rsidRDefault="006502E8" w:rsidP="007C2091">
      <w:pPr>
        <w:pStyle w:val="Heading"/>
        <w:spacing w:before="120"/>
        <w:jc w:val="center"/>
        <w:rPr>
          <w:rFonts w:ascii="Times New Roman" w:hAnsi="Times New Roman"/>
          <w:sz w:val="24"/>
        </w:rPr>
      </w:pPr>
    </w:p>
    <w:p w14:paraId="3A5945FA" w14:textId="77777777" w:rsidR="00555DAC" w:rsidRPr="00751835" w:rsidRDefault="00555DAC" w:rsidP="00555DAC">
      <w:pPr>
        <w:spacing w:after="240"/>
        <w:jc w:val="both"/>
        <w:rPr>
          <w:rFonts w:ascii="Times New Roman" w:hAnsi="Times New Roman"/>
          <w:sz w:val="24"/>
        </w:rPr>
      </w:pPr>
      <w:r w:rsidRPr="00751835">
        <w:rPr>
          <w:rFonts w:ascii="Times New Roman" w:hAnsi="Times New Roman"/>
          <w:sz w:val="24"/>
        </w:rPr>
        <w:t xml:space="preserve">This Legislative Instrument is compatible with the human rights and freedoms recognised or declared in the international instrument listed in section 3 of the </w:t>
      </w:r>
      <w:r w:rsidRPr="00751835">
        <w:rPr>
          <w:rFonts w:ascii="Times New Roman" w:hAnsi="Times New Roman"/>
          <w:i/>
          <w:sz w:val="24"/>
        </w:rPr>
        <w:t>Human Rights (Parliamentary Scrutiny) Act 2011</w:t>
      </w:r>
      <w:r w:rsidRPr="00751835">
        <w:rPr>
          <w:rFonts w:ascii="Times New Roman" w:hAnsi="Times New Roman"/>
          <w:sz w:val="24"/>
        </w:rPr>
        <w:t xml:space="preserve"> (HRPS Act).</w:t>
      </w:r>
    </w:p>
    <w:p w14:paraId="3A5945FB" w14:textId="77777777" w:rsidR="00555DAC" w:rsidRPr="00751835" w:rsidRDefault="00555DAC" w:rsidP="00555DAC">
      <w:pPr>
        <w:spacing w:after="240"/>
        <w:jc w:val="both"/>
        <w:rPr>
          <w:rFonts w:ascii="Times New Roman" w:hAnsi="Times New Roman"/>
          <w:sz w:val="24"/>
        </w:rPr>
      </w:pPr>
      <w:r w:rsidRPr="00751835">
        <w:rPr>
          <w:rFonts w:ascii="Times New Roman" w:hAnsi="Times New Roman"/>
          <w:b/>
          <w:sz w:val="24"/>
        </w:rPr>
        <w:t>Overview of the legislative instrument</w:t>
      </w:r>
    </w:p>
    <w:p w14:paraId="3A5945FC" w14:textId="0D4BDC5B" w:rsidR="00555DAC" w:rsidRPr="00751835" w:rsidRDefault="00CA5735" w:rsidP="00CA5735">
      <w:pPr>
        <w:widowControl w:val="0"/>
        <w:spacing w:before="120" w:after="60"/>
        <w:rPr>
          <w:rFonts w:ascii="Times New Roman" w:hAnsi="Times New Roman"/>
          <w:sz w:val="24"/>
        </w:rPr>
      </w:pPr>
      <w:r w:rsidRPr="00751835">
        <w:rPr>
          <w:rFonts w:ascii="Times New Roman" w:hAnsi="Times New Roman"/>
          <w:sz w:val="24"/>
        </w:rPr>
        <w:t>The instrument determines a new reporting standard</w:t>
      </w:r>
      <w:r w:rsidR="00340F0D">
        <w:rPr>
          <w:rFonts w:ascii="Times New Roman" w:hAnsi="Times New Roman"/>
          <w:sz w:val="24"/>
        </w:rPr>
        <w:t xml:space="preserve"> </w:t>
      </w:r>
      <w:r w:rsidR="00340F0D" w:rsidRPr="00751835">
        <w:rPr>
          <w:rFonts w:ascii="Times New Roman" w:hAnsi="Times New Roman"/>
          <w:sz w:val="24"/>
        </w:rPr>
        <w:t xml:space="preserve">under the </w:t>
      </w:r>
      <w:r w:rsidR="00340F0D" w:rsidRPr="00751835">
        <w:rPr>
          <w:rFonts w:ascii="Times New Roman" w:hAnsi="Times New Roman"/>
          <w:i/>
          <w:sz w:val="24"/>
        </w:rPr>
        <w:t>Financial Sector (Collection of Data) Act 2003</w:t>
      </w:r>
      <w:r w:rsidRPr="00751835">
        <w:rPr>
          <w:rFonts w:ascii="Times New Roman" w:hAnsi="Times New Roman"/>
          <w:sz w:val="24"/>
        </w:rPr>
        <w:t xml:space="preserve">.  The new reporting standard makes improvements to the </w:t>
      </w:r>
      <w:r w:rsidR="00BA5D9B">
        <w:rPr>
          <w:rFonts w:ascii="Times New Roman" w:hAnsi="Times New Roman"/>
          <w:sz w:val="24"/>
        </w:rPr>
        <w:t>international banking</w:t>
      </w:r>
      <w:r w:rsidRPr="00751835">
        <w:rPr>
          <w:rFonts w:ascii="Times New Roman" w:hAnsi="Times New Roman"/>
          <w:sz w:val="24"/>
        </w:rPr>
        <w:t xml:space="preserve"> statistics APRA collects from </w:t>
      </w:r>
      <w:r w:rsidR="00BA5D9B">
        <w:rPr>
          <w:rFonts w:ascii="Times New Roman" w:hAnsi="Times New Roman"/>
          <w:sz w:val="24"/>
        </w:rPr>
        <w:t>banks</w:t>
      </w:r>
      <w:r w:rsidRPr="00751835">
        <w:rPr>
          <w:rFonts w:ascii="Times New Roman" w:hAnsi="Times New Roman"/>
          <w:sz w:val="24"/>
        </w:rPr>
        <w:t>.</w:t>
      </w:r>
    </w:p>
    <w:p w14:paraId="3A5945FD" w14:textId="77777777" w:rsidR="00555DAC" w:rsidRPr="00751835" w:rsidRDefault="00555DAC" w:rsidP="00555DAC">
      <w:pPr>
        <w:rPr>
          <w:rFonts w:ascii="Times New Roman" w:hAnsi="Times New Roman"/>
          <w:sz w:val="24"/>
        </w:rPr>
      </w:pPr>
    </w:p>
    <w:p w14:paraId="3A5945FE" w14:textId="77777777" w:rsidR="00555DAC" w:rsidRPr="00751835" w:rsidRDefault="00555DAC" w:rsidP="00555DAC">
      <w:pPr>
        <w:spacing w:after="240"/>
        <w:jc w:val="both"/>
        <w:rPr>
          <w:rFonts w:ascii="Times New Roman" w:hAnsi="Times New Roman"/>
          <w:sz w:val="24"/>
        </w:rPr>
      </w:pPr>
      <w:r w:rsidRPr="00751835">
        <w:rPr>
          <w:rFonts w:ascii="Times New Roman" w:hAnsi="Times New Roman"/>
          <w:b/>
          <w:sz w:val="24"/>
        </w:rPr>
        <w:t>Human rights implications</w:t>
      </w:r>
    </w:p>
    <w:p w14:paraId="3A5945FF" w14:textId="77777777" w:rsidR="00555DAC" w:rsidRPr="00751835" w:rsidRDefault="00555DAC" w:rsidP="00555DAC">
      <w:pPr>
        <w:spacing w:after="240"/>
        <w:jc w:val="both"/>
        <w:rPr>
          <w:rFonts w:ascii="Times New Roman" w:hAnsi="Times New Roman"/>
          <w:sz w:val="24"/>
        </w:rPr>
      </w:pPr>
      <w:r w:rsidRPr="00751835">
        <w:rPr>
          <w:rFonts w:ascii="Times New Roman" w:hAnsi="Times New Roman"/>
          <w:sz w:val="24"/>
        </w:rPr>
        <w:t xml:space="preserve">APRA has assessed the instrument and is of the view that it does not engage any of the applicable rights or freedoms recognised or declared in the international instruments listed in section 3 of the HRPS Act. Accordingly, in APRA’s assessment, the instrument is compatible with human rights. </w:t>
      </w:r>
    </w:p>
    <w:p w14:paraId="3A594600" w14:textId="77777777" w:rsidR="00555DAC" w:rsidRPr="00751835" w:rsidRDefault="00555DAC" w:rsidP="00555DAC">
      <w:pPr>
        <w:spacing w:after="240"/>
        <w:jc w:val="both"/>
        <w:rPr>
          <w:rFonts w:ascii="Times New Roman" w:hAnsi="Times New Roman"/>
          <w:b/>
          <w:sz w:val="24"/>
        </w:rPr>
      </w:pPr>
      <w:r w:rsidRPr="00751835">
        <w:rPr>
          <w:rFonts w:ascii="Times New Roman" w:hAnsi="Times New Roman"/>
          <w:b/>
          <w:sz w:val="24"/>
        </w:rPr>
        <w:t>Conclusion</w:t>
      </w:r>
    </w:p>
    <w:p w14:paraId="3A594601" w14:textId="77777777" w:rsidR="00555DAC" w:rsidRPr="00751835" w:rsidRDefault="00555DAC" w:rsidP="00555DAC">
      <w:pPr>
        <w:spacing w:after="240"/>
        <w:jc w:val="both"/>
        <w:rPr>
          <w:rFonts w:ascii="Times New Roman" w:hAnsi="Times New Roman"/>
          <w:sz w:val="24"/>
        </w:rPr>
      </w:pPr>
      <w:r w:rsidRPr="00751835">
        <w:rPr>
          <w:rFonts w:ascii="Times New Roman" w:hAnsi="Times New Roman"/>
          <w:sz w:val="24"/>
        </w:rPr>
        <w:t xml:space="preserve">This Legislative Instrument is compatible with human rights as it does not raise any human rights issues. </w:t>
      </w:r>
    </w:p>
    <w:p w14:paraId="3A594602" w14:textId="77777777" w:rsidR="00555DAC" w:rsidRDefault="00555DAC" w:rsidP="00555DAC"/>
    <w:p w14:paraId="3A594603" w14:textId="77777777" w:rsidR="00555DAC" w:rsidRPr="008178C2" w:rsidRDefault="00555DAC" w:rsidP="00555DAC"/>
    <w:p w14:paraId="3A594604" w14:textId="77777777" w:rsidR="00B04B20" w:rsidRPr="00A4054F" w:rsidRDefault="00B04B20" w:rsidP="0071518A">
      <w:pPr>
        <w:pStyle w:val="Heading"/>
        <w:tabs>
          <w:tab w:val="left" w:pos="360"/>
        </w:tabs>
        <w:spacing w:before="120"/>
        <w:rPr>
          <w:rFonts w:ascii="Times New Roman" w:hAnsi="Times New Roman"/>
        </w:rPr>
      </w:pPr>
    </w:p>
    <w:sectPr w:rsidR="00B04B20" w:rsidRPr="00A4054F" w:rsidSect="00793106">
      <w:headerReference w:type="even" r:id="rId12"/>
      <w:headerReference w:type="default" r:id="rId13"/>
      <w:footerReference w:type="even" r:id="rId14"/>
      <w:pgSz w:w="11906" w:h="16838"/>
      <w:pgMar w:top="1440" w:right="1797" w:bottom="1134"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594607" w14:textId="77777777" w:rsidR="00B153F0" w:rsidRDefault="00B153F0" w:rsidP="00F544F4">
      <w:r>
        <w:separator/>
      </w:r>
    </w:p>
  </w:endnote>
  <w:endnote w:type="continuationSeparator" w:id="0">
    <w:p w14:paraId="3A594608" w14:textId="77777777" w:rsidR="00B153F0" w:rsidRDefault="00B153F0" w:rsidP="00F5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9460D" w14:textId="77777777" w:rsidR="00B153F0" w:rsidRDefault="00B153F0" w:rsidP="0079310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94605" w14:textId="77777777" w:rsidR="00B153F0" w:rsidRDefault="00B153F0" w:rsidP="00F544F4">
      <w:r>
        <w:separator/>
      </w:r>
    </w:p>
  </w:footnote>
  <w:footnote w:type="continuationSeparator" w:id="0">
    <w:p w14:paraId="3A594606" w14:textId="77777777" w:rsidR="00B153F0" w:rsidRDefault="00B153F0" w:rsidP="00F544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94609" w14:textId="77777777" w:rsidR="00B153F0" w:rsidRDefault="00B153F0" w:rsidP="0079310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6CF3">
      <w:rPr>
        <w:rStyle w:val="PageNumber"/>
        <w:noProof/>
      </w:rPr>
      <w:t>3</w:t>
    </w:r>
    <w:r>
      <w:rPr>
        <w:rStyle w:val="PageNumber"/>
      </w:rPr>
      <w:fldChar w:fldCharType="end"/>
    </w:r>
  </w:p>
  <w:p w14:paraId="3A59460A" w14:textId="77777777" w:rsidR="00B153F0" w:rsidRDefault="00B153F0" w:rsidP="00793106">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9460B" w14:textId="77777777" w:rsidR="00B153F0" w:rsidRDefault="00B153F0" w:rsidP="0079310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6CF3">
      <w:rPr>
        <w:rStyle w:val="PageNumber"/>
        <w:noProof/>
      </w:rPr>
      <w:t>2</w:t>
    </w:r>
    <w:r>
      <w:rPr>
        <w:rStyle w:val="PageNumber"/>
      </w:rPr>
      <w:fldChar w:fldCharType="end"/>
    </w:r>
  </w:p>
  <w:p w14:paraId="3A59460C" w14:textId="77777777" w:rsidR="00B153F0" w:rsidRDefault="00B153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63AD7"/>
    <w:multiLevelType w:val="hybridMultilevel"/>
    <w:tmpl w:val="2AB85D4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706588"/>
    <w:multiLevelType w:val="hybridMultilevel"/>
    <w:tmpl w:val="CD8872A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A81249"/>
    <w:multiLevelType w:val="hybridMultilevel"/>
    <w:tmpl w:val="38BA9B32"/>
    <w:lvl w:ilvl="0" w:tplc="9DBA6952">
      <w:start w:val="1"/>
      <w:numFmt w:val="decimal"/>
      <w:lvlText w:val="%1."/>
      <w:lvlJc w:val="left"/>
      <w:pPr>
        <w:tabs>
          <w:tab w:val="num" w:pos="567"/>
        </w:tabs>
        <w:ind w:left="567" w:hanging="567"/>
      </w:pPr>
      <w:rPr>
        <w:rFonts w:cs="Times New Roman" w:hint="default"/>
      </w:rPr>
    </w:lvl>
    <w:lvl w:ilvl="1" w:tplc="D032B5BC">
      <w:start w:val="1"/>
      <w:numFmt w:val="bullet"/>
      <w:lvlText w:val=""/>
      <w:lvlJc w:val="left"/>
      <w:pPr>
        <w:tabs>
          <w:tab w:val="num" w:pos="567"/>
        </w:tabs>
        <w:ind w:left="567" w:hanging="567"/>
      </w:pPr>
      <w:rPr>
        <w:rFonts w:ascii="Symbol" w:hAnsi="Symbol"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F4714AD"/>
    <w:multiLevelType w:val="hybridMultilevel"/>
    <w:tmpl w:val="EB907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0B5623"/>
    <w:multiLevelType w:val="hybridMultilevel"/>
    <w:tmpl w:val="7B922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2221D4E"/>
    <w:multiLevelType w:val="hybridMultilevel"/>
    <w:tmpl w:val="034863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5F3259B3"/>
    <w:multiLevelType w:val="hybridMultilevel"/>
    <w:tmpl w:val="3B08FBC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3042F8"/>
    <w:multiLevelType w:val="hybridMultilevel"/>
    <w:tmpl w:val="D778A990"/>
    <w:lvl w:ilvl="0" w:tplc="31283B48">
      <w:start w:val="3"/>
      <w:numFmt w:val="decimal"/>
      <w:lvlText w:val="%1."/>
      <w:lvlJc w:val="left"/>
      <w:pPr>
        <w:tabs>
          <w:tab w:val="num" w:pos="567"/>
        </w:tabs>
        <w:ind w:left="567" w:hanging="567"/>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3FD3BA1"/>
    <w:multiLevelType w:val="hybridMultilevel"/>
    <w:tmpl w:val="9DD21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8"/>
  </w:num>
  <w:num w:numId="5">
    <w:abstractNumId w:val="4"/>
  </w:num>
  <w:num w:numId="6">
    <w:abstractNumId w:val="3"/>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3A8"/>
    <w:rsid w:val="00022370"/>
    <w:rsid w:val="000558EA"/>
    <w:rsid w:val="000825D0"/>
    <w:rsid w:val="00091EE5"/>
    <w:rsid w:val="000C5F47"/>
    <w:rsid w:val="000C7C38"/>
    <w:rsid w:val="000D0BFA"/>
    <w:rsid w:val="000D4A3D"/>
    <w:rsid w:val="001024C7"/>
    <w:rsid w:val="00107EB1"/>
    <w:rsid w:val="00133A27"/>
    <w:rsid w:val="00142296"/>
    <w:rsid w:val="00170642"/>
    <w:rsid w:val="00182FA1"/>
    <w:rsid w:val="00193206"/>
    <w:rsid w:val="001C0597"/>
    <w:rsid w:val="001C67C8"/>
    <w:rsid w:val="001C7C92"/>
    <w:rsid w:val="001D1C15"/>
    <w:rsid w:val="001E153D"/>
    <w:rsid w:val="001E68F7"/>
    <w:rsid w:val="001F05C1"/>
    <w:rsid w:val="001F49C0"/>
    <w:rsid w:val="00200B4F"/>
    <w:rsid w:val="00214C9C"/>
    <w:rsid w:val="00224E43"/>
    <w:rsid w:val="00246C3C"/>
    <w:rsid w:val="002631B2"/>
    <w:rsid w:val="002862F1"/>
    <w:rsid w:val="00291605"/>
    <w:rsid w:val="002C2CC1"/>
    <w:rsid w:val="002C3FDC"/>
    <w:rsid w:val="002C689F"/>
    <w:rsid w:val="002E23F1"/>
    <w:rsid w:val="002E655B"/>
    <w:rsid w:val="002E683B"/>
    <w:rsid w:val="00303B8A"/>
    <w:rsid w:val="00303C1A"/>
    <w:rsid w:val="00340F0D"/>
    <w:rsid w:val="00346FB2"/>
    <w:rsid w:val="003643A7"/>
    <w:rsid w:val="00375505"/>
    <w:rsid w:val="003A108C"/>
    <w:rsid w:val="003D5032"/>
    <w:rsid w:val="00404CB8"/>
    <w:rsid w:val="00416B78"/>
    <w:rsid w:val="0043657E"/>
    <w:rsid w:val="00450908"/>
    <w:rsid w:val="0048356E"/>
    <w:rsid w:val="00495974"/>
    <w:rsid w:val="004C3D07"/>
    <w:rsid w:val="004E4E24"/>
    <w:rsid w:val="004F4FDE"/>
    <w:rsid w:val="005003A8"/>
    <w:rsid w:val="005014EA"/>
    <w:rsid w:val="0052353E"/>
    <w:rsid w:val="00541700"/>
    <w:rsid w:val="00555DAC"/>
    <w:rsid w:val="00566818"/>
    <w:rsid w:val="005A5950"/>
    <w:rsid w:val="005A7B2A"/>
    <w:rsid w:val="005D3560"/>
    <w:rsid w:val="005D3831"/>
    <w:rsid w:val="005D6479"/>
    <w:rsid w:val="005E3AFE"/>
    <w:rsid w:val="005E5910"/>
    <w:rsid w:val="00622480"/>
    <w:rsid w:val="006424B5"/>
    <w:rsid w:val="00644153"/>
    <w:rsid w:val="00647D58"/>
    <w:rsid w:val="006502E8"/>
    <w:rsid w:val="00652690"/>
    <w:rsid w:val="006675CD"/>
    <w:rsid w:val="00684F73"/>
    <w:rsid w:val="00692DEB"/>
    <w:rsid w:val="006F7334"/>
    <w:rsid w:val="007031F4"/>
    <w:rsid w:val="00715017"/>
    <w:rsid w:val="0071518A"/>
    <w:rsid w:val="007376EF"/>
    <w:rsid w:val="00751835"/>
    <w:rsid w:val="00751D6B"/>
    <w:rsid w:val="00771EF4"/>
    <w:rsid w:val="00793106"/>
    <w:rsid w:val="007A47D4"/>
    <w:rsid w:val="007C2091"/>
    <w:rsid w:val="007D4CC4"/>
    <w:rsid w:val="00815A3B"/>
    <w:rsid w:val="00821F5B"/>
    <w:rsid w:val="008930A6"/>
    <w:rsid w:val="008B66D6"/>
    <w:rsid w:val="008B6CF3"/>
    <w:rsid w:val="008E13FD"/>
    <w:rsid w:val="0091439F"/>
    <w:rsid w:val="009341FE"/>
    <w:rsid w:val="00944109"/>
    <w:rsid w:val="009631F7"/>
    <w:rsid w:val="00974C0A"/>
    <w:rsid w:val="009757D0"/>
    <w:rsid w:val="009839D5"/>
    <w:rsid w:val="00984310"/>
    <w:rsid w:val="00984746"/>
    <w:rsid w:val="00990266"/>
    <w:rsid w:val="009A7C6B"/>
    <w:rsid w:val="009C5368"/>
    <w:rsid w:val="00A3003D"/>
    <w:rsid w:val="00A4054F"/>
    <w:rsid w:val="00A47F8A"/>
    <w:rsid w:val="00A63A2B"/>
    <w:rsid w:val="00A76A99"/>
    <w:rsid w:val="00AA73C1"/>
    <w:rsid w:val="00AC2517"/>
    <w:rsid w:val="00AD1A4D"/>
    <w:rsid w:val="00AD6714"/>
    <w:rsid w:val="00AD6864"/>
    <w:rsid w:val="00AE6CB5"/>
    <w:rsid w:val="00B0401E"/>
    <w:rsid w:val="00B04B20"/>
    <w:rsid w:val="00B05385"/>
    <w:rsid w:val="00B142E5"/>
    <w:rsid w:val="00B153F0"/>
    <w:rsid w:val="00B57B8F"/>
    <w:rsid w:val="00BA1EFB"/>
    <w:rsid w:val="00BA5D9B"/>
    <w:rsid w:val="00BB297D"/>
    <w:rsid w:val="00BD0C19"/>
    <w:rsid w:val="00BE42AF"/>
    <w:rsid w:val="00BE4B61"/>
    <w:rsid w:val="00C302FA"/>
    <w:rsid w:val="00C4099D"/>
    <w:rsid w:val="00C75958"/>
    <w:rsid w:val="00C90AD7"/>
    <w:rsid w:val="00C93BD1"/>
    <w:rsid w:val="00CA45E2"/>
    <w:rsid w:val="00CA5735"/>
    <w:rsid w:val="00CA6CB3"/>
    <w:rsid w:val="00CF6615"/>
    <w:rsid w:val="00D33334"/>
    <w:rsid w:val="00D46E13"/>
    <w:rsid w:val="00D64906"/>
    <w:rsid w:val="00D77D02"/>
    <w:rsid w:val="00D91410"/>
    <w:rsid w:val="00DB380A"/>
    <w:rsid w:val="00E02376"/>
    <w:rsid w:val="00E15497"/>
    <w:rsid w:val="00E1715C"/>
    <w:rsid w:val="00E17A61"/>
    <w:rsid w:val="00E201A8"/>
    <w:rsid w:val="00E557AD"/>
    <w:rsid w:val="00E70047"/>
    <w:rsid w:val="00E8236C"/>
    <w:rsid w:val="00E85C49"/>
    <w:rsid w:val="00E90C89"/>
    <w:rsid w:val="00EB0370"/>
    <w:rsid w:val="00EB1C97"/>
    <w:rsid w:val="00EB457F"/>
    <w:rsid w:val="00EC2093"/>
    <w:rsid w:val="00EC5653"/>
    <w:rsid w:val="00EF1341"/>
    <w:rsid w:val="00F05034"/>
    <w:rsid w:val="00F27606"/>
    <w:rsid w:val="00F4178E"/>
    <w:rsid w:val="00F42C6B"/>
    <w:rsid w:val="00F544F4"/>
    <w:rsid w:val="00F72A90"/>
    <w:rsid w:val="00F7706D"/>
    <w:rsid w:val="00FA53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A5945C9"/>
  <w15:docId w15:val="{8EBBA75F-4573-4FCE-958A-42875D169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3A8"/>
    <w:pPr>
      <w:spacing w:after="0" w:line="240" w:lineRule="auto"/>
    </w:pPr>
    <w:rPr>
      <w:rFonts w:ascii="Trebuchet MS" w:eastAsia="Times New Roman" w:hAnsi="Trebuchet MS" w:cs="Times New Roman"/>
      <w:szCs w:val="24"/>
      <w:lang w:eastAsia="en-AU"/>
    </w:rPr>
  </w:style>
  <w:style w:type="paragraph" w:styleId="Heading1">
    <w:name w:val="heading 1"/>
    <w:basedOn w:val="Normal"/>
    <w:next w:val="Normal"/>
    <w:link w:val="Heading1Char"/>
    <w:uiPriority w:val="5"/>
    <w:qFormat/>
    <w:rsid w:val="009C5368"/>
    <w:pPr>
      <w:keepNext/>
      <w:keepLines/>
      <w:outlineLvl w:val="0"/>
    </w:pPr>
    <w:rPr>
      <w:rFonts w:eastAsiaTheme="majorEastAsia" w:cstheme="majorBidi"/>
      <w:b/>
      <w:bCs/>
      <w:color w:val="000000" w:themeColor="text1"/>
      <w:sz w:val="26"/>
      <w:szCs w:val="26"/>
    </w:rPr>
  </w:style>
  <w:style w:type="paragraph" w:styleId="Heading2">
    <w:name w:val="heading 2"/>
    <w:basedOn w:val="Normal"/>
    <w:next w:val="Normal"/>
    <w:link w:val="Heading2Char"/>
    <w:uiPriority w:val="6"/>
    <w:unhideWhenUsed/>
    <w:qFormat/>
    <w:rsid w:val="009C5368"/>
    <w:pPr>
      <w:keepNext/>
      <w:keepLines/>
      <w:outlineLvl w:val="1"/>
    </w:pPr>
    <w:rPr>
      <w:rFonts w:eastAsiaTheme="majorEastAsia" w:cstheme="majorBidi"/>
      <w:b/>
      <w:bCs/>
      <w:color w:val="000000" w:themeColor="text1"/>
    </w:rPr>
  </w:style>
  <w:style w:type="paragraph" w:styleId="Heading3">
    <w:name w:val="heading 3"/>
    <w:basedOn w:val="Normal"/>
    <w:next w:val="Normal"/>
    <w:link w:val="Heading3Char"/>
    <w:uiPriority w:val="7"/>
    <w:unhideWhenUsed/>
    <w:qFormat/>
    <w:rsid w:val="00F7706D"/>
    <w:pPr>
      <w:keepNext/>
      <w:keepLines/>
      <w:outlineLvl w:val="2"/>
    </w:pPr>
    <w:rPr>
      <w:rFonts w:eastAsiaTheme="majorEastAsia" w:cstheme="majorBidi"/>
      <w:bCs/>
      <w:i/>
      <w:color w:val="000000" w:themeColor="text1"/>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rFonts w:eastAsiaTheme="majorEastAsia" w:cstheme="majorBidi"/>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F7706D"/>
    <w:rPr>
      <w:rFonts w:ascii="Trebuchet MS" w:eastAsiaTheme="majorEastAsia" w:hAnsi="Trebuchet MS" w:cstheme="majorBidi"/>
      <w:b/>
      <w:bCs/>
      <w:color w:val="000000" w:themeColor="text1"/>
      <w:sz w:val="26"/>
      <w:szCs w:val="26"/>
    </w:rPr>
  </w:style>
  <w:style w:type="character" w:customStyle="1" w:styleId="Heading2Char">
    <w:name w:val="Heading 2 Char"/>
    <w:basedOn w:val="DefaultParagraphFont"/>
    <w:link w:val="Heading2"/>
    <w:uiPriority w:val="6"/>
    <w:rsid w:val="00F7706D"/>
    <w:rPr>
      <w:rFonts w:ascii="Trebuchet MS" w:eastAsiaTheme="majorEastAsia" w:hAnsi="Trebuchet MS" w:cstheme="majorBidi"/>
      <w:b/>
      <w:bCs/>
      <w:color w:val="000000" w:themeColor="text1"/>
    </w:rPr>
  </w:style>
  <w:style w:type="character" w:styleId="PlaceholderText">
    <w:name w:val="Placeholder Text"/>
    <w:basedOn w:val="DefaultParagraphFon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basedOn w:val="DefaultParagraphFont"/>
    <w:link w:val="BalloonText"/>
    <w:uiPriority w:val="99"/>
    <w:semiHidden/>
    <w:rsid w:val="00B04B20"/>
    <w:rPr>
      <w:rFonts w:ascii="Tahoma" w:hAnsi="Tahoma" w:cs="Tahoma"/>
      <w:sz w:val="16"/>
      <w:szCs w:val="16"/>
    </w:rPr>
  </w:style>
  <w:style w:type="character" w:customStyle="1" w:styleId="Heading3Char">
    <w:name w:val="Heading 3 Char"/>
    <w:basedOn w:val="DefaultParagraphFont"/>
    <w:link w:val="Heading3"/>
    <w:uiPriority w:val="7"/>
    <w:rsid w:val="00F7706D"/>
    <w:rPr>
      <w:rFonts w:ascii="Trebuchet MS" w:eastAsiaTheme="majorEastAsia" w:hAnsi="Trebuchet MS" w:cstheme="majorBidi"/>
      <w:bCs/>
      <w:i/>
      <w:color w:val="000000" w:themeColor="text1"/>
    </w:rPr>
  </w:style>
  <w:style w:type="character" w:customStyle="1" w:styleId="Heading4Char">
    <w:name w:val="Heading 4 Char"/>
    <w:aliases w:val="General Heading Char"/>
    <w:basedOn w:val="DefaultParagraphFont"/>
    <w:link w:val="Heading4"/>
    <w:uiPriority w:val="3"/>
    <w:rsid w:val="00F7706D"/>
    <w:rPr>
      <w:rFonts w:ascii="Trebuchet MS" w:hAnsi="Trebuchet MS"/>
      <w:color w:val="0C2577"/>
      <w:sz w:val="60"/>
    </w:rPr>
  </w:style>
  <w:style w:type="character" w:customStyle="1" w:styleId="Heading5Char">
    <w:name w:val="Heading 5 Char"/>
    <w:aliases w:val="Chapter Heading Char"/>
    <w:basedOn w:val="DefaultParagraphFont"/>
    <w:link w:val="Heading5"/>
    <w:uiPriority w:val="4"/>
    <w:rsid w:val="00F7706D"/>
    <w:rPr>
      <w:rFonts w:ascii="Trebuchet MS" w:hAnsi="Trebuchet MS"/>
      <w:b/>
      <w:sz w:val="32"/>
    </w:rPr>
  </w:style>
  <w:style w:type="character" w:customStyle="1" w:styleId="Heading6Char">
    <w:name w:val="Heading 6 Char"/>
    <w:aliases w:val="Cover Page Heading Char"/>
    <w:basedOn w:val="DefaultParagraphFont"/>
    <w:link w:val="Heading6"/>
    <w:uiPriority w:val="8"/>
    <w:rsid w:val="00F7706D"/>
    <w:rPr>
      <w:rFonts w:ascii="Trebuchet MS" w:eastAsiaTheme="majorEastAsia" w:hAnsi="Trebuchet MS" w:cstheme="majorBidi"/>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7031F4"/>
    <w:rPr>
      <w:rFonts w:eastAsiaTheme="majorEastAsia" w:cstheme="majorBidi"/>
      <w:sz w:val="20"/>
      <w:szCs w:val="20"/>
    </w:rPr>
  </w:style>
  <w:style w:type="paragraph" w:customStyle="1" w:styleId="Heading">
    <w:name w:val="Heading"/>
    <w:basedOn w:val="Normal"/>
    <w:rsid w:val="005003A8"/>
  </w:style>
  <w:style w:type="paragraph" w:styleId="Header">
    <w:name w:val="header"/>
    <w:basedOn w:val="Normal"/>
    <w:link w:val="HeaderChar"/>
    <w:uiPriority w:val="99"/>
    <w:rsid w:val="005003A8"/>
    <w:pPr>
      <w:tabs>
        <w:tab w:val="center" w:pos="4153"/>
        <w:tab w:val="right" w:pos="8306"/>
      </w:tabs>
    </w:pPr>
  </w:style>
  <w:style w:type="character" w:customStyle="1" w:styleId="HeaderChar">
    <w:name w:val="Header Char"/>
    <w:basedOn w:val="DefaultParagraphFont"/>
    <w:link w:val="Header"/>
    <w:uiPriority w:val="99"/>
    <w:rsid w:val="005003A8"/>
    <w:rPr>
      <w:rFonts w:ascii="Trebuchet MS" w:eastAsia="Times New Roman" w:hAnsi="Trebuchet MS" w:cs="Times New Roman"/>
      <w:szCs w:val="24"/>
      <w:lang w:eastAsia="en-AU"/>
    </w:rPr>
  </w:style>
  <w:style w:type="paragraph" w:styleId="Footer">
    <w:name w:val="footer"/>
    <w:basedOn w:val="Normal"/>
    <w:link w:val="FooterChar"/>
    <w:uiPriority w:val="99"/>
    <w:rsid w:val="005003A8"/>
    <w:pPr>
      <w:tabs>
        <w:tab w:val="center" w:pos="4153"/>
        <w:tab w:val="right" w:pos="8306"/>
      </w:tabs>
    </w:pPr>
  </w:style>
  <w:style w:type="character" w:customStyle="1" w:styleId="FooterChar">
    <w:name w:val="Footer Char"/>
    <w:basedOn w:val="DefaultParagraphFont"/>
    <w:link w:val="Footer"/>
    <w:uiPriority w:val="99"/>
    <w:rsid w:val="005003A8"/>
    <w:rPr>
      <w:rFonts w:ascii="Trebuchet MS" w:eastAsia="Times New Roman" w:hAnsi="Trebuchet MS" w:cs="Times New Roman"/>
      <w:szCs w:val="24"/>
      <w:lang w:eastAsia="en-AU"/>
    </w:rPr>
  </w:style>
  <w:style w:type="character" w:styleId="PageNumber">
    <w:name w:val="page number"/>
    <w:basedOn w:val="DefaultParagraphFont"/>
    <w:uiPriority w:val="99"/>
    <w:rsid w:val="005003A8"/>
    <w:rPr>
      <w:rFonts w:cs="Times New Roman"/>
    </w:rPr>
  </w:style>
  <w:style w:type="character" w:styleId="CommentReference">
    <w:name w:val="annotation reference"/>
    <w:basedOn w:val="DefaultParagraphFont"/>
    <w:uiPriority w:val="99"/>
    <w:semiHidden/>
    <w:unhideWhenUsed/>
    <w:rsid w:val="00793106"/>
    <w:rPr>
      <w:sz w:val="16"/>
      <w:szCs w:val="16"/>
    </w:rPr>
  </w:style>
  <w:style w:type="paragraph" w:styleId="CommentText">
    <w:name w:val="annotation text"/>
    <w:basedOn w:val="Normal"/>
    <w:link w:val="CommentTextChar"/>
    <w:uiPriority w:val="99"/>
    <w:unhideWhenUsed/>
    <w:rsid w:val="00793106"/>
    <w:rPr>
      <w:sz w:val="20"/>
      <w:szCs w:val="20"/>
    </w:rPr>
  </w:style>
  <w:style w:type="character" w:customStyle="1" w:styleId="CommentTextChar">
    <w:name w:val="Comment Text Char"/>
    <w:basedOn w:val="DefaultParagraphFont"/>
    <w:link w:val="CommentText"/>
    <w:uiPriority w:val="99"/>
    <w:rsid w:val="00793106"/>
    <w:rPr>
      <w:rFonts w:ascii="Trebuchet MS" w:eastAsia="Times New Roman" w:hAnsi="Trebuchet M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793106"/>
    <w:rPr>
      <w:b/>
      <w:bCs/>
    </w:rPr>
  </w:style>
  <w:style w:type="character" w:customStyle="1" w:styleId="CommentSubjectChar">
    <w:name w:val="Comment Subject Char"/>
    <w:basedOn w:val="CommentTextChar"/>
    <w:link w:val="CommentSubject"/>
    <w:uiPriority w:val="99"/>
    <w:semiHidden/>
    <w:rsid w:val="00793106"/>
    <w:rPr>
      <w:rFonts w:ascii="Trebuchet MS" w:eastAsia="Times New Roman" w:hAnsi="Trebuchet MS" w:cs="Times New Roman"/>
      <w:b/>
      <w:bCs/>
      <w:sz w:val="20"/>
      <w:szCs w:val="20"/>
      <w:lang w:eastAsia="en-AU"/>
    </w:rPr>
  </w:style>
  <w:style w:type="character" w:styleId="Hyperlink">
    <w:name w:val="Hyperlink"/>
    <w:basedOn w:val="DefaultParagraphFont"/>
    <w:uiPriority w:val="99"/>
    <w:unhideWhenUsed/>
    <w:rsid w:val="00793106"/>
    <w:rPr>
      <w:color w:val="0000FF" w:themeColor="hyperlink"/>
      <w:u w:val="single"/>
    </w:rPr>
  </w:style>
  <w:style w:type="character" w:styleId="FollowedHyperlink">
    <w:name w:val="FollowedHyperlink"/>
    <w:basedOn w:val="DefaultParagraphFont"/>
    <w:uiPriority w:val="99"/>
    <w:semiHidden/>
    <w:unhideWhenUsed/>
    <w:rsid w:val="00751D6B"/>
    <w:rPr>
      <w:color w:val="800080" w:themeColor="followedHyperlink"/>
      <w:u w:val="single"/>
    </w:rPr>
  </w:style>
  <w:style w:type="paragraph" w:styleId="ListParagraph">
    <w:name w:val="List Paragraph"/>
    <w:basedOn w:val="Normal"/>
    <w:uiPriority w:val="34"/>
    <w:rsid w:val="00133A27"/>
    <w:pPr>
      <w:ind w:left="720"/>
      <w:contextualSpacing/>
    </w:pPr>
  </w:style>
  <w:style w:type="paragraph" w:customStyle="1" w:styleId="IntroTo">
    <w:name w:val="IntroTo:"/>
    <w:basedOn w:val="Normal"/>
    <w:rsid w:val="002E683B"/>
    <w:pPr>
      <w:ind w:left="720" w:hanging="720"/>
    </w:pPr>
    <w:rPr>
      <w:rFonts w:ascii="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37" ma:contentTypeDescription="Create a new document." ma:contentTypeScope="" ma:versionID="b9ef5bc26372778073757b630008b228">
  <xsd:schema xmlns:xsd="http://www.w3.org/2001/XMLSchema" xmlns:xs="http://www.w3.org/2001/XMLSchema" xmlns:p="http://schemas.microsoft.com/office/2006/metadata/properties" xmlns:ns1="814d62cb-2db6-4c25-ab62-b9075facbc11" targetNamespace="http://schemas.microsoft.com/office/2006/metadata/properties" ma:root="true" ma:fieldsID="f09e4a90de645c7ef264041fb58de94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CLASSIFIED"/>
          <xsd:enumeration value="DLM: For Official Use Only"/>
          <xsd:enumeration value="DLM: Sensitive"/>
          <xsd:enumeration value="DLM: Sensitive: Legal"/>
          <xsd:enumeration value="DLM: Sensitive: Personal"/>
          <xsd:enumeration value="PROTECTED"/>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aef97a4-ded2-4e4a-9fbc-e666dae3ecd2" ContentTypeId="0x0101008CA7A4F8331B45C7B0D3158B4994D0CA02"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UNCLASSIFIED</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Date xmlns="814d62cb-2db6-4c25-ab62-b9075facbc11">2017-08-07T14:00:00+00:00</APRADat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234</Value>
      <Value>134</Value>
      <Value>10</Value>
      <Value>26</Value>
      <Value>109</Value>
      <Value>158</Value>
      <Value>4</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Explanatory Statement (ES) for Financial Sector (Collection of Data) (reporting standard) determination No. 5 of 2017</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PAD300</TermName>
          <TermId xmlns="http://schemas.microsoft.com/office/infopath/2007/PartnerControls">98bbdbe4-d019-48eb-87c4-aa31a7f2f98f</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Corporate and Resolution</TermName>
          <TermId xmlns="http://schemas.microsoft.com/office/infopath/2007/PartnerControls">696624b1-19f4-47b2-a07b-57868a922a96</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5JENXJJSCC7A-445999044-2742</_dlc_DocId>
    <_dlc_DocIdUrl xmlns="814d62cb-2db6-4c25-ab62-b9075facbc11">
      <Url>https://im/teams/LEGAL/_layouts/15/DocIdRedir.aspx?ID=5JENXJJSCC7A-445999044-2742</Url>
      <Description>5JENXJJSCC7A-445999044-2742</Description>
    </_dlc_DocIdUrl>
    <APRAMeetingDate xmlns="814d62cb-2db6-4c25-ab62-b9075facbc11" xsi:nil="true"/>
    <APRAMeetingNumber xmlns="814d62cb-2db6-4c25-ab62-b9075facbc11" xsi:nil="true"/>
  </documentManagement>
</p:properties>
</file>

<file path=customXml/itemProps1.xml><?xml version="1.0" encoding="utf-8"?>
<ds:datastoreItem xmlns:ds="http://schemas.openxmlformats.org/officeDocument/2006/customXml" ds:itemID="{7BD75328-0B23-441F-9A0C-92225327DC46}"/>
</file>

<file path=customXml/itemProps2.xml><?xml version="1.0" encoding="utf-8"?>
<ds:datastoreItem xmlns:ds="http://schemas.openxmlformats.org/officeDocument/2006/customXml" ds:itemID="{84981F1C-47BE-4E38-A9A4-00DF52BB0D8B}">
  <ds:schemaRefs>
    <ds:schemaRef ds:uri="Microsoft.SharePoint.Taxonomy.ContentTypeSync"/>
  </ds:schemaRefs>
</ds:datastoreItem>
</file>

<file path=customXml/itemProps3.xml><?xml version="1.0" encoding="utf-8"?>
<ds:datastoreItem xmlns:ds="http://schemas.openxmlformats.org/officeDocument/2006/customXml" ds:itemID="{F4A39FBF-32AE-41EB-A6C3-CD6F6BE5D327}">
  <ds:schemaRefs>
    <ds:schemaRef ds:uri="http://schemas.microsoft.com/sharepoint/events"/>
  </ds:schemaRefs>
</ds:datastoreItem>
</file>

<file path=customXml/itemProps4.xml><?xml version="1.0" encoding="utf-8"?>
<ds:datastoreItem xmlns:ds="http://schemas.openxmlformats.org/officeDocument/2006/customXml" ds:itemID="{F6952A81-D193-460F-B340-6AC1B9020AA8}">
  <ds:schemaRefs>
    <ds:schemaRef ds:uri="http://schemas.microsoft.com/sharepoint/v3/contenttype/forms"/>
  </ds:schemaRefs>
</ds:datastoreItem>
</file>

<file path=customXml/itemProps5.xml><?xml version="1.0" encoding="utf-8"?>
<ds:datastoreItem xmlns:ds="http://schemas.openxmlformats.org/officeDocument/2006/customXml" ds:itemID="{71F06628-4F43-43B3-BC95-E6BF1BC80851}">
  <ds:schemaRefs>
    <ds:schemaRef ds:uri="http://schemas.microsoft.com/office/infopath/2007/PartnerControls"/>
    <ds:schemaRef ds:uri="http://schemas.microsoft.com/office/2006/metadata/properties"/>
    <ds:schemaRef ds:uri="http://schemas.microsoft.com/office/2006/documentManagement/types"/>
    <ds:schemaRef ds:uri="http://purl.org/dc/terms/"/>
    <ds:schemaRef ds:uri="814d62cb-2db6-4c25-ab62-b9075facbc11"/>
    <ds:schemaRef ds:uri="http://purl.org/dc/dcmitype/"/>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678</Words>
  <Characters>3943</Characters>
  <Application>Microsoft Office Word</Application>
  <DocSecurity>0</DocSecurity>
  <Lines>90</Lines>
  <Paragraphs>36</Paragraphs>
  <ScaleCrop>false</ScaleCrop>
  <HeadingPairs>
    <vt:vector size="2" baseType="variant">
      <vt:variant>
        <vt:lpstr>Title</vt:lpstr>
      </vt:variant>
      <vt:variant>
        <vt:i4>1</vt:i4>
      </vt:variant>
    </vt:vector>
  </HeadingPairs>
  <TitlesOfParts>
    <vt:vector size="1" baseType="lpstr">
      <vt:lpstr>Explanatory Statement re ARS 731.3b</vt:lpstr>
    </vt:vector>
  </TitlesOfParts>
  <Company>APRA</Company>
  <LinksUpToDate>false</LinksUpToDate>
  <CharactersWithSpaces>4606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Financial Sector (Collection of Data) (reporting standard) determination No. 5 of 2017</dc:title>
  <dc:subject/>
  <dc:creator>Michael Puli</dc:creator>
  <cp:keywords>[SEC=UNCLASSIFIED]</cp:keywords>
  <dc:description/>
  <cp:lastModifiedBy>Toni Michalis</cp:lastModifiedBy>
  <cp:revision>2</cp:revision>
  <cp:lastPrinted>2017-08-09T06:01:00Z</cp:lastPrinted>
  <dcterms:created xsi:type="dcterms:W3CDTF">2017-08-09T20:23:00Z</dcterms:created>
  <dcterms:modified xsi:type="dcterms:W3CDTF">2017-08-09T20:23:00Z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or_Hash_SHA1">
    <vt:lpwstr>C3AD57350F36D8E1BD75F8F67CB06D435C9C43CA</vt:lpwstr>
  </property>
  <property fmtid="{D5CDD505-2E9C-101B-9397-08002B2CF9AE}" pid="3" name="PM_SecurityClassification">
    <vt:lpwstr>UNCLASSIFIED</vt:lpwstr>
  </property>
  <property fmtid="{D5CDD505-2E9C-101B-9397-08002B2CF9AE}" pid="4" name="PM_DisplayValueSecClassificationWithQualifier">
    <vt:lpwstr>UNCLASSIFIED</vt:lpwstr>
  </property>
  <property fmtid="{D5CDD505-2E9C-101B-9397-08002B2CF9AE}" pid="5" name="PM_Qualifier">
    <vt:lpwstr/>
  </property>
  <property fmtid="{D5CDD505-2E9C-101B-9397-08002B2CF9AE}" pid="6" name="PM_Hash_SHA1">
    <vt:lpwstr>C6193880171D2B9ED82C4D9BE05C2A9D90F5588E</vt:lpwstr>
  </property>
  <property fmtid="{D5CDD505-2E9C-101B-9397-08002B2CF9AE}" pid="7" name="PM_InsertionValue">
    <vt:lpwstr>UNCLASSIFIED</vt:lpwstr>
  </property>
  <property fmtid="{D5CDD505-2E9C-101B-9397-08002B2CF9AE}" pid="8" name="PM_Hash_Salt">
    <vt:lpwstr>3B6174D1246209054B0BDE53AB7AA276</vt:lpwstr>
  </property>
  <property fmtid="{D5CDD505-2E9C-101B-9397-08002B2CF9AE}" pid="9" name="PM_Hash_Version">
    <vt:lpwstr>2016.1</vt:lpwstr>
  </property>
  <property fmtid="{D5CDD505-2E9C-101B-9397-08002B2CF9AE}" pid="10" name="PM_Hash_Salt_Prev">
    <vt:lpwstr>7C0B821332CD913C3B0C50A19D9CA2DB</vt:lpwstr>
  </property>
  <property fmtid="{D5CDD505-2E9C-101B-9397-08002B2CF9AE}" pid="11" name="PM_Caveats_Count">
    <vt:lpwstr>0</vt:lpwstr>
  </property>
  <property fmtid="{D5CDD505-2E9C-101B-9397-08002B2CF9AE}" pid="12" name="PM_SecurityClassification_Prev">
    <vt:lpwstr>UNCLASSIFIED</vt:lpwstr>
  </property>
  <property fmtid="{D5CDD505-2E9C-101B-9397-08002B2CF9AE}" pid="13" name="PM_Qualifier_Prev">
    <vt:lpwstr/>
  </property>
  <property fmtid="{D5CDD505-2E9C-101B-9397-08002B2CF9AE}" pid="14" name="PM_ProtectiveMarkingImage_Header">
    <vt:lpwstr>C:\Program Files (x86)\Common Files\janusNET Shared\janusSEAL\Images\DocumentSlashBlue.png</vt:lpwstr>
  </property>
  <property fmtid="{D5CDD505-2E9C-101B-9397-08002B2CF9AE}" pid="15" name="PM_ProtectiveMarkingValue_Header">
    <vt:lpwstr>UNCLASSIFIED</vt:lpwstr>
  </property>
  <property fmtid="{D5CDD505-2E9C-101B-9397-08002B2CF9AE}" pid="16" name="PM_ProtectiveMarkingValue_Footer">
    <vt:lpwstr>UNCLASSIFIED</vt:lpwstr>
  </property>
  <property fmtid="{D5CDD505-2E9C-101B-9397-08002B2CF9AE}" pid="17" name="PM_ProtectiveMarkingImage_Footer">
    <vt:lpwstr>C:\Program Files (x86)\Common Files\janusNET Shared\janusSEAL\Images\DocumentSlashBlue.png</vt:lpwstr>
  </property>
  <property fmtid="{D5CDD505-2E9C-101B-9397-08002B2CF9AE}" pid="18" name="PM_Namespace">
    <vt:lpwstr>gov.au</vt:lpwstr>
  </property>
  <property fmtid="{D5CDD505-2E9C-101B-9397-08002B2CF9AE}" pid="19" name="PM_Version">
    <vt:lpwstr>2012.3</vt:lpwstr>
  </property>
  <property fmtid="{D5CDD505-2E9C-101B-9397-08002B2CF9AE}" pid="20" name="PM_Originating_FileId">
    <vt:lpwstr>9E4BACE195844304B17C3CB434904035</vt:lpwstr>
  </property>
  <property fmtid="{D5CDD505-2E9C-101B-9397-08002B2CF9AE}" pid="21" name="PM_OriginationTimeStamp">
    <vt:lpwstr>2017-08-09T20:23:41Z</vt:lpwstr>
  </property>
  <property fmtid="{D5CDD505-2E9C-101B-9397-08002B2CF9AE}" pid="22" name="PM_MinimumSecurityClassification">
    <vt:lpwstr/>
  </property>
  <property fmtid="{D5CDD505-2E9C-101B-9397-08002B2CF9AE}" pid="23" name="ContentTypeId">
    <vt:lpwstr>0x0101008CA7A4F8331B45C7B0D3158B4994D0CA0200577EC0F5A1FBFC498F9A8436B963F8A6</vt:lpwstr>
  </property>
  <property fmtid="{D5CDD505-2E9C-101B-9397-08002B2CF9AE}" pid="24" name="APRAPeriod">
    <vt:lpwstr/>
  </property>
  <property fmtid="{D5CDD505-2E9C-101B-9397-08002B2CF9AE}" pid="25" name="APRAActivity">
    <vt:lpwstr>10;#Registration|390476ce-d76d-4e8d-905f-28e32d2df127;#109;#Statutory instrument|fe68928c-5a9c-4caf-bc8c-6c18cedcb17f</vt:lpwstr>
  </property>
  <property fmtid="{D5CDD505-2E9C-101B-9397-08002B2CF9AE}" pid="26" name="APRAYear">
    <vt:lpwstr/>
  </property>
  <property fmtid="{D5CDD505-2E9C-101B-9397-08002B2CF9AE}" pid="27" name="APRAIndustry">
    <vt:lpwstr/>
  </property>
  <property fmtid="{D5CDD505-2E9C-101B-9397-08002B2CF9AE}" pid="28" name="APRAPRSG">
    <vt:lpwstr/>
  </property>
  <property fmtid="{D5CDD505-2E9C-101B-9397-08002B2CF9AE}" pid="29" name="_dlc_DocIdItemGuid">
    <vt:lpwstr>a0f72b0b-3569-4854-bba0-29d7db4f62d9</vt:lpwstr>
  </property>
  <property fmtid="{D5CDD505-2E9C-101B-9397-08002B2CF9AE}" pid="30" name="IsLocked">
    <vt:lpwstr>False</vt:lpwstr>
  </property>
  <property fmtid="{D5CDD505-2E9C-101B-9397-08002B2CF9AE}" pid="31" name="APRACostCentre">
    <vt:lpwstr>158;#PAD300|98bbdbe4-d019-48eb-87c4-aa31a7f2f98f;#24;#Legal - ADI|652d8d2a-ab45-47b4-ac6e-fe6ac9299b39;#26;#Legal - Insurance: General|8229dc1a-d7f2-47b2-844a-b026fed0c13d;#83;#Legal - Insurance: Life|56f18b50-6605-4f3f-97e3-cad1cb5394e0;#134;#Legal - Superannuation|cce3181d-fd23-4eee-94d3-c66abc2350cf;#4;#Legal - Corporate and Resolution|696624b1-19f4-47b2-a07b-57868a922a96</vt:lpwstr>
  </property>
  <property fmtid="{D5CDD505-2E9C-101B-9397-08002B2CF9AE}" pid="32" name="IT system type">
    <vt:lpwstr/>
  </property>
  <property fmtid="{D5CDD505-2E9C-101B-9397-08002B2CF9AE}" pid="33" name="APRACategory">
    <vt:lpwstr/>
  </property>
  <property fmtid="{D5CDD505-2E9C-101B-9397-08002B2CF9AE}" pid="34" name="APRADocumentType">
    <vt:lpwstr>234;#Explanatory statement|b22f2e2f-3f73-411b-9a7c-34264d26fa25</vt:lpwstr>
  </property>
  <property fmtid="{D5CDD505-2E9C-101B-9397-08002B2CF9AE}" pid="35" name="APRAStatus">
    <vt:lpwstr>19;#Final|84d6b2d0-8498-4d62-bf46-bab38babbe9e</vt:lpwstr>
  </property>
  <property fmtid="{D5CDD505-2E9C-101B-9397-08002B2CF9AE}" pid="36" name="APRAEntityAdviceSupport">
    <vt:lpwstr/>
  </property>
  <property fmtid="{D5CDD505-2E9C-101B-9397-08002B2CF9AE}" pid="37" name="APRALegislation">
    <vt:lpwstr/>
  </property>
  <property fmtid="{D5CDD505-2E9C-101B-9397-08002B2CF9AE}" pid="38" name="APRAExternalOrganisation">
    <vt:lpwstr/>
  </property>
  <property fmtid="{D5CDD505-2E9C-101B-9397-08002B2CF9AE}" pid="39" name="APRAIRTR">
    <vt:lpwstr/>
  </property>
  <property fmtid="{D5CDD505-2E9C-101B-9397-08002B2CF9AE}" pid="40" name="RecordPoint_WorkflowType">
    <vt:lpwstr>ActiveSubmitStub</vt:lpwstr>
  </property>
  <property fmtid="{D5CDD505-2E9C-101B-9397-08002B2CF9AE}" pid="41" name="RecordPoint_ActiveItemWebId">
    <vt:lpwstr>{75a71c27-8d66-4282-ae60-1bfc22a83be1}</vt:lpwstr>
  </property>
  <property fmtid="{D5CDD505-2E9C-101B-9397-08002B2CF9AE}" pid="42" name="RecordPoint_ActiveItemSiteId">
    <vt:lpwstr>{88691c01-5bbb-4215-adc0-66cb7065b0af}</vt:lpwstr>
  </property>
  <property fmtid="{D5CDD505-2E9C-101B-9397-08002B2CF9AE}" pid="43" name="RecordPoint_ActiveItemListId">
    <vt:lpwstr>{0e59e171-09d8-4401-800a-327154450cb3}</vt:lpwstr>
  </property>
  <property fmtid="{D5CDD505-2E9C-101B-9397-08002B2CF9AE}" pid="44" name="RecordPoint_ActiveItemUniqueId">
    <vt:lpwstr>{a0f72b0b-3569-4854-bba0-29d7db4f62d9}</vt:lpwstr>
  </property>
  <property fmtid="{D5CDD505-2E9C-101B-9397-08002B2CF9AE}" pid="45" name="RecordPoint_RecordNumberSubmitted">
    <vt:lpwstr>R0000164513</vt:lpwstr>
  </property>
  <property fmtid="{D5CDD505-2E9C-101B-9397-08002B2CF9AE}" pid="46" name="RecordPoint_SubmissionCompleted">
    <vt:lpwstr>2017-08-10T07:22:17.9523728+10:00</vt:lpwstr>
  </property>
  <property fmtid="{D5CDD505-2E9C-101B-9397-08002B2CF9AE}" pid="47" name="_docset_NoMedatataSyncRequired">
    <vt:lpwstr>False</vt:lpwstr>
  </property>
  <property fmtid="{D5CDD505-2E9C-101B-9397-08002B2CF9AE}" pid="48" name="RecordPoint_SubmissionDate">
    <vt:lpwstr/>
  </property>
  <property fmtid="{D5CDD505-2E9C-101B-9397-08002B2CF9AE}" pid="49" name="RecordPoint_ActiveItemMoved">
    <vt:lpwstr/>
  </property>
  <property fmtid="{D5CDD505-2E9C-101B-9397-08002B2CF9AE}" pid="50" name="RecordPoint_RecordFormat">
    <vt:lpwstr/>
  </property>
</Properties>
</file>