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387C50" w14:textId="77777777" w:rsidR="00280920" w:rsidRDefault="00280920">
      <w:pPr>
        <w:pStyle w:val="Title"/>
      </w:pPr>
      <w:bookmarkStart w:id="0" w:name="_GoBack"/>
      <w:bookmarkEnd w:id="0"/>
      <w:r>
        <w:t>EXPLANATORY STATEMENT</w:t>
      </w:r>
    </w:p>
    <w:p w14:paraId="0E05C2B0" w14:textId="77777777" w:rsidR="00280920" w:rsidRDefault="00280920">
      <w:pPr>
        <w:rPr>
          <w:i/>
          <w:sz w:val="24"/>
        </w:rPr>
      </w:pPr>
    </w:p>
    <w:p w14:paraId="0E0A8134" w14:textId="77777777" w:rsidR="00280920" w:rsidRDefault="00280920">
      <w:pPr>
        <w:jc w:val="center"/>
        <w:rPr>
          <w:sz w:val="28"/>
        </w:rPr>
      </w:pPr>
      <w:r>
        <w:rPr>
          <w:i/>
          <w:sz w:val="24"/>
        </w:rPr>
        <w:t>Environment Protection and Biodiversity Conservation Act 1999</w:t>
      </w:r>
    </w:p>
    <w:p w14:paraId="440B6243" w14:textId="77777777" w:rsidR="00280920" w:rsidRPr="00895925" w:rsidRDefault="00280920">
      <w:pPr>
        <w:jc w:val="center"/>
        <w:rPr>
          <w:i/>
        </w:rPr>
      </w:pPr>
    </w:p>
    <w:p w14:paraId="03C56AED" w14:textId="77777777" w:rsidR="00280920" w:rsidRPr="00895925" w:rsidRDefault="00280920">
      <w:pPr>
        <w:ind w:left="-142"/>
        <w:jc w:val="center"/>
        <w:rPr>
          <w:i/>
          <w:sz w:val="24"/>
          <w:szCs w:val="24"/>
        </w:rPr>
      </w:pPr>
      <w:r w:rsidRPr="00895925">
        <w:rPr>
          <w:sz w:val="24"/>
          <w:szCs w:val="24"/>
        </w:rPr>
        <w:t>Amendment of the List of Exempt Native Speci</w:t>
      </w:r>
      <w:r w:rsidR="00CE754A">
        <w:rPr>
          <w:sz w:val="24"/>
          <w:szCs w:val="24"/>
        </w:rPr>
        <w:t>mens in accordance with Section </w:t>
      </w:r>
      <w:r w:rsidRPr="00895925">
        <w:rPr>
          <w:sz w:val="24"/>
          <w:szCs w:val="24"/>
        </w:rPr>
        <w:t>303DC</w:t>
      </w:r>
    </w:p>
    <w:p w14:paraId="47A3BD9F" w14:textId="77777777" w:rsidR="00280920" w:rsidRPr="00895925" w:rsidRDefault="00280920">
      <w:pPr>
        <w:jc w:val="center"/>
        <w:rPr>
          <w:i/>
        </w:rPr>
      </w:pPr>
    </w:p>
    <w:p w14:paraId="6FAE4717" w14:textId="77777777" w:rsidR="00280920" w:rsidRPr="00895925" w:rsidRDefault="00CE754A">
      <w:pPr>
        <w:pStyle w:val="normal-dot2"/>
        <w:numPr>
          <w:ilvl w:val="0"/>
          <w:numId w:val="0"/>
        </w:numPr>
        <w:spacing w:before="0"/>
        <w:rPr>
          <w:szCs w:val="24"/>
        </w:rPr>
      </w:pPr>
      <w:r>
        <w:rPr>
          <w:szCs w:val="24"/>
        </w:rPr>
        <w:t>Section </w:t>
      </w:r>
      <w:r w:rsidR="00280920" w:rsidRPr="00895925">
        <w:rPr>
          <w:szCs w:val="24"/>
        </w:rPr>
        <w:t xml:space="preserve">303DB of the </w:t>
      </w:r>
      <w:r w:rsidR="00280920" w:rsidRPr="00895925">
        <w:rPr>
          <w:i/>
          <w:szCs w:val="24"/>
        </w:rPr>
        <w:t>Environment Protection an</w:t>
      </w:r>
      <w:r w:rsidR="00841E4C">
        <w:rPr>
          <w:i/>
          <w:szCs w:val="24"/>
        </w:rPr>
        <w:t>d Biodiversity Conservation Act </w:t>
      </w:r>
      <w:r w:rsidR="00280920" w:rsidRPr="00895925">
        <w:rPr>
          <w:i/>
          <w:szCs w:val="24"/>
        </w:rPr>
        <w:t>1999</w:t>
      </w:r>
      <w:r w:rsidR="00021260" w:rsidRPr="00895925">
        <w:rPr>
          <w:szCs w:val="24"/>
        </w:rPr>
        <w:t xml:space="preserve"> (</w:t>
      </w:r>
      <w:r w:rsidR="00280920" w:rsidRPr="00895925">
        <w:rPr>
          <w:szCs w:val="24"/>
        </w:rPr>
        <w:t>EPBC</w:t>
      </w:r>
      <w:r>
        <w:rPr>
          <w:szCs w:val="24"/>
        </w:rPr>
        <w:t> </w:t>
      </w:r>
      <w:r w:rsidR="00280920" w:rsidRPr="00895925">
        <w:rPr>
          <w:szCs w:val="24"/>
        </w:rPr>
        <w:t xml:space="preserve">Act) provides for the establishment of a list of exempt native specimens. Specimens included in the list are exempt from the trade control provisions that apply to regulated native specimens. </w:t>
      </w:r>
    </w:p>
    <w:p w14:paraId="0BEA1E64" w14:textId="77777777" w:rsidR="00280920" w:rsidRPr="00895925" w:rsidRDefault="00280920">
      <w:pPr>
        <w:pStyle w:val="normal-dot2"/>
        <w:numPr>
          <w:ilvl w:val="0"/>
          <w:numId w:val="0"/>
        </w:numPr>
        <w:spacing w:before="0"/>
        <w:rPr>
          <w:sz w:val="20"/>
        </w:rPr>
      </w:pPr>
    </w:p>
    <w:p w14:paraId="2F9C9E7F" w14:textId="4427EBC8" w:rsidR="00280920" w:rsidRPr="00895925" w:rsidRDefault="00280920">
      <w:pPr>
        <w:pStyle w:val="normal-dot2"/>
        <w:numPr>
          <w:ilvl w:val="0"/>
          <w:numId w:val="0"/>
        </w:numPr>
        <w:spacing w:before="0"/>
        <w:rPr>
          <w:szCs w:val="24"/>
        </w:rPr>
      </w:pPr>
      <w:r w:rsidRPr="00895925">
        <w:rPr>
          <w:szCs w:val="24"/>
        </w:rPr>
        <w:t xml:space="preserve">The effect of this instrument is to revoke the conditions to which the inclusion of the following item </w:t>
      </w:r>
      <w:r w:rsidRPr="00895925">
        <w:rPr>
          <w:snapToGrid w:val="0"/>
          <w:szCs w:val="24"/>
        </w:rPr>
        <w:t xml:space="preserve">in the list </w:t>
      </w:r>
      <w:r w:rsidRPr="00895925">
        <w:rPr>
          <w:szCs w:val="24"/>
        </w:rPr>
        <w:t xml:space="preserve">of exempt native specimens </w:t>
      </w:r>
      <w:r w:rsidRPr="00895925">
        <w:rPr>
          <w:snapToGrid w:val="0"/>
          <w:szCs w:val="24"/>
        </w:rPr>
        <w:t xml:space="preserve">is subject: </w:t>
      </w:r>
    </w:p>
    <w:p w14:paraId="26794282" w14:textId="77777777" w:rsidR="00280920" w:rsidRPr="00895925" w:rsidRDefault="00280920">
      <w:pPr>
        <w:pStyle w:val="normal-dot2"/>
        <w:numPr>
          <w:ilvl w:val="0"/>
          <w:numId w:val="0"/>
        </w:numPr>
        <w:spacing w:before="0"/>
        <w:rPr>
          <w:sz w:val="20"/>
        </w:rPr>
      </w:pPr>
    </w:p>
    <w:p w14:paraId="14F93CF0" w14:textId="0877D395" w:rsidR="0008168E" w:rsidRPr="0046018A" w:rsidRDefault="0008168E" w:rsidP="0008168E">
      <w:pPr>
        <w:numPr>
          <w:ilvl w:val="0"/>
          <w:numId w:val="4"/>
        </w:numPr>
        <w:rPr>
          <w:sz w:val="24"/>
          <w:szCs w:val="24"/>
        </w:rPr>
      </w:pPr>
      <w:r w:rsidRPr="0046018A">
        <w:rPr>
          <w:sz w:val="24"/>
          <w:szCs w:val="24"/>
        </w:rPr>
        <w:t xml:space="preserve">specimens that are or are derived from fish or invertebrates, other than specimens that belong to species listed under Part 13 of the EPBC </w:t>
      </w:r>
      <w:r w:rsidR="0046018A" w:rsidRPr="0046018A">
        <w:rPr>
          <w:sz w:val="24"/>
          <w:szCs w:val="24"/>
          <w:shd w:val="clear" w:color="auto" w:fill="FFFFFF"/>
        </w:rPr>
        <w:t xml:space="preserve">Act, taken in the South Australian Lakes and Coorong Fishery, as defined in the Fisheries Management (Lakes and Coorong Fishery) Regulations 2009 and the Fisheries Management (General) Regulations 2007 in force under the </w:t>
      </w:r>
      <w:r w:rsidR="0046018A" w:rsidRPr="000B48F6">
        <w:rPr>
          <w:i/>
          <w:sz w:val="24"/>
          <w:szCs w:val="24"/>
          <w:shd w:val="clear" w:color="auto" w:fill="FFFFFF"/>
        </w:rPr>
        <w:t>Fisheries Management Act 2007</w:t>
      </w:r>
      <w:r w:rsidR="0046018A" w:rsidRPr="0046018A">
        <w:rPr>
          <w:sz w:val="24"/>
          <w:szCs w:val="24"/>
          <w:shd w:val="clear" w:color="auto" w:fill="FFFFFF"/>
        </w:rPr>
        <w:t xml:space="preserve"> (South Australia</w:t>
      </w:r>
      <w:r w:rsidR="0073263E" w:rsidRPr="0046018A">
        <w:rPr>
          <w:sz w:val="24"/>
          <w:szCs w:val="24"/>
        </w:rPr>
        <w:t>)</w:t>
      </w:r>
      <w:r w:rsidRPr="0046018A">
        <w:rPr>
          <w:sz w:val="24"/>
          <w:szCs w:val="24"/>
        </w:rPr>
        <w:t>.</w:t>
      </w:r>
    </w:p>
    <w:p w14:paraId="38A37025" w14:textId="77777777" w:rsidR="00280920" w:rsidRPr="00895925" w:rsidRDefault="0008168E" w:rsidP="0008168E">
      <w:pPr>
        <w:tabs>
          <w:tab w:val="left" w:pos="2900"/>
        </w:tabs>
        <w:ind w:left="360"/>
        <w:rPr>
          <w:sz w:val="24"/>
          <w:szCs w:val="24"/>
        </w:rPr>
      </w:pPr>
      <w:r>
        <w:rPr>
          <w:sz w:val="24"/>
          <w:szCs w:val="24"/>
        </w:rPr>
        <w:tab/>
      </w:r>
    </w:p>
    <w:p w14:paraId="711214AE" w14:textId="77777777" w:rsidR="00280920" w:rsidRPr="00895925" w:rsidRDefault="00280920">
      <w:pPr>
        <w:tabs>
          <w:tab w:val="left" w:pos="360"/>
        </w:tabs>
        <w:rPr>
          <w:sz w:val="24"/>
          <w:szCs w:val="24"/>
        </w:rPr>
      </w:pPr>
      <w:proofErr w:type="gramStart"/>
      <w:r w:rsidRPr="00895925">
        <w:rPr>
          <w:sz w:val="24"/>
          <w:szCs w:val="24"/>
        </w:rPr>
        <w:t>and</w:t>
      </w:r>
      <w:proofErr w:type="gramEnd"/>
      <w:r w:rsidRPr="00895925">
        <w:rPr>
          <w:sz w:val="24"/>
          <w:szCs w:val="24"/>
        </w:rPr>
        <w:t xml:space="preserve"> impose the following conditions to which the inclusion of the specimens in the list is subject:</w:t>
      </w:r>
    </w:p>
    <w:p w14:paraId="5DB03DDC" w14:textId="77777777" w:rsidR="00280920" w:rsidRPr="00895925" w:rsidRDefault="00280920">
      <w:pPr>
        <w:rPr>
          <w:snapToGrid w:val="0"/>
        </w:rPr>
      </w:pPr>
    </w:p>
    <w:p w14:paraId="4D421B6E" w14:textId="77777777" w:rsidR="00280920" w:rsidRPr="00895925" w:rsidRDefault="00280920" w:rsidP="00584019">
      <w:pPr>
        <w:numPr>
          <w:ilvl w:val="0"/>
          <w:numId w:val="5"/>
        </w:numPr>
        <w:tabs>
          <w:tab w:val="clear" w:pos="360"/>
        </w:tabs>
        <w:spacing w:after="120"/>
        <w:ind w:hanging="357"/>
        <w:rPr>
          <w:snapToGrid w:val="0"/>
          <w:sz w:val="24"/>
          <w:szCs w:val="24"/>
        </w:rPr>
      </w:pPr>
      <w:r w:rsidRPr="00895925">
        <w:rPr>
          <w:snapToGrid w:val="0"/>
          <w:sz w:val="24"/>
          <w:szCs w:val="24"/>
        </w:rPr>
        <w:t>the specimen, or the fish or invertebrate from which it</w:t>
      </w:r>
      <w:r w:rsidR="00053A71" w:rsidRPr="00895925">
        <w:rPr>
          <w:snapToGrid w:val="0"/>
          <w:sz w:val="24"/>
          <w:szCs w:val="24"/>
        </w:rPr>
        <w:t xml:space="preserve"> is derived, was taken lawfully,</w:t>
      </w:r>
      <w:r w:rsidRPr="00895925">
        <w:rPr>
          <w:snapToGrid w:val="0"/>
          <w:sz w:val="24"/>
          <w:szCs w:val="24"/>
        </w:rPr>
        <w:t xml:space="preserve"> and</w:t>
      </w:r>
    </w:p>
    <w:p w14:paraId="507FD8FD" w14:textId="65094E00" w:rsidR="0073263E" w:rsidRDefault="00280920" w:rsidP="00584019">
      <w:pPr>
        <w:numPr>
          <w:ilvl w:val="0"/>
          <w:numId w:val="5"/>
        </w:numPr>
        <w:tabs>
          <w:tab w:val="clear" w:pos="360"/>
        </w:tabs>
        <w:ind w:hanging="357"/>
        <w:rPr>
          <w:snapToGrid w:val="0"/>
          <w:sz w:val="24"/>
          <w:szCs w:val="24"/>
        </w:rPr>
      </w:pPr>
      <w:proofErr w:type="gramStart"/>
      <w:r w:rsidRPr="00895925">
        <w:rPr>
          <w:snapToGrid w:val="0"/>
          <w:sz w:val="24"/>
          <w:szCs w:val="24"/>
        </w:rPr>
        <w:t>the</w:t>
      </w:r>
      <w:proofErr w:type="gramEnd"/>
      <w:r w:rsidRPr="00895925">
        <w:rPr>
          <w:snapToGrid w:val="0"/>
          <w:sz w:val="24"/>
          <w:szCs w:val="24"/>
        </w:rPr>
        <w:t xml:space="preserve"> specimens are included in the list until </w:t>
      </w:r>
      <w:r w:rsidR="00401109">
        <w:rPr>
          <w:snapToGrid w:val="0"/>
          <w:sz w:val="24"/>
          <w:szCs w:val="24"/>
        </w:rPr>
        <w:t>3 November</w:t>
      </w:r>
      <w:r w:rsidR="0073263E">
        <w:rPr>
          <w:snapToGrid w:val="0"/>
          <w:sz w:val="24"/>
          <w:szCs w:val="24"/>
        </w:rPr>
        <w:t> 2017.</w:t>
      </w:r>
    </w:p>
    <w:p w14:paraId="6B2DBF4E" w14:textId="77777777" w:rsidR="008152AE" w:rsidRDefault="008152AE" w:rsidP="008152AE">
      <w:pPr>
        <w:rPr>
          <w:snapToGrid w:val="0"/>
          <w:sz w:val="24"/>
          <w:szCs w:val="24"/>
        </w:rPr>
      </w:pPr>
    </w:p>
    <w:p w14:paraId="0A526B96" w14:textId="7DC0601C" w:rsidR="00280920" w:rsidRDefault="00CD7278" w:rsidP="00584019">
      <w:pPr>
        <w:pStyle w:val="normal-dot2"/>
        <w:numPr>
          <w:ilvl w:val="0"/>
          <w:numId w:val="0"/>
        </w:numPr>
        <w:spacing w:before="0"/>
        <w:rPr>
          <w:szCs w:val="24"/>
        </w:rPr>
      </w:pPr>
      <w:r w:rsidRPr="0046018A">
        <w:rPr>
          <w:szCs w:val="24"/>
        </w:rPr>
        <w:t xml:space="preserve">Non Commonwealth Acts and disallowable instruments that are incorporated by reference in this instrument are to be incorporated as </w:t>
      </w:r>
      <w:r w:rsidR="00AB52B0" w:rsidRPr="0046018A">
        <w:rPr>
          <w:szCs w:val="24"/>
        </w:rPr>
        <w:t xml:space="preserve">in force from time to time. </w:t>
      </w:r>
      <w:r w:rsidR="00970859" w:rsidRPr="0046018A">
        <w:rPr>
          <w:szCs w:val="24"/>
        </w:rPr>
        <w:t xml:space="preserve">The </w:t>
      </w:r>
      <w:r w:rsidR="0073263E" w:rsidRPr="0046018A">
        <w:rPr>
          <w:szCs w:val="24"/>
          <w:lang w:eastAsia="en-AU"/>
        </w:rPr>
        <w:t xml:space="preserve">South Australian </w:t>
      </w:r>
      <w:r w:rsidR="00970859" w:rsidRPr="0046018A">
        <w:rPr>
          <w:szCs w:val="24"/>
        </w:rPr>
        <w:t xml:space="preserve">legislation incorporated by reference in this instrument can be freely accessed </w:t>
      </w:r>
      <w:r w:rsidR="0073263E" w:rsidRPr="0046018A">
        <w:rPr>
          <w:szCs w:val="24"/>
        </w:rPr>
        <w:t xml:space="preserve">at </w:t>
      </w:r>
      <w:hyperlink r:id="rId12" w:history="1">
        <w:r w:rsidR="0073263E" w:rsidRPr="0046018A">
          <w:rPr>
            <w:rStyle w:val="Hyperlink"/>
            <w:szCs w:val="24"/>
          </w:rPr>
          <w:t>www.legislation.sa.gov.au</w:t>
        </w:r>
      </w:hyperlink>
      <w:r w:rsidR="0073263E" w:rsidRPr="0046018A">
        <w:rPr>
          <w:szCs w:val="24"/>
        </w:rPr>
        <w:t xml:space="preserve"> (as of </w:t>
      </w:r>
      <w:r w:rsidR="0046018A" w:rsidRPr="0046018A">
        <w:rPr>
          <w:szCs w:val="24"/>
        </w:rPr>
        <w:t>August</w:t>
      </w:r>
      <w:r w:rsidR="0073263E" w:rsidRPr="0046018A">
        <w:rPr>
          <w:szCs w:val="24"/>
        </w:rPr>
        <w:t xml:space="preserve"> 2017).</w:t>
      </w:r>
    </w:p>
    <w:p w14:paraId="4627502B" w14:textId="77777777" w:rsidR="0073263E" w:rsidRPr="00895925" w:rsidRDefault="0073263E" w:rsidP="00584019">
      <w:pPr>
        <w:pStyle w:val="normal-dot2"/>
        <w:numPr>
          <w:ilvl w:val="0"/>
          <w:numId w:val="0"/>
        </w:numPr>
        <w:spacing w:before="0"/>
        <w:rPr>
          <w:sz w:val="20"/>
        </w:rPr>
      </w:pPr>
    </w:p>
    <w:p w14:paraId="16F62267" w14:textId="39D86019" w:rsidR="00DE0452" w:rsidRPr="0046018A" w:rsidRDefault="00DE0452" w:rsidP="00DE0452">
      <w:pPr>
        <w:rPr>
          <w:sz w:val="24"/>
          <w:szCs w:val="24"/>
        </w:rPr>
      </w:pPr>
      <w:r w:rsidRPr="0046018A">
        <w:rPr>
          <w:sz w:val="24"/>
          <w:szCs w:val="24"/>
        </w:rPr>
        <w:lastRenderedPageBreak/>
        <w:t xml:space="preserve">Revoking the conditions and imposing the above conditions to which the inclusion of the specimens in the list of exempt native specimens is subject will allow continued export of these specimens until </w:t>
      </w:r>
      <w:r w:rsidR="00401109">
        <w:rPr>
          <w:snapToGrid w:val="0"/>
          <w:sz w:val="24"/>
          <w:szCs w:val="24"/>
        </w:rPr>
        <w:t>3 November </w:t>
      </w:r>
      <w:r w:rsidR="0046018A" w:rsidRPr="0046018A">
        <w:rPr>
          <w:snapToGrid w:val="0"/>
          <w:sz w:val="24"/>
          <w:szCs w:val="24"/>
        </w:rPr>
        <w:t>2017</w:t>
      </w:r>
      <w:r w:rsidRPr="0046018A">
        <w:rPr>
          <w:sz w:val="24"/>
          <w:szCs w:val="24"/>
        </w:rPr>
        <w:t>. The only effect of this amendment is to extend this date.</w:t>
      </w:r>
    </w:p>
    <w:p w14:paraId="7B928127" w14:textId="77777777" w:rsidR="00280920" w:rsidRPr="00895925" w:rsidRDefault="00280920"/>
    <w:p w14:paraId="3E71AB85" w14:textId="77777777" w:rsidR="00280920" w:rsidRPr="00895925" w:rsidRDefault="00280920">
      <w:pPr>
        <w:pStyle w:val="normal-dot2"/>
        <w:numPr>
          <w:ilvl w:val="0"/>
          <w:numId w:val="0"/>
        </w:numPr>
        <w:spacing w:before="0"/>
        <w:rPr>
          <w:szCs w:val="24"/>
        </w:rPr>
      </w:pPr>
      <w:r w:rsidRPr="00895925">
        <w:rPr>
          <w:szCs w:val="24"/>
        </w:rPr>
        <w:t>In determining to include the specimens in the list of exempt native specimens r</w:t>
      </w:r>
      <w:r w:rsidR="00FF3C88">
        <w:rPr>
          <w:szCs w:val="24"/>
        </w:rPr>
        <w:t>egard was had to the Australian </w:t>
      </w:r>
      <w:r w:rsidRPr="00895925">
        <w:rPr>
          <w:szCs w:val="24"/>
        </w:rPr>
        <w:t xml:space="preserve">Government’s </w:t>
      </w:r>
      <w:r w:rsidR="00881E32" w:rsidRPr="00895925">
        <w:rPr>
          <w:szCs w:val="24"/>
        </w:rPr>
        <w:t>‘</w:t>
      </w:r>
      <w:r w:rsidRPr="00895925">
        <w:rPr>
          <w:szCs w:val="24"/>
        </w:rPr>
        <w:t>Guidelines for the Ecologically Sustainable Management of Fisheries – 2</w:t>
      </w:r>
      <w:r w:rsidRPr="004450C4">
        <w:rPr>
          <w:szCs w:val="24"/>
          <w:vertAlign w:val="superscript"/>
        </w:rPr>
        <w:t>nd</w:t>
      </w:r>
      <w:r w:rsidR="00053A71" w:rsidRPr="00895925">
        <w:rPr>
          <w:szCs w:val="24"/>
        </w:rPr>
        <w:t> </w:t>
      </w:r>
      <w:r w:rsidRPr="00895925">
        <w:rPr>
          <w:szCs w:val="24"/>
        </w:rPr>
        <w:t>Edition</w:t>
      </w:r>
      <w:r w:rsidR="00881E32" w:rsidRPr="00895925">
        <w:rPr>
          <w:szCs w:val="24"/>
        </w:rPr>
        <w:t>’</w:t>
      </w:r>
      <w:r w:rsidR="004450C4">
        <w:rPr>
          <w:szCs w:val="24"/>
        </w:rPr>
        <w:t>.</w:t>
      </w:r>
      <w:r w:rsidRPr="00895925">
        <w:rPr>
          <w:szCs w:val="24"/>
        </w:rPr>
        <w:t xml:space="preserve"> Those guidelines establish the criteria for assessment of the ecological sustaina</w:t>
      </w:r>
      <w:r w:rsidR="0051056C" w:rsidRPr="00895925">
        <w:rPr>
          <w:szCs w:val="24"/>
        </w:rPr>
        <w:t>bility of the relevant fishery’s</w:t>
      </w:r>
      <w:r w:rsidRPr="00895925">
        <w:rPr>
          <w:szCs w:val="24"/>
        </w:rPr>
        <w:t xml:space="preserve"> management arrangements.</w:t>
      </w:r>
    </w:p>
    <w:p w14:paraId="29CDD03B" w14:textId="77777777" w:rsidR="00280920" w:rsidRPr="00895925" w:rsidRDefault="00280920"/>
    <w:p w14:paraId="57BA22C7" w14:textId="144813EF" w:rsidR="00280920" w:rsidRPr="0073263E" w:rsidRDefault="00B505FE">
      <w:pPr>
        <w:rPr>
          <w:sz w:val="24"/>
          <w:szCs w:val="24"/>
        </w:rPr>
      </w:pPr>
      <w:r w:rsidRPr="0073263E">
        <w:rPr>
          <w:sz w:val="24"/>
          <w:szCs w:val="24"/>
        </w:rPr>
        <w:t>Subsection 303DC(3) of the EPBC </w:t>
      </w:r>
      <w:r w:rsidR="00280920" w:rsidRPr="0073263E">
        <w:rPr>
          <w:sz w:val="24"/>
          <w:szCs w:val="24"/>
        </w:rPr>
        <w:t xml:space="preserve">Act provides that before amending the list, </w:t>
      </w:r>
      <w:r w:rsidR="009637D5" w:rsidRPr="0073263E">
        <w:rPr>
          <w:sz w:val="24"/>
          <w:szCs w:val="24"/>
        </w:rPr>
        <w:t>the Minister for the</w:t>
      </w:r>
      <w:r w:rsidR="009F217F" w:rsidRPr="0073263E">
        <w:rPr>
          <w:sz w:val="24"/>
          <w:szCs w:val="24"/>
        </w:rPr>
        <w:t xml:space="preserve"> Environment</w:t>
      </w:r>
      <w:r w:rsidR="00765E7E" w:rsidRPr="0073263E">
        <w:rPr>
          <w:sz w:val="24"/>
          <w:szCs w:val="24"/>
        </w:rPr>
        <w:t xml:space="preserve"> and Energy</w:t>
      </w:r>
      <w:r w:rsidR="009F217F" w:rsidRPr="0073263E">
        <w:rPr>
          <w:sz w:val="24"/>
          <w:szCs w:val="24"/>
        </w:rPr>
        <w:t xml:space="preserve"> </w:t>
      </w:r>
      <w:r w:rsidR="00280920" w:rsidRPr="0073263E">
        <w:rPr>
          <w:sz w:val="24"/>
          <w:szCs w:val="24"/>
        </w:rPr>
        <w:t>must consult such other Commonwealth minister or ministers and such other minister or ministers of each state and self-governing territory, as the mini</w:t>
      </w:r>
      <w:r w:rsidR="00D9511B" w:rsidRPr="0073263E">
        <w:rPr>
          <w:sz w:val="24"/>
          <w:szCs w:val="24"/>
        </w:rPr>
        <w:t>ster considers appropriate. The </w:t>
      </w:r>
      <w:r w:rsidR="00280920" w:rsidRPr="0073263E">
        <w:rPr>
          <w:sz w:val="24"/>
          <w:szCs w:val="24"/>
        </w:rPr>
        <w:t>minister may also consult with such other persons and organisations as the minister considers appropriate. In this instance, the Delegate of the</w:t>
      </w:r>
      <w:r w:rsidR="009637D5" w:rsidRPr="0073263E">
        <w:rPr>
          <w:sz w:val="24"/>
          <w:szCs w:val="24"/>
        </w:rPr>
        <w:t xml:space="preserve"> Minister for the</w:t>
      </w:r>
      <w:r w:rsidR="009F217F" w:rsidRPr="0073263E">
        <w:rPr>
          <w:sz w:val="24"/>
          <w:szCs w:val="24"/>
        </w:rPr>
        <w:t xml:space="preserve"> Environment </w:t>
      </w:r>
      <w:r w:rsidR="00765E7E" w:rsidRPr="0073263E">
        <w:rPr>
          <w:sz w:val="24"/>
          <w:szCs w:val="24"/>
        </w:rPr>
        <w:t xml:space="preserve">and Energy </w:t>
      </w:r>
      <w:r w:rsidR="00280920" w:rsidRPr="0073263E">
        <w:rPr>
          <w:sz w:val="24"/>
          <w:szCs w:val="24"/>
        </w:rPr>
        <w:t xml:space="preserve">consulted with </w:t>
      </w:r>
      <w:r w:rsidR="0073263E" w:rsidRPr="0073263E">
        <w:rPr>
          <w:sz w:val="24"/>
          <w:szCs w:val="24"/>
          <w:lang w:eastAsia="en-AU"/>
        </w:rPr>
        <w:t>Primary Industries and Regions</w:t>
      </w:r>
      <w:r w:rsidR="0073263E" w:rsidRPr="0073263E" w:rsidDel="0073263E">
        <w:rPr>
          <w:color w:val="FF0000"/>
          <w:sz w:val="24"/>
          <w:szCs w:val="24"/>
        </w:rPr>
        <w:t xml:space="preserve"> </w:t>
      </w:r>
      <w:r w:rsidR="000B48F6" w:rsidRPr="000B48F6">
        <w:rPr>
          <w:sz w:val="24"/>
          <w:szCs w:val="24"/>
        </w:rPr>
        <w:t xml:space="preserve">South Australia </w:t>
      </w:r>
      <w:r w:rsidR="00217C72" w:rsidRPr="0073263E">
        <w:rPr>
          <w:sz w:val="24"/>
          <w:szCs w:val="24"/>
        </w:rPr>
        <w:t xml:space="preserve">as </w:t>
      </w:r>
      <w:r w:rsidR="000B48F6" w:rsidRPr="000B48F6">
        <w:rPr>
          <w:sz w:val="24"/>
          <w:szCs w:val="24"/>
        </w:rPr>
        <w:t xml:space="preserve">Primary Industries and Regions South Australia </w:t>
      </w:r>
      <w:r w:rsidR="00280920" w:rsidRPr="0073263E">
        <w:rPr>
          <w:sz w:val="24"/>
          <w:szCs w:val="24"/>
        </w:rPr>
        <w:t>ha</w:t>
      </w:r>
      <w:r w:rsidR="00EA1BF3" w:rsidRPr="0073263E">
        <w:rPr>
          <w:sz w:val="24"/>
          <w:szCs w:val="24"/>
        </w:rPr>
        <w:t>s</w:t>
      </w:r>
      <w:r w:rsidR="00280920" w:rsidRPr="0073263E">
        <w:rPr>
          <w:sz w:val="24"/>
          <w:szCs w:val="24"/>
        </w:rPr>
        <w:t xml:space="preserve"> management responsibilities for the fishery concerned. </w:t>
      </w:r>
    </w:p>
    <w:p w14:paraId="1AD500BD" w14:textId="77777777" w:rsidR="00280920" w:rsidRPr="00895925" w:rsidRDefault="00280920">
      <w:pPr>
        <w:autoSpaceDE w:val="0"/>
        <w:autoSpaceDN w:val="0"/>
        <w:adjustRightInd w:val="0"/>
      </w:pPr>
    </w:p>
    <w:p w14:paraId="788A2155" w14:textId="77777777" w:rsidR="00280920" w:rsidRPr="00895925" w:rsidRDefault="00280920">
      <w:pPr>
        <w:autoSpaceDE w:val="0"/>
        <w:autoSpaceDN w:val="0"/>
        <w:adjustRightInd w:val="0"/>
        <w:rPr>
          <w:sz w:val="24"/>
          <w:szCs w:val="24"/>
        </w:rPr>
      </w:pPr>
      <w:r w:rsidRPr="00895925">
        <w:rPr>
          <w:sz w:val="24"/>
          <w:szCs w:val="24"/>
        </w:rPr>
        <w:t xml:space="preserve">This instrument is a legislative instrument for the purposes of the </w:t>
      </w:r>
      <w:r w:rsidR="00CD045A">
        <w:rPr>
          <w:i/>
          <w:iCs/>
          <w:sz w:val="24"/>
          <w:szCs w:val="24"/>
        </w:rPr>
        <w:t>Legislation</w:t>
      </w:r>
      <w:r w:rsidR="00021260" w:rsidRPr="00895925">
        <w:rPr>
          <w:i/>
          <w:iCs/>
          <w:sz w:val="24"/>
          <w:szCs w:val="24"/>
        </w:rPr>
        <w:t xml:space="preserve"> Act </w:t>
      </w:r>
      <w:r w:rsidRPr="00895925">
        <w:rPr>
          <w:i/>
          <w:iCs/>
          <w:sz w:val="24"/>
          <w:szCs w:val="24"/>
        </w:rPr>
        <w:t>2003</w:t>
      </w:r>
      <w:r w:rsidRPr="00895925">
        <w:rPr>
          <w:sz w:val="24"/>
          <w:szCs w:val="24"/>
        </w:rPr>
        <w:t>.</w:t>
      </w:r>
    </w:p>
    <w:p w14:paraId="662DAF70" w14:textId="77777777" w:rsidR="004B5A49" w:rsidRPr="00895925" w:rsidRDefault="004B5A49"/>
    <w:p w14:paraId="01B05BBE" w14:textId="77777777" w:rsidR="00093FAB" w:rsidRPr="00895925" w:rsidRDefault="00280920">
      <w:pPr>
        <w:rPr>
          <w:sz w:val="24"/>
          <w:szCs w:val="24"/>
        </w:rPr>
      </w:pPr>
      <w:r w:rsidRPr="00895925">
        <w:rPr>
          <w:sz w:val="24"/>
          <w:szCs w:val="24"/>
        </w:rPr>
        <w:t xml:space="preserve">The instrument commenced on the day after it was registered on the Federal Register of </w:t>
      </w:r>
      <w:r w:rsidR="00CD045A">
        <w:rPr>
          <w:sz w:val="24"/>
          <w:szCs w:val="24"/>
        </w:rPr>
        <w:t>Legislation</w:t>
      </w:r>
      <w:r w:rsidR="00093FAB" w:rsidRPr="00895925">
        <w:rPr>
          <w:sz w:val="24"/>
          <w:szCs w:val="24"/>
        </w:rPr>
        <w:t xml:space="preserve">. </w:t>
      </w:r>
    </w:p>
    <w:p w14:paraId="0CBC9DA7" w14:textId="77777777" w:rsidR="009138CB" w:rsidRDefault="009138CB" w:rsidP="00021260">
      <w:pPr>
        <w:sectPr w:rsidR="009138CB" w:rsidSect="0008168E">
          <w:footerReference w:type="default" r:id="rId13"/>
          <w:pgSz w:w="11906" w:h="16838"/>
          <w:pgMar w:top="567" w:right="1418" w:bottom="284" w:left="1418" w:header="720" w:footer="720" w:gutter="0"/>
          <w:cols w:space="720"/>
        </w:sectPr>
      </w:pPr>
    </w:p>
    <w:p w14:paraId="3AF8D966" w14:textId="77777777" w:rsidR="009138CB" w:rsidRPr="009138CB" w:rsidRDefault="009138CB" w:rsidP="009138CB">
      <w:pPr>
        <w:pStyle w:val="Heading1"/>
        <w:jc w:val="center"/>
        <w:rPr>
          <w:b/>
          <w:szCs w:val="24"/>
        </w:rPr>
      </w:pPr>
      <w:bookmarkStart w:id="1" w:name="_Toc290210739"/>
      <w:r w:rsidRPr="009138CB">
        <w:rPr>
          <w:b/>
          <w:szCs w:val="24"/>
        </w:rPr>
        <w:lastRenderedPageBreak/>
        <w:t>STATEMENT OF COMPATIBILITY FOR A BILL OR LEGISLATIVE INSTRUMENT</w:t>
      </w:r>
      <w:r w:rsidRPr="009138CB">
        <w:rPr>
          <w:b/>
          <w:szCs w:val="24"/>
          <w:lang w:val="en-AU"/>
        </w:rPr>
        <w:t xml:space="preserve"> </w:t>
      </w:r>
      <w:r w:rsidRPr="009138CB">
        <w:rPr>
          <w:b/>
          <w:szCs w:val="24"/>
        </w:rPr>
        <w:t xml:space="preserve">THAT </w:t>
      </w:r>
      <w:r w:rsidRPr="009138CB">
        <w:rPr>
          <w:b/>
          <w:szCs w:val="24"/>
          <w:u w:val="single"/>
        </w:rPr>
        <w:t>DOES NOT</w:t>
      </w:r>
      <w:r w:rsidRPr="009138CB">
        <w:rPr>
          <w:b/>
          <w:szCs w:val="24"/>
        </w:rPr>
        <w:t xml:space="preserve"> RAISE ANY HUMAN RIGHTS ISSUES</w:t>
      </w:r>
    </w:p>
    <w:p w14:paraId="77B8EDB3" w14:textId="77777777" w:rsidR="009138CB" w:rsidRDefault="009138CB" w:rsidP="009138CB">
      <w:pPr>
        <w:ind w:left="720" w:hanging="720"/>
      </w:pPr>
    </w:p>
    <w:p w14:paraId="0C83EF74" w14:textId="43CF3089" w:rsidR="009138CB" w:rsidRDefault="00B047F5" w:rsidP="009138CB">
      <w:pPr>
        <w:ind w:left="720" w:hanging="720"/>
      </w:pPr>
      <w:r>
        <w:rPr>
          <w:noProof/>
          <w:lang w:eastAsia="en-AU"/>
        </w:rPr>
        <mc:AlternateContent>
          <mc:Choice Requires="wps">
            <w:drawing>
              <wp:anchor distT="0" distB="0" distL="114300" distR="114300" simplePos="0" relativeHeight="251660288" behindDoc="0" locked="0" layoutInCell="1" allowOverlap="1" wp14:anchorId="491340AF" wp14:editId="1D1B8522">
                <wp:simplePos x="0" y="0"/>
                <wp:positionH relativeFrom="column">
                  <wp:posOffset>-513080</wp:posOffset>
                </wp:positionH>
                <wp:positionV relativeFrom="paragraph">
                  <wp:posOffset>179070</wp:posOffset>
                </wp:positionV>
                <wp:extent cx="6795135" cy="849122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5135" cy="8491220"/>
                        </a:xfrm>
                        <a:prstGeom prst="rect">
                          <a:avLst/>
                        </a:prstGeom>
                        <a:solidFill>
                          <a:srgbClr val="FFFFFF"/>
                        </a:solidFill>
                        <a:ln w="76200" cmpd="tri">
                          <a:solidFill>
                            <a:srgbClr val="000000"/>
                          </a:solidFill>
                          <a:miter lim="800000"/>
                          <a:headEnd/>
                          <a:tailEnd/>
                        </a:ln>
                      </wps:spPr>
                      <wps:txbx>
                        <w:txbxContent>
                          <w:p w14:paraId="13FFD2DE" w14:textId="77777777" w:rsidR="006F2478" w:rsidRPr="00E4135E" w:rsidRDefault="006F2478" w:rsidP="009138CB">
                            <w:pPr>
                              <w:spacing w:before="360" w:after="120"/>
                              <w:jc w:val="center"/>
                              <w:rPr>
                                <w:b/>
                                <w:sz w:val="28"/>
                                <w:szCs w:val="28"/>
                              </w:rPr>
                            </w:pPr>
                            <w:r w:rsidRPr="00E4135E">
                              <w:rPr>
                                <w:b/>
                                <w:sz w:val="28"/>
                                <w:szCs w:val="28"/>
                              </w:rPr>
                              <w:t>Statement of Compatibility with Human Rights</w:t>
                            </w:r>
                          </w:p>
                          <w:p w14:paraId="584941C0" w14:textId="77777777" w:rsidR="006F2478" w:rsidRPr="00E4135E" w:rsidRDefault="006F2478" w:rsidP="009138CB">
                            <w:pPr>
                              <w:spacing w:before="120" w:after="120"/>
                              <w:jc w:val="center"/>
                              <w:rPr>
                                <w:sz w:val="24"/>
                                <w:szCs w:val="24"/>
                              </w:rPr>
                            </w:pPr>
                            <w:r w:rsidRPr="00E4135E">
                              <w:rPr>
                                <w:i/>
                                <w:sz w:val="24"/>
                                <w:szCs w:val="24"/>
                              </w:rPr>
                              <w:t>Prepared in accordance with Part 3 of the Human Rights (Parliamentary Scrutiny) Act 2011</w:t>
                            </w:r>
                          </w:p>
                          <w:p w14:paraId="0D6C37F2" w14:textId="77777777" w:rsidR="006F2478" w:rsidRPr="00E4135E" w:rsidRDefault="006F2478" w:rsidP="009138CB">
                            <w:pPr>
                              <w:spacing w:before="120" w:after="120"/>
                              <w:jc w:val="center"/>
                              <w:rPr>
                                <w:sz w:val="24"/>
                                <w:szCs w:val="24"/>
                              </w:rPr>
                            </w:pPr>
                          </w:p>
                          <w:p w14:paraId="0BAB068D" w14:textId="5FA35768" w:rsidR="006F2478" w:rsidRPr="0046018A" w:rsidRDefault="006F2478" w:rsidP="009138CB">
                            <w:pPr>
                              <w:spacing w:before="120" w:after="120"/>
                              <w:jc w:val="center"/>
                              <w:rPr>
                                <w:sz w:val="24"/>
                                <w:szCs w:val="24"/>
                              </w:rPr>
                            </w:pPr>
                            <w:r w:rsidRPr="0046018A">
                              <w:rPr>
                                <w:b/>
                                <w:sz w:val="24"/>
                                <w:szCs w:val="24"/>
                                <w:lang w:val="en-US"/>
                              </w:rPr>
                              <w:t>Amendment of List of Exempt Native Specimens</w:t>
                            </w:r>
                            <w:r w:rsidR="0046018A" w:rsidRPr="0046018A">
                              <w:rPr>
                                <w:b/>
                                <w:sz w:val="24"/>
                                <w:szCs w:val="24"/>
                                <w:lang w:val="en-US"/>
                              </w:rPr>
                              <w:t xml:space="preserve"> </w:t>
                            </w:r>
                            <w:r w:rsidR="0046018A" w:rsidRPr="0046018A">
                              <w:rPr>
                                <w:b/>
                                <w:snapToGrid w:val="0"/>
                                <w:sz w:val="24"/>
                                <w:szCs w:val="24"/>
                              </w:rPr>
                              <w:t>– South Australian Lakes and Coorong Fishery, August 2017</w:t>
                            </w:r>
                          </w:p>
                          <w:p w14:paraId="3B26F536" w14:textId="77777777" w:rsidR="006F2478" w:rsidRPr="00197AF9" w:rsidRDefault="006F2478" w:rsidP="0008168E">
                            <w:pPr>
                              <w:spacing w:before="120" w:after="120"/>
                              <w:rPr>
                                <w:sz w:val="24"/>
                                <w:szCs w:val="24"/>
                              </w:rPr>
                            </w:pPr>
                            <w:r w:rsidRPr="00197AF9">
                              <w:rPr>
                                <w:sz w:val="24"/>
                                <w:szCs w:val="24"/>
                              </w:rPr>
                              <w:t xml:space="preserve">This Legislative Instrument is compatible with the human rights and freedoms recognised or declared in the international instruments listed in section 3 of the </w:t>
                            </w:r>
                            <w:r w:rsidRPr="00197AF9">
                              <w:rPr>
                                <w:i/>
                                <w:sz w:val="24"/>
                                <w:szCs w:val="24"/>
                              </w:rPr>
                              <w:t>Human Rights (Parliamentary Scrutiny) Act 2011</w:t>
                            </w:r>
                            <w:r w:rsidRPr="00197AF9">
                              <w:rPr>
                                <w:sz w:val="24"/>
                                <w:szCs w:val="24"/>
                              </w:rPr>
                              <w:t>.</w:t>
                            </w:r>
                          </w:p>
                          <w:p w14:paraId="6099F5FA" w14:textId="77777777" w:rsidR="006F2478" w:rsidRPr="00197AF9" w:rsidRDefault="006F2478" w:rsidP="0008168E">
                            <w:pPr>
                              <w:spacing w:before="120" w:after="120"/>
                              <w:rPr>
                                <w:b/>
                                <w:sz w:val="24"/>
                                <w:szCs w:val="24"/>
                              </w:rPr>
                            </w:pPr>
                            <w:r w:rsidRPr="00197AF9">
                              <w:rPr>
                                <w:b/>
                                <w:sz w:val="24"/>
                                <w:szCs w:val="24"/>
                              </w:rPr>
                              <w:t>Overview of the Legislative Instrument</w:t>
                            </w:r>
                          </w:p>
                          <w:p w14:paraId="0D7E5E1A" w14:textId="2C316E00" w:rsidR="006F2478" w:rsidRPr="00197AF9" w:rsidRDefault="006F2478" w:rsidP="0008168E">
                            <w:pPr>
                              <w:pStyle w:val="normal-dot2"/>
                              <w:numPr>
                                <w:ilvl w:val="0"/>
                                <w:numId w:val="0"/>
                              </w:numPr>
                              <w:spacing w:before="120" w:after="120"/>
                              <w:rPr>
                                <w:szCs w:val="24"/>
                              </w:rPr>
                            </w:pPr>
                            <w:r w:rsidRPr="00197AF9">
                              <w:rPr>
                                <w:szCs w:val="24"/>
                              </w:rPr>
                              <w:t xml:space="preserve">The effect of this instrument is to revoke the conditions to which the inclusion of the following item </w:t>
                            </w:r>
                            <w:r w:rsidRPr="00197AF9">
                              <w:rPr>
                                <w:snapToGrid w:val="0"/>
                                <w:szCs w:val="24"/>
                              </w:rPr>
                              <w:t xml:space="preserve">in the list </w:t>
                            </w:r>
                            <w:r w:rsidRPr="00197AF9">
                              <w:rPr>
                                <w:szCs w:val="24"/>
                              </w:rPr>
                              <w:t xml:space="preserve">of exempt native specimens </w:t>
                            </w:r>
                            <w:r w:rsidRPr="00197AF9">
                              <w:rPr>
                                <w:snapToGrid w:val="0"/>
                                <w:szCs w:val="24"/>
                              </w:rPr>
                              <w:t>is subject:</w:t>
                            </w:r>
                          </w:p>
                          <w:p w14:paraId="43ECBC99" w14:textId="17451205" w:rsidR="006F2478" w:rsidRPr="0046018A" w:rsidRDefault="006F2478" w:rsidP="0008168E">
                            <w:pPr>
                              <w:numPr>
                                <w:ilvl w:val="0"/>
                                <w:numId w:val="25"/>
                              </w:numPr>
                              <w:spacing w:after="200" w:line="276" w:lineRule="auto"/>
                              <w:ind w:left="714" w:hanging="357"/>
                              <w:contextualSpacing/>
                              <w:rPr>
                                <w:sz w:val="24"/>
                                <w:szCs w:val="24"/>
                              </w:rPr>
                            </w:pPr>
                            <w:r w:rsidRPr="0046018A">
                              <w:rPr>
                                <w:sz w:val="24"/>
                                <w:szCs w:val="24"/>
                              </w:rPr>
                              <w:t xml:space="preserve">specimens </w:t>
                            </w:r>
                            <w:r w:rsidR="0008168E" w:rsidRPr="0046018A">
                              <w:rPr>
                                <w:sz w:val="24"/>
                                <w:szCs w:val="24"/>
                              </w:rPr>
                              <w:t xml:space="preserve">that are or are derived from fish or </w:t>
                            </w:r>
                            <w:r w:rsidR="00401109" w:rsidRPr="0046018A">
                              <w:rPr>
                                <w:sz w:val="24"/>
                                <w:szCs w:val="24"/>
                              </w:rPr>
                              <w:t xml:space="preserve">invertebrates, other than specimens that belong to species listed under Part 13 of the EPBC </w:t>
                            </w:r>
                            <w:r w:rsidR="00401109" w:rsidRPr="0046018A">
                              <w:rPr>
                                <w:sz w:val="24"/>
                                <w:szCs w:val="24"/>
                                <w:shd w:val="clear" w:color="auto" w:fill="FFFFFF"/>
                              </w:rPr>
                              <w:t>Act, taken in the South Australian Lakes and Coorong Fishery, as defined in the Fisheries Management (Lakes and Coorong Fishery) Regulations 2009 and the Fisheries Management (General) Regulations 2007 in force under the Fisheries Management Act 2007 (South Australia</w:t>
                            </w:r>
                            <w:r w:rsidR="0046018A" w:rsidRPr="0046018A">
                              <w:rPr>
                                <w:sz w:val="24"/>
                                <w:szCs w:val="24"/>
                                <w:shd w:val="clear" w:color="auto" w:fill="FFFFFF"/>
                              </w:rPr>
                              <w:t>)</w:t>
                            </w:r>
                            <w:r w:rsidRPr="0046018A">
                              <w:rPr>
                                <w:sz w:val="24"/>
                                <w:szCs w:val="24"/>
                              </w:rPr>
                              <w:t>,</w:t>
                            </w:r>
                          </w:p>
                          <w:p w14:paraId="6C0C196A" w14:textId="77777777" w:rsidR="006F2478" w:rsidRPr="00197AF9" w:rsidRDefault="006F2478" w:rsidP="0008168E">
                            <w:pPr>
                              <w:tabs>
                                <w:tab w:val="left" w:pos="360"/>
                              </w:tabs>
                              <w:spacing w:before="120" w:after="120"/>
                              <w:rPr>
                                <w:sz w:val="24"/>
                                <w:szCs w:val="24"/>
                              </w:rPr>
                            </w:pPr>
                            <w:proofErr w:type="gramStart"/>
                            <w:r w:rsidRPr="00197AF9">
                              <w:rPr>
                                <w:sz w:val="24"/>
                                <w:szCs w:val="24"/>
                              </w:rPr>
                              <w:t>and</w:t>
                            </w:r>
                            <w:proofErr w:type="gramEnd"/>
                            <w:r w:rsidRPr="00197AF9">
                              <w:rPr>
                                <w:sz w:val="24"/>
                                <w:szCs w:val="24"/>
                              </w:rPr>
                              <w:t xml:space="preserve"> impose the following conditions to which the inclusion of the specimens in the list is subject:</w:t>
                            </w:r>
                          </w:p>
                          <w:p w14:paraId="2737DD90" w14:textId="77777777" w:rsidR="006F2478" w:rsidRPr="00197AF9" w:rsidRDefault="006F2478" w:rsidP="0008168E">
                            <w:pPr>
                              <w:numPr>
                                <w:ilvl w:val="0"/>
                                <w:numId w:val="5"/>
                              </w:numPr>
                              <w:tabs>
                                <w:tab w:val="clear" w:pos="360"/>
                                <w:tab w:val="num" w:pos="720"/>
                              </w:tabs>
                              <w:spacing w:after="200" w:line="276" w:lineRule="auto"/>
                              <w:ind w:left="714" w:hanging="357"/>
                              <w:contextualSpacing/>
                              <w:rPr>
                                <w:snapToGrid w:val="0"/>
                                <w:sz w:val="24"/>
                                <w:szCs w:val="24"/>
                              </w:rPr>
                            </w:pPr>
                            <w:r w:rsidRPr="00197AF9">
                              <w:rPr>
                                <w:snapToGrid w:val="0"/>
                                <w:sz w:val="24"/>
                                <w:szCs w:val="24"/>
                              </w:rPr>
                              <w:t>the specimen, or the fish or invertebrate from which it is derived, was taken lawfully, and</w:t>
                            </w:r>
                          </w:p>
                          <w:p w14:paraId="253BA013" w14:textId="1792CAA1" w:rsidR="006F2478" w:rsidRPr="00197AF9" w:rsidRDefault="006F2478" w:rsidP="0008168E">
                            <w:pPr>
                              <w:numPr>
                                <w:ilvl w:val="0"/>
                                <w:numId w:val="5"/>
                              </w:numPr>
                              <w:tabs>
                                <w:tab w:val="clear" w:pos="360"/>
                                <w:tab w:val="num" w:pos="720"/>
                              </w:tabs>
                              <w:spacing w:after="200" w:line="276" w:lineRule="auto"/>
                              <w:ind w:left="714" w:hanging="357"/>
                              <w:contextualSpacing/>
                              <w:rPr>
                                <w:snapToGrid w:val="0"/>
                                <w:sz w:val="24"/>
                                <w:szCs w:val="24"/>
                              </w:rPr>
                            </w:pPr>
                            <w:proofErr w:type="gramStart"/>
                            <w:r w:rsidRPr="00197AF9">
                              <w:rPr>
                                <w:snapToGrid w:val="0"/>
                                <w:sz w:val="24"/>
                                <w:szCs w:val="24"/>
                              </w:rPr>
                              <w:t>the</w:t>
                            </w:r>
                            <w:proofErr w:type="gramEnd"/>
                            <w:r w:rsidRPr="00197AF9">
                              <w:rPr>
                                <w:snapToGrid w:val="0"/>
                                <w:sz w:val="24"/>
                                <w:szCs w:val="24"/>
                              </w:rPr>
                              <w:t xml:space="preserve"> specimens are included in the list until </w:t>
                            </w:r>
                            <w:r w:rsidR="00401109">
                              <w:rPr>
                                <w:snapToGrid w:val="0"/>
                                <w:sz w:val="24"/>
                                <w:szCs w:val="24"/>
                              </w:rPr>
                              <w:t>3 November </w:t>
                            </w:r>
                            <w:r w:rsidR="0046018A">
                              <w:rPr>
                                <w:snapToGrid w:val="0"/>
                                <w:sz w:val="24"/>
                                <w:szCs w:val="24"/>
                              </w:rPr>
                              <w:t>2017</w:t>
                            </w:r>
                            <w:r w:rsidRPr="00197AF9">
                              <w:rPr>
                                <w:snapToGrid w:val="0"/>
                                <w:sz w:val="24"/>
                                <w:szCs w:val="24"/>
                              </w:rPr>
                              <w:t>.</w:t>
                            </w:r>
                          </w:p>
                          <w:p w14:paraId="7B78CCAB" w14:textId="57803851" w:rsidR="006F2478" w:rsidRPr="00197AF9" w:rsidRDefault="006F2478" w:rsidP="0008168E">
                            <w:pPr>
                              <w:spacing w:before="120" w:after="120"/>
                              <w:rPr>
                                <w:sz w:val="24"/>
                                <w:szCs w:val="24"/>
                              </w:rPr>
                            </w:pPr>
                            <w:r w:rsidRPr="00197AF9">
                              <w:rPr>
                                <w:sz w:val="24"/>
                                <w:szCs w:val="24"/>
                              </w:rPr>
                              <w:t xml:space="preserve">Revoking the conditions and imposing the above conditions to which the inclusion of the specimens in the list of exempt native specimens is subject will allow continued export of these specimens until </w:t>
                            </w:r>
                            <w:r w:rsidR="00401109">
                              <w:rPr>
                                <w:snapToGrid w:val="0"/>
                                <w:sz w:val="24"/>
                                <w:szCs w:val="24"/>
                              </w:rPr>
                              <w:t>3 November </w:t>
                            </w:r>
                            <w:r w:rsidR="0046018A">
                              <w:rPr>
                                <w:snapToGrid w:val="0"/>
                                <w:sz w:val="24"/>
                                <w:szCs w:val="24"/>
                              </w:rPr>
                              <w:t>2017</w:t>
                            </w:r>
                            <w:r w:rsidRPr="00197AF9">
                              <w:rPr>
                                <w:sz w:val="24"/>
                                <w:szCs w:val="24"/>
                              </w:rPr>
                              <w:t>. The only effect of this amendment is to extend this date.</w:t>
                            </w:r>
                          </w:p>
                          <w:p w14:paraId="6450BF2B" w14:textId="77777777" w:rsidR="006F2478" w:rsidRPr="00E4135E" w:rsidRDefault="006F2478" w:rsidP="0008168E">
                            <w:pPr>
                              <w:spacing w:before="120" w:after="120"/>
                              <w:rPr>
                                <w:b/>
                                <w:sz w:val="24"/>
                                <w:szCs w:val="24"/>
                              </w:rPr>
                            </w:pPr>
                            <w:r w:rsidRPr="00E4135E">
                              <w:rPr>
                                <w:b/>
                                <w:sz w:val="24"/>
                                <w:szCs w:val="24"/>
                              </w:rPr>
                              <w:t>Human rights implications</w:t>
                            </w:r>
                          </w:p>
                          <w:p w14:paraId="08C2C8FD" w14:textId="77777777" w:rsidR="006F2478" w:rsidRDefault="006F2478" w:rsidP="0008168E">
                            <w:pPr>
                              <w:spacing w:before="120" w:after="120"/>
                              <w:rPr>
                                <w:sz w:val="24"/>
                                <w:szCs w:val="24"/>
                              </w:rPr>
                            </w:pPr>
                            <w:r w:rsidRPr="00E4135E">
                              <w:rPr>
                                <w:sz w:val="24"/>
                                <w:szCs w:val="24"/>
                              </w:rPr>
                              <w:t>This Legislative Instrument does not engage any of the applicable rights or freedoms.</w:t>
                            </w:r>
                          </w:p>
                          <w:p w14:paraId="33A548C2" w14:textId="77777777" w:rsidR="006F2478" w:rsidRPr="00E4135E" w:rsidRDefault="006F2478" w:rsidP="0008168E">
                            <w:pPr>
                              <w:spacing w:before="120" w:after="120"/>
                              <w:rPr>
                                <w:b/>
                                <w:sz w:val="24"/>
                                <w:szCs w:val="24"/>
                              </w:rPr>
                            </w:pPr>
                            <w:r w:rsidRPr="00E4135E">
                              <w:rPr>
                                <w:b/>
                                <w:sz w:val="24"/>
                                <w:szCs w:val="24"/>
                              </w:rPr>
                              <w:t>Conclusion</w:t>
                            </w:r>
                          </w:p>
                          <w:p w14:paraId="66E512D1" w14:textId="77777777" w:rsidR="006F2478" w:rsidRPr="00E4135E" w:rsidRDefault="006F2478" w:rsidP="0008168E">
                            <w:pPr>
                              <w:spacing w:before="120" w:after="120"/>
                              <w:rPr>
                                <w:sz w:val="24"/>
                                <w:szCs w:val="24"/>
                              </w:rPr>
                            </w:pPr>
                            <w:r w:rsidRPr="00E4135E">
                              <w:rPr>
                                <w:sz w:val="24"/>
                                <w:szCs w:val="24"/>
                              </w:rPr>
                              <w:t>This Legislative Instrument is compatible with human rights as it does not raise any human rights issues.</w:t>
                            </w:r>
                          </w:p>
                          <w:p w14:paraId="7D0FBBAE" w14:textId="77777777" w:rsidR="006F2478" w:rsidRPr="00E4135E" w:rsidRDefault="006F2478" w:rsidP="00E752EC">
                            <w:pPr>
                              <w:spacing w:before="120" w:after="120"/>
                              <w:rPr>
                                <w:sz w:val="24"/>
                                <w:szCs w:val="24"/>
                              </w:rPr>
                            </w:pPr>
                          </w:p>
                          <w:p w14:paraId="5FA007A8" w14:textId="77777777" w:rsidR="006F2478" w:rsidRPr="00C55E97" w:rsidRDefault="009F217F" w:rsidP="009138CB">
                            <w:pPr>
                              <w:rPr>
                                <w:sz w:val="24"/>
                                <w:szCs w:val="24"/>
                              </w:rPr>
                            </w:pPr>
                            <w:r w:rsidRPr="0046018A">
                              <w:rPr>
                                <w:b/>
                                <w:sz w:val="24"/>
                                <w:szCs w:val="24"/>
                              </w:rPr>
                              <w:t>Paul Murphy</w:t>
                            </w:r>
                            <w:r w:rsidR="006F2478" w:rsidRPr="0046018A">
                              <w:rPr>
                                <w:b/>
                                <w:sz w:val="24"/>
                                <w:szCs w:val="24"/>
                              </w:rPr>
                              <w:t>, Assistan</w:t>
                            </w:r>
                            <w:r w:rsidRPr="0046018A">
                              <w:rPr>
                                <w:b/>
                                <w:sz w:val="24"/>
                                <w:szCs w:val="24"/>
                              </w:rPr>
                              <w:t>t Secretary, Wildlife Trade</w:t>
                            </w:r>
                            <w:r w:rsidR="006F2478" w:rsidRPr="0046018A">
                              <w:rPr>
                                <w:b/>
                                <w:sz w:val="24"/>
                                <w:szCs w:val="24"/>
                              </w:rPr>
                              <w:t xml:space="preserve"> and Biosecurity Branch (Delegate of the Minister for the </w:t>
                            </w:r>
                            <w:r w:rsidRPr="0046018A">
                              <w:rPr>
                                <w:b/>
                                <w:sz w:val="24"/>
                                <w:szCs w:val="24"/>
                              </w:rPr>
                              <w:t>Environment</w:t>
                            </w:r>
                            <w:r w:rsidR="00183DEC" w:rsidRPr="0046018A">
                              <w:rPr>
                                <w:b/>
                                <w:sz w:val="24"/>
                                <w:szCs w:val="24"/>
                              </w:rPr>
                              <w:t xml:space="preserve"> and Energy</w:t>
                            </w:r>
                            <w:r w:rsidR="006F2478" w:rsidRPr="0046018A">
                              <w:rPr>
                                <w:b/>
                                <w:sz w:val="24"/>
                                <w:szCs w:val="24"/>
                              </w:rPr>
                              <w:t>)</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340AF" id="Rectangle 2" o:spid="_x0000_s1026" style="position:absolute;left:0;text-align:left;margin-left:-40.4pt;margin-top:14.1pt;width:535.05pt;height:66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" strokeweight="6pt">
                <v:stroke linestyle="thickBetweenThin"/>
                <v:textbox inset="5mm,,5mm">
                  <w:txbxContent>
                    <w:p w14:paraId="13FFD2DE" w14:textId="77777777" w:rsidR="006F2478" w:rsidRPr="00E4135E" w:rsidRDefault="006F2478" w:rsidP="009138CB">
                      <w:pPr>
                        <w:spacing w:before="360" w:after="120"/>
                        <w:jc w:val="center"/>
                        <w:rPr>
                          <w:b/>
                          <w:sz w:val="28"/>
                          <w:szCs w:val="28"/>
                        </w:rPr>
                      </w:pPr>
                      <w:r w:rsidRPr="00E4135E">
                        <w:rPr>
                          <w:b/>
                          <w:sz w:val="28"/>
                          <w:szCs w:val="28"/>
                        </w:rPr>
                        <w:t>Statement of Compatibility with Human Rights</w:t>
                      </w:r>
                    </w:p>
                    <w:p w14:paraId="584941C0" w14:textId="77777777" w:rsidR="006F2478" w:rsidRPr="00E4135E" w:rsidRDefault="006F2478" w:rsidP="009138CB">
                      <w:pPr>
                        <w:spacing w:before="120" w:after="120"/>
                        <w:jc w:val="center"/>
                        <w:rPr>
                          <w:sz w:val="24"/>
                          <w:szCs w:val="24"/>
                        </w:rPr>
                      </w:pPr>
                      <w:r w:rsidRPr="00E4135E">
                        <w:rPr>
                          <w:i/>
                          <w:sz w:val="24"/>
                          <w:szCs w:val="24"/>
                        </w:rPr>
                        <w:t>Prepared in accordance with Part 3 of the Human Rights (Parliamentary Scrutiny) Act 2011</w:t>
                      </w:r>
                    </w:p>
                    <w:p w14:paraId="0D6C37F2" w14:textId="77777777" w:rsidR="006F2478" w:rsidRPr="00E4135E" w:rsidRDefault="006F2478" w:rsidP="009138CB">
                      <w:pPr>
                        <w:spacing w:before="120" w:after="120"/>
                        <w:jc w:val="center"/>
                        <w:rPr>
                          <w:sz w:val="24"/>
                          <w:szCs w:val="24"/>
                        </w:rPr>
                      </w:pPr>
                    </w:p>
                    <w:p w14:paraId="0BAB068D" w14:textId="5FA35768" w:rsidR="006F2478" w:rsidRPr="0046018A" w:rsidRDefault="006F2478" w:rsidP="009138CB">
                      <w:pPr>
                        <w:spacing w:before="120" w:after="120"/>
                        <w:jc w:val="center"/>
                        <w:rPr>
                          <w:sz w:val="24"/>
                          <w:szCs w:val="24"/>
                        </w:rPr>
                      </w:pPr>
                      <w:r w:rsidRPr="0046018A">
                        <w:rPr>
                          <w:b/>
                          <w:sz w:val="24"/>
                          <w:szCs w:val="24"/>
                          <w:lang w:val="en-US"/>
                        </w:rPr>
                        <w:t>Amendment of List of Exempt Native Specimens</w:t>
                      </w:r>
                      <w:r w:rsidR="0046018A" w:rsidRPr="0046018A">
                        <w:rPr>
                          <w:b/>
                          <w:sz w:val="24"/>
                          <w:szCs w:val="24"/>
                          <w:lang w:val="en-US"/>
                        </w:rPr>
                        <w:t xml:space="preserve"> </w:t>
                      </w:r>
                      <w:r w:rsidR="0046018A" w:rsidRPr="0046018A">
                        <w:rPr>
                          <w:b/>
                          <w:snapToGrid w:val="0"/>
                          <w:sz w:val="24"/>
                          <w:szCs w:val="24"/>
                        </w:rPr>
                        <w:t>– South Australian Lakes and Coorong Fishery, August 2017</w:t>
                      </w:r>
                    </w:p>
                    <w:p w14:paraId="3B26F536" w14:textId="77777777" w:rsidR="006F2478" w:rsidRPr="00197AF9" w:rsidRDefault="006F2478" w:rsidP="0008168E">
                      <w:pPr>
                        <w:spacing w:before="120" w:after="120"/>
                        <w:rPr>
                          <w:sz w:val="24"/>
                          <w:szCs w:val="24"/>
                        </w:rPr>
                      </w:pPr>
                      <w:r w:rsidRPr="00197AF9">
                        <w:rPr>
                          <w:sz w:val="24"/>
                          <w:szCs w:val="24"/>
                        </w:rPr>
                        <w:t xml:space="preserve">This Legislative Instrument is compatible with the human rights and freedoms recognised or declared in the international instruments listed in section 3 of the </w:t>
                      </w:r>
                      <w:r w:rsidRPr="00197AF9">
                        <w:rPr>
                          <w:i/>
                          <w:sz w:val="24"/>
                          <w:szCs w:val="24"/>
                        </w:rPr>
                        <w:t>Human Rights (Parliamentary Scrutiny) Act 2011</w:t>
                      </w:r>
                      <w:r w:rsidRPr="00197AF9">
                        <w:rPr>
                          <w:sz w:val="24"/>
                          <w:szCs w:val="24"/>
                        </w:rPr>
                        <w:t>.</w:t>
                      </w:r>
                    </w:p>
                    <w:p w14:paraId="6099F5FA" w14:textId="77777777" w:rsidR="006F2478" w:rsidRPr="00197AF9" w:rsidRDefault="006F2478" w:rsidP="0008168E">
                      <w:pPr>
                        <w:spacing w:before="120" w:after="120"/>
                        <w:rPr>
                          <w:b/>
                          <w:sz w:val="24"/>
                          <w:szCs w:val="24"/>
                        </w:rPr>
                      </w:pPr>
                      <w:r w:rsidRPr="00197AF9">
                        <w:rPr>
                          <w:b/>
                          <w:sz w:val="24"/>
                          <w:szCs w:val="24"/>
                        </w:rPr>
                        <w:t>Overview of the Legislative Instrument</w:t>
                      </w:r>
                    </w:p>
                    <w:p w14:paraId="0D7E5E1A" w14:textId="2C316E00" w:rsidR="006F2478" w:rsidRPr="00197AF9" w:rsidRDefault="006F2478" w:rsidP="0008168E">
                      <w:pPr>
                        <w:pStyle w:val="normal-dot2"/>
                        <w:numPr>
                          <w:ilvl w:val="0"/>
                          <w:numId w:val="0"/>
                        </w:numPr>
                        <w:spacing w:before="120" w:after="120"/>
                        <w:rPr>
                          <w:szCs w:val="24"/>
                        </w:rPr>
                      </w:pPr>
                      <w:r w:rsidRPr="00197AF9">
                        <w:rPr>
                          <w:szCs w:val="24"/>
                        </w:rPr>
                        <w:t xml:space="preserve">The effect of this instrument is to revoke the conditions to which the inclusion of the following item </w:t>
                      </w:r>
                      <w:r w:rsidRPr="00197AF9">
                        <w:rPr>
                          <w:snapToGrid w:val="0"/>
                          <w:szCs w:val="24"/>
                        </w:rPr>
                        <w:t xml:space="preserve">in the list </w:t>
                      </w:r>
                      <w:r w:rsidRPr="00197AF9">
                        <w:rPr>
                          <w:szCs w:val="24"/>
                        </w:rPr>
                        <w:t xml:space="preserve">of exempt native specimens </w:t>
                      </w:r>
                      <w:r w:rsidRPr="00197AF9">
                        <w:rPr>
                          <w:snapToGrid w:val="0"/>
                          <w:szCs w:val="24"/>
                        </w:rPr>
                        <w:t>is subject:</w:t>
                      </w:r>
                    </w:p>
                    <w:p w14:paraId="43ECBC99" w14:textId="17451205" w:rsidR="006F2478" w:rsidRPr="0046018A" w:rsidRDefault="006F2478" w:rsidP="0008168E">
                      <w:pPr>
                        <w:numPr>
                          <w:ilvl w:val="0"/>
                          <w:numId w:val="25"/>
                        </w:numPr>
                        <w:spacing w:after="200" w:line="276" w:lineRule="auto"/>
                        <w:ind w:left="714" w:hanging="357"/>
                        <w:contextualSpacing/>
                        <w:rPr>
                          <w:sz w:val="24"/>
                          <w:szCs w:val="24"/>
                        </w:rPr>
                      </w:pPr>
                      <w:r w:rsidRPr="0046018A">
                        <w:rPr>
                          <w:sz w:val="24"/>
                          <w:szCs w:val="24"/>
                        </w:rPr>
                        <w:t xml:space="preserve">specimens </w:t>
                      </w:r>
                      <w:r w:rsidR="0008168E" w:rsidRPr="0046018A">
                        <w:rPr>
                          <w:sz w:val="24"/>
                          <w:szCs w:val="24"/>
                        </w:rPr>
                        <w:t xml:space="preserve">that are or are derived from fish or </w:t>
                      </w:r>
                      <w:r w:rsidR="00401109" w:rsidRPr="0046018A">
                        <w:rPr>
                          <w:sz w:val="24"/>
                          <w:szCs w:val="24"/>
                        </w:rPr>
                        <w:t xml:space="preserve">invertebrates, other than specimens that belong to species listed under Part 13 of the EPBC </w:t>
                      </w:r>
                      <w:r w:rsidR="00401109" w:rsidRPr="0046018A">
                        <w:rPr>
                          <w:sz w:val="24"/>
                          <w:szCs w:val="24"/>
                          <w:shd w:val="clear" w:color="auto" w:fill="FFFFFF"/>
                        </w:rPr>
                        <w:t>Act, taken in the South Australian Lakes and Coorong Fishery, as defined in the Fisheries Management (Lakes and Coorong Fishery) Regulations 2009 and the Fisheries Management (General) Regulations 2007 in force under the Fisheries Management Act 2007 (South Australia</w:t>
                      </w:r>
                      <w:r w:rsidR="0046018A" w:rsidRPr="0046018A">
                        <w:rPr>
                          <w:sz w:val="24"/>
                          <w:szCs w:val="24"/>
                          <w:shd w:val="clear" w:color="auto" w:fill="FFFFFF"/>
                        </w:rPr>
                        <w:t>)</w:t>
                      </w:r>
                      <w:r w:rsidRPr="0046018A">
                        <w:rPr>
                          <w:sz w:val="24"/>
                          <w:szCs w:val="24"/>
                        </w:rPr>
                        <w:t>,</w:t>
                      </w:r>
                    </w:p>
                    <w:p w14:paraId="6C0C196A" w14:textId="77777777" w:rsidR="006F2478" w:rsidRPr="00197AF9" w:rsidRDefault="006F2478" w:rsidP="0008168E">
                      <w:pPr>
                        <w:tabs>
                          <w:tab w:val="left" w:pos="360"/>
                        </w:tabs>
                        <w:spacing w:before="120" w:after="120"/>
                        <w:rPr>
                          <w:sz w:val="24"/>
                          <w:szCs w:val="24"/>
                        </w:rPr>
                      </w:pPr>
                      <w:proofErr w:type="gramStart"/>
                      <w:r w:rsidRPr="00197AF9">
                        <w:rPr>
                          <w:sz w:val="24"/>
                          <w:szCs w:val="24"/>
                        </w:rPr>
                        <w:t>and</w:t>
                      </w:r>
                      <w:proofErr w:type="gramEnd"/>
                      <w:r w:rsidRPr="00197AF9">
                        <w:rPr>
                          <w:sz w:val="24"/>
                          <w:szCs w:val="24"/>
                        </w:rPr>
                        <w:t xml:space="preserve"> impose the following conditions to which the inclusion of the specimens in the list is subject:</w:t>
                      </w:r>
                    </w:p>
                    <w:p w14:paraId="2737DD90" w14:textId="77777777" w:rsidR="006F2478" w:rsidRPr="00197AF9" w:rsidRDefault="006F2478" w:rsidP="0008168E">
                      <w:pPr>
                        <w:numPr>
                          <w:ilvl w:val="0"/>
                          <w:numId w:val="5"/>
                        </w:numPr>
                        <w:tabs>
                          <w:tab w:val="clear" w:pos="360"/>
                          <w:tab w:val="num" w:pos="720"/>
                        </w:tabs>
                        <w:spacing w:after="200" w:line="276" w:lineRule="auto"/>
                        <w:ind w:left="714" w:hanging="357"/>
                        <w:contextualSpacing/>
                        <w:rPr>
                          <w:snapToGrid w:val="0"/>
                          <w:sz w:val="24"/>
                          <w:szCs w:val="24"/>
                        </w:rPr>
                      </w:pPr>
                      <w:r w:rsidRPr="00197AF9">
                        <w:rPr>
                          <w:snapToGrid w:val="0"/>
                          <w:sz w:val="24"/>
                          <w:szCs w:val="24"/>
                        </w:rPr>
                        <w:t>the specimen, or the fish or invertebrate from which it is derived, was taken lawfully, and</w:t>
                      </w:r>
                    </w:p>
                    <w:p w14:paraId="253BA013" w14:textId="1792CAA1" w:rsidR="006F2478" w:rsidRPr="00197AF9" w:rsidRDefault="006F2478" w:rsidP="0008168E">
                      <w:pPr>
                        <w:numPr>
                          <w:ilvl w:val="0"/>
                          <w:numId w:val="5"/>
                        </w:numPr>
                        <w:tabs>
                          <w:tab w:val="clear" w:pos="360"/>
                          <w:tab w:val="num" w:pos="720"/>
                        </w:tabs>
                        <w:spacing w:after="200" w:line="276" w:lineRule="auto"/>
                        <w:ind w:left="714" w:hanging="357"/>
                        <w:contextualSpacing/>
                        <w:rPr>
                          <w:snapToGrid w:val="0"/>
                          <w:sz w:val="24"/>
                          <w:szCs w:val="24"/>
                        </w:rPr>
                      </w:pPr>
                      <w:proofErr w:type="gramStart"/>
                      <w:r w:rsidRPr="00197AF9">
                        <w:rPr>
                          <w:snapToGrid w:val="0"/>
                          <w:sz w:val="24"/>
                          <w:szCs w:val="24"/>
                        </w:rPr>
                        <w:t>the</w:t>
                      </w:r>
                      <w:proofErr w:type="gramEnd"/>
                      <w:r w:rsidRPr="00197AF9">
                        <w:rPr>
                          <w:snapToGrid w:val="0"/>
                          <w:sz w:val="24"/>
                          <w:szCs w:val="24"/>
                        </w:rPr>
                        <w:t xml:space="preserve"> specimens are included in the list until </w:t>
                      </w:r>
                      <w:r w:rsidR="00401109">
                        <w:rPr>
                          <w:snapToGrid w:val="0"/>
                          <w:sz w:val="24"/>
                          <w:szCs w:val="24"/>
                        </w:rPr>
                        <w:t>3 November </w:t>
                      </w:r>
                      <w:r w:rsidR="0046018A">
                        <w:rPr>
                          <w:snapToGrid w:val="0"/>
                          <w:sz w:val="24"/>
                          <w:szCs w:val="24"/>
                        </w:rPr>
                        <w:t>2017</w:t>
                      </w:r>
                      <w:r w:rsidRPr="00197AF9">
                        <w:rPr>
                          <w:snapToGrid w:val="0"/>
                          <w:sz w:val="24"/>
                          <w:szCs w:val="24"/>
                        </w:rPr>
                        <w:t>.</w:t>
                      </w:r>
                    </w:p>
                    <w:p w14:paraId="7B78CCAB" w14:textId="57803851" w:rsidR="006F2478" w:rsidRPr="00197AF9" w:rsidRDefault="006F2478" w:rsidP="0008168E">
                      <w:pPr>
                        <w:spacing w:before="120" w:after="120"/>
                        <w:rPr>
                          <w:sz w:val="24"/>
                          <w:szCs w:val="24"/>
                        </w:rPr>
                      </w:pPr>
                      <w:r w:rsidRPr="00197AF9">
                        <w:rPr>
                          <w:sz w:val="24"/>
                          <w:szCs w:val="24"/>
                        </w:rPr>
                        <w:t xml:space="preserve">Revoking the conditions and imposing the above conditions to which the inclusion of the specimens in the list of exempt native specimens is subject will allow continued export of these specimens until </w:t>
                      </w:r>
                      <w:r w:rsidR="00401109">
                        <w:rPr>
                          <w:snapToGrid w:val="0"/>
                          <w:sz w:val="24"/>
                          <w:szCs w:val="24"/>
                        </w:rPr>
                        <w:t>3 November </w:t>
                      </w:r>
                      <w:r w:rsidR="0046018A">
                        <w:rPr>
                          <w:snapToGrid w:val="0"/>
                          <w:sz w:val="24"/>
                          <w:szCs w:val="24"/>
                        </w:rPr>
                        <w:t>2017</w:t>
                      </w:r>
                      <w:r w:rsidRPr="00197AF9">
                        <w:rPr>
                          <w:sz w:val="24"/>
                          <w:szCs w:val="24"/>
                        </w:rPr>
                        <w:t>. The only effect of this amendment is to extend this date.</w:t>
                      </w:r>
                    </w:p>
                    <w:p w14:paraId="6450BF2B" w14:textId="77777777" w:rsidR="006F2478" w:rsidRPr="00E4135E" w:rsidRDefault="006F2478" w:rsidP="0008168E">
                      <w:pPr>
                        <w:spacing w:before="120" w:after="120"/>
                        <w:rPr>
                          <w:b/>
                          <w:sz w:val="24"/>
                          <w:szCs w:val="24"/>
                        </w:rPr>
                      </w:pPr>
                      <w:r w:rsidRPr="00E4135E">
                        <w:rPr>
                          <w:b/>
                          <w:sz w:val="24"/>
                          <w:szCs w:val="24"/>
                        </w:rPr>
                        <w:t>Human rights implications</w:t>
                      </w:r>
                    </w:p>
                    <w:p w14:paraId="08C2C8FD" w14:textId="77777777" w:rsidR="006F2478" w:rsidRDefault="006F2478" w:rsidP="0008168E">
                      <w:pPr>
                        <w:spacing w:before="120" w:after="120"/>
                        <w:rPr>
                          <w:sz w:val="24"/>
                          <w:szCs w:val="24"/>
                        </w:rPr>
                      </w:pPr>
                      <w:r w:rsidRPr="00E4135E">
                        <w:rPr>
                          <w:sz w:val="24"/>
                          <w:szCs w:val="24"/>
                        </w:rPr>
                        <w:t>This Legislative Instrument does not engage any of the applicable rights or freedoms.</w:t>
                      </w:r>
                    </w:p>
                    <w:p w14:paraId="33A548C2" w14:textId="77777777" w:rsidR="006F2478" w:rsidRPr="00E4135E" w:rsidRDefault="006F2478" w:rsidP="0008168E">
                      <w:pPr>
                        <w:spacing w:before="120" w:after="120"/>
                        <w:rPr>
                          <w:b/>
                          <w:sz w:val="24"/>
                          <w:szCs w:val="24"/>
                        </w:rPr>
                      </w:pPr>
                      <w:r w:rsidRPr="00E4135E">
                        <w:rPr>
                          <w:b/>
                          <w:sz w:val="24"/>
                          <w:szCs w:val="24"/>
                        </w:rPr>
                        <w:t>Conclusion</w:t>
                      </w:r>
                    </w:p>
                    <w:p w14:paraId="66E512D1" w14:textId="77777777" w:rsidR="006F2478" w:rsidRPr="00E4135E" w:rsidRDefault="006F2478" w:rsidP="0008168E">
                      <w:pPr>
                        <w:spacing w:before="120" w:after="120"/>
                        <w:rPr>
                          <w:sz w:val="24"/>
                          <w:szCs w:val="24"/>
                        </w:rPr>
                      </w:pPr>
                      <w:r w:rsidRPr="00E4135E">
                        <w:rPr>
                          <w:sz w:val="24"/>
                          <w:szCs w:val="24"/>
                        </w:rPr>
                        <w:t>This Legislative Instrument is compatible with human rights as it does not raise any human rights issues.</w:t>
                      </w:r>
                    </w:p>
                    <w:p w14:paraId="7D0FBBAE" w14:textId="77777777" w:rsidR="006F2478" w:rsidRPr="00E4135E" w:rsidRDefault="006F2478" w:rsidP="00E752EC">
                      <w:pPr>
                        <w:spacing w:before="120" w:after="120"/>
                        <w:rPr>
                          <w:sz w:val="24"/>
                          <w:szCs w:val="24"/>
                        </w:rPr>
                      </w:pPr>
                    </w:p>
                    <w:p w14:paraId="5FA007A8" w14:textId="77777777" w:rsidR="006F2478" w:rsidRPr="00C55E97" w:rsidRDefault="009F217F" w:rsidP="009138CB">
                      <w:pPr>
                        <w:rPr>
                          <w:sz w:val="24"/>
                          <w:szCs w:val="24"/>
                        </w:rPr>
                      </w:pPr>
                      <w:r w:rsidRPr="0046018A">
                        <w:rPr>
                          <w:b/>
                          <w:sz w:val="24"/>
                          <w:szCs w:val="24"/>
                        </w:rPr>
                        <w:t>Paul Murphy</w:t>
                      </w:r>
                      <w:r w:rsidR="006F2478" w:rsidRPr="0046018A">
                        <w:rPr>
                          <w:b/>
                          <w:sz w:val="24"/>
                          <w:szCs w:val="24"/>
                        </w:rPr>
                        <w:t>, Assistan</w:t>
                      </w:r>
                      <w:r w:rsidRPr="0046018A">
                        <w:rPr>
                          <w:b/>
                          <w:sz w:val="24"/>
                          <w:szCs w:val="24"/>
                        </w:rPr>
                        <w:t>t Secretary, Wildlife Trade</w:t>
                      </w:r>
                      <w:r w:rsidR="006F2478" w:rsidRPr="0046018A">
                        <w:rPr>
                          <w:b/>
                          <w:sz w:val="24"/>
                          <w:szCs w:val="24"/>
                        </w:rPr>
                        <w:t xml:space="preserve"> and Biosecurity Branch (Delegate of the Minister for the </w:t>
                      </w:r>
                      <w:r w:rsidRPr="0046018A">
                        <w:rPr>
                          <w:b/>
                          <w:sz w:val="24"/>
                          <w:szCs w:val="24"/>
                        </w:rPr>
                        <w:t>Environment</w:t>
                      </w:r>
                      <w:r w:rsidR="00183DEC" w:rsidRPr="0046018A">
                        <w:rPr>
                          <w:b/>
                          <w:sz w:val="24"/>
                          <w:szCs w:val="24"/>
                        </w:rPr>
                        <w:t xml:space="preserve"> and Energy</w:t>
                      </w:r>
                      <w:r w:rsidR="006F2478" w:rsidRPr="0046018A">
                        <w:rPr>
                          <w:b/>
                          <w:sz w:val="24"/>
                          <w:szCs w:val="24"/>
                        </w:rPr>
                        <w:t>)</w:t>
                      </w:r>
                    </w:p>
                  </w:txbxContent>
                </v:textbox>
              </v:rect>
            </w:pict>
          </mc:Fallback>
        </mc:AlternateContent>
      </w:r>
    </w:p>
    <w:p w14:paraId="3C85FFB2" w14:textId="77777777" w:rsidR="009138CB" w:rsidRDefault="009138CB" w:rsidP="009138CB">
      <w:pPr>
        <w:ind w:left="720" w:hanging="720"/>
      </w:pPr>
    </w:p>
    <w:p w14:paraId="7BAF1F3C" w14:textId="77777777" w:rsidR="009138CB" w:rsidRDefault="009138CB" w:rsidP="009138CB">
      <w:pPr>
        <w:ind w:left="720" w:hanging="720"/>
      </w:pPr>
    </w:p>
    <w:p w14:paraId="084E3D42" w14:textId="77777777" w:rsidR="009138CB" w:rsidRDefault="009138CB" w:rsidP="009138CB">
      <w:pPr>
        <w:ind w:left="720" w:hanging="720"/>
      </w:pPr>
    </w:p>
    <w:p w14:paraId="3C90B537" w14:textId="77777777" w:rsidR="009138CB" w:rsidRDefault="009138CB" w:rsidP="009138CB">
      <w:pPr>
        <w:ind w:left="720" w:hanging="720"/>
      </w:pPr>
    </w:p>
    <w:p w14:paraId="1684C737" w14:textId="77777777" w:rsidR="009138CB" w:rsidRDefault="009138CB" w:rsidP="009138CB">
      <w:pPr>
        <w:ind w:left="720" w:hanging="720"/>
      </w:pPr>
    </w:p>
    <w:p w14:paraId="7EDB4059" w14:textId="77777777" w:rsidR="009138CB" w:rsidRDefault="009138CB" w:rsidP="009138CB">
      <w:pPr>
        <w:ind w:left="720" w:hanging="720"/>
      </w:pPr>
    </w:p>
    <w:p w14:paraId="3C409F74" w14:textId="77777777" w:rsidR="009138CB" w:rsidRDefault="009138CB" w:rsidP="009138CB">
      <w:pPr>
        <w:ind w:left="720" w:hanging="720"/>
      </w:pPr>
    </w:p>
    <w:p w14:paraId="1631E834" w14:textId="77777777" w:rsidR="009138CB" w:rsidRDefault="009138CB" w:rsidP="009138CB">
      <w:pPr>
        <w:ind w:left="720" w:hanging="720"/>
      </w:pPr>
    </w:p>
    <w:p w14:paraId="13A5DC2C" w14:textId="77777777" w:rsidR="009138CB" w:rsidRDefault="009138CB" w:rsidP="009138CB">
      <w:pPr>
        <w:ind w:left="720" w:hanging="720"/>
      </w:pPr>
    </w:p>
    <w:p w14:paraId="5CFC502F" w14:textId="77777777" w:rsidR="009138CB" w:rsidRDefault="009138CB" w:rsidP="009138CB">
      <w:pPr>
        <w:ind w:left="720" w:hanging="720"/>
      </w:pPr>
    </w:p>
    <w:p w14:paraId="569D10DC" w14:textId="77777777" w:rsidR="009138CB" w:rsidRDefault="009138CB" w:rsidP="009138CB">
      <w:pPr>
        <w:ind w:left="720" w:hanging="720"/>
      </w:pPr>
    </w:p>
    <w:p w14:paraId="629CB670" w14:textId="77777777" w:rsidR="009138CB" w:rsidRDefault="009138CB" w:rsidP="009138CB">
      <w:pPr>
        <w:ind w:left="720" w:hanging="720"/>
      </w:pPr>
    </w:p>
    <w:p w14:paraId="310FE3D2" w14:textId="77777777" w:rsidR="009138CB" w:rsidRDefault="009138CB" w:rsidP="009138CB">
      <w:pPr>
        <w:ind w:left="720" w:hanging="720"/>
      </w:pPr>
    </w:p>
    <w:p w14:paraId="49A3AFCD" w14:textId="77777777" w:rsidR="009138CB" w:rsidRDefault="009138CB" w:rsidP="009138CB">
      <w:pPr>
        <w:ind w:left="720" w:hanging="720"/>
      </w:pPr>
    </w:p>
    <w:p w14:paraId="279C3460" w14:textId="77777777" w:rsidR="009138CB" w:rsidRDefault="009138CB" w:rsidP="009138CB">
      <w:pPr>
        <w:ind w:left="720" w:hanging="720"/>
      </w:pPr>
    </w:p>
    <w:p w14:paraId="2E9205BE" w14:textId="77777777" w:rsidR="009138CB" w:rsidRDefault="009138CB" w:rsidP="009138CB">
      <w:pPr>
        <w:ind w:left="720" w:hanging="720"/>
      </w:pPr>
    </w:p>
    <w:p w14:paraId="32F30CB6" w14:textId="77777777" w:rsidR="009138CB" w:rsidRDefault="009138CB" w:rsidP="009138CB">
      <w:pPr>
        <w:ind w:left="720" w:hanging="720"/>
      </w:pPr>
    </w:p>
    <w:p w14:paraId="313B6EEB" w14:textId="77777777" w:rsidR="009138CB" w:rsidRDefault="009138CB" w:rsidP="009138CB">
      <w:pPr>
        <w:ind w:left="720" w:hanging="720"/>
      </w:pPr>
    </w:p>
    <w:p w14:paraId="501B0E2E" w14:textId="77777777" w:rsidR="009138CB" w:rsidRDefault="009138CB" w:rsidP="009138CB">
      <w:pPr>
        <w:ind w:left="720" w:hanging="720"/>
      </w:pPr>
    </w:p>
    <w:p w14:paraId="38FBC843" w14:textId="77777777" w:rsidR="009138CB" w:rsidRDefault="009138CB" w:rsidP="009138CB">
      <w:pPr>
        <w:ind w:left="720" w:hanging="720"/>
      </w:pPr>
    </w:p>
    <w:bookmarkEnd w:id="1"/>
    <w:p w14:paraId="2E3E8C1B" w14:textId="77777777" w:rsidR="009138CB" w:rsidRDefault="009138CB" w:rsidP="009138CB">
      <w:pPr>
        <w:ind w:left="720" w:hanging="720"/>
      </w:pPr>
    </w:p>
    <w:p w14:paraId="3091B283" w14:textId="77777777" w:rsidR="009138CB" w:rsidRDefault="009138CB" w:rsidP="009138CB">
      <w:pPr>
        <w:ind w:left="720" w:hanging="720"/>
      </w:pPr>
    </w:p>
    <w:p w14:paraId="607A2919" w14:textId="77777777" w:rsidR="009138CB" w:rsidRDefault="009138CB" w:rsidP="009138CB">
      <w:pPr>
        <w:ind w:left="720" w:hanging="720"/>
      </w:pPr>
    </w:p>
    <w:p w14:paraId="4987984C" w14:textId="77777777" w:rsidR="009138CB" w:rsidRDefault="009138CB" w:rsidP="009138CB">
      <w:pPr>
        <w:ind w:left="720" w:hanging="720"/>
      </w:pPr>
    </w:p>
    <w:p w14:paraId="71EA6AE1" w14:textId="77777777" w:rsidR="00280920" w:rsidRPr="00895925" w:rsidRDefault="00280920" w:rsidP="009138CB"/>
    <w:sectPr w:rsidR="00280920" w:rsidRPr="00895925" w:rsidSect="00021260">
      <w:footerReference w:type="default" r:id="rId14"/>
      <w:pgSz w:w="11906" w:h="16838"/>
      <w:pgMar w:top="425" w:right="1418" w:bottom="28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65B4A0" w14:textId="77777777" w:rsidR="00B047F5" w:rsidRDefault="00B047F5" w:rsidP="00021260">
      <w:r>
        <w:separator/>
      </w:r>
    </w:p>
  </w:endnote>
  <w:endnote w:type="continuationSeparator" w:id="0">
    <w:p w14:paraId="09416BD3" w14:textId="77777777" w:rsidR="00B047F5" w:rsidRDefault="00B047F5" w:rsidP="00021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4E06F" w14:textId="77777777" w:rsidR="006F2478" w:rsidRDefault="006F2478" w:rsidP="00EA1BF3">
    <w:pPr>
      <w:pStyle w:val="Header"/>
      <w:jc w:val="right"/>
    </w:pPr>
    <w:r>
      <w:rPr>
        <w:b/>
      </w:rPr>
      <w:t>Unique Identifying Number:</w:t>
    </w:r>
  </w:p>
  <w:p w14:paraId="3D330620" w14:textId="5628C71C" w:rsidR="006F2478" w:rsidRPr="00EA1BF3" w:rsidRDefault="003E3650" w:rsidP="00EA1BF3">
    <w:pPr>
      <w:ind w:left="5760"/>
      <w:jc w:val="right"/>
    </w:pPr>
    <w:r w:rsidRPr="0046018A">
      <w:t>EPBC303DC/SFS/201</w:t>
    </w:r>
    <w:r w:rsidR="0046018A" w:rsidRPr="0046018A">
      <w:t>7</w:t>
    </w:r>
    <w:r w:rsidR="006F2478" w:rsidRPr="0046018A">
      <w:t>/</w:t>
    </w:r>
    <w:r w:rsidR="0046018A" w:rsidRPr="0046018A">
      <w:t>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EEE7E" w14:textId="77777777" w:rsidR="006F2478" w:rsidRPr="009138CB" w:rsidRDefault="006F2478" w:rsidP="009138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CCF43" w14:textId="77777777" w:rsidR="00B047F5" w:rsidRDefault="00B047F5" w:rsidP="00021260">
      <w:r>
        <w:separator/>
      </w:r>
    </w:p>
  </w:footnote>
  <w:footnote w:type="continuationSeparator" w:id="0">
    <w:p w14:paraId="14CF2F81" w14:textId="77777777" w:rsidR="00B047F5" w:rsidRDefault="00B047F5" w:rsidP="000212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2A88"/>
    <w:multiLevelType w:val="singleLevel"/>
    <w:tmpl w:val="E0F81E7E"/>
    <w:lvl w:ilvl="0">
      <w:start w:val="1"/>
      <w:numFmt w:val="bullet"/>
      <w:pStyle w:val="normal-dot2"/>
      <w:lvlText w:val=""/>
      <w:lvlJc w:val="left"/>
      <w:pPr>
        <w:tabs>
          <w:tab w:val="num" w:pos="0"/>
        </w:tabs>
        <w:ind w:left="360" w:hanging="360"/>
      </w:pPr>
      <w:rPr>
        <w:rFonts w:ascii="Symbol" w:hAnsi="Symbol" w:hint="default"/>
      </w:rPr>
    </w:lvl>
  </w:abstractNum>
  <w:abstractNum w:abstractNumId="1" w15:restartNumberingAfterBreak="0">
    <w:nsid w:val="07654D4C"/>
    <w:multiLevelType w:val="hybridMultilevel"/>
    <w:tmpl w:val="52B41F36"/>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7656B48"/>
    <w:multiLevelType w:val="hybridMultilevel"/>
    <w:tmpl w:val="CC7640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BC1420"/>
    <w:multiLevelType w:val="hybridMultilevel"/>
    <w:tmpl w:val="75B07B0C"/>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A61625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BB3121C"/>
    <w:multiLevelType w:val="hybridMultilevel"/>
    <w:tmpl w:val="2DA09832"/>
    <w:lvl w:ilvl="0" w:tplc="3E0E28B2">
      <w:start w:val="1"/>
      <w:numFmt w:val="decimal"/>
      <w:lvlText w:val="%1."/>
      <w:lvlJc w:val="left"/>
      <w:pPr>
        <w:tabs>
          <w:tab w:val="num" w:pos="720"/>
        </w:tabs>
        <w:ind w:left="720" w:hanging="360"/>
      </w:pPr>
      <w:rPr>
        <w:rFonts w:hint="default"/>
        <w:i w:val="0"/>
      </w:rPr>
    </w:lvl>
    <w:lvl w:ilvl="1" w:tplc="8C24C980" w:tentative="1">
      <w:start w:val="1"/>
      <w:numFmt w:val="lowerLetter"/>
      <w:lvlText w:val="%2."/>
      <w:lvlJc w:val="left"/>
      <w:pPr>
        <w:tabs>
          <w:tab w:val="num" w:pos="1440"/>
        </w:tabs>
        <w:ind w:left="1440" w:hanging="360"/>
      </w:pPr>
    </w:lvl>
    <w:lvl w:ilvl="2" w:tplc="A7A88372" w:tentative="1">
      <w:start w:val="1"/>
      <w:numFmt w:val="lowerRoman"/>
      <w:lvlText w:val="%3."/>
      <w:lvlJc w:val="right"/>
      <w:pPr>
        <w:tabs>
          <w:tab w:val="num" w:pos="2160"/>
        </w:tabs>
        <w:ind w:left="2160" w:hanging="180"/>
      </w:pPr>
    </w:lvl>
    <w:lvl w:ilvl="3" w:tplc="13D8BB6E" w:tentative="1">
      <w:start w:val="1"/>
      <w:numFmt w:val="decimal"/>
      <w:lvlText w:val="%4."/>
      <w:lvlJc w:val="left"/>
      <w:pPr>
        <w:tabs>
          <w:tab w:val="num" w:pos="2880"/>
        </w:tabs>
        <w:ind w:left="2880" w:hanging="360"/>
      </w:pPr>
    </w:lvl>
    <w:lvl w:ilvl="4" w:tplc="00540AB0" w:tentative="1">
      <w:start w:val="1"/>
      <w:numFmt w:val="lowerLetter"/>
      <w:lvlText w:val="%5."/>
      <w:lvlJc w:val="left"/>
      <w:pPr>
        <w:tabs>
          <w:tab w:val="num" w:pos="3600"/>
        </w:tabs>
        <w:ind w:left="3600" w:hanging="360"/>
      </w:pPr>
    </w:lvl>
    <w:lvl w:ilvl="5" w:tplc="45D2F0DE" w:tentative="1">
      <w:start w:val="1"/>
      <w:numFmt w:val="lowerRoman"/>
      <w:lvlText w:val="%6."/>
      <w:lvlJc w:val="right"/>
      <w:pPr>
        <w:tabs>
          <w:tab w:val="num" w:pos="4320"/>
        </w:tabs>
        <w:ind w:left="4320" w:hanging="180"/>
      </w:pPr>
    </w:lvl>
    <w:lvl w:ilvl="6" w:tplc="162AD038" w:tentative="1">
      <w:start w:val="1"/>
      <w:numFmt w:val="decimal"/>
      <w:lvlText w:val="%7."/>
      <w:lvlJc w:val="left"/>
      <w:pPr>
        <w:tabs>
          <w:tab w:val="num" w:pos="5040"/>
        </w:tabs>
        <w:ind w:left="5040" w:hanging="360"/>
      </w:pPr>
    </w:lvl>
    <w:lvl w:ilvl="7" w:tplc="78D6303A" w:tentative="1">
      <w:start w:val="1"/>
      <w:numFmt w:val="lowerLetter"/>
      <w:lvlText w:val="%8."/>
      <w:lvlJc w:val="left"/>
      <w:pPr>
        <w:tabs>
          <w:tab w:val="num" w:pos="5760"/>
        </w:tabs>
        <w:ind w:left="5760" w:hanging="360"/>
      </w:pPr>
    </w:lvl>
    <w:lvl w:ilvl="8" w:tplc="A726E34A" w:tentative="1">
      <w:start w:val="1"/>
      <w:numFmt w:val="lowerRoman"/>
      <w:lvlText w:val="%9."/>
      <w:lvlJc w:val="right"/>
      <w:pPr>
        <w:tabs>
          <w:tab w:val="num" w:pos="6480"/>
        </w:tabs>
        <w:ind w:left="6480" w:hanging="180"/>
      </w:pPr>
    </w:lvl>
  </w:abstractNum>
  <w:abstractNum w:abstractNumId="6" w15:restartNumberingAfterBreak="0">
    <w:nsid w:val="110F109C"/>
    <w:multiLevelType w:val="hybridMultilevel"/>
    <w:tmpl w:val="EBDE2B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652ACA"/>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15C96EBE"/>
    <w:multiLevelType w:val="hybridMultilevel"/>
    <w:tmpl w:val="839A2D3E"/>
    <w:lvl w:ilvl="0" w:tplc="B5B6B864">
      <w:start w:val="1"/>
      <w:numFmt w:val="bullet"/>
      <w:lvlText w:val=""/>
      <w:lvlJc w:val="left"/>
      <w:pPr>
        <w:tabs>
          <w:tab w:val="num" w:pos="1800"/>
        </w:tabs>
        <w:ind w:left="1800" w:hanging="360"/>
      </w:pPr>
      <w:rPr>
        <w:rFonts w:ascii="Symbol" w:hAnsi="Symbol" w:hint="default"/>
        <w:color w:val="auto"/>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5139A2"/>
    <w:multiLevelType w:val="hybridMultilevel"/>
    <w:tmpl w:val="03C85834"/>
    <w:lvl w:ilvl="0" w:tplc="54F21F3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483444"/>
    <w:multiLevelType w:val="hybridMultilevel"/>
    <w:tmpl w:val="88164E02"/>
    <w:lvl w:ilvl="0" w:tplc="5D1EC2C4">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30568B"/>
    <w:multiLevelType w:val="singleLevel"/>
    <w:tmpl w:val="53961994"/>
    <w:lvl w:ilvl="0">
      <w:start w:val="1"/>
      <w:numFmt w:val="lowerLetter"/>
      <w:lvlText w:val="%1)"/>
      <w:lvlJc w:val="left"/>
      <w:pPr>
        <w:tabs>
          <w:tab w:val="num" w:pos="840"/>
        </w:tabs>
        <w:ind w:left="840" w:hanging="360"/>
      </w:pPr>
      <w:rPr>
        <w:rFonts w:hint="default"/>
      </w:rPr>
    </w:lvl>
  </w:abstractNum>
  <w:abstractNum w:abstractNumId="13" w15:restartNumberingAfterBreak="0">
    <w:nsid w:val="24CD1777"/>
    <w:multiLevelType w:val="hybridMultilevel"/>
    <w:tmpl w:val="EAEAD9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B8D75F1"/>
    <w:multiLevelType w:val="hybridMultilevel"/>
    <w:tmpl w:val="03C85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E1335"/>
    <w:multiLevelType w:val="hybridMultilevel"/>
    <w:tmpl w:val="374E0D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CE4347D"/>
    <w:multiLevelType w:val="hybridMultilevel"/>
    <w:tmpl w:val="FC24B04A"/>
    <w:lvl w:ilvl="0" w:tplc="0C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F16EBF"/>
    <w:multiLevelType w:val="hybridMultilevel"/>
    <w:tmpl w:val="DBC48260"/>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D445E22"/>
    <w:multiLevelType w:val="hybridMultilevel"/>
    <w:tmpl w:val="08CAB11E"/>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D4D56DD"/>
    <w:multiLevelType w:val="hybridMultilevel"/>
    <w:tmpl w:val="3EBACA02"/>
    <w:lvl w:ilvl="0" w:tplc="5D1EC2C4">
      <w:start w:val="1"/>
      <w:numFmt w:val="bullet"/>
      <w:lvlText w:val=""/>
      <w:lvlJc w:val="left"/>
      <w:pPr>
        <w:tabs>
          <w:tab w:val="num" w:pos="360"/>
        </w:tabs>
        <w:ind w:left="360" w:hanging="360"/>
      </w:pPr>
      <w:rPr>
        <w:rFonts w:ascii="Symbol" w:hAnsi="Symbol" w:hint="default"/>
        <w:color w:val="auto"/>
        <w:sz w:val="24"/>
      </w:rPr>
    </w:lvl>
    <w:lvl w:ilvl="1" w:tplc="0C090003" w:tentative="1">
      <w:start w:val="1"/>
      <w:numFmt w:val="bullet"/>
      <w:lvlText w:val="o"/>
      <w:lvlJc w:val="left"/>
      <w:pPr>
        <w:tabs>
          <w:tab w:val="num" w:pos="0"/>
        </w:tabs>
        <w:ind w:left="0" w:hanging="360"/>
      </w:pPr>
      <w:rPr>
        <w:rFonts w:ascii="Courier New" w:hAnsi="Courier New" w:cs="Courier New" w:hint="default"/>
      </w:rPr>
    </w:lvl>
    <w:lvl w:ilvl="2" w:tplc="0C090005" w:tentative="1">
      <w:start w:val="1"/>
      <w:numFmt w:val="bullet"/>
      <w:lvlText w:val=""/>
      <w:lvlJc w:val="left"/>
      <w:pPr>
        <w:tabs>
          <w:tab w:val="num" w:pos="720"/>
        </w:tabs>
        <w:ind w:left="720" w:hanging="360"/>
      </w:pPr>
      <w:rPr>
        <w:rFonts w:ascii="Wingdings" w:hAnsi="Wingdings" w:hint="default"/>
      </w:rPr>
    </w:lvl>
    <w:lvl w:ilvl="3" w:tplc="0C090001" w:tentative="1">
      <w:start w:val="1"/>
      <w:numFmt w:val="bullet"/>
      <w:lvlText w:val=""/>
      <w:lvlJc w:val="left"/>
      <w:pPr>
        <w:tabs>
          <w:tab w:val="num" w:pos="1440"/>
        </w:tabs>
        <w:ind w:left="1440" w:hanging="360"/>
      </w:pPr>
      <w:rPr>
        <w:rFonts w:ascii="Symbol" w:hAnsi="Symbol" w:hint="default"/>
      </w:rPr>
    </w:lvl>
    <w:lvl w:ilvl="4" w:tplc="0C090003" w:tentative="1">
      <w:start w:val="1"/>
      <w:numFmt w:val="bullet"/>
      <w:lvlText w:val="o"/>
      <w:lvlJc w:val="left"/>
      <w:pPr>
        <w:tabs>
          <w:tab w:val="num" w:pos="2160"/>
        </w:tabs>
        <w:ind w:left="2160" w:hanging="360"/>
      </w:pPr>
      <w:rPr>
        <w:rFonts w:ascii="Courier New" w:hAnsi="Courier New" w:cs="Courier New" w:hint="default"/>
      </w:rPr>
    </w:lvl>
    <w:lvl w:ilvl="5" w:tplc="0C090005" w:tentative="1">
      <w:start w:val="1"/>
      <w:numFmt w:val="bullet"/>
      <w:lvlText w:val=""/>
      <w:lvlJc w:val="left"/>
      <w:pPr>
        <w:tabs>
          <w:tab w:val="num" w:pos="2880"/>
        </w:tabs>
        <w:ind w:left="2880" w:hanging="360"/>
      </w:pPr>
      <w:rPr>
        <w:rFonts w:ascii="Wingdings" w:hAnsi="Wingdings" w:hint="default"/>
      </w:rPr>
    </w:lvl>
    <w:lvl w:ilvl="6" w:tplc="0C090001" w:tentative="1">
      <w:start w:val="1"/>
      <w:numFmt w:val="bullet"/>
      <w:lvlText w:val=""/>
      <w:lvlJc w:val="left"/>
      <w:pPr>
        <w:tabs>
          <w:tab w:val="num" w:pos="3600"/>
        </w:tabs>
        <w:ind w:left="3600" w:hanging="360"/>
      </w:pPr>
      <w:rPr>
        <w:rFonts w:ascii="Symbol" w:hAnsi="Symbol" w:hint="default"/>
      </w:rPr>
    </w:lvl>
    <w:lvl w:ilvl="7" w:tplc="0C090003" w:tentative="1">
      <w:start w:val="1"/>
      <w:numFmt w:val="bullet"/>
      <w:lvlText w:val="o"/>
      <w:lvlJc w:val="left"/>
      <w:pPr>
        <w:tabs>
          <w:tab w:val="num" w:pos="4320"/>
        </w:tabs>
        <w:ind w:left="4320" w:hanging="360"/>
      </w:pPr>
      <w:rPr>
        <w:rFonts w:ascii="Courier New" w:hAnsi="Courier New" w:cs="Courier New" w:hint="default"/>
      </w:rPr>
    </w:lvl>
    <w:lvl w:ilvl="8" w:tplc="0C090005" w:tentative="1">
      <w:start w:val="1"/>
      <w:numFmt w:val="bullet"/>
      <w:lvlText w:val=""/>
      <w:lvlJc w:val="left"/>
      <w:pPr>
        <w:tabs>
          <w:tab w:val="num" w:pos="5040"/>
        </w:tabs>
        <w:ind w:left="5040" w:hanging="360"/>
      </w:pPr>
      <w:rPr>
        <w:rFonts w:ascii="Wingdings" w:hAnsi="Wingdings" w:hint="default"/>
      </w:rPr>
    </w:lvl>
  </w:abstractNum>
  <w:abstractNum w:abstractNumId="20" w15:restartNumberingAfterBreak="0">
    <w:nsid w:val="5EE3713C"/>
    <w:multiLevelType w:val="hybridMultilevel"/>
    <w:tmpl w:val="AE0A3D2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22" w15:restartNumberingAfterBreak="0">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AF331CD"/>
    <w:multiLevelType w:val="hybridMultilevel"/>
    <w:tmpl w:val="4D84429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C3F039D"/>
    <w:multiLevelType w:val="hybridMultilevel"/>
    <w:tmpl w:val="90AA4E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D03AA"/>
    <w:multiLevelType w:val="hybridMultilevel"/>
    <w:tmpl w:val="5760871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7"/>
  </w:num>
  <w:num w:numId="4">
    <w:abstractNumId w:val="10"/>
  </w:num>
  <w:num w:numId="5">
    <w:abstractNumId w:val="22"/>
  </w:num>
  <w:num w:numId="6">
    <w:abstractNumId w:val="20"/>
  </w:num>
  <w:num w:numId="7">
    <w:abstractNumId w:val="14"/>
  </w:num>
  <w:num w:numId="8">
    <w:abstractNumId w:val="9"/>
  </w:num>
  <w:num w:numId="9">
    <w:abstractNumId w:val="17"/>
  </w:num>
  <w:num w:numId="10">
    <w:abstractNumId w:val="3"/>
  </w:num>
  <w:num w:numId="11">
    <w:abstractNumId w:val="6"/>
  </w:num>
  <w:num w:numId="12">
    <w:abstractNumId w:val="1"/>
  </w:num>
  <w:num w:numId="13">
    <w:abstractNumId w:val="18"/>
  </w:num>
  <w:num w:numId="14">
    <w:abstractNumId w:val="24"/>
  </w:num>
  <w:num w:numId="15">
    <w:abstractNumId w:val="12"/>
  </w:num>
  <w:num w:numId="16">
    <w:abstractNumId w:val="21"/>
  </w:num>
  <w:num w:numId="17">
    <w:abstractNumId w:val="16"/>
  </w:num>
  <w:num w:numId="18">
    <w:abstractNumId w:val="15"/>
  </w:num>
  <w:num w:numId="19">
    <w:abstractNumId w:val="23"/>
  </w:num>
  <w:num w:numId="20">
    <w:abstractNumId w:val="4"/>
  </w:num>
  <w:num w:numId="21">
    <w:abstractNumId w:val="25"/>
  </w:num>
  <w:num w:numId="22">
    <w:abstractNumId w:val="8"/>
  </w:num>
  <w:num w:numId="23">
    <w:abstractNumId w:val="11"/>
  </w:num>
  <w:num w:numId="24">
    <w:abstractNumId w:val="19"/>
  </w:num>
  <w:num w:numId="25">
    <w:abstractNumId w:val="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7F5"/>
    <w:rsid w:val="00021260"/>
    <w:rsid w:val="00034C24"/>
    <w:rsid w:val="00053A71"/>
    <w:rsid w:val="0008168E"/>
    <w:rsid w:val="00093FAB"/>
    <w:rsid w:val="000B48F6"/>
    <w:rsid w:val="000C063F"/>
    <w:rsid w:val="00124F6A"/>
    <w:rsid w:val="001816B5"/>
    <w:rsid w:val="00183DB5"/>
    <w:rsid w:val="00183DEC"/>
    <w:rsid w:val="00197AF9"/>
    <w:rsid w:val="001A5110"/>
    <w:rsid w:val="00217C72"/>
    <w:rsid w:val="00280920"/>
    <w:rsid w:val="00292405"/>
    <w:rsid w:val="002B5666"/>
    <w:rsid w:val="00391363"/>
    <w:rsid w:val="003E3650"/>
    <w:rsid w:val="003F307C"/>
    <w:rsid w:val="00401109"/>
    <w:rsid w:val="004450C4"/>
    <w:rsid w:val="0046018A"/>
    <w:rsid w:val="00467927"/>
    <w:rsid w:val="00472633"/>
    <w:rsid w:val="004A1FBD"/>
    <w:rsid w:val="004B5A49"/>
    <w:rsid w:val="0051056C"/>
    <w:rsid w:val="00510CA5"/>
    <w:rsid w:val="00510F7A"/>
    <w:rsid w:val="00572662"/>
    <w:rsid w:val="00584019"/>
    <w:rsid w:val="0063635D"/>
    <w:rsid w:val="00665B1C"/>
    <w:rsid w:val="006E205C"/>
    <w:rsid w:val="006F2478"/>
    <w:rsid w:val="00702A2B"/>
    <w:rsid w:val="0073263E"/>
    <w:rsid w:val="007403AD"/>
    <w:rsid w:val="00765E7E"/>
    <w:rsid w:val="00791E00"/>
    <w:rsid w:val="007A4091"/>
    <w:rsid w:val="008152AE"/>
    <w:rsid w:val="00832445"/>
    <w:rsid w:val="00841E4C"/>
    <w:rsid w:val="00881E32"/>
    <w:rsid w:val="008933D1"/>
    <w:rsid w:val="00895925"/>
    <w:rsid w:val="009138CB"/>
    <w:rsid w:val="009637D5"/>
    <w:rsid w:val="00970859"/>
    <w:rsid w:val="0097094C"/>
    <w:rsid w:val="009A0D74"/>
    <w:rsid w:val="009F217F"/>
    <w:rsid w:val="00A85E9E"/>
    <w:rsid w:val="00A95C15"/>
    <w:rsid w:val="00AB52B0"/>
    <w:rsid w:val="00AD3564"/>
    <w:rsid w:val="00B047F5"/>
    <w:rsid w:val="00B505FE"/>
    <w:rsid w:val="00BB62B6"/>
    <w:rsid w:val="00BD412F"/>
    <w:rsid w:val="00C04387"/>
    <w:rsid w:val="00C856FD"/>
    <w:rsid w:val="00CD045A"/>
    <w:rsid w:val="00CD7278"/>
    <w:rsid w:val="00CE0462"/>
    <w:rsid w:val="00CE754A"/>
    <w:rsid w:val="00D028CE"/>
    <w:rsid w:val="00D07E11"/>
    <w:rsid w:val="00D279BD"/>
    <w:rsid w:val="00D36FEF"/>
    <w:rsid w:val="00D41472"/>
    <w:rsid w:val="00D629FF"/>
    <w:rsid w:val="00D9511B"/>
    <w:rsid w:val="00D961FA"/>
    <w:rsid w:val="00DA0134"/>
    <w:rsid w:val="00DE0452"/>
    <w:rsid w:val="00E752EC"/>
    <w:rsid w:val="00E85E14"/>
    <w:rsid w:val="00EA1BF3"/>
    <w:rsid w:val="00F00F9E"/>
    <w:rsid w:val="00FF3C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762145"/>
  <w15:docId w15:val="{CE6D27D8-92B9-4194-99D2-EB24C70F7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9BD"/>
    <w:rPr>
      <w:lang w:eastAsia="en-US"/>
    </w:rPr>
  </w:style>
  <w:style w:type="paragraph" w:styleId="Heading1">
    <w:name w:val="heading 1"/>
    <w:basedOn w:val="Normal"/>
    <w:next w:val="Normal"/>
    <w:link w:val="Heading1Char"/>
    <w:uiPriority w:val="9"/>
    <w:qFormat/>
    <w:rsid w:val="00D279BD"/>
    <w:pPr>
      <w:keepNext/>
      <w:outlineLvl w:val="0"/>
    </w:pPr>
    <w:rPr>
      <w:snapToGrid w:val="0"/>
      <w:sz w:val="24"/>
      <w:lang w:val="en-US"/>
    </w:rPr>
  </w:style>
  <w:style w:type="paragraph" w:styleId="Heading3">
    <w:name w:val="heading 3"/>
    <w:basedOn w:val="Normal"/>
    <w:next w:val="Normal"/>
    <w:qFormat/>
    <w:rsid w:val="00D279BD"/>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279BD"/>
    <w:rPr>
      <w:color w:val="0000FF"/>
      <w:u w:val="single"/>
    </w:rPr>
  </w:style>
  <w:style w:type="paragraph" w:customStyle="1" w:styleId="normal-dot2">
    <w:name w:val="normal-dot 2"/>
    <w:basedOn w:val="Normal"/>
    <w:rsid w:val="00D279BD"/>
    <w:pPr>
      <w:numPr>
        <w:numId w:val="1"/>
      </w:numPr>
      <w:spacing w:before="80"/>
      <w:ind w:left="709" w:hanging="425"/>
    </w:pPr>
    <w:rPr>
      <w:sz w:val="24"/>
    </w:rPr>
  </w:style>
  <w:style w:type="paragraph" w:styleId="Title">
    <w:name w:val="Title"/>
    <w:basedOn w:val="Normal"/>
    <w:qFormat/>
    <w:rsid w:val="00D279BD"/>
    <w:pPr>
      <w:jc w:val="center"/>
    </w:pPr>
    <w:rPr>
      <w:b/>
      <w:sz w:val="28"/>
    </w:rPr>
  </w:style>
  <w:style w:type="paragraph" w:customStyle="1" w:styleId="normal-dot">
    <w:name w:val="normal-dot"/>
    <w:basedOn w:val="Normal"/>
    <w:rsid w:val="00D279BD"/>
    <w:pPr>
      <w:numPr>
        <w:numId w:val="16"/>
      </w:numPr>
      <w:spacing w:before="120"/>
      <w:ind w:left="357" w:hanging="357"/>
    </w:pPr>
    <w:rPr>
      <w:sz w:val="22"/>
    </w:rPr>
  </w:style>
  <w:style w:type="paragraph" w:styleId="BodyTextIndent">
    <w:name w:val="Body Text Indent"/>
    <w:basedOn w:val="Normal"/>
    <w:rsid w:val="00D279BD"/>
    <w:pPr>
      <w:ind w:left="360"/>
    </w:pPr>
    <w:rPr>
      <w:sz w:val="24"/>
    </w:rPr>
  </w:style>
  <w:style w:type="character" w:styleId="Emphasis">
    <w:name w:val="Emphasis"/>
    <w:basedOn w:val="DefaultParagraphFont"/>
    <w:qFormat/>
    <w:rsid w:val="00D279BD"/>
    <w:rPr>
      <w:i/>
      <w:iCs/>
    </w:rPr>
  </w:style>
  <w:style w:type="character" w:styleId="Strong">
    <w:name w:val="Strong"/>
    <w:basedOn w:val="DefaultParagraphFont"/>
    <w:qFormat/>
    <w:rsid w:val="00D279BD"/>
    <w:rPr>
      <w:b/>
      <w:bCs/>
    </w:rPr>
  </w:style>
  <w:style w:type="paragraph" w:styleId="NormalWeb">
    <w:name w:val="Normal (Web)"/>
    <w:basedOn w:val="Normal"/>
    <w:rsid w:val="00D279BD"/>
    <w:pPr>
      <w:spacing w:before="100" w:beforeAutospacing="1" w:after="100" w:afterAutospacing="1"/>
    </w:pPr>
    <w:rPr>
      <w:rFonts w:ascii="Arial Unicode MS" w:eastAsia="Arial Unicode MS" w:hAnsi="Arial Unicode MS" w:cs="Arial Unicode MS"/>
      <w:sz w:val="24"/>
      <w:szCs w:val="24"/>
      <w:lang w:val="en-US"/>
    </w:rPr>
  </w:style>
  <w:style w:type="paragraph" w:styleId="BalloonText">
    <w:name w:val="Balloon Text"/>
    <w:basedOn w:val="Normal"/>
    <w:semiHidden/>
    <w:rsid w:val="00D279BD"/>
    <w:rPr>
      <w:rFonts w:ascii="Tahoma" w:hAnsi="Tahoma" w:cs="Tahoma"/>
      <w:sz w:val="16"/>
      <w:szCs w:val="16"/>
    </w:rPr>
  </w:style>
  <w:style w:type="character" w:styleId="CommentReference">
    <w:name w:val="annotation reference"/>
    <w:basedOn w:val="DefaultParagraphFont"/>
    <w:semiHidden/>
    <w:rsid w:val="00D279BD"/>
    <w:rPr>
      <w:sz w:val="16"/>
      <w:szCs w:val="16"/>
    </w:rPr>
  </w:style>
  <w:style w:type="paragraph" w:styleId="CommentText">
    <w:name w:val="annotation text"/>
    <w:basedOn w:val="Normal"/>
    <w:link w:val="CommentTextChar"/>
    <w:semiHidden/>
    <w:rsid w:val="00D279BD"/>
  </w:style>
  <w:style w:type="paragraph" w:styleId="CommentSubject">
    <w:name w:val="annotation subject"/>
    <w:basedOn w:val="CommentText"/>
    <w:next w:val="CommentText"/>
    <w:semiHidden/>
    <w:rsid w:val="00D279BD"/>
    <w:rPr>
      <w:b/>
      <w:bCs/>
    </w:rPr>
  </w:style>
  <w:style w:type="paragraph" w:styleId="Header">
    <w:name w:val="header"/>
    <w:basedOn w:val="Normal"/>
    <w:link w:val="HeaderChar"/>
    <w:rsid w:val="00021260"/>
    <w:pPr>
      <w:tabs>
        <w:tab w:val="center" w:pos="4513"/>
        <w:tab w:val="right" w:pos="9026"/>
      </w:tabs>
    </w:pPr>
  </w:style>
  <w:style w:type="character" w:customStyle="1" w:styleId="HeaderChar">
    <w:name w:val="Header Char"/>
    <w:basedOn w:val="DefaultParagraphFont"/>
    <w:link w:val="Header"/>
    <w:rsid w:val="00021260"/>
    <w:rPr>
      <w:lang w:eastAsia="en-US"/>
    </w:rPr>
  </w:style>
  <w:style w:type="paragraph" w:styleId="Footer">
    <w:name w:val="footer"/>
    <w:basedOn w:val="Normal"/>
    <w:link w:val="FooterChar"/>
    <w:uiPriority w:val="99"/>
    <w:rsid w:val="00021260"/>
    <w:pPr>
      <w:tabs>
        <w:tab w:val="center" w:pos="4513"/>
        <w:tab w:val="right" w:pos="9026"/>
      </w:tabs>
    </w:pPr>
  </w:style>
  <w:style w:type="character" w:customStyle="1" w:styleId="FooterChar">
    <w:name w:val="Footer Char"/>
    <w:basedOn w:val="DefaultParagraphFont"/>
    <w:link w:val="Footer"/>
    <w:uiPriority w:val="99"/>
    <w:rsid w:val="00021260"/>
    <w:rPr>
      <w:lang w:eastAsia="en-US"/>
    </w:rPr>
  </w:style>
  <w:style w:type="paragraph" w:styleId="PlainText">
    <w:name w:val="Plain Text"/>
    <w:basedOn w:val="Normal"/>
    <w:link w:val="PlainTextChar"/>
    <w:uiPriority w:val="99"/>
    <w:unhideWhenUsed/>
    <w:rsid w:val="004B5A49"/>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4B5A49"/>
    <w:rPr>
      <w:rFonts w:ascii="Consolas" w:eastAsia="Calibri" w:hAnsi="Consolas" w:cs="Consolas"/>
      <w:sz w:val="21"/>
      <w:szCs w:val="21"/>
    </w:rPr>
  </w:style>
  <w:style w:type="character" w:customStyle="1" w:styleId="CommentTextChar">
    <w:name w:val="Comment Text Char"/>
    <w:basedOn w:val="DefaultParagraphFont"/>
    <w:link w:val="CommentText"/>
    <w:semiHidden/>
    <w:rsid w:val="00217C72"/>
    <w:rPr>
      <w:lang w:eastAsia="en-US"/>
    </w:rPr>
  </w:style>
  <w:style w:type="character" w:customStyle="1" w:styleId="Heading1Char">
    <w:name w:val="Heading 1 Char"/>
    <w:link w:val="Heading1"/>
    <w:uiPriority w:val="9"/>
    <w:rsid w:val="009138CB"/>
    <w:rPr>
      <w:snapToGrid w:val="0"/>
      <w:sz w:val="24"/>
      <w:lang w:val="en-US" w:eastAsia="en-US"/>
    </w:rPr>
  </w:style>
  <w:style w:type="character" w:styleId="FollowedHyperlink">
    <w:name w:val="FollowedHyperlink"/>
    <w:basedOn w:val="DefaultParagraphFont"/>
    <w:semiHidden/>
    <w:unhideWhenUsed/>
    <w:rsid w:val="00CD7278"/>
    <w:rPr>
      <w:color w:val="800080" w:themeColor="followedHyperlink"/>
      <w:u w:val="single"/>
    </w:rPr>
  </w:style>
  <w:style w:type="paragraph" w:styleId="ListBullet">
    <w:name w:val="List Bullet"/>
    <w:basedOn w:val="Normal"/>
    <w:uiPriority w:val="99"/>
    <w:unhideWhenUsed/>
    <w:rsid w:val="00CD7278"/>
    <w:pPr>
      <w:spacing w:before="100" w:beforeAutospacing="1" w:after="100" w:afterAutospacing="1"/>
    </w:pPr>
    <w:rPr>
      <w:sz w:val="24"/>
      <w:szCs w:val="24"/>
      <w:lang w:eastAsia="en-AU"/>
    </w:rPr>
  </w:style>
  <w:style w:type="paragraph" w:styleId="ListParagraph">
    <w:name w:val="List Paragraph"/>
    <w:basedOn w:val="Normal"/>
    <w:uiPriority w:val="34"/>
    <w:qFormat/>
    <w:rsid w:val="00CD7278"/>
    <w:pPr>
      <w:ind w:left="720"/>
      <w:contextualSpacing/>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37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sa.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B10AAF848ED07B47933E707564FE2E4A" ma:contentTypeVersion="7" ma:contentTypeDescription="SPIRE Document" ma:contentTypeScope="" ma:versionID="b709dd852f99e07c295d6131ddf2127b">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cecb99b0a41ed5472a960868ee408f7f"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Approval xmlns="344c6e69-c594-4ca4-b341-09ae9dfc1422" xsi:nil="true"/>
    <Function xmlns="344c6e69-c594-4ca4-b341-09ae9dfc1422">Regulation</Function>
    <IconOverlay xmlns="http://schemas.microsoft.com/sharepoint/v4" xsi:nil="true"/>
    <DocumentDescription xmlns="344c6e69-c594-4ca4-b341-09ae9dfc1422">04/07/2017 - Updated to include state/territory legislation links and CITES information.
Template for LENS Variation explanatory statement. Use for exempt fisheries (LENS only) and WTO fisheries.</DocumentDescription>
    <RecordNumber xmlns="344c6e69-c594-4ca4-b341-09ae9dfc1422">001869904</RecordNumber>
  </documentManagement>
</p:properties>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D1815B94-9D4D-4EE2-94CB-19C83D17E03D}">
  <ds:schemaRefs>
    <ds:schemaRef ds:uri="http://schemas.microsoft.com/sharepoint/v3/contenttype/forms"/>
  </ds:schemaRefs>
</ds:datastoreItem>
</file>

<file path=customXml/itemProps2.xml><?xml version="1.0" encoding="utf-8"?>
<ds:datastoreItem xmlns:ds="http://schemas.openxmlformats.org/officeDocument/2006/customXml" ds:itemID="{254BA91E-FB34-45EA-846C-4B9825928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948E72-94EF-4720-96D1-3A90F546A390}">
  <ds:schemaRefs>
    <ds:schemaRef ds:uri="http://schemas.microsoft.com/office/2006/metadata/customXsn"/>
  </ds:schemaRefs>
</ds:datastoreItem>
</file>

<file path=customXml/itemProps4.xml><?xml version="1.0" encoding="utf-8"?>
<ds:datastoreItem xmlns:ds="http://schemas.openxmlformats.org/officeDocument/2006/customXml" ds:itemID="{609A6E36-39B7-4549-B63B-FDEADD632FF3}">
  <ds:schemaRefs>
    <ds:schemaRef ds:uri="http://www.w3.org/XML/1998/namespace"/>
    <ds:schemaRef ds:uri="http://purl.org/dc/dcmitype/"/>
    <ds:schemaRef ds:uri="http://purl.org/dc/elements/1.1/"/>
    <ds:schemaRef ds:uri="344c6e69-c594-4ca4-b341-09ae9dfc1422"/>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schemas.microsoft.com/sharepoint/v4"/>
    <ds:schemaRef ds:uri="http://purl.org/dc/terms/"/>
  </ds:schemaRefs>
</ds:datastoreItem>
</file>

<file path=customXml/itemProps5.xml><?xml version="1.0" encoding="utf-8"?>
<ds:datastoreItem xmlns:ds="http://schemas.openxmlformats.org/officeDocument/2006/customXml" ds:itemID="{DA193D0D-6C15-4F38-82BC-B317B6B968E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4B90A5D5.dotm</Template>
  <TotalTime>0</TotalTime>
  <Pages>2</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Brief - Extension - SA LCF 2017-07 - Att A Explanatory statement (variation)</vt:lpstr>
    </vt:vector>
  </TitlesOfParts>
  <Company>EA</Company>
  <LinksUpToDate>false</LinksUpToDate>
  <CharactersWithSpaces>3246</CharactersWithSpaces>
  <SharedDoc>false</SharedDoc>
  <HLinks>
    <vt:vector size="12" baseType="variant">
      <vt:variant>
        <vt:i4>1704003</vt:i4>
      </vt:variant>
      <vt:variant>
        <vt:i4>3</vt:i4>
      </vt:variant>
      <vt:variant>
        <vt:i4>0</vt:i4>
      </vt:variant>
      <vt:variant>
        <vt:i4>5</vt:i4>
      </vt:variant>
      <vt:variant>
        <vt:lpwstr>http://152.91.15.12/portal/govgazonline.nsf/(custom-govnot-pub-view)?OpenView</vt:lpwstr>
      </vt:variant>
      <vt:variant>
        <vt:lpwstr/>
      </vt:variant>
      <vt:variant>
        <vt:i4>2031632</vt:i4>
      </vt:variant>
      <vt:variant>
        <vt:i4>0</vt:i4>
      </vt:variant>
      <vt:variant>
        <vt:i4>0</vt:i4>
      </vt:variant>
      <vt:variant>
        <vt:i4>5</vt:i4>
      </vt:variant>
      <vt:variant>
        <vt:lpwstr>http://www.environment.gov.au/coasts/fisheries/index.html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 Extension - SA LCF 2017-07 - Att A Explanatory statement (variation)</dc:title>
  <dc:creator>[LogonUser]</dc:creator>
  <cp:lastModifiedBy>Newman, James</cp:lastModifiedBy>
  <cp:revision>2</cp:revision>
  <cp:lastPrinted>2008-05-28T22:08:00Z</cp:lastPrinted>
  <dcterms:created xsi:type="dcterms:W3CDTF">2017-08-02T05:33:00Z</dcterms:created>
  <dcterms:modified xsi:type="dcterms:W3CDTF">2017-08-02T05:33:00Z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0x0101009DB8618430E8D149BA674DA7B0E0C3F000B10AAF848ED07B47933E707564FE2E4A</vt:lpwstr>
  </property>
  <property fmtid="{D5CDD505-2E9C-101B-9397-08002B2CF9AE}" pid="3" name="RecordPoint_SubmissionDate">
    <vt:lpwstr/>
  </property>
  <property fmtid="{D5CDD505-2E9C-101B-9397-08002B2CF9AE}" pid="4" name="RecordPoint_RecordNumberSubmitted">
    <vt:lpwstr>001869904</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2017-08-02T14:06:17.6427887+10:00</vt:lpwstr>
  </property>
  <property fmtid="{D5CDD505-2E9C-101B-9397-08002B2CF9AE}" pid="10" name="RecordPoint_ActiveItemUniqueId">
    <vt:lpwstr>{0dd71fc6-f92e-4322-8468-bc2297d93b82}</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ies>
</file>