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FE19B73" w14:textId="18C7E6A6" w:rsidR="00245562" w:rsidRDefault="00220534" w:rsidP="009057C8">
      <w:pPr>
        <w:pStyle w:val="Headinga"/>
        <w:spacing w:after="0"/>
        <w:jc w:val="center"/>
        <w:rPr>
          <w:rFonts w:ascii="Times New Roman" w:hAnsi="Times New Roman" w:cs="Times New Roman"/>
          <w:sz w:val="24"/>
          <w:szCs w:val="24"/>
        </w:rPr>
      </w:pPr>
      <w:bookmarkStart w:id="0" w:name="bkInstrumentTitle"/>
      <w:bookmarkStart w:id="1" w:name="_GoBack"/>
      <w:bookmarkEnd w:id="0"/>
      <w:bookmarkEnd w:id="1"/>
      <w:r w:rsidRPr="009057C8">
        <w:rPr>
          <w:rFonts w:ascii="Times New Roman" w:hAnsi="Times New Roman" w:cs="Times New Roman"/>
          <w:sz w:val="24"/>
          <w:szCs w:val="24"/>
        </w:rPr>
        <w:t>Banking, Insurance</w:t>
      </w:r>
      <w:r w:rsidR="00F7520C">
        <w:rPr>
          <w:rFonts w:ascii="Times New Roman" w:hAnsi="Times New Roman" w:cs="Times New Roman"/>
          <w:sz w:val="24"/>
          <w:szCs w:val="24"/>
        </w:rPr>
        <w:t xml:space="preserve">, </w:t>
      </w:r>
      <w:r w:rsidRPr="009057C8">
        <w:rPr>
          <w:rFonts w:ascii="Times New Roman" w:hAnsi="Times New Roman" w:cs="Times New Roman"/>
          <w:sz w:val="24"/>
          <w:szCs w:val="24"/>
        </w:rPr>
        <w:t xml:space="preserve">Life Insurance </w:t>
      </w:r>
      <w:r w:rsidR="00F7520C">
        <w:rPr>
          <w:rFonts w:ascii="Times New Roman" w:hAnsi="Times New Roman" w:cs="Times New Roman"/>
          <w:sz w:val="24"/>
          <w:szCs w:val="24"/>
        </w:rPr>
        <w:t xml:space="preserve">and Health Insurance </w:t>
      </w:r>
      <w:r w:rsidRPr="009057C8">
        <w:rPr>
          <w:rFonts w:ascii="Times New Roman" w:hAnsi="Times New Roman" w:cs="Times New Roman"/>
          <w:sz w:val="24"/>
          <w:szCs w:val="24"/>
        </w:rPr>
        <w:t>(prudential standards) determination</w:t>
      </w:r>
    </w:p>
    <w:p w14:paraId="338918E4" w14:textId="77777777" w:rsidR="00245562" w:rsidRDefault="00245562" w:rsidP="009057C8">
      <w:pPr>
        <w:pStyle w:val="Headinga"/>
        <w:spacing w:before="0" w:after="0"/>
        <w:jc w:val="center"/>
        <w:rPr>
          <w:rFonts w:ascii="Times New Roman" w:hAnsi="Times New Roman" w:cs="Times New Roman"/>
          <w:sz w:val="24"/>
          <w:szCs w:val="24"/>
        </w:rPr>
      </w:pPr>
      <w:r>
        <w:rPr>
          <w:rFonts w:ascii="Times New Roman" w:hAnsi="Times New Roman" w:cs="Times New Roman"/>
          <w:sz w:val="24"/>
          <w:szCs w:val="24"/>
        </w:rPr>
        <w:t xml:space="preserve"> No. 1 of 2017</w:t>
      </w:r>
    </w:p>
    <w:p w14:paraId="661B7055" w14:textId="0C18C380" w:rsidR="00B33928" w:rsidRPr="00D5144A" w:rsidRDefault="00B33928" w:rsidP="009057C8">
      <w:pPr>
        <w:pStyle w:val="Headinga"/>
        <w:spacing w:before="0" w:after="0"/>
        <w:jc w:val="center"/>
        <w:rPr>
          <w:sz w:val="24"/>
          <w:szCs w:val="24"/>
        </w:rPr>
      </w:pPr>
    </w:p>
    <w:p w14:paraId="7E5E13EF" w14:textId="77777777" w:rsidR="00B33928" w:rsidRPr="009057C8" w:rsidRDefault="00B33928" w:rsidP="00074C6B">
      <w:pPr>
        <w:pStyle w:val="Heading1"/>
        <w:jc w:val="center"/>
        <w:rPr>
          <w:rFonts w:ascii="Times New Roman" w:hAnsi="Times New Roman" w:cs="Times New Roman"/>
          <w:sz w:val="24"/>
          <w:u w:val="single"/>
        </w:rPr>
      </w:pPr>
      <w:r w:rsidRPr="009057C8">
        <w:rPr>
          <w:rFonts w:ascii="Times New Roman" w:hAnsi="Times New Roman" w:cs="Times New Roman"/>
          <w:sz w:val="24"/>
          <w:u w:val="single"/>
        </w:rPr>
        <w:t>EXPLANATORY STATEMENT</w:t>
      </w:r>
    </w:p>
    <w:p w14:paraId="7DDAEDFF" w14:textId="3E897E39" w:rsidR="00B33928" w:rsidRPr="009057C8" w:rsidRDefault="00B33928" w:rsidP="00074C6B">
      <w:pPr>
        <w:pStyle w:val="Heading2"/>
        <w:jc w:val="center"/>
        <w:rPr>
          <w:rFonts w:ascii="Times New Roman" w:hAnsi="Times New Roman" w:cs="Times New Roman"/>
          <w:sz w:val="24"/>
          <w:szCs w:val="24"/>
        </w:rPr>
      </w:pPr>
      <w:r w:rsidRPr="009057C8">
        <w:rPr>
          <w:rFonts w:ascii="Times New Roman" w:hAnsi="Times New Roman" w:cs="Times New Roman"/>
          <w:sz w:val="24"/>
          <w:szCs w:val="24"/>
        </w:rPr>
        <w:t xml:space="preserve">Prepared by the Australian </w:t>
      </w:r>
      <w:r w:rsidR="00074C6B" w:rsidRPr="009057C8">
        <w:rPr>
          <w:rFonts w:ascii="Times New Roman" w:hAnsi="Times New Roman" w:cs="Times New Roman"/>
          <w:sz w:val="24"/>
          <w:szCs w:val="24"/>
        </w:rPr>
        <w:t>Prudential Regulation Authority</w:t>
      </w:r>
    </w:p>
    <w:p w14:paraId="61DD6856" w14:textId="77777777" w:rsidR="00605C21" w:rsidRPr="009057C8" w:rsidRDefault="00605C21" w:rsidP="00432312">
      <w:pPr>
        <w:shd w:val="clear" w:color="auto" w:fill="FFFFFF" w:themeFill="background1"/>
        <w:spacing w:before="100" w:beforeAutospacing="1" w:after="100" w:afterAutospacing="1"/>
        <w:jc w:val="center"/>
        <w:rPr>
          <w:rFonts w:ascii="Times New Roman" w:hAnsi="Times New Roman"/>
          <w:szCs w:val="19"/>
          <w:lang w:val="en-US"/>
        </w:rPr>
      </w:pPr>
      <w:r w:rsidRPr="009057C8">
        <w:rPr>
          <w:rFonts w:ascii="Times New Roman" w:hAnsi="Times New Roman"/>
          <w:i/>
          <w:szCs w:val="19"/>
          <w:lang w:val="en-US"/>
        </w:rPr>
        <w:t xml:space="preserve">Banking Act 1959, </w:t>
      </w:r>
      <w:r w:rsidRPr="009057C8">
        <w:rPr>
          <w:rFonts w:ascii="Times New Roman" w:hAnsi="Times New Roman"/>
          <w:szCs w:val="19"/>
          <w:lang w:val="en-US"/>
        </w:rPr>
        <w:t>section 11AF</w:t>
      </w:r>
    </w:p>
    <w:p w14:paraId="05F8A348" w14:textId="77777777" w:rsidR="00605C21" w:rsidRPr="009057C8" w:rsidRDefault="00605C21" w:rsidP="00432312">
      <w:pPr>
        <w:shd w:val="clear" w:color="auto" w:fill="FFFFFF" w:themeFill="background1"/>
        <w:jc w:val="center"/>
        <w:rPr>
          <w:rFonts w:ascii="Times New Roman" w:hAnsi="Times New Roman"/>
          <w:szCs w:val="19"/>
          <w:lang w:val="en-US"/>
        </w:rPr>
      </w:pPr>
      <w:r w:rsidRPr="009057C8">
        <w:rPr>
          <w:rFonts w:ascii="Times New Roman" w:hAnsi="Times New Roman"/>
          <w:i/>
          <w:iCs/>
          <w:color w:val="000000"/>
          <w:szCs w:val="19"/>
        </w:rPr>
        <w:t>Insurance Act 1973</w:t>
      </w:r>
      <w:r w:rsidRPr="009057C8">
        <w:rPr>
          <w:rFonts w:ascii="Times New Roman" w:hAnsi="Times New Roman"/>
          <w:color w:val="000000"/>
          <w:szCs w:val="19"/>
        </w:rPr>
        <w:t>, section 32</w:t>
      </w:r>
    </w:p>
    <w:p w14:paraId="2E9CB42F" w14:textId="77777777" w:rsidR="00605C21" w:rsidRPr="009057C8" w:rsidRDefault="00605C21" w:rsidP="00BD2A89">
      <w:pPr>
        <w:shd w:val="clear" w:color="auto" w:fill="FFFFFF" w:themeFill="background1"/>
        <w:jc w:val="center"/>
        <w:rPr>
          <w:rFonts w:ascii="Times New Roman" w:hAnsi="Times New Roman"/>
          <w:color w:val="000000"/>
          <w:szCs w:val="19"/>
        </w:rPr>
      </w:pPr>
      <w:r w:rsidRPr="009057C8">
        <w:rPr>
          <w:rFonts w:ascii="Times New Roman" w:hAnsi="Times New Roman"/>
          <w:i/>
          <w:iCs/>
          <w:color w:val="000000"/>
          <w:szCs w:val="19"/>
        </w:rPr>
        <w:t>Life Insurance Act 1995</w:t>
      </w:r>
      <w:r w:rsidRPr="009057C8">
        <w:rPr>
          <w:rFonts w:ascii="Times New Roman" w:hAnsi="Times New Roman"/>
          <w:color w:val="000000"/>
          <w:szCs w:val="19"/>
        </w:rPr>
        <w:t>, section 230A</w:t>
      </w:r>
    </w:p>
    <w:p w14:paraId="39C1AAC4" w14:textId="2D10CABC" w:rsidR="00491173" w:rsidRPr="00B8533C" w:rsidRDefault="00491173" w:rsidP="00BD2A89">
      <w:pPr>
        <w:shd w:val="clear" w:color="auto" w:fill="FFFFFF" w:themeFill="background1"/>
        <w:jc w:val="center"/>
        <w:rPr>
          <w:rFonts w:cs="Arial"/>
          <w:szCs w:val="19"/>
          <w:lang w:val="en-US"/>
        </w:rPr>
      </w:pPr>
      <w:r w:rsidRPr="009057C8">
        <w:rPr>
          <w:rFonts w:ascii="Times New Roman" w:hAnsi="Times New Roman"/>
          <w:i/>
          <w:szCs w:val="19"/>
          <w:shd w:val="clear" w:color="auto" w:fill="FFFFFF" w:themeFill="background1"/>
          <w:lang w:val="en-US"/>
        </w:rPr>
        <w:t>Private Health Insurance (Prudential Supervision) Act 2015</w:t>
      </w:r>
      <w:r w:rsidRPr="009057C8">
        <w:rPr>
          <w:rFonts w:ascii="Times New Roman" w:hAnsi="Times New Roman"/>
          <w:szCs w:val="19"/>
          <w:shd w:val="clear" w:color="auto" w:fill="FFFFFF" w:themeFill="background1"/>
          <w:lang w:val="en-US"/>
        </w:rPr>
        <w:t>, section 92</w:t>
      </w:r>
    </w:p>
    <w:p w14:paraId="4CB93D4D" w14:textId="77777777" w:rsidR="00605C21" w:rsidRPr="009057C8" w:rsidRDefault="00605C21" w:rsidP="00BD2A89">
      <w:pPr>
        <w:shd w:val="clear" w:color="auto" w:fill="FFFFFF" w:themeFill="background1"/>
        <w:spacing w:before="100" w:beforeAutospacing="1" w:after="100" w:afterAutospacing="1"/>
        <w:jc w:val="left"/>
        <w:rPr>
          <w:rFonts w:ascii="Times New Roman" w:hAnsi="Times New Roman"/>
          <w:sz w:val="24"/>
          <w:lang w:val="en-US"/>
        </w:rPr>
      </w:pPr>
      <w:bookmarkStart w:id="2" w:name="bkAct"/>
      <w:bookmarkStart w:id="3" w:name="bkExplanatory"/>
      <w:bookmarkEnd w:id="2"/>
      <w:bookmarkEnd w:id="3"/>
      <w:r w:rsidRPr="009057C8">
        <w:rPr>
          <w:rFonts w:ascii="Times New Roman" w:hAnsi="Times New Roman"/>
          <w:sz w:val="24"/>
        </w:rPr>
        <w:t>APRA may, in writing, determine, vary or revoke a prudential standard that applies to an institution regulated by APRA under:</w:t>
      </w:r>
    </w:p>
    <w:p w14:paraId="79717EB9" w14:textId="58301867" w:rsidR="00605C21" w:rsidRPr="009057C8" w:rsidRDefault="00605C21" w:rsidP="00432312">
      <w:pPr>
        <w:shd w:val="clear" w:color="auto" w:fill="FFFFFF" w:themeFill="background1"/>
        <w:spacing w:before="100" w:beforeAutospacing="1" w:after="100" w:afterAutospacing="1"/>
        <w:ind w:left="567" w:hanging="567"/>
        <w:jc w:val="left"/>
        <w:rPr>
          <w:rFonts w:ascii="Times New Roman" w:hAnsi="Times New Roman"/>
          <w:sz w:val="24"/>
          <w:lang w:val="en-US"/>
        </w:rPr>
      </w:pPr>
      <w:r w:rsidRPr="009057C8">
        <w:rPr>
          <w:rFonts w:ascii="Times New Roman" w:hAnsi="Times New Roman"/>
          <w:sz w:val="24"/>
        </w:rPr>
        <w:t>(1)</w:t>
      </w:r>
      <w:r w:rsidR="00B33928" w:rsidRPr="009057C8">
        <w:rPr>
          <w:rFonts w:ascii="Times New Roman" w:hAnsi="Times New Roman"/>
          <w:sz w:val="24"/>
        </w:rPr>
        <w:tab/>
      </w:r>
      <w:r w:rsidRPr="009057C8">
        <w:rPr>
          <w:rFonts w:ascii="Times New Roman" w:hAnsi="Times New Roman"/>
          <w:sz w:val="24"/>
        </w:rPr>
        <w:t xml:space="preserve">subsection 11AF(1) of the </w:t>
      </w:r>
      <w:r w:rsidRPr="009057C8">
        <w:rPr>
          <w:rFonts w:ascii="Times New Roman" w:hAnsi="Times New Roman"/>
          <w:i/>
          <w:iCs/>
          <w:sz w:val="24"/>
        </w:rPr>
        <w:t>Banking Act 1959</w:t>
      </w:r>
      <w:r w:rsidRPr="009057C8">
        <w:rPr>
          <w:rFonts w:ascii="Times New Roman" w:hAnsi="Times New Roman"/>
          <w:sz w:val="24"/>
        </w:rPr>
        <w:t xml:space="preserve"> (Banking Act),  in relation to authorised deposit-taking institutions (ADIs) and authorised non-operating holding companies (authorised banking NOHCs);</w:t>
      </w:r>
    </w:p>
    <w:p w14:paraId="1217718D" w14:textId="5BD1434A" w:rsidR="00605C21" w:rsidRPr="009057C8" w:rsidRDefault="00605C21" w:rsidP="00432312">
      <w:pPr>
        <w:shd w:val="clear" w:color="auto" w:fill="FFFFFF" w:themeFill="background1"/>
        <w:spacing w:before="100" w:beforeAutospacing="1" w:after="100" w:afterAutospacing="1"/>
        <w:ind w:left="567" w:hanging="567"/>
        <w:jc w:val="left"/>
        <w:rPr>
          <w:rFonts w:ascii="Times New Roman" w:hAnsi="Times New Roman"/>
          <w:sz w:val="24"/>
          <w:lang w:val="en-US"/>
        </w:rPr>
      </w:pPr>
      <w:r w:rsidRPr="009057C8">
        <w:rPr>
          <w:rFonts w:ascii="Times New Roman" w:hAnsi="Times New Roman"/>
          <w:sz w:val="24"/>
        </w:rPr>
        <w:t>(2)</w:t>
      </w:r>
      <w:r w:rsidR="00B33928" w:rsidRPr="009057C8">
        <w:rPr>
          <w:rFonts w:ascii="Times New Roman" w:hAnsi="Times New Roman"/>
          <w:sz w:val="24"/>
        </w:rPr>
        <w:tab/>
      </w:r>
      <w:r w:rsidRPr="009057C8">
        <w:rPr>
          <w:rFonts w:ascii="Times New Roman" w:hAnsi="Times New Roman"/>
          <w:sz w:val="24"/>
        </w:rPr>
        <w:t xml:space="preserve">subsection 32(1) of the </w:t>
      </w:r>
      <w:r w:rsidRPr="009057C8">
        <w:rPr>
          <w:rFonts w:ascii="Times New Roman" w:hAnsi="Times New Roman"/>
          <w:i/>
          <w:iCs/>
          <w:sz w:val="24"/>
        </w:rPr>
        <w:t>Insurance Act 1973</w:t>
      </w:r>
      <w:r w:rsidRPr="009057C8">
        <w:rPr>
          <w:rFonts w:ascii="Times New Roman" w:hAnsi="Times New Roman"/>
          <w:sz w:val="24"/>
        </w:rPr>
        <w:t xml:space="preserve"> (Insurance Act), in relation to general insurers, authorised non-operating holding companies (authorised insurance NOHCs), and subsidiaries of general insurers and authorised insurance NOHCs; and</w:t>
      </w:r>
    </w:p>
    <w:p w14:paraId="04CE04E4" w14:textId="0564FFCB" w:rsidR="00491173" w:rsidRPr="009057C8" w:rsidRDefault="00605C21" w:rsidP="00432312">
      <w:pPr>
        <w:shd w:val="clear" w:color="auto" w:fill="FFFFFF" w:themeFill="background1"/>
        <w:spacing w:before="100" w:beforeAutospacing="1" w:after="100" w:afterAutospacing="1"/>
        <w:ind w:left="567" w:hanging="567"/>
        <w:jc w:val="left"/>
        <w:rPr>
          <w:rFonts w:ascii="Times New Roman" w:hAnsi="Times New Roman"/>
          <w:sz w:val="24"/>
        </w:rPr>
      </w:pPr>
      <w:r w:rsidRPr="009057C8">
        <w:rPr>
          <w:rFonts w:ascii="Times New Roman" w:hAnsi="Times New Roman"/>
          <w:sz w:val="24"/>
        </w:rPr>
        <w:t>(3)</w:t>
      </w:r>
      <w:r w:rsidR="00B33928" w:rsidRPr="009057C8">
        <w:rPr>
          <w:rFonts w:ascii="Times New Roman" w:hAnsi="Times New Roman"/>
          <w:sz w:val="24"/>
        </w:rPr>
        <w:tab/>
      </w:r>
      <w:r w:rsidRPr="009057C8">
        <w:rPr>
          <w:rFonts w:ascii="Times New Roman" w:hAnsi="Times New Roman"/>
          <w:sz w:val="24"/>
        </w:rPr>
        <w:t xml:space="preserve">subsection 230A(1) of the </w:t>
      </w:r>
      <w:r w:rsidRPr="009057C8">
        <w:rPr>
          <w:rFonts w:ascii="Times New Roman" w:hAnsi="Times New Roman"/>
          <w:i/>
          <w:iCs/>
          <w:sz w:val="24"/>
        </w:rPr>
        <w:t>Life Insurance Act 1995</w:t>
      </w:r>
      <w:r w:rsidRPr="009057C8">
        <w:rPr>
          <w:rFonts w:ascii="Times New Roman" w:hAnsi="Times New Roman"/>
          <w:sz w:val="24"/>
        </w:rPr>
        <w:t xml:space="preserve"> (Life Insurance Act), in relation to life companies, friendly societies, registered non-operating holding companies (registered life NOHCs), and subsidiaries of life companies and registered life NOHCs</w:t>
      </w:r>
      <w:r w:rsidR="00491173" w:rsidRPr="009057C8">
        <w:rPr>
          <w:rFonts w:ascii="Times New Roman" w:hAnsi="Times New Roman"/>
          <w:sz w:val="24"/>
        </w:rPr>
        <w:t>; and</w:t>
      </w:r>
    </w:p>
    <w:p w14:paraId="286BE8E5" w14:textId="74D3910E" w:rsidR="00605C21" w:rsidRPr="009057C8" w:rsidRDefault="00491173" w:rsidP="00432312">
      <w:pPr>
        <w:shd w:val="clear" w:color="auto" w:fill="FFFFFF" w:themeFill="background1"/>
        <w:spacing w:before="100" w:beforeAutospacing="1" w:after="100" w:afterAutospacing="1"/>
        <w:ind w:left="567" w:hanging="567"/>
        <w:jc w:val="left"/>
        <w:rPr>
          <w:rFonts w:ascii="Times New Roman" w:hAnsi="Times New Roman"/>
          <w:sz w:val="24"/>
          <w:lang w:val="en-US"/>
        </w:rPr>
      </w:pPr>
      <w:r w:rsidRPr="009057C8">
        <w:rPr>
          <w:rFonts w:ascii="Times New Roman" w:hAnsi="Times New Roman"/>
          <w:sz w:val="24"/>
          <w:shd w:val="clear" w:color="auto" w:fill="FFFFFF" w:themeFill="background1"/>
        </w:rPr>
        <w:t xml:space="preserve">(4) </w:t>
      </w:r>
      <w:r w:rsidR="00B33928" w:rsidRPr="009057C8">
        <w:rPr>
          <w:rFonts w:ascii="Times New Roman" w:hAnsi="Times New Roman"/>
          <w:sz w:val="24"/>
          <w:shd w:val="clear" w:color="auto" w:fill="FFFFFF" w:themeFill="background1"/>
        </w:rPr>
        <w:tab/>
      </w:r>
      <w:r w:rsidRPr="009057C8">
        <w:rPr>
          <w:rFonts w:ascii="Times New Roman" w:hAnsi="Times New Roman"/>
          <w:sz w:val="24"/>
          <w:shd w:val="clear" w:color="auto" w:fill="FFFFFF" w:themeFill="background1"/>
        </w:rPr>
        <w:t>s</w:t>
      </w:r>
      <w:r w:rsidR="000F6B30">
        <w:rPr>
          <w:rFonts w:ascii="Times New Roman" w:hAnsi="Times New Roman"/>
          <w:sz w:val="24"/>
          <w:shd w:val="clear" w:color="auto" w:fill="FFFFFF" w:themeFill="background1"/>
        </w:rPr>
        <w:t>ubs</w:t>
      </w:r>
      <w:r w:rsidRPr="009057C8">
        <w:rPr>
          <w:rFonts w:ascii="Times New Roman" w:hAnsi="Times New Roman"/>
          <w:sz w:val="24"/>
          <w:shd w:val="clear" w:color="auto" w:fill="FFFFFF" w:themeFill="background1"/>
        </w:rPr>
        <w:t>ection 92</w:t>
      </w:r>
      <w:r w:rsidR="00EC030E">
        <w:rPr>
          <w:rFonts w:ascii="Times New Roman" w:hAnsi="Times New Roman"/>
          <w:sz w:val="24"/>
          <w:shd w:val="clear" w:color="auto" w:fill="FFFFFF" w:themeFill="background1"/>
        </w:rPr>
        <w:t>(1)</w:t>
      </w:r>
      <w:r w:rsidRPr="009057C8">
        <w:rPr>
          <w:rFonts w:ascii="Times New Roman" w:hAnsi="Times New Roman"/>
          <w:sz w:val="24"/>
          <w:shd w:val="clear" w:color="auto" w:fill="FFFFFF" w:themeFill="background1"/>
        </w:rPr>
        <w:t xml:space="preserve"> of the </w:t>
      </w:r>
      <w:r w:rsidRPr="009057C8">
        <w:rPr>
          <w:rFonts w:ascii="Times New Roman" w:hAnsi="Times New Roman"/>
          <w:i/>
          <w:iCs/>
          <w:sz w:val="24"/>
          <w:shd w:val="clear" w:color="auto" w:fill="FFFFFF" w:themeFill="background1"/>
        </w:rPr>
        <w:t>Private Health Insurance (Prudential Supervision) Act 2015</w:t>
      </w:r>
      <w:r w:rsidR="00605C21" w:rsidRPr="009057C8">
        <w:rPr>
          <w:rFonts w:ascii="Times New Roman" w:hAnsi="Times New Roman"/>
          <w:sz w:val="24"/>
          <w:shd w:val="clear" w:color="auto" w:fill="FFFFFF" w:themeFill="background1"/>
        </w:rPr>
        <w:t xml:space="preserve"> </w:t>
      </w:r>
      <w:r w:rsidRPr="009057C8">
        <w:rPr>
          <w:rFonts w:ascii="Times New Roman" w:hAnsi="Times New Roman"/>
          <w:sz w:val="24"/>
          <w:shd w:val="clear" w:color="auto" w:fill="FFFFFF" w:themeFill="background1"/>
        </w:rPr>
        <w:t>(PHI Act), in relation to registered private health insurers</w:t>
      </w:r>
      <w:r w:rsidRPr="009057C8">
        <w:rPr>
          <w:rFonts w:ascii="Times New Roman" w:hAnsi="Times New Roman"/>
          <w:sz w:val="24"/>
        </w:rPr>
        <w:t xml:space="preserve">. </w:t>
      </w:r>
    </w:p>
    <w:p w14:paraId="4ED25549" w14:textId="1BB7C930" w:rsidR="00605C21" w:rsidRPr="009057C8" w:rsidRDefault="00605C21" w:rsidP="00432312">
      <w:pPr>
        <w:shd w:val="clear" w:color="auto" w:fill="FFFFFF" w:themeFill="background1"/>
        <w:spacing w:before="100" w:beforeAutospacing="1" w:after="100" w:afterAutospacing="1"/>
        <w:jc w:val="left"/>
        <w:rPr>
          <w:rFonts w:ascii="Times New Roman" w:hAnsi="Times New Roman"/>
          <w:sz w:val="24"/>
          <w:lang w:val="en-US"/>
        </w:rPr>
      </w:pPr>
      <w:r w:rsidRPr="0023776E">
        <w:rPr>
          <w:rFonts w:ascii="Times New Roman" w:hAnsi="Times New Roman"/>
          <w:sz w:val="24"/>
        </w:rPr>
        <w:t xml:space="preserve">On </w:t>
      </w:r>
      <w:r w:rsidR="0023776E" w:rsidRPr="0023776E">
        <w:rPr>
          <w:rFonts w:ascii="Times New Roman" w:hAnsi="Times New Roman"/>
          <w:sz w:val="24"/>
        </w:rPr>
        <w:t>26</w:t>
      </w:r>
      <w:r w:rsidR="00491173" w:rsidRPr="0023776E">
        <w:rPr>
          <w:rFonts w:ascii="Times New Roman" w:hAnsi="Times New Roman"/>
          <w:sz w:val="24"/>
        </w:rPr>
        <w:t xml:space="preserve"> July 2017</w:t>
      </w:r>
      <w:r w:rsidRPr="0023776E">
        <w:rPr>
          <w:rFonts w:ascii="Times New Roman" w:hAnsi="Times New Roman"/>
          <w:sz w:val="24"/>
        </w:rPr>
        <w:t>,</w:t>
      </w:r>
      <w:r w:rsidRPr="009057C8">
        <w:rPr>
          <w:rFonts w:ascii="Times New Roman" w:hAnsi="Times New Roman"/>
          <w:sz w:val="24"/>
        </w:rPr>
        <w:t xml:space="preserve"> APRA made the follo</w:t>
      </w:r>
      <w:r w:rsidR="00491173" w:rsidRPr="009057C8">
        <w:rPr>
          <w:rFonts w:ascii="Times New Roman" w:hAnsi="Times New Roman"/>
          <w:sz w:val="24"/>
        </w:rPr>
        <w:t>wing</w:t>
      </w:r>
      <w:r w:rsidR="00491173" w:rsidRPr="009057C8">
        <w:rPr>
          <w:rFonts w:ascii="Times New Roman" w:hAnsi="Times New Roman"/>
          <w:sz w:val="24"/>
          <w:shd w:val="clear" w:color="auto" w:fill="FFFFFF" w:themeFill="background1"/>
        </w:rPr>
        <w:t xml:space="preserve"> determination</w:t>
      </w:r>
      <w:r w:rsidR="00491173" w:rsidRPr="009057C8">
        <w:rPr>
          <w:rFonts w:ascii="Times New Roman" w:hAnsi="Times New Roman"/>
          <w:sz w:val="24"/>
        </w:rPr>
        <w:t xml:space="preserve"> (the instrument</w:t>
      </w:r>
      <w:r w:rsidRPr="009057C8">
        <w:rPr>
          <w:rFonts w:ascii="Times New Roman" w:hAnsi="Times New Roman"/>
          <w:sz w:val="24"/>
        </w:rPr>
        <w:t>):</w:t>
      </w:r>
    </w:p>
    <w:p w14:paraId="1FD0C6B6" w14:textId="278C0A7C" w:rsidR="00605C21" w:rsidRPr="009057C8" w:rsidRDefault="00605C21" w:rsidP="00074C6B">
      <w:pPr>
        <w:shd w:val="clear" w:color="auto" w:fill="FFFFFF" w:themeFill="background1"/>
        <w:spacing w:before="100" w:beforeAutospacing="1" w:after="100" w:afterAutospacing="1"/>
        <w:ind w:left="567"/>
        <w:jc w:val="left"/>
        <w:rPr>
          <w:rFonts w:ascii="Times New Roman" w:hAnsi="Times New Roman"/>
          <w:sz w:val="24"/>
          <w:lang w:val="en-US"/>
        </w:rPr>
      </w:pPr>
      <w:r w:rsidRPr="009057C8">
        <w:rPr>
          <w:rFonts w:ascii="Times New Roman" w:hAnsi="Times New Roman"/>
          <w:sz w:val="24"/>
        </w:rPr>
        <w:lastRenderedPageBreak/>
        <w:t>Banking</w:t>
      </w:r>
      <w:r w:rsidRPr="009057C8">
        <w:rPr>
          <w:rFonts w:ascii="Times New Roman" w:hAnsi="Times New Roman"/>
          <w:sz w:val="24"/>
          <w:lang w:val="en-US"/>
        </w:rPr>
        <w:t>, Insurance</w:t>
      </w:r>
      <w:r w:rsidR="00432312" w:rsidRPr="009057C8">
        <w:rPr>
          <w:rFonts w:ascii="Times New Roman" w:hAnsi="Times New Roman"/>
          <w:sz w:val="24"/>
          <w:lang w:val="en-US"/>
        </w:rPr>
        <w:t>,</w:t>
      </w:r>
      <w:r w:rsidRPr="009057C8">
        <w:rPr>
          <w:rFonts w:ascii="Times New Roman" w:hAnsi="Times New Roman"/>
          <w:sz w:val="24"/>
          <w:lang w:val="en-US"/>
        </w:rPr>
        <w:t xml:space="preserve"> Life Insurance </w:t>
      </w:r>
      <w:r w:rsidR="00432312" w:rsidRPr="009057C8">
        <w:rPr>
          <w:rFonts w:ascii="Times New Roman" w:hAnsi="Times New Roman"/>
          <w:sz w:val="24"/>
          <w:lang w:val="en-US"/>
        </w:rPr>
        <w:t xml:space="preserve">and Health Insurance </w:t>
      </w:r>
      <w:r w:rsidRPr="009057C8">
        <w:rPr>
          <w:rFonts w:ascii="Times New Roman" w:hAnsi="Times New Roman"/>
          <w:sz w:val="24"/>
          <w:lang w:val="en-US"/>
        </w:rPr>
        <w:t xml:space="preserve">(prudential standards) determination </w:t>
      </w:r>
      <w:r w:rsidRPr="0023776E">
        <w:rPr>
          <w:rFonts w:ascii="Times New Roman" w:hAnsi="Times New Roman"/>
          <w:sz w:val="24"/>
          <w:lang w:val="en-US"/>
        </w:rPr>
        <w:t xml:space="preserve">No. </w:t>
      </w:r>
      <w:r w:rsidR="00245562" w:rsidRPr="0023776E">
        <w:rPr>
          <w:rFonts w:ascii="Times New Roman" w:hAnsi="Times New Roman"/>
          <w:sz w:val="24"/>
          <w:lang w:val="en-US"/>
        </w:rPr>
        <w:t>1</w:t>
      </w:r>
      <w:r w:rsidRPr="0023776E">
        <w:rPr>
          <w:rFonts w:ascii="Times New Roman" w:hAnsi="Times New Roman"/>
          <w:sz w:val="24"/>
          <w:lang w:val="en-US"/>
        </w:rPr>
        <w:t xml:space="preserve"> of 201</w:t>
      </w:r>
      <w:r w:rsidR="00432312" w:rsidRPr="0023776E">
        <w:rPr>
          <w:rFonts w:ascii="Times New Roman" w:hAnsi="Times New Roman"/>
          <w:sz w:val="24"/>
          <w:lang w:val="en-US"/>
        </w:rPr>
        <w:t>7</w:t>
      </w:r>
      <w:r w:rsidRPr="0023776E">
        <w:rPr>
          <w:rFonts w:ascii="Times New Roman" w:hAnsi="Times New Roman"/>
          <w:sz w:val="24"/>
          <w:lang w:val="en-US"/>
        </w:rPr>
        <w:t>,</w:t>
      </w:r>
      <w:r w:rsidR="00432312" w:rsidRPr="009057C8">
        <w:rPr>
          <w:rFonts w:ascii="Times New Roman" w:hAnsi="Times New Roman"/>
          <w:sz w:val="24"/>
          <w:lang w:val="en-US"/>
        </w:rPr>
        <w:t xml:space="preserve"> which </w:t>
      </w:r>
      <w:r w:rsidRPr="009057C8">
        <w:rPr>
          <w:rFonts w:ascii="Times New Roman" w:hAnsi="Times New Roman"/>
          <w:sz w:val="24"/>
          <w:shd w:val="clear" w:color="auto" w:fill="FFFFFF" w:themeFill="background1"/>
        </w:rPr>
        <w:t>revokes</w:t>
      </w:r>
      <w:r w:rsidRPr="009057C8">
        <w:rPr>
          <w:rFonts w:ascii="Times New Roman" w:hAnsi="Times New Roman"/>
          <w:sz w:val="24"/>
        </w:rPr>
        <w:t xml:space="preserve"> </w:t>
      </w:r>
      <w:r w:rsidRPr="009057C8">
        <w:rPr>
          <w:rFonts w:ascii="Times New Roman" w:hAnsi="Times New Roman"/>
          <w:i/>
          <w:iCs/>
          <w:sz w:val="24"/>
        </w:rPr>
        <w:t>Prudential Standard</w:t>
      </w:r>
      <w:r w:rsidRPr="009057C8">
        <w:rPr>
          <w:rFonts w:ascii="Times New Roman" w:hAnsi="Times New Roman"/>
          <w:sz w:val="24"/>
        </w:rPr>
        <w:t xml:space="preserve"> </w:t>
      </w:r>
      <w:r w:rsidRPr="009057C8">
        <w:rPr>
          <w:rFonts w:ascii="Times New Roman" w:hAnsi="Times New Roman"/>
          <w:i/>
          <w:iCs/>
          <w:sz w:val="24"/>
          <w:lang w:val="en-US"/>
        </w:rPr>
        <w:t xml:space="preserve">CPS 220 Risk Management </w:t>
      </w:r>
      <w:r w:rsidRPr="009057C8">
        <w:rPr>
          <w:rFonts w:ascii="Times New Roman" w:hAnsi="Times New Roman"/>
          <w:sz w:val="24"/>
          <w:lang w:val="en-US"/>
        </w:rPr>
        <w:t xml:space="preserve">(CPS 220) </w:t>
      </w:r>
      <w:r w:rsidRPr="009057C8">
        <w:rPr>
          <w:rFonts w:ascii="Times New Roman" w:hAnsi="Times New Roman"/>
          <w:sz w:val="24"/>
        </w:rPr>
        <w:t xml:space="preserve">made under Banking, Insurance </w:t>
      </w:r>
      <w:r w:rsidR="006F04E3" w:rsidRPr="009057C8">
        <w:rPr>
          <w:rFonts w:ascii="Times New Roman" w:hAnsi="Times New Roman"/>
          <w:sz w:val="24"/>
        </w:rPr>
        <w:t xml:space="preserve">and </w:t>
      </w:r>
      <w:r w:rsidRPr="009057C8">
        <w:rPr>
          <w:rFonts w:ascii="Times New Roman" w:hAnsi="Times New Roman"/>
          <w:sz w:val="24"/>
        </w:rPr>
        <w:t xml:space="preserve">Life Insurance (prudential standard) determination No. </w:t>
      </w:r>
      <w:r w:rsidR="00432312" w:rsidRPr="009057C8">
        <w:rPr>
          <w:rFonts w:ascii="Times New Roman" w:hAnsi="Times New Roman"/>
          <w:sz w:val="24"/>
        </w:rPr>
        <w:t>5</w:t>
      </w:r>
      <w:r w:rsidRPr="009057C8">
        <w:rPr>
          <w:rFonts w:ascii="Times New Roman" w:hAnsi="Times New Roman"/>
          <w:sz w:val="24"/>
        </w:rPr>
        <w:t xml:space="preserve"> of 201</w:t>
      </w:r>
      <w:r w:rsidR="00432312" w:rsidRPr="009057C8">
        <w:rPr>
          <w:rFonts w:ascii="Times New Roman" w:hAnsi="Times New Roman"/>
          <w:sz w:val="24"/>
        </w:rPr>
        <w:t>6</w:t>
      </w:r>
      <w:r w:rsidRPr="009057C8">
        <w:rPr>
          <w:rFonts w:ascii="Times New Roman" w:hAnsi="Times New Roman"/>
          <w:sz w:val="24"/>
        </w:rPr>
        <w:t xml:space="preserve">, and determines a </w:t>
      </w:r>
      <w:r w:rsidRPr="009057C8">
        <w:rPr>
          <w:rFonts w:ascii="Times New Roman" w:hAnsi="Times New Roman"/>
          <w:sz w:val="24"/>
          <w:shd w:val="clear" w:color="auto" w:fill="FFFFFF" w:themeFill="background1"/>
        </w:rPr>
        <w:t>new</w:t>
      </w:r>
      <w:r w:rsidRPr="009057C8">
        <w:rPr>
          <w:rFonts w:ascii="Times New Roman" w:hAnsi="Times New Roman"/>
          <w:i/>
          <w:iCs/>
          <w:sz w:val="24"/>
        </w:rPr>
        <w:t xml:space="preserve"> Prudential Standard CPS 220 Risk Management </w:t>
      </w:r>
      <w:r w:rsidRPr="009057C8">
        <w:rPr>
          <w:rFonts w:ascii="Times New Roman" w:hAnsi="Times New Roman"/>
          <w:iCs/>
          <w:sz w:val="24"/>
        </w:rPr>
        <w:t>(</w:t>
      </w:r>
      <w:r w:rsidRPr="009057C8">
        <w:rPr>
          <w:rFonts w:ascii="Times New Roman" w:hAnsi="Times New Roman"/>
          <w:sz w:val="24"/>
        </w:rPr>
        <w:t>CPS 220</w:t>
      </w:r>
      <w:r w:rsidRPr="009057C8">
        <w:rPr>
          <w:rFonts w:ascii="Times New Roman" w:hAnsi="Times New Roman"/>
          <w:iCs/>
          <w:sz w:val="24"/>
        </w:rPr>
        <w:t>)</w:t>
      </w:r>
      <w:r w:rsidR="00CD2F77" w:rsidRPr="009057C8">
        <w:rPr>
          <w:rFonts w:ascii="Times New Roman" w:hAnsi="Times New Roman"/>
          <w:sz w:val="24"/>
        </w:rPr>
        <w:t>.</w:t>
      </w:r>
      <w:r w:rsidRPr="009057C8">
        <w:rPr>
          <w:rFonts w:ascii="Times New Roman" w:hAnsi="Times New Roman"/>
          <w:sz w:val="24"/>
        </w:rPr>
        <w:t xml:space="preserve"> </w:t>
      </w:r>
    </w:p>
    <w:p w14:paraId="2E4409AE" w14:textId="67EBE90F" w:rsidR="00605C21" w:rsidRPr="009057C8" w:rsidRDefault="00605C21" w:rsidP="00432312">
      <w:pPr>
        <w:shd w:val="clear" w:color="auto" w:fill="FFFFFF" w:themeFill="background1"/>
        <w:spacing w:before="100" w:beforeAutospacing="1" w:after="100" w:afterAutospacing="1"/>
        <w:jc w:val="left"/>
        <w:rPr>
          <w:rFonts w:ascii="Times New Roman" w:hAnsi="Times New Roman"/>
          <w:sz w:val="24"/>
          <w:lang w:val="en-US"/>
        </w:rPr>
      </w:pPr>
      <w:r w:rsidRPr="009057C8">
        <w:rPr>
          <w:rFonts w:ascii="Times New Roman" w:hAnsi="Times New Roman"/>
          <w:sz w:val="24"/>
        </w:rPr>
        <w:t>The instrument commence</w:t>
      </w:r>
      <w:r w:rsidR="00EC030E">
        <w:rPr>
          <w:rFonts w:ascii="Times New Roman" w:hAnsi="Times New Roman"/>
          <w:sz w:val="24"/>
        </w:rPr>
        <w:t>s</w:t>
      </w:r>
      <w:r w:rsidRPr="009057C8">
        <w:rPr>
          <w:rFonts w:ascii="Times New Roman" w:hAnsi="Times New Roman"/>
          <w:sz w:val="24"/>
        </w:rPr>
        <w:t xml:space="preserve"> on 1 </w:t>
      </w:r>
      <w:r w:rsidR="00432312" w:rsidRPr="009057C8">
        <w:rPr>
          <w:rFonts w:ascii="Times New Roman" w:hAnsi="Times New Roman"/>
          <w:sz w:val="24"/>
        </w:rPr>
        <w:t>April</w:t>
      </w:r>
      <w:r w:rsidRPr="009057C8">
        <w:rPr>
          <w:rFonts w:ascii="Times New Roman" w:hAnsi="Times New Roman"/>
          <w:sz w:val="24"/>
        </w:rPr>
        <w:t xml:space="preserve"> 201</w:t>
      </w:r>
      <w:r w:rsidR="00432312" w:rsidRPr="009057C8">
        <w:rPr>
          <w:rFonts w:ascii="Times New Roman" w:hAnsi="Times New Roman"/>
          <w:sz w:val="24"/>
        </w:rPr>
        <w:t>8</w:t>
      </w:r>
      <w:r w:rsidRPr="009057C8">
        <w:rPr>
          <w:rFonts w:ascii="Times New Roman" w:hAnsi="Times New Roman"/>
          <w:sz w:val="24"/>
        </w:rPr>
        <w:t xml:space="preserve">.   </w:t>
      </w:r>
    </w:p>
    <w:p w14:paraId="65893190" w14:textId="77777777" w:rsidR="00A37E1D" w:rsidRPr="009057C8" w:rsidRDefault="00A37E1D" w:rsidP="00074C6B">
      <w:pPr>
        <w:pStyle w:val="BULLET1"/>
        <w:numPr>
          <w:ilvl w:val="0"/>
          <w:numId w:val="17"/>
        </w:numPr>
        <w:shd w:val="clear" w:color="auto" w:fill="FFFFFF" w:themeFill="background1"/>
        <w:rPr>
          <w:rFonts w:ascii="Times New Roman" w:hAnsi="Times New Roman" w:cs="Times New Roman"/>
          <w:b/>
          <w:sz w:val="24"/>
          <w:szCs w:val="24"/>
        </w:rPr>
      </w:pPr>
      <w:r w:rsidRPr="009057C8">
        <w:rPr>
          <w:rFonts w:ascii="Times New Roman" w:hAnsi="Times New Roman" w:cs="Times New Roman"/>
          <w:b/>
          <w:sz w:val="24"/>
          <w:szCs w:val="24"/>
        </w:rPr>
        <w:t>Background</w:t>
      </w:r>
    </w:p>
    <w:p w14:paraId="11E8B340" w14:textId="77777777" w:rsidR="000E4B3B" w:rsidRPr="009057C8" w:rsidRDefault="000E4B3B" w:rsidP="000E4B3B">
      <w:pPr>
        <w:widowControl w:val="0"/>
        <w:rPr>
          <w:rFonts w:ascii="Times New Roman" w:hAnsi="Times New Roman"/>
          <w:sz w:val="24"/>
        </w:rPr>
      </w:pPr>
      <w:r w:rsidRPr="009057C8">
        <w:rPr>
          <w:rFonts w:ascii="Times New Roman" w:hAnsi="Times New Roman"/>
          <w:sz w:val="24"/>
        </w:rPr>
        <w:t xml:space="preserve">APRA’s mandate is to ensure the safety and soundness of prudentially regulated financial institutions so that they can meet their financial promises to depositors, policyholders and fund members within a stable, efficient and competitive financial system. </w:t>
      </w:r>
    </w:p>
    <w:p w14:paraId="273150D4" w14:textId="77EBF2EF" w:rsidR="000E4B3B" w:rsidRPr="009057C8" w:rsidRDefault="000E4B3B" w:rsidP="000E4B3B">
      <w:pPr>
        <w:rPr>
          <w:rFonts w:ascii="Times New Roman" w:hAnsi="Times New Roman"/>
          <w:sz w:val="24"/>
        </w:rPr>
      </w:pPr>
      <w:r w:rsidRPr="009057C8">
        <w:rPr>
          <w:rFonts w:ascii="Times New Roman" w:hAnsi="Times New Roman"/>
          <w:sz w:val="24"/>
        </w:rPr>
        <w:t xml:space="preserve">APRA carries out this mandate through a multi-layered prudential framework that encompasses licensing and supervision of institutions. APRA is empowered under the </w:t>
      </w:r>
      <w:r w:rsidR="00AA6B32" w:rsidRPr="009057C8">
        <w:rPr>
          <w:rFonts w:ascii="Times New Roman" w:hAnsi="Times New Roman"/>
          <w:sz w:val="24"/>
        </w:rPr>
        <w:t xml:space="preserve">Banking Act, the Insurance Act, the Life Insurance </w:t>
      </w:r>
      <w:r w:rsidRPr="009057C8">
        <w:rPr>
          <w:rFonts w:ascii="Times New Roman" w:hAnsi="Times New Roman"/>
          <w:sz w:val="24"/>
        </w:rPr>
        <w:t>Act</w:t>
      </w:r>
      <w:r w:rsidR="00AA6B32" w:rsidRPr="009057C8">
        <w:rPr>
          <w:rFonts w:ascii="Times New Roman" w:hAnsi="Times New Roman"/>
          <w:sz w:val="24"/>
        </w:rPr>
        <w:t xml:space="preserve"> and the PHI Act </w:t>
      </w:r>
      <w:r w:rsidRPr="009057C8">
        <w:rPr>
          <w:rFonts w:ascii="Times New Roman" w:hAnsi="Times New Roman"/>
          <w:sz w:val="24"/>
        </w:rPr>
        <w:t xml:space="preserve">to issue legally binding prudential standards that set out specific prudential requirements </w:t>
      </w:r>
      <w:r w:rsidR="007E3A1E" w:rsidRPr="009057C8">
        <w:rPr>
          <w:rFonts w:ascii="Times New Roman" w:hAnsi="Times New Roman"/>
          <w:sz w:val="24"/>
        </w:rPr>
        <w:t xml:space="preserve">with </w:t>
      </w:r>
      <w:r w:rsidRPr="009057C8">
        <w:rPr>
          <w:rFonts w:ascii="Times New Roman" w:hAnsi="Times New Roman"/>
          <w:sz w:val="24"/>
        </w:rPr>
        <w:t xml:space="preserve">which </w:t>
      </w:r>
      <w:r w:rsidR="00AA6B32" w:rsidRPr="009057C8">
        <w:rPr>
          <w:rFonts w:ascii="Times New Roman" w:hAnsi="Times New Roman"/>
          <w:sz w:val="24"/>
        </w:rPr>
        <w:t xml:space="preserve">APRA-regulated institutions in each industry </w:t>
      </w:r>
      <w:r w:rsidRPr="009057C8">
        <w:rPr>
          <w:rFonts w:ascii="Times New Roman" w:hAnsi="Times New Roman"/>
          <w:sz w:val="24"/>
        </w:rPr>
        <w:t>must comply. These standards are supported by prudential practice guides which clarify APRA’s expectations with regard to prudential requirements.</w:t>
      </w:r>
    </w:p>
    <w:p w14:paraId="29F69FCC" w14:textId="77777777" w:rsidR="000E4B3B" w:rsidRPr="009057C8" w:rsidRDefault="000E4B3B" w:rsidP="000E4B3B">
      <w:pPr>
        <w:rPr>
          <w:rFonts w:ascii="Times New Roman" w:hAnsi="Times New Roman"/>
          <w:sz w:val="24"/>
        </w:rPr>
      </w:pPr>
      <w:r w:rsidRPr="009057C8">
        <w:rPr>
          <w:rFonts w:ascii="Times New Roman" w:hAnsi="Times New Roman"/>
          <w:sz w:val="24"/>
        </w:rPr>
        <w:t>APRA regularly reviews its regulatory regime and amends its prudential requirements as a result of a number of factors including:</w:t>
      </w:r>
    </w:p>
    <w:p w14:paraId="755D1339" w14:textId="77777777" w:rsidR="000E4B3B" w:rsidRPr="009057C8" w:rsidRDefault="000E4B3B" w:rsidP="00FA3F0E">
      <w:pPr>
        <w:numPr>
          <w:ilvl w:val="0"/>
          <w:numId w:val="19"/>
        </w:numPr>
        <w:ind w:left="709" w:hanging="283"/>
        <w:contextualSpacing/>
        <w:rPr>
          <w:rFonts w:ascii="Times New Roman" w:hAnsi="Times New Roman"/>
          <w:sz w:val="24"/>
        </w:rPr>
      </w:pPr>
      <w:r w:rsidRPr="009057C8">
        <w:rPr>
          <w:rFonts w:ascii="Times New Roman" w:hAnsi="Times New Roman"/>
          <w:sz w:val="24"/>
        </w:rPr>
        <w:t>international developments;</w:t>
      </w:r>
    </w:p>
    <w:p w14:paraId="2EA1A3CA" w14:textId="77777777" w:rsidR="007E3A1E" w:rsidRPr="009057C8" w:rsidRDefault="000E4B3B" w:rsidP="00FA3F0E">
      <w:pPr>
        <w:numPr>
          <w:ilvl w:val="0"/>
          <w:numId w:val="19"/>
        </w:numPr>
        <w:ind w:left="709" w:hanging="283"/>
        <w:contextualSpacing/>
        <w:rPr>
          <w:rFonts w:ascii="Times New Roman" w:hAnsi="Times New Roman"/>
          <w:sz w:val="24"/>
        </w:rPr>
      </w:pPr>
      <w:r w:rsidRPr="009057C8">
        <w:rPr>
          <w:rFonts w:ascii="Times New Roman" w:hAnsi="Times New Roman"/>
          <w:sz w:val="24"/>
        </w:rPr>
        <w:t>changes</w:t>
      </w:r>
      <w:r w:rsidR="007E3A1E" w:rsidRPr="009057C8">
        <w:rPr>
          <w:rFonts w:ascii="Times New Roman" w:hAnsi="Times New Roman"/>
          <w:sz w:val="24"/>
        </w:rPr>
        <w:t xml:space="preserve"> in financial market conditions;</w:t>
      </w:r>
    </w:p>
    <w:p w14:paraId="0EB761CE" w14:textId="0A1542BE" w:rsidR="000E4B3B" w:rsidRPr="009057C8" w:rsidRDefault="000E4B3B" w:rsidP="00FA3F0E">
      <w:pPr>
        <w:numPr>
          <w:ilvl w:val="0"/>
          <w:numId w:val="19"/>
        </w:numPr>
        <w:ind w:left="709" w:hanging="283"/>
        <w:contextualSpacing/>
        <w:rPr>
          <w:rFonts w:ascii="Times New Roman" w:hAnsi="Times New Roman"/>
          <w:sz w:val="24"/>
        </w:rPr>
      </w:pPr>
      <w:r w:rsidRPr="009057C8">
        <w:rPr>
          <w:rFonts w:ascii="Times New Roman" w:hAnsi="Times New Roman"/>
          <w:sz w:val="24"/>
        </w:rPr>
        <w:t>changes in risk management practices, in response to identified weaknesses in the prudential framework; and</w:t>
      </w:r>
    </w:p>
    <w:p w14:paraId="2C2FC51F" w14:textId="77777777" w:rsidR="000E4B3B" w:rsidRPr="009057C8" w:rsidRDefault="000E4B3B" w:rsidP="00FA3F0E">
      <w:pPr>
        <w:numPr>
          <w:ilvl w:val="0"/>
          <w:numId w:val="19"/>
        </w:numPr>
        <w:ind w:left="709" w:hanging="283"/>
        <w:contextualSpacing/>
        <w:rPr>
          <w:rFonts w:ascii="Times New Roman" w:hAnsi="Times New Roman"/>
          <w:sz w:val="24"/>
        </w:rPr>
      </w:pPr>
      <w:r w:rsidRPr="009057C8">
        <w:rPr>
          <w:rFonts w:ascii="Times New Roman" w:hAnsi="Times New Roman"/>
          <w:sz w:val="24"/>
        </w:rPr>
        <w:t>to reduce potential negative impacts of emerging industry issues.</w:t>
      </w:r>
    </w:p>
    <w:p w14:paraId="3FAA1353" w14:textId="77777777" w:rsidR="000E4B3B" w:rsidRPr="009057C8" w:rsidRDefault="000E4B3B" w:rsidP="000E4B3B">
      <w:pPr>
        <w:spacing w:before="240"/>
        <w:ind w:left="357"/>
        <w:contextualSpacing/>
        <w:rPr>
          <w:rFonts w:ascii="Times New Roman" w:hAnsi="Times New Roman"/>
          <w:sz w:val="24"/>
        </w:rPr>
      </w:pPr>
    </w:p>
    <w:p w14:paraId="51DE2E8F" w14:textId="1CFD0E2C" w:rsidR="009F6B3C" w:rsidRPr="009057C8" w:rsidRDefault="008E57B3" w:rsidP="00F22D6A">
      <w:pPr>
        <w:keepNext/>
        <w:shd w:val="clear" w:color="auto" w:fill="FFFFFF"/>
        <w:spacing w:before="100" w:beforeAutospacing="1" w:after="100" w:afterAutospacing="1"/>
        <w:jc w:val="left"/>
        <w:rPr>
          <w:rFonts w:ascii="Times New Roman" w:hAnsi="Times New Roman"/>
          <w:sz w:val="24"/>
        </w:rPr>
      </w:pPr>
      <w:r w:rsidRPr="009057C8">
        <w:rPr>
          <w:rFonts w:ascii="Times New Roman" w:hAnsi="Times New Roman"/>
          <w:sz w:val="24"/>
        </w:rPr>
        <w:t>In 2017, following two years of review</w:t>
      </w:r>
      <w:r w:rsidR="006C2140">
        <w:rPr>
          <w:rFonts w:ascii="Times New Roman" w:hAnsi="Times New Roman"/>
          <w:sz w:val="24"/>
        </w:rPr>
        <w:t>, including</w:t>
      </w:r>
      <w:r w:rsidRPr="009057C8">
        <w:rPr>
          <w:rFonts w:ascii="Times New Roman" w:hAnsi="Times New Roman"/>
          <w:sz w:val="24"/>
        </w:rPr>
        <w:t xml:space="preserve"> consultation with the private health insurance industry, </w:t>
      </w:r>
      <w:r w:rsidR="00185C6C">
        <w:rPr>
          <w:rFonts w:ascii="Times New Roman" w:hAnsi="Times New Roman"/>
          <w:sz w:val="24"/>
        </w:rPr>
        <w:t>this instrument</w:t>
      </w:r>
      <w:r w:rsidR="00185C6C">
        <w:rPr>
          <w:rFonts w:ascii="Times New Roman" w:hAnsi="Times New Roman"/>
          <w:sz w:val="24"/>
          <w:shd w:val="clear" w:color="auto" w:fill="C2D69B" w:themeFill="accent3" w:themeFillTint="99"/>
        </w:rPr>
        <w:t xml:space="preserve"> </w:t>
      </w:r>
      <w:r w:rsidR="0086465D" w:rsidRPr="009057C8">
        <w:rPr>
          <w:rFonts w:ascii="Times New Roman" w:hAnsi="Times New Roman"/>
          <w:sz w:val="24"/>
        </w:rPr>
        <w:t xml:space="preserve">will </w:t>
      </w:r>
      <w:r w:rsidR="007D639A" w:rsidRPr="009057C8">
        <w:rPr>
          <w:rFonts w:ascii="Times New Roman" w:hAnsi="Times New Roman"/>
          <w:sz w:val="24"/>
        </w:rPr>
        <w:t>extend</w:t>
      </w:r>
      <w:r w:rsidR="00B906E3" w:rsidRPr="009057C8">
        <w:rPr>
          <w:rFonts w:ascii="Times New Roman" w:hAnsi="Times New Roman"/>
          <w:sz w:val="24"/>
        </w:rPr>
        <w:t xml:space="preserve"> c</w:t>
      </w:r>
      <w:r w:rsidR="007D639A" w:rsidRPr="009057C8">
        <w:rPr>
          <w:rFonts w:ascii="Times New Roman" w:hAnsi="Times New Roman"/>
          <w:sz w:val="24"/>
        </w:rPr>
        <w:t xml:space="preserve">overage </w:t>
      </w:r>
      <w:r w:rsidRPr="009057C8">
        <w:rPr>
          <w:rFonts w:ascii="Times New Roman" w:hAnsi="Times New Roman"/>
          <w:sz w:val="24"/>
        </w:rPr>
        <w:t xml:space="preserve">of the prudential standard </w:t>
      </w:r>
      <w:r w:rsidR="007D639A" w:rsidRPr="009057C8">
        <w:rPr>
          <w:rFonts w:ascii="Times New Roman" w:hAnsi="Times New Roman"/>
          <w:sz w:val="24"/>
        </w:rPr>
        <w:t>to private health insurers</w:t>
      </w:r>
      <w:r w:rsidR="00B906E3" w:rsidRPr="009057C8">
        <w:rPr>
          <w:rFonts w:ascii="Times New Roman" w:hAnsi="Times New Roman"/>
          <w:sz w:val="24"/>
        </w:rPr>
        <w:t xml:space="preserve">. The instrument does not </w:t>
      </w:r>
      <w:r w:rsidR="007D639A" w:rsidRPr="009057C8">
        <w:rPr>
          <w:rFonts w:ascii="Times New Roman" w:hAnsi="Times New Roman"/>
          <w:sz w:val="24"/>
        </w:rPr>
        <w:t>impos</w:t>
      </w:r>
      <w:r w:rsidR="00B906E3" w:rsidRPr="009057C8">
        <w:rPr>
          <w:rFonts w:ascii="Times New Roman" w:hAnsi="Times New Roman"/>
          <w:sz w:val="24"/>
        </w:rPr>
        <w:t>e</w:t>
      </w:r>
      <w:r w:rsidR="007D639A" w:rsidRPr="009057C8">
        <w:rPr>
          <w:rFonts w:ascii="Times New Roman" w:hAnsi="Times New Roman"/>
          <w:sz w:val="24"/>
        </w:rPr>
        <w:t xml:space="preserve"> new </w:t>
      </w:r>
      <w:r w:rsidR="009F6B3C" w:rsidRPr="009057C8">
        <w:rPr>
          <w:rFonts w:ascii="Times New Roman" w:hAnsi="Times New Roman"/>
          <w:sz w:val="24"/>
        </w:rPr>
        <w:t xml:space="preserve">prudential </w:t>
      </w:r>
      <w:r w:rsidR="007D639A" w:rsidRPr="009057C8">
        <w:rPr>
          <w:rFonts w:ascii="Times New Roman" w:hAnsi="Times New Roman"/>
          <w:sz w:val="24"/>
        </w:rPr>
        <w:t>requirements on general insurers</w:t>
      </w:r>
      <w:r w:rsidR="009F6B3C" w:rsidRPr="009057C8">
        <w:rPr>
          <w:rFonts w:ascii="Times New Roman" w:hAnsi="Times New Roman"/>
          <w:sz w:val="24"/>
        </w:rPr>
        <w:t xml:space="preserve">, </w:t>
      </w:r>
      <w:r w:rsidR="007D639A" w:rsidRPr="009057C8">
        <w:rPr>
          <w:rFonts w:ascii="Times New Roman" w:hAnsi="Times New Roman"/>
          <w:sz w:val="24"/>
        </w:rPr>
        <w:t xml:space="preserve">life </w:t>
      </w:r>
      <w:r w:rsidRPr="009057C8">
        <w:rPr>
          <w:rFonts w:ascii="Times New Roman" w:hAnsi="Times New Roman"/>
          <w:sz w:val="24"/>
        </w:rPr>
        <w:t>companies</w:t>
      </w:r>
      <w:r w:rsidR="007D639A" w:rsidRPr="009057C8">
        <w:rPr>
          <w:rFonts w:ascii="Times New Roman" w:hAnsi="Times New Roman"/>
          <w:sz w:val="24"/>
        </w:rPr>
        <w:t>, ADIs</w:t>
      </w:r>
      <w:r w:rsidR="00D531AF" w:rsidRPr="009057C8">
        <w:rPr>
          <w:rFonts w:ascii="Times New Roman" w:hAnsi="Times New Roman"/>
          <w:sz w:val="24"/>
        </w:rPr>
        <w:t xml:space="preserve"> or groups</w:t>
      </w:r>
      <w:r w:rsidR="00B906E3" w:rsidRPr="009057C8">
        <w:rPr>
          <w:rFonts w:ascii="Times New Roman" w:hAnsi="Times New Roman"/>
          <w:sz w:val="24"/>
        </w:rPr>
        <w:t xml:space="preserve">, but </w:t>
      </w:r>
      <w:r w:rsidR="009F6B3C" w:rsidRPr="009057C8">
        <w:rPr>
          <w:rFonts w:ascii="Times New Roman" w:hAnsi="Times New Roman"/>
          <w:sz w:val="24"/>
        </w:rPr>
        <w:t xml:space="preserve">includes a </w:t>
      </w:r>
      <w:r w:rsidR="00444FE9" w:rsidRPr="009057C8">
        <w:rPr>
          <w:rFonts w:ascii="Times New Roman" w:hAnsi="Times New Roman"/>
          <w:sz w:val="24"/>
        </w:rPr>
        <w:t xml:space="preserve">small </w:t>
      </w:r>
      <w:r w:rsidR="009F6B3C" w:rsidRPr="009057C8">
        <w:rPr>
          <w:rFonts w:ascii="Times New Roman" w:hAnsi="Times New Roman"/>
          <w:sz w:val="24"/>
        </w:rPr>
        <w:t xml:space="preserve">number of minor enhancements to existing </w:t>
      </w:r>
      <w:r w:rsidR="009F6B3C" w:rsidRPr="009057C8">
        <w:rPr>
          <w:rFonts w:ascii="Times New Roman" w:hAnsi="Times New Roman"/>
          <w:sz w:val="24"/>
        </w:rPr>
        <w:lastRenderedPageBreak/>
        <w:t xml:space="preserve">prudential requirements to </w:t>
      </w:r>
      <w:r w:rsidR="009057C8">
        <w:rPr>
          <w:rFonts w:ascii="Times New Roman" w:hAnsi="Times New Roman"/>
          <w:sz w:val="24"/>
        </w:rPr>
        <w:t>clarify</w:t>
      </w:r>
      <w:r w:rsidR="009F6B3C" w:rsidRPr="009057C8">
        <w:rPr>
          <w:rFonts w:ascii="Times New Roman" w:hAnsi="Times New Roman"/>
          <w:sz w:val="24"/>
        </w:rPr>
        <w:t xml:space="preserve"> APRA’s expectations</w:t>
      </w:r>
      <w:r w:rsidR="00DC769D" w:rsidRPr="009057C8">
        <w:rPr>
          <w:rFonts w:ascii="Times New Roman" w:hAnsi="Times New Roman"/>
          <w:sz w:val="24"/>
        </w:rPr>
        <w:t xml:space="preserve"> of regulated institutions covered by the Banking, Insurance</w:t>
      </w:r>
      <w:r w:rsidR="00224233" w:rsidRPr="009057C8">
        <w:rPr>
          <w:rFonts w:ascii="Times New Roman" w:hAnsi="Times New Roman"/>
          <w:sz w:val="24"/>
        </w:rPr>
        <w:t xml:space="preserve"> and</w:t>
      </w:r>
      <w:r w:rsidR="00DC769D" w:rsidRPr="009057C8">
        <w:rPr>
          <w:rFonts w:ascii="Times New Roman" w:hAnsi="Times New Roman"/>
          <w:sz w:val="24"/>
        </w:rPr>
        <w:t xml:space="preserve"> Life Insurance</w:t>
      </w:r>
      <w:r w:rsidR="00224233" w:rsidRPr="009057C8">
        <w:rPr>
          <w:rFonts w:ascii="Times New Roman" w:hAnsi="Times New Roman"/>
          <w:sz w:val="24"/>
        </w:rPr>
        <w:t xml:space="preserve"> Acts.</w:t>
      </w:r>
    </w:p>
    <w:p w14:paraId="54F8FD22" w14:textId="77777777" w:rsidR="00A37E1D" w:rsidRPr="009057C8" w:rsidRDefault="00A37E1D" w:rsidP="00B23C04">
      <w:pPr>
        <w:pStyle w:val="BULLET1"/>
        <w:numPr>
          <w:ilvl w:val="0"/>
          <w:numId w:val="17"/>
        </w:numPr>
        <w:shd w:val="clear" w:color="auto" w:fill="FFFFFF" w:themeFill="background1"/>
        <w:rPr>
          <w:rFonts w:ascii="Times New Roman" w:hAnsi="Times New Roman" w:cs="Times New Roman"/>
          <w:b/>
          <w:sz w:val="24"/>
          <w:szCs w:val="24"/>
        </w:rPr>
      </w:pPr>
      <w:r w:rsidRPr="009057C8">
        <w:rPr>
          <w:rFonts w:ascii="Times New Roman" w:hAnsi="Times New Roman" w:cs="Times New Roman"/>
          <w:b/>
          <w:sz w:val="24"/>
          <w:szCs w:val="24"/>
        </w:rPr>
        <w:t>Purpose of the instrument</w:t>
      </w:r>
    </w:p>
    <w:p w14:paraId="3AE5167B" w14:textId="0BEAE280" w:rsidR="00255C96" w:rsidRPr="009057C8" w:rsidRDefault="00605C21" w:rsidP="00255C96">
      <w:pPr>
        <w:rPr>
          <w:rFonts w:ascii="Times New Roman" w:hAnsi="Times New Roman"/>
          <w:color w:val="000000"/>
          <w:sz w:val="24"/>
        </w:rPr>
      </w:pPr>
      <w:bookmarkStart w:id="4" w:name="bkBackground"/>
      <w:bookmarkStart w:id="5" w:name="bkPurpose"/>
      <w:bookmarkEnd w:id="4"/>
      <w:bookmarkEnd w:id="5"/>
      <w:r w:rsidRPr="009057C8">
        <w:rPr>
          <w:rFonts w:ascii="Times New Roman" w:hAnsi="Times New Roman"/>
          <w:sz w:val="24"/>
        </w:rPr>
        <w:t>The purpose of th</w:t>
      </w:r>
      <w:r w:rsidR="00A37AE9" w:rsidRPr="009057C8">
        <w:rPr>
          <w:rFonts w:ascii="Times New Roman" w:hAnsi="Times New Roman"/>
          <w:sz w:val="24"/>
        </w:rPr>
        <w:t>e</w:t>
      </w:r>
      <w:r w:rsidRPr="009057C8">
        <w:rPr>
          <w:rFonts w:ascii="Times New Roman" w:hAnsi="Times New Roman"/>
          <w:sz w:val="24"/>
        </w:rPr>
        <w:t xml:space="preserve"> instrument is to </w:t>
      </w:r>
      <w:r w:rsidR="00456209" w:rsidRPr="009057C8">
        <w:rPr>
          <w:rFonts w:ascii="Times New Roman" w:hAnsi="Times New Roman"/>
          <w:sz w:val="24"/>
        </w:rPr>
        <w:t xml:space="preserve">continue to </w:t>
      </w:r>
      <w:r w:rsidRPr="009057C8">
        <w:rPr>
          <w:rFonts w:ascii="Times New Roman" w:hAnsi="Times New Roman"/>
          <w:sz w:val="24"/>
        </w:rPr>
        <w:t xml:space="preserve">promote sound </w:t>
      </w:r>
      <w:r w:rsidR="00AF1BE2" w:rsidRPr="009057C8">
        <w:rPr>
          <w:rFonts w:ascii="Times New Roman" w:hAnsi="Times New Roman"/>
          <w:sz w:val="24"/>
        </w:rPr>
        <w:t xml:space="preserve">risk management </w:t>
      </w:r>
      <w:r w:rsidRPr="009057C8">
        <w:rPr>
          <w:rFonts w:ascii="Times New Roman" w:hAnsi="Times New Roman"/>
          <w:sz w:val="24"/>
        </w:rPr>
        <w:t xml:space="preserve">practices </w:t>
      </w:r>
      <w:r w:rsidR="00AF1BE2" w:rsidRPr="009057C8">
        <w:rPr>
          <w:rFonts w:ascii="Times New Roman" w:hAnsi="Times New Roman"/>
          <w:sz w:val="24"/>
        </w:rPr>
        <w:t>in</w:t>
      </w:r>
      <w:r w:rsidR="00456209" w:rsidRPr="009057C8">
        <w:rPr>
          <w:rFonts w:ascii="Times New Roman" w:hAnsi="Times New Roman"/>
          <w:sz w:val="24"/>
        </w:rPr>
        <w:t xml:space="preserve"> general insurers, life companies, ADIs or groups and to </w:t>
      </w:r>
      <w:r w:rsidR="008431D4" w:rsidRPr="009057C8">
        <w:rPr>
          <w:rFonts w:ascii="Times New Roman" w:hAnsi="Times New Roman"/>
          <w:sz w:val="24"/>
        </w:rPr>
        <w:t>extend this to</w:t>
      </w:r>
      <w:r w:rsidR="00AF1BE2" w:rsidRPr="009057C8">
        <w:rPr>
          <w:rFonts w:ascii="Times New Roman" w:hAnsi="Times New Roman"/>
          <w:sz w:val="24"/>
        </w:rPr>
        <w:t xml:space="preserve"> the private health insurance industry</w:t>
      </w:r>
      <w:r w:rsidR="00255C96" w:rsidRPr="009057C8">
        <w:rPr>
          <w:rFonts w:ascii="Times New Roman" w:hAnsi="Times New Roman"/>
          <w:sz w:val="24"/>
        </w:rPr>
        <w:t xml:space="preserve"> by </w:t>
      </w:r>
      <w:r w:rsidR="00444FE9" w:rsidRPr="009057C8">
        <w:rPr>
          <w:rFonts w:ascii="Times New Roman" w:hAnsi="Times New Roman"/>
          <w:sz w:val="24"/>
        </w:rPr>
        <w:t xml:space="preserve">applying </w:t>
      </w:r>
      <w:r w:rsidR="00255C96" w:rsidRPr="009057C8">
        <w:rPr>
          <w:rFonts w:ascii="Times New Roman" w:hAnsi="Times New Roman"/>
          <w:sz w:val="24"/>
        </w:rPr>
        <w:t xml:space="preserve">CPS 220 </w:t>
      </w:r>
      <w:r w:rsidR="00444FE9" w:rsidRPr="009057C8">
        <w:rPr>
          <w:rFonts w:ascii="Times New Roman" w:hAnsi="Times New Roman"/>
          <w:sz w:val="24"/>
        </w:rPr>
        <w:t>to private health insurers</w:t>
      </w:r>
      <w:r w:rsidR="00255C96" w:rsidRPr="009057C8">
        <w:rPr>
          <w:rFonts w:ascii="Times New Roman" w:hAnsi="Times New Roman"/>
          <w:sz w:val="24"/>
        </w:rPr>
        <w:t>.</w:t>
      </w:r>
      <w:r w:rsidRPr="009057C8">
        <w:rPr>
          <w:rFonts w:ascii="Times New Roman" w:hAnsi="Times New Roman"/>
          <w:sz w:val="24"/>
        </w:rPr>
        <w:t xml:space="preserve"> </w:t>
      </w:r>
      <w:r w:rsidR="00255C96" w:rsidRPr="009057C8">
        <w:rPr>
          <w:rFonts w:ascii="Times New Roman" w:hAnsi="Times New Roman"/>
          <w:color w:val="000000" w:themeColor="text1"/>
          <w:sz w:val="24"/>
        </w:rPr>
        <w:t xml:space="preserve">APRA’s expectations of sound risk management practice have been informed by its experience supervising institutions in multiple financial industries over a number of years, observations of better practice within those industries and domestic </w:t>
      </w:r>
      <w:r w:rsidR="00255C96" w:rsidRPr="009057C8">
        <w:rPr>
          <w:rFonts w:ascii="Times New Roman" w:hAnsi="Times New Roman"/>
          <w:color w:val="000000"/>
          <w:sz w:val="24"/>
        </w:rPr>
        <w:t xml:space="preserve">and international developments. </w:t>
      </w:r>
    </w:p>
    <w:p w14:paraId="3D576778" w14:textId="265A6259" w:rsidR="008B1AF8" w:rsidRPr="009057C8" w:rsidRDefault="00255C96" w:rsidP="008B1AF8">
      <w:pPr>
        <w:keepNext/>
        <w:shd w:val="clear" w:color="auto" w:fill="FFFFFF" w:themeFill="background1"/>
        <w:spacing w:before="100" w:beforeAutospacing="1" w:after="100" w:afterAutospacing="1"/>
        <w:jc w:val="left"/>
        <w:rPr>
          <w:rFonts w:ascii="Times New Roman" w:hAnsi="Times New Roman"/>
          <w:bCs/>
          <w:sz w:val="24"/>
        </w:rPr>
      </w:pPr>
      <w:r w:rsidRPr="009057C8">
        <w:rPr>
          <w:rFonts w:ascii="Times New Roman" w:hAnsi="Times New Roman"/>
          <w:sz w:val="24"/>
        </w:rPr>
        <w:t>T</w:t>
      </w:r>
      <w:r w:rsidR="00605C21" w:rsidRPr="009057C8">
        <w:rPr>
          <w:rFonts w:ascii="Times New Roman" w:hAnsi="Times New Roman"/>
          <w:sz w:val="24"/>
        </w:rPr>
        <w:t xml:space="preserve">he prudential framework </w:t>
      </w:r>
      <w:r w:rsidR="00B23C04" w:rsidRPr="009057C8">
        <w:rPr>
          <w:rFonts w:ascii="Times New Roman" w:hAnsi="Times New Roman"/>
          <w:sz w:val="24"/>
        </w:rPr>
        <w:t xml:space="preserve">contained in </w:t>
      </w:r>
      <w:r w:rsidR="008B1AF8" w:rsidRPr="009057C8">
        <w:rPr>
          <w:rFonts w:ascii="Times New Roman" w:hAnsi="Times New Roman"/>
          <w:sz w:val="24"/>
        </w:rPr>
        <w:t xml:space="preserve">CPS 220 will </w:t>
      </w:r>
      <w:r w:rsidRPr="009057C8">
        <w:rPr>
          <w:rFonts w:ascii="Times New Roman" w:hAnsi="Times New Roman"/>
          <w:color w:val="000000" w:themeColor="text1"/>
          <w:sz w:val="24"/>
        </w:rPr>
        <w:t xml:space="preserve">provide a critical tool for identifying, assessing and monitoring risks with the potential to materially affect a </w:t>
      </w:r>
      <w:r w:rsidRPr="009057C8">
        <w:rPr>
          <w:rFonts w:ascii="Times New Roman" w:hAnsi="Times New Roman"/>
          <w:sz w:val="24"/>
        </w:rPr>
        <w:t xml:space="preserve">private health </w:t>
      </w:r>
      <w:r w:rsidRPr="009057C8">
        <w:rPr>
          <w:rFonts w:ascii="Times New Roman" w:hAnsi="Times New Roman"/>
          <w:color w:val="000000" w:themeColor="text1"/>
          <w:sz w:val="24"/>
        </w:rPr>
        <w:t xml:space="preserve">insurer’s ability to meet its strategic, business and operational objectives, and to assess a </w:t>
      </w:r>
      <w:r w:rsidRPr="009057C8">
        <w:rPr>
          <w:rFonts w:ascii="Times New Roman" w:hAnsi="Times New Roman"/>
          <w:sz w:val="24"/>
        </w:rPr>
        <w:t>private health</w:t>
      </w:r>
      <w:r w:rsidRPr="009057C8">
        <w:rPr>
          <w:rFonts w:ascii="Times New Roman" w:hAnsi="Times New Roman"/>
          <w:color w:val="000000" w:themeColor="text1"/>
          <w:sz w:val="24"/>
        </w:rPr>
        <w:t xml:space="preserve"> insurer’s overall risk of failure.</w:t>
      </w:r>
      <w:r w:rsidR="008B1AF8" w:rsidRPr="009057C8">
        <w:rPr>
          <w:rFonts w:ascii="Times New Roman" w:hAnsi="Times New Roman"/>
          <w:color w:val="000000" w:themeColor="text1"/>
          <w:sz w:val="24"/>
        </w:rPr>
        <w:t xml:space="preserve"> </w:t>
      </w:r>
      <w:r w:rsidR="008B1AF8" w:rsidRPr="009057C8">
        <w:rPr>
          <w:rFonts w:ascii="Times New Roman" w:hAnsi="Times New Roman"/>
          <w:sz w:val="24"/>
        </w:rPr>
        <w:t xml:space="preserve">Adoption of the risk management framework and practices contained in CPS 220 will support the financial soundness of private health insurers, maintain consumer confidence in the private health system and protect the interests of policyholders. </w:t>
      </w:r>
    </w:p>
    <w:p w14:paraId="34D03072" w14:textId="77777777" w:rsidR="00A37E1D" w:rsidRPr="009057C8" w:rsidRDefault="00A37E1D" w:rsidP="009057C8">
      <w:pPr>
        <w:pStyle w:val="BULLET1"/>
        <w:keepNext/>
        <w:numPr>
          <w:ilvl w:val="0"/>
          <w:numId w:val="17"/>
        </w:numPr>
        <w:shd w:val="clear" w:color="auto" w:fill="FFFFFF" w:themeFill="background1"/>
        <w:rPr>
          <w:rFonts w:ascii="Times New Roman" w:hAnsi="Times New Roman" w:cs="Times New Roman"/>
          <w:b/>
          <w:sz w:val="24"/>
          <w:szCs w:val="24"/>
        </w:rPr>
      </w:pPr>
      <w:bookmarkStart w:id="6" w:name="bk3Operation"/>
      <w:r w:rsidRPr="009057C8">
        <w:rPr>
          <w:rFonts w:ascii="Times New Roman" w:hAnsi="Times New Roman" w:cs="Times New Roman"/>
          <w:b/>
          <w:sz w:val="24"/>
          <w:szCs w:val="24"/>
        </w:rPr>
        <w:t>Operation of the instrument</w:t>
      </w:r>
    </w:p>
    <w:bookmarkEnd w:id="6"/>
    <w:p w14:paraId="64747ACB" w14:textId="411A6B80" w:rsidR="00A87BEC" w:rsidRPr="009057C8" w:rsidRDefault="00CE6255" w:rsidP="00AD64BE">
      <w:pPr>
        <w:shd w:val="clear" w:color="auto" w:fill="FFFFFF"/>
        <w:spacing w:before="100" w:beforeAutospacing="1" w:after="100" w:afterAutospacing="1"/>
        <w:jc w:val="left"/>
        <w:rPr>
          <w:rFonts w:ascii="Times New Roman" w:hAnsi="Times New Roman"/>
          <w:sz w:val="24"/>
        </w:rPr>
      </w:pPr>
      <w:r w:rsidRPr="009057C8">
        <w:rPr>
          <w:rFonts w:ascii="Times New Roman" w:hAnsi="Times New Roman"/>
          <w:sz w:val="24"/>
        </w:rPr>
        <w:t xml:space="preserve">Key aspects of </w:t>
      </w:r>
      <w:r w:rsidR="00584673">
        <w:rPr>
          <w:rFonts w:ascii="Times New Roman" w:hAnsi="Times New Roman"/>
          <w:sz w:val="24"/>
        </w:rPr>
        <w:t xml:space="preserve">CPS </w:t>
      </w:r>
      <w:r w:rsidR="002949D7">
        <w:rPr>
          <w:rFonts w:ascii="Times New Roman" w:hAnsi="Times New Roman"/>
          <w:sz w:val="24"/>
        </w:rPr>
        <w:t>220 which will now apply</w:t>
      </w:r>
      <w:r w:rsidR="008431D4" w:rsidRPr="009057C8">
        <w:rPr>
          <w:rFonts w:ascii="Times New Roman" w:hAnsi="Times New Roman"/>
          <w:sz w:val="24"/>
        </w:rPr>
        <w:t xml:space="preserve"> to </w:t>
      </w:r>
      <w:r w:rsidR="009D4911" w:rsidRPr="009057C8">
        <w:rPr>
          <w:rFonts w:ascii="Times New Roman" w:hAnsi="Times New Roman"/>
          <w:sz w:val="24"/>
        </w:rPr>
        <w:t>private health insurers are:</w:t>
      </w:r>
    </w:p>
    <w:p w14:paraId="564049A9" w14:textId="71CBD744" w:rsidR="009D4911" w:rsidRPr="009057C8" w:rsidRDefault="009D4911" w:rsidP="00FA3F0E">
      <w:pPr>
        <w:pStyle w:val="ListParagraph"/>
        <w:numPr>
          <w:ilvl w:val="0"/>
          <w:numId w:val="21"/>
        </w:numPr>
        <w:spacing w:line="276" w:lineRule="auto"/>
        <w:ind w:left="709" w:hanging="283"/>
        <w:jc w:val="left"/>
        <w:rPr>
          <w:rFonts w:ascii="Times New Roman" w:hAnsi="Times New Roman"/>
          <w:color w:val="000000" w:themeColor="text1"/>
          <w:sz w:val="24"/>
        </w:rPr>
      </w:pPr>
      <w:r w:rsidRPr="009057C8">
        <w:rPr>
          <w:rFonts w:ascii="Times New Roman" w:hAnsi="Times New Roman"/>
          <w:sz w:val="24"/>
        </w:rPr>
        <w:t>that the board of every regulated institution</w:t>
      </w:r>
      <w:r w:rsidR="00800F98" w:rsidRPr="009057C8">
        <w:rPr>
          <w:rFonts w:ascii="Times New Roman" w:hAnsi="Times New Roman"/>
          <w:sz w:val="24"/>
        </w:rPr>
        <w:t>:</w:t>
      </w:r>
      <w:r w:rsidRPr="009057C8">
        <w:rPr>
          <w:rFonts w:ascii="Times New Roman" w:hAnsi="Times New Roman"/>
          <w:sz w:val="24"/>
        </w:rPr>
        <w:t xml:space="preserve"> </w:t>
      </w:r>
    </w:p>
    <w:p w14:paraId="010F20BB" w14:textId="7B56B288" w:rsidR="009D4911" w:rsidRPr="009057C8" w:rsidRDefault="009D4911" w:rsidP="00FA3F0E">
      <w:pPr>
        <w:pStyle w:val="ListParagraph"/>
        <w:numPr>
          <w:ilvl w:val="1"/>
          <w:numId w:val="21"/>
        </w:numPr>
        <w:spacing w:line="276" w:lineRule="auto"/>
        <w:ind w:left="1560" w:hanging="426"/>
        <w:jc w:val="left"/>
        <w:rPr>
          <w:rFonts w:ascii="Times New Roman" w:hAnsi="Times New Roman"/>
          <w:sz w:val="24"/>
        </w:rPr>
      </w:pPr>
      <w:r w:rsidRPr="009057C8">
        <w:rPr>
          <w:rFonts w:ascii="Times New Roman" w:hAnsi="Times New Roman"/>
          <w:sz w:val="24"/>
        </w:rPr>
        <w:t xml:space="preserve">set a clearly articulated risk appetite so that the boundaries within which management may operate are clear; </w:t>
      </w:r>
    </w:p>
    <w:p w14:paraId="3C67475A" w14:textId="7F35E84F" w:rsidR="009D4911" w:rsidRPr="009057C8" w:rsidRDefault="009D4911" w:rsidP="00FA3F0E">
      <w:pPr>
        <w:pStyle w:val="ListParagraph"/>
        <w:numPr>
          <w:ilvl w:val="1"/>
          <w:numId w:val="21"/>
        </w:numPr>
        <w:spacing w:line="276" w:lineRule="auto"/>
        <w:ind w:left="1560" w:hanging="426"/>
        <w:jc w:val="left"/>
        <w:rPr>
          <w:rFonts w:ascii="Times New Roman" w:hAnsi="Times New Roman"/>
          <w:sz w:val="24"/>
        </w:rPr>
      </w:pPr>
      <w:r w:rsidRPr="009057C8">
        <w:rPr>
          <w:rFonts w:ascii="Times New Roman" w:hAnsi="Times New Roman"/>
          <w:sz w:val="24"/>
        </w:rPr>
        <w:t>oversee the implementation and ongoing operation of a robust and effective risk management strategy;</w:t>
      </w:r>
    </w:p>
    <w:p w14:paraId="612921FC" w14:textId="77777777" w:rsidR="009D4911" w:rsidRPr="009057C8" w:rsidRDefault="009D4911" w:rsidP="00FA3F0E">
      <w:pPr>
        <w:pStyle w:val="ListParagraph"/>
        <w:numPr>
          <w:ilvl w:val="1"/>
          <w:numId w:val="21"/>
        </w:numPr>
        <w:spacing w:line="276" w:lineRule="auto"/>
        <w:ind w:left="1560" w:hanging="426"/>
        <w:jc w:val="left"/>
        <w:rPr>
          <w:rFonts w:ascii="Times New Roman" w:hAnsi="Times New Roman"/>
          <w:sz w:val="24"/>
        </w:rPr>
      </w:pPr>
      <w:r w:rsidRPr="009057C8">
        <w:rPr>
          <w:rFonts w:ascii="Times New Roman" w:hAnsi="Times New Roman"/>
          <w:sz w:val="24"/>
        </w:rPr>
        <w:t xml:space="preserve">form a view of the risk culture within the private health insurer and the extent to which the risk culture supports the ability of the institution to operate consistently within the board’s risk appetite; </w:t>
      </w:r>
    </w:p>
    <w:p w14:paraId="0209A122" w14:textId="77777777" w:rsidR="009D4911" w:rsidRPr="009057C8" w:rsidRDefault="009D4911" w:rsidP="00FA3F0E">
      <w:pPr>
        <w:pStyle w:val="ListParagraph"/>
        <w:numPr>
          <w:ilvl w:val="1"/>
          <w:numId w:val="21"/>
        </w:numPr>
        <w:spacing w:line="276" w:lineRule="auto"/>
        <w:ind w:left="1560" w:hanging="426"/>
        <w:jc w:val="left"/>
        <w:rPr>
          <w:rFonts w:ascii="Times New Roman" w:hAnsi="Times New Roman"/>
          <w:sz w:val="24"/>
        </w:rPr>
      </w:pPr>
      <w:r w:rsidRPr="009057C8">
        <w:rPr>
          <w:rFonts w:ascii="Times New Roman" w:hAnsi="Times New Roman"/>
          <w:sz w:val="24"/>
        </w:rPr>
        <w:t>approve a business plan that sets out the approach for the implementation of the strategic objectives of the private health insurer; and</w:t>
      </w:r>
    </w:p>
    <w:p w14:paraId="46774DFF" w14:textId="6649BBE1" w:rsidR="009D4911" w:rsidRPr="009057C8" w:rsidRDefault="009D4911" w:rsidP="00FA3F0E">
      <w:pPr>
        <w:pStyle w:val="ListParagraph"/>
        <w:numPr>
          <w:ilvl w:val="1"/>
          <w:numId w:val="21"/>
        </w:numPr>
        <w:spacing w:line="276" w:lineRule="auto"/>
        <w:ind w:left="1560" w:hanging="426"/>
        <w:jc w:val="left"/>
        <w:rPr>
          <w:rFonts w:ascii="Times New Roman" w:hAnsi="Times New Roman"/>
          <w:sz w:val="24"/>
        </w:rPr>
      </w:pPr>
      <w:r w:rsidRPr="009057C8">
        <w:rPr>
          <w:rFonts w:ascii="Times New Roman" w:hAnsi="Times New Roman"/>
          <w:sz w:val="24"/>
        </w:rPr>
        <w:t>make an annual risk</w:t>
      </w:r>
      <w:r w:rsidR="00D425EF" w:rsidRPr="009057C8">
        <w:rPr>
          <w:rFonts w:ascii="Times New Roman" w:hAnsi="Times New Roman"/>
          <w:sz w:val="24"/>
        </w:rPr>
        <w:t xml:space="preserve"> management declaration to APRA</w:t>
      </w:r>
      <w:r w:rsidR="00EB1ACB" w:rsidRPr="009057C8">
        <w:rPr>
          <w:rFonts w:ascii="Times New Roman" w:hAnsi="Times New Roman"/>
          <w:sz w:val="24"/>
        </w:rPr>
        <w:t>.</w:t>
      </w:r>
    </w:p>
    <w:p w14:paraId="746F4D7D" w14:textId="77777777" w:rsidR="003D52D0" w:rsidRPr="009057C8" w:rsidRDefault="003D52D0" w:rsidP="003D52D0">
      <w:pPr>
        <w:pStyle w:val="ListParagraph"/>
        <w:spacing w:line="276" w:lineRule="auto"/>
        <w:ind w:left="1080"/>
        <w:jc w:val="left"/>
        <w:rPr>
          <w:rFonts w:ascii="Times New Roman" w:hAnsi="Times New Roman"/>
          <w:sz w:val="24"/>
        </w:rPr>
      </w:pPr>
    </w:p>
    <w:p w14:paraId="14C9EE6D" w14:textId="32AAD423" w:rsidR="00D425EF" w:rsidRPr="009057C8" w:rsidRDefault="009D4911" w:rsidP="009D4911">
      <w:pPr>
        <w:pStyle w:val="ListParagraph"/>
        <w:numPr>
          <w:ilvl w:val="0"/>
          <w:numId w:val="20"/>
        </w:numPr>
        <w:shd w:val="clear" w:color="auto" w:fill="FFFFFF"/>
        <w:spacing w:before="100" w:beforeAutospacing="1"/>
        <w:rPr>
          <w:rFonts w:ascii="Times New Roman" w:hAnsi="Times New Roman"/>
          <w:sz w:val="24"/>
        </w:rPr>
      </w:pPr>
      <w:r w:rsidRPr="009057C8">
        <w:rPr>
          <w:rFonts w:ascii="Times New Roman" w:hAnsi="Times New Roman"/>
          <w:sz w:val="24"/>
        </w:rPr>
        <w:t xml:space="preserve">that </w:t>
      </w:r>
      <w:r w:rsidR="00D425EF" w:rsidRPr="009057C8">
        <w:rPr>
          <w:rFonts w:ascii="Times New Roman" w:hAnsi="Times New Roman"/>
          <w:sz w:val="24"/>
        </w:rPr>
        <w:t>every regulated institution</w:t>
      </w:r>
      <w:r w:rsidR="00EB1ACB" w:rsidRPr="009057C8">
        <w:rPr>
          <w:rFonts w:ascii="Times New Roman" w:hAnsi="Times New Roman"/>
          <w:sz w:val="24"/>
        </w:rPr>
        <w:t>:</w:t>
      </w:r>
    </w:p>
    <w:p w14:paraId="3900A4B7" w14:textId="5628A48B" w:rsidR="00D425EF" w:rsidRPr="009057C8" w:rsidRDefault="00D425EF" w:rsidP="00D425EF">
      <w:pPr>
        <w:pStyle w:val="ListParagraph"/>
        <w:numPr>
          <w:ilvl w:val="1"/>
          <w:numId w:val="20"/>
        </w:numPr>
        <w:shd w:val="clear" w:color="auto" w:fill="FFFFFF"/>
        <w:spacing w:before="100" w:beforeAutospacing="1"/>
        <w:rPr>
          <w:rFonts w:ascii="Times New Roman" w:hAnsi="Times New Roman"/>
          <w:sz w:val="24"/>
        </w:rPr>
      </w:pPr>
      <w:r w:rsidRPr="009057C8">
        <w:rPr>
          <w:rFonts w:ascii="Times New Roman" w:hAnsi="Times New Roman"/>
          <w:sz w:val="24"/>
        </w:rPr>
        <w:t>have a designated risk management function appropriate to the size, business mix and complexity of the institution</w:t>
      </w:r>
      <w:r w:rsidR="00EB1ACB" w:rsidRPr="009057C8">
        <w:rPr>
          <w:rFonts w:ascii="Times New Roman" w:hAnsi="Times New Roman"/>
          <w:sz w:val="24"/>
        </w:rPr>
        <w:t>;</w:t>
      </w:r>
    </w:p>
    <w:p w14:paraId="04C812F1" w14:textId="4A578A5D" w:rsidR="00407D70" w:rsidRPr="009057C8" w:rsidRDefault="00407D70" w:rsidP="00D425EF">
      <w:pPr>
        <w:pStyle w:val="ListParagraph"/>
        <w:numPr>
          <w:ilvl w:val="1"/>
          <w:numId w:val="20"/>
        </w:numPr>
        <w:shd w:val="clear" w:color="auto" w:fill="FFFFFF"/>
        <w:spacing w:before="100" w:beforeAutospacing="1"/>
        <w:rPr>
          <w:rFonts w:ascii="Times New Roman" w:hAnsi="Times New Roman"/>
          <w:sz w:val="24"/>
        </w:rPr>
      </w:pPr>
      <w:r w:rsidRPr="009057C8">
        <w:rPr>
          <w:rFonts w:ascii="Times New Roman" w:hAnsi="Times New Roman"/>
          <w:sz w:val="24"/>
        </w:rPr>
        <w:t>identify, measure, monitor and report on its material risks</w:t>
      </w:r>
      <w:r w:rsidR="00EB1ACB" w:rsidRPr="009057C8">
        <w:rPr>
          <w:rFonts w:ascii="Times New Roman" w:hAnsi="Times New Roman"/>
          <w:sz w:val="24"/>
        </w:rPr>
        <w:t>;</w:t>
      </w:r>
    </w:p>
    <w:p w14:paraId="5BDC361D" w14:textId="6936839F" w:rsidR="009D4911" w:rsidRPr="009057C8" w:rsidRDefault="009D4911" w:rsidP="00D425EF">
      <w:pPr>
        <w:pStyle w:val="ListParagraph"/>
        <w:numPr>
          <w:ilvl w:val="1"/>
          <w:numId w:val="20"/>
        </w:numPr>
        <w:shd w:val="clear" w:color="auto" w:fill="FFFFFF"/>
        <w:spacing w:before="100" w:beforeAutospacing="1"/>
        <w:rPr>
          <w:rFonts w:ascii="Times New Roman" w:hAnsi="Times New Roman"/>
          <w:sz w:val="24"/>
        </w:rPr>
      </w:pPr>
      <w:r w:rsidRPr="009057C8">
        <w:rPr>
          <w:rFonts w:ascii="Times New Roman" w:hAnsi="Times New Roman"/>
          <w:sz w:val="24"/>
        </w:rPr>
        <w:t>designate a Chief Risk Officer who is involved in, and provides effective challenge to, activities and decisions that may materially affect the risk profile of the regulated institution</w:t>
      </w:r>
      <w:r w:rsidR="00EB1ACB" w:rsidRPr="009057C8">
        <w:rPr>
          <w:rFonts w:ascii="Times New Roman" w:hAnsi="Times New Roman"/>
          <w:sz w:val="24"/>
        </w:rPr>
        <w:t>;</w:t>
      </w:r>
    </w:p>
    <w:p w14:paraId="3F523130" w14:textId="0A47F573" w:rsidR="00D425EF" w:rsidRPr="009057C8" w:rsidRDefault="00F06113" w:rsidP="00D425EF">
      <w:pPr>
        <w:pStyle w:val="ListParagraph"/>
        <w:numPr>
          <w:ilvl w:val="1"/>
          <w:numId w:val="20"/>
        </w:numPr>
        <w:shd w:val="clear" w:color="auto" w:fill="FFFFFF"/>
        <w:spacing w:before="100" w:beforeAutospacing="1"/>
        <w:rPr>
          <w:rFonts w:ascii="Times New Roman" w:hAnsi="Times New Roman"/>
          <w:sz w:val="24"/>
        </w:rPr>
      </w:pPr>
      <w:r w:rsidRPr="009057C8">
        <w:rPr>
          <w:rFonts w:ascii="Times New Roman" w:hAnsi="Times New Roman"/>
          <w:sz w:val="24"/>
        </w:rPr>
        <w:t>establish and maintain an effective management information system</w:t>
      </w:r>
      <w:r w:rsidR="00EB1ACB" w:rsidRPr="009057C8">
        <w:rPr>
          <w:rFonts w:ascii="Times New Roman" w:hAnsi="Times New Roman"/>
          <w:sz w:val="24"/>
        </w:rPr>
        <w:t>;</w:t>
      </w:r>
    </w:p>
    <w:p w14:paraId="48B6299C" w14:textId="3EE18693" w:rsidR="00F06113" w:rsidRPr="009057C8" w:rsidRDefault="00F06113" w:rsidP="00D425EF">
      <w:pPr>
        <w:pStyle w:val="ListParagraph"/>
        <w:numPr>
          <w:ilvl w:val="1"/>
          <w:numId w:val="20"/>
        </w:numPr>
        <w:shd w:val="clear" w:color="auto" w:fill="FFFFFF"/>
        <w:spacing w:before="100" w:beforeAutospacing="1"/>
        <w:rPr>
          <w:rFonts w:ascii="Times New Roman" w:hAnsi="Times New Roman"/>
          <w:sz w:val="24"/>
        </w:rPr>
      </w:pPr>
      <w:r w:rsidRPr="009057C8">
        <w:rPr>
          <w:rFonts w:ascii="Times New Roman" w:hAnsi="Times New Roman"/>
          <w:sz w:val="24"/>
        </w:rPr>
        <w:t xml:space="preserve">provide periodic reviews to APRA about the </w:t>
      </w:r>
      <w:r w:rsidRPr="009057C8">
        <w:rPr>
          <w:rFonts w:ascii="Times New Roman" w:hAnsi="Times New Roman"/>
          <w:color w:val="000000" w:themeColor="text1"/>
          <w:sz w:val="24"/>
        </w:rPr>
        <w:t>appropriateness, effectiveness and adequacy of the risk management framework</w:t>
      </w:r>
      <w:r w:rsidR="00EB1ACB" w:rsidRPr="009057C8">
        <w:rPr>
          <w:rFonts w:ascii="Times New Roman" w:hAnsi="Times New Roman"/>
          <w:color w:val="000000" w:themeColor="text1"/>
          <w:sz w:val="24"/>
        </w:rPr>
        <w:t>;</w:t>
      </w:r>
      <w:r w:rsidR="00800F98" w:rsidRPr="009057C8">
        <w:rPr>
          <w:rFonts w:ascii="Times New Roman" w:hAnsi="Times New Roman"/>
          <w:color w:val="000000" w:themeColor="text1"/>
          <w:sz w:val="24"/>
        </w:rPr>
        <w:t xml:space="preserve"> and</w:t>
      </w:r>
    </w:p>
    <w:p w14:paraId="054DEC34" w14:textId="0CEA50FD" w:rsidR="00F06113" w:rsidRPr="009057C8" w:rsidRDefault="00F06113" w:rsidP="00D425EF">
      <w:pPr>
        <w:pStyle w:val="ListParagraph"/>
        <w:numPr>
          <w:ilvl w:val="1"/>
          <w:numId w:val="20"/>
        </w:numPr>
        <w:shd w:val="clear" w:color="auto" w:fill="FFFFFF"/>
        <w:spacing w:before="100" w:beforeAutospacing="1"/>
        <w:rPr>
          <w:rFonts w:ascii="Times New Roman" w:hAnsi="Times New Roman"/>
          <w:sz w:val="24"/>
        </w:rPr>
      </w:pPr>
      <w:r w:rsidRPr="009057C8">
        <w:rPr>
          <w:rFonts w:ascii="Times New Roman" w:hAnsi="Times New Roman"/>
          <w:color w:val="000000" w:themeColor="text1"/>
          <w:sz w:val="24"/>
        </w:rPr>
        <w:t>provide an annual risk management declaration confirming that there are systems in place to ensure compliance with legislative and prudential requirements, and that the board of the APRA-regulated institution has satisfied itself as to the adequacy of, and compliance with the risk management framework.</w:t>
      </w:r>
    </w:p>
    <w:p w14:paraId="68988BD3" w14:textId="5D0A0E33" w:rsidR="00D425EF" w:rsidRPr="009057C8" w:rsidRDefault="00F06113" w:rsidP="00F06113">
      <w:pPr>
        <w:shd w:val="clear" w:color="auto" w:fill="FFFFFF"/>
        <w:spacing w:before="100" w:beforeAutospacing="1"/>
        <w:rPr>
          <w:rFonts w:ascii="Times New Roman" w:hAnsi="Times New Roman"/>
          <w:sz w:val="24"/>
        </w:rPr>
      </w:pPr>
      <w:r w:rsidRPr="009057C8">
        <w:rPr>
          <w:rFonts w:ascii="Times New Roman" w:hAnsi="Times New Roman"/>
          <w:sz w:val="24"/>
        </w:rPr>
        <w:t>T</w:t>
      </w:r>
      <w:r w:rsidR="00D425EF" w:rsidRPr="009057C8">
        <w:rPr>
          <w:rFonts w:ascii="Times New Roman" w:hAnsi="Times New Roman"/>
          <w:sz w:val="24"/>
        </w:rPr>
        <w:t xml:space="preserve">he instrument enables </w:t>
      </w:r>
      <w:r w:rsidR="00D425EF" w:rsidRPr="009057C8">
        <w:rPr>
          <w:rFonts w:ascii="Times New Roman" w:hAnsi="Times New Roman"/>
          <w:color w:val="000000" w:themeColor="text1"/>
          <w:sz w:val="24"/>
        </w:rPr>
        <w:t xml:space="preserve">private health insurers that are part of a broader corporate group to meet their risk management obligations on a group basis provided the board of each private health insurer </w:t>
      </w:r>
      <w:r w:rsidR="00D425EF" w:rsidRPr="009057C8">
        <w:rPr>
          <w:rFonts w:ascii="Times New Roman" w:hAnsi="Times New Roman"/>
          <w:sz w:val="24"/>
        </w:rPr>
        <w:t>within the group structure can be satisfied that it continues to meet its individual risk management requirements under CPS 220</w:t>
      </w:r>
      <w:r w:rsidR="00350945">
        <w:rPr>
          <w:rFonts w:ascii="Times New Roman" w:hAnsi="Times New Roman"/>
          <w:sz w:val="24"/>
        </w:rPr>
        <w:t>.</w:t>
      </w:r>
    </w:p>
    <w:p w14:paraId="52DF6732" w14:textId="59CC6DD3" w:rsidR="008B6A27" w:rsidRPr="009057C8" w:rsidRDefault="008B6A27" w:rsidP="008B6A27">
      <w:pPr>
        <w:rPr>
          <w:rFonts w:ascii="Times New Roman" w:hAnsi="Times New Roman"/>
          <w:sz w:val="24"/>
        </w:rPr>
      </w:pPr>
      <w:r w:rsidRPr="009057C8">
        <w:rPr>
          <w:rFonts w:ascii="Times New Roman" w:hAnsi="Times New Roman"/>
          <w:sz w:val="24"/>
        </w:rPr>
        <w:t>Private health insurers are not impacted by provisions of CPS 220 which relate specifically to other APRA-regulated industries. For example, references to:</w:t>
      </w:r>
    </w:p>
    <w:p w14:paraId="5F86BE35" w14:textId="77777777" w:rsidR="008B6A27" w:rsidRPr="009057C8" w:rsidRDefault="008B6A27" w:rsidP="008B6A27">
      <w:pPr>
        <w:pStyle w:val="ListParagraph"/>
        <w:numPr>
          <w:ilvl w:val="0"/>
          <w:numId w:val="22"/>
        </w:numPr>
        <w:spacing w:line="276" w:lineRule="auto"/>
        <w:jc w:val="left"/>
        <w:rPr>
          <w:rFonts w:ascii="Times New Roman" w:hAnsi="Times New Roman"/>
          <w:sz w:val="24"/>
        </w:rPr>
      </w:pPr>
      <w:r w:rsidRPr="009057C8">
        <w:rPr>
          <w:rFonts w:ascii="Times New Roman" w:hAnsi="Times New Roman"/>
          <w:sz w:val="24"/>
        </w:rPr>
        <w:t>Level 2, Level 3 and Category C insurers, EFLICs and NOHCs - these terms apply to authorised deposit-taking institutions, life insurers and/or general insurers;</w:t>
      </w:r>
    </w:p>
    <w:p w14:paraId="4F3BD750" w14:textId="77777777" w:rsidR="008B6A27" w:rsidRPr="009057C8" w:rsidRDefault="008B6A27" w:rsidP="008B6A27">
      <w:pPr>
        <w:pStyle w:val="ListParagraph"/>
        <w:numPr>
          <w:ilvl w:val="0"/>
          <w:numId w:val="22"/>
        </w:numPr>
        <w:spacing w:line="276" w:lineRule="auto"/>
        <w:jc w:val="left"/>
        <w:rPr>
          <w:rFonts w:ascii="Times New Roman" w:hAnsi="Times New Roman"/>
          <w:sz w:val="24"/>
        </w:rPr>
      </w:pPr>
      <w:r w:rsidRPr="009057C8">
        <w:rPr>
          <w:rFonts w:ascii="Times New Roman" w:hAnsi="Times New Roman"/>
          <w:sz w:val="24"/>
        </w:rPr>
        <w:t>Head of group references –a reference to a ‘Head of group’ in CPS 220 is a reference to a Level 2 Head or Level 3 Head, as relevant;</w:t>
      </w:r>
    </w:p>
    <w:p w14:paraId="45BFECA8" w14:textId="1B0DC9FB" w:rsidR="008B6A27" w:rsidRPr="009057C8" w:rsidRDefault="00FA3F0E" w:rsidP="008B6A27">
      <w:pPr>
        <w:pStyle w:val="ListParagraph"/>
        <w:numPr>
          <w:ilvl w:val="0"/>
          <w:numId w:val="22"/>
        </w:numPr>
        <w:spacing w:line="276" w:lineRule="auto"/>
        <w:jc w:val="left"/>
        <w:rPr>
          <w:rFonts w:ascii="Times New Roman" w:hAnsi="Times New Roman"/>
          <w:sz w:val="24"/>
        </w:rPr>
      </w:pPr>
      <w:r w:rsidRPr="009057C8">
        <w:rPr>
          <w:rFonts w:ascii="Times New Roman" w:hAnsi="Times New Roman"/>
          <w:sz w:val="24"/>
        </w:rPr>
        <w:t>r</w:t>
      </w:r>
      <w:r w:rsidR="008B6A27" w:rsidRPr="009057C8">
        <w:rPr>
          <w:rFonts w:ascii="Times New Roman" w:hAnsi="Times New Roman"/>
          <w:sz w:val="24"/>
        </w:rPr>
        <w:t xml:space="preserve">einsurance management strategy or run-off insurer – terms applicable only to the general insurance industry; </w:t>
      </w:r>
      <w:r w:rsidR="00800F98" w:rsidRPr="009057C8">
        <w:rPr>
          <w:rFonts w:ascii="Times New Roman" w:hAnsi="Times New Roman"/>
          <w:sz w:val="24"/>
        </w:rPr>
        <w:t>and</w:t>
      </w:r>
    </w:p>
    <w:p w14:paraId="2205757E" w14:textId="6BC0B3A6" w:rsidR="003D52D0" w:rsidRPr="009057C8" w:rsidRDefault="00FA3F0E" w:rsidP="003D52D0">
      <w:pPr>
        <w:pStyle w:val="ListParagraph"/>
        <w:numPr>
          <w:ilvl w:val="0"/>
          <w:numId w:val="22"/>
        </w:numPr>
        <w:spacing w:line="276" w:lineRule="auto"/>
        <w:jc w:val="left"/>
        <w:rPr>
          <w:rFonts w:ascii="Times New Roman" w:hAnsi="Times New Roman"/>
          <w:sz w:val="24"/>
        </w:rPr>
      </w:pPr>
      <w:r w:rsidRPr="009057C8">
        <w:rPr>
          <w:rFonts w:ascii="Times New Roman" w:hAnsi="Times New Roman"/>
          <w:sz w:val="24"/>
        </w:rPr>
        <w:t>f</w:t>
      </w:r>
      <w:r w:rsidR="008B6A27" w:rsidRPr="009057C8">
        <w:rPr>
          <w:rFonts w:ascii="Times New Roman" w:hAnsi="Times New Roman"/>
          <w:sz w:val="24"/>
        </w:rPr>
        <w:t xml:space="preserve">oreign institution requirements - not applicable to the PHI industry as all registered private health insurers are required to be companies within the meaning of the </w:t>
      </w:r>
      <w:r w:rsidR="008B6A27" w:rsidRPr="009057C8">
        <w:rPr>
          <w:rFonts w:ascii="Times New Roman" w:hAnsi="Times New Roman"/>
          <w:i/>
          <w:sz w:val="24"/>
        </w:rPr>
        <w:t>Corporations Act 2001</w:t>
      </w:r>
      <w:r w:rsidR="008B6A27" w:rsidRPr="009057C8">
        <w:rPr>
          <w:rFonts w:ascii="Times New Roman" w:hAnsi="Times New Roman"/>
          <w:sz w:val="24"/>
        </w:rPr>
        <w:t>.</w:t>
      </w:r>
    </w:p>
    <w:p w14:paraId="50A1DA8A" w14:textId="331569C7" w:rsidR="003D52D0" w:rsidRPr="009057C8" w:rsidRDefault="003D52D0" w:rsidP="003D52D0">
      <w:pPr>
        <w:shd w:val="clear" w:color="auto" w:fill="FFFFFF"/>
        <w:spacing w:before="100" w:beforeAutospacing="1" w:after="100" w:afterAutospacing="1"/>
        <w:jc w:val="left"/>
        <w:rPr>
          <w:rFonts w:ascii="Times New Roman" w:hAnsi="Times New Roman"/>
          <w:sz w:val="24"/>
        </w:rPr>
      </w:pPr>
      <w:r w:rsidRPr="009057C8">
        <w:rPr>
          <w:rFonts w:ascii="Times New Roman" w:hAnsi="Times New Roman"/>
          <w:sz w:val="24"/>
        </w:rPr>
        <w:lastRenderedPageBreak/>
        <w:t xml:space="preserve">The instrument makes no material changes to CPS 220 for general insurers, life companies and ADIs, but includes a number of minor enhancements to existing prudential requirements, to </w:t>
      </w:r>
      <w:r w:rsidR="00997619">
        <w:rPr>
          <w:rFonts w:ascii="Times New Roman" w:hAnsi="Times New Roman"/>
          <w:sz w:val="24"/>
        </w:rPr>
        <w:t>clarify</w:t>
      </w:r>
      <w:r w:rsidRPr="009057C8">
        <w:rPr>
          <w:rFonts w:ascii="Times New Roman" w:hAnsi="Times New Roman"/>
          <w:sz w:val="24"/>
        </w:rPr>
        <w:t xml:space="preserve"> APRA’s expectations of regulated institutions under the prudential standard. These changes include:</w:t>
      </w:r>
    </w:p>
    <w:p w14:paraId="39549AD1" w14:textId="1E3CCB29" w:rsidR="006954D2" w:rsidRPr="009057C8" w:rsidRDefault="00FA3F0E" w:rsidP="003D52D0">
      <w:pPr>
        <w:pStyle w:val="ListParagraph"/>
        <w:numPr>
          <w:ilvl w:val="0"/>
          <w:numId w:val="23"/>
        </w:numPr>
        <w:shd w:val="clear" w:color="auto" w:fill="FFFFFF"/>
        <w:spacing w:before="100" w:beforeAutospacing="1" w:after="100" w:afterAutospacing="1"/>
        <w:jc w:val="left"/>
        <w:rPr>
          <w:rFonts w:ascii="Times New Roman" w:hAnsi="Times New Roman"/>
          <w:sz w:val="24"/>
        </w:rPr>
      </w:pPr>
      <w:r w:rsidRPr="009057C8">
        <w:rPr>
          <w:rFonts w:ascii="Times New Roman" w:hAnsi="Times New Roman"/>
          <w:sz w:val="24"/>
        </w:rPr>
        <w:t>r</w:t>
      </w:r>
      <w:r w:rsidR="00594DB4" w:rsidRPr="009057C8">
        <w:rPr>
          <w:rFonts w:ascii="Times New Roman" w:hAnsi="Times New Roman"/>
          <w:sz w:val="24"/>
        </w:rPr>
        <w:t>eplace the word ‘system’ with ‘systems’ in paragraph 23(g) to reflect that an institution may use multiple systems depending on the size, scale or type of risk being reported upon</w:t>
      </w:r>
      <w:r w:rsidRPr="009057C8">
        <w:rPr>
          <w:rFonts w:ascii="Times New Roman" w:hAnsi="Times New Roman"/>
          <w:sz w:val="24"/>
        </w:rPr>
        <w:t>;</w:t>
      </w:r>
    </w:p>
    <w:p w14:paraId="4AA1A561" w14:textId="2ADCA344" w:rsidR="00594DB4" w:rsidRPr="009057C8" w:rsidRDefault="00FA3F0E" w:rsidP="00594DB4">
      <w:pPr>
        <w:pStyle w:val="APRABULLET"/>
        <w:numPr>
          <w:ilvl w:val="0"/>
          <w:numId w:val="23"/>
        </w:numPr>
        <w:rPr>
          <w:rFonts w:ascii="Times New Roman" w:hAnsi="Times New Roman"/>
          <w:sz w:val="24"/>
          <w:szCs w:val="24"/>
          <w:lang w:val="en-AU" w:eastAsia="en-AU"/>
        </w:rPr>
      </w:pPr>
      <w:r w:rsidRPr="009057C8">
        <w:rPr>
          <w:rFonts w:ascii="Times New Roman" w:hAnsi="Times New Roman"/>
          <w:sz w:val="24"/>
          <w:szCs w:val="24"/>
          <w:lang w:val="en-AU" w:eastAsia="en-AU"/>
        </w:rPr>
        <w:t>p</w:t>
      </w:r>
      <w:r w:rsidR="00594DB4" w:rsidRPr="009057C8">
        <w:rPr>
          <w:rFonts w:ascii="Times New Roman" w:hAnsi="Times New Roman"/>
          <w:sz w:val="24"/>
          <w:szCs w:val="24"/>
          <w:lang w:val="en-AU" w:eastAsia="en-AU"/>
        </w:rPr>
        <w:t xml:space="preserve">aragraph 30(e) has been reworded to reflect </w:t>
      </w:r>
      <w:r w:rsidRPr="009057C8">
        <w:rPr>
          <w:rFonts w:ascii="Times New Roman" w:hAnsi="Times New Roman"/>
          <w:sz w:val="24"/>
          <w:szCs w:val="24"/>
          <w:lang w:val="en-AU" w:eastAsia="en-AU"/>
        </w:rPr>
        <w:t xml:space="preserve">that </w:t>
      </w:r>
      <w:r w:rsidR="00594DB4" w:rsidRPr="009057C8">
        <w:rPr>
          <w:rFonts w:ascii="Times New Roman" w:hAnsi="Times New Roman"/>
          <w:sz w:val="24"/>
          <w:szCs w:val="24"/>
          <w:lang w:val="en-AU" w:eastAsia="en-AU"/>
        </w:rPr>
        <w:t xml:space="preserve">individuals need to have an awareness of the risk management framework </w:t>
      </w:r>
      <w:r w:rsidR="00EB1ACB" w:rsidRPr="009057C8">
        <w:rPr>
          <w:rFonts w:ascii="Times New Roman" w:hAnsi="Times New Roman"/>
          <w:sz w:val="24"/>
          <w:szCs w:val="24"/>
          <w:lang w:val="en-AU" w:eastAsia="en-AU"/>
        </w:rPr>
        <w:t>‘</w:t>
      </w:r>
      <w:r w:rsidR="00594DB4" w:rsidRPr="009057C8">
        <w:rPr>
          <w:rFonts w:ascii="Times New Roman" w:hAnsi="Times New Roman"/>
          <w:sz w:val="24"/>
          <w:szCs w:val="24"/>
          <w:lang w:val="en-AU" w:eastAsia="en-AU"/>
        </w:rPr>
        <w:t>as it relates to their role</w:t>
      </w:r>
      <w:r w:rsidR="00EB1ACB" w:rsidRPr="009057C8">
        <w:rPr>
          <w:rFonts w:ascii="Times New Roman" w:hAnsi="Times New Roman"/>
          <w:sz w:val="24"/>
          <w:szCs w:val="24"/>
          <w:lang w:val="en-AU" w:eastAsia="en-AU"/>
        </w:rPr>
        <w:t>’</w:t>
      </w:r>
      <w:r w:rsidRPr="009057C8">
        <w:rPr>
          <w:rFonts w:ascii="Times New Roman" w:hAnsi="Times New Roman"/>
          <w:sz w:val="24"/>
          <w:szCs w:val="24"/>
          <w:lang w:val="en-AU" w:eastAsia="en-AU"/>
        </w:rPr>
        <w:t>;</w:t>
      </w:r>
      <w:r w:rsidR="00594DB4" w:rsidRPr="009057C8">
        <w:rPr>
          <w:rFonts w:ascii="Times New Roman" w:hAnsi="Times New Roman"/>
          <w:sz w:val="24"/>
          <w:szCs w:val="24"/>
          <w:lang w:val="en-AU" w:eastAsia="en-AU"/>
        </w:rPr>
        <w:t xml:space="preserve"> </w:t>
      </w:r>
      <w:r w:rsidR="00800F98" w:rsidRPr="009057C8">
        <w:rPr>
          <w:rFonts w:ascii="Times New Roman" w:hAnsi="Times New Roman"/>
          <w:sz w:val="24"/>
          <w:szCs w:val="24"/>
          <w:lang w:val="en-AU" w:eastAsia="en-AU"/>
        </w:rPr>
        <w:t>and</w:t>
      </w:r>
    </w:p>
    <w:p w14:paraId="652B4E9E" w14:textId="7E144741" w:rsidR="00FA3F0E" w:rsidRPr="009057C8" w:rsidRDefault="00FA3F0E" w:rsidP="00594DB4">
      <w:pPr>
        <w:pStyle w:val="APRABULLET"/>
        <w:numPr>
          <w:ilvl w:val="0"/>
          <w:numId w:val="23"/>
        </w:numPr>
        <w:rPr>
          <w:rFonts w:ascii="Times New Roman" w:hAnsi="Times New Roman"/>
          <w:sz w:val="24"/>
          <w:szCs w:val="24"/>
          <w:lang w:val="en-AU" w:eastAsia="en-AU"/>
        </w:rPr>
      </w:pPr>
      <w:r w:rsidRPr="009057C8">
        <w:rPr>
          <w:rFonts w:ascii="Times New Roman" w:hAnsi="Times New Roman"/>
          <w:sz w:val="24"/>
          <w:szCs w:val="24"/>
          <w:lang w:val="en-AU" w:eastAsia="en-AU"/>
        </w:rPr>
        <w:t>paragraph 47 has been amended to clarify that it references the comprehensive review, not the annual review.</w:t>
      </w:r>
    </w:p>
    <w:p w14:paraId="61916280" w14:textId="77777777" w:rsidR="00FC263F" w:rsidRDefault="00D72CF3" w:rsidP="00D72CF3">
      <w:pPr>
        <w:keepNext/>
        <w:shd w:val="clear" w:color="auto" w:fill="FFFFFF"/>
        <w:spacing w:before="100" w:beforeAutospacing="1" w:after="100" w:afterAutospacing="1"/>
        <w:jc w:val="left"/>
        <w:rPr>
          <w:rFonts w:ascii="Times New Roman" w:hAnsi="Times New Roman"/>
          <w:sz w:val="24"/>
        </w:rPr>
      </w:pPr>
      <w:r w:rsidRPr="009057C8">
        <w:rPr>
          <w:rFonts w:ascii="Times New Roman" w:hAnsi="Times New Roman"/>
          <w:sz w:val="24"/>
        </w:rPr>
        <w:t xml:space="preserve">The instrument provides a consistency in terminology and expectations across APRA-regulated institutions. Similar risks </w:t>
      </w:r>
      <w:r w:rsidR="00FA3F0E" w:rsidRPr="009057C8">
        <w:rPr>
          <w:rFonts w:ascii="Times New Roman" w:hAnsi="Times New Roman"/>
          <w:sz w:val="24"/>
        </w:rPr>
        <w:t>will</w:t>
      </w:r>
      <w:r w:rsidRPr="009057C8">
        <w:rPr>
          <w:rFonts w:ascii="Times New Roman" w:hAnsi="Times New Roman"/>
          <w:sz w:val="24"/>
        </w:rPr>
        <w:t xml:space="preserve"> be treated in a similar way and compliance will be simplified, particularly for groups that operate across APRA-regulated industries.</w:t>
      </w:r>
    </w:p>
    <w:p w14:paraId="7E1896AA" w14:textId="3A1ED8D2" w:rsidR="00D72CF3" w:rsidRPr="009057C8" w:rsidRDefault="00FC263F" w:rsidP="00D72CF3">
      <w:pPr>
        <w:keepNext/>
        <w:shd w:val="clear" w:color="auto" w:fill="FFFFFF"/>
        <w:spacing w:before="100" w:beforeAutospacing="1" w:after="100" w:afterAutospacing="1"/>
        <w:jc w:val="left"/>
        <w:rPr>
          <w:rFonts w:ascii="Times New Roman" w:hAnsi="Times New Roman"/>
          <w:sz w:val="24"/>
        </w:rPr>
      </w:pPr>
      <w:r w:rsidRPr="009057C8">
        <w:rPr>
          <w:rFonts w:ascii="Times New Roman" w:hAnsi="Times New Roman"/>
          <w:iCs/>
          <w:sz w:val="24"/>
        </w:rPr>
        <w:t xml:space="preserve">In </w:t>
      </w:r>
      <w:r w:rsidR="00B822D5">
        <w:rPr>
          <w:rFonts w:ascii="Times New Roman" w:hAnsi="Times New Roman"/>
          <w:iCs/>
          <w:sz w:val="24"/>
        </w:rPr>
        <w:t>CPS 220</w:t>
      </w:r>
      <w:r w:rsidRPr="009057C8">
        <w:rPr>
          <w:rFonts w:ascii="Times New Roman" w:hAnsi="Times New Roman"/>
          <w:iCs/>
          <w:sz w:val="24"/>
        </w:rPr>
        <w:t>, unless the contrary intention appears, a reference to an Act, Regulations or Prudential Standard is a reference to the Act, Regulations or Prudential Standard as in force from time to time</w:t>
      </w:r>
      <w:r>
        <w:rPr>
          <w:rFonts w:ascii="Times New Roman" w:hAnsi="Times New Roman"/>
          <w:iCs/>
          <w:sz w:val="24"/>
        </w:rPr>
        <w:t>.</w:t>
      </w:r>
    </w:p>
    <w:p w14:paraId="3F6BFE77" w14:textId="10299F7F" w:rsidR="00A37E1D" w:rsidRPr="009057C8" w:rsidRDefault="00A37E1D" w:rsidP="009254CE">
      <w:pPr>
        <w:pStyle w:val="ListParagraph"/>
        <w:keepNext/>
        <w:numPr>
          <w:ilvl w:val="0"/>
          <w:numId w:val="17"/>
        </w:numPr>
        <w:shd w:val="clear" w:color="auto" w:fill="FFFFFF" w:themeFill="background1"/>
        <w:spacing w:before="100" w:beforeAutospacing="1"/>
        <w:jc w:val="left"/>
        <w:rPr>
          <w:rFonts w:ascii="Times New Roman" w:hAnsi="Times New Roman"/>
          <w:b/>
          <w:sz w:val="24"/>
        </w:rPr>
      </w:pPr>
      <w:bookmarkStart w:id="7" w:name="bkoperation"/>
      <w:bookmarkStart w:id="8" w:name="bkConsultationNo"/>
      <w:bookmarkEnd w:id="7"/>
      <w:bookmarkEnd w:id="8"/>
      <w:r w:rsidRPr="009057C8">
        <w:rPr>
          <w:rFonts w:ascii="Times New Roman" w:hAnsi="Times New Roman"/>
          <w:b/>
          <w:sz w:val="24"/>
        </w:rPr>
        <w:t>Consultation</w:t>
      </w:r>
    </w:p>
    <w:p w14:paraId="303C2D23" w14:textId="2DACADB5" w:rsidR="00412C3B" w:rsidRPr="00FF3D25" w:rsidRDefault="00412C3B" w:rsidP="00412C3B">
      <w:pPr>
        <w:keepNext/>
        <w:shd w:val="clear" w:color="auto" w:fill="FFFFFF"/>
        <w:spacing w:before="100" w:beforeAutospacing="1" w:after="100" w:afterAutospacing="1"/>
        <w:jc w:val="left"/>
        <w:rPr>
          <w:rFonts w:ascii="Times New Roman" w:hAnsi="Times New Roman"/>
          <w:color w:val="000000" w:themeColor="text1"/>
          <w:sz w:val="24"/>
        </w:rPr>
      </w:pPr>
      <w:r w:rsidRPr="00FF3D25">
        <w:rPr>
          <w:rFonts w:ascii="Times New Roman" w:hAnsi="Times New Roman"/>
          <w:sz w:val="24"/>
        </w:rPr>
        <w:t>In 2015, following the transfer of prudential regulation of the private health insurance industry to APRA, a detailed review of the risk management arrangements and practices of the 33 private health insurers commenced. Undertaken over 20 months, the reviews found a range of governance, risk culture and risk management practices in the industry – some good and some concerning</w:t>
      </w:r>
      <w:r w:rsidR="00EB1ACB" w:rsidRPr="00FF3D25">
        <w:rPr>
          <w:rStyle w:val="FootnoteReference"/>
          <w:rFonts w:ascii="Times New Roman" w:hAnsi="Times New Roman"/>
          <w:sz w:val="24"/>
        </w:rPr>
        <w:footnoteReference w:id="1"/>
      </w:r>
      <w:r w:rsidRPr="00FF3D25">
        <w:rPr>
          <w:rFonts w:ascii="Times New Roman" w:hAnsi="Times New Roman"/>
          <w:sz w:val="24"/>
        </w:rPr>
        <w:t>.</w:t>
      </w:r>
      <w:r w:rsidR="001B367E" w:rsidRPr="00FF3D25">
        <w:rPr>
          <w:rFonts w:ascii="Times New Roman" w:hAnsi="Times New Roman"/>
          <w:sz w:val="24"/>
        </w:rPr>
        <w:t xml:space="preserve"> During that period APRA also attended industry meetings to answer questions on </w:t>
      </w:r>
      <w:r w:rsidR="00E029A9" w:rsidRPr="00FF3D25">
        <w:rPr>
          <w:rFonts w:ascii="Times New Roman" w:hAnsi="Times New Roman"/>
          <w:sz w:val="24"/>
        </w:rPr>
        <w:lastRenderedPageBreak/>
        <w:t>its plans to review the regulatory</w:t>
      </w:r>
      <w:r w:rsidR="001B367E" w:rsidRPr="00FF3D25">
        <w:rPr>
          <w:rFonts w:ascii="Times New Roman" w:hAnsi="Times New Roman"/>
          <w:sz w:val="24"/>
        </w:rPr>
        <w:t xml:space="preserve"> </w:t>
      </w:r>
      <w:r w:rsidR="00E029A9" w:rsidRPr="00FF3D25">
        <w:rPr>
          <w:rFonts w:ascii="Times New Roman" w:hAnsi="Times New Roman"/>
          <w:sz w:val="24"/>
        </w:rPr>
        <w:t>framework, of which the risk management review represented the first priority</w:t>
      </w:r>
      <w:r w:rsidR="001B367E" w:rsidRPr="00FF3D25">
        <w:rPr>
          <w:rFonts w:ascii="Times New Roman" w:hAnsi="Times New Roman"/>
          <w:sz w:val="24"/>
        </w:rPr>
        <w:t xml:space="preserve">. </w:t>
      </w:r>
    </w:p>
    <w:p w14:paraId="42ABA248" w14:textId="70AF78C3" w:rsidR="00EA00F3" w:rsidRPr="00FF3D25" w:rsidRDefault="001B367E" w:rsidP="00EA00F3">
      <w:pPr>
        <w:shd w:val="clear" w:color="auto" w:fill="FFFFFF"/>
        <w:spacing w:before="100" w:beforeAutospacing="1" w:after="100" w:afterAutospacing="1"/>
        <w:jc w:val="left"/>
        <w:rPr>
          <w:rFonts w:ascii="Times New Roman" w:hAnsi="Times New Roman"/>
          <w:sz w:val="24"/>
        </w:rPr>
      </w:pPr>
      <w:r w:rsidRPr="00FF3D25">
        <w:rPr>
          <w:rFonts w:ascii="Times New Roman" w:hAnsi="Times New Roman"/>
          <w:sz w:val="24"/>
        </w:rPr>
        <w:t>In December 2016</w:t>
      </w:r>
      <w:r w:rsidR="00800F98" w:rsidRPr="00FF3D25">
        <w:rPr>
          <w:rFonts w:ascii="Times New Roman" w:hAnsi="Times New Roman"/>
          <w:sz w:val="24"/>
        </w:rPr>
        <w:t>,</w:t>
      </w:r>
      <w:r w:rsidRPr="00FF3D25">
        <w:rPr>
          <w:rFonts w:ascii="Times New Roman" w:hAnsi="Times New Roman"/>
          <w:sz w:val="24"/>
        </w:rPr>
        <w:t xml:space="preserve"> </w:t>
      </w:r>
      <w:r w:rsidR="00605C21" w:rsidRPr="00FF3D25">
        <w:rPr>
          <w:rFonts w:ascii="Times New Roman" w:hAnsi="Times New Roman"/>
          <w:sz w:val="24"/>
        </w:rPr>
        <w:t xml:space="preserve">APRA </w:t>
      </w:r>
      <w:r w:rsidRPr="00FF3D25">
        <w:rPr>
          <w:rFonts w:ascii="Times New Roman" w:hAnsi="Times New Roman"/>
          <w:sz w:val="24"/>
        </w:rPr>
        <w:t>commenced</w:t>
      </w:r>
      <w:r w:rsidR="00605C21" w:rsidRPr="00FF3D25">
        <w:rPr>
          <w:rFonts w:ascii="Times New Roman" w:hAnsi="Times New Roman"/>
          <w:sz w:val="24"/>
        </w:rPr>
        <w:t xml:space="preserve"> </w:t>
      </w:r>
      <w:r w:rsidRPr="00FF3D25">
        <w:rPr>
          <w:rFonts w:ascii="Times New Roman" w:hAnsi="Times New Roman"/>
          <w:sz w:val="24"/>
        </w:rPr>
        <w:t xml:space="preserve">a </w:t>
      </w:r>
      <w:r w:rsidR="00E029A9" w:rsidRPr="00FF3D25">
        <w:rPr>
          <w:rFonts w:ascii="Times New Roman" w:hAnsi="Times New Roman"/>
          <w:sz w:val="24"/>
        </w:rPr>
        <w:t>formal</w:t>
      </w:r>
      <w:r w:rsidRPr="00FF3D25">
        <w:rPr>
          <w:rFonts w:ascii="Times New Roman" w:hAnsi="Times New Roman"/>
          <w:sz w:val="24"/>
        </w:rPr>
        <w:t xml:space="preserve"> four month </w:t>
      </w:r>
      <w:r w:rsidR="00605C21" w:rsidRPr="00FF3D25">
        <w:rPr>
          <w:rFonts w:ascii="Times New Roman" w:hAnsi="Times New Roman"/>
          <w:sz w:val="24"/>
        </w:rPr>
        <w:t xml:space="preserve">consultation on </w:t>
      </w:r>
      <w:r w:rsidR="006954D2" w:rsidRPr="00FF3D25">
        <w:rPr>
          <w:rFonts w:ascii="Times New Roman" w:hAnsi="Times New Roman"/>
          <w:sz w:val="24"/>
        </w:rPr>
        <w:t>the</w:t>
      </w:r>
      <w:r w:rsidR="00605C21" w:rsidRPr="00FF3D25">
        <w:rPr>
          <w:rFonts w:ascii="Times New Roman" w:hAnsi="Times New Roman"/>
          <w:sz w:val="24"/>
        </w:rPr>
        <w:t xml:space="preserve"> propos</w:t>
      </w:r>
      <w:r w:rsidR="00A37E1D" w:rsidRPr="00FF3D25">
        <w:rPr>
          <w:rFonts w:ascii="Times New Roman" w:hAnsi="Times New Roman"/>
          <w:sz w:val="24"/>
        </w:rPr>
        <w:t xml:space="preserve">al to include private health insurers under </w:t>
      </w:r>
      <w:r w:rsidR="00EB1ACB" w:rsidRPr="00FF3D25">
        <w:rPr>
          <w:rFonts w:ascii="Times New Roman" w:hAnsi="Times New Roman"/>
          <w:sz w:val="24"/>
        </w:rPr>
        <w:t>its</w:t>
      </w:r>
      <w:r w:rsidR="00A37E1D" w:rsidRPr="00FF3D25">
        <w:rPr>
          <w:rFonts w:ascii="Times New Roman" w:hAnsi="Times New Roman"/>
          <w:sz w:val="24"/>
        </w:rPr>
        <w:t xml:space="preserve"> cross-industry risk management </w:t>
      </w:r>
      <w:r w:rsidR="00800F98" w:rsidRPr="00FF3D25">
        <w:rPr>
          <w:rFonts w:ascii="Times New Roman" w:hAnsi="Times New Roman"/>
          <w:sz w:val="24"/>
        </w:rPr>
        <w:t>prudential standard</w:t>
      </w:r>
      <w:r w:rsidRPr="00FF3D25">
        <w:rPr>
          <w:rFonts w:ascii="Times New Roman" w:hAnsi="Times New Roman"/>
          <w:sz w:val="24"/>
        </w:rPr>
        <w:t>.</w:t>
      </w:r>
      <w:r w:rsidR="00EA00F3" w:rsidRPr="00FF3D25">
        <w:rPr>
          <w:rFonts w:ascii="Times New Roman" w:hAnsi="Times New Roman"/>
          <w:sz w:val="24"/>
        </w:rPr>
        <w:t xml:space="preserve"> APRA received submissions from a range of stakeholders including the two PHI industry associations, 12 APRA-regulated institutions and the Actuaries Institute. The insurer submissions represented a broad cross-section of the industry (approximately 83 per cent by market share).</w:t>
      </w:r>
    </w:p>
    <w:p w14:paraId="4D7D7B4C" w14:textId="79C4A665" w:rsidR="00EA00F3" w:rsidRPr="00FF3D25" w:rsidRDefault="00EA00F3" w:rsidP="00EA00F3">
      <w:pPr>
        <w:pStyle w:val="APRANORMAL"/>
        <w:rPr>
          <w:rFonts w:ascii="Times New Roman" w:hAnsi="Times New Roman"/>
          <w:sz w:val="24"/>
          <w:szCs w:val="24"/>
          <w:lang w:val="en-AU" w:eastAsia="en-AU"/>
        </w:rPr>
      </w:pPr>
      <w:r w:rsidRPr="00FF3D25">
        <w:rPr>
          <w:rFonts w:ascii="Times New Roman" w:hAnsi="Times New Roman"/>
          <w:sz w:val="24"/>
          <w:szCs w:val="24"/>
          <w:lang w:val="en-AU" w:eastAsia="en-AU"/>
        </w:rPr>
        <w:t xml:space="preserve">All submissions supported the introduction of a risk management standard for the industry. There was agreement that the core principles of CPS 220 </w:t>
      </w:r>
      <w:r w:rsidR="00EB1ACB" w:rsidRPr="00FF3D25">
        <w:rPr>
          <w:rFonts w:ascii="Times New Roman" w:hAnsi="Times New Roman"/>
          <w:sz w:val="24"/>
          <w:szCs w:val="24"/>
          <w:lang w:val="en-AU" w:eastAsia="en-AU"/>
        </w:rPr>
        <w:t>were</w:t>
      </w:r>
      <w:r w:rsidRPr="00FF3D25">
        <w:rPr>
          <w:rFonts w:ascii="Times New Roman" w:hAnsi="Times New Roman"/>
          <w:sz w:val="24"/>
          <w:szCs w:val="24"/>
          <w:lang w:val="en-AU" w:eastAsia="en-AU"/>
        </w:rPr>
        <w:t xml:space="preserve"> appropriate for the </w:t>
      </w:r>
      <w:r w:rsidR="00EB1ACB" w:rsidRPr="00FF3D25">
        <w:rPr>
          <w:rFonts w:ascii="Times New Roman" w:hAnsi="Times New Roman"/>
          <w:sz w:val="24"/>
          <w:szCs w:val="24"/>
          <w:lang w:val="en-AU" w:eastAsia="en-AU"/>
        </w:rPr>
        <w:t xml:space="preserve">private health insurance </w:t>
      </w:r>
      <w:r w:rsidRPr="00FF3D25">
        <w:rPr>
          <w:rFonts w:ascii="Times New Roman" w:hAnsi="Times New Roman"/>
          <w:sz w:val="24"/>
          <w:szCs w:val="24"/>
          <w:lang w:val="en-AU" w:eastAsia="en-AU"/>
        </w:rPr>
        <w:t xml:space="preserve">industry and that the proposed modifications to the standard to incorporate private health insurers </w:t>
      </w:r>
      <w:r w:rsidR="00EB1ACB" w:rsidRPr="00FF3D25">
        <w:rPr>
          <w:rFonts w:ascii="Times New Roman" w:hAnsi="Times New Roman"/>
          <w:sz w:val="24"/>
          <w:szCs w:val="24"/>
          <w:lang w:val="en-AU" w:eastAsia="en-AU"/>
        </w:rPr>
        <w:t>were</w:t>
      </w:r>
      <w:r w:rsidRPr="00FF3D25">
        <w:rPr>
          <w:rFonts w:ascii="Times New Roman" w:hAnsi="Times New Roman"/>
          <w:sz w:val="24"/>
          <w:szCs w:val="24"/>
          <w:lang w:val="en-AU" w:eastAsia="en-AU"/>
        </w:rPr>
        <w:t xml:space="preserve"> appropriate. Most observed that the requirements of CPS 220 represented sensible business practice, which will replace or enhance other processes currently in place.</w:t>
      </w:r>
    </w:p>
    <w:p w14:paraId="7A94309B" w14:textId="28A53999" w:rsidR="00D72CF3" w:rsidRPr="00FF3D25" w:rsidRDefault="00D72CF3" w:rsidP="00EA00F3">
      <w:pPr>
        <w:shd w:val="clear" w:color="auto" w:fill="FFFFFF"/>
        <w:spacing w:before="100" w:beforeAutospacing="1" w:after="100" w:afterAutospacing="1"/>
        <w:jc w:val="left"/>
        <w:rPr>
          <w:rFonts w:ascii="Times New Roman" w:hAnsi="Times New Roman"/>
          <w:sz w:val="24"/>
        </w:rPr>
      </w:pPr>
      <w:r w:rsidRPr="00FF3D25">
        <w:rPr>
          <w:rFonts w:ascii="Times New Roman" w:hAnsi="Times New Roman"/>
          <w:sz w:val="24"/>
        </w:rPr>
        <w:t xml:space="preserve">The consultation process raised </w:t>
      </w:r>
      <w:r w:rsidR="00EA00F3" w:rsidRPr="00FF3D25">
        <w:rPr>
          <w:rFonts w:ascii="Times New Roman" w:hAnsi="Times New Roman"/>
          <w:sz w:val="24"/>
        </w:rPr>
        <w:t>questions about</w:t>
      </w:r>
      <w:r w:rsidRPr="00FF3D25">
        <w:rPr>
          <w:rFonts w:ascii="Times New Roman" w:hAnsi="Times New Roman"/>
          <w:sz w:val="24"/>
        </w:rPr>
        <w:t xml:space="preserve"> </w:t>
      </w:r>
      <w:r w:rsidR="00EA00F3" w:rsidRPr="00FF3D25">
        <w:rPr>
          <w:rFonts w:ascii="Times New Roman" w:hAnsi="Times New Roman"/>
          <w:sz w:val="24"/>
        </w:rPr>
        <w:t xml:space="preserve">the role of the Chief Risk Officer, </w:t>
      </w:r>
      <w:r w:rsidRPr="00FF3D25">
        <w:rPr>
          <w:rFonts w:ascii="Times New Roman" w:hAnsi="Times New Roman"/>
          <w:sz w:val="24"/>
        </w:rPr>
        <w:t>group governance</w:t>
      </w:r>
      <w:r w:rsidR="00EA00F3" w:rsidRPr="00FF3D25">
        <w:rPr>
          <w:rFonts w:ascii="Times New Roman" w:hAnsi="Times New Roman"/>
          <w:sz w:val="24"/>
        </w:rPr>
        <w:t xml:space="preserve"> requirements</w:t>
      </w:r>
      <w:r w:rsidRPr="00FF3D25">
        <w:rPr>
          <w:rFonts w:ascii="Times New Roman" w:hAnsi="Times New Roman"/>
          <w:sz w:val="24"/>
        </w:rPr>
        <w:t xml:space="preserve">, </w:t>
      </w:r>
      <w:r w:rsidR="00EA00F3" w:rsidRPr="00FF3D25">
        <w:rPr>
          <w:rFonts w:ascii="Times New Roman" w:hAnsi="Times New Roman"/>
          <w:sz w:val="24"/>
        </w:rPr>
        <w:t xml:space="preserve">the identification and assessment of </w:t>
      </w:r>
      <w:r w:rsidRPr="00FF3D25">
        <w:rPr>
          <w:rFonts w:ascii="Times New Roman" w:hAnsi="Times New Roman"/>
          <w:sz w:val="24"/>
        </w:rPr>
        <w:t>material risk</w:t>
      </w:r>
      <w:r w:rsidR="00EA00F3" w:rsidRPr="00FF3D25">
        <w:rPr>
          <w:rFonts w:ascii="Times New Roman" w:hAnsi="Times New Roman"/>
          <w:sz w:val="24"/>
        </w:rPr>
        <w:t>s</w:t>
      </w:r>
      <w:r w:rsidRPr="00FF3D25">
        <w:rPr>
          <w:rFonts w:ascii="Times New Roman" w:hAnsi="Times New Roman"/>
          <w:sz w:val="24"/>
        </w:rPr>
        <w:t>,</w:t>
      </w:r>
      <w:r w:rsidR="00EA00F3" w:rsidRPr="00FF3D25">
        <w:rPr>
          <w:rFonts w:ascii="Times New Roman" w:hAnsi="Times New Roman"/>
          <w:sz w:val="24"/>
        </w:rPr>
        <w:t xml:space="preserve"> and </w:t>
      </w:r>
      <w:r w:rsidRPr="00FF3D25">
        <w:rPr>
          <w:rFonts w:ascii="Times New Roman" w:hAnsi="Times New Roman"/>
          <w:sz w:val="24"/>
        </w:rPr>
        <w:t>transition and reporting requirements.  </w:t>
      </w:r>
      <w:r w:rsidR="00800F98" w:rsidRPr="00FF3D25">
        <w:rPr>
          <w:rFonts w:ascii="Times New Roman" w:hAnsi="Times New Roman"/>
          <w:sz w:val="24"/>
        </w:rPr>
        <w:t>APRA responded to submissions in a</w:t>
      </w:r>
      <w:r w:rsidR="00EA00F3" w:rsidRPr="00FF3D25">
        <w:rPr>
          <w:rFonts w:ascii="Times New Roman" w:hAnsi="Times New Roman"/>
          <w:sz w:val="24"/>
        </w:rPr>
        <w:t xml:space="preserve"> </w:t>
      </w:r>
      <w:r w:rsidR="00EA00F3" w:rsidRPr="0023776E">
        <w:rPr>
          <w:rFonts w:ascii="Times New Roman" w:hAnsi="Times New Roman"/>
          <w:sz w:val="24"/>
        </w:rPr>
        <w:t>July</w:t>
      </w:r>
      <w:r w:rsidR="00074C6B" w:rsidRPr="0023776E">
        <w:rPr>
          <w:rFonts w:ascii="Times New Roman" w:hAnsi="Times New Roman"/>
          <w:sz w:val="24"/>
        </w:rPr>
        <w:t> </w:t>
      </w:r>
      <w:r w:rsidR="00EA00F3" w:rsidRPr="0023776E">
        <w:rPr>
          <w:rFonts w:ascii="Times New Roman" w:hAnsi="Times New Roman"/>
          <w:sz w:val="24"/>
        </w:rPr>
        <w:t>2017</w:t>
      </w:r>
      <w:r w:rsidR="00EA00F3" w:rsidRPr="00FF3D25">
        <w:rPr>
          <w:rFonts w:ascii="Times New Roman" w:hAnsi="Times New Roman"/>
          <w:sz w:val="24"/>
        </w:rPr>
        <w:t xml:space="preserve"> response paper. </w:t>
      </w:r>
    </w:p>
    <w:p w14:paraId="5D4711A5" w14:textId="77777777" w:rsidR="00AD64BE" w:rsidRPr="00FF3D25" w:rsidRDefault="00AD64BE" w:rsidP="00FD3E6E">
      <w:pPr>
        <w:pStyle w:val="BULLET1"/>
        <w:keepNext/>
        <w:numPr>
          <w:ilvl w:val="0"/>
          <w:numId w:val="17"/>
        </w:numPr>
        <w:rPr>
          <w:rFonts w:ascii="Times New Roman" w:hAnsi="Times New Roman" w:cs="Times New Roman"/>
          <w:b/>
          <w:sz w:val="24"/>
          <w:szCs w:val="24"/>
        </w:rPr>
      </w:pPr>
      <w:bookmarkStart w:id="9" w:name="bkRIS"/>
      <w:bookmarkStart w:id="10" w:name="bkConsultation"/>
      <w:bookmarkStart w:id="11" w:name="bkRISNO"/>
      <w:bookmarkEnd w:id="9"/>
      <w:bookmarkEnd w:id="10"/>
      <w:bookmarkEnd w:id="11"/>
      <w:r w:rsidRPr="00FF3D25">
        <w:rPr>
          <w:rFonts w:ascii="Times New Roman" w:hAnsi="Times New Roman" w:cs="Times New Roman"/>
          <w:b/>
          <w:sz w:val="24"/>
          <w:szCs w:val="24"/>
        </w:rPr>
        <w:t>Regulation Impact Statement</w:t>
      </w:r>
    </w:p>
    <w:p w14:paraId="0A7CBCE3" w14:textId="77777777" w:rsidR="00AD64BE" w:rsidRPr="00FF3D25" w:rsidRDefault="00AD64BE" w:rsidP="00FD3E6E">
      <w:pPr>
        <w:shd w:val="clear" w:color="auto" w:fill="FFFFFF"/>
        <w:spacing w:before="100" w:beforeAutospacing="1" w:after="100" w:afterAutospacing="1"/>
        <w:rPr>
          <w:rFonts w:ascii="Times New Roman" w:hAnsi="Times New Roman"/>
          <w:kern w:val="32"/>
          <w:sz w:val="24"/>
        </w:rPr>
      </w:pPr>
      <w:r w:rsidRPr="00FF3D25">
        <w:rPr>
          <w:rFonts w:ascii="Times New Roman" w:hAnsi="Times New Roman"/>
          <w:kern w:val="32"/>
          <w:sz w:val="24"/>
        </w:rPr>
        <w:t>The Office of Best Practice Regulation advised that a Regulation Impact Statement was not required for this determination.</w:t>
      </w:r>
    </w:p>
    <w:p w14:paraId="6E67110D" w14:textId="77777777" w:rsidR="00AD64BE" w:rsidRPr="00FD3E6E" w:rsidRDefault="00AD64BE" w:rsidP="00AD64BE">
      <w:pPr>
        <w:pStyle w:val="ListParagraph"/>
        <w:numPr>
          <w:ilvl w:val="0"/>
          <w:numId w:val="17"/>
        </w:numPr>
        <w:shd w:val="clear" w:color="auto" w:fill="FFFFFF"/>
        <w:spacing w:before="100" w:beforeAutospacing="1" w:after="100" w:afterAutospacing="1"/>
        <w:rPr>
          <w:rFonts w:ascii="Times New Roman" w:eastAsiaTheme="minorEastAsia" w:hAnsi="Times New Roman"/>
          <w:b/>
          <w:sz w:val="24"/>
        </w:rPr>
      </w:pPr>
      <w:r w:rsidRPr="00A66D9A">
        <w:rPr>
          <w:rFonts w:ascii="Times New Roman" w:eastAsiaTheme="minorEastAsia" w:hAnsi="Times New Roman"/>
          <w:b/>
          <w:sz w:val="24"/>
        </w:rPr>
        <w:t xml:space="preserve">Statement of compatibility prepared in accordance with Part 3 of the </w:t>
      </w:r>
      <w:r w:rsidRPr="00A66D9A">
        <w:rPr>
          <w:rFonts w:ascii="Times New Roman" w:eastAsiaTheme="minorEastAsia" w:hAnsi="Times New Roman"/>
          <w:b/>
          <w:i/>
          <w:sz w:val="24"/>
        </w:rPr>
        <w:t>Human Rights (Parliamentary Scrutiny) Act 2011</w:t>
      </w:r>
      <w:r w:rsidRPr="00FD3E6E">
        <w:rPr>
          <w:rFonts w:ascii="Times New Roman" w:eastAsiaTheme="minorEastAsia" w:hAnsi="Times New Roman"/>
          <w:b/>
          <w:sz w:val="24"/>
        </w:rPr>
        <w:t>.</w:t>
      </w:r>
    </w:p>
    <w:p w14:paraId="03060F98" w14:textId="77777777" w:rsidR="00AD64BE" w:rsidRPr="00FF3D25" w:rsidRDefault="00AD64BE" w:rsidP="00FD3E6E">
      <w:pPr>
        <w:shd w:val="clear" w:color="auto" w:fill="FFFFFF"/>
        <w:spacing w:before="100" w:beforeAutospacing="1" w:after="100" w:afterAutospacing="1"/>
        <w:rPr>
          <w:rFonts w:ascii="Times New Roman" w:hAnsi="Times New Roman"/>
          <w:kern w:val="32"/>
          <w:sz w:val="24"/>
        </w:rPr>
      </w:pPr>
      <w:r w:rsidRPr="00FF3D25">
        <w:rPr>
          <w:rFonts w:ascii="Times New Roman" w:hAnsi="Times New Roman"/>
          <w:kern w:val="32"/>
          <w:sz w:val="24"/>
        </w:rPr>
        <w:t xml:space="preserve">A Statement of compatibility prepared in accordance with Part 3 of the </w:t>
      </w:r>
      <w:r w:rsidRPr="00FF3D25">
        <w:rPr>
          <w:rFonts w:ascii="Times New Roman" w:hAnsi="Times New Roman"/>
          <w:i/>
          <w:kern w:val="32"/>
          <w:sz w:val="24"/>
        </w:rPr>
        <w:t>Human Rights (Parliamentary Scrutiny) Act 2011</w:t>
      </w:r>
      <w:r w:rsidRPr="00FF3D25">
        <w:rPr>
          <w:rFonts w:ascii="Times New Roman" w:hAnsi="Times New Roman"/>
          <w:kern w:val="32"/>
          <w:sz w:val="24"/>
        </w:rPr>
        <w:t xml:space="preserve"> is provided at Attachment A to this Explanatory Statement.</w:t>
      </w:r>
    </w:p>
    <w:p w14:paraId="1A90F50A" w14:textId="77777777" w:rsidR="00AD64BE" w:rsidRPr="00F212E9" w:rsidRDefault="00AD64BE" w:rsidP="00AD64BE">
      <w:pPr>
        <w:shd w:val="clear" w:color="auto" w:fill="FFFFFF"/>
        <w:spacing w:before="100" w:beforeAutospacing="1" w:after="100" w:afterAutospacing="1"/>
        <w:jc w:val="left"/>
        <w:rPr>
          <w:rFonts w:ascii="Times New Roman" w:hAnsi="Times New Roman"/>
          <w:sz w:val="24"/>
          <w:lang w:val="en-US"/>
        </w:rPr>
      </w:pPr>
      <w:r w:rsidRPr="00FF3D25">
        <w:rPr>
          <w:rFonts w:ascii="Times New Roman" w:hAnsi="Times New Roman"/>
          <w:sz w:val="24"/>
          <w:lang w:val="en-US"/>
        </w:rPr>
        <w:br w:type="page"/>
      </w:r>
      <w:r w:rsidRPr="00F212E9">
        <w:rPr>
          <w:rFonts w:ascii="Times New Roman" w:hAnsi="Times New Roman"/>
          <w:sz w:val="24"/>
          <w:lang w:val="en-US"/>
        </w:rPr>
        <w:lastRenderedPageBreak/>
        <w:t> </w:t>
      </w:r>
    </w:p>
    <w:p w14:paraId="46154AAA" w14:textId="77777777" w:rsidR="00AD64BE" w:rsidRPr="00FF3D25" w:rsidRDefault="00AD64BE" w:rsidP="00AD64BE">
      <w:pPr>
        <w:shd w:val="clear" w:color="auto" w:fill="FFFFFF"/>
        <w:spacing w:before="100" w:beforeAutospacing="1"/>
        <w:jc w:val="center"/>
        <w:rPr>
          <w:rFonts w:ascii="Times New Roman" w:hAnsi="Times New Roman"/>
          <w:sz w:val="24"/>
          <w:lang w:val="en-US"/>
        </w:rPr>
      </w:pPr>
      <w:r w:rsidRPr="00FF3D25">
        <w:rPr>
          <w:rFonts w:ascii="Times New Roman" w:hAnsi="Times New Roman"/>
          <w:b/>
          <w:bCs/>
          <w:sz w:val="24"/>
        </w:rPr>
        <w:t>ATTACHMENT A</w:t>
      </w:r>
    </w:p>
    <w:p w14:paraId="39DE37EC" w14:textId="77777777" w:rsidR="00AD64BE" w:rsidRPr="00FF3D25" w:rsidRDefault="00AD64BE" w:rsidP="00AD64BE">
      <w:pPr>
        <w:shd w:val="clear" w:color="auto" w:fill="FFFFFF"/>
        <w:spacing w:before="100" w:beforeAutospacing="1"/>
        <w:jc w:val="center"/>
        <w:rPr>
          <w:rFonts w:ascii="Times New Roman" w:hAnsi="Times New Roman"/>
          <w:sz w:val="24"/>
          <w:lang w:val="en-US"/>
        </w:rPr>
      </w:pPr>
      <w:r w:rsidRPr="00FF3D25">
        <w:rPr>
          <w:rFonts w:ascii="Times New Roman" w:hAnsi="Times New Roman"/>
          <w:b/>
          <w:bCs/>
          <w:sz w:val="24"/>
        </w:rPr>
        <w:t>Statement of Compatibility with Human Rights</w:t>
      </w:r>
    </w:p>
    <w:p w14:paraId="1D141C3F" w14:textId="77777777" w:rsidR="00AD64BE" w:rsidRPr="00FF3D25" w:rsidRDefault="00AD64BE" w:rsidP="00AD64BE">
      <w:pPr>
        <w:shd w:val="clear" w:color="auto" w:fill="FFFFFF"/>
        <w:spacing w:before="100" w:beforeAutospacing="1"/>
        <w:jc w:val="left"/>
        <w:rPr>
          <w:rFonts w:ascii="Times New Roman" w:hAnsi="Times New Roman"/>
          <w:sz w:val="24"/>
          <w:lang w:val="en-US"/>
        </w:rPr>
      </w:pPr>
      <w:r w:rsidRPr="00FF3D25">
        <w:rPr>
          <w:rFonts w:ascii="Times New Roman" w:hAnsi="Times New Roman"/>
          <w:i/>
          <w:iCs/>
          <w:sz w:val="24"/>
        </w:rPr>
        <w:t>Prepared in accordance with Part 3 of the Human Rights (Parliamentary Scrutiny) Act 2011</w:t>
      </w:r>
    </w:p>
    <w:p w14:paraId="2520DBB9" w14:textId="77777777" w:rsidR="00377F2E" w:rsidRDefault="00377F2E" w:rsidP="00FF3D25">
      <w:pPr>
        <w:shd w:val="clear" w:color="auto" w:fill="FFFFFF"/>
        <w:spacing w:after="0"/>
        <w:jc w:val="center"/>
        <w:rPr>
          <w:rFonts w:ascii="Times New Roman" w:hAnsi="Times New Roman"/>
          <w:b/>
          <w:iCs/>
          <w:sz w:val="24"/>
        </w:rPr>
      </w:pPr>
      <w:r w:rsidRPr="00FF3D25">
        <w:rPr>
          <w:rFonts w:ascii="Times New Roman" w:hAnsi="Times New Roman"/>
          <w:b/>
          <w:iCs/>
          <w:sz w:val="24"/>
        </w:rPr>
        <w:t>Banking, Insurance and Life Insurance (prudential standards) determination</w:t>
      </w:r>
    </w:p>
    <w:p w14:paraId="63A85D19" w14:textId="2F1CD7EB" w:rsidR="00377F2E" w:rsidRPr="00FF3D25" w:rsidRDefault="00377F2E" w:rsidP="00FF3D25">
      <w:pPr>
        <w:shd w:val="clear" w:color="auto" w:fill="FFFFFF"/>
        <w:spacing w:after="0"/>
        <w:jc w:val="center"/>
        <w:rPr>
          <w:rFonts w:ascii="Times New Roman" w:hAnsi="Times New Roman"/>
          <w:b/>
          <w:iCs/>
          <w:sz w:val="24"/>
        </w:rPr>
      </w:pPr>
      <w:r w:rsidRPr="00FF3D25">
        <w:rPr>
          <w:rFonts w:ascii="Times New Roman" w:hAnsi="Times New Roman"/>
          <w:b/>
          <w:iCs/>
          <w:sz w:val="24"/>
        </w:rPr>
        <w:t>No. 1 of 2017</w:t>
      </w:r>
    </w:p>
    <w:p w14:paraId="50BC85E0" w14:textId="30F56EF8" w:rsidR="00AD64BE" w:rsidRPr="00FF3D25" w:rsidRDefault="00AD64BE" w:rsidP="00AD64BE">
      <w:pPr>
        <w:shd w:val="clear" w:color="auto" w:fill="FFFFFF"/>
        <w:spacing w:before="100" w:beforeAutospacing="1"/>
        <w:jc w:val="left"/>
        <w:rPr>
          <w:rFonts w:ascii="Times New Roman" w:hAnsi="Times New Roman"/>
          <w:sz w:val="24"/>
          <w:lang w:val="en-US"/>
        </w:rPr>
      </w:pPr>
      <w:r w:rsidRPr="00FF3D25">
        <w:rPr>
          <w:rFonts w:ascii="Times New Roman" w:hAnsi="Times New Roman"/>
          <w:sz w:val="24"/>
        </w:rPr>
        <w:t xml:space="preserve">This Legislative Instrument is compatible with the human rights and freedoms recognised or declared in the international instruments listed in section 3 of the </w:t>
      </w:r>
      <w:r w:rsidRPr="00FF3D25">
        <w:rPr>
          <w:rFonts w:ascii="Times New Roman" w:hAnsi="Times New Roman"/>
          <w:i/>
          <w:iCs/>
          <w:sz w:val="24"/>
        </w:rPr>
        <w:t>Human Rights (Parliamentary Scrutiny) Act 2011</w:t>
      </w:r>
      <w:r w:rsidRPr="00FF3D25">
        <w:rPr>
          <w:rFonts w:ascii="Times New Roman" w:hAnsi="Times New Roman"/>
          <w:sz w:val="24"/>
        </w:rPr>
        <w:t xml:space="preserve"> (</w:t>
      </w:r>
      <w:r w:rsidRPr="00FF3D25">
        <w:rPr>
          <w:rFonts w:ascii="Times New Roman" w:hAnsi="Times New Roman"/>
          <w:bCs/>
          <w:i/>
          <w:iCs/>
          <w:sz w:val="24"/>
        </w:rPr>
        <w:t>HRPS Act</w:t>
      </w:r>
      <w:r w:rsidRPr="00FF3D25">
        <w:rPr>
          <w:rFonts w:ascii="Times New Roman" w:hAnsi="Times New Roman"/>
          <w:sz w:val="24"/>
        </w:rPr>
        <w:t>).</w:t>
      </w:r>
    </w:p>
    <w:p w14:paraId="6B68B40B" w14:textId="77777777" w:rsidR="00AD64BE" w:rsidRPr="00FF3D25" w:rsidRDefault="00AD64BE" w:rsidP="00AD64BE">
      <w:pPr>
        <w:shd w:val="clear" w:color="auto" w:fill="FFFFFF"/>
        <w:spacing w:before="100" w:beforeAutospacing="1"/>
        <w:jc w:val="left"/>
        <w:rPr>
          <w:rFonts w:ascii="Times New Roman" w:hAnsi="Times New Roman"/>
          <w:sz w:val="24"/>
          <w:lang w:val="en-US"/>
        </w:rPr>
      </w:pPr>
      <w:r w:rsidRPr="00FF3D25">
        <w:rPr>
          <w:rFonts w:ascii="Times New Roman" w:hAnsi="Times New Roman"/>
          <w:b/>
          <w:bCs/>
          <w:sz w:val="24"/>
        </w:rPr>
        <w:t xml:space="preserve">Overview of the Legislative Instrument </w:t>
      </w:r>
    </w:p>
    <w:p w14:paraId="2AD009C0" w14:textId="522315FF" w:rsidR="00AD64BE" w:rsidRPr="00FF3D25" w:rsidRDefault="00926C5C" w:rsidP="00926C5C">
      <w:pPr>
        <w:pStyle w:val="ListParagraph"/>
        <w:shd w:val="clear" w:color="auto" w:fill="FFFFFF"/>
        <w:spacing w:before="100" w:beforeAutospacing="1" w:after="100" w:afterAutospacing="1"/>
        <w:ind w:left="0"/>
        <w:jc w:val="left"/>
        <w:rPr>
          <w:rFonts w:ascii="Times New Roman" w:hAnsi="Times New Roman"/>
          <w:iCs/>
          <w:sz w:val="24"/>
        </w:rPr>
      </w:pPr>
      <w:r w:rsidRPr="00FF3D25">
        <w:rPr>
          <w:rFonts w:ascii="Times New Roman" w:hAnsi="Times New Roman"/>
          <w:sz w:val="24"/>
        </w:rPr>
        <w:t xml:space="preserve">The legislative instrument revokes </w:t>
      </w:r>
      <w:r w:rsidRPr="00FF3D25">
        <w:rPr>
          <w:rFonts w:ascii="Times New Roman" w:hAnsi="Times New Roman"/>
          <w:i/>
          <w:iCs/>
          <w:sz w:val="24"/>
        </w:rPr>
        <w:t>Prudential Standard</w:t>
      </w:r>
      <w:r w:rsidRPr="00FF3D25">
        <w:rPr>
          <w:rFonts w:ascii="Times New Roman" w:hAnsi="Times New Roman"/>
          <w:i/>
          <w:sz w:val="24"/>
        </w:rPr>
        <w:t xml:space="preserve"> </w:t>
      </w:r>
      <w:r w:rsidRPr="00FF3D25">
        <w:rPr>
          <w:rFonts w:ascii="Times New Roman" w:hAnsi="Times New Roman"/>
          <w:i/>
          <w:iCs/>
          <w:sz w:val="24"/>
          <w:lang w:val="en-US"/>
        </w:rPr>
        <w:t>CPS 220 Risk Management</w:t>
      </w:r>
      <w:r w:rsidRPr="00FF3D25">
        <w:rPr>
          <w:rFonts w:ascii="Times New Roman" w:hAnsi="Times New Roman"/>
          <w:iCs/>
          <w:sz w:val="24"/>
          <w:lang w:val="en-US"/>
        </w:rPr>
        <w:t xml:space="preserve"> (CPS 220) </w:t>
      </w:r>
      <w:r w:rsidR="00193DF8" w:rsidRPr="00193DF8">
        <w:rPr>
          <w:rFonts w:ascii="Times New Roman" w:hAnsi="Times New Roman"/>
          <w:iCs/>
          <w:sz w:val="24"/>
        </w:rPr>
        <w:t>made under Banking, Insurance and Life Insurance (prudential standard) determination No. 5 of</w:t>
      </w:r>
      <w:r w:rsidR="00193DF8" w:rsidRPr="00193DF8" w:rsidDel="00193DF8">
        <w:rPr>
          <w:rFonts w:ascii="Times New Roman" w:hAnsi="Times New Roman"/>
          <w:iCs/>
          <w:sz w:val="24"/>
        </w:rPr>
        <w:t xml:space="preserve"> </w:t>
      </w:r>
      <w:r w:rsidRPr="00FF3D25">
        <w:rPr>
          <w:rFonts w:ascii="Times New Roman" w:hAnsi="Times New Roman"/>
          <w:iCs/>
          <w:sz w:val="24"/>
        </w:rPr>
        <w:t xml:space="preserve"> in 2016 and replaces it with a new CPS 220. </w:t>
      </w:r>
      <w:r w:rsidR="00C84C64" w:rsidRPr="00FF3D25">
        <w:rPr>
          <w:rFonts w:ascii="Times New Roman" w:hAnsi="Times New Roman"/>
          <w:iCs/>
          <w:sz w:val="24"/>
        </w:rPr>
        <w:t xml:space="preserve">The instrument extends the </w:t>
      </w:r>
      <w:r w:rsidRPr="00FF3D25">
        <w:rPr>
          <w:rFonts w:ascii="Times New Roman" w:hAnsi="Times New Roman"/>
          <w:iCs/>
          <w:sz w:val="24"/>
        </w:rPr>
        <w:t xml:space="preserve">coverage of </w:t>
      </w:r>
      <w:r w:rsidR="00CF0956" w:rsidRPr="00FF3D25">
        <w:rPr>
          <w:rFonts w:ascii="Times New Roman" w:hAnsi="Times New Roman"/>
          <w:iCs/>
          <w:sz w:val="24"/>
        </w:rPr>
        <w:t>CPS 220</w:t>
      </w:r>
      <w:r w:rsidRPr="00FF3D25">
        <w:rPr>
          <w:rFonts w:ascii="Times New Roman" w:hAnsi="Times New Roman"/>
          <w:iCs/>
          <w:sz w:val="24"/>
        </w:rPr>
        <w:t xml:space="preserve"> </w:t>
      </w:r>
      <w:r w:rsidR="00CF0956" w:rsidRPr="00FF3D25">
        <w:rPr>
          <w:rFonts w:ascii="Times New Roman" w:hAnsi="Times New Roman"/>
          <w:iCs/>
          <w:sz w:val="24"/>
        </w:rPr>
        <w:t xml:space="preserve">to private health insurers under the </w:t>
      </w:r>
      <w:r w:rsidR="00CF0956" w:rsidRPr="00FF3D25">
        <w:rPr>
          <w:rFonts w:ascii="Times New Roman" w:hAnsi="Times New Roman"/>
          <w:i/>
          <w:iCs/>
          <w:sz w:val="24"/>
        </w:rPr>
        <w:t>Private Health Insurance (Prudential Supervision) Act 2015</w:t>
      </w:r>
      <w:r w:rsidR="00CF0956" w:rsidRPr="00FF3D25">
        <w:rPr>
          <w:rFonts w:ascii="Times New Roman" w:hAnsi="Times New Roman"/>
          <w:iCs/>
          <w:sz w:val="24"/>
        </w:rPr>
        <w:t>.</w:t>
      </w:r>
    </w:p>
    <w:p w14:paraId="0A12D90E" w14:textId="43234E65" w:rsidR="00AD64BE" w:rsidRPr="00FF3D25" w:rsidRDefault="00CF0956" w:rsidP="00CF0956">
      <w:pPr>
        <w:rPr>
          <w:rFonts w:ascii="Times New Roman" w:hAnsi="Times New Roman"/>
          <w:color w:val="000000"/>
          <w:sz w:val="24"/>
        </w:rPr>
      </w:pPr>
      <w:r w:rsidRPr="00FF3D25">
        <w:rPr>
          <w:rFonts w:ascii="Times New Roman" w:hAnsi="Times New Roman"/>
          <w:sz w:val="24"/>
        </w:rPr>
        <w:t>The instrument promotes sound risk management practices</w:t>
      </w:r>
      <w:r w:rsidRPr="00FF3D25">
        <w:rPr>
          <w:rFonts w:ascii="Times New Roman" w:hAnsi="Times New Roman"/>
          <w:color w:val="000000"/>
          <w:sz w:val="24"/>
        </w:rPr>
        <w:t xml:space="preserve">. </w:t>
      </w:r>
      <w:r w:rsidRPr="00FF3D25">
        <w:rPr>
          <w:rFonts w:ascii="Times New Roman" w:hAnsi="Times New Roman"/>
          <w:sz w:val="24"/>
        </w:rPr>
        <w:t xml:space="preserve">The prudential framework contained in CPS 220 </w:t>
      </w:r>
      <w:r w:rsidRPr="00FF3D25">
        <w:rPr>
          <w:rFonts w:ascii="Times New Roman" w:hAnsi="Times New Roman"/>
          <w:color w:val="000000" w:themeColor="text1"/>
          <w:sz w:val="24"/>
        </w:rPr>
        <w:t xml:space="preserve">provides a critical tool for identifying, assessing and monitoring risks with the potential to materially affect a </w:t>
      </w:r>
      <w:r w:rsidRPr="00FF3D25">
        <w:rPr>
          <w:rFonts w:ascii="Times New Roman" w:hAnsi="Times New Roman"/>
          <w:sz w:val="24"/>
        </w:rPr>
        <w:t>regulated institution’s</w:t>
      </w:r>
      <w:r w:rsidRPr="00FF3D25">
        <w:rPr>
          <w:rFonts w:ascii="Times New Roman" w:hAnsi="Times New Roman"/>
          <w:color w:val="000000" w:themeColor="text1"/>
          <w:sz w:val="24"/>
        </w:rPr>
        <w:t xml:space="preserve"> ability to meet its strategic, business and operational objectives, and to assess its overall risk of failure.</w:t>
      </w:r>
    </w:p>
    <w:p w14:paraId="4BAE6B53" w14:textId="2DE2A362" w:rsidR="00AD64BE" w:rsidRPr="00FF3D25" w:rsidRDefault="00AD64BE" w:rsidP="00AD64BE">
      <w:pPr>
        <w:pStyle w:val="ListParagraph"/>
        <w:shd w:val="clear" w:color="auto" w:fill="FFFFFF"/>
        <w:spacing w:before="100" w:beforeAutospacing="1" w:after="100" w:afterAutospacing="1"/>
        <w:ind w:left="0"/>
        <w:jc w:val="left"/>
        <w:rPr>
          <w:rFonts w:ascii="Times New Roman" w:hAnsi="Times New Roman"/>
          <w:sz w:val="24"/>
        </w:rPr>
      </w:pPr>
      <w:r w:rsidRPr="00FF3D25">
        <w:rPr>
          <w:rFonts w:ascii="Times New Roman" w:hAnsi="Times New Roman"/>
          <w:sz w:val="24"/>
        </w:rPr>
        <w:t>The instrument does not impose new prudential requirements on existing APRA-regulated institutions covered by the 2016 CPS 220 determination</w:t>
      </w:r>
      <w:r w:rsidR="00CF0956" w:rsidRPr="00FF3D25">
        <w:rPr>
          <w:rFonts w:ascii="Times New Roman" w:hAnsi="Times New Roman"/>
          <w:sz w:val="24"/>
        </w:rPr>
        <w:t>, but does include a number of minor variations to the 2016 determination to improve the clarity of the prudential standard</w:t>
      </w:r>
      <w:r w:rsidRPr="00FF3D25">
        <w:rPr>
          <w:rFonts w:ascii="Times New Roman" w:hAnsi="Times New Roman"/>
          <w:sz w:val="24"/>
        </w:rPr>
        <w:t>.</w:t>
      </w:r>
    </w:p>
    <w:p w14:paraId="7D582025" w14:textId="77777777" w:rsidR="00AD64BE" w:rsidRPr="00FF3D25" w:rsidRDefault="00AD64BE" w:rsidP="00AD64BE">
      <w:pPr>
        <w:shd w:val="clear" w:color="auto" w:fill="FFFFFF"/>
        <w:spacing w:before="100" w:beforeAutospacing="1"/>
        <w:jc w:val="left"/>
        <w:rPr>
          <w:rFonts w:ascii="Times New Roman" w:hAnsi="Times New Roman"/>
          <w:sz w:val="24"/>
          <w:lang w:val="en-US"/>
        </w:rPr>
      </w:pPr>
      <w:r w:rsidRPr="00FF3D25">
        <w:rPr>
          <w:rFonts w:ascii="Times New Roman" w:hAnsi="Times New Roman"/>
          <w:b/>
          <w:bCs/>
          <w:sz w:val="24"/>
        </w:rPr>
        <w:t>Human rights implications</w:t>
      </w:r>
    </w:p>
    <w:p w14:paraId="38D63935" w14:textId="77777777" w:rsidR="00AD64BE" w:rsidRPr="00FF3D25" w:rsidRDefault="00AD64BE" w:rsidP="00AD64BE">
      <w:pPr>
        <w:shd w:val="clear" w:color="auto" w:fill="FFFFFF"/>
        <w:spacing w:before="100" w:beforeAutospacing="1"/>
        <w:jc w:val="left"/>
        <w:rPr>
          <w:rFonts w:ascii="Times New Roman" w:hAnsi="Times New Roman"/>
          <w:sz w:val="24"/>
          <w:lang w:val="en-US"/>
        </w:rPr>
      </w:pPr>
      <w:r w:rsidRPr="00FF3D25">
        <w:rPr>
          <w:rFonts w:ascii="Times New Roman" w:hAnsi="Times New Roman"/>
          <w:sz w:val="24"/>
        </w:rPr>
        <w:t xml:space="preserve">APRA has assessed this Legislative Instrument and is of the view that it does not engage any of the applicable rights or freedoms recognised or declared in the international instruments </w:t>
      </w:r>
      <w:r w:rsidRPr="00FF3D25">
        <w:rPr>
          <w:rFonts w:ascii="Times New Roman" w:hAnsi="Times New Roman"/>
          <w:sz w:val="24"/>
        </w:rPr>
        <w:lastRenderedPageBreak/>
        <w:t>listed in section 3 of the HRPS Act. Accordingly, in APRA’s assessment, the instrument is compatible with human rights.</w:t>
      </w:r>
    </w:p>
    <w:p w14:paraId="0D5D7335" w14:textId="77777777" w:rsidR="00AD64BE" w:rsidRPr="00FF3D25" w:rsidRDefault="00AD64BE" w:rsidP="00AD64BE">
      <w:pPr>
        <w:shd w:val="clear" w:color="auto" w:fill="FFFFFF"/>
        <w:spacing w:before="100" w:beforeAutospacing="1"/>
        <w:jc w:val="left"/>
        <w:rPr>
          <w:rFonts w:ascii="Times New Roman" w:hAnsi="Times New Roman"/>
          <w:sz w:val="24"/>
          <w:lang w:val="en-US"/>
        </w:rPr>
      </w:pPr>
      <w:r w:rsidRPr="00FF3D25">
        <w:rPr>
          <w:rFonts w:ascii="Times New Roman" w:hAnsi="Times New Roman"/>
          <w:b/>
          <w:bCs/>
          <w:sz w:val="24"/>
        </w:rPr>
        <w:t>Conclusion</w:t>
      </w:r>
    </w:p>
    <w:p w14:paraId="712550F2" w14:textId="6C304F33" w:rsidR="00B531B4" w:rsidRPr="00B531B4" w:rsidRDefault="00AD64BE" w:rsidP="00FF3D25">
      <w:pPr>
        <w:shd w:val="clear" w:color="auto" w:fill="FFFFFF"/>
        <w:spacing w:before="100" w:beforeAutospacing="1"/>
        <w:jc w:val="left"/>
      </w:pPr>
      <w:r w:rsidRPr="00FF3D25">
        <w:rPr>
          <w:rFonts w:ascii="Times New Roman" w:hAnsi="Times New Roman"/>
          <w:i/>
          <w:iCs/>
          <w:sz w:val="24"/>
        </w:rPr>
        <w:t>Prudential Standard</w:t>
      </w:r>
      <w:r w:rsidRPr="00FF3D25">
        <w:rPr>
          <w:rFonts w:ascii="Times New Roman" w:hAnsi="Times New Roman"/>
          <w:sz w:val="24"/>
        </w:rPr>
        <w:t xml:space="preserve"> </w:t>
      </w:r>
      <w:r w:rsidRPr="00FF3D25">
        <w:rPr>
          <w:rFonts w:ascii="Times New Roman" w:hAnsi="Times New Roman"/>
          <w:i/>
          <w:iCs/>
          <w:sz w:val="24"/>
          <w:lang w:val="en-US"/>
        </w:rPr>
        <w:t xml:space="preserve">CPS 220 Risk Management </w:t>
      </w:r>
      <w:r w:rsidRPr="00FF3D25">
        <w:rPr>
          <w:rFonts w:ascii="Times New Roman" w:hAnsi="Times New Roman"/>
          <w:sz w:val="24"/>
          <w:lang w:val="en-US"/>
        </w:rPr>
        <w:t xml:space="preserve">is </w:t>
      </w:r>
      <w:r w:rsidRPr="00FF3D25">
        <w:rPr>
          <w:rFonts w:ascii="Times New Roman" w:hAnsi="Times New Roman"/>
          <w:sz w:val="24"/>
        </w:rPr>
        <w:t>compatible with human rights as it does not raise any human rights issues.</w:t>
      </w:r>
    </w:p>
    <w:sectPr w:rsidR="00B531B4" w:rsidRPr="00B531B4" w:rsidSect="00C62913">
      <w:headerReference w:type="default" r:id="rId14"/>
      <w:headerReference w:type="first" r:id="rId15"/>
      <w:pgSz w:w="11906" w:h="16838" w:code="9"/>
      <w:pgMar w:top="1440" w:right="1440" w:bottom="1440" w:left="1440" w:header="567" w:footer="567"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462B28C" w14:textId="77777777" w:rsidR="00605C21" w:rsidRDefault="00605C21" w:rsidP="007A463E">
      <w:pPr>
        <w:spacing w:after="0"/>
      </w:pPr>
      <w:r>
        <w:separator/>
      </w:r>
    </w:p>
    <w:p w14:paraId="59684D52" w14:textId="77777777" w:rsidR="00605C21" w:rsidRDefault="00605C21"/>
  </w:endnote>
  <w:endnote w:type="continuationSeparator" w:id="0">
    <w:p w14:paraId="116B1FEE" w14:textId="77777777" w:rsidR="00605C21" w:rsidRDefault="00605C21" w:rsidP="007A463E">
      <w:pPr>
        <w:spacing w:after="0"/>
      </w:pPr>
      <w:r>
        <w:continuationSeparator/>
      </w:r>
    </w:p>
    <w:p w14:paraId="55B49878" w14:textId="77777777" w:rsidR="00605C21" w:rsidRDefault="00605C2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rebuchet MS">
    <w:panose1 w:val="020B0603020202020204"/>
    <w:charset w:val="00"/>
    <w:family w:val="swiss"/>
    <w:pitch w:val="variable"/>
    <w:sig w:usb0="000006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Times">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DIN OT Light">
    <w:panose1 w:val="020B0504020201010104"/>
    <w:charset w:val="00"/>
    <w:family w:val="swiss"/>
    <w:pitch w:val="variable"/>
    <w:sig w:usb0="800000EF" w:usb1="4000A47B"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505927C" w14:textId="77777777" w:rsidR="00605C21" w:rsidRDefault="00605C21" w:rsidP="007A463E">
      <w:pPr>
        <w:spacing w:after="0"/>
      </w:pPr>
      <w:r>
        <w:separator/>
      </w:r>
    </w:p>
    <w:p w14:paraId="51D179C9" w14:textId="77777777" w:rsidR="00605C21" w:rsidRDefault="00605C21"/>
  </w:footnote>
  <w:footnote w:type="continuationSeparator" w:id="0">
    <w:p w14:paraId="6C39EC95" w14:textId="77777777" w:rsidR="00605C21" w:rsidRDefault="00605C21" w:rsidP="007A463E">
      <w:pPr>
        <w:spacing w:after="0"/>
      </w:pPr>
      <w:r>
        <w:continuationSeparator/>
      </w:r>
    </w:p>
    <w:p w14:paraId="053604CC" w14:textId="77777777" w:rsidR="00605C21" w:rsidRDefault="00605C21"/>
  </w:footnote>
  <w:footnote w:id="1">
    <w:p w14:paraId="5490D464" w14:textId="4F1F6716" w:rsidR="00EB1ACB" w:rsidRPr="00FF3D25" w:rsidRDefault="00EB1ACB">
      <w:pPr>
        <w:pStyle w:val="FootnoteText"/>
        <w:rPr>
          <w:rFonts w:ascii="Times New Roman" w:hAnsi="Times New Roman"/>
          <w:szCs w:val="18"/>
        </w:rPr>
      </w:pPr>
      <w:r w:rsidRPr="00FF3D25">
        <w:rPr>
          <w:rStyle w:val="FootnoteReference"/>
          <w:rFonts w:ascii="Times New Roman" w:hAnsi="Times New Roman"/>
          <w:szCs w:val="18"/>
        </w:rPr>
        <w:footnoteRef/>
      </w:r>
      <w:r w:rsidRPr="00FF3D25">
        <w:rPr>
          <w:rFonts w:ascii="Times New Roman" w:hAnsi="Times New Roman"/>
          <w:szCs w:val="18"/>
        </w:rPr>
        <w:t xml:space="preserve"> </w:t>
      </w:r>
      <w:hyperlink r:id="rId1" w:history="1">
        <w:r w:rsidR="00EC06FA" w:rsidRPr="00691456">
          <w:rPr>
            <w:rStyle w:val="Hyperlink"/>
            <w:rFonts w:ascii="Times New Roman" w:hAnsi="Times New Roman"/>
            <w:sz w:val="18"/>
            <w:szCs w:val="18"/>
          </w:rPr>
          <w:t>http://www.apra.gov.au/PHI/Documents/PHI_Industry_Report_Risk_Management_July_2017.pdf</w:t>
        </w:r>
      </w:hyperlink>
      <w:r w:rsidR="00EC06FA">
        <w:rPr>
          <w:rFonts w:ascii="Times New Roman" w:hAnsi="Times New Roman"/>
          <w:szCs w:val="18"/>
        </w:rPr>
        <w:t xml:space="preserve">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F2E4BD9" w14:textId="77777777" w:rsidR="00665727" w:rsidRPr="00665727" w:rsidRDefault="00665727" w:rsidP="00665727">
    <w:pPr>
      <w:pStyle w:val="Header"/>
      <w:jc w:val="righ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94707DE" w14:textId="7E9F025B" w:rsidR="000D09FA" w:rsidRPr="00B33928" w:rsidRDefault="000D09FA" w:rsidP="00B33928">
    <w:pPr>
      <w:pStyle w:val="Header"/>
      <w:jc w:val="center"/>
      <w:rPr>
        <w:b/>
        <w:color w:val="FF000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265E3206"/>
    <w:lvl w:ilvl="0">
      <w:start w:val="1"/>
      <w:numFmt w:val="lowerLetter"/>
      <w:pStyle w:val="ListNumber5"/>
      <w:lvlText w:val="%1."/>
      <w:lvlJc w:val="left"/>
      <w:pPr>
        <w:ind w:left="1492" w:hanging="360"/>
      </w:pPr>
    </w:lvl>
  </w:abstractNum>
  <w:abstractNum w:abstractNumId="1" w15:restartNumberingAfterBreak="0">
    <w:nsid w:val="FFFFFF7D"/>
    <w:multiLevelType w:val="singleLevel"/>
    <w:tmpl w:val="989E8622"/>
    <w:lvl w:ilvl="0">
      <w:start w:val="1"/>
      <w:numFmt w:val="lowerRoman"/>
      <w:pStyle w:val="ListNumber4"/>
      <w:lvlText w:val="%1."/>
      <w:lvlJc w:val="right"/>
      <w:pPr>
        <w:ind w:left="1209" w:hanging="360"/>
      </w:pPr>
    </w:lvl>
  </w:abstractNum>
  <w:abstractNum w:abstractNumId="2" w15:restartNumberingAfterBreak="0">
    <w:nsid w:val="FFFFFF7E"/>
    <w:multiLevelType w:val="singleLevel"/>
    <w:tmpl w:val="767836BE"/>
    <w:lvl w:ilvl="0">
      <w:start w:val="1"/>
      <w:numFmt w:val="decimal"/>
      <w:pStyle w:val="ListNumber3"/>
      <w:lvlText w:val="%1.1.1"/>
      <w:lvlJc w:val="left"/>
      <w:pPr>
        <w:ind w:left="926" w:hanging="360"/>
      </w:pPr>
      <w:rPr>
        <w:rFonts w:ascii="Trebuchet MS" w:hAnsi="Trebuchet MS" w:hint="default"/>
      </w:rPr>
    </w:lvl>
  </w:abstractNum>
  <w:abstractNum w:abstractNumId="3" w15:restartNumberingAfterBreak="0">
    <w:nsid w:val="FFFFFF7F"/>
    <w:multiLevelType w:val="singleLevel"/>
    <w:tmpl w:val="B25284C2"/>
    <w:lvl w:ilvl="0">
      <w:start w:val="1"/>
      <w:numFmt w:val="decimal"/>
      <w:pStyle w:val="ListNumber2"/>
      <w:lvlText w:val="%1.1"/>
      <w:lvlJc w:val="left"/>
      <w:pPr>
        <w:ind w:left="643" w:hanging="360"/>
      </w:pPr>
      <w:rPr>
        <w:rFonts w:ascii="Trebuchet MS" w:hAnsi="Trebuchet MS" w:hint="default"/>
      </w:rPr>
    </w:lvl>
  </w:abstractNum>
  <w:abstractNum w:abstractNumId="4" w15:restartNumberingAfterBreak="0">
    <w:nsid w:val="FFFFFF88"/>
    <w:multiLevelType w:val="multilevel"/>
    <w:tmpl w:val="25DA7400"/>
    <w:lvl w:ilvl="0">
      <w:start w:val="1"/>
      <w:numFmt w:val="decimal"/>
      <w:pStyle w:val="ListNumber"/>
      <w:lvlText w:val="%1."/>
      <w:lvlJc w:val="left"/>
      <w:pPr>
        <w:tabs>
          <w:tab w:val="num" w:pos="360"/>
        </w:tabs>
        <w:ind w:left="360" w:hanging="360"/>
      </w:pPr>
    </w:lvl>
    <w:lvl w:ilvl="1">
      <w:start w:val="1"/>
      <w:numFmt w:val="decimal"/>
      <w:isLgl/>
      <w:lvlText w:val="%1.%2"/>
      <w:lvlJc w:val="left"/>
      <w:pPr>
        <w:ind w:left="643" w:hanging="360"/>
      </w:pPr>
      <w:rPr>
        <w:rFonts w:hint="default"/>
      </w:rPr>
    </w:lvl>
    <w:lvl w:ilvl="2">
      <w:start w:val="1"/>
      <w:numFmt w:val="decimal"/>
      <w:isLgl/>
      <w:lvlText w:val="%1.%2.%3"/>
      <w:lvlJc w:val="left"/>
      <w:pPr>
        <w:ind w:left="1286" w:hanging="720"/>
      </w:pPr>
      <w:rPr>
        <w:rFonts w:hint="default"/>
      </w:rPr>
    </w:lvl>
    <w:lvl w:ilvl="3">
      <w:start w:val="1"/>
      <w:numFmt w:val="decimal"/>
      <w:isLgl/>
      <w:lvlText w:val="%1.%2.%3.%4"/>
      <w:lvlJc w:val="left"/>
      <w:pPr>
        <w:ind w:left="1569" w:hanging="720"/>
      </w:pPr>
      <w:rPr>
        <w:rFonts w:hint="default"/>
      </w:rPr>
    </w:lvl>
    <w:lvl w:ilvl="4">
      <w:start w:val="1"/>
      <w:numFmt w:val="decimal"/>
      <w:isLgl/>
      <w:lvlText w:val="%1.%2.%3.%4.%5"/>
      <w:lvlJc w:val="left"/>
      <w:pPr>
        <w:ind w:left="2212" w:hanging="1080"/>
      </w:pPr>
      <w:rPr>
        <w:rFonts w:hint="default"/>
      </w:rPr>
    </w:lvl>
    <w:lvl w:ilvl="5">
      <w:start w:val="1"/>
      <w:numFmt w:val="decimal"/>
      <w:isLgl/>
      <w:lvlText w:val="%1.%2.%3.%4.%5.%6"/>
      <w:lvlJc w:val="left"/>
      <w:pPr>
        <w:ind w:left="2855" w:hanging="1440"/>
      </w:pPr>
      <w:rPr>
        <w:rFonts w:hint="default"/>
      </w:rPr>
    </w:lvl>
    <w:lvl w:ilvl="6">
      <w:start w:val="1"/>
      <w:numFmt w:val="decimal"/>
      <w:isLgl/>
      <w:lvlText w:val="%1.%2.%3.%4.%5.%6.%7"/>
      <w:lvlJc w:val="left"/>
      <w:pPr>
        <w:ind w:left="3138" w:hanging="1440"/>
      </w:pPr>
      <w:rPr>
        <w:rFonts w:hint="default"/>
      </w:rPr>
    </w:lvl>
    <w:lvl w:ilvl="7">
      <w:start w:val="1"/>
      <w:numFmt w:val="decimal"/>
      <w:isLgl/>
      <w:lvlText w:val="%1.%2.%3.%4.%5.%6.%7.%8"/>
      <w:lvlJc w:val="left"/>
      <w:pPr>
        <w:ind w:left="3781" w:hanging="1800"/>
      </w:pPr>
      <w:rPr>
        <w:rFonts w:hint="default"/>
      </w:rPr>
    </w:lvl>
    <w:lvl w:ilvl="8">
      <w:start w:val="1"/>
      <w:numFmt w:val="decimal"/>
      <w:isLgl/>
      <w:lvlText w:val="%1.%2.%3.%4.%5.%6.%7.%8.%9"/>
      <w:lvlJc w:val="left"/>
      <w:pPr>
        <w:ind w:left="4064" w:hanging="1800"/>
      </w:pPr>
      <w:rPr>
        <w:rFonts w:hint="default"/>
      </w:rPr>
    </w:lvl>
  </w:abstractNum>
  <w:abstractNum w:abstractNumId="5" w15:restartNumberingAfterBreak="0">
    <w:nsid w:val="00921E05"/>
    <w:multiLevelType w:val="hybridMultilevel"/>
    <w:tmpl w:val="AED81594"/>
    <w:lvl w:ilvl="0" w:tplc="8528B9EC">
      <w:start w:val="1"/>
      <w:numFmt w:val="bullet"/>
      <w:pStyle w:val="BULLET3"/>
      <w:lvlText w:val="o"/>
      <w:lvlJc w:val="left"/>
      <w:pPr>
        <w:ind w:left="1571" w:hanging="360"/>
      </w:pPr>
      <w:rPr>
        <w:rFonts w:ascii="Courier New" w:hAnsi="Courier New" w:cs="Courier New" w:hint="default"/>
      </w:rPr>
    </w:lvl>
    <w:lvl w:ilvl="1" w:tplc="0C090003" w:tentative="1">
      <w:start w:val="1"/>
      <w:numFmt w:val="bullet"/>
      <w:lvlText w:val="o"/>
      <w:lvlJc w:val="left"/>
      <w:pPr>
        <w:ind w:left="2291" w:hanging="360"/>
      </w:pPr>
      <w:rPr>
        <w:rFonts w:ascii="Courier New" w:hAnsi="Courier New" w:cs="Courier New" w:hint="default"/>
      </w:rPr>
    </w:lvl>
    <w:lvl w:ilvl="2" w:tplc="0C090005" w:tentative="1">
      <w:start w:val="1"/>
      <w:numFmt w:val="bullet"/>
      <w:lvlText w:val=""/>
      <w:lvlJc w:val="left"/>
      <w:pPr>
        <w:ind w:left="3011" w:hanging="360"/>
      </w:pPr>
      <w:rPr>
        <w:rFonts w:ascii="Wingdings" w:hAnsi="Wingdings" w:hint="default"/>
      </w:rPr>
    </w:lvl>
    <w:lvl w:ilvl="3" w:tplc="0C090001" w:tentative="1">
      <w:start w:val="1"/>
      <w:numFmt w:val="bullet"/>
      <w:lvlText w:val=""/>
      <w:lvlJc w:val="left"/>
      <w:pPr>
        <w:ind w:left="3731" w:hanging="360"/>
      </w:pPr>
      <w:rPr>
        <w:rFonts w:ascii="Symbol" w:hAnsi="Symbol" w:hint="default"/>
      </w:rPr>
    </w:lvl>
    <w:lvl w:ilvl="4" w:tplc="0C090003" w:tentative="1">
      <w:start w:val="1"/>
      <w:numFmt w:val="bullet"/>
      <w:lvlText w:val="o"/>
      <w:lvlJc w:val="left"/>
      <w:pPr>
        <w:ind w:left="4451" w:hanging="360"/>
      </w:pPr>
      <w:rPr>
        <w:rFonts w:ascii="Courier New" w:hAnsi="Courier New" w:cs="Courier New" w:hint="default"/>
      </w:rPr>
    </w:lvl>
    <w:lvl w:ilvl="5" w:tplc="0C090005" w:tentative="1">
      <w:start w:val="1"/>
      <w:numFmt w:val="bullet"/>
      <w:lvlText w:val=""/>
      <w:lvlJc w:val="left"/>
      <w:pPr>
        <w:ind w:left="5171" w:hanging="360"/>
      </w:pPr>
      <w:rPr>
        <w:rFonts w:ascii="Wingdings" w:hAnsi="Wingdings" w:hint="default"/>
      </w:rPr>
    </w:lvl>
    <w:lvl w:ilvl="6" w:tplc="0C090001" w:tentative="1">
      <w:start w:val="1"/>
      <w:numFmt w:val="bullet"/>
      <w:lvlText w:val=""/>
      <w:lvlJc w:val="left"/>
      <w:pPr>
        <w:ind w:left="5891" w:hanging="360"/>
      </w:pPr>
      <w:rPr>
        <w:rFonts w:ascii="Symbol" w:hAnsi="Symbol" w:hint="default"/>
      </w:rPr>
    </w:lvl>
    <w:lvl w:ilvl="7" w:tplc="0C090003" w:tentative="1">
      <w:start w:val="1"/>
      <w:numFmt w:val="bullet"/>
      <w:lvlText w:val="o"/>
      <w:lvlJc w:val="left"/>
      <w:pPr>
        <w:ind w:left="6611" w:hanging="360"/>
      </w:pPr>
      <w:rPr>
        <w:rFonts w:ascii="Courier New" w:hAnsi="Courier New" w:cs="Courier New" w:hint="default"/>
      </w:rPr>
    </w:lvl>
    <w:lvl w:ilvl="8" w:tplc="0C090005" w:tentative="1">
      <w:start w:val="1"/>
      <w:numFmt w:val="bullet"/>
      <w:lvlText w:val=""/>
      <w:lvlJc w:val="left"/>
      <w:pPr>
        <w:ind w:left="7331" w:hanging="360"/>
      </w:pPr>
      <w:rPr>
        <w:rFonts w:ascii="Wingdings" w:hAnsi="Wingdings" w:hint="default"/>
      </w:rPr>
    </w:lvl>
  </w:abstractNum>
  <w:abstractNum w:abstractNumId="6" w15:restartNumberingAfterBreak="0">
    <w:nsid w:val="01776129"/>
    <w:multiLevelType w:val="hybridMultilevel"/>
    <w:tmpl w:val="2E3885DE"/>
    <w:lvl w:ilvl="0" w:tplc="4D169E66">
      <w:start w:val="1"/>
      <w:numFmt w:val="bullet"/>
      <w:pStyle w:val="BULLET2"/>
      <w:lvlText w:val="―"/>
      <w:lvlJc w:val="left"/>
      <w:pPr>
        <w:ind w:left="785" w:hanging="360"/>
      </w:pPr>
      <w:rPr>
        <w:rFonts w:ascii="Trebuchet MS" w:hAnsi="Trebuchet M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10274D99"/>
    <w:multiLevelType w:val="hybridMultilevel"/>
    <w:tmpl w:val="719A9CF2"/>
    <w:lvl w:ilvl="0" w:tplc="0C090001">
      <w:start w:val="1"/>
      <w:numFmt w:val="bullet"/>
      <w:lvlText w:val=""/>
      <w:lvlJc w:val="left"/>
      <w:pPr>
        <w:ind w:left="790" w:hanging="360"/>
      </w:pPr>
      <w:rPr>
        <w:rFonts w:ascii="Symbol" w:hAnsi="Symbol" w:hint="default"/>
      </w:rPr>
    </w:lvl>
    <w:lvl w:ilvl="1" w:tplc="0C090003" w:tentative="1">
      <w:start w:val="1"/>
      <w:numFmt w:val="bullet"/>
      <w:lvlText w:val="o"/>
      <w:lvlJc w:val="left"/>
      <w:pPr>
        <w:ind w:left="1510" w:hanging="360"/>
      </w:pPr>
      <w:rPr>
        <w:rFonts w:ascii="Courier New" w:hAnsi="Courier New" w:cs="Courier New" w:hint="default"/>
      </w:rPr>
    </w:lvl>
    <w:lvl w:ilvl="2" w:tplc="0C090005" w:tentative="1">
      <w:start w:val="1"/>
      <w:numFmt w:val="bullet"/>
      <w:lvlText w:val=""/>
      <w:lvlJc w:val="left"/>
      <w:pPr>
        <w:ind w:left="2230" w:hanging="360"/>
      </w:pPr>
      <w:rPr>
        <w:rFonts w:ascii="Wingdings" w:hAnsi="Wingdings" w:hint="default"/>
      </w:rPr>
    </w:lvl>
    <w:lvl w:ilvl="3" w:tplc="0C090001" w:tentative="1">
      <w:start w:val="1"/>
      <w:numFmt w:val="bullet"/>
      <w:lvlText w:val=""/>
      <w:lvlJc w:val="left"/>
      <w:pPr>
        <w:ind w:left="2950" w:hanging="360"/>
      </w:pPr>
      <w:rPr>
        <w:rFonts w:ascii="Symbol" w:hAnsi="Symbol" w:hint="default"/>
      </w:rPr>
    </w:lvl>
    <w:lvl w:ilvl="4" w:tplc="0C090003" w:tentative="1">
      <w:start w:val="1"/>
      <w:numFmt w:val="bullet"/>
      <w:lvlText w:val="o"/>
      <w:lvlJc w:val="left"/>
      <w:pPr>
        <w:ind w:left="3670" w:hanging="360"/>
      </w:pPr>
      <w:rPr>
        <w:rFonts w:ascii="Courier New" w:hAnsi="Courier New" w:cs="Courier New" w:hint="default"/>
      </w:rPr>
    </w:lvl>
    <w:lvl w:ilvl="5" w:tplc="0C090005" w:tentative="1">
      <w:start w:val="1"/>
      <w:numFmt w:val="bullet"/>
      <w:lvlText w:val=""/>
      <w:lvlJc w:val="left"/>
      <w:pPr>
        <w:ind w:left="4390" w:hanging="360"/>
      </w:pPr>
      <w:rPr>
        <w:rFonts w:ascii="Wingdings" w:hAnsi="Wingdings" w:hint="default"/>
      </w:rPr>
    </w:lvl>
    <w:lvl w:ilvl="6" w:tplc="0C090001" w:tentative="1">
      <w:start w:val="1"/>
      <w:numFmt w:val="bullet"/>
      <w:lvlText w:val=""/>
      <w:lvlJc w:val="left"/>
      <w:pPr>
        <w:ind w:left="5110" w:hanging="360"/>
      </w:pPr>
      <w:rPr>
        <w:rFonts w:ascii="Symbol" w:hAnsi="Symbol" w:hint="default"/>
      </w:rPr>
    </w:lvl>
    <w:lvl w:ilvl="7" w:tplc="0C090003" w:tentative="1">
      <w:start w:val="1"/>
      <w:numFmt w:val="bullet"/>
      <w:lvlText w:val="o"/>
      <w:lvlJc w:val="left"/>
      <w:pPr>
        <w:ind w:left="5830" w:hanging="360"/>
      </w:pPr>
      <w:rPr>
        <w:rFonts w:ascii="Courier New" w:hAnsi="Courier New" w:cs="Courier New" w:hint="default"/>
      </w:rPr>
    </w:lvl>
    <w:lvl w:ilvl="8" w:tplc="0C090005" w:tentative="1">
      <w:start w:val="1"/>
      <w:numFmt w:val="bullet"/>
      <w:lvlText w:val=""/>
      <w:lvlJc w:val="left"/>
      <w:pPr>
        <w:ind w:left="6550" w:hanging="360"/>
      </w:pPr>
      <w:rPr>
        <w:rFonts w:ascii="Wingdings" w:hAnsi="Wingdings" w:hint="default"/>
      </w:rPr>
    </w:lvl>
  </w:abstractNum>
  <w:abstractNum w:abstractNumId="8" w15:restartNumberingAfterBreak="0">
    <w:nsid w:val="1C6C12A2"/>
    <w:multiLevelType w:val="hybridMultilevel"/>
    <w:tmpl w:val="C3788E00"/>
    <w:lvl w:ilvl="0" w:tplc="0C090001">
      <w:start w:val="1"/>
      <w:numFmt w:val="bullet"/>
      <w:lvlText w:val=""/>
      <w:lvlJc w:val="left"/>
      <w:pPr>
        <w:tabs>
          <w:tab w:val="num" w:pos="720"/>
        </w:tabs>
        <w:ind w:left="720" w:hanging="360"/>
      </w:pPr>
      <w:rPr>
        <w:rFonts w:ascii="Symbol" w:hAnsi="Symbol" w:hint="default"/>
      </w:rPr>
    </w:lvl>
    <w:lvl w:ilvl="1" w:tplc="AB22E4FE">
      <w:start w:val="1"/>
      <w:numFmt w:val="bullet"/>
      <w:lvlText w:val=""/>
      <w:lvlJc w:val="left"/>
      <w:pPr>
        <w:tabs>
          <w:tab w:val="num" w:pos="397"/>
        </w:tabs>
        <w:ind w:left="397" w:hanging="397"/>
      </w:pPr>
      <w:rPr>
        <w:rFonts w:ascii="Symbol" w:hAnsi="Symbol"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1E1409B1"/>
    <w:multiLevelType w:val="multilevel"/>
    <w:tmpl w:val="0C09001F"/>
    <w:numStyleLink w:val="111111"/>
  </w:abstractNum>
  <w:abstractNum w:abstractNumId="10" w15:restartNumberingAfterBreak="0">
    <w:nsid w:val="255444F2"/>
    <w:multiLevelType w:val="multilevel"/>
    <w:tmpl w:val="0C09001F"/>
    <w:styleLink w:val="111111"/>
    <w:lvl w:ilvl="0">
      <w:start w:val="1"/>
      <w:numFmt w:val="decimal"/>
      <w:pStyle w:val="NumberedList"/>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27797A5C"/>
    <w:multiLevelType w:val="hybridMultilevel"/>
    <w:tmpl w:val="E964401E"/>
    <w:lvl w:ilvl="0" w:tplc="D8D8520E">
      <w:start w:val="1"/>
      <w:numFmt w:val="bullet"/>
      <w:pStyle w:val="APRA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start w:val="1"/>
      <w:numFmt w:val="bullet"/>
      <w:lvlText w:val=""/>
      <w:lvlJc w:val="left"/>
      <w:pPr>
        <w:ind w:left="1800" w:hanging="360"/>
      </w:pPr>
      <w:rPr>
        <w:rFonts w:ascii="Wingdings" w:hAnsi="Wingdings" w:hint="default"/>
      </w:rPr>
    </w:lvl>
    <w:lvl w:ilvl="3" w:tplc="0C090001">
      <w:start w:val="1"/>
      <w:numFmt w:val="bullet"/>
      <w:lvlText w:val=""/>
      <w:lvlJc w:val="left"/>
      <w:pPr>
        <w:ind w:left="2520" w:hanging="360"/>
      </w:pPr>
      <w:rPr>
        <w:rFonts w:ascii="Symbol" w:hAnsi="Symbol" w:hint="default"/>
      </w:rPr>
    </w:lvl>
    <w:lvl w:ilvl="4" w:tplc="0C090003">
      <w:start w:val="1"/>
      <w:numFmt w:val="bullet"/>
      <w:lvlText w:val="o"/>
      <w:lvlJc w:val="left"/>
      <w:pPr>
        <w:ind w:left="3240" w:hanging="360"/>
      </w:pPr>
      <w:rPr>
        <w:rFonts w:ascii="Courier New" w:hAnsi="Courier New" w:cs="Courier New" w:hint="default"/>
      </w:rPr>
    </w:lvl>
    <w:lvl w:ilvl="5" w:tplc="0C090005">
      <w:start w:val="1"/>
      <w:numFmt w:val="bullet"/>
      <w:lvlText w:val=""/>
      <w:lvlJc w:val="left"/>
      <w:pPr>
        <w:ind w:left="3960" w:hanging="360"/>
      </w:pPr>
      <w:rPr>
        <w:rFonts w:ascii="Wingdings" w:hAnsi="Wingdings" w:hint="default"/>
      </w:rPr>
    </w:lvl>
    <w:lvl w:ilvl="6" w:tplc="0C090001">
      <w:start w:val="1"/>
      <w:numFmt w:val="bullet"/>
      <w:lvlText w:val=""/>
      <w:lvlJc w:val="left"/>
      <w:pPr>
        <w:ind w:left="4680" w:hanging="360"/>
      </w:pPr>
      <w:rPr>
        <w:rFonts w:ascii="Symbol" w:hAnsi="Symbol" w:hint="default"/>
      </w:rPr>
    </w:lvl>
    <w:lvl w:ilvl="7" w:tplc="0C090003">
      <w:start w:val="1"/>
      <w:numFmt w:val="bullet"/>
      <w:lvlText w:val="o"/>
      <w:lvlJc w:val="left"/>
      <w:pPr>
        <w:ind w:left="5400" w:hanging="360"/>
      </w:pPr>
      <w:rPr>
        <w:rFonts w:ascii="Courier New" w:hAnsi="Courier New" w:cs="Courier New" w:hint="default"/>
      </w:rPr>
    </w:lvl>
    <w:lvl w:ilvl="8" w:tplc="0C090005">
      <w:start w:val="1"/>
      <w:numFmt w:val="bullet"/>
      <w:lvlText w:val=""/>
      <w:lvlJc w:val="left"/>
      <w:pPr>
        <w:ind w:left="6120" w:hanging="360"/>
      </w:pPr>
      <w:rPr>
        <w:rFonts w:ascii="Wingdings" w:hAnsi="Wingdings" w:hint="default"/>
      </w:rPr>
    </w:lvl>
  </w:abstractNum>
  <w:abstractNum w:abstractNumId="12" w15:restartNumberingAfterBreak="0">
    <w:nsid w:val="2C6E2E20"/>
    <w:multiLevelType w:val="hybridMultilevel"/>
    <w:tmpl w:val="53A2E68C"/>
    <w:lvl w:ilvl="0" w:tplc="1C60E128">
      <w:start w:val="1"/>
      <w:numFmt w:val="bullet"/>
      <w:pStyle w:val="BULLET1"/>
      <w:lvlText w:val=""/>
      <w:lvlJc w:val="left"/>
      <w:pPr>
        <w:ind w:left="36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2CEE5DBB"/>
    <w:multiLevelType w:val="hybridMultilevel"/>
    <w:tmpl w:val="1BBC3D8A"/>
    <w:lvl w:ilvl="0" w:tplc="0C090001">
      <w:start w:val="1"/>
      <w:numFmt w:val="bullet"/>
      <w:lvlText w:val=""/>
      <w:lvlJc w:val="left"/>
      <w:pPr>
        <w:ind w:left="1854" w:hanging="360"/>
      </w:pPr>
      <w:rPr>
        <w:rFonts w:ascii="Symbol" w:hAnsi="Symbol" w:hint="default"/>
      </w:rPr>
    </w:lvl>
    <w:lvl w:ilvl="1" w:tplc="0C090003" w:tentative="1">
      <w:start w:val="1"/>
      <w:numFmt w:val="bullet"/>
      <w:lvlText w:val="o"/>
      <w:lvlJc w:val="left"/>
      <w:pPr>
        <w:ind w:left="2574" w:hanging="360"/>
      </w:pPr>
      <w:rPr>
        <w:rFonts w:ascii="Courier New" w:hAnsi="Courier New" w:cs="Courier New" w:hint="default"/>
      </w:rPr>
    </w:lvl>
    <w:lvl w:ilvl="2" w:tplc="0C090005" w:tentative="1">
      <w:start w:val="1"/>
      <w:numFmt w:val="bullet"/>
      <w:lvlText w:val=""/>
      <w:lvlJc w:val="left"/>
      <w:pPr>
        <w:ind w:left="3294" w:hanging="360"/>
      </w:pPr>
      <w:rPr>
        <w:rFonts w:ascii="Wingdings" w:hAnsi="Wingdings" w:hint="default"/>
      </w:rPr>
    </w:lvl>
    <w:lvl w:ilvl="3" w:tplc="0C090001" w:tentative="1">
      <w:start w:val="1"/>
      <w:numFmt w:val="bullet"/>
      <w:lvlText w:val=""/>
      <w:lvlJc w:val="left"/>
      <w:pPr>
        <w:ind w:left="4014" w:hanging="360"/>
      </w:pPr>
      <w:rPr>
        <w:rFonts w:ascii="Symbol" w:hAnsi="Symbol" w:hint="default"/>
      </w:rPr>
    </w:lvl>
    <w:lvl w:ilvl="4" w:tplc="0C090003" w:tentative="1">
      <w:start w:val="1"/>
      <w:numFmt w:val="bullet"/>
      <w:lvlText w:val="o"/>
      <w:lvlJc w:val="left"/>
      <w:pPr>
        <w:ind w:left="4734" w:hanging="360"/>
      </w:pPr>
      <w:rPr>
        <w:rFonts w:ascii="Courier New" w:hAnsi="Courier New" w:cs="Courier New" w:hint="default"/>
      </w:rPr>
    </w:lvl>
    <w:lvl w:ilvl="5" w:tplc="0C090005" w:tentative="1">
      <w:start w:val="1"/>
      <w:numFmt w:val="bullet"/>
      <w:lvlText w:val=""/>
      <w:lvlJc w:val="left"/>
      <w:pPr>
        <w:ind w:left="5454" w:hanging="360"/>
      </w:pPr>
      <w:rPr>
        <w:rFonts w:ascii="Wingdings" w:hAnsi="Wingdings" w:hint="default"/>
      </w:rPr>
    </w:lvl>
    <w:lvl w:ilvl="6" w:tplc="0C090001" w:tentative="1">
      <w:start w:val="1"/>
      <w:numFmt w:val="bullet"/>
      <w:lvlText w:val=""/>
      <w:lvlJc w:val="left"/>
      <w:pPr>
        <w:ind w:left="6174" w:hanging="360"/>
      </w:pPr>
      <w:rPr>
        <w:rFonts w:ascii="Symbol" w:hAnsi="Symbol" w:hint="default"/>
      </w:rPr>
    </w:lvl>
    <w:lvl w:ilvl="7" w:tplc="0C090003" w:tentative="1">
      <w:start w:val="1"/>
      <w:numFmt w:val="bullet"/>
      <w:lvlText w:val="o"/>
      <w:lvlJc w:val="left"/>
      <w:pPr>
        <w:ind w:left="6894" w:hanging="360"/>
      </w:pPr>
      <w:rPr>
        <w:rFonts w:ascii="Courier New" w:hAnsi="Courier New" w:cs="Courier New" w:hint="default"/>
      </w:rPr>
    </w:lvl>
    <w:lvl w:ilvl="8" w:tplc="0C090005" w:tentative="1">
      <w:start w:val="1"/>
      <w:numFmt w:val="bullet"/>
      <w:lvlText w:val=""/>
      <w:lvlJc w:val="left"/>
      <w:pPr>
        <w:ind w:left="7614" w:hanging="360"/>
      </w:pPr>
      <w:rPr>
        <w:rFonts w:ascii="Wingdings" w:hAnsi="Wingdings" w:hint="default"/>
      </w:rPr>
    </w:lvl>
  </w:abstractNum>
  <w:abstractNum w:abstractNumId="14" w15:restartNumberingAfterBreak="0">
    <w:nsid w:val="373F2167"/>
    <w:multiLevelType w:val="hybridMultilevel"/>
    <w:tmpl w:val="9DA2E1D4"/>
    <w:lvl w:ilvl="0" w:tplc="702CB01A">
      <w:start w:val="1"/>
      <w:numFmt w:val="bullet"/>
      <w:pStyle w:val="List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4AD63288"/>
    <w:multiLevelType w:val="hybridMultilevel"/>
    <w:tmpl w:val="A386DAA4"/>
    <w:lvl w:ilvl="0" w:tplc="0C09000F">
      <w:start w:val="1"/>
      <w:numFmt w:val="decimal"/>
      <w:lvlText w:val="%1."/>
      <w:lvlJc w:val="left"/>
      <w:pPr>
        <w:ind w:left="360" w:hanging="360"/>
      </w:pPr>
      <w:rPr>
        <w:rFont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4F7B60F1"/>
    <w:multiLevelType w:val="hybridMultilevel"/>
    <w:tmpl w:val="A9F81D14"/>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53505AF5"/>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8" w15:restartNumberingAfterBreak="0">
    <w:nsid w:val="54836555"/>
    <w:multiLevelType w:val="hybridMultilevel"/>
    <w:tmpl w:val="8550F696"/>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9" w15:restartNumberingAfterBreak="0">
    <w:nsid w:val="5C4F0200"/>
    <w:multiLevelType w:val="hybridMultilevel"/>
    <w:tmpl w:val="C21894B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5DE2021B"/>
    <w:multiLevelType w:val="hybridMultilevel"/>
    <w:tmpl w:val="A386DAA4"/>
    <w:lvl w:ilvl="0" w:tplc="0C09000F">
      <w:start w:val="1"/>
      <w:numFmt w:val="decimal"/>
      <w:lvlText w:val="%1."/>
      <w:lvlJc w:val="left"/>
      <w:pPr>
        <w:ind w:left="360" w:hanging="360"/>
      </w:pPr>
      <w:rPr>
        <w:rFont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70776594"/>
    <w:multiLevelType w:val="multilevel"/>
    <w:tmpl w:val="6B24E690"/>
    <w:lvl w:ilvl="0">
      <w:start w:val="1"/>
      <w:numFmt w:val="bullet"/>
      <w:pStyle w:val="Bullet"/>
      <w:lvlText w:val="•"/>
      <w:lvlJc w:val="left"/>
      <w:pPr>
        <w:tabs>
          <w:tab w:val="num" w:pos="567"/>
        </w:tabs>
        <w:ind w:left="567" w:hanging="567"/>
      </w:pPr>
      <w:rPr>
        <w:rFonts w:ascii="Times New Roman" w:hAnsi="Times New Roman" w:cs="Times New Roman"/>
      </w:rPr>
    </w:lvl>
    <w:lvl w:ilvl="1">
      <w:start w:val="1"/>
      <w:numFmt w:val="bullet"/>
      <w:lvlText w:val="–"/>
      <w:lvlJc w:val="left"/>
      <w:pPr>
        <w:tabs>
          <w:tab w:val="num" w:pos="1134"/>
        </w:tabs>
        <w:ind w:left="1134" w:hanging="567"/>
      </w:pPr>
      <w:rPr>
        <w:rFonts w:ascii="Times New Roman" w:hAnsi="Times New Roman" w:cs="Times New Roman"/>
      </w:rPr>
    </w:lvl>
    <w:lvl w:ilvl="2">
      <w:start w:val="1"/>
      <w:numFmt w:val="bullet"/>
      <w:lvlText w:val=":"/>
      <w:lvlJc w:val="left"/>
      <w:pPr>
        <w:tabs>
          <w:tab w:val="num" w:pos="1701"/>
        </w:tabs>
        <w:ind w:left="1701" w:hanging="567"/>
      </w:pPr>
      <w:rPr>
        <w:rFonts w:ascii="Times New Roman" w:hAnsi="Times New Roman"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22" w15:restartNumberingAfterBreak="0">
    <w:nsid w:val="710A4DD0"/>
    <w:multiLevelType w:val="hybridMultilevel"/>
    <w:tmpl w:val="A49C8A28"/>
    <w:lvl w:ilvl="0" w:tplc="687260A0">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23" w15:restartNumberingAfterBreak="0">
    <w:nsid w:val="7BB35E31"/>
    <w:multiLevelType w:val="hybridMultilevel"/>
    <w:tmpl w:val="FDD470F8"/>
    <w:lvl w:ilvl="0" w:tplc="9FE46678">
      <w:start w:val="1"/>
      <w:numFmt w:val="bullet"/>
      <w:lvlText w:val="o"/>
      <w:lvlJc w:val="left"/>
      <w:pPr>
        <w:ind w:left="1930" w:hanging="360"/>
      </w:pPr>
      <w:rPr>
        <w:rFonts w:ascii="Courier New" w:hAnsi="Courier New" w:cs="Courier New" w:hint="default"/>
      </w:rPr>
    </w:lvl>
    <w:lvl w:ilvl="1" w:tplc="0C090003" w:tentative="1">
      <w:start w:val="1"/>
      <w:numFmt w:val="bullet"/>
      <w:lvlText w:val="o"/>
      <w:lvlJc w:val="left"/>
      <w:pPr>
        <w:ind w:left="2650" w:hanging="360"/>
      </w:pPr>
      <w:rPr>
        <w:rFonts w:ascii="Courier New" w:hAnsi="Courier New" w:cs="Courier New" w:hint="default"/>
      </w:rPr>
    </w:lvl>
    <w:lvl w:ilvl="2" w:tplc="0C090005" w:tentative="1">
      <w:start w:val="1"/>
      <w:numFmt w:val="bullet"/>
      <w:lvlText w:val=""/>
      <w:lvlJc w:val="left"/>
      <w:pPr>
        <w:ind w:left="3370" w:hanging="360"/>
      </w:pPr>
      <w:rPr>
        <w:rFonts w:ascii="Wingdings" w:hAnsi="Wingdings" w:hint="default"/>
      </w:rPr>
    </w:lvl>
    <w:lvl w:ilvl="3" w:tplc="0C090001" w:tentative="1">
      <w:start w:val="1"/>
      <w:numFmt w:val="bullet"/>
      <w:lvlText w:val=""/>
      <w:lvlJc w:val="left"/>
      <w:pPr>
        <w:ind w:left="4090" w:hanging="360"/>
      </w:pPr>
      <w:rPr>
        <w:rFonts w:ascii="Symbol" w:hAnsi="Symbol" w:hint="default"/>
      </w:rPr>
    </w:lvl>
    <w:lvl w:ilvl="4" w:tplc="0C090003" w:tentative="1">
      <w:start w:val="1"/>
      <w:numFmt w:val="bullet"/>
      <w:lvlText w:val="o"/>
      <w:lvlJc w:val="left"/>
      <w:pPr>
        <w:ind w:left="4810" w:hanging="360"/>
      </w:pPr>
      <w:rPr>
        <w:rFonts w:ascii="Courier New" w:hAnsi="Courier New" w:cs="Courier New" w:hint="default"/>
      </w:rPr>
    </w:lvl>
    <w:lvl w:ilvl="5" w:tplc="0C090005" w:tentative="1">
      <w:start w:val="1"/>
      <w:numFmt w:val="bullet"/>
      <w:lvlText w:val=""/>
      <w:lvlJc w:val="left"/>
      <w:pPr>
        <w:ind w:left="5530" w:hanging="360"/>
      </w:pPr>
      <w:rPr>
        <w:rFonts w:ascii="Wingdings" w:hAnsi="Wingdings" w:hint="default"/>
      </w:rPr>
    </w:lvl>
    <w:lvl w:ilvl="6" w:tplc="0C090001" w:tentative="1">
      <w:start w:val="1"/>
      <w:numFmt w:val="bullet"/>
      <w:lvlText w:val=""/>
      <w:lvlJc w:val="left"/>
      <w:pPr>
        <w:ind w:left="6250" w:hanging="360"/>
      </w:pPr>
      <w:rPr>
        <w:rFonts w:ascii="Symbol" w:hAnsi="Symbol" w:hint="default"/>
      </w:rPr>
    </w:lvl>
    <w:lvl w:ilvl="7" w:tplc="0C090003" w:tentative="1">
      <w:start w:val="1"/>
      <w:numFmt w:val="bullet"/>
      <w:lvlText w:val="o"/>
      <w:lvlJc w:val="left"/>
      <w:pPr>
        <w:ind w:left="6970" w:hanging="360"/>
      </w:pPr>
      <w:rPr>
        <w:rFonts w:ascii="Courier New" w:hAnsi="Courier New" w:cs="Courier New" w:hint="default"/>
      </w:rPr>
    </w:lvl>
    <w:lvl w:ilvl="8" w:tplc="0C090005" w:tentative="1">
      <w:start w:val="1"/>
      <w:numFmt w:val="bullet"/>
      <w:lvlText w:val=""/>
      <w:lvlJc w:val="left"/>
      <w:pPr>
        <w:ind w:left="7690" w:hanging="360"/>
      </w:pPr>
      <w:rPr>
        <w:rFonts w:ascii="Wingdings" w:hAnsi="Wingdings" w:hint="default"/>
      </w:rPr>
    </w:lvl>
  </w:abstractNum>
  <w:num w:numId="1">
    <w:abstractNumId w:val="10"/>
  </w:num>
  <w:num w:numId="2">
    <w:abstractNumId w:val="21"/>
  </w:num>
  <w:num w:numId="3">
    <w:abstractNumId w:val="14"/>
  </w:num>
  <w:num w:numId="4">
    <w:abstractNumId w:val="4"/>
  </w:num>
  <w:num w:numId="5">
    <w:abstractNumId w:val="3"/>
  </w:num>
  <w:num w:numId="6">
    <w:abstractNumId w:val="2"/>
  </w:num>
  <w:num w:numId="7">
    <w:abstractNumId w:val="1"/>
  </w:num>
  <w:num w:numId="8">
    <w:abstractNumId w:val="0"/>
  </w:num>
  <w:num w:numId="9">
    <w:abstractNumId w:val="9"/>
  </w:num>
  <w:num w:numId="10">
    <w:abstractNumId w:val="22"/>
  </w:num>
  <w:num w:numId="11">
    <w:abstractNumId w:val="8"/>
  </w:num>
  <w:num w:numId="12">
    <w:abstractNumId w:val="23"/>
  </w:num>
  <w:num w:numId="13">
    <w:abstractNumId w:val="12"/>
  </w:num>
  <w:num w:numId="14">
    <w:abstractNumId w:val="6"/>
  </w:num>
  <w:num w:numId="15">
    <w:abstractNumId w:val="5"/>
  </w:num>
  <w:num w:numId="16">
    <w:abstractNumId w:val="17"/>
  </w:num>
  <w:num w:numId="17">
    <w:abstractNumId w:val="15"/>
  </w:num>
  <w:num w:numId="18">
    <w:abstractNumId w:val="20"/>
  </w:num>
  <w:num w:numId="19">
    <w:abstractNumId w:val="13"/>
  </w:num>
  <w:num w:numId="20">
    <w:abstractNumId w:val="16"/>
  </w:num>
  <w:num w:numId="21">
    <w:abstractNumId w:val="18"/>
  </w:num>
  <w:num w:numId="22">
    <w:abstractNumId w:val="19"/>
  </w:num>
  <w:num w:numId="23">
    <w:abstractNumId w:val="7"/>
  </w:num>
  <w:num w:numId="24">
    <w:abstractNumId w:val="11"/>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hideGrammaticalErrors/>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hdrShapeDefaults>
    <o:shapedefaults v:ext="edit" spidmax="4096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05C21"/>
    <w:rsid w:val="00003065"/>
    <w:rsid w:val="00011B0A"/>
    <w:rsid w:val="000408CA"/>
    <w:rsid w:val="00053F0B"/>
    <w:rsid w:val="00063BDC"/>
    <w:rsid w:val="00074C6B"/>
    <w:rsid w:val="000A1A18"/>
    <w:rsid w:val="000A348A"/>
    <w:rsid w:val="000C170D"/>
    <w:rsid w:val="000C6B7D"/>
    <w:rsid w:val="000D09FA"/>
    <w:rsid w:val="000D2D92"/>
    <w:rsid w:val="000D7CA6"/>
    <w:rsid w:val="000E057F"/>
    <w:rsid w:val="000E4B3B"/>
    <w:rsid w:val="000F03D7"/>
    <w:rsid w:val="000F0ECC"/>
    <w:rsid w:val="000F20CF"/>
    <w:rsid w:val="000F68BE"/>
    <w:rsid w:val="000F6B30"/>
    <w:rsid w:val="00134811"/>
    <w:rsid w:val="001502F1"/>
    <w:rsid w:val="001749A4"/>
    <w:rsid w:val="0017548F"/>
    <w:rsid w:val="00185C6C"/>
    <w:rsid w:val="0018786E"/>
    <w:rsid w:val="00193DF8"/>
    <w:rsid w:val="001A3900"/>
    <w:rsid w:val="001B2D90"/>
    <w:rsid w:val="001B367E"/>
    <w:rsid w:val="001D3046"/>
    <w:rsid w:val="001D3B1C"/>
    <w:rsid w:val="001D505A"/>
    <w:rsid w:val="001D7D3C"/>
    <w:rsid w:val="001E00D2"/>
    <w:rsid w:val="00206A42"/>
    <w:rsid w:val="0021143E"/>
    <w:rsid w:val="00220534"/>
    <w:rsid w:val="00224233"/>
    <w:rsid w:val="0023776E"/>
    <w:rsid w:val="002403C8"/>
    <w:rsid w:val="00245562"/>
    <w:rsid w:val="00250D1A"/>
    <w:rsid w:val="00255C96"/>
    <w:rsid w:val="00257E33"/>
    <w:rsid w:val="002641C2"/>
    <w:rsid w:val="0026542C"/>
    <w:rsid w:val="00267EBC"/>
    <w:rsid w:val="002767C9"/>
    <w:rsid w:val="002835A4"/>
    <w:rsid w:val="002949D7"/>
    <w:rsid w:val="002B0A7E"/>
    <w:rsid w:val="002B0B89"/>
    <w:rsid w:val="002B6DA9"/>
    <w:rsid w:val="002B6DEB"/>
    <w:rsid w:val="002B6F5E"/>
    <w:rsid w:val="002F0157"/>
    <w:rsid w:val="002F5035"/>
    <w:rsid w:val="003128C4"/>
    <w:rsid w:val="00323358"/>
    <w:rsid w:val="00325932"/>
    <w:rsid w:val="00332DB9"/>
    <w:rsid w:val="00340359"/>
    <w:rsid w:val="00350945"/>
    <w:rsid w:val="00353DE2"/>
    <w:rsid w:val="0036442A"/>
    <w:rsid w:val="00367A5D"/>
    <w:rsid w:val="00370758"/>
    <w:rsid w:val="003707EE"/>
    <w:rsid w:val="003736CF"/>
    <w:rsid w:val="00373B0D"/>
    <w:rsid w:val="00377F2E"/>
    <w:rsid w:val="00386279"/>
    <w:rsid w:val="00387CA2"/>
    <w:rsid w:val="003A2FC2"/>
    <w:rsid w:val="003C19D6"/>
    <w:rsid w:val="003C6CBE"/>
    <w:rsid w:val="003D52D0"/>
    <w:rsid w:val="003D6738"/>
    <w:rsid w:val="003E7FFE"/>
    <w:rsid w:val="00405FDF"/>
    <w:rsid w:val="00407D70"/>
    <w:rsid w:val="004118D9"/>
    <w:rsid w:val="00412C3B"/>
    <w:rsid w:val="00427B33"/>
    <w:rsid w:val="00432312"/>
    <w:rsid w:val="0043440F"/>
    <w:rsid w:val="00443931"/>
    <w:rsid w:val="00444BF0"/>
    <w:rsid w:val="00444FE9"/>
    <w:rsid w:val="00456209"/>
    <w:rsid w:val="004843AB"/>
    <w:rsid w:val="00491173"/>
    <w:rsid w:val="004B4492"/>
    <w:rsid w:val="004C2EC4"/>
    <w:rsid w:val="004D7117"/>
    <w:rsid w:val="004E13AF"/>
    <w:rsid w:val="004E6A33"/>
    <w:rsid w:val="004F27CF"/>
    <w:rsid w:val="004F3D22"/>
    <w:rsid w:val="00524C66"/>
    <w:rsid w:val="00527542"/>
    <w:rsid w:val="00547263"/>
    <w:rsid w:val="00552CA7"/>
    <w:rsid w:val="0057342E"/>
    <w:rsid w:val="00573D1F"/>
    <w:rsid w:val="00584673"/>
    <w:rsid w:val="00584A8F"/>
    <w:rsid w:val="00594DB4"/>
    <w:rsid w:val="005B26A3"/>
    <w:rsid w:val="005E6AF8"/>
    <w:rsid w:val="005F4764"/>
    <w:rsid w:val="00605C21"/>
    <w:rsid w:val="00606F5A"/>
    <w:rsid w:val="0060742D"/>
    <w:rsid w:val="006128BA"/>
    <w:rsid w:val="00615AEF"/>
    <w:rsid w:val="006352A2"/>
    <w:rsid w:val="00646C7A"/>
    <w:rsid w:val="00647D69"/>
    <w:rsid w:val="006571E9"/>
    <w:rsid w:val="00665727"/>
    <w:rsid w:val="00670A1C"/>
    <w:rsid w:val="00677A36"/>
    <w:rsid w:val="00686723"/>
    <w:rsid w:val="0068743E"/>
    <w:rsid w:val="006954D2"/>
    <w:rsid w:val="006A152E"/>
    <w:rsid w:val="006A5169"/>
    <w:rsid w:val="006B00F8"/>
    <w:rsid w:val="006B2F1B"/>
    <w:rsid w:val="006B712D"/>
    <w:rsid w:val="006C1429"/>
    <w:rsid w:val="006C2140"/>
    <w:rsid w:val="006C3279"/>
    <w:rsid w:val="006D1C03"/>
    <w:rsid w:val="006E4003"/>
    <w:rsid w:val="006E598D"/>
    <w:rsid w:val="006F04E3"/>
    <w:rsid w:val="007236E2"/>
    <w:rsid w:val="007403DD"/>
    <w:rsid w:val="0074761E"/>
    <w:rsid w:val="00747F66"/>
    <w:rsid w:val="0075584E"/>
    <w:rsid w:val="00781FF4"/>
    <w:rsid w:val="00786B63"/>
    <w:rsid w:val="007A463E"/>
    <w:rsid w:val="007B28CF"/>
    <w:rsid w:val="007D639A"/>
    <w:rsid w:val="007E3A1E"/>
    <w:rsid w:val="007E6359"/>
    <w:rsid w:val="00800F98"/>
    <w:rsid w:val="00801533"/>
    <w:rsid w:val="00814611"/>
    <w:rsid w:val="00816255"/>
    <w:rsid w:val="008204C0"/>
    <w:rsid w:val="008205AE"/>
    <w:rsid w:val="00837BD5"/>
    <w:rsid w:val="008431D4"/>
    <w:rsid w:val="00855C24"/>
    <w:rsid w:val="00857706"/>
    <w:rsid w:val="0086465D"/>
    <w:rsid w:val="00870FFC"/>
    <w:rsid w:val="00872E1D"/>
    <w:rsid w:val="008908B8"/>
    <w:rsid w:val="00893C18"/>
    <w:rsid w:val="008B1AF8"/>
    <w:rsid w:val="008B1F6B"/>
    <w:rsid w:val="008B5DBD"/>
    <w:rsid w:val="008B6A27"/>
    <w:rsid w:val="008C693E"/>
    <w:rsid w:val="008C7E1A"/>
    <w:rsid w:val="008E57B3"/>
    <w:rsid w:val="008E726B"/>
    <w:rsid w:val="0090535F"/>
    <w:rsid w:val="009057C8"/>
    <w:rsid w:val="00907579"/>
    <w:rsid w:val="00910073"/>
    <w:rsid w:val="00921341"/>
    <w:rsid w:val="00921BB0"/>
    <w:rsid w:val="00922ADE"/>
    <w:rsid w:val="00924D4A"/>
    <w:rsid w:val="009254CE"/>
    <w:rsid w:val="0092635A"/>
    <w:rsid w:val="00926C5C"/>
    <w:rsid w:val="00942A22"/>
    <w:rsid w:val="00970A4C"/>
    <w:rsid w:val="0098213D"/>
    <w:rsid w:val="00983285"/>
    <w:rsid w:val="00997619"/>
    <w:rsid w:val="009B1386"/>
    <w:rsid w:val="009D2A4D"/>
    <w:rsid w:val="009D4911"/>
    <w:rsid w:val="009F1036"/>
    <w:rsid w:val="009F1FDA"/>
    <w:rsid w:val="009F210E"/>
    <w:rsid w:val="009F3135"/>
    <w:rsid w:val="009F6B3C"/>
    <w:rsid w:val="00A00652"/>
    <w:rsid w:val="00A06EE8"/>
    <w:rsid w:val="00A17687"/>
    <w:rsid w:val="00A30827"/>
    <w:rsid w:val="00A37017"/>
    <w:rsid w:val="00A37AE9"/>
    <w:rsid w:val="00A37E1D"/>
    <w:rsid w:val="00A66D9A"/>
    <w:rsid w:val="00A72B85"/>
    <w:rsid w:val="00A87BEC"/>
    <w:rsid w:val="00A94878"/>
    <w:rsid w:val="00A95F03"/>
    <w:rsid w:val="00AA6B32"/>
    <w:rsid w:val="00AC0C2B"/>
    <w:rsid w:val="00AD64BE"/>
    <w:rsid w:val="00AF1BE2"/>
    <w:rsid w:val="00B04050"/>
    <w:rsid w:val="00B0602C"/>
    <w:rsid w:val="00B12E7E"/>
    <w:rsid w:val="00B20CD1"/>
    <w:rsid w:val="00B21A37"/>
    <w:rsid w:val="00B23C04"/>
    <w:rsid w:val="00B33928"/>
    <w:rsid w:val="00B46B6B"/>
    <w:rsid w:val="00B531B4"/>
    <w:rsid w:val="00B822D5"/>
    <w:rsid w:val="00B84C2E"/>
    <w:rsid w:val="00B8533C"/>
    <w:rsid w:val="00B86EF7"/>
    <w:rsid w:val="00B906E3"/>
    <w:rsid w:val="00B95BAF"/>
    <w:rsid w:val="00BB3C38"/>
    <w:rsid w:val="00BD2A89"/>
    <w:rsid w:val="00BF1E2B"/>
    <w:rsid w:val="00C273CD"/>
    <w:rsid w:val="00C333E7"/>
    <w:rsid w:val="00C47DC4"/>
    <w:rsid w:val="00C50F0F"/>
    <w:rsid w:val="00C5285C"/>
    <w:rsid w:val="00C572AB"/>
    <w:rsid w:val="00C57584"/>
    <w:rsid w:val="00C614C0"/>
    <w:rsid w:val="00C62913"/>
    <w:rsid w:val="00C67000"/>
    <w:rsid w:val="00C7343C"/>
    <w:rsid w:val="00C84C64"/>
    <w:rsid w:val="00C97F58"/>
    <w:rsid w:val="00CB7367"/>
    <w:rsid w:val="00CC05EA"/>
    <w:rsid w:val="00CC10DA"/>
    <w:rsid w:val="00CC201A"/>
    <w:rsid w:val="00CD2F77"/>
    <w:rsid w:val="00CD6D38"/>
    <w:rsid w:val="00CE6255"/>
    <w:rsid w:val="00CF0956"/>
    <w:rsid w:val="00CF1FC4"/>
    <w:rsid w:val="00D02242"/>
    <w:rsid w:val="00D079B4"/>
    <w:rsid w:val="00D132D8"/>
    <w:rsid w:val="00D14049"/>
    <w:rsid w:val="00D21F7F"/>
    <w:rsid w:val="00D425EF"/>
    <w:rsid w:val="00D531AF"/>
    <w:rsid w:val="00D72CF3"/>
    <w:rsid w:val="00D922D4"/>
    <w:rsid w:val="00D95999"/>
    <w:rsid w:val="00DC769D"/>
    <w:rsid w:val="00DC7EF3"/>
    <w:rsid w:val="00DC7F18"/>
    <w:rsid w:val="00DD223E"/>
    <w:rsid w:val="00DD41AB"/>
    <w:rsid w:val="00DE0A59"/>
    <w:rsid w:val="00DE11E2"/>
    <w:rsid w:val="00DF0FC2"/>
    <w:rsid w:val="00E029A9"/>
    <w:rsid w:val="00E1225E"/>
    <w:rsid w:val="00E1430F"/>
    <w:rsid w:val="00E32CE9"/>
    <w:rsid w:val="00E36C9E"/>
    <w:rsid w:val="00E448C7"/>
    <w:rsid w:val="00E55A7E"/>
    <w:rsid w:val="00E63012"/>
    <w:rsid w:val="00E83D82"/>
    <w:rsid w:val="00E9625F"/>
    <w:rsid w:val="00E96618"/>
    <w:rsid w:val="00EA00F3"/>
    <w:rsid w:val="00EB1ACB"/>
    <w:rsid w:val="00EC030E"/>
    <w:rsid w:val="00EC06FA"/>
    <w:rsid w:val="00ED3926"/>
    <w:rsid w:val="00ED48F3"/>
    <w:rsid w:val="00EF01CF"/>
    <w:rsid w:val="00EF496F"/>
    <w:rsid w:val="00EF5EE9"/>
    <w:rsid w:val="00F06113"/>
    <w:rsid w:val="00F12FD3"/>
    <w:rsid w:val="00F212E9"/>
    <w:rsid w:val="00F22D6A"/>
    <w:rsid w:val="00F34F34"/>
    <w:rsid w:val="00F6460D"/>
    <w:rsid w:val="00F7520C"/>
    <w:rsid w:val="00F77F5D"/>
    <w:rsid w:val="00F865EB"/>
    <w:rsid w:val="00FA261A"/>
    <w:rsid w:val="00FA2F99"/>
    <w:rsid w:val="00FA3F0E"/>
    <w:rsid w:val="00FC263F"/>
    <w:rsid w:val="00FD1215"/>
    <w:rsid w:val="00FD3E6E"/>
    <w:rsid w:val="00FE57E9"/>
    <w:rsid w:val="00FF3D25"/>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40961"/>
    <o:shapelayout v:ext="edit">
      <o:idmap v:ext="edit" data="1"/>
    </o:shapelayout>
  </w:shapeDefaults>
  <w:decimalSymbol w:val="."/>
  <w:listSeparator w:val=","/>
  <w14:docId w14:val="491EF9EF"/>
  <w15:chartTrackingRefBased/>
  <w15:docId w15:val="{30269514-A642-4BCA-B56F-31CD6FAA56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rebuchet MS" w:eastAsia="Times New Roman" w:hAnsi="Trebuchet MS" w:cs="Times New Roman"/>
        <w:sz w:val="22"/>
        <w:szCs w:val="22"/>
        <w:lang w:val="en-AU" w:eastAsia="en-US" w:bidi="ar-SA"/>
      </w:rPr>
    </w:rPrDefault>
    <w:pPrDefault>
      <w:pPr>
        <w:spacing w:after="120" w:line="288"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lsdException w:name="heading 8" w:semiHidden="1" w:uiPriority="9" w:unhideWhenUsed="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77F2E"/>
    <w:pPr>
      <w:spacing w:after="240" w:line="240" w:lineRule="auto"/>
      <w:jc w:val="both"/>
    </w:pPr>
    <w:rPr>
      <w:rFonts w:ascii="Arial" w:hAnsi="Arial"/>
      <w:szCs w:val="24"/>
      <w:lang w:eastAsia="en-AU"/>
    </w:rPr>
  </w:style>
  <w:style w:type="paragraph" w:styleId="Heading1">
    <w:name w:val="heading 1"/>
    <w:basedOn w:val="Normal"/>
    <w:next w:val="Normal"/>
    <w:link w:val="Heading1Char"/>
    <w:qFormat/>
    <w:rsid w:val="00C333E7"/>
    <w:pPr>
      <w:spacing w:after="360"/>
      <w:outlineLvl w:val="0"/>
    </w:pPr>
    <w:rPr>
      <w:rFonts w:cs="Arial"/>
      <w:b/>
      <w:sz w:val="32"/>
    </w:rPr>
  </w:style>
  <w:style w:type="paragraph" w:styleId="Heading2">
    <w:name w:val="heading 2"/>
    <w:basedOn w:val="Normal"/>
    <w:next w:val="Normal"/>
    <w:link w:val="Heading2Char"/>
    <w:qFormat/>
    <w:rsid w:val="004118D9"/>
    <w:pPr>
      <w:keepNext/>
      <w:outlineLvl w:val="1"/>
    </w:pPr>
    <w:rPr>
      <w:rFonts w:cs="Arial"/>
      <w:b/>
      <w:bCs/>
      <w:iCs/>
      <w:sz w:val="28"/>
      <w:szCs w:val="28"/>
    </w:rPr>
  </w:style>
  <w:style w:type="paragraph" w:styleId="Heading3">
    <w:name w:val="heading 3"/>
    <w:basedOn w:val="Normal"/>
    <w:next w:val="Normal"/>
    <w:link w:val="Heading3Char"/>
    <w:qFormat/>
    <w:rsid w:val="00CB7367"/>
    <w:pPr>
      <w:keepNext/>
      <w:spacing w:before="240" w:after="120"/>
      <w:outlineLvl w:val="2"/>
    </w:pPr>
    <w:rPr>
      <w:rFonts w:cs="Arial"/>
      <w:b/>
      <w:bCs/>
      <w:i/>
      <w:sz w:val="24"/>
      <w:szCs w:val="26"/>
    </w:rPr>
  </w:style>
  <w:style w:type="paragraph" w:styleId="Heading4">
    <w:name w:val="heading 4"/>
    <w:basedOn w:val="Heading3"/>
    <w:next w:val="Normal"/>
    <w:link w:val="Heading4Char"/>
    <w:uiPriority w:val="9"/>
    <w:unhideWhenUsed/>
    <w:qFormat/>
    <w:rsid w:val="009F3135"/>
    <w:pPr>
      <w:numPr>
        <w:ilvl w:val="3"/>
      </w:numPr>
      <w:outlineLvl w:val="3"/>
    </w:pPr>
    <w:rPr>
      <w:bCs w:val="0"/>
      <w:i w:val="0"/>
      <w:iCs/>
      <w:sz w:val="22"/>
    </w:rPr>
  </w:style>
  <w:style w:type="paragraph" w:styleId="Heading5">
    <w:name w:val="heading 5"/>
    <w:basedOn w:val="Heading4"/>
    <w:next w:val="Normal"/>
    <w:link w:val="Heading5Char"/>
    <w:uiPriority w:val="9"/>
    <w:unhideWhenUsed/>
    <w:qFormat/>
    <w:rsid w:val="009F3135"/>
    <w:pPr>
      <w:numPr>
        <w:ilvl w:val="4"/>
      </w:numPr>
      <w:outlineLvl w:val="4"/>
    </w:pPr>
    <w:rPr>
      <w:i/>
    </w:rPr>
  </w:style>
  <w:style w:type="paragraph" w:styleId="Heading6">
    <w:name w:val="heading 6"/>
    <w:basedOn w:val="Heading5"/>
    <w:next w:val="Normal"/>
    <w:link w:val="Heading6Char"/>
    <w:uiPriority w:val="9"/>
    <w:unhideWhenUsed/>
    <w:qFormat/>
    <w:rsid w:val="009F3135"/>
    <w:pPr>
      <w:numPr>
        <w:ilvl w:val="5"/>
      </w:numPr>
      <w:outlineLvl w:val="5"/>
    </w:pPr>
    <w:rPr>
      <w:b w:val="0"/>
    </w:rPr>
  </w:style>
  <w:style w:type="paragraph" w:styleId="Heading7">
    <w:name w:val="heading 7"/>
    <w:basedOn w:val="Heading6"/>
    <w:next w:val="Normal"/>
    <w:link w:val="Heading7Char"/>
    <w:uiPriority w:val="9"/>
    <w:unhideWhenUsed/>
    <w:rsid w:val="005F4764"/>
    <w:pPr>
      <w:numPr>
        <w:ilvl w:val="6"/>
      </w:numPr>
      <w:spacing w:before="200" w:line="288" w:lineRule="auto"/>
      <w:outlineLvl w:val="6"/>
    </w:pPr>
    <w:rPr>
      <w:b/>
      <w:i w:val="0"/>
      <w:color w:val="404040"/>
      <w:szCs w:val="22"/>
    </w:rPr>
  </w:style>
  <w:style w:type="paragraph" w:styleId="Heading8">
    <w:name w:val="heading 8"/>
    <w:basedOn w:val="Normal"/>
    <w:next w:val="Normal"/>
    <w:link w:val="Heading8Char"/>
    <w:uiPriority w:val="9"/>
    <w:unhideWhenUsed/>
    <w:rsid w:val="005F4764"/>
    <w:pPr>
      <w:keepNext/>
      <w:keepLines/>
      <w:spacing w:before="200" w:after="0"/>
      <w:outlineLvl w:val="7"/>
    </w:pPr>
    <w:rPr>
      <w:rFonts w:eastAsiaTheme="majorEastAsia" w:cstheme="majorBidi"/>
      <w:color w:val="404040" w:themeColor="text1" w:themeTint="BF"/>
      <w:sz w:val="20"/>
      <w:szCs w:val="20"/>
    </w:rPr>
  </w:style>
  <w:style w:type="paragraph" w:styleId="Heading9">
    <w:name w:val="heading 9"/>
    <w:basedOn w:val="Normal"/>
    <w:next w:val="Normal"/>
    <w:link w:val="Heading9Char"/>
    <w:uiPriority w:val="9"/>
    <w:unhideWhenUsed/>
    <w:rsid w:val="005F4764"/>
    <w:pPr>
      <w:keepNext/>
      <w:keepLines/>
      <w:spacing w:before="200" w:after="0"/>
      <w:outlineLvl w:val="8"/>
    </w:pPr>
    <w:rPr>
      <w:rFonts w:eastAsiaTheme="majorEastAsia"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rsid w:val="005F4764"/>
    <w:pPr>
      <w:spacing w:line="240" w:lineRule="auto"/>
    </w:pPr>
    <w:rPr>
      <w:rFonts w:ascii="Arial" w:hAnsi="Arial"/>
    </w:rPr>
  </w:style>
  <w:style w:type="character" w:customStyle="1" w:styleId="Heading1Char">
    <w:name w:val="Heading 1 Char"/>
    <w:basedOn w:val="DefaultParagraphFont"/>
    <w:link w:val="Heading1"/>
    <w:rsid w:val="00C333E7"/>
    <w:rPr>
      <w:rFonts w:ascii="Arial" w:hAnsi="Arial" w:cs="Arial"/>
      <w:b/>
      <w:sz w:val="32"/>
      <w:szCs w:val="24"/>
      <w:lang w:eastAsia="en-AU"/>
    </w:rPr>
  </w:style>
  <w:style w:type="character" w:customStyle="1" w:styleId="Heading2Char">
    <w:name w:val="Heading 2 Char"/>
    <w:basedOn w:val="DefaultParagraphFont"/>
    <w:link w:val="Heading2"/>
    <w:rsid w:val="004118D9"/>
    <w:rPr>
      <w:rFonts w:ascii="Arial" w:hAnsi="Arial" w:cs="Arial"/>
      <w:b/>
      <w:bCs/>
      <w:iCs/>
      <w:sz w:val="28"/>
      <w:szCs w:val="28"/>
      <w:lang w:eastAsia="en-AU"/>
    </w:rPr>
  </w:style>
  <w:style w:type="character" w:customStyle="1" w:styleId="Heading4Char">
    <w:name w:val="Heading 4 Char"/>
    <w:link w:val="Heading4"/>
    <w:uiPriority w:val="9"/>
    <w:rsid w:val="009F3135"/>
    <w:rPr>
      <w:rFonts w:ascii="Arial" w:hAnsi="Arial" w:cs="Arial"/>
      <w:b/>
      <w:iCs/>
      <w:szCs w:val="26"/>
      <w:lang w:eastAsia="en-AU"/>
    </w:rPr>
  </w:style>
  <w:style w:type="paragraph" w:customStyle="1" w:styleId="Bullet">
    <w:name w:val="Bullet"/>
    <w:basedOn w:val="Normal"/>
    <w:link w:val="BulletChar"/>
    <w:rsid w:val="005F4764"/>
    <w:pPr>
      <w:numPr>
        <w:numId w:val="2"/>
      </w:numPr>
      <w:tabs>
        <w:tab w:val="left" w:pos="1935"/>
      </w:tabs>
      <w:spacing w:before="120"/>
    </w:pPr>
    <w:rPr>
      <w:sz w:val="24"/>
    </w:rPr>
  </w:style>
  <w:style w:type="character" w:customStyle="1" w:styleId="BulletChar">
    <w:name w:val="Bullet Char"/>
    <w:link w:val="Bullet"/>
    <w:rsid w:val="005F4764"/>
    <w:rPr>
      <w:rFonts w:ascii="Arial" w:hAnsi="Arial"/>
      <w:sz w:val="24"/>
      <w:szCs w:val="24"/>
      <w:lang w:eastAsia="en-AU"/>
    </w:rPr>
  </w:style>
  <w:style w:type="paragraph" w:customStyle="1" w:styleId="Nonchapterheading">
    <w:name w:val="Non chapter heading"/>
    <w:basedOn w:val="Heading5"/>
    <w:link w:val="NonchapterheadingChar"/>
    <w:rsid w:val="005F4764"/>
    <w:pPr>
      <w:numPr>
        <w:ilvl w:val="0"/>
      </w:numPr>
      <w:spacing w:line="288" w:lineRule="auto"/>
      <w:ind w:left="360" w:hanging="360"/>
    </w:pPr>
    <w:rPr>
      <w:iCs w:val="0"/>
    </w:rPr>
  </w:style>
  <w:style w:type="character" w:customStyle="1" w:styleId="NonchapterheadingChar">
    <w:name w:val="Non chapter heading Char"/>
    <w:basedOn w:val="Heading5Char"/>
    <w:link w:val="Nonchapterheading"/>
    <w:rsid w:val="005F4764"/>
    <w:rPr>
      <w:rFonts w:ascii="Arial" w:hAnsi="Arial" w:cs="Arial"/>
      <w:b/>
      <w:i/>
      <w:iCs w:val="0"/>
      <w:szCs w:val="26"/>
      <w:lang w:eastAsia="en-AU"/>
    </w:rPr>
  </w:style>
  <w:style w:type="character" w:customStyle="1" w:styleId="Heading5Char">
    <w:name w:val="Heading 5 Char"/>
    <w:link w:val="Heading5"/>
    <w:uiPriority w:val="9"/>
    <w:rsid w:val="009F3135"/>
    <w:rPr>
      <w:rFonts w:ascii="Arial" w:hAnsi="Arial" w:cs="Arial"/>
      <w:b/>
      <w:i/>
      <w:iCs/>
      <w:szCs w:val="26"/>
      <w:lang w:eastAsia="en-AU"/>
    </w:rPr>
  </w:style>
  <w:style w:type="paragraph" w:customStyle="1" w:styleId="Non-numberedchapterheading">
    <w:name w:val="Non-numbered chapter heading"/>
    <w:basedOn w:val="Heading5"/>
    <w:link w:val="Non-numberedchapterheadingChar"/>
    <w:rsid w:val="005F4764"/>
    <w:pPr>
      <w:numPr>
        <w:ilvl w:val="0"/>
      </w:numPr>
      <w:spacing w:line="288" w:lineRule="auto"/>
      <w:ind w:left="360" w:hanging="360"/>
    </w:pPr>
    <w:rPr>
      <w:iCs w:val="0"/>
    </w:rPr>
  </w:style>
  <w:style w:type="character" w:customStyle="1" w:styleId="Non-numberedchapterheadingChar">
    <w:name w:val="Non-numbered chapter heading Char"/>
    <w:basedOn w:val="Heading5Char"/>
    <w:link w:val="Non-numberedchapterheading"/>
    <w:rsid w:val="005F4764"/>
    <w:rPr>
      <w:rFonts w:ascii="Arial" w:hAnsi="Arial" w:cs="Arial"/>
      <w:b/>
      <w:i/>
      <w:iCs w:val="0"/>
      <w:szCs w:val="26"/>
      <w:lang w:eastAsia="en-AU"/>
    </w:rPr>
  </w:style>
  <w:style w:type="character" w:customStyle="1" w:styleId="Heading3Char">
    <w:name w:val="Heading 3 Char"/>
    <w:basedOn w:val="DefaultParagraphFont"/>
    <w:link w:val="Heading3"/>
    <w:rsid w:val="00CB7367"/>
    <w:rPr>
      <w:rFonts w:ascii="Arial" w:hAnsi="Arial" w:cs="Arial"/>
      <w:b/>
      <w:bCs/>
      <w:i/>
      <w:sz w:val="24"/>
      <w:szCs w:val="26"/>
      <w:lang w:eastAsia="en-AU"/>
    </w:rPr>
  </w:style>
  <w:style w:type="character" w:customStyle="1" w:styleId="Heading6Char">
    <w:name w:val="Heading 6 Char"/>
    <w:link w:val="Heading6"/>
    <w:uiPriority w:val="9"/>
    <w:rsid w:val="009F3135"/>
    <w:rPr>
      <w:rFonts w:ascii="Arial" w:hAnsi="Arial" w:cs="Arial"/>
      <w:i/>
      <w:iCs/>
      <w:szCs w:val="26"/>
      <w:lang w:eastAsia="en-AU"/>
    </w:rPr>
  </w:style>
  <w:style w:type="character" w:customStyle="1" w:styleId="Heading7Char">
    <w:name w:val="Heading 7 Char"/>
    <w:link w:val="Heading7"/>
    <w:uiPriority w:val="9"/>
    <w:rsid w:val="005F4764"/>
    <w:rPr>
      <w:rFonts w:ascii="Arial" w:hAnsi="Arial" w:cs="Arial"/>
      <w:i/>
      <w:iCs/>
      <w:color w:val="404040"/>
      <w:lang w:eastAsia="en-AU"/>
    </w:rPr>
  </w:style>
  <w:style w:type="paragraph" w:styleId="TOC1">
    <w:name w:val="toc 1"/>
    <w:basedOn w:val="Normal"/>
    <w:next w:val="Normal"/>
    <w:autoRedefine/>
    <w:uiPriority w:val="39"/>
    <w:unhideWhenUsed/>
    <w:qFormat/>
    <w:rsid w:val="0017548F"/>
    <w:pPr>
      <w:tabs>
        <w:tab w:val="right" w:leader="dot" w:pos="9016"/>
      </w:tabs>
    </w:pPr>
    <w:rPr>
      <w:b/>
      <w:noProof/>
      <w:sz w:val="28"/>
    </w:rPr>
  </w:style>
  <w:style w:type="paragraph" w:styleId="TOC2">
    <w:name w:val="toc 2"/>
    <w:basedOn w:val="Normal"/>
    <w:next w:val="Normal"/>
    <w:autoRedefine/>
    <w:uiPriority w:val="39"/>
    <w:unhideWhenUsed/>
    <w:qFormat/>
    <w:rsid w:val="00B0602C"/>
    <w:pPr>
      <w:ind w:left="220"/>
    </w:pPr>
    <w:rPr>
      <w:sz w:val="24"/>
    </w:rPr>
  </w:style>
  <w:style w:type="paragraph" w:styleId="TOC3">
    <w:name w:val="toc 3"/>
    <w:basedOn w:val="Normal"/>
    <w:next w:val="Normal"/>
    <w:autoRedefine/>
    <w:uiPriority w:val="39"/>
    <w:unhideWhenUsed/>
    <w:qFormat/>
    <w:rsid w:val="005F4764"/>
    <w:pPr>
      <w:ind w:left="440"/>
    </w:pPr>
  </w:style>
  <w:style w:type="paragraph" w:styleId="TOC4">
    <w:name w:val="toc 4"/>
    <w:basedOn w:val="Normal"/>
    <w:next w:val="Normal"/>
    <w:autoRedefine/>
    <w:uiPriority w:val="39"/>
    <w:unhideWhenUsed/>
    <w:rsid w:val="005F4764"/>
    <w:pPr>
      <w:ind w:left="660"/>
    </w:pPr>
  </w:style>
  <w:style w:type="paragraph" w:styleId="FootnoteText">
    <w:name w:val="footnote text"/>
    <w:basedOn w:val="Normal"/>
    <w:link w:val="FootnoteTextChar"/>
    <w:uiPriority w:val="99"/>
    <w:unhideWhenUsed/>
    <w:rsid w:val="005F4764"/>
    <w:rPr>
      <w:sz w:val="18"/>
    </w:rPr>
  </w:style>
  <w:style w:type="character" w:customStyle="1" w:styleId="FootnoteTextChar">
    <w:name w:val="Footnote Text Char"/>
    <w:link w:val="FootnoteText"/>
    <w:uiPriority w:val="99"/>
    <w:rsid w:val="005F4764"/>
    <w:rPr>
      <w:rFonts w:ascii="Arial" w:hAnsi="Arial"/>
      <w:sz w:val="18"/>
      <w:szCs w:val="24"/>
      <w:lang w:eastAsia="en-AU"/>
    </w:rPr>
  </w:style>
  <w:style w:type="paragraph" w:styleId="Header">
    <w:name w:val="header"/>
    <w:basedOn w:val="Normal"/>
    <w:link w:val="HeaderChar"/>
    <w:unhideWhenUsed/>
    <w:rsid w:val="005F4764"/>
    <w:pPr>
      <w:tabs>
        <w:tab w:val="center" w:pos="4513"/>
        <w:tab w:val="right" w:pos="9026"/>
      </w:tabs>
    </w:pPr>
  </w:style>
  <w:style w:type="character" w:customStyle="1" w:styleId="HeaderChar">
    <w:name w:val="Header Char"/>
    <w:link w:val="Header"/>
    <w:rsid w:val="005F4764"/>
    <w:rPr>
      <w:rFonts w:ascii="Arial" w:hAnsi="Arial"/>
      <w:szCs w:val="24"/>
      <w:lang w:eastAsia="en-AU"/>
    </w:rPr>
  </w:style>
  <w:style w:type="paragraph" w:styleId="Footer">
    <w:name w:val="footer"/>
    <w:basedOn w:val="Normal"/>
    <w:link w:val="FooterChar"/>
    <w:uiPriority w:val="99"/>
    <w:unhideWhenUsed/>
    <w:rsid w:val="005F4764"/>
    <w:pPr>
      <w:tabs>
        <w:tab w:val="center" w:pos="4513"/>
        <w:tab w:val="right" w:pos="9026"/>
      </w:tabs>
      <w:spacing w:after="0"/>
      <w:jc w:val="right"/>
    </w:pPr>
    <w:rPr>
      <w:sz w:val="18"/>
    </w:rPr>
  </w:style>
  <w:style w:type="character" w:customStyle="1" w:styleId="FooterChar">
    <w:name w:val="Footer Char"/>
    <w:link w:val="Footer"/>
    <w:uiPriority w:val="99"/>
    <w:rsid w:val="005F4764"/>
    <w:rPr>
      <w:rFonts w:ascii="Arial" w:hAnsi="Arial"/>
      <w:sz w:val="18"/>
      <w:szCs w:val="24"/>
      <w:lang w:eastAsia="en-AU"/>
    </w:rPr>
  </w:style>
  <w:style w:type="character" w:styleId="FootnoteReference">
    <w:name w:val="footnote reference"/>
    <w:uiPriority w:val="99"/>
    <w:unhideWhenUsed/>
    <w:qFormat/>
    <w:rsid w:val="005F4764"/>
    <w:rPr>
      <w:rFonts w:ascii="Arial" w:hAnsi="Arial"/>
      <w:i w:val="0"/>
      <w:color w:val="595959" w:themeColor="text1" w:themeTint="A6"/>
      <w:sz w:val="18"/>
      <w:vertAlign w:val="superscript"/>
    </w:rPr>
  </w:style>
  <w:style w:type="paragraph" w:styleId="Subtitle">
    <w:name w:val="Subtitle"/>
    <w:basedOn w:val="Normal"/>
    <w:next w:val="Normal"/>
    <w:link w:val="SubtitleChar"/>
    <w:uiPriority w:val="11"/>
    <w:rsid w:val="005F4764"/>
    <w:pPr>
      <w:numPr>
        <w:ilvl w:val="1"/>
      </w:numPr>
    </w:pPr>
    <w:rPr>
      <w:rFonts w:eastAsiaTheme="majorEastAsia" w:cstheme="majorBidi"/>
      <w:i/>
      <w:iCs/>
      <w:spacing w:val="15"/>
    </w:rPr>
  </w:style>
  <w:style w:type="character" w:customStyle="1" w:styleId="SubtitleChar">
    <w:name w:val="Subtitle Char"/>
    <w:link w:val="Subtitle"/>
    <w:uiPriority w:val="11"/>
    <w:rsid w:val="005F4764"/>
    <w:rPr>
      <w:rFonts w:ascii="Arial" w:eastAsiaTheme="majorEastAsia" w:hAnsi="Arial" w:cstheme="majorBidi"/>
      <w:i/>
      <w:iCs/>
      <w:spacing w:val="15"/>
      <w:szCs w:val="24"/>
      <w:lang w:eastAsia="en-AU"/>
    </w:rPr>
  </w:style>
  <w:style w:type="character" w:styleId="Hyperlink">
    <w:name w:val="Hyperlink"/>
    <w:uiPriority w:val="99"/>
    <w:rsid w:val="005F4764"/>
    <w:rPr>
      <w:rFonts w:ascii="Arial" w:hAnsi="Arial"/>
      <w:color w:val="0000FF"/>
      <w:sz w:val="22"/>
      <w:u w:val="single"/>
    </w:rPr>
  </w:style>
  <w:style w:type="character" w:styleId="Strong">
    <w:name w:val="Strong"/>
    <w:uiPriority w:val="22"/>
    <w:rsid w:val="005F4764"/>
    <w:rPr>
      <w:rFonts w:ascii="Arial" w:hAnsi="Arial"/>
      <w:b/>
      <w:bCs/>
      <w:sz w:val="22"/>
    </w:rPr>
  </w:style>
  <w:style w:type="character" w:styleId="Emphasis">
    <w:name w:val="Emphasis"/>
    <w:uiPriority w:val="20"/>
    <w:rsid w:val="005F4764"/>
    <w:rPr>
      <w:rFonts w:ascii="Arial" w:hAnsi="Arial"/>
      <w:i/>
      <w:iCs/>
      <w:sz w:val="22"/>
    </w:rPr>
  </w:style>
  <w:style w:type="table" w:styleId="TableGrid">
    <w:name w:val="Table Grid"/>
    <w:basedOn w:val="TableNormal"/>
    <w:uiPriority w:val="59"/>
    <w:rsid w:val="005F4764"/>
    <w:pPr>
      <w:spacing w:line="240" w:lineRule="auto"/>
    </w:pPr>
    <w:rPr>
      <w:rFonts w:ascii="Arial" w:hAnsi="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umberedList">
    <w:name w:val="Numbered List"/>
    <w:basedOn w:val="ListNumber3"/>
    <w:link w:val="NumberedListChar"/>
    <w:rsid w:val="005F4764"/>
    <w:pPr>
      <w:numPr>
        <w:numId w:val="9"/>
      </w:numPr>
    </w:pPr>
  </w:style>
  <w:style w:type="paragraph" w:styleId="ListParagraph">
    <w:name w:val="List Paragraph"/>
    <w:basedOn w:val="Normal"/>
    <w:link w:val="ListParagraphChar"/>
    <w:uiPriority w:val="34"/>
    <w:qFormat/>
    <w:rsid w:val="005F4764"/>
    <w:pPr>
      <w:ind w:left="720"/>
      <w:contextualSpacing/>
    </w:pPr>
  </w:style>
  <w:style w:type="paragraph" w:styleId="Quote">
    <w:name w:val="Quote"/>
    <w:basedOn w:val="Normal"/>
    <w:next w:val="Normal"/>
    <w:link w:val="QuoteChar"/>
    <w:uiPriority w:val="29"/>
    <w:qFormat/>
    <w:rsid w:val="005F4764"/>
    <w:rPr>
      <w:i/>
      <w:iCs/>
      <w:color w:val="000000"/>
    </w:rPr>
  </w:style>
  <w:style w:type="character" w:customStyle="1" w:styleId="QuoteChar">
    <w:name w:val="Quote Char"/>
    <w:link w:val="Quote"/>
    <w:uiPriority w:val="29"/>
    <w:rsid w:val="005F4764"/>
    <w:rPr>
      <w:rFonts w:ascii="Arial" w:hAnsi="Arial"/>
      <w:i/>
      <w:iCs/>
      <w:color w:val="000000"/>
      <w:szCs w:val="24"/>
      <w:lang w:eastAsia="en-AU"/>
    </w:rPr>
  </w:style>
  <w:style w:type="paragraph" w:styleId="TOAHeading">
    <w:name w:val="toa heading"/>
    <w:basedOn w:val="Normal"/>
    <w:next w:val="Normal"/>
    <w:uiPriority w:val="99"/>
    <w:semiHidden/>
    <w:unhideWhenUsed/>
    <w:rsid w:val="005F4764"/>
    <w:pPr>
      <w:spacing w:before="120"/>
    </w:pPr>
    <w:rPr>
      <w:rFonts w:eastAsiaTheme="majorEastAsia" w:cstheme="majorBidi"/>
      <w:b/>
      <w:bCs/>
      <w:sz w:val="28"/>
    </w:rPr>
  </w:style>
  <w:style w:type="character" w:styleId="IntenseEmphasis">
    <w:name w:val="Intense Emphasis"/>
    <w:uiPriority w:val="21"/>
    <w:rsid w:val="005F4764"/>
    <w:rPr>
      <w:rFonts w:ascii="Trebuchet MS" w:hAnsi="Trebuchet MS"/>
      <w:b/>
      <w:bCs/>
      <w:i/>
      <w:iCs/>
      <w:color w:val="000000" w:themeColor="text1"/>
      <w:sz w:val="22"/>
    </w:rPr>
  </w:style>
  <w:style w:type="paragraph" w:styleId="ListBullet">
    <w:name w:val="List Bullet"/>
    <w:basedOn w:val="List"/>
    <w:uiPriority w:val="99"/>
    <w:unhideWhenUsed/>
    <w:rsid w:val="005F4764"/>
    <w:pPr>
      <w:numPr>
        <w:numId w:val="3"/>
      </w:numPr>
      <w:contextualSpacing w:val="0"/>
    </w:pPr>
  </w:style>
  <w:style w:type="paragraph" w:styleId="ListNumber2">
    <w:name w:val="List Number 2"/>
    <w:basedOn w:val="Normal"/>
    <w:uiPriority w:val="99"/>
    <w:unhideWhenUsed/>
    <w:rsid w:val="005F4764"/>
    <w:pPr>
      <w:numPr>
        <w:numId w:val="5"/>
      </w:numPr>
      <w:contextualSpacing/>
    </w:pPr>
  </w:style>
  <w:style w:type="paragraph" w:styleId="ListNumber3">
    <w:name w:val="List Number 3"/>
    <w:basedOn w:val="Normal"/>
    <w:link w:val="ListNumber3Char"/>
    <w:uiPriority w:val="99"/>
    <w:unhideWhenUsed/>
    <w:rsid w:val="005F4764"/>
    <w:pPr>
      <w:numPr>
        <w:numId w:val="6"/>
      </w:numPr>
      <w:contextualSpacing/>
    </w:pPr>
  </w:style>
  <w:style w:type="paragraph" w:styleId="ListNumber4">
    <w:name w:val="List Number 4"/>
    <w:basedOn w:val="Normal"/>
    <w:uiPriority w:val="99"/>
    <w:semiHidden/>
    <w:unhideWhenUsed/>
    <w:rsid w:val="005F4764"/>
    <w:pPr>
      <w:numPr>
        <w:numId w:val="7"/>
      </w:numPr>
      <w:contextualSpacing/>
    </w:pPr>
  </w:style>
  <w:style w:type="paragraph" w:styleId="ListNumber5">
    <w:name w:val="List Number 5"/>
    <w:basedOn w:val="Normal"/>
    <w:uiPriority w:val="99"/>
    <w:semiHidden/>
    <w:unhideWhenUsed/>
    <w:rsid w:val="005F4764"/>
    <w:pPr>
      <w:numPr>
        <w:numId w:val="8"/>
      </w:numPr>
      <w:contextualSpacing/>
    </w:pPr>
  </w:style>
  <w:style w:type="paragraph" w:styleId="ListNumber">
    <w:name w:val="List Number"/>
    <w:basedOn w:val="Normal"/>
    <w:uiPriority w:val="99"/>
    <w:unhideWhenUsed/>
    <w:rsid w:val="005F4764"/>
    <w:pPr>
      <w:numPr>
        <w:numId w:val="4"/>
      </w:numPr>
      <w:contextualSpacing/>
    </w:pPr>
  </w:style>
  <w:style w:type="paragraph" w:styleId="List">
    <w:name w:val="List"/>
    <w:basedOn w:val="Normal"/>
    <w:uiPriority w:val="99"/>
    <w:unhideWhenUsed/>
    <w:rsid w:val="005F4764"/>
    <w:pPr>
      <w:ind w:left="283" w:hanging="283"/>
      <w:contextualSpacing/>
    </w:pPr>
  </w:style>
  <w:style w:type="paragraph" w:styleId="List2">
    <w:name w:val="List 2"/>
    <w:basedOn w:val="Normal"/>
    <w:uiPriority w:val="99"/>
    <w:unhideWhenUsed/>
    <w:rsid w:val="005F4764"/>
    <w:pPr>
      <w:ind w:left="566" w:hanging="283"/>
      <w:contextualSpacing/>
    </w:pPr>
  </w:style>
  <w:style w:type="paragraph" w:styleId="List3">
    <w:name w:val="List 3"/>
    <w:basedOn w:val="Normal"/>
    <w:uiPriority w:val="99"/>
    <w:unhideWhenUsed/>
    <w:rsid w:val="005F4764"/>
    <w:pPr>
      <w:ind w:left="849" w:hanging="283"/>
      <w:contextualSpacing/>
    </w:pPr>
  </w:style>
  <w:style w:type="paragraph" w:styleId="List4">
    <w:name w:val="List 4"/>
    <w:basedOn w:val="Normal"/>
    <w:uiPriority w:val="99"/>
    <w:unhideWhenUsed/>
    <w:rsid w:val="005F4764"/>
    <w:pPr>
      <w:ind w:left="1132" w:hanging="283"/>
      <w:contextualSpacing/>
    </w:pPr>
  </w:style>
  <w:style w:type="numbering" w:styleId="111111">
    <w:name w:val="Outline List 2"/>
    <w:basedOn w:val="NoList"/>
    <w:uiPriority w:val="99"/>
    <w:semiHidden/>
    <w:unhideWhenUsed/>
    <w:rsid w:val="005F4764"/>
    <w:pPr>
      <w:numPr>
        <w:numId w:val="1"/>
      </w:numPr>
    </w:pPr>
  </w:style>
  <w:style w:type="character" w:customStyle="1" w:styleId="ListNumber3Char">
    <w:name w:val="List Number 3 Char"/>
    <w:basedOn w:val="DefaultParagraphFont"/>
    <w:link w:val="ListNumber3"/>
    <w:uiPriority w:val="99"/>
    <w:rsid w:val="005F4764"/>
    <w:rPr>
      <w:rFonts w:ascii="Arial" w:hAnsi="Arial"/>
      <w:szCs w:val="24"/>
      <w:lang w:eastAsia="en-AU"/>
    </w:rPr>
  </w:style>
  <w:style w:type="character" w:customStyle="1" w:styleId="NumberedListChar">
    <w:name w:val="Numbered List Char"/>
    <w:basedOn w:val="ListNumber3Char"/>
    <w:link w:val="NumberedList"/>
    <w:rsid w:val="005F4764"/>
    <w:rPr>
      <w:rFonts w:ascii="Arial" w:hAnsi="Arial"/>
      <w:szCs w:val="24"/>
      <w:lang w:eastAsia="en-AU"/>
    </w:rPr>
  </w:style>
  <w:style w:type="paragraph" w:styleId="BodyText">
    <w:name w:val="Body Text"/>
    <w:basedOn w:val="Normal"/>
    <w:link w:val="BodyTextChar"/>
    <w:uiPriority w:val="99"/>
    <w:semiHidden/>
    <w:unhideWhenUsed/>
    <w:rsid w:val="005F4764"/>
  </w:style>
  <w:style w:type="character" w:customStyle="1" w:styleId="BodyTextChar">
    <w:name w:val="Body Text Char"/>
    <w:basedOn w:val="DefaultParagraphFont"/>
    <w:link w:val="BodyText"/>
    <w:uiPriority w:val="99"/>
    <w:semiHidden/>
    <w:rsid w:val="005F4764"/>
    <w:rPr>
      <w:rFonts w:ascii="Arial" w:hAnsi="Arial"/>
      <w:szCs w:val="24"/>
      <w:lang w:eastAsia="en-AU"/>
    </w:rPr>
  </w:style>
  <w:style w:type="character" w:customStyle="1" w:styleId="Heading8Char">
    <w:name w:val="Heading 8 Char"/>
    <w:basedOn w:val="DefaultParagraphFont"/>
    <w:link w:val="Heading8"/>
    <w:uiPriority w:val="9"/>
    <w:rsid w:val="005F4764"/>
    <w:rPr>
      <w:rFonts w:ascii="Arial" w:eastAsiaTheme="majorEastAsia" w:hAnsi="Arial" w:cstheme="majorBidi"/>
      <w:color w:val="404040" w:themeColor="text1" w:themeTint="BF"/>
      <w:sz w:val="20"/>
      <w:szCs w:val="20"/>
      <w:lang w:eastAsia="en-AU"/>
    </w:rPr>
  </w:style>
  <w:style w:type="character" w:customStyle="1" w:styleId="Heading9Char">
    <w:name w:val="Heading 9 Char"/>
    <w:basedOn w:val="DefaultParagraphFont"/>
    <w:link w:val="Heading9"/>
    <w:uiPriority w:val="9"/>
    <w:rsid w:val="005F4764"/>
    <w:rPr>
      <w:rFonts w:ascii="Arial" w:eastAsiaTheme="majorEastAsia" w:hAnsi="Arial" w:cstheme="majorBidi"/>
      <w:i/>
      <w:iCs/>
      <w:color w:val="404040" w:themeColor="text1" w:themeTint="BF"/>
      <w:sz w:val="20"/>
      <w:szCs w:val="20"/>
      <w:lang w:eastAsia="en-AU"/>
    </w:rPr>
  </w:style>
  <w:style w:type="paragraph" w:styleId="TOCHeading">
    <w:name w:val="TOC Heading"/>
    <w:basedOn w:val="Heading1"/>
    <w:next w:val="Normal"/>
    <w:uiPriority w:val="39"/>
    <w:unhideWhenUsed/>
    <w:qFormat/>
    <w:rsid w:val="00B0602C"/>
    <w:pPr>
      <w:spacing w:after="0"/>
      <w:outlineLvl w:val="9"/>
    </w:pPr>
    <w:rPr>
      <w:szCs w:val="28"/>
    </w:rPr>
  </w:style>
  <w:style w:type="paragraph" w:customStyle="1" w:styleId="TableColumnHeading">
    <w:name w:val="Table Column Heading"/>
    <w:basedOn w:val="Normal"/>
    <w:rsid w:val="005F4764"/>
    <w:pPr>
      <w:widowControl w:val="0"/>
      <w:spacing w:before="120"/>
    </w:pPr>
    <w:rPr>
      <w:rFonts w:eastAsia="Times" w:cstheme="majorBidi"/>
      <w:b/>
      <w:iCs/>
      <w:color w:val="000000" w:themeColor="text1"/>
      <w:szCs w:val="20"/>
    </w:rPr>
  </w:style>
  <w:style w:type="paragraph" w:customStyle="1" w:styleId="TableColumnSub-Heading">
    <w:name w:val="Table Column Sub-Heading"/>
    <w:basedOn w:val="Normal"/>
    <w:rsid w:val="005F4764"/>
    <w:pPr>
      <w:keepNext/>
      <w:widowControl w:val="0"/>
      <w:spacing w:before="60" w:after="60"/>
    </w:pPr>
    <w:rPr>
      <w:rFonts w:cstheme="minorBidi"/>
      <w:b/>
      <w:sz w:val="20"/>
    </w:rPr>
  </w:style>
  <w:style w:type="paragraph" w:customStyle="1" w:styleId="TableRowHeading">
    <w:name w:val="Table Row Heading"/>
    <w:basedOn w:val="Normal"/>
    <w:rsid w:val="005F4764"/>
    <w:pPr>
      <w:keepNext/>
      <w:widowControl w:val="0"/>
      <w:spacing w:before="120"/>
    </w:pPr>
    <w:rPr>
      <w:b/>
      <w:i/>
      <w:sz w:val="20"/>
    </w:rPr>
  </w:style>
  <w:style w:type="table" w:customStyle="1" w:styleId="APRAWorkingPaperTable">
    <w:name w:val="APRA Working Paper Table"/>
    <w:basedOn w:val="TableNormal"/>
    <w:uiPriority w:val="99"/>
    <w:rsid w:val="005F4764"/>
    <w:pPr>
      <w:spacing w:after="0" w:line="240" w:lineRule="auto"/>
    </w:pPr>
    <w:rPr>
      <w:rFonts w:ascii="Arial" w:hAnsi="Arial"/>
      <w:sz w:val="20"/>
      <w:lang w:eastAsia="en-AU"/>
    </w:rPr>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clear" w:color="auto" w:fill="auto"/>
      <w:vAlign w:val="center"/>
    </w:tcPr>
    <w:tblStylePr w:type="firstRow">
      <w:pPr>
        <w:wordWrap/>
        <w:spacing w:beforeLines="0" w:before="0" w:beforeAutospacing="0" w:afterLines="0" w:after="0" w:afterAutospacing="0" w:line="240" w:lineRule="auto"/>
        <w:ind w:leftChars="0" w:left="0" w:rightChars="0" w:right="0" w:firstLineChars="0" w:firstLine="0"/>
        <w:jc w:val="left"/>
        <w:outlineLvl w:val="3"/>
      </w:pPr>
      <w:rPr>
        <w:rFonts w:ascii="Trebuchet MS" w:hAnsi="Trebuchet MS"/>
        <w:b w:val="0"/>
        <w:i w:val="0"/>
        <w:sz w:val="22"/>
      </w:rPr>
      <w:tblPr/>
      <w:tcPr>
        <w:shd w:val="clear" w:color="auto" w:fill="8DB3E2" w:themeFill="text2" w:themeFillTint="66"/>
      </w:tcPr>
    </w:tblStylePr>
    <w:tblStylePr w:type="band1Vert">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tcPr>
    </w:tblStylePr>
  </w:style>
  <w:style w:type="paragraph" w:styleId="BalloonText">
    <w:name w:val="Balloon Text"/>
    <w:basedOn w:val="Normal"/>
    <w:link w:val="BalloonTextChar"/>
    <w:uiPriority w:val="99"/>
    <w:semiHidden/>
    <w:unhideWhenUsed/>
    <w:rsid w:val="005F4764"/>
    <w:pPr>
      <w:spacing w:after="0"/>
    </w:pPr>
    <w:rPr>
      <w:rFonts w:cs="Tahoma"/>
      <w:sz w:val="16"/>
      <w:szCs w:val="16"/>
    </w:rPr>
  </w:style>
  <w:style w:type="character" w:customStyle="1" w:styleId="BalloonTextChar">
    <w:name w:val="Balloon Text Char"/>
    <w:basedOn w:val="DefaultParagraphFont"/>
    <w:link w:val="BalloonText"/>
    <w:uiPriority w:val="99"/>
    <w:semiHidden/>
    <w:rsid w:val="005F4764"/>
    <w:rPr>
      <w:rFonts w:ascii="Arial" w:hAnsi="Arial" w:cs="Tahoma"/>
      <w:sz w:val="16"/>
      <w:szCs w:val="16"/>
      <w:lang w:eastAsia="en-AU"/>
    </w:rPr>
  </w:style>
  <w:style w:type="character" w:styleId="FollowedHyperlink">
    <w:name w:val="FollowedHyperlink"/>
    <w:basedOn w:val="DefaultParagraphFont"/>
    <w:uiPriority w:val="99"/>
    <w:semiHidden/>
    <w:unhideWhenUsed/>
    <w:rsid w:val="005F4764"/>
    <w:rPr>
      <w:color w:val="800080" w:themeColor="followedHyperlink"/>
      <w:u w:val="single"/>
    </w:rPr>
  </w:style>
  <w:style w:type="paragraph" w:styleId="Title">
    <w:name w:val="Title"/>
    <w:basedOn w:val="Normal"/>
    <w:next w:val="Normal"/>
    <w:link w:val="TitleChar"/>
    <w:uiPriority w:val="10"/>
    <w:qFormat/>
    <w:rsid w:val="00C333E7"/>
    <w:pPr>
      <w:spacing w:after="300"/>
      <w:contextualSpacing/>
    </w:pPr>
    <w:rPr>
      <w:rFonts w:eastAsiaTheme="majorEastAsia" w:cstheme="majorBidi"/>
      <w:b/>
      <w:caps/>
      <w:spacing w:val="5"/>
      <w:kern w:val="28"/>
      <w:sz w:val="40"/>
      <w:szCs w:val="52"/>
    </w:rPr>
  </w:style>
  <w:style w:type="character" w:customStyle="1" w:styleId="TitleChar">
    <w:name w:val="Title Char"/>
    <w:basedOn w:val="DefaultParagraphFont"/>
    <w:link w:val="Title"/>
    <w:uiPriority w:val="10"/>
    <w:rsid w:val="00C333E7"/>
    <w:rPr>
      <w:rFonts w:ascii="Arial" w:eastAsiaTheme="majorEastAsia" w:hAnsi="Arial" w:cstheme="majorBidi"/>
      <w:b/>
      <w:caps/>
      <w:spacing w:val="5"/>
      <w:kern w:val="28"/>
      <w:sz w:val="40"/>
      <w:szCs w:val="52"/>
      <w:lang w:eastAsia="en-AU"/>
    </w:rPr>
  </w:style>
  <w:style w:type="character" w:styleId="SubtleEmphasis">
    <w:name w:val="Subtle Emphasis"/>
    <w:basedOn w:val="DefaultParagraphFont"/>
    <w:uiPriority w:val="19"/>
    <w:rsid w:val="005F4764"/>
    <w:rPr>
      <w:i/>
      <w:iCs/>
      <w:color w:val="808080" w:themeColor="text1" w:themeTint="7F"/>
    </w:rPr>
  </w:style>
  <w:style w:type="character" w:styleId="PlaceholderText">
    <w:name w:val="Placeholder Text"/>
    <w:basedOn w:val="DefaultParagraphFont"/>
    <w:uiPriority w:val="99"/>
    <w:semiHidden/>
    <w:rsid w:val="005F4764"/>
    <w:rPr>
      <w:color w:val="808080"/>
    </w:rPr>
  </w:style>
  <w:style w:type="paragraph" w:customStyle="1" w:styleId="APRASignature">
    <w:name w:val="APRA Signature"/>
    <w:basedOn w:val="Normal"/>
    <w:link w:val="APRASignatureChar"/>
    <w:rsid w:val="005F4764"/>
    <w:pPr>
      <w:spacing w:after="0"/>
    </w:pPr>
    <w:rPr>
      <w:i/>
    </w:rPr>
  </w:style>
  <w:style w:type="character" w:customStyle="1" w:styleId="APRASignatureChar">
    <w:name w:val="APRA Signature Char"/>
    <w:basedOn w:val="DefaultParagraphFont"/>
    <w:link w:val="APRASignature"/>
    <w:rsid w:val="005F4764"/>
    <w:rPr>
      <w:rFonts w:ascii="Arial" w:hAnsi="Arial"/>
      <w:i/>
      <w:szCs w:val="24"/>
      <w:lang w:eastAsia="en-AU"/>
    </w:rPr>
  </w:style>
  <w:style w:type="paragraph" w:customStyle="1" w:styleId="Tabletext">
    <w:name w:val="Table text"/>
    <w:basedOn w:val="Normal"/>
    <w:link w:val="TabletextChar"/>
    <w:qFormat/>
    <w:rsid w:val="005F4764"/>
    <w:pPr>
      <w:spacing w:before="60" w:after="60"/>
    </w:pPr>
    <w:rPr>
      <w:rFonts w:cs="Arial"/>
    </w:rPr>
  </w:style>
  <w:style w:type="character" w:customStyle="1" w:styleId="TabletextChar">
    <w:name w:val="Table text Char"/>
    <w:basedOn w:val="DefaultParagraphFont"/>
    <w:link w:val="Tabletext"/>
    <w:rsid w:val="005F4764"/>
    <w:rPr>
      <w:rFonts w:ascii="Arial" w:hAnsi="Arial" w:cs="Arial"/>
      <w:szCs w:val="24"/>
      <w:lang w:eastAsia="en-AU"/>
    </w:rPr>
  </w:style>
  <w:style w:type="paragraph" w:customStyle="1" w:styleId="Bullet10">
    <w:name w:val="Bullet 1"/>
    <w:basedOn w:val="Normal"/>
    <w:link w:val="Bullet1Char"/>
    <w:rsid w:val="00CC10DA"/>
    <w:pPr>
      <w:tabs>
        <w:tab w:val="left" w:pos="426"/>
      </w:tabs>
    </w:pPr>
    <w:rPr>
      <w:rFonts w:cs="Arial"/>
      <w:color w:val="000000"/>
      <w:szCs w:val="22"/>
    </w:rPr>
  </w:style>
  <w:style w:type="character" w:customStyle="1" w:styleId="Bullet1Char">
    <w:name w:val="Bullet 1 Char"/>
    <w:basedOn w:val="DefaultParagraphFont"/>
    <w:link w:val="Bullet10"/>
    <w:rsid w:val="00CC10DA"/>
    <w:rPr>
      <w:rFonts w:ascii="Arial" w:hAnsi="Arial" w:cs="Arial"/>
      <w:color w:val="000000"/>
      <w:lang w:eastAsia="en-AU"/>
    </w:rPr>
  </w:style>
  <w:style w:type="paragraph" w:customStyle="1" w:styleId="Bullet20">
    <w:name w:val="Bullet 2"/>
    <w:basedOn w:val="Normal"/>
    <w:link w:val="Bullet2Char"/>
    <w:rsid w:val="00CC10DA"/>
    <w:pPr>
      <w:spacing w:before="240"/>
    </w:pPr>
    <w:rPr>
      <w:rFonts w:cs="Arial"/>
      <w:color w:val="000000"/>
      <w:szCs w:val="22"/>
    </w:rPr>
  </w:style>
  <w:style w:type="character" w:customStyle="1" w:styleId="Bullet2Char">
    <w:name w:val="Bullet 2 Char"/>
    <w:basedOn w:val="DefaultParagraphFont"/>
    <w:link w:val="Bullet20"/>
    <w:rsid w:val="00CC10DA"/>
    <w:rPr>
      <w:rFonts w:ascii="Arial" w:hAnsi="Arial" w:cs="Arial"/>
      <w:color w:val="000000"/>
      <w:lang w:eastAsia="en-AU"/>
    </w:rPr>
  </w:style>
  <w:style w:type="paragraph" w:customStyle="1" w:styleId="Bullet30">
    <w:name w:val="Bullet 3"/>
    <w:basedOn w:val="Normal"/>
    <w:link w:val="Bullet3Char"/>
    <w:rsid w:val="00CC10DA"/>
    <w:rPr>
      <w:rFonts w:cs="Arial"/>
      <w:color w:val="000000"/>
    </w:rPr>
  </w:style>
  <w:style w:type="character" w:customStyle="1" w:styleId="Bullet3Char">
    <w:name w:val="Bullet 3 Char"/>
    <w:basedOn w:val="Bullet1Char"/>
    <w:link w:val="Bullet30"/>
    <w:rsid w:val="00CC10DA"/>
    <w:rPr>
      <w:rFonts w:ascii="Arial" w:hAnsi="Arial" w:cs="Arial"/>
      <w:color w:val="000000"/>
      <w:szCs w:val="24"/>
      <w:lang w:eastAsia="en-AU"/>
    </w:rPr>
  </w:style>
  <w:style w:type="paragraph" w:styleId="MacroText">
    <w:name w:val="macro"/>
    <w:link w:val="MacroTextChar"/>
    <w:uiPriority w:val="99"/>
    <w:semiHidden/>
    <w:unhideWhenUsed/>
    <w:rsid w:val="005F4764"/>
    <w:pPr>
      <w:tabs>
        <w:tab w:val="left" w:pos="480"/>
        <w:tab w:val="left" w:pos="960"/>
        <w:tab w:val="left" w:pos="1440"/>
        <w:tab w:val="left" w:pos="1920"/>
        <w:tab w:val="left" w:pos="2400"/>
        <w:tab w:val="left" w:pos="2880"/>
        <w:tab w:val="left" w:pos="3360"/>
        <w:tab w:val="left" w:pos="3840"/>
        <w:tab w:val="left" w:pos="4320"/>
      </w:tabs>
      <w:spacing w:after="0" w:line="240" w:lineRule="auto"/>
      <w:jc w:val="both"/>
    </w:pPr>
    <w:rPr>
      <w:rFonts w:ascii="Arial" w:hAnsi="Arial"/>
      <w:sz w:val="20"/>
      <w:szCs w:val="20"/>
      <w:lang w:eastAsia="en-AU"/>
    </w:rPr>
  </w:style>
  <w:style w:type="character" w:customStyle="1" w:styleId="MacroTextChar">
    <w:name w:val="Macro Text Char"/>
    <w:basedOn w:val="DefaultParagraphFont"/>
    <w:link w:val="MacroText"/>
    <w:uiPriority w:val="99"/>
    <w:semiHidden/>
    <w:rsid w:val="005F4764"/>
    <w:rPr>
      <w:rFonts w:ascii="Arial" w:hAnsi="Arial"/>
      <w:sz w:val="20"/>
      <w:szCs w:val="20"/>
      <w:lang w:eastAsia="en-AU"/>
    </w:rPr>
  </w:style>
  <w:style w:type="paragraph" w:styleId="BlockText">
    <w:name w:val="Block Text"/>
    <w:basedOn w:val="Normal"/>
    <w:uiPriority w:val="99"/>
    <w:semiHidden/>
    <w:unhideWhenUsed/>
    <w:rsid w:val="005F4764"/>
    <w:pPr>
      <w:pBdr>
        <w:top w:val="single" w:sz="2" w:space="10" w:color="4F81BD" w:themeColor="accent1" w:shadow="1"/>
        <w:left w:val="single" w:sz="2" w:space="10" w:color="4F81BD" w:themeColor="accent1" w:shadow="1"/>
        <w:bottom w:val="single" w:sz="2" w:space="10" w:color="4F81BD" w:themeColor="accent1" w:shadow="1"/>
        <w:right w:val="single" w:sz="2" w:space="10" w:color="4F81BD" w:themeColor="accent1" w:shadow="1"/>
      </w:pBdr>
      <w:ind w:left="1152" w:right="1152"/>
    </w:pPr>
    <w:rPr>
      <w:rFonts w:eastAsiaTheme="minorEastAsia" w:cstheme="minorBidi"/>
      <w:i/>
      <w:iCs/>
      <w:color w:val="4F81BD" w:themeColor="accent1"/>
    </w:rPr>
  </w:style>
  <w:style w:type="table" w:styleId="ColorfulGrid">
    <w:name w:val="Colorful Grid"/>
    <w:basedOn w:val="TableNormal"/>
    <w:uiPriority w:val="73"/>
    <w:semiHidden/>
    <w:unhideWhenUsed/>
    <w:rsid w:val="005F4764"/>
    <w:pPr>
      <w:spacing w:after="0" w:line="240" w:lineRule="auto"/>
    </w:pPr>
    <w:rPr>
      <w:rFonts w:ascii="Arial" w:hAnsi="Arial"/>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semiHidden/>
    <w:unhideWhenUsed/>
    <w:rsid w:val="005F4764"/>
    <w:pPr>
      <w:spacing w:after="0" w:line="240" w:lineRule="auto"/>
    </w:pPr>
    <w:rPr>
      <w:rFonts w:ascii="Arial" w:hAnsi="Arial"/>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semiHidden/>
    <w:unhideWhenUsed/>
    <w:rsid w:val="005F4764"/>
    <w:pPr>
      <w:spacing w:after="0" w:line="240" w:lineRule="auto"/>
    </w:pPr>
    <w:rPr>
      <w:rFonts w:ascii="Arial" w:hAnsi="Arial"/>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semiHidden/>
    <w:unhideWhenUsed/>
    <w:rsid w:val="005F4764"/>
    <w:pPr>
      <w:spacing w:after="0" w:line="240" w:lineRule="auto"/>
    </w:pPr>
    <w:rPr>
      <w:rFonts w:ascii="Arial" w:hAnsi="Arial"/>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semiHidden/>
    <w:unhideWhenUsed/>
    <w:rsid w:val="005F4764"/>
    <w:pPr>
      <w:spacing w:after="0" w:line="240" w:lineRule="auto"/>
    </w:pPr>
    <w:rPr>
      <w:rFonts w:ascii="Arial" w:hAnsi="Arial"/>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semiHidden/>
    <w:unhideWhenUsed/>
    <w:rsid w:val="005F4764"/>
    <w:pPr>
      <w:spacing w:after="0" w:line="240" w:lineRule="auto"/>
    </w:pPr>
    <w:rPr>
      <w:rFonts w:ascii="Arial" w:hAnsi="Arial"/>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semiHidden/>
    <w:unhideWhenUsed/>
    <w:rsid w:val="005F4764"/>
    <w:pPr>
      <w:spacing w:after="0" w:line="240" w:lineRule="auto"/>
    </w:pPr>
    <w:rPr>
      <w:rFonts w:ascii="Arial" w:hAnsi="Arial"/>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ColorfulList">
    <w:name w:val="Colorful List"/>
    <w:basedOn w:val="TableNormal"/>
    <w:uiPriority w:val="72"/>
    <w:semiHidden/>
    <w:unhideWhenUsed/>
    <w:rsid w:val="005F4764"/>
    <w:pPr>
      <w:spacing w:after="0" w:line="240" w:lineRule="auto"/>
    </w:pPr>
    <w:rPr>
      <w:rFonts w:ascii="Arial" w:hAnsi="Arial"/>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semiHidden/>
    <w:unhideWhenUsed/>
    <w:rsid w:val="005F4764"/>
    <w:pPr>
      <w:spacing w:after="0" w:line="240" w:lineRule="auto"/>
    </w:pPr>
    <w:rPr>
      <w:rFonts w:ascii="Arial" w:hAnsi="Arial"/>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semiHidden/>
    <w:unhideWhenUsed/>
    <w:rsid w:val="005F4764"/>
    <w:pPr>
      <w:spacing w:after="0" w:line="240" w:lineRule="auto"/>
    </w:pPr>
    <w:rPr>
      <w:rFonts w:ascii="Arial" w:hAnsi="Arial"/>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semiHidden/>
    <w:unhideWhenUsed/>
    <w:rsid w:val="005F4764"/>
    <w:pPr>
      <w:spacing w:after="0" w:line="240" w:lineRule="auto"/>
    </w:pPr>
    <w:rPr>
      <w:rFonts w:ascii="Arial" w:hAnsi="Arial"/>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semiHidden/>
    <w:unhideWhenUsed/>
    <w:rsid w:val="005F4764"/>
    <w:pPr>
      <w:spacing w:after="0" w:line="240" w:lineRule="auto"/>
    </w:pPr>
    <w:rPr>
      <w:rFonts w:ascii="Arial" w:hAnsi="Arial"/>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semiHidden/>
    <w:unhideWhenUsed/>
    <w:rsid w:val="005F4764"/>
    <w:pPr>
      <w:spacing w:after="0" w:line="240" w:lineRule="auto"/>
    </w:pPr>
    <w:rPr>
      <w:rFonts w:ascii="Arial" w:hAnsi="Arial"/>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semiHidden/>
    <w:unhideWhenUsed/>
    <w:rsid w:val="005F4764"/>
    <w:pPr>
      <w:spacing w:after="0" w:line="240" w:lineRule="auto"/>
    </w:pPr>
    <w:rPr>
      <w:rFonts w:ascii="Arial" w:hAnsi="Arial"/>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Shading">
    <w:name w:val="Colorful Shading"/>
    <w:basedOn w:val="TableNormal"/>
    <w:uiPriority w:val="71"/>
    <w:semiHidden/>
    <w:unhideWhenUsed/>
    <w:rsid w:val="005F4764"/>
    <w:pPr>
      <w:spacing w:after="0" w:line="240" w:lineRule="auto"/>
    </w:pPr>
    <w:rPr>
      <w:rFonts w:ascii="Arial" w:hAnsi="Arial"/>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semiHidden/>
    <w:unhideWhenUsed/>
    <w:rsid w:val="005F4764"/>
    <w:pPr>
      <w:spacing w:after="0" w:line="240" w:lineRule="auto"/>
    </w:pPr>
    <w:rPr>
      <w:rFonts w:ascii="Arial" w:hAnsi="Arial"/>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semiHidden/>
    <w:unhideWhenUsed/>
    <w:rsid w:val="005F4764"/>
    <w:pPr>
      <w:spacing w:after="0" w:line="240" w:lineRule="auto"/>
    </w:pPr>
    <w:rPr>
      <w:rFonts w:ascii="Arial" w:hAnsi="Arial"/>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semiHidden/>
    <w:unhideWhenUsed/>
    <w:rsid w:val="005F4764"/>
    <w:pPr>
      <w:spacing w:after="0" w:line="240" w:lineRule="auto"/>
    </w:pPr>
    <w:rPr>
      <w:rFonts w:ascii="Arial" w:hAnsi="Arial"/>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semiHidden/>
    <w:unhideWhenUsed/>
    <w:rsid w:val="005F4764"/>
    <w:pPr>
      <w:spacing w:after="0" w:line="240" w:lineRule="auto"/>
    </w:pPr>
    <w:rPr>
      <w:rFonts w:ascii="Arial" w:hAnsi="Arial"/>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semiHidden/>
    <w:unhideWhenUsed/>
    <w:rsid w:val="005F4764"/>
    <w:pPr>
      <w:spacing w:after="0" w:line="240" w:lineRule="auto"/>
    </w:pPr>
    <w:rPr>
      <w:rFonts w:ascii="Arial" w:hAnsi="Arial"/>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semiHidden/>
    <w:unhideWhenUsed/>
    <w:rsid w:val="005F4764"/>
    <w:pPr>
      <w:spacing w:after="0" w:line="240" w:lineRule="auto"/>
    </w:pPr>
    <w:rPr>
      <w:rFonts w:ascii="Arial" w:hAnsi="Arial"/>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DarkList">
    <w:name w:val="Dark List"/>
    <w:basedOn w:val="TableNormal"/>
    <w:uiPriority w:val="70"/>
    <w:semiHidden/>
    <w:unhideWhenUsed/>
    <w:rsid w:val="005F4764"/>
    <w:pPr>
      <w:spacing w:after="0" w:line="240" w:lineRule="auto"/>
    </w:pPr>
    <w:rPr>
      <w:rFonts w:ascii="Arial" w:hAnsi="Arial"/>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semiHidden/>
    <w:unhideWhenUsed/>
    <w:rsid w:val="005F4764"/>
    <w:pPr>
      <w:spacing w:after="0" w:line="240" w:lineRule="auto"/>
    </w:pPr>
    <w:rPr>
      <w:rFonts w:ascii="Arial" w:hAnsi="Arial"/>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semiHidden/>
    <w:unhideWhenUsed/>
    <w:rsid w:val="005F4764"/>
    <w:pPr>
      <w:spacing w:after="0" w:line="240" w:lineRule="auto"/>
    </w:pPr>
    <w:rPr>
      <w:rFonts w:ascii="Arial" w:hAnsi="Arial"/>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semiHidden/>
    <w:unhideWhenUsed/>
    <w:rsid w:val="005F4764"/>
    <w:pPr>
      <w:spacing w:after="0" w:line="240" w:lineRule="auto"/>
    </w:pPr>
    <w:rPr>
      <w:rFonts w:ascii="Arial" w:hAnsi="Arial"/>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semiHidden/>
    <w:unhideWhenUsed/>
    <w:rsid w:val="005F4764"/>
    <w:pPr>
      <w:spacing w:after="0" w:line="240" w:lineRule="auto"/>
    </w:pPr>
    <w:rPr>
      <w:rFonts w:ascii="Arial" w:hAnsi="Arial"/>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semiHidden/>
    <w:unhideWhenUsed/>
    <w:rsid w:val="005F4764"/>
    <w:pPr>
      <w:spacing w:after="0" w:line="240" w:lineRule="auto"/>
    </w:pPr>
    <w:rPr>
      <w:rFonts w:ascii="Arial" w:hAnsi="Arial"/>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semiHidden/>
    <w:unhideWhenUsed/>
    <w:rsid w:val="005F4764"/>
    <w:pPr>
      <w:spacing w:after="0" w:line="240" w:lineRule="auto"/>
    </w:pPr>
    <w:rPr>
      <w:rFonts w:ascii="Arial" w:hAnsi="Arial"/>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paragraph" w:styleId="EnvelopeAddress">
    <w:name w:val="envelope address"/>
    <w:basedOn w:val="Normal"/>
    <w:uiPriority w:val="99"/>
    <w:semiHidden/>
    <w:unhideWhenUsed/>
    <w:rsid w:val="005F4764"/>
    <w:pPr>
      <w:framePr w:w="7920" w:h="1980" w:hRule="exact" w:hSpace="180" w:wrap="auto" w:hAnchor="page" w:xAlign="center" w:yAlign="bottom"/>
      <w:spacing w:after="0"/>
      <w:ind w:left="2880"/>
    </w:pPr>
    <w:rPr>
      <w:rFonts w:eastAsiaTheme="majorEastAsia" w:cstheme="majorBidi"/>
      <w:sz w:val="24"/>
    </w:rPr>
  </w:style>
  <w:style w:type="paragraph" w:styleId="EnvelopeReturn">
    <w:name w:val="envelope return"/>
    <w:basedOn w:val="Normal"/>
    <w:uiPriority w:val="99"/>
    <w:semiHidden/>
    <w:unhideWhenUsed/>
    <w:rsid w:val="005F4764"/>
    <w:pPr>
      <w:spacing w:after="0"/>
    </w:pPr>
    <w:rPr>
      <w:rFonts w:eastAsiaTheme="majorEastAsia" w:cstheme="majorBidi"/>
      <w:sz w:val="20"/>
      <w:szCs w:val="20"/>
    </w:rPr>
  </w:style>
  <w:style w:type="table" w:styleId="GridTable1Light">
    <w:name w:val="Grid Table 1 Light"/>
    <w:basedOn w:val="TableNormal"/>
    <w:uiPriority w:val="46"/>
    <w:rsid w:val="005F4764"/>
    <w:pPr>
      <w:spacing w:after="0" w:line="240" w:lineRule="auto"/>
    </w:pPr>
    <w:rPr>
      <w:rFonts w:ascii="Arial" w:hAnsi="Arial"/>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ridTable1Light-Accent1">
    <w:name w:val="Grid Table 1 Light Accent 1"/>
    <w:basedOn w:val="TableNormal"/>
    <w:uiPriority w:val="46"/>
    <w:rsid w:val="005F4764"/>
    <w:pPr>
      <w:spacing w:after="0" w:line="240" w:lineRule="auto"/>
    </w:pPr>
    <w:rPr>
      <w:rFonts w:ascii="Arial" w:hAnsi="Arial"/>
    </w:rPr>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table" w:styleId="GridTable1Light-Accent2">
    <w:name w:val="Grid Table 1 Light Accent 2"/>
    <w:basedOn w:val="TableNormal"/>
    <w:uiPriority w:val="46"/>
    <w:rsid w:val="005F4764"/>
    <w:pPr>
      <w:spacing w:after="0" w:line="240" w:lineRule="auto"/>
    </w:pPr>
    <w:rPr>
      <w:rFonts w:ascii="Arial" w:hAnsi="Arial"/>
    </w:rPr>
    <w:tblPr>
      <w:tblStyleRowBandSize w:val="1"/>
      <w:tblStyleColBandSize w:val="1"/>
      <w:tblBorders>
        <w:top w:val="single" w:sz="4" w:space="0" w:color="E5B8B7" w:themeColor="accent2" w:themeTint="66"/>
        <w:left w:val="single" w:sz="4" w:space="0" w:color="E5B8B7" w:themeColor="accent2" w:themeTint="66"/>
        <w:bottom w:val="single" w:sz="4" w:space="0" w:color="E5B8B7" w:themeColor="accent2" w:themeTint="66"/>
        <w:right w:val="single" w:sz="4" w:space="0" w:color="E5B8B7" w:themeColor="accent2" w:themeTint="66"/>
        <w:insideH w:val="single" w:sz="4" w:space="0" w:color="E5B8B7" w:themeColor="accent2" w:themeTint="66"/>
        <w:insideV w:val="single" w:sz="4" w:space="0" w:color="E5B8B7" w:themeColor="accent2" w:themeTint="66"/>
      </w:tblBorders>
    </w:tblPr>
    <w:tblStylePr w:type="firstRow">
      <w:rPr>
        <w:b/>
        <w:bCs/>
      </w:rPr>
      <w:tblPr/>
      <w:tcPr>
        <w:tcBorders>
          <w:bottom w:val="single" w:sz="12" w:space="0" w:color="D99594" w:themeColor="accent2" w:themeTint="99"/>
        </w:tcBorders>
      </w:tcPr>
    </w:tblStylePr>
    <w:tblStylePr w:type="lastRow">
      <w:rPr>
        <w:b/>
        <w:bCs/>
      </w:rPr>
      <w:tblPr/>
      <w:tcPr>
        <w:tcBorders>
          <w:top w:val="double" w:sz="2" w:space="0" w:color="D99594" w:themeColor="accent2" w:themeTint="99"/>
        </w:tcBorders>
      </w:tcPr>
    </w:tblStylePr>
    <w:tblStylePr w:type="firstCol">
      <w:rPr>
        <w:b/>
        <w:bCs/>
      </w:rPr>
    </w:tblStylePr>
    <w:tblStylePr w:type="lastCol">
      <w:rPr>
        <w:b/>
        <w:bCs/>
      </w:rPr>
    </w:tblStylePr>
  </w:style>
  <w:style w:type="table" w:styleId="GridTable1Light-Accent3">
    <w:name w:val="Grid Table 1 Light Accent 3"/>
    <w:basedOn w:val="TableNormal"/>
    <w:uiPriority w:val="46"/>
    <w:rsid w:val="005F4764"/>
    <w:pPr>
      <w:spacing w:after="0" w:line="240" w:lineRule="auto"/>
    </w:pPr>
    <w:rPr>
      <w:rFonts w:ascii="Arial" w:hAnsi="Arial"/>
    </w:rPr>
    <w:tblPr>
      <w:tblStyleRowBandSize w:val="1"/>
      <w:tblStyleColBandSize w:val="1"/>
      <w:tblBorders>
        <w:top w:val="single" w:sz="4" w:space="0" w:color="D6E3BC" w:themeColor="accent3" w:themeTint="66"/>
        <w:left w:val="single" w:sz="4" w:space="0" w:color="D6E3BC" w:themeColor="accent3" w:themeTint="66"/>
        <w:bottom w:val="single" w:sz="4" w:space="0" w:color="D6E3BC" w:themeColor="accent3" w:themeTint="66"/>
        <w:right w:val="single" w:sz="4" w:space="0" w:color="D6E3BC" w:themeColor="accent3" w:themeTint="66"/>
        <w:insideH w:val="single" w:sz="4" w:space="0" w:color="D6E3BC" w:themeColor="accent3" w:themeTint="66"/>
        <w:insideV w:val="single" w:sz="4" w:space="0" w:color="D6E3BC" w:themeColor="accent3" w:themeTint="66"/>
      </w:tblBorders>
    </w:tblPr>
    <w:tblStylePr w:type="firstRow">
      <w:rPr>
        <w:b/>
        <w:bCs/>
      </w:rPr>
      <w:tblPr/>
      <w:tcPr>
        <w:tcBorders>
          <w:bottom w:val="single" w:sz="12" w:space="0" w:color="C2D69B" w:themeColor="accent3" w:themeTint="99"/>
        </w:tcBorders>
      </w:tcPr>
    </w:tblStylePr>
    <w:tblStylePr w:type="lastRow">
      <w:rPr>
        <w:b/>
        <w:bCs/>
      </w:rPr>
      <w:tblPr/>
      <w:tcPr>
        <w:tcBorders>
          <w:top w:val="double" w:sz="2" w:space="0" w:color="C2D69B" w:themeColor="accent3" w:themeTint="99"/>
        </w:tcBorders>
      </w:tcPr>
    </w:tblStylePr>
    <w:tblStylePr w:type="firstCol">
      <w:rPr>
        <w:b/>
        <w:bCs/>
      </w:rPr>
    </w:tblStylePr>
    <w:tblStylePr w:type="lastCol">
      <w:rPr>
        <w:b/>
        <w:bCs/>
      </w:rPr>
    </w:tblStylePr>
  </w:style>
  <w:style w:type="table" w:styleId="GridTable1Light-Accent4">
    <w:name w:val="Grid Table 1 Light Accent 4"/>
    <w:basedOn w:val="TableNormal"/>
    <w:uiPriority w:val="46"/>
    <w:rsid w:val="005F4764"/>
    <w:pPr>
      <w:spacing w:after="0" w:line="240" w:lineRule="auto"/>
    </w:pPr>
    <w:rPr>
      <w:rFonts w:ascii="Arial" w:hAnsi="Arial"/>
    </w:rPr>
    <w:tblPr>
      <w:tblStyleRowBandSize w:val="1"/>
      <w:tblStyleColBandSize w:val="1"/>
      <w:tblBorders>
        <w:top w:val="single" w:sz="4" w:space="0" w:color="CCC0D9" w:themeColor="accent4" w:themeTint="66"/>
        <w:left w:val="single" w:sz="4" w:space="0" w:color="CCC0D9" w:themeColor="accent4" w:themeTint="66"/>
        <w:bottom w:val="single" w:sz="4" w:space="0" w:color="CCC0D9" w:themeColor="accent4" w:themeTint="66"/>
        <w:right w:val="single" w:sz="4" w:space="0" w:color="CCC0D9" w:themeColor="accent4" w:themeTint="66"/>
        <w:insideH w:val="single" w:sz="4" w:space="0" w:color="CCC0D9" w:themeColor="accent4" w:themeTint="66"/>
        <w:insideV w:val="single" w:sz="4" w:space="0" w:color="CCC0D9" w:themeColor="accent4" w:themeTint="66"/>
      </w:tblBorders>
    </w:tblPr>
    <w:tblStylePr w:type="firstRow">
      <w:rPr>
        <w:b/>
        <w:bCs/>
      </w:rPr>
      <w:tblPr/>
      <w:tcPr>
        <w:tcBorders>
          <w:bottom w:val="single" w:sz="12" w:space="0" w:color="B2A1C7" w:themeColor="accent4" w:themeTint="99"/>
        </w:tcBorders>
      </w:tcPr>
    </w:tblStylePr>
    <w:tblStylePr w:type="lastRow">
      <w:rPr>
        <w:b/>
        <w:bCs/>
      </w:rPr>
      <w:tblPr/>
      <w:tcPr>
        <w:tcBorders>
          <w:top w:val="double" w:sz="2" w:space="0" w:color="B2A1C7" w:themeColor="accent4" w:themeTint="99"/>
        </w:tcBorders>
      </w:tcPr>
    </w:tblStylePr>
    <w:tblStylePr w:type="firstCol">
      <w:rPr>
        <w:b/>
        <w:bCs/>
      </w:rPr>
    </w:tblStylePr>
    <w:tblStylePr w:type="lastCol">
      <w:rPr>
        <w:b/>
        <w:bCs/>
      </w:rPr>
    </w:tblStylePr>
  </w:style>
  <w:style w:type="table" w:styleId="GridTable1Light-Accent5">
    <w:name w:val="Grid Table 1 Light Accent 5"/>
    <w:basedOn w:val="TableNormal"/>
    <w:uiPriority w:val="46"/>
    <w:rsid w:val="005F4764"/>
    <w:pPr>
      <w:spacing w:after="0" w:line="240" w:lineRule="auto"/>
    </w:pPr>
    <w:rPr>
      <w:rFonts w:ascii="Arial" w:hAnsi="Arial"/>
    </w:rPr>
    <w:tblPr>
      <w:tblStyleRowBandSize w:val="1"/>
      <w:tblStyleColBandSize w:val="1"/>
      <w:tblBorders>
        <w:top w:val="single" w:sz="4" w:space="0" w:color="B6DDE8" w:themeColor="accent5" w:themeTint="66"/>
        <w:left w:val="single" w:sz="4" w:space="0" w:color="B6DDE8" w:themeColor="accent5" w:themeTint="66"/>
        <w:bottom w:val="single" w:sz="4" w:space="0" w:color="B6DDE8" w:themeColor="accent5" w:themeTint="66"/>
        <w:right w:val="single" w:sz="4" w:space="0" w:color="B6DDE8" w:themeColor="accent5" w:themeTint="66"/>
        <w:insideH w:val="single" w:sz="4" w:space="0" w:color="B6DDE8" w:themeColor="accent5" w:themeTint="66"/>
        <w:insideV w:val="single" w:sz="4" w:space="0" w:color="B6DDE8" w:themeColor="accent5" w:themeTint="66"/>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2" w:space="0" w:color="92CDDC" w:themeColor="accent5" w:themeTint="99"/>
        </w:tcBorders>
      </w:tcPr>
    </w:tblStylePr>
    <w:tblStylePr w:type="firstCol">
      <w:rPr>
        <w:b/>
        <w:bCs/>
      </w:rPr>
    </w:tblStylePr>
    <w:tblStylePr w:type="lastCol">
      <w:rPr>
        <w:b/>
        <w:bCs/>
      </w:rPr>
    </w:tblStylePr>
  </w:style>
  <w:style w:type="table" w:styleId="GridTable1Light-Accent6">
    <w:name w:val="Grid Table 1 Light Accent 6"/>
    <w:basedOn w:val="TableNormal"/>
    <w:uiPriority w:val="46"/>
    <w:rsid w:val="005F4764"/>
    <w:pPr>
      <w:spacing w:after="0" w:line="240" w:lineRule="auto"/>
    </w:pPr>
    <w:rPr>
      <w:rFonts w:ascii="Arial" w:hAnsi="Arial"/>
    </w:rPr>
    <w:tblPr>
      <w:tblStyleRowBandSize w:val="1"/>
      <w:tblStyleColBandSize w:val="1"/>
      <w:tblBorders>
        <w:top w:val="single" w:sz="4" w:space="0" w:color="FBD4B4" w:themeColor="accent6" w:themeTint="66"/>
        <w:left w:val="single" w:sz="4" w:space="0" w:color="FBD4B4" w:themeColor="accent6" w:themeTint="66"/>
        <w:bottom w:val="single" w:sz="4" w:space="0" w:color="FBD4B4" w:themeColor="accent6" w:themeTint="66"/>
        <w:right w:val="single" w:sz="4" w:space="0" w:color="FBD4B4" w:themeColor="accent6" w:themeTint="66"/>
        <w:insideH w:val="single" w:sz="4" w:space="0" w:color="FBD4B4" w:themeColor="accent6" w:themeTint="66"/>
        <w:insideV w:val="single" w:sz="4" w:space="0" w:color="FBD4B4" w:themeColor="accent6" w:themeTint="66"/>
      </w:tblBorders>
    </w:tblPr>
    <w:tblStylePr w:type="firstRow">
      <w:rPr>
        <w:b/>
        <w:bCs/>
      </w:rPr>
      <w:tblPr/>
      <w:tcPr>
        <w:tcBorders>
          <w:bottom w:val="single" w:sz="12" w:space="0" w:color="FABF8F" w:themeColor="accent6" w:themeTint="99"/>
        </w:tcBorders>
      </w:tcPr>
    </w:tblStylePr>
    <w:tblStylePr w:type="lastRow">
      <w:rPr>
        <w:b/>
        <w:bCs/>
      </w:rPr>
      <w:tblPr/>
      <w:tcPr>
        <w:tcBorders>
          <w:top w:val="double" w:sz="2" w:space="0" w:color="FABF8F" w:themeColor="accent6" w:themeTint="99"/>
        </w:tcBorders>
      </w:tcPr>
    </w:tblStylePr>
    <w:tblStylePr w:type="firstCol">
      <w:rPr>
        <w:b/>
        <w:bCs/>
      </w:rPr>
    </w:tblStylePr>
    <w:tblStylePr w:type="lastCol">
      <w:rPr>
        <w:b/>
        <w:bCs/>
      </w:rPr>
    </w:tblStylePr>
  </w:style>
  <w:style w:type="table" w:styleId="GridTable2">
    <w:name w:val="Grid Table 2"/>
    <w:basedOn w:val="TableNormal"/>
    <w:uiPriority w:val="47"/>
    <w:rsid w:val="005F4764"/>
    <w:pPr>
      <w:spacing w:after="0" w:line="240" w:lineRule="auto"/>
    </w:pPr>
    <w:rPr>
      <w:rFonts w:ascii="Arial" w:hAnsi="Arial"/>
    </w:r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2-Accent1">
    <w:name w:val="Grid Table 2 Accent 1"/>
    <w:basedOn w:val="TableNormal"/>
    <w:uiPriority w:val="47"/>
    <w:rsid w:val="005F4764"/>
    <w:pPr>
      <w:spacing w:after="0" w:line="240" w:lineRule="auto"/>
    </w:pPr>
    <w:rPr>
      <w:rFonts w:ascii="Arial" w:hAnsi="Arial"/>
    </w:rPr>
    <w:tblPr>
      <w:tblStyleRowBandSize w:val="1"/>
      <w:tblStyleColBandSize w:val="1"/>
      <w:tblBorders>
        <w:top w:val="single" w:sz="2" w:space="0" w:color="95B3D7" w:themeColor="accent1" w:themeTint="99"/>
        <w:bottom w:val="single" w:sz="2" w:space="0" w:color="95B3D7" w:themeColor="accent1" w:themeTint="99"/>
        <w:insideH w:val="single" w:sz="2" w:space="0" w:color="95B3D7" w:themeColor="accent1" w:themeTint="99"/>
        <w:insideV w:val="single" w:sz="2" w:space="0" w:color="95B3D7" w:themeColor="accent1" w:themeTint="99"/>
      </w:tblBorders>
    </w:tblPr>
    <w:tblStylePr w:type="firstRow">
      <w:rPr>
        <w:b/>
        <w:bCs/>
      </w:rPr>
      <w:tblPr/>
      <w:tcPr>
        <w:tcBorders>
          <w:top w:val="nil"/>
          <w:bottom w:val="single" w:sz="12" w:space="0" w:color="95B3D7" w:themeColor="accent1" w:themeTint="99"/>
          <w:insideH w:val="nil"/>
          <w:insideV w:val="nil"/>
        </w:tcBorders>
        <w:shd w:val="clear" w:color="auto" w:fill="FFFFFF" w:themeFill="background1"/>
      </w:tcPr>
    </w:tblStylePr>
    <w:tblStylePr w:type="lastRow">
      <w:rPr>
        <w:b/>
        <w:bCs/>
      </w:rPr>
      <w:tblPr/>
      <w:tcPr>
        <w:tcBorders>
          <w:top w:val="double" w:sz="2" w:space="0" w:color="95B3D7"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GridTable2-Accent2">
    <w:name w:val="Grid Table 2 Accent 2"/>
    <w:basedOn w:val="TableNormal"/>
    <w:uiPriority w:val="47"/>
    <w:rsid w:val="005F4764"/>
    <w:pPr>
      <w:spacing w:after="0" w:line="240" w:lineRule="auto"/>
    </w:pPr>
    <w:rPr>
      <w:rFonts w:ascii="Arial" w:hAnsi="Arial"/>
    </w:rPr>
    <w:tblPr>
      <w:tblStyleRowBandSize w:val="1"/>
      <w:tblStyleColBandSize w:val="1"/>
      <w:tblBorders>
        <w:top w:val="single" w:sz="2" w:space="0" w:color="D99594" w:themeColor="accent2" w:themeTint="99"/>
        <w:bottom w:val="single" w:sz="2" w:space="0" w:color="D99594" w:themeColor="accent2" w:themeTint="99"/>
        <w:insideH w:val="single" w:sz="2" w:space="0" w:color="D99594" w:themeColor="accent2" w:themeTint="99"/>
        <w:insideV w:val="single" w:sz="2" w:space="0" w:color="D99594" w:themeColor="accent2" w:themeTint="99"/>
      </w:tblBorders>
    </w:tblPr>
    <w:tblStylePr w:type="firstRow">
      <w:rPr>
        <w:b/>
        <w:bCs/>
      </w:rPr>
      <w:tblPr/>
      <w:tcPr>
        <w:tcBorders>
          <w:top w:val="nil"/>
          <w:bottom w:val="single" w:sz="12" w:space="0" w:color="D99594" w:themeColor="accent2" w:themeTint="99"/>
          <w:insideH w:val="nil"/>
          <w:insideV w:val="nil"/>
        </w:tcBorders>
        <w:shd w:val="clear" w:color="auto" w:fill="FFFFFF" w:themeFill="background1"/>
      </w:tcPr>
    </w:tblStylePr>
    <w:tblStylePr w:type="lastRow">
      <w:rPr>
        <w:b/>
        <w:bCs/>
      </w:rPr>
      <w:tblPr/>
      <w:tcPr>
        <w:tcBorders>
          <w:top w:val="double" w:sz="2" w:space="0" w:color="D99594"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GridTable2-Accent3">
    <w:name w:val="Grid Table 2 Accent 3"/>
    <w:basedOn w:val="TableNormal"/>
    <w:uiPriority w:val="47"/>
    <w:rsid w:val="005F4764"/>
    <w:pPr>
      <w:spacing w:after="0" w:line="240" w:lineRule="auto"/>
    </w:pPr>
    <w:rPr>
      <w:rFonts w:ascii="Arial" w:hAnsi="Arial"/>
    </w:rPr>
    <w:tblPr>
      <w:tblStyleRowBandSize w:val="1"/>
      <w:tblStyleColBandSize w:val="1"/>
      <w:tblBorders>
        <w:top w:val="single" w:sz="2" w:space="0" w:color="C2D69B" w:themeColor="accent3" w:themeTint="99"/>
        <w:bottom w:val="single" w:sz="2" w:space="0" w:color="C2D69B" w:themeColor="accent3" w:themeTint="99"/>
        <w:insideH w:val="single" w:sz="2" w:space="0" w:color="C2D69B" w:themeColor="accent3" w:themeTint="99"/>
        <w:insideV w:val="single" w:sz="2" w:space="0" w:color="C2D69B" w:themeColor="accent3" w:themeTint="99"/>
      </w:tblBorders>
    </w:tblPr>
    <w:tblStylePr w:type="firstRow">
      <w:rPr>
        <w:b/>
        <w:bCs/>
      </w:rPr>
      <w:tblPr/>
      <w:tcPr>
        <w:tcBorders>
          <w:top w:val="nil"/>
          <w:bottom w:val="single" w:sz="12" w:space="0" w:color="C2D69B" w:themeColor="accent3" w:themeTint="99"/>
          <w:insideH w:val="nil"/>
          <w:insideV w:val="nil"/>
        </w:tcBorders>
        <w:shd w:val="clear" w:color="auto" w:fill="FFFFFF" w:themeFill="background1"/>
      </w:tcPr>
    </w:tblStylePr>
    <w:tblStylePr w:type="lastRow">
      <w:rPr>
        <w:b/>
        <w:bCs/>
      </w:rPr>
      <w:tblPr/>
      <w:tcPr>
        <w:tcBorders>
          <w:top w:val="double" w:sz="2" w:space="0" w:color="C2D69B"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GridTable2-Accent4">
    <w:name w:val="Grid Table 2 Accent 4"/>
    <w:basedOn w:val="TableNormal"/>
    <w:uiPriority w:val="47"/>
    <w:rsid w:val="005F4764"/>
    <w:pPr>
      <w:spacing w:after="0" w:line="240" w:lineRule="auto"/>
    </w:pPr>
    <w:rPr>
      <w:rFonts w:ascii="Arial" w:hAnsi="Arial"/>
    </w:rPr>
    <w:tblPr>
      <w:tblStyleRowBandSize w:val="1"/>
      <w:tblStyleColBandSize w:val="1"/>
      <w:tblBorders>
        <w:top w:val="single" w:sz="2" w:space="0" w:color="B2A1C7" w:themeColor="accent4" w:themeTint="99"/>
        <w:bottom w:val="single" w:sz="2" w:space="0" w:color="B2A1C7" w:themeColor="accent4" w:themeTint="99"/>
        <w:insideH w:val="single" w:sz="2" w:space="0" w:color="B2A1C7" w:themeColor="accent4" w:themeTint="99"/>
        <w:insideV w:val="single" w:sz="2" w:space="0" w:color="B2A1C7" w:themeColor="accent4" w:themeTint="99"/>
      </w:tblBorders>
    </w:tblPr>
    <w:tblStylePr w:type="firstRow">
      <w:rPr>
        <w:b/>
        <w:bCs/>
      </w:rPr>
      <w:tblPr/>
      <w:tcPr>
        <w:tcBorders>
          <w:top w:val="nil"/>
          <w:bottom w:val="single" w:sz="12" w:space="0" w:color="B2A1C7" w:themeColor="accent4" w:themeTint="99"/>
          <w:insideH w:val="nil"/>
          <w:insideV w:val="nil"/>
        </w:tcBorders>
        <w:shd w:val="clear" w:color="auto" w:fill="FFFFFF" w:themeFill="background1"/>
      </w:tcPr>
    </w:tblStylePr>
    <w:tblStylePr w:type="lastRow">
      <w:rPr>
        <w:b/>
        <w:bCs/>
      </w:rPr>
      <w:tblPr/>
      <w:tcPr>
        <w:tcBorders>
          <w:top w:val="double" w:sz="2" w:space="0" w:color="B2A1C7"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GridTable2-Accent5">
    <w:name w:val="Grid Table 2 Accent 5"/>
    <w:basedOn w:val="TableNormal"/>
    <w:uiPriority w:val="47"/>
    <w:rsid w:val="005F4764"/>
    <w:pPr>
      <w:spacing w:after="0" w:line="240" w:lineRule="auto"/>
    </w:pPr>
    <w:rPr>
      <w:rFonts w:ascii="Arial" w:hAnsi="Arial"/>
    </w:rPr>
    <w:tblPr>
      <w:tblStyleRowBandSize w:val="1"/>
      <w:tblStyleColBandSize w:val="1"/>
      <w:tblBorders>
        <w:top w:val="single" w:sz="2" w:space="0" w:color="92CDDC" w:themeColor="accent5" w:themeTint="99"/>
        <w:bottom w:val="single" w:sz="2" w:space="0" w:color="92CDDC" w:themeColor="accent5" w:themeTint="99"/>
        <w:insideH w:val="single" w:sz="2" w:space="0" w:color="92CDDC" w:themeColor="accent5" w:themeTint="99"/>
        <w:insideV w:val="single" w:sz="2" w:space="0" w:color="92CDDC" w:themeColor="accent5" w:themeTint="99"/>
      </w:tblBorders>
    </w:tblPr>
    <w:tblStylePr w:type="firstRow">
      <w:rPr>
        <w:b/>
        <w:bCs/>
      </w:rPr>
      <w:tblPr/>
      <w:tcPr>
        <w:tcBorders>
          <w:top w:val="nil"/>
          <w:bottom w:val="single" w:sz="12" w:space="0" w:color="92CDDC" w:themeColor="accent5" w:themeTint="99"/>
          <w:insideH w:val="nil"/>
          <w:insideV w:val="nil"/>
        </w:tcBorders>
        <w:shd w:val="clear" w:color="auto" w:fill="FFFFFF" w:themeFill="background1"/>
      </w:tcPr>
    </w:tblStylePr>
    <w:tblStylePr w:type="lastRow">
      <w:rPr>
        <w:b/>
        <w:bCs/>
      </w:rPr>
      <w:tblPr/>
      <w:tcPr>
        <w:tcBorders>
          <w:top w:val="double" w:sz="2" w:space="0" w:color="92CDD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GridTable2-Accent6">
    <w:name w:val="Grid Table 2 Accent 6"/>
    <w:basedOn w:val="TableNormal"/>
    <w:uiPriority w:val="47"/>
    <w:rsid w:val="005F4764"/>
    <w:pPr>
      <w:spacing w:after="0" w:line="240" w:lineRule="auto"/>
    </w:pPr>
    <w:rPr>
      <w:rFonts w:ascii="Arial" w:hAnsi="Arial"/>
    </w:rPr>
    <w:tblPr>
      <w:tblStyleRowBandSize w:val="1"/>
      <w:tblStyleColBandSize w:val="1"/>
      <w:tblBorders>
        <w:top w:val="single" w:sz="2" w:space="0" w:color="FABF8F" w:themeColor="accent6" w:themeTint="99"/>
        <w:bottom w:val="single" w:sz="2" w:space="0" w:color="FABF8F" w:themeColor="accent6" w:themeTint="99"/>
        <w:insideH w:val="single" w:sz="2" w:space="0" w:color="FABF8F" w:themeColor="accent6" w:themeTint="99"/>
        <w:insideV w:val="single" w:sz="2" w:space="0" w:color="FABF8F" w:themeColor="accent6" w:themeTint="99"/>
      </w:tblBorders>
    </w:tblPr>
    <w:tblStylePr w:type="firstRow">
      <w:rPr>
        <w:b/>
        <w:bCs/>
      </w:rPr>
      <w:tblPr/>
      <w:tcPr>
        <w:tcBorders>
          <w:top w:val="nil"/>
          <w:bottom w:val="single" w:sz="12" w:space="0" w:color="FABF8F" w:themeColor="accent6" w:themeTint="99"/>
          <w:insideH w:val="nil"/>
          <w:insideV w:val="nil"/>
        </w:tcBorders>
        <w:shd w:val="clear" w:color="auto" w:fill="FFFFFF" w:themeFill="background1"/>
      </w:tcPr>
    </w:tblStylePr>
    <w:tblStylePr w:type="lastRow">
      <w:rPr>
        <w:b/>
        <w:bCs/>
      </w:rPr>
      <w:tblPr/>
      <w:tcPr>
        <w:tcBorders>
          <w:top w:val="double" w:sz="2" w:space="0" w:color="FABF8F"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GridTable3">
    <w:name w:val="Grid Table 3"/>
    <w:basedOn w:val="TableNormal"/>
    <w:uiPriority w:val="48"/>
    <w:rsid w:val="005F4764"/>
    <w:pPr>
      <w:spacing w:after="0" w:line="240" w:lineRule="auto"/>
    </w:pPr>
    <w:rPr>
      <w:rFonts w:ascii="Arial" w:hAnsi="Arial"/>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3-Accent1">
    <w:name w:val="Grid Table 3 Accent 1"/>
    <w:basedOn w:val="TableNormal"/>
    <w:uiPriority w:val="48"/>
    <w:rsid w:val="005F4764"/>
    <w:pPr>
      <w:spacing w:after="0" w:line="240" w:lineRule="auto"/>
    </w:pPr>
    <w:rPr>
      <w:rFonts w:ascii="Arial" w:hAnsi="Arial"/>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bottom w:val="single" w:sz="4" w:space="0" w:color="95B3D7" w:themeColor="accent1" w:themeTint="99"/>
        </w:tcBorders>
      </w:tcPr>
    </w:tblStylePr>
    <w:tblStylePr w:type="nwCell">
      <w:tblPr/>
      <w:tcPr>
        <w:tcBorders>
          <w:bottom w:val="single" w:sz="4" w:space="0" w:color="95B3D7" w:themeColor="accent1" w:themeTint="99"/>
        </w:tcBorders>
      </w:tcPr>
    </w:tblStylePr>
    <w:tblStylePr w:type="seCell">
      <w:tblPr/>
      <w:tcPr>
        <w:tcBorders>
          <w:top w:val="single" w:sz="4" w:space="0" w:color="95B3D7" w:themeColor="accent1" w:themeTint="99"/>
        </w:tcBorders>
      </w:tcPr>
    </w:tblStylePr>
    <w:tblStylePr w:type="swCell">
      <w:tblPr/>
      <w:tcPr>
        <w:tcBorders>
          <w:top w:val="single" w:sz="4" w:space="0" w:color="95B3D7" w:themeColor="accent1" w:themeTint="99"/>
        </w:tcBorders>
      </w:tcPr>
    </w:tblStylePr>
  </w:style>
  <w:style w:type="table" w:styleId="GridTable3-Accent2">
    <w:name w:val="Grid Table 3 Accent 2"/>
    <w:basedOn w:val="TableNormal"/>
    <w:uiPriority w:val="48"/>
    <w:rsid w:val="005F4764"/>
    <w:pPr>
      <w:spacing w:after="0" w:line="240" w:lineRule="auto"/>
    </w:pPr>
    <w:rPr>
      <w:rFonts w:ascii="Arial" w:hAnsi="Arial"/>
    </w:r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bottom w:val="single" w:sz="4" w:space="0" w:color="D99594" w:themeColor="accent2" w:themeTint="99"/>
        </w:tcBorders>
      </w:tcPr>
    </w:tblStylePr>
    <w:tblStylePr w:type="nwCell">
      <w:tblPr/>
      <w:tcPr>
        <w:tcBorders>
          <w:bottom w:val="single" w:sz="4" w:space="0" w:color="D99594" w:themeColor="accent2" w:themeTint="99"/>
        </w:tcBorders>
      </w:tcPr>
    </w:tblStylePr>
    <w:tblStylePr w:type="seCell">
      <w:tblPr/>
      <w:tcPr>
        <w:tcBorders>
          <w:top w:val="single" w:sz="4" w:space="0" w:color="D99594" w:themeColor="accent2" w:themeTint="99"/>
        </w:tcBorders>
      </w:tcPr>
    </w:tblStylePr>
    <w:tblStylePr w:type="swCell">
      <w:tblPr/>
      <w:tcPr>
        <w:tcBorders>
          <w:top w:val="single" w:sz="4" w:space="0" w:color="D99594" w:themeColor="accent2" w:themeTint="99"/>
        </w:tcBorders>
      </w:tcPr>
    </w:tblStylePr>
  </w:style>
  <w:style w:type="table" w:styleId="GridTable3-Accent3">
    <w:name w:val="Grid Table 3 Accent 3"/>
    <w:basedOn w:val="TableNormal"/>
    <w:uiPriority w:val="48"/>
    <w:rsid w:val="005F4764"/>
    <w:pPr>
      <w:spacing w:after="0" w:line="240" w:lineRule="auto"/>
    </w:pPr>
    <w:rPr>
      <w:rFonts w:ascii="Arial" w:hAnsi="Arial"/>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bottom w:val="single" w:sz="4" w:space="0" w:color="C2D69B" w:themeColor="accent3" w:themeTint="99"/>
        </w:tcBorders>
      </w:tcPr>
    </w:tblStylePr>
    <w:tblStylePr w:type="nwCell">
      <w:tblPr/>
      <w:tcPr>
        <w:tcBorders>
          <w:bottom w:val="single" w:sz="4" w:space="0" w:color="C2D69B" w:themeColor="accent3" w:themeTint="99"/>
        </w:tcBorders>
      </w:tcPr>
    </w:tblStylePr>
    <w:tblStylePr w:type="seCell">
      <w:tblPr/>
      <w:tcPr>
        <w:tcBorders>
          <w:top w:val="single" w:sz="4" w:space="0" w:color="C2D69B" w:themeColor="accent3" w:themeTint="99"/>
        </w:tcBorders>
      </w:tcPr>
    </w:tblStylePr>
    <w:tblStylePr w:type="swCell">
      <w:tblPr/>
      <w:tcPr>
        <w:tcBorders>
          <w:top w:val="single" w:sz="4" w:space="0" w:color="C2D69B" w:themeColor="accent3" w:themeTint="99"/>
        </w:tcBorders>
      </w:tcPr>
    </w:tblStylePr>
  </w:style>
  <w:style w:type="table" w:styleId="GridTable3-Accent4">
    <w:name w:val="Grid Table 3 Accent 4"/>
    <w:basedOn w:val="TableNormal"/>
    <w:uiPriority w:val="48"/>
    <w:rsid w:val="005F4764"/>
    <w:pPr>
      <w:spacing w:after="0" w:line="240" w:lineRule="auto"/>
    </w:pPr>
    <w:rPr>
      <w:rFonts w:ascii="Arial" w:hAnsi="Arial"/>
    </w:r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bottom w:val="single" w:sz="4" w:space="0" w:color="B2A1C7" w:themeColor="accent4" w:themeTint="99"/>
        </w:tcBorders>
      </w:tcPr>
    </w:tblStylePr>
    <w:tblStylePr w:type="nwCell">
      <w:tblPr/>
      <w:tcPr>
        <w:tcBorders>
          <w:bottom w:val="single" w:sz="4" w:space="0" w:color="B2A1C7" w:themeColor="accent4" w:themeTint="99"/>
        </w:tcBorders>
      </w:tcPr>
    </w:tblStylePr>
    <w:tblStylePr w:type="seCell">
      <w:tblPr/>
      <w:tcPr>
        <w:tcBorders>
          <w:top w:val="single" w:sz="4" w:space="0" w:color="B2A1C7" w:themeColor="accent4" w:themeTint="99"/>
        </w:tcBorders>
      </w:tcPr>
    </w:tblStylePr>
    <w:tblStylePr w:type="swCell">
      <w:tblPr/>
      <w:tcPr>
        <w:tcBorders>
          <w:top w:val="single" w:sz="4" w:space="0" w:color="B2A1C7" w:themeColor="accent4" w:themeTint="99"/>
        </w:tcBorders>
      </w:tcPr>
    </w:tblStylePr>
  </w:style>
  <w:style w:type="table" w:styleId="GridTable3-Accent5">
    <w:name w:val="Grid Table 3 Accent 5"/>
    <w:basedOn w:val="TableNormal"/>
    <w:uiPriority w:val="48"/>
    <w:rsid w:val="005F4764"/>
    <w:pPr>
      <w:spacing w:after="0" w:line="240" w:lineRule="auto"/>
    </w:pPr>
    <w:rPr>
      <w:rFonts w:ascii="Arial" w:hAnsi="Arial"/>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bottom w:val="single" w:sz="4" w:space="0" w:color="92CDDC" w:themeColor="accent5" w:themeTint="99"/>
        </w:tcBorders>
      </w:tcPr>
    </w:tblStylePr>
    <w:tblStylePr w:type="nwCell">
      <w:tblPr/>
      <w:tcPr>
        <w:tcBorders>
          <w:bottom w:val="single" w:sz="4" w:space="0" w:color="92CDDC" w:themeColor="accent5" w:themeTint="99"/>
        </w:tcBorders>
      </w:tcPr>
    </w:tblStylePr>
    <w:tblStylePr w:type="seCell">
      <w:tblPr/>
      <w:tcPr>
        <w:tcBorders>
          <w:top w:val="single" w:sz="4" w:space="0" w:color="92CDDC" w:themeColor="accent5" w:themeTint="99"/>
        </w:tcBorders>
      </w:tcPr>
    </w:tblStylePr>
    <w:tblStylePr w:type="swCell">
      <w:tblPr/>
      <w:tcPr>
        <w:tcBorders>
          <w:top w:val="single" w:sz="4" w:space="0" w:color="92CDDC" w:themeColor="accent5" w:themeTint="99"/>
        </w:tcBorders>
      </w:tcPr>
    </w:tblStylePr>
  </w:style>
  <w:style w:type="table" w:styleId="GridTable3-Accent6">
    <w:name w:val="Grid Table 3 Accent 6"/>
    <w:basedOn w:val="TableNormal"/>
    <w:uiPriority w:val="48"/>
    <w:rsid w:val="005F4764"/>
    <w:pPr>
      <w:spacing w:after="0" w:line="240" w:lineRule="auto"/>
    </w:pPr>
    <w:rPr>
      <w:rFonts w:ascii="Arial" w:hAnsi="Arial"/>
    </w:r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bottom w:val="single" w:sz="4" w:space="0" w:color="FABF8F" w:themeColor="accent6" w:themeTint="99"/>
        </w:tcBorders>
      </w:tcPr>
    </w:tblStylePr>
    <w:tblStylePr w:type="nwCell">
      <w:tblPr/>
      <w:tcPr>
        <w:tcBorders>
          <w:bottom w:val="single" w:sz="4" w:space="0" w:color="FABF8F" w:themeColor="accent6" w:themeTint="99"/>
        </w:tcBorders>
      </w:tcPr>
    </w:tblStylePr>
    <w:tblStylePr w:type="seCell">
      <w:tblPr/>
      <w:tcPr>
        <w:tcBorders>
          <w:top w:val="single" w:sz="4" w:space="0" w:color="FABF8F" w:themeColor="accent6" w:themeTint="99"/>
        </w:tcBorders>
      </w:tcPr>
    </w:tblStylePr>
    <w:tblStylePr w:type="swCell">
      <w:tblPr/>
      <w:tcPr>
        <w:tcBorders>
          <w:top w:val="single" w:sz="4" w:space="0" w:color="FABF8F" w:themeColor="accent6" w:themeTint="99"/>
        </w:tcBorders>
      </w:tcPr>
    </w:tblStylePr>
  </w:style>
  <w:style w:type="table" w:styleId="GridTable4">
    <w:name w:val="Grid Table 4"/>
    <w:basedOn w:val="TableNormal"/>
    <w:uiPriority w:val="49"/>
    <w:rsid w:val="005F4764"/>
    <w:pPr>
      <w:spacing w:after="0" w:line="240" w:lineRule="auto"/>
    </w:pPr>
    <w:rPr>
      <w:rFonts w:ascii="Arial" w:hAnsi="Arial"/>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4-Accent1">
    <w:name w:val="Grid Table 4 Accent 1"/>
    <w:basedOn w:val="TableNormal"/>
    <w:uiPriority w:val="49"/>
    <w:rsid w:val="005F4764"/>
    <w:pPr>
      <w:spacing w:after="0" w:line="240" w:lineRule="auto"/>
    </w:pPr>
    <w:rPr>
      <w:rFonts w:ascii="Arial" w:hAnsi="Arial"/>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GridTable4-Accent2">
    <w:name w:val="Grid Table 4 Accent 2"/>
    <w:basedOn w:val="TableNormal"/>
    <w:uiPriority w:val="49"/>
    <w:rsid w:val="005F4764"/>
    <w:pPr>
      <w:spacing w:after="0" w:line="240" w:lineRule="auto"/>
    </w:pPr>
    <w:rPr>
      <w:rFonts w:ascii="Arial" w:hAnsi="Arial"/>
    </w:r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color w:val="FFFFFF" w:themeColor="background1"/>
      </w:rPr>
      <w:tblPr/>
      <w:tcPr>
        <w:tcBorders>
          <w:top w:val="single" w:sz="4" w:space="0" w:color="C0504D" w:themeColor="accent2"/>
          <w:left w:val="single" w:sz="4" w:space="0" w:color="C0504D" w:themeColor="accent2"/>
          <w:bottom w:val="single" w:sz="4" w:space="0" w:color="C0504D" w:themeColor="accent2"/>
          <w:right w:val="single" w:sz="4" w:space="0" w:color="C0504D" w:themeColor="accent2"/>
          <w:insideH w:val="nil"/>
          <w:insideV w:val="nil"/>
        </w:tcBorders>
        <w:shd w:val="clear" w:color="auto" w:fill="C0504D" w:themeFill="accent2"/>
      </w:tcPr>
    </w:tblStylePr>
    <w:tblStylePr w:type="lastRow">
      <w:rPr>
        <w:b/>
        <w:bCs/>
      </w:rPr>
      <w:tblPr/>
      <w:tcPr>
        <w:tcBorders>
          <w:top w:val="double" w:sz="4" w:space="0" w:color="C0504D" w:themeColor="accent2"/>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GridTable4-Accent3">
    <w:name w:val="Grid Table 4 Accent 3"/>
    <w:basedOn w:val="TableNormal"/>
    <w:uiPriority w:val="49"/>
    <w:rsid w:val="005F4764"/>
    <w:pPr>
      <w:spacing w:after="0" w:line="240" w:lineRule="auto"/>
    </w:pPr>
    <w:rPr>
      <w:rFonts w:ascii="Arial" w:hAnsi="Arial"/>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insideV w:val="nil"/>
        </w:tcBorders>
        <w:shd w:val="clear" w:color="auto" w:fill="9BBB59" w:themeFill="accent3"/>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GridTable4-Accent4">
    <w:name w:val="Grid Table 4 Accent 4"/>
    <w:basedOn w:val="TableNormal"/>
    <w:uiPriority w:val="49"/>
    <w:rsid w:val="005F4764"/>
    <w:pPr>
      <w:spacing w:after="0" w:line="240" w:lineRule="auto"/>
    </w:pPr>
    <w:rPr>
      <w:rFonts w:ascii="Arial" w:hAnsi="Arial"/>
    </w:r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color w:val="FFFFFF" w:themeColor="background1"/>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insideH w:val="nil"/>
          <w:insideV w:val="nil"/>
        </w:tcBorders>
        <w:shd w:val="clear" w:color="auto" w:fill="8064A2" w:themeFill="accent4"/>
      </w:tcPr>
    </w:tblStylePr>
    <w:tblStylePr w:type="lastRow">
      <w:rPr>
        <w:b/>
        <w:bCs/>
      </w:rPr>
      <w:tblPr/>
      <w:tcPr>
        <w:tcBorders>
          <w:top w:val="double" w:sz="4" w:space="0" w:color="8064A2" w:themeColor="accent4"/>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GridTable4-Accent5">
    <w:name w:val="Grid Table 4 Accent 5"/>
    <w:basedOn w:val="TableNormal"/>
    <w:uiPriority w:val="49"/>
    <w:rsid w:val="005F4764"/>
    <w:pPr>
      <w:spacing w:after="0" w:line="240" w:lineRule="auto"/>
    </w:pPr>
    <w:rPr>
      <w:rFonts w:ascii="Arial" w:hAnsi="Arial"/>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insideV w:val="nil"/>
        </w:tcBorders>
        <w:shd w:val="clear" w:color="auto" w:fill="4BACC6" w:themeFill="accent5"/>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GridTable4-Accent6">
    <w:name w:val="Grid Table 4 Accent 6"/>
    <w:basedOn w:val="TableNormal"/>
    <w:uiPriority w:val="49"/>
    <w:rsid w:val="005F4764"/>
    <w:pPr>
      <w:spacing w:after="0" w:line="240" w:lineRule="auto"/>
    </w:pPr>
    <w:rPr>
      <w:rFonts w:ascii="Arial" w:hAnsi="Arial"/>
    </w:r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insideV w:val="nil"/>
        </w:tcBorders>
        <w:shd w:val="clear" w:color="auto" w:fill="F79646" w:themeFill="accent6"/>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GridTable5Dark">
    <w:name w:val="Grid Table 5 Dark"/>
    <w:basedOn w:val="TableNormal"/>
    <w:uiPriority w:val="50"/>
    <w:rsid w:val="005F4764"/>
    <w:pPr>
      <w:spacing w:after="0" w:line="240" w:lineRule="auto"/>
    </w:pPr>
    <w:rPr>
      <w:rFonts w:ascii="Arial" w:hAnsi="Arial"/>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GridTable5Dark-Accent1">
    <w:name w:val="Grid Table 5 Dark Accent 1"/>
    <w:basedOn w:val="TableNormal"/>
    <w:uiPriority w:val="50"/>
    <w:rsid w:val="005F4764"/>
    <w:pPr>
      <w:spacing w:after="0" w:line="240" w:lineRule="auto"/>
    </w:pPr>
    <w:rPr>
      <w:rFonts w:ascii="Arial" w:hAnsi="Arial"/>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BE5F1"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F81BD"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F81BD"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F81BD"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F81BD" w:themeFill="accent1"/>
      </w:tcPr>
    </w:tblStylePr>
    <w:tblStylePr w:type="band1Vert">
      <w:tblPr/>
      <w:tcPr>
        <w:shd w:val="clear" w:color="auto" w:fill="B8CCE4" w:themeFill="accent1" w:themeFillTint="66"/>
      </w:tcPr>
    </w:tblStylePr>
    <w:tblStylePr w:type="band1Horz">
      <w:tblPr/>
      <w:tcPr>
        <w:shd w:val="clear" w:color="auto" w:fill="B8CCE4" w:themeFill="accent1" w:themeFillTint="66"/>
      </w:tcPr>
    </w:tblStylePr>
  </w:style>
  <w:style w:type="table" w:styleId="GridTable5Dark-Accent2">
    <w:name w:val="Grid Table 5 Dark Accent 2"/>
    <w:basedOn w:val="TableNormal"/>
    <w:uiPriority w:val="50"/>
    <w:rsid w:val="005F4764"/>
    <w:pPr>
      <w:spacing w:after="0" w:line="240" w:lineRule="auto"/>
    </w:pPr>
    <w:rPr>
      <w:rFonts w:ascii="Arial" w:hAnsi="Arial"/>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2DBDB"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C0504D"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C0504D"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C0504D"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C0504D" w:themeFill="accent2"/>
      </w:tcPr>
    </w:tblStylePr>
    <w:tblStylePr w:type="band1Vert">
      <w:tblPr/>
      <w:tcPr>
        <w:shd w:val="clear" w:color="auto" w:fill="E5B8B7" w:themeFill="accent2" w:themeFillTint="66"/>
      </w:tcPr>
    </w:tblStylePr>
    <w:tblStylePr w:type="band1Horz">
      <w:tblPr/>
      <w:tcPr>
        <w:shd w:val="clear" w:color="auto" w:fill="E5B8B7" w:themeFill="accent2" w:themeFillTint="66"/>
      </w:tcPr>
    </w:tblStylePr>
  </w:style>
  <w:style w:type="table" w:styleId="GridTable5Dark-Accent3">
    <w:name w:val="Grid Table 5 Dark Accent 3"/>
    <w:basedOn w:val="TableNormal"/>
    <w:uiPriority w:val="50"/>
    <w:rsid w:val="005F4764"/>
    <w:pPr>
      <w:spacing w:after="0" w:line="240" w:lineRule="auto"/>
    </w:pPr>
    <w:rPr>
      <w:rFonts w:ascii="Arial" w:hAnsi="Arial"/>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AF1D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9BBB5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9BBB5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9BBB5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9BBB59" w:themeFill="accent3"/>
      </w:tcPr>
    </w:tblStylePr>
    <w:tblStylePr w:type="band1Vert">
      <w:tblPr/>
      <w:tcPr>
        <w:shd w:val="clear" w:color="auto" w:fill="D6E3BC" w:themeFill="accent3" w:themeFillTint="66"/>
      </w:tcPr>
    </w:tblStylePr>
    <w:tblStylePr w:type="band1Horz">
      <w:tblPr/>
      <w:tcPr>
        <w:shd w:val="clear" w:color="auto" w:fill="D6E3BC" w:themeFill="accent3" w:themeFillTint="66"/>
      </w:tcPr>
    </w:tblStylePr>
  </w:style>
  <w:style w:type="table" w:styleId="GridTable5Dark-Accent4">
    <w:name w:val="Grid Table 5 Dark Accent 4"/>
    <w:basedOn w:val="TableNormal"/>
    <w:uiPriority w:val="50"/>
    <w:rsid w:val="005F4764"/>
    <w:pPr>
      <w:spacing w:after="0" w:line="240" w:lineRule="auto"/>
    </w:pPr>
    <w:rPr>
      <w:rFonts w:ascii="Arial" w:hAnsi="Arial"/>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5DFEC"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8064A2"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8064A2"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8064A2"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8064A2" w:themeFill="accent4"/>
      </w:tcPr>
    </w:tblStylePr>
    <w:tblStylePr w:type="band1Vert">
      <w:tblPr/>
      <w:tcPr>
        <w:shd w:val="clear" w:color="auto" w:fill="CCC0D9" w:themeFill="accent4" w:themeFillTint="66"/>
      </w:tcPr>
    </w:tblStylePr>
    <w:tblStylePr w:type="band1Horz">
      <w:tblPr/>
      <w:tcPr>
        <w:shd w:val="clear" w:color="auto" w:fill="CCC0D9" w:themeFill="accent4" w:themeFillTint="66"/>
      </w:tcPr>
    </w:tblStylePr>
  </w:style>
  <w:style w:type="table" w:styleId="GridTable5Dark-Accent5">
    <w:name w:val="Grid Table 5 Dark Accent 5"/>
    <w:basedOn w:val="TableNormal"/>
    <w:uiPriority w:val="50"/>
    <w:rsid w:val="005F4764"/>
    <w:pPr>
      <w:spacing w:after="0" w:line="240" w:lineRule="auto"/>
    </w:pPr>
    <w:rPr>
      <w:rFonts w:ascii="Arial" w:hAnsi="Arial"/>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AEEF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BACC6"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BACC6"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BACC6"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BACC6" w:themeFill="accent5"/>
      </w:tcPr>
    </w:tblStylePr>
    <w:tblStylePr w:type="band1Vert">
      <w:tblPr/>
      <w:tcPr>
        <w:shd w:val="clear" w:color="auto" w:fill="B6DDE8" w:themeFill="accent5" w:themeFillTint="66"/>
      </w:tcPr>
    </w:tblStylePr>
    <w:tblStylePr w:type="band1Horz">
      <w:tblPr/>
      <w:tcPr>
        <w:shd w:val="clear" w:color="auto" w:fill="B6DDE8" w:themeFill="accent5" w:themeFillTint="66"/>
      </w:tcPr>
    </w:tblStylePr>
  </w:style>
  <w:style w:type="table" w:styleId="GridTable5Dark-Accent6">
    <w:name w:val="Grid Table 5 Dark Accent 6"/>
    <w:basedOn w:val="TableNormal"/>
    <w:uiPriority w:val="50"/>
    <w:rsid w:val="005F4764"/>
    <w:pPr>
      <w:spacing w:after="0" w:line="240" w:lineRule="auto"/>
    </w:pPr>
    <w:rPr>
      <w:rFonts w:ascii="Arial" w:hAnsi="Arial"/>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DE9D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79646"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79646"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79646"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79646" w:themeFill="accent6"/>
      </w:tcPr>
    </w:tblStylePr>
    <w:tblStylePr w:type="band1Vert">
      <w:tblPr/>
      <w:tcPr>
        <w:shd w:val="clear" w:color="auto" w:fill="FBD4B4" w:themeFill="accent6" w:themeFillTint="66"/>
      </w:tcPr>
    </w:tblStylePr>
    <w:tblStylePr w:type="band1Horz">
      <w:tblPr/>
      <w:tcPr>
        <w:shd w:val="clear" w:color="auto" w:fill="FBD4B4" w:themeFill="accent6" w:themeFillTint="66"/>
      </w:tcPr>
    </w:tblStylePr>
  </w:style>
  <w:style w:type="table" w:styleId="GridTable6Colorful">
    <w:name w:val="Grid Table 6 Colorful"/>
    <w:basedOn w:val="TableNormal"/>
    <w:uiPriority w:val="51"/>
    <w:rsid w:val="005F4764"/>
    <w:pPr>
      <w:spacing w:after="0" w:line="240" w:lineRule="auto"/>
    </w:pPr>
    <w:rPr>
      <w:rFonts w:ascii="Arial" w:hAnsi="Arial"/>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6Colorful-Accent1">
    <w:name w:val="Grid Table 6 Colorful Accent 1"/>
    <w:basedOn w:val="TableNormal"/>
    <w:uiPriority w:val="51"/>
    <w:rsid w:val="005F4764"/>
    <w:pPr>
      <w:spacing w:after="0" w:line="240" w:lineRule="auto"/>
    </w:pPr>
    <w:rPr>
      <w:rFonts w:ascii="Arial" w:hAnsi="Arial"/>
      <w:color w:val="365F91" w:themeColor="accent1" w:themeShade="BF"/>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GridTable6Colorful-Accent2">
    <w:name w:val="Grid Table 6 Colorful Accent 2"/>
    <w:basedOn w:val="TableNormal"/>
    <w:uiPriority w:val="51"/>
    <w:rsid w:val="005F4764"/>
    <w:pPr>
      <w:spacing w:after="0" w:line="240" w:lineRule="auto"/>
    </w:pPr>
    <w:rPr>
      <w:rFonts w:ascii="Arial" w:hAnsi="Arial"/>
      <w:color w:val="943634" w:themeColor="accent2" w:themeShade="BF"/>
    </w:r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bottom w:val="single" w:sz="12" w:space="0" w:color="D99594" w:themeColor="accent2" w:themeTint="99"/>
        </w:tcBorders>
      </w:tcPr>
    </w:tblStylePr>
    <w:tblStylePr w:type="lastRow">
      <w:rPr>
        <w:b/>
        <w:bCs/>
      </w:rPr>
      <w:tblPr/>
      <w:tcPr>
        <w:tcBorders>
          <w:top w:val="doub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GridTable6Colorful-Accent3">
    <w:name w:val="Grid Table 6 Colorful Accent 3"/>
    <w:basedOn w:val="TableNormal"/>
    <w:uiPriority w:val="51"/>
    <w:rsid w:val="005F4764"/>
    <w:pPr>
      <w:spacing w:after="0" w:line="240" w:lineRule="auto"/>
    </w:pPr>
    <w:rPr>
      <w:rFonts w:ascii="Arial" w:hAnsi="Arial"/>
      <w:color w:val="76923C" w:themeColor="accent3" w:themeShade="BF"/>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bottom w:val="single" w:sz="12" w:space="0" w:color="C2D69B" w:themeColor="accent3" w:themeTint="99"/>
        </w:tcBorders>
      </w:tcPr>
    </w:tblStylePr>
    <w:tblStylePr w:type="lastRow">
      <w:rPr>
        <w:b/>
        <w:bCs/>
      </w:rPr>
      <w:tblPr/>
      <w:tcPr>
        <w:tcBorders>
          <w:top w:val="doub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GridTable6Colorful-Accent4">
    <w:name w:val="Grid Table 6 Colorful Accent 4"/>
    <w:basedOn w:val="TableNormal"/>
    <w:uiPriority w:val="51"/>
    <w:rsid w:val="005F4764"/>
    <w:pPr>
      <w:spacing w:after="0" w:line="240" w:lineRule="auto"/>
    </w:pPr>
    <w:rPr>
      <w:rFonts w:ascii="Arial" w:hAnsi="Arial"/>
      <w:color w:val="5F497A" w:themeColor="accent4" w:themeShade="BF"/>
    </w:r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bottom w:val="single" w:sz="12" w:space="0" w:color="B2A1C7" w:themeColor="accent4" w:themeTint="99"/>
        </w:tcBorders>
      </w:tcPr>
    </w:tblStylePr>
    <w:tblStylePr w:type="lastRow">
      <w:rPr>
        <w:b/>
        <w:bCs/>
      </w:rPr>
      <w:tblPr/>
      <w:tcPr>
        <w:tcBorders>
          <w:top w:val="doub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GridTable6Colorful-Accent5">
    <w:name w:val="Grid Table 6 Colorful Accent 5"/>
    <w:basedOn w:val="TableNormal"/>
    <w:uiPriority w:val="51"/>
    <w:rsid w:val="005F4764"/>
    <w:pPr>
      <w:spacing w:after="0" w:line="240" w:lineRule="auto"/>
    </w:pPr>
    <w:rPr>
      <w:rFonts w:ascii="Arial" w:hAnsi="Arial"/>
      <w:color w:val="31849B" w:themeColor="accent5" w:themeShade="BF"/>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GridTable6Colorful-Accent6">
    <w:name w:val="Grid Table 6 Colorful Accent 6"/>
    <w:basedOn w:val="TableNormal"/>
    <w:uiPriority w:val="51"/>
    <w:rsid w:val="005F4764"/>
    <w:pPr>
      <w:spacing w:after="0" w:line="240" w:lineRule="auto"/>
    </w:pPr>
    <w:rPr>
      <w:rFonts w:ascii="Arial" w:hAnsi="Arial"/>
      <w:color w:val="E36C0A" w:themeColor="accent6" w:themeShade="BF"/>
    </w:r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bottom w:val="single" w:sz="12" w:space="0" w:color="FABF8F" w:themeColor="accent6" w:themeTint="99"/>
        </w:tcBorders>
      </w:tcPr>
    </w:tblStylePr>
    <w:tblStylePr w:type="lastRow">
      <w:rPr>
        <w:b/>
        <w:bCs/>
      </w:rPr>
      <w:tblPr/>
      <w:tcPr>
        <w:tcBorders>
          <w:top w:val="doub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GridTable7Colorful">
    <w:name w:val="Grid Table 7 Colorful"/>
    <w:basedOn w:val="TableNormal"/>
    <w:uiPriority w:val="52"/>
    <w:rsid w:val="005F4764"/>
    <w:pPr>
      <w:spacing w:after="0" w:line="240" w:lineRule="auto"/>
    </w:pPr>
    <w:rPr>
      <w:rFonts w:ascii="Arial" w:hAnsi="Arial"/>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7Colorful-Accent1">
    <w:name w:val="Grid Table 7 Colorful Accent 1"/>
    <w:basedOn w:val="TableNormal"/>
    <w:uiPriority w:val="52"/>
    <w:rsid w:val="005F4764"/>
    <w:pPr>
      <w:spacing w:after="0" w:line="240" w:lineRule="auto"/>
    </w:pPr>
    <w:rPr>
      <w:rFonts w:ascii="Arial" w:hAnsi="Arial"/>
      <w:color w:val="365F91" w:themeColor="accent1" w:themeShade="BF"/>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bottom w:val="single" w:sz="4" w:space="0" w:color="95B3D7" w:themeColor="accent1" w:themeTint="99"/>
        </w:tcBorders>
      </w:tcPr>
    </w:tblStylePr>
    <w:tblStylePr w:type="nwCell">
      <w:tblPr/>
      <w:tcPr>
        <w:tcBorders>
          <w:bottom w:val="single" w:sz="4" w:space="0" w:color="95B3D7" w:themeColor="accent1" w:themeTint="99"/>
        </w:tcBorders>
      </w:tcPr>
    </w:tblStylePr>
    <w:tblStylePr w:type="seCell">
      <w:tblPr/>
      <w:tcPr>
        <w:tcBorders>
          <w:top w:val="single" w:sz="4" w:space="0" w:color="95B3D7" w:themeColor="accent1" w:themeTint="99"/>
        </w:tcBorders>
      </w:tcPr>
    </w:tblStylePr>
    <w:tblStylePr w:type="swCell">
      <w:tblPr/>
      <w:tcPr>
        <w:tcBorders>
          <w:top w:val="single" w:sz="4" w:space="0" w:color="95B3D7" w:themeColor="accent1" w:themeTint="99"/>
        </w:tcBorders>
      </w:tcPr>
    </w:tblStylePr>
  </w:style>
  <w:style w:type="table" w:styleId="GridTable7Colorful-Accent2">
    <w:name w:val="Grid Table 7 Colorful Accent 2"/>
    <w:basedOn w:val="TableNormal"/>
    <w:uiPriority w:val="52"/>
    <w:rsid w:val="005F4764"/>
    <w:pPr>
      <w:spacing w:after="0" w:line="240" w:lineRule="auto"/>
    </w:pPr>
    <w:rPr>
      <w:rFonts w:ascii="Arial" w:hAnsi="Arial"/>
      <w:color w:val="943634" w:themeColor="accent2" w:themeShade="BF"/>
    </w:r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bottom w:val="single" w:sz="4" w:space="0" w:color="D99594" w:themeColor="accent2" w:themeTint="99"/>
        </w:tcBorders>
      </w:tcPr>
    </w:tblStylePr>
    <w:tblStylePr w:type="nwCell">
      <w:tblPr/>
      <w:tcPr>
        <w:tcBorders>
          <w:bottom w:val="single" w:sz="4" w:space="0" w:color="D99594" w:themeColor="accent2" w:themeTint="99"/>
        </w:tcBorders>
      </w:tcPr>
    </w:tblStylePr>
    <w:tblStylePr w:type="seCell">
      <w:tblPr/>
      <w:tcPr>
        <w:tcBorders>
          <w:top w:val="single" w:sz="4" w:space="0" w:color="D99594" w:themeColor="accent2" w:themeTint="99"/>
        </w:tcBorders>
      </w:tcPr>
    </w:tblStylePr>
    <w:tblStylePr w:type="swCell">
      <w:tblPr/>
      <w:tcPr>
        <w:tcBorders>
          <w:top w:val="single" w:sz="4" w:space="0" w:color="D99594" w:themeColor="accent2" w:themeTint="99"/>
        </w:tcBorders>
      </w:tcPr>
    </w:tblStylePr>
  </w:style>
  <w:style w:type="table" w:styleId="GridTable7Colorful-Accent3">
    <w:name w:val="Grid Table 7 Colorful Accent 3"/>
    <w:basedOn w:val="TableNormal"/>
    <w:uiPriority w:val="52"/>
    <w:rsid w:val="005F4764"/>
    <w:pPr>
      <w:spacing w:after="0" w:line="240" w:lineRule="auto"/>
    </w:pPr>
    <w:rPr>
      <w:rFonts w:ascii="Arial" w:hAnsi="Arial"/>
      <w:color w:val="76923C" w:themeColor="accent3" w:themeShade="BF"/>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bottom w:val="single" w:sz="4" w:space="0" w:color="C2D69B" w:themeColor="accent3" w:themeTint="99"/>
        </w:tcBorders>
      </w:tcPr>
    </w:tblStylePr>
    <w:tblStylePr w:type="nwCell">
      <w:tblPr/>
      <w:tcPr>
        <w:tcBorders>
          <w:bottom w:val="single" w:sz="4" w:space="0" w:color="C2D69B" w:themeColor="accent3" w:themeTint="99"/>
        </w:tcBorders>
      </w:tcPr>
    </w:tblStylePr>
    <w:tblStylePr w:type="seCell">
      <w:tblPr/>
      <w:tcPr>
        <w:tcBorders>
          <w:top w:val="single" w:sz="4" w:space="0" w:color="C2D69B" w:themeColor="accent3" w:themeTint="99"/>
        </w:tcBorders>
      </w:tcPr>
    </w:tblStylePr>
    <w:tblStylePr w:type="swCell">
      <w:tblPr/>
      <w:tcPr>
        <w:tcBorders>
          <w:top w:val="single" w:sz="4" w:space="0" w:color="C2D69B" w:themeColor="accent3" w:themeTint="99"/>
        </w:tcBorders>
      </w:tcPr>
    </w:tblStylePr>
  </w:style>
  <w:style w:type="table" w:styleId="GridTable7Colorful-Accent4">
    <w:name w:val="Grid Table 7 Colorful Accent 4"/>
    <w:basedOn w:val="TableNormal"/>
    <w:uiPriority w:val="52"/>
    <w:rsid w:val="005F4764"/>
    <w:pPr>
      <w:spacing w:after="0" w:line="240" w:lineRule="auto"/>
    </w:pPr>
    <w:rPr>
      <w:rFonts w:ascii="Arial" w:hAnsi="Arial"/>
      <w:color w:val="5F497A" w:themeColor="accent4" w:themeShade="BF"/>
    </w:r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bottom w:val="single" w:sz="4" w:space="0" w:color="B2A1C7" w:themeColor="accent4" w:themeTint="99"/>
        </w:tcBorders>
      </w:tcPr>
    </w:tblStylePr>
    <w:tblStylePr w:type="nwCell">
      <w:tblPr/>
      <w:tcPr>
        <w:tcBorders>
          <w:bottom w:val="single" w:sz="4" w:space="0" w:color="B2A1C7" w:themeColor="accent4" w:themeTint="99"/>
        </w:tcBorders>
      </w:tcPr>
    </w:tblStylePr>
    <w:tblStylePr w:type="seCell">
      <w:tblPr/>
      <w:tcPr>
        <w:tcBorders>
          <w:top w:val="single" w:sz="4" w:space="0" w:color="B2A1C7" w:themeColor="accent4" w:themeTint="99"/>
        </w:tcBorders>
      </w:tcPr>
    </w:tblStylePr>
    <w:tblStylePr w:type="swCell">
      <w:tblPr/>
      <w:tcPr>
        <w:tcBorders>
          <w:top w:val="single" w:sz="4" w:space="0" w:color="B2A1C7" w:themeColor="accent4" w:themeTint="99"/>
        </w:tcBorders>
      </w:tcPr>
    </w:tblStylePr>
  </w:style>
  <w:style w:type="table" w:styleId="GridTable7Colorful-Accent5">
    <w:name w:val="Grid Table 7 Colorful Accent 5"/>
    <w:basedOn w:val="TableNormal"/>
    <w:uiPriority w:val="52"/>
    <w:rsid w:val="005F4764"/>
    <w:pPr>
      <w:spacing w:after="0" w:line="240" w:lineRule="auto"/>
    </w:pPr>
    <w:rPr>
      <w:rFonts w:ascii="Arial" w:hAnsi="Arial"/>
      <w:color w:val="31849B" w:themeColor="accent5" w:themeShade="BF"/>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bottom w:val="single" w:sz="4" w:space="0" w:color="92CDDC" w:themeColor="accent5" w:themeTint="99"/>
        </w:tcBorders>
      </w:tcPr>
    </w:tblStylePr>
    <w:tblStylePr w:type="nwCell">
      <w:tblPr/>
      <w:tcPr>
        <w:tcBorders>
          <w:bottom w:val="single" w:sz="4" w:space="0" w:color="92CDDC" w:themeColor="accent5" w:themeTint="99"/>
        </w:tcBorders>
      </w:tcPr>
    </w:tblStylePr>
    <w:tblStylePr w:type="seCell">
      <w:tblPr/>
      <w:tcPr>
        <w:tcBorders>
          <w:top w:val="single" w:sz="4" w:space="0" w:color="92CDDC" w:themeColor="accent5" w:themeTint="99"/>
        </w:tcBorders>
      </w:tcPr>
    </w:tblStylePr>
    <w:tblStylePr w:type="swCell">
      <w:tblPr/>
      <w:tcPr>
        <w:tcBorders>
          <w:top w:val="single" w:sz="4" w:space="0" w:color="92CDDC" w:themeColor="accent5" w:themeTint="99"/>
        </w:tcBorders>
      </w:tcPr>
    </w:tblStylePr>
  </w:style>
  <w:style w:type="table" w:styleId="GridTable7Colorful-Accent6">
    <w:name w:val="Grid Table 7 Colorful Accent 6"/>
    <w:basedOn w:val="TableNormal"/>
    <w:uiPriority w:val="52"/>
    <w:rsid w:val="005F4764"/>
    <w:pPr>
      <w:spacing w:after="0" w:line="240" w:lineRule="auto"/>
    </w:pPr>
    <w:rPr>
      <w:rFonts w:ascii="Arial" w:hAnsi="Arial"/>
      <w:color w:val="E36C0A" w:themeColor="accent6" w:themeShade="BF"/>
    </w:r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bottom w:val="single" w:sz="4" w:space="0" w:color="FABF8F" w:themeColor="accent6" w:themeTint="99"/>
        </w:tcBorders>
      </w:tcPr>
    </w:tblStylePr>
    <w:tblStylePr w:type="nwCell">
      <w:tblPr/>
      <w:tcPr>
        <w:tcBorders>
          <w:bottom w:val="single" w:sz="4" w:space="0" w:color="FABF8F" w:themeColor="accent6" w:themeTint="99"/>
        </w:tcBorders>
      </w:tcPr>
    </w:tblStylePr>
    <w:tblStylePr w:type="seCell">
      <w:tblPr/>
      <w:tcPr>
        <w:tcBorders>
          <w:top w:val="single" w:sz="4" w:space="0" w:color="FABF8F" w:themeColor="accent6" w:themeTint="99"/>
        </w:tcBorders>
      </w:tcPr>
    </w:tblStylePr>
    <w:tblStylePr w:type="swCell">
      <w:tblPr/>
      <w:tcPr>
        <w:tcBorders>
          <w:top w:val="single" w:sz="4" w:space="0" w:color="FABF8F" w:themeColor="accent6" w:themeTint="99"/>
        </w:tcBorders>
      </w:tcPr>
    </w:tblStylePr>
  </w:style>
  <w:style w:type="paragraph" w:styleId="Index1">
    <w:name w:val="index 1"/>
    <w:basedOn w:val="Normal"/>
    <w:next w:val="Normal"/>
    <w:autoRedefine/>
    <w:uiPriority w:val="99"/>
    <w:semiHidden/>
    <w:unhideWhenUsed/>
    <w:rsid w:val="005F4764"/>
    <w:pPr>
      <w:spacing w:after="0"/>
      <w:ind w:left="220" w:hanging="220"/>
    </w:pPr>
  </w:style>
  <w:style w:type="paragraph" w:styleId="IndexHeading">
    <w:name w:val="index heading"/>
    <w:basedOn w:val="Normal"/>
    <w:next w:val="Index1"/>
    <w:uiPriority w:val="99"/>
    <w:semiHidden/>
    <w:unhideWhenUsed/>
    <w:rsid w:val="005F4764"/>
    <w:rPr>
      <w:rFonts w:eastAsiaTheme="majorEastAsia" w:cstheme="majorBidi"/>
      <w:b/>
      <w:bCs/>
    </w:rPr>
  </w:style>
  <w:style w:type="table" w:styleId="LightGrid">
    <w:name w:val="Light Grid"/>
    <w:basedOn w:val="TableNormal"/>
    <w:uiPriority w:val="62"/>
    <w:semiHidden/>
    <w:unhideWhenUsed/>
    <w:rsid w:val="005F4764"/>
    <w:pPr>
      <w:spacing w:after="0" w:line="240" w:lineRule="auto"/>
    </w:pPr>
    <w:rPr>
      <w:rFonts w:ascii="Arial" w:hAnsi="Arial"/>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semiHidden/>
    <w:unhideWhenUsed/>
    <w:rsid w:val="005F4764"/>
    <w:pPr>
      <w:spacing w:after="0" w:line="240" w:lineRule="auto"/>
    </w:pPr>
    <w:rPr>
      <w:rFonts w:ascii="Arial" w:hAnsi="Arial"/>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semiHidden/>
    <w:unhideWhenUsed/>
    <w:rsid w:val="005F4764"/>
    <w:pPr>
      <w:spacing w:after="0" w:line="240" w:lineRule="auto"/>
    </w:pPr>
    <w:rPr>
      <w:rFonts w:ascii="Arial" w:hAnsi="Arial"/>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semiHidden/>
    <w:unhideWhenUsed/>
    <w:rsid w:val="005F4764"/>
    <w:pPr>
      <w:spacing w:after="0" w:line="240" w:lineRule="auto"/>
    </w:pPr>
    <w:rPr>
      <w:rFonts w:ascii="Arial" w:hAnsi="Arial"/>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semiHidden/>
    <w:unhideWhenUsed/>
    <w:rsid w:val="005F4764"/>
    <w:pPr>
      <w:spacing w:after="0" w:line="240" w:lineRule="auto"/>
    </w:pPr>
    <w:rPr>
      <w:rFonts w:ascii="Arial" w:hAnsi="Arial"/>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semiHidden/>
    <w:unhideWhenUsed/>
    <w:rsid w:val="005F4764"/>
    <w:pPr>
      <w:spacing w:after="0" w:line="240" w:lineRule="auto"/>
    </w:pPr>
    <w:rPr>
      <w:rFonts w:ascii="Arial" w:hAnsi="Arial"/>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semiHidden/>
    <w:unhideWhenUsed/>
    <w:rsid w:val="005F4764"/>
    <w:pPr>
      <w:spacing w:after="0" w:line="240" w:lineRule="auto"/>
    </w:pPr>
    <w:rPr>
      <w:rFonts w:ascii="Arial" w:hAnsi="Arial"/>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LightList">
    <w:name w:val="Light List"/>
    <w:basedOn w:val="TableNormal"/>
    <w:uiPriority w:val="61"/>
    <w:semiHidden/>
    <w:unhideWhenUsed/>
    <w:rsid w:val="005F4764"/>
    <w:pPr>
      <w:spacing w:after="0" w:line="240" w:lineRule="auto"/>
    </w:pPr>
    <w:rPr>
      <w:rFonts w:ascii="Arial" w:hAnsi="Arial"/>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semiHidden/>
    <w:unhideWhenUsed/>
    <w:rsid w:val="005F4764"/>
    <w:pPr>
      <w:spacing w:after="0" w:line="240" w:lineRule="auto"/>
    </w:pPr>
    <w:rPr>
      <w:rFonts w:ascii="Arial" w:hAnsi="Arial"/>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semiHidden/>
    <w:unhideWhenUsed/>
    <w:rsid w:val="005F4764"/>
    <w:pPr>
      <w:spacing w:after="0" w:line="240" w:lineRule="auto"/>
    </w:pPr>
    <w:rPr>
      <w:rFonts w:ascii="Arial" w:hAnsi="Arial"/>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semiHidden/>
    <w:unhideWhenUsed/>
    <w:rsid w:val="005F4764"/>
    <w:pPr>
      <w:spacing w:after="0" w:line="240" w:lineRule="auto"/>
    </w:pPr>
    <w:rPr>
      <w:rFonts w:ascii="Arial" w:hAnsi="Arial"/>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semiHidden/>
    <w:unhideWhenUsed/>
    <w:rsid w:val="005F4764"/>
    <w:pPr>
      <w:spacing w:after="0" w:line="240" w:lineRule="auto"/>
    </w:pPr>
    <w:rPr>
      <w:rFonts w:ascii="Arial" w:hAnsi="Arial"/>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semiHidden/>
    <w:unhideWhenUsed/>
    <w:rsid w:val="005F4764"/>
    <w:pPr>
      <w:spacing w:after="0" w:line="240" w:lineRule="auto"/>
    </w:pPr>
    <w:rPr>
      <w:rFonts w:ascii="Arial" w:hAnsi="Arial"/>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semiHidden/>
    <w:unhideWhenUsed/>
    <w:rsid w:val="005F4764"/>
    <w:pPr>
      <w:spacing w:after="0" w:line="240" w:lineRule="auto"/>
    </w:pPr>
    <w:rPr>
      <w:rFonts w:ascii="Arial" w:hAnsi="Arial"/>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Shading">
    <w:name w:val="Light Shading"/>
    <w:basedOn w:val="TableNormal"/>
    <w:uiPriority w:val="60"/>
    <w:semiHidden/>
    <w:unhideWhenUsed/>
    <w:rsid w:val="005F4764"/>
    <w:pPr>
      <w:spacing w:after="0" w:line="240" w:lineRule="auto"/>
    </w:pPr>
    <w:rPr>
      <w:rFonts w:ascii="Arial" w:hAnsi="Arial"/>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semiHidden/>
    <w:unhideWhenUsed/>
    <w:rsid w:val="005F4764"/>
    <w:pPr>
      <w:spacing w:after="0" w:line="240" w:lineRule="auto"/>
    </w:pPr>
    <w:rPr>
      <w:rFonts w:ascii="Arial" w:hAnsi="Arial"/>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semiHidden/>
    <w:unhideWhenUsed/>
    <w:rsid w:val="005F4764"/>
    <w:pPr>
      <w:spacing w:after="0" w:line="240" w:lineRule="auto"/>
    </w:pPr>
    <w:rPr>
      <w:rFonts w:ascii="Arial" w:hAnsi="Arial"/>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semiHidden/>
    <w:unhideWhenUsed/>
    <w:rsid w:val="005F4764"/>
    <w:pPr>
      <w:spacing w:after="0" w:line="240" w:lineRule="auto"/>
    </w:pPr>
    <w:rPr>
      <w:rFonts w:ascii="Arial" w:hAnsi="Arial"/>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semiHidden/>
    <w:unhideWhenUsed/>
    <w:rsid w:val="005F4764"/>
    <w:pPr>
      <w:spacing w:after="0" w:line="240" w:lineRule="auto"/>
    </w:pPr>
    <w:rPr>
      <w:rFonts w:ascii="Arial" w:hAnsi="Arial"/>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semiHidden/>
    <w:unhideWhenUsed/>
    <w:rsid w:val="005F4764"/>
    <w:pPr>
      <w:spacing w:after="0" w:line="240" w:lineRule="auto"/>
    </w:pPr>
    <w:rPr>
      <w:rFonts w:ascii="Arial" w:hAnsi="Arial"/>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semiHidden/>
    <w:unhideWhenUsed/>
    <w:rsid w:val="005F4764"/>
    <w:pPr>
      <w:spacing w:after="0" w:line="240" w:lineRule="auto"/>
    </w:pPr>
    <w:rPr>
      <w:rFonts w:ascii="Arial" w:hAnsi="Arial"/>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stTable1Light">
    <w:name w:val="List Table 1 Light"/>
    <w:basedOn w:val="TableNormal"/>
    <w:uiPriority w:val="46"/>
    <w:rsid w:val="005F4764"/>
    <w:pPr>
      <w:spacing w:after="0" w:line="240" w:lineRule="auto"/>
    </w:pPr>
    <w:rPr>
      <w:rFonts w:ascii="Arial" w:hAnsi="Arial"/>
    </w:r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1Light-Accent1">
    <w:name w:val="List Table 1 Light Accent 1"/>
    <w:basedOn w:val="TableNormal"/>
    <w:uiPriority w:val="46"/>
    <w:rsid w:val="005F4764"/>
    <w:pPr>
      <w:spacing w:after="0" w:line="240" w:lineRule="auto"/>
    </w:pPr>
    <w:rPr>
      <w:rFonts w:ascii="Arial" w:hAnsi="Arial"/>
    </w:rPr>
    <w:tblPr>
      <w:tblStyleRowBandSize w:val="1"/>
      <w:tblStyleColBandSize w:val="1"/>
    </w:tblPr>
    <w:tblStylePr w:type="firstRow">
      <w:rPr>
        <w:b/>
        <w:bCs/>
      </w:rPr>
      <w:tblPr/>
      <w:tcPr>
        <w:tcBorders>
          <w:bottom w:val="single" w:sz="4" w:space="0" w:color="95B3D7" w:themeColor="accent1" w:themeTint="99"/>
        </w:tcBorders>
      </w:tcPr>
    </w:tblStylePr>
    <w:tblStylePr w:type="lastRow">
      <w:rPr>
        <w:b/>
        <w:bCs/>
      </w:rPr>
      <w:tblPr/>
      <w:tcPr>
        <w:tcBorders>
          <w:top w:val="sing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Table1Light-Accent2">
    <w:name w:val="List Table 1 Light Accent 2"/>
    <w:basedOn w:val="TableNormal"/>
    <w:uiPriority w:val="46"/>
    <w:rsid w:val="005F4764"/>
    <w:pPr>
      <w:spacing w:after="0" w:line="240" w:lineRule="auto"/>
    </w:pPr>
    <w:rPr>
      <w:rFonts w:ascii="Arial" w:hAnsi="Arial"/>
    </w:rPr>
    <w:tblPr>
      <w:tblStyleRowBandSize w:val="1"/>
      <w:tblStyleColBandSize w:val="1"/>
    </w:tblPr>
    <w:tblStylePr w:type="firstRow">
      <w:rPr>
        <w:b/>
        <w:bCs/>
      </w:rPr>
      <w:tblPr/>
      <w:tcPr>
        <w:tcBorders>
          <w:bottom w:val="single" w:sz="4" w:space="0" w:color="D99594" w:themeColor="accent2" w:themeTint="99"/>
        </w:tcBorders>
      </w:tcPr>
    </w:tblStylePr>
    <w:tblStylePr w:type="lastRow">
      <w:rPr>
        <w:b/>
        <w:bCs/>
      </w:rPr>
      <w:tblPr/>
      <w:tcPr>
        <w:tcBorders>
          <w:top w:val="sing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ListTable1Light-Accent3">
    <w:name w:val="List Table 1 Light Accent 3"/>
    <w:basedOn w:val="TableNormal"/>
    <w:uiPriority w:val="46"/>
    <w:rsid w:val="005F4764"/>
    <w:pPr>
      <w:spacing w:after="0" w:line="240" w:lineRule="auto"/>
    </w:pPr>
    <w:rPr>
      <w:rFonts w:ascii="Arial" w:hAnsi="Arial"/>
    </w:rPr>
    <w:tblPr>
      <w:tblStyleRowBandSize w:val="1"/>
      <w:tblStyleColBandSize w:val="1"/>
    </w:tblPr>
    <w:tblStylePr w:type="firstRow">
      <w:rPr>
        <w:b/>
        <w:bCs/>
      </w:rPr>
      <w:tblPr/>
      <w:tcPr>
        <w:tcBorders>
          <w:bottom w:val="single" w:sz="4" w:space="0" w:color="C2D69B" w:themeColor="accent3" w:themeTint="99"/>
        </w:tcBorders>
      </w:tcPr>
    </w:tblStylePr>
    <w:tblStylePr w:type="lastRow">
      <w:rPr>
        <w:b/>
        <w:bCs/>
      </w:rPr>
      <w:tblPr/>
      <w:tcPr>
        <w:tcBorders>
          <w:top w:val="sing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ListTable1Light-Accent4">
    <w:name w:val="List Table 1 Light Accent 4"/>
    <w:basedOn w:val="TableNormal"/>
    <w:uiPriority w:val="46"/>
    <w:rsid w:val="005F4764"/>
    <w:pPr>
      <w:spacing w:after="0" w:line="240" w:lineRule="auto"/>
    </w:pPr>
    <w:rPr>
      <w:rFonts w:ascii="Arial" w:hAnsi="Arial"/>
    </w:rPr>
    <w:tblPr>
      <w:tblStyleRowBandSize w:val="1"/>
      <w:tblStyleColBandSize w:val="1"/>
    </w:tblPr>
    <w:tblStylePr w:type="firstRow">
      <w:rPr>
        <w:b/>
        <w:bCs/>
      </w:rPr>
      <w:tblPr/>
      <w:tcPr>
        <w:tcBorders>
          <w:bottom w:val="single" w:sz="4" w:space="0" w:color="B2A1C7" w:themeColor="accent4" w:themeTint="99"/>
        </w:tcBorders>
      </w:tcPr>
    </w:tblStylePr>
    <w:tblStylePr w:type="lastRow">
      <w:rPr>
        <w:b/>
        <w:bCs/>
      </w:rPr>
      <w:tblPr/>
      <w:tcPr>
        <w:tcBorders>
          <w:top w:val="sing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ListTable1Light-Accent5">
    <w:name w:val="List Table 1 Light Accent 5"/>
    <w:basedOn w:val="TableNormal"/>
    <w:uiPriority w:val="46"/>
    <w:rsid w:val="005F4764"/>
    <w:pPr>
      <w:spacing w:after="0" w:line="240" w:lineRule="auto"/>
    </w:pPr>
    <w:rPr>
      <w:rFonts w:ascii="Arial" w:hAnsi="Arial"/>
    </w:rPr>
    <w:tblPr>
      <w:tblStyleRowBandSize w:val="1"/>
      <w:tblStyleColBandSize w:val="1"/>
    </w:tblPr>
    <w:tblStylePr w:type="firstRow">
      <w:rPr>
        <w:b/>
        <w:bCs/>
      </w:rPr>
      <w:tblPr/>
      <w:tcPr>
        <w:tcBorders>
          <w:bottom w:val="single" w:sz="4" w:space="0" w:color="92CDDC" w:themeColor="accent5" w:themeTint="99"/>
        </w:tcBorders>
      </w:tcPr>
    </w:tblStylePr>
    <w:tblStylePr w:type="lastRow">
      <w:rPr>
        <w:b/>
        <w:bCs/>
      </w:rPr>
      <w:tblPr/>
      <w:tcPr>
        <w:tcBorders>
          <w:top w:val="sing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ListTable1Light-Accent6">
    <w:name w:val="List Table 1 Light Accent 6"/>
    <w:basedOn w:val="TableNormal"/>
    <w:uiPriority w:val="46"/>
    <w:rsid w:val="005F4764"/>
    <w:pPr>
      <w:spacing w:after="0" w:line="240" w:lineRule="auto"/>
    </w:pPr>
    <w:rPr>
      <w:rFonts w:ascii="Arial" w:hAnsi="Arial"/>
    </w:rPr>
    <w:tblPr>
      <w:tblStyleRowBandSize w:val="1"/>
      <w:tblStyleColBandSize w:val="1"/>
    </w:tblPr>
    <w:tblStylePr w:type="firstRow">
      <w:rPr>
        <w:b/>
        <w:bCs/>
      </w:rPr>
      <w:tblPr/>
      <w:tcPr>
        <w:tcBorders>
          <w:bottom w:val="single" w:sz="4" w:space="0" w:color="FABF8F" w:themeColor="accent6" w:themeTint="99"/>
        </w:tcBorders>
      </w:tcPr>
    </w:tblStylePr>
    <w:tblStylePr w:type="lastRow">
      <w:rPr>
        <w:b/>
        <w:bCs/>
      </w:rPr>
      <w:tblPr/>
      <w:tcPr>
        <w:tcBorders>
          <w:top w:val="sing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ListTable2">
    <w:name w:val="List Table 2"/>
    <w:basedOn w:val="TableNormal"/>
    <w:uiPriority w:val="47"/>
    <w:rsid w:val="005F4764"/>
    <w:pPr>
      <w:spacing w:after="0" w:line="240" w:lineRule="auto"/>
    </w:pPr>
    <w:rPr>
      <w:rFonts w:ascii="Arial" w:hAnsi="Arial"/>
    </w:r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2-Accent1">
    <w:name w:val="List Table 2 Accent 1"/>
    <w:basedOn w:val="TableNormal"/>
    <w:uiPriority w:val="47"/>
    <w:rsid w:val="005F4764"/>
    <w:pPr>
      <w:spacing w:after="0" w:line="240" w:lineRule="auto"/>
    </w:pPr>
    <w:rPr>
      <w:rFonts w:ascii="Arial" w:hAnsi="Arial"/>
    </w:rPr>
    <w:tblPr>
      <w:tblStyleRowBandSize w:val="1"/>
      <w:tblStyleColBandSize w:val="1"/>
      <w:tblBorders>
        <w:top w:val="single" w:sz="4" w:space="0" w:color="95B3D7" w:themeColor="accent1" w:themeTint="99"/>
        <w:bottom w:val="single" w:sz="4" w:space="0" w:color="95B3D7" w:themeColor="accent1" w:themeTint="99"/>
        <w:insideH w:val="single" w:sz="4" w:space="0" w:color="95B3D7"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Table2-Accent2">
    <w:name w:val="List Table 2 Accent 2"/>
    <w:basedOn w:val="TableNormal"/>
    <w:uiPriority w:val="47"/>
    <w:rsid w:val="005F4764"/>
    <w:pPr>
      <w:spacing w:after="0" w:line="240" w:lineRule="auto"/>
    </w:pPr>
    <w:rPr>
      <w:rFonts w:ascii="Arial" w:hAnsi="Arial"/>
    </w:rPr>
    <w:tblPr>
      <w:tblStyleRowBandSize w:val="1"/>
      <w:tblStyleColBandSize w:val="1"/>
      <w:tblBorders>
        <w:top w:val="single" w:sz="4" w:space="0" w:color="D99594" w:themeColor="accent2" w:themeTint="99"/>
        <w:bottom w:val="single" w:sz="4" w:space="0" w:color="D99594" w:themeColor="accent2" w:themeTint="99"/>
        <w:insideH w:val="single" w:sz="4" w:space="0" w:color="D99594"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ListTable2-Accent3">
    <w:name w:val="List Table 2 Accent 3"/>
    <w:basedOn w:val="TableNormal"/>
    <w:uiPriority w:val="47"/>
    <w:rsid w:val="005F4764"/>
    <w:pPr>
      <w:spacing w:after="0" w:line="240" w:lineRule="auto"/>
    </w:pPr>
    <w:rPr>
      <w:rFonts w:ascii="Arial" w:hAnsi="Arial"/>
    </w:rPr>
    <w:tblPr>
      <w:tblStyleRowBandSize w:val="1"/>
      <w:tblStyleColBandSize w:val="1"/>
      <w:tblBorders>
        <w:top w:val="single" w:sz="4" w:space="0" w:color="C2D69B" w:themeColor="accent3" w:themeTint="99"/>
        <w:bottom w:val="single" w:sz="4" w:space="0" w:color="C2D69B" w:themeColor="accent3" w:themeTint="99"/>
        <w:insideH w:val="single" w:sz="4" w:space="0" w:color="C2D69B"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ListTable2-Accent4">
    <w:name w:val="List Table 2 Accent 4"/>
    <w:basedOn w:val="TableNormal"/>
    <w:uiPriority w:val="47"/>
    <w:rsid w:val="005F4764"/>
    <w:pPr>
      <w:spacing w:after="0" w:line="240" w:lineRule="auto"/>
    </w:pPr>
    <w:rPr>
      <w:rFonts w:ascii="Arial" w:hAnsi="Arial"/>
    </w:rPr>
    <w:tblPr>
      <w:tblStyleRowBandSize w:val="1"/>
      <w:tblStyleColBandSize w:val="1"/>
      <w:tblBorders>
        <w:top w:val="single" w:sz="4" w:space="0" w:color="B2A1C7" w:themeColor="accent4" w:themeTint="99"/>
        <w:bottom w:val="single" w:sz="4" w:space="0" w:color="B2A1C7" w:themeColor="accent4" w:themeTint="99"/>
        <w:insideH w:val="single" w:sz="4" w:space="0" w:color="B2A1C7"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ListTable6Colorful">
    <w:name w:val="List Table 6 Colorful"/>
    <w:basedOn w:val="TableNormal"/>
    <w:uiPriority w:val="51"/>
    <w:rsid w:val="005F4764"/>
    <w:pPr>
      <w:spacing w:after="0" w:line="240" w:lineRule="auto"/>
    </w:pPr>
    <w:rPr>
      <w:rFonts w:ascii="Arial" w:hAnsi="Arial"/>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6Colorful-Accent1">
    <w:name w:val="List Table 6 Colorful Accent 1"/>
    <w:basedOn w:val="TableNormal"/>
    <w:uiPriority w:val="51"/>
    <w:rsid w:val="005F4764"/>
    <w:pPr>
      <w:spacing w:after="0" w:line="240" w:lineRule="auto"/>
    </w:pPr>
    <w:rPr>
      <w:rFonts w:ascii="Arial" w:hAnsi="Arial"/>
      <w:color w:val="365F91" w:themeColor="accent1" w:themeShade="BF"/>
    </w:rPr>
    <w:tblPr>
      <w:tblStyleRowBandSize w:val="1"/>
      <w:tblStyleColBandSize w:val="1"/>
      <w:tblBorders>
        <w:top w:val="single" w:sz="4" w:space="0" w:color="4F81BD" w:themeColor="accent1"/>
        <w:bottom w:val="single" w:sz="4" w:space="0" w:color="4F81BD" w:themeColor="accent1"/>
      </w:tblBorders>
    </w:tblPr>
    <w:tblStylePr w:type="firstRow">
      <w:rPr>
        <w:b/>
        <w:bCs/>
      </w:rPr>
      <w:tblPr/>
      <w:tcPr>
        <w:tcBorders>
          <w:bottom w:val="single" w:sz="4" w:space="0" w:color="4F81BD" w:themeColor="accent1"/>
        </w:tcBorders>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Table6Colorful-Accent5">
    <w:name w:val="List Table 6 Colorful Accent 5"/>
    <w:basedOn w:val="TableNormal"/>
    <w:uiPriority w:val="51"/>
    <w:rsid w:val="005F4764"/>
    <w:pPr>
      <w:spacing w:after="0" w:line="240" w:lineRule="auto"/>
    </w:pPr>
    <w:rPr>
      <w:rFonts w:ascii="Arial" w:hAnsi="Arial"/>
      <w:color w:val="31849B" w:themeColor="accent5" w:themeShade="BF"/>
    </w:rPr>
    <w:tblPr>
      <w:tblStyleRowBandSize w:val="1"/>
      <w:tblStyleColBandSize w:val="1"/>
      <w:tblBorders>
        <w:top w:val="single" w:sz="4" w:space="0" w:color="4BACC6" w:themeColor="accent5"/>
        <w:bottom w:val="single" w:sz="4" w:space="0" w:color="4BACC6" w:themeColor="accent5"/>
      </w:tblBorders>
    </w:tblPr>
    <w:tblStylePr w:type="firstRow">
      <w:rPr>
        <w:b/>
        <w:bCs/>
      </w:rPr>
      <w:tblPr/>
      <w:tcPr>
        <w:tcBorders>
          <w:bottom w:val="single" w:sz="4" w:space="0" w:color="4BACC6" w:themeColor="accent5"/>
        </w:tcBorders>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ListTable6Colorful-Accent6">
    <w:name w:val="List Table 6 Colorful Accent 6"/>
    <w:basedOn w:val="TableNormal"/>
    <w:uiPriority w:val="51"/>
    <w:rsid w:val="005F4764"/>
    <w:pPr>
      <w:spacing w:after="0" w:line="240" w:lineRule="auto"/>
    </w:pPr>
    <w:rPr>
      <w:rFonts w:ascii="Arial" w:hAnsi="Arial"/>
      <w:color w:val="E36C0A" w:themeColor="accent6" w:themeShade="BF"/>
    </w:rPr>
    <w:tblPr>
      <w:tblStyleRowBandSize w:val="1"/>
      <w:tblStyleColBandSize w:val="1"/>
      <w:tblBorders>
        <w:top w:val="single" w:sz="4" w:space="0" w:color="F79646" w:themeColor="accent6"/>
        <w:bottom w:val="single" w:sz="4" w:space="0" w:color="F79646" w:themeColor="accent6"/>
      </w:tblBorders>
    </w:tblPr>
    <w:tblStylePr w:type="firstRow">
      <w:rPr>
        <w:b/>
        <w:bCs/>
      </w:rPr>
      <w:tblPr/>
      <w:tcPr>
        <w:tcBorders>
          <w:bottom w:val="single" w:sz="4" w:space="0" w:color="F79646" w:themeColor="accent6"/>
        </w:tcBorders>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ListTable7Colorful">
    <w:name w:val="List Table 7 Colorful"/>
    <w:basedOn w:val="TableNormal"/>
    <w:uiPriority w:val="52"/>
    <w:rsid w:val="005F4764"/>
    <w:pPr>
      <w:spacing w:after="0" w:line="240" w:lineRule="auto"/>
    </w:pPr>
    <w:rPr>
      <w:rFonts w:ascii="Arial" w:hAnsi="Arial"/>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1">
    <w:name w:val="List Table 7 Colorful Accent 1"/>
    <w:basedOn w:val="TableNormal"/>
    <w:uiPriority w:val="52"/>
    <w:rsid w:val="005F4764"/>
    <w:pPr>
      <w:spacing w:after="0" w:line="240" w:lineRule="auto"/>
    </w:pPr>
    <w:rPr>
      <w:rFonts w:ascii="Arial" w:hAnsi="Arial"/>
      <w:color w:val="365F91"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F81BD"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F81BD"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F81BD"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F81BD" w:themeColor="accent1"/>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2">
    <w:name w:val="List Table 7 Colorful Accent 2"/>
    <w:basedOn w:val="TableNormal"/>
    <w:uiPriority w:val="52"/>
    <w:rsid w:val="005F4764"/>
    <w:pPr>
      <w:spacing w:after="0" w:line="240" w:lineRule="auto"/>
    </w:pPr>
    <w:rPr>
      <w:rFonts w:ascii="Arial" w:hAnsi="Arial"/>
      <w:color w:val="943634"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C0504D"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C0504D"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C0504D"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C0504D" w:themeColor="accent2"/>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3">
    <w:name w:val="List Table 7 Colorful Accent 3"/>
    <w:basedOn w:val="TableNormal"/>
    <w:uiPriority w:val="52"/>
    <w:rsid w:val="005F4764"/>
    <w:pPr>
      <w:spacing w:after="0" w:line="240" w:lineRule="auto"/>
    </w:pPr>
    <w:rPr>
      <w:rFonts w:ascii="Arial" w:hAnsi="Arial"/>
      <w:color w:val="76923C"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9BBB5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9BBB5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9BBB5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9BBB59" w:themeColor="accent3"/>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4">
    <w:name w:val="List Table 7 Colorful Accent 4"/>
    <w:basedOn w:val="TableNormal"/>
    <w:uiPriority w:val="52"/>
    <w:rsid w:val="005F4764"/>
    <w:pPr>
      <w:spacing w:after="0" w:line="240" w:lineRule="auto"/>
    </w:pPr>
    <w:rPr>
      <w:rFonts w:ascii="Arial" w:hAnsi="Arial"/>
      <w:color w:val="5F497A"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8064A2"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8064A2"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8064A2"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8064A2" w:themeColor="accent4"/>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5">
    <w:name w:val="List Table 7 Colorful Accent 5"/>
    <w:basedOn w:val="TableNormal"/>
    <w:uiPriority w:val="52"/>
    <w:rsid w:val="005F4764"/>
    <w:pPr>
      <w:spacing w:after="0" w:line="240" w:lineRule="auto"/>
    </w:pPr>
    <w:rPr>
      <w:rFonts w:ascii="Arial" w:hAnsi="Arial"/>
      <w:color w:val="31849B"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BACC6"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BACC6"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BACC6"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BACC6" w:themeColor="accent5"/>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6">
    <w:name w:val="List Table 7 Colorful Accent 6"/>
    <w:basedOn w:val="TableNormal"/>
    <w:uiPriority w:val="52"/>
    <w:rsid w:val="005F4764"/>
    <w:pPr>
      <w:spacing w:after="0" w:line="240" w:lineRule="auto"/>
    </w:pPr>
    <w:rPr>
      <w:rFonts w:ascii="Arial" w:hAnsi="Arial"/>
      <w:color w:val="E36C0A"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79646"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79646"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79646"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79646" w:themeColor="accent6"/>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MediumGrid1">
    <w:name w:val="Medium Grid 1"/>
    <w:basedOn w:val="TableNormal"/>
    <w:uiPriority w:val="67"/>
    <w:semiHidden/>
    <w:unhideWhenUsed/>
    <w:rsid w:val="005F4764"/>
    <w:pPr>
      <w:spacing w:after="0" w:line="240" w:lineRule="auto"/>
    </w:pPr>
    <w:rPr>
      <w:rFonts w:ascii="Arial" w:hAnsi="Arial"/>
    </w:r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semiHidden/>
    <w:unhideWhenUsed/>
    <w:rsid w:val="005F4764"/>
    <w:pPr>
      <w:spacing w:after="0" w:line="240" w:lineRule="auto"/>
    </w:pPr>
    <w:rPr>
      <w:rFonts w:ascii="Arial" w:hAnsi="Arial"/>
    </w:r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3">
    <w:name w:val="Medium Grid 1 Accent 3"/>
    <w:basedOn w:val="TableNormal"/>
    <w:uiPriority w:val="67"/>
    <w:semiHidden/>
    <w:unhideWhenUsed/>
    <w:rsid w:val="005F4764"/>
    <w:pPr>
      <w:spacing w:after="0" w:line="240" w:lineRule="auto"/>
    </w:pPr>
    <w:rPr>
      <w:rFonts w:ascii="Arial" w:hAnsi="Arial"/>
    </w:r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semiHidden/>
    <w:unhideWhenUsed/>
    <w:rsid w:val="005F4764"/>
    <w:pPr>
      <w:spacing w:after="0" w:line="240" w:lineRule="auto"/>
    </w:pPr>
    <w:rPr>
      <w:rFonts w:ascii="Arial" w:hAnsi="Arial"/>
    </w:r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semiHidden/>
    <w:unhideWhenUsed/>
    <w:rsid w:val="005F4764"/>
    <w:pPr>
      <w:spacing w:after="0" w:line="240" w:lineRule="auto"/>
    </w:pPr>
    <w:rPr>
      <w:rFonts w:ascii="Arial" w:hAnsi="Arial"/>
    </w:r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semiHidden/>
    <w:unhideWhenUsed/>
    <w:rsid w:val="005F4764"/>
    <w:pPr>
      <w:spacing w:after="0" w:line="240" w:lineRule="auto"/>
    </w:pPr>
    <w:rPr>
      <w:rFonts w:ascii="Arial" w:hAnsi="Arial"/>
    </w:r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semiHidden/>
    <w:unhideWhenUsed/>
    <w:rsid w:val="005F4764"/>
    <w:pPr>
      <w:spacing w:after="0" w:line="240" w:lineRule="auto"/>
    </w:pPr>
    <w:rPr>
      <w:rFonts w:ascii="Arial" w:eastAsiaTheme="majorEastAsia" w:hAnsi="Arial"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unhideWhenUsed/>
    <w:rsid w:val="005F4764"/>
    <w:pPr>
      <w:spacing w:after="0" w:line="240" w:lineRule="auto"/>
    </w:pPr>
    <w:rPr>
      <w:rFonts w:ascii="Arial" w:eastAsiaTheme="majorEastAsia" w:hAnsi="Arial"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unhideWhenUsed/>
    <w:rsid w:val="005F4764"/>
    <w:pPr>
      <w:spacing w:after="0" w:line="240" w:lineRule="auto"/>
    </w:pPr>
    <w:rPr>
      <w:rFonts w:ascii="Arial" w:eastAsiaTheme="majorEastAsia" w:hAnsi="Arial"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unhideWhenUsed/>
    <w:rsid w:val="005F4764"/>
    <w:pPr>
      <w:spacing w:after="0" w:line="240" w:lineRule="auto"/>
    </w:pPr>
    <w:rPr>
      <w:rFonts w:ascii="Arial" w:eastAsiaTheme="majorEastAsia" w:hAnsi="Arial"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unhideWhenUsed/>
    <w:rsid w:val="005F4764"/>
    <w:pPr>
      <w:spacing w:after="0" w:line="240" w:lineRule="auto"/>
    </w:pPr>
    <w:rPr>
      <w:rFonts w:ascii="Arial" w:eastAsiaTheme="majorEastAsia" w:hAnsi="Arial"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unhideWhenUsed/>
    <w:rsid w:val="005F4764"/>
    <w:pPr>
      <w:spacing w:after="0" w:line="240" w:lineRule="auto"/>
    </w:pPr>
    <w:rPr>
      <w:rFonts w:ascii="Arial" w:eastAsiaTheme="majorEastAsia" w:hAnsi="Arial"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unhideWhenUsed/>
    <w:rsid w:val="005F4764"/>
    <w:pPr>
      <w:spacing w:after="0" w:line="240" w:lineRule="auto"/>
    </w:pPr>
    <w:rPr>
      <w:rFonts w:ascii="Arial" w:eastAsiaTheme="majorEastAsia" w:hAnsi="Arial"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unhideWhenUsed/>
    <w:rsid w:val="005F4764"/>
    <w:pPr>
      <w:spacing w:after="0" w:line="240" w:lineRule="auto"/>
    </w:pPr>
    <w:rPr>
      <w:rFonts w:ascii="Arial" w:hAnsi="Arial"/>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semiHidden/>
    <w:unhideWhenUsed/>
    <w:rsid w:val="005F4764"/>
    <w:pPr>
      <w:spacing w:after="0" w:line="240" w:lineRule="auto"/>
    </w:pPr>
    <w:rPr>
      <w:rFonts w:ascii="Arial" w:hAnsi="Arial"/>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semiHidden/>
    <w:unhideWhenUsed/>
    <w:rsid w:val="005F4764"/>
    <w:pPr>
      <w:spacing w:after="0" w:line="240" w:lineRule="auto"/>
    </w:pPr>
    <w:rPr>
      <w:rFonts w:ascii="Arial" w:hAnsi="Arial"/>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semiHidden/>
    <w:unhideWhenUsed/>
    <w:rsid w:val="005F4764"/>
    <w:pPr>
      <w:spacing w:after="0" w:line="240" w:lineRule="auto"/>
    </w:pPr>
    <w:rPr>
      <w:rFonts w:ascii="Arial" w:hAnsi="Arial"/>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semiHidden/>
    <w:unhideWhenUsed/>
    <w:rsid w:val="005F4764"/>
    <w:pPr>
      <w:spacing w:after="0" w:line="240" w:lineRule="auto"/>
    </w:pPr>
    <w:rPr>
      <w:rFonts w:ascii="Arial" w:hAnsi="Arial"/>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semiHidden/>
    <w:unhideWhenUsed/>
    <w:rsid w:val="005F4764"/>
    <w:pPr>
      <w:spacing w:after="0" w:line="240" w:lineRule="auto"/>
    </w:pPr>
    <w:rPr>
      <w:rFonts w:ascii="Arial" w:hAnsi="Arial"/>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semiHidden/>
    <w:unhideWhenUsed/>
    <w:rsid w:val="005F4764"/>
    <w:pPr>
      <w:spacing w:after="0" w:line="240" w:lineRule="auto"/>
    </w:pPr>
    <w:rPr>
      <w:rFonts w:ascii="Arial" w:hAnsi="Arial"/>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MediumList1">
    <w:name w:val="Medium List 1"/>
    <w:basedOn w:val="TableNormal"/>
    <w:uiPriority w:val="65"/>
    <w:semiHidden/>
    <w:unhideWhenUsed/>
    <w:rsid w:val="005F4764"/>
    <w:pPr>
      <w:spacing w:after="0" w:line="240" w:lineRule="auto"/>
    </w:pPr>
    <w:rPr>
      <w:rFonts w:ascii="Arial" w:hAnsi="Arial"/>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semiHidden/>
    <w:unhideWhenUsed/>
    <w:rsid w:val="005F4764"/>
    <w:pPr>
      <w:spacing w:after="0" w:line="240" w:lineRule="auto"/>
    </w:pPr>
    <w:rPr>
      <w:rFonts w:ascii="Arial" w:hAnsi="Arial"/>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semiHidden/>
    <w:unhideWhenUsed/>
    <w:rsid w:val="005F4764"/>
    <w:pPr>
      <w:spacing w:after="0" w:line="240" w:lineRule="auto"/>
    </w:pPr>
    <w:rPr>
      <w:rFonts w:ascii="Arial" w:hAnsi="Arial"/>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semiHidden/>
    <w:unhideWhenUsed/>
    <w:rsid w:val="005F4764"/>
    <w:pPr>
      <w:spacing w:after="0" w:line="240" w:lineRule="auto"/>
    </w:pPr>
    <w:rPr>
      <w:rFonts w:ascii="Arial" w:hAnsi="Arial"/>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semiHidden/>
    <w:unhideWhenUsed/>
    <w:rsid w:val="005F4764"/>
    <w:pPr>
      <w:spacing w:after="0" w:line="240" w:lineRule="auto"/>
    </w:pPr>
    <w:rPr>
      <w:rFonts w:ascii="Arial" w:hAnsi="Arial"/>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semiHidden/>
    <w:unhideWhenUsed/>
    <w:rsid w:val="005F4764"/>
    <w:pPr>
      <w:spacing w:after="0" w:line="240" w:lineRule="auto"/>
    </w:pPr>
    <w:rPr>
      <w:rFonts w:ascii="Arial" w:hAnsi="Arial"/>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semiHidden/>
    <w:unhideWhenUsed/>
    <w:rsid w:val="005F4764"/>
    <w:pPr>
      <w:spacing w:after="0" w:line="240" w:lineRule="auto"/>
    </w:pPr>
    <w:rPr>
      <w:rFonts w:ascii="Arial" w:hAnsi="Arial"/>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semiHidden/>
    <w:unhideWhenUsed/>
    <w:rsid w:val="005F4764"/>
    <w:pPr>
      <w:spacing w:after="0" w:line="240" w:lineRule="auto"/>
    </w:pPr>
    <w:rPr>
      <w:rFonts w:ascii="Arial" w:eastAsiaTheme="majorEastAsia" w:hAnsi="Arial"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unhideWhenUsed/>
    <w:rsid w:val="005F4764"/>
    <w:pPr>
      <w:spacing w:after="0" w:line="240" w:lineRule="auto"/>
    </w:pPr>
    <w:rPr>
      <w:rFonts w:ascii="Arial" w:eastAsiaTheme="majorEastAsia" w:hAnsi="Arial"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unhideWhenUsed/>
    <w:rsid w:val="005F4764"/>
    <w:pPr>
      <w:spacing w:after="0" w:line="240" w:lineRule="auto"/>
    </w:pPr>
    <w:rPr>
      <w:rFonts w:ascii="Arial" w:eastAsiaTheme="majorEastAsia" w:hAnsi="Arial"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unhideWhenUsed/>
    <w:rsid w:val="005F4764"/>
    <w:pPr>
      <w:spacing w:after="0" w:line="240" w:lineRule="auto"/>
    </w:pPr>
    <w:rPr>
      <w:rFonts w:ascii="Arial" w:eastAsiaTheme="majorEastAsia" w:hAnsi="Arial"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unhideWhenUsed/>
    <w:rsid w:val="005F4764"/>
    <w:pPr>
      <w:spacing w:after="0" w:line="240" w:lineRule="auto"/>
    </w:pPr>
    <w:rPr>
      <w:rFonts w:ascii="Arial" w:eastAsiaTheme="majorEastAsia" w:hAnsi="Arial"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unhideWhenUsed/>
    <w:rsid w:val="005F4764"/>
    <w:pPr>
      <w:spacing w:after="0" w:line="240" w:lineRule="auto"/>
    </w:pPr>
    <w:rPr>
      <w:rFonts w:ascii="Arial" w:eastAsiaTheme="majorEastAsia" w:hAnsi="Arial"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unhideWhenUsed/>
    <w:rsid w:val="005F4764"/>
    <w:pPr>
      <w:spacing w:after="0" w:line="240" w:lineRule="auto"/>
    </w:pPr>
    <w:rPr>
      <w:rFonts w:ascii="Arial" w:eastAsiaTheme="majorEastAsia" w:hAnsi="Arial"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unhideWhenUsed/>
    <w:rsid w:val="005F4764"/>
    <w:pPr>
      <w:spacing w:after="0" w:line="240" w:lineRule="auto"/>
    </w:pPr>
    <w:rPr>
      <w:rFonts w:ascii="Arial" w:hAnsi="Arial"/>
    </w:r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unhideWhenUsed/>
    <w:rsid w:val="005F4764"/>
    <w:pPr>
      <w:spacing w:after="0" w:line="240" w:lineRule="auto"/>
    </w:pPr>
    <w:rPr>
      <w:rFonts w:ascii="Arial" w:hAnsi="Arial"/>
    </w:r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unhideWhenUsed/>
    <w:rsid w:val="005F4764"/>
    <w:pPr>
      <w:spacing w:after="0" w:line="240" w:lineRule="auto"/>
    </w:pPr>
    <w:rPr>
      <w:rFonts w:ascii="Arial" w:hAnsi="Arial"/>
    </w:r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unhideWhenUsed/>
    <w:rsid w:val="005F4764"/>
    <w:pPr>
      <w:spacing w:after="0" w:line="240" w:lineRule="auto"/>
    </w:pPr>
    <w:rPr>
      <w:rFonts w:ascii="Arial" w:hAnsi="Arial"/>
    </w:r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unhideWhenUsed/>
    <w:rsid w:val="005F4764"/>
    <w:pPr>
      <w:spacing w:after="0" w:line="240" w:lineRule="auto"/>
    </w:pPr>
    <w:rPr>
      <w:rFonts w:ascii="Arial" w:hAnsi="Arial"/>
    </w:r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unhideWhenUsed/>
    <w:rsid w:val="005F4764"/>
    <w:pPr>
      <w:spacing w:after="0" w:line="240" w:lineRule="auto"/>
    </w:pPr>
    <w:rPr>
      <w:rFonts w:ascii="Arial" w:hAnsi="Arial"/>
    </w:r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unhideWhenUsed/>
    <w:rsid w:val="005F4764"/>
    <w:pPr>
      <w:spacing w:after="0" w:line="240" w:lineRule="auto"/>
    </w:pPr>
    <w:rPr>
      <w:rFonts w:ascii="Arial" w:hAnsi="Arial"/>
    </w:r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unhideWhenUsed/>
    <w:rsid w:val="005F4764"/>
    <w:pPr>
      <w:spacing w:after="0" w:line="240" w:lineRule="auto"/>
    </w:pPr>
    <w:rPr>
      <w:rFonts w:ascii="Arial" w:hAnsi="Arial"/>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semiHidden/>
    <w:unhideWhenUsed/>
    <w:rsid w:val="005F4764"/>
    <w:pPr>
      <w:spacing w:after="0" w:line="240" w:lineRule="auto"/>
    </w:pPr>
    <w:rPr>
      <w:rFonts w:ascii="Arial" w:hAnsi="Arial"/>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semiHidden/>
    <w:unhideWhenUsed/>
    <w:rsid w:val="005F4764"/>
    <w:pPr>
      <w:spacing w:after="0" w:line="240" w:lineRule="auto"/>
    </w:pPr>
    <w:rPr>
      <w:rFonts w:ascii="Arial" w:hAnsi="Arial"/>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semiHidden/>
    <w:unhideWhenUsed/>
    <w:rsid w:val="005F4764"/>
    <w:pPr>
      <w:spacing w:after="0" w:line="240" w:lineRule="auto"/>
    </w:pPr>
    <w:rPr>
      <w:rFonts w:ascii="Arial" w:hAnsi="Arial"/>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semiHidden/>
    <w:unhideWhenUsed/>
    <w:rsid w:val="005F4764"/>
    <w:pPr>
      <w:spacing w:after="0" w:line="240" w:lineRule="auto"/>
    </w:pPr>
    <w:rPr>
      <w:rFonts w:ascii="Arial" w:hAnsi="Arial"/>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semiHidden/>
    <w:unhideWhenUsed/>
    <w:rsid w:val="005F4764"/>
    <w:pPr>
      <w:spacing w:after="0" w:line="240" w:lineRule="auto"/>
    </w:pPr>
    <w:rPr>
      <w:rFonts w:ascii="Arial" w:hAnsi="Arial"/>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styleId="MessageHeader">
    <w:name w:val="Message Header"/>
    <w:basedOn w:val="Normal"/>
    <w:link w:val="MessageHeaderChar"/>
    <w:uiPriority w:val="99"/>
    <w:semiHidden/>
    <w:unhideWhenUsed/>
    <w:rsid w:val="005F4764"/>
    <w:pPr>
      <w:pBdr>
        <w:top w:val="single" w:sz="6" w:space="1" w:color="auto"/>
        <w:left w:val="single" w:sz="6" w:space="1" w:color="auto"/>
        <w:bottom w:val="single" w:sz="6" w:space="1" w:color="auto"/>
        <w:right w:val="single" w:sz="6" w:space="1" w:color="auto"/>
      </w:pBdr>
      <w:shd w:val="pct20" w:color="auto" w:fill="auto"/>
      <w:spacing w:after="0"/>
      <w:ind w:left="1134" w:hanging="1134"/>
    </w:pPr>
    <w:rPr>
      <w:rFonts w:eastAsiaTheme="majorEastAsia" w:cstheme="majorBidi"/>
      <w:sz w:val="24"/>
    </w:rPr>
  </w:style>
  <w:style w:type="character" w:customStyle="1" w:styleId="MessageHeaderChar">
    <w:name w:val="Message Header Char"/>
    <w:basedOn w:val="DefaultParagraphFont"/>
    <w:link w:val="MessageHeader"/>
    <w:uiPriority w:val="99"/>
    <w:semiHidden/>
    <w:rsid w:val="005F4764"/>
    <w:rPr>
      <w:rFonts w:ascii="Arial" w:eastAsiaTheme="majorEastAsia" w:hAnsi="Arial" w:cstheme="majorBidi"/>
      <w:sz w:val="24"/>
      <w:szCs w:val="24"/>
      <w:shd w:val="pct20" w:color="auto" w:fill="auto"/>
      <w:lang w:eastAsia="en-AU"/>
    </w:rPr>
  </w:style>
  <w:style w:type="paragraph" w:styleId="NormalWeb">
    <w:name w:val="Normal (Web)"/>
    <w:basedOn w:val="Normal"/>
    <w:uiPriority w:val="99"/>
    <w:semiHidden/>
    <w:unhideWhenUsed/>
    <w:rsid w:val="005F4764"/>
    <w:rPr>
      <w:sz w:val="24"/>
    </w:rPr>
  </w:style>
  <w:style w:type="table" w:styleId="PlainTable1">
    <w:name w:val="Plain Table 1"/>
    <w:basedOn w:val="TableNormal"/>
    <w:uiPriority w:val="41"/>
    <w:rsid w:val="005F4764"/>
    <w:pPr>
      <w:spacing w:after="0" w:line="240" w:lineRule="auto"/>
    </w:pPr>
    <w:rPr>
      <w:rFonts w:ascii="Arial" w:hAnsi="Arial"/>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uiPriority w:val="42"/>
    <w:rsid w:val="005F4764"/>
    <w:pPr>
      <w:spacing w:after="0" w:line="240" w:lineRule="auto"/>
    </w:pPr>
    <w:rPr>
      <w:rFonts w:ascii="Arial" w:hAnsi="Arial"/>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43"/>
    <w:rsid w:val="005F4764"/>
    <w:pPr>
      <w:spacing w:after="0" w:line="240" w:lineRule="auto"/>
    </w:pPr>
    <w:rPr>
      <w:rFonts w:ascii="Arial" w:hAnsi="Arial"/>
    </w:r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44"/>
    <w:rsid w:val="005F4764"/>
    <w:pPr>
      <w:spacing w:after="0" w:line="240" w:lineRule="auto"/>
    </w:pPr>
    <w:rPr>
      <w:rFonts w:ascii="Arial" w:hAnsi="Arial"/>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uiPriority w:val="45"/>
    <w:rsid w:val="005F4764"/>
    <w:pPr>
      <w:spacing w:after="0" w:line="240" w:lineRule="auto"/>
    </w:pPr>
    <w:rPr>
      <w:rFonts w:ascii="Arial" w:hAnsi="Arial"/>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PlainText">
    <w:name w:val="Plain Text"/>
    <w:basedOn w:val="Normal"/>
    <w:link w:val="PlainTextChar"/>
    <w:uiPriority w:val="99"/>
    <w:semiHidden/>
    <w:unhideWhenUsed/>
    <w:rsid w:val="005F4764"/>
    <w:pPr>
      <w:spacing w:after="0"/>
    </w:pPr>
    <w:rPr>
      <w:sz w:val="21"/>
      <w:szCs w:val="21"/>
    </w:rPr>
  </w:style>
  <w:style w:type="character" w:customStyle="1" w:styleId="PlainTextChar">
    <w:name w:val="Plain Text Char"/>
    <w:basedOn w:val="DefaultParagraphFont"/>
    <w:link w:val="PlainText"/>
    <w:uiPriority w:val="99"/>
    <w:semiHidden/>
    <w:rsid w:val="005F4764"/>
    <w:rPr>
      <w:rFonts w:ascii="Arial" w:hAnsi="Arial"/>
      <w:sz w:val="21"/>
      <w:szCs w:val="21"/>
      <w:lang w:eastAsia="en-AU"/>
    </w:rPr>
  </w:style>
  <w:style w:type="table" w:styleId="Table3Deffects1">
    <w:name w:val="Table 3D effects 1"/>
    <w:basedOn w:val="TableNormal"/>
    <w:uiPriority w:val="99"/>
    <w:semiHidden/>
    <w:unhideWhenUsed/>
    <w:rsid w:val="005F4764"/>
    <w:pPr>
      <w:spacing w:after="240" w:line="240" w:lineRule="auto"/>
      <w:jc w:val="both"/>
    </w:pPr>
    <w:rPr>
      <w:rFonts w:ascii="Arial" w:hAnsi="Arial"/>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unhideWhenUsed/>
    <w:rsid w:val="005F4764"/>
    <w:pPr>
      <w:spacing w:after="240" w:line="240" w:lineRule="auto"/>
      <w:jc w:val="both"/>
    </w:pPr>
    <w:rPr>
      <w:rFonts w:ascii="Arial" w:hAnsi="Arial"/>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unhideWhenUsed/>
    <w:rsid w:val="005F4764"/>
    <w:pPr>
      <w:spacing w:after="240" w:line="240" w:lineRule="auto"/>
      <w:jc w:val="both"/>
    </w:pPr>
    <w:rPr>
      <w:rFonts w:ascii="Arial" w:hAnsi="Arial"/>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semiHidden/>
    <w:unhideWhenUsed/>
    <w:rsid w:val="005F4764"/>
    <w:pPr>
      <w:spacing w:after="240" w:line="240" w:lineRule="auto"/>
      <w:jc w:val="both"/>
    </w:pPr>
    <w:rPr>
      <w:rFonts w:ascii="Arial" w:hAnsi="Arial"/>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unhideWhenUsed/>
    <w:rsid w:val="005F4764"/>
    <w:pPr>
      <w:spacing w:after="240" w:line="240" w:lineRule="auto"/>
      <w:jc w:val="both"/>
    </w:pPr>
    <w:rPr>
      <w:rFonts w:ascii="Arial" w:hAnsi="Arial"/>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unhideWhenUsed/>
    <w:rsid w:val="005F4764"/>
    <w:pPr>
      <w:spacing w:after="240" w:line="240" w:lineRule="auto"/>
      <w:jc w:val="both"/>
    </w:pPr>
    <w:rPr>
      <w:rFonts w:ascii="Arial" w:hAnsi="Arial"/>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unhideWhenUsed/>
    <w:rsid w:val="005F4764"/>
    <w:pPr>
      <w:spacing w:after="240" w:line="240" w:lineRule="auto"/>
      <w:jc w:val="both"/>
    </w:pPr>
    <w:rPr>
      <w:rFonts w:ascii="Arial" w:hAnsi="Arial"/>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semiHidden/>
    <w:unhideWhenUsed/>
    <w:rsid w:val="005F4764"/>
    <w:pPr>
      <w:spacing w:after="240" w:line="240" w:lineRule="auto"/>
      <w:jc w:val="both"/>
    </w:pPr>
    <w:rPr>
      <w:rFonts w:ascii="Arial" w:hAnsi="Arial"/>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unhideWhenUsed/>
    <w:rsid w:val="005F4764"/>
    <w:pPr>
      <w:spacing w:after="240" w:line="240" w:lineRule="auto"/>
      <w:jc w:val="both"/>
    </w:pPr>
    <w:rPr>
      <w:rFonts w:ascii="Arial" w:hAnsi="Arial"/>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unhideWhenUsed/>
    <w:rsid w:val="005F4764"/>
    <w:pPr>
      <w:spacing w:after="240" w:line="240" w:lineRule="auto"/>
      <w:jc w:val="both"/>
    </w:pPr>
    <w:rPr>
      <w:rFonts w:ascii="Arial" w:hAnsi="Arial"/>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unhideWhenUsed/>
    <w:rsid w:val="005F4764"/>
    <w:pPr>
      <w:spacing w:after="240" w:line="240" w:lineRule="auto"/>
      <w:jc w:val="both"/>
    </w:pPr>
    <w:rPr>
      <w:rFonts w:ascii="Arial" w:hAnsi="Arial"/>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unhideWhenUsed/>
    <w:rsid w:val="005F4764"/>
    <w:pPr>
      <w:spacing w:after="240" w:line="240" w:lineRule="auto"/>
      <w:jc w:val="both"/>
    </w:pPr>
    <w:rPr>
      <w:rFonts w:ascii="Arial" w:hAnsi="Arial"/>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unhideWhenUsed/>
    <w:rsid w:val="005F4764"/>
    <w:pPr>
      <w:spacing w:after="240" w:line="240" w:lineRule="auto"/>
      <w:jc w:val="both"/>
    </w:pPr>
    <w:rPr>
      <w:rFonts w:ascii="Arial" w:hAnsi="Arial"/>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unhideWhenUsed/>
    <w:rsid w:val="005F4764"/>
    <w:pPr>
      <w:spacing w:after="240" w:line="240" w:lineRule="auto"/>
      <w:jc w:val="both"/>
    </w:pPr>
    <w:rPr>
      <w:rFonts w:ascii="Arial" w:hAnsi="Arial"/>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5F4764"/>
    <w:pPr>
      <w:spacing w:after="240" w:line="240" w:lineRule="auto"/>
      <w:jc w:val="both"/>
    </w:pPr>
    <w:rPr>
      <w:rFonts w:ascii="Arial" w:hAnsi="Arial"/>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rsid w:val="005F4764"/>
    <w:pPr>
      <w:spacing w:after="240" w:line="240" w:lineRule="auto"/>
      <w:jc w:val="both"/>
    </w:pPr>
    <w:rPr>
      <w:rFonts w:ascii="Arial" w:hAnsi="Arial"/>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unhideWhenUsed/>
    <w:rsid w:val="005F4764"/>
    <w:pPr>
      <w:spacing w:after="240" w:line="240" w:lineRule="auto"/>
      <w:jc w:val="both"/>
    </w:pPr>
    <w:rPr>
      <w:rFonts w:ascii="Arial" w:hAnsi="Arial"/>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uiPriority w:val="99"/>
    <w:semiHidden/>
    <w:unhideWhenUsed/>
    <w:rsid w:val="005F4764"/>
    <w:pPr>
      <w:spacing w:after="240" w:line="240" w:lineRule="auto"/>
      <w:jc w:val="both"/>
    </w:pPr>
    <w:rPr>
      <w:rFonts w:ascii="Arial" w:hAnsi="Arial"/>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semiHidden/>
    <w:unhideWhenUsed/>
    <w:rsid w:val="005F4764"/>
    <w:pPr>
      <w:spacing w:after="240" w:line="240" w:lineRule="auto"/>
      <w:jc w:val="both"/>
    </w:pPr>
    <w:rPr>
      <w:rFonts w:ascii="Arial" w:hAnsi="Arial"/>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unhideWhenUsed/>
    <w:rsid w:val="005F4764"/>
    <w:pPr>
      <w:spacing w:after="240" w:line="240" w:lineRule="auto"/>
      <w:jc w:val="both"/>
    </w:pPr>
    <w:rPr>
      <w:rFonts w:ascii="Arial" w:hAnsi="Arial"/>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unhideWhenUsed/>
    <w:rsid w:val="005F4764"/>
    <w:pPr>
      <w:spacing w:after="240" w:line="240" w:lineRule="auto"/>
      <w:jc w:val="both"/>
    </w:pPr>
    <w:rPr>
      <w:rFonts w:ascii="Arial" w:hAnsi="Arial"/>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unhideWhenUsed/>
    <w:rsid w:val="005F4764"/>
    <w:pPr>
      <w:spacing w:after="240" w:line="240" w:lineRule="auto"/>
      <w:jc w:val="both"/>
    </w:pPr>
    <w:rPr>
      <w:rFonts w:ascii="Arial" w:hAnsi="Arial"/>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unhideWhenUsed/>
    <w:rsid w:val="005F4764"/>
    <w:pPr>
      <w:spacing w:after="240" w:line="240" w:lineRule="auto"/>
      <w:jc w:val="both"/>
    </w:pPr>
    <w:rPr>
      <w:rFonts w:ascii="Arial" w:hAnsi="Arial"/>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unhideWhenUsed/>
    <w:rsid w:val="005F4764"/>
    <w:pPr>
      <w:spacing w:after="240" w:line="240" w:lineRule="auto"/>
      <w:jc w:val="both"/>
    </w:pPr>
    <w:rPr>
      <w:rFonts w:ascii="Arial" w:hAnsi="Arial"/>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unhideWhenUsed/>
    <w:rsid w:val="005F4764"/>
    <w:pPr>
      <w:spacing w:after="240" w:line="240" w:lineRule="auto"/>
      <w:jc w:val="both"/>
    </w:pPr>
    <w:rPr>
      <w:rFonts w:ascii="Arial" w:hAnsi="Arial"/>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GridLight">
    <w:name w:val="Grid Table Light"/>
    <w:basedOn w:val="TableNormal"/>
    <w:uiPriority w:val="40"/>
    <w:rsid w:val="005F4764"/>
    <w:pPr>
      <w:spacing w:after="0" w:line="240" w:lineRule="auto"/>
    </w:pPr>
    <w:rPr>
      <w:rFonts w:ascii="Arial" w:hAnsi="Arial"/>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List1">
    <w:name w:val="Table List 1"/>
    <w:basedOn w:val="TableNormal"/>
    <w:uiPriority w:val="99"/>
    <w:semiHidden/>
    <w:unhideWhenUsed/>
    <w:rsid w:val="005F4764"/>
    <w:pPr>
      <w:spacing w:after="240" w:line="240" w:lineRule="auto"/>
      <w:jc w:val="both"/>
    </w:pPr>
    <w:rPr>
      <w:rFonts w:ascii="Arial" w:hAnsi="Arial"/>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semiHidden/>
    <w:unhideWhenUsed/>
    <w:rsid w:val="005F4764"/>
    <w:pPr>
      <w:spacing w:after="240" w:line="240" w:lineRule="auto"/>
      <w:jc w:val="both"/>
    </w:pPr>
    <w:rPr>
      <w:rFonts w:ascii="Arial" w:hAnsi="Arial"/>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unhideWhenUsed/>
    <w:rsid w:val="005F4764"/>
    <w:pPr>
      <w:spacing w:after="240" w:line="240" w:lineRule="auto"/>
      <w:jc w:val="both"/>
    </w:pPr>
    <w:rPr>
      <w:rFonts w:ascii="Arial" w:hAnsi="Arial"/>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unhideWhenUsed/>
    <w:rsid w:val="005F4764"/>
    <w:pPr>
      <w:spacing w:after="240" w:line="240" w:lineRule="auto"/>
      <w:jc w:val="both"/>
    </w:pPr>
    <w:rPr>
      <w:rFonts w:ascii="Arial" w:hAnsi="Arial"/>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unhideWhenUsed/>
    <w:rsid w:val="005F4764"/>
    <w:pPr>
      <w:spacing w:after="240" w:line="240" w:lineRule="auto"/>
      <w:jc w:val="both"/>
    </w:pPr>
    <w:rPr>
      <w:rFonts w:ascii="Arial" w:hAnsi="Arial"/>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unhideWhenUsed/>
    <w:rsid w:val="005F4764"/>
    <w:pPr>
      <w:spacing w:after="240" w:line="240" w:lineRule="auto"/>
      <w:jc w:val="both"/>
    </w:pPr>
    <w:rPr>
      <w:rFonts w:ascii="Arial" w:hAnsi="Arial"/>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unhideWhenUsed/>
    <w:rsid w:val="005F4764"/>
    <w:pPr>
      <w:spacing w:after="240" w:line="240" w:lineRule="auto"/>
      <w:jc w:val="both"/>
    </w:pPr>
    <w:rPr>
      <w:rFonts w:ascii="Arial" w:hAnsi="Arial"/>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unhideWhenUsed/>
    <w:rsid w:val="005F4764"/>
    <w:pPr>
      <w:spacing w:after="240" w:line="240" w:lineRule="auto"/>
      <w:jc w:val="both"/>
    </w:pPr>
    <w:rPr>
      <w:rFonts w:ascii="Arial" w:hAnsi="Arial"/>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uiPriority w:val="99"/>
    <w:semiHidden/>
    <w:unhideWhenUsed/>
    <w:rsid w:val="005F4764"/>
    <w:pPr>
      <w:spacing w:after="240" w:line="240" w:lineRule="auto"/>
      <w:jc w:val="both"/>
    </w:pPr>
    <w:rPr>
      <w:rFonts w:ascii="Arial" w:hAnsi="Arial"/>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unhideWhenUsed/>
    <w:rsid w:val="005F4764"/>
    <w:pPr>
      <w:spacing w:after="240" w:line="240" w:lineRule="auto"/>
      <w:jc w:val="both"/>
    </w:pPr>
    <w:rPr>
      <w:rFonts w:ascii="Arial" w:hAnsi="Arial"/>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unhideWhenUsed/>
    <w:rsid w:val="005F4764"/>
    <w:pPr>
      <w:spacing w:after="240" w:line="240" w:lineRule="auto"/>
      <w:jc w:val="both"/>
    </w:pPr>
    <w:rPr>
      <w:rFonts w:ascii="Arial" w:hAnsi="Arial"/>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unhideWhenUsed/>
    <w:rsid w:val="005F4764"/>
    <w:pPr>
      <w:spacing w:after="240" w:line="240" w:lineRule="auto"/>
      <w:jc w:val="both"/>
    </w:pPr>
    <w:rPr>
      <w:rFonts w:ascii="Arial" w:hAnsi="Arial"/>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unhideWhenUsed/>
    <w:rsid w:val="005F4764"/>
    <w:pPr>
      <w:spacing w:after="240" w:line="240" w:lineRule="auto"/>
      <w:jc w:val="both"/>
    </w:pPr>
    <w:rPr>
      <w:rFonts w:ascii="Arial" w:hAnsi="Arial"/>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unhideWhenUsed/>
    <w:rsid w:val="005F4764"/>
    <w:pPr>
      <w:spacing w:after="240" w:line="240" w:lineRule="auto"/>
      <w:jc w:val="both"/>
    </w:pPr>
    <w:rPr>
      <w:rFonts w:ascii="Arial" w:hAnsi="Arial"/>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semiHidden/>
    <w:unhideWhenUsed/>
    <w:rsid w:val="005F4764"/>
    <w:pPr>
      <w:spacing w:after="240" w:line="240" w:lineRule="auto"/>
      <w:jc w:val="both"/>
    </w:pPr>
    <w:rPr>
      <w:rFonts w:ascii="Arial" w:hAnsi="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semiHidden/>
    <w:unhideWhenUsed/>
    <w:rsid w:val="005F4764"/>
    <w:pPr>
      <w:spacing w:after="240" w:line="240" w:lineRule="auto"/>
      <w:jc w:val="both"/>
    </w:pPr>
    <w:rPr>
      <w:rFonts w:ascii="Arial" w:hAnsi="Arial"/>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unhideWhenUsed/>
    <w:rsid w:val="005F4764"/>
    <w:pPr>
      <w:spacing w:after="240" w:line="240" w:lineRule="auto"/>
      <w:jc w:val="both"/>
    </w:pPr>
    <w:rPr>
      <w:rFonts w:ascii="Arial" w:hAnsi="Arial"/>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semiHidden/>
    <w:unhideWhenUsed/>
    <w:rsid w:val="005F4764"/>
    <w:pPr>
      <w:spacing w:after="240" w:line="240" w:lineRule="auto"/>
      <w:jc w:val="both"/>
    </w:pPr>
    <w:rPr>
      <w:rFonts w:ascii="Arial" w:hAnsi="Arial"/>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BULLET1">
    <w:name w:val="BULLET 1"/>
    <w:basedOn w:val="Normal"/>
    <w:link w:val="BULLET1Char0"/>
    <w:qFormat/>
    <w:rsid w:val="0036442A"/>
    <w:pPr>
      <w:numPr>
        <w:numId w:val="13"/>
      </w:numPr>
      <w:ind w:left="425" w:hanging="425"/>
    </w:pPr>
    <w:rPr>
      <w:rFonts w:eastAsiaTheme="minorEastAsia" w:cstheme="minorBidi"/>
      <w:szCs w:val="22"/>
    </w:rPr>
  </w:style>
  <w:style w:type="character" w:customStyle="1" w:styleId="BULLET1Char0">
    <w:name w:val="BULLET 1 Char"/>
    <w:basedOn w:val="DefaultParagraphFont"/>
    <w:link w:val="BULLET1"/>
    <w:rsid w:val="0036442A"/>
    <w:rPr>
      <w:rFonts w:ascii="Arial" w:eastAsiaTheme="minorEastAsia" w:hAnsi="Arial" w:cstheme="minorBidi"/>
      <w:lang w:eastAsia="en-AU"/>
    </w:rPr>
  </w:style>
  <w:style w:type="paragraph" w:customStyle="1" w:styleId="BULLET2">
    <w:name w:val="BULLET 2"/>
    <w:basedOn w:val="BULLET1"/>
    <w:link w:val="BULLET2Char0"/>
    <w:qFormat/>
    <w:rsid w:val="00FE57E9"/>
    <w:pPr>
      <w:numPr>
        <w:numId w:val="14"/>
      </w:numPr>
      <w:ind w:left="850" w:hanging="425"/>
    </w:pPr>
  </w:style>
  <w:style w:type="character" w:customStyle="1" w:styleId="BULLET2Char0">
    <w:name w:val="BULLET 2 Char"/>
    <w:basedOn w:val="DefaultParagraphFont"/>
    <w:link w:val="BULLET2"/>
    <w:rsid w:val="00FE57E9"/>
    <w:rPr>
      <w:rFonts w:ascii="Arial" w:eastAsiaTheme="minorEastAsia" w:hAnsi="Arial" w:cstheme="minorBidi"/>
      <w:lang w:eastAsia="en-AU"/>
    </w:rPr>
  </w:style>
  <w:style w:type="paragraph" w:customStyle="1" w:styleId="BULLET3">
    <w:name w:val="BULLET 3"/>
    <w:basedOn w:val="BULLET1"/>
    <w:link w:val="BULLET3Char0"/>
    <w:qFormat/>
    <w:rsid w:val="00B95BAF"/>
    <w:pPr>
      <w:numPr>
        <w:numId w:val="15"/>
      </w:numPr>
      <w:ind w:left="1276" w:hanging="425"/>
    </w:pPr>
  </w:style>
  <w:style w:type="character" w:customStyle="1" w:styleId="BULLET3Char0">
    <w:name w:val="BULLET 3 Char"/>
    <w:basedOn w:val="BULLET1Char0"/>
    <w:link w:val="BULLET3"/>
    <w:rsid w:val="00B95BAF"/>
    <w:rPr>
      <w:rFonts w:ascii="Arial" w:eastAsiaTheme="minorEastAsia" w:hAnsi="Arial" w:cstheme="minorBidi"/>
      <w:lang w:eastAsia="en-AU"/>
    </w:rPr>
  </w:style>
  <w:style w:type="paragraph" w:customStyle="1" w:styleId="Footnotes">
    <w:name w:val="Footnotes"/>
    <w:basedOn w:val="FootnoteText"/>
    <w:link w:val="FootnotesChar"/>
    <w:qFormat/>
    <w:rsid w:val="00C333E7"/>
    <w:pPr>
      <w:tabs>
        <w:tab w:val="left" w:pos="425"/>
      </w:tabs>
      <w:spacing w:after="120"/>
    </w:pPr>
    <w:rPr>
      <w:rFonts w:eastAsiaTheme="minorEastAsia" w:cstheme="minorBidi"/>
      <w:szCs w:val="20"/>
    </w:rPr>
  </w:style>
  <w:style w:type="character" w:customStyle="1" w:styleId="FootnotesChar">
    <w:name w:val="Footnotes Char"/>
    <w:basedOn w:val="FootnoteTextChar"/>
    <w:link w:val="Footnotes"/>
    <w:rsid w:val="00C333E7"/>
    <w:rPr>
      <w:rFonts w:ascii="Arial" w:eastAsiaTheme="minorEastAsia" w:hAnsi="Arial" w:cstheme="minorBidi"/>
      <w:sz w:val="18"/>
      <w:szCs w:val="20"/>
      <w:lang w:eastAsia="en-AU"/>
    </w:rPr>
  </w:style>
  <w:style w:type="character" w:styleId="BookTitle">
    <w:name w:val="Book Title"/>
    <w:basedOn w:val="DefaultParagraphFont"/>
    <w:uiPriority w:val="33"/>
    <w:rsid w:val="00FE57E9"/>
    <w:rPr>
      <w:b/>
      <w:bCs/>
      <w:i/>
      <w:iCs/>
      <w:spacing w:val="5"/>
    </w:rPr>
  </w:style>
  <w:style w:type="paragraph" w:customStyle="1" w:styleId="LetterHeadingCAPS">
    <w:name w:val="Letter Heading CAPS"/>
    <w:basedOn w:val="Normal"/>
    <w:link w:val="LetterHeadingCAPSChar"/>
    <w:rsid w:val="006A152E"/>
    <w:rPr>
      <w:b/>
      <w:lang w:val="en-US"/>
    </w:rPr>
  </w:style>
  <w:style w:type="paragraph" w:customStyle="1" w:styleId="LetterCAPS">
    <w:name w:val="Letter CAPS"/>
    <w:basedOn w:val="LetterHeadingCAPS"/>
    <w:link w:val="LetterCAPSChar"/>
    <w:rsid w:val="006A152E"/>
  </w:style>
  <w:style w:type="character" w:customStyle="1" w:styleId="LetterHeadingCAPSChar">
    <w:name w:val="Letter Heading CAPS Char"/>
    <w:basedOn w:val="DefaultParagraphFont"/>
    <w:link w:val="LetterHeadingCAPS"/>
    <w:rsid w:val="006A152E"/>
    <w:rPr>
      <w:rFonts w:ascii="Arial" w:hAnsi="Arial"/>
      <w:b/>
      <w:szCs w:val="24"/>
      <w:lang w:val="en-US" w:eastAsia="en-AU"/>
    </w:rPr>
  </w:style>
  <w:style w:type="paragraph" w:customStyle="1" w:styleId="LetterTitleCAPS">
    <w:name w:val="Letter Title CAPS"/>
    <w:basedOn w:val="Title"/>
    <w:link w:val="LetterTitleCAPSChar"/>
    <w:autoRedefine/>
    <w:rsid w:val="00325932"/>
    <w:rPr>
      <w:sz w:val="22"/>
      <w:szCs w:val="22"/>
    </w:rPr>
  </w:style>
  <w:style w:type="character" w:customStyle="1" w:styleId="LetterCAPSChar">
    <w:name w:val="Letter CAPS Char"/>
    <w:basedOn w:val="LetterHeadingCAPSChar"/>
    <w:link w:val="LetterCAPS"/>
    <w:rsid w:val="006A152E"/>
    <w:rPr>
      <w:rFonts w:ascii="Arial" w:hAnsi="Arial"/>
      <w:b/>
      <w:szCs w:val="24"/>
      <w:lang w:val="en-US" w:eastAsia="en-AU"/>
    </w:rPr>
  </w:style>
  <w:style w:type="character" w:customStyle="1" w:styleId="LetterTitleCAPSChar">
    <w:name w:val="Letter Title CAPS Char"/>
    <w:basedOn w:val="TitleChar"/>
    <w:link w:val="LetterTitleCAPS"/>
    <w:rsid w:val="00325932"/>
    <w:rPr>
      <w:rFonts w:ascii="Arial" w:eastAsiaTheme="majorEastAsia" w:hAnsi="Arial" w:cstheme="majorBidi"/>
      <w:b/>
      <w:caps/>
      <w:spacing w:val="5"/>
      <w:kern w:val="28"/>
      <w:sz w:val="40"/>
      <w:szCs w:val="52"/>
      <w:lang w:eastAsia="en-AU"/>
    </w:rPr>
  </w:style>
  <w:style w:type="paragraph" w:customStyle="1" w:styleId="LetterCAPSTitle">
    <w:name w:val="Letter CAPS Title"/>
    <w:basedOn w:val="Normal"/>
    <w:link w:val="LetterCAPSTitleChar"/>
    <w:qFormat/>
    <w:rsid w:val="00325932"/>
    <w:rPr>
      <w:b/>
      <w:caps/>
      <w:szCs w:val="22"/>
    </w:rPr>
  </w:style>
  <w:style w:type="character" w:customStyle="1" w:styleId="LetterCAPSTitleChar">
    <w:name w:val="Letter CAPS Title Char"/>
    <w:basedOn w:val="DefaultParagraphFont"/>
    <w:link w:val="LetterCAPSTitle"/>
    <w:rsid w:val="00325932"/>
    <w:rPr>
      <w:rFonts w:ascii="Arial" w:hAnsi="Arial"/>
      <w:b/>
      <w:caps/>
      <w:lang w:eastAsia="en-AU"/>
    </w:rPr>
  </w:style>
  <w:style w:type="paragraph" w:customStyle="1" w:styleId="SecurityClassification">
    <w:name w:val="Security Classification"/>
    <w:basedOn w:val="Normal"/>
    <w:link w:val="SecurityClassificationChar"/>
    <w:rsid w:val="002B0A7E"/>
    <w:pPr>
      <w:spacing w:before="600" w:after="120"/>
      <w:jc w:val="center"/>
    </w:pPr>
    <w:rPr>
      <w:rFonts w:cs="Arial"/>
      <w:b/>
      <w:color w:val="FF0000"/>
      <w:sz w:val="24"/>
    </w:rPr>
  </w:style>
  <w:style w:type="character" w:customStyle="1" w:styleId="SecurityClassificationChar">
    <w:name w:val="Security Classification Char"/>
    <w:basedOn w:val="DefaultParagraphFont"/>
    <w:link w:val="SecurityClassification"/>
    <w:rsid w:val="002B0A7E"/>
    <w:rPr>
      <w:rFonts w:ascii="Arial" w:hAnsi="Arial" w:cs="Arial"/>
      <w:b/>
      <w:color w:val="FF0000"/>
      <w:sz w:val="24"/>
      <w:szCs w:val="24"/>
      <w:lang w:eastAsia="en-AU"/>
    </w:rPr>
  </w:style>
  <w:style w:type="character" w:styleId="CommentReference">
    <w:name w:val="annotation reference"/>
    <w:basedOn w:val="DefaultParagraphFont"/>
    <w:uiPriority w:val="99"/>
    <w:semiHidden/>
    <w:unhideWhenUsed/>
    <w:rsid w:val="0036442A"/>
    <w:rPr>
      <w:sz w:val="16"/>
      <w:szCs w:val="16"/>
    </w:rPr>
  </w:style>
  <w:style w:type="paragraph" w:styleId="CommentText">
    <w:name w:val="annotation text"/>
    <w:basedOn w:val="Normal"/>
    <w:link w:val="CommentTextChar"/>
    <w:unhideWhenUsed/>
    <w:rsid w:val="0036442A"/>
    <w:rPr>
      <w:sz w:val="20"/>
      <w:szCs w:val="20"/>
    </w:rPr>
  </w:style>
  <w:style w:type="character" w:customStyle="1" w:styleId="CommentTextChar">
    <w:name w:val="Comment Text Char"/>
    <w:basedOn w:val="DefaultParagraphFont"/>
    <w:link w:val="CommentText"/>
    <w:rsid w:val="0036442A"/>
    <w:rPr>
      <w:rFonts w:ascii="Arial" w:hAnsi="Arial"/>
      <w:sz w:val="20"/>
      <w:szCs w:val="20"/>
      <w:lang w:eastAsia="en-AU"/>
    </w:rPr>
  </w:style>
  <w:style w:type="paragraph" w:customStyle="1" w:styleId="heading">
    <w:name w:val="heading"/>
    <w:basedOn w:val="Normal"/>
    <w:rsid w:val="00605C21"/>
    <w:pPr>
      <w:spacing w:before="100" w:beforeAutospacing="1" w:after="100" w:afterAutospacing="1"/>
      <w:jc w:val="left"/>
    </w:pPr>
    <w:rPr>
      <w:rFonts w:ascii="Times New Roman" w:hAnsi="Times New Roman"/>
      <w:sz w:val="24"/>
    </w:rPr>
  </w:style>
  <w:style w:type="paragraph" w:customStyle="1" w:styleId="heading0">
    <w:name w:val="heading0"/>
    <w:basedOn w:val="Normal"/>
    <w:rsid w:val="00605C21"/>
    <w:pPr>
      <w:spacing w:before="100" w:beforeAutospacing="1" w:after="100" w:afterAutospacing="1"/>
      <w:jc w:val="left"/>
    </w:pPr>
    <w:rPr>
      <w:rFonts w:ascii="Times New Roman" w:hAnsi="Times New Roman"/>
      <w:sz w:val="24"/>
    </w:rPr>
  </w:style>
  <w:style w:type="paragraph" w:customStyle="1" w:styleId="Headinga">
    <w:name w:val="Heading"/>
    <w:basedOn w:val="Normal"/>
    <w:rsid w:val="00B33928"/>
    <w:pPr>
      <w:keepNext/>
      <w:spacing w:before="240" w:after="60"/>
      <w:outlineLvl w:val="0"/>
    </w:pPr>
    <w:rPr>
      <w:rFonts w:cs="Arial"/>
      <w:b/>
      <w:kern w:val="32"/>
      <w:sz w:val="26"/>
      <w:szCs w:val="32"/>
    </w:rPr>
  </w:style>
  <w:style w:type="paragraph" w:customStyle="1" w:styleId="TableTextform">
    <w:name w:val="TableText form"/>
    <w:basedOn w:val="Normal"/>
    <w:qFormat/>
    <w:rsid w:val="004F3D22"/>
    <w:pPr>
      <w:spacing w:before="40"/>
      <w:jc w:val="left"/>
    </w:pPr>
    <w:rPr>
      <w:rFonts w:eastAsiaTheme="majorEastAsia" w:cs="Arial"/>
      <w:bCs/>
      <w:sz w:val="20"/>
      <w:szCs w:val="20"/>
      <w:lang w:eastAsia="en-US"/>
    </w:rPr>
  </w:style>
  <w:style w:type="paragraph" w:styleId="CommentSubject">
    <w:name w:val="annotation subject"/>
    <w:basedOn w:val="CommentText"/>
    <w:next w:val="CommentText"/>
    <w:link w:val="CommentSubjectChar"/>
    <w:uiPriority w:val="99"/>
    <w:semiHidden/>
    <w:unhideWhenUsed/>
    <w:rsid w:val="00527542"/>
    <w:rPr>
      <w:b/>
      <w:bCs/>
    </w:rPr>
  </w:style>
  <w:style w:type="character" w:customStyle="1" w:styleId="CommentSubjectChar">
    <w:name w:val="Comment Subject Char"/>
    <w:basedOn w:val="CommentTextChar"/>
    <w:link w:val="CommentSubject"/>
    <w:uiPriority w:val="99"/>
    <w:semiHidden/>
    <w:rsid w:val="00527542"/>
    <w:rPr>
      <w:rFonts w:ascii="Arial" w:hAnsi="Arial"/>
      <w:b/>
      <w:bCs/>
      <w:sz w:val="20"/>
      <w:szCs w:val="20"/>
      <w:lang w:eastAsia="en-AU"/>
    </w:rPr>
  </w:style>
  <w:style w:type="character" w:customStyle="1" w:styleId="ListParagraphChar">
    <w:name w:val="List Paragraph Char"/>
    <w:basedOn w:val="DefaultParagraphFont"/>
    <w:link w:val="ListParagraph"/>
    <w:uiPriority w:val="34"/>
    <w:rsid w:val="009D4911"/>
    <w:rPr>
      <w:rFonts w:ascii="Arial" w:hAnsi="Arial"/>
      <w:szCs w:val="24"/>
      <w:lang w:eastAsia="en-AU"/>
    </w:rPr>
  </w:style>
  <w:style w:type="character" w:customStyle="1" w:styleId="APRANORMALChar">
    <w:name w:val="APRA NORMAL Char"/>
    <w:basedOn w:val="DefaultParagraphFont"/>
    <w:link w:val="APRANORMAL"/>
    <w:locked/>
    <w:rsid w:val="00594DB4"/>
    <w:rPr>
      <w:rFonts w:ascii="DIN OT Light" w:hAnsi="DIN OT Light"/>
      <w:lang w:val="en-GB"/>
    </w:rPr>
  </w:style>
  <w:style w:type="paragraph" w:customStyle="1" w:styleId="APRANORMAL">
    <w:name w:val="APRA NORMAL"/>
    <w:basedOn w:val="Normal"/>
    <w:link w:val="APRANORMALChar"/>
    <w:qFormat/>
    <w:rsid w:val="00594DB4"/>
    <w:pPr>
      <w:jc w:val="left"/>
    </w:pPr>
    <w:rPr>
      <w:rFonts w:ascii="DIN OT Light" w:hAnsi="DIN OT Light"/>
      <w:szCs w:val="22"/>
      <w:lang w:val="en-GB" w:eastAsia="en-US"/>
    </w:rPr>
  </w:style>
  <w:style w:type="character" w:customStyle="1" w:styleId="APRABULLETChar">
    <w:name w:val="APRA BULLET Char"/>
    <w:basedOn w:val="DefaultParagraphFont"/>
    <w:link w:val="APRABULLET"/>
    <w:locked/>
    <w:rsid w:val="00594DB4"/>
    <w:rPr>
      <w:rFonts w:ascii="DIN OT Light" w:hAnsi="DIN OT Light"/>
      <w:lang w:val="en-GB"/>
    </w:rPr>
  </w:style>
  <w:style w:type="paragraph" w:customStyle="1" w:styleId="APRABULLET">
    <w:name w:val="APRA BULLET"/>
    <w:basedOn w:val="ListParagraph"/>
    <w:link w:val="APRABULLETChar"/>
    <w:qFormat/>
    <w:rsid w:val="00594DB4"/>
    <w:pPr>
      <w:numPr>
        <w:numId w:val="24"/>
      </w:numPr>
      <w:jc w:val="left"/>
    </w:pPr>
    <w:rPr>
      <w:rFonts w:ascii="DIN OT Light" w:hAnsi="DIN OT Light"/>
      <w:szCs w:val="22"/>
      <w:lang w:val="en-GB" w:eastAsia="en-US"/>
    </w:rPr>
  </w:style>
  <w:style w:type="paragraph" w:styleId="EndnoteText">
    <w:name w:val="endnote text"/>
    <w:basedOn w:val="Normal"/>
    <w:link w:val="EndnoteTextChar"/>
    <w:uiPriority w:val="99"/>
    <w:semiHidden/>
    <w:unhideWhenUsed/>
    <w:rsid w:val="00EB1ACB"/>
    <w:pPr>
      <w:spacing w:after="0"/>
    </w:pPr>
    <w:rPr>
      <w:sz w:val="20"/>
      <w:szCs w:val="20"/>
    </w:rPr>
  </w:style>
  <w:style w:type="character" w:customStyle="1" w:styleId="EndnoteTextChar">
    <w:name w:val="Endnote Text Char"/>
    <w:basedOn w:val="DefaultParagraphFont"/>
    <w:link w:val="EndnoteText"/>
    <w:uiPriority w:val="99"/>
    <w:semiHidden/>
    <w:rsid w:val="00EB1ACB"/>
    <w:rPr>
      <w:rFonts w:ascii="Arial" w:hAnsi="Arial"/>
      <w:sz w:val="20"/>
      <w:szCs w:val="20"/>
      <w:lang w:eastAsia="en-AU"/>
    </w:rPr>
  </w:style>
  <w:style w:type="character" w:styleId="EndnoteReference">
    <w:name w:val="endnote reference"/>
    <w:basedOn w:val="DefaultParagraphFont"/>
    <w:uiPriority w:val="99"/>
    <w:semiHidden/>
    <w:unhideWhenUsed/>
    <w:rsid w:val="00EB1ACB"/>
    <w:rPr>
      <w:vertAlign w:val="superscript"/>
    </w:rPr>
  </w:style>
  <w:style w:type="paragraph" w:styleId="Revision">
    <w:name w:val="Revision"/>
    <w:hidden/>
    <w:uiPriority w:val="99"/>
    <w:semiHidden/>
    <w:rsid w:val="006C2140"/>
    <w:pPr>
      <w:spacing w:after="0" w:line="240" w:lineRule="auto"/>
    </w:pPr>
    <w:rPr>
      <w:rFonts w:ascii="Arial" w:hAnsi="Arial"/>
      <w:szCs w:val="24"/>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8055543">
      <w:bodyDiv w:val="1"/>
      <w:marLeft w:val="0"/>
      <w:marRight w:val="0"/>
      <w:marTop w:val="0"/>
      <w:marBottom w:val="0"/>
      <w:divBdr>
        <w:top w:val="none" w:sz="0" w:space="0" w:color="auto"/>
        <w:left w:val="none" w:sz="0" w:space="0" w:color="auto"/>
        <w:bottom w:val="none" w:sz="0" w:space="0" w:color="auto"/>
        <w:right w:val="none" w:sz="0" w:space="0" w:color="auto"/>
      </w:divBdr>
    </w:div>
    <w:div w:id="1650162696">
      <w:bodyDiv w:val="1"/>
      <w:marLeft w:val="0"/>
      <w:marRight w:val="0"/>
      <w:marTop w:val="0"/>
      <w:marBottom w:val="0"/>
      <w:divBdr>
        <w:top w:val="none" w:sz="0" w:space="0" w:color="auto"/>
        <w:left w:val="none" w:sz="0" w:space="0" w:color="auto"/>
        <w:bottom w:val="none" w:sz="0" w:space="0" w:color="auto"/>
        <w:right w:val="none" w:sz="0" w:space="0" w:color="auto"/>
      </w:divBdr>
      <w:divsChild>
        <w:div w:id="191962900">
          <w:marLeft w:val="0"/>
          <w:marRight w:val="0"/>
          <w:marTop w:val="0"/>
          <w:marBottom w:val="0"/>
          <w:divBdr>
            <w:top w:val="none" w:sz="0" w:space="0" w:color="auto"/>
            <w:left w:val="none" w:sz="0" w:space="0" w:color="auto"/>
            <w:bottom w:val="none" w:sz="0" w:space="0" w:color="auto"/>
            <w:right w:val="none" w:sz="0" w:space="0" w:color="auto"/>
          </w:divBdr>
          <w:divsChild>
            <w:div w:id="47925477">
              <w:marLeft w:val="0"/>
              <w:marRight w:val="0"/>
              <w:marTop w:val="0"/>
              <w:marBottom w:val="0"/>
              <w:divBdr>
                <w:top w:val="none" w:sz="0" w:space="0" w:color="auto"/>
                <w:left w:val="none" w:sz="0" w:space="0" w:color="auto"/>
                <w:bottom w:val="none" w:sz="0" w:space="0" w:color="auto"/>
                <w:right w:val="none" w:sz="0" w:space="0" w:color="auto"/>
              </w:divBdr>
              <w:divsChild>
                <w:div w:id="1059865498">
                  <w:marLeft w:val="0"/>
                  <w:marRight w:val="0"/>
                  <w:marTop w:val="0"/>
                  <w:marBottom w:val="0"/>
                  <w:divBdr>
                    <w:top w:val="none" w:sz="0" w:space="0" w:color="auto"/>
                    <w:left w:val="none" w:sz="0" w:space="0" w:color="auto"/>
                    <w:bottom w:val="none" w:sz="0" w:space="0" w:color="auto"/>
                    <w:right w:val="none" w:sz="0" w:space="0" w:color="auto"/>
                  </w:divBdr>
                  <w:divsChild>
                    <w:div w:id="886842946">
                      <w:marLeft w:val="0"/>
                      <w:marRight w:val="0"/>
                      <w:marTop w:val="0"/>
                      <w:marBottom w:val="0"/>
                      <w:divBdr>
                        <w:top w:val="none" w:sz="0" w:space="0" w:color="auto"/>
                        <w:left w:val="none" w:sz="0" w:space="0" w:color="auto"/>
                        <w:bottom w:val="none" w:sz="0" w:space="0" w:color="auto"/>
                        <w:right w:val="none" w:sz="0" w:space="0" w:color="auto"/>
                      </w:divBdr>
                      <w:divsChild>
                        <w:div w:id="181868443">
                          <w:marLeft w:val="0"/>
                          <w:marRight w:val="0"/>
                          <w:marTop w:val="0"/>
                          <w:marBottom w:val="0"/>
                          <w:divBdr>
                            <w:top w:val="none" w:sz="0" w:space="0" w:color="auto"/>
                            <w:left w:val="none" w:sz="0" w:space="0" w:color="auto"/>
                            <w:bottom w:val="none" w:sz="0" w:space="0" w:color="auto"/>
                            <w:right w:val="none" w:sz="0" w:space="0" w:color="auto"/>
                          </w:divBdr>
                          <w:divsChild>
                            <w:div w:id="215239015">
                              <w:marLeft w:val="0"/>
                              <w:marRight w:val="0"/>
                              <w:marTop w:val="0"/>
                              <w:marBottom w:val="0"/>
                              <w:divBdr>
                                <w:top w:val="none" w:sz="0" w:space="0" w:color="auto"/>
                                <w:left w:val="none" w:sz="0" w:space="0" w:color="auto"/>
                                <w:bottom w:val="none" w:sz="0" w:space="0" w:color="auto"/>
                                <w:right w:val="none" w:sz="0" w:space="0" w:color="auto"/>
                              </w:divBdr>
                              <w:divsChild>
                                <w:div w:id="1666593459">
                                  <w:marLeft w:val="0"/>
                                  <w:marRight w:val="0"/>
                                  <w:marTop w:val="0"/>
                                  <w:marBottom w:val="0"/>
                                  <w:divBdr>
                                    <w:top w:val="none" w:sz="0" w:space="0" w:color="auto"/>
                                    <w:left w:val="none" w:sz="0" w:space="0" w:color="auto"/>
                                    <w:bottom w:val="none" w:sz="0" w:space="0" w:color="auto"/>
                                    <w:right w:val="none" w:sz="0" w:space="0" w:color="auto"/>
                                  </w:divBdr>
                                  <w:divsChild>
                                    <w:div w:id="402338432">
                                      <w:marLeft w:val="0"/>
                                      <w:marRight w:val="0"/>
                                      <w:marTop w:val="0"/>
                                      <w:marBottom w:val="0"/>
                                      <w:divBdr>
                                        <w:top w:val="none" w:sz="0" w:space="0" w:color="auto"/>
                                        <w:left w:val="none" w:sz="0" w:space="0" w:color="auto"/>
                                        <w:bottom w:val="none" w:sz="0" w:space="0" w:color="auto"/>
                                        <w:right w:val="none" w:sz="0" w:space="0" w:color="auto"/>
                                      </w:divBdr>
                                      <w:divsChild>
                                        <w:div w:id="1028140019">
                                          <w:marLeft w:val="0"/>
                                          <w:marRight w:val="0"/>
                                          <w:marTop w:val="0"/>
                                          <w:marBottom w:val="0"/>
                                          <w:divBdr>
                                            <w:top w:val="none" w:sz="0" w:space="0" w:color="auto"/>
                                            <w:left w:val="none" w:sz="0" w:space="0" w:color="auto"/>
                                            <w:bottom w:val="none" w:sz="0" w:space="0" w:color="auto"/>
                                            <w:right w:val="none" w:sz="0" w:space="0" w:color="auto"/>
                                          </w:divBdr>
                                          <w:divsChild>
                                            <w:div w:id="395586384">
                                              <w:marLeft w:val="0"/>
                                              <w:marRight w:val="0"/>
                                              <w:marTop w:val="0"/>
                                              <w:marBottom w:val="0"/>
                                              <w:divBdr>
                                                <w:top w:val="none" w:sz="0" w:space="0" w:color="auto"/>
                                                <w:left w:val="none" w:sz="0" w:space="0" w:color="auto"/>
                                                <w:bottom w:val="none" w:sz="0" w:space="0" w:color="auto"/>
                                                <w:right w:val="none" w:sz="0" w:space="0" w:color="auto"/>
                                              </w:divBdr>
                                              <w:divsChild>
                                                <w:div w:id="600377071">
                                                  <w:marLeft w:val="0"/>
                                                  <w:marRight w:val="0"/>
                                                  <w:marTop w:val="0"/>
                                                  <w:marBottom w:val="0"/>
                                                  <w:divBdr>
                                                    <w:top w:val="none" w:sz="0" w:space="0" w:color="auto"/>
                                                    <w:left w:val="none" w:sz="0" w:space="0" w:color="auto"/>
                                                    <w:bottom w:val="none" w:sz="0" w:space="0" w:color="auto"/>
                                                    <w:right w:val="none" w:sz="0" w:space="0" w:color="auto"/>
                                                  </w:divBdr>
                                                  <w:divsChild>
                                                    <w:div w:id="992493456">
                                                      <w:marLeft w:val="0"/>
                                                      <w:marRight w:val="0"/>
                                                      <w:marTop w:val="0"/>
                                                      <w:marBottom w:val="0"/>
                                                      <w:divBdr>
                                                        <w:top w:val="none" w:sz="0" w:space="0" w:color="auto"/>
                                                        <w:left w:val="none" w:sz="0" w:space="0" w:color="auto"/>
                                                        <w:bottom w:val="none" w:sz="0" w:space="0" w:color="auto"/>
                                                        <w:right w:val="none" w:sz="0" w:space="0" w:color="auto"/>
                                                      </w:divBdr>
                                                      <w:divsChild>
                                                        <w:div w:id="1209145006">
                                                          <w:marLeft w:val="0"/>
                                                          <w:marRight w:val="0"/>
                                                          <w:marTop w:val="0"/>
                                                          <w:marBottom w:val="0"/>
                                                          <w:divBdr>
                                                            <w:top w:val="none" w:sz="0" w:space="0" w:color="auto"/>
                                                            <w:left w:val="none" w:sz="0" w:space="0" w:color="auto"/>
                                                            <w:bottom w:val="none" w:sz="0" w:space="0" w:color="auto"/>
                                                            <w:right w:val="none" w:sz="0" w:space="0" w:color="auto"/>
                                                          </w:divBdr>
                                                          <w:divsChild>
                                                            <w:div w:id="1042293611">
                                                              <w:marLeft w:val="0"/>
                                                              <w:marRight w:val="0"/>
                                                              <w:marTop w:val="0"/>
                                                              <w:marBottom w:val="0"/>
                                                              <w:divBdr>
                                                                <w:top w:val="single" w:sz="8" w:space="1" w:color="auto"/>
                                                                <w:left w:val="single" w:sz="8" w:space="4" w:color="auto"/>
                                                                <w:bottom w:val="single" w:sz="8" w:space="1" w:color="auto"/>
                                                                <w:right w:val="single" w:sz="8" w:space="4" w:color="auto"/>
                                                              </w:divBdr>
                                                            </w:div>
                                                          </w:divsChild>
                                                        </w:div>
                                                        <w:div w:id="1982072630">
                                                          <w:marLeft w:val="0"/>
                                                          <w:marRight w:val="0"/>
                                                          <w:marTop w:val="0"/>
                                                          <w:marBottom w:val="0"/>
                                                          <w:divBdr>
                                                            <w:top w:val="none" w:sz="0" w:space="0" w:color="auto"/>
                                                            <w:left w:val="none" w:sz="0" w:space="0" w:color="auto"/>
                                                            <w:bottom w:val="none" w:sz="0" w:space="0" w:color="auto"/>
                                                            <w:right w:val="none" w:sz="0" w:space="0" w:color="auto"/>
                                                          </w:divBdr>
                                                          <w:divsChild>
                                                            <w:div w:id="679820420">
                                                              <w:marLeft w:val="0"/>
                                                              <w:marRight w:val="0"/>
                                                              <w:marTop w:val="0"/>
                                                              <w:marBottom w:val="0"/>
                                                              <w:divBdr>
                                                                <w:top w:val="none" w:sz="0" w:space="0" w:color="auto"/>
                                                                <w:left w:val="none" w:sz="0" w:space="0" w:color="auto"/>
                                                                <w:bottom w:val="none" w:sz="0" w:space="0" w:color="auto"/>
                                                                <w:right w:val="none" w:sz="0" w:space="0" w:color="auto"/>
                                                              </w:divBdr>
                                                            </w:div>
                                                            <w:div w:id="820778531">
                                                              <w:marLeft w:val="0"/>
                                                              <w:marRight w:val="0"/>
                                                              <w:marTop w:val="0"/>
                                                              <w:marBottom w:val="0"/>
                                                              <w:divBdr>
                                                                <w:top w:val="none" w:sz="0" w:space="0" w:color="auto"/>
                                                                <w:left w:val="none" w:sz="0" w:space="0" w:color="auto"/>
                                                                <w:bottom w:val="none" w:sz="0" w:space="0" w:color="auto"/>
                                                                <w:right w:val="none" w:sz="0" w:space="0" w:color="auto"/>
                                                              </w:divBdr>
                                                            </w:div>
                                                            <w:div w:id="1301109830">
                                                              <w:marLeft w:val="0"/>
                                                              <w:marRight w:val="0"/>
                                                              <w:marTop w:val="0"/>
                                                              <w:marBottom w:val="0"/>
                                                              <w:divBdr>
                                                                <w:top w:val="none" w:sz="0" w:space="0" w:color="auto"/>
                                                                <w:left w:val="none" w:sz="0" w:space="0" w:color="auto"/>
                                                                <w:bottom w:val="none" w:sz="0" w:space="0" w:color="auto"/>
                                                                <w:right w:val="none" w:sz="0" w:space="0" w:color="auto"/>
                                                              </w:divBdr>
                                                            </w:div>
                                                            <w:div w:id="532691162">
                                                              <w:marLeft w:val="0"/>
                                                              <w:marRight w:val="0"/>
                                                              <w:marTop w:val="0"/>
                                                              <w:marBottom w:val="0"/>
                                                              <w:divBdr>
                                                                <w:top w:val="none" w:sz="0" w:space="0" w:color="auto"/>
                                                                <w:left w:val="none" w:sz="0" w:space="0" w:color="auto"/>
                                                                <w:bottom w:val="none" w:sz="0" w:space="0" w:color="auto"/>
                                                                <w:right w:val="none" w:sz="0" w:space="0" w:color="auto"/>
                                                              </w:divBdr>
                                                            </w:div>
                                                            <w:div w:id="261298842">
                                                              <w:marLeft w:val="0"/>
                                                              <w:marRight w:val="0"/>
                                                              <w:marTop w:val="0"/>
                                                              <w:marBottom w:val="0"/>
                                                              <w:divBdr>
                                                                <w:top w:val="none" w:sz="0" w:space="0" w:color="auto"/>
                                                                <w:left w:val="none" w:sz="0" w:space="0" w:color="auto"/>
                                                                <w:bottom w:val="none" w:sz="0" w:space="0" w:color="auto"/>
                                                                <w:right w:val="none" w:sz="0" w:space="0" w:color="auto"/>
                                                              </w:divBdr>
                                                            </w:div>
                                                            <w:div w:id="614481849">
                                                              <w:marLeft w:val="0"/>
                                                              <w:marRight w:val="0"/>
                                                              <w:marTop w:val="0"/>
                                                              <w:marBottom w:val="0"/>
                                                              <w:divBdr>
                                                                <w:top w:val="none" w:sz="0" w:space="0" w:color="auto"/>
                                                                <w:left w:val="none" w:sz="0" w:space="0" w:color="auto"/>
                                                                <w:bottom w:val="none" w:sz="0" w:space="0" w:color="auto"/>
                                                                <w:right w:val="none" w:sz="0" w:space="0" w:color="auto"/>
                                                              </w:divBdr>
                                                            </w:div>
                                                            <w:div w:id="781463809">
                                                              <w:marLeft w:val="0"/>
                                                              <w:marRight w:val="0"/>
                                                              <w:marTop w:val="0"/>
                                                              <w:marBottom w:val="0"/>
                                                              <w:divBdr>
                                                                <w:top w:val="none" w:sz="0" w:space="0" w:color="auto"/>
                                                                <w:left w:val="none" w:sz="0" w:space="0" w:color="auto"/>
                                                                <w:bottom w:val="none" w:sz="0" w:space="0" w:color="auto"/>
                                                                <w:right w:val="none" w:sz="0" w:space="0" w:color="auto"/>
                                                              </w:divBdr>
                                                            </w:div>
                                                            <w:div w:id="171995040">
                                                              <w:marLeft w:val="0"/>
                                                              <w:marRight w:val="0"/>
                                                              <w:marTop w:val="0"/>
                                                              <w:marBottom w:val="0"/>
                                                              <w:divBdr>
                                                                <w:top w:val="none" w:sz="0" w:space="0" w:color="auto"/>
                                                                <w:left w:val="none" w:sz="0" w:space="0" w:color="auto"/>
                                                                <w:bottom w:val="none" w:sz="0" w:space="0" w:color="auto"/>
                                                                <w:right w:val="none" w:sz="0" w:space="0" w:color="auto"/>
                                                              </w:divBdr>
                                                            </w:div>
                                                            <w:div w:id="2017657474">
                                                              <w:marLeft w:val="0"/>
                                                              <w:marRight w:val="0"/>
                                                              <w:marTop w:val="0"/>
                                                              <w:marBottom w:val="0"/>
                                                              <w:divBdr>
                                                                <w:top w:val="none" w:sz="0" w:space="0" w:color="auto"/>
                                                                <w:left w:val="none" w:sz="0" w:space="0" w:color="auto"/>
                                                                <w:bottom w:val="none" w:sz="0" w:space="0" w:color="auto"/>
                                                                <w:right w:val="none" w:sz="0" w:space="0" w:color="auto"/>
                                                              </w:divBdr>
                                                            </w:div>
                                                            <w:div w:id="1172723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8320233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header" Target="header2.xml"/><Relationship Id="rId10" Type="http://schemas.openxmlformats.org/officeDocument/2006/relationships/settings" Target="settings.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header" Target="header1.xml"/></Relationships>
</file>

<file path=word/_rels/footnotes.xml.rels><?xml version="1.0" encoding="UTF-8" standalone="yes"?>
<Relationships xmlns="http://schemas.openxmlformats.org/package/2006/relationships"><Relationship Id="rId1" Type="http://schemas.openxmlformats.org/officeDocument/2006/relationships/hyperlink" Target="http://www.apra.gov.au/PHI/Documents/PHI_Industry_Report_Risk_Management_July_2017.pdf" TargetMode="External"/></Relationships>
</file>

<file path=word/theme/theme1.xml><?xml version="1.0" encoding="utf-8"?>
<a:theme xmlns:a="http://schemas.openxmlformats.org/drawingml/2006/main" name="APRA">
  <a:themeElements>
    <a:clrScheme name="APRA">
      <a:dk1>
        <a:sysClr val="windowText" lastClr="000000"/>
      </a:dk1>
      <a:lt1>
        <a:sysClr val="window" lastClr="FFFFFF"/>
      </a:lt1>
      <a:dk2>
        <a:srgbClr val="1F497D"/>
      </a:dk2>
      <a:lt2>
        <a:srgbClr val="FFFFFF"/>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APRA">
      <a:majorFont>
        <a:latin typeface="Trebuchet MS"/>
        <a:ea typeface=""/>
        <a:cs typeface=""/>
      </a:majorFont>
      <a:minorFont>
        <a:latin typeface="Trebuchet MS"/>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tns:customPropertyEditors xmlns:tns="http://schemas.microsoft.com/office/2006/customDocumentInformationPanel">
  <tns:showOnOpen>false</tns:showOnOpen>
  <tns:defaultPropertyEditorNamespace>Standard properties</tns:defaultPropertyEditorNamespace>
</tns:customPropertyEditors>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4.xml><?xml version="1.0" encoding="utf-8"?>
<?mso-contentType ?>
<SharedContentType xmlns="Microsoft.SharePoint.Taxonomy.ContentTypeSync" SourceId="8aef97a4-ded2-4e4a-9fbc-e666dae3ecd2" ContentTypeId="0x0101008CA7A4F8331B45C7B0D3158B4994D0CA02" PreviousValue="false"/>
</file>

<file path=customXml/item5.xml><?xml version="1.0" encoding="utf-8"?>
<ct:contentTypeSchema xmlns:ct="http://schemas.microsoft.com/office/2006/metadata/contentType" xmlns:ma="http://schemas.microsoft.com/office/2006/metadata/properties/metaAttributes" ct:_="" ma:_="" ma:contentTypeName="Standard Content" ma:contentTypeID="0x0101008CA7A4F8331B45C7B0D3158B4994D0CA0200577EC0F5A1FBFC498F9A8436B963F8A6" ma:contentTypeVersion="37" ma:contentTypeDescription="Create a new document." ma:contentTypeScope="" ma:versionID="b9ef5bc26372778073757b630008b228">
  <xsd:schema xmlns:xsd="http://www.w3.org/2001/XMLSchema" xmlns:xs="http://www.w3.org/2001/XMLSchema" xmlns:p="http://schemas.microsoft.com/office/2006/metadata/properties" xmlns:ns1="814d62cb-2db6-4c25-ab62-b9075facbc11" targetNamespace="http://schemas.microsoft.com/office/2006/metadata/properties" ma:root="true" ma:fieldsID="f09e4a90de645c7ef264041fb58de94c" ns1:_="">
    <xsd:import namespace="814d62cb-2db6-4c25-ab62-b9075facbc11"/>
    <xsd:element name="properties">
      <xsd:complexType>
        <xsd:sequence>
          <xsd:element name="documentManagement">
            <xsd:complexType>
              <xsd:all>
                <xsd:element ref="ns1:_dlc_DocIdUrl" minOccurs="0"/>
                <xsd:element ref="ns1:APRADescription" minOccurs="0"/>
                <xsd:element ref="ns1:APRAActivityID" minOccurs="0"/>
                <xsd:element ref="ns1:APRASecurityClassification"/>
                <xsd:element ref="ns1:APRAKeywords" minOccurs="0"/>
                <xsd:element ref="ns1:APRADate" minOccurs="0"/>
                <xsd:element ref="ns1:APRAOwner" minOccurs="0"/>
                <xsd:element ref="ns1:APRAApprovedBy" minOccurs="0"/>
                <xsd:element ref="ns1:APRAApprovalDate" minOccurs="0"/>
                <xsd:element ref="ns1:APRAEntityID" minOccurs="0"/>
                <xsd:element ref="ns1:APRAEntityName" minOccurs="0"/>
                <xsd:element ref="ns1:Received" minOccurs="0"/>
                <xsd:element ref="ns1:From-Address" minOccurs="0"/>
                <xsd:element ref="ns1:To-Address" minOccurs="0"/>
                <xsd:element ref="ns1:Attachment" minOccurs="0"/>
                <xsd:element ref="ns1:Conversation" minOccurs="0"/>
                <xsd:element ref="ns1:APRADocScanCheck" minOccurs="0"/>
                <xsd:element ref="ns1:j163382b748246d3b6e7caae71dbeeb0" minOccurs="0"/>
                <xsd:element ref="ns1:f284b4f8578a44cfae4f67a86df81119" minOccurs="0"/>
                <xsd:element ref="ns1:_dlc_DocIdPersistId" minOccurs="0"/>
                <xsd:element ref="ns1:i05115a133414b4dabee2531e4b46b67" minOccurs="0"/>
                <xsd:element ref="ns1:h67caa35a4114acd8e15fe89b3f29f9e" minOccurs="0"/>
                <xsd:element ref="ns1:pa005173035e41c3986b37b8e650f3ef" minOccurs="0"/>
                <xsd:element ref="ns1:p10c80fc2da942ae8f2ea9b33b6ea0ba" minOccurs="0"/>
                <xsd:element ref="ns1:ka2715b9eb154114a4f57d7fbf82ec75" minOccurs="0"/>
                <xsd:element ref="ns1:TaxCatchAll" minOccurs="0"/>
                <xsd:element ref="ns1:i08e72d8ce2b4ffa9361f9f4e0a63abc" minOccurs="0"/>
                <xsd:element ref="ns1:TaxCatchAllLabel" minOccurs="0"/>
                <xsd:element ref="ns1:ic4067bd02f14cf3a95ad35878404a71" minOccurs="0"/>
                <xsd:element ref="ns1:l003ee8eff60461aa1bd0027aba92ea4" minOccurs="0"/>
                <xsd:element ref="ns1:b37d8d7e823543f58f89056343a9035c" minOccurs="0"/>
                <xsd:element ref="ns1:_dlc_DocId" minOccurs="0"/>
                <xsd:element ref="ns1:aa36a5a650d54f768f171f4d17b8b238" minOccurs="0"/>
                <xsd:element ref="ns1:j724204a644741eb9f777fcb03fe8840" minOccurs="0"/>
                <xsd:element ref="ns1:m2df5fdf6d1643b4a596982762bb3d00" minOccurs="0"/>
                <xsd:element ref="ns1:k4bcc0d734474fea9fb713d9c415b4b0" minOccurs="0"/>
                <xsd:element ref="ns1:d9a849fd1b8e46ada0321eb0681a10ee" minOccurs="0"/>
                <xsd:element ref="ns1:APRAMeetingDate" minOccurs="0"/>
                <xsd:element ref="ns1:APRAMeetingNumbe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14d62cb-2db6-4c25-ab62-b9075facbc11" elementFormDefault="qualified">
    <xsd:import namespace="http://schemas.microsoft.com/office/2006/documentManagement/types"/>
    <xsd:import namespace="http://schemas.microsoft.com/office/infopath/2007/PartnerControls"/>
    <xsd:element name="_dlc_DocIdUrl" ma:index="0"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APRADescription" ma:index="3" nillable="true" ma:displayName="Description" ma:internalName="APRADescription">
      <xsd:simpleType>
        <xsd:restriction base="dms:Note"/>
      </xsd:simpleType>
    </xsd:element>
    <xsd:element name="APRAActivityID" ma:index="4" nillable="true" ma:displayName="Activity ID" ma:internalName="APRAActivityID" ma:readOnly="false">
      <xsd:simpleType>
        <xsd:restriction base="dms:Text"/>
      </xsd:simpleType>
    </xsd:element>
    <xsd:element name="APRASecurityClassification" ma:index="8" ma:displayName="Security classification" ma:default="DLM: For Official Use Only" ma:hidden="true" ma:internalName="APRASecurityClassification" ma:readOnly="false">
      <xsd:simpleType>
        <xsd:restriction base="dms:Choice">
          <xsd:enumeration value="UNCLASSIFIED"/>
          <xsd:enumeration value="DLM: For Official Use Only"/>
          <xsd:enumeration value="DLM: Sensitive"/>
          <xsd:enumeration value="DLM: Sensitive: Legal"/>
          <xsd:enumeration value="DLM: Sensitive: Personal"/>
          <xsd:enumeration value="PROTECTED"/>
          <xsd:enumeration value="PROTECTED: Sensitive: Cabinet"/>
          <xsd:enumeration value="UNOFFICIAL"/>
        </xsd:restriction>
      </xsd:simpleType>
    </xsd:element>
    <xsd:element name="APRAKeywords" ma:index="16" nillable="true" ma:displayName="Keywords" ma:internalName="APRAKeywords" ma:readOnly="false">
      <xsd:simpleType>
        <xsd:restriction base="dms:Text"/>
      </xsd:simpleType>
    </xsd:element>
    <xsd:element name="APRADate" ma:index="18" nillable="true" ma:displayName="Date" ma:format="DateOnly" ma:internalName="APRADate" ma:readOnly="false">
      <xsd:simpleType>
        <xsd:restriction base="dms:DateTime"/>
      </xsd:simpleType>
    </xsd:element>
    <xsd:element name="APRAOwner" ma:index="21" nillable="true" ma:displayName="Owner" ma:list="UserInfo" ma:internalName="APRAOwne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APRAApprovedBy" ma:index="22" nillable="true" ma:displayName="Approved by" ma:list="UserInfo" ma:internalName="APRAApprovedBy"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APRAApprovalDate" ma:index="23" nillable="true" ma:displayName="Approval date" ma:format="DateOnly" ma:internalName="APRAApprovalDate" ma:readOnly="false">
      <xsd:simpleType>
        <xsd:restriction base="dms:DateTime"/>
      </xsd:simpleType>
    </xsd:element>
    <xsd:element name="APRAEntityID" ma:index="24" nillable="true" ma:displayName="Entity ID" ma:internalName="APRAEntityID" ma:readOnly="true">
      <xsd:simpleType>
        <xsd:restriction base="dms:Text"/>
      </xsd:simpleType>
    </xsd:element>
    <xsd:element name="APRAEntityName" ma:index="25" nillable="true" ma:displayName="Entity name" ma:internalName="APRAEntityName" ma:readOnly="true">
      <xsd:simpleType>
        <xsd:restriction base="dms:Text"/>
      </xsd:simpleType>
    </xsd:element>
    <xsd:element name="Received" ma:index="28" nillable="true" ma:displayName="Received" ma:format="DateTime" ma:internalName="Received" ma:readOnly="true">
      <xsd:simpleType>
        <xsd:restriction base="dms:DateTime"/>
      </xsd:simpleType>
    </xsd:element>
    <xsd:element name="From-Address" ma:index="29" nillable="true" ma:displayName="From-Address" ma:internalName="From_x002d_Address" ma:readOnly="true">
      <xsd:simpleType>
        <xsd:restriction base="dms:Text"/>
      </xsd:simpleType>
    </xsd:element>
    <xsd:element name="To-Address" ma:index="30" nillable="true" ma:displayName="To-Address" ma:internalName="To_x002d_Address" ma:readOnly="true">
      <xsd:simpleType>
        <xsd:restriction base="dms:Text"/>
      </xsd:simpleType>
    </xsd:element>
    <xsd:element name="Attachment" ma:index="31" nillable="true" ma:displayName="Attachment" ma:internalName="Attachment" ma:readOnly="true">
      <xsd:simpleType>
        <xsd:restriction base="dms:Boolean"/>
      </xsd:simpleType>
    </xsd:element>
    <xsd:element name="Conversation" ma:index="32" nillable="true" ma:displayName="Conversation" ma:internalName="Conversation" ma:readOnly="true">
      <xsd:simpleType>
        <xsd:restriction base="dms:Text"/>
      </xsd:simpleType>
    </xsd:element>
    <xsd:element name="APRADocScanCheck" ma:index="33" nillable="true" ma:displayName="Scanned document checked" ma:default="0" ma:internalName="APRADocScanCheck" ma:readOnly="false">
      <xsd:simpleType>
        <xsd:restriction base="dms:Boolean"/>
      </xsd:simpleType>
    </xsd:element>
    <xsd:element name="j163382b748246d3b6e7caae71dbeeb0" ma:index="34" ma:taxonomy="true" ma:internalName="j163382b748246d3b6e7caae71dbeeb0" ma:taxonomyFieldName="APRAStatus" ma:displayName="Status" ma:readOnly="false" ma:default="1;#Draft|0e1556d2-3fe8-443a-ada7-3620563b46b3" ma:fieldId="{3163382b-7482-46d3-b6e7-caae71dbeeb0}" ma:sspId="8aef97a4-ded2-4e4a-9fbc-e666dae3ecd2" ma:termSetId="7eb4e65e-417b-4c63-9676-ecbbffa46ffa" ma:anchorId="00000000-0000-0000-0000-000000000000" ma:open="false" ma:isKeyword="false">
      <xsd:complexType>
        <xsd:sequence>
          <xsd:element ref="pc:Terms" minOccurs="0" maxOccurs="1"/>
        </xsd:sequence>
      </xsd:complexType>
    </xsd:element>
    <xsd:element name="f284b4f8578a44cfae4f67a86df81119" ma:index="35" nillable="true" ma:taxonomy="true" ma:internalName="f284b4f8578a44cfae4f67a86df81119" ma:taxonomyFieldName="APRAReportingGroup" ma:displayName="Reporting group" ma:readOnly="true" ma:fieldId="{f284b4f8-578a-44cf-ae4f-67a86df81119}" ma:sspId="8aef97a4-ded2-4e4a-9fbc-e666dae3ecd2" ma:termSetId="c09f06e2-9097-495c-bd1d-5eef1197c3cb" ma:anchorId="00000000-0000-0000-0000-000000000000" ma:open="false" ma:isKeyword="false">
      <xsd:complexType>
        <xsd:sequence>
          <xsd:element ref="pc:Terms" minOccurs="0" maxOccurs="1"/>
        </xsd:sequence>
      </xsd:complexType>
    </xsd:element>
    <xsd:element name="_dlc_DocIdPersistId" ma:index="37" nillable="true" ma:displayName="Persist ID" ma:description="Keep ID on add." ma:hidden="true" ma:internalName="_dlc_DocIdPersistId" ma:readOnly="true">
      <xsd:simpleType>
        <xsd:restriction base="dms:Boolean"/>
      </xsd:simpleType>
    </xsd:element>
    <xsd:element name="i05115a133414b4dabee2531e4b46b67" ma:index="39" ma:taxonomy="true" ma:internalName="i05115a133414b4dabee2531e4b46b67" ma:taxonomyFieldName="APRAActivity" ma:displayName="Activity" ma:readOnly="false" ma:fieldId="{205115a1-3341-4b4d-abee-2531e4b46b67}" ma:taxonomyMulti="true" ma:sspId="8aef97a4-ded2-4e4a-9fbc-e666dae3ecd2" ma:termSetId="0a2aee47-fbed-4b43-b934-0547b3421a87" ma:anchorId="00000000-0000-0000-0000-000000000000" ma:open="false" ma:isKeyword="false">
      <xsd:complexType>
        <xsd:sequence>
          <xsd:element ref="pc:Terms" minOccurs="0" maxOccurs="1"/>
        </xsd:sequence>
      </xsd:complexType>
    </xsd:element>
    <xsd:element name="h67caa35a4114acd8e15fe89b3f29f9e" ma:index="40" ma:taxonomy="true" ma:internalName="h67caa35a4114acd8e15fe89b3f29f9e" ma:taxonomyFieldName="APRADocumentType" ma:displayName="Document type" ma:readOnly="false" ma:fieldId="{167caa35-a411-4acd-8e15-fe89b3f29f9e}" ma:taxonomyMulti="true" ma:sspId="8aef97a4-ded2-4e4a-9fbc-e666dae3ecd2" ma:termSetId="af1c35f7-5763-4cde-bc1a-b0c7e164f1eb" ma:anchorId="00000000-0000-0000-0000-000000000000" ma:open="false" ma:isKeyword="false">
      <xsd:complexType>
        <xsd:sequence>
          <xsd:element ref="pc:Terms" minOccurs="0" maxOccurs="1"/>
        </xsd:sequence>
      </xsd:complexType>
    </xsd:element>
    <xsd:element name="pa005173035e41c3986b37b8e650f3ef" ma:index="41" nillable="true" ma:taxonomy="true" ma:internalName="pa005173035e41c3986b37b8e650f3ef" ma:taxonomyFieldName="APRAExternalOrganisation" ma:displayName="External organisation" ma:readOnly="false" ma:fieldId="{9a005173-035e-41c3-986b-37b8e650f3ef}" ma:taxonomyMulti="true" ma:sspId="8aef97a4-ded2-4e4a-9fbc-e666dae3ecd2" ma:termSetId="8f5dd4ac-0a4b-4ffd-a2d2-a2e85755e1cd" ma:anchorId="00000000-0000-0000-0000-000000000000" ma:open="false" ma:isKeyword="false">
      <xsd:complexType>
        <xsd:sequence>
          <xsd:element ref="pc:Terms" minOccurs="0" maxOccurs="1"/>
        </xsd:sequence>
      </xsd:complexType>
    </xsd:element>
    <xsd:element name="p10c80fc2da942ae8f2ea9b33b6ea0ba" ma:index="43" nillable="true" ma:taxonomy="true" ma:internalName="p10c80fc2da942ae8f2ea9b33b6ea0ba" ma:taxonomyFieldName="APRACostCentre" ma:displayName="Cost Centre/Team" ma:readOnly="false" ma:fieldId="{910c80fc-2da9-42ae-8f2e-a9b33b6ea0ba}" ma:taxonomyMulti="true" ma:sspId="8aef97a4-ded2-4e4a-9fbc-e666dae3ecd2" ma:termSetId="f265c3b6-05fc-4e2c-ba60-4d4988c2d861" ma:anchorId="00000000-0000-0000-0000-000000000000" ma:open="false" ma:isKeyword="false">
      <xsd:complexType>
        <xsd:sequence>
          <xsd:element ref="pc:Terms" minOccurs="0" maxOccurs="1"/>
        </xsd:sequence>
      </xsd:complexType>
    </xsd:element>
    <xsd:element name="ka2715b9eb154114a4f57d7fbf82ec75" ma:index="45" nillable="true" ma:taxonomy="true" ma:internalName="ka2715b9eb154114a4f57d7fbf82ec75" ma:taxonomyFieldName="APRAPeriod" ma:displayName="Period" ma:readOnly="false" ma:fieldId="{4a2715b9-eb15-4114-a4f5-7d7fbf82ec75}" ma:taxonomyMulti="true" ma:sspId="8aef97a4-ded2-4e4a-9fbc-e666dae3ecd2" ma:termSetId="1a5cf56a-d80d-4891-bac9-68519ce5a3ac" ma:anchorId="00000000-0000-0000-0000-000000000000" ma:open="false" ma:isKeyword="false">
      <xsd:complexType>
        <xsd:sequence>
          <xsd:element ref="pc:Terms" minOccurs="0" maxOccurs="1"/>
        </xsd:sequence>
      </xsd:complexType>
    </xsd:element>
    <xsd:element name="TaxCatchAll" ma:index="46" nillable="true" ma:displayName="Taxonomy Catch All Column" ma:hidden="true" ma:list="{84347c30-9e0d-4c46-b2d7-e19e22f5828c}" ma:internalName="TaxCatchAll" ma:showField="CatchAllData" ma:web="75a71c27-8d66-4282-ae60-1bfc22a83be1">
      <xsd:complexType>
        <xsd:complexContent>
          <xsd:extension base="dms:MultiChoiceLookup">
            <xsd:sequence>
              <xsd:element name="Value" type="dms:Lookup" maxOccurs="unbounded" minOccurs="0" nillable="true"/>
            </xsd:sequence>
          </xsd:extension>
        </xsd:complexContent>
      </xsd:complexType>
    </xsd:element>
    <xsd:element name="i08e72d8ce2b4ffa9361f9f4e0a63abc" ma:index="47" nillable="true" ma:taxonomy="true" ma:internalName="i08e72d8ce2b4ffa9361f9f4e0a63abc" ma:taxonomyFieldName="APRAYear" ma:displayName="Year" ma:readOnly="false" ma:fieldId="{208e72d8-ce2b-4ffa-9361-f9f4e0a63abc}" ma:taxonomyMulti="true" ma:sspId="8aef97a4-ded2-4e4a-9fbc-e666dae3ecd2" ma:termSetId="b4e5147a-ac61-437a-b431-73cf5e3f50b4" ma:anchorId="00000000-0000-0000-0000-000000000000" ma:open="false" ma:isKeyword="false">
      <xsd:complexType>
        <xsd:sequence>
          <xsd:element ref="pc:Terms" minOccurs="0" maxOccurs="1"/>
        </xsd:sequence>
      </xsd:complexType>
    </xsd:element>
    <xsd:element name="TaxCatchAllLabel" ma:index="48" nillable="true" ma:displayName="Taxonomy Catch All Column1" ma:hidden="true" ma:list="{84347c30-9e0d-4c46-b2d7-e19e22f5828c}" ma:internalName="TaxCatchAllLabel" ma:readOnly="true" ma:showField="CatchAllDataLabel" ma:web="75a71c27-8d66-4282-ae60-1bfc22a83be1">
      <xsd:complexType>
        <xsd:complexContent>
          <xsd:extension base="dms:MultiChoiceLookup">
            <xsd:sequence>
              <xsd:element name="Value" type="dms:Lookup" maxOccurs="unbounded" minOccurs="0" nillable="true"/>
            </xsd:sequence>
          </xsd:extension>
        </xsd:complexContent>
      </xsd:complexType>
    </xsd:element>
    <xsd:element name="ic4067bd02f14cf3a95ad35878404a71" ma:index="49" nillable="true" ma:taxonomy="true" ma:internalName="ic4067bd02f14cf3a95ad35878404a71" ma:taxonomyFieldName="APRAIRTR" ma:displayName="Industry risk/thematic review" ma:readOnly="false" ma:fieldId="{2c4067bd-02f1-4cf3-a95a-d35878404a71}" ma:taxonomyMulti="true" ma:sspId="8aef97a4-ded2-4e4a-9fbc-e666dae3ecd2" ma:termSetId="6721df7c-916a-435f-a198-7feb96db3976" ma:anchorId="00000000-0000-0000-0000-000000000000" ma:open="false" ma:isKeyword="false">
      <xsd:complexType>
        <xsd:sequence>
          <xsd:element ref="pc:Terms" minOccurs="0" maxOccurs="1"/>
        </xsd:sequence>
      </xsd:complexType>
    </xsd:element>
    <xsd:element name="l003ee8eff60461aa1bd0027aba92ea4" ma:index="50" nillable="true" ma:taxonomy="true" ma:internalName="l003ee8eff60461aa1bd0027aba92ea4" ma:taxonomyFieldName="APRAIndustry" ma:displayName="Industry/Sector" ma:readOnly="false" ma:fieldId="{5003ee8e-ff60-461a-a1bd-0027aba92ea4}" ma:taxonomyMulti="true" ma:sspId="8aef97a4-ded2-4e4a-9fbc-e666dae3ecd2" ma:termSetId="d46a36ff-b81c-47a6-84c2-b6a574ca6a5d" ma:anchorId="00000000-0000-0000-0000-000000000000" ma:open="false" ma:isKeyword="false">
      <xsd:complexType>
        <xsd:sequence>
          <xsd:element ref="pc:Terms" minOccurs="0" maxOccurs="1"/>
        </xsd:sequence>
      </xsd:complexType>
    </xsd:element>
    <xsd:element name="b37d8d7e823543f58f89056343a9035c" ma:index="51" nillable="true" ma:taxonomy="true" ma:internalName="b37d8d7e823543f58f89056343a9035c" ma:taxonomyFieldName="APRALegislation" ma:displayName="Legislation" ma:readOnly="false" ma:fieldId="{b37d8d7e-8235-43f5-8f89-056343a9035c}" ma:taxonomyMulti="true" ma:sspId="8aef97a4-ded2-4e4a-9fbc-e666dae3ecd2" ma:termSetId="67e0a470-b4af-4691-908a-b900ee38db35" ma:anchorId="00000000-0000-0000-0000-000000000000" ma:open="false" ma:isKeyword="false">
      <xsd:complexType>
        <xsd:sequence>
          <xsd:element ref="pc:Terms" minOccurs="0" maxOccurs="1"/>
        </xsd:sequence>
      </xsd:complexType>
    </xsd:element>
    <xsd:element name="_dlc_DocId" ma:index="52" nillable="true" ma:displayName="Document ID Value" ma:description="The value of the document ID assigned to this item." ma:internalName="_dlc_DocId" ma:readOnly="true">
      <xsd:simpleType>
        <xsd:restriction base="dms:Text"/>
      </xsd:simpleType>
    </xsd:element>
    <xsd:element name="aa36a5a650d54f768f171f4d17b8b238" ma:index="53" nillable="true" ma:taxonomy="true" ma:internalName="aa36a5a650d54f768f171f4d17b8b238" ma:taxonomyFieldName="APRAPRSG" ma:displayName="Prudential/Reporting Standards and Guidance" ma:readOnly="false" ma:fieldId="{aa36a5a6-50d5-4f76-8f17-1f4d17b8b238}" ma:taxonomyMulti="true" ma:sspId="8aef97a4-ded2-4e4a-9fbc-e666dae3ecd2" ma:termSetId="1abfbd64-a7ba-41ad-bd44-677dfc6b15d7" ma:anchorId="00000000-0000-0000-0000-000000000000" ma:open="false" ma:isKeyword="false">
      <xsd:complexType>
        <xsd:sequence>
          <xsd:element ref="pc:Terms" minOccurs="0" maxOccurs="1"/>
        </xsd:sequence>
      </xsd:complexType>
    </xsd:element>
    <xsd:element name="j724204a644741eb9f777fcb03fe8840" ma:index="55" nillable="true" ma:taxonomy="true" ma:internalName="j724204a644741eb9f777fcb03fe8840" ma:taxonomyFieldName="APRACategory" ma:displayName="Category" ma:readOnly="false" ma:fieldId="{3724204a-6447-41eb-9f77-7fcb03fe8840}" ma:taxonomyMulti="true" ma:sspId="8aef97a4-ded2-4e4a-9fbc-e666dae3ecd2" ma:termSetId="41464afd-e131-42da-a884-f3396a619f5e" ma:anchorId="00000000-0000-0000-0000-000000000000" ma:open="false" ma:isKeyword="false">
      <xsd:complexType>
        <xsd:sequence>
          <xsd:element ref="pc:Terms" minOccurs="0" maxOccurs="1"/>
        </xsd:sequence>
      </xsd:complexType>
    </xsd:element>
    <xsd:element name="m2df5fdf6d1643b4a596982762bb3d00" ma:index="56" nillable="true" ma:taxonomy="true" ma:internalName="m2df5fdf6d1643b4a596982762bb3d00" ma:taxonomyFieldName="APRAPeerGroup" ma:displayName="Peer group" ma:readOnly="true" ma:fieldId="{62df5fdf-6d16-43b4-a596-982762bb3d00}" ma:sspId="8aef97a4-ded2-4e4a-9fbc-e666dae3ecd2" ma:termSetId="c3795591-82c1-4a32-b59e-800e245eddf3" ma:anchorId="00000000-0000-0000-0000-000000000000" ma:open="false" ma:isKeyword="false">
      <xsd:complexType>
        <xsd:sequence>
          <xsd:element ref="pc:Terms" minOccurs="0" maxOccurs="1"/>
        </xsd:sequence>
      </xsd:complexType>
    </xsd:element>
    <xsd:element name="k4bcc0d734474fea9fb713d9c415b4b0" ma:index="57" nillable="true" ma:taxonomy="true" ma:internalName="k4bcc0d734474fea9fb713d9c415b4b0" ma:taxonomyFieldName="APRAEntityAdviceSupport" ma:displayName="Entity (advice/support)" ma:readOnly="false" ma:fieldId="{44bcc0d7-3447-4fea-9fb7-13d9c415b4b0}" ma:taxonomyMulti="true" ma:sspId="8aef97a4-ded2-4e4a-9fbc-e666dae3ecd2" ma:termSetId="65e4e273-0c24-4815-bb8d-38cd0e8111f8" ma:anchorId="00000000-0000-0000-0000-000000000000" ma:open="false" ma:isKeyword="false">
      <xsd:complexType>
        <xsd:sequence>
          <xsd:element ref="pc:Terms" minOccurs="0" maxOccurs="1"/>
        </xsd:sequence>
      </xsd:complexType>
    </xsd:element>
    <xsd:element name="d9a849fd1b8e46ada0321eb0681a10ee" ma:index="59" nillable="true" ma:taxonomy="true" ma:internalName="d9a849fd1b8e46ada0321eb0681a10ee" ma:taxonomyFieldName="IT_x0020_system_x0020_type" ma:displayName="IT system type" ma:readOnly="false" ma:default="" ma:fieldId="{d9a849fd-1b8e-46ad-a032-1eb0681a10ee}" ma:sspId="8aef97a4-ded2-4e4a-9fbc-e666dae3ecd2" ma:termSetId="a68d55e5-4bde-43c7-bab2-2f4763c2c76b" ma:anchorId="00000000-0000-0000-0000-000000000000" ma:open="false" ma:isKeyword="false">
      <xsd:complexType>
        <xsd:sequence>
          <xsd:element ref="pc:Terms" minOccurs="0" maxOccurs="1"/>
        </xsd:sequence>
      </xsd:complexType>
    </xsd:element>
    <xsd:element name="APRAMeetingDate" ma:index="61" nillable="true" ma:displayName="Meeting date" ma:format="DateOnly" ma:internalName="APRAMeetingDate" ma:readOnly="false">
      <xsd:simpleType>
        <xsd:restriction base="dms:DateTime"/>
      </xsd:simpleType>
    </xsd:element>
    <xsd:element name="APRAMeetingNumber" ma:index="62" nillable="true" ma:displayName="Meeting no." ma:internalName="APRAMeetingNumber"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44" ma:displayName="Content Type"/>
        <xsd:element ref="dc:title" minOccurs="0" maxOccurs="1" ma:index="2"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p:properties xmlns:p="http://schemas.microsoft.com/office/2006/metadata/properties" xmlns:xsi="http://www.w3.org/2001/XMLSchema-instance" xmlns:pc="http://schemas.microsoft.com/office/infopath/2007/PartnerControls">
  <documentManagement>
    <i05115a133414b4dabee2531e4b46b67 xmlns="814d62cb-2db6-4c25-ab62-b9075facbc11">
      <Terms xmlns="http://schemas.microsoft.com/office/infopath/2007/PartnerControls">
        <TermInfo xmlns="http://schemas.microsoft.com/office/infopath/2007/PartnerControls">
          <TermName xmlns="http://schemas.microsoft.com/office/infopath/2007/PartnerControls">Statutory instrument</TermName>
          <TermId xmlns="http://schemas.microsoft.com/office/infopath/2007/PartnerControls">fe68928c-5a9c-4caf-bc8c-6c18cedcb17f</TermId>
        </TermInfo>
        <TermInfo xmlns="http://schemas.microsoft.com/office/infopath/2007/PartnerControls">
          <TermName xmlns="http://schemas.microsoft.com/office/infopath/2007/PartnerControls">Registration</TermName>
          <TermId xmlns="http://schemas.microsoft.com/office/infopath/2007/PartnerControls">390476ce-d76d-4e8d-905f-28e32d2df127</TermId>
        </TermInfo>
      </Terms>
    </i05115a133414b4dabee2531e4b46b67>
    <h67caa35a4114acd8e15fe89b3f29f9e xmlns="814d62cb-2db6-4c25-ab62-b9075facbc11">
      <Terms xmlns="http://schemas.microsoft.com/office/infopath/2007/PartnerControls">
        <TermInfo xmlns="http://schemas.microsoft.com/office/infopath/2007/PartnerControls">
          <TermName xmlns="http://schemas.microsoft.com/office/infopath/2007/PartnerControls">Explanatory statement</TermName>
          <TermId xmlns="http://schemas.microsoft.com/office/infopath/2007/PartnerControls">b22f2e2f-3f73-411b-9a7c-34264d26fa25</TermId>
        </TermInfo>
      </Terms>
    </h67caa35a4114acd8e15fe89b3f29f9e>
    <b37d8d7e823543f58f89056343a9035c xmlns="814d62cb-2db6-4c25-ab62-b9075facbc11">
      <Terms xmlns="http://schemas.microsoft.com/office/infopath/2007/PartnerControls"/>
    </b37d8d7e823543f58f89056343a9035c>
    <d9a849fd1b8e46ada0321eb0681a10ee xmlns="814d62cb-2db6-4c25-ab62-b9075facbc11">
      <Terms xmlns="http://schemas.microsoft.com/office/infopath/2007/PartnerControls"/>
    </d9a849fd1b8e46ada0321eb0681a10ee>
    <APRAOwner xmlns="814d62cb-2db6-4c25-ab62-b9075facbc11">
      <UserInfo>
        <DisplayName/>
        <AccountId xsi:nil="true"/>
        <AccountType/>
      </UserInfo>
    </APRAOwner>
    <ic4067bd02f14cf3a95ad35878404a71 xmlns="814d62cb-2db6-4c25-ab62-b9075facbc11">
      <Terms xmlns="http://schemas.microsoft.com/office/infopath/2007/PartnerControls"/>
    </ic4067bd02f14cf3a95ad35878404a71>
    <APRASecurityClassification xmlns="814d62cb-2db6-4c25-ab62-b9075facbc11">UNCLASSIFIED</APRASecurityClassification>
    <j724204a644741eb9f777fcb03fe8840 xmlns="814d62cb-2db6-4c25-ab62-b9075facbc11">
      <Terms xmlns="http://schemas.microsoft.com/office/infopath/2007/PartnerControls"/>
    </j724204a644741eb9f777fcb03fe8840>
    <APRAApprovalDate xmlns="814d62cb-2db6-4c25-ab62-b9075facbc11" xsi:nil="true"/>
    <k4bcc0d734474fea9fb713d9c415b4b0 xmlns="814d62cb-2db6-4c25-ab62-b9075facbc11">
      <Terms xmlns="http://schemas.microsoft.com/office/infopath/2007/PartnerControls"/>
    </k4bcc0d734474fea9fb713d9c415b4b0>
    <APRAKeywords xmlns="814d62cb-2db6-4c25-ab62-b9075facbc11" xsi:nil="true"/>
    <APRAApprovedBy xmlns="814d62cb-2db6-4c25-ab62-b9075facbc11">
      <UserInfo>
        <DisplayName/>
        <AccountId xsi:nil="true"/>
        <AccountType/>
      </UserInfo>
    </APRAApprovedBy>
    <APRADate xmlns="814d62cb-2db6-4c25-ab62-b9075facbc11" xsi:nil="true"/>
    <j163382b748246d3b6e7caae71dbeeb0 xmlns="814d62cb-2db6-4c25-ab62-b9075facbc11">
      <Terms xmlns="http://schemas.microsoft.com/office/infopath/2007/PartnerControls">
        <TermInfo xmlns="http://schemas.microsoft.com/office/infopath/2007/PartnerControls">
          <TermName xmlns="http://schemas.microsoft.com/office/infopath/2007/PartnerControls">Final</TermName>
          <TermId xmlns="http://schemas.microsoft.com/office/infopath/2007/PartnerControls">84d6b2d0-8498-4d62-bf46-bab38babbe9e</TermId>
        </TermInfo>
      </Terms>
    </j163382b748246d3b6e7caae71dbeeb0>
    <TaxCatchAll xmlns="814d62cb-2db6-4c25-ab62-b9075facbc11">
      <Value>24</Value>
      <Value>83</Value>
      <Value>234</Value>
      <Value>134</Value>
      <Value>10</Value>
      <Value>26</Value>
      <Value>109</Value>
      <Value>158</Value>
      <Value>4</Value>
      <Value>19</Value>
    </TaxCatchAll>
    <pa005173035e41c3986b37b8e650f3ef xmlns="814d62cb-2db6-4c25-ab62-b9075facbc11">
      <Terms xmlns="http://schemas.microsoft.com/office/infopath/2007/PartnerControls"/>
    </pa005173035e41c3986b37b8e650f3ef>
    <ka2715b9eb154114a4f57d7fbf82ec75 xmlns="814d62cb-2db6-4c25-ab62-b9075facbc11">
      <Terms xmlns="http://schemas.microsoft.com/office/infopath/2007/PartnerControls"/>
    </ka2715b9eb154114a4f57d7fbf82ec75>
    <l003ee8eff60461aa1bd0027aba92ea4 xmlns="814d62cb-2db6-4c25-ab62-b9075facbc11">
      <Terms xmlns="http://schemas.microsoft.com/office/infopath/2007/PartnerControls"/>
    </l003ee8eff60461aa1bd0027aba92ea4>
    <APRADescription xmlns="814d62cb-2db6-4c25-ab62-b9075facbc11">Explanatory Statement (ES) for Banking, Insurance, Life Insurance and Health Insurance (prudential standard) determination No. 1 of 2017</APRADescription>
    <APRAActivityID xmlns="814d62cb-2db6-4c25-ab62-b9075facbc11" xsi:nil="true"/>
    <p10c80fc2da942ae8f2ea9b33b6ea0ba xmlns="814d62cb-2db6-4c25-ab62-b9075facbc11">
      <Terms xmlns="http://schemas.microsoft.com/office/infopath/2007/PartnerControls">
        <TermInfo xmlns="http://schemas.microsoft.com/office/infopath/2007/PartnerControls">
          <TermName xmlns="http://schemas.microsoft.com/office/infopath/2007/PartnerControls">PAD300</TermName>
          <TermId xmlns="http://schemas.microsoft.com/office/infopath/2007/PartnerControls">98bbdbe4-d019-48eb-87c4-aa31a7f2f98f</TermId>
        </TermInfo>
        <TermInfo xmlns="http://schemas.microsoft.com/office/infopath/2007/PartnerControls">
          <TermName xmlns="http://schemas.microsoft.com/office/infopath/2007/PartnerControls">Legal - ADI</TermName>
          <TermId xmlns="http://schemas.microsoft.com/office/infopath/2007/PartnerControls">652d8d2a-ab45-47b4-ac6e-fe6ac9299b39</TermId>
        </TermInfo>
        <TermInfo xmlns="http://schemas.microsoft.com/office/infopath/2007/PartnerControls">
          <TermName xmlns="http://schemas.microsoft.com/office/infopath/2007/PartnerControls">Legal - Insurance: General</TermName>
          <TermId xmlns="http://schemas.microsoft.com/office/infopath/2007/PartnerControls">8229dc1a-d7f2-47b2-844a-b026fed0c13d</TermId>
        </TermInfo>
        <TermInfo xmlns="http://schemas.microsoft.com/office/infopath/2007/PartnerControls">
          <TermName xmlns="http://schemas.microsoft.com/office/infopath/2007/PartnerControls">Legal - Insurance: Life</TermName>
          <TermId xmlns="http://schemas.microsoft.com/office/infopath/2007/PartnerControls">56f18b50-6605-4f3f-97e3-cad1cb5394e0</TermId>
        </TermInfo>
        <TermInfo xmlns="http://schemas.microsoft.com/office/infopath/2007/PartnerControls">
          <TermName xmlns="http://schemas.microsoft.com/office/infopath/2007/PartnerControls">Legal - Superannuation</TermName>
          <TermId xmlns="http://schemas.microsoft.com/office/infopath/2007/PartnerControls">cce3181d-fd23-4eee-94d3-c66abc2350cf</TermId>
        </TermInfo>
        <TermInfo xmlns="http://schemas.microsoft.com/office/infopath/2007/PartnerControls">
          <TermName xmlns="http://schemas.microsoft.com/office/infopath/2007/PartnerControls">Legal - Corporate and Resolution</TermName>
          <TermId xmlns="http://schemas.microsoft.com/office/infopath/2007/PartnerControls">696624b1-19f4-47b2-a07b-57868a922a96</TermId>
        </TermInfo>
      </Terms>
    </p10c80fc2da942ae8f2ea9b33b6ea0ba>
    <i08e72d8ce2b4ffa9361f9f4e0a63abc xmlns="814d62cb-2db6-4c25-ab62-b9075facbc11">
      <Terms xmlns="http://schemas.microsoft.com/office/infopath/2007/PartnerControls"/>
    </i08e72d8ce2b4ffa9361f9f4e0a63abc>
    <APRADocScanCheck xmlns="814d62cb-2db6-4c25-ab62-b9075facbc11">false</APRADocScanCheck>
    <aa36a5a650d54f768f171f4d17b8b238 xmlns="814d62cb-2db6-4c25-ab62-b9075facbc11">
      <Terms xmlns="http://schemas.microsoft.com/office/infopath/2007/PartnerControls"/>
    </aa36a5a650d54f768f171f4d17b8b238>
    <_dlc_DocId xmlns="814d62cb-2db6-4c25-ab62-b9075facbc11">5JENXJJSCC7A-445999044-2557</_dlc_DocId>
    <_dlc_DocIdUrl xmlns="814d62cb-2db6-4c25-ab62-b9075facbc11">
      <Url>https://im/teams/LEGAL/_layouts/15/DocIdRedir.aspx?ID=5JENXJJSCC7A-445999044-2557</Url>
      <Description>5JENXJJSCC7A-445999044-2557</Description>
    </_dlc_DocIdUrl>
    <APRAMeetingDate xmlns="814d62cb-2db6-4c25-ab62-b9075facbc11" xsi:nil="true"/>
    <APRAMeetingNumber xmlns="814d62cb-2db6-4c25-ab62-b9075facbc11" xsi:nil="true"/>
  </documentManagement>
</p:properties>
</file>

<file path=customXml/item7.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10E97BB-8477-44F6-94CF-B3A4A95F10C6}">
  <ds:schemaRefs>
    <ds:schemaRef ds:uri="http://schemas.microsoft.com/sharepoint/v3/contenttype/forms"/>
  </ds:schemaRefs>
</ds:datastoreItem>
</file>

<file path=customXml/itemProps2.xml><?xml version="1.0" encoding="utf-8"?>
<ds:datastoreItem xmlns:ds="http://schemas.openxmlformats.org/officeDocument/2006/customXml" ds:itemID="{08D004BE-0F74-4743-90AD-5A5BC1CB7B23}">
  <ds:schemaRefs>
    <ds:schemaRef ds:uri="http://schemas.microsoft.com/office/2006/customDocumentInformationPanel"/>
  </ds:schemaRefs>
</ds:datastoreItem>
</file>

<file path=customXml/itemProps3.xml><?xml version="1.0" encoding="utf-8"?>
<ds:datastoreItem xmlns:ds="http://schemas.openxmlformats.org/officeDocument/2006/customXml" ds:itemID="{A3C84825-A9E3-497E-8BFD-53040ABE3674}">
  <ds:schemaRefs>
    <ds:schemaRef ds:uri="http://schemas.microsoft.com/sharepoint/events"/>
  </ds:schemaRefs>
</ds:datastoreItem>
</file>

<file path=customXml/itemProps4.xml><?xml version="1.0" encoding="utf-8"?>
<ds:datastoreItem xmlns:ds="http://schemas.openxmlformats.org/officeDocument/2006/customXml" ds:itemID="{D46914BB-32BC-4B9C-89F7-379D592D1DCE}">
  <ds:schemaRefs>
    <ds:schemaRef ds:uri="Microsoft.SharePoint.Taxonomy.ContentTypeSync"/>
  </ds:schemaRefs>
</ds:datastoreItem>
</file>

<file path=customXml/itemProps5.xml><?xml version="1.0" encoding="utf-8"?>
<ds:datastoreItem xmlns:ds="http://schemas.openxmlformats.org/officeDocument/2006/customXml" ds:itemID="{131088AA-C67F-4CD7-93D0-28CC43969704}"/>
</file>

<file path=customXml/itemProps6.xml><?xml version="1.0" encoding="utf-8"?>
<ds:datastoreItem xmlns:ds="http://schemas.openxmlformats.org/officeDocument/2006/customXml" ds:itemID="{5F7D65E4-C341-4218-93F1-A803338500E7}">
  <ds:schemaRefs>
    <ds:schemaRef ds:uri="http://schemas.openxmlformats.org/package/2006/metadata/core-properties"/>
    <ds:schemaRef ds:uri="http://purl.org/dc/elements/1.1/"/>
    <ds:schemaRef ds:uri="http://schemas.microsoft.com/office/infopath/2007/PartnerControls"/>
    <ds:schemaRef ds:uri="http://purl.org/dc/dcmitype/"/>
    <ds:schemaRef ds:uri="http://purl.org/dc/terms/"/>
    <ds:schemaRef ds:uri="http://schemas.microsoft.com/office/2006/metadata/properties"/>
    <ds:schemaRef ds:uri="http://schemas.microsoft.com/office/2006/documentManagement/types"/>
    <ds:schemaRef ds:uri="814d62cb-2db6-4c25-ab62-b9075facbc11"/>
    <ds:schemaRef ds:uri="http://www.w3.org/XML/1998/namespace"/>
  </ds:schemaRefs>
</ds:datastoreItem>
</file>

<file path=customXml/itemProps7.xml><?xml version="1.0" encoding="utf-8"?>
<ds:datastoreItem xmlns:ds="http://schemas.openxmlformats.org/officeDocument/2006/customXml" ds:itemID="{9094DD99-95CD-4C30-B241-AB3212E2EB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6</Pages>
  <Words>1872</Words>
  <Characters>10862</Characters>
  <Application>Microsoft Office Word</Application>
  <DocSecurity>0</DocSecurity>
  <Lines>190</Lines>
  <Paragraphs>90</Paragraphs>
  <ScaleCrop>false</ScaleCrop>
  <HeadingPairs>
    <vt:vector size="2" baseType="variant">
      <vt:variant>
        <vt:lpstr>Title</vt:lpstr>
      </vt:variant>
      <vt:variant>
        <vt:i4>1</vt:i4>
      </vt:variant>
    </vt:vector>
  </HeadingPairs>
  <TitlesOfParts>
    <vt:vector size="1" baseType="lpstr">
      <vt:lpstr>CPS 220 Explanatory Statement 2017</vt:lpstr>
    </vt:vector>
  </TitlesOfParts>
  <Company>APRA</Company>
  <LinksUpToDate>false</LinksUpToDate>
  <CharactersWithSpaces>12644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ES - Banking, Insurance, Life Insurance and Health Insur (prudential standard) determination No. 1 of 2017</dc:title>
  <dc:subject/>
  <dc:creator>Gray, Annemaree</dc:creator>
  <cp:keywords>[SEC=UNCLASSIFIED]</cp:keywords>
  <dc:description/>
  <cp:lastModifiedBy>Toni Michalis</cp:lastModifiedBy>
  <cp:revision>2</cp:revision>
  <cp:lastPrinted>2017-07-06T02:55:00Z</cp:lastPrinted>
  <dcterms:created xsi:type="dcterms:W3CDTF">2017-07-27T20:47:00Z</dcterms:created>
  <dcterms:modified xsi:type="dcterms:W3CDTF">2017-07-27T20:47:00Z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M_ProtectiveMarkingValue_Footer">
    <vt:lpwstr>UNCLASSIFIED</vt:lpwstr>
  </property>
  <property fmtid="{D5CDD505-2E9C-101B-9397-08002B2CF9AE}" pid="3" name="PM_Caveats_Count">
    <vt:lpwstr>0</vt:lpwstr>
  </property>
  <property fmtid="{D5CDD505-2E9C-101B-9397-08002B2CF9AE}" pid="4" name="PM_Originator_Hash_SHA1">
    <vt:lpwstr>72E4215BDC330D4951586C8783F6288BBF3E4D01</vt:lpwstr>
  </property>
  <property fmtid="{D5CDD505-2E9C-101B-9397-08002B2CF9AE}" pid="5" name="PM_SecurityClassification">
    <vt:lpwstr>UNCLASSIFIED</vt:lpwstr>
  </property>
  <property fmtid="{D5CDD505-2E9C-101B-9397-08002B2CF9AE}" pid="6" name="PM_DisplayValueSecClassificationWithQualifier">
    <vt:lpwstr>UNCLASSIFIED</vt:lpwstr>
  </property>
  <property fmtid="{D5CDD505-2E9C-101B-9397-08002B2CF9AE}" pid="7" name="PM_Qualifier">
    <vt:lpwstr/>
  </property>
  <property fmtid="{D5CDD505-2E9C-101B-9397-08002B2CF9AE}" pid="8" name="PM_Hash_SHA1">
    <vt:lpwstr>1ACAED1F8EAAA8B26EA13AB778C0559CD9E8DE10</vt:lpwstr>
  </property>
  <property fmtid="{D5CDD505-2E9C-101B-9397-08002B2CF9AE}" pid="9" name="PM_ProtectiveMarkingImage_Header">
    <vt:lpwstr>C:\Program Files (x86)\Common Files\janusNET Shared\janusSEAL\Images\DocumentSlashBlue.png</vt:lpwstr>
  </property>
  <property fmtid="{D5CDD505-2E9C-101B-9397-08002B2CF9AE}" pid="10" name="PM_InsertionValue">
    <vt:lpwstr>UNCLASSIFIED</vt:lpwstr>
  </property>
  <property fmtid="{D5CDD505-2E9C-101B-9397-08002B2CF9AE}" pid="11" name="PM_ProtectiveMarkingValue_Header">
    <vt:lpwstr>UNCLASSIFIED</vt:lpwstr>
  </property>
  <property fmtid="{D5CDD505-2E9C-101B-9397-08002B2CF9AE}" pid="12" name="PM_ProtectiveMarkingImage_Footer">
    <vt:lpwstr>C:\Program Files (x86)\Common Files\janusNET Shared\janusSEAL\Images\DocumentSlashBlue.png</vt:lpwstr>
  </property>
  <property fmtid="{D5CDD505-2E9C-101B-9397-08002B2CF9AE}" pid="13" name="PM_Namespace">
    <vt:lpwstr>gov.au</vt:lpwstr>
  </property>
  <property fmtid="{D5CDD505-2E9C-101B-9397-08002B2CF9AE}" pid="14" name="PM_Version">
    <vt:lpwstr>2012.3</vt:lpwstr>
  </property>
  <property fmtid="{D5CDD505-2E9C-101B-9397-08002B2CF9AE}" pid="15" name="PM_Originating_FileId">
    <vt:lpwstr>B27C5C063B7042C883B594F0517ED4B4</vt:lpwstr>
  </property>
  <property fmtid="{D5CDD505-2E9C-101B-9397-08002B2CF9AE}" pid="16" name="PM_OriginationTimeStamp">
    <vt:lpwstr>2017-07-24T21:36:24Z</vt:lpwstr>
  </property>
  <property fmtid="{D5CDD505-2E9C-101B-9397-08002B2CF9AE}" pid="17" name="PM_Hash_Version">
    <vt:lpwstr>2016.1</vt:lpwstr>
  </property>
  <property fmtid="{D5CDD505-2E9C-101B-9397-08002B2CF9AE}" pid="18" name="PM_Hash_Salt_Prev">
    <vt:lpwstr>CD98D66CA98F430CB23C6AF66BA5F82D</vt:lpwstr>
  </property>
  <property fmtid="{D5CDD505-2E9C-101B-9397-08002B2CF9AE}" pid="19" name="PM_Hash_Salt">
    <vt:lpwstr>12B9218A7D3399ABE8C9B8ED83CE4535</vt:lpwstr>
  </property>
  <property fmtid="{D5CDD505-2E9C-101B-9397-08002B2CF9AE}" pid="20" name="PM_MinimumSecurityClassification">
    <vt:lpwstr/>
  </property>
  <property fmtid="{D5CDD505-2E9C-101B-9397-08002B2CF9AE}" pid="21" name="ContentTypeId">
    <vt:lpwstr>0x0101008CA7A4F8331B45C7B0D3158B4994D0CA0200577EC0F5A1FBFC498F9A8436B963F8A6</vt:lpwstr>
  </property>
  <property fmtid="{D5CDD505-2E9C-101B-9397-08002B2CF9AE}" pid="22" name="APRAExternalOrganisation">
    <vt:lpwstr/>
  </property>
  <property fmtid="{D5CDD505-2E9C-101B-9397-08002B2CF9AE}" pid="23" name="APRAIRTR">
    <vt:lpwstr/>
  </property>
  <property fmtid="{D5CDD505-2E9C-101B-9397-08002B2CF9AE}" pid="24" name="APRAPeriod">
    <vt:lpwstr/>
  </property>
  <property fmtid="{D5CDD505-2E9C-101B-9397-08002B2CF9AE}" pid="25" name="APRACostCentre">
    <vt:lpwstr>158;#PAD300|98bbdbe4-d019-48eb-87c4-aa31a7f2f98f;#24;#Legal - ADI|652d8d2a-ab45-47b4-ac6e-fe6ac9299b39;#26;#Legal - Insurance: General|8229dc1a-d7f2-47b2-844a-b026fed0c13d;#83;#Legal - Insurance: Life|56f18b50-6605-4f3f-97e3-cad1cb5394e0;#134;#Legal - Superannuation|cce3181d-fd23-4eee-94d3-c66abc2350cf;#4;#Legal - Corporate and Resolution|696624b1-19f4-47b2-a07b-57868a922a96</vt:lpwstr>
  </property>
  <property fmtid="{D5CDD505-2E9C-101B-9397-08002B2CF9AE}" pid="26" name="IT system type">
    <vt:lpwstr/>
  </property>
  <property fmtid="{D5CDD505-2E9C-101B-9397-08002B2CF9AE}" pid="27" name="APRACategory">
    <vt:lpwstr/>
  </property>
  <property fmtid="{D5CDD505-2E9C-101B-9397-08002B2CF9AE}" pid="28" name="APRAPRSG">
    <vt:lpwstr/>
  </property>
  <property fmtid="{D5CDD505-2E9C-101B-9397-08002B2CF9AE}" pid="29" name="APRAStatus">
    <vt:lpwstr>19;#Final|84d6b2d0-8498-4d62-bf46-bab38babbe9e</vt:lpwstr>
  </property>
  <property fmtid="{D5CDD505-2E9C-101B-9397-08002B2CF9AE}" pid="30" name="APRADocumentType">
    <vt:lpwstr>234;#Explanatory statement|b22f2e2f-3f73-411b-9a7c-34264d26fa25</vt:lpwstr>
  </property>
  <property fmtid="{D5CDD505-2E9C-101B-9397-08002B2CF9AE}" pid="31" name="APRAActivity">
    <vt:lpwstr>109;#Statutory instrument|fe68928c-5a9c-4caf-bc8c-6c18cedcb17f;#10;#Registration|390476ce-d76d-4e8d-905f-28e32d2df127</vt:lpwstr>
  </property>
  <property fmtid="{D5CDD505-2E9C-101B-9397-08002B2CF9AE}" pid="32" name="APRAEntityAdviceSupport">
    <vt:lpwstr/>
  </property>
  <property fmtid="{D5CDD505-2E9C-101B-9397-08002B2CF9AE}" pid="33" name="APRALegislation">
    <vt:lpwstr/>
  </property>
  <property fmtid="{D5CDD505-2E9C-101B-9397-08002B2CF9AE}" pid="34" name="APRAYear">
    <vt:lpwstr/>
  </property>
  <property fmtid="{D5CDD505-2E9C-101B-9397-08002B2CF9AE}" pid="35" name="APRAIndustry">
    <vt:lpwstr/>
  </property>
  <property fmtid="{D5CDD505-2E9C-101B-9397-08002B2CF9AE}" pid="36" name="_dlc_DocIdItemGuid">
    <vt:lpwstr>e9a2c795-0dc0-427e-ae00-134e3a6d0ca3</vt:lpwstr>
  </property>
  <property fmtid="{D5CDD505-2E9C-101B-9397-08002B2CF9AE}" pid="37" name="RecordPoint_WorkflowType">
    <vt:lpwstr>ActiveSubmitStub</vt:lpwstr>
  </property>
  <property fmtid="{D5CDD505-2E9C-101B-9397-08002B2CF9AE}" pid="38" name="RecordPoint_ActiveItemWebId">
    <vt:lpwstr>{75a71c27-8d66-4282-ae60-1bfc22a83be1}</vt:lpwstr>
  </property>
  <property fmtid="{D5CDD505-2E9C-101B-9397-08002B2CF9AE}" pid="39" name="RecordPoint_ActiveItemSiteId">
    <vt:lpwstr>{88691c01-5bbb-4215-adc0-66cb7065b0af}</vt:lpwstr>
  </property>
  <property fmtid="{D5CDD505-2E9C-101B-9397-08002B2CF9AE}" pid="40" name="RecordPoint_ActiveItemListId">
    <vt:lpwstr>{0e59e171-09d8-4401-800a-327154450cb3}</vt:lpwstr>
  </property>
  <property fmtid="{D5CDD505-2E9C-101B-9397-08002B2CF9AE}" pid="41" name="RecordPoint_ActiveItemUniqueId">
    <vt:lpwstr>{e9a2c795-0dc0-427e-ae00-134e3a6d0ca3}</vt:lpwstr>
  </property>
  <property fmtid="{D5CDD505-2E9C-101B-9397-08002B2CF9AE}" pid="42" name="IsLocked">
    <vt:lpwstr>False</vt:lpwstr>
  </property>
  <property fmtid="{D5CDD505-2E9C-101B-9397-08002B2CF9AE}" pid="43" name="RecordPoint_SubmissionCompleted">
    <vt:lpwstr>2017-07-28T07:39:25.2232654+10:00</vt:lpwstr>
  </property>
  <property fmtid="{D5CDD505-2E9C-101B-9397-08002B2CF9AE}" pid="44" name="RecordPoint_RecordNumberSubmitted">
    <vt:lpwstr>R0000157941</vt:lpwstr>
  </property>
  <property fmtid="{D5CDD505-2E9C-101B-9397-08002B2CF9AE}" pid="45" name="PM_SecurityClassification_Prev">
    <vt:lpwstr>UNCLASSIFIED</vt:lpwstr>
  </property>
  <property fmtid="{D5CDD505-2E9C-101B-9397-08002B2CF9AE}" pid="46" name="PM_Qualifier_Prev">
    <vt:lpwstr/>
  </property>
  <property fmtid="{D5CDD505-2E9C-101B-9397-08002B2CF9AE}" pid="47" name="RecordPoint_SubmissionDate">
    <vt:lpwstr/>
  </property>
  <property fmtid="{D5CDD505-2E9C-101B-9397-08002B2CF9AE}" pid="48" name="RecordPoint_ActiveItemMoved">
    <vt:lpwstr/>
  </property>
  <property fmtid="{D5CDD505-2E9C-101B-9397-08002B2CF9AE}" pid="49" name="RecordPoint_RecordFormat">
    <vt:lpwstr/>
  </property>
</Properties>
</file>