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75D28" w14:textId="7EF0E922" w:rsidR="00CD4FA5" w:rsidRDefault="009E08E4" w:rsidP="00CD4FA5">
      <w:pPr>
        <w:tabs>
          <w:tab w:val="right" w:pos="8312"/>
        </w:tabs>
        <w:rPr>
          <w:b/>
        </w:rPr>
      </w:pPr>
      <w:bookmarkStart w:id="0" w:name="_GoBack"/>
      <w:bookmarkEnd w:id="0"/>
      <w:r>
        <w:rPr>
          <w:rFonts w:ascii="Arial Narrow" w:hAnsi="Arial Narrow"/>
          <w:b/>
          <w:noProof/>
          <w:color w:val="C86464"/>
          <w:sz w:val="36"/>
          <w:szCs w:val="36"/>
          <w:lang w:eastAsia="en-AU"/>
        </w:rPr>
        <w:pict w14:anchorId="07F28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4.1pt;height:53.2pt;visibility:visible;mso-wrap-style:square">
            <v:imagedata r:id="rId9" o:title="AUSTRAC_inlineShort"/>
          </v:shape>
        </w:pict>
      </w:r>
      <w:r w:rsidR="00CD4FA5">
        <w:rPr>
          <w:b/>
        </w:rPr>
        <w:tab/>
      </w:r>
    </w:p>
    <w:p w14:paraId="6D30DB4B" w14:textId="77777777" w:rsidR="00CD4FA5" w:rsidRPr="00051713" w:rsidRDefault="00CD4FA5" w:rsidP="00CD4FA5">
      <w:pPr>
        <w:rPr>
          <w:rFonts w:ascii="Times New Roman" w:hAnsi="Times New Roman"/>
          <w:b/>
          <w:sz w:val="24"/>
        </w:rPr>
      </w:pPr>
    </w:p>
    <w:p w14:paraId="0659BD51" w14:textId="51CB83A3" w:rsidR="00CD4FA5" w:rsidRDefault="00CD4FA5" w:rsidP="00CD4FA5">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w:t>
      </w:r>
      <w:proofErr w:type="gramStart"/>
      <w:r w:rsidRPr="00CD4FA5">
        <w:rPr>
          <w:rFonts w:ascii="Times New Roman" w:hAnsi="Times New Roman"/>
          <w:b/>
          <w:i/>
          <w:sz w:val="24"/>
        </w:rPr>
        <w:t>Laundering</w:t>
      </w:r>
      <w:proofErr w:type="gramEnd"/>
      <w:r w:rsidRPr="00CD4FA5">
        <w:rPr>
          <w:rFonts w:ascii="Times New Roman" w:hAnsi="Times New Roman"/>
          <w:b/>
          <w:i/>
          <w:sz w:val="24"/>
        </w:rPr>
        <w:t xml:space="preserve"> and Counter-Terrorism Financing Rules Amendment Instrument 2017 (No. </w:t>
      </w:r>
      <w:r w:rsidR="009370BC">
        <w:rPr>
          <w:rFonts w:ascii="Times New Roman" w:hAnsi="Times New Roman"/>
          <w:b/>
          <w:i/>
          <w:sz w:val="24"/>
        </w:rPr>
        <w:t>3</w:t>
      </w:r>
      <w:r w:rsidRPr="00CD4FA5">
        <w:rPr>
          <w:rFonts w:ascii="Times New Roman" w:hAnsi="Times New Roman"/>
          <w:b/>
          <w:i/>
          <w:sz w:val="24"/>
        </w:rPr>
        <w:t xml:space="preserve">)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w:t>
      </w:r>
      <w:r w:rsidR="00DE4DCD">
        <w:rPr>
          <w:rFonts w:ascii="Times New Roman" w:hAnsi="Times New Roman"/>
          <w:b/>
          <w:i/>
          <w:sz w:val="24"/>
        </w:rPr>
        <w:t>1</w:t>
      </w:r>
      <w:r w:rsidRPr="00CD4FA5">
        <w:rPr>
          <w:rFonts w:ascii="Times New Roman" w:hAnsi="Times New Roman"/>
          <w:b/>
          <w:i/>
          <w:sz w:val="24"/>
        </w:rPr>
        <w:t xml:space="preserve">) </w:t>
      </w:r>
    </w:p>
    <w:p w14:paraId="588032C7" w14:textId="170BD1FA" w:rsidR="00CD4FA5" w:rsidRDefault="00CD4FA5" w:rsidP="00A247CD">
      <w:pPr>
        <w:spacing w:before="240"/>
        <w:rPr>
          <w:rFonts w:ascii="Times New Roman" w:hAnsi="Times New Roman"/>
          <w:b/>
          <w:sz w:val="24"/>
        </w:rPr>
      </w:pPr>
      <w:proofErr w:type="gramStart"/>
      <w:r w:rsidRPr="00CD4FA5">
        <w:rPr>
          <w:rFonts w:ascii="Times New Roman" w:hAnsi="Times New Roman"/>
          <w:b/>
          <w:sz w:val="24"/>
        </w:rPr>
        <w:t>Purpose and operation of Anti-Money Laundering/Counter</w:t>
      </w:r>
      <w:r w:rsidRPr="00CD4FA5">
        <w:rPr>
          <w:rFonts w:ascii="Times New Roman" w:hAnsi="Times New Roman"/>
          <w:b/>
          <w:sz w:val="24"/>
        </w:rPr>
        <w:noBreakHyphen/>
        <w:t xml:space="preserve">Terrorism Financing Rules (AML/CTF Rules) amending Chapter </w:t>
      </w:r>
      <w:r w:rsidR="009370BC">
        <w:rPr>
          <w:rFonts w:ascii="Times New Roman" w:hAnsi="Times New Roman"/>
          <w:b/>
          <w:sz w:val="24"/>
        </w:rPr>
        <w:t>51</w:t>
      </w:r>
      <w:r w:rsidRPr="00CD4FA5">
        <w:rPr>
          <w:rFonts w:ascii="Times New Roman" w:hAnsi="Times New Roman"/>
          <w:b/>
          <w:sz w:val="24"/>
        </w:rPr>
        <w:t>.</w:t>
      </w:r>
      <w:proofErr w:type="gramEnd"/>
      <w:r w:rsidRPr="00CD4FA5">
        <w:rPr>
          <w:rFonts w:ascii="Times New Roman" w:hAnsi="Times New Roman"/>
          <w:b/>
          <w:sz w:val="24"/>
        </w:rPr>
        <w:t xml:space="preserve"> </w:t>
      </w:r>
    </w:p>
    <w:p w14:paraId="7A635189" w14:textId="77777777" w:rsidR="00D35BB5" w:rsidRDefault="00D35BB5" w:rsidP="00A247CD">
      <w:pPr>
        <w:spacing w:before="240"/>
        <w:rPr>
          <w:rFonts w:ascii="Times New Roman" w:hAnsi="Times New Roman"/>
          <w:b/>
          <w:sz w:val="24"/>
        </w:rPr>
      </w:pPr>
    </w:p>
    <w:p w14:paraId="4928DD40" w14:textId="77777777" w:rsidR="00CD4FA5" w:rsidRDefault="00CD4FA5" w:rsidP="00CD4FA5">
      <w:pPr>
        <w:numPr>
          <w:ilvl w:val="0"/>
          <w:numId w:val="2"/>
        </w:numPr>
        <w:autoSpaceDE w:val="0"/>
        <w:autoSpaceDN w:val="0"/>
        <w:adjustRightInd w:val="0"/>
        <w:spacing w:before="120"/>
        <w:ind w:hanging="720"/>
        <w:rPr>
          <w:rFonts w:ascii="Times New Roman" w:hAnsi="Times New Roman"/>
          <w:sz w:val="24"/>
        </w:rPr>
      </w:pPr>
      <w:r w:rsidRPr="00CD4FA5">
        <w:rPr>
          <w:rFonts w:ascii="Times New Roman" w:hAnsi="Times New Roman"/>
          <w:sz w:val="24"/>
        </w:rPr>
        <w:t xml:space="preserve">Section 229 of the </w:t>
      </w:r>
      <w:r w:rsidRPr="00CD4FA5">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01A4A023" w14:textId="23A000A9" w:rsidR="008B3190" w:rsidRPr="008B3190" w:rsidRDefault="008B3190" w:rsidP="008B3190">
      <w:pPr>
        <w:autoSpaceDE w:val="0"/>
        <w:autoSpaceDN w:val="0"/>
        <w:adjustRightInd w:val="0"/>
        <w:spacing w:before="120"/>
        <w:rPr>
          <w:rFonts w:ascii="Times New Roman" w:hAnsi="Times New Roman"/>
          <w:b/>
          <w:sz w:val="24"/>
        </w:rPr>
      </w:pPr>
      <w:r w:rsidRPr="008B3190">
        <w:rPr>
          <w:rFonts w:ascii="Times New Roman" w:hAnsi="Times New Roman"/>
          <w:b/>
          <w:sz w:val="24"/>
        </w:rPr>
        <w:t>Background</w:t>
      </w:r>
    </w:p>
    <w:p w14:paraId="7F7CBCB6" w14:textId="6AA4CCEC" w:rsidR="00025C34" w:rsidRDefault="00025C34" w:rsidP="00025C34">
      <w:pPr>
        <w:spacing w:before="240"/>
        <w:ind w:left="720" w:hanging="720"/>
        <w:rPr>
          <w:rFonts w:ascii="Times New Roman" w:hAnsi="Times New Roman"/>
          <w:sz w:val="24"/>
        </w:rPr>
      </w:pPr>
      <w:r>
        <w:rPr>
          <w:rFonts w:ascii="Times New Roman" w:hAnsi="Times New Roman"/>
          <w:sz w:val="24"/>
        </w:rPr>
        <w:t>2</w:t>
      </w:r>
      <w:r w:rsidRPr="00025C34">
        <w:rPr>
          <w:rFonts w:ascii="Times New Roman" w:hAnsi="Times New Roman"/>
          <w:sz w:val="24"/>
        </w:rPr>
        <w:t>.</w:t>
      </w:r>
      <w:r w:rsidRPr="00025C34">
        <w:rPr>
          <w:rFonts w:ascii="Times New Roman" w:hAnsi="Times New Roman"/>
          <w:sz w:val="24"/>
        </w:rPr>
        <w:tab/>
        <w:t xml:space="preserve">Part 51.3 was inserted into Chapter 51 in 2012 to address an anomaly whereby International Funds Transfer Instructions (IFTIs) between PayPal Australia and PayPal Europe were reportable to AUSTRAC, whereas those between PayPal Australia and PayPal USA and PayPal Singapore were not. </w:t>
      </w:r>
    </w:p>
    <w:p w14:paraId="47E2F77D" w14:textId="77777777" w:rsidR="00025C34" w:rsidRDefault="00025C34" w:rsidP="00025C34">
      <w:pPr>
        <w:pStyle w:val="Header"/>
        <w:ind w:left="709" w:hanging="709"/>
        <w:rPr>
          <w:rFonts w:ascii="Times New Roman" w:hAnsi="Times New Roman"/>
          <w:sz w:val="24"/>
        </w:rPr>
      </w:pPr>
    </w:p>
    <w:p w14:paraId="24F96BA2" w14:textId="76B1050D" w:rsidR="00025C34" w:rsidRDefault="00025C34" w:rsidP="00025C34">
      <w:pPr>
        <w:pStyle w:val="Header"/>
        <w:ind w:left="709" w:hanging="709"/>
        <w:rPr>
          <w:rFonts w:ascii="Times New Roman" w:hAnsi="Times New Roman"/>
          <w:sz w:val="24"/>
        </w:rPr>
      </w:pPr>
      <w:r>
        <w:rPr>
          <w:rFonts w:ascii="Times New Roman" w:hAnsi="Times New Roman"/>
          <w:sz w:val="24"/>
        </w:rPr>
        <w:t>3</w:t>
      </w:r>
      <w:r w:rsidRPr="00025C34">
        <w:rPr>
          <w:rFonts w:ascii="Times New Roman" w:hAnsi="Times New Roman"/>
          <w:sz w:val="24"/>
        </w:rPr>
        <w:t>.</w:t>
      </w:r>
      <w:r w:rsidRPr="00025C34">
        <w:rPr>
          <w:rFonts w:ascii="Times New Roman" w:hAnsi="Times New Roman"/>
          <w:sz w:val="24"/>
        </w:rPr>
        <w:tab/>
        <w:t xml:space="preserve">This anomaly arose </w:t>
      </w:r>
      <w:r>
        <w:rPr>
          <w:rFonts w:ascii="Times New Roman" w:hAnsi="Times New Roman"/>
          <w:sz w:val="24"/>
        </w:rPr>
        <w:t>as</w:t>
      </w:r>
      <w:r w:rsidRPr="00025C34">
        <w:rPr>
          <w:rFonts w:ascii="Times New Roman" w:hAnsi="Times New Roman"/>
          <w:sz w:val="24"/>
        </w:rPr>
        <w:t xml:space="preserve"> PayPal Australia is a ‘financial institution’</w:t>
      </w:r>
      <w:r w:rsidRPr="00025C34">
        <w:rPr>
          <w:rStyle w:val="FootnoteReference"/>
          <w:rFonts w:ascii="Times New Roman" w:hAnsi="Times New Roman"/>
          <w:sz w:val="24"/>
        </w:rPr>
        <w:footnoteReference w:id="1"/>
      </w:r>
      <w:r w:rsidRPr="00025C34">
        <w:rPr>
          <w:rFonts w:ascii="Times New Roman" w:hAnsi="Times New Roman"/>
          <w:sz w:val="24"/>
        </w:rPr>
        <w:t xml:space="preserve"> under the AML/CTF Act because it is an authorised deposit-taking institution (ADI).  As a result PayPal Australia can only send or receive an IFTI – Electronic (IFTI-E) (which are reported under Chapter 16 of the AML/CTF Rules).  This means that PayPal Australia transactions with PayPal Europe are rep</w:t>
      </w:r>
      <w:r w:rsidR="00767078">
        <w:rPr>
          <w:rFonts w:ascii="Times New Roman" w:hAnsi="Times New Roman"/>
          <w:sz w:val="24"/>
        </w:rPr>
        <w:t xml:space="preserve">ortable as PayPal Europe is a </w:t>
      </w:r>
      <w:r w:rsidRPr="00025C34">
        <w:rPr>
          <w:rFonts w:ascii="Times New Roman" w:hAnsi="Times New Roman"/>
          <w:sz w:val="24"/>
        </w:rPr>
        <w:t>financial institution (ADI) because it is a bank licensed in Luxembourg.</w:t>
      </w:r>
    </w:p>
    <w:p w14:paraId="3221706E" w14:textId="77777777" w:rsidR="00025C34" w:rsidRPr="00025C34" w:rsidRDefault="00025C34" w:rsidP="00025C34">
      <w:pPr>
        <w:pStyle w:val="Header"/>
        <w:ind w:left="709" w:hanging="709"/>
        <w:rPr>
          <w:rFonts w:ascii="Times New Roman" w:hAnsi="Times New Roman"/>
          <w:sz w:val="24"/>
        </w:rPr>
      </w:pPr>
    </w:p>
    <w:p w14:paraId="0FA2F714" w14:textId="5C3342AC" w:rsidR="00025C34" w:rsidRDefault="00025C34" w:rsidP="00025C34">
      <w:pPr>
        <w:pStyle w:val="Header"/>
        <w:ind w:left="709" w:hanging="709"/>
        <w:rPr>
          <w:rFonts w:ascii="Times New Roman" w:hAnsi="Times New Roman"/>
          <w:sz w:val="24"/>
        </w:rPr>
      </w:pPr>
      <w:r>
        <w:rPr>
          <w:rFonts w:ascii="Times New Roman" w:hAnsi="Times New Roman"/>
          <w:sz w:val="24"/>
        </w:rPr>
        <w:t>4</w:t>
      </w:r>
      <w:r w:rsidRPr="00025C34">
        <w:rPr>
          <w:rFonts w:ascii="Times New Roman" w:hAnsi="Times New Roman"/>
          <w:sz w:val="24"/>
        </w:rPr>
        <w:t>.</w:t>
      </w:r>
      <w:r w:rsidRPr="00025C34">
        <w:rPr>
          <w:rFonts w:ascii="Times New Roman" w:hAnsi="Times New Roman"/>
          <w:sz w:val="24"/>
        </w:rPr>
        <w:tab/>
        <w:t>However, neither PayP</w:t>
      </w:r>
      <w:r>
        <w:rPr>
          <w:rFonts w:ascii="Times New Roman" w:hAnsi="Times New Roman"/>
          <w:sz w:val="24"/>
        </w:rPr>
        <w:t>al USA nor PayPal Singapore are</w:t>
      </w:r>
      <w:r w:rsidRPr="00025C34">
        <w:rPr>
          <w:rFonts w:ascii="Times New Roman" w:hAnsi="Times New Roman"/>
          <w:sz w:val="24"/>
        </w:rPr>
        <w:t xml:space="preserve"> financial institutions and therefore these transactions with PayPal Australia cannot be reportable as IFTI-Es.  These transactions were also not reportable under Chapter 17 of the AML/CTF Rules as IFTI – Designated Remittance Arrangements (IFTI-DRAs) because these reports must be between ‘non-financiers’</w:t>
      </w:r>
      <w:r w:rsidRPr="00025C34">
        <w:rPr>
          <w:rStyle w:val="FootnoteReference"/>
          <w:rFonts w:ascii="Times New Roman" w:hAnsi="Times New Roman"/>
          <w:sz w:val="24"/>
        </w:rPr>
        <w:footnoteReference w:id="2"/>
      </w:r>
      <w:r w:rsidRPr="00025C34">
        <w:rPr>
          <w:rFonts w:ascii="Times New Roman" w:hAnsi="Times New Roman"/>
          <w:sz w:val="24"/>
        </w:rPr>
        <w:t>.</w:t>
      </w:r>
    </w:p>
    <w:p w14:paraId="693D53D8" w14:textId="77777777" w:rsidR="00025C34" w:rsidRPr="00025C34" w:rsidRDefault="00025C34" w:rsidP="00025C34">
      <w:pPr>
        <w:pStyle w:val="Header"/>
        <w:ind w:left="709" w:hanging="709"/>
        <w:rPr>
          <w:rFonts w:ascii="Times New Roman" w:hAnsi="Times New Roman"/>
          <w:sz w:val="24"/>
        </w:rPr>
      </w:pPr>
    </w:p>
    <w:p w14:paraId="79ED69D8" w14:textId="6ED14621" w:rsidR="00025C34" w:rsidRDefault="00025C34" w:rsidP="00025C34">
      <w:pPr>
        <w:pStyle w:val="Header"/>
        <w:ind w:left="709" w:hanging="709"/>
        <w:rPr>
          <w:rFonts w:ascii="Times New Roman" w:hAnsi="Times New Roman"/>
          <w:sz w:val="24"/>
        </w:rPr>
      </w:pPr>
      <w:r>
        <w:rPr>
          <w:rFonts w:ascii="Times New Roman" w:hAnsi="Times New Roman"/>
          <w:sz w:val="24"/>
        </w:rPr>
        <w:t>5</w:t>
      </w:r>
      <w:r w:rsidRPr="00025C34">
        <w:rPr>
          <w:rFonts w:ascii="Times New Roman" w:hAnsi="Times New Roman"/>
          <w:sz w:val="24"/>
        </w:rPr>
        <w:t>.</w:t>
      </w:r>
      <w:r w:rsidRPr="00025C34">
        <w:rPr>
          <w:rFonts w:ascii="Times New Roman" w:hAnsi="Times New Roman"/>
          <w:sz w:val="24"/>
        </w:rPr>
        <w:tab/>
        <w:t>To resolve this anomaly, Part 51.3 of Chapter 51 specified PayPal USA and PayPal Singapore as both ordering and beneficiary institutions (in effect making them financial institutions) thereby making the transactions between PayPal Australia and PayPal US and PayPal Singapore reportable to AUSTRAC as IFTI-Es under Chapter 16.</w:t>
      </w:r>
    </w:p>
    <w:p w14:paraId="4C4611BC" w14:textId="7822EC54" w:rsidR="008B3190" w:rsidRPr="008B3190" w:rsidRDefault="008B3190" w:rsidP="00025C34">
      <w:pPr>
        <w:pStyle w:val="Header"/>
        <w:ind w:left="709" w:hanging="709"/>
        <w:rPr>
          <w:rFonts w:ascii="Times New Roman" w:hAnsi="Times New Roman"/>
          <w:b/>
          <w:sz w:val="24"/>
        </w:rPr>
      </w:pPr>
      <w:r w:rsidRPr="008B3190">
        <w:rPr>
          <w:rFonts w:ascii="Times New Roman" w:hAnsi="Times New Roman"/>
          <w:b/>
          <w:sz w:val="24"/>
        </w:rPr>
        <w:lastRenderedPageBreak/>
        <w:t>New Amendments to Chapter 51</w:t>
      </w:r>
    </w:p>
    <w:p w14:paraId="2429F183" w14:textId="77777777" w:rsidR="008B3190" w:rsidRPr="00025C34" w:rsidRDefault="008B3190" w:rsidP="00025C34">
      <w:pPr>
        <w:pStyle w:val="Header"/>
        <w:ind w:left="709" w:hanging="709"/>
        <w:rPr>
          <w:rFonts w:ascii="Times New Roman" w:hAnsi="Times New Roman"/>
          <w:sz w:val="24"/>
        </w:rPr>
      </w:pPr>
    </w:p>
    <w:p w14:paraId="24026A6C" w14:textId="1C2788F8" w:rsidR="00025C34" w:rsidRDefault="00025C34" w:rsidP="00025C34">
      <w:pPr>
        <w:pStyle w:val="Header"/>
        <w:ind w:left="709" w:hanging="709"/>
        <w:rPr>
          <w:rFonts w:ascii="Times New Roman" w:hAnsi="Times New Roman"/>
          <w:sz w:val="24"/>
        </w:rPr>
      </w:pPr>
      <w:r>
        <w:rPr>
          <w:rFonts w:ascii="Times New Roman" w:hAnsi="Times New Roman"/>
          <w:sz w:val="24"/>
        </w:rPr>
        <w:t>6</w:t>
      </w:r>
      <w:r w:rsidRPr="00025C34">
        <w:rPr>
          <w:rFonts w:ascii="Times New Roman" w:hAnsi="Times New Roman"/>
          <w:sz w:val="24"/>
        </w:rPr>
        <w:t>.</w:t>
      </w:r>
      <w:r w:rsidRPr="00025C34">
        <w:rPr>
          <w:rFonts w:ascii="Times New Roman" w:hAnsi="Times New Roman"/>
          <w:sz w:val="24"/>
        </w:rPr>
        <w:tab/>
        <w:t xml:space="preserve">In November 2016, the Hong Kong Monetary Authority licenced PayPal Hong Kong as a Stored Value Facility Licensee. As a result PayPal transactions that related to Hong Kong and which were previously processed by PayPal Singapore are now processed by PayPal Hong Kong. This created a ‘reporting gap’ </w:t>
      </w:r>
      <w:r w:rsidR="007C501A">
        <w:rPr>
          <w:rFonts w:ascii="Times New Roman" w:hAnsi="Times New Roman"/>
          <w:sz w:val="24"/>
        </w:rPr>
        <w:t xml:space="preserve">to AUSTRAC </w:t>
      </w:r>
      <w:r w:rsidRPr="00025C34">
        <w:rPr>
          <w:rFonts w:ascii="Times New Roman" w:hAnsi="Times New Roman"/>
          <w:sz w:val="24"/>
        </w:rPr>
        <w:t>whereby PayPal Australia is a financial institution but PayPal Hong Kong is not as it is a non-financier.</w:t>
      </w:r>
    </w:p>
    <w:p w14:paraId="082BA9E1" w14:textId="77777777" w:rsidR="00025C34" w:rsidRPr="00025C34" w:rsidRDefault="00025C34" w:rsidP="00025C34">
      <w:pPr>
        <w:pStyle w:val="Header"/>
        <w:ind w:left="709" w:hanging="709"/>
        <w:rPr>
          <w:rFonts w:ascii="Times New Roman" w:hAnsi="Times New Roman"/>
          <w:sz w:val="24"/>
        </w:rPr>
      </w:pPr>
    </w:p>
    <w:p w14:paraId="65A685C4" w14:textId="403C9CB1" w:rsidR="00025C34" w:rsidRDefault="007C501A" w:rsidP="00025C34">
      <w:pPr>
        <w:pStyle w:val="Header"/>
        <w:ind w:left="709" w:hanging="709"/>
        <w:rPr>
          <w:rFonts w:ascii="Times New Roman" w:hAnsi="Times New Roman"/>
          <w:sz w:val="24"/>
        </w:rPr>
      </w:pPr>
      <w:r>
        <w:rPr>
          <w:rFonts w:ascii="Times New Roman" w:hAnsi="Times New Roman"/>
          <w:sz w:val="24"/>
        </w:rPr>
        <w:t>7</w:t>
      </w:r>
      <w:r w:rsidR="00025C34" w:rsidRPr="00025C34">
        <w:rPr>
          <w:rFonts w:ascii="Times New Roman" w:hAnsi="Times New Roman"/>
          <w:sz w:val="24"/>
        </w:rPr>
        <w:t>.</w:t>
      </w:r>
      <w:r w:rsidR="00025C34" w:rsidRPr="00025C34">
        <w:rPr>
          <w:rFonts w:ascii="Times New Roman" w:hAnsi="Times New Roman"/>
          <w:sz w:val="24"/>
        </w:rPr>
        <w:tab/>
        <w:t xml:space="preserve">To capture the IFTI transactions between PayPal Australia and PayPal Hong Kong, amendments to Chapter 51 have been made specifying PayPal Hong Kong as both an ordering and beneficiary institution under section 8 (person-to-person electronic funds transfer instructions) and section 9 (same-person electronic funds transfer instructions) of the AML/CTF Act.  </w:t>
      </w:r>
    </w:p>
    <w:p w14:paraId="1CD7D488" w14:textId="77777777" w:rsidR="00025C34" w:rsidRPr="00025C34" w:rsidRDefault="00025C34" w:rsidP="00025C34">
      <w:pPr>
        <w:pStyle w:val="Header"/>
        <w:ind w:left="709" w:hanging="709"/>
        <w:rPr>
          <w:rFonts w:ascii="Times New Roman" w:hAnsi="Times New Roman"/>
          <w:sz w:val="24"/>
        </w:rPr>
      </w:pPr>
    </w:p>
    <w:p w14:paraId="406699A1" w14:textId="64D841F0" w:rsidR="00025C34" w:rsidRPr="00025C34" w:rsidRDefault="007C501A" w:rsidP="00025C34">
      <w:pPr>
        <w:pStyle w:val="Header"/>
        <w:ind w:left="709" w:hanging="709"/>
        <w:rPr>
          <w:rFonts w:ascii="Times New Roman" w:hAnsi="Times New Roman"/>
          <w:sz w:val="24"/>
        </w:rPr>
      </w:pPr>
      <w:r>
        <w:rPr>
          <w:rFonts w:ascii="Times New Roman" w:hAnsi="Times New Roman"/>
          <w:sz w:val="24"/>
        </w:rPr>
        <w:t>8</w:t>
      </w:r>
      <w:r w:rsidR="00025C34" w:rsidRPr="00025C34">
        <w:rPr>
          <w:rFonts w:ascii="Times New Roman" w:hAnsi="Times New Roman"/>
          <w:sz w:val="24"/>
        </w:rPr>
        <w:t>.</w:t>
      </w:r>
      <w:r w:rsidR="00025C34" w:rsidRPr="00025C34">
        <w:rPr>
          <w:rFonts w:ascii="Times New Roman" w:hAnsi="Times New Roman"/>
          <w:sz w:val="24"/>
        </w:rPr>
        <w:tab/>
        <w:t>Accordingly, PayPal Hong Kong is now a financial institution for the purposes of the AML/CTF Rules and therefore will report IFTI-E transactions under Chapter 16.</w:t>
      </w:r>
    </w:p>
    <w:p w14:paraId="0C18AF16" w14:textId="7B2365E9" w:rsidR="00CD4FA5" w:rsidRPr="00CD4FA5" w:rsidRDefault="00CD4FA5" w:rsidP="009370BC">
      <w:pPr>
        <w:spacing w:before="240"/>
        <w:rPr>
          <w:rFonts w:ascii="Times New Roman" w:hAnsi="Times New Roman"/>
          <w:b/>
          <w:i/>
          <w:sz w:val="24"/>
          <w:lang w:eastAsia="en-AU"/>
        </w:rPr>
      </w:pPr>
      <w:r w:rsidRPr="00CD4FA5">
        <w:rPr>
          <w:rFonts w:ascii="Times New Roman" w:hAnsi="Times New Roman"/>
          <w:b/>
          <w:sz w:val="24"/>
          <w:lang w:eastAsia="en-AU"/>
        </w:rPr>
        <w:t xml:space="preserve">Statement of Compatibility with the </w:t>
      </w:r>
      <w:r w:rsidRPr="00CD4FA5">
        <w:rPr>
          <w:rFonts w:ascii="Times New Roman" w:hAnsi="Times New Roman"/>
          <w:b/>
          <w:i/>
          <w:sz w:val="24"/>
          <w:lang w:eastAsia="en-AU"/>
        </w:rPr>
        <w:t>Human Rights (Parliamentary Scrutiny) Act 2011</w:t>
      </w:r>
    </w:p>
    <w:p w14:paraId="19A1D42A" w14:textId="147D9F8D" w:rsidR="00CD4FA5" w:rsidRPr="00CD4FA5" w:rsidRDefault="007C501A" w:rsidP="00A247CD">
      <w:pPr>
        <w:autoSpaceDE w:val="0"/>
        <w:autoSpaceDN w:val="0"/>
        <w:adjustRightInd w:val="0"/>
        <w:spacing w:before="240"/>
        <w:ind w:left="709" w:hanging="709"/>
        <w:rPr>
          <w:rFonts w:ascii="Times New Roman" w:hAnsi="Times New Roman"/>
          <w:sz w:val="24"/>
        </w:rPr>
      </w:pPr>
      <w:r>
        <w:rPr>
          <w:rFonts w:ascii="Times New Roman" w:hAnsi="Times New Roman"/>
          <w:sz w:val="24"/>
        </w:rPr>
        <w:t>9</w:t>
      </w:r>
      <w:r w:rsidR="00CD4FA5" w:rsidRPr="00CD4FA5">
        <w:rPr>
          <w:rFonts w:ascii="Times New Roman" w:hAnsi="Times New Roman"/>
          <w:sz w:val="24"/>
        </w:rPr>
        <w:t>.</w:t>
      </w:r>
      <w:r w:rsidR="00CD4FA5" w:rsidRPr="00CD4FA5">
        <w:rPr>
          <w:rFonts w:ascii="Times New Roman" w:hAnsi="Times New Roman"/>
          <w:sz w:val="24"/>
        </w:rPr>
        <w:tab/>
        <w:t xml:space="preserve">The </w:t>
      </w:r>
      <w:r w:rsidR="00CD4FA5" w:rsidRPr="00CD4FA5">
        <w:rPr>
          <w:rFonts w:ascii="Times New Roman" w:hAnsi="Times New Roman"/>
          <w:i/>
          <w:sz w:val="24"/>
        </w:rPr>
        <w:t>Human Rights (Parliamentary Scrutiny) Act 2011</w:t>
      </w:r>
      <w:r w:rsidR="00CD4FA5"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70551277" w14:textId="6EF36114" w:rsidR="00CD4FA5" w:rsidRPr="00CD4FA5" w:rsidRDefault="00025C34" w:rsidP="00A247CD">
      <w:pPr>
        <w:spacing w:before="240"/>
        <w:ind w:left="720" w:hanging="720"/>
        <w:rPr>
          <w:rFonts w:ascii="Times New Roman" w:hAnsi="Times New Roman"/>
          <w:sz w:val="24"/>
        </w:rPr>
      </w:pPr>
      <w:r>
        <w:rPr>
          <w:rFonts w:ascii="Times New Roman" w:hAnsi="Times New Roman"/>
          <w:sz w:val="24"/>
        </w:rPr>
        <w:t>1</w:t>
      </w:r>
      <w:r w:rsidR="007C501A">
        <w:rPr>
          <w:rFonts w:ascii="Times New Roman" w:hAnsi="Times New Roman"/>
          <w:sz w:val="24"/>
        </w:rPr>
        <w:t>0</w:t>
      </w:r>
      <w:r w:rsidR="00CD4FA5" w:rsidRPr="00CD4FA5">
        <w:rPr>
          <w:rFonts w:ascii="Times New Roman" w:hAnsi="Times New Roman"/>
          <w:sz w:val="24"/>
        </w:rPr>
        <w:t>.</w:t>
      </w:r>
      <w:r w:rsidR="00CD4FA5" w:rsidRPr="00CD4FA5">
        <w:rPr>
          <w:rFonts w:ascii="Times New Roman" w:hAnsi="Times New Roman"/>
          <w:sz w:val="24"/>
        </w:rPr>
        <w:tab/>
        <w:t xml:space="preserve">The Statement of Compatibility for the </w:t>
      </w:r>
      <w:r w:rsidR="00CD4FA5" w:rsidRPr="00CD4FA5">
        <w:rPr>
          <w:rFonts w:ascii="Times New Roman" w:hAnsi="Times New Roman"/>
          <w:i/>
          <w:sz w:val="24"/>
        </w:rPr>
        <w:t xml:space="preserve">Anti-Money Laundering and Counter-Terrorism Financing Rules Amendment Instrument 2017 (No. </w:t>
      </w:r>
      <w:r w:rsidR="009370BC">
        <w:rPr>
          <w:rFonts w:ascii="Times New Roman" w:hAnsi="Times New Roman"/>
          <w:i/>
          <w:sz w:val="24"/>
        </w:rPr>
        <w:t>3</w:t>
      </w:r>
      <w:r w:rsidR="00CD4FA5" w:rsidRPr="00CD4FA5">
        <w:rPr>
          <w:rFonts w:ascii="Times New Roman" w:hAnsi="Times New Roman"/>
          <w:i/>
          <w:sz w:val="24"/>
        </w:rPr>
        <w:t>)</w:t>
      </w:r>
      <w:r w:rsidR="00CD4FA5" w:rsidRPr="00CD4FA5">
        <w:rPr>
          <w:rFonts w:ascii="Times New Roman" w:hAnsi="Times New Roman"/>
          <w:sz w:val="24"/>
        </w:rPr>
        <w:t xml:space="preserve"> is included in this Explanatory Statement at page </w:t>
      </w:r>
      <w:r w:rsidR="008B3190">
        <w:rPr>
          <w:rFonts w:ascii="Times New Roman" w:hAnsi="Times New Roman"/>
          <w:sz w:val="24"/>
        </w:rPr>
        <w:t>4</w:t>
      </w:r>
      <w:r w:rsidR="00CD4FA5" w:rsidRPr="00CD4FA5">
        <w:rPr>
          <w:rFonts w:ascii="Times New Roman" w:hAnsi="Times New Roman"/>
          <w:sz w:val="24"/>
        </w:rPr>
        <w:t xml:space="preserve">.  The </w:t>
      </w:r>
      <w:r w:rsidR="00285066">
        <w:rPr>
          <w:rFonts w:ascii="Times New Roman" w:hAnsi="Times New Roman"/>
          <w:sz w:val="24"/>
        </w:rPr>
        <w:t>a</w:t>
      </w:r>
      <w:r w:rsidR="00430E99">
        <w:rPr>
          <w:rFonts w:ascii="Times New Roman" w:hAnsi="Times New Roman"/>
          <w:sz w:val="24"/>
        </w:rPr>
        <w:t xml:space="preserve">cting </w:t>
      </w:r>
      <w:r w:rsidR="00CD4FA5" w:rsidRPr="00CD4FA5">
        <w:rPr>
          <w:rFonts w:ascii="Times New Roman" w:hAnsi="Times New Roman"/>
          <w:sz w:val="24"/>
        </w:rPr>
        <w:t xml:space="preserve">AUSTRAC CEO, as the rule-maker of this legislative instrument, has stated that it is compatible with the human rights and freedoms recognised or declared in the international instruments listed in section 3 of the </w:t>
      </w:r>
      <w:r w:rsidR="00CD4FA5" w:rsidRPr="00CD4FA5">
        <w:rPr>
          <w:rFonts w:ascii="Times New Roman" w:hAnsi="Times New Roman"/>
          <w:i/>
          <w:sz w:val="24"/>
        </w:rPr>
        <w:t>Human Rights (Parliamentary Scrutiny) Act 2011</w:t>
      </w:r>
      <w:r w:rsidR="00CD4FA5" w:rsidRPr="00CD4FA5">
        <w:rPr>
          <w:rFonts w:ascii="Times New Roman" w:hAnsi="Times New Roman"/>
          <w:sz w:val="24"/>
        </w:rPr>
        <w:t>.</w:t>
      </w:r>
    </w:p>
    <w:p w14:paraId="779F5B85"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Notes on sections</w:t>
      </w:r>
    </w:p>
    <w:p w14:paraId="4F45D9AC"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Section 1</w:t>
      </w:r>
    </w:p>
    <w:p w14:paraId="690AAD0A" w14:textId="22161014" w:rsidR="00CD4FA5" w:rsidRPr="00CD4FA5" w:rsidRDefault="00CD4FA5" w:rsidP="00A247CD">
      <w:pPr>
        <w:spacing w:before="240"/>
        <w:rPr>
          <w:rFonts w:ascii="Times New Roman" w:hAnsi="Times New Roman"/>
          <w:i/>
          <w:sz w:val="24"/>
        </w:rPr>
      </w:pPr>
      <w:r w:rsidRPr="00CD4FA5">
        <w:rPr>
          <w:rFonts w:ascii="Times New Roman" w:hAnsi="Times New Roman"/>
          <w:sz w:val="24"/>
        </w:rPr>
        <w:t xml:space="preserve">This section sets out the name of the Instrument, i.e. the </w:t>
      </w:r>
      <w:r w:rsidRPr="00CD4FA5">
        <w:rPr>
          <w:rFonts w:ascii="Times New Roman" w:hAnsi="Times New Roman"/>
          <w:i/>
          <w:sz w:val="24"/>
        </w:rPr>
        <w:t xml:space="preserve">Anti-Money Laundering and Counter-Terrorism Financing Rules Amendment Instrument 2017 (No. </w:t>
      </w:r>
      <w:r w:rsidR="009370BC">
        <w:rPr>
          <w:rFonts w:ascii="Times New Roman" w:hAnsi="Times New Roman"/>
          <w:i/>
          <w:sz w:val="24"/>
        </w:rPr>
        <w:t>3</w:t>
      </w:r>
      <w:r w:rsidRPr="00CD4FA5">
        <w:rPr>
          <w:rFonts w:ascii="Times New Roman" w:hAnsi="Times New Roman"/>
          <w:i/>
          <w:sz w:val="24"/>
        </w:rPr>
        <w:t>).</w:t>
      </w:r>
    </w:p>
    <w:p w14:paraId="01609E35"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Section 2</w:t>
      </w:r>
    </w:p>
    <w:p w14:paraId="4CD8E13D" w14:textId="006DBBA2" w:rsidR="00CD4FA5" w:rsidRDefault="00CD4FA5" w:rsidP="00A247CD">
      <w:pPr>
        <w:spacing w:before="240"/>
        <w:rPr>
          <w:rFonts w:ascii="Times New Roman" w:hAnsi="Times New Roman"/>
          <w:sz w:val="24"/>
        </w:rPr>
      </w:pPr>
      <w:r w:rsidRPr="00CD4FA5">
        <w:rPr>
          <w:rFonts w:ascii="Times New Roman" w:hAnsi="Times New Roman"/>
          <w:sz w:val="24"/>
        </w:rPr>
        <w:t xml:space="preserve">This section specifies that the </w:t>
      </w:r>
      <w:r w:rsidR="00AF6BAB">
        <w:rPr>
          <w:rFonts w:ascii="Times New Roman" w:hAnsi="Times New Roman"/>
          <w:sz w:val="24"/>
        </w:rPr>
        <w:t>Instrument</w:t>
      </w:r>
      <w:r w:rsidRPr="00CD4FA5">
        <w:rPr>
          <w:rFonts w:ascii="Times New Roman" w:hAnsi="Times New Roman"/>
          <w:sz w:val="24"/>
        </w:rPr>
        <w:t xml:space="preserve"> commence</w:t>
      </w:r>
      <w:r w:rsidR="00AF6BAB">
        <w:rPr>
          <w:rFonts w:ascii="Times New Roman" w:hAnsi="Times New Roman"/>
          <w:sz w:val="24"/>
        </w:rPr>
        <w:t>s</w:t>
      </w:r>
      <w:r w:rsidRPr="00CD4FA5">
        <w:rPr>
          <w:rFonts w:ascii="Times New Roman" w:hAnsi="Times New Roman"/>
          <w:sz w:val="24"/>
        </w:rPr>
        <w:t xml:space="preserve"> on the day after </w:t>
      </w:r>
      <w:r w:rsidR="00AF6BAB">
        <w:rPr>
          <w:rFonts w:ascii="Times New Roman" w:hAnsi="Times New Roman"/>
          <w:sz w:val="24"/>
        </w:rPr>
        <w:t>it is</w:t>
      </w:r>
      <w:r w:rsidRPr="00CD4FA5">
        <w:rPr>
          <w:rFonts w:ascii="Times New Roman" w:hAnsi="Times New Roman"/>
          <w:sz w:val="24"/>
        </w:rPr>
        <w:t xml:space="preserve"> registered.</w:t>
      </w:r>
    </w:p>
    <w:p w14:paraId="46749132" w14:textId="77777777" w:rsidR="00D35BB5" w:rsidRDefault="00D35BB5" w:rsidP="00CD4FA5">
      <w:pPr>
        <w:rPr>
          <w:rFonts w:ascii="Times New Roman" w:hAnsi="Times New Roman"/>
          <w:b/>
          <w:sz w:val="24"/>
        </w:rPr>
      </w:pPr>
    </w:p>
    <w:p w14:paraId="06FBD982" w14:textId="77777777" w:rsidR="00CD4FA5" w:rsidRPr="00CD4FA5" w:rsidRDefault="00CD4FA5" w:rsidP="00CD4FA5">
      <w:pPr>
        <w:rPr>
          <w:rFonts w:ascii="Times New Roman" w:hAnsi="Times New Roman"/>
          <w:b/>
          <w:sz w:val="24"/>
        </w:rPr>
      </w:pPr>
      <w:r w:rsidRPr="00CD4FA5">
        <w:rPr>
          <w:rFonts w:ascii="Times New Roman" w:hAnsi="Times New Roman"/>
          <w:b/>
          <w:sz w:val="24"/>
        </w:rPr>
        <w:t>Section 3</w:t>
      </w:r>
    </w:p>
    <w:p w14:paraId="0C65BBAC" w14:textId="77777777" w:rsidR="00CD4FA5" w:rsidRPr="00CD4FA5" w:rsidRDefault="00CD4FA5" w:rsidP="00A247CD">
      <w:pPr>
        <w:spacing w:before="240"/>
        <w:rPr>
          <w:rFonts w:ascii="Times New Roman" w:hAnsi="Times New Roman"/>
          <w:sz w:val="24"/>
        </w:rPr>
      </w:pPr>
      <w:r w:rsidRPr="00CD4FA5">
        <w:rPr>
          <w:rFonts w:ascii="Times New Roman" w:hAnsi="Times New Roman"/>
          <w:sz w:val="24"/>
        </w:rPr>
        <w:t>This section contains the details of the amendment:</w:t>
      </w:r>
    </w:p>
    <w:p w14:paraId="0B8BE5F9" w14:textId="123A57D5" w:rsidR="00CD4FA5" w:rsidRPr="00CD4FA5" w:rsidRDefault="00CD4FA5" w:rsidP="00A247CD">
      <w:pPr>
        <w:spacing w:before="240"/>
        <w:rPr>
          <w:rFonts w:ascii="Times New Roman" w:hAnsi="Times New Roman"/>
          <w:sz w:val="24"/>
        </w:rPr>
      </w:pPr>
      <w:r w:rsidRPr="00CD4FA5">
        <w:rPr>
          <w:rFonts w:ascii="Times New Roman" w:hAnsi="Times New Roman"/>
          <w:sz w:val="24"/>
        </w:rPr>
        <w:lastRenderedPageBreak/>
        <w:t>Schedule 1 amend</w:t>
      </w:r>
      <w:r w:rsidR="00285066">
        <w:rPr>
          <w:rFonts w:ascii="Times New Roman" w:hAnsi="Times New Roman"/>
          <w:sz w:val="24"/>
        </w:rPr>
        <w:t>s</w:t>
      </w:r>
      <w:r w:rsidRPr="00CD4FA5">
        <w:rPr>
          <w:rFonts w:ascii="Times New Roman" w:hAnsi="Times New Roman"/>
          <w:sz w:val="24"/>
        </w:rPr>
        <w:t xml:space="preserve"> the </w:t>
      </w:r>
      <w:r w:rsidRPr="00CD4FA5">
        <w:rPr>
          <w:rFonts w:ascii="Times New Roman" w:hAnsi="Times New Roman"/>
          <w:i/>
          <w:sz w:val="24"/>
        </w:rPr>
        <w:t xml:space="preserve">Anti-Money Laundering and Counter-Terrorism Financing Rules Instrument 2007 (No. </w:t>
      </w:r>
      <w:r w:rsidR="009370BC">
        <w:rPr>
          <w:rFonts w:ascii="Times New Roman" w:hAnsi="Times New Roman"/>
          <w:i/>
          <w:sz w:val="24"/>
        </w:rPr>
        <w:t>1</w:t>
      </w:r>
      <w:r w:rsidRPr="00CD4FA5">
        <w:rPr>
          <w:rFonts w:ascii="Times New Roman" w:hAnsi="Times New Roman"/>
          <w:i/>
          <w:sz w:val="24"/>
        </w:rPr>
        <w:t>)</w:t>
      </w:r>
      <w:r w:rsidRPr="00CD4FA5">
        <w:rPr>
          <w:rFonts w:ascii="Times New Roman" w:hAnsi="Times New Roman"/>
          <w:sz w:val="24"/>
        </w:rPr>
        <w:t>.</w:t>
      </w:r>
    </w:p>
    <w:p w14:paraId="1B9BD32C"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Schedule 1</w:t>
      </w:r>
    </w:p>
    <w:p w14:paraId="76594865" w14:textId="19D2BAD9" w:rsidR="00CD4FA5" w:rsidRPr="00CD4FA5" w:rsidRDefault="00CD4FA5" w:rsidP="00A247CD">
      <w:pPr>
        <w:spacing w:before="240"/>
        <w:rPr>
          <w:rFonts w:ascii="Times New Roman" w:hAnsi="Times New Roman"/>
          <w:sz w:val="24"/>
        </w:rPr>
      </w:pPr>
      <w:r w:rsidRPr="00CD4FA5">
        <w:rPr>
          <w:rFonts w:ascii="Times New Roman" w:hAnsi="Times New Roman"/>
          <w:sz w:val="24"/>
        </w:rPr>
        <w:t xml:space="preserve">This schedule amends Chapter </w:t>
      </w:r>
      <w:r w:rsidR="002A2A91">
        <w:rPr>
          <w:rFonts w:ascii="Times New Roman" w:hAnsi="Times New Roman"/>
          <w:sz w:val="24"/>
        </w:rPr>
        <w:t>51</w:t>
      </w:r>
      <w:r w:rsidRPr="00CD4FA5">
        <w:rPr>
          <w:rFonts w:ascii="Times New Roman" w:hAnsi="Times New Roman"/>
          <w:sz w:val="24"/>
        </w:rPr>
        <w:t>.</w:t>
      </w:r>
    </w:p>
    <w:p w14:paraId="48A48606"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Notes on Paragraphs</w:t>
      </w:r>
    </w:p>
    <w:p w14:paraId="7528B628" w14:textId="71040CFB" w:rsidR="00CD4FA5" w:rsidRPr="00CD4FA5" w:rsidRDefault="00CD4FA5" w:rsidP="00CD4FA5">
      <w:pPr>
        <w:spacing w:before="240"/>
        <w:rPr>
          <w:rFonts w:ascii="Times New Roman" w:hAnsi="Times New Roman"/>
          <w:b/>
          <w:sz w:val="24"/>
        </w:rPr>
      </w:pPr>
      <w:r w:rsidRPr="00CD4FA5">
        <w:rPr>
          <w:rFonts w:ascii="Times New Roman" w:hAnsi="Times New Roman"/>
          <w:b/>
          <w:sz w:val="24"/>
        </w:rPr>
        <w:t xml:space="preserve">Chapter </w:t>
      </w:r>
      <w:r w:rsidR="00433CEF">
        <w:rPr>
          <w:rFonts w:ascii="Times New Roman" w:hAnsi="Times New Roman"/>
          <w:b/>
          <w:sz w:val="24"/>
        </w:rPr>
        <w:t>51</w:t>
      </w:r>
    </w:p>
    <w:p w14:paraId="58B4D6E6" w14:textId="77777777" w:rsidR="00430E99" w:rsidRPr="007B0B01" w:rsidRDefault="00430E99" w:rsidP="00430E99">
      <w:pPr>
        <w:spacing w:before="240"/>
        <w:rPr>
          <w:rFonts w:ascii="Times New Roman" w:hAnsi="Times New Roman"/>
          <w:b/>
          <w:sz w:val="24"/>
        </w:rPr>
      </w:pPr>
      <w:r w:rsidRPr="007B0B01">
        <w:rPr>
          <w:rFonts w:ascii="Times New Roman" w:hAnsi="Times New Roman"/>
          <w:b/>
          <w:sz w:val="24"/>
        </w:rPr>
        <w:t>Item 1</w:t>
      </w:r>
    </w:p>
    <w:p w14:paraId="2CA50D72" w14:textId="4CFD9F2E" w:rsidR="00430E99" w:rsidRDefault="00430E99" w:rsidP="00430E99">
      <w:pPr>
        <w:spacing w:before="240"/>
        <w:rPr>
          <w:rFonts w:ascii="Times New Roman" w:hAnsi="Times New Roman"/>
          <w:sz w:val="24"/>
        </w:rPr>
      </w:pPr>
      <w:r>
        <w:rPr>
          <w:rFonts w:ascii="Times New Roman" w:hAnsi="Times New Roman"/>
          <w:sz w:val="24"/>
        </w:rPr>
        <w:t xml:space="preserve">This item repeals the existing </w:t>
      </w:r>
      <w:r w:rsidR="002A2A91">
        <w:rPr>
          <w:rFonts w:ascii="Times New Roman" w:hAnsi="Times New Roman"/>
          <w:sz w:val="24"/>
        </w:rPr>
        <w:t>Part</w:t>
      </w:r>
      <w:r>
        <w:rPr>
          <w:rFonts w:ascii="Times New Roman" w:hAnsi="Times New Roman"/>
          <w:sz w:val="24"/>
        </w:rPr>
        <w:t xml:space="preserve"> </w:t>
      </w:r>
      <w:r w:rsidR="002A2A91">
        <w:rPr>
          <w:rFonts w:ascii="Times New Roman" w:hAnsi="Times New Roman"/>
          <w:sz w:val="24"/>
        </w:rPr>
        <w:t>51.3</w:t>
      </w:r>
      <w:r>
        <w:rPr>
          <w:rFonts w:ascii="Times New Roman" w:hAnsi="Times New Roman"/>
          <w:sz w:val="24"/>
        </w:rPr>
        <w:t xml:space="preserve"> and substitutes a new </w:t>
      </w:r>
      <w:r w:rsidR="002A2A91">
        <w:rPr>
          <w:rFonts w:ascii="Times New Roman" w:hAnsi="Times New Roman"/>
          <w:sz w:val="24"/>
        </w:rPr>
        <w:t>Part 51.3</w:t>
      </w:r>
      <w:r w:rsidR="00767078">
        <w:rPr>
          <w:rFonts w:ascii="Times New Roman" w:hAnsi="Times New Roman"/>
          <w:sz w:val="24"/>
        </w:rPr>
        <w:t xml:space="preserve"> specifying </w:t>
      </w:r>
      <w:r w:rsidR="00D35BB5">
        <w:rPr>
          <w:rFonts w:ascii="Times New Roman" w:hAnsi="Times New Roman"/>
          <w:sz w:val="24"/>
        </w:rPr>
        <w:t xml:space="preserve">the </w:t>
      </w:r>
      <w:r w:rsidR="00767078">
        <w:rPr>
          <w:rFonts w:ascii="Times New Roman" w:hAnsi="Times New Roman"/>
          <w:sz w:val="24"/>
        </w:rPr>
        <w:t xml:space="preserve">details </w:t>
      </w:r>
      <w:r w:rsidR="00D35BB5">
        <w:rPr>
          <w:rFonts w:ascii="Times New Roman" w:hAnsi="Times New Roman"/>
          <w:sz w:val="24"/>
        </w:rPr>
        <w:t>regarding</w:t>
      </w:r>
      <w:r w:rsidR="00767078">
        <w:rPr>
          <w:rFonts w:ascii="Times New Roman" w:hAnsi="Times New Roman"/>
          <w:sz w:val="24"/>
        </w:rPr>
        <w:t xml:space="preserve"> PayPal Hong Kong</w:t>
      </w:r>
      <w:r>
        <w:rPr>
          <w:rFonts w:ascii="Times New Roman" w:hAnsi="Times New Roman"/>
          <w:sz w:val="24"/>
        </w:rPr>
        <w:t xml:space="preserve">. </w:t>
      </w:r>
    </w:p>
    <w:p w14:paraId="5CE57DC8" w14:textId="77777777" w:rsidR="00CD4FA5" w:rsidRPr="00CD4FA5" w:rsidRDefault="00CD4FA5" w:rsidP="00CD4FA5">
      <w:pPr>
        <w:autoSpaceDE w:val="0"/>
        <w:autoSpaceDN w:val="0"/>
        <w:adjustRightInd w:val="0"/>
        <w:spacing w:before="240"/>
        <w:rPr>
          <w:rFonts w:ascii="Times New Roman" w:hAnsi="Times New Roman"/>
          <w:b/>
          <w:sz w:val="24"/>
        </w:rPr>
      </w:pPr>
      <w:r w:rsidRPr="00CD4FA5">
        <w:rPr>
          <w:rFonts w:ascii="Times New Roman" w:hAnsi="Times New Roman"/>
          <w:b/>
          <w:sz w:val="24"/>
        </w:rPr>
        <w:t>Legislative instruments</w:t>
      </w:r>
    </w:p>
    <w:p w14:paraId="6B173BF1" w14:textId="77777777" w:rsidR="00CD4FA5" w:rsidRDefault="00CD4FA5" w:rsidP="00CD4FA5">
      <w:pPr>
        <w:spacing w:before="240"/>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CD4FA5">
        <w:rPr>
          <w:rFonts w:ascii="Times New Roman" w:hAnsi="Times New Roman"/>
          <w:i/>
          <w:sz w:val="24"/>
        </w:rPr>
        <w:t>Legislation Act 2003</w:t>
      </w:r>
      <w:r w:rsidRPr="00CD4FA5">
        <w:rPr>
          <w:rFonts w:ascii="Times New Roman" w:hAnsi="Times New Roman"/>
          <w:sz w:val="24"/>
        </w:rPr>
        <w:t>.</w:t>
      </w:r>
    </w:p>
    <w:p w14:paraId="75638808"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Likely impact</w:t>
      </w:r>
    </w:p>
    <w:p w14:paraId="6FFC03C7" w14:textId="3DA89DEC" w:rsidR="002B39CB" w:rsidRDefault="002B39CB" w:rsidP="002B39CB">
      <w:pPr>
        <w:spacing w:before="240"/>
        <w:rPr>
          <w:rFonts w:ascii="Times New Roman" w:hAnsi="Times New Roman"/>
          <w:sz w:val="24"/>
        </w:rPr>
      </w:pPr>
      <w:r w:rsidRPr="001342ED">
        <w:rPr>
          <w:rFonts w:ascii="Times New Roman" w:hAnsi="Times New Roman"/>
          <w:sz w:val="24"/>
        </w:rPr>
        <w:t xml:space="preserve">The amendments to Chapter 51 will </w:t>
      </w:r>
      <w:r w:rsidR="001342ED" w:rsidRPr="001342ED">
        <w:rPr>
          <w:rFonts w:ascii="Times New Roman" w:hAnsi="Times New Roman"/>
          <w:sz w:val="24"/>
        </w:rPr>
        <w:t xml:space="preserve">not adversely impact </w:t>
      </w:r>
      <w:r w:rsidRPr="001342ED">
        <w:rPr>
          <w:rFonts w:ascii="Times New Roman" w:hAnsi="Times New Roman"/>
          <w:sz w:val="24"/>
        </w:rPr>
        <w:t xml:space="preserve">PayPal Australia </w:t>
      </w:r>
      <w:r w:rsidR="001342ED" w:rsidRPr="001342ED">
        <w:rPr>
          <w:rFonts w:ascii="Times New Roman" w:hAnsi="Times New Roman"/>
          <w:sz w:val="24"/>
        </w:rPr>
        <w:t>as the resolution of the IFTI reporting anomaly will not require PayPal Australia t</w:t>
      </w:r>
      <w:r w:rsidRPr="001342ED">
        <w:rPr>
          <w:rFonts w:ascii="Times New Roman" w:hAnsi="Times New Roman"/>
          <w:sz w:val="24"/>
        </w:rPr>
        <w:t>o submit an increased number of IFTI reports</w:t>
      </w:r>
      <w:r w:rsidR="00640002">
        <w:rPr>
          <w:rFonts w:ascii="Times New Roman" w:hAnsi="Times New Roman"/>
          <w:sz w:val="24"/>
        </w:rPr>
        <w:t>, because the</w:t>
      </w:r>
      <w:r w:rsidR="008B3190">
        <w:rPr>
          <w:rFonts w:ascii="Times New Roman" w:hAnsi="Times New Roman"/>
          <w:sz w:val="24"/>
        </w:rPr>
        <w:t>y</w:t>
      </w:r>
      <w:r w:rsidR="00640002">
        <w:rPr>
          <w:rFonts w:ascii="Times New Roman" w:hAnsi="Times New Roman"/>
          <w:sz w:val="24"/>
        </w:rPr>
        <w:t xml:space="preserve"> were previously submitted </w:t>
      </w:r>
      <w:r w:rsidR="008B3190" w:rsidRPr="001342ED">
        <w:rPr>
          <w:rFonts w:ascii="Times New Roman" w:hAnsi="Times New Roman"/>
          <w:sz w:val="24"/>
        </w:rPr>
        <w:t>to AUSTRAC</w:t>
      </w:r>
      <w:r w:rsidR="008B3190">
        <w:rPr>
          <w:rFonts w:ascii="Times New Roman" w:hAnsi="Times New Roman"/>
          <w:sz w:val="24"/>
        </w:rPr>
        <w:t xml:space="preserve"> </w:t>
      </w:r>
      <w:r w:rsidR="00640002">
        <w:rPr>
          <w:rFonts w:ascii="Times New Roman" w:hAnsi="Times New Roman"/>
          <w:sz w:val="24"/>
        </w:rPr>
        <w:t>before</w:t>
      </w:r>
      <w:r w:rsidR="008B3190">
        <w:rPr>
          <w:rFonts w:ascii="Times New Roman" w:hAnsi="Times New Roman"/>
          <w:sz w:val="24"/>
        </w:rPr>
        <w:t xml:space="preserve"> ceasing in</w:t>
      </w:r>
      <w:r w:rsidR="00640002">
        <w:rPr>
          <w:rFonts w:ascii="Times New Roman" w:hAnsi="Times New Roman"/>
          <w:sz w:val="24"/>
        </w:rPr>
        <w:t xml:space="preserve"> November 2016</w:t>
      </w:r>
      <w:r w:rsidRPr="001342ED">
        <w:rPr>
          <w:rFonts w:ascii="Times New Roman" w:hAnsi="Times New Roman"/>
          <w:sz w:val="24"/>
        </w:rPr>
        <w:t>.</w:t>
      </w:r>
    </w:p>
    <w:p w14:paraId="25937E60" w14:textId="77777777" w:rsidR="00CD4FA5" w:rsidRPr="00CD4FA5" w:rsidRDefault="00CD4FA5" w:rsidP="00CD4FA5">
      <w:pPr>
        <w:spacing w:before="240"/>
        <w:rPr>
          <w:rFonts w:ascii="Times New Roman" w:hAnsi="Times New Roman"/>
          <w:b/>
          <w:color w:val="000000"/>
          <w:sz w:val="24"/>
        </w:rPr>
      </w:pPr>
      <w:r w:rsidRPr="00CD4FA5">
        <w:rPr>
          <w:rFonts w:ascii="Times New Roman" w:hAnsi="Times New Roman"/>
          <w:b/>
          <w:color w:val="000000"/>
          <w:sz w:val="24"/>
        </w:rPr>
        <w:t>Assessment of benefits</w:t>
      </w:r>
    </w:p>
    <w:p w14:paraId="0F0DC2C3" w14:textId="064B71B9" w:rsidR="00782222" w:rsidRDefault="00782222" w:rsidP="00D06F5B">
      <w:pPr>
        <w:autoSpaceDE w:val="0"/>
        <w:autoSpaceDN w:val="0"/>
        <w:adjustRightInd w:val="0"/>
        <w:spacing w:before="240"/>
        <w:rPr>
          <w:rFonts w:ascii="Times New Roman" w:hAnsi="Times New Roman"/>
          <w:sz w:val="24"/>
        </w:rPr>
      </w:pPr>
      <w:r>
        <w:rPr>
          <w:rFonts w:ascii="Times New Roman" w:hAnsi="Times New Roman"/>
          <w:sz w:val="24"/>
        </w:rPr>
        <w:t xml:space="preserve">The amendments to Chapter 51 will remove a legal and regulatory anomaly and thereby ensure that certain IFTI reports will now be reported under the AML/CTF Rules.  The information supplied in such reports will contribute to intelligence information relevant to potential money-laundering and/or terrorism-financing activity. </w:t>
      </w:r>
    </w:p>
    <w:p w14:paraId="4E8844C0" w14:textId="77777777" w:rsidR="00AA6218" w:rsidRPr="007E2D73" w:rsidRDefault="00AA6218" w:rsidP="00AA6218">
      <w:pPr>
        <w:pStyle w:val="Paragraph"/>
        <w:rPr>
          <w:b/>
          <w:sz w:val="26"/>
          <w:szCs w:val="26"/>
        </w:rPr>
      </w:pPr>
      <w:r w:rsidRPr="007E2D73">
        <w:rPr>
          <w:b/>
          <w:sz w:val="26"/>
          <w:szCs w:val="26"/>
        </w:rPr>
        <w:t>Consultation</w:t>
      </w:r>
    </w:p>
    <w:p w14:paraId="6EF1D658" w14:textId="0A08AA40" w:rsidR="00285066" w:rsidRPr="00285066" w:rsidRDefault="00AA6218" w:rsidP="00D06F5B">
      <w:pPr>
        <w:autoSpaceDE w:val="0"/>
        <w:autoSpaceDN w:val="0"/>
        <w:adjustRightInd w:val="0"/>
        <w:spacing w:before="240"/>
        <w:rPr>
          <w:rFonts w:ascii="Times New Roman" w:hAnsi="Times New Roman"/>
          <w:sz w:val="24"/>
        </w:rPr>
      </w:pPr>
      <w:r>
        <w:rPr>
          <w:rFonts w:ascii="Times New Roman" w:hAnsi="Times New Roman"/>
          <w:sz w:val="24"/>
        </w:rPr>
        <w:t>The amendment</w:t>
      </w:r>
      <w:r w:rsidR="00B414A6">
        <w:rPr>
          <w:rFonts w:ascii="Times New Roman" w:hAnsi="Times New Roman"/>
          <w:sz w:val="24"/>
        </w:rPr>
        <w:t>s</w:t>
      </w:r>
      <w:r>
        <w:rPr>
          <w:rFonts w:ascii="Times New Roman" w:hAnsi="Times New Roman"/>
          <w:sz w:val="24"/>
        </w:rPr>
        <w:t xml:space="preserve"> to Chapter </w:t>
      </w:r>
      <w:r w:rsidR="00D06F5B">
        <w:rPr>
          <w:rFonts w:ascii="Times New Roman" w:hAnsi="Times New Roman"/>
          <w:sz w:val="24"/>
        </w:rPr>
        <w:t>51</w:t>
      </w:r>
      <w:r>
        <w:rPr>
          <w:rFonts w:ascii="Times New Roman" w:hAnsi="Times New Roman"/>
          <w:sz w:val="24"/>
        </w:rPr>
        <w:t xml:space="preserve"> w</w:t>
      </w:r>
      <w:r w:rsidR="00B414A6">
        <w:rPr>
          <w:rFonts w:ascii="Times New Roman" w:hAnsi="Times New Roman"/>
          <w:sz w:val="24"/>
        </w:rPr>
        <w:t>ere</w:t>
      </w:r>
      <w:r>
        <w:rPr>
          <w:rFonts w:ascii="Times New Roman" w:hAnsi="Times New Roman"/>
          <w:sz w:val="24"/>
        </w:rPr>
        <w:t xml:space="preserve"> published on the AUSTRAC website from </w:t>
      </w:r>
      <w:r w:rsidR="00D06F5B">
        <w:rPr>
          <w:rFonts w:ascii="Times New Roman" w:hAnsi="Times New Roman"/>
          <w:sz w:val="24"/>
        </w:rPr>
        <w:t>22 May 2017 until 5 May 2017</w:t>
      </w:r>
      <w:r w:rsidR="00EF3F73">
        <w:rPr>
          <w:rFonts w:ascii="Times New Roman" w:hAnsi="Times New Roman"/>
          <w:sz w:val="24"/>
        </w:rPr>
        <w:t>.</w:t>
      </w:r>
      <w:r w:rsidR="00767078">
        <w:rPr>
          <w:rFonts w:ascii="Times New Roman" w:hAnsi="Times New Roman"/>
          <w:sz w:val="24"/>
        </w:rPr>
        <w:t xml:space="preserve"> No submissions were received. </w:t>
      </w:r>
    </w:p>
    <w:p w14:paraId="07B57DA1" w14:textId="77777777" w:rsidR="00AA6218" w:rsidRDefault="00AA6218" w:rsidP="00AA6218">
      <w:pPr>
        <w:spacing w:before="240"/>
        <w:rPr>
          <w:rFonts w:ascii="Times New Roman" w:hAnsi="Times New Roman"/>
          <w:sz w:val="24"/>
        </w:rPr>
      </w:pPr>
      <w:r w:rsidRPr="004062DD">
        <w:rPr>
          <w:rFonts w:ascii="Times New Roman" w:hAnsi="Times New Roman"/>
          <w:sz w:val="24"/>
        </w:rPr>
        <w:t>AUSTRAC has consulted with the Australian Taxation Office, the Department of Immigration and Border Protection, the Australian Federal Police, the Australian Criminal Intelligence Commission and the Office of the Australian Information Commissioner.</w:t>
      </w:r>
    </w:p>
    <w:p w14:paraId="58A13C23" w14:textId="77777777" w:rsidR="00AA6218" w:rsidRPr="007E2D73" w:rsidRDefault="00AA6218" w:rsidP="00AA6218">
      <w:pPr>
        <w:spacing w:before="240"/>
        <w:rPr>
          <w:rFonts w:ascii="Times New Roman" w:hAnsi="Times New Roman"/>
          <w:b/>
          <w:sz w:val="26"/>
          <w:szCs w:val="26"/>
        </w:rPr>
      </w:pPr>
      <w:r w:rsidRPr="007E2D73">
        <w:rPr>
          <w:rFonts w:ascii="Times New Roman" w:hAnsi="Times New Roman"/>
          <w:b/>
          <w:sz w:val="26"/>
          <w:szCs w:val="26"/>
        </w:rPr>
        <w:t>Ongoing consultation</w:t>
      </w:r>
    </w:p>
    <w:p w14:paraId="3C8D02D3" w14:textId="6C0453A5" w:rsidR="00B414A6" w:rsidRDefault="00AA6218" w:rsidP="00AA6218">
      <w:pPr>
        <w:spacing w:before="240"/>
        <w:rPr>
          <w:rFonts w:ascii="Times New Roman" w:hAnsi="Times New Roman"/>
          <w:sz w:val="24"/>
        </w:rPr>
      </w:pPr>
      <w:r>
        <w:rPr>
          <w:rFonts w:ascii="Times New Roman" w:hAnsi="Times New Roman"/>
          <w:sz w:val="24"/>
        </w:rPr>
        <w:t>AUSTRAC will conduct ongoing consultation with stakeholders on the operation of these AML/CTF Rules</w:t>
      </w:r>
      <w:r w:rsidRPr="00EE3DCD">
        <w:rPr>
          <w:rFonts w:ascii="Times New Roman" w:hAnsi="Times New Roman"/>
          <w:sz w:val="24"/>
        </w:rPr>
        <w:t>.</w:t>
      </w:r>
      <w:r>
        <w:rPr>
          <w:rFonts w:ascii="Times New Roman" w:hAnsi="Times New Roman"/>
          <w:sz w:val="24"/>
        </w:rPr>
        <w:t xml:space="preserve"> </w:t>
      </w:r>
    </w:p>
    <w:p w14:paraId="6E4A1ECD" w14:textId="7D09C69E" w:rsidR="00B414A6" w:rsidRDefault="00B414A6" w:rsidP="00AA6218">
      <w:pPr>
        <w:spacing w:before="240"/>
        <w:rPr>
          <w:rFonts w:ascii="Times New Roman" w:hAnsi="Times New Roman"/>
          <w:sz w:val="24"/>
        </w:rPr>
      </w:pPr>
      <w:r>
        <w:rPr>
          <w:rFonts w:ascii="Times New Roman" w:hAnsi="Times New Roman"/>
          <w:sz w:val="24"/>
        </w:rPr>
        <w:br w:type="page"/>
      </w:r>
    </w:p>
    <w:p w14:paraId="3D460995" w14:textId="0F453D37" w:rsidR="00CD4FA5" w:rsidRDefault="00CD4FA5"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b/>
          <w:sz w:val="24"/>
        </w:rPr>
        <w:t>Statement of Compatibility with Human Rights</w:t>
      </w:r>
    </w:p>
    <w:p w14:paraId="64CD9967" w14:textId="77777777" w:rsidR="00304398" w:rsidRPr="00CD4FA5" w:rsidRDefault="00304398"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14:paraId="33DF8D15"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465BFCCE" w14:textId="6693832F" w:rsidR="00CD4FA5" w:rsidRDefault="00CD4FA5" w:rsidP="00A247CD">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 xml:space="preserve">Anti-Money Laundering and Counter-Terrorism Financing Rules Amendment Instrument 2017 (No. </w:t>
      </w:r>
      <w:r w:rsidR="002B15F4">
        <w:rPr>
          <w:rFonts w:ascii="Times New Roman" w:hAnsi="Times New Roman"/>
          <w:b/>
          <w:i/>
          <w:sz w:val="24"/>
        </w:rPr>
        <w:t>3</w:t>
      </w:r>
      <w:r w:rsidRPr="00CD4FA5">
        <w:rPr>
          <w:rFonts w:ascii="Times New Roman" w:hAnsi="Times New Roman"/>
          <w:b/>
          <w:i/>
          <w:sz w:val="24"/>
        </w:rPr>
        <w:t>)</w:t>
      </w:r>
    </w:p>
    <w:p w14:paraId="1FF711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4208CB20" w14:textId="77777777" w:rsid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5C80E73E" w14:textId="6BA2B96D" w:rsidR="00CD4FA5" w:rsidRPr="005F2638" w:rsidRDefault="00CD4FA5" w:rsidP="005F2638">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The Instrument amends Chapter </w:t>
      </w:r>
      <w:r w:rsidR="00E2494E">
        <w:rPr>
          <w:rFonts w:ascii="Times New Roman" w:hAnsi="Times New Roman"/>
          <w:sz w:val="24"/>
        </w:rPr>
        <w:t>51</w:t>
      </w:r>
      <w:r w:rsidR="0083420B" w:rsidRPr="00CD4FA5">
        <w:rPr>
          <w:rFonts w:ascii="Times New Roman" w:hAnsi="Times New Roman"/>
          <w:sz w:val="24"/>
        </w:rPr>
        <w:t xml:space="preserve"> </w:t>
      </w:r>
      <w:r w:rsidR="00500209">
        <w:rPr>
          <w:rFonts w:ascii="Times New Roman" w:hAnsi="Times New Roman"/>
          <w:sz w:val="24"/>
        </w:rPr>
        <w:t xml:space="preserve">to allow the reporting of International Funds Transfer Instructions </w:t>
      </w:r>
      <w:r w:rsidR="00767078">
        <w:rPr>
          <w:rFonts w:ascii="Times New Roman" w:hAnsi="Times New Roman"/>
          <w:sz w:val="24"/>
        </w:rPr>
        <w:t xml:space="preserve">to AUSTRAC </w:t>
      </w:r>
      <w:r w:rsidR="00500209">
        <w:rPr>
          <w:rFonts w:ascii="Times New Roman" w:hAnsi="Times New Roman"/>
          <w:sz w:val="24"/>
        </w:rPr>
        <w:t>by a specified reporting entity</w:t>
      </w:r>
      <w:r w:rsidR="00767078">
        <w:rPr>
          <w:rFonts w:ascii="Times New Roman" w:hAnsi="Times New Roman"/>
          <w:sz w:val="24"/>
        </w:rPr>
        <w:t xml:space="preserve"> (PayPal Hong Kong).</w:t>
      </w:r>
    </w:p>
    <w:p w14:paraId="1B9B14F4"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6610D07A" w14:textId="273DCBAD"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It is considered that this Instrument does not engage any of the applicable rights or freedoms.</w:t>
      </w:r>
    </w:p>
    <w:p w14:paraId="552573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649C05C6"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 therefore, compatible with human rights as it does not raise any human rights issues.</w:t>
      </w:r>
    </w:p>
    <w:p w14:paraId="5504F49E"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3A2936B4" w14:textId="100517F3" w:rsidR="00CD4FA5" w:rsidRPr="00CD4FA5" w:rsidRDefault="002E7CF6"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Gavin McCairns</w:t>
      </w:r>
    </w:p>
    <w:p w14:paraId="5A24610B" w14:textId="21C3B420" w:rsidR="00CD4FA5" w:rsidRPr="00CD4FA5" w:rsidRDefault="00543FD3"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Acting </w:t>
      </w:r>
      <w:r w:rsidR="00CD4FA5" w:rsidRPr="00CD4FA5">
        <w:rPr>
          <w:rFonts w:ascii="Times New Roman" w:hAnsi="Times New Roman"/>
          <w:sz w:val="24"/>
        </w:rPr>
        <w:t>Chief Executive Officer</w:t>
      </w:r>
    </w:p>
    <w:p w14:paraId="40ABD20A" w14:textId="77777777"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sectPr w:rsidR="00CD4FA5" w:rsidRPr="00CD4FA5" w:rsidSect="0091656F">
      <w:footerReference w:type="even" r:id="rId10"/>
      <w:foot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029E" w14:textId="77777777" w:rsidR="00FD6954" w:rsidRDefault="00FD6954">
      <w:r>
        <w:separator/>
      </w:r>
    </w:p>
  </w:endnote>
  <w:endnote w:type="continuationSeparator" w:id="0">
    <w:p w14:paraId="1CED8562" w14:textId="77777777" w:rsidR="00FD6954" w:rsidRDefault="00FD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BEE1"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7F4">
      <w:rPr>
        <w:rStyle w:val="PageNumber"/>
        <w:noProof/>
      </w:rPr>
      <w:t>6</w:t>
    </w:r>
    <w:r>
      <w:rPr>
        <w:rStyle w:val="PageNumber"/>
      </w:rPr>
      <w:fldChar w:fldCharType="end"/>
    </w:r>
  </w:p>
  <w:p w14:paraId="74EB9ADF" w14:textId="77777777" w:rsidR="00FD6954" w:rsidRDefault="00FD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0745"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08E4">
      <w:rPr>
        <w:rStyle w:val="PageNumber"/>
        <w:noProof/>
      </w:rPr>
      <w:t>4</w:t>
    </w:r>
    <w:r>
      <w:rPr>
        <w:rStyle w:val="PageNumber"/>
      </w:rPr>
      <w:fldChar w:fldCharType="end"/>
    </w:r>
  </w:p>
  <w:p w14:paraId="1D4C9A6A" w14:textId="77777777" w:rsidR="00FD6954" w:rsidRDefault="00FD6954" w:rsidP="003B75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2A4F" w14:textId="77777777" w:rsidR="00FD6954" w:rsidRDefault="00FD6954">
      <w:r>
        <w:separator/>
      </w:r>
    </w:p>
  </w:footnote>
  <w:footnote w:type="continuationSeparator" w:id="0">
    <w:p w14:paraId="385BED6D" w14:textId="77777777" w:rsidR="00FD6954" w:rsidRDefault="00FD6954">
      <w:r>
        <w:continuationSeparator/>
      </w:r>
    </w:p>
  </w:footnote>
  <w:footnote w:id="1">
    <w:p w14:paraId="3B207EC5" w14:textId="77777777" w:rsidR="00025C34" w:rsidRDefault="00025C34" w:rsidP="00025C34">
      <w:pPr>
        <w:pStyle w:val="FootnoteText"/>
      </w:pPr>
      <w:r>
        <w:rPr>
          <w:rStyle w:val="FootnoteReference"/>
        </w:rPr>
        <w:footnoteRef/>
      </w:r>
      <w:r>
        <w:t xml:space="preserve"> Section 5 of the AML/CTF Act defines a ‘financial institution’ as an ADI, bank, building society, credit union or a person specified in the AML/CTF Rules. </w:t>
      </w:r>
    </w:p>
  </w:footnote>
  <w:footnote w:id="2">
    <w:p w14:paraId="68AC17C4" w14:textId="77777777" w:rsidR="00025C34" w:rsidRDefault="00025C34" w:rsidP="00025C34">
      <w:pPr>
        <w:pStyle w:val="FootnoteText"/>
      </w:pPr>
      <w:r>
        <w:rPr>
          <w:rStyle w:val="FootnoteReference"/>
        </w:rPr>
        <w:footnoteRef/>
      </w:r>
      <w:r>
        <w:t xml:space="preserve"> Section 5 of the AML/CTF Act defines a ‘non-financier’ as being a person who is not an ADI, bank, building society, credit union or a person specified in the AML/CTF Rules.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6B255C"/>
    <w:multiLevelType w:val="hybridMultilevel"/>
    <w:tmpl w:val="D1C87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CAC3A54"/>
    <w:multiLevelType w:val="hybridMultilevel"/>
    <w:tmpl w:val="B246BFA6"/>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AD4AC9"/>
    <w:multiLevelType w:val="hybridMultilevel"/>
    <w:tmpl w:val="3C54B8EA"/>
    <w:lvl w:ilvl="0" w:tplc="4AAAE60E">
      <w:start w:val="1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8C13A8D"/>
    <w:multiLevelType w:val="hybridMultilevel"/>
    <w:tmpl w:val="FDB8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CC40D1"/>
    <w:multiLevelType w:val="hybridMultilevel"/>
    <w:tmpl w:val="F88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E474B4"/>
    <w:multiLevelType w:val="hybridMultilevel"/>
    <w:tmpl w:val="6F4E6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nsid w:val="3D6F0001"/>
    <w:multiLevelType w:val="hybridMultilevel"/>
    <w:tmpl w:val="9A7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AF6EE4"/>
    <w:multiLevelType w:val="hybridMultilevel"/>
    <w:tmpl w:val="F6E40D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77631B5"/>
    <w:multiLevelType w:val="hybridMultilevel"/>
    <w:tmpl w:val="46E054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9">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DC05F41"/>
    <w:multiLevelType w:val="hybridMultilevel"/>
    <w:tmpl w:val="21A6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32">
    <w:nsid w:val="5FE80D0D"/>
    <w:multiLevelType w:val="hybridMultilevel"/>
    <w:tmpl w:val="D6EA8562"/>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4112B95"/>
    <w:multiLevelType w:val="hybridMultilevel"/>
    <w:tmpl w:val="7BFE5F9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4">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nsid w:val="65B173D7"/>
    <w:multiLevelType w:val="hybridMultilevel"/>
    <w:tmpl w:val="AD9C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CC4578"/>
    <w:multiLevelType w:val="hybridMultilevel"/>
    <w:tmpl w:val="A134CF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1">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nsid w:val="7101756C"/>
    <w:multiLevelType w:val="hybridMultilevel"/>
    <w:tmpl w:val="1834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nsid w:val="75493ED5"/>
    <w:multiLevelType w:val="hybridMultilevel"/>
    <w:tmpl w:val="04101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2"/>
  </w:num>
  <w:num w:numId="3">
    <w:abstractNumId w:val="1"/>
  </w:num>
  <w:num w:numId="4">
    <w:abstractNumId w:val="29"/>
  </w:num>
  <w:num w:numId="5">
    <w:abstractNumId w:val="38"/>
  </w:num>
  <w:num w:numId="6">
    <w:abstractNumId w:val="26"/>
  </w:num>
  <w:num w:numId="7">
    <w:abstractNumId w:val="43"/>
  </w:num>
  <w:num w:numId="8">
    <w:abstractNumId w:val="36"/>
  </w:num>
  <w:num w:numId="9">
    <w:abstractNumId w:val="13"/>
  </w:num>
  <w:num w:numId="10">
    <w:abstractNumId w:val="31"/>
  </w:num>
  <w:num w:numId="11">
    <w:abstractNumId w:val="19"/>
  </w:num>
  <w:num w:numId="12">
    <w:abstractNumId w:val="34"/>
  </w:num>
  <w:num w:numId="13">
    <w:abstractNumId w:val="10"/>
  </w:num>
  <w:num w:numId="14">
    <w:abstractNumId w:val="3"/>
  </w:num>
  <w:num w:numId="15">
    <w:abstractNumId w:val="6"/>
  </w:num>
  <w:num w:numId="16">
    <w:abstractNumId w:val="15"/>
  </w:num>
  <w:num w:numId="17">
    <w:abstractNumId w:val="37"/>
  </w:num>
  <w:num w:numId="18">
    <w:abstractNumId w:val="5"/>
  </w:num>
  <w:num w:numId="19">
    <w:abstractNumId w:val="0"/>
  </w:num>
  <w:num w:numId="20">
    <w:abstractNumId w:val="39"/>
  </w:num>
  <w:num w:numId="21">
    <w:abstractNumId w:val="27"/>
  </w:num>
  <w:num w:numId="22">
    <w:abstractNumId w:val="20"/>
  </w:num>
  <w:num w:numId="23">
    <w:abstractNumId w:val="8"/>
  </w:num>
  <w:num w:numId="24">
    <w:abstractNumId w:val="18"/>
  </w:num>
  <w:num w:numId="25">
    <w:abstractNumId w:val="41"/>
  </w:num>
  <w:num w:numId="26">
    <w:abstractNumId w:val="23"/>
  </w:num>
  <w:num w:numId="27">
    <w:abstractNumId w:val="24"/>
  </w:num>
  <w:num w:numId="28">
    <w:abstractNumId w:val="2"/>
  </w:num>
  <w:num w:numId="29">
    <w:abstractNumId w:val="28"/>
  </w:num>
  <w:num w:numId="30">
    <w:abstractNumId w:val="16"/>
  </w:num>
  <w:num w:numId="31">
    <w:abstractNumId w:val="40"/>
  </w:num>
  <w:num w:numId="32">
    <w:abstractNumId w:val="11"/>
  </w:num>
  <w:num w:numId="33">
    <w:abstractNumId w:val="4"/>
  </w:num>
  <w:num w:numId="34">
    <w:abstractNumId w:val="35"/>
  </w:num>
  <w:num w:numId="35">
    <w:abstractNumId w:val="17"/>
  </w:num>
  <w:num w:numId="36">
    <w:abstractNumId w:val="44"/>
  </w:num>
  <w:num w:numId="37">
    <w:abstractNumId w:val="42"/>
  </w:num>
  <w:num w:numId="38">
    <w:abstractNumId w:val="9"/>
  </w:num>
  <w:num w:numId="39">
    <w:abstractNumId w:val="12"/>
  </w:num>
  <w:num w:numId="40">
    <w:abstractNumId w:val="33"/>
  </w:num>
  <w:num w:numId="41">
    <w:abstractNumId w:val="22"/>
  </w:num>
  <w:num w:numId="42">
    <w:abstractNumId w:val="21"/>
  </w:num>
  <w:num w:numId="43">
    <w:abstractNumId w:val="7"/>
  </w:num>
  <w:num w:numId="44">
    <w:abstractNumId w:val="3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05185"/>
    <w:rsid w:val="0001158F"/>
    <w:rsid w:val="00011BFD"/>
    <w:rsid w:val="00013686"/>
    <w:rsid w:val="000222A4"/>
    <w:rsid w:val="00024C66"/>
    <w:rsid w:val="00025C34"/>
    <w:rsid w:val="00027747"/>
    <w:rsid w:val="00033B8D"/>
    <w:rsid w:val="00035795"/>
    <w:rsid w:val="000358DA"/>
    <w:rsid w:val="00037327"/>
    <w:rsid w:val="000430D4"/>
    <w:rsid w:val="00050CE5"/>
    <w:rsid w:val="00051713"/>
    <w:rsid w:val="00053A7A"/>
    <w:rsid w:val="000572EA"/>
    <w:rsid w:val="00057C98"/>
    <w:rsid w:val="0006328D"/>
    <w:rsid w:val="00072759"/>
    <w:rsid w:val="00075472"/>
    <w:rsid w:val="0008191B"/>
    <w:rsid w:val="000926BD"/>
    <w:rsid w:val="00092891"/>
    <w:rsid w:val="0009363E"/>
    <w:rsid w:val="000942AF"/>
    <w:rsid w:val="000A0109"/>
    <w:rsid w:val="000A1B36"/>
    <w:rsid w:val="000A25BE"/>
    <w:rsid w:val="000A448C"/>
    <w:rsid w:val="000A71FF"/>
    <w:rsid w:val="000B07C2"/>
    <w:rsid w:val="000B3D22"/>
    <w:rsid w:val="000B4EE1"/>
    <w:rsid w:val="000B7D16"/>
    <w:rsid w:val="000C4CBB"/>
    <w:rsid w:val="000C4DEC"/>
    <w:rsid w:val="000C5E2A"/>
    <w:rsid w:val="000D0E25"/>
    <w:rsid w:val="000D13F2"/>
    <w:rsid w:val="000D143A"/>
    <w:rsid w:val="000D180A"/>
    <w:rsid w:val="000D1DA2"/>
    <w:rsid w:val="000D261E"/>
    <w:rsid w:val="000D4F84"/>
    <w:rsid w:val="000D658D"/>
    <w:rsid w:val="000E63EE"/>
    <w:rsid w:val="000F0AA0"/>
    <w:rsid w:val="00100A29"/>
    <w:rsid w:val="00100E9D"/>
    <w:rsid w:val="00101CDF"/>
    <w:rsid w:val="0010234E"/>
    <w:rsid w:val="0010649D"/>
    <w:rsid w:val="001138C2"/>
    <w:rsid w:val="00115CA1"/>
    <w:rsid w:val="001161BA"/>
    <w:rsid w:val="001212F7"/>
    <w:rsid w:val="00121FC3"/>
    <w:rsid w:val="00122D9B"/>
    <w:rsid w:val="00133529"/>
    <w:rsid w:val="0013429C"/>
    <w:rsid w:val="001342ED"/>
    <w:rsid w:val="00134CA6"/>
    <w:rsid w:val="00142983"/>
    <w:rsid w:val="00143BAA"/>
    <w:rsid w:val="00146670"/>
    <w:rsid w:val="00146C29"/>
    <w:rsid w:val="001475BE"/>
    <w:rsid w:val="00151851"/>
    <w:rsid w:val="00151CE0"/>
    <w:rsid w:val="0015491C"/>
    <w:rsid w:val="00156041"/>
    <w:rsid w:val="0015621A"/>
    <w:rsid w:val="00156C39"/>
    <w:rsid w:val="00160041"/>
    <w:rsid w:val="001602B8"/>
    <w:rsid w:val="00162CC7"/>
    <w:rsid w:val="001663D5"/>
    <w:rsid w:val="0017034F"/>
    <w:rsid w:val="00190C40"/>
    <w:rsid w:val="00193377"/>
    <w:rsid w:val="001941DA"/>
    <w:rsid w:val="00194C14"/>
    <w:rsid w:val="001970B1"/>
    <w:rsid w:val="00197E8A"/>
    <w:rsid w:val="001A58BA"/>
    <w:rsid w:val="001A63E8"/>
    <w:rsid w:val="001B005E"/>
    <w:rsid w:val="001B3A61"/>
    <w:rsid w:val="001B679A"/>
    <w:rsid w:val="001B6FCC"/>
    <w:rsid w:val="001B7DCC"/>
    <w:rsid w:val="001C2371"/>
    <w:rsid w:val="001C37C9"/>
    <w:rsid w:val="001C57DA"/>
    <w:rsid w:val="001C5B36"/>
    <w:rsid w:val="001C60F1"/>
    <w:rsid w:val="001C6C6F"/>
    <w:rsid w:val="001D3034"/>
    <w:rsid w:val="001D3559"/>
    <w:rsid w:val="001D3968"/>
    <w:rsid w:val="001D3C6E"/>
    <w:rsid w:val="001D5E25"/>
    <w:rsid w:val="001D6003"/>
    <w:rsid w:val="001E005B"/>
    <w:rsid w:val="001E23BF"/>
    <w:rsid w:val="001E2728"/>
    <w:rsid w:val="001E4D8A"/>
    <w:rsid w:val="001F108A"/>
    <w:rsid w:val="001F396D"/>
    <w:rsid w:val="0020292C"/>
    <w:rsid w:val="00205D35"/>
    <w:rsid w:val="0020702F"/>
    <w:rsid w:val="00207A4E"/>
    <w:rsid w:val="002222BA"/>
    <w:rsid w:val="00231302"/>
    <w:rsid w:val="00232C59"/>
    <w:rsid w:val="00234EE9"/>
    <w:rsid w:val="002358FE"/>
    <w:rsid w:val="00236988"/>
    <w:rsid w:val="00237735"/>
    <w:rsid w:val="00241858"/>
    <w:rsid w:val="00243298"/>
    <w:rsid w:val="00243C97"/>
    <w:rsid w:val="00244D95"/>
    <w:rsid w:val="00246666"/>
    <w:rsid w:val="00247043"/>
    <w:rsid w:val="002475AC"/>
    <w:rsid w:val="002526C4"/>
    <w:rsid w:val="00252A86"/>
    <w:rsid w:val="0025603C"/>
    <w:rsid w:val="002570AB"/>
    <w:rsid w:val="00261776"/>
    <w:rsid w:val="002632D9"/>
    <w:rsid w:val="00263EDA"/>
    <w:rsid w:val="002700FC"/>
    <w:rsid w:val="00270F89"/>
    <w:rsid w:val="00272368"/>
    <w:rsid w:val="002748A5"/>
    <w:rsid w:val="00276CC0"/>
    <w:rsid w:val="00285066"/>
    <w:rsid w:val="00285882"/>
    <w:rsid w:val="00290871"/>
    <w:rsid w:val="00291994"/>
    <w:rsid w:val="00292115"/>
    <w:rsid w:val="002948D1"/>
    <w:rsid w:val="0029686B"/>
    <w:rsid w:val="002A02FC"/>
    <w:rsid w:val="002A0A5F"/>
    <w:rsid w:val="002A2A91"/>
    <w:rsid w:val="002A5004"/>
    <w:rsid w:val="002A6852"/>
    <w:rsid w:val="002A6B5F"/>
    <w:rsid w:val="002B0655"/>
    <w:rsid w:val="002B0D2D"/>
    <w:rsid w:val="002B15F4"/>
    <w:rsid w:val="002B39CB"/>
    <w:rsid w:val="002B424D"/>
    <w:rsid w:val="002B4D5C"/>
    <w:rsid w:val="002C10AE"/>
    <w:rsid w:val="002C2936"/>
    <w:rsid w:val="002C3BD6"/>
    <w:rsid w:val="002C75DD"/>
    <w:rsid w:val="002C76AE"/>
    <w:rsid w:val="002D123A"/>
    <w:rsid w:val="002D18EA"/>
    <w:rsid w:val="002D67A4"/>
    <w:rsid w:val="002D7A9B"/>
    <w:rsid w:val="002E74AC"/>
    <w:rsid w:val="002E7CF6"/>
    <w:rsid w:val="002F4E2A"/>
    <w:rsid w:val="003017CC"/>
    <w:rsid w:val="00303AFD"/>
    <w:rsid w:val="00304398"/>
    <w:rsid w:val="0030571B"/>
    <w:rsid w:val="00306189"/>
    <w:rsid w:val="003112C7"/>
    <w:rsid w:val="00313FAF"/>
    <w:rsid w:val="00316294"/>
    <w:rsid w:val="00322DBF"/>
    <w:rsid w:val="00325102"/>
    <w:rsid w:val="00326047"/>
    <w:rsid w:val="00330393"/>
    <w:rsid w:val="003340DB"/>
    <w:rsid w:val="00344E15"/>
    <w:rsid w:val="00345CA1"/>
    <w:rsid w:val="003568F8"/>
    <w:rsid w:val="00363F21"/>
    <w:rsid w:val="00365FD7"/>
    <w:rsid w:val="003676D9"/>
    <w:rsid w:val="003747EE"/>
    <w:rsid w:val="003911F4"/>
    <w:rsid w:val="003912AD"/>
    <w:rsid w:val="003932F4"/>
    <w:rsid w:val="00393952"/>
    <w:rsid w:val="00393D2A"/>
    <w:rsid w:val="003A1795"/>
    <w:rsid w:val="003A3B0B"/>
    <w:rsid w:val="003A49E8"/>
    <w:rsid w:val="003A73B8"/>
    <w:rsid w:val="003B2DDD"/>
    <w:rsid w:val="003B4F88"/>
    <w:rsid w:val="003B7524"/>
    <w:rsid w:val="003C0500"/>
    <w:rsid w:val="003C43B6"/>
    <w:rsid w:val="003C57E7"/>
    <w:rsid w:val="003D1772"/>
    <w:rsid w:val="003D672A"/>
    <w:rsid w:val="003D7390"/>
    <w:rsid w:val="003E07F4"/>
    <w:rsid w:val="003E13D0"/>
    <w:rsid w:val="003E6AA6"/>
    <w:rsid w:val="003F12F1"/>
    <w:rsid w:val="003F166D"/>
    <w:rsid w:val="003F16C9"/>
    <w:rsid w:val="003F250A"/>
    <w:rsid w:val="003F2F59"/>
    <w:rsid w:val="003F5ADD"/>
    <w:rsid w:val="003F623E"/>
    <w:rsid w:val="00402D9E"/>
    <w:rsid w:val="0040415D"/>
    <w:rsid w:val="00404190"/>
    <w:rsid w:val="0040525D"/>
    <w:rsid w:val="004062DD"/>
    <w:rsid w:val="004065F6"/>
    <w:rsid w:val="00412303"/>
    <w:rsid w:val="004132BB"/>
    <w:rsid w:val="00413391"/>
    <w:rsid w:val="00413620"/>
    <w:rsid w:val="0041386C"/>
    <w:rsid w:val="0041387C"/>
    <w:rsid w:val="004171CA"/>
    <w:rsid w:val="0042132D"/>
    <w:rsid w:val="004253AB"/>
    <w:rsid w:val="004255A4"/>
    <w:rsid w:val="00426515"/>
    <w:rsid w:val="00430DA3"/>
    <w:rsid w:val="00430E99"/>
    <w:rsid w:val="00431575"/>
    <w:rsid w:val="00431E92"/>
    <w:rsid w:val="004321FD"/>
    <w:rsid w:val="00433B24"/>
    <w:rsid w:val="00433C9D"/>
    <w:rsid w:val="00433CEF"/>
    <w:rsid w:val="0043626D"/>
    <w:rsid w:val="004379C6"/>
    <w:rsid w:val="00445B35"/>
    <w:rsid w:val="004479B7"/>
    <w:rsid w:val="004521B8"/>
    <w:rsid w:val="004571E2"/>
    <w:rsid w:val="00460BA8"/>
    <w:rsid w:val="00460E86"/>
    <w:rsid w:val="004619BB"/>
    <w:rsid w:val="004661D5"/>
    <w:rsid w:val="00474718"/>
    <w:rsid w:val="00474DE4"/>
    <w:rsid w:val="004760F8"/>
    <w:rsid w:val="0048013E"/>
    <w:rsid w:val="00482B80"/>
    <w:rsid w:val="004849C5"/>
    <w:rsid w:val="00484BF4"/>
    <w:rsid w:val="00486E49"/>
    <w:rsid w:val="004878CA"/>
    <w:rsid w:val="0049116B"/>
    <w:rsid w:val="0049443F"/>
    <w:rsid w:val="004A3E59"/>
    <w:rsid w:val="004A49A4"/>
    <w:rsid w:val="004A4CD9"/>
    <w:rsid w:val="004B06CC"/>
    <w:rsid w:val="004B06F0"/>
    <w:rsid w:val="004B17CA"/>
    <w:rsid w:val="004B231F"/>
    <w:rsid w:val="004B3D32"/>
    <w:rsid w:val="004C1454"/>
    <w:rsid w:val="004D1BEF"/>
    <w:rsid w:val="004D29B8"/>
    <w:rsid w:val="004D3937"/>
    <w:rsid w:val="004D4B9B"/>
    <w:rsid w:val="004D6131"/>
    <w:rsid w:val="004F566E"/>
    <w:rsid w:val="004F6865"/>
    <w:rsid w:val="00500209"/>
    <w:rsid w:val="00504315"/>
    <w:rsid w:val="005073C6"/>
    <w:rsid w:val="00507EC4"/>
    <w:rsid w:val="005107A4"/>
    <w:rsid w:val="005114F2"/>
    <w:rsid w:val="005117CC"/>
    <w:rsid w:val="00512DE8"/>
    <w:rsid w:val="00514F91"/>
    <w:rsid w:val="00515AE5"/>
    <w:rsid w:val="00515F66"/>
    <w:rsid w:val="00517752"/>
    <w:rsid w:val="00521F8E"/>
    <w:rsid w:val="0052299B"/>
    <w:rsid w:val="00524990"/>
    <w:rsid w:val="00525E3E"/>
    <w:rsid w:val="00527C66"/>
    <w:rsid w:val="005300D6"/>
    <w:rsid w:val="00531FCB"/>
    <w:rsid w:val="005352F5"/>
    <w:rsid w:val="00535FD4"/>
    <w:rsid w:val="0054012A"/>
    <w:rsid w:val="00542129"/>
    <w:rsid w:val="00543C45"/>
    <w:rsid w:val="00543FD3"/>
    <w:rsid w:val="005467A0"/>
    <w:rsid w:val="005472C1"/>
    <w:rsid w:val="005474A0"/>
    <w:rsid w:val="005516F3"/>
    <w:rsid w:val="005522D5"/>
    <w:rsid w:val="00555A1B"/>
    <w:rsid w:val="0055701C"/>
    <w:rsid w:val="00560220"/>
    <w:rsid w:val="0056172E"/>
    <w:rsid w:val="00565748"/>
    <w:rsid w:val="00570274"/>
    <w:rsid w:val="005723CF"/>
    <w:rsid w:val="00573FB1"/>
    <w:rsid w:val="00575F3B"/>
    <w:rsid w:val="00580BF2"/>
    <w:rsid w:val="00582944"/>
    <w:rsid w:val="0058606F"/>
    <w:rsid w:val="00592027"/>
    <w:rsid w:val="0059487B"/>
    <w:rsid w:val="00596868"/>
    <w:rsid w:val="005A3C8A"/>
    <w:rsid w:val="005A3F83"/>
    <w:rsid w:val="005B0550"/>
    <w:rsid w:val="005B548D"/>
    <w:rsid w:val="005B5AD3"/>
    <w:rsid w:val="005B5D9A"/>
    <w:rsid w:val="005B6807"/>
    <w:rsid w:val="005B69DB"/>
    <w:rsid w:val="005B7452"/>
    <w:rsid w:val="005C0442"/>
    <w:rsid w:val="005C0E87"/>
    <w:rsid w:val="005C51C8"/>
    <w:rsid w:val="005D1AAB"/>
    <w:rsid w:val="005D51C8"/>
    <w:rsid w:val="005D58B2"/>
    <w:rsid w:val="005D59E2"/>
    <w:rsid w:val="005D650F"/>
    <w:rsid w:val="005D67E7"/>
    <w:rsid w:val="005E5E7F"/>
    <w:rsid w:val="005E600A"/>
    <w:rsid w:val="005E7F24"/>
    <w:rsid w:val="005F2638"/>
    <w:rsid w:val="005F2F3D"/>
    <w:rsid w:val="005F5E52"/>
    <w:rsid w:val="005F5F9C"/>
    <w:rsid w:val="0060028C"/>
    <w:rsid w:val="006032DC"/>
    <w:rsid w:val="00603BC5"/>
    <w:rsid w:val="00604416"/>
    <w:rsid w:val="00605791"/>
    <w:rsid w:val="00607A71"/>
    <w:rsid w:val="00611827"/>
    <w:rsid w:val="00613E6B"/>
    <w:rsid w:val="00617ECA"/>
    <w:rsid w:val="00621D05"/>
    <w:rsid w:val="00624DF2"/>
    <w:rsid w:val="00625479"/>
    <w:rsid w:val="006262A1"/>
    <w:rsid w:val="00626E80"/>
    <w:rsid w:val="00627996"/>
    <w:rsid w:val="00627C0B"/>
    <w:rsid w:val="0063048E"/>
    <w:rsid w:val="00631371"/>
    <w:rsid w:val="006361B8"/>
    <w:rsid w:val="00637851"/>
    <w:rsid w:val="00640002"/>
    <w:rsid w:val="00640C28"/>
    <w:rsid w:val="00642710"/>
    <w:rsid w:val="00642AC6"/>
    <w:rsid w:val="006474D5"/>
    <w:rsid w:val="00650E63"/>
    <w:rsid w:val="006552E8"/>
    <w:rsid w:val="006568C2"/>
    <w:rsid w:val="00656B01"/>
    <w:rsid w:val="00657A4D"/>
    <w:rsid w:val="006613BC"/>
    <w:rsid w:val="00661BFE"/>
    <w:rsid w:val="00662190"/>
    <w:rsid w:val="006757A9"/>
    <w:rsid w:val="006760CB"/>
    <w:rsid w:val="00685865"/>
    <w:rsid w:val="00685FBE"/>
    <w:rsid w:val="006867FD"/>
    <w:rsid w:val="00686BF3"/>
    <w:rsid w:val="006A0527"/>
    <w:rsid w:val="006A44F1"/>
    <w:rsid w:val="006B1285"/>
    <w:rsid w:val="006B2808"/>
    <w:rsid w:val="006B3A2F"/>
    <w:rsid w:val="006B520D"/>
    <w:rsid w:val="006C1ED7"/>
    <w:rsid w:val="006C3F77"/>
    <w:rsid w:val="006D0503"/>
    <w:rsid w:val="006D1560"/>
    <w:rsid w:val="006E438F"/>
    <w:rsid w:val="006E51E2"/>
    <w:rsid w:val="006E5F4D"/>
    <w:rsid w:val="006F4E28"/>
    <w:rsid w:val="006F5D16"/>
    <w:rsid w:val="0070191D"/>
    <w:rsid w:val="0070277B"/>
    <w:rsid w:val="007030C7"/>
    <w:rsid w:val="00703DE2"/>
    <w:rsid w:val="0070408F"/>
    <w:rsid w:val="00704289"/>
    <w:rsid w:val="00706BE4"/>
    <w:rsid w:val="007102B3"/>
    <w:rsid w:val="007103FF"/>
    <w:rsid w:val="00710EA7"/>
    <w:rsid w:val="00712840"/>
    <w:rsid w:val="00713311"/>
    <w:rsid w:val="00715DED"/>
    <w:rsid w:val="007202F1"/>
    <w:rsid w:val="00720D25"/>
    <w:rsid w:val="00722B4C"/>
    <w:rsid w:val="00722E42"/>
    <w:rsid w:val="00723200"/>
    <w:rsid w:val="00725474"/>
    <w:rsid w:val="00730049"/>
    <w:rsid w:val="00731178"/>
    <w:rsid w:val="00731CAB"/>
    <w:rsid w:val="007350B4"/>
    <w:rsid w:val="00736E51"/>
    <w:rsid w:val="007402D2"/>
    <w:rsid w:val="00740E05"/>
    <w:rsid w:val="00743DDD"/>
    <w:rsid w:val="007442E3"/>
    <w:rsid w:val="00745E6D"/>
    <w:rsid w:val="00746C4A"/>
    <w:rsid w:val="00747409"/>
    <w:rsid w:val="00753E95"/>
    <w:rsid w:val="00766E95"/>
    <w:rsid w:val="00767078"/>
    <w:rsid w:val="00774219"/>
    <w:rsid w:val="00775723"/>
    <w:rsid w:val="00775BBE"/>
    <w:rsid w:val="00780E18"/>
    <w:rsid w:val="00782222"/>
    <w:rsid w:val="00784906"/>
    <w:rsid w:val="00785B2D"/>
    <w:rsid w:val="007868DF"/>
    <w:rsid w:val="00787D9C"/>
    <w:rsid w:val="00791450"/>
    <w:rsid w:val="007929FC"/>
    <w:rsid w:val="00794DB6"/>
    <w:rsid w:val="007A4967"/>
    <w:rsid w:val="007A7979"/>
    <w:rsid w:val="007B0B01"/>
    <w:rsid w:val="007B0ECA"/>
    <w:rsid w:val="007B1B95"/>
    <w:rsid w:val="007B404C"/>
    <w:rsid w:val="007C501A"/>
    <w:rsid w:val="007C52B3"/>
    <w:rsid w:val="007C6B20"/>
    <w:rsid w:val="007C7671"/>
    <w:rsid w:val="007D0816"/>
    <w:rsid w:val="007D191E"/>
    <w:rsid w:val="007D1961"/>
    <w:rsid w:val="007D2DBB"/>
    <w:rsid w:val="007D3E7B"/>
    <w:rsid w:val="007D52F8"/>
    <w:rsid w:val="007D57F7"/>
    <w:rsid w:val="007D5F87"/>
    <w:rsid w:val="007D7E86"/>
    <w:rsid w:val="007E08A2"/>
    <w:rsid w:val="007E2861"/>
    <w:rsid w:val="007E2D73"/>
    <w:rsid w:val="007E32CD"/>
    <w:rsid w:val="007E6720"/>
    <w:rsid w:val="007E67BF"/>
    <w:rsid w:val="007F2F0F"/>
    <w:rsid w:val="007F6190"/>
    <w:rsid w:val="007F6303"/>
    <w:rsid w:val="007F7874"/>
    <w:rsid w:val="00800032"/>
    <w:rsid w:val="00800383"/>
    <w:rsid w:val="00800465"/>
    <w:rsid w:val="00801D69"/>
    <w:rsid w:val="00802A94"/>
    <w:rsid w:val="00803999"/>
    <w:rsid w:val="008156AC"/>
    <w:rsid w:val="008158AC"/>
    <w:rsid w:val="008169EF"/>
    <w:rsid w:val="0082090C"/>
    <w:rsid w:val="00821DE1"/>
    <w:rsid w:val="00822B6C"/>
    <w:rsid w:val="008275EE"/>
    <w:rsid w:val="00832FD7"/>
    <w:rsid w:val="0083420B"/>
    <w:rsid w:val="008344D1"/>
    <w:rsid w:val="00834E6A"/>
    <w:rsid w:val="00836D05"/>
    <w:rsid w:val="00842441"/>
    <w:rsid w:val="00844BEE"/>
    <w:rsid w:val="00850188"/>
    <w:rsid w:val="00851AE0"/>
    <w:rsid w:val="00853BDB"/>
    <w:rsid w:val="00853EB5"/>
    <w:rsid w:val="00854FDF"/>
    <w:rsid w:val="00856FD6"/>
    <w:rsid w:val="00860109"/>
    <w:rsid w:val="008634E5"/>
    <w:rsid w:val="008759D0"/>
    <w:rsid w:val="00881FF0"/>
    <w:rsid w:val="0088590B"/>
    <w:rsid w:val="00887AB3"/>
    <w:rsid w:val="008929D0"/>
    <w:rsid w:val="00893479"/>
    <w:rsid w:val="00893E97"/>
    <w:rsid w:val="008944A3"/>
    <w:rsid w:val="008A4E5F"/>
    <w:rsid w:val="008A5AE5"/>
    <w:rsid w:val="008A602F"/>
    <w:rsid w:val="008B14C4"/>
    <w:rsid w:val="008B2491"/>
    <w:rsid w:val="008B3190"/>
    <w:rsid w:val="008B4637"/>
    <w:rsid w:val="008B5AA2"/>
    <w:rsid w:val="008C002C"/>
    <w:rsid w:val="008C3631"/>
    <w:rsid w:val="008C3CEA"/>
    <w:rsid w:val="008C67CA"/>
    <w:rsid w:val="008D00E8"/>
    <w:rsid w:val="008D0E3B"/>
    <w:rsid w:val="008D128E"/>
    <w:rsid w:val="008D1D16"/>
    <w:rsid w:val="008D25B6"/>
    <w:rsid w:val="008E09CA"/>
    <w:rsid w:val="008E4D07"/>
    <w:rsid w:val="008E7F86"/>
    <w:rsid w:val="008F36B9"/>
    <w:rsid w:val="008F5EA5"/>
    <w:rsid w:val="008F6EB6"/>
    <w:rsid w:val="00901510"/>
    <w:rsid w:val="00901A26"/>
    <w:rsid w:val="00903128"/>
    <w:rsid w:val="00903A21"/>
    <w:rsid w:val="009103AC"/>
    <w:rsid w:val="00915C8B"/>
    <w:rsid w:val="0091656F"/>
    <w:rsid w:val="00920455"/>
    <w:rsid w:val="00922EA2"/>
    <w:rsid w:val="009370BC"/>
    <w:rsid w:val="009413B8"/>
    <w:rsid w:val="009430AC"/>
    <w:rsid w:val="0094470E"/>
    <w:rsid w:val="009451CB"/>
    <w:rsid w:val="009471D1"/>
    <w:rsid w:val="00951A7D"/>
    <w:rsid w:val="0095227F"/>
    <w:rsid w:val="009531E4"/>
    <w:rsid w:val="00955AF7"/>
    <w:rsid w:val="00956137"/>
    <w:rsid w:val="0096018A"/>
    <w:rsid w:val="00961CA2"/>
    <w:rsid w:val="00962024"/>
    <w:rsid w:val="0096237A"/>
    <w:rsid w:val="009671EF"/>
    <w:rsid w:val="009676A4"/>
    <w:rsid w:val="00972512"/>
    <w:rsid w:val="0097268A"/>
    <w:rsid w:val="0097373B"/>
    <w:rsid w:val="00976AF8"/>
    <w:rsid w:val="009808DB"/>
    <w:rsid w:val="00980BB2"/>
    <w:rsid w:val="00981803"/>
    <w:rsid w:val="00983976"/>
    <w:rsid w:val="00986F88"/>
    <w:rsid w:val="00992FA8"/>
    <w:rsid w:val="00995FE6"/>
    <w:rsid w:val="009A05A7"/>
    <w:rsid w:val="009A188F"/>
    <w:rsid w:val="009A70D8"/>
    <w:rsid w:val="009B18E1"/>
    <w:rsid w:val="009B30D9"/>
    <w:rsid w:val="009B66AA"/>
    <w:rsid w:val="009C2AEA"/>
    <w:rsid w:val="009C7626"/>
    <w:rsid w:val="009D20F2"/>
    <w:rsid w:val="009D4EDA"/>
    <w:rsid w:val="009D7365"/>
    <w:rsid w:val="009E08E4"/>
    <w:rsid w:val="009E2403"/>
    <w:rsid w:val="009E3615"/>
    <w:rsid w:val="009E3ABB"/>
    <w:rsid w:val="009F1526"/>
    <w:rsid w:val="009F24E4"/>
    <w:rsid w:val="009F55D4"/>
    <w:rsid w:val="009F7B8D"/>
    <w:rsid w:val="00A046E3"/>
    <w:rsid w:val="00A15D25"/>
    <w:rsid w:val="00A15FD8"/>
    <w:rsid w:val="00A220EF"/>
    <w:rsid w:val="00A247CD"/>
    <w:rsid w:val="00A3220B"/>
    <w:rsid w:val="00A33486"/>
    <w:rsid w:val="00A33736"/>
    <w:rsid w:val="00A35354"/>
    <w:rsid w:val="00A364BC"/>
    <w:rsid w:val="00A40D24"/>
    <w:rsid w:val="00A41DC2"/>
    <w:rsid w:val="00A42783"/>
    <w:rsid w:val="00A427FE"/>
    <w:rsid w:val="00A42967"/>
    <w:rsid w:val="00A434EF"/>
    <w:rsid w:val="00A44FB5"/>
    <w:rsid w:val="00A52F00"/>
    <w:rsid w:val="00A55140"/>
    <w:rsid w:val="00A55530"/>
    <w:rsid w:val="00A56A87"/>
    <w:rsid w:val="00A57F33"/>
    <w:rsid w:val="00A629AC"/>
    <w:rsid w:val="00A66647"/>
    <w:rsid w:val="00A66E81"/>
    <w:rsid w:val="00A673EB"/>
    <w:rsid w:val="00A67B86"/>
    <w:rsid w:val="00A72496"/>
    <w:rsid w:val="00A72603"/>
    <w:rsid w:val="00A73A2F"/>
    <w:rsid w:val="00A76C79"/>
    <w:rsid w:val="00A810CD"/>
    <w:rsid w:val="00A825E5"/>
    <w:rsid w:val="00A82F52"/>
    <w:rsid w:val="00A83001"/>
    <w:rsid w:val="00A91296"/>
    <w:rsid w:val="00A920E5"/>
    <w:rsid w:val="00A93FC1"/>
    <w:rsid w:val="00AA28B4"/>
    <w:rsid w:val="00AA6218"/>
    <w:rsid w:val="00AB3147"/>
    <w:rsid w:val="00AB4A86"/>
    <w:rsid w:val="00AC2B2D"/>
    <w:rsid w:val="00AC4DF8"/>
    <w:rsid w:val="00AC4EFE"/>
    <w:rsid w:val="00AD12F4"/>
    <w:rsid w:val="00AE0609"/>
    <w:rsid w:val="00AE0E61"/>
    <w:rsid w:val="00AE10CB"/>
    <w:rsid w:val="00AE23BF"/>
    <w:rsid w:val="00AE52B2"/>
    <w:rsid w:val="00AE7619"/>
    <w:rsid w:val="00AF361F"/>
    <w:rsid w:val="00AF543F"/>
    <w:rsid w:val="00AF6BAB"/>
    <w:rsid w:val="00B0398F"/>
    <w:rsid w:val="00B05B5F"/>
    <w:rsid w:val="00B06115"/>
    <w:rsid w:val="00B0751C"/>
    <w:rsid w:val="00B12DE7"/>
    <w:rsid w:val="00B12E5F"/>
    <w:rsid w:val="00B142A8"/>
    <w:rsid w:val="00B14DFD"/>
    <w:rsid w:val="00B20C44"/>
    <w:rsid w:val="00B235C2"/>
    <w:rsid w:val="00B268B2"/>
    <w:rsid w:val="00B3042A"/>
    <w:rsid w:val="00B319D0"/>
    <w:rsid w:val="00B35542"/>
    <w:rsid w:val="00B414A6"/>
    <w:rsid w:val="00B41C9C"/>
    <w:rsid w:val="00B47D6F"/>
    <w:rsid w:val="00B53805"/>
    <w:rsid w:val="00B572B0"/>
    <w:rsid w:val="00B647FD"/>
    <w:rsid w:val="00B66083"/>
    <w:rsid w:val="00B7008F"/>
    <w:rsid w:val="00B70663"/>
    <w:rsid w:val="00B76175"/>
    <w:rsid w:val="00B77480"/>
    <w:rsid w:val="00B804DA"/>
    <w:rsid w:val="00B85A4C"/>
    <w:rsid w:val="00B907A6"/>
    <w:rsid w:val="00B925C6"/>
    <w:rsid w:val="00B936F6"/>
    <w:rsid w:val="00B94373"/>
    <w:rsid w:val="00B950C0"/>
    <w:rsid w:val="00B96862"/>
    <w:rsid w:val="00B969D5"/>
    <w:rsid w:val="00BA0C4A"/>
    <w:rsid w:val="00BA11F5"/>
    <w:rsid w:val="00BA1275"/>
    <w:rsid w:val="00BA2CFE"/>
    <w:rsid w:val="00BA7E86"/>
    <w:rsid w:val="00BB186F"/>
    <w:rsid w:val="00BB454B"/>
    <w:rsid w:val="00BB57CE"/>
    <w:rsid w:val="00BB59CE"/>
    <w:rsid w:val="00BB6C62"/>
    <w:rsid w:val="00BB6FC8"/>
    <w:rsid w:val="00BC0846"/>
    <w:rsid w:val="00BC1C66"/>
    <w:rsid w:val="00BC221B"/>
    <w:rsid w:val="00BC71EB"/>
    <w:rsid w:val="00BD06AD"/>
    <w:rsid w:val="00BD07E8"/>
    <w:rsid w:val="00BD14DB"/>
    <w:rsid w:val="00BD2466"/>
    <w:rsid w:val="00BD3813"/>
    <w:rsid w:val="00BE3D82"/>
    <w:rsid w:val="00BE509D"/>
    <w:rsid w:val="00BF0E87"/>
    <w:rsid w:val="00BF4F6F"/>
    <w:rsid w:val="00BF7EAB"/>
    <w:rsid w:val="00C00D41"/>
    <w:rsid w:val="00C039F5"/>
    <w:rsid w:val="00C13200"/>
    <w:rsid w:val="00C13686"/>
    <w:rsid w:val="00C1446B"/>
    <w:rsid w:val="00C15AD7"/>
    <w:rsid w:val="00C21C37"/>
    <w:rsid w:val="00C32017"/>
    <w:rsid w:val="00C320D4"/>
    <w:rsid w:val="00C3257C"/>
    <w:rsid w:val="00C35234"/>
    <w:rsid w:val="00C3543E"/>
    <w:rsid w:val="00C35547"/>
    <w:rsid w:val="00C40447"/>
    <w:rsid w:val="00C40751"/>
    <w:rsid w:val="00C40CB3"/>
    <w:rsid w:val="00C44C32"/>
    <w:rsid w:val="00C47BCA"/>
    <w:rsid w:val="00C53B7B"/>
    <w:rsid w:val="00C562F5"/>
    <w:rsid w:val="00C5647C"/>
    <w:rsid w:val="00C64858"/>
    <w:rsid w:val="00C672BC"/>
    <w:rsid w:val="00C70146"/>
    <w:rsid w:val="00C74DF5"/>
    <w:rsid w:val="00C813A6"/>
    <w:rsid w:val="00C822A4"/>
    <w:rsid w:val="00C83B9B"/>
    <w:rsid w:val="00C87509"/>
    <w:rsid w:val="00CA0D07"/>
    <w:rsid w:val="00CA1878"/>
    <w:rsid w:val="00CA215F"/>
    <w:rsid w:val="00CA239D"/>
    <w:rsid w:val="00CA497D"/>
    <w:rsid w:val="00CB12E9"/>
    <w:rsid w:val="00CB2871"/>
    <w:rsid w:val="00CB2E92"/>
    <w:rsid w:val="00CB5002"/>
    <w:rsid w:val="00CB6711"/>
    <w:rsid w:val="00CB675F"/>
    <w:rsid w:val="00CC054E"/>
    <w:rsid w:val="00CC0775"/>
    <w:rsid w:val="00CC34D4"/>
    <w:rsid w:val="00CC3776"/>
    <w:rsid w:val="00CD4FA5"/>
    <w:rsid w:val="00CD5822"/>
    <w:rsid w:val="00CE05AD"/>
    <w:rsid w:val="00CE3A3D"/>
    <w:rsid w:val="00CE3E37"/>
    <w:rsid w:val="00CE7678"/>
    <w:rsid w:val="00CE7F16"/>
    <w:rsid w:val="00CF081A"/>
    <w:rsid w:val="00CF3A4F"/>
    <w:rsid w:val="00CF684B"/>
    <w:rsid w:val="00D008C3"/>
    <w:rsid w:val="00D06F5B"/>
    <w:rsid w:val="00D071F3"/>
    <w:rsid w:val="00D07AC3"/>
    <w:rsid w:val="00D13DE2"/>
    <w:rsid w:val="00D13F7F"/>
    <w:rsid w:val="00D17CB5"/>
    <w:rsid w:val="00D21F50"/>
    <w:rsid w:val="00D25D42"/>
    <w:rsid w:val="00D26799"/>
    <w:rsid w:val="00D300A2"/>
    <w:rsid w:val="00D335F0"/>
    <w:rsid w:val="00D34049"/>
    <w:rsid w:val="00D35BB5"/>
    <w:rsid w:val="00D36795"/>
    <w:rsid w:val="00D37860"/>
    <w:rsid w:val="00D426F8"/>
    <w:rsid w:val="00D4382C"/>
    <w:rsid w:val="00D44977"/>
    <w:rsid w:val="00D44DEA"/>
    <w:rsid w:val="00D456F1"/>
    <w:rsid w:val="00D569FC"/>
    <w:rsid w:val="00D62BC3"/>
    <w:rsid w:val="00D631C4"/>
    <w:rsid w:val="00D65393"/>
    <w:rsid w:val="00D656CC"/>
    <w:rsid w:val="00D70C84"/>
    <w:rsid w:val="00D71B84"/>
    <w:rsid w:val="00D72E28"/>
    <w:rsid w:val="00D74443"/>
    <w:rsid w:val="00D763EF"/>
    <w:rsid w:val="00D808DA"/>
    <w:rsid w:val="00D80A79"/>
    <w:rsid w:val="00D80B64"/>
    <w:rsid w:val="00D852BA"/>
    <w:rsid w:val="00D92A32"/>
    <w:rsid w:val="00D932DB"/>
    <w:rsid w:val="00DA141C"/>
    <w:rsid w:val="00DA5511"/>
    <w:rsid w:val="00DA6BA2"/>
    <w:rsid w:val="00DA6E85"/>
    <w:rsid w:val="00DA7965"/>
    <w:rsid w:val="00DB317D"/>
    <w:rsid w:val="00DB32A9"/>
    <w:rsid w:val="00DB46BA"/>
    <w:rsid w:val="00DB59B1"/>
    <w:rsid w:val="00DB626B"/>
    <w:rsid w:val="00DB6EF1"/>
    <w:rsid w:val="00DB7E90"/>
    <w:rsid w:val="00DC3F5A"/>
    <w:rsid w:val="00DC5399"/>
    <w:rsid w:val="00DC73ED"/>
    <w:rsid w:val="00DD029B"/>
    <w:rsid w:val="00DD17DD"/>
    <w:rsid w:val="00DE08BE"/>
    <w:rsid w:val="00DE43EB"/>
    <w:rsid w:val="00DE4563"/>
    <w:rsid w:val="00DE4DCD"/>
    <w:rsid w:val="00DE6A9B"/>
    <w:rsid w:val="00DE7AA1"/>
    <w:rsid w:val="00DE7DBA"/>
    <w:rsid w:val="00DF0101"/>
    <w:rsid w:val="00E00882"/>
    <w:rsid w:val="00E0591C"/>
    <w:rsid w:val="00E06A12"/>
    <w:rsid w:val="00E07FA9"/>
    <w:rsid w:val="00E108DB"/>
    <w:rsid w:val="00E1250A"/>
    <w:rsid w:val="00E1267D"/>
    <w:rsid w:val="00E13361"/>
    <w:rsid w:val="00E157F5"/>
    <w:rsid w:val="00E1765C"/>
    <w:rsid w:val="00E2494E"/>
    <w:rsid w:val="00E32833"/>
    <w:rsid w:val="00E32F27"/>
    <w:rsid w:val="00E33BDF"/>
    <w:rsid w:val="00E36D58"/>
    <w:rsid w:val="00E454F8"/>
    <w:rsid w:val="00E5533D"/>
    <w:rsid w:val="00E600DC"/>
    <w:rsid w:val="00E61D36"/>
    <w:rsid w:val="00E635EC"/>
    <w:rsid w:val="00E64F1D"/>
    <w:rsid w:val="00E67FF6"/>
    <w:rsid w:val="00E72232"/>
    <w:rsid w:val="00E773B9"/>
    <w:rsid w:val="00E83DF0"/>
    <w:rsid w:val="00E90EF9"/>
    <w:rsid w:val="00E9115C"/>
    <w:rsid w:val="00E912AF"/>
    <w:rsid w:val="00E93F84"/>
    <w:rsid w:val="00E943AE"/>
    <w:rsid w:val="00E961FB"/>
    <w:rsid w:val="00EA1048"/>
    <w:rsid w:val="00EA5F4F"/>
    <w:rsid w:val="00EB1C10"/>
    <w:rsid w:val="00EB51D0"/>
    <w:rsid w:val="00EB5C57"/>
    <w:rsid w:val="00EB5F44"/>
    <w:rsid w:val="00EB6E3B"/>
    <w:rsid w:val="00EC51D6"/>
    <w:rsid w:val="00EC58C8"/>
    <w:rsid w:val="00EC638E"/>
    <w:rsid w:val="00ED38BE"/>
    <w:rsid w:val="00ED6C78"/>
    <w:rsid w:val="00ED7333"/>
    <w:rsid w:val="00EE04A8"/>
    <w:rsid w:val="00EE3472"/>
    <w:rsid w:val="00EE7D92"/>
    <w:rsid w:val="00EF1910"/>
    <w:rsid w:val="00EF1BAE"/>
    <w:rsid w:val="00EF30D3"/>
    <w:rsid w:val="00EF3F73"/>
    <w:rsid w:val="00EF7964"/>
    <w:rsid w:val="00F021D4"/>
    <w:rsid w:val="00F03C63"/>
    <w:rsid w:val="00F06A0F"/>
    <w:rsid w:val="00F10923"/>
    <w:rsid w:val="00F15258"/>
    <w:rsid w:val="00F17295"/>
    <w:rsid w:val="00F21CB2"/>
    <w:rsid w:val="00F228A0"/>
    <w:rsid w:val="00F239B5"/>
    <w:rsid w:val="00F24D4D"/>
    <w:rsid w:val="00F2653B"/>
    <w:rsid w:val="00F30B06"/>
    <w:rsid w:val="00F30D1C"/>
    <w:rsid w:val="00F35A73"/>
    <w:rsid w:val="00F36D4C"/>
    <w:rsid w:val="00F3748B"/>
    <w:rsid w:val="00F43D4C"/>
    <w:rsid w:val="00F44835"/>
    <w:rsid w:val="00F45001"/>
    <w:rsid w:val="00F47B4B"/>
    <w:rsid w:val="00F53284"/>
    <w:rsid w:val="00F62A16"/>
    <w:rsid w:val="00F64B70"/>
    <w:rsid w:val="00F72014"/>
    <w:rsid w:val="00F7392E"/>
    <w:rsid w:val="00F74E13"/>
    <w:rsid w:val="00F76DE0"/>
    <w:rsid w:val="00F7776E"/>
    <w:rsid w:val="00F81405"/>
    <w:rsid w:val="00F82B9F"/>
    <w:rsid w:val="00F83DEF"/>
    <w:rsid w:val="00F8508D"/>
    <w:rsid w:val="00F85165"/>
    <w:rsid w:val="00F86738"/>
    <w:rsid w:val="00F905A2"/>
    <w:rsid w:val="00F910C0"/>
    <w:rsid w:val="00F927A7"/>
    <w:rsid w:val="00F92905"/>
    <w:rsid w:val="00FA17AB"/>
    <w:rsid w:val="00FA1EEF"/>
    <w:rsid w:val="00FA4351"/>
    <w:rsid w:val="00FA45DE"/>
    <w:rsid w:val="00FA4A39"/>
    <w:rsid w:val="00FA5793"/>
    <w:rsid w:val="00FA7AE1"/>
    <w:rsid w:val="00FC3DE0"/>
    <w:rsid w:val="00FC42B9"/>
    <w:rsid w:val="00FC504D"/>
    <w:rsid w:val="00FD3177"/>
    <w:rsid w:val="00FD5727"/>
    <w:rsid w:val="00FD5819"/>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F4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link w:val="CommentTextChar"/>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basedOn w:val="DefaultParagraphFont"/>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E3E"/>
    <w:rPr>
      <w:color w:val="800080" w:themeColor="followedHyperlink"/>
      <w:u w:val="single"/>
    </w:rPr>
  </w:style>
  <w:style w:type="character" w:customStyle="1" w:styleId="HeaderChar">
    <w:name w:val="Header Char"/>
    <w:aliases w:val="h Char"/>
    <w:link w:val="Header"/>
    <w:rsid w:val="00800032"/>
    <w:rPr>
      <w:rFonts w:ascii="CG Omega" w:hAnsi="CG Omega"/>
      <w:sz w:val="22"/>
      <w:szCs w:val="24"/>
      <w:lang w:eastAsia="en-US"/>
    </w:rPr>
  </w:style>
  <w:style w:type="paragraph" w:styleId="FootnoteText">
    <w:name w:val="footnote text"/>
    <w:aliases w:val="ft"/>
    <w:basedOn w:val="Normal"/>
    <w:link w:val="FootnoteTextChar"/>
    <w:rsid w:val="00025C34"/>
    <w:pPr>
      <w:spacing w:before="240"/>
    </w:pPr>
    <w:rPr>
      <w:rFonts w:ascii="Times New Roman" w:hAnsi="Times New Roman"/>
      <w:sz w:val="20"/>
      <w:szCs w:val="20"/>
      <w:lang w:eastAsia="en-AU"/>
    </w:rPr>
  </w:style>
  <w:style w:type="character" w:customStyle="1" w:styleId="FootnoteTextChar">
    <w:name w:val="Footnote Text Char"/>
    <w:aliases w:val="ft Char"/>
    <w:basedOn w:val="DefaultParagraphFont"/>
    <w:link w:val="FootnoteText"/>
    <w:rsid w:val="00025C34"/>
  </w:style>
  <w:style w:type="character" w:styleId="FootnoteReference">
    <w:name w:val="footnote reference"/>
    <w:aliases w:val="fr"/>
    <w:rsid w:val="00025C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B26E-1D7B-4717-9BE0-AFB28659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5811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Hugh Dixon</cp:lastModifiedBy>
  <cp:revision>2</cp:revision>
  <cp:lastPrinted>2017-06-22T21:59:00Z</cp:lastPrinted>
  <dcterms:created xsi:type="dcterms:W3CDTF">2017-07-03T01:56:00Z</dcterms:created>
  <dcterms:modified xsi:type="dcterms:W3CDTF">2017-07-03T01:56:00Z</dcterms:modified>
</cp:coreProperties>
</file>