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A16" w:rsidRPr="00352A69" w:rsidRDefault="001F2A16" w:rsidP="00352A69">
      <w:pPr>
        <w:pStyle w:val="Header"/>
        <w:pBdr>
          <w:top w:val="double" w:sz="4" w:space="1" w:color="auto"/>
          <w:bottom w:val="double" w:sz="4" w:space="1" w:color="auto"/>
        </w:pBdr>
        <w:tabs>
          <w:tab w:val="clear" w:pos="4153"/>
          <w:tab w:val="clear" w:pos="8306"/>
        </w:tabs>
        <w:jc w:val="center"/>
        <w:rPr>
          <w:rFonts w:ascii="Arial" w:hAnsi="Arial" w:cs="Arial"/>
          <w:sz w:val="34"/>
          <w:szCs w:val="34"/>
        </w:rPr>
      </w:pPr>
      <w:bookmarkStart w:id="0" w:name="FDocName"/>
      <w:r w:rsidRPr="00352A69">
        <w:rPr>
          <w:rFonts w:ascii="Arial" w:hAnsi="Arial" w:cs="Arial"/>
          <w:sz w:val="34"/>
          <w:szCs w:val="34"/>
        </w:rPr>
        <w:t>Explanatory Statement</w:t>
      </w:r>
    </w:p>
    <w:p w:rsidR="001F2A16" w:rsidRDefault="001F2A16" w:rsidP="00352A69">
      <w:pPr>
        <w:pStyle w:val="Header"/>
        <w:pBdr>
          <w:top w:val="double" w:sz="4" w:space="1" w:color="auto"/>
          <w:bottom w:val="double" w:sz="4" w:space="1" w:color="auto"/>
        </w:pBdr>
        <w:tabs>
          <w:tab w:val="clear" w:pos="4153"/>
          <w:tab w:val="clear" w:pos="8306"/>
        </w:tabs>
        <w:jc w:val="center"/>
        <w:rPr>
          <w:rFonts w:ascii="Arial" w:hAnsi="Arial" w:cs="Arial"/>
          <w:sz w:val="34"/>
          <w:szCs w:val="34"/>
        </w:rPr>
      </w:pPr>
    </w:p>
    <w:p w:rsidR="00E17A65" w:rsidRPr="00352A69" w:rsidRDefault="00E17A65" w:rsidP="00352A69">
      <w:pPr>
        <w:pStyle w:val="Header"/>
        <w:pBdr>
          <w:top w:val="double" w:sz="4" w:space="1" w:color="auto"/>
          <w:bottom w:val="double" w:sz="4" w:space="1" w:color="auto"/>
        </w:pBdr>
        <w:tabs>
          <w:tab w:val="clear" w:pos="4153"/>
          <w:tab w:val="clear" w:pos="8306"/>
        </w:tabs>
        <w:jc w:val="center"/>
        <w:rPr>
          <w:rFonts w:ascii="Arial" w:hAnsi="Arial" w:cs="Arial"/>
          <w:sz w:val="34"/>
          <w:szCs w:val="34"/>
        </w:rPr>
      </w:pPr>
      <w:r>
        <w:rPr>
          <w:rFonts w:ascii="Arial" w:hAnsi="Arial" w:cs="Arial"/>
          <w:sz w:val="34"/>
          <w:szCs w:val="34"/>
        </w:rPr>
        <w:t xml:space="preserve">Goods and Services Tax: Foreign Currency Conversion Determination (No. </w:t>
      </w:r>
      <w:r w:rsidR="00E2098F">
        <w:rPr>
          <w:rFonts w:ascii="Arial" w:hAnsi="Arial" w:cs="Arial"/>
          <w:sz w:val="34"/>
          <w:szCs w:val="34"/>
        </w:rPr>
        <w:t>1</w:t>
      </w:r>
      <w:r>
        <w:rPr>
          <w:rFonts w:ascii="Arial" w:hAnsi="Arial" w:cs="Arial"/>
          <w:sz w:val="34"/>
          <w:szCs w:val="34"/>
        </w:rPr>
        <w:t xml:space="preserve">) 2017 </w:t>
      </w:r>
    </w:p>
    <w:p w:rsidR="007234C3" w:rsidRPr="00352A69" w:rsidRDefault="007234C3" w:rsidP="00352A69">
      <w:pPr>
        <w:jc w:val="center"/>
        <w:rPr>
          <w:rFonts w:ascii="Arial" w:hAnsi="Arial" w:cs="Arial"/>
          <w:i/>
          <w:iCs/>
          <w:sz w:val="34"/>
          <w:szCs w:val="34"/>
        </w:rPr>
      </w:pPr>
    </w:p>
    <w:p w:rsidR="00011847" w:rsidRPr="00352A69" w:rsidRDefault="00011847" w:rsidP="00352A69">
      <w:pPr>
        <w:jc w:val="center"/>
        <w:rPr>
          <w:rFonts w:ascii="Arial" w:hAnsi="Arial" w:cs="Arial"/>
          <w:i/>
          <w:iCs/>
          <w:sz w:val="34"/>
          <w:szCs w:val="34"/>
        </w:rPr>
      </w:pPr>
    </w:p>
    <w:p w:rsidR="00486653" w:rsidRPr="00352A69" w:rsidRDefault="00486653" w:rsidP="00352A69">
      <w:pPr>
        <w:pStyle w:val="Heading2"/>
        <w:keepLines/>
        <w:rPr>
          <w:rFonts w:eastAsiaTheme="majorEastAsia" w:cs="Arial"/>
          <w:bCs/>
          <w:szCs w:val="22"/>
        </w:rPr>
      </w:pPr>
      <w:bookmarkStart w:id="1" w:name="EDisclaimer"/>
      <w:bookmarkStart w:id="2" w:name="HBody"/>
      <w:bookmarkStart w:id="3" w:name="LReferences"/>
      <w:bookmarkStart w:id="4" w:name="NRulingRef"/>
      <w:bookmarkStart w:id="5" w:name="OSubjectRef"/>
      <w:bookmarkStart w:id="6" w:name="PLegrefText"/>
      <w:bookmarkStart w:id="7" w:name="QLegref"/>
      <w:bookmarkStart w:id="8" w:name="RCaseRefText"/>
      <w:bookmarkStart w:id="9" w:name="SCaseRef"/>
      <w:bookmarkStart w:id="10" w:name="VISSN"/>
      <w:bookmarkEnd w:id="0"/>
      <w:bookmarkEnd w:id="1"/>
      <w:bookmarkEnd w:id="2"/>
      <w:bookmarkEnd w:id="3"/>
      <w:bookmarkEnd w:id="4"/>
      <w:bookmarkEnd w:id="5"/>
      <w:bookmarkEnd w:id="6"/>
      <w:bookmarkEnd w:id="7"/>
      <w:bookmarkEnd w:id="8"/>
      <w:bookmarkEnd w:id="9"/>
      <w:bookmarkEnd w:id="10"/>
      <w:r w:rsidRPr="00352A69">
        <w:rPr>
          <w:rFonts w:eastAsiaTheme="majorEastAsia" w:cs="Arial"/>
          <w:bCs/>
          <w:szCs w:val="22"/>
        </w:rPr>
        <w:t xml:space="preserve">General Outline of </w:t>
      </w:r>
      <w:r w:rsidR="00332877">
        <w:rPr>
          <w:rFonts w:eastAsiaTheme="majorEastAsia" w:cs="Arial"/>
          <w:bCs/>
          <w:szCs w:val="22"/>
        </w:rPr>
        <w:t>Determination</w:t>
      </w:r>
    </w:p>
    <w:p w:rsidR="007822CF" w:rsidRPr="00352A69" w:rsidRDefault="007822CF" w:rsidP="00C822F6">
      <w:pPr>
        <w:numPr>
          <w:ilvl w:val="0"/>
          <w:numId w:val="16"/>
        </w:numPr>
        <w:spacing w:after="120"/>
        <w:ind w:left="709" w:hanging="709"/>
        <w:rPr>
          <w:rFonts w:ascii="Arial" w:hAnsi="Arial" w:cs="Arial"/>
          <w:sz w:val="22"/>
          <w:szCs w:val="22"/>
        </w:rPr>
      </w:pPr>
      <w:bookmarkStart w:id="11" w:name="IComments"/>
      <w:r w:rsidRPr="00352A69">
        <w:rPr>
          <w:rFonts w:ascii="Arial" w:hAnsi="Arial" w:cs="Arial"/>
          <w:sz w:val="22"/>
          <w:szCs w:val="22"/>
        </w:rPr>
        <w:t xml:space="preserve">This </w:t>
      </w:r>
      <w:r w:rsidR="00332877">
        <w:rPr>
          <w:rFonts w:ascii="Arial" w:hAnsi="Arial" w:cs="Arial"/>
          <w:sz w:val="22"/>
          <w:szCs w:val="22"/>
        </w:rPr>
        <w:t xml:space="preserve">determination </w:t>
      </w:r>
      <w:r w:rsidRPr="00352A69">
        <w:rPr>
          <w:rFonts w:ascii="Arial" w:hAnsi="Arial" w:cs="Arial"/>
          <w:sz w:val="22"/>
          <w:szCs w:val="22"/>
        </w:rPr>
        <w:t xml:space="preserve">is made under subsection 9-85(2) of the </w:t>
      </w:r>
      <w:r w:rsidRPr="00352A69">
        <w:rPr>
          <w:rFonts w:ascii="Arial" w:hAnsi="Arial" w:cs="Arial"/>
          <w:i/>
          <w:iCs/>
          <w:sz w:val="22"/>
          <w:szCs w:val="22"/>
        </w:rPr>
        <w:t>A New Tax System (Goods and Services Tax) Act 1999</w:t>
      </w:r>
      <w:r w:rsidRPr="00352A69">
        <w:rPr>
          <w:rFonts w:ascii="Arial" w:hAnsi="Arial" w:cs="Arial"/>
          <w:sz w:val="22"/>
          <w:szCs w:val="22"/>
        </w:rPr>
        <w:t xml:space="preserve"> (the GST Act).</w:t>
      </w:r>
    </w:p>
    <w:p w:rsidR="007822CF" w:rsidRPr="00352A69" w:rsidRDefault="007822CF" w:rsidP="00C822F6">
      <w:pPr>
        <w:numPr>
          <w:ilvl w:val="0"/>
          <w:numId w:val="16"/>
        </w:numPr>
        <w:spacing w:after="120"/>
        <w:ind w:left="709" w:hanging="709"/>
        <w:rPr>
          <w:rFonts w:ascii="Arial" w:hAnsi="Arial" w:cs="Arial"/>
          <w:sz w:val="22"/>
          <w:szCs w:val="22"/>
        </w:rPr>
      </w:pPr>
      <w:r w:rsidRPr="00352A69">
        <w:rPr>
          <w:rFonts w:ascii="Arial" w:hAnsi="Arial" w:cs="Arial"/>
          <w:sz w:val="22"/>
          <w:szCs w:val="22"/>
        </w:rPr>
        <w:t xml:space="preserve">This </w:t>
      </w:r>
      <w:r w:rsidR="00332877">
        <w:rPr>
          <w:rFonts w:ascii="Arial" w:hAnsi="Arial" w:cs="Arial"/>
          <w:sz w:val="22"/>
          <w:szCs w:val="22"/>
        </w:rPr>
        <w:t>determination</w:t>
      </w:r>
      <w:r w:rsidRPr="00352A69">
        <w:rPr>
          <w:rFonts w:ascii="Arial" w:hAnsi="Arial" w:cs="Arial"/>
          <w:sz w:val="22"/>
          <w:szCs w:val="22"/>
        </w:rPr>
        <w:t xml:space="preserve"> sets out the method to convert amounts of consideration that are expressed in foreign currency into Australian currency for the purposes of working out the value of a taxable supply.</w:t>
      </w:r>
    </w:p>
    <w:p w:rsidR="000B5D34" w:rsidRDefault="007822CF" w:rsidP="000B5D34">
      <w:pPr>
        <w:numPr>
          <w:ilvl w:val="0"/>
          <w:numId w:val="16"/>
        </w:numPr>
        <w:spacing w:after="120"/>
        <w:ind w:left="709" w:hanging="709"/>
        <w:rPr>
          <w:rFonts w:ascii="Arial" w:hAnsi="Arial" w:cs="Arial"/>
          <w:sz w:val="22"/>
          <w:szCs w:val="22"/>
        </w:rPr>
      </w:pPr>
      <w:r w:rsidRPr="00352A69">
        <w:rPr>
          <w:rFonts w:ascii="Arial" w:hAnsi="Arial" w:cs="Arial"/>
          <w:sz w:val="22"/>
          <w:szCs w:val="22"/>
        </w:rPr>
        <w:t>Th</w:t>
      </w:r>
      <w:r w:rsidR="0038173B" w:rsidRPr="00352A69">
        <w:rPr>
          <w:rFonts w:ascii="Arial" w:hAnsi="Arial" w:cs="Arial"/>
          <w:sz w:val="22"/>
          <w:szCs w:val="22"/>
        </w:rPr>
        <w:t>is</w:t>
      </w:r>
      <w:r w:rsidRPr="00352A69">
        <w:rPr>
          <w:rFonts w:ascii="Arial" w:hAnsi="Arial" w:cs="Arial"/>
          <w:sz w:val="22"/>
          <w:szCs w:val="22"/>
        </w:rPr>
        <w:t xml:space="preserve"> </w:t>
      </w:r>
      <w:r w:rsidR="00332877">
        <w:rPr>
          <w:rFonts w:ascii="Arial" w:hAnsi="Arial" w:cs="Arial"/>
          <w:sz w:val="22"/>
          <w:szCs w:val="22"/>
        </w:rPr>
        <w:t>determination</w:t>
      </w:r>
      <w:r w:rsidR="00332877" w:rsidRPr="00352A69">
        <w:rPr>
          <w:rFonts w:ascii="Arial" w:hAnsi="Arial" w:cs="Arial"/>
          <w:sz w:val="22"/>
          <w:szCs w:val="22"/>
        </w:rPr>
        <w:t xml:space="preserve"> </w:t>
      </w:r>
      <w:r w:rsidRPr="00352A69">
        <w:rPr>
          <w:rFonts w:ascii="Arial" w:hAnsi="Arial" w:cs="Arial"/>
          <w:sz w:val="22"/>
          <w:szCs w:val="22"/>
        </w:rPr>
        <w:t xml:space="preserve">is a legislative instrument for the purposes of the </w:t>
      </w:r>
      <w:r w:rsidR="00691FEA">
        <w:rPr>
          <w:rFonts w:ascii="Arial" w:hAnsi="Arial" w:cs="Arial"/>
          <w:i/>
          <w:sz w:val="22"/>
          <w:szCs w:val="22"/>
        </w:rPr>
        <w:t>Legislation</w:t>
      </w:r>
      <w:r w:rsidR="00691FEA" w:rsidRPr="00352A69">
        <w:rPr>
          <w:rFonts w:ascii="Arial" w:hAnsi="Arial" w:cs="Arial"/>
          <w:i/>
          <w:sz w:val="22"/>
          <w:szCs w:val="22"/>
        </w:rPr>
        <w:t xml:space="preserve"> Act</w:t>
      </w:r>
      <w:r w:rsidRPr="00352A69">
        <w:rPr>
          <w:rFonts w:ascii="Arial" w:hAnsi="Arial" w:cs="Arial"/>
          <w:i/>
          <w:sz w:val="22"/>
          <w:szCs w:val="22"/>
        </w:rPr>
        <w:t xml:space="preserve"> 2003</w:t>
      </w:r>
      <w:r w:rsidRPr="00352A69">
        <w:rPr>
          <w:rFonts w:ascii="Arial" w:hAnsi="Arial" w:cs="Arial"/>
          <w:sz w:val="22"/>
          <w:szCs w:val="22"/>
        </w:rPr>
        <w:t>.</w:t>
      </w:r>
    </w:p>
    <w:p w:rsidR="00F05A9C" w:rsidRPr="000B5D34" w:rsidRDefault="00F05A9C" w:rsidP="000B5D34">
      <w:pPr>
        <w:numPr>
          <w:ilvl w:val="0"/>
          <w:numId w:val="16"/>
        </w:numPr>
        <w:spacing w:after="120"/>
        <w:ind w:left="709" w:hanging="709"/>
        <w:rPr>
          <w:rFonts w:ascii="Arial" w:hAnsi="Arial" w:cs="Arial"/>
          <w:sz w:val="22"/>
          <w:szCs w:val="22"/>
        </w:rPr>
      </w:pPr>
      <w:r w:rsidRPr="000B5D34">
        <w:rPr>
          <w:rFonts w:ascii="Arial" w:hAnsi="Arial" w:cs="Arial"/>
          <w:sz w:val="22"/>
          <w:szCs w:val="22"/>
        </w:rPr>
        <w:t xml:space="preserve">Under subsection 33(3) of the </w:t>
      </w:r>
      <w:r w:rsidRPr="000B5D34">
        <w:rPr>
          <w:rFonts w:ascii="Arial" w:hAnsi="Arial" w:cs="Arial"/>
          <w:i/>
          <w:sz w:val="22"/>
          <w:szCs w:val="22"/>
        </w:rPr>
        <w:t>Acts Interpretation Act 1901</w:t>
      </w:r>
      <w:r w:rsidRPr="000B5D34">
        <w:rPr>
          <w:rFonts w:ascii="Arial" w:hAnsi="Arial" w:cs="Arial"/>
          <w:sz w:val="22"/>
          <w:szCs w:val="22"/>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rsidR="00486653" w:rsidRPr="00352A69" w:rsidRDefault="00486653" w:rsidP="00352A69">
      <w:pPr>
        <w:spacing w:after="120"/>
        <w:rPr>
          <w:rFonts w:ascii="Arial" w:hAnsi="Arial" w:cs="Arial"/>
          <w:sz w:val="22"/>
          <w:szCs w:val="22"/>
        </w:rPr>
      </w:pPr>
    </w:p>
    <w:bookmarkEnd w:id="11"/>
    <w:p w:rsidR="00486653" w:rsidRPr="00352A69" w:rsidRDefault="00486653" w:rsidP="00352A69">
      <w:pPr>
        <w:pStyle w:val="Heading2"/>
        <w:keepLines/>
        <w:rPr>
          <w:rFonts w:eastAsiaTheme="majorEastAsia" w:cs="Arial"/>
          <w:bCs/>
          <w:szCs w:val="22"/>
        </w:rPr>
      </w:pPr>
      <w:r w:rsidRPr="00352A69">
        <w:rPr>
          <w:rFonts w:eastAsiaTheme="majorEastAsia" w:cs="Arial"/>
          <w:bCs/>
          <w:szCs w:val="22"/>
        </w:rPr>
        <w:t>Date of effect</w:t>
      </w:r>
    </w:p>
    <w:p w:rsidR="00C822F6" w:rsidRDefault="00380CC4" w:rsidP="00C822F6">
      <w:pPr>
        <w:numPr>
          <w:ilvl w:val="0"/>
          <w:numId w:val="16"/>
        </w:numPr>
        <w:spacing w:after="120"/>
        <w:ind w:left="709" w:hanging="709"/>
        <w:rPr>
          <w:rFonts w:ascii="Arial" w:hAnsi="Arial" w:cs="Arial"/>
          <w:sz w:val="22"/>
          <w:szCs w:val="22"/>
        </w:rPr>
      </w:pPr>
      <w:r w:rsidRPr="00352A69">
        <w:rPr>
          <w:rFonts w:ascii="Arial" w:hAnsi="Arial" w:cs="Arial"/>
          <w:sz w:val="22"/>
          <w:szCs w:val="22"/>
        </w:rPr>
        <w:t>Th</w:t>
      </w:r>
      <w:r w:rsidR="0038173B" w:rsidRPr="00352A69">
        <w:rPr>
          <w:rFonts w:ascii="Arial" w:hAnsi="Arial" w:cs="Arial"/>
          <w:sz w:val="22"/>
          <w:szCs w:val="22"/>
        </w:rPr>
        <w:t>is</w:t>
      </w:r>
      <w:r w:rsidRPr="00352A69">
        <w:rPr>
          <w:rFonts w:ascii="Arial" w:hAnsi="Arial" w:cs="Arial"/>
          <w:sz w:val="22"/>
          <w:szCs w:val="22"/>
        </w:rPr>
        <w:t xml:space="preserve"> </w:t>
      </w:r>
      <w:r w:rsidR="00332877">
        <w:rPr>
          <w:rFonts w:ascii="Arial" w:hAnsi="Arial" w:cs="Arial"/>
          <w:sz w:val="22"/>
          <w:szCs w:val="22"/>
        </w:rPr>
        <w:t>determination</w:t>
      </w:r>
      <w:r w:rsidRPr="00352A69">
        <w:rPr>
          <w:rFonts w:ascii="Arial" w:hAnsi="Arial" w:cs="Arial"/>
          <w:sz w:val="22"/>
          <w:szCs w:val="22"/>
        </w:rPr>
        <w:t xml:space="preserve"> is taken to have commenced on </w:t>
      </w:r>
      <w:r w:rsidR="00ED7038">
        <w:rPr>
          <w:rFonts w:ascii="Arial" w:hAnsi="Arial" w:cs="Arial"/>
          <w:sz w:val="22"/>
          <w:szCs w:val="22"/>
        </w:rPr>
        <w:t>1 July 2017</w:t>
      </w:r>
      <w:r w:rsidR="007822CF" w:rsidRPr="00352A69">
        <w:rPr>
          <w:rFonts w:ascii="Arial" w:hAnsi="Arial" w:cs="Arial"/>
          <w:sz w:val="22"/>
          <w:szCs w:val="22"/>
        </w:rPr>
        <w:t>.</w:t>
      </w:r>
    </w:p>
    <w:p w:rsidR="00486653" w:rsidRPr="00C822F6" w:rsidRDefault="00486653" w:rsidP="00352A69">
      <w:pPr>
        <w:spacing w:after="120"/>
        <w:rPr>
          <w:rFonts w:ascii="Arial" w:hAnsi="Arial" w:cs="Arial"/>
          <w:sz w:val="22"/>
          <w:szCs w:val="22"/>
        </w:rPr>
      </w:pPr>
    </w:p>
    <w:p w:rsidR="00486653" w:rsidRPr="00352A69" w:rsidRDefault="00486653" w:rsidP="00352A69">
      <w:pPr>
        <w:pStyle w:val="Heading2"/>
        <w:keepLines/>
        <w:rPr>
          <w:rFonts w:eastAsiaTheme="majorEastAsia" w:cs="Arial"/>
          <w:bCs/>
          <w:szCs w:val="22"/>
        </w:rPr>
      </w:pPr>
      <w:r w:rsidRPr="00352A69">
        <w:rPr>
          <w:rFonts w:eastAsiaTheme="majorEastAsia" w:cs="Arial"/>
          <w:bCs/>
          <w:szCs w:val="22"/>
        </w:rPr>
        <w:t xml:space="preserve">What is this </w:t>
      </w:r>
      <w:r w:rsidR="00332877">
        <w:rPr>
          <w:rFonts w:eastAsiaTheme="majorEastAsia" w:cs="Arial"/>
          <w:bCs/>
          <w:szCs w:val="22"/>
        </w:rPr>
        <w:t>determination</w:t>
      </w:r>
      <w:r w:rsidR="00332877" w:rsidRPr="00352A69">
        <w:rPr>
          <w:rFonts w:eastAsiaTheme="majorEastAsia" w:cs="Arial"/>
          <w:bCs/>
          <w:szCs w:val="22"/>
        </w:rPr>
        <w:t xml:space="preserve"> </w:t>
      </w:r>
      <w:r w:rsidRPr="00352A69">
        <w:rPr>
          <w:rFonts w:eastAsiaTheme="majorEastAsia" w:cs="Arial"/>
          <w:bCs/>
          <w:szCs w:val="22"/>
        </w:rPr>
        <w:t>about</w:t>
      </w:r>
    </w:p>
    <w:p w:rsidR="00C822F6" w:rsidRDefault="007822CF" w:rsidP="00C822F6">
      <w:pPr>
        <w:numPr>
          <w:ilvl w:val="0"/>
          <w:numId w:val="16"/>
        </w:numPr>
        <w:spacing w:after="120"/>
        <w:ind w:left="709" w:hanging="709"/>
        <w:rPr>
          <w:rFonts w:ascii="Arial" w:hAnsi="Arial" w:cs="Arial"/>
          <w:sz w:val="22"/>
          <w:szCs w:val="22"/>
        </w:rPr>
      </w:pPr>
      <w:r w:rsidRPr="00352A69">
        <w:rPr>
          <w:rFonts w:ascii="Arial" w:hAnsi="Arial" w:cs="Arial"/>
          <w:sz w:val="22"/>
          <w:szCs w:val="22"/>
        </w:rPr>
        <w:t xml:space="preserve">Subsection 9-85(1) of the GST Act requires that the value of a taxable supply be expressed in Australian currency. An entity must report the GST payable for taxable supplies in Australian currency on </w:t>
      </w:r>
      <w:r w:rsidR="007234C3" w:rsidRPr="00352A69">
        <w:rPr>
          <w:rFonts w:ascii="Arial" w:hAnsi="Arial" w:cs="Arial"/>
          <w:sz w:val="22"/>
          <w:szCs w:val="22"/>
        </w:rPr>
        <w:t xml:space="preserve">its </w:t>
      </w:r>
      <w:r w:rsidRPr="00352A69">
        <w:rPr>
          <w:rFonts w:ascii="Arial" w:hAnsi="Arial" w:cs="Arial"/>
          <w:sz w:val="22"/>
          <w:szCs w:val="22"/>
        </w:rPr>
        <w:t>activity statements.</w:t>
      </w:r>
    </w:p>
    <w:p w:rsidR="007822CF" w:rsidRPr="00352A69" w:rsidRDefault="007822CF" w:rsidP="00C822F6">
      <w:pPr>
        <w:numPr>
          <w:ilvl w:val="0"/>
          <w:numId w:val="16"/>
        </w:numPr>
        <w:spacing w:after="120"/>
        <w:ind w:left="709" w:hanging="709"/>
        <w:rPr>
          <w:rFonts w:ascii="Arial" w:hAnsi="Arial" w:cs="Arial"/>
          <w:sz w:val="22"/>
          <w:szCs w:val="22"/>
        </w:rPr>
      </w:pPr>
      <w:r w:rsidRPr="00352A69">
        <w:rPr>
          <w:rFonts w:ascii="Arial" w:hAnsi="Arial" w:cs="Arial"/>
          <w:sz w:val="22"/>
          <w:szCs w:val="22"/>
        </w:rPr>
        <w:t xml:space="preserve">In </w:t>
      </w:r>
      <w:r w:rsidR="009B6DAA" w:rsidRPr="00352A69">
        <w:rPr>
          <w:rFonts w:ascii="Arial" w:hAnsi="Arial" w:cs="Arial"/>
          <w:sz w:val="22"/>
          <w:szCs w:val="22"/>
        </w:rPr>
        <w:t>this</w:t>
      </w:r>
      <w:r w:rsidR="00332877">
        <w:rPr>
          <w:rFonts w:ascii="Arial" w:hAnsi="Arial" w:cs="Arial"/>
          <w:sz w:val="22"/>
          <w:szCs w:val="22"/>
        </w:rPr>
        <w:t xml:space="preserve"> determination</w:t>
      </w:r>
      <w:r w:rsidR="009B6DAA" w:rsidRPr="00352A69">
        <w:rPr>
          <w:rFonts w:ascii="Arial" w:hAnsi="Arial" w:cs="Arial"/>
          <w:sz w:val="22"/>
          <w:szCs w:val="22"/>
        </w:rPr>
        <w:t xml:space="preserve">, </w:t>
      </w:r>
      <w:r w:rsidRPr="00352A69">
        <w:rPr>
          <w:rFonts w:ascii="Arial" w:hAnsi="Arial" w:cs="Arial"/>
          <w:sz w:val="22"/>
          <w:szCs w:val="22"/>
        </w:rPr>
        <w:t xml:space="preserve">the Commissioner sets out </w:t>
      </w:r>
      <w:r w:rsidR="0038173B" w:rsidRPr="00352A69">
        <w:rPr>
          <w:rFonts w:ascii="Arial" w:hAnsi="Arial" w:cs="Arial"/>
          <w:sz w:val="22"/>
          <w:szCs w:val="22"/>
        </w:rPr>
        <w:t>the</w:t>
      </w:r>
      <w:r w:rsidRPr="00352A69">
        <w:rPr>
          <w:rFonts w:ascii="Arial" w:hAnsi="Arial" w:cs="Arial"/>
          <w:sz w:val="22"/>
          <w:szCs w:val="22"/>
        </w:rPr>
        <w:t xml:space="preserve"> method </w:t>
      </w:r>
      <w:r w:rsidR="0038173B" w:rsidRPr="00352A69">
        <w:rPr>
          <w:rFonts w:ascii="Arial" w:hAnsi="Arial" w:cs="Arial"/>
          <w:sz w:val="22"/>
          <w:szCs w:val="22"/>
        </w:rPr>
        <w:t>an entity</w:t>
      </w:r>
      <w:r w:rsidRPr="00352A69">
        <w:rPr>
          <w:rFonts w:ascii="Arial" w:hAnsi="Arial" w:cs="Arial"/>
          <w:sz w:val="22"/>
          <w:szCs w:val="22"/>
        </w:rPr>
        <w:t xml:space="preserve"> must use to convert foreign currency to Australian currency when working out the value of a taxable supply.</w:t>
      </w:r>
    </w:p>
    <w:p w:rsidR="007822CF" w:rsidRPr="00352A69" w:rsidRDefault="007822CF" w:rsidP="00C822F6">
      <w:pPr>
        <w:spacing w:after="120"/>
        <w:rPr>
          <w:rFonts w:ascii="Arial" w:hAnsi="Arial" w:cs="Arial"/>
          <w:sz w:val="22"/>
          <w:szCs w:val="22"/>
        </w:rPr>
      </w:pPr>
    </w:p>
    <w:p w:rsidR="00486653" w:rsidRPr="00352A69" w:rsidRDefault="00486653" w:rsidP="00352A69">
      <w:pPr>
        <w:pStyle w:val="Heading2"/>
        <w:keepLines/>
        <w:rPr>
          <w:rFonts w:eastAsiaTheme="majorEastAsia" w:cs="Arial"/>
          <w:bCs/>
          <w:szCs w:val="22"/>
        </w:rPr>
      </w:pPr>
      <w:r w:rsidRPr="00352A69">
        <w:rPr>
          <w:rFonts w:eastAsiaTheme="majorEastAsia" w:cs="Arial"/>
          <w:bCs/>
          <w:szCs w:val="22"/>
        </w:rPr>
        <w:t>What is the effect of this instrument</w:t>
      </w:r>
    </w:p>
    <w:p w:rsidR="00C822F6" w:rsidRDefault="007822CF" w:rsidP="00C822F6">
      <w:pPr>
        <w:numPr>
          <w:ilvl w:val="0"/>
          <w:numId w:val="16"/>
        </w:numPr>
        <w:spacing w:after="120"/>
        <w:ind w:left="709" w:hanging="709"/>
        <w:rPr>
          <w:rFonts w:ascii="Arial" w:hAnsi="Arial" w:cs="Arial"/>
          <w:sz w:val="22"/>
          <w:szCs w:val="22"/>
        </w:rPr>
      </w:pPr>
      <w:r w:rsidRPr="00352A69">
        <w:rPr>
          <w:rFonts w:ascii="Arial" w:hAnsi="Arial" w:cs="Arial"/>
          <w:sz w:val="22"/>
          <w:szCs w:val="22"/>
        </w:rPr>
        <w:t>In working out the value of a taxable supply, an entity must convert any amount of consideration expressed in foreign currency using the following formula:</w:t>
      </w:r>
    </w:p>
    <w:p w:rsidR="00C822F6" w:rsidRDefault="000770B2" w:rsidP="00352A69">
      <w:pPr>
        <w:spacing w:after="120"/>
        <w:ind w:left="360"/>
        <w:jc w:val="center"/>
        <w:rPr>
          <w:rFonts w:ascii="Arial" w:hAnsi="Arial" w:cs="Arial"/>
          <w:sz w:val="20"/>
        </w:rPr>
      </w:pPr>
      <w:r>
        <w:rPr>
          <w:rFonts w:ascii="Arial" w:hAnsi="Arial" w:cs="Arial"/>
          <w:sz w:val="20"/>
        </w:rPr>
        <w:t>(</w:t>
      </w:r>
      <w:r w:rsidR="007822CF" w:rsidRPr="00352A69">
        <w:rPr>
          <w:rFonts w:ascii="Arial" w:hAnsi="Arial" w:cs="Arial"/>
          <w:sz w:val="20"/>
        </w:rPr>
        <w:t>Amount expressed in a foreign currency</w:t>
      </w:r>
      <w:r w:rsidR="000234A1" w:rsidRPr="00352A69">
        <w:rPr>
          <w:rFonts w:ascii="Arial" w:hAnsi="Arial" w:cs="Arial"/>
          <w:sz w:val="20"/>
        </w:rPr>
        <w:t>)</w:t>
      </w:r>
      <w:r w:rsidR="007822CF" w:rsidRPr="00352A69">
        <w:rPr>
          <w:rFonts w:ascii="Arial" w:hAnsi="Arial" w:cs="Arial"/>
          <w:sz w:val="20"/>
        </w:rPr>
        <w:t xml:space="preserve"> </w:t>
      </w:r>
      <w:r w:rsidR="001B23B2" w:rsidRPr="00352A69">
        <w:rPr>
          <w:rFonts w:ascii="Arial" w:hAnsi="Arial" w:cs="Arial"/>
          <w:sz w:val="20"/>
        </w:rPr>
        <w:t>x</w:t>
      </w:r>
      <w:r w:rsidR="007822CF" w:rsidRPr="00352A69">
        <w:rPr>
          <w:rFonts w:ascii="Arial" w:hAnsi="Arial" w:cs="Arial"/>
          <w:sz w:val="20"/>
        </w:rPr>
        <w:t xml:space="preserve"> (1 / your particular exchange rate on the conversion day)</w:t>
      </w:r>
    </w:p>
    <w:p w:rsidR="00C822F6" w:rsidRDefault="007822CF" w:rsidP="00C822F6">
      <w:pPr>
        <w:keepNext/>
        <w:spacing w:after="120"/>
        <w:ind w:firstLine="720"/>
        <w:rPr>
          <w:rFonts w:ascii="Arial" w:hAnsi="Arial" w:cs="Arial"/>
          <w:sz w:val="22"/>
        </w:rPr>
      </w:pPr>
      <w:r w:rsidRPr="00352A69">
        <w:rPr>
          <w:rFonts w:ascii="Arial" w:hAnsi="Arial" w:cs="Arial"/>
          <w:sz w:val="22"/>
        </w:rPr>
        <w:lastRenderedPageBreak/>
        <w:t>where,</w:t>
      </w:r>
    </w:p>
    <w:p w:rsidR="00C822F6" w:rsidRDefault="007822CF" w:rsidP="00C822F6">
      <w:pPr>
        <w:spacing w:after="120"/>
        <w:ind w:left="709"/>
        <w:rPr>
          <w:rFonts w:ascii="Arial" w:hAnsi="Arial" w:cs="Arial"/>
          <w:sz w:val="22"/>
        </w:rPr>
      </w:pPr>
      <w:r w:rsidRPr="00352A69">
        <w:rPr>
          <w:rFonts w:ascii="Arial" w:hAnsi="Arial" w:cs="Arial"/>
          <w:b/>
          <w:sz w:val="22"/>
        </w:rPr>
        <w:t>your particular exchange rate</w:t>
      </w:r>
      <w:r w:rsidRPr="00352A69">
        <w:rPr>
          <w:rFonts w:ascii="Arial" w:hAnsi="Arial" w:cs="Arial"/>
          <w:sz w:val="22"/>
        </w:rPr>
        <w:t xml:space="preserve"> is the rate from a foreign exchange organisation, the RBA rate, or the agreed rate, whichever the entity has chosen; and</w:t>
      </w:r>
    </w:p>
    <w:p w:rsidR="00C822F6" w:rsidRDefault="007822CF" w:rsidP="00C822F6">
      <w:pPr>
        <w:spacing w:after="120"/>
        <w:ind w:left="709"/>
        <w:rPr>
          <w:rFonts w:ascii="Arial" w:hAnsi="Arial" w:cs="Arial"/>
          <w:sz w:val="22"/>
        </w:rPr>
      </w:pPr>
      <w:proofErr w:type="gramStart"/>
      <w:r w:rsidRPr="00352A69">
        <w:rPr>
          <w:rFonts w:ascii="Arial" w:hAnsi="Arial" w:cs="Arial"/>
          <w:b/>
          <w:sz w:val="22"/>
        </w:rPr>
        <w:t>conversion</w:t>
      </w:r>
      <w:proofErr w:type="gramEnd"/>
      <w:r w:rsidRPr="00352A69">
        <w:rPr>
          <w:rFonts w:ascii="Arial" w:hAnsi="Arial" w:cs="Arial"/>
          <w:b/>
          <w:sz w:val="22"/>
        </w:rPr>
        <w:t xml:space="preserve"> day</w:t>
      </w:r>
      <w:r w:rsidRPr="00352A69">
        <w:rPr>
          <w:rFonts w:ascii="Arial" w:hAnsi="Arial" w:cs="Arial"/>
          <w:sz w:val="22"/>
        </w:rPr>
        <w:t xml:space="preserve"> is the date that the foreign currency is converted into Australian currency as set out in </w:t>
      </w:r>
      <w:r w:rsidR="009A281F">
        <w:rPr>
          <w:rFonts w:ascii="Arial" w:hAnsi="Arial" w:cs="Arial"/>
          <w:sz w:val="22"/>
        </w:rPr>
        <w:t>Paragraph</w:t>
      </w:r>
      <w:r w:rsidR="009A281F" w:rsidRPr="00352A69">
        <w:rPr>
          <w:rFonts w:ascii="Arial" w:hAnsi="Arial" w:cs="Arial"/>
          <w:sz w:val="22"/>
        </w:rPr>
        <w:t xml:space="preserve"> </w:t>
      </w:r>
      <w:r w:rsidR="00952090" w:rsidRPr="00352A69">
        <w:rPr>
          <w:rFonts w:ascii="Arial" w:hAnsi="Arial" w:cs="Arial"/>
          <w:sz w:val="22"/>
        </w:rPr>
        <w:t>7</w:t>
      </w:r>
      <w:r w:rsidRPr="00352A69">
        <w:rPr>
          <w:rFonts w:ascii="Arial" w:hAnsi="Arial" w:cs="Arial"/>
          <w:sz w:val="22"/>
        </w:rPr>
        <w:t xml:space="preserve"> of the determination.</w:t>
      </w:r>
    </w:p>
    <w:p w:rsidR="00486653" w:rsidRPr="00352A69" w:rsidRDefault="007822CF" w:rsidP="00C822F6">
      <w:pPr>
        <w:numPr>
          <w:ilvl w:val="0"/>
          <w:numId w:val="16"/>
        </w:numPr>
        <w:spacing w:after="120"/>
        <w:ind w:left="709" w:hanging="709"/>
        <w:rPr>
          <w:rFonts w:ascii="Arial" w:hAnsi="Arial" w:cs="Arial"/>
          <w:sz w:val="28"/>
        </w:rPr>
      </w:pPr>
      <w:r w:rsidRPr="00352A69">
        <w:rPr>
          <w:rFonts w:ascii="Arial" w:hAnsi="Arial" w:cs="Arial"/>
          <w:sz w:val="22"/>
        </w:rPr>
        <w:t xml:space="preserve">Compliance </w:t>
      </w:r>
      <w:r w:rsidRPr="00C822F6">
        <w:rPr>
          <w:rFonts w:ascii="Arial" w:hAnsi="Arial" w:cs="Arial"/>
          <w:sz w:val="22"/>
          <w:szCs w:val="22"/>
        </w:rPr>
        <w:t>cost</w:t>
      </w:r>
      <w:r w:rsidRPr="00352A69">
        <w:rPr>
          <w:rFonts w:ascii="Arial" w:hAnsi="Arial" w:cs="Arial"/>
          <w:sz w:val="22"/>
        </w:rPr>
        <w:t xml:space="preserve"> impact: minor</w:t>
      </w:r>
      <w:r w:rsidR="000770B2">
        <w:rPr>
          <w:rFonts w:ascii="Arial" w:hAnsi="Arial" w:cs="Arial"/>
          <w:sz w:val="22"/>
        </w:rPr>
        <w:t>. T</w:t>
      </w:r>
      <w:r w:rsidRPr="00352A69">
        <w:rPr>
          <w:rFonts w:ascii="Arial" w:hAnsi="Arial" w:cs="Arial"/>
          <w:sz w:val="22"/>
        </w:rPr>
        <w:t>here will be no or minimal impacts for both implementation and ongoing compliance costs. The legislative instrument is minor or machinery in nature.</w:t>
      </w:r>
    </w:p>
    <w:p w:rsidR="007822CF" w:rsidRPr="00C822F6" w:rsidRDefault="007822CF" w:rsidP="00C822F6">
      <w:pPr>
        <w:spacing w:after="120"/>
        <w:rPr>
          <w:rFonts w:ascii="Arial" w:hAnsi="Arial" w:cs="Arial"/>
          <w:sz w:val="22"/>
          <w:szCs w:val="22"/>
        </w:rPr>
      </w:pPr>
    </w:p>
    <w:p w:rsidR="00486653" w:rsidRPr="00352A69" w:rsidRDefault="00486653" w:rsidP="00352A69">
      <w:pPr>
        <w:pStyle w:val="Heading2"/>
        <w:keepLines/>
        <w:rPr>
          <w:rFonts w:eastAsiaTheme="majorEastAsia" w:cs="Arial"/>
          <w:bCs/>
          <w:szCs w:val="22"/>
        </w:rPr>
      </w:pPr>
      <w:r w:rsidRPr="00352A69">
        <w:rPr>
          <w:rFonts w:eastAsiaTheme="majorEastAsia" w:cs="Arial"/>
          <w:bCs/>
          <w:szCs w:val="22"/>
        </w:rPr>
        <w:t>Background</w:t>
      </w:r>
    </w:p>
    <w:p w:rsidR="00486653" w:rsidRPr="00352A69" w:rsidRDefault="007822CF" w:rsidP="00C822F6">
      <w:pPr>
        <w:numPr>
          <w:ilvl w:val="0"/>
          <w:numId w:val="16"/>
        </w:numPr>
        <w:spacing w:after="120"/>
        <w:ind w:left="709" w:hanging="709"/>
        <w:rPr>
          <w:rFonts w:ascii="Arial" w:hAnsi="Arial" w:cs="Arial"/>
          <w:sz w:val="22"/>
          <w:szCs w:val="22"/>
        </w:rPr>
      </w:pPr>
      <w:r w:rsidRPr="00352A69">
        <w:rPr>
          <w:rFonts w:ascii="Arial" w:hAnsi="Arial" w:cs="Arial"/>
          <w:sz w:val="22"/>
          <w:szCs w:val="22"/>
        </w:rPr>
        <w:t>Th</w:t>
      </w:r>
      <w:r w:rsidR="00B71E6F" w:rsidRPr="00352A69">
        <w:rPr>
          <w:rFonts w:ascii="Arial" w:hAnsi="Arial" w:cs="Arial"/>
          <w:sz w:val="22"/>
          <w:szCs w:val="22"/>
        </w:rPr>
        <w:t>is</w:t>
      </w:r>
      <w:r w:rsidRPr="00352A69">
        <w:rPr>
          <w:rFonts w:ascii="Arial" w:hAnsi="Arial" w:cs="Arial"/>
          <w:sz w:val="22"/>
          <w:szCs w:val="22"/>
        </w:rPr>
        <w:t xml:space="preserve"> determination replaces the </w:t>
      </w:r>
      <w:r w:rsidRPr="00352A69">
        <w:rPr>
          <w:rFonts w:ascii="Arial" w:hAnsi="Arial" w:cs="Arial"/>
          <w:i/>
          <w:sz w:val="22"/>
          <w:szCs w:val="22"/>
        </w:rPr>
        <w:t>Goods and Services Tax</w:t>
      </w:r>
      <w:r w:rsidR="009A281F">
        <w:rPr>
          <w:rFonts w:ascii="Arial" w:hAnsi="Arial" w:cs="Arial"/>
          <w:i/>
          <w:sz w:val="22"/>
          <w:szCs w:val="22"/>
        </w:rPr>
        <w:t>:</w:t>
      </w:r>
      <w:r w:rsidRPr="00352A69">
        <w:rPr>
          <w:rFonts w:ascii="Arial" w:hAnsi="Arial" w:cs="Arial"/>
          <w:i/>
          <w:sz w:val="22"/>
          <w:szCs w:val="22"/>
        </w:rPr>
        <w:t xml:space="preserve"> Act Foreign Currency Conversion Determination (No. 30) 2016</w:t>
      </w:r>
      <w:r w:rsidRPr="00352A69">
        <w:rPr>
          <w:rFonts w:ascii="Arial" w:hAnsi="Arial" w:cs="Arial"/>
          <w:sz w:val="22"/>
          <w:szCs w:val="22"/>
        </w:rPr>
        <w:t xml:space="preserve"> (the previous determination) - F2016L00180</w:t>
      </w:r>
      <w:r w:rsidR="000770B2">
        <w:rPr>
          <w:rFonts w:ascii="Arial" w:hAnsi="Arial" w:cs="Arial"/>
          <w:sz w:val="22"/>
          <w:szCs w:val="22"/>
        </w:rPr>
        <w:t>,</w:t>
      </w:r>
      <w:r w:rsidR="00F05A9C" w:rsidRPr="00352A69">
        <w:rPr>
          <w:rFonts w:ascii="Arial" w:hAnsi="Arial" w:cs="Arial"/>
          <w:sz w:val="22"/>
          <w:szCs w:val="22"/>
        </w:rPr>
        <w:t xml:space="preserve"> registered on 29 February 2016</w:t>
      </w:r>
      <w:r w:rsidRPr="00352A69">
        <w:rPr>
          <w:rFonts w:ascii="Arial" w:hAnsi="Arial" w:cs="Arial"/>
          <w:sz w:val="22"/>
          <w:szCs w:val="22"/>
        </w:rPr>
        <w:t xml:space="preserve">. The </w:t>
      </w:r>
      <w:r w:rsidR="001456A8" w:rsidRPr="00352A69">
        <w:rPr>
          <w:rFonts w:ascii="Arial" w:hAnsi="Arial" w:cs="Arial"/>
          <w:sz w:val="22"/>
          <w:szCs w:val="22"/>
        </w:rPr>
        <w:t>previous determination</w:t>
      </w:r>
      <w:r w:rsidRPr="00352A69">
        <w:rPr>
          <w:rFonts w:ascii="Arial" w:hAnsi="Arial" w:cs="Arial"/>
          <w:sz w:val="22"/>
          <w:szCs w:val="22"/>
        </w:rPr>
        <w:t xml:space="preserve"> is repealed on </w:t>
      </w:r>
      <w:r w:rsidR="005E2C00" w:rsidRPr="00352A69">
        <w:rPr>
          <w:rFonts w:ascii="Arial" w:hAnsi="Arial" w:cs="Arial"/>
          <w:sz w:val="22"/>
          <w:szCs w:val="22"/>
        </w:rPr>
        <w:t xml:space="preserve">registration </w:t>
      </w:r>
      <w:r w:rsidRPr="00352A69">
        <w:rPr>
          <w:rFonts w:ascii="Arial" w:hAnsi="Arial" w:cs="Arial"/>
          <w:sz w:val="22"/>
          <w:szCs w:val="22"/>
        </w:rPr>
        <w:t>of this determination</w:t>
      </w:r>
      <w:r w:rsidR="005E2C00" w:rsidRPr="00352A69">
        <w:rPr>
          <w:rFonts w:ascii="Arial" w:hAnsi="Arial" w:cs="Arial"/>
          <w:sz w:val="22"/>
          <w:szCs w:val="22"/>
        </w:rPr>
        <w:t xml:space="preserve"> on the Federal Register of Legislative Instruments</w:t>
      </w:r>
      <w:r w:rsidRPr="00352A69">
        <w:rPr>
          <w:rFonts w:ascii="Arial" w:hAnsi="Arial" w:cs="Arial"/>
          <w:sz w:val="22"/>
          <w:szCs w:val="22"/>
        </w:rPr>
        <w:t>.</w:t>
      </w:r>
    </w:p>
    <w:p w:rsidR="00C822F6" w:rsidRDefault="00DB0DD8" w:rsidP="00C822F6">
      <w:pPr>
        <w:numPr>
          <w:ilvl w:val="0"/>
          <w:numId w:val="16"/>
        </w:numPr>
        <w:spacing w:after="120"/>
        <w:ind w:left="709" w:hanging="709"/>
        <w:rPr>
          <w:rFonts w:ascii="Arial" w:hAnsi="Arial" w:cs="Arial"/>
          <w:sz w:val="22"/>
          <w:szCs w:val="22"/>
        </w:rPr>
      </w:pPr>
      <w:r w:rsidRPr="00352A69">
        <w:rPr>
          <w:rFonts w:ascii="Arial" w:hAnsi="Arial" w:cs="Arial"/>
          <w:sz w:val="22"/>
          <w:szCs w:val="22"/>
        </w:rPr>
        <w:t xml:space="preserve">This determination </w:t>
      </w:r>
      <w:r w:rsidR="000770B2">
        <w:rPr>
          <w:rFonts w:ascii="Arial" w:hAnsi="Arial" w:cs="Arial"/>
          <w:sz w:val="22"/>
          <w:szCs w:val="22"/>
        </w:rPr>
        <w:t>explains</w:t>
      </w:r>
      <w:r w:rsidRPr="00352A69">
        <w:rPr>
          <w:rFonts w:ascii="Arial" w:hAnsi="Arial" w:cs="Arial"/>
          <w:sz w:val="22"/>
          <w:szCs w:val="22"/>
        </w:rPr>
        <w:t xml:space="preserve"> the method that entities must use to convert an amount of consideration expressed in foreign currency into Australian currency. It is </w:t>
      </w:r>
      <w:r w:rsidR="00F108DD" w:rsidRPr="00352A69">
        <w:rPr>
          <w:rFonts w:ascii="Arial" w:hAnsi="Arial" w:cs="Arial"/>
          <w:sz w:val="22"/>
          <w:szCs w:val="22"/>
        </w:rPr>
        <w:t>a</w:t>
      </w:r>
      <w:r w:rsidRPr="00352A69">
        <w:rPr>
          <w:rFonts w:ascii="Arial" w:hAnsi="Arial" w:cs="Arial"/>
          <w:sz w:val="22"/>
          <w:szCs w:val="22"/>
        </w:rPr>
        <w:t xml:space="preserve"> requirement under s</w:t>
      </w:r>
      <w:r w:rsidR="00F108DD" w:rsidRPr="00352A69">
        <w:rPr>
          <w:rFonts w:ascii="Arial" w:hAnsi="Arial" w:cs="Arial"/>
          <w:sz w:val="22"/>
          <w:szCs w:val="22"/>
        </w:rPr>
        <w:t>ubs</w:t>
      </w:r>
      <w:r w:rsidRPr="00352A69">
        <w:rPr>
          <w:rFonts w:ascii="Arial" w:hAnsi="Arial" w:cs="Arial"/>
          <w:sz w:val="22"/>
          <w:szCs w:val="22"/>
        </w:rPr>
        <w:t>ection 9-85(1) of the GST Act that the value of a taxable suppl</w:t>
      </w:r>
      <w:r w:rsidR="00F108DD" w:rsidRPr="00352A69">
        <w:rPr>
          <w:rFonts w:ascii="Arial" w:hAnsi="Arial" w:cs="Arial"/>
          <w:sz w:val="22"/>
          <w:szCs w:val="22"/>
        </w:rPr>
        <w:t xml:space="preserve">y </w:t>
      </w:r>
      <w:r w:rsidRPr="00352A69">
        <w:rPr>
          <w:rFonts w:ascii="Arial" w:hAnsi="Arial" w:cs="Arial"/>
          <w:sz w:val="22"/>
          <w:szCs w:val="22"/>
        </w:rPr>
        <w:t>be expressed in Australian currency for the purposes of the GST Act.</w:t>
      </w:r>
    </w:p>
    <w:p w:rsidR="00C822F6" w:rsidRDefault="00F108DD" w:rsidP="00C822F6">
      <w:pPr>
        <w:numPr>
          <w:ilvl w:val="0"/>
          <w:numId w:val="16"/>
        </w:numPr>
        <w:spacing w:after="120"/>
        <w:ind w:left="709" w:hanging="709"/>
        <w:rPr>
          <w:rFonts w:ascii="Arial" w:hAnsi="Arial" w:cs="Arial"/>
          <w:sz w:val="22"/>
          <w:szCs w:val="22"/>
        </w:rPr>
      </w:pPr>
      <w:r w:rsidRPr="00352A69">
        <w:rPr>
          <w:rFonts w:ascii="Arial" w:hAnsi="Arial" w:cs="Arial"/>
          <w:sz w:val="22"/>
          <w:szCs w:val="22"/>
        </w:rPr>
        <w:t>The</w:t>
      </w:r>
      <w:r w:rsidR="00DB0DD8" w:rsidRPr="00352A69">
        <w:rPr>
          <w:rFonts w:ascii="Arial" w:hAnsi="Arial" w:cs="Arial"/>
          <w:sz w:val="22"/>
          <w:szCs w:val="22"/>
        </w:rPr>
        <w:t xml:space="preserve"> method set out in the determination to convert an amount of consideration from foreign currency </w:t>
      </w:r>
      <w:r w:rsidRPr="00352A69">
        <w:rPr>
          <w:rFonts w:ascii="Arial" w:hAnsi="Arial" w:cs="Arial"/>
          <w:sz w:val="22"/>
          <w:szCs w:val="22"/>
        </w:rPr>
        <w:t>into</w:t>
      </w:r>
      <w:r w:rsidR="00DB0DD8" w:rsidRPr="00352A69">
        <w:rPr>
          <w:rFonts w:ascii="Arial" w:hAnsi="Arial" w:cs="Arial"/>
          <w:sz w:val="22"/>
          <w:szCs w:val="22"/>
        </w:rPr>
        <w:t xml:space="preserve"> Australian currency</w:t>
      </w:r>
      <w:r w:rsidR="00645578" w:rsidRPr="00352A69">
        <w:rPr>
          <w:rFonts w:ascii="Arial" w:hAnsi="Arial" w:cs="Arial"/>
          <w:sz w:val="22"/>
          <w:szCs w:val="22"/>
        </w:rPr>
        <w:t>,</w:t>
      </w:r>
      <w:r w:rsidR="00DB0DD8" w:rsidRPr="00352A69">
        <w:rPr>
          <w:rFonts w:ascii="Arial" w:hAnsi="Arial" w:cs="Arial"/>
          <w:sz w:val="22"/>
          <w:szCs w:val="22"/>
        </w:rPr>
        <w:t xml:space="preserve"> </w:t>
      </w:r>
      <w:r w:rsidRPr="00352A69">
        <w:rPr>
          <w:rFonts w:ascii="Arial" w:hAnsi="Arial" w:cs="Arial"/>
          <w:sz w:val="22"/>
          <w:szCs w:val="22"/>
        </w:rPr>
        <w:t xml:space="preserve">requires </w:t>
      </w:r>
      <w:r w:rsidR="00DB0DD8" w:rsidRPr="00352A69">
        <w:rPr>
          <w:rFonts w:ascii="Arial" w:hAnsi="Arial" w:cs="Arial"/>
          <w:sz w:val="22"/>
          <w:szCs w:val="22"/>
        </w:rPr>
        <w:t xml:space="preserve">an entity to choose </w:t>
      </w:r>
      <w:r w:rsidRPr="00352A69">
        <w:rPr>
          <w:rFonts w:ascii="Arial" w:hAnsi="Arial" w:cs="Arial"/>
          <w:sz w:val="22"/>
          <w:szCs w:val="22"/>
        </w:rPr>
        <w:t>a</w:t>
      </w:r>
      <w:r w:rsidR="009B6DAA" w:rsidRPr="00352A69">
        <w:rPr>
          <w:rFonts w:ascii="Arial" w:hAnsi="Arial" w:cs="Arial"/>
          <w:sz w:val="22"/>
          <w:szCs w:val="22"/>
        </w:rPr>
        <w:t xml:space="preserve">n </w:t>
      </w:r>
      <w:r w:rsidR="00DB0DD8" w:rsidRPr="00352A69">
        <w:rPr>
          <w:rFonts w:ascii="Arial" w:hAnsi="Arial" w:cs="Arial"/>
          <w:sz w:val="22"/>
          <w:szCs w:val="22"/>
        </w:rPr>
        <w:t xml:space="preserve">exchange rate and </w:t>
      </w:r>
      <w:r w:rsidR="00A14ABC" w:rsidRPr="00352A69">
        <w:rPr>
          <w:rFonts w:ascii="Arial" w:hAnsi="Arial" w:cs="Arial"/>
          <w:sz w:val="22"/>
          <w:szCs w:val="22"/>
        </w:rPr>
        <w:t xml:space="preserve">a </w:t>
      </w:r>
      <w:r w:rsidR="00DB0DD8" w:rsidRPr="00352A69">
        <w:rPr>
          <w:rFonts w:ascii="Arial" w:hAnsi="Arial" w:cs="Arial"/>
          <w:sz w:val="22"/>
          <w:szCs w:val="22"/>
        </w:rPr>
        <w:t>conversion day</w:t>
      </w:r>
      <w:r w:rsidRPr="00352A69">
        <w:rPr>
          <w:rFonts w:ascii="Arial" w:hAnsi="Arial" w:cs="Arial"/>
          <w:sz w:val="22"/>
          <w:szCs w:val="22"/>
        </w:rPr>
        <w:t xml:space="preserve"> from a defined list of options.</w:t>
      </w:r>
    </w:p>
    <w:p w:rsidR="00C822F6" w:rsidRDefault="00F108DD" w:rsidP="00C822F6">
      <w:pPr>
        <w:numPr>
          <w:ilvl w:val="0"/>
          <w:numId w:val="16"/>
        </w:numPr>
        <w:spacing w:after="120"/>
        <w:ind w:left="709" w:hanging="709"/>
        <w:rPr>
          <w:rFonts w:ascii="Arial" w:hAnsi="Arial" w:cs="Arial"/>
          <w:sz w:val="22"/>
          <w:szCs w:val="22"/>
        </w:rPr>
      </w:pPr>
      <w:r w:rsidRPr="00352A69">
        <w:rPr>
          <w:rFonts w:ascii="Arial" w:hAnsi="Arial" w:cs="Arial"/>
          <w:sz w:val="22"/>
          <w:szCs w:val="22"/>
        </w:rPr>
        <w:t xml:space="preserve">The </w:t>
      </w:r>
      <w:r w:rsidR="00DB0DD8" w:rsidRPr="00352A69">
        <w:rPr>
          <w:rFonts w:ascii="Arial" w:hAnsi="Arial" w:cs="Arial"/>
          <w:sz w:val="22"/>
          <w:szCs w:val="22"/>
        </w:rPr>
        <w:t xml:space="preserve">exchange rate </w:t>
      </w:r>
      <w:r w:rsidRPr="00352A69">
        <w:rPr>
          <w:rFonts w:ascii="Arial" w:hAnsi="Arial" w:cs="Arial"/>
          <w:sz w:val="22"/>
          <w:szCs w:val="22"/>
        </w:rPr>
        <w:t xml:space="preserve">can </w:t>
      </w:r>
      <w:r w:rsidR="00DB0DD8" w:rsidRPr="00352A69">
        <w:rPr>
          <w:rFonts w:ascii="Arial" w:hAnsi="Arial" w:cs="Arial"/>
          <w:sz w:val="22"/>
          <w:szCs w:val="22"/>
        </w:rPr>
        <w:t>be a rate from a foreign exchange organisation, the RBA rate, or the agreed rate. The exchange rate chosen by the entity should be used consistently</w:t>
      </w:r>
      <w:r w:rsidRPr="00352A69">
        <w:rPr>
          <w:rFonts w:ascii="Arial" w:hAnsi="Arial" w:cs="Arial"/>
          <w:sz w:val="22"/>
          <w:szCs w:val="22"/>
        </w:rPr>
        <w:t xml:space="preserve"> for GST purposes</w:t>
      </w:r>
      <w:r w:rsidR="00DB0DD8" w:rsidRPr="00352A69">
        <w:rPr>
          <w:rFonts w:ascii="Arial" w:hAnsi="Arial" w:cs="Arial"/>
          <w:sz w:val="22"/>
          <w:szCs w:val="22"/>
        </w:rPr>
        <w:t>.</w:t>
      </w:r>
      <w:r w:rsidRPr="00352A69">
        <w:rPr>
          <w:rFonts w:ascii="Arial" w:hAnsi="Arial" w:cs="Arial"/>
          <w:sz w:val="22"/>
          <w:szCs w:val="22"/>
        </w:rPr>
        <w:t xml:space="preserve"> </w:t>
      </w:r>
      <w:r w:rsidR="009B6DAA" w:rsidRPr="00352A69">
        <w:rPr>
          <w:rFonts w:ascii="Arial" w:hAnsi="Arial" w:cs="Arial"/>
          <w:sz w:val="22"/>
          <w:szCs w:val="22"/>
        </w:rPr>
        <w:t>The</w:t>
      </w:r>
      <w:r w:rsidR="00FD4253" w:rsidRPr="00352A69">
        <w:rPr>
          <w:rFonts w:ascii="Arial" w:hAnsi="Arial" w:cs="Arial"/>
          <w:sz w:val="22"/>
          <w:szCs w:val="22"/>
        </w:rPr>
        <w:t xml:space="preserve"> exchange rate may be changed if an entity has sound commercial reasons for doing so. </w:t>
      </w:r>
      <w:r w:rsidR="009B6DAA" w:rsidRPr="00352A69">
        <w:rPr>
          <w:rFonts w:ascii="Arial" w:hAnsi="Arial" w:cs="Arial"/>
          <w:sz w:val="22"/>
          <w:szCs w:val="22"/>
        </w:rPr>
        <w:t>An</w:t>
      </w:r>
      <w:r w:rsidR="00FD4253" w:rsidRPr="00352A69">
        <w:rPr>
          <w:rFonts w:ascii="Arial" w:hAnsi="Arial" w:cs="Arial"/>
          <w:sz w:val="22"/>
          <w:szCs w:val="22"/>
        </w:rPr>
        <w:t xml:space="preserve"> entity that alternates between rates with a view to reducing its GST liability has used its rate inconsistently and has not followed the manner stated in the determination.</w:t>
      </w:r>
    </w:p>
    <w:p w:rsidR="00B70663" w:rsidRPr="00352A69" w:rsidRDefault="009A281F" w:rsidP="00C822F6">
      <w:pPr>
        <w:numPr>
          <w:ilvl w:val="0"/>
          <w:numId w:val="16"/>
        </w:numPr>
        <w:spacing w:after="120"/>
        <w:ind w:left="709" w:hanging="709"/>
        <w:rPr>
          <w:rFonts w:ascii="Arial" w:hAnsi="Arial" w:cs="Arial"/>
          <w:sz w:val="22"/>
          <w:szCs w:val="22"/>
        </w:rPr>
      </w:pPr>
      <w:r>
        <w:rPr>
          <w:rFonts w:ascii="Arial" w:hAnsi="Arial" w:cs="Arial"/>
          <w:sz w:val="22"/>
          <w:szCs w:val="22"/>
        </w:rPr>
        <w:t>Paragraph</w:t>
      </w:r>
      <w:r w:rsidRPr="00352A69">
        <w:rPr>
          <w:rFonts w:ascii="Arial" w:hAnsi="Arial" w:cs="Arial"/>
          <w:sz w:val="22"/>
          <w:szCs w:val="22"/>
        </w:rPr>
        <w:t xml:space="preserve"> </w:t>
      </w:r>
      <w:r w:rsidR="00FD4253" w:rsidRPr="00352A69">
        <w:rPr>
          <w:rFonts w:ascii="Arial" w:hAnsi="Arial" w:cs="Arial"/>
          <w:sz w:val="22"/>
          <w:szCs w:val="22"/>
        </w:rPr>
        <w:t>7</w:t>
      </w:r>
      <w:r w:rsidR="00DB0DD8" w:rsidRPr="00352A69">
        <w:rPr>
          <w:rFonts w:ascii="Arial" w:hAnsi="Arial" w:cs="Arial"/>
          <w:sz w:val="22"/>
          <w:szCs w:val="22"/>
        </w:rPr>
        <w:t xml:space="preserve"> of the determination defines conversion day</w:t>
      </w:r>
      <w:r w:rsidR="00645578" w:rsidRPr="00352A69">
        <w:rPr>
          <w:rFonts w:ascii="Arial" w:hAnsi="Arial" w:cs="Arial"/>
          <w:sz w:val="22"/>
          <w:szCs w:val="22"/>
        </w:rPr>
        <w:t xml:space="preserve"> to be the date that the entity converts foreign currency into Australian currency. The conversion day </w:t>
      </w:r>
      <w:r w:rsidR="00FD4253" w:rsidRPr="00352A69">
        <w:rPr>
          <w:rFonts w:ascii="Arial" w:hAnsi="Arial" w:cs="Arial"/>
          <w:sz w:val="22"/>
          <w:szCs w:val="22"/>
        </w:rPr>
        <w:t xml:space="preserve">differs for entities that account for GST on a cash basis and those that account for GST on a </w:t>
      </w:r>
      <w:r w:rsidR="009B6DAA" w:rsidRPr="00352A69">
        <w:rPr>
          <w:rFonts w:ascii="Arial" w:hAnsi="Arial" w:cs="Arial"/>
          <w:sz w:val="22"/>
          <w:szCs w:val="22"/>
        </w:rPr>
        <w:t>basis other than cash.</w:t>
      </w:r>
    </w:p>
    <w:p w:rsidR="00C822F6" w:rsidRDefault="009A281F" w:rsidP="00C822F6">
      <w:pPr>
        <w:numPr>
          <w:ilvl w:val="0"/>
          <w:numId w:val="16"/>
        </w:numPr>
        <w:spacing w:after="120"/>
        <w:ind w:left="709" w:hanging="709"/>
        <w:rPr>
          <w:rFonts w:ascii="Arial" w:hAnsi="Arial" w:cs="Arial"/>
          <w:sz w:val="22"/>
        </w:rPr>
      </w:pPr>
      <w:r>
        <w:rPr>
          <w:rFonts w:ascii="Arial" w:hAnsi="Arial" w:cs="Arial"/>
          <w:sz w:val="22"/>
        </w:rPr>
        <w:t>Subparagraph</w:t>
      </w:r>
      <w:r w:rsidRPr="00352A69">
        <w:rPr>
          <w:rFonts w:ascii="Arial" w:hAnsi="Arial" w:cs="Arial"/>
          <w:sz w:val="22"/>
        </w:rPr>
        <w:t xml:space="preserve">s </w:t>
      </w:r>
      <w:r w:rsidR="00FD4253" w:rsidRPr="00352A69">
        <w:rPr>
          <w:rFonts w:ascii="Arial" w:hAnsi="Arial" w:cs="Arial"/>
          <w:sz w:val="22"/>
        </w:rPr>
        <w:t>7</w:t>
      </w:r>
      <w:r w:rsidR="00E740A9" w:rsidRPr="00352A69">
        <w:rPr>
          <w:rFonts w:ascii="Arial" w:hAnsi="Arial" w:cs="Arial"/>
          <w:sz w:val="22"/>
        </w:rPr>
        <w:t xml:space="preserve">(c) </w:t>
      </w:r>
      <w:r w:rsidR="00E740A9" w:rsidRPr="00C822F6">
        <w:rPr>
          <w:rFonts w:ascii="Arial" w:hAnsi="Arial" w:cs="Arial"/>
          <w:sz w:val="22"/>
          <w:szCs w:val="22"/>
        </w:rPr>
        <w:t>and</w:t>
      </w:r>
      <w:r w:rsidR="00E740A9" w:rsidRPr="00352A69">
        <w:rPr>
          <w:rFonts w:ascii="Arial" w:hAnsi="Arial" w:cs="Arial"/>
          <w:sz w:val="22"/>
        </w:rPr>
        <w:t xml:space="preserve"> </w:t>
      </w:r>
      <w:r w:rsidR="00FD4253" w:rsidRPr="00352A69">
        <w:rPr>
          <w:rFonts w:ascii="Arial" w:hAnsi="Arial" w:cs="Arial"/>
          <w:sz w:val="22"/>
        </w:rPr>
        <w:t>7</w:t>
      </w:r>
      <w:r w:rsidR="00E740A9" w:rsidRPr="00352A69">
        <w:rPr>
          <w:rFonts w:ascii="Arial" w:hAnsi="Arial" w:cs="Arial"/>
          <w:sz w:val="22"/>
        </w:rPr>
        <w:t>(d)</w:t>
      </w:r>
      <w:r w:rsidR="00A14ABC" w:rsidRPr="00352A69">
        <w:rPr>
          <w:rFonts w:ascii="Arial" w:hAnsi="Arial" w:cs="Arial"/>
          <w:sz w:val="22"/>
        </w:rPr>
        <w:t xml:space="preserve"> </w:t>
      </w:r>
      <w:r w:rsidR="00B70663" w:rsidRPr="00352A69">
        <w:rPr>
          <w:rFonts w:ascii="Arial" w:hAnsi="Arial" w:cs="Arial"/>
          <w:sz w:val="22"/>
        </w:rPr>
        <w:t>provide</w:t>
      </w:r>
      <w:r w:rsidR="00E740A9" w:rsidRPr="00352A69">
        <w:rPr>
          <w:rFonts w:ascii="Arial" w:hAnsi="Arial" w:cs="Arial"/>
          <w:sz w:val="22"/>
        </w:rPr>
        <w:t xml:space="preserve"> additional conversion day options for non-resident</w:t>
      </w:r>
      <w:r w:rsidR="00FD4253" w:rsidRPr="00352A69">
        <w:rPr>
          <w:rFonts w:ascii="Arial" w:hAnsi="Arial" w:cs="Arial"/>
          <w:sz w:val="22"/>
        </w:rPr>
        <w:t xml:space="preserve">s </w:t>
      </w:r>
      <w:r w:rsidR="00A14ABC" w:rsidRPr="00352A69">
        <w:rPr>
          <w:rFonts w:ascii="Arial" w:hAnsi="Arial" w:cs="Arial"/>
          <w:sz w:val="22"/>
        </w:rPr>
        <w:t>that are</w:t>
      </w:r>
      <w:r w:rsidR="00E740A9" w:rsidRPr="00352A69">
        <w:rPr>
          <w:rFonts w:ascii="Arial" w:hAnsi="Arial" w:cs="Arial"/>
          <w:sz w:val="22"/>
        </w:rPr>
        <w:t xml:space="preserve"> making inbound intangible </w:t>
      </w:r>
      <w:r w:rsidR="00B7259D">
        <w:rPr>
          <w:rFonts w:ascii="Arial" w:hAnsi="Arial" w:cs="Arial"/>
          <w:sz w:val="22"/>
        </w:rPr>
        <w:t xml:space="preserve">consumer </w:t>
      </w:r>
      <w:r w:rsidR="00E740A9" w:rsidRPr="00352A69">
        <w:rPr>
          <w:rFonts w:ascii="Arial" w:hAnsi="Arial" w:cs="Arial"/>
          <w:sz w:val="22"/>
        </w:rPr>
        <w:t xml:space="preserve">supplies and </w:t>
      </w:r>
      <w:r w:rsidR="00A14ABC" w:rsidRPr="00352A69">
        <w:rPr>
          <w:rFonts w:ascii="Arial" w:hAnsi="Arial" w:cs="Arial"/>
          <w:sz w:val="22"/>
        </w:rPr>
        <w:t xml:space="preserve">non-residents that are </w:t>
      </w:r>
      <w:r w:rsidR="00E740A9" w:rsidRPr="00352A69">
        <w:rPr>
          <w:rFonts w:ascii="Arial" w:hAnsi="Arial" w:cs="Arial"/>
          <w:sz w:val="22"/>
        </w:rPr>
        <w:t>limited registration entities.</w:t>
      </w:r>
    </w:p>
    <w:p w:rsidR="00C822F6" w:rsidRDefault="009A281F" w:rsidP="00C822F6">
      <w:pPr>
        <w:numPr>
          <w:ilvl w:val="0"/>
          <w:numId w:val="16"/>
        </w:numPr>
        <w:spacing w:after="120"/>
        <w:ind w:left="709" w:hanging="709"/>
        <w:rPr>
          <w:rFonts w:ascii="Arial" w:eastAsiaTheme="minorHAnsi" w:hAnsi="Arial" w:cstheme="minorBidi"/>
          <w:sz w:val="22"/>
          <w:lang w:eastAsia="en-US"/>
        </w:rPr>
      </w:pPr>
      <w:r>
        <w:rPr>
          <w:rFonts w:ascii="Arial" w:hAnsi="Arial" w:cs="Arial"/>
          <w:sz w:val="22"/>
        </w:rPr>
        <w:t>Subparagraph</w:t>
      </w:r>
      <w:r w:rsidRPr="00352A69">
        <w:rPr>
          <w:rFonts w:ascii="Arial" w:hAnsi="Arial" w:cs="Arial"/>
          <w:sz w:val="22"/>
        </w:rPr>
        <w:t xml:space="preserve"> </w:t>
      </w:r>
      <w:r w:rsidR="00FD4253" w:rsidRPr="00352A69">
        <w:rPr>
          <w:rFonts w:ascii="Arial" w:hAnsi="Arial" w:cs="Arial"/>
          <w:sz w:val="22"/>
        </w:rPr>
        <w:t>7</w:t>
      </w:r>
      <w:r w:rsidR="00E3260D" w:rsidRPr="00352A69">
        <w:rPr>
          <w:rFonts w:ascii="Arial" w:hAnsi="Arial" w:cs="Arial"/>
          <w:sz w:val="22"/>
        </w:rPr>
        <w:t>(</w:t>
      </w:r>
      <w:r w:rsidR="00FD4253" w:rsidRPr="00352A69">
        <w:rPr>
          <w:rFonts w:ascii="Arial" w:hAnsi="Arial" w:cs="Arial"/>
          <w:sz w:val="22"/>
        </w:rPr>
        <w:t>c</w:t>
      </w:r>
      <w:r w:rsidR="00E3260D" w:rsidRPr="00352A69">
        <w:rPr>
          <w:rFonts w:ascii="Arial" w:hAnsi="Arial" w:cs="Arial"/>
          <w:sz w:val="22"/>
        </w:rPr>
        <w:t>) applies to non-resident entities that are not limited registration entities</w:t>
      </w:r>
      <w:r w:rsidR="00FD4253" w:rsidRPr="00352A69">
        <w:rPr>
          <w:rFonts w:ascii="Arial" w:hAnsi="Arial" w:cs="Arial"/>
          <w:sz w:val="22"/>
        </w:rPr>
        <w:t>, but who make inbound intangible consumer supplies.</w:t>
      </w:r>
      <w:r w:rsidR="00E3260D" w:rsidRPr="00352A69">
        <w:rPr>
          <w:rFonts w:ascii="Arial" w:hAnsi="Arial" w:cs="Arial"/>
          <w:sz w:val="22"/>
        </w:rPr>
        <w:t xml:space="preserve"> </w:t>
      </w:r>
      <w:r w:rsidR="00FD4253" w:rsidRPr="00352A69">
        <w:rPr>
          <w:rFonts w:ascii="Arial" w:hAnsi="Arial" w:cs="Arial"/>
          <w:sz w:val="22"/>
        </w:rPr>
        <w:t>T</w:t>
      </w:r>
      <w:r w:rsidR="00E3260D" w:rsidRPr="00352A69">
        <w:rPr>
          <w:rFonts w:ascii="Arial" w:hAnsi="Arial" w:cs="Arial"/>
          <w:sz w:val="22"/>
        </w:rPr>
        <w:t>he</w:t>
      </w:r>
      <w:r w:rsidR="00B70663" w:rsidRPr="00352A69">
        <w:rPr>
          <w:rFonts w:ascii="Arial" w:hAnsi="Arial" w:cs="Arial"/>
          <w:sz w:val="22"/>
        </w:rPr>
        <w:t xml:space="preserve"> conversion day for the inbound intangible consumer supplies</w:t>
      </w:r>
      <w:r w:rsidR="00E3260D" w:rsidRPr="00352A69">
        <w:rPr>
          <w:rFonts w:ascii="Arial" w:hAnsi="Arial" w:cs="Arial"/>
          <w:sz w:val="22"/>
        </w:rPr>
        <w:t xml:space="preserve"> made by these entities</w:t>
      </w:r>
      <w:r w:rsidR="00B70663" w:rsidRPr="00352A69">
        <w:rPr>
          <w:rFonts w:ascii="Arial" w:hAnsi="Arial" w:cs="Arial"/>
          <w:sz w:val="22"/>
        </w:rPr>
        <w:t xml:space="preserve"> can be either a day under </w:t>
      </w:r>
      <w:r>
        <w:rPr>
          <w:rFonts w:ascii="Arial" w:hAnsi="Arial" w:cs="Arial"/>
          <w:sz w:val="22"/>
        </w:rPr>
        <w:t>subparagraph</w:t>
      </w:r>
      <w:r w:rsidRPr="00352A69">
        <w:rPr>
          <w:rFonts w:ascii="Arial" w:hAnsi="Arial" w:cs="Arial"/>
          <w:sz w:val="22"/>
        </w:rPr>
        <w:t xml:space="preserve"> </w:t>
      </w:r>
      <w:r w:rsidR="00B70663" w:rsidRPr="00352A69">
        <w:rPr>
          <w:rFonts w:ascii="Arial" w:hAnsi="Arial" w:cs="Arial"/>
          <w:sz w:val="22"/>
        </w:rPr>
        <w:t>(</w:t>
      </w:r>
      <w:r w:rsidR="00FD4253" w:rsidRPr="00352A69">
        <w:rPr>
          <w:rFonts w:ascii="Arial" w:hAnsi="Arial" w:cs="Arial"/>
          <w:sz w:val="22"/>
        </w:rPr>
        <w:t>7</w:t>
      </w:r>
      <w:r w:rsidR="00B70663" w:rsidRPr="00352A69">
        <w:rPr>
          <w:rFonts w:ascii="Arial" w:hAnsi="Arial" w:cs="Arial"/>
          <w:sz w:val="22"/>
        </w:rPr>
        <w:t xml:space="preserve">)(a) or </w:t>
      </w:r>
      <w:r w:rsidR="00FD4253" w:rsidRPr="00352A69">
        <w:rPr>
          <w:rFonts w:ascii="Arial" w:hAnsi="Arial" w:cs="Arial"/>
          <w:sz w:val="22"/>
        </w:rPr>
        <w:t>7</w:t>
      </w:r>
      <w:r w:rsidR="00B70663" w:rsidRPr="00352A69">
        <w:rPr>
          <w:rFonts w:ascii="Arial" w:hAnsi="Arial" w:cs="Arial"/>
          <w:sz w:val="22"/>
        </w:rPr>
        <w:t>(b) or</w:t>
      </w:r>
      <w:r w:rsidR="00F35290" w:rsidRPr="00352A69">
        <w:rPr>
          <w:rFonts w:ascii="Arial" w:hAnsi="Arial" w:cs="Arial"/>
          <w:sz w:val="22"/>
        </w:rPr>
        <w:t>, in respect of the inbound intangible consumer supplies only,</w:t>
      </w:r>
      <w:r w:rsidR="009B6DAA" w:rsidRPr="00352A69">
        <w:rPr>
          <w:rFonts w:ascii="Arial" w:hAnsi="Arial" w:cs="Arial"/>
          <w:sz w:val="22"/>
        </w:rPr>
        <w:t xml:space="preserve"> can be</w:t>
      </w:r>
      <w:r w:rsidR="00B70663" w:rsidRPr="00352A69">
        <w:rPr>
          <w:rFonts w:ascii="Arial" w:hAnsi="Arial" w:cs="Arial"/>
          <w:sz w:val="22"/>
        </w:rPr>
        <w:t xml:space="preserve"> </w:t>
      </w:r>
      <w:r w:rsidR="00B70663" w:rsidRPr="00352A69">
        <w:rPr>
          <w:rFonts w:ascii="Arial" w:eastAsiaTheme="minorHAnsi" w:hAnsi="Arial" w:cstheme="minorBidi"/>
          <w:sz w:val="22"/>
          <w:lang w:eastAsia="en-US"/>
        </w:rPr>
        <w:t xml:space="preserve">the final day of the relevant tax period in which GST is payable (clause </w:t>
      </w:r>
      <w:r w:rsidR="00FD4253" w:rsidRPr="00352A69">
        <w:rPr>
          <w:rFonts w:ascii="Arial" w:eastAsiaTheme="minorHAnsi" w:hAnsi="Arial" w:cstheme="minorBidi"/>
          <w:sz w:val="22"/>
          <w:lang w:eastAsia="en-US"/>
        </w:rPr>
        <w:t>7</w:t>
      </w:r>
      <w:r w:rsidR="00B70663" w:rsidRPr="00352A69">
        <w:rPr>
          <w:rFonts w:ascii="Arial" w:eastAsiaTheme="minorHAnsi" w:hAnsi="Arial" w:cstheme="minorBidi"/>
          <w:sz w:val="22"/>
          <w:lang w:eastAsia="en-US"/>
        </w:rPr>
        <w:t>(c)(ii)</w:t>
      </w:r>
      <w:r w:rsidR="00F35290" w:rsidRPr="00352A69">
        <w:rPr>
          <w:rFonts w:ascii="Arial" w:eastAsiaTheme="minorHAnsi" w:hAnsi="Arial" w:cstheme="minorBidi"/>
          <w:sz w:val="22"/>
          <w:lang w:eastAsia="en-US"/>
        </w:rPr>
        <w:t>)</w:t>
      </w:r>
      <w:r w:rsidR="00B70663" w:rsidRPr="00352A69">
        <w:rPr>
          <w:rFonts w:ascii="Arial" w:eastAsiaTheme="minorHAnsi" w:hAnsi="Arial" w:cstheme="minorBidi"/>
          <w:sz w:val="22"/>
          <w:lang w:eastAsia="en-US"/>
        </w:rPr>
        <w:t xml:space="preserve">. </w:t>
      </w:r>
      <w:r w:rsidR="00F35290" w:rsidRPr="00352A69">
        <w:rPr>
          <w:rFonts w:ascii="Arial" w:eastAsiaTheme="minorHAnsi" w:hAnsi="Arial" w:cstheme="minorBidi"/>
          <w:sz w:val="22"/>
          <w:lang w:eastAsia="en-US"/>
        </w:rPr>
        <w:t>If an entity applies clause 7(c</w:t>
      </w:r>
      <w:proofErr w:type="gramStart"/>
      <w:r w:rsidR="00F35290" w:rsidRPr="00352A69">
        <w:rPr>
          <w:rFonts w:ascii="Arial" w:eastAsiaTheme="minorHAnsi" w:hAnsi="Arial" w:cstheme="minorBidi"/>
          <w:sz w:val="22"/>
          <w:lang w:eastAsia="en-US"/>
        </w:rPr>
        <w:t>)(</w:t>
      </w:r>
      <w:proofErr w:type="gramEnd"/>
      <w:r w:rsidR="00F35290" w:rsidRPr="00352A69">
        <w:rPr>
          <w:rFonts w:ascii="Arial" w:eastAsiaTheme="minorHAnsi" w:hAnsi="Arial" w:cstheme="minorBidi"/>
          <w:sz w:val="22"/>
          <w:lang w:eastAsia="en-US"/>
        </w:rPr>
        <w:t>ii)</w:t>
      </w:r>
      <w:r w:rsidR="008E1085" w:rsidRPr="00352A69">
        <w:rPr>
          <w:rFonts w:ascii="Arial" w:eastAsiaTheme="minorHAnsi" w:hAnsi="Arial" w:cstheme="minorBidi"/>
          <w:sz w:val="22"/>
          <w:lang w:eastAsia="en-US"/>
        </w:rPr>
        <w:t xml:space="preserve"> as the conversion day for its inbound intangible consumer supplies, </w:t>
      </w:r>
      <w:r w:rsidR="00E3260D" w:rsidRPr="00352A69">
        <w:rPr>
          <w:rFonts w:ascii="Arial" w:eastAsiaTheme="minorHAnsi" w:hAnsi="Arial" w:cstheme="minorBidi"/>
          <w:sz w:val="22"/>
          <w:lang w:eastAsia="en-US"/>
        </w:rPr>
        <w:t xml:space="preserve">the conversion </w:t>
      </w:r>
      <w:r w:rsidR="008E1085" w:rsidRPr="00352A69">
        <w:rPr>
          <w:rFonts w:ascii="Arial" w:eastAsiaTheme="minorHAnsi" w:hAnsi="Arial" w:cstheme="minorBidi"/>
          <w:sz w:val="22"/>
          <w:lang w:eastAsia="en-US"/>
        </w:rPr>
        <w:t xml:space="preserve">day for the entity’s other supplies </w:t>
      </w:r>
      <w:r w:rsidR="00E3260D" w:rsidRPr="00352A69">
        <w:rPr>
          <w:rFonts w:ascii="Arial" w:eastAsiaTheme="minorHAnsi" w:hAnsi="Arial" w:cstheme="minorBidi"/>
          <w:sz w:val="22"/>
          <w:lang w:eastAsia="en-US"/>
        </w:rPr>
        <w:t xml:space="preserve">can only be the day specified in </w:t>
      </w:r>
      <w:r>
        <w:rPr>
          <w:rFonts w:ascii="Arial" w:eastAsiaTheme="minorHAnsi" w:hAnsi="Arial" w:cstheme="minorBidi"/>
          <w:sz w:val="22"/>
          <w:lang w:eastAsia="en-US"/>
        </w:rPr>
        <w:t>subparagraph</w:t>
      </w:r>
      <w:r w:rsidRPr="00352A69">
        <w:rPr>
          <w:rFonts w:ascii="Arial" w:eastAsiaTheme="minorHAnsi" w:hAnsi="Arial" w:cstheme="minorBidi"/>
          <w:sz w:val="22"/>
          <w:lang w:eastAsia="en-US"/>
        </w:rPr>
        <w:t xml:space="preserve">s </w:t>
      </w:r>
      <w:r w:rsidR="00FD4253" w:rsidRPr="00352A69">
        <w:rPr>
          <w:rFonts w:ascii="Arial" w:eastAsiaTheme="minorHAnsi" w:hAnsi="Arial" w:cstheme="minorBidi"/>
          <w:sz w:val="22"/>
          <w:lang w:eastAsia="en-US"/>
        </w:rPr>
        <w:t>7</w:t>
      </w:r>
      <w:r w:rsidR="00E3260D" w:rsidRPr="00352A69">
        <w:rPr>
          <w:rFonts w:ascii="Arial" w:eastAsiaTheme="minorHAnsi" w:hAnsi="Arial" w:cstheme="minorBidi"/>
          <w:sz w:val="22"/>
          <w:lang w:eastAsia="en-US"/>
        </w:rPr>
        <w:t xml:space="preserve">(a) or </w:t>
      </w:r>
      <w:r w:rsidR="00FD4253" w:rsidRPr="00352A69">
        <w:rPr>
          <w:rFonts w:ascii="Arial" w:eastAsiaTheme="minorHAnsi" w:hAnsi="Arial" w:cstheme="minorBidi"/>
          <w:sz w:val="22"/>
          <w:lang w:eastAsia="en-US"/>
        </w:rPr>
        <w:t>7</w:t>
      </w:r>
      <w:r w:rsidR="00E3260D" w:rsidRPr="00352A69">
        <w:rPr>
          <w:rFonts w:ascii="Arial" w:eastAsiaTheme="minorHAnsi" w:hAnsi="Arial" w:cstheme="minorBidi"/>
          <w:sz w:val="22"/>
          <w:lang w:eastAsia="en-US"/>
        </w:rPr>
        <w:t>(b).</w:t>
      </w:r>
    </w:p>
    <w:p w:rsidR="00C822F6" w:rsidRDefault="009A281F" w:rsidP="00C822F6">
      <w:pPr>
        <w:numPr>
          <w:ilvl w:val="0"/>
          <w:numId w:val="16"/>
        </w:numPr>
        <w:spacing w:after="120"/>
        <w:ind w:left="709" w:hanging="709"/>
        <w:rPr>
          <w:rFonts w:ascii="Arial" w:eastAsiaTheme="minorHAnsi" w:hAnsi="Arial" w:cstheme="minorBidi"/>
          <w:sz w:val="22"/>
          <w:lang w:eastAsia="en-US"/>
        </w:rPr>
      </w:pPr>
      <w:r>
        <w:rPr>
          <w:rFonts w:ascii="Arial" w:hAnsi="Arial" w:cs="Arial"/>
          <w:sz w:val="22"/>
          <w:szCs w:val="22"/>
        </w:rPr>
        <w:t>Subparagraph</w:t>
      </w:r>
      <w:r w:rsidRPr="00352A69">
        <w:rPr>
          <w:rFonts w:ascii="Arial" w:hAnsi="Arial" w:cs="Arial"/>
          <w:sz w:val="22"/>
          <w:szCs w:val="22"/>
        </w:rPr>
        <w:t xml:space="preserve"> </w:t>
      </w:r>
      <w:r w:rsidR="009B6DAA" w:rsidRPr="00352A69">
        <w:rPr>
          <w:rFonts w:ascii="Arial" w:hAnsi="Arial" w:cs="Arial"/>
          <w:sz w:val="22"/>
          <w:szCs w:val="22"/>
        </w:rPr>
        <w:t>7(d) applies to non-resident entities that are limited registration entities. The</w:t>
      </w:r>
      <w:r w:rsidR="00B70663" w:rsidRPr="00352A69">
        <w:rPr>
          <w:rFonts w:ascii="Arial" w:hAnsi="Arial" w:cs="Arial"/>
          <w:sz w:val="22"/>
          <w:szCs w:val="22"/>
        </w:rPr>
        <w:t xml:space="preserve"> conversion day</w:t>
      </w:r>
      <w:r w:rsidR="00E3260D" w:rsidRPr="00352A69">
        <w:rPr>
          <w:rFonts w:ascii="Arial" w:hAnsi="Arial" w:cs="Arial"/>
          <w:sz w:val="22"/>
          <w:szCs w:val="22"/>
        </w:rPr>
        <w:t xml:space="preserve"> for all of their supplies</w:t>
      </w:r>
      <w:r w:rsidR="00B70663" w:rsidRPr="00352A69">
        <w:rPr>
          <w:rFonts w:ascii="Arial" w:hAnsi="Arial" w:cs="Arial"/>
          <w:sz w:val="22"/>
          <w:szCs w:val="22"/>
        </w:rPr>
        <w:t xml:space="preserve"> can b</w:t>
      </w:r>
      <w:r w:rsidR="00E3260D" w:rsidRPr="00352A69">
        <w:rPr>
          <w:rFonts w:ascii="Arial" w:hAnsi="Arial" w:cs="Arial"/>
          <w:sz w:val="22"/>
          <w:szCs w:val="22"/>
        </w:rPr>
        <w:t xml:space="preserve">e a </w:t>
      </w:r>
      <w:r w:rsidR="00B70663" w:rsidRPr="00352A69">
        <w:rPr>
          <w:rFonts w:ascii="Arial" w:hAnsi="Arial" w:cs="Arial"/>
          <w:sz w:val="22"/>
          <w:szCs w:val="22"/>
        </w:rPr>
        <w:t xml:space="preserve">day specified in </w:t>
      </w:r>
      <w:r>
        <w:rPr>
          <w:rFonts w:ascii="Arial" w:hAnsi="Arial" w:cs="Arial"/>
          <w:sz w:val="22"/>
          <w:szCs w:val="22"/>
        </w:rPr>
        <w:lastRenderedPageBreak/>
        <w:t>subparagraph</w:t>
      </w:r>
      <w:r w:rsidRPr="00352A69">
        <w:rPr>
          <w:rFonts w:ascii="Arial" w:hAnsi="Arial" w:cs="Arial"/>
          <w:sz w:val="22"/>
          <w:szCs w:val="22"/>
        </w:rPr>
        <w:t xml:space="preserve">s </w:t>
      </w:r>
      <w:r w:rsidR="009B6DAA" w:rsidRPr="00352A69">
        <w:rPr>
          <w:rFonts w:ascii="Arial" w:hAnsi="Arial" w:cs="Arial"/>
          <w:sz w:val="22"/>
          <w:szCs w:val="22"/>
        </w:rPr>
        <w:t>7</w:t>
      </w:r>
      <w:r w:rsidR="00B70663" w:rsidRPr="00352A69">
        <w:rPr>
          <w:rFonts w:ascii="Arial" w:hAnsi="Arial" w:cs="Arial"/>
          <w:sz w:val="22"/>
          <w:szCs w:val="22"/>
        </w:rPr>
        <w:t xml:space="preserve">(a) or </w:t>
      </w:r>
      <w:r w:rsidR="009B6DAA" w:rsidRPr="00352A69">
        <w:rPr>
          <w:rFonts w:ascii="Arial" w:hAnsi="Arial" w:cs="Arial"/>
          <w:sz w:val="22"/>
          <w:szCs w:val="22"/>
        </w:rPr>
        <w:t>7</w:t>
      </w:r>
      <w:r w:rsidR="00B70663" w:rsidRPr="00352A69">
        <w:rPr>
          <w:rFonts w:ascii="Arial" w:hAnsi="Arial" w:cs="Arial"/>
          <w:sz w:val="22"/>
          <w:szCs w:val="22"/>
        </w:rPr>
        <w:t xml:space="preserve">(b) or </w:t>
      </w:r>
      <w:r w:rsidR="00B70663" w:rsidRPr="00352A69">
        <w:rPr>
          <w:rFonts w:ascii="Arial" w:eastAsiaTheme="minorHAnsi" w:hAnsi="Arial" w:cstheme="minorBidi"/>
          <w:sz w:val="22"/>
          <w:lang w:eastAsia="en-US"/>
        </w:rPr>
        <w:t xml:space="preserve">the final day of the relevant tax period in which GST is payable </w:t>
      </w:r>
      <w:r w:rsidR="00A14ABC" w:rsidRPr="00352A69">
        <w:rPr>
          <w:rFonts w:ascii="Arial" w:eastAsiaTheme="minorHAnsi" w:hAnsi="Arial" w:cstheme="minorBidi"/>
          <w:sz w:val="22"/>
          <w:lang w:eastAsia="en-US"/>
        </w:rPr>
        <w:t>(</w:t>
      </w:r>
      <w:r w:rsidR="00B70663" w:rsidRPr="00352A69">
        <w:rPr>
          <w:rFonts w:ascii="Arial" w:eastAsiaTheme="minorHAnsi" w:hAnsi="Arial" w:cstheme="minorBidi"/>
          <w:sz w:val="22"/>
          <w:lang w:eastAsia="en-US"/>
        </w:rPr>
        <w:t xml:space="preserve">clause </w:t>
      </w:r>
      <w:r w:rsidR="009B6DAA" w:rsidRPr="00352A69">
        <w:rPr>
          <w:rFonts w:ascii="Arial" w:eastAsiaTheme="minorHAnsi" w:hAnsi="Arial" w:cstheme="minorBidi"/>
          <w:sz w:val="22"/>
          <w:lang w:eastAsia="en-US"/>
        </w:rPr>
        <w:t>7</w:t>
      </w:r>
      <w:r w:rsidR="00B70663" w:rsidRPr="00352A69">
        <w:rPr>
          <w:rFonts w:ascii="Arial" w:eastAsiaTheme="minorHAnsi" w:hAnsi="Arial" w:cstheme="minorBidi"/>
          <w:sz w:val="22"/>
          <w:lang w:eastAsia="en-US"/>
        </w:rPr>
        <w:t>(</w:t>
      </w:r>
      <w:r w:rsidR="000770B2">
        <w:rPr>
          <w:rFonts w:ascii="Arial" w:eastAsiaTheme="minorHAnsi" w:hAnsi="Arial" w:cstheme="minorBidi"/>
          <w:sz w:val="22"/>
          <w:lang w:eastAsia="en-US"/>
        </w:rPr>
        <w:t>d</w:t>
      </w:r>
      <w:r w:rsidR="00B70663" w:rsidRPr="00352A69">
        <w:rPr>
          <w:rFonts w:ascii="Arial" w:eastAsiaTheme="minorHAnsi" w:hAnsi="Arial" w:cstheme="minorBidi"/>
          <w:sz w:val="22"/>
          <w:lang w:eastAsia="en-US"/>
        </w:rPr>
        <w:t>)(ii)</w:t>
      </w:r>
      <w:r w:rsidR="00A14ABC" w:rsidRPr="00352A69">
        <w:rPr>
          <w:rFonts w:ascii="Arial" w:eastAsiaTheme="minorHAnsi" w:hAnsi="Arial" w:cstheme="minorBidi"/>
          <w:sz w:val="22"/>
          <w:lang w:eastAsia="en-US"/>
        </w:rPr>
        <w:t>)</w:t>
      </w:r>
      <w:r w:rsidR="00B70663" w:rsidRPr="00352A69">
        <w:rPr>
          <w:rFonts w:ascii="Arial" w:eastAsiaTheme="minorHAnsi" w:hAnsi="Arial" w:cstheme="minorBidi"/>
          <w:sz w:val="22"/>
          <w:lang w:eastAsia="en-US"/>
        </w:rPr>
        <w:t>.</w:t>
      </w:r>
    </w:p>
    <w:p w:rsidR="00325C9A" w:rsidRPr="00325C9A" w:rsidRDefault="00325C9A" w:rsidP="00325C9A">
      <w:pPr>
        <w:spacing w:after="120"/>
        <w:rPr>
          <w:rFonts w:ascii="Arial" w:hAnsi="Arial" w:cs="Arial"/>
          <w:sz w:val="22"/>
          <w:szCs w:val="22"/>
        </w:rPr>
      </w:pPr>
      <w:r w:rsidRPr="00325C9A">
        <w:rPr>
          <w:rFonts w:ascii="Arial" w:eastAsiaTheme="majorEastAsia" w:hAnsi="Arial" w:cs="Arial"/>
          <w:b/>
          <w:bCs/>
          <w:sz w:val="22"/>
          <w:szCs w:val="22"/>
        </w:rPr>
        <w:t xml:space="preserve">Consultation </w:t>
      </w:r>
    </w:p>
    <w:p w:rsidR="00325C9A" w:rsidRPr="00325C9A" w:rsidRDefault="00325C9A" w:rsidP="00325C9A">
      <w:pPr>
        <w:numPr>
          <w:ilvl w:val="0"/>
          <w:numId w:val="16"/>
        </w:numPr>
        <w:spacing w:after="120"/>
        <w:ind w:left="709" w:hanging="709"/>
        <w:rPr>
          <w:rFonts w:ascii="Arial" w:hAnsi="Arial" w:cs="Arial"/>
          <w:sz w:val="22"/>
          <w:szCs w:val="22"/>
        </w:rPr>
      </w:pPr>
      <w:r w:rsidRPr="00325C9A">
        <w:rPr>
          <w:rFonts w:ascii="Arial" w:hAnsi="Arial" w:cs="Arial"/>
          <w:sz w:val="22"/>
          <w:szCs w:val="22"/>
        </w:rPr>
        <w:t xml:space="preserve">Subsection 17(1) of the </w:t>
      </w:r>
      <w:r w:rsidR="00691FEA">
        <w:rPr>
          <w:rFonts w:ascii="Arial" w:hAnsi="Arial" w:cs="Arial"/>
          <w:i/>
          <w:sz w:val="22"/>
          <w:szCs w:val="22"/>
        </w:rPr>
        <w:t>Legislation</w:t>
      </w:r>
      <w:r w:rsidR="00691FEA" w:rsidRPr="0095053A">
        <w:rPr>
          <w:rFonts w:ascii="Arial" w:hAnsi="Arial" w:cs="Arial"/>
          <w:i/>
          <w:sz w:val="22"/>
          <w:szCs w:val="22"/>
        </w:rPr>
        <w:t xml:space="preserve"> Act</w:t>
      </w:r>
      <w:r w:rsidRPr="0095053A">
        <w:rPr>
          <w:rFonts w:ascii="Arial" w:hAnsi="Arial" w:cs="Arial"/>
          <w:i/>
          <w:sz w:val="22"/>
          <w:szCs w:val="22"/>
        </w:rPr>
        <w:t xml:space="preserve"> 2003</w:t>
      </w:r>
      <w:r w:rsidRPr="00325C9A">
        <w:rPr>
          <w:rFonts w:ascii="Arial" w:hAnsi="Arial" w:cs="Arial"/>
          <w:sz w:val="22"/>
          <w:szCs w:val="22"/>
        </w:rPr>
        <w:t xml:space="preserve"> requires, before the making of a determination, that the rule-maker is satisfied that appropriate and reasonably practicable consultation has been undertaken. </w:t>
      </w:r>
    </w:p>
    <w:p w:rsidR="0000694E" w:rsidRDefault="0000694E" w:rsidP="007412CC">
      <w:pPr>
        <w:numPr>
          <w:ilvl w:val="0"/>
          <w:numId w:val="16"/>
        </w:numPr>
        <w:spacing w:after="120"/>
        <w:ind w:left="709" w:hanging="709"/>
        <w:rPr>
          <w:rFonts w:ascii="Arial" w:hAnsi="Arial" w:cs="Arial"/>
          <w:sz w:val="22"/>
          <w:szCs w:val="22"/>
        </w:rPr>
      </w:pPr>
      <w:r w:rsidRPr="0000694E">
        <w:rPr>
          <w:rFonts w:ascii="Arial" w:hAnsi="Arial" w:cs="Arial"/>
          <w:sz w:val="22"/>
          <w:szCs w:val="22"/>
        </w:rPr>
        <w:t>T</w:t>
      </w:r>
      <w:r w:rsidR="00147993" w:rsidRPr="0000694E">
        <w:rPr>
          <w:rFonts w:ascii="Arial" w:hAnsi="Arial" w:cs="Arial"/>
          <w:sz w:val="22"/>
          <w:szCs w:val="22"/>
        </w:rPr>
        <w:t>argeted consultation was conducted through the OECD meeting held in Paris</w:t>
      </w:r>
      <w:r w:rsidR="00DC4895">
        <w:rPr>
          <w:rFonts w:ascii="Arial" w:hAnsi="Arial" w:cs="Arial"/>
          <w:sz w:val="22"/>
          <w:szCs w:val="22"/>
        </w:rPr>
        <w:t>, France</w:t>
      </w:r>
      <w:r w:rsidR="00147993" w:rsidRPr="0000694E">
        <w:rPr>
          <w:rFonts w:ascii="Arial" w:hAnsi="Arial" w:cs="Arial"/>
          <w:sz w:val="22"/>
          <w:szCs w:val="22"/>
        </w:rPr>
        <w:t xml:space="preserve"> in September 2016. </w:t>
      </w:r>
      <w:r w:rsidR="007412CC" w:rsidRPr="0000694E">
        <w:rPr>
          <w:rFonts w:ascii="Arial" w:hAnsi="Arial" w:cs="Arial"/>
          <w:sz w:val="22"/>
          <w:szCs w:val="22"/>
        </w:rPr>
        <w:t xml:space="preserve">Attendees had </w:t>
      </w:r>
      <w:r w:rsidR="000F37D9">
        <w:rPr>
          <w:rFonts w:ascii="Arial" w:hAnsi="Arial" w:cs="Arial"/>
          <w:sz w:val="22"/>
          <w:szCs w:val="22"/>
        </w:rPr>
        <w:t>fou</w:t>
      </w:r>
      <w:r w:rsidR="0095053A">
        <w:rPr>
          <w:rFonts w:ascii="Arial" w:hAnsi="Arial" w:cs="Arial"/>
          <w:sz w:val="22"/>
          <w:szCs w:val="22"/>
        </w:rPr>
        <w:t>r</w:t>
      </w:r>
      <w:r w:rsidR="007412CC" w:rsidRPr="0000694E">
        <w:rPr>
          <w:rFonts w:ascii="Arial" w:hAnsi="Arial" w:cs="Arial"/>
          <w:sz w:val="22"/>
          <w:szCs w:val="22"/>
        </w:rPr>
        <w:t xml:space="preserve"> weeks to provide comments.</w:t>
      </w:r>
      <w:r w:rsidRPr="0000694E">
        <w:rPr>
          <w:rFonts w:ascii="Arial" w:hAnsi="Arial" w:cs="Arial"/>
          <w:sz w:val="22"/>
          <w:szCs w:val="22"/>
        </w:rPr>
        <w:t xml:space="preserve"> </w:t>
      </w:r>
    </w:p>
    <w:p w:rsidR="007412CC" w:rsidRPr="0000694E" w:rsidRDefault="007412CC" w:rsidP="007412CC">
      <w:pPr>
        <w:numPr>
          <w:ilvl w:val="0"/>
          <w:numId w:val="16"/>
        </w:numPr>
        <w:spacing w:after="120"/>
        <w:ind w:left="709" w:hanging="709"/>
        <w:rPr>
          <w:rFonts w:ascii="Arial" w:hAnsi="Arial" w:cs="Arial"/>
          <w:sz w:val="22"/>
          <w:szCs w:val="22"/>
        </w:rPr>
      </w:pPr>
      <w:r w:rsidRPr="0000694E">
        <w:rPr>
          <w:rFonts w:ascii="Arial" w:hAnsi="Arial" w:cs="Arial"/>
          <w:sz w:val="22"/>
          <w:szCs w:val="22"/>
        </w:rPr>
        <w:t>Further target</w:t>
      </w:r>
      <w:r w:rsidR="00DC4895">
        <w:rPr>
          <w:rFonts w:ascii="Arial" w:hAnsi="Arial" w:cs="Arial"/>
          <w:sz w:val="22"/>
          <w:szCs w:val="22"/>
        </w:rPr>
        <w:t>ed</w:t>
      </w:r>
      <w:r w:rsidRPr="0000694E">
        <w:rPr>
          <w:rFonts w:ascii="Arial" w:hAnsi="Arial" w:cs="Arial"/>
          <w:sz w:val="22"/>
          <w:szCs w:val="22"/>
        </w:rPr>
        <w:t xml:space="preserve"> consultation was conducted</w:t>
      </w:r>
      <w:r w:rsidR="0000694E" w:rsidRPr="0000694E">
        <w:rPr>
          <w:rFonts w:ascii="Arial" w:hAnsi="Arial" w:cs="Arial"/>
          <w:sz w:val="22"/>
          <w:szCs w:val="22"/>
        </w:rPr>
        <w:t xml:space="preserve"> in </w:t>
      </w:r>
      <w:r w:rsidR="00DC4895">
        <w:rPr>
          <w:rFonts w:ascii="Arial" w:hAnsi="Arial" w:cs="Arial"/>
          <w:sz w:val="22"/>
          <w:szCs w:val="22"/>
        </w:rPr>
        <w:t xml:space="preserve">the </w:t>
      </w:r>
      <w:r w:rsidR="0000694E" w:rsidRPr="0000694E">
        <w:rPr>
          <w:rFonts w:ascii="Arial" w:hAnsi="Arial" w:cs="Arial"/>
          <w:sz w:val="22"/>
          <w:szCs w:val="22"/>
        </w:rPr>
        <w:t xml:space="preserve">September to November </w:t>
      </w:r>
      <w:r w:rsidR="00DC4895">
        <w:rPr>
          <w:rFonts w:ascii="Arial" w:hAnsi="Arial" w:cs="Arial"/>
          <w:sz w:val="22"/>
          <w:szCs w:val="22"/>
        </w:rPr>
        <w:t xml:space="preserve">2016 </w:t>
      </w:r>
      <w:r w:rsidR="0000694E" w:rsidRPr="0000694E">
        <w:rPr>
          <w:rFonts w:ascii="Arial" w:hAnsi="Arial" w:cs="Arial"/>
          <w:sz w:val="22"/>
          <w:szCs w:val="22"/>
        </w:rPr>
        <w:t xml:space="preserve">period. </w:t>
      </w:r>
    </w:p>
    <w:p w:rsidR="0000694E" w:rsidRDefault="00325C9A" w:rsidP="00325C9A">
      <w:pPr>
        <w:numPr>
          <w:ilvl w:val="0"/>
          <w:numId w:val="16"/>
        </w:numPr>
        <w:spacing w:after="120"/>
        <w:ind w:left="709" w:hanging="709"/>
        <w:rPr>
          <w:rFonts w:ascii="Arial" w:hAnsi="Arial" w:cs="Arial"/>
          <w:sz w:val="22"/>
          <w:szCs w:val="22"/>
        </w:rPr>
      </w:pPr>
      <w:r w:rsidRPr="00325C9A">
        <w:rPr>
          <w:rFonts w:ascii="Arial" w:hAnsi="Arial" w:cs="Arial"/>
          <w:sz w:val="22"/>
          <w:szCs w:val="22"/>
        </w:rPr>
        <w:t xml:space="preserve">Broad consultation also occurred. The draft determination and draft explanatory statement were published on the Consultation Hub at ato.gov.au on </w:t>
      </w:r>
      <w:r w:rsidR="0000694E">
        <w:rPr>
          <w:rFonts w:ascii="Arial" w:hAnsi="Arial" w:cs="Arial"/>
          <w:sz w:val="22"/>
          <w:szCs w:val="22"/>
        </w:rPr>
        <w:t>6 December</w:t>
      </w:r>
      <w:r w:rsidRPr="00325C9A">
        <w:rPr>
          <w:rFonts w:ascii="Arial" w:hAnsi="Arial" w:cs="Arial"/>
          <w:sz w:val="22"/>
          <w:szCs w:val="22"/>
        </w:rPr>
        <w:t xml:space="preserve"> 2016 seeking feedback and comments initially for a period of </w:t>
      </w:r>
      <w:r w:rsidR="000F37D9">
        <w:rPr>
          <w:rFonts w:ascii="Arial" w:hAnsi="Arial" w:cs="Arial"/>
          <w:sz w:val="22"/>
          <w:szCs w:val="22"/>
        </w:rPr>
        <w:t>four</w:t>
      </w:r>
      <w:r w:rsidRPr="00325C9A">
        <w:rPr>
          <w:rFonts w:ascii="Arial" w:hAnsi="Arial" w:cs="Arial"/>
          <w:sz w:val="22"/>
          <w:szCs w:val="22"/>
        </w:rPr>
        <w:t xml:space="preserve"> weeks. </w:t>
      </w:r>
      <w:r w:rsidR="0000694E">
        <w:rPr>
          <w:rFonts w:ascii="Arial" w:hAnsi="Arial" w:cs="Arial"/>
          <w:sz w:val="22"/>
          <w:szCs w:val="22"/>
        </w:rPr>
        <w:t xml:space="preserve">Further extensions were made and the consultation concluded on 31 March 2017. </w:t>
      </w:r>
    </w:p>
    <w:p w:rsidR="00325C9A" w:rsidRPr="00325C9A" w:rsidRDefault="0000694E" w:rsidP="00325C9A">
      <w:pPr>
        <w:numPr>
          <w:ilvl w:val="0"/>
          <w:numId w:val="16"/>
        </w:numPr>
        <w:spacing w:after="120"/>
        <w:ind w:left="709" w:hanging="709"/>
        <w:rPr>
          <w:rFonts w:ascii="Arial" w:hAnsi="Arial" w:cs="Arial"/>
          <w:sz w:val="22"/>
          <w:szCs w:val="22"/>
        </w:rPr>
      </w:pPr>
      <w:r>
        <w:rPr>
          <w:rFonts w:ascii="Arial" w:hAnsi="Arial" w:cs="Arial"/>
          <w:sz w:val="22"/>
          <w:szCs w:val="22"/>
        </w:rPr>
        <w:t xml:space="preserve">Overall, the response from the </w:t>
      </w:r>
      <w:r w:rsidR="00325C9A" w:rsidRPr="00325C9A">
        <w:rPr>
          <w:rFonts w:ascii="Arial" w:hAnsi="Arial" w:cs="Arial"/>
          <w:sz w:val="22"/>
          <w:szCs w:val="22"/>
        </w:rPr>
        <w:t xml:space="preserve">consultation process was limited but was supportive of the amendments. </w:t>
      </w:r>
    </w:p>
    <w:p w:rsidR="00B44270" w:rsidRDefault="00B44270" w:rsidP="00352A69">
      <w:pPr>
        <w:spacing w:after="60"/>
        <w:rPr>
          <w:rFonts w:ascii="Arial" w:hAnsi="Arial" w:cs="Arial"/>
          <w:b/>
          <w:sz w:val="22"/>
        </w:rPr>
      </w:pPr>
    </w:p>
    <w:p w:rsidR="00011847" w:rsidRPr="00352A69" w:rsidRDefault="00011847" w:rsidP="00352A69">
      <w:pPr>
        <w:spacing w:after="60"/>
        <w:rPr>
          <w:rFonts w:ascii="Arial" w:hAnsi="Arial" w:cs="Arial"/>
          <w:b/>
          <w:sz w:val="22"/>
        </w:rPr>
      </w:pPr>
      <w:r w:rsidRPr="00352A69">
        <w:rPr>
          <w:rFonts w:ascii="Arial" w:hAnsi="Arial" w:cs="Arial"/>
          <w:b/>
          <w:sz w:val="22"/>
        </w:rPr>
        <w:t>Legislative references:</w:t>
      </w:r>
    </w:p>
    <w:p w:rsidR="000770B2" w:rsidRDefault="000770B2" w:rsidP="00C822F6">
      <w:pPr>
        <w:spacing w:after="120"/>
        <w:rPr>
          <w:rFonts w:ascii="Arial" w:hAnsi="Arial" w:cs="Arial"/>
          <w:i/>
          <w:sz w:val="20"/>
        </w:rPr>
      </w:pPr>
      <w:r>
        <w:rPr>
          <w:rFonts w:ascii="Arial" w:hAnsi="Arial" w:cs="Arial"/>
          <w:i/>
          <w:sz w:val="20"/>
        </w:rPr>
        <w:t>Acts Interpretation Act 1901</w:t>
      </w:r>
    </w:p>
    <w:p w:rsidR="00011847" w:rsidRPr="00C822F6" w:rsidRDefault="00011847" w:rsidP="00C822F6">
      <w:pPr>
        <w:spacing w:after="120"/>
        <w:rPr>
          <w:rFonts w:ascii="Arial" w:hAnsi="Arial" w:cs="Arial"/>
          <w:b/>
          <w:i/>
          <w:sz w:val="20"/>
        </w:rPr>
      </w:pPr>
      <w:r w:rsidRPr="00C822F6">
        <w:rPr>
          <w:rFonts w:ascii="Arial" w:hAnsi="Arial" w:cs="Arial"/>
          <w:i/>
          <w:sz w:val="20"/>
        </w:rPr>
        <w:t>A New Tax System (Goods and Services Tax) Act 1999</w:t>
      </w:r>
    </w:p>
    <w:p w:rsidR="00011847" w:rsidRPr="00C822F6" w:rsidRDefault="00011847" w:rsidP="00C822F6">
      <w:pPr>
        <w:spacing w:after="120"/>
        <w:rPr>
          <w:rFonts w:ascii="Arial" w:hAnsi="Arial" w:cs="Arial"/>
          <w:b/>
          <w:i/>
          <w:sz w:val="20"/>
        </w:rPr>
      </w:pPr>
      <w:r w:rsidRPr="00C822F6">
        <w:rPr>
          <w:rFonts w:ascii="Arial" w:hAnsi="Arial" w:cs="Arial"/>
          <w:i/>
          <w:sz w:val="20"/>
        </w:rPr>
        <w:t>Human Rights (Parliamentary Scrutiny) Act 2011</w:t>
      </w:r>
    </w:p>
    <w:p w:rsidR="00011847" w:rsidRDefault="009A281F" w:rsidP="00C822F6">
      <w:pPr>
        <w:spacing w:after="120"/>
        <w:rPr>
          <w:rFonts w:ascii="Arial" w:hAnsi="Arial" w:cs="Arial"/>
          <w:i/>
          <w:sz w:val="20"/>
        </w:rPr>
      </w:pPr>
      <w:r>
        <w:rPr>
          <w:rFonts w:ascii="Arial" w:hAnsi="Arial" w:cs="Arial"/>
          <w:i/>
          <w:sz w:val="20"/>
        </w:rPr>
        <w:t xml:space="preserve">Legislation </w:t>
      </w:r>
      <w:r w:rsidR="00011847" w:rsidRPr="00C822F6">
        <w:rPr>
          <w:rFonts w:ascii="Arial" w:hAnsi="Arial" w:cs="Arial"/>
          <w:i/>
          <w:sz w:val="20"/>
        </w:rPr>
        <w:t>Act 2003</w:t>
      </w:r>
    </w:p>
    <w:p w:rsidR="00281B8D" w:rsidRPr="00C822F6" w:rsidRDefault="00281B8D" w:rsidP="00C822F6">
      <w:pPr>
        <w:spacing w:after="120"/>
        <w:rPr>
          <w:rFonts w:ascii="Arial" w:hAnsi="Arial" w:cs="Arial"/>
          <w:i/>
          <w:sz w:val="20"/>
        </w:rPr>
      </w:pPr>
      <w:r>
        <w:rPr>
          <w:rFonts w:ascii="Arial" w:hAnsi="Arial" w:cs="Arial"/>
          <w:i/>
          <w:sz w:val="20"/>
        </w:rPr>
        <w:t xml:space="preserve">Reserve </w:t>
      </w:r>
      <w:r w:rsidR="00CC001D">
        <w:rPr>
          <w:rFonts w:ascii="Arial" w:hAnsi="Arial" w:cs="Arial"/>
          <w:i/>
          <w:sz w:val="20"/>
        </w:rPr>
        <w:t>B</w:t>
      </w:r>
      <w:r>
        <w:rPr>
          <w:rFonts w:ascii="Arial" w:hAnsi="Arial" w:cs="Arial"/>
          <w:i/>
          <w:sz w:val="20"/>
        </w:rPr>
        <w:t>ank Act 1959</w:t>
      </w:r>
    </w:p>
    <w:p w:rsidR="00011847" w:rsidRPr="00C822F6" w:rsidRDefault="00011847" w:rsidP="00C822F6">
      <w:pPr>
        <w:spacing w:after="120"/>
        <w:rPr>
          <w:rFonts w:ascii="Arial" w:hAnsi="Arial" w:cs="Arial"/>
          <w:sz w:val="22"/>
          <w:szCs w:val="22"/>
        </w:rPr>
      </w:pPr>
    </w:p>
    <w:p w:rsidR="00011847" w:rsidRPr="00352A69" w:rsidRDefault="00011847" w:rsidP="00352A69">
      <w:pPr>
        <w:autoSpaceDE w:val="0"/>
        <w:autoSpaceDN w:val="0"/>
        <w:adjustRightInd w:val="0"/>
        <w:rPr>
          <w:rFonts w:ascii="Arial" w:hAnsi="Arial" w:cs="Arial"/>
          <w:sz w:val="22"/>
          <w:szCs w:val="22"/>
        </w:rPr>
      </w:pPr>
    </w:p>
    <w:p w:rsidR="00011847" w:rsidRPr="00352A69" w:rsidRDefault="00011847" w:rsidP="00352A69">
      <w:pPr>
        <w:rPr>
          <w:rFonts w:ascii="Arial" w:hAnsi="Arial" w:cs="Arial"/>
          <w:b/>
          <w:bCs/>
          <w:sz w:val="26"/>
          <w:szCs w:val="26"/>
        </w:rPr>
      </w:pPr>
      <w:r w:rsidRPr="00352A69">
        <w:br w:type="page"/>
      </w:r>
    </w:p>
    <w:p w:rsidR="00C822F6" w:rsidRPr="00C822F6" w:rsidRDefault="00011847" w:rsidP="00C822F6">
      <w:pPr>
        <w:pStyle w:val="Heading1"/>
        <w:spacing w:before="0" w:after="240"/>
        <w:jc w:val="center"/>
        <w:rPr>
          <w:rFonts w:ascii="Arial" w:hAnsi="Arial" w:cs="Arial"/>
          <w:color w:val="auto"/>
          <w:sz w:val="24"/>
          <w:szCs w:val="24"/>
        </w:rPr>
      </w:pPr>
      <w:r w:rsidRPr="00C822F6">
        <w:rPr>
          <w:rFonts w:ascii="Arial" w:hAnsi="Arial" w:cs="Arial"/>
          <w:color w:val="auto"/>
          <w:sz w:val="24"/>
          <w:szCs w:val="24"/>
        </w:rPr>
        <w:lastRenderedPageBreak/>
        <w:t>Statement of Compatibility with Human Rights</w:t>
      </w:r>
    </w:p>
    <w:p w:rsidR="00011847" w:rsidRPr="00C822F6" w:rsidRDefault="00011847" w:rsidP="00C822F6">
      <w:pPr>
        <w:spacing w:after="120"/>
        <w:rPr>
          <w:rFonts w:ascii="Arial" w:hAnsi="Arial" w:cs="Arial"/>
        </w:rPr>
      </w:pPr>
      <w:r w:rsidRPr="00C822F6">
        <w:rPr>
          <w:rFonts w:ascii="Arial" w:hAnsi="Arial" w:cs="Arial"/>
          <w:sz w:val="22"/>
        </w:rPr>
        <w:t xml:space="preserve">Prepared in </w:t>
      </w:r>
      <w:r w:rsidRPr="00C822F6">
        <w:rPr>
          <w:rFonts w:ascii="Arial" w:hAnsi="Arial" w:cs="Arial"/>
          <w:sz w:val="22"/>
          <w:szCs w:val="22"/>
        </w:rPr>
        <w:t>accordance</w:t>
      </w:r>
      <w:r w:rsidRPr="00C822F6">
        <w:rPr>
          <w:rFonts w:ascii="Arial" w:hAnsi="Arial" w:cs="Arial"/>
          <w:sz w:val="22"/>
        </w:rPr>
        <w:t xml:space="preserve"> with Part 3 of the </w:t>
      </w:r>
      <w:r w:rsidRPr="00C822F6">
        <w:rPr>
          <w:rFonts w:ascii="Arial" w:hAnsi="Arial" w:cs="Arial"/>
          <w:i/>
          <w:sz w:val="22"/>
        </w:rPr>
        <w:t>Human Rights (Parliamentary Scrutiny) Act 2011</w:t>
      </w:r>
      <w:r w:rsidRPr="00C822F6">
        <w:rPr>
          <w:rFonts w:ascii="Arial" w:hAnsi="Arial" w:cs="Arial"/>
          <w:sz w:val="22"/>
        </w:rPr>
        <w:t>.</w:t>
      </w:r>
    </w:p>
    <w:p w:rsidR="00C822F6" w:rsidRPr="00352A69" w:rsidRDefault="00C822F6" w:rsidP="00C822F6">
      <w:pPr>
        <w:spacing w:after="120"/>
        <w:rPr>
          <w:rFonts w:ascii="Arial" w:hAnsi="Arial" w:cs="Arial"/>
          <w:sz w:val="22"/>
          <w:szCs w:val="22"/>
        </w:rPr>
      </w:pPr>
    </w:p>
    <w:p w:rsidR="00C822F6" w:rsidRPr="00C822F6" w:rsidRDefault="00011847" w:rsidP="00C822F6">
      <w:pPr>
        <w:pStyle w:val="Heading2"/>
        <w:rPr>
          <w:rFonts w:cs="Arial"/>
          <w:szCs w:val="22"/>
        </w:rPr>
      </w:pPr>
      <w:r w:rsidRPr="00C822F6">
        <w:rPr>
          <w:rFonts w:cs="Arial"/>
          <w:szCs w:val="22"/>
        </w:rPr>
        <w:t xml:space="preserve">Goods and Services Tax: Foreign </w:t>
      </w:r>
      <w:r w:rsidR="009A281F">
        <w:rPr>
          <w:rFonts w:cs="Arial"/>
          <w:szCs w:val="22"/>
        </w:rPr>
        <w:t xml:space="preserve">Currency </w:t>
      </w:r>
      <w:r w:rsidRPr="00C822F6">
        <w:rPr>
          <w:rFonts w:cs="Arial"/>
          <w:szCs w:val="22"/>
        </w:rPr>
        <w:t>Conver</w:t>
      </w:r>
      <w:r w:rsidR="00D13BD1">
        <w:rPr>
          <w:rFonts w:cs="Arial"/>
          <w:szCs w:val="22"/>
        </w:rPr>
        <w:t>sion Determination</w:t>
      </w:r>
      <w:r w:rsidR="00281B8D">
        <w:rPr>
          <w:rFonts w:cs="Arial"/>
          <w:szCs w:val="22"/>
        </w:rPr>
        <w:t xml:space="preserve"> (No. 1)</w:t>
      </w:r>
      <w:r w:rsidR="00D13BD1">
        <w:rPr>
          <w:rFonts w:cs="Arial"/>
          <w:szCs w:val="22"/>
        </w:rPr>
        <w:t xml:space="preserve"> </w:t>
      </w:r>
      <w:bookmarkStart w:id="12" w:name="_GoBack"/>
      <w:bookmarkEnd w:id="12"/>
      <w:r w:rsidR="00D13BD1" w:rsidRPr="008A3D16">
        <w:rPr>
          <w:rFonts w:cs="Arial"/>
          <w:szCs w:val="22"/>
        </w:rPr>
        <w:t>2017</w:t>
      </w:r>
    </w:p>
    <w:p w:rsidR="00C822F6" w:rsidRDefault="00011847" w:rsidP="00C822F6">
      <w:pPr>
        <w:spacing w:after="120"/>
        <w:rPr>
          <w:rFonts w:ascii="Arial" w:hAnsi="Arial" w:cs="Arial"/>
          <w:sz w:val="22"/>
          <w:szCs w:val="22"/>
        </w:rPr>
      </w:pPr>
      <w:r w:rsidRPr="00352A69">
        <w:rPr>
          <w:rFonts w:ascii="Arial" w:hAnsi="Arial" w:cs="Arial"/>
          <w:bCs/>
          <w:sz w:val="22"/>
        </w:rPr>
        <w:t>This Legislative</w:t>
      </w:r>
      <w:r w:rsidRPr="00352A69">
        <w:rPr>
          <w:rFonts w:ascii="Arial" w:hAnsi="Arial" w:cs="Arial"/>
          <w:sz w:val="22"/>
          <w:szCs w:val="22"/>
        </w:rPr>
        <w:t xml:space="preserve"> Instrument is compatible with the human rights and freedoms recognised or declared in the international instruments listed in section 3 of the </w:t>
      </w:r>
      <w:r w:rsidRPr="00352A69">
        <w:rPr>
          <w:rFonts w:ascii="Arial" w:hAnsi="Arial" w:cs="Arial"/>
          <w:i/>
          <w:iCs/>
          <w:sz w:val="22"/>
          <w:szCs w:val="22"/>
        </w:rPr>
        <w:t>Human Rights (Parliamentary Scrutiny) Act 2011.</w:t>
      </w:r>
    </w:p>
    <w:p w:rsidR="00011847" w:rsidRPr="00352A69" w:rsidRDefault="00011847" w:rsidP="00C822F6">
      <w:pPr>
        <w:spacing w:after="120"/>
        <w:rPr>
          <w:rFonts w:ascii="Arial" w:hAnsi="Arial" w:cs="Arial"/>
          <w:sz w:val="22"/>
          <w:szCs w:val="22"/>
        </w:rPr>
      </w:pPr>
    </w:p>
    <w:p w:rsidR="00C822F6" w:rsidRPr="00C822F6" w:rsidRDefault="00011847" w:rsidP="00C822F6">
      <w:pPr>
        <w:pStyle w:val="Heading2"/>
        <w:rPr>
          <w:rFonts w:cs="Arial"/>
          <w:szCs w:val="22"/>
        </w:rPr>
      </w:pPr>
      <w:r w:rsidRPr="00C822F6">
        <w:rPr>
          <w:rFonts w:cs="Arial"/>
          <w:szCs w:val="22"/>
        </w:rPr>
        <w:t>Overview of the Legislative Instrument</w:t>
      </w:r>
    </w:p>
    <w:p w:rsidR="00C822F6" w:rsidRDefault="00011847" w:rsidP="00C822F6">
      <w:pPr>
        <w:spacing w:after="120"/>
        <w:rPr>
          <w:rFonts w:ascii="Arial" w:hAnsi="Arial" w:cs="Arial"/>
          <w:sz w:val="22"/>
        </w:rPr>
      </w:pPr>
      <w:r w:rsidRPr="00352A69">
        <w:rPr>
          <w:rFonts w:ascii="Arial" w:hAnsi="Arial" w:cs="Arial"/>
          <w:sz w:val="22"/>
        </w:rPr>
        <w:t xml:space="preserve">This Legislative Instrument prescribes the manner in which consideration expressed in a foreign currency must be converted into Australian currency when working out the value of a taxable supply for the purposes of the </w:t>
      </w:r>
      <w:r w:rsidRPr="00352A69">
        <w:rPr>
          <w:rFonts w:ascii="Arial" w:hAnsi="Arial" w:cs="Arial"/>
          <w:i/>
          <w:iCs/>
          <w:sz w:val="22"/>
        </w:rPr>
        <w:t>A New Tax System (Goods and Services Tax) Act 1999.</w:t>
      </w:r>
    </w:p>
    <w:p w:rsidR="00011847" w:rsidRPr="00C822F6" w:rsidRDefault="00011847" w:rsidP="00C822F6">
      <w:pPr>
        <w:spacing w:after="120"/>
        <w:rPr>
          <w:rFonts w:ascii="Arial" w:hAnsi="Arial" w:cs="Arial"/>
          <w:sz w:val="22"/>
          <w:szCs w:val="22"/>
        </w:rPr>
      </w:pPr>
    </w:p>
    <w:p w:rsidR="00C822F6" w:rsidRPr="00C822F6" w:rsidRDefault="00011847" w:rsidP="00C822F6">
      <w:pPr>
        <w:pStyle w:val="Heading2"/>
        <w:rPr>
          <w:rFonts w:cs="Arial"/>
          <w:szCs w:val="22"/>
        </w:rPr>
      </w:pPr>
      <w:r w:rsidRPr="00C822F6">
        <w:rPr>
          <w:rFonts w:cs="Arial"/>
          <w:szCs w:val="22"/>
        </w:rPr>
        <w:t>Human rights implications</w:t>
      </w:r>
    </w:p>
    <w:p w:rsidR="00C822F6" w:rsidRDefault="00011847" w:rsidP="00C822F6">
      <w:pPr>
        <w:spacing w:after="120"/>
        <w:rPr>
          <w:rFonts w:ascii="Arial" w:hAnsi="Arial" w:cs="Arial"/>
          <w:sz w:val="22"/>
        </w:rPr>
      </w:pPr>
      <w:r w:rsidRPr="00352A69">
        <w:rPr>
          <w:rFonts w:ascii="Arial" w:hAnsi="Arial" w:cs="Arial"/>
          <w:sz w:val="22"/>
        </w:rPr>
        <w:t>This Legislative Instrument does not engage any of the applicable rights or freedoms as it is considered to be minor or machinery in nature and does not substantially change the law.</w:t>
      </w:r>
    </w:p>
    <w:p w:rsidR="00011847" w:rsidRPr="00C822F6" w:rsidRDefault="00011847" w:rsidP="00C822F6">
      <w:pPr>
        <w:spacing w:after="120"/>
        <w:rPr>
          <w:rFonts w:ascii="Arial" w:hAnsi="Arial" w:cs="Arial"/>
          <w:sz w:val="22"/>
          <w:szCs w:val="22"/>
        </w:rPr>
      </w:pPr>
    </w:p>
    <w:p w:rsidR="00C822F6" w:rsidRPr="00C822F6" w:rsidRDefault="00011847" w:rsidP="00C822F6">
      <w:pPr>
        <w:pStyle w:val="Heading2"/>
        <w:rPr>
          <w:rFonts w:cs="Arial"/>
          <w:szCs w:val="22"/>
        </w:rPr>
      </w:pPr>
      <w:r w:rsidRPr="00C822F6">
        <w:rPr>
          <w:rFonts w:cs="Arial"/>
          <w:szCs w:val="22"/>
        </w:rPr>
        <w:t>Conclusion</w:t>
      </w:r>
    </w:p>
    <w:p w:rsidR="00C822F6" w:rsidRDefault="00011847" w:rsidP="00C822F6">
      <w:pPr>
        <w:spacing w:after="120"/>
        <w:rPr>
          <w:rFonts w:ascii="Arial" w:hAnsi="Arial" w:cs="Arial"/>
          <w:sz w:val="22"/>
        </w:rPr>
      </w:pPr>
      <w:r w:rsidRPr="00352A69">
        <w:rPr>
          <w:rFonts w:ascii="Arial" w:hAnsi="Arial" w:cs="Arial"/>
          <w:sz w:val="22"/>
        </w:rPr>
        <w:t>This Legislative Instrument is compatible with human rights as it does not raise any human rights issues.</w:t>
      </w:r>
    </w:p>
    <w:sectPr w:rsidR="00C822F6" w:rsidSect="00146ED8">
      <w:headerReference w:type="even" r:id="rId14"/>
      <w:headerReference w:type="default" r:id="rId15"/>
      <w:headerReference w:type="first" r:id="rId16"/>
      <w:pgSz w:w="11906" w:h="16838" w:code="9"/>
      <w:pgMar w:top="1440" w:right="1700" w:bottom="1358" w:left="1843" w:header="720" w:footer="72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009" w:rsidRDefault="00472009">
      <w:r>
        <w:separator/>
      </w:r>
    </w:p>
  </w:endnote>
  <w:endnote w:type="continuationSeparator" w:id="0">
    <w:p w:rsidR="00472009" w:rsidRDefault="00472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009" w:rsidRDefault="00472009">
      <w:r>
        <w:separator/>
      </w:r>
    </w:p>
  </w:footnote>
  <w:footnote w:type="continuationSeparator" w:id="0">
    <w:p w:rsidR="00472009" w:rsidRDefault="004720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C50" w:rsidRPr="0067541C" w:rsidRDefault="00587C50">
    <w:pPr>
      <w:pStyle w:val="Header"/>
      <w:rPr>
        <w:rFonts w:ascii="Arial" w:hAnsi="Arial" w:cs="Arial"/>
        <w:sz w:val="52"/>
      </w:rPr>
    </w:pPr>
    <w:r w:rsidRPr="0067541C">
      <w:rPr>
        <w:rFonts w:ascii="Arial" w:hAnsi="Arial" w:cs="Arial"/>
        <w:sz w:val="20"/>
      </w:rPr>
      <w:t>Taxation Determination</w:t>
    </w:r>
  </w:p>
  <w:p w:rsidR="00C822F6" w:rsidRDefault="00587C50">
    <w:pPr>
      <w:pStyle w:val="Header"/>
      <w:rPr>
        <w:rFonts w:ascii="Arial" w:hAnsi="Arial" w:cs="Arial"/>
        <w:b/>
        <w:sz w:val="52"/>
      </w:rPr>
    </w:pPr>
    <w:r w:rsidRPr="0067541C">
      <w:rPr>
        <w:rFonts w:ascii="Arial" w:hAnsi="Arial" w:cs="Arial"/>
        <w:b/>
        <w:sz w:val="52"/>
      </w:rPr>
      <w:t>TD</w:t>
    </w:r>
  </w:p>
  <w:p w:rsidR="00587C50" w:rsidRPr="0067541C" w:rsidRDefault="00587C50">
    <w:pPr>
      <w:pStyle w:val="Header"/>
      <w:pBdr>
        <w:top w:val="single" w:sz="4" w:space="1" w:color="auto"/>
        <w:bottom w:val="single" w:sz="4" w:space="1" w:color="auto"/>
      </w:pBdr>
      <w:tabs>
        <w:tab w:val="clear" w:pos="4153"/>
        <w:tab w:val="clear" w:pos="8306"/>
        <w:tab w:val="right" w:pos="8789"/>
      </w:tabs>
      <w:spacing w:after="240"/>
      <w:rPr>
        <w:rFonts w:ascii="Arial" w:hAnsi="Arial" w:cs="Arial"/>
        <w:sz w:val="20"/>
      </w:rPr>
    </w:pPr>
    <w:r w:rsidRPr="0067541C">
      <w:rPr>
        <w:rFonts w:ascii="Arial" w:hAnsi="Arial" w:cs="Arial"/>
        <w:snapToGrid w:val="0"/>
        <w:sz w:val="20"/>
        <w:lang w:eastAsia="en-US"/>
      </w:rPr>
      <w:t xml:space="preserve">Page </w:t>
    </w:r>
    <w:r w:rsidRPr="0067541C">
      <w:rPr>
        <w:rFonts w:ascii="Arial" w:hAnsi="Arial" w:cs="Arial"/>
        <w:snapToGrid w:val="0"/>
        <w:sz w:val="20"/>
        <w:lang w:eastAsia="en-US"/>
      </w:rPr>
      <w:fldChar w:fldCharType="begin"/>
    </w:r>
    <w:r w:rsidRPr="0067541C">
      <w:rPr>
        <w:rFonts w:ascii="Arial" w:hAnsi="Arial" w:cs="Arial"/>
        <w:snapToGrid w:val="0"/>
        <w:sz w:val="20"/>
        <w:lang w:eastAsia="en-US"/>
      </w:rPr>
      <w:instrText xml:space="preserve"> PAGE </w:instrText>
    </w:r>
    <w:r w:rsidRPr="0067541C">
      <w:rPr>
        <w:rFonts w:ascii="Arial" w:hAnsi="Arial" w:cs="Arial"/>
        <w:snapToGrid w:val="0"/>
        <w:sz w:val="20"/>
        <w:lang w:eastAsia="en-US"/>
      </w:rPr>
      <w:fldChar w:fldCharType="separate"/>
    </w:r>
    <w:r>
      <w:rPr>
        <w:rFonts w:ascii="Arial" w:hAnsi="Arial" w:cs="Arial"/>
        <w:noProof/>
        <w:snapToGrid w:val="0"/>
        <w:sz w:val="20"/>
        <w:lang w:eastAsia="en-US"/>
      </w:rPr>
      <w:t>2</w:t>
    </w:r>
    <w:r w:rsidRPr="0067541C">
      <w:rPr>
        <w:rFonts w:ascii="Arial" w:hAnsi="Arial" w:cs="Arial"/>
        <w:snapToGrid w:val="0"/>
        <w:sz w:val="20"/>
        <w:lang w:eastAsia="en-US"/>
      </w:rPr>
      <w:fldChar w:fldCharType="end"/>
    </w:r>
    <w:r w:rsidRPr="0067541C">
      <w:rPr>
        <w:rFonts w:ascii="Arial" w:hAnsi="Arial" w:cs="Arial"/>
        <w:snapToGrid w:val="0"/>
        <w:sz w:val="20"/>
        <w:lang w:eastAsia="en-US"/>
      </w:rPr>
      <w:t xml:space="preserve"> of </w:t>
    </w:r>
    <w:r w:rsidRPr="0067541C">
      <w:rPr>
        <w:rFonts w:ascii="Arial" w:hAnsi="Arial" w:cs="Arial"/>
        <w:snapToGrid w:val="0"/>
        <w:sz w:val="20"/>
        <w:lang w:eastAsia="en-US"/>
      </w:rPr>
      <w:fldChar w:fldCharType="begin"/>
    </w:r>
    <w:r w:rsidRPr="0067541C">
      <w:rPr>
        <w:rFonts w:ascii="Arial" w:hAnsi="Arial" w:cs="Arial"/>
        <w:snapToGrid w:val="0"/>
        <w:sz w:val="20"/>
        <w:lang w:eastAsia="en-US"/>
      </w:rPr>
      <w:instrText xml:space="preserve"> NUMPAGES </w:instrText>
    </w:r>
    <w:r w:rsidRPr="0067541C">
      <w:rPr>
        <w:rFonts w:ascii="Arial" w:hAnsi="Arial" w:cs="Arial"/>
        <w:snapToGrid w:val="0"/>
        <w:sz w:val="20"/>
        <w:lang w:eastAsia="en-US"/>
      </w:rPr>
      <w:fldChar w:fldCharType="separate"/>
    </w:r>
    <w:r w:rsidR="00CD1DB0">
      <w:rPr>
        <w:rFonts w:ascii="Arial" w:hAnsi="Arial" w:cs="Arial"/>
        <w:noProof/>
        <w:snapToGrid w:val="0"/>
        <w:sz w:val="20"/>
        <w:lang w:eastAsia="en-US"/>
      </w:rPr>
      <w:t>4</w:t>
    </w:r>
    <w:r w:rsidRPr="0067541C">
      <w:rPr>
        <w:rFonts w:ascii="Arial" w:hAnsi="Arial" w:cs="Arial"/>
        <w:snapToGrid w:val="0"/>
        <w:sz w:val="20"/>
        <w:lang w:eastAsia="en-US"/>
      </w:rPr>
      <w:fldChar w:fldCharType="end"/>
    </w:r>
    <w:r w:rsidRPr="0067541C">
      <w:rPr>
        <w:rFonts w:ascii="Arial" w:hAnsi="Arial" w:cs="Arial"/>
      </w:rPr>
      <w:tab/>
    </w:r>
    <w:r w:rsidRPr="0067541C">
      <w:rPr>
        <w:rFonts w:ascii="Arial" w:hAnsi="Arial" w:cs="Arial"/>
        <w:sz w:val="20"/>
      </w:rPr>
      <w:t xml:space="preserve">FOI status:  </w:t>
    </w:r>
    <w:r w:rsidRPr="0067541C">
      <w:rPr>
        <w:rFonts w:ascii="Arial" w:hAnsi="Arial" w:cs="Arial"/>
        <w:b/>
        <w:sz w:val="20"/>
      </w:rPr>
      <w:t>may be released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C50" w:rsidRDefault="00587C50" w:rsidP="001828A4">
    <w:pPr>
      <w:pStyle w:val="Header"/>
      <w:tabs>
        <w:tab w:val="clear" w:pos="4153"/>
        <w:tab w:val="clear" w:pos="8306"/>
        <w:tab w:val="center" w:pos="1418"/>
        <w:tab w:val="right" w:pos="8789"/>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ED8" w:rsidRPr="00333FE9" w:rsidRDefault="00146ED8" w:rsidP="00E36A38">
    <w:pPr>
      <w:framePr w:w="4381" w:h="732" w:hSpace="180" w:wrap="around" w:vAnchor="page" w:hAnchor="page" w:x="5761" w:y="991"/>
      <w:pBdr>
        <w:top w:val="single" w:sz="12" w:space="1" w:color="auto"/>
        <w:left w:val="single" w:sz="12" w:space="1" w:color="auto"/>
        <w:bottom w:val="single" w:sz="12" w:space="1" w:color="auto"/>
        <w:right w:val="single" w:sz="12" w:space="1" w:color="auto"/>
      </w:pBdr>
      <w:jc w:val="center"/>
      <w:rPr>
        <w:rFonts w:ascii="Arial" w:hAnsi="Arial" w:cs="Arial"/>
        <w:sz w:val="20"/>
      </w:rPr>
    </w:pPr>
    <w:bookmarkStart w:id="13" w:name="AType"/>
    <w:r>
      <w:rPr>
        <w:rFonts w:ascii="Arial" w:hAnsi="Arial" w:cs="Arial"/>
        <w:sz w:val="20"/>
      </w:rPr>
      <w:t xml:space="preserve">Australian </w:t>
    </w:r>
    <w:r w:rsidRPr="00333FE9">
      <w:rPr>
        <w:rFonts w:ascii="Arial" w:hAnsi="Arial" w:cs="Arial"/>
        <w:sz w:val="20"/>
      </w:rPr>
      <w:t xml:space="preserve">Taxation </w:t>
    </w:r>
    <w:r>
      <w:rPr>
        <w:rFonts w:ascii="Arial" w:hAnsi="Arial" w:cs="Arial"/>
        <w:sz w:val="20"/>
      </w:rPr>
      <w:t>Office Legislative Instrument</w:t>
    </w:r>
  </w:p>
  <w:p w:rsidR="00146ED8" w:rsidRPr="00146ED8" w:rsidRDefault="00146ED8" w:rsidP="00E36A38">
    <w:pPr>
      <w:framePr w:w="4381" w:h="732" w:hSpace="180" w:wrap="around" w:vAnchor="page" w:hAnchor="page" w:x="5761" w:y="991"/>
      <w:pBdr>
        <w:top w:val="single" w:sz="12" w:space="1" w:color="auto"/>
        <w:left w:val="single" w:sz="12" w:space="1" w:color="auto"/>
        <w:bottom w:val="single" w:sz="12" w:space="1" w:color="auto"/>
        <w:right w:val="single" w:sz="12" w:space="1" w:color="auto"/>
      </w:pBdr>
      <w:rPr>
        <w:rFonts w:ascii="Arial" w:hAnsi="Arial" w:cs="Arial"/>
        <w:sz w:val="28"/>
        <w:szCs w:val="28"/>
      </w:rPr>
    </w:pPr>
    <w:bookmarkStart w:id="14" w:name="BPrefix"/>
    <w:bookmarkEnd w:id="13"/>
    <w:r>
      <w:rPr>
        <w:rFonts w:ascii="Arial" w:hAnsi="Arial" w:cs="Arial"/>
        <w:b/>
        <w:sz w:val="32"/>
        <w:szCs w:val="32"/>
      </w:rPr>
      <w:t xml:space="preserve">  </w:t>
    </w:r>
    <w:r w:rsidRPr="00146ED8">
      <w:rPr>
        <w:rFonts w:ascii="Arial" w:hAnsi="Arial" w:cs="Arial"/>
        <w:b/>
        <w:sz w:val="28"/>
        <w:szCs w:val="28"/>
      </w:rPr>
      <w:t>Inst</w:t>
    </w:r>
    <w:bookmarkStart w:id="15" w:name="CDocnum"/>
    <w:bookmarkEnd w:id="14"/>
    <w:bookmarkEnd w:id="15"/>
    <w:r w:rsidRPr="00146ED8">
      <w:rPr>
        <w:rFonts w:ascii="Arial" w:hAnsi="Arial" w:cs="Arial"/>
        <w:b/>
        <w:sz w:val="28"/>
        <w:szCs w:val="28"/>
      </w:rPr>
      <w:t xml:space="preserve">rument ID: </w:t>
    </w:r>
    <w:r w:rsidR="009A281F" w:rsidRPr="00011847">
      <w:rPr>
        <w:rFonts w:ascii="Arial" w:hAnsi="Arial" w:cs="Arial"/>
        <w:b/>
        <w:sz w:val="28"/>
        <w:szCs w:val="28"/>
      </w:rPr>
      <w:t>201</w:t>
    </w:r>
    <w:r w:rsidR="009A281F">
      <w:rPr>
        <w:rFonts w:ascii="Arial" w:hAnsi="Arial" w:cs="Arial"/>
        <w:b/>
        <w:sz w:val="28"/>
        <w:szCs w:val="28"/>
      </w:rPr>
      <w:t>7</w:t>
    </w:r>
    <w:r w:rsidR="00011847" w:rsidRPr="00011847">
      <w:rPr>
        <w:rFonts w:ascii="Arial" w:hAnsi="Arial" w:cs="Arial"/>
        <w:b/>
        <w:sz w:val="28"/>
        <w:szCs w:val="28"/>
      </w:rPr>
      <w:t>/ITX/</w:t>
    </w:r>
    <w:r w:rsidR="009A281F" w:rsidRPr="00011847">
      <w:rPr>
        <w:rFonts w:ascii="Arial" w:hAnsi="Arial" w:cs="Arial"/>
        <w:b/>
        <w:sz w:val="28"/>
        <w:szCs w:val="28"/>
      </w:rPr>
      <w:t>00</w:t>
    </w:r>
    <w:r w:rsidR="009A281F">
      <w:rPr>
        <w:rFonts w:ascii="Arial" w:hAnsi="Arial" w:cs="Arial"/>
        <w:b/>
        <w:sz w:val="28"/>
        <w:szCs w:val="28"/>
      </w:rPr>
      <w:t>61</w:t>
    </w:r>
  </w:p>
  <w:p w:rsidR="00587C50" w:rsidRDefault="003D0CBA" w:rsidP="001828A4">
    <w:pPr>
      <w:pStyle w:val="Header"/>
      <w:tabs>
        <w:tab w:val="clear" w:pos="4153"/>
        <w:tab w:val="clear" w:pos="8306"/>
      </w:tabs>
      <w:rPr>
        <w:rFonts w:ascii="Arial" w:hAnsi="Arial" w:cs="Arial"/>
        <w:sz w:val="20"/>
      </w:rPr>
    </w:pPr>
    <w:r>
      <w:rPr>
        <w:noProof/>
      </w:rPr>
      <w:drawing>
        <wp:inline distT="0" distB="0" distL="0" distR="0" wp14:anchorId="40A295DE" wp14:editId="385C434F">
          <wp:extent cx="2413635" cy="701675"/>
          <wp:effectExtent l="0" t="0" r="5715" b="3175"/>
          <wp:docPr id="3" name="Picture 1"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O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635" cy="701675"/>
                  </a:xfrm>
                  <a:prstGeom prst="rect">
                    <a:avLst/>
                  </a:prstGeom>
                  <a:noFill/>
                  <a:ln>
                    <a:noFill/>
                  </a:ln>
                </pic:spPr>
              </pic:pic>
            </a:graphicData>
          </a:graphic>
        </wp:inline>
      </w:drawing>
    </w:r>
  </w:p>
  <w:p w:rsidR="00CC1833" w:rsidRPr="001A6644" w:rsidRDefault="00CC1833" w:rsidP="001828A4">
    <w:pPr>
      <w:pStyle w:val="Header"/>
      <w:tabs>
        <w:tab w:val="clear" w:pos="4153"/>
        <w:tab w:val="clear" w:pos="8306"/>
      </w:tabs>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4EEF"/>
    <w:multiLevelType w:val="hybridMultilevel"/>
    <w:tmpl w:val="04F6ADC2"/>
    <w:lvl w:ilvl="0" w:tplc="0C090001">
      <w:start w:val="1"/>
      <w:numFmt w:val="bullet"/>
      <w:lvlText w:val=""/>
      <w:lvlJc w:val="left"/>
      <w:pPr>
        <w:tabs>
          <w:tab w:val="num" w:pos="787"/>
        </w:tabs>
        <w:ind w:left="787" w:hanging="360"/>
      </w:pPr>
      <w:rPr>
        <w:rFonts w:ascii="Symbol" w:hAnsi="Symbol" w:hint="default"/>
      </w:rPr>
    </w:lvl>
    <w:lvl w:ilvl="1" w:tplc="B9F8D416">
      <w:start w:val="1"/>
      <w:numFmt w:val="bullet"/>
      <w:lvlText w:val="o"/>
      <w:lvlJc w:val="left"/>
      <w:pPr>
        <w:tabs>
          <w:tab w:val="num" w:pos="1507"/>
        </w:tabs>
        <w:ind w:left="1507" w:hanging="360"/>
      </w:pPr>
      <w:rPr>
        <w:rFonts w:ascii="Courier New" w:hAnsi="Courier New" w:hint="default"/>
      </w:rPr>
    </w:lvl>
    <w:lvl w:ilvl="2" w:tplc="0C090005" w:tentative="1">
      <w:start w:val="1"/>
      <w:numFmt w:val="bullet"/>
      <w:lvlText w:val=""/>
      <w:lvlJc w:val="left"/>
      <w:pPr>
        <w:tabs>
          <w:tab w:val="num" w:pos="2227"/>
        </w:tabs>
        <w:ind w:left="2227" w:hanging="360"/>
      </w:pPr>
      <w:rPr>
        <w:rFonts w:ascii="Wingdings" w:hAnsi="Wingdings" w:hint="default"/>
      </w:rPr>
    </w:lvl>
    <w:lvl w:ilvl="3" w:tplc="0C090001" w:tentative="1">
      <w:start w:val="1"/>
      <w:numFmt w:val="bullet"/>
      <w:lvlText w:val=""/>
      <w:lvlJc w:val="left"/>
      <w:pPr>
        <w:tabs>
          <w:tab w:val="num" w:pos="2947"/>
        </w:tabs>
        <w:ind w:left="2947" w:hanging="360"/>
      </w:pPr>
      <w:rPr>
        <w:rFonts w:ascii="Symbol" w:hAnsi="Symbol" w:hint="default"/>
      </w:rPr>
    </w:lvl>
    <w:lvl w:ilvl="4" w:tplc="0C090003" w:tentative="1">
      <w:start w:val="1"/>
      <w:numFmt w:val="bullet"/>
      <w:lvlText w:val="o"/>
      <w:lvlJc w:val="left"/>
      <w:pPr>
        <w:tabs>
          <w:tab w:val="num" w:pos="3667"/>
        </w:tabs>
        <w:ind w:left="3667" w:hanging="360"/>
      </w:pPr>
      <w:rPr>
        <w:rFonts w:ascii="Courier New" w:hAnsi="Courier New" w:cs="Courier New" w:hint="default"/>
      </w:rPr>
    </w:lvl>
    <w:lvl w:ilvl="5" w:tplc="0C090005" w:tentative="1">
      <w:start w:val="1"/>
      <w:numFmt w:val="bullet"/>
      <w:lvlText w:val=""/>
      <w:lvlJc w:val="left"/>
      <w:pPr>
        <w:tabs>
          <w:tab w:val="num" w:pos="4387"/>
        </w:tabs>
        <w:ind w:left="4387" w:hanging="360"/>
      </w:pPr>
      <w:rPr>
        <w:rFonts w:ascii="Wingdings" w:hAnsi="Wingdings" w:hint="default"/>
      </w:rPr>
    </w:lvl>
    <w:lvl w:ilvl="6" w:tplc="0C090001" w:tentative="1">
      <w:start w:val="1"/>
      <w:numFmt w:val="bullet"/>
      <w:lvlText w:val=""/>
      <w:lvlJc w:val="left"/>
      <w:pPr>
        <w:tabs>
          <w:tab w:val="num" w:pos="5107"/>
        </w:tabs>
        <w:ind w:left="5107" w:hanging="360"/>
      </w:pPr>
      <w:rPr>
        <w:rFonts w:ascii="Symbol" w:hAnsi="Symbol" w:hint="default"/>
      </w:rPr>
    </w:lvl>
    <w:lvl w:ilvl="7" w:tplc="0C090003" w:tentative="1">
      <w:start w:val="1"/>
      <w:numFmt w:val="bullet"/>
      <w:lvlText w:val="o"/>
      <w:lvlJc w:val="left"/>
      <w:pPr>
        <w:tabs>
          <w:tab w:val="num" w:pos="5827"/>
        </w:tabs>
        <w:ind w:left="5827" w:hanging="360"/>
      </w:pPr>
      <w:rPr>
        <w:rFonts w:ascii="Courier New" w:hAnsi="Courier New" w:cs="Courier New" w:hint="default"/>
      </w:rPr>
    </w:lvl>
    <w:lvl w:ilvl="8" w:tplc="0C090005" w:tentative="1">
      <w:start w:val="1"/>
      <w:numFmt w:val="bullet"/>
      <w:lvlText w:val=""/>
      <w:lvlJc w:val="left"/>
      <w:pPr>
        <w:tabs>
          <w:tab w:val="num" w:pos="6547"/>
        </w:tabs>
        <w:ind w:left="6547" w:hanging="360"/>
      </w:pPr>
      <w:rPr>
        <w:rFonts w:ascii="Wingdings" w:hAnsi="Wingdings" w:hint="default"/>
      </w:rPr>
    </w:lvl>
  </w:abstractNum>
  <w:abstractNum w:abstractNumId="1">
    <w:nsid w:val="02F470ED"/>
    <w:multiLevelType w:val="hybridMultilevel"/>
    <w:tmpl w:val="E8B4F924"/>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
    <w:nsid w:val="0E4E7B46"/>
    <w:multiLevelType w:val="hybridMultilevel"/>
    <w:tmpl w:val="EF6A53B0"/>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
    <w:nsid w:val="0F08690C"/>
    <w:multiLevelType w:val="hybridMultilevel"/>
    <w:tmpl w:val="E05E0C04"/>
    <w:lvl w:ilvl="0" w:tplc="FFFFFFFF">
      <w:start w:val="1"/>
      <w:numFmt w:val="bullet"/>
      <w:lvlText w:val=""/>
      <w:lvlJc w:val="left"/>
      <w:pPr>
        <w:tabs>
          <w:tab w:val="num" w:pos="720"/>
        </w:tabs>
        <w:ind w:left="720" w:hanging="360"/>
      </w:pPr>
      <w:rPr>
        <w:rFonts w:ascii="Symbol" w:hAnsi="Symbol" w:hint="default"/>
        <w:sz w:val="16"/>
        <w:szCs w:val="16"/>
      </w:rPr>
    </w:lvl>
    <w:lvl w:ilvl="1" w:tplc="B42A47D4">
      <w:start w:val="1"/>
      <w:numFmt w:val="bullet"/>
      <w:lvlText w:val=""/>
      <w:lvlJc w:val="left"/>
      <w:pPr>
        <w:tabs>
          <w:tab w:val="num" w:pos="1440"/>
        </w:tabs>
        <w:ind w:left="1440" w:hanging="360"/>
      </w:pPr>
      <w:rPr>
        <w:rFonts w:ascii="Symbol" w:hAnsi="Symbol" w:hint="default"/>
        <w:sz w:val="16"/>
        <w:szCs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1150589"/>
    <w:multiLevelType w:val="hybridMultilevel"/>
    <w:tmpl w:val="19B0F380"/>
    <w:lvl w:ilvl="0" w:tplc="D68C5180">
      <w:start w:val="1"/>
      <w:numFmt w:val="decimal"/>
      <w:lvlText w:val="%1."/>
      <w:lvlJc w:val="left"/>
      <w:pPr>
        <w:tabs>
          <w:tab w:val="num" w:pos="1134"/>
        </w:tabs>
        <w:ind w:left="1134" w:hanging="774"/>
      </w:pPr>
      <w:rPr>
        <w:rFonts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B19AF8E4">
      <w:start w:val="1"/>
      <w:numFmt w:val="lowerLetter"/>
      <w:lvlText w:val="(%3)"/>
      <w:lvlJc w:val="left"/>
      <w:pPr>
        <w:tabs>
          <w:tab w:val="num" w:pos="2340"/>
        </w:tabs>
        <w:ind w:left="2340" w:hanging="360"/>
      </w:pPr>
      <w:rPr>
        <w:rFonts w:hint="default"/>
      </w:rPr>
    </w:lvl>
    <w:lvl w:ilvl="3" w:tplc="703C47C2">
      <w:start w:val="1"/>
      <w:numFmt w:val="decimal"/>
      <w:lvlText w:val="(%4)"/>
      <w:lvlJc w:val="left"/>
      <w:pPr>
        <w:tabs>
          <w:tab w:val="num" w:pos="1701"/>
        </w:tabs>
        <w:ind w:left="1701" w:hanging="567"/>
      </w:pPr>
      <w:rPr>
        <w:rFonts w:hint="default"/>
        <w:b w:val="0"/>
      </w:rPr>
    </w:lvl>
    <w:lvl w:ilvl="4" w:tplc="E6D06A7A">
      <w:start w:val="1"/>
      <w:numFmt w:val="bullet"/>
      <w:lvlText w:val="o"/>
      <w:lvlJc w:val="left"/>
      <w:pPr>
        <w:tabs>
          <w:tab w:val="num" w:pos="3807"/>
        </w:tabs>
        <w:ind w:left="3807" w:hanging="567"/>
      </w:pPr>
      <w:rPr>
        <w:rFonts w:ascii="Courier New" w:hAnsi="Courier New" w:hint="default"/>
      </w:r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115F2E7F"/>
    <w:multiLevelType w:val="multilevel"/>
    <w:tmpl w:val="B91A9E40"/>
    <w:lvl w:ilvl="0">
      <w:start w:val="1"/>
      <w:numFmt w:val="decimal"/>
      <w:lvlText w:val="%1."/>
      <w:lvlJc w:val="left"/>
      <w:pPr>
        <w:tabs>
          <w:tab w:val="num" w:pos="787"/>
        </w:tabs>
        <w:ind w:left="787" w:hanging="360"/>
      </w:pPr>
    </w:lvl>
    <w:lvl w:ilvl="1">
      <w:start w:val="1"/>
      <w:numFmt w:val="lowerLetter"/>
      <w:lvlText w:val="%2."/>
      <w:lvlJc w:val="left"/>
      <w:pPr>
        <w:tabs>
          <w:tab w:val="num" w:pos="1507"/>
        </w:tabs>
        <w:ind w:left="1507" w:hanging="360"/>
      </w:pPr>
    </w:lvl>
    <w:lvl w:ilvl="2">
      <w:start w:val="1"/>
      <w:numFmt w:val="lowerRoman"/>
      <w:lvlText w:val="%3."/>
      <w:lvlJc w:val="right"/>
      <w:pPr>
        <w:tabs>
          <w:tab w:val="num" w:pos="2227"/>
        </w:tabs>
        <w:ind w:left="2227" w:hanging="180"/>
      </w:pPr>
    </w:lvl>
    <w:lvl w:ilvl="3">
      <w:start w:val="1"/>
      <w:numFmt w:val="decimal"/>
      <w:lvlText w:val="%4."/>
      <w:lvlJc w:val="left"/>
      <w:pPr>
        <w:tabs>
          <w:tab w:val="num" w:pos="2947"/>
        </w:tabs>
        <w:ind w:left="2947" w:hanging="360"/>
      </w:pPr>
    </w:lvl>
    <w:lvl w:ilvl="4">
      <w:start w:val="1"/>
      <w:numFmt w:val="lowerLetter"/>
      <w:lvlText w:val="%5."/>
      <w:lvlJc w:val="left"/>
      <w:pPr>
        <w:tabs>
          <w:tab w:val="num" w:pos="3667"/>
        </w:tabs>
        <w:ind w:left="3667" w:hanging="360"/>
      </w:pPr>
    </w:lvl>
    <w:lvl w:ilvl="5">
      <w:start w:val="1"/>
      <w:numFmt w:val="lowerRoman"/>
      <w:lvlText w:val="%6."/>
      <w:lvlJc w:val="right"/>
      <w:pPr>
        <w:tabs>
          <w:tab w:val="num" w:pos="4387"/>
        </w:tabs>
        <w:ind w:left="4387" w:hanging="180"/>
      </w:pPr>
    </w:lvl>
    <w:lvl w:ilvl="6">
      <w:start w:val="1"/>
      <w:numFmt w:val="decimal"/>
      <w:lvlText w:val="%7."/>
      <w:lvlJc w:val="left"/>
      <w:pPr>
        <w:tabs>
          <w:tab w:val="num" w:pos="5107"/>
        </w:tabs>
        <w:ind w:left="5107" w:hanging="360"/>
      </w:pPr>
    </w:lvl>
    <w:lvl w:ilvl="7">
      <w:start w:val="1"/>
      <w:numFmt w:val="lowerLetter"/>
      <w:lvlText w:val="%8."/>
      <w:lvlJc w:val="left"/>
      <w:pPr>
        <w:tabs>
          <w:tab w:val="num" w:pos="5827"/>
        </w:tabs>
        <w:ind w:left="5827" w:hanging="360"/>
      </w:pPr>
    </w:lvl>
    <w:lvl w:ilvl="8">
      <w:start w:val="1"/>
      <w:numFmt w:val="lowerRoman"/>
      <w:lvlText w:val="%9."/>
      <w:lvlJc w:val="right"/>
      <w:pPr>
        <w:tabs>
          <w:tab w:val="num" w:pos="6547"/>
        </w:tabs>
        <w:ind w:left="6547" w:hanging="180"/>
      </w:pPr>
    </w:lvl>
  </w:abstractNum>
  <w:abstractNum w:abstractNumId="6">
    <w:nsid w:val="11D95A5E"/>
    <w:multiLevelType w:val="hybridMultilevel"/>
    <w:tmpl w:val="11BE0E88"/>
    <w:lvl w:ilvl="0" w:tplc="0C090001">
      <w:start w:val="1"/>
      <w:numFmt w:val="bullet"/>
      <w:lvlText w:val=""/>
      <w:lvlJc w:val="left"/>
      <w:pPr>
        <w:ind w:left="741" w:hanging="360"/>
      </w:pPr>
      <w:rPr>
        <w:rFonts w:ascii="Symbol" w:hAnsi="Symbol" w:hint="default"/>
      </w:rPr>
    </w:lvl>
    <w:lvl w:ilvl="1" w:tplc="0C090003">
      <w:start w:val="1"/>
      <w:numFmt w:val="bullet"/>
      <w:lvlText w:val="o"/>
      <w:lvlJc w:val="left"/>
      <w:pPr>
        <w:ind w:left="1461" w:hanging="360"/>
      </w:pPr>
      <w:rPr>
        <w:rFonts w:ascii="Courier New" w:hAnsi="Courier New" w:cs="Courier New" w:hint="default"/>
      </w:rPr>
    </w:lvl>
    <w:lvl w:ilvl="2" w:tplc="0C090005" w:tentative="1">
      <w:start w:val="1"/>
      <w:numFmt w:val="bullet"/>
      <w:lvlText w:val=""/>
      <w:lvlJc w:val="left"/>
      <w:pPr>
        <w:ind w:left="2181" w:hanging="360"/>
      </w:pPr>
      <w:rPr>
        <w:rFonts w:ascii="Wingdings" w:hAnsi="Wingdings" w:hint="default"/>
      </w:rPr>
    </w:lvl>
    <w:lvl w:ilvl="3" w:tplc="0C090001" w:tentative="1">
      <w:start w:val="1"/>
      <w:numFmt w:val="bullet"/>
      <w:lvlText w:val=""/>
      <w:lvlJc w:val="left"/>
      <w:pPr>
        <w:ind w:left="2901" w:hanging="360"/>
      </w:pPr>
      <w:rPr>
        <w:rFonts w:ascii="Symbol" w:hAnsi="Symbol" w:hint="default"/>
      </w:rPr>
    </w:lvl>
    <w:lvl w:ilvl="4" w:tplc="0C090003" w:tentative="1">
      <w:start w:val="1"/>
      <w:numFmt w:val="bullet"/>
      <w:lvlText w:val="o"/>
      <w:lvlJc w:val="left"/>
      <w:pPr>
        <w:ind w:left="3621" w:hanging="360"/>
      </w:pPr>
      <w:rPr>
        <w:rFonts w:ascii="Courier New" w:hAnsi="Courier New" w:cs="Courier New" w:hint="default"/>
      </w:rPr>
    </w:lvl>
    <w:lvl w:ilvl="5" w:tplc="0C090005" w:tentative="1">
      <w:start w:val="1"/>
      <w:numFmt w:val="bullet"/>
      <w:lvlText w:val=""/>
      <w:lvlJc w:val="left"/>
      <w:pPr>
        <w:ind w:left="4341" w:hanging="360"/>
      </w:pPr>
      <w:rPr>
        <w:rFonts w:ascii="Wingdings" w:hAnsi="Wingdings" w:hint="default"/>
      </w:rPr>
    </w:lvl>
    <w:lvl w:ilvl="6" w:tplc="0C090001" w:tentative="1">
      <w:start w:val="1"/>
      <w:numFmt w:val="bullet"/>
      <w:lvlText w:val=""/>
      <w:lvlJc w:val="left"/>
      <w:pPr>
        <w:ind w:left="5061" w:hanging="360"/>
      </w:pPr>
      <w:rPr>
        <w:rFonts w:ascii="Symbol" w:hAnsi="Symbol" w:hint="default"/>
      </w:rPr>
    </w:lvl>
    <w:lvl w:ilvl="7" w:tplc="0C090003" w:tentative="1">
      <w:start w:val="1"/>
      <w:numFmt w:val="bullet"/>
      <w:lvlText w:val="o"/>
      <w:lvlJc w:val="left"/>
      <w:pPr>
        <w:ind w:left="5781" w:hanging="360"/>
      </w:pPr>
      <w:rPr>
        <w:rFonts w:ascii="Courier New" w:hAnsi="Courier New" w:cs="Courier New" w:hint="default"/>
      </w:rPr>
    </w:lvl>
    <w:lvl w:ilvl="8" w:tplc="0C090005" w:tentative="1">
      <w:start w:val="1"/>
      <w:numFmt w:val="bullet"/>
      <w:lvlText w:val=""/>
      <w:lvlJc w:val="left"/>
      <w:pPr>
        <w:ind w:left="6501" w:hanging="360"/>
      </w:pPr>
      <w:rPr>
        <w:rFonts w:ascii="Wingdings" w:hAnsi="Wingdings" w:hint="default"/>
      </w:rPr>
    </w:lvl>
  </w:abstractNum>
  <w:abstractNum w:abstractNumId="7">
    <w:nsid w:val="15673B13"/>
    <w:multiLevelType w:val="singleLevel"/>
    <w:tmpl w:val="92DCA460"/>
    <w:lvl w:ilvl="0">
      <w:start w:val="1"/>
      <w:numFmt w:val="decimal"/>
      <w:lvlText w:val="%1."/>
      <w:lvlJc w:val="left"/>
      <w:pPr>
        <w:tabs>
          <w:tab w:val="num" w:pos="502"/>
        </w:tabs>
        <w:ind w:left="502" w:hanging="360"/>
      </w:pPr>
      <w:rPr>
        <w:rFonts w:ascii="Arial" w:hAnsi="Arial" w:cs="Arial" w:hint="default"/>
        <w:b w:val="0"/>
        <w:i w:val="0"/>
        <w:color w:val="auto"/>
        <w:sz w:val="22"/>
        <w:szCs w:val="22"/>
      </w:rPr>
    </w:lvl>
  </w:abstractNum>
  <w:abstractNum w:abstractNumId="8">
    <w:nsid w:val="188560D7"/>
    <w:multiLevelType w:val="hybridMultilevel"/>
    <w:tmpl w:val="41803CE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8FF24E1"/>
    <w:multiLevelType w:val="hybridMultilevel"/>
    <w:tmpl w:val="E81ADF44"/>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0">
    <w:nsid w:val="1A783638"/>
    <w:multiLevelType w:val="hybridMultilevel"/>
    <w:tmpl w:val="130C0394"/>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E792F02"/>
    <w:multiLevelType w:val="hybridMultilevel"/>
    <w:tmpl w:val="39723672"/>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2">
    <w:nsid w:val="208E213F"/>
    <w:multiLevelType w:val="hybridMultilevel"/>
    <w:tmpl w:val="4D867378"/>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3">
    <w:nsid w:val="21AF626B"/>
    <w:multiLevelType w:val="hybridMultilevel"/>
    <w:tmpl w:val="E55A5B82"/>
    <w:lvl w:ilvl="0" w:tplc="0C090001">
      <w:start w:val="1"/>
      <w:numFmt w:val="bullet"/>
      <w:lvlText w:val=""/>
      <w:lvlJc w:val="left"/>
      <w:pPr>
        <w:tabs>
          <w:tab w:val="num" w:pos="1800"/>
        </w:tabs>
        <w:ind w:left="1800" w:hanging="360"/>
      </w:pPr>
      <w:rPr>
        <w:rFonts w:ascii="Symbol" w:hAnsi="Symbol" w:hint="default"/>
      </w:rPr>
    </w:lvl>
    <w:lvl w:ilvl="1" w:tplc="B150F4FC">
      <w:numFmt w:val="bullet"/>
      <w:lvlText w:val="-"/>
      <w:lvlJc w:val="left"/>
      <w:pPr>
        <w:tabs>
          <w:tab w:val="num" w:pos="3240"/>
        </w:tabs>
        <w:ind w:left="3240" w:hanging="360"/>
      </w:pPr>
      <w:rPr>
        <w:rFonts w:ascii="Comic Sans MS" w:eastAsia="Times New Roman" w:hAnsi="Comic Sans MS" w:cs="Times New Roman" w:hint="default"/>
      </w:rPr>
    </w:lvl>
    <w:lvl w:ilvl="2" w:tplc="0C090005" w:tentative="1">
      <w:start w:val="1"/>
      <w:numFmt w:val="bullet"/>
      <w:lvlText w:val=""/>
      <w:lvlJc w:val="left"/>
      <w:pPr>
        <w:tabs>
          <w:tab w:val="num" w:pos="3960"/>
        </w:tabs>
        <w:ind w:left="3960" w:hanging="360"/>
      </w:pPr>
      <w:rPr>
        <w:rFonts w:ascii="Wingdings" w:hAnsi="Wingdings" w:hint="default"/>
      </w:rPr>
    </w:lvl>
    <w:lvl w:ilvl="3" w:tplc="0C090001" w:tentative="1">
      <w:start w:val="1"/>
      <w:numFmt w:val="bullet"/>
      <w:lvlText w:val=""/>
      <w:lvlJc w:val="left"/>
      <w:pPr>
        <w:tabs>
          <w:tab w:val="num" w:pos="4680"/>
        </w:tabs>
        <w:ind w:left="4680" w:hanging="360"/>
      </w:pPr>
      <w:rPr>
        <w:rFonts w:ascii="Symbol" w:hAnsi="Symbol" w:hint="default"/>
      </w:rPr>
    </w:lvl>
    <w:lvl w:ilvl="4" w:tplc="0C090003" w:tentative="1">
      <w:start w:val="1"/>
      <w:numFmt w:val="bullet"/>
      <w:lvlText w:val="o"/>
      <w:lvlJc w:val="left"/>
      <w:pPr>
        <w:tabs>
          <w:tab w:val="num" w:pos="5400"/>
        </w:tabs>
        <w:ind w:left="5400" w:hanging="360"/>
      </w:pPr>
      <w:rPr>
        <w:rFonts w:ascii="Courier New" w:hAnsi="Courier New" w:cs="Courier New" w:hint="default"/>
      </w:rPr>
    </w:lvl>
    <w:lvl w:ilvl="5" w:tplc="0C090005" w:tentative="1">
      <w:start w:val="1"/>
      <w:numFmt w:val="bullet"/>
      <w:lvlText w:val=""/>
      <w:lvlJc w:val="left"/>
      <w:pPr>
        <w:tabs>
          <w:tab w:val="num" w:pos="6120"/>
        </w:tabs>
        <w:ind w:left="6120" w:hanging="360"/>
      </w:pPr>
      <w:rPr>
        <w:rFonts w:ascii="Wingdings" w:hAnsi="Wingdings" w:hint="default"/>
      </w:rPr>
    </w:lvl>
    <w:lvl w:ilvl="6" w:tplc="0C090001" w:tentative="1">
      <w:start w:val="1"/>
      <w:numFmt w:val="bullet"/>
      <w:lvlText w:val=""/>
      <w:lvlJc w:val="left"/>
      <w:pPr>
        <w:tabs>
          <w:tab w:val="num" w:pos="6840"/>
        </w:tabs>
        <w:ind w:left="6840" w:hanging="360"/>
      </w:pPr>
      <w:rPr>
        <w:rFonts w:ascii="Symbol" w:hAnsi="Symbol" w:hint="default"/>
      </w:rPr>
    </w:lvl>
    <w:lvl w:ilvl="7" w:tplc="0C090003" w:tentative="1">
      <w:start w:val="1"/>
      <w:numFmt w:val="bullet"/>
      <w:lvlText w:val="o"/>
      <w:lvlJc w:val="left"/>
      <w:pPr>
        <w:tabs>
          <w:tab w:val="num" w:pos="7560"/>
        </w:tabs>
        <w:ind w:left="7560" w:hanging="360"/>
      </w:pPr>
      <w:rPr>
        <w:rFonts w:ascii="Courier New" w:hAnsi="Courier New" w:cs="Courier New" w:hint="default"/>
      </w:rPr>
    </w:lvl>
    <w:lvl w:ilvl="8" w:tplc="0C090005" w:tentative="1">
      <w:start w:val="1"/>
      <w:numFmt w:val="bullet"/>
      <w:lvlText w:val=""/>
      <w:lvlJc w:val="left"/>
      <w:pPr>
        <w:tabs>
          <w:tab w:val="num" w:pos="8280"/>
        </w:tabs>
        <w:ind w:left="8280" w:hanging="360"/>
      </w:pPr>
      <w:rPr>
        <w:rFonts w:ascii="Wingdings" w:hAnsi="Wingdings" w:hint="default"/>
      </w:rPr>
    </w:lvl>
  </w:abstractNum>
  <w:abstractNum w:abstractNumId="14">
    <w:nsid w:val="25167DB5"/>
    <w:multiLevelType w:val="hybridMultilevel"/>
    <w:tmpl w:val="F1946B50"/>
    <w:lvl w:ilvl="0" w:tplc="A95E060A">
      <w:start w:val="10"/>
      <w:numFmt w:val="decimal"/>
      <w:lvlText w:val="%1."/>
      <w:lvlJc w:val="left"/>
      <w:pPr>
        <w:tabs>
          <w:tab w:val="num" w:pos="787"/>
        </w:tabs>
        <w:ind w:left="787" w:hanging="360"/>
      </w:pPr>
      <w:rPr>
        <w:rFonts w:hint="default"/>
      </w:rPr>
    </w:lvl>
    <w:lvl w:ilvl="1" w:tplc="0C090019" w:tentative="1">
      <w:start w:val="1"/>
      <w:numFmt w:val="lowerLetter"/>
      <w:lvlText w:val="%2."/>
      <w:lvlJc w:val="left"/>
      <w:pPr>
        <w:tabs>
          <w:tab w:val="num" w:pos="1507"/>
        </w:tabs>
        <w:ind w:left="1507" w:hanging="360"/>
      </w:pPr>
    </w:lvl>
    <w:lvl w:ilvl="2" w:tplc="0C09001B" w:tentative="1">
      <w:start w:val="1"/>
      <w:numFmt w:val="lowerRoman"/>
      <w:lvlText w:val="%3."/>
      <w:lvlJc w:val="right"/>
      <w:pPr>
        <w:tabs>
          <w:tab w:val="num" w:pos="2227"/>
        </w:tabs>
        <w:ind w:left="2227" w:hanging="180"/>
      </w:pPr>
    </w:lvl>
    <w:lvl w:ilvl="3" w:tplc="0C09000F" w:tentative="1">
      <w:start w:val="1"/>
      <w:numFmt w:val="decimal"/>
      <w:lvlText w:val="%4."/>
      <w:lvlJc w:val="left"/>
      <w:pPr>
        <w:tabs>
          <w:tab w:val="num" w:pos="2947"/>
        </w:tabs>
        <w:ind w:left="2947" w:hanging="360"/>
      </w:pPr>
    </w:lvl>
    <w:lvl w:ilvl="4" w:tplc="0C090019" w:tentative="1">
      <w:start w:val="1"/>
      <w:numFmt w:val="lowerLetter"/>
      <w:lvlText w:val="%5."/>
      <w:lvlJc w:val="left"/>
      <w:pPr>
        <w:tabs>
          <w:tab w:val="num" w:pos="3667"/>
        </w:tabs>
        <w:ind w:left="3667" w:hanging="360"/>
      </w:pPr>
    </w:lvl>
    <w:lvl w:ilvl="5" w:tplc="0C09001B" w:tentative="1">
      <w:start w:val="1"/>
      <w:numFmt w:val="lowerRoman"/>
      <w:lvlText w:val="%6."/>
      <w:lvlJc w:val="right"/>
      <w:pPr>
        <w:tabs>
          <w:tab w:val="num" w:pos="4387"/>
        </w:tabs>
        <w:ind w:left="4387" w:hanging="180"/>
      </w:pPr>
    </w:lvl>
    <w:lvl w:ilvl="6" w:tplc="0C09000F" w:tentative="1">
      <w:start w:val="1"/>
      <w:numFmt w:val="decimal"/>
      <w:lvlText w:val="%7."/>
      <w:lvlJc w:val="left"/>
      <w:pPr>
        <w:tabs>
          <w:tab w:val="num" w:pos="5107"/>
        </w:tabs>
        <w:ind w:left="5107" w:hanging="360"/>
      </w:pPr>
    </w:lvl>
    <w:lvl w:ilvl="7" w:tplc="0C090019" w:tentative="1">
      <w:start w:val="1"/>
      <w:numFmt w:val="lowerLetter"/>
      <w:lvlText w:val="%8."/>
      <w:lvlJc w:val="left"/>
      <w:pPr>
        <w:tabs>
          <w:tab w:val="num" w:pos="5827"/>
        </w:tabs>
        <w:ind w:left="5827" w:hanging="360"/>
      </w:pPr>
    </w:lvl>
    <w:lvl w:ilvl="8" w:tplc="0C09001B" w:tentative="1">
      <w:start w:val="1"/>
      <w:numFmt w:val="lowerRoman"/>
      <w:lvlText w:val="%9."/>
      <w:lvlJc w:val="right"/>
      <w:pPr>
        <w:tabs>
          <w:tab w:val="num" w:pos="6547"/>
        </w:tabs>
        <w:ind w:left="6547" w:hanging="180"/>
      </w:pPr>
    </w:lvl>
  </w:abstractNum>
  <w:abstractNum w:abstractNumId="15">
    <w:nsid w:val="264E3A44"/>
    <w:multiLevelType w:val="hybridMultilevel"/>
    <w:tmpl w:val="79D42EEE"/>
    <w:lvl w:ilvl="0" w:tplc="B42A47D4">
      <w:start w:val="1"/>
      <w:numFmt w:val="bullet"/>
      <w:lvlText w:val=""/>
      <w:lvlJc w:val="left"/>
      <w:pPr>
        <w:tabs>
          <w:tab w:val="num" w:pos="720"/>
        </w:tabs>
        <w:ind w:left="72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27AB72B9"/>
    <w:multiLevelType w:val="hybridMultilevel"/>
    <w:tmpl w:val="DCCC069A"/>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7">
    <w:nsid w:val="2C742781"/>
    <w:multiLevelType w:val="hybridMultilevel"/>
    <w:tmpl w:val="1FE6108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nsid w:val="2CA43D67"/>
    <w:multiLevelType w:val="hybridMultilevel"/>
    <w:tmpl w:val="37668F3A"/>
    <w:lvl w:ilvl="0" w:tplc="0C090001">
      <w:start w:val="1"/>
      <w:numFmt w:val="bullet"/>
      <w:lvlText w:val=""/>
      <w:lvlJc w:val="left"/>
      <w:pPr>
        <w:tabs>
          <w:tab w:val="num" w:pos="787"/>
        </w:tabs>
        <w:ind w:left="787" w:hanging="360"/>
      </w:pPr>
      <w:rPr>
        <w:rFonts w:ascii="Symbol" w:hAnsi="Symbol" w:hint="default"/>
      </w:rPr>
    </w:lvl>
    <w:lvl w:ilvl="1" w:tplc="0C090003" w:tentative="1">
      <w:start w:val="1"/>
      <w:numFmt w:val="bullet"/>
      <w:lvlText w:val="o"/>
      <w:lvlJc w:val="left"/>
      <w:pPr>
        <w:tabs>
          <w:tab w:val="num" w:pos="1507"/>
        </w:tabs>
        <w:ind w:left="1507" w:hanging="360"/>
      </w:pPr>
      <w:rPr>
        <w:rFonts w:ascii="Courier New" w:hAnsi="Courier New" w:cs="Courier New" w:hint="default"/>
      </w:rPr>
    </w:lvl>
    <w:lvl w:ilvl="2" w:tplc="0C090005" w:tentative="1">
      <w:start w:val="1"/>
      <w:numFmt w:val="bullet"/>
      <w:lvlText w:val=""/>
      <w:lvlJc w:val="left"/>
      <w:pPr>
        <w:tabs>
          <w:tab w:val="num" w:pos="2227"/>
        </w:tabs>
        <w:ind w:left="2227" w:hanging="360"/>
      </w:pPr>
      <w:rPr>
        <w:rFonts w:ascii="Wingdings" w:hAnsi="Wingdings" w:hint="default"/>
      </w:rPr>
    </w:lvl>
    <w:lvl w:ilvl="3" w:tplc="0C090001" w:tentative="1">
      <w:start w:val="1"/>
      <w:numFmt w:val="bullet"/>
      <w:lvlText w:val=""/>
      <w:lvlJc w:val="left"/>
      <w:pPr>
        <w:tabs>
          <w:tab w:val="num" w:pos="2947"/>
        </w:tabs>
        <w:ind w:left="2947" w:hanging="360"/>
      </w:pPr>
      <w:rPr>
        <w:rFonts w:ascii="Symbol" w:hAnsi="Symbol" w:hint="default"/>
      </w:rPr>
    </w:lvl>
    <w:lvl w:ilvl="4" w:tplc="0C090003" w:tentative="1">
      <w:start w:val="1"/>
      <w:numFmt w:val="bullet"/>
      <w:lvlText w:val="o"/>
      <w:lvlJc w:val="left"/>
      <w:pPr>
        <w:tabs>
          <w:tab w:val="num" w:pos="3667"/>
        </w:tabs>
        <w:ind w:left="3667" w:hanging="360"/>
      </w:pPr>
      <w:rPr>
        <w:rFonts w:ascii="Courier New" w:hAnsi="Courier New" w:cs="Courier New" w:hint="default"/>
      </w:rPr>
    </w:lvl>
    <w:lvl w:ilvl="5" w:tplc="0C090005" w:tentative="1">
      <w:start w:val="1"/>
      <w:numFmt w:val="bullet"/>
      <w:lvlText w:val=""/>
      <w:lvlJc w:val="left"/>
      <w:pPr>
        <w:tabs>
          <w:tab w:val="num" w:pos="4387"/>
        </w:tabs>
        <w:ind w:left="4387" w:hanging="360"/>
      </w:pPr>
      <w:rPr>
        <w:rFonts w:ascii="Wingdings" w:hAnsi="Wingdings" w:hint="default"/>
      </w:rPr>
    </w:lvl>
    <w:lvl w:ilvl="6" w:tplc="0C090001" w:tentative="1">
      <w:start w:val="1"/>
      <w:numFmt w:val="bullet"/>
      <w:lvlText w:val=""/>
      <w:lvlJc w:val="left"/>
      <w:pPr>
        <w:tabs>
          <w:tab w:val="num" w:pos="5107"/>
        </w:tabs>
        <w:ind w:left="5107" w:hanging="360"/>
      </w:pPr>
      <w:rPr>
        <w:rFonts w:ascii="Symbol" w:hAnsi="Symbol" w:hint="default"/>
      </w:rPr>
    </w:lvl>
    <w:lvl w:ilvl="7" w:tplc="0C090003" w:tentative="1">
      <w:start w:val="1"/>
      <w:numFmt w:val="bullet"/>
      <w:lvlText w:val="o"/>
      <w:lvlJc w:val="left"/>
      <w:pPr>
        <w:tabs>
          <w:tab w:val="num" w:pos="5827"/>
        </w:tabs>
        <w:ind w:left="5827" w:hanging="360"/>
      </w:pPr>
      <w:rPr>
        <w:rFonts w:ascii="Courier New" w:hAnsi="Courier New" w:cs="Courier New" w:hint="default"/>
      </w:rPr>
    </w:lvl>
    <w:lvl w:ilvl="8" w:tplc="0C090005" w:tentative="1">
      <w:start w:val="1"/>
      <w:numFmt w:val="bullet"/>
      <w:lvlText w:val=""/>
      <w:lvlJc w:val="left"/>
      <w:pPr>
        <w:tabs>
          <w:tab w:val="num" w:pos="6547"/>
        </w:tabs>
        <w:ind w:left="6547" w:hanging="360"/>
      </w:pPr>
      <w:rPr>
        <w:rFonts w:ascii="Wingdings" w:hAnsi="Wingdings" w:hint="default"/>
      </w:rPr>
    </w:lvl>
  </w:abstractNum>
  <w:abstractNum w:abstractNumId="19">
    <w:nsid w:val="2DEB45E5"/>
    <w:multiLevelType w:val="hybridMultilevel"/>
    <w:tmpl w:val="E626F830"/>
    <w:lvl w:ilvl="0" w:tplc="0C090005">
      <w:start w:val="1"/>
      <w:numFmt w:val="bullet"/>
      <w:lvlText w:val=""/>
      <w:lvlJc w:val="left"/>
      <w:pPr>
        <w:tabs>
          <w:tab w:val="num" w:pos="1188"/>
        </w:tabs>
        <w:ind w:left="1188" w:hanging="360"/>
      </w:pPr>
      <w:rPr>
        <w:rFonts w:ascii="Wingdings" w:hAnsi="Wingdings" w:hint="default"/>
      </w:rPr>
    </w:lvl>
    <w:lvl w:ilvl="1" w:tplc="0C09000F">
      <w:start w:val="1"/>
      <w:numFmt w:val="decimal"/>
      <w:lvlText w:val="%2."/>
      <w:lvlJc w:val="left"/>
      <w:pPr>
        <w:tabs>
          <w:tab w:val="num" w:pos="1908"/>
        </w:tabs>
        <w:ind w:left="1908" w:hanging="360"/>
      </w:pPr>
      <w:rPr>
        <w:rFonts w:hint="default"/>
      </w:rPr>
    </w:lvl>
    <w:lvl w:ilvl="2" w:tplc="0C090005" w:tentative="1">
      <w:start w:val="1"/>
      <w:numFmt w:val="bullet"/>
      <w:lvlText w:val=""/>
      <w:lvlJc w:val="left"/>
      <w:pPr>
        <w:tabs>
          <w:tab w:val="num" w:pos="2628"/>
        </w:tabs>
        <w:ind w:left="2628" w:hanging="360"/>
      </w:pPr>
      <w:rPr>
        <w:rFonts w:ascii="Wingdings" w:hAnsi="Wingdings" w:hint="default"/>
      </w:rPr>
    </w:lvl>
    <w:lvl w:ilvl="3" w:tplc="0C090001" w:tentative="1">
      <w:start w:val="1"/>
      <w:numFmt w:val="bullet"/>
      <w:lvlText w:val=""/>
      <w:lvlJc w:val="left"/>
      <w:pPr>
        <w:tabs>
          <w:tab w:val="num" w:pos="3348"/>
        </w:tabs>
        <w:ind w:left="3348" w:hanging="360"/>
      </w:pPr>
      <w:rPr>
        <w:rFonts w:ascii="Symbol" w:hAnsi="Symbol" w:hint="default"/>
      </w:rPr>
    </w:lvl>
    <w:lvl w:ilvl="4" w:tplc="0C090003" w:tentative="1">
      <w:start w:val="1"/>
      <w:numFmt w:val="bullet"/>
      <w:lvlText w:val="o"/>
      <w:lvlJc w:val="left"/>
      <w:pPr>
        <w:tabs>
          <w:tab w:val="num" w:pos="4068"/>
        </w:tabs>
        <w:ind w:left="4068" w:hanging="360"/>
      </w:pPr>
      <w:rPr>
        <w:rFonts w:ascii="Courier New" w:hAnsi="Courier New" w:cs="Courier New" w:hint="default"/>
      </w:rPr>
    </w:lvl>
    <w:lvl w:ilvl="5" w:tplc="0C090005" w:tentative="1">
      <w:start w:val="1"/>
      <w:numFmt w:val="bullet"/>
      <w:lvlText w:val=""/>
      <w:lvlJc w:val="left"/>
      <w:pPr>
        <w:tabs>
          <w:tab w:val="num" w:pos="4788"/>
        </w:tabs>
        <w:ind w:left="4788" w:hanging="360"/>
      </w:pPr>
      <w:rPr>
        <w:rFonts w:ascii="Wingdings" w:hAnsi="Wingdings" w:hint="default"/>
      </w:rPr>
    </w:lvl>
    <w:lvl w:ilvl="6" w:tplc="0C090001" w:tentative="1">
      <w:start w:val="1"/>
      <w:numFmt w:val="bullet"/>
      <w:lvlText w:val=""/>
      <w:lvlJc w:val="left"/>
      <w:pPr>
        <w:tabs>
          <w:tab w:val="num" w:pos="5508"/>
        </w:tabs>
        <w:ind w:left="5508" w:hanging="360"/>
      </w:pPr>
      <w:rPr>
        <w:rFonts w:ascii="Symbol" w:hAnsi="Symbol" w:hint="default"/>
      </w:rPr>
    </w:lvl>
    <w:lvl w:ilvl="7" w:tplc="0C090003" w:tentative="1">
      <w:start w:val="1"/>
      <w:numFmt w:val="bullet"/>
      <w:lvlText w:val="o"/>
      <w:lvlJc w:val="left"/>
      <w:pPr>
        <w:tabs>
          <w:tab w:val="num" w:pos="6228"/>
        </w:tabs>
        <w:ind w:left="6228" w:hanging="360"/>
      </w:pPr>
      <w:rPr>
        <w:rFonts w:ascii="Courier New" w:hAnsi="Courier New" w:cs="Courier New" w:hint="default"/>
      </w:rPr>
    </w:lvl>
    <w:lvl w:ilvl="8" w:tplc="0C090005" w:tentative="1">
      <w:start w:val="1"/>
      <w:numFmt w:val="bullet"/>
      <w:lvlText w:val=""/>
      <w:lvlJc w:val="left"/>
      <w:pPr>
        <w:tabs>
          <w:tab w:val="num" w:pos="6948"/>
        </w:tabs>
        <w:ind w:left="6948" w:hanging="360"/>
      </w:pPr>
      <w:rPr>
        <w:rFonts w:ascii="Wingdings" w:hAnsi="Wingdings" w:hint="default"/>
      </w:rPr>
    </w:lvl>
  </w:abstractNum>
  <w:abstractNum w:abstractNumId="20">
    <w:nsid w:val="2E6D52FE"/>
    <w:multiLevelType w:val="hybridMultilevel"/>
    <w:tmpl w:val="2140E7F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30F73340"/>
    <w:multiLevelType w:val="hybridMultilevel"/>
    <w:tmpl w:val="5572781A"/>
    <w:lvl w:ilvl="0" w:tplc="0C090001">
      <w:start w:val="1"/>
      <w:numFmt w:val="bullet"/>
      <w:lvlText w:val=""/>
      <w:lvlJc w:val="left"/>
      <w:pPr>
        <w:tabs>
          <w:tab w:val="num" w:pos="720"/>
        </w:tabs>
        <w:ind w:left="720" w:hanging="360"/>
      </w:pPr>
      <w:rPr>
        <w:rFonts w:ascii="Symbol" w:hAnsi="Symbol"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3FCC3903"/>
    <w:multiLevelType w:val="hybridMultilevel"/>
    <w:tmpl w:val="19320EFC"/>
    <w:lvl w:ilvl="0" w:tplc="43C0689A">
      <w:start w:val="1"/>
      <w:numFmt w:val="decimal"/>
      <w:lvlText w:val="%1."/>
      <w:lvlJc w:val="left"/>
      <w:pPr>
        <w:tabs>
          <w:tab w:val="num" w:pos="720"/>
        </w:tabs>
        <w:ind w:left="720" w:hanging="360"/>
      </w:pPr>
      <w:rPr>
        <w:rFonts w:ascii="Arial" w:hAnsi="Arial" w:cs="Arial" w:hint="default"/>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nsid w:val="4133062F"/>
    <w:multiLevelType w:val="hybridMultilevel"/>
    <w:tmpl w:val="D688BEA6"/>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41B45D0D"/>
    <w:multiLevelType w:val="hybridMultilevel"/>
    <w:tmpl w:val="D74E4B50"/>
    <w:lvl w:ilvl="0" w:tplc="51D82C2A">
      <w:numFmt w:val="bullet"/>
      <w:lvlText w:val="-"/>
      <w:lvlJc w:val="left"/>
      <w:pPr>
        <w:ind w:left="1449" w:hanging="360"/>
      </w:pPr>
      <w:rPr>
        <w:rFonts w:ascii="Cambria" w:eastAsia="Calibri" w:hAnsi="Cambria" w:cs="Times New Roman" w:hint="default"/>
      </w:rPr>
    </w:lvl>
    <w:lvl w:ilvl="1" w:tplc="0C090003">
      <w:start w:val="1"/>
      <w:numFmt w:val="bullet"/>
      <w:lvlText w:val="o"/>
      <w:lvlJc w:val="left"/>
      <w:pPr>
        <w:ind w:left="2169" w:hanging="360"/>
      </w:pPr>
      <w:rPr>
        <w:rFonts w:ascii="Courier New" w:hAnsi="Courier New" w:cs="Courier New" w:hint="default"/>
      </w:rPr>
    </w:lvl>
    <w:lvl w:ilvl="2" w:tplc="0C090005" w:tentative="1">
      <w:start w:val="1"/>
      <w:numFmt w:val="bullet"/>
      <w:lvlText w:val=""/>
      <w:lvlJc w:val="left"/>
      <w:pPr>
        <w:ind w:left="2889" w:hanging="360"/>
      </w:pPr>
      <w:rPr>
        <w:rFonts w:ascii="Wingdings" w:hAnsi="Wingdings" w:hint="default"/>
      </w:rPr>
    </w:lvl>
    <w:lvl w:ilvl="3" w:tplc="0C090001" w:tentative="1">
      <w:start w:val="1"/>
      <w:numFmt w:val="bullet"/>
      <w:lvlText w:val=""/>
      <w:lvlJc w:val="left"/>
      <w:pPr>
        <w:ind w:left="3609" w:hanging="360"/>
      </w:pPr>
      <w:rPr>
        <w:rFonts w:ascii="Symbol" w:hAnsi="Symbol" w:hint="default"/>
      </w:rPr>
    </w:lvl>
    <w:lvl w:ilvl="4" w:tplc="0C090003" w:tentative="1">
      <w:start w:val="1"/>
      <w:numFmt w:val="bullet"/>
      <w:lvlText w:val="o"/>
      <w:lvlJc w:val="left"/>
      <w:pPr>
        <w:ind w:left="4329" w:hanging="360"/>
      </w:pPr>
      <w:rPr>
        <w:rFonts w:ascii="Courier New" w:hAnsi="Courier New" w:cs="Courier New" w:hint="default"/>
      </w:rPr>
    </w:lvl>
    <w:lvl w:ilvl="5" w:tplc="0C090005" w:tentative="1">
      <w:start w:val="1"/>
      <w:numFmt w:val="bullet"/>
      <w:lvlText w:val=""/>
      <w:lvlJc w:val="left"/>
      <w:pPr>
        <w:ind w:left="5049" w:hanging="360"/>
      </w:pPr>
      <w:rPr>
        <w:rFonts w:ascii="Wingdings" w:hAnsi="Wingdings" w:hint="default"/>
      </w:rPr>
    </w:lvl>
    <w:lvl w:ilvl="6" w:tplc="0C090001" w:tentative="1">
      <w:start w:val="1"/>
      <w:numFmt w:val="bullet"/>
      <w:lvlText w:val=""/>
      <w:lvlJc w:val="left"/>
      <w:pPr>
        <w:ind w:left="5769" w:hanging="360"/>
      </w:pPr>
      <w:rPr>
        <w:rFonts w:ascii="Symbol" w:hAnsi="Symbol" w:hint="default"/>
      </w:rPr>
    </w:lvl>
    <w:lvl w:ilvl="7" w:tplc="0C090003" w:tentative="1">
      <w:start w:val="1"/>
      <w:numFmt w:val="bullet"/>
      <w:lvlText w:val="o"/>
      <w:lvlJc w:val="left"/>
      <w:pPr>
        <w:ind w:left="6489" w:hanging="360"/>
      </w:pPr>
      <w:rPr>
        <w:rFonts w:ascii="Courier New" w:hAnsi="Courier New" w:cs="Courier New" w:hint="default"/>
      </w:rPr>
    </w:lvl>
    <w:lvl w:ilvl="8" w:tplc="0C090005" w:tentative="1">
      <w:start w:val="1"/>
      <w:numFmt w:val="bullet"/>
      <w:lvlText w:val=""/>
      <w:lvlJc w:val="left"/>
      <w:pPr>
        <w:ind w:left="7209" w:hanging="360"/>
      </w:pPr>
      <w:rPr>
        <w:rFonts w:ascii="Wingdings" w:hAnsi="Wingdings" w:hint="default"/>
      </w:rPr>
    </w:lvl>
  </w:abstractNum>
  <w:abstractNum w:abstractNumId="25">
    <w:nsid w:val="42D81B42"/>
    <w:multiLevelType w:val="hybridMultilevel"/>
    <w:tmpl w:val="EB3CFEC6"/>
    <w:lvl w:ilvl="0" w:tplc="8E8E5DFA">
      <w:start w:val="1"/>
      <w:numFmt w:val="bullet"/>
      <w:lvlText w:val=""/>
      <w:lvlJc w:val="left"/>
      <w:pPr>
        <w:tabs>
          <w:tab w:val="num" w:pos="431"/>
        </w:tabs>
        <w:ind w:left="431" w:hanging="431"/>
      </w:pPr>
      <w:rPr>
        <w:rFonts w:ascii="Symbol" w:hAnsi="Symbol" w:hint="default"/>
      </w:rPr>
    </w:lvl>
    <w:lvl w:ilvl="1" w:tplc="0C090003">
      <w:start w:val="1"/>
      <w:numFmt w:val="bullet"/>
      <w:lvlText w:val="o"/>
      <w:lvlJc w:val="left"/>
      <w:pPr>
        <w:tabs>
          <w:tab w:val="num" w:pos="1020"/>
        </w:tabs>
        <w:ind w:left="1020" w:hanging="360"/>
      </w:pPr>
      <w:rPr>
        <w:rFonts w:ascii="Courier New" w:hAnsi="Courier New" w:cs="Times New Roman" w:hint="default"/>
      </w:rPr>
    </w:lvl>
    <w:lvl w:ilvl="2" w:tplc="0C090005">
      <w:start w:val="1"/>
      <w:numFmt w:val="bullet"/>
      <w:lvlText w:val=""/>
      <w:lvlJc w:val="left"/>
      <w:pPr>
        <w:tabs>
          <w:tab w:val="num" w:pos="1740"/>
        </w:tabs>
        <w:ind w:left="1740" w:hanging="360"/>
      </w:pPr>
      <w:rPr>
        <w:rFonts w:ascii="Wingdings" w:hAnsi="Wingdings" w:hint="default"/>
      </w:rPr>
    </w:lvl>
    <w:lvl w:ilvl="3" w:tplc="0C090001">
      <w:start w:val="1"/>
      <w:numFmt w:val="bullet"/>
      <w:lvlText w:val=""/>
      <w:lvlJc w:val="left"/>
      <w:pPr>
        <w:tabs>
          <w:tab w:val="num" w:pos="2460"/>
        </w:tabs>
        <w:ind w:left="2460" w:hanging="360"/>
      </w:pPr>
      <w:rPr>
        <w:rFonts w:ascii="Symbol" w:hAnsi="Symbol" w:hint="default"/>
      </w:rPr>
    </w:lvl>
    <w:lvl w:ilvl="4" w:tplc="0C090003">
      <w:start w:val="1"/>
      <w:numFmt w:val="bullet"/>
      <w:lvlText w:val="o"/>
      <w:lvlJc w:val="left"/>
      <w:pPr>
        <w:tabs>
          <w:tab w:val="num" w:pos="3180"/>
        </w:tabs>
        <w:ind w:left="3180" w:hanging="360"/>
      </w:pPr>
      <w:rPr>
        <w:rFonts w:ascii="Courier New" w:hAnsi="Courier New" w:cs="Times New Roman" w:hint="default"/>
      </w:rPr>
    </w:lvl>
    <w:lvl w:ilvl="5" w:tplc="0C090005">
      <w:start w:val="1"/>
      <w:numFmt w:val="bullet"/>
      <w:lvlText w:val=""/>
      <w:lvlJc w:val="left"/>
      <w:pPr>
        <w:tabs>
          <w:tab w:val="num" w:pos="3900"/>
        </w:tabs>
        <w:ind w:left="3900" w:hanging="360"/>
      </w:pPr>
      <w:rPr>
        <w:rFonts w:ascii="Wingdings" w:hAnsi="Wingdings" w:hint="default"/>
      </w:rPr>
    </w:lvl>
    <w:lvl w:ilvl="6" w:tplc="0C090001">
      <w:start w:val="1"/>
      <w:numFmt w:val="bullet"/>
      <w:lvlText w:val=""/>
      <w:lvlJc w:val="left"/>
      <w:pPr>
        <w:tabs>
          <w:tab w:val="num" w:pos="4620"/>
        </w:tabs>
        <w:ind w:left="4620" w:hanging="360"/>
      </w:pPr>
      <w:rPr>
        <w:rFonts w:ascii="Symbol" w:hAnsi="Symbol" w:hint="default"/>
      </w:rPr>
    </w:lvl>
    <w:lvl w:ilvl="7" w:tplc="0C090003">
      <w:start w:val="1"/>
      <w:numFmt w:val="bullet"/>
      <w:lvlText w:val="o"/>
      <w:lvlJc w:val="left"/>
      <w:pPr>
        <w:tabs>
          <w:tab w:val="num" w:pos="5340"/>
        </w:tabs>
        <w:ind w:left="5340" w:hanging="360"/>
      </w:pPr>
      <w:rPr>
        <w:rFonts w:ascii="Courier New" w:hAnsi="Courier New" w:cs="Times New Roman" w:hint="default"/>
      </w:rPr>
    </w:lvl>
    <w:lvl w:ilvl="8" w:tplc="0C090005">
      <w:start w:val="1"/>
      <w:numFmt w:val="bullet"/>
      <w:lvlText w:val=""/>
      <w:lvlJc w:val="left"/>
      <w:pPr>
        <w:tabs>
          <w:tab w:val="num" w:pos="6060"/>
        </w:tabs>
        <w:ind w:left="6060" w:hanging="360"/>
      </w:pPr>
      <w:rPr>
        <w:rFonts w:ascii="Wingdings" w:hAnsi="Wingdings" w:hint="default"/>
      </w:rPr>
    </w:lvl>
  </w:abstractNum>
  <w:abstractNum w:abstractNumId="26">
    <w:nsid w:val="45E52BDD"/>
    <w:multiLevelType w:val="hybridMultilevel"/>
    <w:tmpl w:val="02D4D2B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B19AF8E4">
      <w:start w:val="1"/>
      <w:numFmt w:val="lowerLetter"/>
      <w:lvlText w:val="(%3)"/>
      <w:lvlJc w:val="left"/>
      <w:pPr>
        <w:tabs>
          <w:tab w:val="num" w:pos="2340"/>
        </w:tabs>
        <w:ind w:left="2340" w:hanging="360"/>
      </w:pPr>
      <w:rPr>
        <w:rFonts w:hint="default"/>
      </w:rPr>
    </w:lvl>
    <w:lvl w:ilvl="3" w:tplc="703C47C2">
      <w:start w:val="1"/>
      <w:numFmt w:val="decimal"/>
      <w:lvlText w:val="(%4)"/>
      <w:lvlJc w:val="left"/>
      <w:pPr>
        <w:tabs>
          <w:tab w:val="num" w:pos="1701"/>
        </w:tabs>
        <w:ind w:left="1701" w:hanging="567"/>
      </w:pPr>
      <w:rPr>
        <w:rFonts w:hint="default"/>
        <w:b w:val="0"/>
      </w:rPr>
    </w:lvl>
    <w:lvl w:ilvl="4" w:tplc="E6D06A7A">
      <w:start w:val="1"/>
      <w:numFmt w:val="bullet"/>
      <w:lvlText w:val="o"/>
      <w:lvlJc w:val="left"/>
      <w:pPr>
        <w:tabs>
          <w:tab w:val="num" w:pos="3807"/>
        </w:tabs>
        <w:ind w:left="3807" w:hanging="567"/>
      </w:pPr>
      <w:rPr>
        <w:rFonts w:ascii="Courier New" w:hAnsi="Courier New" w:hint="default"/>
      </w:r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nsid w:val="4A462B4A"/>
    <w:multiLevelType w:val="hybridMultilevel"/>
    <w:tmpl w:val="EB2A6F80"/>
    <w:lvl w:ilvl="0" w:tplc="F76A4FA2">
      <w:start w:val="1"/>
      <w:numFmt w:val="decimal"/>
      <w:lvlText w:val="%1."/>
      <w:lvlJc w:val="left"/>
      <w:pPr>
        <w:tabs>
          <w:tab w:val="num" w:pos="720"/>
        </w:tabs>
        <w:ind w:left="720" w:hanging="360"/>
      </w:pPr>
      <w:rPr>
        <w:b w:val="0"/>
        <w:i w:val="0"/>
        <w:sz w:val="22"/>
      </w:rPr>
    </w:lvl>
    <w:lvl w:ilvl="1" w:tplc="0C090005">
      <w:start w:val="1"/>
      <w:numFmt w:val="bullet"/>
      <w:lvlText w:val=""/>
      <w:lvlJc w:val="left"/>
      <w:pPr>
        <w:tabs>
          <w:tab w:val="num" w:pos="1440"/>
        </w:tabs>
        <w:ind w:left="1440" w:hanging="360"/>
      </w:pPr>
      <w:rPr>
        <w:rFonts w:ascii="Wingdings" w:hAnsi="Wingdings" w:hint="default"/>
      </w:r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28">
    <w:nsid w:val="4CEC3F3F"/>
    <w:multiLevelType w:val="hybridMultilevel"/>
    <w:tmpl w:val="3D4296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29">
    <w:nsid w:val="4F3D0DC4"/>
    <w:multiLevelType w:val="hybridMultilevel"/>
    <w:tmpl w:val="72A0CD90"/>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0">
    <w:nsid w:val="51125AA0"/>
    <w:multiLevelType w:val="hybridMultilevel"/>
    <w:tmpl w:val="E8326BD2"/>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1">
    <w:nsid w:val="5E34338B"/>
    <w:multiLevelType w:val="hybridMultilevel"/>
    <w:tmpl w:val="333ABC64"/>
    <w:lvl w:ilvl="0" w:tplc="43C0689A">
      <w:start w:val="1"/>
      <w:numFmt w:val="decimal"/>
      <w:lvlText w:val="%1."/>
      <w:lvlJc w:val="left"/>
      <w:pPr>
        <w:tabs>
          <w:tab w:val="num" w:pos="720"/>
        </w:tabs>
        <w:ind w:left="720" w:hanging="360"/>
      </w:pPr>
      <w:rPr>
        <w:rFonts w:ascii="Arial" w:hAnsi="Arial" w:cs="Arial" w:hint="default"/>
        <w:sz w:val="22"/>
        <w:szCs w:val="22"/>
      </w:rPr>
    </w:lvl>
    <w:lvl w:ilvl="1" w:tplc="0C090017">
      <w:start w:val="1"/>
      <w:numFmt w:val="lowerLetter"/>
      <w:lvlText w:val="%2)"/>
      <w:lvlJc w:val="left"/>
      <w:pPr>
        <w:tabs>
          <w:tab w:val="num" w:pos="1440"/>
        </w:tabs>
        <w:ind w:left="1440" w:hanging="360"/>
      </w:pPr>
      <w:rPr>
        <w:rFonts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nsid w:val="5FF45522"/>
    <w:multiLevelType w:val="hybridMultilevel"/>
    <w:tmpl w:val="7234A00E"/>
    <w:lvl w:ilvl="0" w:tplc="0C090005">
      <w:start w:val="1"/>
      <w:numFmt w:val="bullet"/>
      <w:lvlText w:val=""/>
      <w:lvlJc w:val="left"/>
      <w:pPr>
        <w:tabs>
          <w:tab w:val="num" w:pos="1131"/>
        </w:tabs>
        <w:ind w:left="1131" w:hanging="360"/>
      </w:pPr>
      <w:rPr>
        <w:rFonts w:ascii="Wingdings" w:hAnsi="Wingdings" w:hint="default"/>
      </w:rPr>
    </w:lvl>
    <w:lvl w:ilvl="1" w:tplc="0C090003" w:tentative="1">
      <w:start w:val="1"/>
      <w:numFmt w:val="bullet"/>
      <w:lvlText w:val="o"/>
      <w:lvlJc w:val="left"/>
      <w:pPr>
        <w:tabs>
          <w:tab w:val="num" w:pos="1851"/>
        </w:tabs>
        <w:ind w:left="1851" w:hanging="360"/>
      </w:pPr>
      <w:rPr>
        <w:rFonts w:ascii="Courier New" w:hAnsi="Courier New" w:cs="Courier New" w:hint="default"/>
      </w:rPr>
    </w:lvl>
    <w:lvl w:ilvl="2" w:tplc="0C090005" w:tentative="1">
      <w:start w:val="1"/>
      <w:numFmt w:val="bullet"/>
      <w:lvlText w:val=""/>
      <w:lvlJc w:val="left"/>
      <w:pPr>
        <w:tabs>
          <w:tab w:val="num" w:pos="2571"/>
        </w:tabs>
        <w:ind w:left="2571" w:hanging="360"/>
      </w:pPr>
      <w:rPr>
        <w:rFonts w:ascii="Wingdings" w:hAnsi="Wingdings" w:hint="default"/>
      </w:rPr>
    </w:lvl>
    <w:lvl w:ilvl="3" w:tplc="0C090001" w:tentative="1">
      <w:start w:val="1"/>
      <w:numFmt w:val="bullet"/>
      <w:lvlText w:val=""/>
      <w:lvlJc w:val="left"/>
      <w:pPr>
        <w:tabs>
          <w:tab w:val="num" w:pos="3291"/>
        </w:tabs>
        <w:ind w:left="3291" w:hanging="360"/>
      </w:pPr>
      <w:rPr>
        <w:rFonts w:ascii="Symbol" w:hAnsi="Symbol" w:hint="default"/>
      </w:rPr>
    </w:lvl>
    <w:lvl w:ilvl="4" w:tplc="0C090003" w:tentative="1">
      <w:start w:val="1"/>
      <w:numFmt w:val="bullet"/>
      <w:lvlText w:val="o"/>
      <w:lvlJc w:val="left"/>
      <w:pPr>
        <w:tabs>
          <w:tab w:val="num" w:pos="4011"/>
        </w:tabs>
        <w:ind w:left="4011" w:hanging="360"/>
      </w:pPr>
      <w:rPr>
        <w:rFonts w:ascii="Courier New" w:hAnsi="Courier New" w:cs="Courier New" w:hint="default"/>
      </w:rPr>
    </w:lvl>
    <w:lvl w:ilvl="5" w:tplc="0C090005" w:tentative="1">
      <w:start w:val="1"/>
      <w:numFmt w:val="bullet"/>
      <w:lvlText w:val=""/>
      <w:lvlJc w:val="left"/>
      <w:pPr>
        <w:tabs>
          <w:tab w:val="num" w:pos="4731"/>
        </w:tabs>
        <w:ind w:left="4731" w:hanging="360"/>
      </w:pPr>
      <w:rPr>
        <w:rFonts w:ascii="Wingdings" w:hAnsi="Wingdings" w:hint="default"/>
      </w:rPr>
    </w:lvl>
    <w:lvl w:ilvl="6" w:tplc="0C090001" w:tentative="1">
      <w:start w:val="1"/>
      <w:numFmt w:val="bullet"/>
      <w:lvlText w:val=""/>
      <w:lvlJc w:val="left"/>
      <w:pPr>
        <w:tabs>
          <w:tab w:val="num" w:pos="5451"/>
        </w:tabs>
        <w:ind w:left="5451" w:hanging="360"/>
      </w:pPr>
      <w:rPr>
        <w:rFonts w:ascii="Symbol" w:hAnsi="Symbol" w:hint="default"/>
      </w:rPr>
    </w:lvl>
    <w:lvl w:ilvl="7" w:tplc="0C090003" w:tentative="1">
      <w:start w:val="1"/>
      <w:numFmt w:val="bullet"/>
      <w:lvlText w:val="o"/>
      <w:lvlJc w:val="left"/>
      <w:pPr>
        <w:tabs>
          <w:tab w:val="num" w:pos="6171"/>
        </w:tabs>
        <w:ind w:left="6171" w:hanging="360"/>
      </w:pPr>
      <w:rPr>
        <w:rFonts w:ascii="Courier New" w:hAnsi="Courier New" w:cs="Courier New" w:hint="default"/>
      </w:rPr>
    </w:lvl>
    <w:lvl w:ilvl="8" w:tplc="0C090005" w:tentative="1">
      <w:start w:val="1"/>
      <w:numFmt w:val="bullet"/>
      <w:lvlText w:val=""/>
      <w:lvlJc w:val="left"/>
      <w:pPr>
        <w:tabs>
          <w:tab w:val="num" w:pos="6891"/>
        </w:tabs>
        <w:ind w:left="6891" w:hanging="360"/>
      </w:pPr>
      <w:rPr>
        <w:rFonts w:ascii="Wingdings" w:hAnsi="Wingdings" w:hint="default"/>
      </w:rPr>
    </w:lvl>
  </w:abstractNum>
  <w:abstractNum w:abstractNumId="33">
    <w:nsid w:val="60655884"/>
    <w:multiLevelType w:val="hybridMultilevel"/>
    <w:tmpl w:val="A5AC3E24"/>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nsid w:val="622E3B4F"/>
    <w:multiLevelType w:val="hybridMultilevel"/>
    <w:tmpl w:val="E5AA5036"/>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nsid w:val="626F15F6"/>
    <w:multiLevelType w:val="hybridMultilevel"/>
    <w:tmpl w:val="47D8BEF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631C00B9"/>
    <w:multiLevelType w:val="multilevel"/>
    <w:tmpl w:val="E7AEABD2"/>
    <w:lvl w:ilvl="0">
      <w:numFmt w:val="bullet"/>
      <w:lvlText w:val="-"/>
      <w:lvlJc w:val="left"/>
      <w:pPr>
        <w:tabs>
          <w:tab w:val="num" w:pos="720"/>
        </w:tabs>
        <w:ind w:left="720" w:hanging="360"/>
      </w:pPr>
      <w:rPr>
        <w:rFonts w:ascii="Comic Sans MS" w:eastAsia="Times New Roman" w:hAnsi="Comic Sans M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8">
    <w:nsid w:val="63E75812"/>
    <w:multiLevelType w:val="hybridMultilevel"/>
    <w:tmpl w:val="8C8E8EF6"/>
    <w:lvl w:ilvl="0" w:tplc="02548A98">
      <w:start w:val="1"/>
      <w:numFmt w:val="lowerRoman"/>
      <w:lvlText w:val="(%1)"/>
      <w:lvlJc w:val="left"/>
      <w:pPr>
        <w:ind w:left="2880" w:hanging="720"/>
      </w:pPr>
      <w:rPr>
        <w:b/>
      </w:rPr>
    </w:lvl>
    <w:lvl w:ilvl="1" w:tplc="0C090019">
      <w:start w:val="1"/>
      <w:numFmt w:val="lowerLetter"/>
      <w:lvlText w:val="%2."/>
      <w:lvlJc w:val="left"/>
      <w:pPr>
        <w:ind w:left="3240" w:hanging="360"/>
      </w:pPr>
    </w:lvl>
    <w:lvl w:ilvl="2" w:tplc="0C09001B">
      <w:start w:val="1"/>
      <w:numFmt w:val="lowerRoman"/>
      <w:lvlText w:val="%3."/>
      <w:lvlJc w:val="right"/>
      <w:pPr>
        <w:ind w:left="3960" w:hanging="180"/>
      </w:pPr>
    </w:lvl>
    <w:lvl w:ilvl="3" w:tplc="0C09000F">
      <w:start w:val="1"/>
      <w:numFmt w:val="decimal"/>
      <w:lvlText w:val="%4."/>
      <w:lvlJc w:val="left"/>
      <w:pPr>
        <w:ind w:left="4680" w:hanging="360"/>
      </w:pPr>
    </w:lvl>
    <w:lvl w:ilvl="4" w:tplc="0C090019">
      <w:start w:val="1"/>
      <w:numFmt w:val="lowerLetter"/>
      <w:lvlText w:val="%5."/>
      <w:lvlJc w:val="left"/>
      <w:pPr>
        <w:ind w:left="5400" w:hanging="360"/>
      </w:pPr>
    </w:lvl>
    <w:lvl w:ilvl="5" w:tplc="0C09001B">
      <w:start w:val="1"/>
      <w:numFmt w:val="lowerRoman"/>
      <w:lvlText w:val="%6."/>
      <w:lvlJc w:val="right"/>
      <w:pPr>
        <w:ind w:left="6120" w:hanging="180"/>
      </w:pPr>
    </w:lvl>
    <w:lvl w:ilvl="6" w:tplc="0C09000F">
      <w:start w:val="1"/>
      <w:numFmt w:val="decimal"/>
      <w:lvlText w:val="%7."/>
      <w:lvlJc w:val="left"/>
      <w:pPr>
        <w:ind w:left="6840" w:hanging="360"/>
      </w:pPr>
    </w:lvl>
    <w:lvl w:ilvl="7" w:tplc="0C090019">
      <w:start w:val="1"/>
      <w:numFmt w:val="lowerLetter"/>
      <w:lvlText w:val="%8."/>
      <w:lvlJc w:val="left"/>
      <w:pPr>
        <w:ind w:left="7560" w:hanging="360"/>
      </w:pPr>
    </w:lvl>
    <w:lvl w:ilvl="8" w:tplc="0C09001B">
      <w:start w:val="1"/>
      <w:numFmt w:val="lowerRoman"/>
      <w:lvlText w:val="%9."/>
      <w:lvlJc w:val="right"/>
      <w:pPr>
        <w:ind w:left="8280" w:hanging="180"/>
      </w:pPr>
    </w:lvl>
  </w:abstractNum>
  <w:abstractNum w:abstractNumId="39">
    <w:nsid w:val="69C329BC"/>
    <w:multiLevelType w:val="hybridMultilevel"/>
    <w:tmpl w:val="9B5CA63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nsid w:val="6A551961"/>
    <w:multiLevelType w:val="hybridMultilevel"/>
    <w:tmpl w:val="C1DE0D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nsid w:val="6DA9465B"/>
    <w:multiLevelType w:val="hybridMultilevel"/>
    <w:tmpl w:val="CA7234D0"/>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2">
    <w:nsid w:val="7EF13E44"/>
    <w:multiLevelType w:val="hybridMultilevel"/>
    <w:tmpl w:val="E7AEABD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5"/>
  </w:num>
  <w:num w:numId="3">
    <w:abstractNumId w:val="23"/>
  </w:num>
  <w:num w:numId="4">
    <w:abstractNumId w:val="41"/>
  </w:num>
  <w:num w:numId="5">
    <w:abstractNumId w:val="4"/>
  </w:num>
  <w:num w:numId="6">
    <w:abstractNumId w:val="13"/>
  </w:num>
  <w:num w:numId="7">
    <w:abstractNumId w:val="35"/>
  </w:num>
  <w:num w:numId="8">
    <w:abstractNumId w:val="34"/>
  </w:num>
  <w:num w:numId="9">
    <w:abstractNumId w:val="26"/>
  </w:num>
  <w:num w:numId="10">
    <w:abstractNumId w:val="21"/>
  </w:num>
  <w:num w:numId="11">
    <w:abstractNumId w:val="42"/>
  </w:num>
  <w:num w:numId="12">
    <w:abstractNumId w:val="36"/>
  </w:num>
  <w:num w:numId="13">
    <w:abstractNumId w:val="40"/>
  </w:num>
  <w:num w:numId="14">
    <w:abstractNumId w:val="39"/>
  </w:num>
  <w:num w:numId="15">
    <w:abstractNumId w:val="20"/>
  </w:num>
  <w:num w:numId="16">
    <w:abstractNumId w:val="22"/>
  </w:num>
  <w:num w:numId="17">
    <w:abstractNumId w:val="11"/>
  </w:num>
  <w:num w:numId="18">
    <w:abstractNumId w:val="16"/>
  </w:num>
  <w:num w:numId="19">
    <w:abstractNumId w:val="2"/>
  </w:num>
  <w:num w:numId="20">
    <w:abstractNumId w:val="1"/>
  </w:num>
  <w:num w:numId="21">
    <w:abstractNumId w:val="12"/>
  </w:num>
  <w:num w:numId="22">
    <w:abstractNumId w:val="32"/>
  </w:num>
  <w:num w:numId="23">
    <w:abstractNumId w:val="9"/>
  </w:num>
  <w:num w:numId="24">
    <w:abstractNumId w:val="19"/>
  </w:num>
  <w:num w:numId="25">
    <w:abstractNumId w:val="30"/>
  </w:num>
  <w:num w:numId="26">
    <w:abstractNumId w:val="29"/>
  </w:num>
  <w:num w:numId="27">
    <w:abstractNumId w:val="8"/>
  </w:num>
  <w:num w:numId="28">
    <w:abstractNumId w:val="33"/>
  </w:num>
  <w:num w:numId="29">
    <w:abstractNumId w:val="18"/>
  </w:num>
  <w:num w:numId="30">
    <w:abstractNumId w:val="14"/>
  </w:num>
  <w:num w:numId="31">
    <w:abstractNumId w:val="5"/>
  </w:num>
  <w:num w:numId="32">
    <w:abstractNumId w:val="0"/>
  </w:num>
  <w:num w:numId="33">
    <w:abstractNumId w:val="6"/>
  </w:num>
  <w:num w:numId="34">
    <w:abstractNumId w:val="24"/>
  </w:num>
  <w:num w:numId="35">
    <w:abstractNumId w:val="37"/>
  </w:num>
  <w:num w:numId="36">
    <w:abstractNumId w:val="17"/>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 w:numId="39">
    <w:abstractNumId w:val="25"/>
  </w:num>
  <w:num w:numId="40">
    <w:abstractNumId w:val="28"/>
  </w:num>
  <w:num w:numId="41">
    <w:abstractNumId w:val="10"/>
  </w:num>
  <w:num w:numId="42">
    <w:abstractNumId w:val="31"/>
  </w:num>
  <w:num w:numId="43">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718"/>
    <w:rsid w:val="0000694E"/>
    <w:rsid w:val="000117B2"/>
    <w:rsid w:val="00011847"/>
    <w:rsid w:val="0001796D"/>
    <w:rsid w:val="00017BF0"/>
    <w:rsid w:val="000234A1"/>
    <w:rsid w:val="0002568B"/>
    <w:rsid w:val="00043FA7"/>
    <w:rsid w:val="000544D7"/>
    <w:rsid w:val="000552E8"/>
    <w:rsid w:val="00056585"/>
    <w:rsid w:val="0005674F"/>
    <w:rsid w:val="00065C6E"/>
    <w:rsid w:val="00073F1B"/>
    <w:rsid w:val="00075B58"/>
    <w:rsid w:val="000770B2"/>
    <w:rsid w:val="000B11DD"/>
    <w:rsid w:val="000B5D34"/>
    <w:rsid w:val="000C390A"/>
    <w:rsid w:val="000C4DBA"/>
    <w:rsid w:val="000C77DD"/>
    <w:rsid w:val="000E295B"/>
    <w:rsid w:val="000E45A0"/>
    <w:rsid w:val="000F37D9"/>
    <w:rsid w:val="000F3A04"/>
    <w:rsid w:val="00107460"/>
    <w:rsid w:val="00112415"/>
    <w:rsid w:val="0013678D"/>
    <w:rsid w:val="00140A34"/>
    <w:rsid w:val="001456A8"/>
    <w:rsid w:val="00146ED8"/>
    <w:rsid w:val="00147993"/>
    <w:rsid w:val="0015154F"/>
    <w:rsid w:val="00167202"/>
    <w:rsid w:val="001828A4"/>
    <w:rsid w:val="001A3BE2"/>
    <w:rsid w:val="001B23B2"/>
    <w:rsid w:val="001C35E7"/>
    <w:rsid w:val="001C4578"/>
    <w:rsid w:val="001F28A6"/>
    <w:rsid w:val="001F2A16"/>
    <w:rsid w:val="001F6921"/>
    <w:rsid w:val="001F7C3E"/>
    <w:rsid w:val="00201969"/>
    <w:rsid w:val="00213FA5"/>
    <w:rsid w:val="00214040"/>
    <w:rsid w:val="00214F00"/>
    <w:rsid w:val="0023733A"/>
    <w:rsid w:val="0024044F"/>
    <w:rsid w:val="00245D00"/>
    <w:rsid w:val="002462AF"/>
    <w:rsid w:val="00257F2D"/>
    <w:rsid w:val="00262F9F"/>
    <w:rsid w:val="00266D2D"/>
    <w:rsid w:val="0027331F"/>
    <w:rsid w:val="00281B8D"/>
    <w:rsid w:val="00285E76"/>
    <w:rsid w:val="002949C3"/>
    <w:rsid w:val="002A10A4"/>
    <w:rsid w:val="002A26FE"/>
    <w:rsid w:val="002B1423"/>
    <w:rsid w:val="002B1AA2"/>
    <w:rsid w:val="002E1EB4"/>
    <w:rsid w:val="002F1257"/>
    <w:rsid w:val="00305E2D"/>
    <w:rsid w:val="00310C61"/>
    <w:rsid w:val="003171B3"/>
    <w:rsid w:val="0032559D"/>
    <w:rsid w:val="00325C9A"/>
    <w:rsid w:val="00332877"/>
    <w:rsid w:val="00344575"/>
    <w:rsid w:val="00345B61"/>
    <w:rsid w:val="0035113C"/>
    <w:rsid w:val="00352A69"/>
    <w:rsid w:val="00354525"/>
    <w:rsid w:val="00380CC4"/>
    <w:rsid w:val="0038173B"/>
    <w:rsid w:val="003C0686"/>
    <w:rsid w:val="003D08CF"/>
    <w:rsid w:val="003D0CBA"/>
    <w:rsid w:val="003D0F6A"/>
    <w:rsid w:val="003D4BA8"/>
    <w:rsid w:val="003E5269"/>
    <w:rsid w:val="0040405F"/>
    <w:rsid w:val="00405394"/>
    <w:rsid w:val="004066E4"/>
    <w:rsid w:val="0040680B"/>
    <w:rsid w:val="00407361"/>
    <w:rsid w:val="00417C55"/>
    <w:rsid w:val="00424A7B"/>
    <w:rsid w:val="004447C1"/>
    <w:rsid w:val="0046211F"/>
    <w:rsid w:val="0046787B"/>
    <w:rsid w:val="00472009"/>
    <w:rsid w:val="00474484"/>
    <w:rsid w:val="00486653"/>
    <w:rsid w:val="004A5FDA"/>
    <w:rsid w:val="004D098C"/>
    <w:rsid w:val="004D24A9"/>
    <w:rsid w:val="004E5357"/>
    <w:rsid w:val="004F4A07"/>
    <w:rsid w:val="004F5EB1"/>
    <w:rsid w:val="004F6887"/>
    <w:rsid w:val="005030AD"/>
    <w:rsid w:val="0051249C"/>
    <w:rsid w:val="005176E7"/>
    <w:rsid w:val="00520330"/>
    <w:rsid w:val="00524B6B"/>
    <w:rsid w:val="005413EE"/>
    <w:rsid w:val="00587443"/>
    <w:rsid w:val="00587C50"/>
    <w:rsid w:val="005917F3"/>
    <w:rsid w:val="005B0ACD"/>
    <w:rsid w:val="005B50A2"/>
    <w:rsid w:val="005C12D3"/>
    <w:rsid w:val="005C3408"/>
    <w:rsid w:val="005D611B"/>
    <w:rsid w:val="005E2C00"/>
    <w:rsid w:val="005F1ACE"/>
    <w:rsid w:val="005F256D"/>
    <w:rsid w:val="0060183A"/>
    <w:rsid w:val="00603110"/>
    <w:rsid w:val="00611C8E"/>
    <w:rsid w:val="00631F30"/>
    <w:rsid w:val="00633DFF"/>
    <w:rsid w:val="00642420"/>
    <w:rsid w:val="00645578"/>
    <w:rsid w:val="00646158"/>
    <w:rsid w:val="0066622C"/>
    <w:rsid w:val="00666487"/>
    <w:rsid w:val="00673B37"/>
    <w:rsid w:val="00691FEA"/>
    <w:rsid w:val="006945EA"/>
    <w:rsid w:val="006B5470"/>
    <w:rsid w:val="006C021A"/>
    <w:rsid w:val="006C1A95"/>
    <w:rsid w:val="006D0138"/>
    <w:rsid w:val="006D6F52"/>
    <w:rsid w:val="00701718"/>
    <w:rsid w:val="00710359"/>
    <w:rsid w:val="00712FFF"/>
    <w:rsid w:val="00722DBF"/>
    <w:rsid w:val="007234C3"/>
    <w:rsid w:val="00735157"/>
    <w:rsid w:val="007412CC"/>
    <w:rsid w:val="00775490"/>
    <w:rsid w:val="007822CF"/>
    <w:rsid w:val="00795D0C"/>
    <w:rsid w:val="007A55BA"/>
    <w:rsid w:val="007A7914"/>
    <w:rsid w:val="007C187C"/>
    <w:rsid w:val="007C1FBD"/>
    <w:rsid w:val="007E22F5"/>
    <w:rsid w:val="007F25F3"/>
    <w:rsid w:val="007F25F5"/>
    <w:rsid w:val="007F4901"/>
    <w:rsid w:val="00816D7B"/>
    <w:rsid w:val="00836B02"/>
    <w:rsid w:val="008467D4"/>
    <w:rsid w:val="00850FB0"/>
    <w:rsid w:val="0085238E"/>
    <w:rsid w:val="008540EA"/>
    <w:rsid w:val="00866A00"/>
    <w:rsid w:val="008702A6"/>
    <w:rsid w:val="008757CE"/>
    <w:rsid w:val="0088392C"/>
    <w:rsid w:val="00894A93"/>
    <w:rsid w:val="00897C0E"/>
    <w:rsid w:val="00897E31"/>
    <w:rsid w:val="008A046F"/>
    <w:rsid w:val="008A3D16"/>
    <w:rsid w:val="008A405A"/>
    <w:rsid w:val="008A6A6A"/>
    <w:rsid w:val="008B650A"/>
    <w:rsid w:val="008B6576"/>
    <w:rsid w:val="008B787C"/>
    <w:rsid w:val="008C1E0A"/>
    <w:rsid w:val="008C3898"/>
    <w:rsid w:val="008C66CC"/>
    <w:rsid w:val="008E1085"/>
    <w:rsid w:val="008F483C"/>
    <w:rsid w:val="0090129A"/>
    <w:rsid w:val="00912D61"/>
    <w:rsid w:val="009146CF"/>
    <w:rsid w:val="009322D7"/>
    <w:rsid w:val="00932BDE"/>
    <w:rsid w:val="0093489D"/>
    <w:rsid w:val="0095053A"/>
    <w:rsid w:val="00952090"/>
    <w:rsid w:val="00967725"/>
    <w:rsid w:val="009902F8"/>
    <w:rsid w:val="00993BB8"/>
    <w:rsid w:val="0099555F"/>
    <w:rsid w:val="009A22A1"/>
    <w:rsid w:val="009A281F"/>
    <w:rsid w:val="009B3A1B"/>
    <w:rsid w:val="009B6332"/>
    <w:rsid w:val="009B6DAA"/>
    <w:rsid w:val="009C0912"/>
    <w:rsid w:val="009C4387"/>
    <w:rsid w:val="009D6694"/>
    <w:rsid w:val="009F0300"/>
    <w:rsid w:val="00A03859"/>
    <w:rsid w:val="00A14ABC"/>
    <w:rsid w:val="00A167A8"/>
    <w:rsid w:val="00A21F0A"/>
    <w:rsid w:val="00A26011"/>
    <w:rsid w:val="00A506C2"/>
    <w:rsid w:val="00A604A4"/>
    <w:rsid w:val="00A623B9"/>
    <w:rsid w:val="00A62886"/>
    <w:rsid w:val="00A63855"/>
    <w:rsid w:val="00A74C38"/>
    <w:rsid w:val="00A77D24"/>
    <w:rsid w:val="00A8572F"/>
    <w:rsid w:val="00A93E07"/>
    <w:rsid w:val="00A979CF"/>
    <w:rsid w:val="00AA4DF8"/>
    <w:rsid w:val="00AB780C"/>
    <w:rsid w:val="00AD5ADE"/>
    <w:rsid w:val="00AE7138"/>
    <w:rsid w:val="00AF4CAF"/>
    <w:rsid w:val="00B039F2"/>
    <w:rsid w:val="00B117BA"/>
    <w:rsid w:val="00B20D87"/>
    <w:rsid w:val="00B44270"/>
    <w:rsid w:val="00B578AC"/>
    <w:rsid w:val="00B6433F"/>
    <w:rsid w:val="00B64CF5"/>
    <w:rsid w:val="00B70663"/>
    <w:rsid w:val="00B71E6F"/>
    <w:rsid w:val="00B7259D"/>
    <w:rsid w:val="00B76C9B"/>
    <w:rsid w:val="00B823A1"/>
    <w:rsid w:val="00B8428B"/>
    <w:rsid w:val="00B96786"/>
    <w:rsid w:val="00BA275C"/>
    <w:rsid w:val="00BA41F5"/>
    <w:rsid w:val="00BB3C9C"/>
    <w:rsid w:val="00BC69AB"/>
    <w:rsid w:val="00BF4822"/>
    <w:rsid w:val="00C01D22"/>
    <w:rsid w:val="00C104B6"/>
    <w:rsid w:val="00C10F02"/>
    <w:rsid w:val="00C114F4"/>
    <w:rsid w:val="00C11D03"/>
    <w:rsid w:val="00C14AEE"/>
    <w:rsid w:val="00C15A79"/>
    <w:rsid w:val="00C309E4"/>
    <w:rsid w:val="00C31967"/>
    <w:rsid w:val="00C371DE"/>
    <w:rsid w:val="00C409AE"/>
    <w:rsid w:val="00C42D50"/>
    <w:rsid w:val="00C54DF8"/>
    <w:rsid w:val="00C60B49"/>
    <w:rsid w:val="00C61B75"/>
    <w:rsid w:val="00C726B3"/>
    <w:rsid w:val="00C7440A"/>
    <w:rsid w:val="00C77C12"/>
    <w:rsid w:val="00C822F6"/>
    <w:rsid w:val="00C865ED"/>
    <w:rsid w:val="00C8775A"/>
    <w:rsid w:val="00CA0818"/>
    <w:rsid w:val="00CA0877"/>
    <w:rsid w:val="00CA6B59"/>
    <w:rsid w:val="00CB3B6C"/>
    <w:rsid w:val="00CC001D"/>
    <w:rsid w:val="00CC1833"/>
    <w:rsid w:val="00CC189F"/>
    <w:rsid w:val="00CC3368"/>
    <w:rsid w:val="00CD1DB0"/>
    <w:rsid w:val="00CD70AE"/>
    <w:rsid w:val="00CF19C4"/>
    <w:rsid w:val="00D13BD1"/>
    <w:rsid w:val="00D13C04"/>
    <w:rsid w:val="00D20A78"/>
    <w:rsid w:val="00D278BA"/>
    <w:rsid w:val="00D33670"/>
    <w:rsid w:val="00D40454"/>
    <w:rsid w:val="00D4059C"/>
    <w:rsid w:val="00D53D8F"/>
    <w:rsid w:val="00D61C76"/>
    <w:rsid w:val="00D77015"/>
    <w:rsid w:val="00D92B48"/>
    <w:rsid w:val="00DB0DD8"/>
    <w:rsid w:val="00DB1693"/>
    <w:rsid w:val="00DB6DC9"/>
    <w:rsid w:val="00DC31E1"/>
    <w:rsid w:val="00DC4895"/>
    <w:rsid w:val="00DD5B07"/>
    <w:rsid w:val="00DE130D"/>
    <w:rsid w:val="00DE6821"/>
    <w:rsid w:val="00DF2022"/>
    <w:rsid w:val="00DF34BE"/>
    <w:rsid w:val="00DF5D59"/>
    <w:rsid w:val="00E00524"/>
    <w:rsid w:val="00E17A65"/>
    <w:rsid w:val="00E2098F"/>
    <w:rsid w:val="00E239E4"/>
    <w:rsid w:val="00E3260D"/>
    <w:rsid w:val="00E36A38"/>
    <w:rsid w:val="00E53399"/>
    <w:rsid w:val="00E740A9"/>
    <w:rsid w:val="00E77995"/>
    <w:rsid w:val="00E87099"/>
    <w:rsid w:val="00EA28E6"/>
    <w:rsid w:val="00EB63A9"/>
    <w:rsid w:val="00ED7038"/>
    <w:rsid w:val="00EF78C4"/>
    <w:rsid w:val="00F04CD7"/>
    <w:rsid w:val="00F05A9C"/>
    <w:rsid w:val="00F108DD"/>
    <w:rsid w:val="00F23E15"/>
    <w:rsid w:val="00F244A2"/>
    <w:rsid w:val="00F35064"/>
    <w:rsid w:val="00F35290"/>
    <w:rsid w:val="00F374D8"/>
    <w:rsid w:val="00F5684D"/>
    <w:rsid w:val="00F57AB6"/>
    <w:rsid w:val="00F6480F"/>
    <w:rsid w:val="00F84E43"/>
    <w:rsid w:val="00F86713"/>
    <w:rsid w:val="00F92C0A"/>
    <w:rsid w:val="00F932E0"/>
    <w:rsid w:val="00F934AA"/>
    <w:rsid w:val="00FB7701"/>
    <w:rsid w:val="00FC40F0"/>
    <w:rsid w:val="00FC6D3B"/>
    <w:rsid w:val="00FD0129"/>
    <w:rsid w:val="00FD4253"/>
    <w:rsid w:val="00FE17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Cod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555F"/>
    <w:rPr>
      <w:sz w:val="24"/>
    </w:rPr>
  </w:style>
  <w:style w:type="paragraph" w:styleId="Heading1">
    <w:name w:val="heading 1"/>
    <w:basedOn w:val="Normal"/>
    <w:next w:val="Normal"/>
    <w:link w:val="Heading1Char"/>
    <w:qFormat/>
    <w:rsid w:val="00C822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9555F"/>
    <w:pPr>
      <w:keepNext/>
      <w:spacing w:after="120"/>
      <w:outlineLvl w:val="1"/>
    </w:pPr>
    <w:rPr>
      <w:rFonts w:ascii="Arial" w:hAnsi="Arial"/>
      <w:b/>
      <w:sz w:val="22"/>
    </w:rPr>
  </w:style>
  <w:style w:type="paragraph" w:styleId="Heading3">
    <w:name w:val="heading 3"/>
    <w:basedOn w:val="Normal"/>
    <w:next w:val="Normal"/>
    <w:qFormat/>
    <w:rsid w:val="00E5339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555F"/>
    <w:pPr>
      <w:tabs>
        <w:tab w:val="center" w:pos="4153"/>
        <w:tab w:val="right" w:pos="8306"/>
      </w:tabs>
    </w:pPr>
  </w:style>
  <w:style w:type="table" w:styleId="TableGrid">
    <w:name w:val="Table Grid"/>
    <w:basedOn w:val="TableNormal"/>
    <w:rsid w:val="00995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9555F"/>
    <w:pPr>
      <w:spacing w:before="100" w:beforeAutospacing="1" w:after="100" w:afterAutospacing="1"/>
    </w:pPr>
    <w:rPr>
      <w:szCs w:val="24"/>
    </w:rPr>
  </w:style>
  <w:style w:type="paragraph" w:styleId="Footer">
    <w:name w:val="footer"/>
    <w:basedOn w:val="Normal"/>
    <w:rsid w:val="00D4059C"/>
    <w:pPr>
      <w:tabs>
        <w:tab w:val="center" w:pos="4153"/>
        <w:tab w:val="right" w:pos="8306"/>
      </w:tabs>
    </w:pPr>
  </w:style>
  <w:style w:type="paragraph" w:styleId="Title">
    <w:name w:val="Title"/>
    <w:basedOn w:val="Normal"/>
    <w:next w:val="Normal"/>
    <w:qFormat/>
    <w:rsid w:val="00D4059C"/>
    <w:pPr>
      <w:spacing w:before="240" w:after="240"/>
    </w:pPr>
    <w:rPr>
      <w:rFonts w:ascii="Arial" w:hAnsi="Arial"/>
      <w:b/>
      <w:sz w:val="40"/>
      <w:lang w:eastAsia="en-US"/>
    </w:rPr>
  </w:style>
  <w:style w:type="paragraph" w:styleId="FootnoteText">
    <w:name w:val="footnote text"/>
    <w:basedOn w:val="Normal"/>
    <w:semiHidden/>
    <w:rsid w:val="00F35064"/>
    <w:rPr>
      <w:sz w:val="20"/>
    </w:rPr>
  </w:style>
  <w:style w:type="character" w:styleId="FootnoteReference">
    <w:name w:val="footnote reference"/>
    <w:basedOn w:val="DefaultParagraphFont"/>
    <w:semiHidden/>
    <w:rsid w:val="00F35064"/>
    <w:rPr>
      <w:vertAlign w:val="superscript"/>
    </w:rPr>
  </w:style>
  <w:style w:type="paragraph" w:styleId="BalloonText">
    <w:name w:val="Balloon Text"/>
    <w:basedOn w:val="Normal"/>
    <w:semiHidden/>
    <w:rsid w:val="00587443"/>
    <w:rPr>
      <w:rFonts w:ascii="Tahoma" w:hAnsi="Tahoma" w:cs="Tahoma"/>
      <w:sz w:val="16"/>
      <w:szCs w:val="16"/>
    </w:rPr>
  </w:style>
  <w:style w:type="character" w:styleId="CommentReference">
    <w:name w:val="annotation reference"/>
    <w:basedOn w:val="DefaultParagraphFont"/>
    <w:semiHidden/>
    <w:rsid w:val="00A26011"/>
    <w:rPr>
      <w:sz w:val="16"/>
      <w:szCs w:val="16"/>
    </w:rPr>
  </w:style>
  <w:style w:type="paragraph" w:styleId="CommentText">
    <w:name w:val="annotation text"/>
    <w:basedOn w:val="Normal"/>
    <w:semiHidden/>
    <w:rsid w:val="00A26011"/>
    <w:rPr>
      <w:sz w:val="20"/>
    </w:rPr>
  </w:style>
  <w:style w:type="paragraph" w:styleId="CommentSubject">
    <w:name w:val="annotation subject"/>
    <w:basedOn w:val="CommentText"/>
    <w:next w:val="CommentText"/>
    <w:semiHidden/>
    <w:rsid w:val="00A26011"/>
    <w:rPr>
      <w:b/>
      <w:bCs/>
    </w:rPr>
  </w:style>
  <w:style w:type="paragraph" w:customStyle="1" w:styleId="Heading1a">
    <w:name w:val="Heading 1a"/>
    <w:next w:val="Normal"/>
    <w:rsid w:val="00F86713"/>
    <w:pPr>
      <w:keepNext/>
      <w:keepLines/>
      <w:spacing w:before="480"/>
      <w:outlineLvl w:val="0"/>
    </w:pPr>
    <w:rPr>
      <w:rFonts w:ascii="Verdana" w:hAnsi="Verdana"/>
      <w:b/>
      <w:noProof/>
      <w:sz w:val="28"/>
    </w:rPr>
  </w:style>
  <w:style w:type="paragraph" w:customStyle="1" w:styleId="Char2">
    <w:name w:val="Char2"/>
    <w:basedOn w:val="Normal"/>
    <w:rsid w:val="00E53399"/>
    <w:pPr>
      <w:spacing w:after="160" w:line="240" w:lineRule="exact"/>
    </w:pPr>
    <w:rPr>
      <w:rFonts w:ascii="Verdana" w:hAnsi="Verdana"/>
      <w:sz w:val="21"/>
      <w:lang w:val="en-US" w:eastAsia="en-US"/>
    </w:rPr>
  </w:style>
  <w:style w:type="character" w:styleId="Hyperlink">
    <w:name w:val="Hyperlink"/>
    <w:basedOn w:val="DefaultParagraphFont"/>
    <w:rsid w:val="008F483C"/>
    <w:rPr>
      <w:color w:val="0000FF"/>
      <w:u w:val="single"/>
    </w:rPr>
  </w:style>
  <w:style w:type="paragraph" w:styleId="ListParagraph">
    <w:name w:val="List Paragraph"/>
    <w:basedOn w:val="Normal"/>
    <w:uiPriority w:val="34"/>
    <w:qFormat/>
    <w:rsid w:val="00075B58"/>
    <w:pPr>
      <w:spacing w:after="200" w:line="276" w:lineRule="auto"/>
      <w:ind w:left="720"/>
    </w:pPr>
    <w:rPr>
      <w:rFonts w:ascii="Calibri" w:eastAsia="Calibri" w:hAnsi="Calibri"/>
      <w:sz w:val="22"/>
      <w:szCs w:val="22"/>
      <w:lang w:eastAsia="en-US"/>
    </w:rPr>
  </w:style>
  <w:style w:type="character" w:styleId="HTMLCode">
    <w:name w:val="HTML Code"/>
    <w:basedOn w:val="DefaultParagraphFont"/>
    <w:uiPriority w:val="99"/>
    <w:unhideWhenUsed/>
    <w:rsid w:val="007822CF"/>
    <w:rPr>
      <w:rFonts w:ascii="Courier" w:eastAsia="Times New Roman" w:hAnsi="Courier" w:cs="Courier New" w:hint="default"/>
      <w:color w:val="000000"/>
      <w:sz w:val="20"/>
      <w:szCs w:val="20"/>
    </w:rPr>
  </w:style>
  <w:style w:type="character" w:customStyle="1" w:styleId="Heading2Char">
    <w:name w:val="Heading 2 Char"/>
    <w:basedOn w:val="DefaultParagraphFont"/>
    <w:link w:val="Heading2"/>
    <w:rsid w:val="00352A69"/>
    <w:rPr>
      <w:rFonts w:ascii="Arial" w:hAnsi="Arial"/>
      <w:b/>
      <w:sz w:val="22"/>
    </w:rPr>
  </w:style>
  <w:style w:type="character" w:customStyle="1" w:styleId="Heading1Char">
    <w:name w:val="Heading 1 Char"/>
    <w:basedOn w:val="DefaultParagraphFont"/>
    <w:link w:val="Heading1"/>
    <w:rsid w:val="00C822F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Cod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555F"/>
    <w:rPr>
      <w:sz w:val="24"/>
    </w:rPr>
  </w:style>
  <w:style w:type="paragraph" w:styleId="Heading1">
    <w:name w:val="heading 1"/>
    <w:basedOn w:val="Normal"/>
    <w:next w:val="Normal"/>
    <w:link w:val="Heading1Char"/>
    <w:qFormat/>
    <w:rsid w:val="00C822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9555F"/>
    <w:pPr>
      <w:keepNext/>
      <w:spacing w:after="120"/>
      <w:outlineLvl w:val="1"/>
    </w:pPr>
    <w:rPr>
      <w:rFonts w:ascii="Arial" w:hAnsi="Arial"/>
      <w:b/>
      <w:sz w:val="22"/>
    </w:rPr>
  </w:style>
  <w:style w:type="paragraph" w:styleId="Heading3">
    <w:name w:val="heading 3"/>
    <w:basedOn w:val="Normal"/>
    <w:next w:val="Normal"/>
    <w:qFormat/>
    <w:rsid w:val="00E5339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555F"/>
    <w:pPr>
      <w:tabs>
        <w:tab w:val="center" w:pos="4153"/>
        <w:tab w:val="right" w:pos="8306"/>
      </w:tabs>
    </w:pPr>
  </w:style>
  <w:style w:type="table" w:styleId="TableGrid">
    <w:name w:val="Table Grid"/>
    <w:basedOn w:val="TableNormal"/>
    <w:rsid w:val="00995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9555F"/>
    <w:pPr>
      <w:spacing w:before="100" w:beforeAutospacing="1" w:after="100" w:afterAutospacing="1"/>
    </w:pPr>
    <w:rPr>
      <w:szCs w:val="24"/>
    </w:rPr>
  </w:style>
  <w:style w:type="paragraph" w:styleId="Footer">
    <w:name w:val="footer"/>
    <w:basedOn w:val="Normal"/>
    <w:rsid w:val="00D4059C"/>
    <w:pPr>
      <w:tabs>
        <w:tab w:val="center" w:pos="4153"/>
        <w:tab w:val="right" w:pos="8306"/>
      </w:tabs>
    </w:pPr>
  </w:style>
  <w:style w:type="paragraph" w:styleId="Title">
    <w:name w:val="Title"/>
    <w:basedOn w:val="Normal"/>
    <w:next w:val="Normal"/>
    <w:qFormat/>
    <w:rsid w:val="00D4059C"/>
    <w:pPr>
      <w:spacing w:before="240" w:after="240"/>
    </w:pPr>
    <w:rPr>
      <w:rFonts w:ascii="Arial" w:hAnsi="Arial"/>
      <w:b/>
      <w:sz w:val="40"/>
      <w:lang w:eastAsia="en-US"/>
    </w:rPr>
  </w:style>
  <w:style w:type="paragraph" w:styleId="FootnoteText">
    <w:name w:val="footnote text"/>
    <w:basedOn w:val="Normal"/>
    <w:semiHidden/>
    <w:rsid w:val="00F35064"/>
    <w:rPr>
      <w:sz w:val="20"/>
    </w:rPr>
  </w:style>
  <w:style w:type="character" w:styleId="FootnoteReference">
    <w:name w:val="footnote reference"/>
    <w:basedOn w:val="DefaultParagraphFont"/>
    <w:semiHidden/>
    <w:rsid w:val="00F35064"/>
    <w:rPr>
      <w:vertAlign w:val="superscript"/>
    </w:rPr>
  </w:style>
  <w:style w:type="paragraph" w:styleId="BalloonText">
    <w:name w:val="Balloon Text"/>
    <w:basedOn w:val="Normal"/>
    <w:semiHidden/>
    <w:rsid w:val="00587443"/>
    <w:rPr>
      <w:rFonts w:ascii="Tahoma" w:hAnsi="Tahoma" w:cs="Tahoma"/>
      <w:sz w:val="16"/>
      <w:szCs w:val="16"/>
    </w:rPr>
  </w:style>
  <w:style w:type="character" w:styleId="CommentReference">
    <w:name w:val="annotation reference"/>
    <w:basedOn w:val="DefaultParagraphFont"/>
    <w:semiHidden/>
    <w:rsid w:val="00A26011"/>
    <w:rPr>
      <w:sz w:val="16"/>
      <w:szCs w:val="16"/>
    </w:rPr>
  </w:style>
  <w:style w:type="paragraph" w:styleId="CommentText">
    <w:name w:val="annotation text"/>
    <w:basedOn w:val="Normal"/>
    <w:semiHidden/>
    <w:rsid w:val="00A26011"/>
    <w:rPr>
      <w:sz w:val="20"/>
    </w:rPr>
  </w:style>
  <w:style w:type="paragraph" w:styleId="CommentSubject">
    <w:name w:val="annotation subject"/>
    <w:basedOn w:val="CommentText"/>
    <w:next w:val="CommentText"/>
    <w:semiHidden/>
    <w:rsid w:val="00A26011"/>
    <w:rPr>
      <w:b/>
      <w:bCs/>
    </w:rPr>
  </w:style>
  <w:style w:type="paragraph" w:customStyle="1" w:styleId="Heading1a">
    <w:name w:val="Heading 1a"/>
    <w:next w:val="Normal"/>
    <w:rsid w:val="00F86713"/>
    <w:pPr>
      <w:keepNext/>
      <w:keepLines/>
      <w:spacing w:before="480"/>
      <w:outlineLvl w:val="0"/>
    </w:pPr>
    <w:rPr>
      <w:rFonts w:ascii="Verdana" w:hAnsi="Verdana"/>
      <w:b/>
      <w:noProof/>
      <w:sz w:val="28"/>
    </w:rPr>
  </w:style>
  <w:style w:type="paragraph" w:customStyle="1" w:styleId="Char2">
    <w:name w:val="Char2"/>
    <w:basedOn w:val="Normal"/>
    <w:rsid w:val="00E53399"/>
    <w:pPr>
      <w:spacing w:after="160" w:line="240" w:lineRule="exact"/>
    </w:pPr>
    <w:rPr>
      <w:rFonts w:ascii="Verdana" w:hAnsi="Verdana"/>
      <w:sz w:val="21"/>
      <w:lang w:val="en-US" w:eastAsia="en-US"/>
    </w:rPr>
  </w:style>
  <w:style w:type="character" w:styleId="Hyperlink">
    <w:name w:val="Hyperlink"/>
    <w:basedOn w:val="DefaultParagraphFont"/>
    <w:rsid w:val="008F483C"/>
    <w:rPr>
      <w:color w:val="0000FF"/>
      <w:u w:val="single"/>
    </w:rPr>
  </w:style>
  <w:style w:type="paragraph" w:styleId="ListParagraph">
    <w:name w:val="List Paragraph"/>
    <w:basedOn w:val="Normal"/>
    <w:uiPriority w:val="34"/>
    <w:qFormat/>
    <w:rsid w:val="00075B58"/>
    <w:pPr>
      <w:spacing w:after="200" w:line="276" w:lineRule="auto"/>
      <w:ind w:left="720"/>
    </w:pPr>
    <w:rPr>
      <w:rFonts w:ascii="Calibri" w:eastAsia="Calibri" w:hAnsi="Calibri"/>
      <w:sz w:val="22"/>
      <w:szCs w:val="22"/>
      <w:lang w:eastAsia="en-US"/>
    </w:rPr>
  </w:style>
  <w:style w:type="character" w:styleId="HTMLCode">
    <w:name w:val="HTML Code"/>
    <w:basedOn w:val="DefaultParagraphFont"/>
    <w:uiPriority w:val="99"/>
    <w:unhideWhenUsed/>
    <w:rsid w:val="007822CF"/>
    <w:rPr>
      <w:rFonts w:ascii="Courier" w:eastAsia="Times New Roman" w:hAnsi="Courier" w:cs="Courier New" w:hint="default"/>
      <w:color w:val="000000"/>
      <w:sz w:val="20"/>
      <w:szCs w:val="20"/>
    </w:rPr>
  </w:style>
  <w:style w:type="character" w:customStyle="1" w:styleId="Heading2Char">
    <w:name w:val="Heading 2 Char"/>
    <w:basedOn w:val="DefaultParagraphFont"/>
    <w:link w:val="Heading2"/>
    <w:rsid w:val="00352A69"/>
    <w:rPr>
      <w:rFonts w:ascii="Arial" w:hAnsi="Arial"/>
      <w:b/>
      <w:sz w:val="22"/>
    </w:rPr>
  </w:style>
  <w:style w:type="character" w:customStyle="1" w:styleId="Heading1Char">
    <w:name w:val="Heading 1 Char"/>
    <w:basedOn w:val="DefaultParagraphFont"/>
    <w:link w:val="Heading1"/>
    <w:rsid w:val="00C822F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3421">
      <w:bodyDiv w:val="1"/>
      <w:marLeft w:val="75"/>
      <w:marRight w:val="75"/>
      <w:marTop w:val="75"/>
      <w:marBottom w:val="75"/>
      <w:divBdr>
        <w:top w:val="none" w:sz="0" w:space="0" w:color="auto"/>
        <w:left w:val="none" w:sz="0" w:space="0" w:color="auto"/>
        <w:bottom w:val="none" w:sz="0" w:space="0" w:color="auto"/>
        <w:right w:val="none" w:sz="0" w:space="0" w:color="auto"/>
      </w:divBdr>
    </w:div>
    <w:div w:id="233662652">
      <w:bodyDiv w:val="1"/>
      <w:marLeft w:val="0"/>
      <w:marRight w:val="0"/>
      <w:marTop w:val="0"/>
      <w:marBottom w:val="0"/>
      <w:divBdr>
        <w:top w:val="none" w:sz="0" w:space="0" w:color="auto"/>
        <w:left w:val="none" w:sz="0" w:space="0" w:color="auto"/>
        <w:bottom w:val="none" w:sz="0" w:space="0" w:color="auto"/>
        <w:right w:val="none" w:sz="0" w:space="0" w:color="auto"/>
      </w:divBdr>
    </w:div>
    <w:div w:id="641467596">
      <w:bodyDiv w:val="1"/>
      <w:marLeft w:val="0"/>
      <w:marRight w:val="0"/>
      <w:marTop w:val="0"/>
      <w:marBottom w:val="0"/>
      <w:divBdr>
        <w:top w:val="none" w:sz="0" w:space="0" w:color="auto"/>
        <w:left w:val="none" w:sz="0" w:space="0" w:color="auto"/>
        <w:bottom w:val="none" w:sz="0" w:space="0" w:color="auto"/>
        <w:right w:val="none" w:sz="0" w:space="0" w:color="auto"/>
      </w:divBdr>
    </w:div>
    <w:div w:id="746851216">
      <w:bodyDiv w:val="1"/>
      <w:marLeft w:val="0"/>
      <w:marRight w:val="0"/>
      <w:marTop w:val="0"/>
      <w:marBottom w:val="0"/>
      <w:divBdr>
        <w:top w:val="none" w:sz="0" w:space="0" w:color="auto"/>
        <w:left w:val="none" w:sz="0" w:space="0" w:color="auto"/>
        <w:bottom w:val="none" w:sz="0" w:space="0" w:color="auto"/>
        <w:right w:val="none" w:sz="0" w:space="0" w:color="auto"/>
      </w:divBdr>
    </w:div>
    <w:div w:id="892888556">
      <w:bodyDiv w:val="1"/>
      <w:marLeft w:val="0"/>
      <w:marRight w:val="0"/>
      <w:marTop w:val="0"/>
      <w:marBottom w:val="0"/>
      <w:divBdr>
        <w:top w:val="none" w:sz="0" w:space="0" w:color="auto"/>
        <w:left w:val="none" w:sz="0" w:space="0" w:color="auto"/>
        <w:bottom w:val="none" w:sz="0" w:space="0" w:color="auto"/>
        <w:right w:val="none" w:sz="0" w:space="0" w:color="auto"/>
      </w:divBdr>
    </w:div>
    <w:div w:id="1057170337">
      <w:bodyDiv w:val="1"/>
      <w:marLeft w:val="0"/>
      <w:marRight w:val="0"/>
      <w:marTop w:val="0"/>
      <w:marBottom w:val="0"/>
      <w:divBdr>
        <w:top w:val="none" w:sz="0" w:space="0" w:color="auto"/>
        <w:left w:val="none" w:sz="0" w:space="0" w:color="auto"/>
        <w:bottom w:val="none" w:sz="0" w:space="0" w:color="auto"/>
        <w:right w:val="none" w:sz="0" w:space="0" w:color="auto"/>
      </w:divBdr>
    </w:div>
    <w:div w:id="1093629081">
      <w:bodyDiv w:val="1"/>
      <w:marLeft w:val="84"/>
      <w:marRight w:val="84"/>
      <w:marTop w:val="84"/>
      <w:marBottom w:val="84"/>
      <w:divBdr>
        <w:top w:val="none" w:sz="0" w:space="0" w:color="auto"/>
        <w:left w:val="none" w:sz="0" w:space="0" w:color="auto"/>
        <w:bottom w:val="none" w:sz="0" w:space="0" w:color="auto"/>
        <w:right w:val="none" w:sz="0" w:space="0" w:color="auto"/>
      </w:divBdr>
    </w:div>
    <w:div w:id="1196583756">
      <w:bodyDiv w:val="1"/>
      <w:marLeft w:val="0"/>
      <w:marRight w:val="0"/>
      <w:marTop w:val="0"/>
      <w:marBottom w:val="0"/>
      <w:divBdr>
        <w:top w:val="none" w:sz="0" w:space="0" w:color="auto"/>
        <w:left w:val="none" w:sz="0" w:space="0" w:color="auto"/>
        <w:bottom w:val="none" w:sz="0" w:space="0" w:color="auto"/>
        <w:right w:val="none" w:sz="0" w:space="0" w:color="auto"/>
      </w:divBdr>
    </w:div>
    <w:div w:id="1434935377">
      <w:bodyDiv w:val="1"/>
      <w:marLeft w:val="0"/>
      <w:marRight w:val="0"/>
      <w:marTop w:val="0"/>
      <w:marBottom w:val="0"/>
      <w:divBdr>
        <w:top w:val="none" w:sz="0" w:space="0" w:color="auto"/>
        <w:left w:val="none" w:sz="0" w:space="0" w:color="auto"/>
        <w:bottom w:val="none" w:sz="0" w:space="0" w:color="auto"/>
        <w:right w:val="none" w:sz="0" w:space="0" w:color="auto"/>
      </w:divBdr>
    </w:div>
    <w:div w:id="1504277931">
      <w:bodyDiv w:val="1"/>
      <w:marLeft w:val="75"/>
      <w:marRight w:val="75"/>
      <w:marTop w:val="75"/>
      <w:marBottom w:val="75"/>
      <w:divBdr>
        <w:top w:val="none" w:sz="0" w:space="0" w:color="auto"/>
        <w:left w:val="none" w:sz="0" w:space="0" w:color="auto"/>
        <w:bottom w:val="none" w:sz="0" w:space="0" w:color="auto"/>
        <w:right w:val="none" w:sz="0" w:space="0" w:color="auto"/>
      </w:divBdr>
    </w:div>
    <w:div w:id="2101681970">
      <w:bodyDiv w:val="1"/>
      <w:marLeft w:val="75"/>
      <w:marRight w:val="75"/>
      <w:marTop w:val="75"/>
      <w:marBottom w:val="75"/>
      <w:divBdr>
        <w:top w:val="none" w:sz="0" w:space="0" w:color="auto"/>
        <w:left w:val="none" w:sz="0" w:space="0" w:color="auto"/>
        <w:bottom w:val="none" w:sz="0" w:space="0" w:color="auto"/>
        <w:right w:val="none" w:sz="0" w:space="0" w:color="auto"/>
      </w:divBdr>
      <w:divsChild>
        <w:div w:id="2114087980">
          <w:blockQuote w:val="1"/>
          <w:marLeft w:val="750"/>
          <w:marRight w:val="750"/>
          <w:marTop w:val="100"/>
          <w:marBottom w:val="100"/>
          <w:divBdr>
            <w:top w:val="none" w:sz="0" w:space="0" w:color="auto"/>
            <w:left w:val="none" w:sz="0" w:space="0" w:color="auto"/>
            <w:bottom w:val="none" w:sz="0" w:space="0" w:color="auto"/>
            <w:right w:val="none" w:sz="0" w:space="0" w:color="auto"/>
          </w:divBdr>
        </w:div>
      </w:divsChild>
    </w:div>
    <w:div w:id="2112429026">
      <w:bodyDiv w:val="1"/>
      <w:marLeft w:val="84"/>
      <w:marRight w:val="84"/>
      <w:marTop w:val="84"/>
      <w:marBottom w:val="84"/>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2.xml><?xml version="1.0" encoding="utf-8"?>
<?mso-contentType ?>
<customXsn xmlns="http://schemas.microsoft.com/office/2006/metadata/customXsn">
  <xsnLocation/>
  <cached>True</cached>
  <openByDefault>False</openByDefault>
  <xsnScope>http://sharepoint</xsnScope>
</customXsn>
</file>

<file path=customXml/item3.xml><?xml version="1.0" encoding="utf-8"?>
<ct:contentTypeSchema xmlns:ct="http://schemas.microsoft.com/office/2006/metadata/contentType" xmlns:ma="http://schemas.microsoft.com/office/2006/metadata/properties/metaAttributes" ct:_="" ma:_="" ma:contentTypeName="Word" ma:contentTypeID="0x010100A64679C44DADA04984EEB770C4791873006B50A42D46FE94428A184B3B20B7217F" ma:contentTypeVersion="35" ma:contentTypeDescription="" ma:contentTypeScope="" ma:versionID="e773647e27c0f1d9ab2830c763788f1d">
  <xsd:schema xmlns:xsd="http://www.w3.org/2001/XMLSchema" xmlns:xs="http://www.w3.org/2001/XMLSchema" xmlns:p="http://schemas.microsoft.com/office/2006/metadata/properties" xmlns:ns1="http://schemas.microsoft.com/sharepoint/v3" xmlns:ns2="5e039acd-daf0-4ba3-b421-e9b9ae1a3620" xmlns:ns3="c65f9449-2a65-4a94-823f-6ddb40b10aaa" targetNamespace="http://schemas.microsoft.com/office/2006/metadata/properties" ma:root="true" ma:fieldsID="1597e6db0912cf2de84e230bc53b01cd" ns1:_="" ns2:_="" ns3:_="">
    <xsd:import namespace="http://schemas.microsoft.com/sharepoint/v3"/>
    <xsd:import namespace="5e039acd-daf0-4ba3-b421-e9b9ae1a3620"/>
    <xsd:import namespace="c65f9449-2a65-4a94-823f-6ddb40b10aaa"/>
    <xsd:element name="properties">
      <xsd:complexType>
        <xsd:sequence>
          <xsd:element name="documentManagement">
            <xsd:complexType>
              <xsd:all>
                <xsd:element ref="ns2:_dlc_DocId" minOccurs="0"/>
                <xsd:element ref="ns2:_dlc_DocIdUrl" minOccurs="0"/>
                <xsd:element ref="ns2:_dlc_DocIdPersistId" minOccurs="0"/>
                <xsd:element ref="ns2:n1a6d2b88979416cad2cc3ecb331e44a" minOccurs="0"/>
                <xsd:element ref="ns2:TaxCatchAll" minOccurs="0"/>
                <xsd:element ref="ns2:TaxCatchAllLabel" minOccurs="0"/>
                <xsd:element ref="ns1:_dlc_Exempt" minOccurs="0"/>
                <xsd:element ref="ns1:_dlc_ExpireDateSaved" minOccurs="0"/>
                <xsd:element ref="ns1:_dlc_ExpireDate" minOccurs="0"/>
                <xsd:element ref="ns3:Branch" minOccurs="0"/>
                <xsd:element ref="ns3:Category"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element name="_dlc_ExpireDateSaved" ma:index="16" nillable="true" ma:displayName="Original Expiration Date" ma:hidden="true" ma:internalName="_dlc_ExpireDateSaved" ma:readOnly="true">
      <xsd:simpleType>
        <xsd:restriction base="dms:DateTime"/>
      </xsd:simpleType>
    </xsd:element>
    <xsd:element name="_dlc_ExpireDate" ma:index="1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039acd-daf0-4ba3-b421-e9b9ae1a36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n1a6d2b88979416cad2cc3ecb331e44a" ma:index="11" ma:taxonomy="true" ma:internalName="n1a6d2b88979416cad2cc3ecb331e44a" ma:taxonomyFieldName="Security_x0020_Classification" ma:displayName="Security Classification" ma:readOnly="false" ma:default="1;#UNCLASSIFIED|1bbb598d-ed8e-4faa-b9b5-c952cc7313f8" ma:fieldId="{71a6d2b8-8979-416c-ad2c-c3ecb331e44a}" ma:sspId="552124a6-5639-4054-9398-f49b47b0070b" ma:termSetId="01e0d8d2-6959-4708-b4cf-d9f24a977c8f"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ec2003f9-3252-44e8-804f-d5d14dd81ab1}" ma:internalName="TaxCatchAll" ma:showField="CatchAllData" ma:web="5e039acd-daf0-4ba3-b421-e9b9ae1a362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ec2003f9-3252-44e8-804f-d5d14dd81ab1}" ma:internalName="TaxCatchAllLabel" ma:readOnly="true" ma:showField="CatchAllDataLabel" ma:web="5e039acd-daf0-4ba3-b421-e9b9ae1a3620">
      <xsd:complexType>
        <xsd:complexContent>
          <xsd:extension base="dms:MultiChoiceLookup">
            <xsd:sequence>
              <xsd:element name="Value" type="dms:Lookup" maxOccurs="unbounded" minOccurs="0" nillable="true"/>
            </xsd:sequence>
          </xsd:extension>
        </xsd:complexContent>
      </xsd:complexType>
    </xsd:element>
    <xsd:element name="TaxKeywordTaxHTField" ma:index="21" nillable="true" ma:taxonomy="true" ma:internalName="TaxKeywordTaxHTField" ma:taxonomyFieldName="TaxKeyword" ma:displayName="Enterprise Keywords" ma:fieldId="{23f27201-bee3-471e-b2e7-b64fd8b7ca38}" ma:taxonomyMulti="true" ma:sspId="552124a6-5639-4054-9398-f49b47b0070b"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5f9449-2a65-4a94-823f-6ddb40b10aaa" elementFormDefault="qualified">
    <xsd:import namespace="http://schemas.microsoft.com/office/2006/documentManagement/types"/>
    <xsd:import namespace="http://schemas.microsoft.com/office/infopath/2007/PartnerControls"/>
    <xsd:element name="Branch" ma:index="18" nillable="true" ma:displayName="Branch" ma:format="Dropdown" ma:internalName="Branch">
      <xsd:simpleType>
        <xsd:restriction base="dms:Choice">
          <xsd:enumeration value="Revenue Analysis Branch"/>
          <xsd:enumeration value="Law Design &amp; Governance"/>
          <xsd:enumeration value="ATO Design &amp; Innovation"/>
          <xsd:enumeration value="ATO Policy Integration"/>
          <xsd:enumeration value="ITD Business Management"/>
        </xsd:restriction>
      </xsd:simpleType>
    </xsd:element>
    <xsd:element name="Category" ma:index="19" nillable="true" ma:displayName="Category" ma:internalName="Category" ma:requiredMultiChoice="true">
      <xsd:complexType>
        <xsd:complexContent>
          <xsd:extension base="dms:MultiChoice">
            <xsd:sequence>
              <xsd:element name="Value" maxOccurs="unbounded" minOccurs="0" nillable="true">
                <xsd:simpleType>
                  <xsd:restriction base="dms:Choice">
                    <xsd:enumeration value="ITD Talks"/>
                    <xsd:enumeration value="ITD Forum"/>
                    <xsd:enumeration value="Policy Advice"/>
                    <xsd:enumeration value="Data analysis"/>
                    <xsd:enumeration value="Tax Reviews"/>
                    <xsd:enumeration value="Early engagement"/>
                    <xsd:enumeration value="Government relations"/>
                    <xsd:enumeration value="Costings"/>
                    <xsd:enumeration value="ITD Matters"/>
                    <xsd:enumeration value="How to guides"/>
                    <xsd:enumeration value="Governance"/>
                    <xsd:enumeration value="Stakeholder engagement"/>
                    <xsd:enumeration value="Risk management"/>
                    <xsd:enumeration value="Technical advice"/>
                    <xsd:enumeration value="Secondments"/>
                    <xsd:enumeration value="Rotations"/>
                    <xsd:enumeration value="Graduates"/>
                    <xsd:enumeration value="L&amp;D"/>
                    <xsd:enumeration value="Project management"/>
                    <xsd:enumeration value="Technology"/>
                    <xsd:enumeration value="Capability plan"/>
                    <xsd:enumeration value="Innovation"/>
                    <xsd:enumeration value="Support"/>
                    <xsd:enumeration value="Self Service Framework"/>
                    <xsd:enumeration value="Design groups"/>
                    <xsd:enumeration value="Branch Pla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Word</p:Name>
  <p:Description/>
  <p:Statement/>
  <p:PolicyItems>
    <p:PolicyItem featureId="Microsoft.Office.RecordsManagement.PolicyFeatures.Expiration" staticId="0x010100A64679C44DADA04984EEB770C4791873|1060299444" UniqueId="4cb30c36-7391-4ddd-ab56-a47c5a5217a7">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10</number>
                  <property>Modified</property>
                  <propertyId>28cf69c5-fa48-462a-b5cd-27b6f9d2bd5f</propertyId>
                  <period>years</period>
                </formula>
                <action type="action" id="Microsoft.Office.RecordsManagement.PolicyFeatures.Expiration.Action.Delete"/>
              </data>
            </stages>
          </Schedule>
        </Schedules>
      </p:CustomData>
    </p:PolicyItem>
  </p:PolicyItems>
</p:Policy>
</file>

<file path=customXml/item6.xml><?xml version="1.0" encoding="utf-8"?>
<p:properties xmlns:p="http://schemas.microsoft.com/office/2006/metadata/properties" xmlns:xsi="http://www.w3.org/2001/XMLSchema-instance" xmlns:pc="http://schemas.microsoft.com/office/infopath/2007/PartnerControls">
  <documentManagement>
    <Category xmlns="c65f9449-2a65-4a94-823f-6ddb40b10aaa">
      <Value>Governance</Value>
    </Category>
    <TaxKeywordTaxHTField xmlns="5e039acd-daf0-4ba3-b421-e9b9ae1a3620">
      <Terms xmlns="http://schemas.microsoft.com/office/infopath/2007/PartnerControls"/>
    </TaxKeywordTaxHTField>
    <n1a6d2b88979416cad2cc3ecb331e44a xmlns="5e039acd-daf0-4ba3-b421-e9b9ae1a362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1bbb598d-ed8e-4faa-b9b5-c952cc7313f8</TermId>
        </TermInfo>
      </Terms>
    </n1a6d2b88979416cad2cc3ecb331e44a>
    <Branch xmlns="c65f9449-2a65-4a94-823f-6ddb40b10aaa">Law Design &amp; Governance</Branch>
    <TaxCatchAll xmlns="5e039acd-daf0-4ba3-b421-e9b9ae1a3620">
      <Value>1</Value>
    </TaxCatchAll>
    <_dlc_ExpireDateSaved xmlns="http://schemas.microsoft.com/sharepoint/v3" xsi:nil="true"/>
    <_dlc_ExpireDate xmlns="http://schemas.microsoft.com/sharepoint/v3">2025-09-30T01:55:37+00:00</_dlc_ExpireDate>
    <_dlc_DocId xmlns="5e039acd-daf0-4ba3-b421-e9b9ae1a3620">5YHNKJZSV77T-1853-1466</_dlc_DocId>
    <_dlc_DocIdUrl xmlns="5e039acd-daf0-4ba3-b421-e9b9ae1a3620">
      <Url>http://sharepoint/GASites/IntegratedTaxDesign/_layouts/DocIdRedir.aspx?ID=5YHNKJZSV77T-1853-1466</Url>
      <Description>5YHNKJZSV77T-1853-1466</Description>
    </_dlc_DocIdUrl>
  </documentManagement>
</p:properties>
</file>

<file path=customXml/itemProps1.xml><?xml version="1.0" encoding="utf-8"?>
<ds:datastoreItem xmlns:ds="http://schemas.openxmlformats.org/officeDocument/2006/customXml" ds:itemID="{9BBF1B00-FC19-4B1C-9D8B-7145DEC969EB}">
  <ds:schemaRefs>
    <ds:schemaRef ds:uri="http://schemas.microsoft.com/sharepoint/events"/>
  </ds:schemaRefs>
</ds:datastoreItem>
</file>

<file path=customXml/itemProps2.xml><?xml version="1.0" encoding="utf-8"?>
<ds:datastoreItem xmlns:ds="http://schemas.openxmlformats.org/officeDocument/2006/customXml" ds:itemID="{D3BF56F5-71FC-48FA-B98E-E9A58F8032CA}">
  <ds:schemaRefs>
    <ds:schemaRef ds:uri="http://schemas.microsoft.com/office/2006/metadata/customXsn"/>
  </ds:schemaRefs>
</ds:datastoreItem>
</file>

<file path=customXml/itemProps3.xml><?xml version="1.0" encoding="utf-8"?>
<ds:datastoreItem xmlns:ds="http://schemas.openxmlformats.org/officeDocument/2006/customXml" ds:itemID="{95D88B28-DE47-49D5-A4AD-DA3E31832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039acd-daf0-4ba3-b421-e9b9ae1a3620"/>
    <ds:schemaRef ds:uri="c65f9449-2a65-4a94-823f-6ddb40b10a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D21B34-0B68-411B-A3EA-94C6FDB92CD2}">
  <ds:schemaRefs>
    <ds:schemaRef ds:uri="http://schemas.microsoft.com/sharepoint/v3/contenttype/forms"/>
  </ds:schemaRefs>
</ds:datastoreItem>
</file>

<file path=customXml/itemProps5.xml><?xml version="1.0" encoding="utf-8"?>
<ds:datastoreItem xmlns:ds="http://schemas.openxmlformats.org/officeDocument/2006/customXml" ds:itemID="{9092B523-521B-4F01-8DAB-0EC284B7888D}">
  <ds:schemaRefs>
    <ds:schemaRef ds:uri="office.server.policy"/>
  </ds:schemaRefs>
</ds:datastoreItem>
</file>

<file path=customXml/itemProps6.xml><?xml version="1.0" encoding="utf-8"?>
<ds:datastoreItem xmlns:ds="http://schemas.openxmlformats.org/officeDocument/2006/customXml" ds:itemID="{2CD597C1-B965-4E1A-A465-326C0C3A3173}">
  <ds:schemaRefs>
    <ds:schemaRef ds:uri="http://schemas.microsoft.com/office/2006/metadata/properties"/>
    <ds:schemaRef ds:uri="http://schemas.microsoft.com/office/infopath/2007/PartnerControls"/>
    <ds:schemaRef ds:uri="c65f9449-2a65-4a94-823f-6ddb40b10aaa"/>
    <ds:schemaRef ds:uri="5e039acd-daf0-4ba3-b421-e9b9ae1a362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1062</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[INSERT HERE THE TITLE OF THE INSTRUMENT] Legislative Instrument 200X</vt:lpstr>
    </vt:vector>
  </TitlesOfParts>
  <Company>Australian Taxation Office</Company>
  <LinksUpToDate>false</LinksUpToDate>
  <CharactersWithSpaces>7108</CharactersWithSpaces>
  <SharedDoc>false</SharedDoc>
  <HLinks>
    <vt:vector size="12" baseType="variant">
      <vt:variant>
        <vt:i4>131145</vt:i4>
      </vt:variant>
      <vt:variant>
        <vt:i4>3</vt:i4>
      </vt:variant>
      <vt:variant>
        <vt:i4>0</vt:i4>
      </vt:variant>
      <vt:variant>
        <vt:i4>5</vt:i4>
      </vt:variant>
      <vt:variant>
        <vt:lpwstr>http://www.ag.gov.au/Humanrightsandantidiscrimination/Pages/Statements-of-Compatibility-templates.aspx</vt:lpwstr>
      </vt:variant>
      <vt:variant>
        <vt:lpwstr>doesnot</vt:lpwstr>
      </vt:variant>
      <vt:variant>
        <vt:i4>131145</vt:i4>
      </vt:variant>
      <vt:variant>
        <vt:i4>0</vt:i4>
      </vt:variant>
      <vt:variant>
        <vt:i4>0</vt:i4>
      </vt:variant>
      <vt:variant>
        <vt:i4>5</vt:i4>
      </vt:variant>
      <vt:variant>
        <vt:lpwstr>http://www.ag.gov.au/Humanrightsandantidiscrimination/Pages/Statements-of-Compatibility-templates.aspx</vt:lpwstr>
      </vt:variant>
      <vt:variant>
        <vt:lpwstr>doesnot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HERE THE TITLE OF THE INSTRUMENT] Legislative Instrument 200X</dc:title>
  <dc:creator>ubafu</dc:creator>
  <cp:lastModifiedBy>James-Velagic, Amy</cp:lastModifiedBy>
  <cp:revision>5</cp:revision>
  <cp:lastPrinted>2017-05-24T00:03:00Z</cp:lastPrinted>
  <dcterms:created xsi:type="dcterms:W3CDTF">2017-05-24T00:02:00Z</dcterms:created>
  <dcterms:modified xsi:type="dcterms:W3CDTF">2017-05-29T22:38:00Z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0x010100A64679C44DADA04984EEB770C4791873006B50A42D46FE94428A184B3B20B7217F</vt:lpwstr>
  </property>
  <property fmtid="{D5CDD505-2E9C-101B-9397-08002B2CF9AE}" pid="3" name="_dlc_policyId">
    <vt:lpwstr>0x010100A64679C44DADA04984EEB770C4791873|1060299444</vt:lpwstr>
  </property>
  <property fmtid="{D5CDD505-2E9C-101B-9397-08002B2CF9AE}" pid="4"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5" name="_dlc_DocIdItemGuid">
    <vt:lpwstr>b7595fec-83a9-468b-b75f-c1145ef2e88e</vt:lpwstr>
  </property>
  <property fmtid="{D5CDD505-2E9C-101B-9397-08002B2CF9AE}" pid="6" name="TaxKeyword">
    <vt:lpwstr/>
  </property>
  <property fmtid="{D5CDD505-2E9C-101B-9397-08002B2CF9AE}" pid="7" name="Security Classification">
    <vt:lpwstr>1;#UNCLASSIFIED|1bbb598d-ed8e-4faa-b9b5-c952cc7313f8</vt:lpwstr>
  </property>
</Properties>
</file>