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7D66DA" w:rsidRDefault="00193461" w:rsidP="00C63713">
      <w:pPr>
        <w:rPr>
          <w:sz w:val="28"/>
        </w:rPr>
      </w:pPr>
      <w:r w:rsidRPr="007D66DA">
        <w:rPr>
          <w:noProof/>
          <w:lang w:eastAsia="en-AU"/>
        </w:rPr>
        <w:drawing>
          <wp:inline distT="0" distB="0" distL="0" distR="0" wp14:anchorId="5F9C4DDC" wp14:editId="0A63E7FD">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D66DA" w:rsidRDefault="0048364F" w:rsidP="0048364F">
      <w:pPr>
        <w:rPr>
          <w:sz w:val="19"/>
        </w:rPr>
      </w:pPr>
    </w:p>
    <w:p w:rsidR="0048364F" w:rsidRPr="007D66DA" w:rsidRDefault="007C7F0C" w:rsidP="0048364F">
      <w:pPr>
        <w:pStyle w:val="ShortT"/>
      </w:pPr>
      <w:r w:rsidRPr="007D66DA">
        <w:t>Foreign Acquisitions and Takeovers Fee</w:t>
      </w:r>
      <w:r w:rsidR="00452030" w:rsidRPr="007D66DA">
        <w:t>s</w:t>
      </w:r>
      <w:r w:rsidRPr="007D66DA">
        <w:t xml:space="preserve"> Imposition Amendment (Fee Streamlining) Regulation</w:t>
      </w:r>
      <w:r w:rsidR="002433BB" w:rsidRPr="007D66DA">
        <w:t>s</w:t>
      </w:r>
      <w:r w:rsidR="007D66DA" w:rsidRPr="007D66DA">
        <w:t> </w:t>
      </w:r>
      <w:r w:rsidRPr="007D66DA">
        <w:t>2017</w:t>
      </w:r>
    </w:p>
    <w:p w:rsidR="007C7F0C" w:rsidRPr="007D66DA" w:rsidRDefault="007C7F0C" w:rsidP="00CC6C8B">
      <w:pPr>
        <w:pStyle w:val="SignCoverPageStart"/>
        <w:spacing w:before="240"/>
        <w:rPr>
          <w:szCs w:val="22"/>
        </w:rPr>
      </w:pPr>
      <w:r w:rsidRPr="007D66DA">
        <w:rPr>
          <w:szCs w:val="22"/>
        </w:rPr>
        <w:t xml:space="preserve">I, General the Honourable Sir Peter Cosgrove AK MC (Ret’d), </w:t>
      </w:r>
      <w:r w:rsidR="007D66DA" w:rsidRPr="007D66DA">
        <w:rPr>
          <w:szCs w:val="22"/>
        </w:rPr>
        <w:t>Governor</w:t>
      </w:r>
      <w:r w:rsidR="007D66DA">
        <w:rPr>
          <w:szCs w:val="22"/>
        </w:rPr>
        <w:noBreakHyphen/>
      </w:r>
      <w:r w:rsidR="007D66DA" w:rsidRPr="007D66DA">
        <w:rPr>
          <w:szCs w:val="22"/>
        </w:rPr>
        <w:t>General</w:t>
      </w:r>
      <w:r w:rsidRPr="007D66DA">
        <w:rPr>
          <w:szCs w:val="22"/>
        </w:rPr>
        <w:t xml:space="preserve"> of the Commonwealth of Australia, acting with the advice of the Federal Executive Council, make the following regulation</w:t>
      </w:r>
      <w:r w:rsidR="008A6E0D" w:rsidRPr="007D66DA">
        <w:rPr>
          <w:szCs w:val="22"/>
        </w:rPr>
        <w:t>s</w:t>
      </w:r>
      <w:r w:rsidRPr="007D66DA">
        <w:rPr>
          <w:szCs w:val="22"/>
        </w:rPr>
        <w:t>.</w:t>
      </w:r>
    </w:p>
    <w:p w:rsidR="007C7F0C" w:rsidRPr="007D66DA" w:rsidRDefault="007C7F0C" w:rsidP="00CC6C8B">
      <w:pPr>
        <w:keepNext/>
        <w:spacing w:before="720" w:line="240" w:lineRule="atLeast"/>
        <w:ind w:right="397"/>
        <w:jc w:val="both"/>
        <w:rPr>
          <w:szCs w:val="22"/>
        </w:rPr>
      </w:pPr>
      <w:r w:rsidRPr="007D66DA">
        <w:rPr>
          <w:szCs w:val="22"/>
        </w:rPr>
        <w:t xml:space="preserve">Dated </w:t>
      </w:r>
      <w:bookmarkStart w:id="0" w:name="BKCheck15B_1"/>
      <w:bookmarkEnd w:id="0"/>
      <w:r w:rsidRPr="007D66DA">
        <w:rPr>
          <w:szCs w:val="22"/>
        </w:rPr>
        <w:fldChar w:fldCharType="begin"/>
      </w:r>
      <w:r w:rsidRPr="007D66DA">
        <w:rPr>
          <w:szCs w:val="22"/>
        </w:rPr>
        <w:instrText xml:space="preserve"> DOCPROPERTY  DateMade </w:instrText>
      </w:r>
      <w:r w:rsidRPr="007D66DA">
        <w:rPr>
          <w:szCs w:val="22"/>
        </w:rPr>
        <w:fldChar w:fldCharType="separate"/>
      </w:r>
      <w:r w:rsidR="00037BA6">
        <w:rPr>
          <w:szCs w:val="22"/>
        </w:rPr>
        <w:t>27 June 2017</w:t>
      </w:r>
      <w:r w:rsidRPr="007D66DA">
        <w:rPr>
          <w:szCs w:val="22"/>
        </w:rPr>
        <w:fldChar w:fldCharType="end"/>
      </w:r>
    </w:p>
    <w:p w:rsidR="007C7F0C" w:rsidRPr="007D66DA" w:rsidRDefault="007C7F0C" w:rsidP="00CC6C8B">
      <w:pPr>
        <w:keepNext/>
        <w:tabs>
          <w:tab w:val="left" w:pos="3402"/>
        </w:tabs>
        <w:spacing w:before="1080" w:line="300" w:lineRule="atLeast"/>
        <w:ind w:left="397" w:right="397"/>
        <w:jc w:val="right"/>
        <w:rPr>
          <w:szCs w:val="22"/>
        </w:rPr>
      </w:pPr>
      <w:r w:rsidRPr="007D66DA">
        <w:rPr>
          <w:szCs w:val="22"/>
        </w:rPr>
        <w:t>Peter Cosgrove</w:t>
      </w:r>
    </w:p>
    <w:p w:rsidR="007C7F0C" w:rsidRPr="007D66DA" w:rsidRDefault="007D66DA" w:rsidP="00CC6C8B">
      <w:pPr>
        <w:keepNext/>
        <w:tabs>
          <w:tab w:val="left" w:pos="3402"/>
        </w:tabs>
        <w:spacing w:line="300" w:lineRule="atLeast"/>
        <w:ind w:left="397" w:right="397"/>
        <w:jc w:val="right"/>
        <w:rPr>
          <w:szCs w:val="22"/>
        </w:rPr>
      </w:pPr>
      <w:r w:rsidRPr="007D66DA">
        <w:rPr>
          <w:szCs w:val="22"/>
        </w:rPr>
        <w:t>Governor</w:t>
      </w:r>
      <w:r>
        <w:rPr>
          <w:szCs w:val="22"/>
        </w:rPr>
        <w:noBreakHyphen/>
      </w:r>
      <w:r w:rsidRPr="007D66DA">
        <w:rPr>
          <w:szCs w:val="22"/>
        </w:rPr>
        <w:t>General</w:t>
      </w:r>
    </w:p>
    <w:p w:rsidR="007C7F0C" w:rsidRPr="007D66DA" w:rsidRDefault="007C7F0C" w:rsidP="00CC6C8B">
      <w:pPr>
        <w:keepNext/>
        <w:tabs>
          <w:tab w:val="left" w:pos="3402"/>
        </w:tabs>
        <w:spacing w:before="840" w:after="1080" w:line="300" w:lineRule="atLeast"/>
        <w:ind w:right="397"/>
        <w:rPr>
          <w:szCs w:val="22"/>
        </w:rPr>
      </w:pPr>
      <w:r w:rsidRPr="007D66DA">
        <w:rPr>
          <w:szCs w:val="22"/>
        </w:rPr>
        <w:t>By His Excellency’s Command</w:t>
      </w:r>
    </w:p>
    <w:p w:rsidR="007C7F0C" w:rsidRPr="007D66DA" w:rsidRDefault="007C7F0C" w:rsidP="00CC6C8B">
      <w:pPr>
        <w:keepNext/>
        <w:tabs>
          <w:tab w:val="left" w:pos="3402"/>
        </w:tabs>
        <w:spacing w:before="480" w:line="300" w:lineRule="atLeast"/>
        <w:ind w:right="397"/>
        <w:rPr>
          <w:szCs w:val="22"/>
        </w:rPr>
      </w:pPr>
      <w:r w:rsidRPr="007D66DA">
        <w:rPr>
          <w:szCs w:val="22"/>
        </w:rPr>
        <w:t>Scott Morrison</w:t>
      </w:r>
    </w:p>
    <w:p w:rsidR="007C7F0C" w:rsidRPr="007D66DA" w:rsidRDefault="007C7F0C" w:rsidP="00CC6C8B">
      <w:pPr>
        <w:pStyle w:val="SignCoverPageEnd"/>
        <w:rPr>
          <w:szCs w:val="22"/>
        </w:rPr>
      </w:pPr>
      <w:r w:rsidRPr="007D66DA">
        <w:rPr>
          <w:szCs w:val="22"/>
        </w:rPr>
        <w:t>Treasurer</w:t>
      </w:r>
    </w:p>
    <w:p w:rsidR="007C7F0C" w:rsidRPr="007D66DA" w:rsidRDefault="007C7F0C" w:rsidP="00CC6C8B"/>
    <w:p w:rsidR="007C7F0C" w:rsidRPr="007D66DA" w:rsidRDefault="007C7F0C" w:rsidP="00CC6C8B"/>
    <w:p w:rsidR="007C7F0C" w:rsidRPr="007D66DA" w:rsidRDefault="007C7F0C" w:rsidP="00CC6C8B"/>
    <w:p w:rsidR="007C7F0C" w:rsidRPr="007D66DA" w:rsidRDefault="007C7F0C" w:rsidP="007C7F0C"/>
    <w:p w:rsidR="0048364F" w:rsidRPr="007D66DA" w:rsidRDefault="0048364F" w:rsidP="0048364F">
      <w:pPr>
        <w:pStyle w:val="Header"/>
        <w:tabs>
          <w:tab w:val="clear" w:pos="4150"/>
          <w:tab w:val="clear" w:pos="8307"/>
        </w:tabs>
      </w:pPr>
      <w:r w:rsidRPr="007D66DA">
        <w:rPr>
          <w:rStyle w:val="CharAmSchNo"/>
        </w:rPr>
        <w:t xml:space="preserve"> </w:t>
      </w:r>
      <w:r w:rsidRPr="007D66DA">
        <w:rPr>
          <w:rStyle w:val="CharAmSchText"/>
        </w:rPr>
        <w:t xml:space="preserve"> </w:t>
      </w:r>
    </w:p>
    <w:p w:rsidR="0048364F" w:rsidRPr="007D66DA" w:rsidRDefault="0048364F" w:rsidP="0048364F">
      <w:pPr>
        <w:pStyle w:val="Header"/>
        <w:tabs>
          <w:tab w:val="clear" w:pos="4150"/>
          <w:tab w:val="clear" w:pos="8307"/>
        </w:tabs>
      </w:pPr>
      <w:r w:rsidRPr="007D66DA">
        <w:rPr>
          <w:rStyle w:val="CharAmPartNo"/>
        </w:rPr>
        <w:t xml:space="preserve"> </w:t>
      </w:r>
      <w:r w:rsidRPr="007D66DA">
        <w:rPr>
          <w:rStyle w:val="CharAmPartText"/>
        </w:rPr>
        <w:t xml:space="preserve"> </w:t>
      </w:r>
    </w:p>
    <w:p w:rsidR="0048364F" w:rsidRPr="007D66DA" w:rsidRDefault="0048364F" w:rsidP="0048364F">
      <w:pPr>
        <w:sectPr w:rsidR="0048364F" w:rsidRPr="007D66DA" w:rsidSect="00F71D4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48364F" w:rsidRPr="007D66DA" w:rsidRDefault="0048364F" w:rsidP="0039680F">
      <w:pPr>
        <w:rPr>
          <w:sz w:val="36"/>
        </w:rPr>
      </w:pPr>
      <w:r w:rsidRPr="007D66DA">
        <w:rPr>
          <w:sz w:val="36"/>
        </w:rPr>
        <w:lastRenderedPageBreak/>
        <w:t>Contents</w:t>
      </w:r>
    </w:p>
    <w:bookmarkStart w:id="1" w:name="BKCheck15B_2"/>
    <w:bookmarkEnd w:id="1"/>
    <w:p w:rsidR="0048077D" w:rsidRPr="007D66DA" w:rsidRDefault="0048077D">
      <w:pPr>
        <w:pStyle w:val="TOC5"/>
        <w:rPr>
          <w:rFonts w:asciiTheme="minorHAnsi" w:eastAsiaTheme="minorEastAsia" w:hAnsiTheme="minorHAnsi" w:cstheme="minorBidi"/>
          <w:noProof/>
          <w:kern w:val="0"/>
          <w:sz w:val="22"/>
          <w:szCs w:val="22"/>
        </w:rPr>
      </w:pPr>
      <w:r w:rsidRPr="007D66DA">
        <w:fldChar w:fldCharType="begin"/>
      </w:r>
      <w:r w:rsidRPr="007D66DA">
        <w:instrText xml:space="preserve"> TOC \o "1-9" </w:instrText>
      </w:r>
      <w:r w:rsidRPr="007D66DA">
        <w:fldChar w:fldCharType="separate"/>
      </w:r>
      <w:r w:rsidRPr="007D66DA">
        <w:rPr>
          <w:noProof/>
        </w:rPr>
        <w:t>1</w:t>
      </w:r>
      <w:r w:rsidRPr="007D66DA">
        <w:rPr>
          <w:noProof/>
        </w:rPr>
        <w:tab/>
        <w:t>Name</w:t>
      </w:r>
      <w:r w:rsidRPr="007D66DA">
        <w:rPr>
          <w:noProof/>
        </w:rPr>
        <w:tab/>
      </w:r>
      <w:r w:rsidRPr="007D66DA">
        <w:rPr>
          <w:noProof/>
        </w:rPr>
        <w:fldChar w:fldCharType="begin"/>
      </w:r>
      <w:r w:rsidRPr="007D66DA">
        <w:rPr>
          <w:noProof/>
        </w:rPr>
        <w:instrText xml:space="preserve"> PAGEREF _Toc485306507 \h </w:instrText>
      </w:r>
      <w:r w:rsidRPr="007D66DA">
        <w:rPr>
          <w:noProof/>
        </w:rPr>
      </w:r>
      <w:r w:rsidRPr="007D66DA">
        <w:rPr>
          <w:noProof/>
        </w:rPr>
        <w:fldChar w:fldCharType="separate"/>
      </w:r>
      <w:r w:rsidR="00037BA6">
        <w:rPr>
          <w:noProof/>
        </w:rPr>
        <w:t>1</w:t>
      </w:r>
      <w:r w:rsidRPr="007D66DA">
        <w:rPr>
          <w:noProof/>
        </w:rPr>
        <w:fldChar w:fldCharType="end"/>
      </w:r>
    </w:p>
    <w:p w:rsidR="0048077D" w:rsidRPr="007D66DA" w:rsidRDefault="0048077D">
      <w:pPr>
        <w:pStyle w:val="TOC5"/>
        <w:rPr>
          <w:rFonts w:asciiTheme="minorHAnsi" w:eastAsiaTheme="minorEastAsia" w:hAnsiTheme="minorHAnsi" w:cstheme="minorBidi"/>
          <w:noProof/>
          <w:kern w:val="0"/>
          <w:sz w:val="22"/>
          <w:szCs w:val="22"/>
        </w:rPr>
      </w:pPr>
      <w:r w:rsidRPr="007D66DA">
        <w:rPr>
          <w:noProof/>
        </w:rPr>
        <w:t>2</w:t>
      </w:r>
      <w:r w:rsidRPr="007D66DA">
        <w:rPr>
          <w:noProof/>
        </w:rPr>
        <w:tab/>
        <w:t>Commencement</w:t>
      </w:r>
      <w:r w:rsidRPr="007D66DA">
        <w:rPr>
          <w:noProof/>
        </w:rPr>
        <w:tab/>
      </w:r>
      <w:r w:rsidRPr="007D66DA">
        <w:rPr>
          <w:noProof/>
        </w:rPr>
        <w:fldChar w:fldCharType="begin"/>
      </w:r>
      <w:r w:rsidRPr="007D66DA">
        <w:rPr>
          <w:noProof/>
        </w:rPr>
        <w:instrText xml:space="preserve"> PAGEREF _Toc485306508 \h </w:instrText>
      </w:r>
      <w:r w:rsidRPr="007D66DA">
        <w:rPr>
          <w:noProof/>
        </w:rPr>
      </w:r>
      <w:r w:rsidRPr="007D66DA">
        <w:rPr>
          <w:noProof/>
        </w:rPr>
        <w:fldChar w:fldCharType="separate"/>
      </w:r>
      <w:r w:rsidR="00037BA6">
        <w:rPr>
          <w:noProof/>
        </w:rPr>
        <w:t>1</w:t>
      </w:r>
      <w:r w:rsidRPr="007D66DA">
        <w:rPr>
          <w:noProof/>
        </w:rPr>
        <w:fldChar w:fldCharType="end"/>
      </w:r>
    </w:p>
    <w:p w:rsidR="0048077D" w:rsidRPr="007D66DA" w:rsidRDefault="0048077D">
      <w:pPr>
        <w:pStyle w:val="TOC5"/>
        <w:rPr>
          <w:rFonts w:asciiTheme="minorHAnsi" w:eastAsiaTheme="minorEastAsia" w:hAnsiTheme="minorHAnsi" w:cstheme="minorBidi"/>
          <w:noProof/>
          <w:kern w:val="0"/>
          <w:sz w:val="22"/>
          <w:szCs w:val="22"/>
        </w:rPr>
      </w:pPr>
      <w:r w:rsidRPr="007D66DA">
        <w:rPr>
          <w:noProof/>
        </w:rPr>
        <w:t>3</w:t>
      </w:r>
      <w:r w:rsidRPr="007D66DA">
        <w:rPr>
          <w:noProof/>
        </w:rPr>
        <w:tab/>
        <w:t>Authority</w:t>
      </w:r>
      <w:r w:rsidRPr="007D66DA">
        <w:rPr>
          <w:noProof/>
        </w:rPr>
        <w:tab/>
      </w:r>
      <w:r w:rsidRPr="007D66DA">
        <w:rPr>
          <w:noProof/>
        </w:rPr>
        <w:fldChar w:fldCharType="begin"/>
      </w:r>
      <w:r w:rsidRPr="007D66DA">
        <w:rPr>
          <w:noProof/>
        </w:rPr>
        <w:instrText xml:space="preserve"> PAGEREF _Toc485306509 \h </w:instrText>
      </w:r>
      <w:r w:rsidRPr="007D66DA">
        <w:rPr>
          <w:noProof/>
        </w:rPr>
      </w:r>
      <w:r w:rsidRPr="007D66DA">
        <w:rPr>
          <w:noProof/>
        </w:rPr>
        <w:fldChar w:fldCharType="separate"/>
      </w:r>
      <w:r w:rsidR="00037BA6">
        <w:rPr>
          <w:noProof/>
        </w:rPr>
        <w:t>1</w:t>
      </w:r>
      <w:r w:rsidRPr="007D66DA">
        <w:rPr>
          <w:noProof/>
        </w:rPr>
        <w:fldChar w:fldCharType="end"/>
      </w:r>
    </w:p>
    <w:p w:rsidR="0048077D" w:rsidRPr="007D66DA" w:rsidRDefault="0048077D">
      <w:pPr>
        <w:pStyle w:val="TOC5"/>
        <w:rPr>
          <w:rFonts w:asciiTheme="minorHAnsi" w:eastAsiaTheme="minorEastAsia" w:hAnsiTheme="minorHAnsi" w:cstheme="minorBidi"/>
          <w:noProof/>
          <w:kern w:val="0"/>
          <w:sz w:val="22"/>
          <w:szCs w:val="22"/>
        </w:rPr>
      </w:pPr>
      <w:r w:rsidRPr="007D66DA">
        <w:rPr>
          <w:noProof/>
        </w:rPr>
        <w:t>4</w:t>
      </w:r>
      <w:r w:rsidRPr="007D66DA">
        <w:rPr>
          <w:noProof/>
        </w:rPr>
        <w:tab/>
        <w:t>Schedules</w:t>
      </w:r>
      <w:r w:rsidRPr="007D66DA">
        <w:rPr>
          <w:noProof/>
        </w:rPr>
        <w:tab/>
      </w:r>
      <w:r w:rsidRPr="007D66DA">
        <w:rPr>
          <w:noProof/>
        </w:rPr>
        <w:fldChar w:fldCharType="begin"/>
      </w:r>
      <w:r w:rsidRPr="007D66DA">
        <w:rPr>
          <w:noProof/>
        </w:rPr>
        <w:instrText xml:space="preserve"> PAGEREF _Toc485306510 \h </w:instrText>
      </w:r>
      <w:r w:rsidRPr="007D66DA">
        <w:rPr>
          <w:noProof/>
        </w:rPr>
      </w:r>
      <w:r w:rsidRPr="007D66DA">
        <w:rPr>
          <w:noProof/>
        </w:rPr>
        <w:fldChar w:fldCharType="separate"/>
      </w:r>
      <w:r w:rsidR="00037BA6">
        <w:rPr>
          <w:noProof/>
        </w:rPr>
        <w:t>1</w:t>
      </w:r>
      <w:r w:rsidRPr="007D66DA">
        <w:rPr>
          <w:noProof/>
        </w:rPr>
        <w:fldChar w:fldCharType="end"/>
      </w:r>
    </w:p>
    <w:p w:rsidR="0048077D" w:rsidRPr="007D66DA" w:rsidRDefault="0048077D">
      <w:pPr>
        <w:pStyle w:val="TOC6"/>
        <w:rPr>
          <w:rFonts w:asciiTheme="minorHAnsi" w:eastAsiaTheme="minorEastAsia" w:hAnsiTheme="minorHAnsi" w:cstheme="minorBidi"/>
          <w:b w:val="0"/>
          <w:noProof/>
          <w:kern w:val="0"/>
          <w:sz w:val="22"/>
          <w:szCs w:val="22"/>
        </w:rPr>
      </w:pPr>
      <w:r w:rsidRPr="007D66DA">
        <w:rPr>
          <w:noProof/>
        </w:rPr>
        <w:t>Schedule</w:t>
      </w:r>
      <w:r w:rsidR="007D66DA" w:rsidRPr="007D66DA">
        <w:rPr>
          <w:noProof/>
        </w:rPr>
        <w:t> </w:t>
      </w:r>
      <w:r w:rsidRPr="007D66DA">
        <w:rPr>
          <w:noProof/>
        </w:rPr>
        <w:t>1—Amendments</w:t>
      </w:r>
      <w:r w:rsidRPr="007D66DA">
        <w:rPr>
          <w:b w:val="0"/>
          <w:noProof/>
          <w:sz w:val="18"/>
        </w:rPr>
        <w:tab/>
      </w:r>
      <w:r w:rsidRPr="007D66DA">
        <w:rPr>
          <w:b w:val="0"/>
          <w:noProof/>
          <w:sz w:val="18"/>
        </w:rPr>
        <w:fldChar w:fldCharType="begin"/>
      </w:r>
      <w:r w:rsidRPr="007D66DA">
        <w:rPr>
          <w:b w:val="0"/>
          <w:noProof/>
          <w:sz w:val="18"/>
        </w:rPr>
        <w:instrText xml:space="preserve"> PAGEREF _Toc485306511 \h </w:instrText>
      </w:r>
      <w:r w:rsidRPr="007D66DA">
        <w:rPr>
          <w:b w:val="0"/>
          <w:noProof/>
          <w:sz w:val="18"/>
        </w:rPr>
      </w:r>
      <w:r w:rsidRPr="007D66DA">
        <w:rPr>
          <w:b w:val="0"/>
          <w:noProof/>
          <w:sz w:val="18"/>
        </w:rPr>
        <w:fldChar w:fldCharType="separate"/>
      </w:r>
      <w:r w:rsidR="00037BA6">
        <w:rPr>
          <w:b w:val="0"/>
          <w:noProof/>
          <w:sz w:val="18"/>
        </w:rPr>
        <w:t>2</w:t>
      </w:r>
      <w:r w:rsidRPr="007D66DA">
        <w:rPr>
          <w:b w:val="0"/>
          <w:noProof/>
          <w:sz w:val="18"/>
        </w:rPr>
        <w:fldChar w:fldCharType="end"/>
      </w:r>
    </w:p>
    <w:p w:rsidR="0048077D" w:rsidRPr="007D66DA" w:rsidRDefault="0048077D">
      <w:pPr>
        <w:pStyle w:val="TOC9"/>
        <w:rPr>
          <w:rFonts w:asciiTheme="minorHAnsi" w:eastAsiaTheme="minorEastAsia" w:hAnsiTheme="minorHAnsi" w:cstheme="minorBidi"/>
          <w:i w:val="0"/>
          <w:noProof/>
          <w:kern w:val="0"/>
          <w:sz w:val="22"/>
          <w:szCs w:val="22"/>
        </w:rPr>
      </w:pPr>
      <w:r w:rsidRPr="007D66DA">
        <w:rPr>
          <w:noProof/>
        </w:rPr>
        <w:t>Foreign Acquisitions and Takeovers Fees Imposition Regulation</w:t>
      </w:r>
      <w:r w:rsidR="007D66DA" w:rsidRPr="007D66DA">
        <w:rPr>
          <w:noProof/>
        </w:rPr>
        <w:t> </w:t>
      </w:r>
      <w:r w:rsidRPr="007D66DA">
        <w:rPr>
          <w:noProof/>
        </w:rPr>
        <w:t>2015</w:t>
      </w:r>
      <w:r w:rsidRPr="007D66DA">
        <w:rPr>
          <w:i w:val="0"/>
          <w:noProof/>
          <w:sz w:val="18"/>
        </w:rPr>
        <w:tab/>
      </w:r>
      <w:r w:rsidRPr="007D66DA">
        <w:rPr>
          <w:i w:val="0"/>
          <w:noProof/>
          <w:sz w:val="18"/>
        </w:rPr>
        <w:fldChar w:fldCharType="begin"/>
      </w:r>
      <w:r w:rsidRPr="007D66DA">
        <w:rPr>
          <w:i w:val="0"/>
          <w:noProof/>
          <w:sz w:val="18"/>
        </w:rPr>
        <w:instrText xml:space="preserve"> PAGEREF _Toc485306512 \h </w:instrText>
      </w:r>
      <w:r w:rsidRPr="007D66DA">
        <w:rPr>
          <w:i w:val="0"/>
          <w:noProof/>
          <w:sz w:val="18"/>
        </w:rPr>
      </w:r>
      <w:r w:rsidRPr="007D66DA">
        <w:rPr>
          <w:i w:val="0"/>
          <w:noProof/>
          <w:sz w:val="18"/>
        </w:rPr>
        <w:fldChar w:fldCharType="separate"/>
      </w:r>
      <w:r w:rsidR="00037BA6">
        <w:rPr>
          <w:i w:val="0"/>
          <w:noProof/>
          <w:sz w:val="18"/>
        </w:rPr>
        <w:t>2</w:t>
      </w:r>
      <w:r w:rsidRPr="007D66DA">
        <w:rPr>
          <w:i w:val="0"/>
          <w:noProof/>
          <w:sz w:val="18"/>
        </w:rPr>
        <w:fldChar w:fldCharType="end"/>
      </w:r>
    </w:p>
    <w:p w:rsidR="00833416" w:rsidRPr="007D66DA" w:rsidRDefault="0048077D" w:rsidP="0048364F">
      <w:r w:rsidRPr="007D66DA">
        <w:fldChar w:fldCharType="end"/>
      </w:r>
    </w:p>
    <w:p w:rsidR="00722023" w:rsidRPr="007D66DA" w:rsidRDefault="00722023" w:rsidP="0048364F">
      <w:pPr>
        <w:sectPr w:rsidR="00722023" w:rsidRPr="007D66DA" w:rsidSect="00F71D4E">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7D66DA" w:rsidRDefault="0048364F" w:rsidP="0048364F">
      <w:pPr>
        <w:pStyle w:val="ActHead5"/>
      </w:pPr>
      <w:bookmarkStart w:id="2" w:name="_Toc485306507"/>
      <w:r w:rsidRPr="007D66DA">
        <w:rPr>
          <w:rStyle w:val="CharSectno"/>
        </w:rPr>
        <w:lastRenderedPageBreak/>
        <w:t>1</w:t>
      </w:r>
      <w:r w:rsidRPr="007D66DA">
        <w:t xml:space="preserve">  </w:t>
      </w:r>
      <w:r w:rsidR="004F676E" w:rsidRPr="007D66DA">
        <w:t>Name</w:t>
      </w:r>
      <w:bookmarkEnd w:id="2"/>
    </w:p>
    <w:p w:rsidR="0048364F" w:rsidRPr="007D66DA" w:rsidRDefault="0048364F" w:rsidP="0048364F">
      <w:pPr>
        <w:pStyle w:val="subsection"/>
      </w:pPr>
      <w:r w:rsidRPr="007D66DA">
        <w:tab/>
      </w:r>
      <w:r w:rsidRPr="007D66DA">
        <w:tab/>
        <w:t>Th</w:t>
      </w:r>
      <w:r w:rsidR="00F24C35" w:rsidRPr="007D66DA">
        <w:t>is</w:t>
      </w:r>
      <w:r w:rsidRPr="007D66DA">
        <w:t xml:space="preserve"> </w:t>
      </w:r>
      <w:r w:rsidR="00EA2A43" w:rsidRPr="007D66DA">
        <w:t>instrument is</w:t>
      </w:r>
      <w:r w:rsidR="003801D0" w:rsidRPr="007D66DA">
        <w:t xml:space="preserve"> the</w:t>
      </w:r>
      <w:r w:rsidRPr="007D66DA">
        <w:t xml:space="preserve"> </w:t>
      </w:r>
      <w:bookmarkStart w:id="3" w:name="BKCheck15B_3"/>
      <w:bookmarkEnd w:id="3"/>
      <w:r w:rsidR="00CB0180" w:rsidRPr="007D66DA">
        <w:rPr>
          <w:i/>
        </w:rPr>
        <w:fldChar w:fldCharType="begin"/>
      </w:r>
      <w:r w:rsidR="00CB0180" w:rsidRPr="007D66DA">
        <w:rPr>
          <w:i/>
        </w:rPr>
        <w:instrText xml:space="preserve"> STYLEREF  ShortT </w:instrText>
      </w:r>
      <w:r w:rsidR="00CB0180" w:rsidRPr="007D66DA">
        <w:rPr>
          <w:i/>
        </w:rPr>
        <w:fldChar w:fldCharType="separate"/>
      </w:r>
      <w:r w:rsidR="00037BA6">
        <w:rPr>
          <w:i/>
          <w:noProof/>
        </w:rPr>
        <w:t>Foreign Acquisitions and Takeovers Fees Imposition Amendment (Fee Streamlining) Regulations 2017</w:t>
      </w:r>
      <w:r w:rsidR="00CB0180" w:rsidRPr="007D66DA">
        <w:rPr>
          <w:i/>
        </w:rPr>
        <w:fldChar w:fldCharType="end"/>
      </w:r>
      <w:r w:rsidRPr="007D66DA">
        <w:t>.</w:t>
      </w:r>
    </w:p>
    <w:p w:rsidR="0048364F" w:rsidRPr="007D66DA" w:rsidRDefault="0048364F" w:rsidP="0048364F">
      <w:pPr>
        <w:pStyle w:val="ActHead5"/>
      </w:pPr>
      <w:bookmarkStart w:id="4" w:name="_Toc485306508"/>
      <w:r w:rsidRPr="007D66DA">
        <w:rPr>
          <w:rStyle w:val="CharSectno"/>
        </w:rPr>
        <w:t>2</w:t>
      </w:r>
      <w:r w:rsidRPr="007D66DA">
        <w:t xml:space="preserve">  Commencement</w:t>
      </w:r>
      <w:bookmarkEnd w:id="4"/>
    </w:p>
    <w:p w:rsidR="007C7F0C" w:rsidRPr="007D66DA" w:rsidRDefault="007C7F0C" w:rsidP="00CC6C8B">
      <w:pPr>
        <w:pStyle w:val="subsection"/>
      </w:pPr>
      <w:r w:rsidRPr="007D66DA">
        <w:tab/>
        <w:t>(1)</w:t>
      </w:r>
      <w:r w:rsidRPr="007D66DA">
        <w:tab/>
        <w:t>Each provision of this instrument specified in column 1 of the table commences, or is taken to have commenced, in accordance with column 2 of the table. Any other statement in column 2 has effect according to its terms.</w:t>
      </w:r>
    </w:p>
    <w:p w:rsidR="007C7F0C" w:rsidRPr="007D66DA" w:rsidRDefault="007C7F0C" w:rsidP="00CC6C8B">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7C7F0C" w:rsidRPr="007D66DA" w:rsidTr="007C7F0C">
        <w:trPr>
          <w:tblHeader/>
        </w:trPr>
        <w:tc>
          <w:tcPr>
            <w:tcW w:w="5000" w:type="pct"/>
            <w:gridSpan w:val="3"/>
            <w:tcBorders>
              <w:top w:val="single" w:sz="12" w:space="0" w:color="auto"/>
              <w:bottom w:val="single" w:sz="2" w:space="0" w:color="auto"/>
            </w:tcBorders>
            <w:shd w:val="clear" w:color="auto" w:fill="auto"/>
            <w:hideMark/>
          </w:tcPr>
          <w:p w:rsidR="007C7F0C" w:rsidRPr="007D66DA" w:rsidRDefault="007C7F0C" w:rsidP="00CC6C8B">
            <w:pPr>
              <w:pStyle w:val="TableHeading"/>
            </w:pPr>
            <w:r w:rsidRPr="007D66DA">
              <w:t>Commencement information</w:t>
            </w:r>
          </w:p>
        </w:tc>
      </w:tr>
      <w:tr w:rsidR="007C7F0C" w:rsidRPr="007D66DA" w:rsidTr="007C7F0C">
        <w:trPr>
          <w:tblHeader/>
        </w:trPr>
        <w:tc>
          <w:tcPr>
            <w:tcW w:w="1196" w:type="pct"/>
            <w:tcBorders>
              <w:top w:val="single" w:sz="2" w:space="0" w:color="auto"/>
              <w:bottom w:val="single" w:sz="2" w:space="0" w:color="auto"/>
            </w:tcBorders>
            <w:shd w:val="clear" w:color="auto" w:fill="auto"/>
            <w:hideMark/>
          </w:tcPr>
          <w:p w:rsidR="007C7F0C" w:rsidRPr="007D66DA" w:rsidRDefault="007C7F0C" w:rsidP="00CC6C8B">
            <w:pPr>
              <w:pStyle w:val="TableHeading"/>
            </w:pPr>
            <w:r w:rsidRPr="007D66DA">
              <w:t>Column 1</w:t>
            </w:r>
          </w:p>
        </w:tc>
        <w:tc>
          <w:tcPr>
            <w:tcW w:w="2692" w:type="pct"/>
            <w:tcBorders>
              <w:top w:val="single" w:sz="2" w:space="0" w:color="auto"/>
              <w:bottom w:val="single" w:sz="2" w:space="0" w:color="auto"/>
            </w:tcBorders>
            <w:shd w:val="clear" w:color="auto" w:fill="auto"/>
            <w:hideMark/>
          </w:tcPr>
          <w:p w:rsidR="007C7F0C" w:rsidRPr="007D66DA" w:rsidRDefault="007C7F0C" w:rsidP="00CC6C8B">
            <w:pPr>
              <w:pStyle w:val="TableHeading"/>
            </w:pPr>
            <w:r w:rsidRPr="007D66DA">
              <w:t>Column 2</w:t>
            </w:r>
          </w:p>
        </w:tc>
        <w:tc>
          <w:tcPr>
            <w:tcW w:w="1112" w:type="pct"/>
            <w:tcBorders>
              <w:top w:val="single" w:sz="2" w:space="0" w:color="auto"/>
              <w:bottom w:val="single" w:sz="2" w:space="0" w:color="auto"/>
            </w:tcBorders>
            <w:shd w:val="clear" w:color="auto" w:fill="auto"/>
            <w:hideMark/>
          </w:tcPr>
          <w:p w:rsidR="007C7F0C" w:rsidRPr="007D66DA" w:rsidRDefault="007C7F0C" w:rsidP="00CC6C8B">
            <w:pPr>
              <w:pStyle w:val="TableHeading"/>
            </w:pPr>
            <w:r w:rsidRPr="007D66DA">
              <w:t>Column 3</w:t>
            </w:r>
          </w:p>
        </w:tc>
      </w:tr>
      <w:tr w:rsidR="007C7F0C" w:rsidRPr="007D66DA" w:rsidTr="007C7F0C">
        <w:trPr>
          <w:tblHeader/>
        </w:trPr>
        <w:tc>
          <w:tcPr>
            <w:tcW w:w="1196" w:type="pct"/>
            <w:tcBorders>
              <w:top w:val="single" w:sz="2" w:space="0" w:color="auto"/>
              <w:bottom w:val="single" w:sz="12" w:space="0" w:color="auto"/>
            </w:tcBorders>
            <w:shd w:val="clear" w:color="auto" w:fill="auto"/>
            <w:hideMark/>
          </w:tcPr>
          <w:p w:rsidR="007C7F0C" w:rsidRPr="007D66DA" w:rsidRDefault="007C7F0C" w:rsidP="00CC6C8B">
            <w:pPr>
              <w:pStyle w:val="TableHeading"/>
            </w:pPr>
            <w:r w:rsidRPr="007D66DA">
              <w:t>Provisions</w:t>
            </w:r>
          </w:p>
        </w:tc>
        <w:tc>
          <w:tcPr>
            <w:tcW w:w="2692" w:type="pct"/>
            <w:tcBorders>
              <w:top w:val="single" w:sz="2" w:space="0" w:color="auto"/>
              <w:bottom w:val="single" w:sz="12" w:space="0" w:color="auto"/>
            </w:tcBorders>
            <w:shd w:val="clear" w:color="auto" w:fill="auto"/>
            <w:hideMark/>
          </w:tcPr>
          <w:p w:rsidR="007C7F0C" w:rsidRPr="007D66DA" w:rsidRDefault="007C7F0C" w:rsidP="00CC6C8B">
            <w:pPr>
              <w:pStyle w:val="TableHeading"/>
            </w:pPr>
            <w:r w:rsidRPr="007D66DA">
              <w:t>Commencement</w:t>
            </w:r>
          </w:p>
        </w:tc>
        <w:tc>
          <w:tcPr>
            <w:tcW w:w="1112" w:type="pct"/>
            <w:tcBorders>
              <w:top w:val="single" w:sz="2" w:space="0" w:color="auto"/>
              <w:bottom w:val="single" w:sz="12" w:space="0" w:color="auto"/>
            </w:tcBorders>
            <w:shd w:val="clear" w:color="auto" w:fill="auto"/>
            <w:hideMark/>
          </w:tcPr>
          <w:p w:rsidR="007C7F0C" w:rsidRPr="007D66DA" w:rsidRDefault="007C7F0C" w:rsidP="00CC6C8B">
            <w:pPr>
              <w:pStyle w:val="TableHeading"/>
            </w:pPr>
            <w:r w:rsidRPr="007D66DA">
              <w:t>Date/Details</w:t>
            </w:r>
          </w:p>
        </w:tc>
      </w:tr>
      <w:tr w:rsidR="007C7F0C" w:rsidRPr="007D66DA" w:rsidTr="007C7F0C">
        <w:tc>
          <w:tcPr>
            <w:tcW w:w="1196" w:type="pct"/>
            <w:tcBorders>
              <w:top w:val="single" w:sz="12" w:space="0" w:color="auto"/>
              <w:bottom w:val="single" w:sz="12" w:space="0" w:color="auto"/>
            </w:tcBorders>
            <w:shd w:val="clear" w:color="auto" w:fill="auto"/>
            <w:hideMark/>
          </w:tcPr>
          <w:p w:rsidR="007C7F0C" w:rsidRPr="007D66DA" w:rsidRDefault="007C7F0C" w:rsidP="00CC6C8B">
            <w:pPr>
              <w:pStyle w:val="Tabletext"/>
            </w:pPr>
            <w:r w:rsidRPr="007D66DA">
              <w:t>1.  The whole of this instrument</w:t>
            </w:r>
          </w:p>
        </w:tc>
        <w:tc>
          <w:tcPr>
            <w:tcW w:w="2692" w:type="pct"/>
            <w:tcBorders>
              <w:top w:val="single" w:sz="12" w:space="0" w:color="auto"/>
              <w:bottom w:val="single" w:sz="12" w:space="0" w:color="auto"/>
            </w:tcBorders>
            <w:shd w:val="clear" w:color="auto" w:fill="auto"/>
            <w:hideMark/>
          </w:tcPr>
          <w:p w:rsidR="00CB2B89" w:rsidRPr="007D66DA" w:rsidRDefault="00CB2B89" w:rsidP="0072243E">
            <w:pPr>
              <w:pStyle w:val="Tabletext"/>
            </w:pPr>
            <w:r w:rsidRPr="007D66DA">
              <w:t>At the same time as Schedule</w:t>
            </w:r>
            <w:r w:rsidR="007D66DA" w:rsidRPr="007D66DA">
              <w:t> </w:t>
            </w:r>
            <w:r w:rsidRPr="007D66DA">
              <w:t xml:space="preserve">1 to the </w:t>
            </w:r>
            <w:r w:rsidRPr="007D66DA">
              <w:rPr>
                <w:i/>
              </w:rPr>
              <w:t>Foreign Acquisitions and Takeovers Fee</w:t>
            </w:r>
            <w:r w:rsidR="006D433D" w:rsidRPr="007D66DA">
              <w:rPr>
                <w:i/>
              </w:rPr>
              <w:t>s</w:t>
            </w:r>
            <w:r w:rsidRPr="007D66DA">
              <w:rPr>
                <w:i/>
              </w:rPr>
              <w:t xml:space="preserve"> Imposition Amendment (Fee Streamlining and Other Measures) Act 2017</w:t>
            </w:r>
            <w:r w:rsidRPr="007D66DA">
              <w:t xml:space="preserve"> commences.</w:t>
            </w:r>
          </w:p>
          <w:p w:rsidR="007C7F0C" w:rsidRPr="007D66DA" w:rsidRDefault="00CB2B89" w:rsidP="00CC6C8B">
            <w:pPr>
              <w:pStyle w:val="Tabletext"/>
            </w:pPr>
            <w:r w:rsidRPr="007D66DA">
              <w:t>However, the provisions do not commence at all if that Schedule does not commence.</w:t>
            </w:r>
          </w:p>
        </w:tc>
        <w:tc>
          <w:tcPr>
            <w:tcW w:w="1112" w:type="pct"/>
            <w:tcBorders>
              <w:top w:val="single" w:sz="12" w:space="0" w:color="auto"/>
              <w:bottom w:val="single" w:sz="12" w:space="0" w:color="auto"/>
            </w:tcBorders>
            <w:shd w:val="clear" w:color="auto" w:fill="auto"/>
          </w:tcPr>
          <w:p w:rsidR="007C7F0C" w:rsidRPr="007D66DA" w:rsidRDefault="004002C5" w:rsidP="00CC6C8B">
            <w:pPr>
              <w:pStyle w:val="Tabletext"/>
            </w:pPr>
            <w:r>
              <w:t>24 June 2017</w:t>
            </w:r>
          </w:p>
        </w:tc>
      </w:tr>
    </w:tbl>
    <w:p w:rsidR="007C7F0C" w:rsidRPr="007D66DA" w:rsidRDefault="007C7F0C" w:rsidP="00CC6C8B">
      <w:pPr>
        <w:pStyle w:val="notetext"/>
      </w:pPr>
      <w:r w:rsidRPr="007D66DA">
        <w:rPr>
          <w:snapToGrid w:val="0"/>
          <w:lang w:eastAsia="en-US"/>
        </w:rPr>
        <w:t>Note:</w:t>
      </w:r>
      <w:r w:rsidRPr="007D66DA">
        <w:rPr>
          <w:snapToGrid w:val="0"/>
          <w:lang w:eastAsia="en-US"/>
        </w:rPr>
        <w:tab/>
        <w:t xml:space="preserve">This table relates only to the provisions of this </w:t>
      </w:r>
      <w:r w:rsidRPr="007D66DA">
        <w:t xml:space="preserve">instrument </w:t>
      </w:r>
      <w:r w:rsidRPr="007D66DA">
        <w:rPr>
          <w:snapToGrid w:val="0"/>
          <w:lang w:eastAsia="en-US"/>
        </w:rPr>
        <w:t xml:space="preserve">as originally made. It will not be amended to deal with any later amendments of this </w:t>
      </w:r>
      <w:r w:rsidRPr="007D66DA">
        <w:t>instrument</w:t>
      </w:r>
      <w:r w:rsidRPr="007D66DA">
        <w:rPr>
          <w:snapToGrid w:val="0"/>
          <w:lang w:eastAsia="en-US"/>
        </w:rPr>
        <w:t>.</w:t>
      </w:r>
    </w:p>
    <w:p w:rsidR="007C7F0C" w:rsidRPr="007D66DA" w:rsidRDefault="007C7F0C" w:rsidP="00CC6C8B">
      <w:pPr>
        <w:pStyle w:val="subsection"/>
      </w:pPr>
      <w:r w:rsidRPr="007D66DA">
        <w:tab/>
        <w:t>(2)</w:t>
      </w:r>
      <w:r w:rsidRPr="007D66DA">
        <w:tab/>
        <w:t>Any information in column 3 of the table is not part of this instrument. Information may be inserted in this column, or information in it may be edited, in any published version of this instrument.</w:t>
      </w:r>
      <w:bookmarkStart w:id="5" w:name="_GoBack"/>
      <w:bookmarkEnd w:id="5"/>
    </w:p>
    <w:p w:rsidR="007769D4" w:rsidRPr="007D66DA" w:rsidRDefault="007769D4" w:rsidP="007769D4">
      <w:pPr>
        <w:pStyle w:val="ActHead5"/>
      </w:pPr>
      <w:bookmarkStart w:id="6" w:name="_Toc485306509"/>
      <w:r w:rsidRPr="007D66DA">
        <w:rPr>
          <w:rStyle w:val="CharSectno"/>
        </w:rPr>
        <w:t>3</w:t>
      </w:r>
      <w:r w:rsidRPr="007D66DA">
        <w:t xml:space="preserve">  Authority</w:t>
      </w:r>
      <w:bookmarkEnd w:id="6"/>
    </w:p>
    <w:p w:rsidR="007769D4" w:rsidRPr="007D66DA" w:rsidRDefault="007769D4" w:rsidP="007769D4">
      <w:pPr>
        <w:pStyle w:val="subsection"/>
      </w:pPr>
      <w:r w:rsidRPr="007D66DA">
        <w:tab/>
      </w:r>
      <w:r w:rsidRPr="007D66DA">
        <w:tab/>
      </w:r>
      <w:r w:rsidR="00AF0336" w:rsidRPr="007D66DA">
        <w:t xml:space="preserve">This </w:t>
      </w:r>
      <w:r w:rsidR="007C7F0C" w:rsidRPr="007D66DA">
        <w:t>instrument</w:t>
      </w:r>
      <w:r w:rsidR="00AF0336" w:rsidRPr="007D66DA">
        <w:t xml:space="preserve"> is made under the </w:t>
      </w:r>
      <w:r w:rsidR="007C7F0C" w:rsidRPr="007D66DA">
        <w:rPr>
          <w:i/>
        </w:rPr>
        <w:t>Foreign Acquisitions and Takeovers Fee</w:t>
      </w:r>
      <w:r w:rsidR="007C4FA9" w:rsidRPr="007D66DA">
        <w:rPr>
          <w:i/>
        </w:rPr>
        <w:t>s</w:t>
      </w:r>
      <w:r w:rsidR="007C7F0C" w:rsidRPr="007D66DA">
        <w:rPr>
          <w:i/>
        </w:rPr>
        <w:t xml:space="preserve"> Imposition Act 2015</w:t>
      </w:r>
      <w:r w:rsidR="00D83D21" w:rsidRPr="007D66DA">
        <w:rPr>
          <w:i/>
        </w:rPr>
        <w:t>.</w:t>
      </w:r>
    </w:p>
    <w:p w:rsidR="00557C7A" w:rsidRPr="007D66DA" w:rsidRDefault="007769D4" w:rsidP="00557C7A">
      <w:pPr>
        <w:pStyle w:val="ActHead5"/>
      </w:pPr>
      <w:bookmarkStart w:id="7" w:name="_Toc485306510"/>
      <w:r w:rsidRPr="007D66DA">
        <w:rPr>
          <w:rStyle w:val="CharSectno"/>
        </w:rPr>
        <w:t>4</w:t>
      </w:r>
      <w:r w:rsidR="00557C7A" w:rsidRPr="007D66DA">
        <w:t xml:space="preserve">  </w:t>
      </w:r>
      <w:r w:rsidR="00B332B8" w:rsidRPr="007D66DA">
        <w:t>Schedules</w:t>
      </w:r>
      <w:bookmarkEnd w:id="7"/>
    </w:p>
    <w:p w:rsidR="000F6B02" w:rsidRPr="007D66DA" w:rsidRDefault="00557C7A" w:rsidP="000F6B02">
      <w:pPr>
        <w:pStyle w:val="subsection"/>
      </w:pPr>
      <w:r w:rsidRPr="007D66DA">
        <w:tab/>
      </w:r>
      <w:r w:rsidRPr="007D66DA">
        <w:tab/>
      </w:r>
      <w:r w:rsidR="000F6B02" w:rsidRPr="007D66DA">
        <w:t xml:space="preserve">Each instrument that is specified in a Schedule to </w:t>
      </w:r>
      <w:r w:rsidR="007C7F0C" w:rsidRPr="007D66DA">
        <w:t>this instrument</w:t>
      </w:r>
      <w:r w:rsidR="000F6B02" w:rsidRPr="007D66DA">
        <w:t xml:space="preserve"> is amended or repealed as set out in the applicable items in the Schedule concerned, and any other item in a Schedule to </w:t>
      </w:r>
      <w:r w:rsidR="007C7F0C" w:rsidRPr="007D66DA">
        <w:t>this instrument</w:t>
      </w:r>
      <w:r w:rsidR="000F6B02" w:rsidRPr="007D66DA">
        <w:t xml:space="preserve"> has effect according to its terms.</w:t>
      </w:r>
    </w:p>
    <w:p w:rsidR="0048364F" w:rsidRPr="007D66DA" w:rsidRDefault="0048364F" w:rsidP="00FF3089">
      <w:pPr>
        <w:pStyle w:val="ActHead6"/>
        <w:pageBreakBefore/>
      </w:pPr>
      <w:bookmarkStart w:id="8" w:name="_Toc485306511"/>
      <w:bookmarkStart w:id="9" w:name="opcAmSched"/>
      <w:bookmarkStart w:id="10" w:name="opcCurrentFind"/>
      <w:r w:rsidRPr="007D66DA">
        <w:rPr>
          <w:rStyle w:val="CharAmSchNo"/>
        </w:rPr>
        <w:t>Schedule</w:t>
      </w:r>
      <w:r w:rsidR="007D66DA" w:rsidRPr="007D66DA">
        <w:rPr>
          <w:rStyle w:val="CharAmSchNo"/>
        </w:rPr>
        <w:t> </w:t>
      </w:r>
      <w:r w:rsidRPr="007D66DA">
        <w:rPr>
          <w:rStyle w:val="CharAmSchNo"/>
        </w:rPr>
        <w:t>1</w:t>
      </w:r>
      <w:r w:rsidRPr="007D66DA">
        <w:t>—</w:t>
      </w:r>
      <w:r w:rsidR="00460499" w:rsidRPr="007D66DA">
        <w:rPr>
          <w:rStyle w:val="CharAmSchText"/>
        </w:rPr>
        <w:t>Amendments</w:t>
      </w:r>
      <w:bookmarkEnd w:id="8"/>
    </w:p>
    <w:bookmarkEnd w:id="9"/>
    <w:bookmarkEnd w:id="10"/>
    <w:p w:rsidR="0004044E" w:rsidRPr="007D66DA" w:rsidRDefault="0004044E" w:rsidP="0004044E">
      <w:pPr>
        <w:pStyle w:val="Header"/>
      </w:pPr>
      <w:r w:rsidRPr="007D66DA">
        <w:rPr>
          <w:rStyle w:val="CharAmPartNo"/>
        </w:rPr>
        <w:t xml:space="preserve"> </w:t>
      </w:r>
      <w:r w:rsidRPr="007D66DA">
        <w:rPr>
          <w:rStyle w:val="CharAmPartText"/>
        </w:rPr>
        <w:t xml:space="preserve"> </w:t>
      </w:r>
    </w:p>
    <w:p w:rsidR="002577CB" w:rsidRPr="007D66DA" w:rsidRDefault="002577CB" w:rsidP="002577CB">
      <w:pPr>
        <w:pStyle w:val="ActHead9"/>
      </w:pPr>
      <w:bookmarkStart w:id="11" w:name="_Toc485306512"/>
      <w:r w:rsidRPr="007D66DA">
        <w:t>Foreign Acquisitions and Takeovers Fee</w:t>
      </w:r>
      <w:r w:rsidR="001A6A3D" w:rsidRPr="007D66DA">
        <w:t>s</w:t>
      </w:r>
      <w:r w:rsidRPr="007D66DA">
        <w:t xml:space="preserve"> Imposition Regulation</w:t>
      </w:r>
      <w:r w:rsidR="007D66DA" w:rsidRPr="007D66DA">
        <w:t> </w:t>
      </w:r>
      <w:r w:rsidRPr="007D66DA">
        <w:t>2015</w:t>
      </w:r>
      <w:bookmarkEnd w:id="11"/>
    </w:p>
    <w:p w:rsidR="00F370A6" w:rsidRPr="007D66DA" w:rsidRDefault="00483003" w:rsidP="006C2C12">
      <w:pPr>
        <w:pStyle w:val="ItemHead"/>
        <w:tabs>
          <w:tab w:val="left" w:pos="6663"/>
        </w:tabs>
      </w:pPr>
      <w:r w:rsidRPr="007D66DA">
        <w:t>1</w:t>
      </w:r>
      <w:r w:rsidR="00F370A6" w:rsidRPr="007D66DA">
        <w:t xml:space="preserve">  Section</w:t>
      </w:r>
      <w:r w:rsidR="007D66DA" w:rsidRPr="007D66DA">
        <w:t> </w:t>
      </w:r>
      <w:r w:rsidR="00F370A6" w:rsidRPr="007D66DA">
        <w:t>4</w:t>
      </w:r>
    </w:p>
    <w:p w:rsidR="00F370A6" w:rsidRPr="007D66DA" w:rsidRDefault="00F370A6" w:rsidP="00F370A6">
      <w:pPr>
        <w:pStyle w:val="Item"/>
      </w:pPr>
      <w:r w:rsidRPr="007D66DA">
        <w:t>Insert:</w:t>
      </w:r>
    </w:p>
    <w:p w:rsidR="00F370A6" w:rsidRPr="007D66DA" w:rsidRDefault="00F370A6" w:rsidP="00F370A6">
      <w:pPr>
        <w:pStyle w:val="Definition"/>
      </w:pPr>
      <w:r w:rsidRPr="007D66DA">
        <w:rPr>
          <w:b/>
          <w:i/>
        </w:rPr>
        <w:t xml:space="preserve">dominant land holding </w:t>
      </w:r>
      <w:r w:rsidRPr="007D66DA">
        <w:t>has the same meaning as in section</w:t>
      </w:r>
      <w:r w:rsidR="007D66DA" w:rsidRPr="007D66DA">
        <w:t> </w:t>
      </w:r>
      <w:r w:rsidRPr="007D66DA">
        <w:t xml:space="preserve">11 of this </w:t>
      </w:r>
      <w:r w:rsidR="00E14870" w:rsidRPr="007D66DA">
        <w:t>instrument</w:t>
      </w:r>
      <w:r w:rsidRPr="007D66DA">
        <w:t>.</w:t>
      </w:r>
    </w:p>
    <w:p w:rsidR="00A7082F" w:rsidRPr="007D66DA" w:rsidRDefault="00A7082F" w:rsidP="00F370A6">
      <w:pPr>
        <w:pStyle w:val="Definition"/>
      </w:pPr>
      <w:r w:rsidRPr="007D66DA">
        <w:rPr>
          <w:b/>
          <w:i/>
        </w:rPr>
        <w:t>foreign business person</w:t>
      </w:r>
      <w:r w:rsidRPr="007D66DA">
        <w:t xml:space="preserve"> means a foreign person, except an individual not ordinarily resident in Australia, carrying on a business in Australia or elsewhere.</w:t>
      </w:r>
    </w:p>
    <w:p w:rsidR="00712BFA" w:rsidRPr="007D66DA" w:rsidRDefault="00483003" w:rsidP="00712BFA">
      <w:pPr>
        <w:pStyle w:val="ItemHead"/>
      </w:pPr>
      <w:r w:rsidRPr="007D66DA">
        <w:t>2</w:t>
      </w:r>
      <w:r w:rsidR="00712BFA" w:rsidRPr="007D66DA">
        <w:t xml:space="preserve">  Before section</w:t>
      </w:r>
      <w:r w:rsidR="007D66DA" w:rsidRPr="007D66DA">
        <w:t> </w:t>
      </w:r>
      <w:r w:rsidR="00712BFA" w:rsidRPr="007D66DA">
        <w:t>6</w:t>
      </w:r>
    </w:p>
    <w:p w:rsidR="00712BFA" w:rsidRPr="007D66DA" w:rsidRDefault="00712BFA" w:rsidP="00712BFA">
      <w:pPr>
        <w:pStyle w:val="Item"/>
      </w:pPr>
      <w:r w:rsidRPr="007D66DA">
        <w:t>Insert:</w:t>
      </w:r>
    </w:p>
    <w:p w:rsidR="00712BFA" w:rsidRPr="007D66DA" w:rsidRDefault="00712BFA" w:rsidP="00712BFA">
      <w:pPr>
        <w:pStyle w:val="ActHead5"/>
      </w:pPr>
      <w:bookmarkStart w:id="12" w:name="_Toc485306513"/>
      <w:r w:rsidRPr="007D66DA">
        <w:rPr>
          <w:rStyle w:val="CharSectno"/>
        </w:rPr>
        <w:t>5A</w:t>
      </w:r>
      <w:r w:rsidRPr="007D66DA">
        <w:t xml:space="preserve">  Fees for businesses or entities certificates</w:t>
      </w:r>
      <w:bookmarkEnd w:id="12"/>
    </w:p>
    <w:p w:rsidR="00712BFA" w:rsidRPr="007D66DA" w:rsidRDefault="0021203C" w:rsidP="00712BFA">
      <w:pPr>
        <w:pStyle w:val="subsection"/>
      </w:pPr>
      <w:r w:rsidRPr="007D66DA">
        <w:tab/>
      </w:r>
      <w:r w:rsidRPr="007D66DA">
        <w:tab/>
        <w:t xml:space="preserve">For the purposes of </w:t>
      </w:r>
      <w:r w:rsidR="007D66DA" w:rsidRPr="007D66DA">
        <w:t>paragraph (</w:t>
      </w:r>
      <w:r w:rsidRPr="007D66DA">
        <w:t>b) of item</w:t>
      </w:r>
      <w:r w:rsidR="007D66DA" w:rsidRPr="007D66DA">
        <w:t> </w:t>
      </w:r>
      <w:r w:rsidRPr="007D66DA">
        <w:t>4 of the table in subsection</w:t>
      </w:r>
      <w:r w:rsidR="007D66DA" w:rsidRPr="007D66DA">
        <w:t> </w:t>
      </w:r>
      <w:r w:rsidRPr="007D66DA">
        <w:t>6(1) of the Act, a fee of $35,000 is payable for an application for a businesses or entities certificate.</w:t>
      </w:r>
    </w:p>
    <w:p w:rsidR="004C1F18" w:rsidRPr="007D66DA" w:rsidRDefault="004C1F18" w:rsidP="0021203C">
      <w:pPr>
        <w:pStyle w:val="notetext"/>
      </w:pPr>
      <w:r w:rsidRPr="007D66DA">
        <w:t>Note 1:</w:t>
      </w:r>
      <w:r w:rsidRPr="007D66DA">
        <w:tab/>
        <w:t>A</w:t>
      </w:r>
      <w:r w:rsidR="00254FD5" w:rsidRPr="007D66DA">
        <w:t xml:space="preserve"> </w:t>
      </w:r>
      <w:r w:rsidRPr="007D66DA">
        <w:t>businesses or entities certificate is a</w:t>
      </w:r>
      <w:r w:rsidR="00FF4B0D" w:rsidRPr="007D66DA">
        <w:t>n exemption</w:t>
      </w:r>
      <w:r w:rsidRPr="007D66DA">
        <w:t xml:space="preserve"> certificate under section</w:t>
      </w:r>
      <w:r w:rsidR="007D66DA" w:rsidRPr="007D66DA">
        <w:t> </w:t>
      </w:r>
      <w:r w:rsidRPr="007D66DA">
        <w:t>42 of the Foreign Acquisitions Regulation.</w:t>
      </w:r>
    </w:p>
    <w:p w:rsidR="0021203C" w:rsidRPr="007D66DA" w:rsidRDefault="0021203C" w:rsidP="0021203C">
      <w:pPr>
        <w:pStyle w:val="notetext"/>
      </w:pPr>
      <w:r w:rsidRPr="007D66DA">
        <w:t>Note</w:t>
      </w:r>
      <w:r w:rsidR="004C1F18" w:rsidRPr="007D66DA">
        <w:t xml:space="preserve"> 2</w:t>
      </w:r>
      <w:r w:rsidRPr="007D66DA">
        <w:t>:</w:t>
      </w:r>
      <w:r w:rsidRPr="007D66DA">
        <w:tab/>
        <w:t>This fee may be indexed under section</w:t>
      </w:r>
      <w:r w:rsidR="007D66DA" w:rsidRPr="007D66DA">
        <w:t> </w:t>
      </w:r>
      <w:r w:rsidRPr="007D66DA">
        <w:t>12 of the Act.</w:t>
      </w:r>
    </w:p>
    <w:p w:rsidR="005B4693" w:rsidRPr="007D66DA" w:rsidRDefault="005B4693" w:rsidP="0021203C">
      <w:pPr>
        <w:pStyle w:val="notetext"/>
      </w:pPr>
      <w:r w:rsidRPr="007D66DA">
        <w:t>Note 3:</w:t>
      </w:r>
      <w:r w:rsidRPr="007D66DA">
        <w:tab/>
        <w:t>Th</w:t>
      </w:r>
      <w:r w:rsidR="00027C40" w:rsidRPr="007D66DA">
        <w:t>is fee</w:t>
      </w:r>
      <w:r w:rsidRPr="007D66DA">
        <w:t xml:space="preserve"> is nil in some circumstances (see section</w:t>
      </w:r>
      <w:r w:rsidR="007D66DA" w:rsidRPr="007D66DA">
        <w:t> </w:t>
      </w:r>
      <w:r w:rsidRPr="007D66DA">
        <w:t>8B).</w:t>
      </w:r>
    </w:p>
    <w:p w:rsidR="00C33636" w:rsidRPr="007D66DA" w:rsidRDefault="00483003" w:rsidP="006C2C12">
      <w:pPr>
        <w:pStyle w:val="ItemHead"/>
        <w:tabs>
          <w:tab w:val="left" w:pos="6663"/>
        </w:tabs>
      </w:pPr>
      <w:r w:rsidRPr="007D66DA">
        <w:t>3</w:t>
      </w:r>
      <w:r w:rsidR="00933F62" w:rsidRPr="007D66DA">
        <w:t xml:space="preserve">  Section</w:t>
      </w:r>
      <w:r w:rsidR="007D66DA" w:rsidRPr="007D66DA">
        <w:t> </w:t>
      </w:r>
      <w:r w:rsidR="00933F62" w:rsidRPr="007D66DA">
        <w:t>6 (heading)</w:t>
      </w:r>
    </w:p>
    <w:p w:rsidR="00933F62" w:rsidRPr="007D66DA" w:rsidRDefault="00933F62" w:rsidP="00933F62">
      <w:pPr>
        <w:pStyle w:val="Item"/>
      </w:pPr>
      <w:r w:rsidRPr="007D66DA">
        <w:t>Repeal the heading, substitute:</w:t>
      </w:r>
    </w:p>
    <w:p w:rsidR="00712BFA" w:rsidRPr="007D66DA" w:rsidRDefault="00933F62" w:rsidP="0021203C">
      <w:pPr>
        <w:pStyle w:val="ActHead5"/>
      </w:pPr>
      <w:bookmarkStart w:id="13" w:name="_Toc485306514"/>
      <w:r w:rsidRPr="007D66DA">
        <w:rPr>
          <w:rStyle w:val="CharSectno"/>
        </w:rPr>
        <w:t>6</w:t>
      </w:r>
      <w:r w:rsidRPr="007D66DA">
        <w:t xml:space="preserve">  Fees for </w:t>
      </w:r>
      <w:r w:rsidR="00712BFA" w:rsidRPr="007D66DA">
        <w:t>tenements and mining, production or exploration entities certificates</w:t>
      </w:r>
      <w:bookmarkEnd w:id="13"/>
    </w:p>
    <w:p w:rsidR="00445AF6" w:rsidRPr="007D66DA" w:rsidRDefault="00483003" w:rsidP="0021203C">
      <w:pPr>
        <w:pStyle w:val="ItemHead"/>
        <w:tabs>
          <w:tab w:val="left" w:pos="6663"/>
        </w:tabs>
      </w:pPr>
      <w:r w:rsidRPr="007D66DA">
        <w:t>4</w:t>
      </w:r>
      <w:r w:rsidR="00BB6E79" w:rsidRPr="007D66DA">
        <w:t xml:space="preserve">  </w:t>
      </w:r>
      <w:r w:rsidR="00DE3F0A" w:rsidRPr="007D66DA">
        <w:t>Subsection</w:t>
      </w:r>
      <w:r w:rsidR="007D66DA" w:rsidRPr="007D66DA">
        <w:t> </w:t>
      </w:r>
      <w:r w:rsidR="00DE3F0A" w:rsidRPr="007D66DA">
        <w:t>6(1)</w:t>
      </w:r>
    </w:p>
    <w:p w:rsidR="0021203C" w:rsidRPr="007D66DA" w:rsidRDefault="0021203C" w:rsidP="0021203C">
      <w:pPr>
        <w:pStyle w:val="Item"/>
      </w:pPr>
      <w:r w:rsidRPr="007D66DA">
        <w:t>Repeal the subsection, substitute:</w:t>
      </w:r>
    </w:p>
    <w:p w:rsidR="0021203C" w:rsidRPr="007D66DA" w:rsidRDefault="0021203C" w:rsidP="0021203C">
      <w:pPr>
        <w:pStyle w:val="subsection"/>
      </w:pPr>
      <w:r w:rsidRPr="007D66DA">
        <w:tab/>
        <w:t>(1)</w:t>
      </w:r>
      <w:r w:rsidRPr="007D66DA">
        <w:tab/>
        <w:t xml:space="preserve">For the purposes of </w:t>
      </w:r>
      <w:r w:rsidR="007D66DA" w:rsidRPr="007D66DA">
        <w:t>paragraph (</w:t>
      </w:r>
      <w:r w:rsidRPr="007D66DA">
        <w:t>b) of item</w:t>
      </w:r>
      <w:r w:rsidR="007D66DA" w:rsidRPr="007D66DA">
        <w:t> </w:t>
      </w:r>
      <w:r w:rsidRPr="007D66DA">
        <w:t>4 of the table in subsection</w:t>
      </w:r>
      <w:r w:rsidR="007D66DA" w:rsidRPr="007D66DA">
        <w:t> </w:t>
      </w:r>
      <w:r w:rsidRPr="007D66DA">
        <w:t>6(1) of the Act, a fee of $35,000 is payable for an application for a tenements and mining, production or e</w:t>
      </w:r>
      <w:r w:rsidR="003A7ADA" w:rsidRPr="007D66DA">
        <w:t>xploration entities certificate</w:t>
      </w:r>
      <w:r w:rsidRPr="007D66DA">
        <w:t>.</w:t>
      </w:r>
    </w:p>
    <w:p w:rsidR="004C1F18" w:rsidRPr="007D66DA" w:rsidRDefault="004C1F18" w:rsidP="004C1F18">
      <w:pPr>
        <w:pStyle w:val="notetext"/>
      </w:pPr>
      <w:r w:rsidRPr="007D66DA">
        <w:t>Note 1:</w:t>
      </w:r>
      <w:r w:rsidRPr="007D66DA">
        <w:tab/>
        <w:t>A</w:t>
      </w:r>
      <w:r w:rsidR="00EC53FD" w:rsidRPr="007D66DA">
        <w:t xml:space="preserve"> </w:t>
      </w:r>
      <w:r w:rsidRPr="007D66DA">
        <w:t>tenements and mining, production or exploration entities certificate is a</w:t>
      </w:r>
      <w:r w:rsidR="00242E38" w:rsidRPr="007D66DA">
        <w:t>n exemption</w:t>
      </w:r>
      <w:r w:rsidRPr="007D66DA">
        <w:t xml:space="preserve"> certificate under section</w:t>
      </w:r>
      <w:r w:rsidR="007D66DA" w:rsidRPr="007D66DA">
        <w:t> </w:t>
      </w:r>
      <w:r w:rsidRPr="007D66DA">
        <w:t>43 of the Foreign Acquisitions Regulation.</w:t>
      </w:r>
    </w:p>
    <w:p w:rsidR="007B3EAB" w:rsidRPr="007D66DA" w:rsidRDefault="0021203C" w:rsidP="0021203C">
      <w:pPr>
        <w:pStyle w:val="notetext"/>
      </w:pPr>
      <w:r w:rsidRPr="007D66DA">
        <w:t>Note</w:t>
      </w:r>
      <w:r w:rsidR="004C1F18" w:rsidRPr="007D66DA">
        <w:t xml:space="preserve"> 2</w:t>
      </w:r>
      <w:r w:rsidRPr="007D66DA">
        <w:t>:</w:t>
      </w:r>
      <w:r w:rsidRPr="007D66DA">
        <w:tab/>
        <w:t>This fee may be indexed under section</w:t>
      </w:r>
      <w:r w:rsidR="007D66DA" w:rsidRPr="007D66DA">
        <w:t> </w:t>
      </w:r>
      <w:r w:rsidRPr="007D66DA">
        <w:t>12 of the Act.</w:t>
      </w:r>
    </w:p>
    <w:p w:rsidR="003A7ADA" w:rsidRPr="007D66DA" w:rsidRDefault="00483003" w:rsidP="00445AF6">
      <w:pPr>
        <w:pStyle w:val="ItemHead"/>
      </w:pPr>
      <w:r w:rsidRPr="007D66DA">
        <w:t>5</w:t>
      </w:r>
      <w:r w:rsidR="003A7ADA" w:rsidRPr="007D66DA">
        <w:t xml:space="preserve">  Subsection</w:t>
      </w:r>
      <w:r w:rsidR="007D66DA" w:rsidRPr="007D66DA">
        <w:t> </w:t>
      </w:r>
      <w:r w:rsidR="003A7ADA" w:rsidRPr="007D66DA">
        <w:t>6(2)</w:t>
      </w:r>
    </w:p>
    <w:p w:rsidR="003A7ADA" w:rsidRPr="007D66DA" w:rsidRDefault="003A7ADA" w:rsidP="003A7ADA">
      <w:pPr>
        <w:pStyle w:val="Item"/>
      </w:pPr>
      <w:r w:rsidRPr="007D66DA">
        <w:t xml:space="preserve">Omit “an application (the </w:t>
      </w:r>
      <w:r w:rsidRPr="007D66DA">
        <w:rPr>
          <w:b/>
          <w:i/>
        </w:rPr>
        <w:t>section</w:t>
      </w:r>
      <w:r w:rsidR="007D66DA" w:rsidRPr="007D66DA">
        <w:rPr>
          <w:b/>
          <w:i/>
        </w:rPr>
        <w:t> </w:t>
      </w:r>
      <w:r w:rsidRPr="007D66DA">
        <w:rPr>
          <w:b/>
          <w:i/>
        </w:rPr>
        <w:t>43 application</w:t>
      </w:r>
      <w:r w:rsidRPr="007D66DA">
        <w:t>) for an exemption certificate under section</w:t>
      </w:r>
      <w:r w:rsidR="007D66DA" w:rsidRPr="007D66DA">
        <w:t> </w:t>
      </w:r>
      <w:r w:rsidRPr="007D66DA">
        <w:t xml:space="preserve">43 of the Foreign Acquisitions Regulation”, substitute “an application (the </w:t>
      </w:r>
      <w:r w:rsidRPr="007D66DA">
        <w:rPr>
          <w:b/>
          <w:i/>
        </w:rPr>
        <w:t>tenements and mining application</w:t>
      </w:r>
      <w:r w:rsidRPr="007D66DA">
        <w:t>) for a tenements and mining, production or exploration entities certificate”.</w:t>
      </w:r>
    </w:p>
    <w:p w:rsidR="003A7ADA" w:rsidRPr="007D66DA" w:rsidRDefault="00483003" w:rsidP="003A7ADA">
      <w:pPr>
        <w:pStyle w:val="ItemHead"/>
      </w:pPr>
      <w:r w:rsidRPr="007D66DA">
        <w:t>6</w:t>
      </w:r>
      <w:r w:rsidR="003A7ADA" w:rsidRPr="007D66DA">
        <w:t xml:space="preserve">  Paragraph 6(2)(b)</w:t>
      </w:r>
    </w:p>
    <w:p w:rsidR="003A7ADA" w:rsidRPr="007D66DA" w:rsidRDefault="003A7ADA" w:rsidP="003A7ADA">
      <w:pPr>
        <w:pStyle w:val="Item"/>
      </w:pPr>
      <w:r w:rsidRPr="007D66DA">
        <w:t>Omit “the section</w:t>
      </w:r>
      <w:r w:rsidR="007D66DA" w:rsidRPr="007D66DA">
        <w:t> </w:t>
      </w:r>
      <w:r w:rsidRPr="007D66DA">
        <w:t>43 application”, substitute “the tenements and mining application”.</w:t>
      </w:r>
    </w:p>
    <w:p w:rsidR="00445AF6" w:rsidRPr="007D66DA" w:rsidRDefault="00483003" w:rsidP="00445AF6">
      <w:pPr>
        <w:pStyle w:val="ItemHead"/>
      </w:pPr>
      <w:r w:rsidRPr="007D66DA">
        <w:t>7</w:t>
      </w:r>
      <w:r w:rsidR="00445AF6" w:rsidRPr="007D66DA">
        <w:t xml:space="preserve">  A</w:t>
      </w:r>
      <w:r w:rsidR="004F3A1E" w:rsidRPr="007D66DA">
        <w:t>fter</w:t>
      </w:r>
      <w:r w:rsidR="00445AF6" w:rsidRPr="007D66DA">
        <w:t xml:space="preserve"> section</w:t>
      </w:r>
      <w:r w:rsidR="007D66DA" w:rsidRPr="007D66DA">
        <w:t> </w:t>
      </w:r>
      <w:r w:rsidR="00445AF6" w:rsidRPr="007D66DA">
        <w:t>6</w:t>
      </w:r>
    </w:p>
    <w:p w:rsidR="00445AF6" w:rsidRPr="007D66DA" w:rsidRDefault="00CD5D5F" w:rsidP="00445AF6">
      <w:pPr>
        <w:pStyle w:val="Item"/>
      </w:pPr>
      <w:r w:rsidRPr="007D66DA">
        <w:t>I</w:t>
      </w:r>
      <w:r w:rsidR="004F3A1E" w:rsidRPr="007D66DA">
        <w:t>nsert</w:t>
      </w:r>
      <w:r w:rsidR="00445AF6" w:rsidRPr="007D66DA">
        <w:t>:</w:t>
      </w:r>
    </w:p>
    <w:p w:rsidR="000469DC" w:rsidRPr="007D66DA" w:rsidRDefault="004F3A1E" w:rsidP="004F3A1E">
      <w:pPr>
        <w:pStyle w:val="ActHead5"/>
      </w:pPr>
      <w:bookmarkStart w:id="14" w:name="_Toc485306515"/>
      <w:r w:rsidRPr="007D66DA">
        <w:rPr>
          <w:rStyle w:val="CharSectno"/>
        </w:rPr>
        <w:t>6A</w:t>
      </w:r>
      <w:r w:rsidRPr="007D66DA">
        <w:t xml:space="preserve">  </w:t>
      </w:r>
      <w:r w:rsidR="00982F01" w:rsidRPr="007D66DA">
        <w:t>Fee</w:t>
      </w:r>
      <w:r w:rsidR="00FF4B0D" w:rsidRPr="007D66DA">
        <w:t>s</w:t>
      </w:r>
      <w:r w:rsidR="00982F01" w:rsidRPr="007D66DA">
        <w:t xml:space="preserve"> for residential land (near</w:t>
      </w:r>
      <w:r w:rsidR="007D66DA">
        <w:noBreakHyphen/>
      </w:r>
      <w:r w:rsidR="00982F01" w:rsidRPr="007D66DA">
        <w:t>new dwelling interests) certificates</w:t>
      </w:r>
      <w:bookmarkEnd w:id="14"/>
    </w:p>
    <w:p w:rsidR="000469DC" w:rsidRPr="007D66DA" w:rsidRDefault="000469DC" w:rsidP="000469DC">
      <w:pPr>
        <w:pStyle w:val="subsection"/>
      </w:pPr>
      <w:r w:rsidRPr="007D66DA">
        <w:tab/>
      </w:r>
      <w:r w:rsidR="005B4693" w:rsidRPr="007D66DA">
        <w:t>(1)</w:t>
      </w:r>
      <w:r w:rsidR="004F3A1E" w:rsidRPr="007D66DA">
        <w:tab/>
      </w:r>
      <w:r w:rsidRPr="007D66DA">
        <w:t xml:space="preserve">For </w:t>
      </w:r>
      <w:r w:rsidR="00917733" w:rsidRPr="007D66DA">
        <w:t xml:space="preserve">the purposes of </w:t>
      </w:r>
      <w:r w:rsidR="007D66DA" w:rsidRPr="007D66DA">
        <w:t>paragraph (</w:t>
      </w:r>
      <w:r w:rsidR="00DA403E" w:rsidRPr="007D66DA">
        <w:t xml:space="preserve">b) of </w:t>
      </w:r>
      <w:r w:rsidRPr="007D66DA">
        <w:t>item</w:t>
      </w:r>
      <w:r w:rsidR="007D66DA" w:rsidRPr="007D66DA">
        <w:t> </w:t>
      </w:r>
      <w:r w:rsidRPr="007D66DA">
        <w:t>4 of the tab</w:t>
      </w:r>
      <w:r w:rsidR="00DA403E" w:rsidRPr="007D66DA">
        <w:t>le in subsection</w:t>
      </w:r>
      <w:r w:rsidR="007D66DA" w:rsidRPr="007D66DA">
        <w:t> </w:t>
      </w:r>
      <w:r w:rsidR="00DA403E" w:rsidRPr="007D66DA">
        <w:t xml:space="preserve">6(1) of the Act, a fee of </w:t>
      </w:r>
      <w:r w:rsidR="005B4693" w:rsidRPr="007D66DA">
        <w:t>$25,700</w:t>
      </w:r>
      <w:r w:rsidR="00DA403E" w:rsidRPr="007D66DA">
        <w:t xml:space="preserve"> is payable for an application for a</w:t>
      </w:r>
      <w:r w:rsidR="00851A17" w:rsidRPr="007D66DA">
        <w:t xml:space="preserve"> residential land (near</w:t>
      </w:r>
      <w:r w:rsidR="007D66DA">
        <w:noBreakHyphen/>
      </w:r>
      <w:r w:rsidR="00851A17" w:rsidRPr="007D66DA">
        <w:t>new dwelling</w:t>
      </w:r>
      <w:r w:rsidR="006B0F42" w:rsidRPr="007D66DA">
        <w:t xml:space="preserve"> interests</w:t>
      </w:r>
      <w:r w:rsidR="00851A17" w:rsidRPr="007D66DA">
        <w:t>) certificate</w:t>
      </w:r>
      <w:r w:rsidR="00DA403E" w:rsidRPr="007D66DA">
        <w:t>.</w:t>
      </w:r>
    </w:p>
    <w:p w:rsidR="004F3A1E" w:rsidRPr="007D66DA" w:rsidRDefault="004C1F18" w:rsidP="004C1F18">
      <w:pPr>
        <w:pStyle w:val="notetext"/>
      </w:pPr>
      <w:r w:rsidRPr="007D66DA">
        <w:t>Note:</w:t>
      </w:r>
      <w:r w:rsidRPr="007D66DA">
        <w:tab/>
        <w:t>A residential land (near</w:t>
      </w:r>
      <w:r w:rsidR="007D66DA">
        <w:noBreakHyphen/>
      </w:r>
      <w:r w:rsidRPr="007D66DA">
        <w:t xml:space="preserve">new dwelling interests) certificate is </w:t>
      </w:r>
      <w:r w:rsidR="00FF4B0D" w:rsidRPr="007D66DA">
        <w:t>an exemption certificate</w:t>
      </w:r>
      <w:r w:rsidRPr="007D66DA">
        <w:t xml:space="preserve"> under section</w:t>
      </w:r>
      <w:r w:rsidR="007D66DA" w:rsidRPr="007D66DA">
        <w:t> </w:t>
      </w:r>
      <w:r w:rsidRPr="007D66DA">
        <w:t>43A of the Foreign Acquisitions Regulation.</w:t>
      </w:r>
    </w:p>
    <w:p w:rsidR="005B4693" w:rsidRPr="007D66DA" w:rsidRDefault="005B4693" w:rsidP="005B4693">
      <w:pPr>
        <w:pStyle w:val="subsection"/>
      </w:pPr>
      <w:r w:rsidRPr="007D66DA">
        <w:tab/>
        <w:t>(2)</w:t>
      </w:r>
      <w:r w:rsidRPr="007D66DA">
        <w:tab/>
        <w:t xml:space="preserve">Despite </w:t>
      </w:r>
      <w:r w:rsidR="007D66DA" w:rsidRPr="007D66DA">
        <w:t>subsection (</w:t>
      </w:r>
      <w:r w:rsidRPr="007D66DA">
        <w:t>1), a fee of nil is payable by a person for an application for a residential land (near</w:t>
      </w:r>
      <w:r w:rsidR="007D66DA">
        <w:noBreakHyphen/>
      </w:r>
      <w:r w:rsidRPr="007D66DA">
        <w:t>new dwelling interests) certificate if:</w:t>
      </w:r>
    </w:p>
    <w:p w:rsidR="005B4693" w:rsidRPr="007D66DA" w:rsidRDefault="005B4693" w:rsidP="005B4693">
      <w:pPr>
        <w:pStyle w:val="paragraph"/>
      </w:pPr>
      <w:r w:rsidRPr="007D66DA">
        <w:tab/>
        <w:t>(a)</w:t>
      </w:r>
      <w:r w:rsidRPr="007D66DA">
        <w:tab/>
        <w:t xml:space="preserve">the </w:t>
      </w:r>
      <w:r w:rsidR="00CC58ED" w:rsidRPr="007D66DA">
        <w:t>person has applied for, or been given,</w:t>
      </w:r>
      <w:r w:rsidR="00CC58ED" w:rsidRPr="007D66DA">
        <w:rPr>
          <w:i/>
          <w:iCs/>
        </w:rPr>
        <w:t xml:space="preserve"> </w:t>
      </w:r>
      <w:r w:rsidR="00CC58ED" w:rsidRPr="007D66DA">
        <w:t>an</w:t>
      </w:r>
      <w:r w:rsidRPr="007D66DA">
        <w:t xml:space="preserve"> exemption certificate under section</w:t>
      </w:r>
      <w:r w:rsidR="007D66DA" w:rsidRPr="007D66DA">
        <w:t> </w:t>
      </w:r>
      <w:r w:rsidRPr="007D66DA">
        <w:t xml:space="preserve">57 of the Act (the </w:t>
      </w:r>
      <w:r w:rsidRPr="007D66DA">
        <w:rPr>
          <w:b/>
          <w:i/>
        </w:rPr>
        <w:t>section</w:t>
      </w:r>
      <w:r w:rsidR="007D66DA" w:rsidRPr="007D66DA">
        <w:rPr>
          <w:b/>
          <w:i/>
        </w:rPr>
        <w:t> </w:t>
      </w:r>
      <w:r w:rsidRPr="007D66DA">
        <w:rPr>
          <w:b/>
          <w:i/>
        </w:rPr>
        <w:t>57 certificate</w:t>
      </w:r>
      <w:r w:rsidRPr="007D66DA">
        <w:t>);</w:t>
      </w:r>
      <w:r w:rsidR="0023381A" w:rsidRPr="007D66DA">
        <w:t xml:space="preserve"> and</w:t>
      </w:r>
    </w:p>
    <w:p w:rsidR="005B4693" w:rsidRPr="007D66DA" w:rsidRDefault="005B4693" w:rsidP="005B4693">
      <w:pPr>
        <w:pStyle w:val="paragraph"/>
      </w:pPr>
      <w:r w:rsidRPr="007D66DA">
        <w:tab/>
        <w:t>(b)</w:t>
      </w:r>
      <w:r w:rsidRPr="007D66DA">
        <w:tab/>
      </w:r>
      <w:r w:rsidR="00126CF0" w:rsidRPr="007D66DA">
        <w:t>the section</w:t>
      </w:r>
      <w:r w:rsidR="007D66DA" w:rsidRPr="007D66DA">
        <w:t> </w:t>
      </w:r>
      <w:r w:rsidR="00126CF0" w:rsidRPr="007D66DA">
        <w:t>57 certificate and the residential land (near</w:t>
      </w:r>
      <w:r w:rsidR="007D66DA">
        <w:noBreakHyphen/>
      </w:r>
      <w:r w:rsidR="00126CF0" w:rsidRPr="007D66DA">
        <w:t>new dwelling interests) certificate cover (or will cover) interests in relation to the same development.</w:t>
      </w:r>
    </w:p>
    <w:p w:rsidR="0041563F" w:rsidRPr="007D66DA" w:rsidRDefault="0041563F" w:rsidP="009553EE">
      <w:pPr>
        <w:pStyle w:val="notetext"/>
      </w:pPr>
      <w:r w:rsidRPr="007D66DA">
        <w:t>Note:</w:t>
      </w:r>
      <w:r w:rsidRPr="007D66DA">
        <w:tab/>
        <w:t>See subsection</w:t>
      </w:r>
      <w:r w:rsidR="007D66DA" w:rsidRPr="007D66DA">
        <w:t> </w:t>
      </w:r>
      <w:r w:rsidRPr="007D66DA">
        <w:t>18(2) for the fee payable for an application to vary a residential land (near</w:t>
      </w:r>
      <w:r w:rsidR="007D66DA">
        <w:noBreakHyphen/>
      </w:r>
      <w:r w:rsidRPr="007D66DA">
        <w:t>new dwelling interests) certificate.</w:t>
      </w:r>
    </w:p>
    <w:p w:rsidR="00C33636" w:rsidRPr="007D66DA" w:rsidRDefault="00C33636" w:rsidP="00C33636">
      <w:pPr>
        <w:pStyle w:val="ActHead5"/>
      </w:pPr>
      <w:bookmarkStart w:id="15" w:name="_Toc485306516"/>
      <w:r w:rsidRPr="007D66DA">
        <w:rPr>
          <w:rStyle w:val="CharSectno"/>
        </w:rPr>
        <w:t>6</w:t>
      </w:r>
      <w:r w:rsidR="004F3A1E" w:rsidRPr="007D66DA">
        <w:rPr>
          <w:rStyle w:val="CharSectno"/>
        </w:rPr>
        <w:t>B</w:t>
      </w:r>
      <w:r w:rsidRPr="007D66DA">
        <w:t xml:space="preserve">  Fees for residential land (other than established dwellings) certificate</w:t>
      </w:r>
      <w:r w:rsidR="00FF4B0D" w:rsidRPr="007D66DA">
        <w:t>s</w:t>
      </w:r>
      <w:bookmarkEnd w:id="15"/>
    </w:p>
    <w:p w:rsidR="00C33636" w:rsidRPr="007D66DA" w:rsidRDefault="00C33636" w:rsidP="00C33636">
      <w:pPr>
        <w:pStyle w:val="subsection"/>
      </w:pPr>
      <w:r w:rsidRPr="007D66DA">
        <w:tab/>
        <w:t>(1)</w:t>
      </w:r>
      <w:r w:rsidRPr="007D66DA">
        <w:tab/>
        <w:t xml:space="preserve">For </w:t>
      </w:r>
      <w:r w:rsidR="00F048A9" w:rsidRPr="007D66DA">
        <w:t xml:space="preserve">the purposes of </w:t>
      </w:r>
      <w:r w:rsidR="007D66DA" w:rsidRPr="007D66DA">
        <w:t>paragraph (</w:t>
      </w:r>
      <w:r w:rsidRPr="007D66DA">
        <w:t>a) of item</w:t>
      </w:r>
      <w:r w:rsidR="007D66DA" w:rsidRPr="007D66DA">
        <w:t> </w:t>
      </w:r>
      <w:r w:rsidRPr="007D66DA">
        <w:t>4 of the table in subsection</w:t>
      </w:r>
      <w:r w:rsidR="007D66DA" w:rsidRPr="007D66DA">
        <w:t> </w:t>
      </w:r>
      <w:r w:rsidRPr="007D66DA">
        <w:t xml:space="preserve">6(1) of the Act, the amount of fee </w:t>
      </w:r>
      <w:r w:rsidR="00982F01" w:rsidRPr="007D66DA">
        <w:t>payable for an application for a residential land (other than established dwellings) certificate</w:t>
      </w:r>
      <w:r w:rsidRPr="007D66DA">
        <w:t xml:space="preserve"> is:</w:t>
      </w:r>
    </w:p>
    <w:p w:rsidR="00C33636" w:rsidRPr="007D66DA" w:rsidRDefault="00C33636" w:rsidP="00C33636">
      <w:pPr>
        <w:pStyle w:val="paragraph"/>
      </w:pPr>
      <w:r w:rsidRPr="007D66DA">
        <w:tab/>
      </w:r>
      <w:r w:rsidR="002C5168" w:rsidRPr="007D66DA">
        <w:t>(a)</w:t>
      </w:r>
      <w:r w:rsidRPr="007D66DA">
        <w:tab/>
        <w:t>if the application specifies that the consideration for the acquisition will be $1 million or less—$5,500; and</w:t>
      </w:r>
    </w:p>
    <w:p w:rsidR="00C33636" w:rsidRPr="007D66DA" w:rsidRDefault="00C33636" w:rsidP="00C33636">
      <w:pPr>
        <w:pStyle w:val="paragraph"/>
      </w:pPr>
      <w:r w:rsidRPr="007D66DA">
        <w:tab/>
      </w:r>
      <w:r w:rsidR="002C5168" w:rsidRPr="007D66DA">
        <w:t>(b)</w:t>
      </w:r>
      <w:r w:rsidRPr="007D66DA">
        <w:tab/>
        <w:t xml:space="preserve">if the application specifies that the consideration for the acquisition will be more than $1 million, and $10 million or less—the amount worked out under </w:t>
      </w:r>
      <w:r w:rsidR="007D66DA" w:rsidRPr="007D66DA">
        <w:t>subsection (</w:t>
      </w:r>
      <w:r w:rsidRPr="007D66DA">
        <w:t>2); and</w:t>
      </w:r>
    </w:p>
    <w:p w:rsidR="00C33636" w:rsidRPr="007D66DA" w:rsidRDefault="00C33636" w:rsidP="00C33636">
      <w:pPr>
        <w:pStyle w:val="paragraph"/>
      </w:pPr>
      <w:r w:rsidRPr="007D66DA">
        <w:tab/>
      </w:r>
      <w:r w:rsidR="002C5168" w:rsidRPr="007D66DA">
        <w:t>(c)</w:t>
      </w:r>
      <w:r w:rsidRPr="007D66DA">
        <w:tab/>
        <w:t xml:space="preserve">if the application specifies that the consideration for the acquisition will be more than $10 million—the amount worked out under </w:t>
      </w:r>
      <w:r w:rsidR="007D66DA" w:rsidRPr="007D66DA">
        <w:t>subsection (</w:t>
      </w:r>
      <w:r w:rsidRPr="007D66DA">
        <w:t>3).</w:t>
      </w:r>
    </w:p>
    <w:p w:rsidR="004C1F18" w:rsidRPr="007D66DA" w:rsidRDefault="004C1F18" w:rsidP="000540E7">
      <w:pPr>
        <w:pStyle w:val="notetext"/>
      </w:pPr>
      <w:r w:rsidRPr="007D66DA">
        <w:t>Note 1:</w:t>
      </w:r>
      <w:r w:rsidRPr="007D66DA">
        <w:tab/>
        <w:t xml:space="preserve">A residential land (other than established dwellings) certificate is </w:t>
      </w:r>
      <w:r w:rsidR="00FF4B0D" w:rsidRPr="007D66DA">
        <w:t xml:space="preserve">an exemption </w:t>
      </w:r>
      <w:r w:rsidRPr="007D66DA">
        <w:t>certificate under section</w:t>
      </w:r>
      <w:r w:rsidR="007D66DA" w:rsidRPr="007D66DA">
        <w:t> </w:t>
      </w:r>
      <w:r w:rsidRPr="007D66DA">
        <w:t>43B of the Foreign Acquisitions Regulation.</w:t>
      </w:r>
    </w:p>
    <w:p w:rsidR="000540E7" w:rsidRPr="007D66DA" w:rsidRDefault="00525B45" w:rsidP="000540E7">
      <w:pPr>
        <w:pStyle w:val="notetext"/>
      </w:pPr>
      <w:r w:rsidRPr="007D66DA">
        <w:t>Note</w:t>
      </w:r>
      <w:r w:rsidR="004C1F18" w:rsidRPr="007D66DA">
        <w:t xml:space="preserve"> 2</w:t>
      </w:r>
      <w:r w:rsidR="000540E7" w:rsidRPr="007D66DA">
        <w:t>:</w:t>
      </w:r>
      <w:r w:rsidR="000540E7" w:rsidRPr="007D66DA">
        <w:tab/>
      </w:r>
      <w:r w:rsidR="00CD5D5F" w:rsidRPr="007D66DA">
        <w:t>This fee may be indexed under section</w:t>
      </w:r>
      <w:r w:rsidR="007D66DA" w:rsidRPr="007D66DA">
        <w:t> </w:t>
      </w:r>
      <w:r w:rsidR="00CD5D5F" w:rsidRPr="007D66DA">
        <w:t>12 of the Act.</w:t>
      </w:r>
    </w:p>
    <w:p w:rsidR="006A6C63" w:rsidRPr="007D66DA" w:rsidRDefault="006A6C63" w:rsidP="000540E7">
      <w:pPr>
        <w:pStyle w:val="notetext"/>
      </w:pPr>
      <w:r w:rsidRPr="007D66DA">
        <w:t>Note 3:</w:t>
      </w:r>
      <w:r w:rsidRPr="007D66DA">
        <w:tab/>
        <w:t>The</w:t>
      </w:r>
      <w:r w:rsidR="00DF22D0" w:rsidRPr="007D66DA">
        <w:t xml:space="preserve"> </w:t>
      </w:r>
      <w:r w:rsidRPr="007D66DA">
        <w:t xml:space="preserve">fee payable for an application for this exemption certificate </w:t>
      </w:r>
      <w:r w:rsidR="00854FC3" w:rsidRPr="007D66DA">
        <w:t>is</w:t>
      </w:r>
      <w:r w:rsidRPr="007D66DA">
        <w:t xml:space="preserve"> nil </w:t>
      </w:r>
      <w:r w:rsidR="00854FC3" w:rsidRPr="007D66DA">
        <w:t>in some circumstances (see section</w:t>
      </w:r>
      <w:r w:rsidR="007D66DA" w:rsidRPr="007D66DA">
        <w:t> </w:t>
      </w:r>
      <w:r w:rsidR="00854FC3" w:rsidRPr="007D66DA">
        <w:t>8A)</w:t>
      </w:r>
      <w:r w:rsidRPr="007D66DA">
        <w:t>.</w:t>
      </w:r>
    </w:p>
    <w:p w:rsidR="000540E7" w:rsidRPr="007D66DA" w:rsidRDefault="006B0F42" w:rsidP="000540E7">
      <w:pPr>
        <w:pStyle w:val="SubsectionHead"/>
      </w:pPr>
      <w:r w:rsidRPr="007D66DA">
        <w:t xml:space="preserve">Fees for applications for </w:t>
      </w:r>
      <w:r w:rsidR="000540E7" w:rsidRPr="007D66DA">
        <w:t>certificates—consideration more than $1 million, and $10 million or less</w:t>
      </w:r>
    </w:p>
    <w:p w:rsidR="000540E7" w:rsidRPr="007D66DA" w:rsidRDefault="000540E7" w:rsidP="000540E7">
      <w:pPr>
        <w:pStyle w:val="subsection"/>
      </w:pPr>
      <w:r w:rsidRPr="007D66DA">
        <w:tab/>
        <w:t>(2)</w:t>
      </w:r>
      <w:r w:rsidRPr="007D66DA">
        <w:tab/>
        <w:t xml:space="preserve">For the purposes of </w:t>
      </w:r>
      <w:r w:rsidR="007D66DA" w:rsidRPr="007D66DA">
        <w:t>paragraph (</w:t>
      </w:r>
      <w:r w:rsidRPr="007D66DA">
        <w:t>1)(b), the amount of the fee is worked out as follows:</w:t>
      </w:r>
    </w:p>
    <w:p w:rsidR="000540E7" w:rsidRPr="007D66DA" w:rsidRDefault="000540E7" w:rsidP="000540E7">
      <w:pPr>
        <w:pStyle w:val="BoxHeadItalic"/>
        <w:keepLines/>
      </w:pPr>
      <w:r w:rsidRPr="007D66DA">
        <w:t>Method statement</w:t>
      </w:r>
    </w:p>
    <w:p w:rsidR="000540E7" w:rsidRPr="007D66DA" w:rsidRDefault="000540E7" w:rsidP="000540E7">
      <w:pPr>
        <w:pStyle w:val="BoxStep"/>
        <w:keepLines/>
      </w:pPr>
      <w:r w:rsidRPr="007D66DA">
        <w:t>Step 1.</w:t>
      </w:r>
      <w:r w:rsidRPr="007D66DA">
        <w:tab/>
        <w:t>Apply the following formula:</w:t>
      </w:r>
    </w:p>
    <w:p w:rsidR="000540E7" w:rsidRPr="007D66DA" w:rsidRDefault="000540E7" w:rsidP="000540E7">
      <w:pPr>
        <w:pStyle w:val="BoxStep"/>
      </w:pPr>
      <w:r w:rsidRPr="007D66DA">
        <w:tab/>
      </w:r>
      <w:bookmarkStart w:id="16" w:name="BKCheck15B_4"/>
      <w:bookmarkEnd w:id="16"/>
      <w:r w:rsidRPr="007D66DA">
        <w:rPr>
          <w:position w:val="-36"/>
        </w:rPr>
        <w:object w:dxaOrig="43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40.5pt" o:ole="">
            <v:imagedata r:id="rId21" o:title=""/>
          </v:shape>
          <o:OLEObject Type="Embed" ProgID="Equation.DSMT4" ShapeID="_x0000_i1025" DrawAspect="Content" ObjectID="_1560237264" r:id="rId22"/>
        </w:object>
      </w:r>
    </w:p>
    <w:p w:rsidR="000540E7" w:rsidRPr="007D66DA" w:rsidRDefault="000540E7" w:rsidP="000540E7">
      <w:pPr>
        <w:pStyle w:val="BoxStep"/>
        <w:keepLines/>
      </w:pPr>
      <w:r w:rsidRPr="007D66DA">
        <w:tab/>
        <w:t>Round the resulting amount down to the nearest whole number, if necessary.</w:t>
      </w:r>
    </w:p>
    <w:p w:rsidR="000540E7" w:rsidRPr="007D66DA" w:rsidRDefault="000540E7" w:rsidP="000540E7">
      <w:pPr>
        <w:pStyle w:val="BoxStep"/>
        <w:keepLines/>
      </w:pPr>
      <w:r w:rsidRPr="007D66DA">
        <w:t>Step 2.</w:t>
      </w:r>
      <w:r w:rsidRPr="007D66DA">
        <w:tab/>
        <w:t>Multiply the step 1 amount by $10,000.</w:t>
      </w:r>
    </w:p>
    <w:p w:rsidR="000540E7" w:rsidRPr="007D66DA" w:rsidRDefault="000540E7" w:rsidP="000540E7">
      <w:pPr>
        <w:pStyle w:val="BoxStep"/>
        <w:keepLines/>
      </w:pPr>
      <w:r w:rsidRPr="007D66DA">
        <w:t>Step 3.</w:t>
      </w:r>
      <w:r w:rsidRPr="007D66DA">
        <w:tab/>
        <w:t>Multiply the step 2 amount by 1.015. Round the resulting amount down to the nearest multiple of $100, if necessary.</w:t>
      </w:r>
    </w:p>
    <w:p w:rsidR="000540E7" w:rsidRPr="007D66DA" w:rsidRDefault="000540E7" w:rsidP="000540E7">
      <w:pPr>
        <w:pStyle w:val="BoxStep"/>
        <w:keepLines/>
      </w:pPr>
      <w:r w:rsidRPr="007D66DA">
        <w:t>Step 4.</w:t>
      </w:r>
      <w:r w:rsidRPr="007D66DA">
        <w:tab/>
        <w:t>Add to the step 3 amount the amount that is 10% of the step 3 amount. Round the resulting amount down to the nearest multiple of $100, if necessary.</w:t>
      </w:r>
    </w:p>
    <w:p w:rsidR="000540E7" w:rsidRPr="007D66DA" w:rsidRDefault="000540E7" w:rsidP="000540E7">
      <w:pPr>
        <w:pStyle w:val="BoxStep"/>
        <w:keepLines/>
      </w:pPr>
      <w:r w:rsidRPr="007D66DA">
        <w:t>Step 5.</w:t>
      </w:r>
      <w:r w:rsidRPr="007D66DA">
        <w:tab/>
        <w:t>The step 4 amount is the amount of the fee.</w:t>
      </w:r>
    </w:p>
    <w:p w:rsidR="001256C6" w:rsidRPr="007D66DA" w:rsidRDefault="001256C6" w:rsidP="001256C6">
      <w:pPr>
        <w:pStyle w:val="notetext"/>
      </w:pPr>
      <w:r w:rsidRPr="007D66DA">
        <w:t>Note:</w:t>
      </w:r>
      <w:r w:rsidRPr="007D66DA">
        <w:tab/>
      </w:r>
      <w:r w:rsidR="00F23F18" w:rsidRPr="007D66DA">
        <w:t>Indexation under section</w:t>
      </w:r>
      <w:r w:rsidR="007D66DA" w:rsidRPr="007D66DA">
        <w:t> </w:t>
      </w:r>
      <w:r w:rsidR="00F23F18" w:rsidRPr="007D66DA">
        <w:t>12 of the Act does not apply to the</w:t>
      </w:r>
      <w:r w:rsidRPr="007D66DA">
        <w:t xml:space="preserve"> amounts specified in steps 1 to 4 of the method statement</w:t>
      </w:r>
      <w:r w:rsidR="00854FC3" w:rsidRPr="007D66DA">
        <w:t>,</w:t>
      </w:r>
      <w:r w:rsidRPr="007D66DA">
        <w:t xml:space="preserve"> </w:t>
      </w:r>
      <w:r w:rsidR="00F23F18" w:rsidRPr="007D66DA">
        <w:t>as those amounts are</w:t>
      </w:r>
      <w:r w:rsidRPr="007D66DA">
        <w:t xml:space="preserve"> not fees.</w:t>
      </w:r>
    </w:p>
    <w:p w:rsidR="000540E7" w:rsidRPr="007D66DA" w:rsidRDefault="000540E7" w:rsidP="000540E7">
      <w:pPr>
        <w:pStyle w:val="SubsectionHead"/>
      </w:pPr>
      <w:r w:rsidRPr="007D66DA">
        <w:t>Fees for applications for certificates—consideration more than $10 million</w:t>
      </w:r>
    </w:p>
    <w:p w:rsidR="000540E7" w:rsidRPr="007D66DA" w:rsidRDefault="000540E7" w:rsidP="000540E7">
      <w:pPr>
        <w:pStyle w:val="subsection"/>
      </w:pPr>
      <w:r w:rsidRPr="007D66DA">
        <w:tab/>
        <w:t>(3)</w:t>
      </w:r>
      <w:r w:rsidRPr="007D66DA">
        <w:tab/>
        <w:t xml:space="preserve">For the purposes of </w:t>
      </w:r>
      <w:r w:rsidR="007D66DA" w:rsidRPr="007D66DA">
        <w:t>paragraph (</w:t>
      </w:r>
      <w:r w:rsidRPr="007D66DA">
        <w:t>1)(c), the amount of the fee is worked out as follows:</w:t>
      </w:r>
    </w:p>
    <w:p w:rsidR="000540E7" w:rsidRPr="007D66DA" w:rsidRDefault="000540E7" w:rsidP="000540E7">
      <w:pPr>
        <w:pStyle w:val="BoxHeadItalic"/>
        <w:keepLines/>
      </w:pPr>
      <w:r w:rsidRPr="007D66DA">
        <w:t>Method statement</w:t>
      </w:r>
    </w:p>
    <w:p w:rsidR="000540E7" w:rsidRPr="007D66DA" w:rsidRDefault="000540E7" w:rsidP="000540E7">
      <w:pPr>
        <w:pStyle w:val="BoxStep"/>
        <w:keepLines/>
      </w:pPr>
      <w:r w:rsidRPr="007D66DA">
        <w:t>Step 1.</w:t>
      </w:r>
      <w:r w:rsidRPr="007D66DA">
        <w:tab/>
        <w:t>Apply the following formula:</w:t>
      </w:r>
    </w:p>
    <w:p w:rsidR="000540E7" w:rsidRPr="007D66DA" w:rsidRDefault="000540E7" w:rsidP="000540E7">
      <w:pPr>
        <w:pStyle w:val="BoxStep"/>
        <w:keepLines/>
      </w:pPr>
      <w:r w:rsidRPr="007D66DA">
        <w:tab/>
      </w:r>
      <w:bookmarkStart w:id="17" w:name="BKCheck15B_5"/>
      <w:bookmarkEnd w:id="17"/>
      <w:r w:rsidRPr="007D66DA">
        <w:rPr>
          <w:position w:val="-36"/>
        </w:rPr>
        <w:object w:dxaOrig="4320" w:dyaOrig="800">
          <v:shape id="_x0000_i1026" type="#_x0000_t75" style="width:3in;height:40.5pt" o:ole="">
            <v:imagedata r:id="rId23" o:title=""/>
          </v:shape>
          <o:OLEObject Type="Embed" ProgID="Equation.DSMT4" ShapeID="_x0000_i1026" DrawAspect="Content" ObjectID="_1560237265" r:id="rId24"/>
        </w:object>
      </w:r>
    </w:p>
    <w:p w:rsidR="000540E7" w:rsidRPr="007D66DA" w:rsidRDefault="000540E7" w:rsidP="000540E7">
      <w:pPr>
        <w:pStyle w:val="BoxStep"/>
      </w:pPr>
      <w:r w:rsidRPr="007D66DA">
        <w:tab/>
        <w:t>Round the resulting amount down to the nearest whole number, if necessary.</w:t>
      </w:r>
    </w:p>
    <w:p w:rsidR="000540E7" w:rsidRPr="007D66DA" w:rsidRDefault="000540E7" w:rsidP="000540E7">
      <w:pPr>
        <w:pStyle w:val="BoxStep"/>
        <w:keepLines/>
      </w:pPr>
      <w:r w:rsidRPr="007D66DA">
        <w:t>Step 2.</w:t>
      </w:r>
      <w:r w:rsidRPr="007D66DA">
        <w:tab/>
        <w:t>Multiply the step 1 amount by $10,000.</w:t>
      </w:r>
    </w:p>
    <w:p w:rsidR="000540E7" w:rsidRPr="007D66DA" w:rsidRDefault="000540E7" w:rsidP="000540E7">
      <w:pPr>
        <w:pStyle w:val="BoxStep"/>
        <w:keepLines/>
      </w:pPr>
      <w:r w:rsidRPr="007D66DA">
        <w:t>Step 3.</w:t>
      </w:r>
      <w:r w:rsidRPr="007D66DA">
        <w:tab/>
        <w:t>Multiply the step 2 amount by 1.030. Round the resulting amount down to the nearest multiple of $100, if necessary.</w:t>
      </w:r>
    </w:p>
    <w:p w:rsidR="000540E7" w:rsidRPr="007D66DA" w:rsidRDefault="000540E7" w:rsidP="000540E7">
      <w:pPr>
        <w:pStyle w:val="BoxStep"/>
        <w:keepLines/>
      </w:pPr>
      <w:r w:rsidRPr="007D66DA">
        <w:t>Step 4.</w:t>
      </w:r>
      <w:r w:rsidRPr="007D66DA">
        <w:tab/>
        <w:t>The step 3 amount is the amount of the fee.</w:t>
      </w:r>
    </w:p>
    <w:p w:rsidR="00F23F18" w:rsidRPr="007D66DA" w:rsidRDefault="00F23F18" w:rsidP="00F23F18">
      <w:pPr>
        <w:pStyle w:val="notetext"/>
      </w:pPr>
      <w:r w:rsidRPr="007D66DA">
        <w:t>Note:</w:t>
      </w:r>
      <w:r w:rsidRPr="007D66DA">
        <w:tab/>
        <w:t>Indexation under section</w:t>
      </w:r>
      <w:r w:rsidR="007D66DA" w:rsidRPr="007D66DA">
        <w:t> </w:t>
      </w:r>
      <w:r w:rsidRPr="007D66DA">
        <w:t>12 of the Act does not apply to the amounts specified in steps 1 to 3 of the method statement</w:t>
      </w:r>
      <w:r w:rsidR="00854FC3" w:rsidRPr="007D66DA">
        <w:t>,</w:t>
      </w:r>
      <w:r w:rsidRPr="007D66DA">
        <w:t xml:space="preserve"> as those amounts are not fees.</w:t>
      </w:r>
    </w:p>
    <w:p w:rsidR="005E3187" w:rsidRPr="007D66DA" w:rsidRDefault="00483003" w:rsidP="00DE3F0A">
      <w:pPr>
        <w:pStyle w:val="ItemHead"/>
      </w:pPr>
      <w:r w:rsidRPr="007D66DA">
        <w:t>8</w:t>
      </w:r>
      <w:r w:rsidR="005E3187" w:rsidRPr="007D66DA">
        <w:t xml:space="preserve">  Section</w:t>
      </w:r>
      <w:r w:rsidR="007D66DA" w:rsidRPr="007D66DA">
        <w:t> </w:t>
      </w:r>
      <w:r w:rsidR="005E3187" w:rsidRPr="007D66DA">
        <w:t>7</w:t>
      </w:r>
    </w:p>
    <w:p w:rsidR="005E3187" w:rsidRPr="007D66DA" w:rsidRDefault="005E3187" w:rsidP="005E3187">
      <w:pPr>
        <w:pStyle w:val="Item"/>
      </w:pPr>
      <w:r w:rsidRPr="007D66DA">
        <w:t>Omit “Division</w:t>
      </w:r>
      <w:r w:rsidR="007D66DA" w:rsidRPr="007D66DA">
        <w:t> </w:t>
      </w:r>
      <w:r w:rsidRPr="007D66DA">
        <w:t>1”, substitute “Division</w:t>
      </w:r>
      <w:r w:rsidR="007D66DA" w:rsidRPr="007D66DA">
        <w:t> </w:t>
      </w:r>
      <w:r w:rsidRPr="007D66DA">
        <w:t>2”.</w:t>
      </w:r>
    </w:p>
    <w:p w:rsidR="00DE3F0A" w:rsidRPr="007D66DA" w:rsidRDefault="00483003" w:rsidP="00DE3F0A">
      <w:pPr>
        <w:pStyle w:val="ItemHead"/>
      </w:pPr>
      <w:r w:rsidRPr="007D66DA">
        <w:t>9</w:t>
      </w:r>
      <w:r w:rsidR="00DE3F0A" w:rsidRPr="007D66DA">
        <w:t xml:space="preserve">  Section</w:t>
      </w:r>
      <w:r w:rsidR="007D66DA" w:rsidRPr="007D66DA">
        <w:t> </w:t>
      </w:r>
      <w:r w:rsidR="00DE3F0A" w:rsidRPr="007D66DA">
        <w:t>7 (</w:t>
      </w:r>
      <w:r w:rsidR="00797881" w:rsidRPr="007D66DA">
        <w:t xml:space="preserve">cell at </w:t>
      </w:r>
      <w:r w:rsidR="00DE3F0A" w:rsidRPr="007D66DA">
        <w:t>table item</w:t>
      </w:r>
      <w:r w:rsidR="007D66DA" w:rsidRPr="007D66DA">
        <w:t> </w:t>
      </w:r>
      <w:r w:rsidR="00DE3F0A" w:rsidRPr="007D66DA">
        <w:t xml:space="preserve">1, </w:t>
      </w:r>
      <w:r w:rsidR="00797881" w:rsidRPr="007D66DA">
        <w:t>column h</w:t>
      </w:r>
      <w:r w:rsidR="00095352" w:rsidRPr="007D66DA">
        <w:t>eaded “the amount of the fee is</w:t>
      </w:r>
      <w:r w:rsidR="00B65B85" w:rsidRPr="007D66DA">
        <w:t xml:space="preserve"> </w:t>
      </w:r>
      <w:r w:rsidR="00797881" w:rsidRPr="007D66DA">
        <w:t>...”)</w:t>
      </w:r>
    </w:p>
    <w:p w:rsidR="00797881" w:rsidRPr="007D66DA" w:rsidRDefault="00797881" w:rsidP="00797881">
      <w:pPr>
        <w:pStyle w:val="Item"/>
      </w:pPr>
      <w:r w:rsidRPr="007D66DA">
        <w:t>Repeal the cell, substitute:</w:t>
      </w:r>
    </w:p>
    <w:tbl>
      <w:tblPr>
        <w:tblW w:w="0" w:type="auto"/>
        <w:tblInd w:w="817" w:type="dxa"/>
        <w:tblLayout w:type="fixed"/>
        <w:tblLook w:val="0000" w:firstRow="0" w:lastRow="0" w:firstColumn="0" w:lastColumn="0" w:noHBand="0" w:noVBand="0"/>
      </w:tblPr>
      <w:tblGrid>
        <w:gridCol w:w="2126"/>
      </w:tblGrid>
      <w:tr w:rsidR="00797881" w:rsidRPr="007D66DA" w:rsidTr="00CC6C8B">
        <w:trPr>
          <w:cantSplit/>
        </w:trPr>
        <w:tc>
          <w:tcPr>
            <w:tcW w:w="2126" w:type="dxa"/>
            <w:shd w:val="clear" w:color="auto" w:fill="auto"/>
          </w:tcPr>
          <w:p w:rsidR="00914BBE" w:rsidRPr="007D66DA" w:rsidRDefault="00797881" w:rsidP="00914BBE">
            <w:pPr>
              <w:pStyle w:val="Tablea"/>
            </w:pPr>
            <w:r w:rsidRPr="007D66DA">
              <w:t>(</w:t>
            </w:r>
            <w:r w:rsidR="00914BBE" w:rsidRPr="007D66DA">
              <w:t>a) if the considera</w:t>
            </w:r>
            <w:r w:rsidR="00496861" w:rsidRPr="007D66DA">
              <w:t>tion for the acquisition is $10</w:t>
            </w:r>
            <w:r w:rsidR="00851A17" w:rsidRPr="007D66DA">
              <w:t xml:space="preserve"> million</w:t>
            </w:r>
            <w:r w:rsidR="00496861" w:rsidRPr="007D66DA">
              <w:t xml:space="preserve"> or less—$2</w:t>
            </w:r>
            <w:r w:rsidR="00AE0716" w:rsidRPr="007D66DA">
              <w:t>,</w:t>
            </w:r>
            <w:r w:rsidR="00914BBE" w:rsidRPr="007D66DA">
              <w:t>000; and</w:t>
            </w:r>
          </w:p>
          <w:p w:rsidR="00914BBE" w:rsidRPr="007D66DA" w:rsidRDefault="00914BBE" w:rsidP="00914BBE">
            <w:pPr>
              <w:pStyle w:val="Tablea"/>
            </w:pPr>
            <w:r w:rsidRPr="007D66DA">
              <w:t>(b) if the</w:t>
            </w:r>
            <w:r w:rsidR="00496861" w:rsidRPr="007D66DA">
              <w:t xml:space="preserve"> consideration is more than $10</w:t>
            </w:r>
            <w:r w:rsidR="00851A17" w:rsidRPr="007D66DA">
              <w:t xml:space="preserve"> million </w:t>
            </w:r>
            <w:r w:rsidR="00496861" w:rsidRPr="007D66DA">
              <w:t>and $1 billion or less—$25</w:t>
            </w:r>
            <w:r w:rsidR="00AE0716" w:rsidRPr="007D66DA">
              <w:t>,</w:t>
            </w:r>
            <w:r w:rsidRPr="007D66DA">
              <w:t>300; and</w:t>
            </w:r>
          </w:p>
          <w:p w:rsidR="00797881" w:rsidRPr="007D66DA" w:rsidRDefault="00914BBE" w:rsidP="00AE0716">
            <w:pPr>
              <w:pStyle w:val="Tablea"/>
            </w:pPr>
            <w:r w:rsidRPr="007D66DA">
              <w:t xml:space="preserve">(c) if the consideration is </w:t>
            </w:r>
            <w:r w:rsidR="009F62A3" w:rsidRPr="007D66DA">
              <w:t>more than $1 billion</w:t>
            </w:r>
            <w:r w:rsidR="00496861" w:rsidRPr="007D66DA">
              <w:t>—$101</w:t>
            </w:r>
            <w:r w:rsidR="00AE0716" w:rsidRPr="007D66DA">
              <w:t>,</w:t>
            </w:r>
            <w:r w:rsidRPr="007D66DA">
              <w:t>500.</w:t>
            </w:r>
          </w:p>
        </w:tc>
      </w:tr>
    </w:tbl>
    <w:p w:rsidR="00851A17" w:rsidRPr="007D66DA" w:rsidRDefault="00483003" w:rsidP="00851A17">
      <w:pPr>
        <w:pStyle w:val="ItemHead"/>
      </w:pPr>
      <w:r w:rsidRPr="007D66DA">
        <w:t>10</w:t>
      </w:r>
      <w:r w:rsidR="00851A17" w:rsidRPr="007D66DA">
        <w:t xml:space="preserve">  Section</w:t>
      </w:r>
      <w:r w:rsidR="007D66DA" w:rsidRPr="007D66DA">
        <w:t> </w:t>
      </w:r>
      <w:r w:rsidR="00851A17" w:rsidRPr="007D66DA">
        <w:t>7 (table item</w:t>
      </w:r>
      <w:r w:rsidR="007D66DA" w:rsidRPr="007D66DA">
        <w:t> </w:t>
      </w:r>
      <w:r w:rsidR="00851A17" w:rsidRPr="007D66DA">
        <w:t>2)</w:t>
      </w:r>
    </w:p>
    <w:p w:rsidR="00851A17" w:rsidRPr="007D66DA" w:rsidRDefault="00851A17" w:rsidP="00851A17">
      <w:pPr>
        <w:pStyle w:val="Item"/>
      </w:pPr>
      <w:r w:rsidRPr="007D66DA">
        <w:t>Omit “$10</w:t>
      </w:r>
      <w:r w:rsidR="007D66DA" w:rsidRPr="007D66DA">
        <w:t> </w:t>
      </w:r>
      <w:r w:rsidRPr="007D66DA">
        <w:t>000”, substitute “$10</w:t>
      </w:r>
      <w:r w:rsidR="00525B45" w:rsidRPr="007D66DA">
        <w:t>,</w:t>
      </w:r>
      <w:r w:rsidRPr="007D66DA">
        <w:t>100”.</w:t>
      </w:r>
    </w:p>
    <w:p w:rsidR="001256C6" w:rsidRPr="007D66DA" w:rsidRDefault="00483003" w:rsidP="001256C6">
      <w:pPr>
        <w:pStyle w:val="ItemHead"/>
      </w:pPr>
      <w:r w:rsidRPr="007D66DA">
        <w:t>11</w:t>
      </w:r>
      <w:r w:rsidR="001256C6" w:rsidRPr="007D66DA">
        <w:t xml:space="preserve">  At the end of section</w:t>
      </w:r>
      <w:r w:rsidR="007D66DA" w:rsidRPr="007D66DA">
        <w:t> </w:t>
      </w:r>
      <w:r w:rsidR="001256C6" w:rsidRPr="007D66DA">
        <w:t>7</w:t>
      </w:r>
    </w:p>
    <w:p w:rsidR="001256C6" w:rsidRPr="007D66DA" w:rsidRDefault="001256C6" w:rsidP="001256C6">
      <w:pPr>
        <w:pStyle w:val="Item"/>
      </w:pPr>
      <w:r w:rsidRPr="007D66DA">
        <w:t>Add:</w:t>
      </w:r>
    </w:p>
    <w:p w:rsidR="00854FC3" w:rsidRPr="007D66DA" w:rsidRDefault="00854FC3" w:rsidP="00854FC3">
      <w:pPr>
        <w:pStyle w:val="notetext"/>
      </w:pPr>
      <w:r w:rsidRPr="007D66DA">
        <w:t>Note:</w:t>
      </w:r>
      <w:r w:rsidRPr="007D66DA">
        <w:tab/>
        <w:t>These fees may be indexed under section</w:t>
      </w:r>
      <w:r w:rsidR="007D66DA" w:rsidRPr="007D66DA">
        <w:t> </w:t>
      </w:r>
      <w:r w:rsidRPr="007D66DA">
        <w:t>12 of the Act. However, indexation does not apply to amounts of consideration specified in the table, as these amounts are not fees.</w:t>
      </w:r>
    </w:p>
    <w:p w:rsidR="00FB1889" w:rsidRPr="007D66DA" w:rsidRDefault="00483003" w:rsidP="006E38E1">
      <w:pPr>
        <w:pStyle w:val="ItemHead"/>
      </w:pPr>
      <w:r w:rsidRPr="007D66DA">
        <w:t>12</w:t>
      </w:r>
      <w:r w:rsidR="00FB1889" w:rsidRPr="007D66DA">
        <w:t xml:space="preserve">  After section</w:t>
      </w:r>
      <w:r w:rsidR="007D66DA" w:rsidRPr="007D66DA">
        <w:t> </w:t>
      </w:r>
      <w:r w:rsidR="00FB1889" w:rsidRPr="007D66DA">
        <w:t>8</w:t>
      </w:r>
    </w:p>
    <w:p w:rsidR="00FB1889" w:rsidRPr="007D66DA" w:rsidRDefault="00FB1889" w:rsidP="00FB1889">
      <w:pPr>
        <w:pStyle w:val="Item"/>
      </w:pPr>
      <w:r w:rsidRPr="007D66DA">
        <w:t>Insert:</w:t>
      </w:r>
    </w:p>
    <w:p w:rsidR="00FB1889" w:rsidRPr="007D66DA" w:rsidRDefault="00FB1889" w:rsidP="00FB1889">
      <w:pPr>
        <w:pStyle w:val="ActHead5"/>
      </w:pPr>
      <w:bookmarkStart w:id="18" w:name="_Toc485306517"/>
      <w:r w:rsidRPr="007D66DA">
        <w:rPr>
          <w:rStyle w:val="CharSectno"/>
        </w:rPr>
        <w:t>8A</w:t>
      </w:r>
      <w:r w:rsidRPr="007D66DA">
        <w:t xml:space="preserve">  </w:t>
      </w:r>
      <w:r w:rsidR="00A36B17" w:rsidRPr="007D66DA">
        <w:t>A</w:t>
      </w:r>
      <w:r w:rsidR="00A1676E" w:rsidRPr="007D66DA">
        <w:t xml:space="preserve">pplications for residential </w:t>
      </w:r>
      <w:r w:rsidR="007F12D9" w:rsidRPr="007D66DA">
        <w:t>land</w:t>
      </w:r>
      <w:r w:rsidR="00A1676E" w:rsidRPr="007D66DA">
        <w:t xml:space="preserve"> certificates</w:t>
      </w:r>
      <w:r w:rsidR="00A36B17" w:rsidRPr="007D66DA">
        <w:t xml:space="preserve"> </w:t>
      </w:r>
      <w:r w:rsidR="00DF22D0" w:rsidRPr="007D66DA">
        <w:t xml:space="preserve">covering </w:t>
      </w:r>
      <w:r w:rsidR="007F12D9" w:rsidRPr="007D66DA">
        <w:t>a single proposed</w:t>
      </w:r>
      <w:r w:rsidR="00DF22D0" w:rsidRPr="007D66DA">
        <w:t xml:space="preserve"> acquisition</w:t>
      </w:r>
      <w:bookmarkEnd w:id="18"/>
    </w:p>
    <w:p w:rsidR="00854FC3" w:rsidRPr="007D66DA" w:rsidRDefault="00854FC3" w:rsidP="00854FC3">
      <w:pPr>
        <w:pStyle w:val="subsection"/>
      </w:pPr>
      <w:r w:rsidRPr="007D66DA">
        <w:tab/>
        <w:t>(1)</w:t>
      </w:r>
      <w:r w:rsidRPr="007D66DA">
        <w:tab/>
        <w:t>This section applies if:</w:t>
      </w:r>
    </w:p>
    <w:p w:rsidR="00854FC3" w:rsidRPr="007D66DA" w:rsidRDefault="00854FC3" w:rsidP="00854FC3">
      <w:pPr>
        <w:pStyle w:val="paragraph"/>
      </w:pPr>
      <w:r w:rsidRPr="007D66DA">
        <w:tab/>
        <w:t>(a)</w:t>
      </w:r>
      <w:r w:rsidRPr="007D66DA">
        <w:tab/>
        <w:t xml:space="preserve">a person </w:t>
      </w:r>
      <w:r w:rsidR="00675D97" w:rsidRPr="007D66DA">
        <w:t>makes</w:t>
      </w:r>
      <w:r w:rsidR="00514ACE" w:rsidRPr="007D66DA">
        <w:t xml:space="preserve"> </w:t>
      </w:r>
      <w:r w:rsidR="004607AE" w:rsidRPr="007D66DA">
        <w:t xml:space="preserve">(or has made) </w:t>
      </w:r>
      <w:r w:rsidR="00514ACE" w:rsidRPr="007D66DA">
        <w:t>an application for</w:t>
      </w:r>
      <w:r w:rsidR="00AE7A1A" w:rsidRPr="007D66DA">
        <w:t xml:space="preserve"> either of the </w:t>
      </w:r>
      <w:r w:rsidRPr="007D66DA">
        <w:t>following certificates</w:t>
      </w:r>
      <w:r w:rsidR="00AE7A1A" w:rsidRPr="007D66DA">
        <w:t xml:space="preserve"> (the </w:t>
      </w:r>
      <w:r w:rsidR="00675D97" w:rsidRPr="007D66DA">
        <w:rPr>
          <w:b/>
          <w:i/>
        </w:rPr>
        <w:t>first</w:t>
      </w:r>
      <w:r w:rsidR="00AE7A1A" w:rsidRPr="007D66DA">
        <w:rPr>
          <w:b/>
          <w:i/>
        </w:rPr>
        <w:t xml:space="preserve"> certificate</w:t>
      </w:r>
      <w:r w:rsidR="00AE7A1A" w:rsidRPr="007D66DA">
        <w:t>)</w:t>
      </w:r>
      <w:r w:rsidRPr="007D66DA">
        <w:t>:</w:t>
      </w:r>
    </w:p>
    <w:p w:rsidR="00854FC3" w:rsidRPr="007D66DA" w:rsidRDefault="00854FC3" w:rsidP="00854FC3">
      <w:pPr>
        <w:pStyle w:val="paragraphsub"/>
      </w:pPr>
      <w:r w:rsidRPr="007D66DA">
        <w:tab/>
        <w:t>(i)</w:t>
      </w:r>
      <w:r w:rsidRPr="007D66DA">
        <w:tab/>
        <w:t xml:space="preserve">a residential land (other than </w:t>
      </w:r>
      <w:r w:rsidR="00191C9F" w:rsidRPr="007D66DA">
        <w:t>established</w:t>
      </w:r>
      <w:r w:rsidRPr="007D66DA">
        <w:t xml:space="preserve"> dwellings) certificate;</w:t>
      </w:r>
    </w:p>
    <w:p w:rsidR="00AE7A1A" w:rsidRPr="007D66DA" w:rsidRDefault="00854FC3" w:rsidP="00854FC3">
      <w:pPr>
        <w:pStyle w:val="paragraphsub"/>
      </w:pPr>
      <w:r w:rsidRPr="007D66DA">
        <w:tab/>
        <w:t>(ii)</w:t>
      </w:r>
      <w:r w:rsidRPr="007D66DA">
        <w:tab/>
      </w:r>
      <w:r w:rsidR="00AE7A1A" w:rsidRPr="007D66DA">
        <w:t>an exemption certificate under section</w:t>
      </w:r>
      <w:r w:rsidR="007D66DA" w:rsidRPr="007D66DA">
        <w:t> </w:t>
      </w:r>
      <w:r w:rsidR="00AE7A1A" w:rsidRPr="007D66DA">
        <w:t>59 of the Foreign Acquisitions Act</w:t>
      </w:r>
      <w:r w:rsidR="00A1676E" w:rsidRPr="007D66DA">
        <w:t xml:space="preserve"> (which applies to established dwellings)</w:t>
      </w:r>
      <w:r w:rsidR="00AE7A1A" w:rsidRPr="007D66DA">
        <w:t>; and</w:t>
      </w:r>
    </w:p>
    <w:p w:rsidR="00AE7A1A" w:rsidRPr="007D66DA" w:rsidRDefault="00AE7A1A" w:rsidP="00AE7A1A">
      <w:pPr>
        <w:pStyle w:val="paragraph"/>
      </w:pPr>
      <w:r w:rsidRPr="007D66DA">
        <w:tab/>
        <w:t>(b)</w:t>
      </w:r>
      <w:r w:rsidRPr="007D66DA">
        <w:tab/>
      </w:r>
      <w:r w:rsidR="00296F97" w:rsidRPr="007D66DA">
        <w:t>in a case in which</w:t>
      </w:r>
      <w:r w:rsidRPr="007D66DA">
        <w:t xml:space="preserve"> the person </w:t>
      </w:r>
      <w:r w:rsidR="00514ACE" w:rsidRPr="007D66DA">
        <w:t>holds</w:t>
      </w:r>
      <w:r w:rsidRPr="007D66DA">
        <w:t xml:space="preserve"> the </w:t>
      </w:r>
      <w:r w:rsidR="00675D97" w:rsidRPr="007D66DA">
        <w:t>first</w:t>
      </w:r>
      <w:r w:rsidR="00514ACE" w:rsidRPr="007D66DA">
        <w:t xml:space="preserve"> certificate as a result of the application</w:t>
      </w:r>
      <w:r w:rsidR="00DF22D0" w:rsidRPr="007D66DA">
        <w:t>—</w:t>
      </w:r>
      <w:r w:rsidRPr="007D66DA">
        <w:t>the certificate is still in force</w:t>
      </w:r>
      <w:r w:rsidR="00514ACE" w:rsidRPr="007D66DA">
        <w:t xml:space="preserve">, and the person has not </w:t>
      </w:r>
      <w:r w:rsidR="00296F97" w:rsidRPr="007D66DA">
        <w:t>taken the action</w:t>
      </w:r>
      <w:r w:rsidR="00514ACE" w:rsidRPr="007D66DA">
        <w:t xml:space="preserve"> specified in the certificate</w:t>
      </w:r>
      <w:r w:rsidRPr="007D66DA">
        <w:t>; and</w:t>
      </w:r>
    </w:p>
    <w:p w:rsidR="00AE7A1A" w:rsidRPr="007D66DA" w:rsidRDefault="00AE7A1A" w:rsidP="00AE7A1A">
      <w:pPr>
        <w:pStyle w:val="paragraph"/>
      </w:pPr>
      <w:r w:rsidRPr="007D66DA">
        <w:tab/>
        <w:t>(c)</w:t>
      </w:r>
      <w:r w:rsidRPr="007D66DA">
        <w:tab/>
        <w:t xml:space="preserve">the person makes an application for the other </w:t>
      </w:r>
      <w:r w:rsidR="00514ACE" w:rsidRPr="007D66DA">
        <w:t xml:space="preserve">kind of </w:t>
      </w:r>
      <w:r w:rsidRPr="007D66DA">
        <w:t>certificate</w:t>
      </w:r>
      <w:r w:rsidR="00B00407" w:rsidRPr="007D66DA">
        <w:t xml:space="preserve"> (the </w:t>
      </w:r>
      <w:r w:rsidR="00B00407" w:rsidRPr="007D66DA">
        <w:rPr>
          <w:b/>
          <w:i/>
        </w:rPr>
        <w:t>second certificate</w:t>
      </w:r>
      <w:r w:rsidR="00B00407" w:rsidRPr="007D66DA">
        <w:t>)</w:t>
      </w:r>
      <w:r w:rsidRPr="007D66DA">
        <w:t xml:space="preserve"> mentioned in </w:t>
      </w:r>
      <w:r w:rsidR="007D66DA" w:rsidRPr="007D66DA">
        <w:t>paragraph (</w:t>
      </w:r>
      <w:r w:rsidRPr="007D66DA">
        <w:t>a)</w:t>
      </w:r>
      <w:r w:rsidR="00296F97" w:rsidRPr="007D66DA">
        <w:t>, whether at the same time, or after, the application for the first certificate was made</w:t>
      </w:r>
      <w:r w:rsidRPr="007D66DA">
        <w:t>; and</w:t>
      </w:r>
    </w:p>
    <w:p w:rsidR="00514ACE" w:rsidRPr="007D66DA" w:rsidRDefault="00AE7A1A" w:rsidP="00AE7A1A">
      <w:pPr>
        <w:pStyle w:val="paragraph"/>
      </w:pPr>
      <w:r w:rsidRPr="007D66DA">
        <w:tab/>
        <w:t>(d)</w:t>
      </w:r>
      <w:r w:rsidRPr="007D66DA">
        <w:tab/>
        <w:t xml:space="preserve">the </w:t>
      </w:r>
      <w:r w:rsidR="00514ACE" w:rsidRPr="007D66DA">
        <w:t>application</w:t>
      </w:r>
      <w:r w:rsidR="00DF22D0" w:rsidRPr="007D66DA">
        <w:t>s</w:t>
      </w:r>
      <w:r w:rsidRPr="007D66DA">
        <w:t xml:space="preserve"> for the </w:t>
      </w:r>
      <w:r w:rsidR="00675D97" w:rsidRPr="007D66DA">
        <w:t>first</w:t>
      </w:r>
      <w:r w:rsidRPr="007D66DA">
        <w:t xml:space="preserve"> certificate</w:t>
      </w:r>
      <w:r w:rsidR="00514ACE" w:rsidRPr="007D66DA">
        <w:t xml:space="preserve"> and the </w:t>
      </w:r>
      <w:r w:rsidR="00675D97" w:rsidRPr="007D66DA">
        <w:t>second</w:t>
      </w:r>
      <w:r w:rsidR="00B00407" w:rsidRPr="007D66DA">
        <w:t xml:space="preserve"> certificate </w:t>
      </w:r>
      <w:r w:rsidR="0032045D" w:rsidRPr="007D66DA">
        <w:t>cover just one</w:t>
      </w:r>
      <w:r w:rsidR="00675D97" w:rsidRPr="007D66DA">
        <w:t xml:space="preserve"> proposal to acquire an interest in </w:t>
      </w:r>
      <w:r w:rsidR="007F12D9" w:rsidRPr="007D66DA">
        <w:t>residential land</w:t>
      </w:r>
      <w:r w:rsidR="00AD7737" w:rsidRPr="007D66DA">
        <w:t>; and</w:t>
      </w:r>
    </w:p>
    <w:p w:rsidR="00B00407" w:rsidRPr="007D66DA" w:rsidRDefault="00B00407" w:rsidP="00B00407">
      <w:pPr>
        <w:pStyle w:val="paragraph"/>
      </w:pPr>
      <w:r w:rsidRPr="007D66DA">
        <w:tab/>
        <w:t>(e)</w:t>
      </w:r>
      <w:r w:rsidRPr="007D66DA">
        <w:tab/>
        <w:t xml:space="preserve">the consideration </w:t>
      </w:r>
      <w:r w:rsidR="00C2558B" w:rsidRPr="007D66DA">
        <w:t xml:space="preserve">for the </w:t>
      </w:r>
      <w:r w:rsidR="0032045D" w:rsidRPr="007D66DA">
        <w:t>acquisition</w:t>
      </w:r>
      <w:r w:rsidR="00C2558B" w:rsidRPr="007D66DA">
        <w:t xml:space="preserve"> </w:t>
      </w:r>
      <w:r w:rsidR="0032045D" w:rsidRPr="007D66DA">
        <w:t>to which</w:t>
      </w:r>
      <w:r w:rsidRPr="007D66DA">
        <w:t xml:space="preserve"> the </w:t>
      </w:r>
      <w:r w:rsidR="0032045D" w:rsidRPr="007D66DA">
        <w:t xml:space="preserve">application for the </w:t>
      </w:r>
      <w:r w:rsidRPr="007D66DA">
        <w:t>first certificate</w:t>
      </w:r>
      <w:r w:rsidR="0032045D" w:rsidRPr="007D66DA">
        <w:t xml:space="preserve"> applies</w:t>
      </w:r>
      <w:r w:rsidRPr="007D66DA">
        <w:t xml:space="preserve"> is the same, or higher, than the consideration </w:t>
      </w:r>
      <w:r w:rsidR="00C2558B" w:rsidRPr="007D66DA">
        <w:t xml:space="preserve">for the acquisition </w:t>
      </w:r>
      <w:r w:rsidR="0032045D" w:rsidRPr="007D66DA">
        <w:t>to which</w:t>
      </w:r>
      <w:r w:rsidR="00C2558B" w:rsidRPr="007D66DA">
        <w:t xml:space="preserve"> the</w:t>
      </w:r>
      <w:r w:rsidRPr="007D66DA">
        <w:t xml:space="preserve"> application for the second certificate</w:t>
      </w:r>
      <w:r w:rsidR="0032045D" w:rsidRPr="007D66DA">
        <w:t xml:space="preserve"> applies</w:t>
      </w:r>
      <w:r w:rsidR="003C4B95" w:rsidRPr="007D66DA">
        <w:t>; and</w:t>
      </w:r>
    </w:p>
    <w:p w:rsidR="003C4B95" w:rsidRPr="007D66DA" w:rsidRDefault="003C4B95" w:rsidP="003C4B95">
      <w:pPr>
        <w:pStyle w:val="paragraph"/>
      </w:pPr>
      <w:r w:rsidRPr="007D66DA">
        <w:tab/>
        <w:t>(f)</w:t>
      </w:r>
      <w:r w:rsidRPr="007D66DA">
        <w:tab/>
      </w:r>
      <w:r w:rsidR="00462F17" w:rsidRPr="007D66DA">
        <w:t>at the time of the application for the second certificate</w:t>
      </w:r>
      <w:r w:rsidRPr="007D66DA">
        <w:t>:</w:t>
      </w:r>
    </w:p>
    <w:p w:rsidR="00DF22D0" w:rsidRPr="007D66DA" w:rsidRDefault="00DF22D0" w:rsidP="00DF22D0">
      <w:pPr>
        <w:pStyle w:val="paragraphsub"/>
      </w:pPr>
      <w:r w:rsidRPr="007D66DA">
        <w:tab/>
        <w:t>(i)</w:t>
      </w:r>
      <w:r w:rsidRPr="007D66DA">
        <w:tab/>
        <w:t>the person pays the fee that is payable (apart from this section) for the application for the first certificate; or</w:t>
      </w:r>
    </w:p>
    <w:p w:rsidR="003C4B95" w:rsidRPr="007D66DA" w:rsidRDefault="003C4B95" w:rsidP="003C4B95">
      <w:pPr>
        <w:pStyle w:val="paragraphsub"/>
      </w:pPr>
      <w:r w:rsidRPr="007D66DA">
        <w:tab/>
        <w:t>(i</w:t>
      </w:r>
      <w:r w:rsidR="00DF22D0" w:rsidRPr="007D66DA">
        <w:t>i</w:t>
      </w:r>
      <w:r w:rsidRPr="007D66DA">
        <w:t>)</w:t>
      </w:r>
      <w:r w:rsidRPr="007D66DA">
        <w:tab/>
        <w:t xml:space="preserve">the person has already paid the fee that is </w:t>
      </w:r>
      <w:r w:rsidR="00462F17" w:rsidRPr="007D66DA">
        <w:t>payable</w:t>
      </w:r>
      <w:r w:rsidRPr="007D66DA">
        <w:t xml:space="preserve"> (apart from this section) for the applicati</w:t>
      </w:r>
      <w:r w:rsidR="00DF22D0" w:rsidRPr="007D66DA">
        <w:t>on for the first certificate.</w:t>
      </w:r>
    </w:p>
    <w:p w:rsidR="00B00407" w:rsidRPr="007D66DA" w:rsidRDefault="00B00407" w:rsidP="00B00407">
      <w:pPr>
        <w:pStyle w:val="notetext"/>
      </w:pPr>
      <w:r w:rsidRPr="007D66DA">
        <w:t>Note:</w:t>
      </w:r>
      <w:r w:rsidRPr="007D66DA">
        <w:tab/>
        <w:t>A residential land (other than established dwellings) certificate is an exemption certificate under section</w:t>
      </w:r>
      <w:r w:rsidR="007D66DA" w:rsidRPr="007D66DA">
        <w:t> </w:t>
      </w:r>
      <w:r w:rsidRPr="007D66DA">
        <w:t>43B of the Foreign Acquisitions Regulation.</w:t>
      </w:r>
    </w:p>
    <w:p w:rsidR="003C4B95" w:rsidRPr="007D66DA" w:rsidRDefault="00FB1889" w:rsidP="006A6C63">
      <w:pPr>
        <w:pStyle w:val="subsection"/>
      </w:pPr>
      <w:r w:rsidRPr="007D66DA">
        <w:tab/>
      </w:r>
      <w:r w:rsidR="006A6C63" w:rsidRPr="007D66DA">
        <w:t>(</w:t>
      </w:r>
      <w:r w:rsidR="00514ACE" w:rsidRPr="007D66DA">
        <w:t>2</w:t>
      </w:r>
      <w:r w:rsidR="00675D97" w:rsidRPr="007D66DA">
        <w:t>)</w:t>
      </w:r>
      <w:r w:rsidR="00675D97" w:rsidRPr="007D66DA">
        <w:tab/>
      </w:r>
      <w:r w:rsidR="003C4B95" w:rsidRPr="007D66DA">
        <w:t>The fee payable for the application for the second certificate is:</w:t>
      </w:r>
    </w:p>
    <w:p w:rsidR="003C4B95" w:rsidRPr="007D66DA" w:rsidRDefault="003C4B95" w:rsidP="003C4B95">
      <w:pPr>
        <w:pStyle w:val="paragraph"/>
      </w:pPr>
      <w:r w:rsidRPr="007D66DA">
        <w:tab/>
        <w:t>(a)</w:t>
      </w:r>
      <w:r w:rsidRPr="007D66DA">
        <w:tab/>
        <w:t xml:space="preserve">if the amount of the consideration (the </w:t>
      </w:r>
      <w:r w:rsidRPr="007D66DA">
        <w:rPr>
          <w:b/>
          <w:i/>
        </w:rPr>
        <w:t>first consideration amount</w:t>
      </w:r>
      <w:r w:rsidRPr="007D66DA">
        <w:t xml:space="preserve">) for the acquisition to which the application for the first certificate relates is the same, or higher, than the amount of the consideration (the </w:t>
      </w:r>
      <w:r w:rsidRPr="007D66DA">
        <w:rPr>
          <w:b/>
          <w:i/>
        </w:rPr>
        <w:t>second consideration amount</w:t>
      </w:r>
      <w:r w:rsidR="00DF22D0" w:rsidRPr="007D66DA">
        <w:t>) for the acquisition specified in</w:t>
      </w:r>
      <w:r w:rsidRPr="007D66DA">
        <w:t xml:space="preserve"> the applica</w:t>
      </w:r>
      <w:r w:rsidR="00DF22D0" w:rsidRPr="007D66DA">
        <w:t>tion for the second certificate</w:t>
      </w:r>
      <w:r w:rsidRPr="007D66DA">
        <w:t>—nil; or</w:t>
      </w:r>
    </w:p>
    <w:p w:rsidR="003C4B95" w:rsidRPr="007D66DA" w:rsidRDefault="003C4B95" w:rsidP="003C4B95">
      <w:pPr>
        <w:pStyle w:val="paragraph"/>
      </w:pPr>
      <w:r w:rsidRPr="007D66DA">
        <w:tab/>
        <w:t>(b)</w:t>
      </w:r>
      <w:r w:rsidRPr="007D66DA">
        <w:tab/>
        <w:t>if the first consideration</w:t>
      </w:r>
      <w:r w:rsidR="00462F17" w:rsidRPr="007D66DA">
        <w:t xml:space="preserve"> amount</w:t>
      </w:r>
      <w:r w:rsidRPr="007D66DA">
        <w:t xml:space="preserve"> is lower than the </w:t>
      </w:r>
      <w:r w:rsidR="00462F17" w:rsidRPr="007D66DA">
        <w:t>second consideration amount</w:t>
      </w:r>
      <w:r w:rsidRPr="007D66DA">
        <w:t>—the amount of the difference (which could be nil) between the fees that would, apart from this section, be payable for the applications for the first certificate and the second certificate.</w:t>
      </w:r>
    </w:p>
    <w:p w:rsidR="001E2C3D" w:rsidRPr="007D66DA" w:rsidRDefault="001E2C3D" w:rsidP="001E2C3D">
      <w:pPr>
        <w:pStyle w:val="ActHead5"/>
      </w:pPr>
      <w:bookmarkStart w:id="19" w:name="_Toc485306518"/>
      <w:r w:rsidRPr="007D66DA">
        <w:rPr>
          <w:rStyle w:val="CharSectno"/>
        </w:rPr>
        <w:t>8B</w:t>
      </w:r>
      <w:r w:rsidRPr="007D66DA">
        <w:t xml:space="preserve">  </w:t>
      </w:r>
      <w:r w:rsidR="00A36B17" w:rsidRPr="007D66DA">
        <w:t>A</w:t>
      </w:r>
      <w:r w:rsidR="00CC79BA" w:rsidRPr="007D66DA">
        <w:t xml:space="preserve">pplications </w:t>
      </w:r>
      <w:r w:rsidR="00751A50" w:rsidRPr="007D66DA">
        <w:t xml:space="preserve">made </w:t>
      </w:r>
      <w:r w:rsidR="00CC79BA" w:rsidRPr="007D66DA">
        <w:t xml:space="preserve">for </w:t>
      </w:r>
      <w:r w:rsidR="00425623" w:rsidRPr="007D66DA">
        <w:t xml:space="preserve">businesses and </w:t>
      </w:r>
      <w:r w:rsidR="00C36676" w:rsidRPr="007D66DA">
        <w:t>entities</w:t>
      </w:r>
      <w:r w:rsidR="00CC79BA" w:rsidRPr="007D66DA">
        <w:t xml:space="preserve"> certificates</w:t>
      </w:r>
      <w:bookmarkEnd w:id="19"/>
    </w:p>
    <w:p w:rsidR="00A36B17" w:rsidRPr="007D66DA" w:rsidRDefault="00A36B17" w:rsidP="00A36B17">
      <w:pPr>
        <w:pStyle w:val="subsection"/>
      </w:pPr>
      <w:r w:rsidRPr="007D66DA">
        <w:tab/>
        <w:t>(1)</w:t>
      </w:r>
      <w:r w:rsidRPr="007D66DA">
        <w:tab/>
        <w:t>This section applies if:</w:t>
      </w:r>
    </w:p>
    <w:p w:rsidR="00A36B17" w:rsidRPr="007D66DA" w:rsidRDefault="00A36B17" w:rsidP="00A36B17">
      <w:pPr>
        <w:pStyle w:val="paragraph"/>
      </w:pPr>
      <w:r w:rsidRPr="007D66DA">
        <w:tab/>
        <w:t>(a)</w:t>
      </w:r>
      <w:r w:rsidRPr="007D66DA">
        <w:tab/>
        <w:t>a person makes</w:t>
      </w:r>
      <w:r w:rsidR="004607AE" w:rsidRPr="007D66DA">
        <w:t xml:space="preserve"> (or has made)</w:t>
      </w:r>
      <w:r w:rsidRPr="007D66DA">
        <w:t xml:space="preserve"> an application for either of the following certificates (the </w:t>
      </w:r>
      <w:r w:rsidRPr="007D66DA">
        <w:rPr>
          <w:b/>
          <w:i/>
        </w:rPr>
        <w:t>first certificate</w:t>
      </w:r>
      <w:r w:rsidRPr="007D66DA">
        <w:t>):</w:t>
      </w:r>
    </w:p>
    <w:p w:rsidR="00A36B17" w:rsidRPr="007D66DA" w:rsidRDefault="00A36B17" w:rsidP="00A36B17">
      <w:pPr>
        <w:pStyle w:val="paragraphsub"/>
      </w:pPr>
      <w:r w:rsidRPr="007D66DA">
        <w:tab/>
        <w:t>(i)</w:t>
      </w:r>
      <w:r w:rsidRPr="007D66DA">
        <w:tab/>
        <w:t xml:space="preserve">a </w:t>
      </w:r>
      <w:r w:rsidR="00425623" w:rsidRPr="007D66DA">
        <w:t>businesses or entities</w:t>
      </w:r>
      <w:r w:rsidRPr="007D66DA">
        <w:t xml:space="preserve"> certificate;</w:t>
      </w:r>
    </w:p>
    <w:p w:rsidR="00A36B17" w:rsidRPr="007D66DA" w:rsidRDefault="00A36B17" w:rsidP="00A36B17">
      <w:pPr>
        <w:pStyle w:val="paragraphsub"/>
      </w:pPr>
      <w:r w:rsidRPr="007D66DA">
        <w:tab/>
        <w:t>(ii)</w:t>
      </w:r>
      <w:r w:rsidRPr="007D66DA">
        <w:tab/>
        <w:t>an exemption certificate under section</w:t>
      </w:r>
      <w:r w:rsidR="007D66DA" w:rsidRPr="007D66DA">
        <w:t> </w:t>
      </w:r>
      <w:r w:rsidRPr="007D66DA">
        <w:t>5</w:t>
      </w:r>
      <w:r w:rsidR="00425623" w:rsidRPr="007D66DA">
        <w:t>8</w:t>
      </w:r>
      <w:r w:rsidRPr="007D66DA">
        <w:t xml:space="preserve"> of the Foreign Acquisitions Act (which applies to </w:t>
      </w:r>
      <w:r w:rsidR="00425623" w:rsidRPr="007D66DA">
        <w:t>interests in Australian land</w:t>
      </w:r>
      <w:r w:rsidRPr="007D66DA">
        <w:t>); and</w:t>
      </w:r>
    </w:p>
    <w:p w:rsidR="007601C7" w:rsidRPr="007D66DA" w:rsidRDefault="007601C7" w:rsidP="007601C7">
      <w:pPr>
        <w:pStyle w:val="paragraph"/>
      </w:pPr>
      <w:r w:rsidRPr="007D66DA">
        <w:tab/>
        <w:t>(b)</w:t>
      </w:r>
      <w:r w:rsidRPr="007D66DA">
        <w:tab/>
        <w:t xml:space="preserve">the person makes an application for the other kind of certificate (the </w:t>
      </w:r>
      <w:r w:rsidRPr="007D66DA">
        <w:rPr>
          <w:b/>
          <w:i/>
        </w:rPr>
        <w:t>second certificate</w:t>
      </w:r>
      <w:r w:rsidRPr="007D66DA">
        <w:t xml:space="preserve">) </w:t>
      </w:r>
      <w:r w:rsidR="00462F17" w:rsidRPr="007D66DA">
        <w:t>at the time</w:t>
      </w:r>
      <w:r w:rsidR="00DF22D0" w:rsidRPr="007D66DA">
        <w:t xml:space="preserve"> the application for the first certificate is made</w:t>
      </w:r>
      <w:r w:rsidR="00462F17" w:rsidRPr="007D66DA">
        <w:t xml:space="preserve">, or </w:t>
      </w:r>
      <w:r w:rsidRPr="007D66DA">
        <w:t>within 14 days after</w:t>
      </w:r>
      <w:r w:rsidR="00DF22D0" w:rsidRPr="007D66DA">
        <w:t>wards</w:t>
      </w:r>
      <w:r w:rsidR="00462F17" w:rsidRPr="007D66DA">
        <w:t>; and</w:t>
      </w:r>
    </w:p>
    <w:p w:rsidR="00462F17" w:rsidRPr="007D66DA" w:rsidRDefault="00462F17" w:rsidP="00462F17">
      <w:pPr>
        <w:pStyle w:val="paragraph"/>
      </w:pPr>
      <w:r w:rsidRPr="007D66DA">
        <w:tab/>
        <w:t>(c)</w:t>
      </w:r>
      <w:r w:rsidRPr="007D66DA">
        <w:tab/>
        <w:t>at the time of the application for the second certificate:</w:t>
      </w:r>
    </w:p>
    <w:p w:rsidR="00DF22D0" w:rsidRPr="007D66DA" w:rsidRDefault="00DF22D0" w:rsidP="00DF22D0">
      <w:pPr>
        <w:pStyle w:val="paragraphsub"/>
      </w:pPr>
      <w:r w:rsidRPr="007D66DA">
        <w:tab/>
        <w:t>(i)</w:t>
      </w:r>
      <w:r w:rsidRPr="007D66DA">
        <w:tab/>
        <w:t>the person pays the fee that is payable (apart from this section) for the application for the first certificate; or</w:t>
      </w:r>
    </w:p>
    <w:p w:rsidR="00462F17" w:rsidRPr="007D66DA" w:rsidRDefault="00462F17" w:rsidP="00462F17">
      <w:pPr>
        <w:pStyle w:val="paragraphsub"/>
      </w:pPr>
      <w:r w:rsidRPr="007D66DA">
        <w:tab/>
        <w:t>(i</w:t>
      </w:r>
      <w:r w:rsidR="00DF22D0" w:rsidRPr="007D66DA">
        <w:t>i</w:t>
      </w:r>
      <w:r w:rsidRPr="007D66DA">
        <w:t>)</w:t>
      </w:r>
      <w:r w:rsidRPr="007D66DA">
        <w:tab/>
        <w:t>the person has already paid the fee that is payable (apart from this section) for the applicati</w:t>
      </w:r>
      <w:r w:rsidR="00DF22D0" w:rsidRPr="007D66DA">
        <w:t>on for the first certificate.</w:t>
      </w:r>
    </w:p>
    <w:p w:rsidR="00462F17" w:rsidRPr="007D66DA" w:rsidRDefault="00462F17" w:rsidP="00462F17">
      <w:pPr>
        <w:pStyle w:val="notetext"/>
      </w:pPr>
      <w:r w:rsidRPr="007D66DA">
        <w:t>Note:</w:t>
      </w:r>
      <w:r w:rsidRPr="007D66DA">
        <w:tab/>
        <w:t>A businesses or entities certificate is an exemption certificate under section</w:t>
      </w:r>
      <w:r w:rsidR="007D66DA" w:rsidRPr="007D66DA">
        <w:t> </w:t>
      </w:r>
      <w:r w:rsidRPr="007D66DA">
        <w:t>42 of the Foreign Acquisitions Regulation.</w:t>
      </w:r>
    </w:p>
    <w:p w:rsidR="00191C9F" w:rsidRPr="007D66DA" w:rsidRDefault="00191C9F" w:rsidP="00191C9F">
      <w:pPr>
        <w:pStyle w:val="subsection"/>
      </w:pPr>
      <w:r w:rsidRPr="007D66DA">
        <w:tab/>
        <w:t>(2)</w:t>
      </w:r>
      <w:r w:rsidRPr="007D66DA">
        <w:tab/>
        <w:t>The fee payable for the application for the second certificate is nil</w:t>
      </w:r>
      <w:r w:rsidR="00462F17" w:rsidRPr="007D66DA">
        <w:t>.</w:t>
      </w:r>
    </w:p>
    <w:p w:rsidR="006E38E1" w:rsidRPr="007D66DA" w:rsidRDefault="00483003" w:rsidP="006E38E1">
      <w:pPr>
        <w:pStyle w:val="ItemHead"/>
      </w:pPr>
      <w:r w:rsidRPr="007D66DA">
        <w:t>13</w:t>
      </w:r>
      <w:r w:rsidR="006E38E1" w:rsidRPr="007D66DA">
        <w:t xml:space="preserve">  </w:t>
      </w:r>
      <w:r w:rsidR="00A27B7D" w:rsidRPr="007D66DA">
        <w:t>Section</w:t>
      </w:r>
      <w:r w:rsidR="007D66DA" w:rsidRPr="007D66DA">
        <w:t> </w:t>
      </w:r>
      <w:r w:rsidR="00A27B7D" w:rsidRPr="007D66DA">
        <w:t>9</w:t>
      </w:r>
    </w:p>
    <w:p w:rsidR="00A27B7D" w:rsidRPr="007D66DA" w:rsidRDefault="00A27B7D" w:rsidP="00A27B7D">
      <w:pPr>
        <w:pStyle w:val="Item"/>
      </w:pPr>
      <w:r w:rsidRPr="007D66DA">
        <w:t>Repeal the section, substitute:</w:t>
      </w:r>
    </w:p>
    <w:p w:rsidR="00F537F4" w:rsidRPr="007D66DA" w:rsidRDefault="00F537F4" w:rsidP="00F537F4">
      <w:pPr>
        <w:pStyle w:val="ActHead5"/>
      </w:pPr>
      <w:bookmarkStart w:id="20" w:name="_Toc485306519"/>
      <w:r w:rsidRPr="007D66DA">
        <w:rPr>
          <w:rStyle w:val="CharSectno"/>
        </w:rPr>
        <w:t>9</w:t>
      </w:r>
      <w:r w:rsidRPr="007D66DA">
        <w:t xml:space="preserve">  Fee would otherwise be more than 25% of consideration</w:t>
      </w:r>
      <w:bookmarkEnd w:id="20"/>
    </w:p>
    <w:p w:rsidR="00F537F4" w:rsidRPr="007D66DA" w:rsidRDefault="00F537F4" w:rsidP="00F537F4">
      <w:pPr>
        <w:pStyle w:val="SubsectionHead"/>
      </w:pPr>
      <w:r w:rsidRPr="007D66DA">
        <w:t>Acquisition of interests in exploration tenements, mining or production tenements or mining, production or exploration entities</w:t>
      </w:r>
    </w:p>
    <w:p w:rsidR="00F537F4" w:rsidRPr="007D66DA" w:rsidRDefault="00F537F4" w:rsidP="00F537F4">
      <w:pPr>
        <w:pStyle w:val="subsection"/>
      </w:pPr>
      <w:r w:rsidRPr="007D66DA">
        <w:tab/>
        <w:t>(1)</w:t>
      </w:r>
      <w:r w:rsidRPr="007D66DA">
        <w:tab/>
        <w:t>A fee of $2,000 is payable in relation to an action if:</w:t>
      </w:r>
    </w:p>
    <w:p w:rsidR="00F537F4" w:rsidRPr="007D66DA" w:rsidRDefault="00F537F4" w:rsidP="00F537F4">
      <w:pPr>
        <w:pStyle w:val="paragraph"/>
      </w:pPr>
      <w:r w:rsidRPr="007D66DA">
        <w:tab/>
        <w:t>(a)</w:t>
      </w:r>
      <w:r w:rsidRPr="007D66DA">
        <w:tab/>
        <w:t>the action is an acquisition of one of the following:</w:t>
      </w:r>
    </w:p>
    <w:p w:rsidR="00F537F4" w:rsidRPr="007D66DA" w:rsidRDefault="00F537F4" w:rsidP="00F537F4">
      <w:pPr>
        <w:pStyle w:val="paragraphsub"/>
      </w:pPr>
      <w:r w:rsidRPr="007D66DA">
        <w:tab/>
        <w:t>(i)</w:t>
      </w:r>
      <w:r w:rsidRPr="007D66DA">
        <w:tab/>
        <w:t>a legal or equitable interest in a tenement;</w:t>
      </w:r>
    </w:p>
    <w:p w:rsidR="00F537F4" w:rsidRPr="007D66DA" w:rsidRDefault="00F537F4" w:rsidP="00F537F4">
      <w:pPr>
        <w:pStyle w:val="paragraphsub"/>
      </w:pPr>
      <w:r w:rsidRPr="007D66DA">
        <w:tab/>
        <w:t>(ii)</w:t>
      </w:r>
      <w:r w:rsidRPr="007D66DA">
        <w:tab/>
        <w:t>an interest in a mining, production or exploration entity; and</w:t>
      </w:r>
    </w:p>
    <w:p w:rsidR="00F537F4" w:rsidRPr="007D66DA" w:rsidRDefault="00F537F4" w:rsidP="00F537F4">
      <w:pPr>
        <w:pStyle w:val="paragraph"/>
      </w:pPr>
      <w:r w:rsidRPr="007D66DA">
        <w:tab/>
        <w:t>(b)</w:t>
      </w:r>
      <w:r w:rsidRPr="007D66DA">
        <w:tab/>
        <w:t>the amount of the fee that would otherwise be payable is specified in one of the following provisions:</w:t>
      </w:r>
    </w:p>
    <w:p w:rsidR="00F537F4" w:rsidRPr="007D66DA" w:rsidRDefault="00F537F4" w:rsidP="00F537F4">
      <w:pPr>
        <w:pStyle w:val="paragraphsub"/>
      </w:pPr>
      <w:r w:rsidRPr="007D66DA">
        <w:tab/>
        <w:t>(i)</w:t>
      </w:r>
      <w:r w:rsidRPr="007D66DA">
        <w:tab/>
        <w:t>item</w:t>
      </w:r>
      <w:r w:rsidR="007D66DA" w:rsidRPr="007D66DA">
        <w:t> </w:t>
      </w:r>
      <w:r w:rsidRPr="007D66DA">
        <w:t>5 of the table in subsection</w:t>
      </w:r>
      <w:r w:rsidR="007D66DA" w:rsidRPr="007D66DA">
        <w:t> </w:t>
      </w:r>
      <w:r w:rsidRPr="007D66DA">
        <w:t>7(1) of the Act;</w:t>
      </w:r>
    </w:p>
    <w:p w:rsidR="00F537F4" w:rsidRPr="007D66DA" w:rsidRDefault="00F537F4" w:rsidP="00F537F4">
      <w:pPr>
        <w:pStyle w:val="paragraphsub"/>
      </w:pPr>
      <w:r w:rsidRPr="007D66DA">
        <w:tab/>
        <w:t>(ii)</w:t>
      </w:r>
      <w:r w:rsidRPr="007D66DA">
        <w:tab/>
        <w:t>item</w:t>
      </w:r>
      <w:r w:rsidR="007D66DA" w:rsidRPr="007D66DA">
        <w:t> </w:t>
      </w:r>
      <w:r w:rsidRPr="007D66DA">
        <w:t>3 of the table in subsection</w:t>
      </w:r>
      <w:r w:rsidR="007D66DA" w:rsidRPr="007D66DA">
        <w:t> </w:t>
      </w:r>
      <w:r w:rsidRPr="007D66DA">
        <w:t>8(1) of the Act;</w:t>
      </w:r>
    </w:p>
    <w:p w:rsidR="00F537F4" w:rsidRPr="007D66DA" w:rsidRDefault="00F537F4" w:rsidP="00F537F4">
      <w:pPr>
        <w:pStyle w:val="paragraphsub"/>
      </w:pPr>
      <w:r w:rsidRPr="007D66DA">
        <w:tab/>
        <w:t>(iii)</w:t>
      </w:r>
      <w:r w:rsidRPr="007D66DA">
        <w:tab/>
      </w:r>
      <w:r w:rsidR="007D66DA" w:rsidRPr="007D66DA">
        <w:t>paragraph (</w:t>
      </w:r>
      <w:r w:rsidRPr="007D66DA">
        <w:t>b) or (c) of item</w:t>
      </w:r>
      <w:r w:rsidR="007D66DA" w:rsidRPr="007D66DA">
        <w:t> </w:t>
      </w:r>
      <w:r w:rsidRPr="007D66DA">
        <w:t>2 of the table in section</w:t>
      </w:r>
      <w:r w:rsidR="007D66DA" w:rsidRPr="007D66DA">
        <w:t> </w:t>
      </w:r>
      <w:r w:rsidRPr="007D66DA">
        <w:t>7 of this instrument;</w:t>
      </w:r>
      <w:r w:rsidR="00483003" w:rsidRPr="007D66DA">
        <w:t xml:space="preserve"> and</w:t>
      </w:r>
    </w:p>
    <w:p w:rsidR="00F537F4" w:rsidRPr="007D66DA" w:rsidRDefault="00F537F4" w:rsidP="00F537F4">
      <w:pPr>
        <w:pStyle w:val="paragraph"/>
      </w:pPr>
      <w:r w:rsidRPr="007D66DA">
        <w:tab/>
        <w:t>(c)</w:t>
      </w:r>
      <w:r w:rsidRPr="007D66DA">
        <w:tab/>
        <w:t>the amount of the fee that would otherwise be payable under that provision is more than 25% of the consideration for the acquisition.</w:t>
      </w:r>
    </w:p>
    <w:p w:rsidR="00F537F4" w:rsidRPr="007D66DA" w:rsidRDefault="00F537F4" w:rsidP="00F537F4">
      <w:pPr>
        <w:pStyle w:val="notetext"/>
      </w:pPr>
      <w:r w:rsidRPr="007D66DA">
        <w:t>Note 1:</w:t>
      </w:r>
      <w:r w:rsidRPr="007D66DA">
        <w:tab/>
        <w:t>This fee may be indexed under section</w:t>
      </w:r>
      <w:r w:rsidR="007D66DA" w:rsidRPr="007D66DA">
        <w:t> </w:t>
      </w:r>
      <w:r w:rsidRPr="007D66DA">
        <w:t>12 of the Act.</w:t>
      </w:r>
    </w:p>
    <w:p w:rsidR="00F537F4" w:rsidRPr="007D66DA" w:rsidRDefault="00F537F4" w:rsidP="00F537F4">
      <w:pPr>
        <w:pStyle w:val="notetext"/>
      </w:pPr>
      <w:r w:rsidRPr="007D66DA">
        <w:t>Note 2:</w:t>
      </w:r>
      <w:r w:rsidRPr="007D66DA">
        <w:tab/>
        <w:t>A higher fee may apply if the action may be characterised in more than one way (see subsection</w:t>
      </w:r>
      <w:r w:rsidR="007D66DA" w:rsidRPr="007D66DA">
        <w:t> </w:t>
      </w:r>
      <w:r w:rsidRPr="007D66DA">
        <w:t>9(2) of the Act).</w:t>
      </w:r>
    </w:p>
    <w:p w:rsidR="00F537F4" w:rsidRPr="007D66DA" w:rsidRDefault="00F537F4" w:rsidP="00F537F4">
      <w:pPr>
        <w:pStyle w:val="SubsectionHead"/>
      </w:pPr>
      <w:r w:rsidRPr="007D66DA">
        <w:t>Acquisition of interests in residential land</w:t>
      </w:r>
    </w:p>
    <w:p w:rsidR="00F537F4" w:rsidRPr="007D66DA" w:rsidRDefault="00F537F4" w:rsidP="00F537F4">
      <w:pPr>
        <w:pStyle w:val="subsection"/>
      </w:pPr>
      <w:r w:rsidRPr="007D66DA">
        <w:tab/>
        <w:t>(2)</w:t>
      </w:r>
      <w:r w:rsidRPr="007D66DA">
        <w:tab/>
        <w:t>A fee of $1,000 is payable in relation to an action if:</w:t>
      </w:r>
    </w:p>
    <w:p w:rsidR="00F537F4" w:rsidRPr="007D66DA" w:rsidRDefault="00F537F4" w:rsidP="00F537F4">
      <w:pPr>
        <w:pStyle w:val="paragraph"/>
      </w:pPr>
      <w:r w:rsidRPr="007D66DA">
        <w:tab/>
        <w:t>(a)</w:t>
      </w:r>
      <w:r w:rsidRPr="007D66DA">
        <w:tab/>
        <w:t>the action is the acquisition of an interest in residential land; and</w:t>
      </w:r>
    </w:p>
    <w:p w:rsidR="00F537F4" w:rsidRPr="007D66DA" w:rsidRDefault="00F537F4" w:rsidP="00F537F4">
      <w:pPr>
        <w:pStyle w:val="paragraph"/>
      </w:pPr>
      <w:r w:rsidRPr="007D66DA">
        <w:tab/>
        <w:t>(b)</w:t>
      </w:r>
      <w:r w:rsidRPr="007D66DA">
        <w:tab/>
        <w:t>the amount of the fee that would otherwise be payable is specified in one of the following provisions:</w:t>
      </w:r>
    </w:p>
    <w:p w:rsidR="00F537F4" w:rsidRPr="007D66DA" w:rsidRDefault="00F537F4" w:rsidP="00F537F4">
      <w:pPr>
        <w:pStyle w:val="paragraphsub"/>
      </w:pPr>
      <w:r w:rsidRPr="007D66DA">
        <w:tab/>
        <w:t>(i)</w:t>
      </w:r>
      <w:r w:rsidRPr="007D66DA">
        <w:tab/>
        <w:t>item</w:t>
      </w:r>
      <w:r w:rsidR="007D66DA" w:rsidRPr="007D66DA">
        <w:t> </w:t>
      </w:r>
      <w:r w:rsidRPr="007D66DA">
        <w:t>3 of the table in subsection</w:t>
      </w:r>
      <w:r w:rsidR="007D66DA" w:rsidRPr="007D66DA">
        <w:t> </w:t>
      </w:r>
      <w:r w:rsidRPr="007D66DA">
        <w:t>7(1) of the Act;</w:t>
      </w:r>
    </w:p>
    <w:p w:rsidR="00F537F4" w:rsidRPr="007D66DA" w:rsidRDefault="00F537F4" w:rsidP="00F537F4">
      <w:pPr>
        <w:pStyle w:val="paragraphsub"/>
      </w:pPr>
      <w:r w:rsidRPr="007D66DA">
        <w:tab/>
        <w:t>(ii)</w:t>
      </w:r>
      <w:r w:rsidRPr="007D66DA">
        <w:tab/>
        <w:t>item</w:t>
      </w:r>
      <w:r w:rsidR="007D66DA" w:rsidRPr="007D66DA">
        <w:t> </w:t>
      </w:r>
      <w:r w:rsidRPr="007D66DA">
        <w:t>3 of the table in subsection</w:t>
      </w:r>
      <w:r w:rsidR="007D66DA" w:rsidRPr="007D66DA">
        <w:t> </w:t>
      </w:r>
      <w:r w:rsidRPr="007D66DA">
        <w:t>8(1) of the Act; and</w:t>
      </w:r>
    </w:p>
    <w:p w:rsidR="00F537F4" w:rsidRPr="007D66DA" w:rsidRDefault="00F537F4" w:rsidP="00F537F4">
      <w:pPr>
        <w:pStyle w:val="paragraph"/>
      </w:pPr>
      <w:r w:rsidRPr="007D66DA">
        <w:tab/>
        <w:t>(c)</w:t>
      </w:r>
      <w:r w:rsidRPr="007D66DA">
        <w:tab/>
        <w:t>the amount of the fee that would otherwise be payable under that provision is more than 25% of the consideration for the acquisition.</w:t>
      </w:r>
    </w:p>
    <w:p w:rsidR="00F537F4" w:rsidRPr="007D66DA" w:rsidRDefault="00F537F4" w:rsidP="00F537F4">
      <w:pPr>
        <w:pStyle w:val="notetext"/>
      </w:pPr>
      <w:r w:rsidRPr="007D66DA">
        <w:t>Note:</w:t>
      </w:r>
      <w:r w:rsidRPr="007D66DA">
        <w:tab/>
        <w:t>This fee may be indexed under section</w:t>
      </w:r>
      <w:r w:rsidR="007D66DA" w:rsidRPr="007D66DA">
        <w:t> </w:t>
      </w:r>
      <w:r w:rsidRPr="007D66DA">
        <w:t>12 of the Act.</w:t>
      </w:r>
    </w:p>
    <w:p w:rsidR="00F537F4" w:rsidRPr="007D66DA" w:rsidRDefault="00F537F4" w:rsidP="00F537F4">
      <w:pPr>
        <w:pStyle w:val="subsection"/>
      </w:pPr>
      <w:r w:rsidRPr="007D66DA">
        <w:tab/>
        <w:t>(3)</w:t>
      </w:r>
      <w:r w:rsidRPr="007D66DA">
        <w:tab/>
        <w:t>This section does not apply in relation to an action to which either of the following provisions apply:</w:t>
      </w:r>
    </w:p>
    <w:p w:rsidR="00F537F4" w:rsidRPr="007D66DA" w:rsidRDefault="00F537F4" w:rsidP="00F537F4">
      <w:pPr>
        <w:pStyle w:val="paragraph"/>
      </w:pPr>
      <w:r w:rsidRPr="007D66DA">
        <w:tab/>
        <w:t>(a)</w:t>
      </w:r>
      <w:r w:rsidRPr="007D66DA">
        <w:tab/>
        <w:t>section</w:t>
      </w:r>
      <w:r w:rsidR="007D66DA" w:rsidRPr="007D66DA">
        <w:t> </w:t>
      </w:r>
      <w:r w:rsidRPr="007D66DA">
        <w:t>10 of the Act (fees for internal reorganisations);</w:t>
      </w:r>
    </w:p>
    <w:p w:rsidR="00F537F4" w:rsidRPr="007D66DA" w:rsidRDefault="00F537F4" w:rsidP="00F537F4">
      <w:pPr>
        <w:pStyle w:val="paragraph"/>
      </w:pPr>
      <w:r w:rsidRPr="007D66DA">
        <w:tab/>
        <w:t>(b)</w:t>
      </w:r>
      <w:r w:rsidRPr="007D66DA">
        <w:tab/>
        <w:t>section</w:t>
      </w:r>
      <w:r w:rsidR="007D66DA" w:rsidRPr="007D66DA">
        <w:t> </w:t>
      </w:r>
      <w:r w:rsidRPr="007D66DA">
        <w:t>12 of this instrument (internal reorganisations by foreign government investors involving tenements).</w:t>
      </w:r>
    </w:p>
    <w:p w:rsidR="001215D0" w:rsidRPr="007D66DA" w:rsidRDefault="00483003" w:rsidP="00851A17">
      <w:pPr>
        <w:pStyle w:val="ItemHead"/>
      </w:pPr>
      <w:r w:rsidRPr="007D66DA">
        <w:t>14</w:t>
      </w:r>
      <w:r w:rsidR="001215D0" w:rsidRPr="007D66DA">
        <w:t xml:space="preserve">  Section</w:t>
      </w:r>
      <w:r w:rsidR="007D66DA" w:rsidRPr="007D66DA">
        <w:t> </w:t>
      </w:r>
      <w:r w:rsidR="001215D0" w:rsidRPr="007D66DA">
        <w:t>10</w:t>
      </w:r>
    </w:p>
    <w:p w:rsidR="008059D3" w:rsidRPr="007D66DA" w:rsidRDefault="008059D3" w:rsidP="008059D3">
      <w:pPr>
        <w:pStyle w:val="Item"/>
      </w:pPr>
      <w:r w:rsidRPr="007D66DA">
        <w:t>Repeal the section, substitute:</w:t>
      </w:r>
    </w:p>
    <w:p w:rsidR="00F537F4" w:rsidRPr="007D66DA" w:rsidRDefault="00F537F4" w:rsidP="00F537F4">
      <w:pPr>
        <w:pStyle w:val="ActHead5"/>
      </w:pPr>
      <w:bookmarkStart w:id="21" w:name="_Toc485306520"/>
      <w:r w:rsidRPr="007D66DA">
        <w:rPr>
          <w:rStyle w:val="CharSectno"/>
        </w:rPr>
        <w:t>10</w:t>
      </w:r>
      <w:r w:rsidRPr="007D66DA">
        <w:t xml:space="preserve">  Majority owners</w:t>
      </w:r>
      <w:bookmarkEnd w:id="21"/>
    </w:p>
    <w:p w:rsidR="00F537F4" w:rsidRPr="007D66DA" w:rsidRDefault="00F537F4" w:rsidP="00F537F4">
      <w:pPr>
        <w:pStyle w:val="subsection"/>
      </w:pPr>
      <w:r w:rsidRPr="007D66DA">
        <w:tab/>
        <w:t>(1)</w:t>
      </w:r>
      <w:r w:rsidRPr="007D66DA">
        <w:tab/>
        <w:t>A fee of $2,000 is payable in relation to an action if:</w:t>
      </w:r>
    </w:p>
    <w:p w:rsidR="00F537F4" w:rsidRPr="007D66DA" w:rsidRDefault="00F537F4" w:rsidP="00F537F4">
      <w:pPr>
        <w:pStyle w:val="paragraph"/>
      </w:pPr>
      <w:r w:rsidRPr="007D66DA">
        <w:tab/>
        <w:t>(a)</w:t>
      </w:r>
      <w:r w:rsidRPr="007D66DA">
        <w:tab/>
        <w:t>the action is one of the following:</w:t>
      </w:r>
    </w:p>
    <w:p w:rsidR="00F537F4" w:rsidRPr="007D66DA" w:rsidRDefault="00F537F4" w:rsidP="00F537F4">
      <w:pPr>
        <w:pStyle w:val="paragraphsub"/>
      </w:pPr>
      <w:r w:rsidRPr="007D66DA">
        <w:tab/>
        <w:t>(i)</w:t>
      </w:r>
      <w:r w:rsidRPr="007D66DA">
        <w:tab/>
        <w:t>the acquisition by a foreign business person of an interest in residential land;</w:t>
      </w:r>
    </w:p>
    <w:p w:rsidR="00F537F4" w:rsidRPr="007D66DA" w:rsidRDefault="00F537F4" w:rsidP="00F537F4">
      <w:pPr>
        <w:pStyle w:val="paragraphsub"/>
      </w:pPr>
      <w:r w:rsidRPr="007D66DA">
        <w:tab/>
        <w:t>(ii)</w:t>
      </w:r>
      <w:r w:rsidRPr="007D66DA">
        <w:tab/>
        <w:t>the acquisition by a foreign person of an interest in Australian land other than residential land;</w:t>
      </w:r>
    </w:p>
    <w:p w:rsidR="00F537F4" w:rsidRPr="007D66DA" w:rsidRDefault="00F537F4" w:rsidP="00F537F4">
      <w:pPr>
        <w:pStyle w:val="paragraphsub"/>
      </w:pPr>
      <w:r w:rsidRPr="007D66DA">
        <w:tab/>
        <w:t>(iii)</w:t>
      </w:r>
      <w:r w:rsidRPr="007D66DA">
        <w:tab/>
        <w:t>the acquisition by a foreign person of an interest in securities in an entity;</w:t>
      </w:r>
    </w:p>
    <w:p w:rsidR="00F537F4" w:rsidRPr="007D66DA" w:rsidRDefault="00F537F4" w:rsidP="00F537F4">
      <w:pPr>
        <w:pStyle w:val="paragraphsub"/>
      </w:pPr>
      <w:r w:rsidRPr="007D66DA">
        <w:tab/>
        <w:t>(iv)</w:t>
      </w:r>
      <w:r w:rsidRPr="007D66DA">
        <w:tab/>
        <w:t>the acquisition by a foreign person of an interest in assets of an Australian business;</w:t>
      </w:r>
    </w:p>
    <w:p w:rsidR="00F537F4" w:rsidRPr="007D66DA" w:rsidRDefault="00F537F4" w:rsidP="00F537F4">
      <w:pPr>
        <w:pStyle w:val="paragraphsub"/>
      </w:pPr>
      <w:r w:rsidRPr="007D66DA">
        <w:tab/>
        <w:t>(v)</w:t>
      </w:r>
      <w:r w:rsidRPr="007D66DA">
        <w:tab/>
        <w:t>the acquisition by a foreign person of a legal or equitable interest in a tenement; and</w:t>
      </w:r>
    </w:p>
    <w:p w:rsidR="00F537F4" w:rsidRPr="007D66DA" w:rsidRDefault="00F537F4" w:rsidP="00F537F4">
      <w:pPr>
        <w:pStyle w:val="paragraph"/>
      </w:pPr>
      <w:r w:rsidRPr="007D66DA">
        <w:tab/>
        <w:t>(b)</w:t>
      </w:r>
      <w:r w:rsidRPr="007D66DA">
        <w:tab/>
        <w:t>the amount of the fee that would otherwise be payable is specified in one of the following provisions:</w:t>
      </w:r>
    </w:p>
    <w:p w:rsidR="00F537F4" w:rsidRPr="007D66DA" w:rsidRDefault="00F537F4" w:rsidP="00F537F4">
      <w:pPr>
        <w:pStyle w:val="paragraphsub"/>
      </w:pPr>
      <w:r w:rsidRPr="007D66DA">
        <w:tab/>
        <w:t>(i)</w:t>
      </w:r>
      <w:r w:rsidRPr="007D66DA">
        <w:tab/>
        <w:t>section</w:t>
      </w:r>
      <w:r w:rsidR="007D66DA" w:rsidRPr="007D66DA">
        <w:t> </w:t>
      </w:r>
      <w:r w:rsidRPr="007D66DA">
        <w:t>7 or 8 of the Act;</w:t>
      </w:r>
    </w:p>
    <w:p w:rsidR="00F537F4" w:rsidRPr="007D66DA" w:rsidRDefault="00F537F4" w:rsidP="00F537F4">
      <w:pPr>
        <w:pStyle w:val="paragraphsub"/>
      </w:pPr>
      <w:r w:rsidRPr="007D66DA">
        <w:tab/>
        <w:t>(ii)</w:t>
      </w:r>
      <w:r w:rsidRPr="007D66DA">
        <w:tab/>
        <w:t>item</w:t>
      </w:r>
      <w:r w:rsidR="007D66DA" w:rsidRPr="007D66DA">
        <w:t> </w:t>
      </w:r>
      <w:r w:rsidRPr="007D66DA">
        <w:t>1 of the table in subsection</w:t>
      </w:r>
      <w:r w:rsidR="007D66DA" w:rsidRPr="007D66DA">
        <w:t> </w:t>
      </w:r>
      <w:r w:rsidRPr="007D66DA">
        <w:t>7(1) of this instrument;</w:t>
      </w:r>
    </w:p>
    <w:p w:rsidR="00F537F4" w:rsidRPr="007D66DA" w:rsidRDefault="00F537F4" w:rsidP="00F537F4">
      <w:pPr>
        <w:pStyle w:val="paragraphsub"/>
      </w:pPr>
      <w:r w:rsidRPr="007D66DA">
        <w:tab/>
        <w:t>(iii)</w:t>
      </w:r>
      <w:r w:rsidRPr="007D66DA">
        <w:tab/>
      </w:r>
      <w:r w:rsidR="007D66DA" w:rsidRPr="007D66DA">
        <w:t>paragraph (</w:t>
      </w:r>
      <w:r w:rsidRPr="007D66DA">
        <w:t>b) or (c) of item</w:t>
      </w:r>
      <w:r w:rsidR="007D66DA" w:rsidRPr="007D66DA">
        <w:t> </w:t>
      </w:r>
      <w:r w:rsidRPr="007D66DA">
        <w:t>2 of the table in section</w:t>
      </w:r>
      <w:r w:rsidR="007D66DA" w:rsidRPr="007D66DA">
        <w:t> </w:t>
      </w:r>
      <w:r w:rsidRPr="007D66DA">
        <w:t>7 of this instrument; and</w:t>
      </w:r>
    </w:p>
    <w:p w:rsidR="00F537F4" w:rsidRPr="007D66DA" w:rsidRDefault="00F537F4" w:rsidP="00F537F4">
      <w:pPr>
        <w:pStyle w:val="paragraph"/>
      </w:pPr>
      <w:r w:rsidRPr="007D66DA">
        <w:tab/>
        <w:t>(c)</w:t>
      </w:r>
      <w:r w:rsidRPr="007D66DA">
        <w:tab/>
        <w:t>before the acquisition, the foreign person or foreign business person (as the case may be) holds an interest of more than 50% in the land, entity, business or tenement.</w:t>
      </w:r>
    </w:p>
    <w:p w:rsidR="00F537F4" w:rsidRPr="007D66DA" w:rsidRDefault="00F537F4" w:rsidP="00F537F4">
      <w:pPr>
        <w:pStyle w:val="notetext"/>
      </w:pPr>
      <w:r w:rsidRPr="007D66DA">
        <w:t>Note 1:</w:t>
      </w:r>
      <w:r w:rsidRPr="007D66DA">
        <w:tab/>
        <w:t>This fee may be indexed under section</w:t>
      </w:r>
      <w:r w:rsidR="007D66DA" w:rsidRPr="007D66DA">
        <w:t> </w:t>
      </w:r>
      <w:r w:rsidRPr="007D66DA">
        <w:t>12 of the Act.</w:t>
      </w:r>
    </w:p>
    <w:p w:rsidR="00F537F4" w:rsidRPr="007D66DA" w:rsidRDefault="00F537F4" w:rsidP="00F537F4">
      <w:pPr>
        <w:pStyle w:val="notetext"/>
      </w:pPr>
      <w:r w:rsidRPr="007D66DA">
        <w:t>Note 2:</w:t>
      </w:r>
      <w:r w:rsidRPr="007D66DA">
        <w:tab/>
        <w:t>A higher fee may apply if the action may be characterised in more than one way (see subsection</w:t>
      </w:r>
      <w:r w:rsidR="007D66DA" w:rsidRPr="007D66DA">
        <w:t> </w:t>
      </w:r>
      <w:r w:rsidRPr="007D66DA">
        <w:t>9(2) of the Act).</w:t>
      </w:r>
    </w:p>
    <w:p w:rsidR="00F537F4" w:rsidRPr="007D66DA" w:rsidRDefault="00F537F4" w:rsidP="00F537F4">
      <w:pPr>
        <w:pStyle w:val="subsection"/>
      </w:pPr>
      <w:r w:rsidRPr="007D66DA">
        <w:tab/>
        <w:t>(2)</w:t>
      </w:r>
      <w:r w:rsidRPr="007D66DA">
        <w:tab/>
        <w:t>This section does not apply in relation to an action to which either of the following provisions apply:</w:t>
      </w:r>
    </w:p>
    <w:p w:rsidR="00F537F4" w:rsidRPr="007D66DA" w:rsidRDefault="00F537F4" w:rsidP="00F537F4">
      <w:pPr>
        <w:pStyle w:val="paragraph"/>
      </w:pPr>
      <w:r w:rsidRPr="007D66DA">
        <w:tab/>
        <w:t>(a)</w:t>
      </w:r>
      <w:r w:rsidRPr="007D66DA">
        <w:tab/>
        <w:t>section</w:t>
      </w:r>
      <w:r w:rsidR="007D66DA" w:rsidRPr="007D66DA">
        <w:t> </w:t>
      </w:r>
      <w:r w:rsidRPr="007D66DA">
        <w:t>10 of the Act (fees for internal reorganisations);</w:t>
      </w:r>
    </w:p>
    <w:p w:rsidR="00F537F4" w:rsidRPr="007D66DA" w:rsidRDefault="00F537F4" w:rsidP="00F537F4">
      <w:pPr>
        <w:pStyle w:val="paragraph"/>
      </w:pPr>
      <w:r w:rsidRPr="007D66DA">
        <w:tab/>
        <w:t>(b)</w:t>
      </w:r>
      <w:r w:rsidRPr="007D66DA">
        <w:tab/>
        <w:t>section</w:t>
      </w:r>
      <w:r w:rsidR="007D66DA" w:rsidRPr="007D66DA">
        <w:t> </w:t>
      </w:r>
      <w:r w:rsidRPr="007D66DA">
        <w:t>12 of this instrument (internal reorganisations by foreign government investors involving tenements).</w:t>
      </w:r>
    </w:p>
    <w:p w:rsidR="00EF37A3" w:rsidRPr="007D66DA" w:rsidRDefault="00483003" w:rsidP="00EF37A3">
      <w:pPr>
        <w:pStyle w:val="ItemHead"/>
      </w:pPr>
      <w:r w:rsidRPr="007D66DA">
        <w:t>15</w:t>
      </w:r>
      <w:r w:rsidR="00EF37A3" w:rsidRPr="007D66DA">
        <w:t xml:space="preserve">  After section</w:t>
      </w:r>
      <w:r w:rsidR="007D66DA" w:rsidRPr="007D66DA">
        <w:t> </w:t>
      </w:r>
      <w:r w:rsidR="00EF37A3" w:rsidRPr="007D66DA">
        <w:t>10</w:t>
      </w:r>
    </w:p>
    <w:p w:rsidR="00EF37A3" w:rsidRPr="007D66DA" w:rsidRDefault="00EF37A3" w:rsidP="00EF37A3">
      <w:pPr>
        <w:pStyle w:val="Item"/>
      </w:pPr>
      <w:r w:rsidRPr="007D66DA">
        <w:t>Insert:</w:t>
      </w:r>
    </w:p>
    <w:p w:rsidR="00F537F4" w:rsidRPr="007D66DA" w:rsidRDefault="00F537F4" w:rsidP="00F537F4">
      <w:pPr>
        <w:pStyle w:val="ActHead5"/>
      </w:pPr>
      <w:bookmarkStart w:id="22" w:name="_Toc485306521"/>
      <w:r w:rsidRPr="007D66DA">
        <w:rPr>
          <w:rStyle w:val="CharSectno"/>
        </w:rPr>
        <w:t>10A</w:t>
      </w:r>
      <w:r w:rsidRPr="007D66DA">
        <w:t xml:space="preserve">  Acquisition of leasehold interest after sale of freehold interest</w:t>
      </w:r>
      <w:bookmarkEnd w:id="22"/>
    </w:p>
    <w:p w:rsidR="00F537F4" w:rsidRPr="007D66DA" w:rsidRDefault="00F537F4" w:rsidP="00F537F4">
      <w:pPr>
        <w:pStyle w:val="subsection"/>
      </w:pPr>
      <w:r w:rsidRPr="007D66DA">
        <w:tab/>
        <w:t>(1)</w:t>
      </w:r>
      <w:r w:rsidRPr="007D66DA">
        <w:tab/>
        <w:t>A fee of $2,000 is payable in relation to an action by a foreign person if:</w:t>
      </w:r>
    </w:p>
    <w:p w:rsidR="00F537F4" w:rsidRPr="007D66DA" w:rsidRDefault="00F537F4" w:rsidP="00F537F4">
      <w:pPr>
        <w:pStyle w:val="paragraph"/>
      </w:pPr>
      <w:r w:rsidRPr="007D66DA">
        <w:tab/>
        <w:t>(a)</w:t>
      </w:r>
      <w:r w:rsidRPr="007D66DA">
        <w:tab/>
        <w:t>the action is an acquisition of a leasehold interest in Australian land to which paragraph</w:t>
      </w:r>
      <w:r w:rsidR="007D66DA" w:rsidRPr="007D66DA">
        <w:t> </w:t>
      </w:r>
      <w:r w:rsidRPr="007D66DA">
        <w:t>12(1)(c) of the Foreign Acquisition</w:t>
      </w:r>
      <w:r w:rsidR="0034106B" w:rsidRPr="007D66DA">
        <w:t>s</w:t>
      </w:r>
      <w:r w:rsidRPr="007D66DA">
        <w:t xml:space="preserve"> Act applies; and</w:t>
      </w:r>
    </w:p>
    <w:p w:rsidR="00F537F4" w:rsidRPr="007D66DA" w:rsidRDefault="00F537F4" w:rsidP="00F537F4">
      <w:pPr>
        <w:pStyle w:val="paragraph"/>
      </w:pPr>
      <w:r w:rsidRPr="007D66DA">
        <w:tab/>
        <w:t>(b)</w:t>
      </w:r>
      <w:r w:rsidRPr="007D66DA">
        <w:tab/>
        <w:t>the amount of the fee that would otherwise be payable is specified in one of the following provisions:</w:t>
      </w:r>
    </w:p>
    <w:p w:rsidR="00F537F4" w:rsidRPr="007D66DA" w:rsidRDefault="00F537F4" w:rsidP="00F537F4">
      <w:pPr>
        <w:pStyle w:val="paragraphsub"/>
      </w:pPr>
      <w:r w:rsidRPr="007D66DA">
        <w:tab/>
        <w:t>(i)</w:t>
      </w:r>
      <w:r w:rsidRPr="007D66DA">
        <w:tab/>
        <w:t>section</w:t>
      </w:r>
      <w:r w:rsidR="007D66DA" w:rsidRPr="007D66DA">
        <w:t> </w:t>
      </w:r>
      <w:r w:rsidRPr="007D66DA">
        <w:t>7 or 8 of the Act;</w:t>
      </w:r>
    </w:p>
    <w:p w:rsidR="00F537F4" w:rsidRPr="007D66DA" w:rsidRDefault="00F537F4" w:rsidP="00F537F4">
      <w:pPr>
        <w:pStyle w:val="paragraphsub"/>
      </w:pPr>
      <w:r w:rsidRPr="007D66DA">
        <w:tab/>
        <w:t>(ii)</w:t>
      </w:r>
      <w:r w:rsidRPr="007D66DA">
        <w:tab/>
        <w:t>item</w:t>
      </w:r>
      <w:r w:rsidR="007D66DA" w:rsidRPr="007D66DA">
        <w:t> </w:t>
      </w:r>
      <w:r w:rsidRPr="007D66DA">
        <w:t>1 of the table in subsection</w:t>
      </w:r>
      <w:r w:rsidR="007D66DA" w:rsidRPr="007D66DA">
        <w:t> </w:t>
      </w:r>
      <w:r w:rsidRPr="007D66DA">
        <w:t>7(1) of this instrument;</w:t>
      </w:r>
    </w:p>
    <w:p w:rsidR="00F537F4" w:rsidRPr="007D66DA" w:rsidRDefault="00F537F4" w:rsidP="00F537F4">
      <w:pPr>
        <w:pStyle w:val="paragraphsub"/>
      </w:pPr>
      <w:r w:rsidRPr="007D66DA">
        <w:tab/>
        <w:t>(iii)</w:t>
      </w:r>
      <w:r w:rsidRPr="007D66DA">
        <w:tab/>
      </w:r>
      <w:r w:rsidR="007D66DA" w:rsidRPr="007D66DA">
        <w:t>paragraphs (</w:t>
      </w:r>
      <w:r w:rsidRPr="007D66DA">
        <w:t>b) and (c) of item</w:t>
      </w:r>
      <w:r w:rsidR="007D66DA" w:rsidRPr="007D66DA">
        <w:t> </w:t>
      </w:r>
      <w:r w:rsidRPr="007D66DA">
        <w:t>2 of the table in section</w:t>
      </w:r>
      <w:r w:rsidR="007D66DA" w:rsidRPr="007D66DA">
        <w:t> </w:t>
      </w:r>
      <w:r w:rsidRPr="007D66DA">
        <w:t>7 of this instrument; and</w:t>
      </w:r>
    </w:p>
    <w:p w:rsidR="00F537F4" w:rsidRPr="007D66DA" w:rsidRDefault="00F537F4" w:rsidP="00F537F4">
      <w:pPr>
        <w:pStyle w:val="paragraph"/>
      </w:pPr>
      <w:r w:rsidRPr="007D66DA">
        <w:tab/>
        <w:t>(c)</w:t>
      </w:r>
      <w:r w:rsidRPr="007D66DA">
        <w:tab/>
        <w:t>the foreign person previously held the freehold interest in the land that is subject to the lease; and</w:t>
      </w:r>
    </w:p>
    <w:p w:rsidR="00F537F4" w:rsidRPr="007D66DA" w:rsidRDefault="00F537F4" w:rsidP="00F537F4">
      <w:pPr>
        <w:pStyle w:val="paragraph"/>
      </w:pPr>
      <w:r w:rsidRPr="007D66DA">
        <w:tab/>
        <w:t>(d)</w:t>
      </w:r>
      <w:r w:rsidRPr="007D66DA">
        <w:tab/>
        <w:t>the foreign person sold that freehold interest to the lessor.</w:t>
      </w:r>
    </w:p>
    <w:p w:rsidR="00F537F4" w:rsidRPr="007D66DA" w:rsidRDefault="00F537F4" w:rsidP="00F537F4">
      <w:pPr>
        <w:pStyle w:val="notetext"/>
      </w:pPr>
      <w:r w:rsidRPr="007D66DA">
        <w:t>Note 1:</w:t>
      </w:r>
      <w:r w:rsidRPr="007D66DA">
        <w:tab/>
        <w:t>This fee may be indexed under section</w:t>
      </w:r>
      <w:r w:rsidR="007D66DA" w:rsidRPr="007D66DA">
        <w:t> </w:t>
      </w:r>
      <w:r w:rsidRPr="007D66DA">
        <w:t>12 of the Act.</w:t>
      </w:r>
    </w:p>
    <w:p w:rsidR="00F537F4" w:rsidRPr="007D66DA" w:rsidRDefault="00F537F4" w:rsidP="00F537F4">
      <w:pPr>
        <w:pStyle w:val="notetext"/>
      </w:pPr>
      <w:r w:rsidRPr="007D66DA">
        <w:t>Note 2:</w:t>
      </w:r>
      <w:r w:rsidRPr="007D66DA">
        <w:tab/>
        <w:t>A higher fee may apply if the action may be characterised in more than one way (see subsection</w:t>
      </w:r>
      <w:r w:rsidR="007D66DA" w:rsidRPr="007D66DA">
        <w:t> </w:t>
      </w:r>
      <w:r w:rsidRPr="007D66DA">
        <w:t>9(2) of the Act).</w:t>
      </w:r>
    </w:p>
    <w:p w:rsidR="00F537F4" w:rsidRPr="007D66DA" w:rsidRDefault="00F537F4" w:rsidP="00F537F4">
      <w:pPr>
        <w:pStyle w:val="subsection"/>
      </w:pPr>
      <w:r w:rsidRPr="007D66DA">
        <w:tab/>
        <w:t>(2)</w:t>
      </w:r>
      <w:r w:rsidRPr="007D66DA">
        <w:tab/>
        <w:t>This section does not apply in relation to an action to which either of the following provisions apply:</w:t>
      </w:r>
    </w:p>
    <w:p w:rsidR="00F537F4" w:rsidRPr="007D66DA" w:rsidRDefault="00F537F4" w:rsidP="00F537F4">
      <w:pPr>
        <w:pStyle w:val="paragraph"/>
      </w:pPr>
      <w:r w:rsidRPr="007D66DA">
        <w:tab/>
        <w:t>(a)</w:t>
      </w:r>
      <w:r w:rsidRPr="007D66DA">
        <w:tab/>
        <w:t>section</w:t>
      </w:r>
      <w:r w:rsidR="007D66DA" w:rsidRPr="007D66DA">
        <w:t> </w:t>
      </w:r>
      <w:r w:rsidRPr="007D66DA">
        <w:t>10 of the Act (fees for internal reorganisations);</w:t>
      </w:r>
    </w:p>
    <w:p w:rsidR="00F537F4" w:rsidRPr="007D66DA" w:rsidRDefault="00F537F4" w:rsidP="00F537F4">
      <w:pPr>
        <w:pStyle w:val="paragraph"/>
      </w:pPr>
      <w:r w:rsidRPr="007D66DA">
        <w:tab/>
        <w:t>(b)</w:t>
      </w:r>
      <w:r w:rsidRPr="007D66DA">
        <w:tab/>
        <w:t>section</w:t>
      </w:r>
      <w:r w:rsidR="007D66DA" w:rsidRPr="007D66DA">
        <w:t> </w:t>
      </w:r>
      <w:r w:rsidRPr="007D66DA">
        <w:t>12 of this instrument (internal reorganisations by foreign government investors involving tenements).</w:t>
      </w:r>
    </w:p>
    <w:p w:rsidR="00851A17" w:rsidRPr="007D66DA" w:rsidRDefault="00483003" w:rsidP="00851A17">
      <w:pPr>
        <w:pStyle w:val="ItemHead"/>
      </w:pPr>
      <w:r w:rsidRPr="007D66DA">
        <w:t>16</w:t>
      </w:r>
      <w:r w:rsidR="00851A17" w:rsidRPr="007D66DA">
        <w:t xml:space="preserve">  Subsection</w:t>
      </w:r>
      <w:r w:rsidR="007D66DA" w:rsidRPr="007D66DA">
        <w:t> </w:t>
      </w:r>
      <w:r w:rsidR="00851A17" w:rsidRPr="007D66DA">
        <w:t>12(1)</w:t>
      </w:r>
    </w:p>
    <w:p w:rsidR="00851A17" w:rsidRPr="007D66DA" w:rsidRDefault="00851A17" w:rsidP="00851A17">
      <w:pPr>
        <w:pStyle w:val="Item"/>
      </w:pPr>
      <w:r w:rsidRPr="007D66DA">
        <w:t>Omit “$10</w:t>
      </w:r>
      <w:r w:rsidR="007D66DA" w:rsidRPr="007D66DA">
        <w:t> </w:t>
      </w:r>
      <w:r w:rsidRPr="007D66DA">
        <w:t>000”, substitute “$10</w:t>
      </w:r>
      <w:r w:rsidR="00673003" w:rsidRPr="007D66DA">
        <w:t>,</w:t>
      </w:r>
      <w:r w:rsidRPr="007D66DA">
        <w:t>100”.</w:t>
      </w:r>
    </w:p>
    <w:p w:rsidR="00847151" w:rsidRPr="007D66DA" w:rsidRDefault="00483003" w:rsidP="00847151">
      <w:pPr>
        <w:pStyle w:val="ItemHead"/>
      </w:pPr>
      <w:r w:rsidRPr="007D66DA">
        <w:t>17</w:t>
      </w:r>
      <w:r w:rsidR="00847151" w:rsidRPr="007D66DA">
        <w:t xml:space="preserve">  At the end of Division</w:t>
      </w:r>
      <w:r w:rsidR="007D66DA" w:rsidRPr="007D66DA">
        <w:t> </w:t>
      </w:r>
      <w:r w:rsidR="00847151" w:rsidRPr="007D66DA">
        <w:t>3</w:t>
      </w:r>
    </w:p>
    <w:p w:rsidR="00847151" w:rsidRPr="007D66DA" w:rsidRDefault="00847151" w:rsidP="00847151">
      <w:pPr>
        <w:pStyle w:val="Item"/>
      </w:pPr>
      <w:r w:rsidRPr="007D66DA">
        <w:t>Add:</w:t>
      </w:r>
    </w:p>
    <w:p w:rsidR="00847151" w:rsidRPr="007D66DA" w:rsidRDefault="00847151" w:rsidP="00847151">
      <w:pPr>
        <w:pStyle w:val="ActHead5"/>
      </w:pPr>
      <w:bookmarkStart w:id="23" w:name="_Toc485306522"/>
      <w:r w:rsidRPr="007D66DA">
        <w:rPr>
          <w:rStyle w:val="CharSectno"/>
        </w:rPr>
        <w:t>15</w:t>
      </w:r>
      <w:r w:rsidR="001A6D52" w:rsidRPr="007D66DA">
        <w:t xml:space="preserve">  </w:t>
      </w:r>
      <w:r w:rsidR="007800A1" w:rsidRPr="007D66DA">
        <w:t xml:space="preserve">Acquisition of </w:t>
      </w:r>
      <w:r w:rsidR="00F048A9" w:rsidRPr="007D66DA">
        <w:t>2</w:t>
      </w:r>
      <w:r w:rsidR="00E0292C" w:rsidRPr="007D66DA">
        <w:t xml:space="preserve"> or more</w:t>
      </w:r>
      <w:r w:rsidR="007800A1" w:rsidRPr="007D66DA">
        <w:t xml:space="preserve"> interest</w:t>
      </w:r>
      <w:r w:rsidR="00E0292C" w:rsidRPr="007D66DA">
        <w:t>s</w:t>
      </w:r>
      <w:r w:rsidR="007800A1" w:rsidRPr="007D66DA">
        <w:t xml:space="preserve"> in residential land by </w:t>
      </w:r>
      <w:r w:rsidR="00D6123D" w:rsidRPr="007D66DA">
        <w:t>foreign business</w:t>
      </w:r>
      <w:r w:rsidR="007C045E" w:rsidRPr="007D66DA">
        <w:t xml:space="preserve"> person</w:t>
      </w:r>
      <w:bookmarkEnd w:id="23"/>
    </w:p>
    <w:p w:rsidR="00D6123D" w:rsidRPr="007D66DA" w:rsidRDefault="00D9412A" w:rsidP="00550A3C">
      <w:pPr>
        <w:pStyle w:val="subsection"/>
      </w:pPr>
      <w:r w:rsidRPr="007D66DA">
        <w:tab/>
      </w:r>
      <w:r w:rsidR="00D6123D" w:rsidRPr="007D66DA">
        <w:t>(1)</w:t>
      </w:r>
      <w:r w:rsidR="00D6123D" w:rsidRPr="007D66DA">
        <w:tab/>
        <w:t>This section applies despite subsection</w:t>
      </w:r>
      <w:r w:rsidR="007D66DA" w:rsidRPr="007D66DA">
        <w:t> </w:t>
      </w:r>
      <w:r w:rsidR="00D6123D" w:rsidRPr="007D66DA">
        <w:t>9(1) of the Act.</w:t>
      </w:r>
    </w:p>
    <w:p w:rsidR="0069674E" w:rsidRPr="007D66DA" w:rsidRDefault="00D6123D" w:rsidP="00550A3C">
      <w:pPr>
        <w:pStyle w:val="subsection"/>
      </w:pPr>
      <w:r w:rsidRPr="007D66DA">
        <w:tab/>
      </w:r>
      <w:r w:rsidR="005A1461" w:rsidRPr="007D66DA">
        <w:t>(</w:t>
      </w:r>
      <w:r w:rsidRPr="007D66DA">
        <w:t>2</w:t>
      </w:r>
      <w:r w:rsidR="005A1461" w:rsidRPr="007D66DA">
        <w:t>)</w:t>
      </w:r>
      <w:r w:rsidR="005A1461" w:rsidRPr="007D66DA">
        <w:tab/>
      </w:r>
      <w:r w:rsidRPr="007D66DA">
        <w:t>I</w:t>
      </w:r>
      <w:r w:rsidR="00EC589E" w:rsidRPr="007D66DA">
        <w:t xml:space="preserve">f </w:t>
      </w:r>
      <w:r w:rsidR="00550A3C" w:rsidRPr="007D66DA">
        <w:t xml:space="preserve">a </w:t>
      </w:r>
      <w:r w:rsidRPr="007D66DA">
        <w:t>foreign business</w:t>
      </w:r>
      <w:r w:rsidR="007C045E" w:rsidRPr="007D66DA">
        <w:t xml:space="preserve"> person</w:t>
      </w:r>
      <w:r w:rsidRPr="007D66DA">
        <w:t xml:space="preserve"> acquires </w:t>
      </w:r>
      <w:r w:rsidR="00F048A9" w:rsidRPr="007D66DA">
        <w:t>2</w:t>
      </w:r>
      <w:r w:rsidRPr="007D66DA">
        <w:t xml:space="preserve"> or more</w:t>
      </w:r>
      <w:r w:rsidR="00550A3C" w:rsidRPr="007D66DA">
        <w:t xml:space="preserve"> interest</w:t>
      </w:r>
      <w:r w:rsidRPr="007D66DA">
        <w:t>s</w:t>
      </w:r>
      <w:r w:rsidR="00550A3C" w:rsidRPr="007D66DA">
        <w:t xml:space="preserve"> in residential land under </w:t>
      </w:r>
      <w:r w:rsidR="00B2687A" w:rsidRPr="007D66DA">
        <w:t>one</w:t>
      </w:r>
      <w:r w:rsidR="00572C19" w:rsidRPr="007D66DA">
        <w:t xml:space="preserve"> agreement</w:t>
      </w:r>
      <w:r w:rsidR="009A522D" w:rsidRPr="007D66DA">
        <w:t xml:space="preserve">, </w:t>
      </w:r>
      <w:r w:rsidR="00550A3C" w:rsidRPr="007D66DA">
        <w:t>the amount of the fee payable</w:t>
      </w:r>
      <w:r w:rsidR="001B1ECF" w:rsidRPr="007D66DA">
        <w:t xml:space="preserve"> for the acquisition of those interests</w:t>
      </w:r>
      <w:r w:rsidR="006B4E23" w:rsidRPr="007D66DA">
        <w:t xml:space="preserve"> </w:t>
      </w:r>
      <w:r w:rsidR="00572C19" w:rsidRPr="007D66DA">
        <w:t>is</w:t>
      </w:r>
      <w:r w:rsidR="0069674E" w:rsidRPr="007D66DA">
        <w:t xml:space="preserve"> t</w:t>
      </w:r>
      <w:r w:rsidR="00F74A55" w:rsidRPr="007D66DA">
        <w:t xml:space="preserve">he amount worked out under </w:t>
      </w:r>
      <w:r w:rsidR="007D66DA" w:rsidRPr="007D66DA">
        <w:t>subsection (</w:t>
      </w:r>
      <w:r w:rsidR="008236D5" w:rsidRPr="007D66DA">
        <w:t>3</w:t>
      </w:r>
      <w:r w:rsidR="00F74A55" w:rsidRPr="007D66DA">
        <w:t>)</w:t>
      </w:r>
      <w:r w:rsidR="0069674E" w:rsidRPr="007D66DA">
        <w:t>.</w:t>
      </w:r>
    </w:p>
    <w:p w:rsidR="00B51692" w:rsidRPr="007D66DA" w:rsidRDefault="00F74A55" w:rsidP="00F74A55">
      <w:pPr>
        <w:pStyle w:val="subsection"/>
      </w:pPr>
      <w:r w:rsidRPr="007D66DA">
        <w:tab/>
        <w:t>(</w:t>
      </w:r>
      <w:r w:rsidR="00D6123D" w:rsidRPr="007D66DA">
        <w:t>3</w:t>
      </w:r>
      <w:r w:rsidRPr="007D66DA">
        <w:t>)</w:t>
      </w:r>
      <w:r w:rsidRPr="007D66DA">
        <w:tab/>
      </w:r>
      <w:r w:rsidR="00F370A6" w:rsidRPr="007D66DA">
        <w:t>Work out</w:t>
      </w:r>
      <w:r w:rsidR="00B51692" w:rsidRPr="007D66DA">
        <w:t xml:space="preserve"> the amount of</w:t>
      </w:r>
      <w:r w:rsidR="00F370A6" w:rsidRPr="007D66DA">
        <w:t xml:space="preserve"> the</w:t>
      </w:r>
      <w:r w:rsidR="00B51692" w:rsidRPr="007D66DA">
        <w:t xml:space="preserve"> fee </w:t>
      </w:r>
      <w:r w:rsidR="00290ADA" w:rsidRPr="007D66DA">
        <w:t xml:space="preserve">that would, apart from this section, </w:t>
      </w:r>
      <w:r w:rsidR="00AE0716" w:rsidRPr="007D66DA">
        <w:t xml:space="preserve">be </w:t>
      </w:r>
      <w:r w:rsidR="00B51692" w:rsidRPr="007D66DA">
        <w:t xml:space="preserve">payable for each acquisition of interest in residential land under the agreement. The highest of </w:t>
      </w:r>
      <w:r w:rsidR="00F370A6" w:rsidRPr="007D66DA">
        <w:t>those amounts</w:t>
      </w:r>
      <w:r w:rsidRPr="007D66DA">
        <w:t xml:space="preserve"> is the amount of fee payable</w:t>
      </w:r>
      <w:r w:rsidR="00B51692" w:rsidRPr="007D66DA">
        <w:t>.</w:t>
      </w:r>
    </w:p>
    <w:p w:rsidR="00956CA2" w:rsidRPr="007D66DA" w:rsidRDefault="00A9558D" w:rsidP="00A9558D">
      <w:pPr>
        <w:pStyle w:val="subsection"/>
      </w:pPr>
      <w:r w:rsidRPr="007D66DA">
        <w:tab/>
        <w:t>(</w:t>
      </w:r>
      <w:r w:rsidR="00D6123D" w:rsidRPr="007D66DA">
        <w:t>4</w:t>
      </w:r>
      <w:r w:rsidRPr="007D66DA">
        <w:t>)</w:t>
      </w:r>
      <w:r w:rsidRPr="007D66DA">
        <w:tab/>
      </w:r>
      <w:r w:rsidR="00956CA2" w:rsidRPr="007D66DA">
        <w:t xml:space="preserve">If the agreement covers one or more actions </w:t>
      </w:r>
      <w:r w:rsidR="006135E5" w:rsidRPr="007D66DA">
        <w:t xml:space="preserve">(the </w:t>
      </w:r>
      <w:r w:rsidR="006135E5" w:rsidRPr="007D66DA">
        <w:rPr>
          <w:b/>
          <w:i/>
        </w:rPr>
        <w:t>other actions</w:t>
      </w:r>
      <w:r w:rsidR="006135E5" w:rsidRPr="007D66DA">
        <w:t xml:space="preserve">) </w:t>
      </w:r>
      <w:r w:rsidR="00956CA2" w:rsidRPr="007D66DA">
        <w:t>other than an action to acquire an interest in residential land, the amount of the fee payable</w:t>
      </w:r>
      <w:r w:rsidR="00480804" w:rsidRPr="007D66DA">
        <w:t xml:space="preserve"> for all actions covered by the agreement</w:t>
      </w:r>
      <w:r w:rsidR="00956CA2" w:rsidRPr="007D66DA">
        <w:t xml:space="preserve"> is the higher of</w:t>
      </w:r>
      <w:r w:rsidR="00480804" w:rsidRPr="007D66DA">
        <w:t xml:space="preserve"> the following amounts</w:t>
      </w:r>
      <w:r w:rsidR="00956CA2" w:rsidRPr="007D66DA">
        <w:t>:</w:t>
      </w:r>
    </w:p>
    <w:p w:rsidR="00480804" w:rsidRPr="007D66DA" w:rsidRDefault="00480804" w:rsidP="00480804">
      <w:pPr>
        <w:pStyle w:val="paragraph"/>
      </w:pPr>
      <w:r w:rsidRPr="007D66DA">
        <w:tab/>
        <w:t>(a)</w:t>
      </w:r>
      <w:r w:rsidRPr="007D66DA">
        <w:tab/>
        <w:t xml:space="preserve">the amount worked out under </w:t>
      </w:r>
      <w:r w:rsidR="007D66DA" w:rsidRPr="007D66DA">
        <w:t>subsection (</w:t>
      </w:r>
      <w:r w:rsidR="008236D5" w:rsidRPr="007D66DA">
        <w:t>3</w:t>
      </w:r>
      <w:r w:rsidRPr="007D66DA">
        <w:t>);</w:t>
      </w:r>
    </w:p>
    <w:p w:rsidR="00956CA2" w:rsidRPr="007D66DA" w:rsidRDefault="00480804" w:rsidP="00D6123D">
      <w:pPr>
        <w:pStyle w:val="paragraph"/>
      </w:pPr>
      <w:r w:rsidRPr="007D66DA">
        <w:tab/>
        <w:t>(b)</w:t>
      </w:r>
      <w:r w:rsidRPr="007D66DA">
        <w:tab/>
        <w:t>the highest of the amounts of fee</w:t>
      </w:r>
      <w:r w:rsidR="00D6123D" w:rsidRPr="007D66DA">
        <w:t xml:space="preserve"> payable for the other actions.</w:t>
      </w:r>
    </w:p>
    <w:p w:rsidR="00D6123D" w:rsidRPr="007D66DA" w:rsidRDefault="00D6123D" w:rsidP="0075773B">
      <w:pPr>
        <w:pStyle w:val="notetext"/>
      </w:pPr>
      <w:r w:rsidRPr="007D66DA">
        <w:t>Note:</w:t>
      </w:r>
      <w:r w:rsidRPr="007D66DA">
        <w:tab/>
      </w:r>
      <w:r w:rsidR="006135E5" w:rsidRPr="007D66DA">
        <w:t xml:space="preserve">For the fee </w:t>
      </w:r>
      <w:r w:rsidR="00E03081" w:rsidRPr="007D66DA">
        <w:t>that applies to an action that can be</w:t>
      </w:r>
      <w:r w:rsidRPr="007D66DA">
        <w:t xml:space="preserve"> cha</w:t>
      </w:r>
      <w:r w:rsidR="00540454" w:rsidRPr="007D66DA">
        <w:t xml:space="preserve">racterised in more than one way, </w:t>
      </w:r>
      <w:r w:rsidRPr="007D66DA">
        <w:t>see subsection</w:t>
      </w:r>
      <w:r w:rsidR="007D66DA" w:rsidRPr="007D66DA">
        <w:t> </w:t>
      </w:r>
      <w:r w:rsidRPr="007D66DA">
        <w:t xml:space="preserve">9(2) of the </w:t>
      </w:r>
      <w:r w:rsidR="009D3377" w:rsidRPr="007D66DA">
        <w:t>Act</w:t>
      </w:r>
      <w:r w:rsidRPr="007D66DA">
        <w:t>.</w:t>
      </w:r>
    </w:p>
    <w:p w:rsidR="00290ADA" w:rsidRPr="007D66DA" w:rsidRDefault="00290ADA" w:rsidP="00290ADA">
      <w:pPr>
        <w:pStyle w:val="subsection"/>
      </w:pPr>
      <w:r w:rsidRPr="007D66DA">
        <w:tab/>
        <w:t>(5)</w:t>
      </w:r>
      <w:r w:rsidRPr="007D66DA">
        <w:tab/>
        <w:t>This section does not apply in relation to an action to which either of the following provisions apply:</w:t>
      </w:r>
    </w:p>
    <w:p w:rsidR="00290ADA" w:rsidRPr="007D66DA" w:rsidRDefault="00290ADA" w:rsidP="00290ADA">
      <w:pPr>
        <w:pStyle w:val="paragraph"/>
      </w:pPr>
      <w:r w:rsidRPr="007D66DA">
        <w:tab/>
        <w:t>(a)</w:t>
      </w:r>
      <w:r w:rsidRPr="007D66DA">
        <w:tab/>
        <w:t>section</w:t>
      </w:r>
      <w:r w:rsidR="007D66DA" w:rsidRPr="007D66DA">
        <w:t> </w:t>
      </w:r>
      <w:r w:rsidRPr="007D66DA">
        <w:t>10 of the Act (fees for internal reorganisations);</w:t>
      </w:r>
    </w:p>
    <w:p w:rsidR="00290ADA" w:rsidRPr="007D66DA" w:rsidRDefault="00290ADA" w:rsidP="00290ADA">
      <w:pPr>
        <w:pStyle w:val="paragraph"/>
      </w:pPr>
      <w:r w:rsidRPr="007D66DA">
        <w:tab/>
        <w:t>(b)</w:t>
      </w:r>
      <w:r w:rsidRPr="007D66DA">
        <w:tab/>
        <w:t>section</w:t>
      </w:r>
      <w:r w:rsidR="007D66DA" w:rsidRPr="007D66DA">
        <w:t> </w:t>
      </w:r>
      <w:r w:rsidRPr="007D66DA">
        <w:t>12 of this instrument (internal reorganisations by foreign government investors involving tenements).</w:t>
      </w:r>
    </w:p>
    <w:p w:rsidR="00064192" w:rsidRPr="007D66DA" w:rsidRDefault="00A9558D" w:rsidP="00CC6C8B">
      <w:pPr>
        <w:pStyle w:val="ActHead5"/>
      </w:pPr>
      <w:bookmarkStart w:id="24" w:name="_Toc485306523"/>
      <w:r w:rsidRPr="007D66DA">
        <w:rPr>
          <w:rStyle w:val="CharSectno"/>
        </w:rPr>
        <w:t>16</w:t>
      </w:r>
      <w:r w:rsidR="007800A1" w:rsidRPr="007D66DA">
        <w:t xml:space="preserve">  Acquisition of interest in securities by </w:t>
      </w:r>
      <w:r w:rsidR="00764B8B" w:rsidRPr="007D66DA">
        <w:t>foreign business person</w:t>
      </w:r>
      <w:r w:rsidR="003E4CD6" w:rsidRPr="007D66DA">
        <w:t xml:space="preserve"> in </w:t>
      </w:r>
      <w:r w:rsidR="00290ADA" w:rsidRPr="007D66DA">
        <w:t>Australian</w:t>
      </w:r>
      <w:r w:rsidR="003E4CD6" w:rsidRPr="007D66DA">
        <w:t xml:space="preserve"> land entities</w:t>
      </w:r>
      <w:bookmarkEnd w:id="24"/>
    </w:p>
    <w:p w:rsidR="00064192" w:rsidRPr="007D66DA" w:rsidRDefault="00064192" w:rsidP="00550A3C">
      <w:pPr>
        <w:pStyle w:val="subsection"/>
      </w:pPr>
      <w:r w:rsidRPr="007D66DA">
        <w:tab/>
        <w:t>(</w:t>
      </w:r>
      <w:r w:rsidR="00CC6C8B" w:rsidRPr="007D66DA">
        <w:t>1</w:t>
      </w:r>
      <w:r w:rsidRPr="007D66DA">
        <w:t>)</w:t>
      </w:r>
      <w:r w:rsidRPr="007D66DA">
        <w:tab/>
        <w:t>T</w:t>
      </w:r>
      <w:r w:rsidR="00584ECC" w:rsidRPr="007D66DA">
        <w:t xml:space="preserve">he amount of a fee that is payable by a </w:t>
      </w:r>
      <w:r w:rsidR="00764B8B" w:rsidRPr="007D66DA">
        <w:t xml:space="preserve">foreign business person </w:t>
      </w:r>
      <w:r w:rsidRPr="007D66DA">
        <w:t>is $25</w:t>
      </w:r>
      <w:r w:rsidR="00940F61" w:rsidRPr="007D66DA">
        <w:t>,</w:t>
      </w:r>
      <w:r w:rsidR="000B6938" w:rsidRPr="007D66DA">
        <w:t>3</w:t>
      </w:r>
      <w:r w:rsidRPr="007D66DA">
        <w:t>00 if:</w:t>
      </w:r>
    </w:p>
    <w:p w:rsidR="005B3159" w:rsidRPr="007D66DA" w:rsidRDefault="00064192" w:rsidP="00064192">
      <w:pPr>
        <w:pStyle w:val="paragraph"/>
      </w:pPr>
      <w:r w:rsidRPr="007D66DA">
        <w:tab/>
        <w:t>(a)</w:t>
      </w:r>
      <w:r w:rsidRPr="007D66DA">
        <w:tab/>
      </w:r>
      <w:r w:rsidR="00584ECC" w:rsidRPr="007D66DA">
        <w:t>the</w:t>
      </w:r>
      <w:r w:rsidR="005B3159" w:rsidRPr="007D66DA">
        <w:t xml:space="preserve"> </w:t>
      </w:r>
      <w:r w:rsidR="00764B8B" w:rsidRPr="007D66DA">
        <w:t>foreign business person</w:t>
      </w:r>
      <w:r w:rsidR="005B3159" w:rsidRPr="007D66DA">
        <w:t xml:space="preserve"> acquires an interest in securities in:</w:t>
      </w:r>
    </w:p>
    <w:p w:rsidR="005B3159" w:rsidRPr="007D66DA" w:rsidRDefault="005B3159" w:rsidP="00064192">
      <w:pPr>
        <w:pStyle w:val="paragraphsub"/>
      </w:pPr>
      <w:r w:rsidRPr="007D66DA">
        <w:tab/>
        <w:t>(</w:t>
      </w:r>
      <w:r w:rsidR="00064192" w:rsidRPr="007D66DA">
        <w:t>i</w:t>
      </w:r>
      <w:r w:rsidRPr="007D66DA">
        <w:t>)</w:t>
      </w:r>
      <w:r w:rsidRPr="007D66DA">
        <w:tab/>
        <w:t>an Australian land corporation with a dominant land holding in residential land; or</w:t>
      </w:r>
    </w:p>
    <w:p w:rsidR="005B3159" w:rsidRPr="007D66DA" w:rsidRDefault="005B3159" w:rsidP="00064192">
      <w:pPr>
        <w:pStyle w:val="paragraphsub"/>
      </w:pPr>
      <w:r w:rsidRPr="007D66DA">
        <w:tab/>
        <w:t>(</w:t>
      </w:r>
      <w:r w:rsidR="00064192" w:rsidRPr="007D66DA">
        <w:t>ii</w:t>
      </w:r>
      <w:r w:rsidRPr="007D66DA">
        <w:t>)</w:t>
      </w:r>
      <w:r w:rsidRPr="007D66DA">
        <w:tab/>
        <w:t>an Australian land trust with a dominant land holding in residential land;</w:t>
      </w:r>
      <w:r w:rsidR="00064192" w:rsidRPr="007D66DA">
        <w:t xml:space="preserve"> and</w:t>
      </w:r>
    </w:p>
    <w:p w:rsidR="00064192" w:rsidRPr="007D66DA" w:rsidRDefault="00064192" w:rsidP="00064192">
      <w:pPr>
        <w:pStyle w:val="paragraph"/>
      </w:pPr>
      <w:r w:rsidRPr="007D66DA">
        <w:tab/>
        <w:t>(b)</w:t>
      </w:r>
      <w:r w:rsidRPr="007D66DA">
        <w:tab/>
      </w:r>
      <w:r w:rsidR="00A9558D" w:rsidRPr="007D66DA">
        <w:t>the consideration for the acquisition is $1 billion or less; and</w:t>
      </w:r>
    </w:p>
    <w:p w:rsidR="00A9558D" w:rsidRPr="007D66DA" w:rsidRDefault="00A9558D" w:rsidP="00A9558D">
      <w:pPr>
        <w:pStyle w:val="paragraph"/>
      </w:pPr>
      <w:r w:rsidRPr="007D66DA">
        <w:tab/>
        <w:t>(c)</w:t>
      </w:r>
      <w:r w:rsidRPr="007D66DA">
        <w:tab/>
      </w:r>
      <w:r w:rsidR="00A87476" w:rsidRPr="007D66DA">
        <w:t>a higher amount of fee</w:t>
      </w:r>
      <w:r w:rsidRPr="007D66DA">
        <w:t xml:space="preserve"> would, apart from this subsection, be payable under item</w:t>
      </w:r>
      <w:r w:rsidR="007D66DA" w:rsidRPr="007D66DA">
        <w:t> </w:t>
      </w:r>
      <w:r w:rsidRPr="007D66DA">
        <w:t xml:space="preserve">3 </w:t>
      </w:r>
      <w:r w:rsidR="00CC6C8B" w:rsidRPr="007D66DA">
        <w:t>of</w:t>
      </w:r>
      <w:r w:rsidRPr="007D66DA">
        <w:t xml:space="preserve"> the table </w:t>
      </w:r>
      <w:r w:rsidR="00C26880" w:rsidRPr="007D66DA">
        <w:t>in</w:t>
      </w:r>
      <w:r w:rsidRPr="007D66DA">
        <w:t xml:space="preserve"> subsection</w:t>
      </w:r>
      <w:r w:rsidR="007D66DA" w:rsidRPr="007D66DA">
        <w:t> </w:t>
      </w:r>
      <w:r w:rsidRPr="007D66DA">
        <w:t>7(1) of the Act.</w:t>
      </w:r>
    </w:p>
    <w:p w:rsidR="00457958" w:rsidRPr="007D66DA" w:rsidRDefault="00457958" w:rsidP="00457958">
      <w:pPr>
        <w:pStyle w:val="notetext"/>
      </w:pPr>
      <w:r w:rsidRPr="007D66DA">
        <w:t>Note:</w:t>
      </w:r>
      <w:r w:rsidRPr="007D66DA">
        <w:tab/>
        <w:t>These fees may be indexed under section</w:t>
      </w:r>
      <w:r w:rsidR="007D66DA" w:rsidRPr="007D66DA">
        <w:t> </w:t>
      </w:r>
      <w:r w:rsidRPr="007D66DA">
        <w:t>12 of the Act. However, indexation does not apply to amounts of consideration specified in the table, as these amounts are not fees.</w:t>
      </w:r>
    </w:p>
    <w:p w:rsidR="00CC6C8B" w:rsidRPr="007D66DA" w:rsidRDefault="00CC6C8B" w:rsidP="00CC6C8B">
      <w:pPr>
        <w:pStyle w:val="subsection"/>
      </w:pPr>
      <w:r w:rsidRPr="007D66DA">
        <w:tab/>
        <w:t>(2)</w:t>
      </w:r>
      <w:r w:rsidRPr="007D66DA">
        <w:tab/>
      </w:r>
      <w:r w:rsidR="00584ECC" w:rsidRPr="007D66DA">
        <w:t xml:space="preserve">The amount of a fee that is payable by a </w:t>
      </w:r>
      <w:r w:rsidR="00764B8B" w:rsidRPr="007D66DA">
        <w:t>foreign business person</w:t>
      </w:r>
      <w:r w:rsidR="00584ECC" w:rsidRPr="007D66DA">
        <w:t xml:space="preserve"> is</w:t>
      </w:r>
      <w:r w:rsidRPr="007D66DA">
        <w:t xml:space="preserve"> $101</w:t>
      </w:r>
      <w:r w:rsidR="00940F61" w:rsidRPr="007D66DA">
        <w:t>,</w:t>
      </w:r>
      <w:r w:rsidRPr="007D66DA">
        <w:t>500 if:</w:t>
      </w:r>
    </w:p>
    <w:p w:rsidR="00CC6C8B" w:rsidRPr="007D66DA" w:rsidRDefault="00CC6C8B" w:rsidP="00CC6C8B">
      <w:pPr>
        <w:pStyle w:val="paragraph"/>
      </w:pPr>
      <w:r w:rsidRPr="007D66DA">
        <w:tab/>
        <w:t>(a)</w:t>
      </w:r>
      <w:r w:rsidRPr="007D66DA">
        <w:tab/>
      </w:r>
      <w:r w:rsidR="00584ECC" w:rsidRPr="007D66DA">
        <w:t>the</w:t>
      </w:r>
      <w:r w:rsidRPr="007D66DA">
        <w:t xml:space="preserve"> </w:t>
      </w:r>
      <w:r w:rsidR="00764B8B" w:rsidRPr="007D66DA">
        <w:t>foreign business person</w:t>
      </w:r>
      <w:r w:rsidRPr="007D66DA">
        <w:t xml:space="preserve"> acquires an interest in securities in:</w:t>
      </w:r>
    </w:p>
    <w:p w:rsidR="00CC6C8B" w:rsidRPr="007D66DA" w:rsidRDefault="00CC6C8B" w:rsidP="00CC6C8B">
      <w:pPr>
        <w:pStyle w:val="paragraphsub"/>
      </w:pPr>
      <w:r w:rsidRPr="007D66DA">
        <w:tab/>
        <w:t>(i)</w:t>
      </w:r>
      <w:r w:rsidRPr="007D66DA">
        <w:tab/>
        <w:t>an Australian land corporation with a dominant land holding in residential land; or</w:t>
      </w:r>
    </w:p>
    <w:p w:rsidR="00CC6C8B" w:rsidRPr="007D66DA" w:rsidRDefault="00CC6C8B" w:rsidP="00CC6C8B">
      <w:pPr>
        <w:pStyle w:val="paragraphsub"/>
      </w:pPr>
      <w:r w:rsidRPr="007D66DA">
        <w:tab/>
        <w:t>(ii)</w:t>
      </w:r>
      <w:r w:rsidRPr="007D66DA">
        <w:tab/>
        <w:t>an Australian land trust with a dominant land holding in residential land; and</w:t>
      </w:r>
    </w:p>
    <w:p w:rsidR="00CC6C8B" w:rsidRPr="007D66DA" w:rsidRDefault="00CC6C8B" w:rsidP="00CC6C8B">
      <w:pPr>
        <w:pStyle w:val="paragraph"/>
      </w:pPr>
      <w:r w:rsidRPr="007D66DA">
        <w:tab/>
        <w:t>(b)</w:t>
      </w:r>
      <w:r w:rsidRPr="007D66DA">
        <w:tab/>
        <w:t>the consideration for the acquisition is more than $1 billion; and</w:t>
      </w:r>
    </w:p>
    <w:p w:rsidR="005305D6" w:rsidRPr="007D66DA" w:rsidRDefault="00CC6C8B" w:rsidP="002E43B3">
      <w:pPr>
        <w:pStyle w:val="paragraph"/>
      </w:pPr>
      <w:r w:rsidRPr="007D66DA">
        <w:tab/>
        <w:t>(c)</w:t>
      </w:r>
      <w:r w:rsidRPr="007D66DA">
        <w:tab/>
      </w:r>
      <w:r w:rsidR="00A87476" w:rsidRPr="007D66DA">
        <w:t>a higher amount of</w:t>
      </w:r>
      <w:r w:rsidRPr="007D66DA">
        <w:t xml:space="preserve"> fee would, apart from this subsection, be payable under item</w:t>
      </w:r>
      <w:r w:rsidR="007D66DA" w:rsidRPr="007D66DA">
        <w:t> </w:t>
      </w:r>
      <w:r w:rsidRPr="007D66DA">
        <w:t xml:space="preserve">3 of the table </w:t>
      </w:r>
      <w:r w:rsidR="00C26880" w:rsidRPr="007D66DA">
        <w:t>in</w:t>
      </w:r>
      <w:r w:rsidRPr="007D66DA">
        <w:t xml:space="preserve"> subsection</w:t>
      </w:r>
      <w:r w:rsidR="007D66DA" w:rsidRPr="007D66DA">
        <w:t> </w:t>
      </w:r>
      <w:r w:rsidR="00A87476" w:rsidRPr="007D66DA">
        <w:t>7(1) of the Act</w:t>
      </w:r>
      <w:r w:rsidRPr="007D66DA">
        <w:t>.</w:t>
      </w:r>
    </w:p>
    <w:p w:rsidR="00457958" w:rsidRPr="007D66DA" w:rsidRDefault="00457958" w:rsidP="00457958">
      <w:pPr>
        <w:pStyle w:val="notetext"/>
      </w:pPr>
      <w:r w:rsidRPr="007D66DA">
        <w:t>Note:</w:t>
      </w:r>
      <w:r w:rsidRPr="007D66DA">
        <w:tab/>
        <w:t>These fees may be indexed under section</w:t>
      </w:r>
      <w:r w:rsidR="007D66DA" w:rsidRPr="007D66DA">
        <w:t> </w:t>
      </w:r>
      <w:r w:rsidRPr="007D66DA">
        <w:t>12 of the Act. However, indexation does not apply to amounts of consideration specified in the table, as these amounts are not fees.</w:t>
      </w:r>
    </w:p>
    <w:p w:rsidR="00E646B7" w:rsidRPr="007D66DA" w:rsidRDefault="00CC6C8B" w:rsidP="00E646B7">
      <w:pPr>
        <w:pStyle w:val="subsection"/>
      </w:pPr>
      <w:r w:rsidRPr="007D66DA">
        <w:tab/>
        <w:t>(</w:t>
      </w:r>
      <w:r w:rsidR="00E646B7" w:rsidRPr="007D66DA">
        <w:t>3)</w:t>
      </w:r>
      <w:r w:rsidR="00E646B7" w:rsidRPr="007D66DA">
        <w:tab/>
        <w:t xml:space="preserve">If one agreement covers </w:t>
      </w:r>
      <w:r w:rsidR="00DB30A5" w:rsidRPr="007D66DA">
        <w:t>one or more of the</w:t>
      </w:r>
      <w:r w:rsidR="00E646B7" w:rsidRPr="007D66DA">
        <w:t xml:space="preserve"> action</w:t>
      </w:r>
      <w:r w:rsidR="00DB30A5" w:rsidRPr="007D66DA">
        <w:t>s</w:t>
      </w:r>
      <w:r w:rsidR="00E646B7" w:rsidRPr="007D66DA">
        <w:t xml:space="preserve"> mentioned in </w:t>
      </w:r>
      <w:r w:rsidR="007D66DA" w:rsidRPr="007D66DA">
        <w:t>subsections (</w:t>
      </w:r>
      <w:r w:rsidR="00E646B7" w:rsidRPr="007D66DA">
        <w:t xml:space="preserve">1) </w:t>
      </w:r>
      <w:r w:rsidR="00DB30A5" w:rsidRPr="007D66DA">
        <w:t>and</w:t>
      </w:r>
      <w:r w:rsidR="00E646B7" w:rsidRPr="007D66DA">
        <w:t xml:space="preserve"> (2), and one or more other actions (the </w:t>
      </w:r>
      <w:r w:rsidR="00E646B7" w:rsidRPr="007D66DA">
        <w:rPr>
          <w:b/>
          <w:i/>
        </w:rPr>
        <w:t>other actions</w:t>
      </w:r>
      <w:r w:rsidR="00E646B7" w:rsidRPr="007D66DA">
        <w:t>), the amount of the fee payable for all actions covered by the agreement is the higher of the following amounts:</w:t>
      </w:r>
    </w:p>
    <w:p w:rsidR="00E646B7" w:rsidRPr="007D66DA" w:rsidRDefault="00E646B7" w:rsidP="00E646B7">
      <w:pPr>
        <w:pStyle w:val="paragraph"/>
      </w:pPr>
      <w:r w:rsidRPr="007D66DA">
        <w:tab/>
        <w:t>(a)</w:t>
      </w:r>
      <w:r w:rsidRPr="007D66DA">
        <w:tab/>
        <w:t>the</w:t>
      </w:r>
      <w:r w:rsidR="000275E1" w:rsidRPr="007D66DA">
        <w:t xml:space="preserve"> amount</w:t>
      </w:r>
      <w:r w:rsidRPr="007D66DA">
        <w:t xml:space="preserve"> specified in </w:t>
      </w:r>
      <w:r w:rsidR="007D66DA" w:rsidRPr="007D66DA">
        <w:t>subsection (</w:t>
      </w:r>
      <w:r w:rsidRPr="007D66DA">
        <w:t>1) or (2);</w:t>
      </w:r>
    </w:p>
    <w:p w:rsidR="00D02858" w:rsidRPr="007D66DA" w:rsidRDefault="00E646B7" w:rsidP="00E646B7">
      <w:pPr>
        <w:pStyle w:val="paragraph"/>
      </w:pPr>
      <w:r w:rsidRPr="007D66DA">
        <w:tab/>
        <w:t>(b)</w:t>
      </w:r>
      <w:r w:rsidRPr="007D66DA">
        <w:tab/>
        <w:t>the highest of the amounts of fee payable for the other actions.</w:t>
      </w:r>
    </w:p>
    <w:p w:rsidR="00E646B7" w:rsidRPr="007D66DA" w:rsidRDefault="00E646B7" w:rsidP="00E646B7">
      <w:pPr>
        <w:pStyle w:val="subsection"/>
      </w:pPr>
      <w:r w:rsidRPr="007D66DA">
        <w:tab/>
        <w:t>(4)</w:t>
      </w:r>
      <w:r w:rsidRPr="007D66DA">
        <w:tab/>
      </w:r>
      <w:r w:rsidR="007D66DA" w:rsidRPr="007D66DA">
        <w:t>Subsection (</w:t>
      </w:r>
      <w:r w:rsidRPr="007D66DA">
        <w:t xml:space="preserve">3) has effect despite </w:t>
      </w:r>
      <w:r w:rsidR="003C6DBF" w:rsidRPr="007D66DA">
        <w:t>subsection</w:t>
      </w:r>
      <w:r w:rsidR="007D66DA" w:rsidRPr="007D66DA">
        <w:t> </w:t>
      </w:r>
      <w:r w:rsidR="003C6DBF" w:rsidRPr="007D66DA">
        <w:t>9(1)</w:t>
      </w:r>
      <w:r w:rsidRPr="007D66DA">
        <w:t xml:space="preserve"> of the Act.</w:t>
      </w:r>
    </w:p>
    <w:p w:rsidR="00E8221E" w:rsidRPr="007D66DA" w:rsidRDefault="00E8221E" w:rsidP="00CC6C8B">
      <w:pPr>
        <w:pStyle w:val="subsection"/>
      </w:pPr>
      <w:r w:rsidRPr="007D66DA">
        <w:tab/>
        <w:t>(</w:t>
      </w:r>
      <w:r w:rsidR="00E646B7" w:rsidRPr="007D66DA">
        <w:t>5</w:t>
      </w:r>
      <w:r w:rsidRPr="007D66DA">
        <w:t>)</w:t>
      </w:r>
      <w:r w:rsidRPr="007D66DA">
        <w:tab/>
      </w:r>
      <w:r w:rsidR="00A87476" w:rsidRPr="007D66DA">
        <w:t>However, i</w:t>
      </w:r>
      <w:r w:rsidRPr="007D66DA">
        <w:t xml:space="preserve">f a </w:t>
      </w:r>
      <w:r w:rsidR="00E0292C" w:rsidRPr="007D66DA">
        <w:t>foreign business person</w:t>
      </w:r>
      <w:r w:rsidR="007C045E" w:rsidRPr="007D66DA">
        <w:t xml:space="preserve"> </w:t>
      </w:r>
      <w:r w:rsidR="00F15D62" w:rsidRPr="007D66DA">
        <w:t xml:space="preserve">acquires </w:t>
      </w:r>
      <w:r w:rsidRPr="007D66DA">
        <w:t xml:space="preserve">securities in an Australian land trust </w:t>
      </w:r>
      <w:r w:rsidR="00F15D62" w:rsidRPr="007D66DA">
        <w:t>with a dominant land holding in residential land</w:t>
      </w:r>
      <w:r w:rsidRPr="007D66DA">
        <w:t xml:space="preserve">, and the trustee of the trust is a corporation, the amount of fee payable </w:t>
      </w:r>
      <w:r w:rsidR="002C0163" w:rsidRPr="007D66DA">
        <w:t xml:space="preserve">for the action </w:t>
      </w:r>
      <w:r w:rsidRPr="007D66DA">
        <w:t xml:space="preserve">by the </w:t>
      </w:r>
      <w:r w:rsidR="00E0292C" w:rsidRPr="007D66DA">
        <w:t xml:space="preserve">foreign business person </w:t>
      </w:r>
      <w:r w:rsidRPr="007D66DA">
        <w:t xml:space="preserve">for acquiring </w:t>
      </w:r>
      <w:r w:rsidR="00812FF3" w:rsidRPr="007D66DA">
        <w:t>an interest in securities in the corporation is nil.</w:t>
      </w:r>
    </w:p>
    <w:p w:rsidR="00290ADA" w:rsidRPr="007D66DA" w:rsidRDefault="00290ADA" w:rsidP="00290ADA">
      <w:pPr>
        <w:pStyle w:val="subsection"/>
      </w:pPr>
      <w:r w:rsidRPr="007D66DA">
        <w:tab/>
        <w:t>(6)</w:t>
      </w:r>
      <w:r w:rsidRPr="007D66DA">
        <w:tab/>
        <w:t>This section does not apply in relation to an action to which section</w:t>
      </w:r>
      <w:r w:rsidR="007D66DA" w:rsidRPr="007D66DA">
        <w:t> </w:t>
      </w:r>
      <w:r w:rsidRPr="007D66DA">
        <w:t>10 of this Act (fees for internal reorganisations) applies.</w:t>
      </w:r>
    </w:p>
    <w:p w:rsidR="00847151" w:rsidRPr="007D66DA" w:rsidRDefault="00847151" w:rsidP="00847151">
      <w:pPr>
        <w:pStyle w:val="ActHead5"/>
      </w:pPr>
      <w:bookmarkStart w:id="25" w:name="_Toc485306524"/>
      <w:r w:rsidRPr="007D66DA">
        <w:rPr>
          <w:rStyle w:val="CharSectno"/>
        </w:rPr>
        <w:t>1</w:t>
      </w:r>
      <w:r w:rsidR="00646156" w:rsidRPr="007D66DA">
        <w:rPr>
          <w:rStyle w:val="CharSectno"/>
        </w:rPr>
        <w:t>7</w:t>
      </w:r>
      <w:r w:rsidR="001A6D52" w:rsidRPr="007D66DA">
        <w:t xml:space="preserve">  </w:t>
      </w:r>
      <w:r w:rsidR="00295664" w:rsidRPr="007D66DA">
        <w:t>Acquisitions of non</w:t>
      </w:r>
      <w:r w:rsidR="007D66DA">
        <w:noBreakHyphen/>
      </w:r>
      <w:r w:rsidR="00295664" w:rsidRPr="007D66DA">
        <w:t>vacant commercial land by foreign government investors</w:t>
      </w:r>
      <w:bookmarkEnd w:id="25"/>
    </w:p>
    <w:p w:rsidR="00295664" w:rsidRPr="007D66DA" w:rsidRDefault="00295664" w:rsidP="00295664">
      <w:pPr>
        <w:pStyle w:val="subsection"/>
      </w:pPr>
      <w:r w:rsidRPr="007D66DA">
        <w:tab/>
        <w:t>(1)</w:t>
      </w:r>
      <w:r w:rsidRPr="007D66DA">
        <w:tab/>
      </w:r>
      <w:r w:rsidR="00A87476" w:rsidRPr="007D66DA">
        <w:t>The amount of the</w:t>
      </w:r>
      <w:r w:rsidRPr="007D66DA">
        <w:t xml:space="preserve"> fee </w:t>
      </w:r>
      <w:r w:rsidR="00A87476" w:rsidRPr="007D66DA">
        <w:t xml:space="preserve">that is payable by </w:t>
      </w:r>
      <w:r w:rsidRPr="007D66DA">
        <w:t xml:space="preserve">a foreign government investor </w:t>
      </w:r>
      <w:r w:rsidR="00940F61" w:rsidRPr="007D66DA">
        <w:t xml:space="preserve">is $2,000 </w:t>
      </w:r>
      <w:r w:rsidRPr="007D66DA">
        <w:t>if:</w:t>
      </w:r>
    </w:p>
    <w:p w:rsidR="00E73344" w:rsidRPr="007D66DA" w:rsidRDefault="00E73344" w:rsidP="00E73344">
      <w:pPr>
        <w:pStyle w:val="paragraph"/>
      </w:pPr>
      <w:r w:rsidRPr="007D66DA">
        <w:tab/>
        <w:t>(a)</w:t>
      </w:r>
      <w:r w:rsidRPr="007D66DA">
        <w:tab/>
        <w:t>the</w:t>
      </w:r>
      <w:r w:rsidR="008D4F8B" w:rsidRPr="007D66DA">
        <w:t xml:space="preserve"> </w:t>
      </w:r>
      <w:r w:rsidRPr="007D66DA">
        <w:t xml:space="preserve">foreign government investor </w:t>
      </w:r>
      <w:r w:rsidR="008D4F8B" w:rsidRPr="007D66DA">
        <w:t>acquires</w:t>
      </w:r>
      <w:r w:rsidR="004828FF" w:rsidRPr="007D66DA">
        <w:t xml:space="preserve"> an </w:t>
      </w:r>
      <w:r w:rsidR="00E07FD5" w:rsidRPr="007D66DA">
        <w:t>interest in commercial land that is not vacant</w:t>
      </w:r>
      <w:r w:rsidR="00BC652E" w:rsidRPr="007D66DA">
        <w:t>; and</w:t>
      </w:r>
    </w:p>
    <w:p w:rsidR="00BC652E" w:rsidRPr="007D66DA" w:rsidRDefault="00BC652E" w:rsidP="00BC652E">
      <w:pPr>
        <w:pStyle w:val="paragraph"/>
      </w:pPr>
      <w:r w:rsidRPr="007D66DA">
        <w:tab/>
        <w:t>(b)</w:t>
      </w:r>
      <w:r w:rsidRPr="007D66DA">
        <w:tab/>
        <w:t>the considera</w:t>
      </w:r>
      <w:r w:rsidR="00D9412A" w:rsidRPr="007D66DA">
        <w:t>tion for the acquisition is $55</w:t>
      </w:r>
      <w:r w:rsidR="00357F16" w:rsidRPr="007D66DA">
        <w:t xml:space="preserve"> million</w:t>
      </w:r>
      <w:r w:rsidRPr="007D66DA">
        <w:t xml:space="preserve"> or less.</w:t>
      </w:r>
    </w:p>
    <w:p w:rsidR="005B47D3" w:rsidRPr="007D66DA" w:rsidRDefault="00295664" w:rsidP="005B47D3">
      <w:pPr>
        <w:pStyle w:val="subsection"/>
      </w:pPr>
      <w:r w:rsidRPr="007D66DA">
        <w:tab/>
        <w:t>(2)</w:t>
      </w:r>
      <w:r w:rsidRPr="007D66DA">
        <w:tab/>
      </w:r>
      <w:r w:rsidR="00E932C5" w:rsidRPr="007D66DA">
        <w:t>For the purposes of subsection</w:t>
      </w:r>
      <w:r w:rsidR="007D66DA" w:rsidRPr="007D66DA">
        <w:t> </w:t>
      </w:r>
      <w:r w:rsidR="00E932C5" w:rsidRPr="007D66DA">
        <w:t>9(</w:t>
      </w:r>
      <w:r w:rsidR="00E05FDC" w:rsidRPr="007D66DA">
        <w:t>2</w:t>
      </w:r>
      <w:r w:rsidR="00E932C5" w:rsidRPr="007D66DA">
        <w:t>)</w:t>
      </w:r>
      <w:r w:rsidR="00E05FDC" w:rsidRPr="007D66DA">
        <w:t xml:space="preserve"> of the Act</w:t>
      </w:r>
      <w:r w:rsidR="00E932C5" w:rsidRPr="007D66DA">
        <w:t>, i</w:t>
      </w:r>
      <w:r w:rsidR="004828FF" w:rsidRPr="007D66DA">
        <w:t xml:space="preserve">f the action </w:t>
      </w:r>
      <w:r w:rsidR="00C22E16" w:rsidRPr="007D66DA">
        <w:t>described</w:t>
      </w:r>
      <w:r w:rsidR="004828FF" w:rsidRPr="007D66DA">
        <w:t xml:space="preserve"> in </w:t>
      </w:r>
      <w:r w:rsidR="007D66DA" w:rsidRPr="007D66DA">
        <w:t>paragraph (</w:t>
      </w:r>
      <w:r w:rsidR="004828FF" w:rsidRPr="007D66DA">
        <w:t xml:space="preserve">1)(a) </w:t>
      </w:r>
      <w:r w:rsidR="00277412" w:rsidRPr="007D66DA">
        <w:t xml:space="preserve">of this section </w:t>
      </w:r>
      <w:r w:rsidR="005B47D3" w:rsidRPr="007D66DA">
        <w:t xml:space="preserve">can also be characterised as an action by the </w:t>
      </w:r>
      <w:r w:rsidR="00D1491A" w:rsidRPr="007D66DA">
        <w:t>foreign government investor</w:t>
      </w:r>
      <w:r w:rsidR="005B47D3" w:rsidRPr="007D66DA">
        <w:t xml:space="preserve"> to acquire a direct interest in an Australian business (the </w:t>
      </w:r>
      <w:r w:rsidR="005B47D3" w:rsidRPr="007D66DA">
        <w:rPr>
          <w:b/>
          <w:i/>
        </w:rPr>
        <w:t>second action</w:t>
      </w:r>
      <w:r w:rsidR="005B47D3" w:rsidRPr="007D66DA">
        <w:t>), the amount of the fee payable for the second action is nil.</w:t>
      </w:r>
    </w:p>
    <w:p w:rsidR="00E05FDC" w:rsidRPr="007D66DA" w:rsidRDefault="00E05FDC" w:rsidP="005B47D3">
      <w:pPr>
        <w:pStyle w:val="notetext"/>
      </w:pPr>
      <w:r w:rsidRPr="007D66DA">
        <w:t>Note:</w:t>
      </w:r>
      <w:r w:rsidRPr="007D66DA">
        <w:tab/>
      </w:r>
      <w:r w:rsidR="00540454" w:rsidRPr="007D66DA">
        <w:t>For the fee that applies to an action that can be characterised in more than one way, see subsection</w:t>
      </w:r>
      <w:r w:rsidR="007D66DA" w:rsidRPr="007D66DA">
        <w:t> </w:t>
      </w:r>
      <w:r w:rsidR="00540454" w:rsidRPr="007D66DA">
        <w:t xml:space="preserve">9(2) of the </w:t>
      </w:r>
      <w:r w:rsidR="009D3377" w:rsidRPr="007D66DA">
        <w:t>Act</w:t>
      </w:r>
      <w:r w:rsidR="00540454" w:rsidRPr="007D66DA">
        <w:t>.</w:t>
      </w:r>
    </w:p>
    <w:p w:rsidR="004F10E8" w:rsidRPr="007D66DA" w:rsidRDefault="004F10E8" w:rsidP="004F10E8">
      <w:pPr>
        <w:pStyle w:val="subsection"/>
      </w:pPr>
      <w:r w:rsidRPr="007D66DA">
        <w:tab/>
        <w:t>(</w:t>
      </w:r>
      <w:r w:rsidR="00290ADA" w:rsidRPr="007D66DA">
        <w:t>3</w:t>
      </w:r>
      <w:r w:rsidRPr="007D66DA">
        <w:t>)</w:t>
      </w:r>
      <w:r w:rsidRPr="007D66DA">
        <w:tab/>
        <w:t xml:space="preserve">This section does not apply if the foreign government investor acquires </w:t>
      </w:r>
      <w:r w:rsidR="00806FD5" w:rsidRPr="007D66DA">
        <w:t xml:space="preserve">an </w:t>
      </w:r>
      <w:r w:rsidRPr="007D66DA">
        <w:t>interest in commercial land that is not vacant by acquiring:</w:t>
      </w:r>
    </w:p>
    <w:p w:rsidR="004F10E8" w:rsidRPr="007D66DA" w:rsidRDefault="004F10E8" w:rsidP="004F10E8">
      <w:pPr>
        <w:pStyle w:val="paragraph"/>
      </w:pPr>
      <w:r w:rsidRPr="007D66DA">
        <w:tab/>
        <w:t>(a)</w:t>
      </w:r>
      <w:r w:rsidRPr="007D66DA">
        <w:tab/>
        <w:t>an interest in securities in an Australian land corporation or Australian land trust;</w:t>
      </w:r>
      <w:r w:rsidR="00A03A08" w:rsidRPr="007D66DA">
        <w:t xml:space="preserve"> or</w:t>
      </w:r>
    </w:p>
    <w:p w:rsidR="004F10E8" w:rsidRPr="007D66DA" w:rsidRDefault="004F10E8" w:rsidP="004F10E8">
      <w:pPr>
        <w:pStyle w:val="paragraph"/>
      </w:pPr>
      <w:r w:rsidRPr="007D66DA">
        <w:tab/>
        <w:t>(b)</w:t>
      </w:r>
      <w:r w:rsidRPr="007D66DA">
        <w:tab/>
        <w:t>if the trustee of an Australian land trust is a corporation—an interest in a share in that corporation.</w:t>
      </w:r>
    </w:p>
    <w:p w:rsidR="00290ADA" w:rsidRPr="007D66DA" w:rsidRDefault="00290ADA" w:rsidP="00290ADA">
      <w:pPr>
        <w:pStyle w:val="subsection"/>
      </w:pPr>
      <w:r w:rsidRPr="007D66DA">
        <w:tab/>
        <w:t>(4)</w:t>
      </w:r>
      <w:r w:rsidRPr="007D66DA">
        <w:tab/>
        <w:t>This section does not apply in relation to an action to which section</w:t>
      </w:r>
      <w:r w:rsidR="007D66DA" w:rsidRPr="007D66DA">
        <w:t> </w:t>
      </w:r>
      <w:r w:rsidRPr="007D66DA">
        <w:t>10 of this Act (fees for internal reorganisations) applies.</w:t>
      </w:r>
    </w:p>
    <w:p w:rsidR="00814CB4" w:rsidRPr="007D66DA" w:rsidRDefault="00814CB4" w:rsidP="00814CB4">
      <w:pPr>
        <w:pStyle w:val="ActHead5"/>
      </w:pPr>
      <w:bookmarkStart w:id="26" w:name="_Toc485306525"/>
      <w:r w:rsidRPr="007D66DA">
        <w:rPr>
          <w:rStyle w:val="CharSectno"/>
        </w:rPr>
        <w:t>18</w:t>
      </w:r>
      <w:r w:rsidRPr="007D66DA">
        <w:t xml:space="preserve">  Fee for variation of </w:t>
      </w:r>
      <w:r w:rsidR="00367B58" w:rsidRPr="007D66DA">
        <w:t xml:space="preserve">no objection notifications and certain </w:t>
      </w:r>
      <w:r w:rsidRPr="007D66DA">
        <w:t>exemption certificates</w:t>
      </w:r>
      <w:bookmarkEnd w:id="26"/>
    </w:p>
    <w:p w:rsidR="00D166FE" w:rsidRPr="007D66DA" w:rsidRDefault="00D166FE" w:rsidP="00D166FE">
      <w:pPr>
        <w:pStyle w:val="subsection"/>
      </w:pPr>
      <w:r w:rsidRPr="007D66DA">
        <w:tab/>
      </w:r>
      <w:r w:rsidR="00ED205B" w:rsidRPr="007D66DA">
        <w:t>(1)</w:t>
      </w:r>
      <w:r w:rsidR="00814CB4" w:rsidRPr="007D66DA">
        <w:tab/>
      </w:r>
      <w:r w:rsidRPr="007D66DA">
        <w:t xml:space="preserve">The fee payable for an application (the </w:t>
      </w:r>
      <w:r w:rsidRPr="007D66DA">
        <w:rPr>
          <w:b/>
          <w:i/>
        </w:rPr>
        <w:t>variation application</w:t>
      </w:r>
      <w:r w:rsidRPr="007D66DA">
        <w:t>) by a person to vary a no objection notification is the least of the following amounts:</w:t>
      </w:r>
    </w:p>
    <w:p w:rsidR="00D166FE" w:rsidRPr="007D66DA" w:rsidRDefault="00D166FE" w:rsidP="00D166FE">
      <w:pPr>
        <w:pStyle w:val="paragraph"/>
      </w:pPr>
      <w:r w:rsidRPr="007D66DA">
        <w:tab/>
        <w:t>(a)</w:t>
      </w:r>
      <w:r w:rsidRPr="007D66DA">
        <w:tab/>
        <w:t>the amount of fee payable by the person for the variation application specified in subsection</w:t>
      </w:r>
      <w:r w:rsidR="007D66DA" w:rsidRPr="007D66DA">
        <w:t> </w:t>
      </w:r>
      <w:r w:rsidRPr="007D66DA">
        <w:t>8(2) of the Act;</w:t>
      </w:r>
    </w:p>
    <w:p w:rsidR="00D166FE" w:rsidRPr="007D66DA" w:rsidRDefault="00D166FE" w:rsidP="00D166FE">
      <w:pPr>
        <w:pStyle w:val="paragraph"/>
      </w:pPr>
      <w:r w:rsidRPr="007D66DA">
        <w:tab/>
        <w:t>(b)</w:t>
      </w:r>
      <w:r w:rsidRPr="007D66DA">
        <w:tab/>
        <w:t>either:</w:t>
      </w:r>
    </w:p>
    <w:p w:rsidR="00D166FE" w:rsidRPr="007D66DA" w:rsidRDefault="00D166FE" w:rsidP="00D166FE">
      <w:pPr>
        <w:pStyle w:val="paragraphsub"/>
      </w:pPr>
      <w:r w:rsidRPr="007D66DA">
        <w:tab/>
        <w:t>(i)</w:t>
      </w:r>
      <w:r w:rsidRPr="007D66DA">
        <w:tab/>
        <w:t>if the person was given the no objection notification after giving a notice of a proposal to take an action that is not a notifiable action—the amount of fee that was payable by the person in relation to the action specified in the notice; or</w:t>
      </w:r>
    </w:p>
    <w:p w:rsidR="00D166FE" w:rsidRPr="007D66DA" w:rsidRDefault="00D166FE" w:rsidP="00D166FE">
      <w:pPr>
        <w:pStyle w:val="paragraphsub"/>
      </w:pPr>
      <w:r w:rsidRPr="007D66DA">
        <w:tab/>
        <w:t>(ii)</w:t>
      </w:r>
      <w:r w:rsidRPr="007D66DA">
        <w:tab/>
        <w:t>otherwise—the amount of fee that was payable by the person in relation to the action specified in the</w:t>
      </w:r>
      <w:r w:rsidR="00AB1EB8" w:rsidRPr="007D66DA">
        <w:t xml:space="preserve"> no objection</w:t>
      </w:r>
      <w:r w:rsidRPr="007D66DA">
        <w:t xml:space="preserve"> notification;</w:t>
      </w:r>
    </w:p>
    <w:p w:rsidR="00D166FE" w:rsidRPr="007D66DA" w:rsidRDefault="00D166FE" w:rsidP="00D166FE">
      <w:pPr>
        <w:pStyle w:val="paragraph"/>
      </w:pPr>
      <w:r w:rsidRPr="007D66DA">
        <w:tab/>
        <w:t>(c)</w:t>
      </w:r>
      <w:r w:rsidRPr="007D66DA">
        <w:tab/>
        <w:t xml:space="preserve">the amount of fee that would have been payable by the person for the notice or the notification mentioned in </w:t>
      </w:r>
      <w:r w:rsidR="007D66DA" w:rsidRPr="007D66DA">
        <w:t>paragraph (</w:t>
      </w:r>
      <w:r w:rsidRPr="007D66DA">
        <w:t>b) in relation to the no objection notification as proposed to be varied.</w:t>
      </w:r>
    </w:p>
    <w:p w:rsidR="000F7498" w:rsidRPr="007D66DA" w:rsidRDefault="000F7498" w:rsidP="00D166FE">
      <w:pPr>
        <w:pStyle w:val="notetext"/>
      </w:pPr>
      <w:r w:rsidRPr="007D66DA">
        <w:t>Note</w:t>
      </w:r>
      <w:r w:rsidR="0093364B" w:rsidRPr="007D66DA">
        <w:t xml:space="preserve"> 1</w:t>
      </w:r>
      <w:r w:rsidRPr="007D66DA">
        <w:t>:</w:t>
      </w:r>
      <w:r w:rsidRPr="007D66DA">
        <w:tab/>
        <w:t xml:space="preserve">A no objection notification may be given in relation to a proposed action to be taken by a person either </w:t>
      </w:r>
      <w:r w:rsidR="0093364B" w:rsidRPr="007D66DA">
        <w:t xml:space="preserve">at the Treasurer’s initiative, or </w:t>
      </w:r>
      <w:r w:rsidRPr="007D66DA">
        <w:t>followi</w:t>
      </w:r>
      <w:r w:rsidR="00D166FE" w:rsidRPr="007D66DA">
        <w:t xml:space="preserve">ng a notice given by the person </w:t>
      </w:r>
      <w:r w:rsidR="0093364B" w:rsidRPr="007D66DA">
        <w:t>(see sections</w:t>
      </w:r>
      <w:r w:rsidR="007D66DA" w:rsidRPr="007D66DA">
        <w:t> </w:t>
      </w:r>
      <w:r w:rsidR="0093364B" w:rsidRPr="007D66DA">
        <w:t>74 to 76 of the Foreign Acquisitions Act).</w:t>
      </w:r>
      <w:r w:rsidRPr="007D66DA">
        <w:t xml:space="preserve"> Different fees may be payable </w:t>
      </w:r>
      <w:r w:rsidR="00D166FE" w:rsidRPr="007D66DA">
        <w:t>if</w:t>
      </w:r>
      <w:r w:rsidRPr="007D66DA">
        <w:t xml:space="preserve"> a no objection notification</w:t>
      </w:r>
      <w:r w:rsidR="00D166FE" w:rsidRPr="007D66DA">
        <w:t xml:space="preserve"> is given</w:t>
      </w:r>
      <w:r w:rsidRPr="007D66DA">
        <w:t xml:space="preserve"> without such a notice, and for giving such a notice that results in a no objection notification</w:t>
      </w:r>
      <w:r w:rsidR="0093364B" w:rsidRPr="007D66DA">
        <w:t xml:space="preserve"> (see section</w:t>
      </w:r>
      <w:r w:rsidR="00D166FE" w:rsidRPr="007D66DA">
        <w:t>s</w:t>
      </w:r>
      <w:r w:rsidR="007D66DA" w:rsidRPr="007D66DA">
        <w:t> </w:t>
      </w:r>
      <w:r w:rsidR="00D166FE" w:rsidRPr="007D66DA">
        <w:t>7 and</w:t>
      </w:r>
      <w:r w:rsidR="0093364B" w:rsidRPr="007D66DA">
        <w:t xml:space="preserve"> 8 of the </w:t>
      </w:r>
      <w:r w:rsidR="0093364B" w:rsidRPr="007D66DA">
        <w:rPr>
          <w:i/>
        </w:rPr>
        <w:t>Foreign Acquisitions and Takeovers Fees Imposition Act 2015</w:t>
      </w:r>
      <w:r w:rsidR="0093364B" w:rsidRPr="007D66DA">
        <w:t>).</w:t>
      </w:r>
    </w:p>
    <w:p w:rsidR="00814CB4" w:rsidRPr="007D66DA" w:rsidRDefault="00814CB4" w:rsidP="00814CB4">
      <w:pPr>
        <w:pStyle w:val="notetext"/>
      </w:pPr>
      <w:r w:rsidRPr="007D66DA">
        <w:t>Note</w:t>
      </w:r>
      <w:r w:rsidR="0093364B" w:rsidRPr="007D66DA">
        <w:t xml:space="preserve"> 2</w:t>
      </w:r>
      <w:r w:rsidRPr="007D66DA">
        <w:t>:</w:t>
      </w:r>
      <w:r w:rsidRPr="007D66DA">
        <w:tab/>
        <w:t>A person applies for a variation of a no objection notification under subsection</w:t>
      </w:r>
      <w:r w:rsidR="007D66DA" w:rsidRPr="007D66DA">
        <w:t> </w:t>
      </w:r>
      <w:r w:rsidRPr="007D66DA">
        <w:t>76(6) of the Foreign Acquisitions Act.</w:t>
      </w:r>
    </w:p>
    <w:p w:rsidR="00ED205B" w:rsidRPr="007D66DA" w:rsidRDefault="00ED205B" w:rsidP="00ED205B">
      <w:pPr>
        <w:pStyle w:val="subsection"/>
      </w:pPr>
      <w:r w:rsidRPr="007D66DA">
        <w:tab/>
        <w:t>(2)</w:t>
      </w:r>
      <w:r w:rsidRPr="007D66DA">
        <w:tab/>
        <w:t xml:space="preserve">The fee payable for an application (the </w:t>
      </w:r>
      <w:r w:rsidRPr="007D66DA">
        <w:rPr>
          <w:b/>
          <w:i/>
        </w:rPr>
        <w:t>variation application</w:t>
      </w:r>
      <w:r w:rsidRPr="007D66DA">
        <w:t>) by a person to vary a residential land (near</w:t>
      </w:r>
      <w:r w:rsidR="007D66DA">
        <w:noBreakHyphen/>
      </w:r>
      <w:r w:rsidRPr="007D66DA">
        <w:t>new dwelling interests) certificate is nil if, at the time of the variation application:</w:t>
      </w:r>
    </w:p>
    <w:p w:rsidR="00295539" w:rsidRPr="007D66DA" w:rsidRDefault="00ED205B" w:rsidP="00295539">
      <w:pPr>
        <w:pStyle w:val="paragraph"/>
      </w:pPr>
      <w:r w:rsidRPr="007D66DA">
        <w:tab/>
      </w:r>
      <w:r w:rsidR="00295539" w:rsidRPr="007D66DA">
        <w:t>(a)</w:t>
      </w:r>
      <w:r w:rsidR="00295539" w:rsidRPr="007D66DA">
        <w:tab/>
        <w:t xml:space="preserve">the person </w:t>
      </w:r>
      <w:r w:rsidR="00555146" w:rsidRPr="007D66DA">
        <w:t xml:space="preserve">has applied for, or </w:t>
      </w:r>
      <w:r w:rsidR="00295539" w:rsidRPr="007D66DA">
        <w:t>been given,</w:t>
      </w:r>
      <w:r w:rsidR="00295539" w:rsidRPr="007D66DA">
        <w:rPr>
          <w:i/>
        </w:rPr>
        <w:t xml:space="preserve"> </w:t>
      </w:r>
      <w:r w:rsidR="00295539" w:rsidRPr="007D66DA">
        <w:t>an exemption certificate under section</w:t>
      </w:r>
      <w:r w:rsidR="007D66DA" w:rsidRPr="007D66DA">
        <w:t> </w:t>
      </w:r>
      <w:r w:rsidR="00295539" w:rsidRPr="007D66DA">
        <w:t xml:space="preserve">57 of the Act (the </w:t>
      </w:r>
      <w:r w:rsidR="00295539" w:rsidRPr="007D66DA">
        <w:rPr>
          <w:b/>
          <w:i/>
        </w:rPr>
        <w:t>section</w:t>
      </w:r>
      <w:r w:rsidR="007D66DA" w:rsidRPr="007D66DA">
        <w:rPr>
          <w:b/>
          <w:i/>
        </w:rPr>
        <w:t> </w:t>
      </w:r>
      <w:r w:rsidR="00295539" w:rsidRPr="007D66DA">
        <w:rPr>
          <w:b/>
          <w:i/>
        </w:rPr>
        <w:t>57 certificate</w:t>
      </w:r>
      <w:r w:rsidR="00295539" w:rsidRPr="007D66DA">
        <w:t>); and</w:t>
      </w:r>
    </w:p>
    <w:p w:rsidR="00295539" w:rsidRPr="007D66DA" w:rsidRDefault="00295539" w:rsidP="00295539">
      <w:pPr>
        <w:pStyle w:val="paragraph"/>
      </w:pPr>
      <w:r w:rsidRPr="007D66DA">
        <w:tab/>
        <w:t>(b)</w:t>
      </w:r>
      <w:r w:rsidRPr="007D66DA">
        <w:tab/>
      </w:r>
      <w:r w:rsidR="00555146" w:rsidRPr="007D66DA">
        <w:t>the section</w:t>
      </w:r>
      <w:r w:rsidR="007D66DA" w:rsidRPr="007D66DA">
        <w:t> </w:t>
      </w:r>
      <w:r w:rsidR="00555146" w:rsidRPr="007D66DA">
        <w:t>57 certificate and the residential land (near</w:t>
      </w:r>
      <w:r w:rsidR="007D66DA">
        <w:noBreakHyphen/>
      </w:r>
      <w:r w:rsidR="00555146" w:rsidRPr="007D66DA">
        <w:t>new dwelling interests) certificate, as it is to be varied, cover (or will cover) interests in relation to the same development.</w:t>
      </w:r>
    </w:p>
    <w:p w:rsidR="00ED205B" w:rsidRPr="007D66DA" w:rsidRDefault="009F576D" w:rsidP="00295539">
      <w:pPr>
        <w:pStyle w:val="notetext"/>
      </w:pPr>
      <w:r w:rsidRPr="007D66DA">
        <w:t>Note:</w:t>
      </w:r>
      <w:r w:rsidRPr="007D66DA">
        <w:tab/>
        <w:t xml:space="preserve">A person </w:t>
      </w:r>
      <w:r w:rsidR="00555146" w:rsidRPr="007D66DA">
        <w:t>may apply</w:t>
      </w:r>
      <w:r w:rsidRPr="007D66DA">
        <w:t xml:space="preserve"> for a variation of an exemption certificate under subsection</w:t>
      </w:r>
      <w:r w:rsidR="007D66DA" w:rsidRPr="007D66DA">
        <w:t> </w:t>
      </w:r>
      <w:r w:rsidRPr="007D66DA">
        <w:t>62(2) of the Foreign Acquisitions Act.</w:t>
      </w:r>
    </w:p>
    <w:p w:rsidR="00557E33" w:rsidRPr="007D66DA" w:rsidRDefault="00483003" w:rsidP="00557E33">
      <w:pPr>
        <w:pStyle w:val="ItemHead"/>
      </w:pPr>
      <w:r w:rsidRPr="007D66DA">
        <w:t>18</w:t>
      </w:r>
      <w:r w:rsidR="0060628C" w:rsidRPr="007D66DA">
        <w:t xml:space="preserve">  </w:t>
      </w:r>
      <w:r w:rsidR="00557E33" w:rsidRPr="007D66DA">
        <w:t>After Part</w:t>
      </w:r>
      <w:r w:rsidR="007D66DA" w:rsidRPr="007D66DA">
        <w:t> </w:t>
      </w:r>
      <w:r w:rsidR="00557E33" w:rsidRPr="007D66DA">
        <w:t>2</w:t>
      </w:r>
    </w:p>
    <w:p w:rsidR="00557E33" w:rsidRPr="007D66DA" w:rsidRDefault="00557E33" w:rsidP="00557E33">
      <w:pPr>
        <w:pStyle w:val="Item"/>
      </w:pPr>
      <w:r w:rsidRPr="007D66DA">
        <w:t>Insert:</w:t>
      </w:r>
    </w:p>
    <w:p w:rsidR="00557E33" w:rsidRPr="007D66DA" w:rsidRDefault="00557E33" w:rsidP="00557E33">
      <w:pPr>
        <w:pStyle w:val="ActHead2"/>
      </w:pPr>
      <w:bookmarkStart w:id="27" w:name="f_Check_Lines_above"/>
      <w:bookmarkStart w:id="28" w:name="_Toc485306526"/>
      <w:bookmarkEnd w:id="27"/>
      <w:r w:rsidRPr="007D66DA">
        <w:rPr>
          <w:rStyle w:val="CharPartNo"/>
        </w:rPr>
        <w:t>Part</w:t>
      </w:r>
      <w:r w:rsidR="007D66DA" w:rsidRPr="007D66DA">
        <w:rPr>
          <w:rStyle w:val="CharPartNo"/>
        </w:rPr>
        <w:t> </w:t>
      </w:r>
      <w:r w:rsidRPr="007D66DA">
        <w:rPr>
          <w:rStyle w:val="CharPartNo"/>
        </w:rPr>
        <w:t>3</w:t>
      </w:r>
      <w:r w:rsidRPr="007D66DA">
        <w:t>—</w:t>
      </w:r>
      <w:r w:rsidR="00EE0923" w:rsidRPr="007D66DA">
        <w:rPr>
          <w:rStyle w:val="CharPartText"/>
        </w:rPr>
        <w:t xml:space="preserve">Application </w:t>
      </w:r>
      <w:r w:rsidRPr="007D66DA">
        <w:rPr>
          <w:rStyle w:val="CharPartText"/>
        </w:rPr>
        <w:t>provisions</w:t>
      </w:r>
      <w:bookmarkEnd w:id="28"/>
    </w:p>
    <w:p w:rsidR="006D433D" w:rsidRPr="007D66DA" w:rsidRDefault="0060628C" w:rsidP="00405823">
      <w:pPr>
        <w:pStyle w:val="Header"/>
      </w:pPr>
      <w:r w:rsidRPr="007D66DA">
        <w:rPr>
          <w:rStyle w:val="CharDivNo"/>
        </w:rPr>
        <w:t xml:space="preserve"> </w:t>
      </w:r>
      <w:r w:rsidRPr="007D66DA">
        <w:rPr>
          <w:rStyle w:val="CharDivText"/>
        </w:rPr>
        <w:t xml:space="preserve"> </w:t>
      </w:r>
    </w:p>
    <w:p w:rsidR="001C73F6" w:rsidRPr="007D66DA" w:rsidRDefault="00CD7F85" w:rsidP="001C73F6">
      <w:pPr>
        <w:pStyle w:val="ActHead5"/>
      </w:pPr>
      <w:bookmarkStart w:id="29" w:name="_Toc485306527"/>
      <w:r w:rsidRPr="007D66DA">
        <w:rPr>
          <w:rStyle w:val="CharSectno"/>
        </w:rPr>
        <w:t>19</w:t>
      </w:r>
      <w:r w:rsidR="00405823" w:rsidRPr="007D66DA">
        <w:t xml:space="preserve">  Amendments made by the</w:t>
      </w:r>
      <w:r w:rsidR="001C73F6" w:rsidRPr="007D66DA">
        <w:t xml:space="preserve"> </w:t>
      </w:r>
      <w:r w:rsidR="001C73F6" w:rsidRPr="007D66DA">
        <w:rPr>
          <w:i/>
        </w:rPr>
        <w:t>Foreign Acquisitions and Takeovers Fees Imposition Amendment (Fee Streamlining) Regulations</w:t>
      </w:r>
      <w:r w:rsidR="007D66DA" w:rsidRPr="007D66DA">
        <w:rPr>
          <w:i/>
        </w:rPr>
        <w:t> </w:t>
      </w:r>
      <w:r w:rsidR="001C73F6" w:rsidRPr="007D66DA">
        <w:rPr>
          <w:i/>
        </w:rPr>
        <w:t>2017</w:t>
      </w:r>
      <w:bookmarkEnd w:id="29"/>
    </w:p>
    <w:p w:rsidR="00405823" w:rsidRPr="007D66DA" w:rsidRDefault="00405015" w:rsidP="001C73F6">
      <w:pPr>
        <w:pStyle w:val="subsection"/>
      </w:pPr>
      <w:r w:rsidRPr="007D66DA">
        <w:tab/>
      </w:r>
      <w:r w:rsidR="00724E63" w:rsidRPr="007D66DA">
        <w:t>(1)</w:t>
      </w:r>
      <w:r w:rsidRPr="007D66DA">
        <w:tab/>
        <w:t xml:space="preserve">The amendments </w:t>
      </w:r>
      <w:r w:rsidR="001C73F6" w:rsidRPr="007D66DA">
        <w:t xml:space="preserve">of this instrument </w:t>
      </w:r>
      <w:r w:rsidRPr="007D66DA">
        <w:t>made by Schedule</w:t>
      </w:r>
      <w:r w:rsidR="007D66DA" w:rsidRPr="007D66DA">
        <w:t> </w:t>
      </w:r>
      <w:r w:rsidR="00CD7F85" w:rsidRPr="007D66DA">
        <w:t>1</w:t>
      </w:r>
      <w:r w:rsidRPr="007D66DA">
        <w:rPr>
          <w:i/>
        </w:rPr>
        <w:t xml:space="preserve"> </w:t>
      </w:r>
      <w:r w:rsidRPr="007D66DA">
        <w:t xml:space="preserve">to the </w:t>
      </w:r>
      <w:r w:rsidRPr="007D66DA">
        <w:rPr>
          <w:i/>
        </w:rPr>
        <w:t>Foreign Acquisitions and Takeovers Fees Imposition Amendment (Fee Streamli</w:t>
      </w:r>
      <w:r w:rsidR="00396053" w:rsidRPr="007D66DA">
        <w:rPr>
          <w:i/>
        </w:rPr>
        <w:t>ning</w:t>
      </w:r>
      <w:r w:rsidRPr="007D66DA">
        <w:rPr>
          <w:i/>
        </w:rPr>
        <w:t>) Regulations</w:t>
      </w:r>
      <w:r w:rsidR="007D66DA" w:rsidRPr="007D66DA">
        <w:rPr>
          <w:i/>
        </w:rPr>
        <w:t> </w:t>
      </w:r>
      <w:r w:rsidRPr="007D66DA">
        <w:rPr>
          <w:i/>
        </w:rPr>
        <w:t>2017</w:t>
      </w:r>
      <w:r w:rsidRPr="007D66DA">
        <w:t xml:space="preserve"> apply in relation to a fee payable </w:t>
      </w:r>
      <w:r w:rsidR="00CD7F85" w:rsidRPr="007D66DA">
        <w:t xml:space="preserve">for an action </w:t>
      </w:r>
      <w:r w:rsidR="000A6988" w:rsidRPr="007D66DA">
        <w:t xml:space="preserve">that is </w:t>
      </w:r>
      <w:r w:rsidR="00CD7F85" w:rsidRPr="007D66DA">
        <w:t>taken</w:t>
      </w:r>
      <w:r w:rsidR="00736720" w:rsidRPr="007D66DA">
        <w:t>,</w:t>
      </w:r>
      <w:r w:rsidR="00CD7F85" w:rsidRPr="007D66DA">
        <w:t xml:space="preserve"> or application</w:t>
      </w:r>
      <w:r w:rsidR="000A6988" w:rsidRPr="007D66DA">
        <w:t xml:space="preserve"> that is</w:t>
      </w:r>
      <w:r w:rsidR="00CD7F85" w:rsidRPr="007D66DA">
        <w:t xml:space="preserve"> made</w:t>
      </w:r>
      <w:r w:rsidR="00736720" w:rsidRPr="007D66DA">
        <w:t>,</w:t>
      </w:r>
      <w:r w:rsidR="00CD7F85" w:rsidRPr="007D66DA">
        <w:t xml:space="preserve"> on or after the commencement of that Schedule</w:t>
      </w:r>
      <w:r w:rsidR="00724E63" w:rsidRPr="007D66DA">
        <w:t>.</w:t>
      </w:r>
    </w:p>
    <w:p w:rsidR="006F5573" w:rsidRPr="007D66DA" w:rsidRDefault="00724E63" w:rsidP="005B4693">
      <w:pPr>
        <w:pStyle w:val="subsection"/>
        <w:rPr>
          <w:sz w:val="20"/>
          <w:u w:val="single"/>
        </w:rPr>
      </w:pPr>
      <w:r w:rsidRPr="007D66DA">
        <w:tab/>
        <w:t>(2)</w:t>
      </w:r>
      <w:r w:rsidRPr="007D66DA">
        <w:tab/>
        <w:t>This section is repealed at the end of 30</w:t>
      </w:r>
      <w:r w:rsidR="007D66DA" w:rsidRPr="007D66DA">
        <w:t> </w:t>
      </w:r>
      <w:r w:rsidRPr="007D66DA">
        <w:t>June 2018.</w:t>
      </w:r>
    </w:p>
    <w:sectPr w:rsidR="006F5573" w:rsidRPr="007D66DA" w:rsidSect="00F71D4E">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7D" w:rsidRDefault="0048077D" w:rsidP="0048364F">
      <w:pPr>
        <w:spacing w:line="240" w:lineRule="auto"/>
      </w:pPr>
      <w:r>
        <w:separator/>
      </w:r>
    </w:p>
  </w:endnote>
  <w:endnote w:type="continuationSeparator" w:id="0">
    <w:p w:rsidR="0048077D" w:rsidRDefault="0048077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F71D4E" w:rsidRDefault="00F71D4E" w:rsidP="00F71D4E">
    <w:pPr>
      <w:pStyle w:val="Footer"/>
      <w:tabs>
        <w:tab w:val="clear" w:pos="4153"/>
        <w:tab w:val="clear" w:pos="8306"/>
        <w:tab w:val="center" w:pos="4150"/>
        <w:tab w:val="right" w:pos="8307"/>
      </w:tabs>
      <w:spacing w:before="120"/>
      <w:rPr>
        <w:i/>
        <w:sz w:val="18"/>
      </w:rPr>
    </w:pPr>
    <w:r w:rsidRPr="00F71D4E">
      <w:rPr>
        <w:i/>
        <w:sz w:val="18"/>
      </w:rPr>
      <w:t>OPC62692 -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4E" w:rsidRPr="00F71D4E" w:rsidRDefault="00F71D4E" w:rsidP="00F71D4E">
    <w:pPr>
      <w:pStyle w:val="Footer"/>
      <w:rPr>
        <w:i/>
        <w:sz w:val="18"/>
      </w:rPr>
    </w:pPr>
    <w:r w:rsidRPr="00F71D4E">
      <w:rPr>
        <w:i/>
        <w:sz w:val="18"/>
      </w:rPr>
      <w:t>OPC62692 -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Default="0048077D" w:rsidP="00486382">
    <w:pPr>
      <w:pStyle w:val="Footer"/>
    </w:pPr>
  </w:p>
  <w:p w:rsidR="0048077D" w:rsidRPr="00F71D4E" w:rsidRDefault="00F71D4E" w:rsidP="00F71D4E">
    <w:pPr>
      <w:pStyle w:val="Footer"/>
      <w:rPr>
        <w:i/>
        <w:sz w:val="18"/>
      </w:rPr>
    </w:pPr>
    <w:r w:rsidRPr="00F71D4E">
      <w:rPr>
        <w:i/>
        <w:sz w:val="18"/>
      </w:rPr>
      <w:t>OPC62692 -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E33C1C" w:rsidRDefault="0048077D"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48077D" w:rsidTr="007C7F0C">
      <w:tc>
        <w:tcPr>
          <w:tcW w:w="365" w:type="pct"/>
          <w:tcBorders>
            <w:top w:val="nil"/>
            <w:left w:val="nil"/>
            <w:bottom w:val="nil"/>
            <w:right w:val="nil"/>
          </w:tcBorders>
        </w:tcPr>
        <w:p w:rsidR="0048077D" w:rsidRDefault="0048077D"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5E1F">
            <w:rPr>
              <w:i/>
              <w:noProof/>
              <w:sz w:val="18"/>
            </w:rPr>
            <w:t>ii</w:t>
          </w:r>
          <w:r w:rsidRPr="00ED79B6">
            <w:rPr>
              <w:i/>
              <w:sz w:val="18"/>
            </w:rPr>
            <w:fldChar w:fldCharType="end"/>
          </w:r>
        </w:p>
      </w:tc>
      <w:tc>
        <w:tcPr>
          <w:tcW w:w="3688" w:type="pct"/>
          <w:tcBorders>
            <w:top w:val="nil"/>
            <w:left w:val="nil"/>
            <w:bottom w:val="nil"/>
            <w:right w:val="nil"/>
          </w:tcBorders>
        </w:tcPr>
        <w:p w:rsidR="0048077D" w:rsidRDefault="004807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7BA6">
            <w:rPr>
              <w:i/>
              <w:sz w:val="18"/>
            </w:rPr>
            <w:t>Foreign Acquisitions and Takeovers Fees Imposition Amendment (Fee Streamlining) Regulations 2017</w:t>
          </w:r>
          <w:r w:rsidRPr="007A1328">
            <w:rPr>
              <w:i/>
              <w:sz w:val="18"/>
            </w:rPr>
            <w:fldChar w:fldCharType="end"/>
          </w:r>
        </w:p>
      </w:tc>
      <w:tc>
        <w:tcPr>
          <w:tcW w:w="947" w:type="pct"/>
          <w:tcBorders>
            <w:top w:val="nil"/>
            <w:left w:val="nil"/>
            <w:bottom w:val="nil"/>
            <w:right w:val="nil"/>
          </w:tcBorders>
        </w:tcPr>
        <w:p w:rsidR="0048077D" w:rsidRDefault="0048077D" w:rsidP="00E33C1C">
          <w:pPr>
            <w:spacing w:line="0" w:lineRule="atLeast"/>
            <w:jc w:val="right"/>
            <w:rPr>
              <w:sz w:val="18"/>
            </w:rPr>
          </w:pPr>
        </w:p>
      </w:tc>
    </w:tr>
  </w:tbl>
  <w:p w:rsidR="0048077D" w:rsidRPr="00F71D4E" w:rsidRDefault="00F71D4E" w:rsidP="00F71D4E">
    <w:pPr>
      <w:rPr>
        <w:rFonts w:cs="Times New Roman"/>
        <w:i/>
        <w:sz w:val="18"/>
      </w:rPr>
    </w:pPr>
    <w:r w:rsidRPr="00F71D4E">
      <w:rPr>
        <w:rFonts w:cs="Times New Roman"/>
        <w:i/>
        <w:sz w:val="18"/>
      </w:rPr>
      <w:t>OPC62692 -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E33C1C" w:rsidRDefault="0048077D"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8077D" w:rsidTr="007C7F0C">
      <w:tc>
        <w:tcPr>
          <w:tcW w:w="947" w:type="pct"/>
          <w:tcBorders>
            <w:top w:val="nil"/>
            <w:left w:val="nil"/>
            <w:bottom w:val="nil"/>
            <w:right w:val="nil"/>
          </w:tcBorders>
        </w:tcPr>
        <w:p w:rsidR="0048077D" w:rsidRDefault="0048077D" w:rsidP="00E33C1C">
          <w:pPr>
            <w:spacing w:line="0" w:lineRule="atLeast"/>
            <w:rPr>
              <w:sz w:val="18"/>
            </w:rPr>
          </w:pPr>
        </w:p>
      </w:tc>
      <w:tc>
        <w:tcPr>
          <w:tcW w:w="3688" w:type="pct"/>
          <w:tcBorders>
            <w:top w:val="nil"/>
            <w:left w:val="nil"/>
            <w:bottom w:val="nil"/>
            <w:right w:val="nil"/>
          </w:tcBorders>
        </w:tcPr>
        <w:p w:rsidR="0048077D" w:rsidRDefault="004807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7BA6">
            <w:rPr>
              <w:i/>
              <w:sz w:val="18"/>
            </w:rPr>
            <w:t>Foreign Acquisitions and Takeovers Fees Imposition Amendment (Fee Streamlining) Regulations 2017</w:t>
          </w:r>
          <w:r w:rsidRPr="007A1328">
            <w:rPr>
              <w:i/>
              <w:sz w:val="18"/>
            </w:rPr>
            <w:fldChar w:fldCharType="end"/>
          </w:r>
        </w:p>
      </w:tc>
      <w:tc>
        <w:tcPr>
          <w:tcW w:w="365" w:type="pct"/>
          <w:tcBorders>
            <w:top w:val="nil"/>
            <w:left w:val="nil"/>
            <w:bottom w:val="nil"/>
            <w:right w:val="nil"/>
          </w:tcBorders>
        </w:tcPr>
        <w:p w:rsidR="0048077D" w:rsidRDefault="0048077D"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2C5">
            <w:rPr>
              <w:i/>
              <w:noProof/>
              <w:sz w:val="18"/>
            </w:rPr>
            <w:t>i</w:t>
          </w:r>
          <w:r w:rsidRPr="00ED79B6">
            <w:rPr>
              <w:i/>
              <w:sz w:val="18"/>
            </w:rPr>
            <w:fldChar w:fldCharType="end"/>
          </w:r>
        </w:p>
      </w:tc>
    </w:tr>
  </w:tbl>
  <w:p w:rsidR="0048077D" w:rsidRPr="00F71D4E" w:rsidRDefault="00F71D4E" w:rsidP="00F71D4E">
    <w:pPr>
      <w:rPr>
        <w:rFonts w:cs="Times New Roman"/>
        <w:i/>
        <w:sz w:val="18"/>
      </w:rPr>
    </w:pPr>
    <w:r w:rsidRPr="00F71D4E">
      <w:rPr>
        <w:rFonts w:cs="Times New Roman"/>
        <w:i/>
        <w:sz w:val="18"/>
      </w:rPr>
      <w:t>OPC62692 -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E33C1C" w:rsidRDefault="0048077D"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48077D" w:rsidTr="007C7F0C">
      <w:tc>
        <w:tcPr>
          <w:tcW w:w="365" w:type="pct"/>
          <w:tcBorders>
            <w:top w:val="nil"/>
            <w:left w:val="nil"/>
            <w:bottom w:val="nil"/>
            <w:right w:val="nil"/>
          </w:tcBorders>
        </w:tcPr>
        <w:p w:rsidR="0048077D" w:rsidRDefault="0048077D"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2C5">
            <w:rPr>
              <w:i/>
              <w:noProof/>
              <w:sz w:val="18"/>
            </w:rPr>
            <w:t>10</w:t>
          </w:r>
          <w:r w:rsidRPr="00ED79B6">
            <w:rPr>
              <w:i/>
              <w:sz w:val="18"/>
            </w:rPr>
            <w:fldChar w:fldCharType="end"/>
          </w:r>
        </w:p>
      </w:tc>
      <w:tc>
        <w:tcPr>
          <w:tcW w:w="3688" w:type="pct"/>
          <w:tcBorders>
            <w:top w:val="nil"/>
            <w:left w:val="nil"/>
            <w:bottom w:val="nil"/>
            <w:right w:val="nil"/>
          </w:tcBorders>
        </w:tcPr>
        <w:p w:rsidR="0048077D" w:rsidRDefault="004807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7BA6">
            <w:rPr>
              <w:i/>
              <w:sz w:val="18"/>
            </w:rPr>
            <w:t>Foreign Acquisitions and Takeovers Fees Imposition Amendment (Fee Streamlining) Regulations 2017</w:t>
          </w:r>
          <w:r w:rsidRPr="007A1328">
            <w:rPr>
              <w:i/>
              <w:sz w:val="18"/>
            </w:rPr>
            <w:fldChar w:fldCharType="end"/>
          </w:r>
        </w:p>
      </w:tc>
      <w:tc>
        <w:tcPr>
          <w:tcW w:w="947" w:type="pct"/>
          <w:tcBorders>
            <w:top w:val="nil"/>
            <w:left w:val="nil"/>
            <w:bottom w:val="nil"/>
            <w:right w:val="nil"/>
          </w:tcBorders>
        </w:tcPr>
        <w:p w:rsidR="0048077D" w:rsidRDefault="0048077D" w:rsidP="00E33C1C">
          <w:pPr>
            <w:spacing w:line="0" w:lineRule="atLeast"/>
            <w:jc w:val="right"/>
            <w:rPr>
              <w:sz w:val="18"/>
            </w:rPr>
          </w:pPr>
        </w:p>
      </w:tc>
    </w:tr>
  </w:tbl>
  <w:p w:rsidR="0048077D" w:rsidRPr="00F71D4E" w:rsidRDefault="00F71D4E" w:rsidP="00F71D4E">
    <w:pPr>
      <w:rPr>
        <w:rFonts w:cs="Times New Roman"/>
        <w:i/>
        <w:sz w:val="18"/>
      </w:rPr>
    </w:pPr>
    <w:r w:rsidRPr="00F71D4E">
      <w:rPr>
        <w:rFonts w:cs="Times New Roman"/>
        <w:i/>
        <w:sz w:val="18"/>
      </w:rPr>
      <w:t>OPC62692 -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E33C1C" w:rsidRDefault="0048077D"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8077D" w:rsidTr="007C7F0C">
      <w:tc>
        <w:tcPr>
          <w:tcW w:w="947" w:type="pct"/>
          <w:tcBorders>
            <w:top w:val="nil"/>
            <w:left w:val="nil"/>
            <w:bottom w:val="nil"/>
            <w:right w:val="nil"/>
          </w:tcBorders>
        </w:tcPr>
        <w:p w:rsidR="0048077D" w:rsidRDefault="0048077D" w:rsidP="00E33C1C">
          <w:pPr>
            <w:spacing w:line="0" w:lineRule="atLeast"/>
            <w:rPr>
              <w:sz w:val="18"/>
            </w:rPr>
          </w:pPr>
        </w:p>
      </w:tc>
      <w:tc>
        <w:tcPr>
          <w:tcW w:w="3688" w:type="pct"/>
          <w:tcBorders>
            <w:top w:val="nil"/>
            <w:left w:val="nil"/>
            <w:bottom w:val="nil"/>
            <w:right w:val="nil"/>
          </w:tcBorders>
        </w:tcPr>
        <w:p w:rsidR="0048077D" w:rsidRDefault="004807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7BA6">
            <w:rPr>
              <w:i/>
              <w:sz w:val="18"/>
            </w:rPr>
            <w:t>Foreign Acquisitions and Takeovers Fees Imposition Amendment (Fee Streamlining) Regulations 2017</w:t>
          </w:r>
          <w:r w:rsidRPr="007A1328">
            <w:rPr>
              <w:i/>
              <w:sz w:val="18"/>
            </w:rPr>
            <w:fldChar w:fldCharType="end"/>
          </w:r>
        </w:p>
      </w:tc>
      <w:tc>
        <w:tcPr>
          <w:tcW w:w="365" w:type="pct"/>
          <w:tcBorders>
            <w:top w:val="nil"/>
            <w:left w:val="nil"/>
            <w:bottom w:val="nil"/>
            <w:right w:val="nil"/>
          </w:tcBorders>
        </w:tcPr>
        <w:p w:rsidR="0048077D" w:rsidRDefault="0048077D"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2C5">
            <w:rPr>
              <w:i/>
              <w:noProof/>
              <w:sz w:val="18"/>
            </w:rPr>
            <w:t>11</w:t>
          </w:r>
          <w:r w:rsidRPr="00ED79B6">
            <w:rPr>
              <w:i/>
              <w:sz w:val="18"/>
            </w:rPr>
            <w:fldChar w:fldCharType="end"/>
          </w:r>
        </w:p>
      </w:tc>
    </w:tr>
  </w:tbl>
  <w:p w:rsidR="0048077D" w:rsidRPr="00F71D4E" w:rsidRDefault="00F71D4E" w:rsidP="00F71D4E">
    <w:pPr>
      <w:rPr>
        <w:rFonts w:cs="Times New Roman"/>
        <w:i/>
        <w:sz w:val="18"/>
      </w:rPr>
    </w:pPr>
    <w:r w:rsidRPr="00F71D4E">
      <w:rPr>
        <w:rFonts w:cs="Times New Roman"/>
        <w:i/>
        <w:sz w:val="18"/>
      </w:rPr>
      <w:t>OPC62692 -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E33C1C" w:rsidRDefault="0048077D"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8077D" w:rsidTr="007C7F0C">
      <w:tc>
        <w:tcPr>
          <w:tcW w:w="947" w:type="pct"/>
          <w:tcBorders>
            <w:top w:val="nil"/>
            <w:left w:val="nil"/>
            <w:bottom w:val="nil"/>
            <w:right w:val="nil"/>
          </w:tcBorders>
        </w:tcPr>
        <w:p w:rsidR="0048077D" w:rsidRDefault="0048077D" w:rsidP="00CC6C8B">
          <w:pPr>
            <w:spacing w:line="0" w:lineRule="atLeast"/>
            <w:rPr>
              <w:sz w:val="18"/>
            </w:rPr>
          </w:pPr>
        </w:p>
      </w:tc>
      <w:tc>
        <w:tcPr>
          <w:tcW w:w="3688" w:type="pct"/>
          <w:tcBorders>
            <w:top w:val="nil"/>
            <w:left w:val="nil"/>
            <w:bottom w:val="nil"/>
            <w:right w:val="nil"/>
          </w:tcBorders>
        </w:tcPr>
        <w:p w:rsidR="0048077D" w:rsidRDefault="0048077D" w:rsidP="00CC6C8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37BA6">
            <w:rPr>
              <w:i/>
              <w:sz w:val="18"/>
            </w:rPr>
            <w:t>Foreign Acquisitions and Takeovers Fees Imposition Amendment (Fee Streamlining) Regulations 2017</w:t>
          </w:r>
          <w:r w:rsidRPr="007A1328">
            <w:rPr>
              <w:i/>
              <w:sz w:val="18"/>
            </w:rPr>
            <w:fldChar w:fldCharType="end"/>
          </w:r>
        </w:p>
      </w:tc>
      <w:tc>
        <w:tcPr>
          <w:tcW w:w="365" w:type="pct"/>
          <w:tcBorders>
            <w:top w:val="nil"/>
            <w:left w:val="nil"/>
            <w:bottom w:val="nil"/>
            <w:right w:val="nil"/>
          </w:tcBorders>
        </w:tcPr>
        <w:p w:rsidR="0048077D" w:rsidRDefault="0048077D" w:rsidP="00CC6C8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5E1F">
            <w:rPr>
              <w:i/>
              <w:noProof/>
              <w:sz w:val="18"/>
            </w:rPr>
            <w:t>2</w:t>
          </w:r>
          <w:r w:rsidRPr="00ED79B6">
            <w:rPr>
              <w:i/>
              <w:sz w:val="18"/>
            </w:rPr>
            <w:fldChar w:fldCharType="end"/>
          </w:r>
        </w:p>
      </w:tc>
    </w:tr>
  </w:tbl>
  <w:p w:rsidR="0048077D" w:rsidRPr="00F71D4E" w:rsidRDefault="00F71D4E" w:rsidP="00F71D4E">
    <w:pPr>
      <w:rPr>
        <w:rFonts w:cs="Times New Roman"/>
        <w:i/>
        <w:sz w:val="18"/>
      </w:rPr>
    </w:pPr>
    <w:r w:rsidRPr="00F71D4E">
      <w:rPr>
        <w:rFonts w:cs="Times New Roman"/>
        <w:i/>
        <w:sz w:val="18"/>
      </w:rPr>
      <w:t>OPC62692 -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7D" w:rsidRDefault="0048077D" w:rsidP="0048364F">
      <w:pPr>
        <w:spacing w:line="240" w:lineRule="auto"/>
      </w:pPr>
      <w:r>
        <w:separator/>
      </w:r>
    </w:p>
  </w:footnote>
  <w:footnote w:type="continuationSeparator" w:id="0">
    <w:p w:rsidR="0048077D" w:rsidRDefault="0048077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5F1388" w:rsidRDefault="0048077D"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5F1388" w:rsidRDefault="0048077D"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5F1388" w:rsidRDefault="0048077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ED79B6" w:rsidRDefault="0048077D"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ED79B6" w:rsidRDefault="0048077D"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ED79B6" w:rsidRDefault="0048077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A961C4" w:rsidRDefault="0048077D" w:rsidP="00B63BDE">
    <w:pPr>
      <w:rPr>
        <w:b/>
        <w:sz w:val="20"/>
      </w:rPr>
    </w:pPr>
    <w:r>
      <w:rPr>
        <w:b/>
        <w:sz w:val="20"/>
      </w:rPr>
      <w:fldChar w:fldCharType="begin"/>
    </w:r>
    <w:r>
      <w:rPr>
        <w:b/>
        <w:sz w:val="20"/>
      </w:rPr>
      <w:instrText xml:space="preserve"> STYLEREF CharAmSchNo </w:instrText>
    </w:r>
    <w:r>
      <w:rPr>
        <w:b/>
        <w:sz w:val="20"/>
      </w:rPr>
      <w:fldChar w:fldCharType="separate"/>
    </w:r>
    <w:r w:rsidR="004002C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002C5">
      <w:rPr>
        <w:noProof/>
        <w:sz w:val="20"/>
      </w:rPr>
      <w:t>Amendments</w:t>
    </w:r>
    <w:r>
      <w:rPr>
        <w:sz w:val="20"/>
      </w:rPr>
      <w:fldChar w:fldCharType="end"/>
    </w:r>
  </w:p>
  <w:p w:rsidR="0048077D" w:rsidRPr="00A961C4" w:rsidRDefault="0048077D"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8077D" w:rsidRPr="00A961C4" w:rsidRDefault="0048077D"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A961C4" w:rsidRDefault="0048077D" w:rsidP="00E443FC">
    <w:pPr>
      <w:jc w:val="right"/>
      <w:rPr>
        <w:sz w:val="20"/>
      </w:rPr>
    </w:pPr>
    <w:r w:rsidRPr="00A961C4">
      <w:rPr>
        <w:sz w:val="20"/>
      </w:rPr>
      <w:fldChar w:fldCharType="begin"/>
    </w:r>
    <w:r w:rsidRPr="00A961C4">
      <w:rPr>
        <w:sz w:val="20"/>
      </w:rPr>
      <w:instrText xml:space="preserve"> STYLEREF CharAmSchText </w:instrText>
    </w:r>
    <w:r w:rsidR="004002C5">
      <w:rPr>
        <w:sz w:val="20"/>
      </w:rPr>
      <w:fldChar w:fldCharType="separate"/>
    </w:r>
    <w:r w:rsidR="004002C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002C5">
      <w:rPr>
        <w:b/>
        <w:sz w:val="20"/>
      </w:rPr>
      <w:fldChar w:fldCharType="separate"/>
    </w:r>
    <w:r w:rsidR="004002C5">
      <w:rPr>
        <w:b/>
        <w:noProof/>
        <w:sz w:val="20"/>
      </w:rPr>
      <w:t>Schedule 1</w:t>
    </w:r>
    <w:r>
      <w:rPr>
        <w:b/>
        <w:sz w:val="20"/>
      </w:rPr>
      <w:fldChar w:fldCharType="end"/>
    </w:r>
  </w:p>
  <w:p w:rsidR="0048077D" w:rsidRPr="00A961C4" w:rsidRDefault="0048077D"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8077D" w:rsidRPr="00A961C4" w:rsidRDefault="0048077D"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77D" w:rsidRPr="00A961C4" w:rsidRDefault="0048077D"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2EB2067"/>
    <w:multiLevelType w:val="hybridMultilevel"/>
    <w:tmpl w:val="823E11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F3199D"/>
    <w:multiLevelType w:val="hybridMultilevel"/>
    <w:tmpl w:val="B5587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C260585"/>
    <w:multiLevelType w:val="hybridMultilevel"/>
    <w:tmpl w:val="23607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C002ED"/>
    <w:multiLevelType w:val="hybridMultilevel"/>
    <w:tmpl w:val="B6F0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607972"/>
    <w:multiLevelType w:val="hybridMultilevel"/>
    <w:tmpl w:val="A4AA7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4C2B4611"/>
    <w:multiLevelType w:val="hybridMultilevel"/>
    <w:tmpl w:val="50AA1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B91B67"/>
    <w:multiLevelType w:val="hybridMultilevel"/>
    <w:tmpl w:val="F1DE8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A76194"/>
    <w:multiLevelType w:val="hybridMultilevel"/>
    <w:tmpl w:val="622C9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4F01D3"/>
    <w:multiLevelType w:val="hybridMultilevel"/>
    <w:tmpl w:val="494C5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FA5960"/>
    <w:multiLevelType w:val="hybridMultilevel"/>
    <w:tmpl w:val="DDBE5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8C7B74"/>
    <w:multiLevelType w:val="hybridMultilevel"/>
    <w:tmpl w:val="ED461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A1C790B"/>
    <w:multiLevelType w:val="hybridMultilevel"/>
    <w:tmpl w:val="93D4949C"/>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4">
    <w:nsid w:val="6B445DCA"/>
    <w:multiLevelType w:val="hybridMultilevel"/>
    <w:tmpl w:val="9C5C2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2575C8"/>
    <w:multiLevelType w:val="hybridMultilevel"/>
    <w:tmpl w:val="78FA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B1E7B37"/>
    <w:multiLevelType w:val="hybridMultilevel"/>
    <w:tmpl w:val="ACB2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4"/>
  </w:num>
  <w:num w:numId="14">
    <w:abstractNumId w:val="24"/>
  </w:num>
  <w:num w:numId="15">
    <w:abstractNumId w:val="13"/>
  </w:num>
  <w:num w:numId="16">
    <w:abstractNumId w:val="12"/>
  </w:num>
  <w:num w:numId="17">
    <w:abstractNumId w:val="15"/>
  </w:num>
  <w:num w:numId="18">
    <w:abstractNumId w:val="19"/>
  </w:num>
  <w:num w:numId="19">
    <w:abstractNumId w:val="22"/>
  </w:num>
  <w:num w:numId="20">
    <w:abstractNumId w:val="20"/>
  </w:num>
  <w:num w:numId="21">
    <w:abstractNumId w:val="25"/>
  </w:num>
  <w:num w:numId="22">
    <w:abstractNumId w:val="18"/>
  </w:num>
  <w:num w:numId="23">
    <w:abstractNumId w:val="26"/>
  </w:num>
  <w:num w:numId="24">
    <w:abstractNumId w:val="10"/>
  </w:num>
  <w:num w:numId="25">
    <w:abstractNumId w:val="23"/>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0C"/>
    <w:rsid w:val="000041C6"/>
    <w:rsid w:val="000058AF"/>
    <w:rsid w:val="000063E4"/>
    <w:rsid w:val="00011222"/>
    <w:rsid w:val="000113BC"/>
    <w:rsid w:val="000136AF"/>
    <w:rsid w:val="00021A84"/>
    <w:rsid w:val="00025060"/>
    <w:rsid w:val="000275E1"/>
    <w:rsid w:val="00027C40"/>
    <w:rsid w:val="00034DF9"/>
    <w:rsid w:val="00037BA6"/>
    <w:rsid w:val="0004044E"/>
    <w:rsid w:val="000469DC"/>
    <w:rsid w:val="000540E7"/>
    <w:rsid w:val="000577FF"/>
    <w:rsid w:val="000614BF"/>
    <w:rsid w:val="00064192"/>
    <w:rsid w:val="0006552C"/>
    <w:rsid w:val="0007064D"/>
    <w:rsid w:val="000830A6"/>
    <w:rsid w:val="00095352"/>
    <w:rsid w:val="0009629F"/>
    <w:rsid w:val="000A6988"/>
    <w:rsid w:val="000B6938"/>
    <w:rsid w:val="000C4E79"/>
    <w:rsid w:val="000D05EF"/>
    <w:rsid w:val="000E1CDF"/>
    <w:rsid w:val="000E53B4"/>
    <w:rsid w:val="000E5D67"/>
    <w:rsid w:val="000F21C1"/>
    <w:rsid w:val="000F3D00"/>
    <w:rsid w:val="000F6B02"/>
    <w:rsid w:val="000F7427"/>
    <w:rsid w:val="000F7498"/>
    <w:rsid w:val="001024F2"/>
    <w:rsid w:val="00102F2B"/>
    <w:rsid w:val="0010745C"/>
    <w:rsid w:val="00116975"/>
    <w:rsid w:val="001215D0"/>
    <w:rsid w:val="001256C6"/>
    <w:rsid w:val="00126CF0"/>
    <w:rsid w:val="00126F1A"/>
    <w:rsid w:val="00131FA9"/>
    <w:rsid w:val="00154EAC"/>
    <w:rsid w:val="001615B0"/>
    <w:rsid w:val="001643C9"/>
    <w:rsid w:val="00165568"/>
    <w:rsid w:val="00166C2F"/>
    <w:rsid w:val="001716C9"/>
    <w:rsid w:val="00171EAE"/>
    <w:rsid w:val="00173918"/>
    <w:rsid w:val="00187A5A"/>
    <w:rsid w:val="00191634"/>
    <w:rsid w:val="00191859"/>
    <w:rsid w:val="00191C9F"/>
    <w:rsid w:val="00193461"/>
    <w:rsid w:val="001939E1"/>
    <w:rsid w:val="0019531F"/>
    <w:rsid w:val="00195382"/>
    <w:rsid w:val="0019684C"/>
    <w:rsid w:val="00197827"/>
    <w:rsid w:val="001A094E"/>
    <w:rsid w:val="001A0D1A"/>
    <w:rsid w:val="001A2D88"/>
    <w:rsid w:val="001A6A3D"/>
    <w:rsid w:val="001A6D52"/>
    <w:rsid w:val="001B089A"/>
    <w:rsid w:val="001B1ECF"/>
    <w:rsid w:val="001B3097"/>
    <w:rsid w:val="001B3978"/>
    <w:rsid w:val="001B7A5D"/>
    <w:rsid w:val="001B7F60"/>
    <w:rsid w:val="001C69C4"/>
    <w:rsid w:val="001C73F6"/>
    <w:rsid w:val="001D3AEF"/>
    <w:rsid w:val="001D4229"/>
    <w:rsid w:val="001D7F83"/>
    <w:rsid w:val="001E04A3"/>
    <w:rsid w:val="001E16D0"/>
    <w:rsid w:val="001E2C3D"/>
    <w:rsid w:val="001E3590"/>
    <w:rsid w:val="001E562E"/>
    <w:rsid w:val="001E7407"/>
    <w:rsid w:val="001F0938"/>
    <w:rsid w:val="001F4F68"/>
    <w:rsid w:val="001F6924"/>
    <w:rsid w:val="00200BC3"/>
    <w:rsid w:val="00201D27"/>
    <w:rsid w:val="00201E74"/>
    <w:rsid w:val="002064F5"/>
    <w:rsid w:val="0021203C"/>
    <w:rsid w:val="00217036"/>
    <w:rsid w:val="00226E0E"/>
    <w:rsid w:val="00231427"/>
    <w:rsid w:val="0023381A"/>
    <w:rsid w:val="00234AF0"/>
    <w:rsid w:val="00236FEB"/>
    <w:rsid w:val="00240749"/>
    <w:rsid w:val="00242E38"/>
    <w:rsid w:val="002433BB"/>
    <w:rsid w:val="0024477E"/>
    <w:rsid w:val="00254FD5"/>
    <w:rsid w:val="002577CB"/>
    <w:rsid w:val="002640A1"/>
    <w:rsid w:val="00265FBC"/>
    <w:rsid w:val="00266D05"/>
    <w:rsid w:val="00277412"/>
    <w:rsid w:val="00280244"/>
    <w:rsid w:val="002823C2"/>
    <w:rsid w:val="00290ADA"/>
    <w:rsid w:val="00293021"/>
    <w:rsid w:val="002932B1"/>
    <w:rsid w:val="00295408"/>
    <w:rsid w:val="00295539"/>
    <w:rsid w:val="00295664"/>
    <w:rsid w:val="00296841"/>
    <w:rsid w:val="00296F97"/>
    <w:rsid w:val="00297ECB"/>
    <w:rsid w:val="002A0FFD"/>
    <w:rsid w:val="002B1C3A"/>
    <w:rsid w:val="002B2731"/>
    <w:rsid w:val="002B2A8C"/>
    <w:rsid w:val="002B5B89"/>
    <w:rsid w:val="002B7D96"/>
    <w:rsid w:val="002C0163"/>
    <w:rsid w:val="002C11F4"/>
    <w:rsid w:val="002C1F7A"/>
    <w:rsid w:val="002C5168"/>
    <w:rsid w:val="002C72F3"/>
    <w:rsid w:val="002D043A"/>
    <w:rsid w:val="002D27D6"/>
    <w:rsid w:val="002D547A"/>
    <w:rsid w:val="002D5E1E"/>
    <w:rsid w:val="002E14BF"/>
    <w:rsid w:val="002E1849"/>
    <w:rsid w:val="002E40CE"/>
    <w:rsid w:val="002E43B3"/>
    <w:rsid w:val="002F3F6F"/>
    <w:rsid w:val="00304E75"/>
    <w:rsid w:val="003072FA"/>
    <w:rsid w:val="0031713F"/>
    <w:rsid w:val="0032045D"/>
    <w:rsid w:val="00321473"/>
    <w:rsid w:val="00326E92"/>
    <w:rsid w:val="00336A7F"/>
    <w:rsid w:val="00336AE2"/>
    <w:rsid w:val="0034106B"/>
    <w:rsid w:val="003415D3"/>
    <w:rsid w:val="003424E2"/>
    <w:rsid w:val="00343E76"/>
    <w:rsid w:val="00352B0F"/>
    <w:rsid w:val="00353417"/>
    <w:rsid w:val="00357F16"/>
    <w:rsid w:val="00361BD9"/>
    <w:rsid w:val="00363549"/>
    <w:rsid w:val="0036768C"/>
    <w:rsid w:val="00367B58"/>
    <w:rsid w:val="003801D0"/>
    <w:rsid w:val="00380D4C"/>
    <w:rsid w:val="00386168"/>
    <w:rsid w:val="0039032F"/>
    <w:rsid w:val="0039228E"/>
    <w:rsid w:val="003926B5"/>
    <w:rsid w:val="00396053"/>
    <w:rsid w:val="0039680F"/>
    <w:rsid w:val="00397808"/>
    <w:rsid w:val="003A7ADA"/>
    <w:rsid w:val="003B04EC"/>
    <w:rsid w:val="003B33B2"/>
    <w:rsid w:val="003B73F3"/>
    <w:rsid w:val="003C1075"/>
    <w:rsid w:val="003C4B95"/>
    <w:rsid w:val="003C5F2B"/>
    <w:rsid w:val="003C6DBF"/>
    <w:rsid w:val="003C7240"/>
    <w:rsid w:val="003D0BFE"/>
    <w:rsid w:val="003D5700"/>
    <w:rsid w:val="003E284B"/>
    <w:rsid w:val="003E4CD6"/>
    <w:rsid w:val="003E5FF5"/>
    <w:rsid w:val="003E75B3"/>
    <w:rsid w:val="003F09C3"/>
    <w:rsid w:val="003F4CA9"/>
    <w:rsid w:val="003F567B"/>
    <w:rsid w:val="004002C5"/>
    <w:rsid w:val="004010E7"/>
    <w:rsid w:val="00401403"/>
    <w:rsid w:val="00405015"/>
    <w:rsid w:val="00405823"/>
    <w:rsid w:val="00405A9E"/>
    <w:rsid w:val="00405E1F"/>
    <w:rsid w:val="004116CD"/>
    <w:rsid w:val="00411EB8"/>
    <w:rsid w:val="00412B83"/>
    <w:rsid w:val="0041563F"/>
    <w:rsid w:val="00424CA9"/>
    <w:rsid w:val="00425623"/>
    <w:rsid w:val="00433910"/>
    <w:rsid w:val="0044291A"/>
    <w:rsid w:val="00445AF6"/>
    <w:rsid w:val="00446877"/>
    <w:rsid w:val="00447FFB"/>
    <w:rsid w:val="00452030"/>
    <w:rsid w:val="00452DD5"/>
    <w:rsid w:val="004541B9"/>
    <w:rsid w:val="00457958"/>
    <w:rsid w:val="00460499"/>
    <w:rsid w:val="004607AE"/>
    <w:rsid w:val="00460829"/>
    <w:rsid w:val="00462F17"/>
    <w:rsid w:val="00465085"/>
    <w:rsid w:val="00466B42"/>
    <w:rsid w:val="0047042D"/>
    <w:rsid w:val="00471AB8"/>
    <w:rsid w:val="0047294A"/>
    <w:rsid w:val="00473C86"/>
    <w:rsid w:val="0048077D"/>
    <w:rsid w:val="00480804"/>
    <w:rsid w:val="00480FB9"/>
    <w:rsid w:val="004828FF"/>
    <w:rsid w:val="00482BF9"/>
    <w:rsid w:val="00483003"/>
    <w:rsid w:val="0048364F"/>
    <w:rsid w:val="00486382"/>
    <w:rsid w:val="00486DD5"/>
    <w:rsid w:val="00496861"/>
    <w:rsid w:val="00496F97"/>
    <w:rsid w:val="004A2484"/>
    <w:rsid w:val="004A2FFB"/>
    <w:rsid w:val="004B7CD9"/>
    <w:rsid w:val="004C0255"/>
    <w:rsid w:val="004C1F18"/>
    <w:rsid w:val="004C2C2A"/>
    <w:rsid w:val="004C35C7"/>
    <w:rsid w:val="004C5B5A"/>
    <w:rsid w:val="004C6444"/>
    <w:rsid w:val="004C6DE1"/>
    <w:rsid w:val="004F10E8"/>
    <w:rsid w:val="004F1FAC"/>
    <w:rsid w:val="004F3A1E"/>
    <w:rsid w:val="004F3A90"/>
    <w:rsid w:val="004F4BE5"/>
    <w:rsid w:val="004F676E"/>
    <w:rsid w:val="005032DA"/>
    <w:rsid w:val="00513231"/>
    <w:rsid w:val="00514ACE"/>
    <w:rsid w:val="00516B8D"/>
    <w:rsid w:val="00520A1E"/>
    <w:rsid w:val="005217F0"/>
    <w:rsid w:val="00525B45"/>
    <w:rsid w:val="005305D6"/>
    <w:rsid w:val="00535561"/>
    <w:rsid w:val="00537C44"/>
    <w:rsid w:val="00537FBC"/>
    <w:rsid w:val="00540454"/>
    <w:rsid w:val="00543469"/>
    <w:rsid w:val="00550A3C"/>
    <w:rsid w:val="00555146"/>
    <w:rsid w:val="0055643C"/>
    <w:rsid w:val="00557C7A"/>
    <w:rsid w:val="00557E33"/>
    <w:rsid w:val="00564660"/>
    <w:rsid w:val="00565691"/>
    <w:rsid w:val="00565716"/>
    <w:rsid w:val="00566599"/>
    <w:rsid w:val="00570787"/>
    <w:rsid w:val="00572B23"/>
    <w:rsid w:val="00572C19"/>
    <w:rsid w:val="005803F9"/>
    <w:rsid w:val="00584811"/>
    <w:rsid w:val="00584ECC"/>
    <w:rsid w:val="005851A5"/>
    <w:rsid w:val="0058646E"/>
    <w:rsid w:val="00591014"/>
    <w:rsid w:val="0059164A"/>
    <w:rsid w:val="00591E07"/>
    <w:rsid w:val="00593AA6"/>
    <w:rsid w:val="00594161"/>
    <w:rsid w:val="00594749"/>
    <w:rsid w:val="005A1461"/>
    <w:rsid w:val="005A3BBA"/>
    <w:rsid w:val="005A3CCE"/>
    <w:rsid w:val="005B1697"/>
    <w:rsid w:val="005B3159"/>
    <w:rsid w:val="005B4067"/>
    <w:rsid w:val="005B4693"/>
    <w:rsid w:val="005B47D3"/>
    <w:rsid w:val="005C12DE"/>
    <w:rsid w:val="005C1E1D"/>
    <w:rsid w:val="005C2BB4"/>
    <w:rsid w:val="005C3F41"/>
    <w:rsid w:val="005C410F"/>
    <w:rsid w:val="005E3187"/>
    <w:rsid w:val="005E4630"/>
    <w:rsid w:val="005E552A"/>
    <w:rsid w:val="005F03F0"/>
    <w:rsid w:val="00600219"/>
    <w:rsid w:val="00605D3C"/>
    <w:rsid w:val="0060628C"/>
    <w:rsid w:val="006135E5"/>
    <w:rsid w:val="006206F6"/>
    <w:rsid w:val="00624910"/>
    <w:rsid w:val="006249E6"/>
    <w:rsid w:val="0062575C"/>
    <w:rsid w:val="00630733"/>
    <w:rsid w:val="006340B6"/>
    <w:rsid w:val="0064468A"/>
    <w:rsid w:val="00646156"/>
    <w:rsid w:val="00654CCA"/>
    <w:rsid w:val="00655F72"/>
    <w:rsid w:val="00656DE9"/>
    <w:rsid w:val="00663321"/>
    <w:rsid w:val="00663BDD"/>
    <w:rsid w:val="00666920"/>
    <w:rsid w:val="00670F05"/>
    <w:rsid w:val="00673003"/>
    <w:rsid w:val="00675D37"/>
    <w:rsid w:val="00675D97"/>
    <w:rsid w:val="00677CC2"/>
    <w:rsid w:val="00680F17"/>
    <w:rsid w:val="00681665"/>
    <w:rsid w:val="00685F42"/>
    <w:rsid w:val="0069207B"/>
    <w:rsid w:val="006937E2"/>
    <w:rsid w:val="0069392E"/>
    <w:rsid w:val="006954D3"/>
    <w:rsid w:val="0069674E"/>
    <w:rsid w:val="006977FB"/>
    <w:rsid w:val="006A6C63"/>
    <w:rsid w:val="006B0F42"/>
    <w:rsid w:val="006B262A"/>
    <w:rsid w:val="006B4E23"/>
    <w:rsid w:val="006C2C12"/>
    <w:rsid w:val="006C3FFF"/>
    <w:rsid w:val="006C425D"/>
    <w:rsid w:val="006C7F8C"/>
    <w:rsid w:val="006D1AC5"/>
    <w:rsid w:val="006D3667"/>
    <w:rsid w:val="006D433D"/>
    <w:rsid w:val="006D4E91"/>
    <w:rsid w:val="006D52AF"/>
    <w:rsid w:val="006D569C"/>
    <w:rsid w:val="006E004B"/>
    <w:rsid w:val="006E25EF"/>
    <w:rsid w:val="006E38E1"/>
    <w:rsid w:val="006E7147"/>
    <w:rsid w:val="006F0AB5"/>
    <w:rsid w:val="006F539F"/>
    <w:rsid w:val="006F5573"/>
    <w:rsid w:val="006F6D48"/>
    <w:rsid w:val="00700B2C"/>
    <w:rsid w:val="00701E6A"/>
    <w:rsid w:val="00712BFA"/>
    <w:rsid w:val="00713084"/>
    <w:rsid w:val="00722023"/>
    <w:rsid w:val="0072243E"/>
    <w:rsid w:val="00724E63"/>
    <w:rsid w:val="007274AA"/>
    <w:rsid w:val="00727754"/>
    <w:rsid w:val="00731E00"/>
    <w:rsid w:val="00734C0B"/>
    <w:rsid w:val="00736720"/>
    <w:rsid w:val="00743D5B"/>
    <w:rsid w:val="007440B7"/>
    <w:rsid w:val="00746962"/>
    <w:rsid w:val="00751A50"/>
    <w:rsid w:val="0075773B"/>
    <w:rsid w:val="007601C7"/>
    <w:rsid w:val="007619FB"/>
    <w:rsid w:val="007634AD"/>
    <w:rsid w:val="00764B8B"/>
    <w:rsid w:val="007715C9"/>
    <w:rsid w:val="00774EDD"/>
    <w:rsid w:val="007757EC"/>
    <w:rsid w:val="007769D4"/>
    <w:rsid w:val="007800A1"/>
    <w:rsid w:val="0078021A"/>
    <w:rsid w:val="00785AFA"/>
    <w:rsid w:val="007903AC"/>
    <w:rsid w:val="00796015"/>
    <w:rsid w:val="00796307"/>
    <w:rsid w:val="00797881"/>
    <w:rsid w:val="00797DFE"/>
    <w:rsid w:val="007A3F74"/>
    <w:rsid w:val="007A7F9F"/>
    <w:rsid w:val="007B17D2"/>
    <w:rsid w:val="007B3EAB"/>
    <w:rsid w:val="007B746E"/>
    <w:rsid w:val="007C045E"/>
    <w:rsid w:val="007C4FA9"/>
    <w:rsid w:val="007C7F0C"/>
    <w:rsid w:val="007D0389"/>
    <w:rsid w:val="007D66DA"/>
    <w:rsid w:val="007E7D4A"/>
    <w:rsid w:val="007F12D9"/>
    <w:rsid w:val="007F7F9A"/>
    <w:rsid w:val="008059D3"/>
    <w:rsid w:val="008060B6"/>
    <w:rsid w:val="00806736"/>
    <w:rsid w:val="00806FD5"/>
    <w:rsid w:val="00807D3A"/>
    <w:rsid w:val="00812FF3"/>
    <w:rsid w:val="00814CB4"/>
    <w:rsid w:val="008157B1"/>
    <w:rsid w:val="00816FD0"/>
    <w:rsid w:val="008236D5"/>
    <w:rsid w:val="00826DA5"/>
    <w:rsid w:val="00833416"/>
    <w:rsid w:val="00835602"/>
    <w:rsid w:val="0083709A"/>
    <w:rsid w:val="00847151"/>
    <w:rsid w:val="00847294"/>
    <w:rsid w:val="00851A17"/>
    <w:rsid w:val="00854FC3"/>
    <w:rsid w:val="00855390"/>
    <w:rsid w:val="00856A31"/>
    <w:rsid w:val="00856C8A"/>
    <w:rsid w:val="00864D7D"/>
    <w:rsid w:val="00874B69"/>
    <w:rsid w:val="008754D0"/>
    <w:rsid w:val="00875848"/>
    <w:rsid w:val="00877A4C"/>
    <w:rsid w:val="00877D48"/>
    <w:rsid w:val="00880795"/>
    <w:rsid w:val="00890719"/>
    <w:rsid w:val="00893F74"/>
    <w:rsid w:val="00896618"/>
    <w:rsid w:val="0089783B"/>
    <w:rsid w:val="008A6E0D"/>
    <w:rsid w:val="008B388E"/>
    <w:rsid w:val="008C31FE"/>
    <w:rsid w:val="008C4F57"/>
    <w:rsid w:val="008D0EE0"/>
    <w:rsid w:val="008D44F5"/>
    <w:rsid w:val="008D4F8B"/>
    <w:rsid w:val="008E2063"/>
    <w:rsid w:val="008E4F77"/>
    <w:rsid w:val="008E5B69"/>
    <w:rsid w:val="008F07E3"/>
    <w:rsid w:val="008F4F1C"/>
    <w:rsid w:val="008F68EE"/>
    <w:rsid w:val="00907271"/>
    <w:rsid w:val="0090731F"/>
    <w:rsid w:val="00914BBE"/>
    <w:rsid w:val="009165EF"/>
    <w:rsid w:val="00917733"/>
    <w:rsid w:val="00922C99"/>
    <w:rsid w:val="009259E6"/>
    <w:rsid w:val="00932377"/>
    <w:rsid w:val="00932A33"/>
    <w:rsid w:val="0093364B"/>
    <w:rsid w:val="00933684"/>
    <w:rsid w:val="00933F62"/>
    <w:rsid w:val="00940F61"/>
    <w:rsid w:val="00941A04"/>
    <w:rsid w:val="00941FFC"/>
    <w:rsid w:val="009437A9"/>
    <w:rsid w:val="009462BA"/>
    <w:rsid w:val="00953596"/>
    <w:rsid w:val="009553EE"/>
    <w:rsid w:val="00956CA2"/>
    <w:rsid w:val="00956E0C"/>
    <w:rsid w:val="00971636"/>
    <w:rsid w:val="009738E3"/>
    <w:rsid w:val="00982F01"/>
    <w:rsid w:val="009848EC"/>
    <w:rsid w:val="009861CE"/>
    <w:rsid w:val="009A522D"/>
    <w:rsid w:val="009B0B3F"/>
    <w:rsid w:val="009B3629"/>
    <w:rsid w:val="009B7352"/>
    <w:rsid w:val="009C0571"/>
    <w:rsid w:val="009C49D8"/>
    <w:rsid w:val="009C521C"/>
    <w:rsid w:val="009D2178"/>
    <w:rsid w:val="009D3377"/>
    <w:rsid w:val="009D7011"/>
    <w:rsid w:val="009D7F5A"/>
    <w:rsid w:val="009E3601"/>
    <w:rsid w:val="009F576D"/>
    <w:rsid w:val="009F62A3"/>
    <w:rsid w:val="009F652E"/>
    <w:rsid w:val="009F727E"/>
    <w:rsid w:val="00A03A08"/>
    <w:rsid w:val="00A1027A"/>
    <w:rsid w:val="00A1676E"/>
    <w:rsid w:val="00A2057D"/>
    <w:rsid w:val="00A231E2"/>
    <w:rsid w:val="00A2450E"/>
    <w:rsid w:val="00A2550D"/>
    <w:rsid w:val="00A26DBE"/>
    <w:rsid w:val="00A27B7D"/>
    <w:rsid w:val="00A306FD"/>
    <w:rsid w:val="00A326A4"/>
    <w:rsid w:val="00A36B17"/>
    <w:rsid w:val="00A4169B"/>
    <w:rsid w:val="00A4361F"/>
    <w:rsid w:val="00A5197F"/>
    <w:rsid w:val="00A64912"/>
    <w:rsid w:val="00A677B2"/>
    <w:rsid w:val="00A7082F"/>
    <w:rsid w:val="00A70A74"/>
    <w:rsid w:val="00A71C4E"/>
    <w:rsid w:val="00A74134"/>
    <w:rsid w:val="00A87476"/>
    <w:rsid w:val="00A87AB9"/>
    <w:rsid w:val="00A9558D"/>
    <w:rsid w:val="00AA03D5"/>
    <w:rsid w:val="00AA10A3"/>
    <w:rsid w:val="00AB1EB8"/>
    <w:rsid w:val="00AB2B1E"/>
    <w:rsid w:val="00AB3315"/>
    <w:rsid w:val="00AB7B41"/>
    <w:rsid w:val="00AC06B3"/>
    <w:rsid w:val="00AD0119"/>
    <w:rsid w:val="00AD5641"/>
    <w:rsid w:val="00AD7737"/>
    <w:rsid w:val="00AE0716"/>
    <w:rsid w:val="00AE50A2"/>
    <w:rsid w:val="00AE7A1A"/>
    <w:rsid w:val="00AF0336"/>
    <w:rsid w:val="00AF40D5"/>
    <w:rsid w:val="00AF6613"/>
    <w:rsid w:val="00B00407"/>
    <w:rsid w:val="00B00902"/>
    <w:rsid w:val="00B00D72"/>
    <w:rsid w:val="00B02DEA"/>
    <w:rsid w:val="00B032D8"/>
    <w:rsid w:val="00B05004"/>
    <w:rsid w:val="00B21EAA"/>
    <w:rsid w:val="00B2687A"/>
    <w:rsid w:val="00B332B8"/>
    <w:rsid w:val="00B338C9"/>
    <w:rsid w:val="00B33B3C"/>
    <w:rsid w:val="00B40133"/>
    <w:rsid w:val="00B4233A"/>
    <w:rsid w:val="00B44657"/>
    <w:rsid w:val="00B46AC7"/>
    <w:rsid w:val="00B508D5"/>
    <w:rsid w:val="00B50C98"/>
    <w:rsid w:val="00B51692"/>
    <w:rsid w:val="00B6045F"/>
    <w:rsid w:val="00B61D2C"/>
    <w:rsid w:val="00B6345D"/>
    <w:rsid w:val="00B63BDE"/>
    <w:rsid w:val="00B655DE"/>
    <w:rsid w:val="00B65B85"/>
    <w:rsid w:val="00B70E91"/>
    <w:rsid w:val="00B710DA"/>
    <w:rsid w:val="00B724FA"/>
    <w:rsid w:val="00B77FDF"/>
    <w:rsid w:val="00B86712"/>
    <w:rsid w:val="00B87F36"/>
    <w:rsid w:val="00B94E50"/>
    <w:rsid w:val="00B96850"/>
    <w:rsid w:val="00B97105"/>
    <w:rsid w:val="00BA2131"/>
    <w:rsid w:val="00BA5026"/>
    <w:rsid w:val="00BB6E79"/>
    <w:rsid w:val="00BC4F91"/>
    <w:rsid w:val="00BC652E"/>
    <w:rsid w:val="00BD0941"/>
    <w:rsid w:val="00BD60E6"/>
    <w:rsid w:val="00BE17C5"/>
    <w:rsid w:val="00BE253A"/>
    <w:rsid w:val="00BE719A"/>
    <w:rsid w:val="00BE720A"/>
    <w:rsid w:val="00BF3B8C"/>
    <w:rsid w:val="00BF4533"/>
    <w:rsid w:val="00C05E75"/>
    <w:rsid w:val="00C067E5"/>
    <w:rsid w:val="00C15528"/>
    <w:rsid w:val="00C164CA"/>
    <w:rsid w:val="00C21B63"/>
    <w:rsid w:val="00C22E16"/>
    <w:rsid w:val="00C2442B"/>
    <w:rsid w:val="00C2558B"/>
    <w:rsid w:val="00C26880"/>
    <w:rsid w:val="00C33636"/>
    <w:rsid w:val="00C36676"/>
    <w:rsid w:val="00C40F94"/>
    <w:rsid w:val="00C42BF8"/>
    <w:rsid w:val="00C460AE"/>
    <w:rsid w:val="00C50043"/>
    <w:rsid w:val="00C51D46"/>
    <w:rsid w:val="00C60BBA"/>
    <w:rsid w:val="00C63487"/>
    <w:rsid w:val="00C63713"/>
    <w:rsid w:val="00C727C7"/>
    <w:rsid w:val="00C7573B"/>
    <w:rsid w:val="00C76CF3"/>
    <w:rsid w:val="00C77E30"/>
    <w:rsid w:val="00C814F5"/>
    <w:rsid w:val="00C97617"/>
    <w:rsid w:val="00CA1EBB"/>
    <w:rsid w:val="00CB0180"/>
    <w:rsid w:val="00CB105D"/>
    <w:rsid w:val="00CB28EF"/>
    <w:rsid w:val="00CB2B89"/>
    <w:rsid w:val="00CB3470"/>
    <w:rsid w:val="00CB62C9"/>
    <w:rsid w:val="00CC58ED"/>
    <w:rsid w:val="00CC6971"/>
    <w:rsid w:val="00CC6C8B"/>
    <w:rsid w:val="00CC79BA"/>
    <w:rsid w:val="00CD5D5F"/>
    <w:rsid w:val="00CD606E"/>
    <w:rsid w:val="00CD72BC"/>
    <w:rsid w:val="00CD7DB7"/>
    <w:rsid w:val="00CD7ECB"/>
    <w:rsid w:val="00CD7F85"/>
    <w:rsid w:val="00CE183B"/>
    <w:rsid w:val="00CE4267"/>
    <w:rsid w:val="00CF0BB2"/>
    <w:rsid w:val="00CF6F66"/>
    <w:rsid w:val="00D0104A"/>
    <w:rsid w:val="00D016EF"/>
    <w:rsid w:val="00D017F2"/>
    <w:rsid w:val="00D02858"/>
    <w:rsid w:val="00D073B6"/>
    <w:rsid w:val="00D10517"/>
    <w:rsid w:val="00D13441"/>
    <w:rsid w:val="00D1491A"/>
    <w:rsid w:val="00D166FE"/>
    <w:rsid w:val="00D17B17"/>
    <w:rsid w:val="00D243A3"/>
    <w:rsid w:val="00D32F5D"/>
    <w:rsid w:val="00D333D9"/>
    <w:rsid w:val="00D33440"/>
    <w:rsid w:val="00D36913"/>
    <w:rsid w:val="00D3727E"/>
    <w:rsid w:val="00D40403"/>
    <w:rsid w:val="00D44A34"/>
    <w:rsid w:val="00D47374"/>
    <w:rsid w:val="00D52EFE"/>
    <w:rsid w:val="00D60935"/>
    <w:rsid w:val="00D60A9C"/>
    <w:rsid w:val="00D6123D"/>
    <w:rsid w:val="00D63EF6"/>
    <w:rsid w:val="00D64AD4"/>
    <w:rsid w:val="00D70DFB"/>
    <w:rsid w:val="00D7202A"/>
    <w:rsid w:val="00D766DF"/>
    <w:rsid w:val="00D76E2D"/>
    <w:rsid w:val="00D83D21"/>
    <w:rsid w:val="00D8442A"/>
    <w:rsid w:val="00D84B58"/>
    <w:rsid w:val="00D925D1"/>
    <w:rsid w:val="00D9412A"/>
    <w:rsid w:val="00DA3FD7"/>
    <w:rsid w:val="00DA403E"/>
    <w:rsid w:val="00DB0516"/>
    <w:rsid w:val="00DB30A5"/>
    <w:rsid w:val="00DB3242"/>
    <w:rsid w:val="00DC1707"/>
    <w:rsid w:val="00DC30E7"/>
    <w:rsid w:val="00DE3F0A"/>
    <w:rsid w:val="00DF06B1"/>
    <w:rsid w:val="00DF22D0"/>
    <w:rsid w:val="00DF3718"/>
    <w:rsid w:val="00DF4A82"/>
    <w:rsid w:val="00E0292C"/>
    <w:rsid w:val="00E03081"/>
    <w:rsid w:val="00E053EA"/>
    <w:rsid w:val="00E05704"/>
    <w:rsid w:val="00E05C46"/>
    <w:rsid w:val="00E05FDC"/>
    <w:rsid w:val="00E07FD5"/>
    <w:rsid w:val="00E11D2B"/>
    <w:rsid w:val="00E14870"/>
    <w:rsid w:val="00E158BA"/>
    <w:rsid w:val="00E2364F"/>
    <w:rsid w:val="00E30206"/>
    <w:rsid w:val="00E30460"/>
    <w:rsid w:val="00E33C1C"/>
    <w:rsid w:val="00E443FC"/>
    <w:rsid w:val="00E45FE7"/>
    <w:rsid w:val="00E476B8"/>
    <w:rsid w:val="00E52F94"/>
    <w:rsid w:val="00E54292"/>
    <w:rsid w:val="00E55BCD"/>
    <w:rsid w:val="00E642DA"/>
    <w:rsid w:val="00E646B7"/>
    <w:rsid w:val="00E73344"/>
    <w:rsid w:val="00E73EC4"/>
    <w:rsid w:val="00E73EEE"/>
    <w:rsid w:val="00E74DC7"/>
    <w:rsid w:val="00E76975"/>
    <w:rsid w:val="00E76FAB"/>
    <w:rsid w:val="00E8221E"/>
    <w:rsid w:val="00E83E2E"/>
    <w:rsid w:val="00E84B32"/>
    <w:rsid w:val="00E87417"/>
    <w:rsid w:val="00E87699"/>
    <w:rsid w:val="00E90C12"/>
    <w:rsid w:val="00E932C5"/>
    <w:rsid w:val="00E9789C"/>
    <w:rsid w:val="00EA2A43"/>
    <w:rsid w:val="00EB0A32"/>
    <w:rsid w:val="00EB4826"/>
    <w:rsid w:val="00EB67E0"/>
    <w:rsid w:val="00EC53FD"/>
    <w:rsid w:val="00EC589E"/>
    <w:rsid w:val="00ED14A7"/>
    <w:rsid w:val="00ED205B"/>
    <w:rsid w:val="00ED3A7D"/>
    <w:rsid w:val="00ED486E"/>
    <w:rsid w:val="00ED7DE3"/>
    <w:rsid w:val="00EE0923"/>
    <w:rsid w:val="00EE2452"/>
    <w:rsid w:val="00EE4213"/>
    <w:rsid w:val="00EE516B"/>
    <w:rsid w:val="00EF2E3A"/>
    <w:rsid w:val="00EF37A3"/>
    <w:rsid w:val="00F0325D"/>
    <w:rsid w:val="00F047E2"/>
    <w:rsid w:val="00F048A9"/>
    <w:rsid w:val="00F078DC"/>
    <w:rsid w:val="00F13E86"/>
    <w:rsid w:val="00F15D62"/>
    <w:rsid w:val="00F23F18"/>
    <w:rsid w:val="00F24C35"/>
    <w:rsid w:val="00F370A6"/>
    <w:rsid w:val="00F43A3F"/>
    <w:rsid w:val="00F43BC0"/>
    <w:rsid w:val="00F537F4"/>
    <w:rsid w:val="00F56759"/>
    <w:rsid w:val="00F62547"/>
    <w:rsid w:val="00F6400E"/>
    <w:rsid w:val="00F6526A"/>
    <w:rsid w:val="00F677A9"/>
    <w:rsid w:val="00F71D4E"/>
    <w:rsid w:val="00F74A55"/>
    <w:rsid w:val="00F8134F"/>
    <w:rsid w:val="00F84CF5"/>
    <w:rsid w:val="00F85C46"/>
    <w:rsid w:val="00FA19E2"/>
    <w:rsid w:val="00FA420B"/>
    <w:rsid w:val="00FA49A5"/>
    <w:rsid w:val="00FB03B3"/>
    <w:rsid w:val="00FB1889"/>
    <w:rsid w:val="00FB192C"/>
    <w:rsid w:val="00FB5240"/>
    <w:rsid w:val="00FD4BC6"/>
    <w:rsid w:val="00FD7CFE"/>
    <w:rsid w:val="00FE05C1"/>
    <w:rsid w:val="00FF3089"/>
    <w:rsid w:val="00FF3B04"/>
    <w:rsid w:val="00FF4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66DA"/>
    <w:pPr>
      <w:spacing w:line="260" w:lineRule="atLeast"/>
    </w:pPr>
    <w:rPr>
      <w:sz w:val="22"/>
    </w:rPr>
  </w:style>
  <w:style w:type="paragraph" w:styleId="Heading1">
    <w:name w:val="heading 1"/>
    <w:basedOn w:val="Normal"/>
    <w:next w:val="Normal"/>
    <w:link w:val="Heading1Char"/>
    <w:uiPriority w:val="9"/>
    <w:qFormat/>
    <w:rsid w:val="007D66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66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66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66D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66D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66D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66D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66D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D66D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D66DA"/>
  </w:style>
  <w:style w:type="paragraph" w:customStyle="1" w:styleId="OPCParaBase">
    <w:name w:val="OPCParaBase"/>
    <w:qFormat/>
    <w:rsid w:val="007D66DA"/>
    <w:pPr>
      <w:spacing w:line="260" w:lineRule="atLeast"/>
    </w:pPr>
    <w:rPr>
      <w:rFonts w:eastAsia="Times New Roman" w:cs="Times New Roman"/>
      <w:sz w:val="22"/>
      <w:lang w:eastAsia="en-AU"/>
    </w:rPr>
  </w:style>
  <w:style w:type="paragraph" w:customStyle="1" w:styleId="ShortT">
    <w:name w:val="ShortT"/>
    <w:basedOn w:val="OPCParaBase"/>
    <w:next w:val="Normal"/>
    <w:qFormat/>
    <w:rsid w:val="007D66DA"/>
    <w:pPr>
      <w:spacing w:line="240" w:lineRule="auto"/>
    </w:pPr>
    <w:rPr>
      <w:b/>
      <w:sz w:val="40"/>
    </w:rPr>
  </w:style>
  <w:style w:type="paragraph" w:customStyle="1" w:styleId="ActHead1">
    <w:name w:val="ActHead 1"/>
    <w:aliases w:val="c"/>
    <w:basedOn w:val="OPCParaBase"/>
    <w:next w:val="Normal"/>
    <w:qFormat/>
    <w:rsid w:val="007D66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66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66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66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66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66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66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66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66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D66DA"/>
  </w:style>
  <w:style w:type="paragraph" w:customStyle="1" w:styleId="Blocks">
    <w:name w:val="Blocks"/>
    <w:aliases w:val="bb"/>
    <w:basedOn w:val="OPCParaBase"/>
    <w:qFormat/>
    <w:rsid w:val="007D66DA"/>
    <w:pPr>
      <w:spacing w:line="240" w:lineRule="auto"/>
    </w:pPr>
    <w:rPr>
      <w:sz w:val="24"/>
    </w:rPr>
  </w:style>
  <w:style w:type="paragraph" w:customStyle="1" w:styleId="BoxText">
    <w:name w:val="BoxText"/>
    <w:aliases w:val="bt"/>
    <w:basedOn w:val="OPCParaBase"/>
    <w:qFormat/>
    <w:rsid w:val="007D66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66DA"/>
    <w:rPr>
      <w:b/>
    </w:rPr>
  </w:style>
  <w:style w:type="paragraph" w:customStyle="1" w:styleId="BoxHeadItalic">
    <w:name w:val="BoxHeadItalic"/>
    <w:aliases w:val="bhi"/>
    <w:basedOn w:val="BoxText"/>
    <w:next w:val="BoxStep"/>
    <w:qFormat/>
    <w:rsid w:val="007D66DA"/>
    <w:rPr>
      <w:i/>
    </w:rPr>
  </w:style>
  <w:style w:type="paragraph" w:customStyle="1" w:styleId="BoxList">
    <w:name w:val="BoxList"/>
    <w:aliases w:val="bl"/>
    <w:basedOn w:val="BoxText"/>
    <w:qFormat/>
    <w:rsid w:val="007D66DA"/>
    <w:pPr>
      <w:ind w:left="1559" w:hanging="425"/>
    </w:pPr>
  </w:style>
  <w:style w:type="paragraph" w:customStyle="1" w:styleId="BoxNote">
    <w:name w:val="BoxNote"/>
    <w:aliases w:val="bn"/>
    <w:basedOn w:val="BoxText"/>
    <w:qFormat/>
    <w:rsid w:val="007D66DA"/>
    <w:pPr>
      <w:tabs>
        <w:tab w:val="left" w:pos="1985"/>
      </w:tabs>
      <w:spacing w:before="122" w:line="198" w:lineRule="exact"/>
      <w:ind w:left="2948" w:hanging="1814"/>
    </w:pPr>
    <w:rPr>
      <w:sz w:val="18"/>
    </w:rPr>
  </w:style>
  <w:style w:type="paragraph" w:customStyle="1" w:styleId="BoxPara">
    <w:name w:val="BoxPara"/>
    <w:aliases w:val="bp"/>
    <w:basedOn w:val="BoxText"/>
    <w:qFormat/>
    <w:rsid w:val="007D66DA"/>
    <w:pPr>
      <w:tabs>
        <w:tab w:val="right" w:pos="2268"/>
      </w:tabs>
      <w:ind w:left="2552" w:hanging="1418"/>
    </w:pPr>
  </w:style>
  <w:style w:type="paragraph" w:customStyle="1" w:styleId="BoxStep">
    <w:name w:val="BoxStep"/>
    <w:aliases w:val="bs"/>
    <w:basedOn w:val="BoxText"/>
    <w:qFormat/>
    <w:rsid w:val="007D66DA"/>
    <w:pPr>
      <w:ind w:left="1985" w:hanging="851"/>
    </w:pPr>
  </w:style>
  <w:style w:type="character" w:customStyle="1" w:styleId="CharAmPartNo">
    <w:name w:val="CharAmPartNo"/>
    <w:basedOn w:val="OPCCharBase"/>
    <w:qFormat/>
    <w:rsid w:val="007D66DA"/>
  </w:style>
  <w:style w:type="character" w:customStyle="1" w:styleId="CharAmPartText">
    <w:name w:val="CharAmPartText"/>
    <w:basedOn w:val="OPCCharBase"/>
    <w:qFormat/>
    <w:rsid w:val="007D66DA"/>
  </w:style>
  <w:style w:type="character" w:customStyle="1" w:styleId="CharAmSchNo">
    <w:name w:val="CharAmSchNo"/>
    <w:basedOn w:val="OPCCharBase"/>
    <w:qFormat/>
    <w:rsid w:val="007D66DA"/>
  </w:style>
  <w:style w:type="character" w:customStyle="1" w:styleId="CharAmSchText">
    <w:name w:val="CharAmSchText"/>
    <w:basedOn w:val="OPCCharBase"/>
    <w:qFormat/>
    <w:rsid w:val="007D66DA"/>
  </w:style>
  <w:style w:type="character" w:customStyle="1" w:styleId="CharBoldItalic">
    <w:name w:val="CharBoldItalic"/>
    <w:basedOn w:val="OPCCharBase"/>
    <w:uiPriority w:val="1"/>
    <w:qFormat/>
    <w:rsid w:val="007D66DA"/>
    <w:rPr>
      <w:b/>
      <w:i/>
    </w:rPr>
  </w:style>
  <w:style w:type="character" w:customStyle="1" w:styleId="CharChapNo">
    <w:name w:val="CharChapNo"/>
    <w:basedOn w:val="OPCCharBase"/>
    <w:uiPriority w:val="1"/>
    <w:qFormat/>
    <w:rsid w:val="007D66DA"/>
  </w:style>
  <w:style w:type="character" w:customStyle="1" w:styleId="CharChapText">
    <w:name w:val="CharChapText"/>
    <w:basedOn w:val="OPCCharBase"/>
    <w:uiPriority w:val="1"/>
    <w:qFormat/>
    <w:rsid w:val="007D66DA"/>
  </w:style>
  <w:style w:type="character" w:customStyle="1" w:styleId="CharDivNo">
    <w:name w:val="CharDivNo"/>
    <w:basedOn w:val="OPCCharBase"/>
    <w:uiPriority w:val="1"/>
    <w:qFormat/>
    <w:rsid w:val="007D66DA"/>
  </w:style>
  <w:style w:type="character" w:customStyle="1" w:styleId="CharDivText">
    <w:name w:val="CharDivText"/>
    <w:basedOn w:val="OPCCharBase"/>
    <w:uiPriority w:val="1"/>
    <w:qFormat/>
    <w:rsid w:val="007D66DA"/>
  </w:style>
  <w:style w:type="character" w:customStyle="1" w:styleId="CharItalic">
    <w:name w:val="CharItalic"/>
    <w:basedOn w:val="OPCCharBase"/>
    <w:uiPriority w:val="1"/>
    <w:qFormat/>
    <w:rsid w:val="007D66DA"/>
    <w:rPr>
      <w:i/>
    </w:rPr>
  </w:style>
  <w:style w:type="character" w:customStyle="1" w:styleId="CharPartNo">
    <w:name w:val="CharPartNo"/>
    <w:basedOn w:val="OPCCharBase"/>
    <w:uiPriority w:val="1"/>
    <w:qFormat/>
    <w:rsid w:val="007D66DA"/>
  </w:style>
  <w:style w:type="character" w:customStyle="1" w:styleId="CharPartText">
    <w:name w:val="CharPartText"/>
    <w:basedOn w:val="OPCCharBase"/>
    <w:uiPriority w:val="1"/>
    <w:qFormat/>
    <w:rsid w:val="007D66DA"/>
  </w:style>
  <w:style w:type="character" w:customStyle="1" w:styleId="CharSectno">
    <w:name w:val="CharSectno"/>
    <w:basedOn w:val="OPCCharBase"/>
    <w:qFormat/>
    <w:rsid w:val="007D66DA"/>
  </w:style>
  <w:style w:type="character" w:customStyle="1" w:styleId="CharSubdNo">
    <w:name w:val="CharSubdNo"/>
    <w:basedOn w:val="OPCCharBase"/>
    <w:uiPriority w:val="1"/>
    <w:qFormat/>
    <w:rsid w:val="007D66DA"/>
  </w:style>
  <w:style w:type="character" w:customStyle="1" w:styleId="CharSubdText">
    <w:name w:val="CharSubdText"/>
    <w:basedOn w:val="OPCCharBase"/>
    <w:uiPriority w:val="1"/>
    <w:qFormat/>
    <w:rsid w:val="007D66DA"/>
  </w:style>
  <w:style w:type="paragraph" w:customStyle="1" w:styleId="CTA--">
    <w:name w:val="CTA --"/>
    <w:basedOn w:val="OPCParaBase"/>
    <w:next w:val="Normal"/>
    <w:rsid w:val="007D66DA"/>
    <w:pPr>
      <w:spacing w:before="60" w:line="240" w:lineRule="atLeast"/>
      <w:ind w:left="142" w:hanging="142"/>
    </w:pPr>
    <w:rPr>
      <w:sz w:val="20"/>
    </w:rPr>
  </w:style>
  <w:style w:type="paragraph" w:customStyle="1" w:styleId="CTA-">
    <w:name w:val="CTA -"/>
    <w:basedOn w:val="OPCParaBase"/>
    <w:rsid w:val="007D66DA"/>
    <w:pPr>
      <w:spacing w:before="60" w:line="240" w:lineRule="atLeast"/>
      <w:ind w:left="85" w:hanging="85"/>
    </w:pPr>
    <w:rPr>
      <w:sz w:val="20"/>
    </w:rPr>
  </w:style>
  <w:style w:type="paragraph" w:customStyle="1" w:styleId="CTA---">
    <w:name w:val="CTA ---"/>
    <w:basedOn w:val="OPCParaBase"/>
    <w:next w:val="Normal"/>
    <w:rsid w:val="007D66DA"/>
    <w:pPr>
      <w:spacing w:before="60" w:line="240" w:lineRule="atLeast"/>
      <w:ind w:left="198" w:hanging="198"/>
    </w:pPr>
    <w:rPr>
      <w:sz w:val="20"/>
    </w:rPr>
  </w:style>
  <w:style w:type="paragraph" w:customStyle="1" w:styleId="CTA----">
    <w:name w:val="CTA ----"/>
    <w:basedOn w:val="OPCParaBase"/>
    <w:next w:val="Normal"/>
    <w:rsid w:val="007D66DA"/>
    <w:pPr>
      <w:spacing w:before="60" w:line="240" w:lineRule="atLeast"/>
      <w:ind w:left="255" w:hanging="255"/>
    </w:pPr>
    <w:rPr>
      <w:sz w:val="20"/>
    </w:rPr>
  </w:style>
  <w:style w:type="paragraph" w:customStyle="1" w:styleId="CTA1a">
    <w:name w:val="CTA 1(a)"/>
    <w:basedOn w:val="OPCParaBase"/>
    <w:rsid w:val="007D66DA"/>
    <w:pPr>
      <w:tabs>
        <w:tab w:val="right" w:pos="414"/>
      </w:tabs>
      <w:spacing w:before="40" w:line="240" w:lineRule="atLeast"/>
      <w:ind w:left="675" w:hanging="675"/>
    </w:pPr>
    <w:rPr>
      <w:sz w:val="20"/>
    </w:rPr>
  </w:style>
  <w:style w:type="paragraph" w:customStyle="1" w:styleId="CTA1ai">
    <w:name w:val="CTA 1(a)(i)"/>
    <w:basedOn w:val="OPCParaBase"/>
    <w:rsid w:val="007D66DA"/>
    <w:pPr>
      <w:tabs>
        <w:tab w:val="right" w:pos="1004"/>
      </w:tabs>
      <w:spacing w:before="40" w:line="240" w:lineRule="atLeast"/>
      <w:ind w:left="1253" w:hanging="1253"/>
    </w:pPr>
    <w:rPr>
      <w:sz w:val="20"/>
    </w:rPr>
  </w:style>
  <w:style w:type="paragraph" w:customStyle="1" w:styleId="CTA2a">
    <w:name w:val="CTA 2(a)"/>
    <w:basedOn w:val="OPCParaBase"/>
    <w:rsid w:val="007D66DA"/>
    <w:pPr>
      <w:tabs>
        <w:tab w:val="right" w:pos="482"/>
      </w:tabs>
      <w:spacing w:before="40" w:line="240" w:lineRule="atLeast"/>
      <w:ind w:left="748" w:hanging="748"/>
    </w:pPr>
    <w:rPr>
      <w:sz w:val="20"/>
    </w:rPr>
  </w:style>
  <w:style w:type="paragraph" w:customStyle="1" w:styleId="CTA2ai">
    <w:name w:val="CTA 2(a)(i)"/>
    <w:basedOn w:val="OPCParaBase"/>
    <w:rsid w:val="007D66DA"/>
    <w:pPr>
      <w:tabs>
        <w:tab w:val="right" w:pos="1089"/>
      </w:tabs>
      <w:spacing w:before="40" w:line="240" w:lineRule="atLeast"/>
      <w:ind w:left="1327" w:hanging="1327"/>
    </w:pPr>
    <w:rPr>
      <w:sz w:val="20"/>
    </w:rPr>
  </w:style>
  <w:style w:type="paragraph" w:customStyle="1" w:styleId="CTA3a">
    <w:name w:val="CTA 3(a)"/>
    <w:basedOn w:val="OPCParaBase"/>
    <w:rsid w:val="007D66DA"/>
    <w:pPr>
      <w:tabs>
        <w:tab w:val="right" w:pos="556"/>
      </w:tabs>
      <w:spacing w:before="40" w:line="240" w:lineRule="atLeast"/>
      <w:ind w:left="805" w:hanging="805"/>
    </w:pPr>
    <w:rPr>
      <w:sz w:val="20"/>
    </w:rPr>
  </w:style>
  <w:style w:type="paragraph" w:customStyle="1" w:styleId="CTA3ai">
    <w:name w:val="CTA 3(a)(i)"/>
    <w:basedOn w:val="OPCParaBase"/>
    <w:rsid w:val="007D66DA"/>
    <w:pPr>
      <w:tabs>
        <w:tab w:val="right" w:pos="1140"/>
      </w:tabs>
      <w:spacing w:before="40" w:line="240" w:lineRule="atLeast"/>
      <w:ind w:left="1361" w:hanging="1361"/>
    </w:pPr>
    <w:rPr>
      <w:sz w:val="20"/>
    </w:rPr>
  </w:style>
  <w:style w:type="paragraph" w:customStyle="1" w:styleId="CTA4a">
    <w:name w:val="CTA 4(a)"/>
    <w:basedOn w:val="OPCParaBase"/>
    <w:rsid w:val="007D66DA"/>
    <w:pPr>
      <w:tabs>
        <w:tab w:val="right" w:pos="624"/>
      </w:tabs>
      <w:spacing w:before="40" w:line="240" w:lineRule="atLeast"/>
      <w:ind w:left="873" w:hanging="873"/>
    </w:pPr>
    <w:rPr>
      <w:sz w:val="20"/>
    </w:rPr>
  </w:style>
  <w:style w:type="paragraph" w:customStyle="1" w:styleId="CTA4ai">
    <w:name w:val="CTA 4(a)(i)"/>
    <w:basedOn w:val="OPCParaBase"/>
    <w:rsid w:val="007D66DA"/>
    <w:pPr>
      <w:tabs>
        <w:tab w:val="right" w:pos="1213"/>
      </w:tabs>
      <w:spacing w:before="40" w:line="240" w:lineRule="atLeast"/>
      <w:ind w:left="1452" w:hanging="1452"/>
    </w:pPr>
    <w:rPr>
      <w:sz w:val="20"/>
    </w:rPr>
  </w:style>
  <w:style w:type="paragraph" w:customStyle="1" w:styleId="CTACAPS">
    <w:name w:val="CTA CAPS"/>
    <w:basedOn w:val="OPCParaBase"/>
    <w:rsid w:val="007D66DA"/>
    <w:pPr>
      <w:spacing w:before="60" w:line="240" w:lineRule="atLeast"/>
    </w:pPr>
    <w:rPr>
      <w:sz w:val="20"/>
    </w:rPr>
  </w:style>
  <w:style w:type="paragraph" w:customStyle="1" w:styleId="CTAright">
    <w:name w:val="CTA right"/>
    <w:basedOn w:val="OPCParaBase"/>
    <w:rsid w:val="007D66DA"/>
    <w:pPr>
      <w:spacing w:before="60" w:line="240" w:lineRule="auto"/>
      <w:jc w:val="right"/>
    </w:pPr>
    <w:rPr>
      <w:sz w:val="20"/>
    </w:rPr>
  </w:style>
  <w:style w:type="paragraph" w:customStyle="1" w:styleId="subsection">
    <w:name w:val="subsection"/>
    <w:aliases w:val="ss"/>
    <w:basedOn w:val="OPCParaBase"/>
    <w:link w:val="subsectionChar"/>
    <w:rsid w:val="007D66DA"/>
    <w:pPr>
      <w:tabs>
        <w:tab w:val="right" w:pos="1021"/>
      </w:tabs>
      <w:spacing w:before="180" w:line="240" w:lineRule="auto"/>
      <w:ind w:left="1134" w:hanging="1134"/>
    </w:pPr>
  </w:style>
  <w:style w:type="paragraph" w:customStyle="1" w:styleId="Definition">
    <w:name w:val="Definition"/>
    <w:aliases w:val="dd"/>
    <w:basedOn w:val="OPCParaBase"/>
    <w:rsid w:val="007D66DA"/>
    <w:pPr>
      <w:spacing w:before="180" w:line="240" w:lineRule="auto"/>
      <w:ind w:left="1134"/>
    </w:pPr>
  </w:style>
  <w:style w:type="paragraph" w:customStyle="1" w:styleId="ETAsubitem">
    <w:name w:val="ETA(subitem)"/>
    <w:basedOn w:val="OPCParaBase"/>
    <w:rsid w:val="007D66DA"/>
    <w:pPr>
      <w:tabs>
        <w:tab w:val="right" w:pos="340"/>
      </w:tabs>
      <w:spacing w:before="60" w:line="240" w:lineRule="auto"/>
      <w:ind w:left="454" w:hanging="454"/>
    </w:pPr>
    <w:rPr>
      <w:sz w:val="20"/>
    </w:rPr>
  </w:style>
  <w:style w:type="paragraph" w:customStyle="1" w:styleId="ETApara">
    <w:name w:val="ETA(para)"/>
    <w:basedOn w:val="OPCParaBase"/>
    <w:rsid w:val="007D66DA"/>
    <w:pPr>
      <w:tabs>
        <w:tab w:val="right" w:pos="754"/>
      </w:tabs>
      <w:spacing w:before="60" w:line="240" w:lineRule="auto"/>
      <w:ind w:left="828" w:hanging="828"/>
    </w:pPr>
    <w:rPr>
      <w:sz w:val="20"/>
    </w:rPr>
  </w:style>
  <w:style w:type="paragraph" w:customStyle="1" w:styleId="ETAsubpara">
    <w:name w:val="ETA(subpara)"/>
    <w:basedOn w:val="OPCParaBase"/>
    <w:rsid w:val="007D66DA"/>
    <w:pPr>
      <w:tabs>
        <w:tab w:val="right" w:pos="1083"/>
      </w:tabs>
      <w:spacing w:before="60" w:line="240" w:lineRule="auto"/>
      <w:ind w:left="1191" w:hanging="1191"/>
    </w:pPr>
    <w:rPr>
      <w:sz w:val="20"/>
    </w:rPr>
  </w:style>
  <w:style w:type="paragraph" w:customStyle="1" w:styleId="ETAsub-subpara">
    <w:name w:val="ETA(sub-subpara)"/>
    <w:basedOn w:val="OPCParaBase"/>
    <w:rsid w:val="007D66DA"/>
    <w:pPr>
      <w:tabs>
        <w:tab w:val="right" w:pos="1412"/>
      </w:tabs>
      <w:spacing w:before="60" w:line="240" w:lineRule="auto"/>
      <w:ind w:left="1525" w:hanging="1525"/>
    </w:pPr>
    <w:rPr>
      <w:sz w:val="20"/>
    </w:rPr>
  </w:style>
  <w:style w:type="paragraph" w:customStyle="1" w:styleId="Formula">
    <w:name w:val="Formula"/>
    <w:basedOn w:val="OPCParaBase"/>
    <w:rsid w:val="007D66DA"/>
    <w:pPr>
      <w:spacing w:line="240" w:lineRule="auto"/>
      <w:ind w:left="1134"/>
    </w:pPr>
    <w:rPr>
      <w:sz w:val="20"/>
    </w:rPr>
  </w:style>
  <w:style w:type="paragraph" w:styleId="Header">
    <w:name w:val="header"/>
    <w:basedOn w:val="OPCParaBase"/>
    <w:link w:val="HeaderChar"/>
    <w:unhideWhenUsed/>
    <w:rsid w:val="007D66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D66DA"/>
    <w:rPr>
      <w:rFonts w:eastAsia="Times New Roman" w:cs="Times New Roman"/>
      <w:sz w:val="16"/>
      <w:lang w:eastAsia="en-AU"/>
    </w:rPr>
  </w:style>
  <w:style w:type="paragraph" w:customStyle="1" w:styleId="House">
    <w:name w:val="House"/>
    <w:basedOn w:val="OPCParaBase"/>
    <w:rsid w:val="007D66DA"/>
    <w:pPr>
      <w:spacing w:line="240" w:lineRule="auto"/>
    </w:pPr>
    <w:rPr>
      <w:sz w:val="28"/>
    </w:rPr>
  </w:style>
  <w:style w:type="paragraph" w:customStyle="1" w:styleId="Item">
    <w:name w:val="Item"/>
    <w:aliases w:val="i"/>
    <w:basedOn w:val="OPCParaBase"/>
    <w:next w:val="ItemHead"/>
    <w:rsid w:val="007D66DA"/>
    <w:pPr>
      <w:keepLines/>
      <w:spacing w:before="80" w:line="240" w:lineRule="auto"/>
      <w:ind w:left="709"/>
    </w:pPr>
  </w:style>
  <w:style w:type="paragraph" w:customStyle="1" w:styleId="ItemHead">
    <w:name w:val="ItemHead"/>
    <w:aliases w:val="ih"/>
    <w:basedOn w:val="OPCParaBase"/>
    <w:next w:val="Item"/>
    <w:rsid w:val="007D66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D66DA"/>
    <w:pPr>
      <w:spacing w:line="240" w:lineRule="auto"/>
    </w:pPr>
    <w:rPr>
      <w:b/>
      <w:sz w:val="32"/>
    </w:rPr>
  </w:style>
  <w:style w:type="paragraph" w:customStyle="1" w:styleId="notedraft">
    <w:name w:val="note(draft)"/>
    <w:aliases w:val="nd"/>
    <w:basedOn w:val="OPCParaBase"/>
    <w:rsid w:val="007D66DA"/>
    <w:pPr>
      <w:spacing w:before="240" w:line="240" w:lineRule="auto"/>
      <w:ind w:left="284" w:hanging="284"/>
    </w:pPr>
    <w:rPr>
      <w:i/>
      <w:sz w:val="24"/>
    </w:rPr>
  </w:style>
  <w:style w:type="paragraph" w:customStyle="1" w:styleId="notemargin">
    <w:name w:val="note(margin)"/>
    <w:aliases w:val="nm"/>
    <w:basedOn w:val="OPCParaBase"/>
    <w:rsid w:val="007D66DA"/>
    <w:pPr>
      <w:tabs>
        <w:tab w:val="left" w:pos="709"/>
      </w:tabs>
      <w:spacing w:before="122" w:line="198" w:lineRule="exact"/>
      <w:ind w:left="709" w:hanging="709"/>
    </w:pPr>
    <w:rPr>
      <w:sz w:val="18"/>
    </w:rPr>
  </w:style>
  <w:style w:type="paragraph" w:customStyle="1" w:styleId="noteToPara">
    <w:name w:val="noteToPara"/>
    <w:aliases w:val="ntp"/>
    <w:basedOn w:val="OPCParaBase"/>
    <w:rsid w:val="007D66DA"/>
    <w:pPr>
      <w:spacing w:before="122" w:line="198" w:lineRule="exact"/>
      <w:ind w:left="2353" w:hanging="709"/>
    </w:pPr>
    <w:rPr>
      <w:sz w:val="18"/>
    </w:rPr>
  </w:style>
  <w:style w:type="paragraph" w:customStyle="1" w:styleId="noteParlAmend">
    <w:name w:val="note(ParlAmend)"/>
    <w:aliases w:val="npp"/>
    <w:basedOn w:val="OPCParaBase"/>
    <w:next w:val="ParlAmend"/>
    <w:rsid w:val="007D66DA"/>
    <w:pPr>
      <w:spacing w:line="240" w:lineRule="auto"/>
      <w:jc w:val="right"/>
    </w:pPr>
    <w:rPr>
      <w:rFonts w:ascii="Arial" w:hAnsi="Arial"/>
      <w:b/>
      <w:i/>
    </w:rPr>
  </w:style>
  <w:style w:type="paragraph" w:customStyle="1" w:styleId="Page1">
    <w:name w:val="Page1"/>
    <w:basedOn w:val="OPCParaBase"/>
    <w:rsid w:val="007D66DA"/>
    <w:pPr>
      <w:spacing w:before="5600" w:line="240" w:lineRule="auto"/>
    </w:pPr>
    <w:rPr>
      <w:b/>
      <w:sz w:val="32"/>
    </w:rPr>
  </w:style>
  <w:style w:type="paragraph" w:customStyle="1" w:styleId="PageBreak">
    <w:name w:val="PageBreak"/>
    <w:aliases w:val="pb"/>
    <w:basedOn w:val="OPCParaBase"/>
    <w:rsid w:val="007D66DA"/>
    <w:pPr>
      <w:spacing w:line="240" w:lineRule="auto"/>
    </w:pPr>
    <w:rPr>
      <w:sz w:val="20"/>
    </w:rPr>
  </w:style>
  <w:style w:type="paragraph" w:customStyle="1" w:styleId="paragraphsub">
    <w:name w:val="paragraph(sub)"/>
    <w:aliases w:val="aa"/>
    <w:basedOn w:val="OPCParaBase"/>
    <w:rsid w:val="007D66DA"/>
    <w:pPr>
      <w:tabs>
        <w:tab w:val="right" w:pos="1985"/>
      </w:tabs>
      <w:spacing w:before="40" w:line="240" w:lineRule="auto"/>
      <w:ind w:left="2098" w:hanging="2098"/>
    </w:pPr>
  </w:style>
  <w:style w:type="paragraph" w:customStyle="1" w:styleId="paragraphsub-sub">
    <w:name w:val="paragraph(sub-sub)"/>
    <w:aliases w:val="aaa"/>
    <w:basedOn w:val="OPCParaBase"/>
    <w:rsid w:val="007D66DA"/>
    <w:pPr>
      <w:tabs>
        <w:tab w:val="right" w:pos="2722"/>
      </w:tabs>
      <w:spacing w:before="40" w:line="240" w:lineRule="auto"/>
      <w:ind w:left="2835" w:hanging="2835"/>
    </w:pPr>
  </w:style>
  <w:style w:type="paragraph" w:customStyle="1" w:styleId="paragraph">
    <w:name w:val="paragraph"/>
    <w:aliases w:val="a"/>
    <w:basedOn w:val="OPCParaBase"/>
    <w:link w:val="paragraphChar"/>
    <w:rsid w:val="007D66DA"/>
    <w:pPr>
      <w:tabs>
        <w:tab w:val="right" w:pos="1531"/>
      </w:tabs>
      <w:spacing w:before="40" w:line="240" w:lineRule="auto"/>
      <w:ind w:left="1644" w:hanging="1644"/>
    </w:pPr>
  </w:style>
  <w:style w:type="paragraph" w:customStyle="1" w:styleId="ParlAmend">
    <w:name w:val="ParlAmend"/>
    <w:aliases w:val="pp"/>
    <w:basedOn w:val="OPCParaBase"/>
    <w:rsid w:val="007D66DA"/>
    <w:pPr>
      <w:spacing w:before="240" w:line="240" w:lineRule="atLeast"/>
      <w:ind w:hanging="567"/>
    </w:pPr>
    <w:rPr>
      <w:sz w:val="24"/>
    </w:rPr>
  </w:style>
  <w:style w:type="paragraph" w:customStyle="1" w:styleId="Penalty">
    <w:name w:val="Penalty"/>
    <w:basedOn w:val="OPCParaBase"/>
    <w:rsid w:val="007D66DA"/>
    <w:pPr>
      <w:tabs>
        <w:tab w:val="left" w:pos="2977"/>
      </w:tabs>
      <w:spacing w:before="180" w:line="240" w:lineRule="auto"/>
      <w:ind w:left="1985" w:hanging="851"/>
    </w:pPr>
  </w:style>
  <w:style w:type="paragraph" w:customStyle="1" w:styleId="Portfolio">
    <w:name w:val="Portfolio"/>
    <w:basedOn w:val="OPCParaBase"/>
    <w:rsid w:val="007D66DA"/>
    <w:pPr>
      <w:spacing w:line="240" w:lineRule="auto"/>
    </w:pPr>
    <w:rPr>
      <w:i/>
      <w:sz w:val="20"/>
    </w:rPr>
  </w:style>
  <w:style w:type="paragraph" w:customStyle="1" w:styleId="Preamble">
    <w:name w:val="Preamble"/>
    <w:basedOn w:val="OPCParaBase"/>
    <w:next w:val="Normal"/>
    <w:rsid w:val="007D66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66DA"/>
    <w:pPr>
      <w:spacing w:line="240" w:lineRule="auto"/>
    </w:pPr>
    <w:rPr>
      <w:i/>
      <w:sz w:val="20"/>
    </w:rPr>
  </w:style>
  <w:style w:type="paragraph" w:customStyle="1" w:styleId="Session">
    <w:name w:val="Session"/>
    <w:basedOn w:val="OPCParaBase"/>
    <w:rsid w:val="007D66DA"/>
    <w:pPr>
      <w:spacing w:line="240" w:lineRule="auto"/>
    </w:pPr>
    <w:rPr>
      <w:sz w:val="28"/>
    </w:rPr>
  </w:style>
  <w:style w:type="paragraph" w:customStyle="1" w:styleId="Sponsor">
    <w:name w:val="Sponsor"/>
    <w:basedOn w:val="OPCParaBase"/>
    <w:rsid w:val="007D66DA"/>
    <w:pPr>
      <w:spacing w:line="240" w:lineRule="auto"/>
    </w:pPr>
    <w:rPr>
      <w:i/>
    </w:rPr>
  </w:style>
  <w:style w:type="paragraph" w:customStyle="1" w:styleId="Subitem">
    <w:name w:val="Subitem"/>
    <w:aliases w:val="iss"/>
    <w:basedOn w:val="OPCParaBase"/>
    <w:rsid w:val="007D66DA"/>
    <w:pPr>
      <w:spacing w:before="180" w:line="240" w:lineRule="auto"/>
      <w:ind w:left="709" w:hanging="709"/>
    </w:pPr>
  </w:style>
  <w:style w:type="paragraph" w:customStyle="1" w:styleId="SubitemHead">
    <w:name w:val="SubitemHead"/>
    <w:aliases w:val="issh"/>
    <w:basedOn w:val="OPCParaBase"/>
    <w:rsid w:val="007D66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66DA"/>
    <w:pPr>
      <w:spacing w:before="40" w:line="240" w:lineRule="auto"/>
      <w:ind w:left="1134"/>
    </w:pPr>
  </w:style>
  <w:style w:type="paragraph" w:customStyle="1" w:styleId="SubsectionHead">
    <w:name w:val="SubsectionHead"/>
    <w:aliases w:val="ssh"/>
    <w:basedOn w:val="OPCParaBase"/>
    <w:next w:val="subsection"/>
    <w:rsid w:val="007D66DA"/>
    <w:pPr>
      <w:keepNext/>
      <w:keepLines/>
      <w:spacing w:before="240" w:line="240" w:lineRule="auto"/>
      <w:ind w:left="1134"/>
    </w:pPr>
    <w:rPr>
      <w:i/>
    </w:rPr>
  </w:style>
  <w:style w:type="paragraph" w:customStyle="1" w:styleId="Tablea">
    <w:name w:val="Table(a)"/>
    <w:aliases w:val="ta"/>
    <w:basedOn w:val="OPCParaBase"/>
    <w:rsid w:val="007D66DA"/>
    <w:pPr>
      <w:spacing w:before="60" w:line="240" w:lineRule="auto"/>
      <w:ind w:left="284" w:hanging="284"/>
    </w:pPr>
    <w:rPr>
      <w:sz w:val="20"/>
    </w:rPr>
  </w:style>
  <w:style w:type="paragraph" w:customStyle="1" w:styleId="TableAA">
    <w:name w:val="Table(AA)"/>
    <w:aliases w:val="taaa"/>
    <w:basedOn w:val="OPCParaBase"/>
    <w:rsid w:val="007D66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66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66DA"/>
    <w:pPr>
      <w:spacing w:before="60" w:line="240" w:lineRule="atLeast"/>
    </w:pPr>
    <w:rPr>
      <w:sz w:val="20"/>
    </w:rPr>
  </w:style>
  <w:style w:type="paragraph" w:customStyle="1" w:styleId="TLPBoxTextnote">
    <w:name w:val="TLPBoxText(note"/>
    <w:aliases w:val="right)"/>
    <w:basedOn w:val="OPCParaBase"/>
    <w:rsid w:val="007D66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66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66DA"/>
    <w:pPr>
      <w:spacing w:before="122" w:line="198" w:lineRule="exact"/>
      <w:ind w:left="1985" w:hanging="851"/>
      <w:jc w:val="right"/>
    </w:pPr>
    <w:rPr>
      <w:sz w:val="18"/>
    </w:rPr>
  </w:style>
  <w:style w:type="paragraph" w:customStyle="1" w:styleId="TLPTableBullet">
    <w:name w:val="TLPTableBullet"/>
    <w:aliases w:val="ttb"/>
    <w:basedOn w:val="OPCParaBase"/>
    <w:rsid w:val="007D66DA"/>
    <w:pPr>
      <w:spacing w:line="240" w:lineRule="exact"/>
      <w:ind w:left="284" w:hanging="284"/>
    </w:pPr>
    <w:rPr>
      <w:sz w:val="20"/>
    </w:rPr>
  </w:style>
  <w:style w:type="paragraph" w:styleId="TOC1">
    <w:name w:val="toc 1"/>
    <w:basedOn w:val="OPCParaBase"/>
    <w:next w:val="Normal"/>
    <w:uiPriority w:val="39"/>
    <w:semiHidden/>
    <w:unhideWhenUsed/>
    <w:rsid w:val="007D66D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7D66D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D66D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7D66D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D66D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D66D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D66D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D66D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66D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66DA"/>
    <w:pPr>
      <w:keepLines/>
      <w:spacing w:before="240" w:after="120" w:line="240" w:lineRule="auto"/>
      <w:ind w:left="794"/>
    </w:pPr>
    <w:rPr>
      <w:b/>
      <w:kern w:val="28"/>
      <w:sz w:val="20"/>
    </w:rPr>
  </w:style>
  <w:style w:type="paragraph" w:customStyle="1" w:styleId="TofSectsHeading">
    <w:name w:val="TofSects(Heading)"/>
    <w:basedOn w:val="OPCParaBase"/>
    <w:rsid w:val="007D66DA"/>
    <w:pPr>
      <w:spacing w:before="240" w:after="120" w:line="240" w:lineRule="auto"/>
    </w:pPr>
    <w:rPr>
      <w:b/>
      <w:sz w:val="24"/>
    </w:rPr>
  </w:style>
  <w:style w:type="paragraph" w:customStyle="1" w:styleId="TofSectsSection">
    <w:name w:val="TofSects(Section)"/>
    <w:basedOn w:val="OPCParaBase"/>
    <w:rsid w:val="007D66DA"/>
    <w:pPr>
      <w:keepLines/>
      <w:spacing w:before="40" w:line="240" w:lineRule="auto"/>
      <w:ind w:left="1588" w:hanging="794"/>
    </w:pPr>
    <w:rPr>
      <w:kern w:val="28"/>
      <w:sz w:val="18"/>
    </w:rPr>
  </w:style>
  <w:style w:type="paragraph" w:customStyle="1" w:styleId="TofSectsSubdiv">
    <w:name w:val="TofSects(Subdiv)"/>
    <w:basedOn w:val="OPCParaBase"/>
    <w:rsid w:val="007D66DA"/>
    <w:pPr>
      <w:keepLines/>
      <w:spacing w:before="80" w:line="240" w:lineRule="auto"/>
      <w:ind w:left="1588" w:hanging="794"/>
    </w:pPr>
    <w:rPr>
      <w:kern w:val="28"/>
    </w:rPr>
  </w:style>
  <w:style w:type="paragraph" w:customStyle="1" w:styleId="WRStyle">
    <w:name w:val="WR Style"/>
    <w:aliases w:val="WR"/>
    <w:basedOn w:val="OPCParaBase"/>
    <w:rsid w:val="007D66DA"/>
    <w:pPr>
      <w:spacing w:before="240" w:line="240" w:lineRule="auto"/>
      <w:ind w:left="284" w:hanging="284"/>
    </w:pPr>
    <w:rPr>
      <w:b/>
      <w:i/>
      <w:kern w:val="28"/>
      <w:sz w:val="24"/>
    </w:rPr>
  </w:style>
  <w:style w:type="paragraph" w:customStyle="1" w:styleId="notepara">
    <w:name w:val="note(para)"/>
    <w:aliases w:val="na"/>
    <w:basedOn w:val="OPCParaBase"/>
    <w:rsid w:val="007D66DA"/>
    <w:pPr>
      <w:spacing w:before="40" w:line="198" w:lineRule="exact"/>
      <w:ind w:left="2354" w:hanging="369"/>
    </w:pPr>
    <w:rPr>
      <w:sz w:val="18"/>
    </w:rPr>
  </w:style>
  <w:style w:type="paragraph" w:styleId="Footer">
    <w:name w:val="footer"/>
    <w:link w:val="FooterChar"/>
    <w:rsid w:val="007D66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D66DA"/>
    <w:rPr>
      <w:rFonts w:eastAsia="Times New Roman" w:cs="Times New Roman"/>
      <w:sz w:val="22"/>
      <w:szCs w:val="24"/>
      <w:lang w:eastAsia="en-AU"/>
    </w:rPr>
  </w:style>
  <w:style w:type="character" w:styleId="LineNumber">
    <w:name w:val="line number"/>
    <w:basedOn w:val="OPCCharBase"/>
    <w:uiPriority w:val="99"/>
    <w:semiHidden/>
    <w:unhideWhenUsed/>
    <w:rsid w:val="007D66DA"/>
    <w:rPr>
      <w:sz w:val="16"/>
    </w:rPr>
  </w:style>
  <w:style w:type="table" w:customStyle="1" w:styleId="CFlag">
    <w:name w:val="CFlag"/>
    <w:basedOn w:val="TableNormal"/>
    <w:uiPriority w:val="99"/>
    <w:rsid w:val="007D66DA"/>
    <w:rPr>
      <w:rFonts w:eastAsia="Times New Roman" w:cs="Times New Roman"/>
      <w:lang w:eastAsia="en-AU"/>
    </w:rPr>
    <w:tblPr/>
  </w:style>
  <w:style w:type="paragraph" w:styleId="BalloonText">
    <w:name w:val="Balloon Text"/>
    <w:basedOn w:val="Normal"/>
    <w:link w:val="BalloonTextChar"/>
    <w:uiPriority w:val="99"/>
    <w:semiHidden/>
    <w:unhideWhenUsed/>
    <w:rsid w:val="007D6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6DA"/>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7D6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D66DA"/>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7D66DA"/>
    <w:rPr>
      <w:i/>
      <w:sz w:val="32"/>
      <w:szCs w:val="32"/>
    </w:rPr>
  </w:style>
  <w:style w:type="paragraph" w:customStyle="1" w:styleId="SignCoverPageEnd">
    <w:name w:val="SignCoverPageEnd"/>
    <w:basedOn w:val="OPCParaBase"/>
    <w:next w:val="Normal"/>
    <w:rsid w:val="007D66D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D66DA"/>
    <w:pPr>
      <w:pBdr>
        <w:top w:val="single" w:sz="4" w:space="1" w:color="auto"/>
      </w:pBdr>
      <w:spacing w:before="360"/>
      <w:ind w:right="397"/>
      <w:jc w:val="both"/>
    </w:pPr>
  </w:style>
  <w:style w:type="paragraph" w:customStyle="1" w:styleId="NotesHeading1">
    <w:name w:val="NotesHeading 1"/>
    <w:basedOn w:val="OPCParaBase"/>
    <w:next w:val="Normal"/>
    <w:rsid w:val="007D66DA"/>
    <w:rPr>
      <w:b/>
      <w:sz w:val="28"/>
      <w:szCs w:val="28"/>
    </w:rPr>
  </w:style>
  <w:style w:type="paragraph" w:customStyle="1" w:styleId="NotesHeading2">
    <w:name w:val="NotesHeading 2"/>
    <w:basedOn w:val="OPCParaBase"/>
    <w:next w:val="Normal"/>
    <w:rsid w:val="007D66DA"/>
    <w:rPr>
      <w:b/>
      <w:sz w:val="28"/>
      <w:szCs w:val="28"/>
    </w:rPr>
  </w:style>
  <w:style w:type="paragraph" w:customStyle="1" w:styleId="CompiledActNo">
    <w:name w:val="CompiledActNo"/>
    <w:basedOn w:val="OPCParaBase"/>
    <w:next w:val="Normal"/>
    <w:rsid w:val="007D66DA"/>
    <w:rPr>
      <w:b/>
      <w:sz w:val="24"/>
      <w:szCs w:val="24"/>
    </w:rPr>
  </w:style>
  <w:style w:type="paragraph" w:customStyle="1" w:styleId="CompiledMadeUnder">
    <w:name w:val="CompiledMadeUnder"/>
    <w:basedOn w:val="OPCParaBase"/>
    <w:next w:val="Normal"/>
    <w:rsid w:val="007D66DA"/>
    <w:rPr>
      <w:i/>
      <w:sz w:val="24"/>
      <w:szCs w:val="24"/>
    </w:rPr>
  </w:style>
  <w:style w:type="paragraph" w:customStyle="1" w:styleId="Paragraphsub-sub-sub">
    <w:name w:val="Paragraph(sub-sub-sub)"/>
    <w:aliases w:val="aaaa"/>
    <w:basedOn w:val="OPCParaBase"/>
    <w:rsid w:val="007D66DA"/>
    <w:pPr>
      <w:tabs>
        <w:tab w:val="right" w:pos="3402"/>
      </w:tabs>
      <w:spacing w:before="40" w:line="240" w:lineRule="auto"/>
      <w:ind w:left="3402" w:hanging="3402"/>
    </w:pPr>
  </w:style>
  <w:style w:type="paragraph" w:customStyle="1" w:styleId="NoteToSubpara">
    <w:name w:val="NoteToSubpara"/>
    <w:aliases w:val="nts"/>
    <w:basedOn w:val="OPCParaBase"/>
    <w:rsid w:val="007D66DA"/>
    <w:pPr>
      <w:spacing w:before="40" w:line="198" w:lineRule="exact"/>
      <w:ind w:left="2835" w:hanging="709"/>
    </w:pPr>
    <w:rPr>
      <w:sz w:val="18"/>
    </w:rPr>
  </w:style>
  <w:style w:type="paragraph" w:customStyle="1" w:styleId="EndNotespara">
    <w:name w:val="EndNotes(para)"/>
    <w:aliases w:val="eta"/>
    <w:basedOn w:val="OPCParaBase"/>
    <w:next w:val="EndNotessubpara"/>
    <w:rsid w:val="007D66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66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66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66DA"/>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D66DA"/>
    <w:pPr>
      <w:keepNext/>
      <w:spacing w:before="60" w:line="240" w:lineRule="atLeast"/>
    </w:pPr>
    <w:rPr>
      <w:rFonts w:ascii="Arial" w:hAnsi="Arial"/>
      <w:b/>
      <w:sz w:val="16"/>
    </w:rPr>
  </w:style>
  <w:style w:type="paragraph" w:customStyle="1" w:styleId="ENoteTTi">
    <w:name w:val="ENoteTTi"/>
    <w:aliases w:val="entti"/>
    <w:basedOn w:val="OPCParaBase"/>
    <w:rsid w:val="007D66DA"/>
    <w:pPr>
      <w:keepNext/>
      <w:spacing w:before="60" w:line="240" w:lineRule="atLeast"/>
      <w:ind w:left="170"/>
    </w:pPr>
    <w:rPr>
      <w:sz w:val="16"/>
    </w:rPr>
  </w:style>
  <w:style w:type="paragraph" w:customStyle="1" w:styleId="ENotesHeading1">
    <w:name w:val="ENotesHeading 1"/>
    <w:aliases w:val="Enh1"/>
    <w:basedOn w:val="OPCParaBase"/>
    <w:next w:val="Normal"/>
    <w:rsid w:val="007D66DA"/>
    <w:pPr>
      <w:spacing w:before="120"/>
      <w:outlineLvl w:val="1"/>
    </w:pPr>
    <w:rPr>
      <w:b/>
      <w:sz w:val="28"/>
      <w:szCs w:val="28"/>
    </w:rPr>
  </w:style>
  <w:style w:type="paragraph" w:customStyle="1" w:styleId="ENotesHeading2">
    <w:name w:val="ENotesHeading 2"/>
    <w:aliases w:val="Enh2"/>
    <w:basedOn w:val="OPCParaBase"/>
    <w:next w:val="Normal"/>
    <w:rsid w:val="007D66DA"/>
    <w:pPr>
      <w:spacing w:before="120" w:after="120"/>
      <w:outlineLvl w:val="2"/>
    </w:pPr>
    <w:rPr>
      <w:b/>
      <w:sz w:val="24"/>
      <w:szCs w:val="28"/>
    </w:rPr>
  </w:style>
  <w:style w:type="paragraph" w:customStyle="1" w:styleId="ENoteTTIndentHeading">
    <w:name w:val="ENoteTTIndentHeading"/>
    <w:aliases w:val="enTTHi"/>
    <w:basedOn w:val="OPCParaBase"/>
    <w:rsid w:val="007D66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66DA"/>
    <w:pPr>
      <w:spacing w:before="60" w:line="240" w:lineRule="atLeast"/>
    </w:pPr>
    <w:rPr>
      <w:sz w:val="16"/>
    </w:rPr>
  </w:style>
  <w:style w:type="paragraph" w:customStyle="1" w:styleId="MadeunderText">
    <w:name w:val="MadeunderText"/>
    <w:basedOn w:val="OPCParaBase"/>
    <w:next w:val="CompiledMadeUnder"/>
    <w:rsid w:val="007D66DA"/>
    <w:pPr>
      <w:spacing w:before="240"/>
    </w:pPr>
    <w:rPr>
      <w:sz w:val="24"/>
      <w:szCs w:val="24"/>
    </w:rPr>
  </w:style>
  <w:style w:type="paragraph" w:customStyle="1" w:styleId="ENotesHeading3">
    <w:name w:val="ENotesHeading 3"/>
    <w:aliases w:val="Enh3"/>
    <w:basedOn w:val="OPCParaBase"/>
    <w:next w:val="Normal"/>
    <w:rsid w:val="007D66DA"/>
    <w:pPr>
      <w:keepNext/>
      <w:spacing w:before="120" w:line="240" w:lineRule="auto"/>
      <w:outlineLvl w:val="4"/>
    </w:pPr>
    <w:rPr>
      <w:b/>
      <w:szCs w:val="24"/>
    </w:rPr>
  </w:style>
  <w:style w:type="character" w:customStyle="1" w:styleId="CharSubPartTextCASA">
    <w:name w:val="CharSubPartText(CASA)"/>
    <w:basedOn w:val="OPCCharBase"/>
    <w:uiPriority w:val="1"/>
    <w:rsid w:val="007D66DA"/>
  </w:style>
  <w:style w:type="character" w:customStyle="1" w:styleId="CharSubPartNoCASA">
    <w:name w:val="CharSubPartNo(CASA)"/>
    <w:basedOn w:val="OPCCharBase"/>
    <w:uiPriority w:val="1"/>
    <w:rsid w:val="007D66DA"/>
  </w:style>
  <w:style w:type="paragraph" w:customStyle="1" w:styleId="ENoteTTIndentHeadingSub">
    <w:name w:val="ENoteTTIndentHeadingSub"/>
    <w:aliases w:val="enTTHis"/>
    <w:basedOn w:val="OPCParaBase"/>
    <w:rsid w:val="007D66DA"/>
    <w:pPr>
      <w:keepNext/>
      <w:spacing w:before="60" w:line="240" w:lineRule="atLeast"/>
      <w:ind w:left="340"/>
    </w:pPr>
    <w:rPr>
      <w:b/>
      <w:sz w:val="16"/>
    </w:rPr>
  </w:style>
  <w:style w:type="paragraph" w:customStyle="1" w:styleId="ENoteTTiSub">
    <w:name w:val="ENoteTTiSub"/>
    <w:aliases w:val="enttis"/>
    <w:basedOn w:val="OPCParaBase"/>
    <w:rsid w:val="007D66DA"/>
    <w:pPr>
      <w:keepNext/>
      <w:spacing w:before="60" w:line="240" w:lineRule="atLeast"/>
      <w:ind w:left="340"/>
    </w:pPr>
    <w:rPr>
      <w:sz w:val="16"/>
    </w:rPr>
  </w:style>
  <w:style w:type="paragraph" w:customStyle="1" w:styleId="SubDivisionMigration">
    <w:name w:val="SubDivisionMigration"/>
    <w:aliases w:val="sdm"/>
    <w:basedOn w:val="OPCParaBase"/>
    <w:rsid w:val="007D66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66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D66DA"/>
    <w:pPr>
      <w:spacing w:before="122" w:line="240" w:lineRule="auto"/>
      <w:ind w:left="1985" w:hanging="851"/>
    </w:pPr>
    <w:rPr>
      <w:sz w:val="18"/>
    </w:rPr>
  </w:style>
  <w:style w:type="paragraph" w:customStyle="1" w:styleId="FreeForm">
    <w:name w:val="FreeForm"/>
    <w:rsid w:val="007C7F0C"/>
    <w:rPr>
      <w:rFonts w:ascii="Arial" w:hAnsi="Arial"/>
      <w:sz w:val="22"/>
    </w:rPr>
  </w:style>
  <w:style w:type="paragraph" w:customStyle="1" w:styleId="SOText">
    <w:name w:val="SO Text"/>
    <w:aliases w:val="sot"/>
    <w:link w:val="SOTextChar"/>
    <w:rsid w:val="007D66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D66DA"/>
    <w:rPr>
      <w:sz w:val="22"/>
    </w:rPr>
  </w:style>
  <w:style w:type="paragraph" w:customStyle="1" w:styleId="SOTextNote">
    <w:name w:val="SO TextNote"/>
    <w:aliases w:val="sont"/>
    <w:basedOn w:val="SOText"/>
    <w:qFormat/>
    <w:rsid w:val="007D66DA"/>
    <w:pPr>
      <w:spacing w:before="122" w:line="198" w:lineRule="exact"/>
      <w:ind w:left="1843" w:hanging="709"/>
    </w:pPr>
    <w:rPr>
      <w:sz w:val="18"/>
    </w:rPr>
  </w:style>
  <w:style w:type="paragraph" w:customStyle="1" w:styleId="SOPara">
    <w:name w:val="SO Para"/>
    <w:aliases w:val="soa"/>
    <w:basedOn w:val="SOText"/>
    <w:link w:val="SOParaChar"/>
    <w:qFormat/>
    <w:rsid w:val="007D66DA"/>
    <w:pPr>
      <w:tabs>
        <w:tab w:val="right" w:pos="1786"/>
      </w:tabs>
      <w:spacing w:before="40"/>
      <w:ind w:left="2070" w:hanging="936"/>
    </w:pPr>
  </w:style>
  <w:style w:type="character" w:customStyle="1" w:styleId="SOParaChar">
    <w:name w:val="SO Para Char"/>
    <w:aliases w:val="soa Char"/>
    <w:basedOn w:val="DefaultParagraphFont"/>
    <w:link w:val="SOPara"/>
    <w:rsid w:val="007D66DA"/>
    <w:rPr>
      <w:sz w:val="22"/>
    </w:rPr>
  </w:style>
  <w:style w:type="paragraph" w:customStyle="1" w:styleId="FileName">
    <w:name w:val="FileName"/>
    <w:basedOn w:val="Normal"/>
    <w:rsid w:val="007D66DA"/>
  </w:style>
  <w:style w:type="paragraph" w:customStyle="1" w:styleId="TableHeading">
    <w:name w:val="TableHeading"/>
    <w:aliases w:val="th"/>
    <w:basedOn w:val="OPCParaBase"/>
    <w:next w:val="Tabletext"/>
    <w:rsid w:val="007D66DA"/>
    <w:pPr>
      <w:keepNext/>
      <w:spacing w:before="60" w:line="240" w:lineRule="atLeast"/>
    </w:pPr>
    <w:rPr>
      <w:b/>
      <w:sz w:val="20"/>
    </w:rPr>
  </w:style>
  <w:style w:type="paragraph" w:customStyle="1" w:styleId="SOHeadBold">
    <w:name w:val="SO HeadBold"/>
    <w:aliases w:val="sohb"/>
    <w:basedOn w:val="SOText"/>
    <w:next w:val="SOText"/>
    <w:link w:val="SOHeadBoldChar"/>
    <w:qFormat/>
    <w:rsid w:val="007D66DA"/>
    <w:rPr>
      <w:b/>
    </w:rPr>
  </w:style>
  <w:style w:type="character" w:customStyle="1" w:styleId="SOHeadBoldChar">
    <w:name w:val="SO HeadBold Char"/>
    <w:aliases w:val="sohb Char"/>
    <w:basedOn w:val="DefaultParagraphFont"/>
    <w:link w:val="SOHeadBold"/>
    <w:rsid w:val="007D66DA"/>
    <w:rPr>
      <w:b/>
      <w:sz w:val="22"/>
    </w:rPr>
  </w:style>
  <w:style w:type="paragraph" w:customStyle="1" w:styleId="SOHeadItalic">
    <w:name w:val="SO HeadItalic"/>
    <w:aliases w:val="sohi"/>
    <w:basedOn w:val="SOText"/>
    <w:next w:val="SOText"/>
    <w:link w:val="SOHeadItalicChar"/>
    <w:qFormat/>
    <w:rsid w:val="007D66DA"/>
    <w:rPr>
      <w:i/>
    </w:rPr>
  </w:style>
  <w:style w:type="character" w:customStyle="1" w:styleId="SOHeadItalicChar">
    <w:name w:val="SO HeadItalic Char"/>
    <w:aliases w:val="sohi Char"/>
    <w:basedOn w:val="DefaultParagraphFont"/>
    <w:link w:val="SOHeadItalic"/>
    <w:rsid w:val="007D66DA"/>
    <w:rPr>
      <w:i/>
      <w:sz w:val="22"/>
    </w:rPr>
  </w:style>
  <w:style w:type="paragraph" w:customStyle="1" w:styleId="SOBullet">
    <w:name w:val="SO Bullet"/>
    <w:aliases w:val="sotb"/>
    <w:basedOn w:val="SOText"/>
    <w:link w:val="SOBulletChar"/>
    <w:qFormat/>
    <w:rsid w:val="007D66DA"/>
    <w:pPr>
      <w:ind w:left="1559" w:hanging="425"/>
    </w:pPr>
  </w:style>
  <w:style w:type="character" w:customStyle="1" w:styleId="SOBulletChar">
    <w:name w:val="SO Bullet Char"/>
    <w:aliases w:val="sotb Char"/>
    <w:basedOn w:val="DefaultParagraphFont"/>
    <w:link w:val="SOBullet"/>
    <w:rsid w:val="007D66DA"/>
    <w:rPr>
      <w:sz w:val="22"/>
    </w:rPr>
  </w:style>
  <w:style w:type="paragraph" w:customStyle="1" w:styleId="SOBulletNote">
    <w:name w:val="SO BulletNote"/>
    <w:aliases w:val="sonb"/>
    <w:basedOn w:val="SOTextNote"/>
    <w:link w:val="SOBulletNoteChar"/>
    <w:qFormat/>
    <w:rsid w:val="007D66DA"/>
    <w:pPr>
      <w:tabs>
        <w:tab w:val="left" w:pos="1560"/>
      </w:tabs>
      <w:ind w:left="2268" w:hanging="1134"/>
    </w:pPr>
  </w:style>
  <w:style w:type="character" w:customStyle="1" w:styleId="SOBulletNoteChar">
    <w:name w:val="SO BulletNote Char"/>
    <w:aliases w:val="sonb Char"/>
    <w:basedOn w:val="DefaultParagraphFont"/>
    <w:link w:val="SOBulletNote"/>
    <w:rsid w:val="007D66DA"/>
    <w:rPr>
      <w:sz w:val="18"/>
    </w:rPr>
  </w:style>
  <w:style w:type="paragraph" w:customStyle="1" w:styleId="SOText2">
    <w:name w:val="SO Text2"/>
    <w:aliases w:val="sot2"/>
    <w:basedOn w:val="Normal"/>
    <w:next w:val="SOText"/>
    <w:link w:val="SOText2Char"/>
    <w:rsid w:val="007D66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D66DA"/>
    <w:rPr>
      <w:sz w:val="22"/>
    </w:rPr>
  </w:style>
  <w:style w:type="paragraph" w:customStyle="1" w:styleId="SubPartCASA">
    <w:name w:val="SubPart(CASA)"/>
    <w:aliases w:val="csp"/>
    <w:basedOn w:val="OPCParaBase"/>
    <w:next w:val="ActHead3"/>
    <w:rsid w:val="007D66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D66DA"/>
    <w:rPr>
      <w:rFonts w:eastAsia="Times New Roman" w:cs="Times New Roman"/>
      <w:sz w:val="22"/>
      <w:lang w:eastAsia="en-AU"/>
    </w:rPr>
  </w:style>
  <w:style w:type="character" w:customStyle="1" w:styleId="notetextChar">
    <w:name w:val="note(text) Char"/>
    <w:aliases w:val="n Char"/>
    <w:basedOn w:val="DefaultParagraphFont"/>
    <w:link w:val="notetext"/>
    <w:rsid w:val="007D66DA"/>
    <w:rPr>
      <w:rFonts w:eastAsia="Times New Roman" w:cs="Times New Roman"/>
      <w:sz w:val="18"/>
      <w:lang w:eastAsia="en-AU"/>
    </w:rPr>
  </w:style>
  <w:style w:type="character" w:customStyle="1" w:styleId="Heading1Char">
    <w:name w:val="Heading 1 Char"/>
    <w:basedOn w:val="DefaultParagraphFont"/>
    <w:link w:val="Heading1"/>
    <w:uiPriority w:val="9"/>
    <w:rsid w:val="007D66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66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66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D66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D66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D66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D66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D66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66DA"/>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6E38E1"/>
    <w:rPr>
      <w:rFonts w:eastAsia="Times New Roman" w:cs="Times New Roman"/>
      <w:sz w:val="22"/>
      <w:lang w:eastAsia="en-AU"/>
    </w:rPr>
  </w:style>
  <w:style w:type="character" w:customStyle="1" w:styleId="ActHead5Char">
    <w:name w:val="ActHead 5 Char"/>
    <w:aliases w:val="s Char"/>
    <w:basedOn w:val="DefaultParagraphFont"/>
    <w:link w:val="ActHead5"/>
    <w:rsid w:val="006E38E1"/>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66DA"/>
    <w:pPr>
      <w:spacing w:line="260" w:lineRule="atLeast"/>
    </w:pPr>
    <w:rPr>
      <w:sz w:val="22"/>
    </w:rPr>
  </w:style>
  <w:style w:type="paragraph" w:styleId="Heading1">
    <w:name w:val="heading 1"/>
    <w:basedOn w:val="Normal"/>
    <w:next w:val="Normal"/>
    <w:link w:val="Heading1Char"/>
    <w:uiPriority w:val="9"/>
    <w:qFormat/>
    <w:rsid w:val="007D66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66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66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66D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66D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66D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66D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66D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D66D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D66DA"/>
  </w:style>
  <w:style w:type="paragraph" w:customStyle="1" w:styleId="OPCParaBase">
    <w:name w:val="OPCParaBase"/>
    <w:qFormat/>
    <w:rsid w:val="007D66DA"/>
    <w:pPr>
      <w:spacing w:line="260" w:lineRule="atLeast"/>
    </w:pPr>
    <w:rPr>
      <w:rFonts w:eastAsia="Times New Roman" w:cs="Times New Roman"/>
      <w:sz w:val="22"/>
      <w:lang w:eastAsia="en-AU"/>
    </w:rPr>
  </w:style>
  <w:style w:type="paragraph" w:customStyle="1" w:styleId="ShortT">
    <w:name w:val="ShortT"/>
    <w:basedOn w:val="OPCParaBase"/>
    <w:next w:val="Normal"/>
    <w:qFormat/>
    <w:rsid w:val="007D66DA"/>
    <w:pPr>
      <w:spacing w:line="240" w:lineRule="auto"/>
    </w:pPr>
    <w:rPr>
      <w:b/>
      <w:sz w:val="40"/>
    </w:rPr>
  </w:style>
  <w:style w:type="paragraph" w:customStyle="1" w:styleId="ActHead1">
    <w:name w:val="ActHead 1"/>
    <w:aliases w:val="c"/>
    <w:basedOn w:val="OPCParaBase"/>
    <w:next w:val="Normal"/>
    <w:qFormat/>
    <w:rsid w:val="007D66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66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66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66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66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66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66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66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66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D66DA"/>
  </w:style>
  <w:style w:type="paragraph" w:customStyle="1" w:styleId="Blocks">
    <w:name w:val="Blocks"/>
    <w:aliases w:val="bb"/>
    <w:basedOn w:val="OPCParaBase"/>
    <w:qFormat/>
    <w:rsid w:val="007D66DA"/>
    <w:pPr>
      <w:spacing w:line="240" w:lineRule="auto"/>
    </w:pPr>
    <w:rPr>
      <w:sz w:val="24"/>
    </w:rPr>
  </w:style>
  <w:style w:type="paragraph" w:customStyle="1" w:styleId="BoxText">
    <w:name w:val="BoxText"/>
    <w:aliases w:val="bt"/>
    <w:basedOn w:val="OPCParaBase"/>
    <w:qFormat/>
    <w:rsid w:val="007D66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66DA"/>
    <w:rPr>
      <w:b/>
    </w:rPr>
  </w:style>
  <w:style w:type="paragraph" w:customStyle="1" w:styleId="BoxHeadItalic">
    <w:name w:val="BoxHeadItalic"/>
    <w:aliases w:val="bhi"/>
    <w:basedOn w:val="BoxText"/>
    <w:next w:val="BoxStep"/>
    <w:qFormat/>
    <w:rsid w:val="007D66DA"/>
    <w:rPr>
      <w:i/>
    </w:rPr>
  </w:style>
  <w:style w:type="paragraph" w:customStyle="1" w:styleId="BoxList">
    <w:name w:val="BoxList"/>
    <w:aliases w:val="bl"/>
    <w:basedOn w:val="BoxText"/>
    <w:qFormat/>
    <w:rsid w:val="007D66DA"/>
    <w:pPr>
      <w:ind w:left="1559" w:hanging="425"/>
    </w:pPr>
  </w:style>
  <w:style w:type="paragraph" w:customStyle="1" w:styleId="BoxNote">
    <w:name w:val="BoxNote"/>
    <w:aliases w:val="bn"/>
    <w:basedOn w:val="BoxText"/>
    <w:qFormat/>
    <w:rsid w:val="007D66DA"/>
    <w:pPr>
      <w:tabs>
        <w:tab w:val="left" w:pos="1985"/>
      </w:tabs>
      <w:spacing w:before="122" w:line="198" w:lineRule="exact"/>
      <w:ind w:left="2948" w:hanging="1814"/>
    </w:pPr>
    <w:rPr>
      <w:sz w:val="18"/>
    </w:rPr>
  </w:style>
  <w:style w:type="paragraph" w:customStyle="1" w:styleId="BoxPara">
    <w:name w:val="BoxPara"/>
    <w:aliases w:val="bp"/>
    <w:basedOn w:val="BoxText"/>
    <w:qFormat/>
    <w:rsid w:val="007D66DA"/>
    <w:pPr>
      <w:tabs>
        <w:tab w:val="right" w:pos="2268"/>
      </w:tabs>
      <w:ind w:left="2552" w:hanging="1418"/>
    </w:pPr>
  </w:style>
  <w:style w:type="paragraph" w:customStyle="1" w:styleId="BoxStep">
    <w:name w:val="BoxStep"/>
    <w:aliases w:val="bs"/>
    <w:basedOn w:val="BoxText"/>
    <w:qFormat/>
    <w:rsid w:val="007D66DA"/>
    <w:pPr>
      <w:ind w:left="1985" w:hanging="851"/>
    </w:pPr>
  </w:style>
  <w:style w:type="character" w:customStyle="1" w:styleId="CharAmPartNo">
    <w:name w:val="CharAmPartNo"/>
    <w:basedOn w:val="OPCCharBase"/>
    <w:qFormat/>
    <w:rsid w:val="007D66DA"/>
  </w:style>
  <w:style w:type="character" w:customStyle="1" w:styleId="CharAmPartText">
    <w:name w:val="CharAmPartText"/>
    <w:basedOn w:val="OPCCharBase"/>
    <w:qFormat/>
    <w:rsid w:val="007D66DA"/>
  </w:style>
  <w:style w:type="character" w:customStyle="1" w:styleId="CharAmSchNo">
    <w:name w:val="CharAmSchNo"/>
    <w:basedOn w:val="OPCCharBase"/>
    <w:qFormat/>
    <w:rsid w:val="007D66DA"/>
  </w:style>
  <w:style w:type="character" w:customStyle="1" w:styleId="CharAmSchText">
    <w:name w:val="CharAmSchText"/>
    <w:basedOn w:val="OPCCharBase"/>
    <w:qFormat/>
    <w:rsid w:val="007D66DA"/>
  </w:style>
  <w:style w:type="character" w:customStyle="1" w:styleId="CharBoldItalic">
    <w:name w:val="CharBoldItalic"/>
    <w:basedOn w:val="OPCCharBase"/>
    <w:uiPriority w:val="1"/>
    <w:qFormat/>
    <w:rsid w:val="007D66DA"/>
    <w:rPr>
      <w:b/>
      <w:i/>
    </w:rPr>
  </w:style>
  <w:style w:type="character" w:customStyle="1" w:styleId="CharChapNo">
    <w:name w:val="CharChapNo"/>
    <w:basedOn w:val="OPCCharBase"/>
    <w:uiPriority w:val="1"/>
    <w:qFormat/>
    <w:rsid w:val="007D66DA"/>
  </w:style>
  <w:style w:type="character" w:customStyle="1" w:styleId="CharChapText">
    <w:name w:val="CharChapText"/>
    <w:basedOn w:val="OPCCharBase"/>
    <w:uiPriority w:val="1"/>
    <w:qFormat/>
    <w:rsid w:val="007D66DA"/>
  </w:style>
  <w:style w:type="character" w:customStyle="1" w:styleId="CharDivNo">
    <w:name w:val="CharDivNo"/>
    <w:basedOn w:val="OPCCharBase"/>
    <w:uiPriority w:val="1"/>
    <w:qFormat/>
    <w:rsid w:val="007D66DA"/>
  </w:style>
  <w:style w:type="character" w:customStyle="1" w:styleId="CharDivText">
    <w:name w:val="CharDivText"/>
    <w:basedOn w:val="OPCCharBase"/>
    <w:uiPriority w:val="1"/>
    <w:qFormat/>
    <w:rsid w:val="007D66DA"/>
  </w:style>
  <w:style w:type="character" w:customStyle="1" w:styleId="CharItalic">
    <w:name w:val="CharItalic"/>
    <w:basedOn w:val="OPCCharBase"/>
    <w:uiPriority w:val="1"/>
    <w:qFormat/>
    <w:rsid w:val="007D66DA"/>
    <w:rPr>
      <w:i/>
    </w:rPr>
  </w:style>
  <w:style w:type="character" w:customStyle="1" w:styleId="CharPartNo">
    <w:name w:val="CharPartNo"/>
    <w:basedOn w:val="OPCCharBase"/>
    <w:uiPriority w:val="1"/>
    <w:qFormat/>
    <w:rsid w:val="007D66DA"/>
  </w:style>
  <w:style w:type="character" w:customStyle="1" w:styleId="CharPartText">
    <w:name w:val="CharPartText"/>
    <w:basedOn w:val="OPCCharBase"/>
    <w:uiPriority w:val="1"/>
    <w:qFormat/>
    <w:rsid w:val="007D66DA"/>
  </w:style>
  <w:style w:type="character" w:customStyle="1" w:styleId="CharSectno">
    <w:name w:val="CharSectno"/>
    <w:basedOn w:val="OPCCharBase"/>
    <w:qFormat/>
    <w:rsid w:val="007D66DA"/>
  </w:style>
  <w:style w:type="character" w:customStyle="1" w:styleId="CharSubdNo">
    <w:name w:val="CharSubdNo"/>
    <w:basedOn w:val="OPCCharBase"/>
    <w:uiPriority w:val="1"/>
    <w:qFormat/>
    <w:rsid w:val="007D66DA"/>
  </w:style>
  <w:style w:type="character" w:customStyle="1" w:styleId="CharSubdText">
    <w:name w:val="CharSubdText"/>
    <w:basedOn w:val="OPCCharBase"/>
    <w:uiPriority w:val="1"/>
    <w:qFormat/>
    <w:rsid w:val="007D66DA"/>
  </w:style>
  <w:style w:type="paragraph" w:customStyle="1" w:styleId="CTA--">
    <w:name w:val="CTA --"/>
    <w:basedOn w:val="OPCParaBase"/>
    <w:next w:val="Normal"/>
    <w:rsid w:val="007D66DA"/>
    <w:pPr>
      <w:spacing w:before="60" w:line="240" w:lineRule="atLeast"/>
      <w:ind w:left="142" w:hanging="142"/>
    </w:pPr>
    <w:rPr>
      <w:sz w:val="20"/>
    </w:rPr>
  </w:style>
  <w:style w:type="paragraph" w:customStyle="1" w:styleId="CTA-">
    <w:name w:val="CTA -"/>
    <w:basedOn w:val="OPCParaBase"/>
    <w:rsid w:val="007D66DA"/>
    <w:pPr>
      <w:spacing w:before="60" w:line="240" w:lineRule="atLeast"/>
      <w:ind w:left="85" w:hanging="85"/>
    </w:pPr>
    <w:rPr>
      <w:sz w:val="20"/>
    </w:rPr>
  </w:style>
  <w:style w:type="paragraph" w:customStyle="1" w:styleId="CTA---">
    <w:name w:val="CTA ---"/>
    <w:basedOn w:val="OPCParaBase"/>
    <w:next w:val="Normal"/>
    <w:rsid w:val="007D66DA"/>
    <w:pPr>
      <w:spacing w:before="60" w:line="240" w:lineRule="atLeast"/>
      <w:ind w:left="198" w:hanging="198"/>
    </w:pPr>
    <w:rPr>
      <w:sz w:val="20"/>
    </w:rPr>
  </w:style>
  <w:style w:type="paragraph" w:customStyle="1" w:styleId="CTA----">
    <w:name w:val="CTA ----"/>
    <w:basedOn w:val="OPCParaBase"/>
    <w:next w:val="Normal"/>
    <w:rsid w:val="007D66DA"/>
    <w:pPr>
      <w:spacing w:before="60" w:line="240" w:lineRule="atLeast"/>
      <w:ind w:left="255" w:hanging="255"/>
    </w:pPr>
    <w:rPr>
      <w:sz w:val="20"/>
    </w:rPr>
  </w:style>
  <w:style w:type="paragraph" w:customStyle="1" w:styleId="CTA1a">
    <w:name w:val="CTA 1(a)"/>
    <w:basedOn w:val="OPCParaBase"/>
    <w:rsid w:val="007D66DA"/>
    <w:pPr>
      <w:tabs>
        <w:tab w:val="right" w:pos="414"/>
      </w:tabs>
      <w:spacing w:before="40" w:line="240" w:lineRule="atLeast"/>
      <w:ind w:left="675" w:hanging="675"/>
    </w:pPr>
    <w:rPr>
      <w:sz w:val="20"/>
    </w:rPr>
  </w:style>
  <w:style w:type="paragraph" w:customStyle="1" w:styleId="CTA1ai">
    <w:name w:val="CTA 1(a)(i)"/>
    <w:basedOn w:val="OPCParaBase"/>
    <w:rsid w:val="007D66DA"/>
    <w:pPr>
      <w:tabs>
        <w:tab w:val="right" w:pos="1004"/>
      </w:tabs>
      <w:spacing w:before="40" w:line="240" w:lineRule="atLeast"/>
      <w:ind w:left="1253" w:hanging="1253"/>
    </w:pPr>
    <w:rPr>
      <w:sz w:val="20"/>
    </w:rPr>
  </w:style>
  <w:style w:type="paragraph" w:customStyle="1" w:styleId="CTA2a">
    <w:name w:val="CTA 2(a)"/>
    <w:basedOn w:val="OPCParaBase"/>
    <w:rsid w:val="007D66DA"/>
    <w:pPr>
      <w:tabs>
        <w:tab w:val="right" w:pos="482"/>
      </w:tabs>
      <w:spacing w:before="40" w:line="240" w:lineRule="atLeast"/>
      <w:ind w:left="748" w:hanging="748"/>
    </w:pPr>
    <w:rPr>
      <w:sz w:val="20"/>
    </w:rPr>
  </w:style>
  <w:style w:type="paragraph" w:customStyle="1" w:styleId="CTA2ai">
    <w:name w:val="CTA 2(a)(i)"/>
    <w:basedOn w:val="OPCParaBase"/>
    <w:rsid w:val="007D66DA"/>
    <w:pPr>
      <w:tabs>
        <w:tab w:val="right" w:pos="1089"/>
      </w:tabs>
      <w:spacing w:before="40" w:line="240" w:lineRule="atLeast"/>
      <w:ind w:left="1327" w:hanging="1327"/>
    </w:pPr>
    <w:rPr>
      <w:sz w:val="20"/>
    </w:rPr>
  </w:style>
  <w:style w:type="paragraph" w:customStyle="1" w:styleId="CTA3a">
    <w:name w:val="CTA 3(a)"/>
    <w:basedOn w:val="OPCParaBase"/>
    <w:rsid w:val="007D66DA"/>
    <w:pPr>
      <w:tabs>
        <w:tab w:val="right" w:pos="556"/>
      </w:tabs>
      <w:spacing w:before="40" w:line="240" w:lineRule="atLeast"/>
      <w:ind w:left="805" w:hanging="805"/>
    </w:pPr>
    <w:rPr>
      <w:sz w:val="20"/>
    </w:rPr>
  </w:style>
  <w:style w:type="paragraph" w:customStyle="1" w:styleId="CTA3ai">
    <w:name w:val="CTA 3(a)(i)"/>
    <w:basedOn w:val="OPCParaBase"/>
    <w:rsid w:val="007D66DA"/>
    <w:pPr>
      <w:tabs>
        <w:tab w:val="right" w:pos="1140"/>
      </w:tabs>
      <w:spacing w:before="40" w:line="240" w:lineRule="atLeast"/>
      <w:ind w:left="1361" w:hanging="1361"/>
    </w:pPr>
    <w:rPr>
      <w:sz w:val="20"/>
    </w:rPr>
  </w:style>
  <w:style w:type="paragraph" w:customStyle="1" w:styleId="CTA4a">
    <w:name w:val="CTA 4(a)"/>
    <w:basedOn w:val="OPCParaBase"/>
    <w:rsid w:val="007D66DA"/>
    <w:pPr>
      <w:tabs>
        <w:tab w:val="right" w:pos="624"/>
      </w:tabs>
      <w:spacing w:before="40" w:line="240" w:lineRule="atLeast"/>
      <w:ind w:left="873" w:hanging="873"/>
    </w:pPr>
    <w:rPr>
      <w:sz w:val="20"/>
    </w:rPr>
  </w:style>
  <w:style w:type="paragraph" w:customStyle="1" w:styleId="CTA4ai">
    <w:name w:val="CTA 4(a)(i)"/>
    <w:basedOn w:val="OPCParaBase"/>
    <w:rsid w:val="007D66DA"/>
    <w:pPr>
      <w:tabs>
        <w:tab w:val="right" w:pos="1213"/>
      </w:tabs>
      <w:spacing w:before="40" w:line="240" w:lineRule="atLeast"/>
      <w:ind w:left="1452" w:hanging="1452"/>
    </w:pPr>
    <w:rPr>
      <w:sz w:val="20"/>
    </w:rPr>
  </w:style>
  <w:style w:type="paragraph" w:customStyle="1" w:styleId="CTACAPS">
    <w:name w:val="CTA CAPS"/>
    <w:basedOn w:val="OPCParaBase"/>
    <w:rsid w:val="007D66DA"/>
    <w:pPr>
      <w:spacing w:before="60" w:line="240" w:lineRule="atLeast"/>
    </w:pPr>
    <w:rPr>
      <w:sz w:val="20"/>
    </w:rPr>
  </w:style>
  <w:style w:type="paragraph" w:customStyle="1" w:styleId="CTAright">
    <w:name w:val="CTA right"/>
    <w:basedOn w:val="OPCParaBase"/>
    <w:rsid w:val="007D66DA"/>
    <w:pPr>
      <w:spacing w:before="60" w:line="240" w:lineRule="auto"/>
      <w:jc w:val="right"/>
    </w:pPr>
    <w:rPr>
      <w:sz w:val="20"/>
    </w:rPr>
  </w:style>
  <w:style w:type="paragraph" w:customStyle="1" w:styleId="subsection">
    <w:name w:val="subsection"/>
    <w:aliases w:val="ss"/>
    <w:basedOn w:val="OPCParaBase"/>
    <w:link w:val="subsectionChar"/>
    <w:rsid w:val="007D66DA"/>
    <w:pPr>
      <w:tabs>
        <w:tab w:val="right" w:pos="1021"/>
      </w:tabs>
      <w:spacing w:before="180" w:line="240" w:lineRule="auto"/>
      <w:ind w:left="1134" w:hanging="1134"/>
    </w:pPr>
  </w:style>
  <w:style w:type="paragraph" w:customStyle="1" w:styleId="Definition">
    <w:name w:val="Definition"/>
    <w:aliases w:val="dd"/>
    <w:basedOn w:val="OPCParaBase"/>
    <w:rsid w:val="007D66DA"/>
    <w:pPr>
      <w:spacing w:before="180" w:line="240" w:lineRule="auto"/>
      <w:ind w:left="1134"/>
    </w:pPr>
  </w:style>
  <w:style w:type="paragraph" w:customStyle="1" w:styleId="ETAsubitem">
    <w:name w:val="ETA(subitem)"/>
    <w:basedOn w:val="OPCParaBase"/>
    <w:rsid w:val="007D66DA"/>
    <w:pPr>
      <w:tabs>
        <w:tab w:val="right" w:pos="340"/>
      </w:tabs>
      <w:spacing w:before="60" w:line="240" w:lineRule="auto"/>
      <w:ind w:left="454" w:hanging="454"/>
    </w:pPr>
    <w:rPr>
      <w:sz w:val="20"/>
    </w:rPr>
  </w:style>
  <w:style w:type="paragraph" w:customStyle="1" w:styleId="ETApara">
    <w:name w:val="ETA(para)"/>
    <w:basedOn w:val="OPCParaBase"/>
    <w:rsid w:val="007D66DA"/>
    <w:pPr>
      <w:tabs>
        <w:tab w:val="right" w:pos="754"/>
      </w:tabs>
      <w:spacing w:before="60" w:line="240" w:lineRule="auto"/>
      <w:ind w:left="828" w:hanging="828"/>
    </w:pPr>
    <w:rPr>
      <w:sz w:val="20"/>
    </w:rPr>
  </w:style>
  <w:style w:type="paragraph" w:customStyle="1" w:styleId="ETAsubpara">
    <w:name w:val="ETA(subpara)"/>
    <w:basedOn w:val="OPCParaBase"/>
    <w:rsid w:val="007D66DA"/>
    <w:pPr>
      <w:tabs>
        <w:tab w:val="right" w:pos="1083"/>
      </w:tabs>
      <w:spacing w:before="60" w:line="240" w:lineRule="auto"/>
      <w:ind w:left="1191" w:hanging="1191"/>
    </w:pPr>
    <w:rPr>
      <w:sz w:val="20"/>
    </w:rPr>
  </w:style>
  <w:style w:type="paragraph" w:customStyle="1" w:styleId="ETAsub-subpara">
    <w:name w:val="ETA(sub-subpara)"/>
    <w:basedOn w:val="OPCParaBase"/>
    <w:rsid w:val="007D66DA"/>
    <w:pPr>
      <w:tabs>
        <w:tab w:val="right" w:pos="1412"/>
      </w:tabs>
      <w:spacing w:before="60" w:line="240" w:lineRule="auto"/>
      <w:ind w:left="1525" w:hanging="1525"/>
    </w:pPr>
    <w:rPr>
      <w:sz w:val="20"/>
    </w:rPr>
  </w:style>
  <w:style w:type="paragraph" w:customStyle="1" w:styleId="Formula">
    <w:name w:val="Formula"/>
    <w:basedOn w:val="OPCParaBase"/>
    <w:rsid w:val="007D66DA"/>
    <w:pPr>
      <w:spacing w:line="240" w:lineRule="auto"/>
      <w:ind w:left="1134"/>
    </w:pPr>
    <w:rPr>
      <w:sz w:val="20"/>
    </w:rPr>
  </w:style>
  <w:style w:type="paragraph" w:styleId="Header">
    <w:name w:val="header"/>
    <w:basedOn w:val="OPCParaBase"/>
    <w:link w:val="HeaderChar"/>
    <w:unhideWhenUsed/>
    <w:rsid w:val="007D66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D66DA"/>
    <w:rPr>
      <w:rFonts w:eastAsia="Times New Roman" w:cs="Times New Roman"/>
      <w:sz w:val="16"/>
      <w:lang w:eastAsia="en-AU"/>
    </w:rPr>
  </w:style>
  <w:style w:type="paragraph" w:customStyle="1" w:styleId="House">
    <w:name w:val="House"/>
    <w:basedOn w:val="OPCParaBase"/>
    <w:rsid w:val="007D66DA"/>
    <w:pPr>
      <w:spacing w:line="240" w:lineRule="auto"/>
    </w:pPr>
    <w:rPr>
      <w:sz w:val="28"/>
    </w:rPr>
  </w:style>
  <w:style w:type="paragraph" w:customStyle="1" w:styleId="Item">
    <w:name w:val="Item"/>
    <w:aliases w:val="i"/>
    <w:basedOn w:val="OPCParaBase"/>
    <w:next w:val="ItemHead"/>
    <w:rsid w:val="007D66DA"/>
    <w:pPr>
      <w:keepLines/>
      <w:spacing w:before="80" w:line="240" w:lineRule="auto"/>
      <w:ind w:left="709"/>
    </w:pPr>
  </w:style>
  <w:style w:type="paragraph" w:customStyle="1" w:styleId="ItemHead">
    <w:name w:val="ItemHead"/>
    <w:aliases w:val="ih"/>
    <w:basedOn w:val="OPCParaBase"/>
    <w:next w:val="Item"/>
    <w:rsid w:val="007D66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D66DA"/>
    <w:pPr>
      <w:spacing w:line="240" w:lineRule="auto"/>
    </w:pPr>
    <w:rPr>
      <w:b/>
      <w:sz w:val="32"/>
    </w:rPr>
  </w:style>
  <w:style w:type="paragraph" w:customStyle="1" w:styleId="notedraft">
    <w:name w:val="note(draft)"/>
    <w:aliases w:val="nd"/>
    <w:basedOn w:val="OPCParaBase"/>
    <w:rsid w:val="007D66DA"/>
    <w:pPr>
      <w:spacing w:before="240" w:line="240" w:lineRule="auto"/>
      <w:ind w:left="284" w:hanging="284"/>
    </w:pPr>
    <w:rPr>
      <w:i/>
      <w:sz w:val="24"/>
    </w:rPr>
  </w:style>
  <w:style w:type="paragraph" w:customStyle="1" w:styleId="notemargin">
    <w:name w:val="note(margin)"/>
    <w:aliases w:val="nm"/>
    <w:basedOn w:val="OPCParaBase"/>
    <w:rsid w:val="007D66DA"/>
    <w:pPr>
      <w:tabs>
        <w:tab w:val="left" w:pos="709"/>
      </w:tabs>
      <w:spacing w:before="122" w:line="198" w:lineRule="exact"/>
      <w:ind w:left="709" w:hanging="709"/>
    </w:pPr>
    <w:rPr>
      <w:sz w:val="18"/>
    </w:rPr>
  </w:style>
  <w:style w:type="paragraph" w:customStyle="1" w:styleId="noteToPara">
    <w:name w:val="noteToPara"/>
    <w:aliases w:val="ntp"/>
    <w:basedOn w:val="OPCParaBase"/>
    <w:rsid w:val="007D66DA"/>
    <w:pPr>
      <w:spacing w:before="122" w:line="198" w:lineRule="exact"/>
      <w:ind w:left="2353" w:hanging="709"/>
    </w:pPr>
    <w:rPr>
      <w:sz w:val="18"/>
    </w:rPr>
  </w:style>
  <w:style w:type="paragraph" w:customStyle="1" w:styleId="noteParlAmend">
    <w:name w:val="note(ParlAmend)"/>
    <w:aliases w:val="npp"/>
    <w:basedOn w:val="OPCParaBase"/>
    <w:next w:val="ParlAmend"/>
    <w:rsid w:val="007D66DA"/>
    <w:pPr>
      <w:spacing w:line="240" w:lineRule="auto"/>
      <w:jc w:val="right"/>
    </w:pPr>
    <w:rPr>
      <w:rFonts w:ascii="Arial" w:hAnsi="Arial"/>
      <w:b/>
      <w:i/>
    </w:rPr>
  </w:style>
  <w:style w:type="paragraph" w:customStyle="1" w:styleId="Page1">
    <w:name w:val="Page1"/>
    <w:basedOn w:val="OPCParaBase"/>
    <w:rsid w:val="007D66DA"/>
    <w:pPr>
      <w:spacing w:before="5600" w:line="240" w:lineRule="auto"/>
    </w:pPr>
    <w:rPr>
      <w:b/>
      <w:sz w:val="32"/>
    </w:rPr>
  </w:style>
  <w:style w:type="paragraph" w:customStyle="1" w:styleId="PageBreak">
    <w:name w:val="PageBreak"/>
    <w:aliases w:val="pb"/>
    <w:basedOn w:val="OPCParaBase"/>
    <w:rsid w:val="007D66DA"/>
    <w:pPr>
      <w:spacing w:line="240" w:lineRule="auto"/>
    </w:pPr>
    <w:rPr>
      <w:sz w:val="20"/>
    </w:rPr>
  </w:style>
  <w:style w:type="paragraph" w:customStyle="1" w:styleId="paragraphsub">
    <w:name w:val="paragraph(sub)"/>
    <w:aliases w:val="aa"/>
    <w:basedOn w:val="OPCParaBase"/>
    <w:rsid w:val="007D66DA"/>
    <w:pPr>
      <w:tabs>
        <w:tab w:val="right" w:pos="1985"/>
      </w:tabs>
      <w:spacing w:before="40" w:line="240" w:lineRule="auto"/>
      <w:ind w:left="2098" w:hanging="2098"/>
    </w:pPr>
  </w:style>
  <w:style w:type="paragraph" w:customStyle="1" w:styleId="paragraphsub-sub">
    <w:name w:val="paragraph(sub-sub)"/>
    <w:aliases w:val="aaa"/>
    <w:basedOn w:val="OPCParaBase"/>
    <w:rsid w:val="007D66DA"/>
    <w:pPr>
      <w:tabs>
        <w:tab w:val="right" w:pos="2722"/>
      </w:tabs>
      <w:spacing w:before="40" w:line="240" w:lineRule="auto"/>
      <w:ind w:left="2835" w:hanging="2835"/>
    </w:pPr>
  </w:style>
  <w:style w:type="paragraph" w:customStyle="1" w:styleId="paragraph">
    <w:name w:val="paragraph"/>
    <w:aliases w:val="a"/>
    <w:basedOn w:val="OPCParaBase"/>
    <w:link w:val="paragraphChar"/>
    <w:rsid w:val="007D66DA"/>
    <w:pPr>
      <w:tabs>
        <w:tab w:val="right" w:pos="1531"/>
      </w:tabs>
      <w:spacing w:before="40" w:line="240" w:lineRule="auto"/>
      <w:ind w:left="1644" w:hanging="1644"/>
    </w:pPr>
  </w:style>
  <w:style w:type="paragraph" w:customStyle="1" w:styleId="ParlAmend">
    <w:name w:val="ParlAmend"/>
    <w:aliases w:val="pp"/>
    <w:basedOn w:val="OPCParaBase"/>
    <w:rsid w:val="007D66DA"/>
    <w:pPr>
      <w:spacing w:before="240" w:line="240" w:lineRule="atLeast"/>
      <w:ind w:hanging="567"/>
    </w:pPr>
    <w:rPr>
      <w:sz w:val="24"/>
    </w:rPr>
  </w:style>
  <w:style w:type="paragraph" w:customStyle="1" w:styleId="Penalty">
    <w:name w:val="Penalty"/>
    <w:basedOn w:val="OPCParaBase"/>
    <w:rsid w:val="007D66DA"/>
    <w:pPr>
      <w:tabs>
        <w:tab w:val="left" w:pos="2977"/>
      </w:tabs>
      <w:spacing w:before="180" w:line="240" w:lineRule="auto"/>
      <w:ind w:left="1985" w:hanging="851"/>
    </w:pPr>
  </w:style>
  <w:style w:type="paragraph" w:customStyle="1" w:styleId="Portfolio">
    <w:name w:val="Portfolio"/>
    <w:basedOn w:val="OPCParaBase"/>
    <w:rsid w:val="007D66DA"/>
    <w:pPr>
      <w:spacing w:line="240" w:lineRule="auto"/>
    </w:pPr>
    <w:rPr>
      <w:i/>
      <w:sz w:val="20"/>
    </w:rPr>
  </w:style>
  <w:style w:type="paragraph" w:customStyle="1" w:styleId="Preamble">
    <w:name w:val="Preamble"/>
    <w:basedOn w:val="OPCParaBase"/>
    <w:next w:val="Normal"/>
    <w:rsid w:val="007D66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66DA"/>
    <w:pPr>
      <w:spacing w:line="240" w:lineRule="auto"/>
    </w:pPr>
    <w:rPr>
      <w:i/>
      <w:sz w:val="20"/>
    </w:rPr>
  </w:style>
  <w:style w:type="paragraph" w:customStyle="1" w:styleId="Session">
    <w:name w:val="Session"/>
    <w:basedOn w:val="OPCParaBase"/>
    <w:rsid w:val="007D66DA"/>
    <w:pPr>
      <w:spacing w:line="240" w:lineRule="auto"/>
    </w:pPr>
    <w:rPr>
      <w:sz w:val="28"/>
    </w:rPr>
  </w:style>
  <w:style w:type="paragraph" w:customStyle="1" w:styleId="Sponsor">
    <w:name w:val="Sponsor"/>
    <w:basedOn w:val="OPCParaBase"/>
    <w:rsid w:val="007D66DA"/>
    <w:pPr>
      <w:spacing w:line="240" w:lineRule="auto"/>
    </w:pPr>
    <w:rPr>
      <w:i/>
    </w:rPr>
  </w:style>
  <w:style w:type="paragraph" w:customStyle="1" w:styleId="Subitem">
    <w:name w:val="Subitem"/>
    <w:aliases w:val="iss"/>
    <w:basedOn w:val="OPCParaBase"/>
    <w:rsid w:val="007D66DA"/>
    <w:pPr>
      <w:spacing w:before="180" w:line="240" w:lineRule="auto"/>
      <w:ind w:left="709" w:hanging="709"/>
    </w:pPr>
  </w:style>
  <w:style w:type="paragraph" w:customStyle="1" w:styleId="SubitemHead">
    <w:name w:val="SubitemHead"/>
    <w:aliases w:val="issh"/>
    <w:basedOn w:val="OPCParaBase"/>
    <w:rsid w:val="007D66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66DA"/>
    <w:pPr>
      <w:spacing w:before="40" w:line="240" w:lineRule="auto"/>
      <w:ind w:left="1134"/>
    </w:pPr>
  </w:style>
  <w:style w:type="paragraph" w:customStyle="1" w:styleId="SubsectionHead">
    <w:name w:val="SubsectionHead"/>
    <w:aliases w:val="ssh"/>
    <w:basedOn w:val="OPCParaBase"/>
    <w:next w:val="subsection"/>
    <w:rsid w:val="007D66DA"/>
    <w:pPr>
      <w:keepNext/>
      <w:keepLines/>
      <w:spacing w:before="240" w:line="240" w:lineRule="auto"/>
      <w:ind w:left="1134"/>
    </w:pPr>
    <w:rPr>
      <w:i/>
    </w:rPr>
  </w:style>
  <w:style w:type="paragraph" w:customStyle="1" w:styleId="Tablea">
    <w:name w:val="Table(a)"/>
    <w:aliases w:val="ta"/>
    <w:basedOn w:val="OPCParaBase"/>
    <w:rsid w:val="007D66DA"/>
    <w:pPr>
      <w:spacing w:before="60" w:line="240" w:lineRule="auto"/>
      <w:ind w:left="284" w:hanging="284"/>
    </w:pPr>
    <w:rPr>
      <w:sz w:val="20"/>
    </w:rPr>
  </w:style>
  <w:style w:type="paragraph" w:customStyle="1" w:styleId="TableAA">
    <w:name w:val="Table(AA)"/>
    <w:aliases w:val="taaa"/>
    <w:basedOn w:val="OPCParaBase"/>
    <w:rsid w:val="007D66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66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66DA"/>
    <w:pPr>
      <w:spacing w:before="60" w:line="240" w:lineRule="atLeast"/>
    </w:pPr>
    <w:rPr>
      <w:sz w:val="20"/>
    </w:rPr>
  </w:style>
  <w:style w:type="paragraph" w:customStyle="1" w:styleId="TLPBoxTextnote">
    <w:name w:val="TLPBoxText(note"/>
    <w:aliases w:val="right)"/>
    <w:basedOn w:val="OPCParaBase"/>
    <w:rsid w:val="007D66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66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66DA"/>
    <w:pPr>
      <w:spacing w:before="122" w:line="198" w:lineRule="exact"/>
      <w:ind w:left="1985" w:hanging="851"/>
      <w:jc w:val="right"/>
    </w:pPr>
    <w:rPr>
      <w:sz w:val="18"/>
    </w:rPr>
  </w:style>
  <w:style w:type="paragraph" w:customStyle="1" w:styleId="TLPTableBullet">
    <w:name w:val="TLPTableBullet"/>
    <w:aliases w:val="ttb"/>
    <w:basedOn w:val="OPCParaBase"/>
    <w:rsid w:val="007D66DA"/>
    <w:pPr>
      <w:spacing w:line="240" w:lineRule="exact"/>
      <w:ind w:left="284" w:hanging="284"/>
    </w:pPr>
    <w:rPr>
      <w:sz w:val="20"/>
    </w:rPr>
  </w:style>
  <w:style w:type="paragraph" w:styleId="TOC1">
    <w:name w:val="toc 1"/>
    <w:basedOn w:val="OPCParaBase"/>
    <w:next w:val="Normal"/>
    <w:uiPriority w:val="39"/>
    <w:semiHidden/>
    <w:unhideWhenUsed/>
    <w:rsid w:val="007D66D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7D66D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D66D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7D66D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D66D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D66D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D66D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D66D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D66D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66DA"/>
    <w:pPr>
      <w:keepLines/>
      <w:spacing w:before="240" w:after="120" w:line="240" w:lineRule="auto"/>
      <w:ind w:left="794"/>
    </w:pPr>
    <w:rPr>
      <w:b/>
      <w:kern w:val="28"/>
      <w:sz w:val="20"/>
    </w:rPr>
  </w:style>
  <w:style w:type="paragraph" w:customStyle="1" w:styleId="TofSectsHeading">
    <w:name w:val="TofSects(Heading)"/>
    <w:basedOn w:val="OPCParaBase"/>
    <w:rsid w:val="007D66DA"/>
    <w:pPr>
      <w:spacing w:before="240" w:after="120" w:line="240" w:lineRule="auto"/>
    </w:pPr>
    <w:rPr>
      <w:b/>
      <w:sz w:val="24"/>
    </w:rPr>
  </w:style>
  <w:style w:type="paragraph" w:customStyle="1" w:styleId="TofSectsSection">
    <w:name w:val="TofSects(Section)"/>
    <w:basedOn w:val="OPCParaBase"/>
    <w:rsid w:val="007D66DA"/>
    <w:pPr>
      <w:keepLines/>
      <w:spacing w:before="40" w:line="240" w:lineRule="auto"/>
      <w:ind w:left="1588" w:hanging="794"/>
    </w:pPr>
    <w:rPr>
      <w:kern w:val="28"/>
      <w:sz w:val="18"/>
    </w:rPr>
  </w:style>
  <w:style w:type="paragraph" w:customStyle="1" w:styleId="TofSectsSubdiv">
    <w:name w:val="TofSects(Subdiv)"/>
    <w:basedOn w:val="OPCParaBase"/>
    <w:rsid w:val="007D66DA"/>
    <w:pPr>
      <w:keepLines/>
      <w:spacing w:before="80" w:line="240" w:lineRule="auto"/>
      <w:ind w:left="1588" w:hanging="794"/>
    </w:pPr>
    <w:rPr>
      <w:kern w:val="28"/>
    </w:rPr>
  </w:style>
  <w:style w:type="paragraph" w:customStyle="1" w:styleId="WRStyle">
    <w:name w:val="WR Style"/>
    <w:aliases w:val="WR"/>
    <w:basedOn w:val="OPCParaBase"/>
    <w:rsid w:val="007D66DA"/>
    <w:pPr>
      <w:spacing w:before="240" w:line="240" w:lineRule="auto"/>
      <w:ind w:left="284" w:hanging="284"/>
    </w:pPr>
    <w:rPr>
      <w:b/>
      <w:i/>
      <w:kern w:val="28"/>
      <w:sz w:val="24"/>
    </w:rPr>
  </w:style>
  <w:style w:type="paragraph" w:customStyle="1" w:styleId="notepara">
    <w:name w:val="note(para)"/>
    <w:aliases w:val="na"/>
    <w:basedOn w:val="OPCParaBase"/>
    <w:rsid w:val="007D66DA"/>
    <w:pPr>
      <w:spacing w:before="40" w:line="198" w:lineRule="exact"/>
      <w:ind w:left="2354" w:hanging="369"/>
    </w:pPr>
    <w:rPr>
      <w:sz w:val="18"/>
    </w:rPr>
  </w:style>
  <w:style w:type="paragraph" w:styleId="Footer">
    <w:name w:val="footer"/>
    <w:link w:val="FooterChar"/>
    <w:rsid w:val="007D66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D66DA"/>
    <w:rPr>
      <w:rFonts w:eastAsia="Times New Roman" w:cs="Times New Roman"/>
      <w:sz w:val="22"/>
      <w:szCs w:val="24"/>
      <w:lang w:eastAsia="en-AU"/>
    </w:rPr>
  </w:style>
  <w:style w:type="character" w:styleId="LineNumber">
    <w:name w:val="line number"/>
    <w:basedOn w:val="OPCCharBase"/>
    <w:uiPriority w:val="99"/>
    <w:semiHidden/>
    <w:unhideWhenUsed/>
    <w:rsid w:val="007D66DA"/>
    <w:rPr>
      <w:sz w:val="16"/>
    </w:rPr>
  </w:style>
  <w:style w:type="table" w:customStyle="1" w:styleId="CFlag">
    <w:name w:val="CFlag"/>
    <w:basedOn w:val="TableNormal"/>
    <w:uiPriority w:val="99"/>
    <w:rsid w:val="007D66DA"/>
    <w:rPr>
      <w:rFonts w:eastAsia="Times New Roman" w:cs="Times New Roman"/>
      <w:lang w:eastAsia="en-AU"/>
    </w:rPr>
    <w:tblPr/>
  </w:style>
  <w:style w:type="paragraph" w:styleId="BalloonText">
    <w:name w:val="Balloon Text"/>
    <w:basedOn w:val="Normal"/>
    <w:link w:val="BalloonTextChar"/>
    <w:uiPriority w:val="99"/>
    <w:semiHidden/>
    <w:unhideWhenUsed/>
    <w:rsid w:val="007D6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6DA"/>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7D6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D66DA"/>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7D66DA"/>
    <w:rPr>
      <w:i/>
      <w:sz w:val="32"/>
      <w:szCs w:val="32"/>
    </w:rPr>
  </w:style>
  <w:style w:type="paragraph" w:customStyle="1" w:styleId="SignCoverPageEnd">
    <w:name w:val="SignCoverPageEnd"/>
    <w:basedOn w:val="OPCParaBase"/>
    <w:next w:val="Normal"/>
    <w:rsid w:val="007D66D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D66DA"/>
    <w:pPr>
      <w:pBdr>
        <w:top w:val="single" w:sz="4" w:space="1" w:color="auto"/>
      </w:pBdr>
      <w:spacing w:before="360"/>
      <w:ind w:right="397"/>
      <w:jc w:val="both"/>
    </w:pPr>
  </w:style>
  <w:style w:type="paragraph" w:customStyle="1" w:styleId="NotesHeading1">
    <w:name w:val="NotesHeading 1"/>
    <w:basedOn w:val="OPCParaBase"/>
    <w:next w:val="Normal"/>
    <w:rsid w:val="007D66DA"/>
    <w:rPr>
      <w:b/>
      <w:sz w:val="28"/>
      <w:szCs w:val="28"/>
    </w:rPr>
  </w:style>
  <w:style w:type="paragraph" w:customStyle="1" w:styleId="NotesHeading2">
    <w:name w:val="NotesHeading 2"/>
    <w:basedOn w:val="OPCParaBase"/>
    <w:next w:val="Normal"/>
    <w:rsid w:val="007D66DA"/>
    <w:rPr>
      <w:b/>
      <w:sz w:val="28"/>
      <w:szCs w:val="28"/>
    </w:rPr>
  </w:style>
  <w:style w:type="paragraph" w:customStyle="1" w:styleId="CompiledActNo">
    <w:name w:val="CompiledActNo"/>
    <w:basedOn w:val="OPCParaBase"/>
    <w:next w:val="Normal"/>
    <w:rsid w:val="007D66DA"/>
    <w:rPr>
      <w:b/>
      <w:sz w:val="24"/>
      <w:szCs w:val="24"/>
    </w:rPr>
  </w:style>
  <w:style w:type="paragraph" w:customStyle="1" w:styleId="CompiledMadeUnder">
    <w:name w:val="CompiledMadeUnder"/>
    <w:basedOn w:val="OPCParaBase"/>
    <w:next w:val="Normal"/>
    <w:rsid w:val="007D66DA"/>
    <w:rPr>
      <w:i/>
      <w:sz w:val="24"/>
      <w:szCs w:val="24"/>
    </w:rPr>
  </w:style>
  <w:style w:type="paragraph" w:customStyle="1" w:styleId="Paragraphsub-sub-sub">
    <w:name w:val="Paragraph(sub-sub-sub)"/>
    <w:aliases w:val="aaaa"/>
    <w:basedOn w:val="OPCParaBase"/>
    <w:rsid w:val="007D66DA"/>
    <w:pPr>
      <w:tabs>
        <w:tab w:val="right" w:pos="3402"/>
      </w:tabs>
      <w:spacing w:before="40" w:line="240" w:lineRule="auto"/>
      <w:ind w:left="3402" w:hanging="3402"/>
    </w:pPr>
  </w:style>
  <w:style w:type="paragraph" w:customStyle="1" w:styleId="NoteToSubpara">
    <w:name w:val="NoteToSubpara"/>
    <w:aliases w:val="nts"/>
    <w:basedOn w:val="OPCParaBase"/>
    <w:rsid w:val="007D66DA"/>
    <w:pPr>
      <w:spacing w:before="40" w:line="198" w:lineRule="exact"/>
      <w:ind w:left="2835" w:hanging="709"/>
    </w:pPr>
    <w:rPr>
      <w:sz w:val="18"/>
    </w:rPr>
  </w:style>
  <w:style w:type="paragraph" w:customStyle="1" w:styleId="EndNotespara">
    <w:name w:val="EndNotes(para)"/>
    <w:aliases w:val="eta"/>
    <w:basedOn w:val="OPCParaBase"/>
    <w:next w:val="EndNotessubpara"/>
    <w:rsid w:val="007D66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66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66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66DA"/>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7D66DA"/>
    <w:pPr>
      <w:keepNext/>
      <w:spacing w:before="60" w:line="240" w:lineRule="atLeast"/>
    </w:pPr>
    <w:rPr>
      <w:rFonts w:ascii="Arial" w:hAnsi="Arial"/>
      <w:b/>
      <w:sz w:val="16"/>
    </w:rPr>
  </w:style>
  <w:style w:type="paragraph" w:customStyle="1" w:styleId="ENoteTTi">
    <w:name w:val="ENoteTTi"/>
    <w:aliases w:val="entti"/>
    <w:basedOn w:val="OPCParaBase"/>
    <w:rsid w:val="007D66DA"/>
    <w:pPr>
      <w:keepNext/>
      <w:spacing w:before="60" w:line="240" w:lineRule="atLeast"/>
      <w:ind w:left="170"/>
    </w:pPr>
    <w:rPr>
      <w:sz w:val="16"/>
    </w:rPr>
  </w:style>
  <w:style w:type="paragraph" w:customStyle="1" w:styleId="ENotesHeading1">
    <w:name w:val="ENotesHeading 1"/>
    <w:aliases w:val="Enh1"/>
    <w:basedOn w:val="OPCParaBase"/>
    <w:next w:val="Normal"/>
    <w:rsid w:val="007D66DA"/>
    <w:pPr>
      <w:spacing w:before="120"/>
      <w:outlineLvl w:val="1"/>
    </w:pPr>
    <w:rPr>
      <w:b/>
      <w:sz w:val="28"/>
      <w:szCs w:val="28"/>
    </w:rPr>
  </w:style>
  <w:style w:type="paragraph" w:customStyle="1" w:styleId="ENotesHeading2">
    <w:name w:val="ENotesHeading 2"/>
    <w:aliases w:val="Enh2"/>
    <w:basedOn w:val="OPCParaBase"/>
    <w:next w:val="Normal"/>
    <w:rsid w:val="007D66DA"/>
    <w:pPr>
      <w:spacing w:before="120" w:after="120"/>
      <w:outlineLvl w:val="2"/>
    </w:pPr>
    <w:rPr>
      <w:b/>
      <w:sz w:val="24"/>
      <w:szCs w:val="28"/>
    </w:rPr>
  </w:style>
  <w:style w:type="paragraph" w:customStyle="1" w:styleId="ENoteTTIndentHeading">
    <w:name w:val="ENoteTTIndentHeading"/>
    <w:aliases w:val="enTTHi"/>
    <w:basedOn w:val="OPCParaBase"/>
    <w:rsid w:val="007D66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66DA"/>
    <w:pPr>
      <w:spacing w:before="60" w:line="240" w:lineRule="atLeast"/>
    </w:pPr>
    <w:rPr>
      <w:sz w:val="16"/>
    </w:rPr>
  </w:style>
  <w:style w:type="paragraph" w:customStyle="1" w:styleId="MadeunderText">
    <w:name w:val="MadeunderText"/>
    <w:basedOn w:val="OPCParaBase"/>
    <w:next w:val="CompiledMadeUnder"/>
    <w:rsid w:val="007D66DA"/>
    <w:pPr>
      <w:spacing w:before="240"/>
    </w:pPr>
    <w:rPr>
      <w:sz w:val="24"/>
      <w:szCs w:val="24"/>
    </w:rPr>
  </w:style>
  <w:style w:type="paragraph" w:customStyle="1" w:styleId="ENotesHeading3">
    <w:name w:val="ENotesHeading 3"/>
    <w:aliases w:val="Enh3"/>
    <w:basedOn w:val="OPCParaBase"/>
    <w:next w:val="Normal"/>
    <w:rsid w:val="007D66DA"/>
    <w:pPr>
      <w:keepNext/>
      <w:spacing w:before="120" w:line="240" w:lineRule="auto"/>
      <w:outlineLvl w:val="4"/>
    </w:pPr>
    <w:rPr>
      <w:b/>
      <w:szCs w:val="24"/>
    </w:rPr>
  </w:style>
  <w:style w:type="character" w:customStyle="1" w:styleId="CharSubPartTextCASA">
    <w:name w:val="CharSubPartText(CASA)"/>
    <w:basedOn w:val="OPCCharBase"/>
    <w:uiPriority w:val="1"/>
    <w:rsid w:val="007D66DA"/>
  </w:style>
  <w:style w:type="character" w:customStyle="1" w:styleId="CharSubPartNoCASA">
    <w:name w:val="CharSubPartNo(CASA)"/>
    <w:basedOn w:val="OPCCharBase"/>
    <w:uiPriority w:val="1"/>
    <w:rsid w:val="007D66DA"/>
  </w:style>
  <w:style w:type="paragraph" w:customStyle="1" w:styleId="ENoteTTIndentHeadingSub">
    <w:name w:val="ENoteTTIndentHeadingSub"/>
    <w:aliases w:val="enTTHis"/>
    <w:basedOn w:val="OPCParaBase"/>
    <w:rsid w:val="007D66DA"/>
    <w:pPr>
      <w:keepNext/>
      <w:spacing w:before="60" w:line="240" w:lineRule="atLeast"/>
      <w:ind w:left="340"/>
    </w:pPr>
    <w:rPr>
      <w:b/>
      <w:sz w:val="16"/>
    </w:rPr>
  </w:style>
  <w:style w:type="paragraph" w:customStyle="1" w:styleId="ENoteTTiSub">
    <w:name w:val="ENoteTTiSub"/>
    <w:aliases w:val="enttis"/>
    <w:basedOn w:val="OPCParaBase"/>
    <w:rsid w:val="007D66DA"/>
    <w:pPr>
      <w:keepNext/>
      <w:spacing w:before="60" w:line="240" w:lineRule="atLeast"/>
      <w:ind w:left="340"/>
    </w:pPr>
    <w:rPr>
      <w:sz w:val="16"/>
    </w:rPr>
  </w:style>
  <w:style w:type="paragraph" w:customStyle="1" w:styleId="SubDivisionMigration">
    <w:name w:val="SubDivisionMigration"/>
    <w:aliases w:val="sdm"/>
    <w:basedOn w:val="OPCParaBase"/>
    <w:rsid w:val="007D66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66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D66DA"/>
    <w:pPr>
      <w:spacing w:before="122" w:line="240" w:lineRule="auto"/>
      <w:ind w:left="1985" w:hanging="851"/>
    </w:pPr>
    <w:rPr>
      <w:sz w:val="18"/>
    </w:rPr>
  </w:style>
  <w:style w:type="paragraph" w:customStyle="1" w:styleId="FreeForm">
    <w:name w:val="FreeForm"/>
    <w:rsid w:val="007C7F0C"/>
    <w:rPr>
      <w:rFonts w:ascii="Arial" w:hAnsi="Arial"/>
      <w:sz w:val="22"/>
    </w:rPr>
  </w:style>
  <w:style w:type="paragraph" w:customStyle="1" w:styleId="SOText">
    <w:name w:val="SO Text"/>
    <w:aliases w:val="sot"/>
    <w:link w:val="SOTextChar"/>
    <w:rsid w:val="007D66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D66DA"/>
    <w:rPr>
      <w:sz w:val="22"/>
    </w:rPr>
  </w:style>
  <w:style w:type="paragraph" w:customStyle="1" w:styleId="SOTextNote">
    <w:name w:val="SO TextNote"/>
    <w:aliases w:val="sont"/>
    <w:basedOn w:val="SOText"/>
    <w:qFormat/>
    <w:rsid w:val="007D66DA"/>
    <w:pPr>
      <w:spacing w:before="122" w:line="198" w:lineRule="exact"/>
      <w:ind w:left="1843" w:hanging="709"/>
    </w:pPr>
    <w:rPr>
      <w:sz w:val="18"/>
    </w:rPr>
  </w:style>
  <w:style w:type="paragraph" w:customStyle="1" w:styleId="SOPara">
    <w:name w:val="SO Para"/>
    <w:aliases w:val="soa"/>
    <w:basedOn w:val="SOText"/>
    <w:link w:val="SOParaChar"/>
    <w:qFormat/>
    <w:rsid w:val="007D66DA"/>
    <w:pPr>
      <w:tabs>
        <w:tab w:val="right" w:pos="1786"/>
      </w:tabs>
      <w:spacing w:before="40"/>
      <w:ind w:left="2070" w:hanging="936"/>
    </w:pPr>
  </w:style>
  <w:style w:type="character" w:customStyle="1" w:styleId="SOParaChar">
    <w:name w:val="SO Para Char"/>
    <w:aliases w:val="soa Char"/>
    <w:basedOn w:val="DefaultParagraphFont"/>
    <w:link w:val="SOPara"/>
    <w:rsid w:val="007D66DA"/>
    <w:rPr>
      <w:sz w:val="22"/>
    </w:rPr>
  </w:style>
  <w:style w:type="paragraph" w:customStyle="1" w:styleId="FileName">
    <w:name w:val="FileName"/>
    <w:basedOn w:val="Normal"/>
    <w:rsid w:val="007D66DA"/>
  </w:style>
  <w:style w:type="paragraph" w:customStyle="1" w:styleId="TableHeading">
    <w:name w:val="TableHeading"/>
    <w:aliases w:val="th"/>
    <w:basedOn w:val="OPCParaBase"/>
    <w:next w:val="Tabletext"/>
    <w:rsid w:val="007D66DA"/>
    <w:pPr>
      <w:keepNext/>
      <w:spacing w:before="60" w:line="240" w:lineRule="atLeast"/>
    </w:pPr>
    <w:rPr>
      <w:b/>
      <w:sz w:val="20"/>
    </w:rPr>
  </w:style>
  <w:style w:type="paragraph" w:customStyle="1" w:styleId="SOHeadBold">
    <w:name w:val="SO HeadBold"/>
    <w:aliases w:val="sohb"/>
    <w:basedOn w:val="SOText"/>
    <w:next w:val="SOText"/>
    <w:link w:val="SOHeadBoldChar"/>
    <w:qFormat/>
    <w:rsid w:val="007D66DA"/>
    <w:rPr>
      <w:b/>
    </w:rPr>
  </w:style>
  <w:style w:type="character" w:customStyle="1" w:styleId="SOHeadBoldChar">
    <w:name w:val="SO HeadBold Char"/>
    <w:aliases w:val="sohb Char"/>
    <w:basedOn w:val="DefaultParagraphFont"/>
    <w:link w:val="SOHeadBold"/>
    <w:rsid w:val="007D66DA"/>
    <w:rPr>
      <w:b/>
      <w:sz w:val="22"/>
    </w:rPr>
  </w:style>
  <w:style w:type="paragraph" w:customStyle="1" w:styleId="SOHeadItalic">
    <w:name w:val="SO HeadItalic"/>
    <w:aliases w:val="sohi"/>
    <w:basedOn w:val="SOText"/>
    <w:next w:val="SOText"/>
    <w:link w:val="SOHeadItalicChar"/>
    <w:qFormat/>
    <w:rsid w:val="007D66DA"/>
    <w:rPr>
      <w:i/>
    </w:rPr>
  </w:style>
  <w:style w:type="character" w:customStyle="1" w:styleId="SOHeadItalicChar">
    <w:name w:val="SO HeadItalic Char"/>
    <w:aliases w:val="sohi Char"/>
    <w:basedOn w:val="DefaultParagraphFont"/>
    <w:link w:val="SOHeadItalic"/>
    <w:rsid w:val="007D66DA"/>
    <w:rPr>
      <w:i/>
      <w:sz w:val="22"/>
    </w:rPr>
  </w:style>
  <w:style w:type="paragraph" w:customStyle="1" w:styleId="SOBullet">
    <w:name w:val="SO Bullet"/>
    <w:aliases w:val="sotb"/>
    <w:basedOn w:val="SOText"/>
    <w:link w:val="SOBulletChar"/>
    <w:qFormat/>
    <w:rsid w:val="007D66DA"/>
    <w:pPr>
      <w:ind w:left="1559" w:hanging="425"/>
    </w:pPr>
  </w:style>
  <w:style w:type="character" w:customStyle="1" w:styleId="SOBulletChar">
    <w:name w:val="SO Bullet Char"/>
    <w:aliases w:val="sotb Char"/>
    <w:basedOn w:val="DefaultParagraphFont"/>
    <w:link w:val="SOBullet"/>
    <w:rsid w:val="007D66DA"/>
    <w:rPr>
      <w:sz w:val="22"/>
    </w:rPr>
  </w:style>
  <w:style w:type="paragraph" w:customStyle="1" w:styleId="SOBulletNote">
    <w:name w:val="SO BulletNote"/>
    <w:aliases w:val="sonb"/>
    <w:basedOn w:val="SOTextNote"/>
    <w:link w:val="SOBulletNoteChar"/>
    <w:qFormat/>
    <w:rsid w:val="007D66DA"/>
    <w:pPr>
      <w:tabs>
        <w:tab w:val="left" w:pos="1560"/>
      </w:tabs>
      <w:ind w:left="2268" w:hanging="1134"/>
    </w:pPr>
  </w:style>
  <w:style w:type="character" w:customStyle="1" w:styleId="SOBulletNoteChar">
    <w:name w:val="SO BulletNote Char"/>
    <w:aliases w:val="sonb Char"/>
    <w:basedOn w:val="DefaultParagraphFont"/>
    <w:link w:val="SOBulletNote"/>
    <w:rsid w:val="007D66DA"/>
    <w:rPr>
      <w:sz w:val="18"/>
    </w:rPr>
  </w:style>
  <w:style w:type="paragraph" w:customStyle="1" w:styleId="SOText2">
    <w:name w:val="SO Text2"/>
    <w:aliases w:val="sot2"/>
    <w:basedOn w:val="Normal"/>
    <w:next w:val="SOText"/>
    <w:link w:val="SOText2Char"/>
    <w:rsid w:val="007D66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D66DA"/>
    <w:rPr>
      <w:sz w:val="22"/>
    </w:rPr>
  </w:style>
  <w:style w:type="paragraph" w:customStyle="1" w:styleId="SubPartCASA">
    <w:name w:val="SubPart(CASA)"/>
    <w:aliases w:val="csp"/>
    <w:basedOn w:val="OPCParaBase"/>
    <w:next w:val="ActHead3"/>
    <w:rsid w:val="007D66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D66DA"/>
    <w:rPr>
      <w:rFonts w:eastAsia="Times New Roman" w:cs="Times New Roman"/>
      <w:sz w:val="22"/>
      <w:lang w:eastAsia="en-AU"/>
    </w:rPr>
  </w:style>
  <w:style w:type="character" w:customStyle="1" w:styleId="notetextChar">
    <w:name w:val="note(text) Char"/>
    <w:aliases w:val="n Char"/>
    <w:basedOn w:val="DefaultParagraphFont"/>
    <w:link w:val="notetext"/>
    <w:rsid w:val="007D66DA"/>
    <w:rPr>
      <w:rFonts w:eastAsia="Times New Roman" w:cs="Times New Roman"/>
      <w:sz w:val="18"/>
      <w:lang w:eastAsia="en-AU"/>
    </w:rPr>
  </w:style>
  <w:style w:type="character" w:customStyle="1" w:styleId="Heading1Char">
    <w:name w:val="Heading 1 Char"/>
    <w:basedOn w:val="DefaultParagraphFont"/>
    <w:link w:val="Heading1"/>
    <w:uiPriority w:val="9"/>
    <w:rsid w:val="007D66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66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66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D66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D66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D66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D66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D66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D66DA"/>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6E38E1"/>
    <w:rPr>
      <w:rFonts w:eastAsia="Times New Roman" w:cs="Times New Roman"/>
      <w:sz w:val="22"/>
      <w:lang w:eastAsia="en-AU"/>
    </w:rPr>
  </w:style>
  <w:style w:type="character" w:customStyle="1" w:styleId="ActHead5Char">
    <w:name w:val="ActHead 5 Char"/>
    <w:aliases w:val="s Char"/>
    <w:basedOn w:val="DefaultParagraphFont"/>
    <w:link w:val="ActHead5"/>
    <w:rsid w:val="006E38E1"/>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150">
      <w:bodyDiv w:val="1"/>
      <w:marLeft w:val="0"/>
      <w:marRight w:val="0"/>
      <w:marTop w:val="0"/>
      <w:marBottom w:val="0"/>
      <w:divBdr>
        <w:top w:val="none" w:sz="0" w:space="0" w:color="auto"/>
        <w:left w:val="none" w:sz="0" w:space="0" w:color="auto"/>
        <w:bottom w:val="none" w:sz="0" w:space="0" w:color="auto"/>
        <w:right w:val="none" w:sz="0" w:space="0" w:color="auto"/>
      </w:divBdr>
    </w:div>
    <w:div w:id="47848032">
      <w:bodyDiv w:val="1"/>
      <w:marLeft w:val="0"/>
      <w:marRight w:val="0"/>
      <w:marTop w:val="0"/>
      <w:marBottom w:val="0"/>
      <w:divBdr>
        <w:top w:val="none" w:sz="0" w:space="0" w:color="auto"/>
        <w:left w:val="none" w:sz="0" w:space="0" w:color="auto"/>
        <w:bottom w:val="none" w:sz="0" w:space="0" w:color="auto"/>
        <w:right w:val="none" w:sz="0" w:space="0" w:color="auto"/>
      </w:divBdr>
    </w:div>
    <w:div w:id="246892221">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1030229036">
      <w:bodyDiv w:val="1"/>
      <w:marLeft w:val="0"/>
      <w:marRight w:val="0"/>
      <w:marTop w:val="0"/>
      <w:marBottom w:val="0"/>
      <w:divBdr>
        <w:top w:val="none" w:sz="0" w:space="0" w:color="auto"/>
        <w:left w:val="none" w:sz="0" w:space="0" w:color="auto"/>
        <w:bottom w:val="none" w:sz="0" w:space="0" w:color="auto"/>
        <w:right w:val="none" w:sz="0" w:space="0" w:color="auto"/>
      </w:divBdr>
    </w:div>
    <w:div w:id="1695230821">
      <w:bodyDiv w:val="1"/>
      <w:marLeft w:val="0"/>
      <w:marRight w:val="0"/>
      <w:marTop w:val="0"/>
      <w:marBottom w:val="0"/>
      <w:divBdr>
        <w:top w:val="none" w:sz="0" w:space="0" w:color="auto"/>
        <w:left w:val="none" w:sz="0" w:space="0" w:color="auto"/>
        <w:bottom w:val="none" w:sz="0" w:space="0" w:color="auto"/>
        <w:right w:val="none" w:sz="0" w:space="0" w:color="auto"/>
      </w:divBdr>
    </w:div>
    <w:div w:id="183206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0843-CC31-4D96-A788-31630BC5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15</Pages>
  <Words>3709</Words>
  <Characters>21147</Characters>
  <Application>Microsoft Office Word</Application>
  <DocSecurity>4</DocSecurity>
  <PresentationFormat/>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2017-06-15T03:30:00Z</cp:lastPrinted>
  <dcterms:created xsi:type="dcterms:W3CDTF">2017-06-29T00:27:00Z</dcterms:created>
  <dcterms:modified xsi:type="dcterms:W3CDTF">2017-06-29T00:27:00Z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Foreign Acquisitions and Takeovers Fees Imposition Amendment (Fee Streamlining) Regulations 2017</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27 June 2017</vt:lpwstr>
  </property>
  <property fmtid="{D5CDD505-2E9C-101B-9397-08002B2CF9AE}" pid="10" name="Authority">
    <vt:lpwstr/>
  </property>
  <property fmtid="{D5CDD505-2E9C-101B-9397-08002B2CF9AE}" pid="11" name="ID">
    <vt:lpwstr>OPC62692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Foreign Acquisitions and Takeovers Fee Imposition Act 2015</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27 June 2017</vt:lpwstr>
  </property>
</Properties>
</file>