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11966" w14:textId="77777777" w:rsidR="009359BB" w:rsidRPr="005F1388" w:rsidRDefault="009359BB" w:rsidP="009359BB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E920E97" wp14:editId="5446935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81C65" w14:textId="77777777" w:rsidR="009359BB" w:rsidRPr="00E500D4" w:rsidRDefault="009359BB" w:rsidP="009359BB">
      <w:pPr>
        <w:rPr>
          <w:sz w:val="19"/>
        </w:rPr>
      </w:pPr>
    </w:p>
    <w:p w14:paraId="03C62D54" w14:textId="19C34740" w:rsidR="009359BB" w:rsidRPr="00E500D4" w:rsidRDefault="009359BB" w:rsidP="009359BB">
      <w:pPr>
        <w:pStyle w:val="ShortT"/>
      </w:pPr>
      <w:r>
        <w:t xml:space="preserve">Migration (IMMI 17/045: Specification of Training </w:t>
      </w:r>
      <w:r w:rsidR="001E011E">
        <w:t xml:space="preserve">Benchmarks </w:t>
      </w:r>
      <w:r>
        <w:t xml:space="preserve">and </w:t>
      </w:r>
      <w:r w:rsidR="001E011E">
        <w:t xml:space="preserve">Training </w:t>
      </w:r>
      <w:r>
        <w:t>Requirements) Instrument 2017</w:t>
      </w:r>
    </w:p>
    <w:p w14:paraId="64C5B2CD" w14:textId="77777777" w:rsidR="009359BB" w:rsidRDefault="009359BB" w:rsidP="009359BB"/>
    <w:p w14:paraId="0F6940A9" w14:textId="77777777" w:rsidR="009359BB" w:rsidRDefault="009359BB" w:rsidP="009359BB"/>
    <w:p w14:paraId="53E2533C" w14:textId="77777777" w:rsidR="009359BB" w:rsidRDefault="009359BB" w:rsidP="009359BB"/>
    <w:p w14:paraId="2C9FF559" w14:textId="5F3D9A39" w:rsidR="009359BB" w:rsidRPr="00DA182D" w:rsidRDefault="009359BB" w:rsidP="009359BB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3D67C0">
        <w:rPr>
          <w:szCs w:val="22"/>
        </w:rPr>
        <w:t>Peter Dutton</w:t>
      </w:r>
      <w:r w:rsidRPr="003D67C0">
        <w:rPr>
          <w:szCs w:val="22"/>
        </w:rPr>
        <w:t>,</w:t>
      </w:r>
      <w:r>
        <w:rPr>
          <w:i/>
          <w:szCs w:val="22"/>
        </w:rPr>
        <w:t xml:space="preserve"> </w:t>
      </w:r>
      <w:r>
        <w:rPr>
          <w:szCs w:val="22"/>
        </w:rPr>
        <w:t>Minister for Immigration and Border Protection</w:t>
      </w:r>
      <w:r w:rsidRPr="00DA182D">
        <w:rPr>
          <w:szCs w:val="22"/>
        </w:rPr>
        <w:t>,</w:t>
      </w:r>
      <w:r>
        <w:rPr>
          <w:szCs w:val="22"/>
        </w:rPr>
        <w:t xml:space="preserve"> make the following instrument</w:t>
      </w:r>
      <w:r w:rsidRPr="00DA182D">
        <w:rPr>
          <w:szCs w:val="22"/>
        </w:rPr>
        <w:t>.</w:t>
      </w:r>
    </w:p>
    <w:p w14:paraId="13272E5A" w14:textId="77777777" w:rsidR="00885D9B" w:rsidRDefault="009359BB" w:rsidP="009359BB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885D9B">
        <w:rPr>
          <w:szCs w:val="22"/>
        </w:rPr>
        <w:t>23 June 2017</w:t>
      </w:r>
    </w:p>
    <w:p w14:paraId="53BDF79E" w14:textId="77777777" w:rsidR="00885D9B" w:rsidRDefault="00885D9B" w:rsidP="009359BB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1E7C52B6" w14:textId="77777777" w:rsidR="00885D9B" w:rsidRDefault="00885D9B" w:rsidP="00885D9B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Peter Dutton</w:t>
      </w:r>
      <w:r w:rsidR="009359BB" w:rsidRPr="00001A63">
        <w:rPr>
          <w:szCs w:val="22"/>
        </w:rPr>
        <w:tab/>
      </w:r>
    </w:p>
    <w:p w14:paraId="3469B7A2" w14:textId="77777777" w:rsidR="00885D9B" w:rsidRDefault="00885D9B" w:rsidP="00885D9B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3EF3876A" w14:textId="5EB081A0" w:rsidR="009359BB" w:rsidRDefault="009359BB" w:rsidP="00885D9B">
      <w:pPr>
        <w:keepNext/>
        <w:spacing w:before="300" w:line="240" w:lineRule="atLeast"/>
        <w:ind w:right="397"/>
        <w:jc w:val="both"/>
        <w:rPr>
          <w:b/>
          <w:szCs w:val="22"/>
        </w:rPr>
      </w:pPr>
      <w:bookmarkStart w:id="0" w:name="_GoBack"/>
      <w:bookmarkEnd w:id="0"/>
      <w:r>
        <w:rPr>
          <w:szCs w:val="22"/>
        </w:rPr>
        <w:t>THE HON PETER DUTTON</w:t>
      </w:r>
      <w:r w:rsidR="003D67C0">
        <w:rPr>
          <w:szCs w:val="22"/>
        </w:rPr>
        <w:t xml:space="preserve"> MP</w:t>
      </w:r>
    </w:p>
    <w:p w14:paraId="1F9EB3A5" w14:textId="77777777" w:rsidR="009359BB" w:rsidRPr="008E0027" w:rsidRDefault="009359BB" w:rsidP="009359BB">
      <w:pPr>
        <w:pStyle w:val="SignCoverPageEnd"/>
        <w:rPr>
          <w:sz w:val="22"/>
        </w:rPr>
      </w:pPr>
      <w:r>
        <w:rPr>
          <w:sz w:val="22"/>
        </w:rPr>
        <w:t>Minister for Immigration and Border Protection</w:t>
      </w:r>
    </w:p>
    <w:p w14:paraId="265E7505" w14:textId="77777777" w:rsidR="009359BB" w:rsidRDefault="009359BB" w:rsidP="009359BB"/>
    <w:p w14:paraId="10BBFD83" w14:textId="77777777" w:rsidR="009359BB" w:rsidRDefault="009359BB" w:rsidP="009359BB"/>
    <w:p w14:paraId="16F94304" w14:textId="77777777" w:rsidR="009359BB" w:rsidRDefault="009359BB" w:rsidP="009359BB"/>
    <w:p w14:paraId="738C9B4F" w14:textId="77777777" w:rsidR="009359BB" w:rsidRDefault="009359BB" w:rsidP="009359BB">
      <w:pPr>
        <w:sectPr w:rsidR="009359BB" w:rsidSect="009359BB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42F2201" w14:textId="77777777" w:rsidR="009359BB" w:rsidRDefault="009359BB" w:rsidP="009359BB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F386764" w14:textId="77777777" w:rsidR="009359BB" w:rsidRDefault="009359BB" w:rsidP="009359BB">
      <w:pPr>
        <w:outlineLvl w:val="0"/>
        <w:rPr>
          <w:sz w:val="36"/>
        </w:rPr>
      </w:pPr>
    </w:p>
    <w:p w14:paraId="41E337E0" w14:textId="572BC299" w:rsidR="009359BB" w:rsidRPr="00151064" w:rsidRDefault="009359BB" w:rsidP="009359BB">
      <w:pPr>
        <w:pStyle w:val="TOC5"/>
        <w:ind w:left="0" w:firstLine="0"/>
        <w:rPr>
          <w:b/>
          <w:sz w:val="24"/>
          <w:szCs w:val="24"/>
        </w:rPr>
      </w:pPr>
      <w:r w:rsidRPr="00151064">
        <w:rPr>
          <w:b/>
          <w:sz w:val="24"/>
          <w:szCs w:val="24"/>
        </w:rPr>
        <w:t xml:space="preserve">Part 1 </w:t>
      </w:r>
      <w:r>
        <w:rPr>
          <w:b/>
          <w:sz w:val="24"/>
          <w:szCs w:val="24"/>
        </w:rPr>
        <w:t>–</w:t>
      </w:r>
      <w:r w:rsidRPr="00151064">
        <w:rPr>
          <w:b/>
          <w:sz w:val="24"/>
          <w:szCs w:val="24"/>
        </w:rPr>
        <w:t xml:space="preserve"> Preliminary</w:t>
      </w:r>
    </w:p>
    <w:p w14:paraId="44E37054" w14:textId="5062C68C" w:rsidR="009359BB" w:rsidRPr="007C3A68" w:rsidRDefault="009359BB" w:rsidP="009359BB">
      <w:pPr>
        <w:pStyle w:val="TOC5"/>
        <w:rPr>
          <w:rFonts w:asciiTheme="minorHAnsi" w:eastAsiaTheme="minorEastAsia" w:hAnsiTheme="minorHAnsi" w:cstheme="minorBidi"/>
          <w:noProof/>
          <w:kern w:val="0"/>
          <w:szCs w:val="18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  Name</w:t>
      </w:r>
      <w:r>
        <w:rPr>
          <w:noProof/>
        </w:rPr>
        <w:tab/>
      </w:r>
      <w:r w:rsidRPr="007C3A68">
        <w:rPr>
          <w:noProof/>
          <w:szCs w:val="18"/>
        </w:rPr>
        <w:fldChar w:fldCharType="begin"/>
      </w:r>
      <w:r w:rsidRPr="007C3A68">
        <w:rPr>
          <w:noProof/>
          <w:szCs w:val="18"/>
        </w:rPr>
        <w:instrText xml:space="preserve"> PAGEREF _Toc485120748 \h </w:instrText>
      </w:r>
      <w:r w:rsidRPr="007C3A68">
        <w:rPr>
          <w:noProof/>
          <w:szCs w:val="18"/>
        </w:rPr>
      </w:r>
      <w:r w:rsidRPr="007C3A68">
        <w:rPr>
          <w:noProof/>
          <w:szCs w:val="18"/>
        </w:rPr>
        <w:fldChar w:fldCharType="separate"/>
      </w:r>
      <w:r w:rsidR="006B6EA1">
        <w:rPr>
          <w:noProof/>
          <w:szCs w:val="18"/>
        </w:rPr>
        <w:t>1</w:t>
      </w:r>
      <w:r w:rsidRPr="007C3A68">
        <w:rPr>
          <w:noProof/>
          <w:szCs w:val="18"/>
        </w:rPr>
        <w:fldChar w:fldCharType="end"/>
      </w:r>
    </w:p>
    <w:p w14:paraId="64592C31" w14:textId="3FF87AF3" w:rsidR="009359BB" w:rsidRPr="007C3A68" w:rsidRDefault="009359BB" w:rsidP="009359BB">
      <w:pPr>
        <w:pStyle w:val="TOC5"/>
        <w:rPr>
          <w:rFonts w:asciiTheme="minorHAnsi" w:eastAsiaTheme="minorEastAsia" w:hAnsiTheme="minorHAnsi" w:cstheme="minorBidi"/>
          <w:noProof/>
          <w:kern w:val="0"/>
          <w:szCs w:val="18"/>
        </w:rPr>
      </w:pPr>
      <w:r w:rsidRPr="007C3A68">
        <w:rPr>
          <w:noProof/>
          <w:szCs w:val="18"/>
        </w:rPr>
        <w:t>2  Commencement</w:t>
      </w:r>
      <w:r w:rsidRPr="007C3A68">
        <w:rPr>
          <w:noProof/>
          <w:szCs w:val="18"/>
        </w:rPr>
        <w:tab/>
      </w:r>
      <w:r w:rsidRPr="007C3A68">
        <w:rPr>
          <w:noProof/>
          <w:szCs w:val="18"/>
        </w:rPr>
        <w:fldChar w:fldCharType="begin"/>
      </w:r>
      <w:r w:rsidRPr="007C3A68">
        <w:rPr>
          <w:noProof/>
          <w:szCs w:val="18"/>
        </w:rPr>
        <w:instrText xml:space="preserve"> PAGEREF _Toc485120749 \h </w:instrText>
      </w:r>
      <w:r w:rsidRPr="007C3A68">
        <w:rPr>
          <w:noProof/>
          <w:szCs w:val="18"/>
        </w:rPr>
      </w:r>
      <w:r w:rsidRPr="007C3A68">
        <w:rPr>
          <w:noProof/>
          <w:szCs w:val="18"/>
        </w:rPr>
        <w:fldChar w:fldCharType="separate"/>
      </w:r>
      <w:r w:rsidR="006B6EA1">
        <w:rPr>
          <w:noProof/>
          <w:szCs w:val="18"/>
        </w:rPr>
        <w:t>1</w:t>
      </w:r>
      <w:r w:rsidRPr="007C3A68">
        <w:rPr>
          <w:noProof/>
          <w:szCs w:val="18"/>
        </w:rPr>
        <w:fldChar w:fldCharType="end"/>
      </w:r>
    </w:p>
    <w:p w14:paraId="4C01404C" w14:textId="7D80D6D8" w:rsidR="009359BB" w:rsidRPr="007C3A68" w:rsidRDefault="009359BB" w:rsidP="009359BB">
      <w:pPr>
        <w:pStyle w:val="TOC5"/>
        <w:rPr>
          <w:rFonts w:asciiTheme="minorHAnsi" w:eastAsiaTheme="minorEastAsia" w:hAnsiTheme="minorHAnsi" w:cstheme="minorBidi"/>
          <w:noProof/>
          <w:kern w:val="0"/>
          <w:szCs w:val="18"/>
        </w:rPr>
      </w:pPr>
      <w:r w:rsidRPr="007C3A68">
        <w:rPr>
          <w:noProof/>
          <w:szCs w:val="18"/>
        </w:rPr>
        <w:t>3  Authority</w:t>
      </w:r>
      <w:r w:rsidRPr="007C3A68">
        <w:rPr>
          <w:noProof/>
          <w:szCs w:val="18"/>
        </w:rPr>
        <w:tab/>
      </w:r>
      <w:r w:rsidRPr="007C3A68">
        <w:rPr>
          <w:noProof/>
          <w:szCs w:val="18"/>
        </w:rPr>
        <w:fldChar w:fldCharType="begin"/>
      </w:r>
      <w:r w:rsidRPr="007C3A68">
        <w:rPr>
          <w:noProof/>
          <w:szCs w:val="18"/>
        </w:rPr>
        <w:instrText xml:space="preserve"> PAGEREF _Toc485120750 \h </w:instrText>
      </w:r>
      <w:r w:rsidRPr="007C3A68">
        <w:rPr>
          <w:noProof/>
          <w:szCs w:val="18"/>
        </w:rPr>
      </w:r>
      <w:r w:rsidRPr="007C3A68">
        <w:rPr>
          <w:noProof/>
          <w:szCs w:val="18"/>
        </w:rPr>
        <w:fldChar w:fldCharType="separate"/>
      </w:r>
      <w:r w:rsidR="006B6EA1">
        <w:rPr>
          <w:noProof/>
          <w:szCs w:val="18"/>
        </w:rPr>
        <w:t>1</w:t>
      </w:r>
      <w:r w:rsidRPr="007C3A68">
        <w:rPr>
          <w:noProof/>
          <w:szCs w:val="18"/>
        </w:rPr>
        <w:fldChar w:fldCharType="end"/>
      </w:r>
    </w:p>
    <w:p w14:paraId="670C7E0C" w14:textId="07F28D4A" w:rsidR="009359BB" w:rsidRPr="007C3A68" w:rsidRDefault="009359BB" w:rsidP="009359BB">
      <w:pPr>
        <w:pStyle w:val="TOC5"/>
        <w:rPr>
          <w:rFonts w:asciiTheme="minorHAnsi" w:eastAsiaTheme="minorEastAsia" w:hAnsiTheme="minorHAnsi" w:cstheme="minorBidi"/>
          <w:noProof/>
          <w:kern w:val="0"/>
          <w:szCs w:val="18"/>
        </w:rPr>
      </w:pPr>
      <w:r w:rsidRPr="007C3A68">
        <w:rPr>
          <w:noProof/>
          <w:szCs w:val="18"/>
        </w:rPr>
        <w:t>4  Definitions</w:t>
      </w:r>
      <w:r w:rsidRPr="007C3A68">
        <w:rPr>
          <w:noProof/>
          <w:szCs w:val="18"/>
        </w:rPr>
        <w:tab/>
      </w:r>
      <w:r w:rsidRPr="007C3A68">
        <w:rPr>
          <w:noProof/>
          <w:szCs w:val="18"/>
        </w:rPr>
        <w:fldChar w:fldCharType="begin"/>
      </w:r>
      <w:r w:rsidRPr="007C3A68">
        <w:rPr>
          <w:noProof/>
          <w:szCs w:val="18"/>
        </w:rPr>
        <w:instrText xml:space="preserve"> PAGEREF _Toc485120751 \h </w:instrText>
      </w:r>
      <w:r w:rsidRPr="007C3A68">
        <w:rPr>
          <w:noProof/>
          <w:szCs w:val="18"/>
        </w:rPr>
      </w:r>
      <w:r w:rsidRPr="007C3A68">
        <w:rPr>
          <w:noProof/>
          <w:szCs w:val="18"/>
        </w:rPr>
        <w:fldChar w:fldCharType="separate"/>
      </w:r>
      <w:r w:rsidR="006B6EA1">
        <w:rPr>
          <w:noProof/>
          <w:szCs w:val="18"/>
        </w:rPr>
        <w:t>1</w:t>
      </w:r>
      <w:r w:rsidRPr="007C3A68">
        <w:rPr>
          <w:noProof/>
          <w:szCs w:val="18"/>
        </w:rPr>
        <w:fldChar w:fldCharType="end"/>
      </w:r>
    </w:p>
    <w:p w14:paraId="654C756A" w14:textId="7B7BA6A7" w:rsidR="009359BB" w:rsidRPr="007C3A68" w:rsidRDefault="009359BB" w:rsidP="009359BB">
      <w:pPr>
        <w:pStyle w:val="TOC5"/>
        <w:rPr>
          <w:rFonts w:asciiTheme="minorHAnsi" w:eastAsiaTheme="minorEastAsia" w:hAnsiTheme="minorHAnsi" w:cstheme="minorBidi"/>
          <w:noProof/>
          <w:kern w:val="0"/>
          <w:szCs w:val="18"/>
        </w:rPr>
      </w:pPr>
      <w:r w:rsidRPr="007C3A68">
        <w:rPr>
          <w:noProof/>
          <w:szCs w:val="18"/>
        </w:rPr>
        <w:t>5  Schedules</w:t>
      </w:r>
      <w:r w:rsidRPr="007C3A68">
        <w:rPr>
          <w:noProof/>
          <w:szCs w:val="18"/>
        </w:rPr>
        <w:tab/>
      </w:r>
      <w:r w:rsidRPr="007C3A68">
        <w:rPr>
          <w:noProof/>
          <w:szCs w:val="18"/>
        </w:rPr>
        <w:fldChar w:fldCharType="begin"/>
      </w:r>
      <w:r w:rsidRPr="007C3A68">
        <w:rPr>
          <w:noProof/>
          <w:szCs w:val="18"/>
        </w:rPr>
        <w:instrText xml:space="preserve"> PAGEREF _Toc485120752 \h </w:instrText>
      </w:r>
      <w:r w:rsidRPr="007C3A68">
        <w:rPr>
          <w:noProof/>
          <w:szCs w:val="18"/>
        </w:rPr>
      </w:r>
      <w:r w:rsidRPr="007C3A68">
        <w:rPr>
          <w:noProof/>
          <w:szCs w:val="18"/>
        </w:rPr>
        <w:fldChar w:fldCharType="separate"/>
      </w:r>
      <w:r w:rsidR="006B6EA1">
        <w:rPr>
          <w:noProof/>
          <w:szCs w:val="18"/>
        </w:rPr>
        <w:t>1</w:t>
      </w:r>
      <w:r w:rsidRPr="007C3A68">
        <w:rPr>
          <w:noProof/>
          <w:szCs w:val="18"/>
        </w:rPr>
        <w:fldChar w:fldCharType="end"/>
      </w:r>
    </w:p>
    <w:p w14:paraId="4141424B" w14:textId="41A5F563" w:rsidR="009359BB" w:rsidRPr="007C3A68" w:rsidRDefault="009359BB" w:rsidP="009359BB">
      <w:pPr>
        <w:pStyle w:val="TOC6"/>
        <w:rPr>
          <w:noProof/>
          <w:sz w:val="18"/>
          <w:szCs w:val="18"/>
        </w:rPr>
      </w:pPr>
      <w:r w:rsidRPr="007C3A68">
        <w:rPr>
          <w:noProof/>
          <w:sz w:val="22"/>
          <w:szCs w:val="22"/>
        </w:rPr>
        <w:t xml:space="preserve">Part 2 - Specified Training </w:t>
      </w:r>
      <w:r w:rsidR="001E011E" w:rsidRPr="007C3A68">
        <w:rPr>
          <w:noProof/>
          <w:sz w:val="22"/>
          <w:szCs w:val="22"/>
        </w:rPr>
        <w:t xml:space="preserve">Benchmarks </w:t>
      </w:r>
      <w:r w:rsidRPr="007C3A68">
        <w:rPr>
          <w:noProof/>
          <w:sz w:val="22"/>
          <w:szCs w:val="22"/>
        </w:rPr>
        <w:t xml:space="preserve">and </w:t>
      </w:r>
      <w:r w:rsidR="001E011E" w:rsidRPr="007C3A68">
        <w:rPr>
          <w:noProof/>
          <w:sz w:val="22"/>
          <w:szCs w:val="22"/>
        </w:rPr>
        <w:t xml:space="preserve">Training </w:t>
      </w:r>
      <w:r w:rsidRPr="007C3A68">
        <w:rPr>
          <w:noProof/>
          <w:sz w:val="22"/>
          <w:szCs w:val="22"/>
        </w:rPr>
        <w:t>Requirements</w:t>
      </w:r>
      <w:r w:rsidRPr="007C3A68">
        <w:rPr>
          <w:noProof/>
          <w:sz w:val="18"/>
          <w:szCs w:val="18"/>
        </w:rPr>
        <w:t xml:space="preserve"> </w:t>
      </w:r>
      <w:r w:rsidRPr="007C3A68">
        <w:rPr>
          <w:noProof/>
          <w:sz w:val="18"/>
          <w:szCs w:val="18"/>
        </w:rPr>
        <w:tab/>
      </w:r>
      <w:r w:rsidRPr="007C3A68">
        <w:rPr>
          <w:b w:val="0"/>
          <w:noProof/>
          <w:sz w:val="18"/>
          <w:szCs w:val="18"/>
        </w:rPr>
        <w:t>2</w:t>
      </w:r>
    </w:p>
    <w:p w14:paraId="7F990877" w14:textId="29E5D348" w:rsidR="009359BB" w:rsidRPr="007C3A68" w:rsidRDefault="009359BB" w:rsidP="009359BB">
      <w:pPr>
        <w:ind w:left="1418"/>
        <w:rPr>
          <w:noProof/>
          <w:sz w:val="18"/>
          <w:szCs w:val="18"/>
        </w:rPr>
      </w:pPr>
      <w:r w:rsidRPr="007C3A68">
        <w:rPr>
          <w:noProof/>
          <w:sz w:val="18"/>
          <w:szCs w:val="18"/>
          <w:lang w:eastAsia="en-AU"/>
        </w:rPr>
        <w:t>6</w:t>
      </w:r>
      <w:r w:rsidR="00116375" w:rsidRPr="007C3A68">
        <w:rPr>
          <w:noProof/>
          <w:sz w:val="18"/>
          <w:szCs w:val="18"/>
          <w:lang w:eastAsia="en-AU"/>
        </w:rPr>
        <w:t xml:space="preserve">  </w:t>
      </w:r>
      <w:r w:rsidRPr="007C3A68">
        <w:rPr>
          <w:noProof/>
          <w:sz w:val="18"/>
          <w:szCs w:val="18"/>
          <w:lang w:eastAsia="en-AU"/>
        </w:rPr>
        <w:t xml:space="preserve"> Requirements for training of Australian citizens and Australian permanent residents……………………………….....................................................................................</w:t>
      </w:r>
      <w:r w:rsidR="00116375" w:rsidRPr="007C3A68">
        <w:rPr>
          <w:noProof/>
          <w:sz w:val="18"/>
          <w:szCs w:val="18"/>
          <w:lang w:eastAsia="en-AU"/>
        </w:rPr>
        <w:t xml:space="preserve">  </w:t>
      </w:r>
      <w:r w:rsidRPr="007C3A68">
        <w:rPr>
          <w:noProof/>
          <w:sz w:val="18"/>
          <w:szCs w:val="18"/>
          <w:lang w:eastAsia="en-AU"/>
        </w:rPr>
        <w:t>.2</w:t>
      </w:r>
    </w:p>
    <w:p w14:paraId="5E7CEB75" w14:textId="1C3738A8" w:rsidR="00116375" w:rsidRPr="007C3A68" w:rsidRDefault="00116375" w:rsidP="00116375">
      <w:pPr>
        <w:pStyle w:val="TOC6"/>
        <w:rPr>
          <w:noProof/>
          <w:sz w:val="22"/>
          <w:szCs w:val="22"/>
        </w:rPr>
      </w:pPr>
      <w:r w:rsidRPr="007C3A68">
        <w:rPr>
          <w:noProof/>
          <w:sz w:val="22"/>
          <w:szCs w:val="22"/>
        </w:rPr>
        <w:t>Part 3 - Transitional Provisions</w:t>
      </w:r>
    </w:p>
    <w:p w14:paraId="7E51A891" w14:textId="58212F12" w:rsidR="00116375" w:rsidRPr="007C3A68" w:rsidRDefault="00116375" w:rsidP="00116375">
      <w:pPr>
        <w:ind w:left="1418"/>
        <w:rPr>
          <w:noProof/>
          <w:sz w:val="18"/>
          <w:szCs w:val="18"/>
        </w:rPr>
      </w:pPr>
      <w:r w:rsidRPr="007C3A68">
        <w:rPr>
          <w:noProof/>
          <w:sz w:val="18"/>
          <w:szCs w:val="18"/>
          <w:lang w:eastAsia="en-AU"/>
        </w:rPr>
        <w:t>7  Application of this Instrument.................................................................................                 2</w:t>
      </w:r>
    </w:p>
    <w:p w14:paraId="2CE6B98A" w14:textId="2D9C412B" w:rsidR="009359BB" w:rsidRPr="007C3A68" w:rsidRDefault="009359BB" w:rsidP="009359BB">
      <w:pPr>
        <w:pStyle w:val="TOC6"/>
        <w:rPr>
          <w:noProof/>
          <w:sz w:val="22"/>
          <w:szCs w:val="22"/>
        </w:rPr>
      </w:pPr>
      <w:r w:rsidRPr="007C3A68">
        <w:rPr>
          <w:noProof/>
          <w:sz w:val="22"/>
          <w:szCs w:val="22"/>
        </w:rPr>
        <w:t xml:space="preserve">Schedule 1 - Training </w:t>
      </w:r>
      <w:r w:rsidR="001E011E" w:rsidRPr="007C3A68">
        <w:rPr>
          <w:noProof/>
          <w:sz w:val="22"/>
          <w:szCs w:val="22"/>
        </w:rPr>
        <w:t xml:space="preserve">Benchmarks </w:t>
      </w:r>
      <w:r w:rsidRPr="007C3A68">
        <w:rPr>
          <w:noProof/>
          <w:sz w:val="22"/>
          <w:szCs w:val="22"/>
        </w:rPr>
        <w:t xml:space="preserve">and </w:t>
      </w:r>
      <w:r w:rsidR="001E011E" w:rsidRPr="007C3A68">
        <w:rPr>
          <w:noProof/>
          <w:sz w:val="22"/>
          <w:szCs w:val="22"/>
        </w:rPr>
        <w:t xml:space="preserve">Training </w:t>
      </w:r>
      <w:r w:rsidRPr="007C3A68">
        <w:rPr>
          <w:noProof/>
          <w:sz w:val="22"/>
          <w:szCs w:val="22"/>
        </w:rPr>
        <w:t xml:space="preserve">Requirements </w:t>
      </w:r>
      <w:r w:rsidRPr="007C3A68">
        <w:rPr>
          <w:b w:val="0"/>
          <w:noProof/>
          <w:sz w:val="22"/>
          <w:szCs w:val="22"/>
        </w:rPr>
        <w:tab/>
      </w:r>
      <w:r w:rsidRPr="00FD6A43">
        <w:rPr>
          <w:b w:val="0"/>
          <w:noProof/>
          <w:sz w:val="18"/>
          <w:szCs w:val="18"/>
        </w:rPr>
        <w:t xml:space="preserve">3 </w:t>
      </w:r>
      <w:r w:rsidRPr="007C3A68">
        <w:rPr>
          <w:noProof/>
          <w:sz w:val="22"/>
          <w:szCs w:val="22"/>
        </w:rPr>
        <w:t xml:space="preserve">  </w:t>
      </w:r>
    </w:p>
    <w:p w14:paraId="7D9DF71C" w14:textId="4E59B3D6" w:rsidR="00CD4AEE" w:rsidRPr="007C3A68" w:rsidRDefault="00CD4AEE" w:rsidP="00CD4AEE">
      <w:pPr>
        <w:pStyle w:val="TOC6"/>
        <w:rPr>
          <w:noProof/>
          <w:sz w:val="22"/>
          <w:szCs w:val="22"/>
        </w:rPr>
      </w:pPr>
      <w:r w:rsidRPr="007C3A68">
        <w:rPr>
          <w:noProof/>
          <w:sz w:val="22"/>
          <w:szCs w:val="22"/>
        </w:rPr>
        <w:t xml:space="preserve">  </w:t>
      </w:r>
    </w:p>
    <w:p w14:paraId="2A68A3CC" w14:textId="77777777" w:rsidR="009359BB" w:rsidRDefault="009359BB" w:rsidP="009359BB">
      <w:pPr>
        <w:pStyle w:val="TOC6"/>
        <w:spacing w:before="0"/>
        <w:rPr>
          <w:noProof/>
        </w:rPr>
      </w:pPr>
    </w:p>
    <w:p w14:paraId="16ED3056" w14:textId="77777777" w:rsidR="009359BB" w:rsidRDefault="009359BB" w:rsidP="009359B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ab/>
      </w:r>
    </w:p>
    <w:p w14:paraId="24641901" w14:textId="77777777" w:rsidR="009359BB" w:rsidRDefault="009359BB" w:rsidP="009359BB">
      <w:pPr>
        <w:outlineLvl w:val="0"/>
      </w:pPr>
      <w:r>
        <w:fldChar w:fldCharType="end"/>
      </w:r>
    </w:p>
    <w:p w14:paraId="2F1FF2F6" w14:textId="77777777" w:rsidR="009359BB" w:rsidRPr="00A802BC" w:rsidRDefault="009359BB" w:rsidP="009359BB">
      <w:pPr>
        <w:outlineLvl w:val="0"/>
        <w:rPr>
          <w:sz w:val="20"/>
        </w:rPr>
      </w:pPr>
    </w:p>
    <w:p w14:paraId="77B898A9" w14:textId="77777777" w:rsidR="009359BB" w:rsidRDefault="009359BB" w:rsidP="009359BB">
      <w:pPr>
        <w:sectPr w:rsidR="009359BB" w:rsidSect="007C3A6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C58EAA" w14:textId="77777777" w:rsidR="009359BB" w:rsidRPr="006900B2" w:rsidRDefault="009359BB" w:rsidP="009359BB">
      <w:pPr>
        <w:outlineLvl w:val="0"/>
        <w:rPr>
          <w:rStyle w:val="CharSectno"/>
          <w:rFonts w:eastAsia="Times New Roman" w:cs="Times New Roman"/>
          <w:b/>
          <w:noProof/>
          <w:kern w:val="28"/>
          <w:sz w:val="32"/>
          <w:szCs w:val="32"/>
          <w:lang w:eastAsia="en-AU"/>
        </w:rPr>
      </w:pPr>
      <w:bookmarkStart w:id="1" w:name="_Toc485120748"/>
      <w:r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lastRenderedPageBreak/>
        <w:t>Part 1 –</w:t>
      </w:r>
      <w:r w:rsidRPr="00E03F87"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t xml:space="preserve"> Preliminary</w:t>
      </w:r>
    </w:p>
    <w:p w14:paraId="58FF18F3" w14:textId="77777777" w:rsidR="009359BB" w:rsidRPr="009C2562" w:rsidRDefault="009359BB" w:rsidP="009359BB">
      <w:pPr>
        <w:pStyle w:val="ActHead5"/>
      </w:pPr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1"/>
      <w:proofErr w:type="gramEnd"/>
    </w:p>
    <w:p w14:paraId="4D6D1298" w14:textId="77777777" w:rsidR="009359BB" w:rsidRPr="00AD7475" w:rsidRDefault="009359BB" w:rsidP="009359BB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>
        <w:rPr>
          <w:i/>
        </w:rPr>
        <w:t>Migration (IMMI 17/045: Specification of Training Benchmarks and Training Requirements) Instrument 2017</w:t>
      </w:r>
      <w:r>
        <w:t xml:space="preserve">.  It </w:t>
      </w:r>
      <w:proofErr w:type="gramStart"/>
      <w:r>
        <w:t>may be cited</w:t>
      </w:r>
      <w:proofErr w:type="gramEnd"/>
      <w:r>
        <w:t xml:space="preserve"> as IMMI 17/045.  </w:t>
      </w:r>
    </w:p>
    <w:p w14:paraId="6C6F35C5" w14:textId="77777777" w:rsidR="009359BB" w:rsidRDefault="009359BB" w:rsidP="009359BB">
      <w:pPr>
        <w:pStyle w:val="ActHead5"/>
      </w:pPr>
      <w:bookmarkStart w:id="3" w:name="_Toc485120749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016EBDA2" w14:textId="77777777" w:rsidR="009359BB" w:rsidRPr="00232984" w:rsidRDefault="009359BB" w:rsidP="009359BB">
      <w:pPr>
        <w:pStyle w:val="subsection"/>
      </w:pPr>
      <w:r>
        <w:tab/>
      </w:r>
      <w:r>
        <w:tab/>
        <w:t>This instrument commences on 1 July 2017.</w:t>
      </w:r>
    </w:p>
    <w:p w14:paraId="106D9518" w14:textId="77777777" w:rsidR="009359BB" w:rsidRPr="009C2562" w:rsidRDefault="009359BB" w:rsidP="009359BB">
      <w:pPr>
        <w:pStyle w:val="ActHead5"/>
      </w:pPr>
      <w:bookmarkStart w:id="4" w:name="_Toc485120750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56FD77C2" w14:textId="71825FFF" w:rsidR="009359BB" w:rsidRPr="009C2562" w:rsidRDefault="009359BB" w:rsidP="009359BB">
      <w:pPr>
        <w:pStyle w:val="subsection"/>
      </w:pPr>
      <w:r w:rsidRPr="009C2562">
        <w:tab/>
      </w:r>
      <w:r w:rsidRPr="009C2562">
        <w:tab/>
        <w:t xml:space="preserve">This instrument is made under </w:t>
      </w:r>
      <w:r>
        <w:t xml:space="preserve">paragraphs 2.59(d), 2.68(e), </w:t>
      </w:r>
      <w:proofErr w:type="spellStart"/>
      <w:r>
        <w:t>subregu</w:t>
      </w:r>
      <w:r w:rsidR="00437491">
        <w:t>lations</w:t>
      </w:r>
      <w:proofErr w:type="spellEnd"/>
      <w:r w:rsidR="00437491">
        <w:t xml:space="preserve"> </w:t>
      </w:r>
      <w:proofErr w:type="gramStart"/>
      <w:r w:rsidR="00437491">
        <w:t>2.87B(</w:t>
      </w:r>
      <w:proofErr w:type="gramEnd"/>
      <w:r w:rsidR="00437491">
        <w:t xml:space="preserve">2), and 2.87B(3) of the Regulations. </w:t>
      </w:r>
    </w:p>
    <w:p w14:paraId="54E8421A" w14:textId="77777777" w:rsidR="009359BB" w:rsidRPr="009C2562" w:rsidRDefault="009359BB" w:rsidP="009359BB">
      <w:pPr>
        <w:pStyle w:val="ActHead5"/>
      </w:pPr>
      <w:bookmarkStart w:id="5" w:name="_Toc485120751"/>
      <w:proofErr w:type="gramStart"/>
      <w:r w:rsidRPr="009C2562">
        <w:rPr>
          <w:rStyle w:val="CharSectno"/>
        </w:rPr>
        <w:t>4</w:t>
      </w:r>
      <w:r w:rsidRPr="009C2562">
        <w:t xml:space="preserve">  Definitions</w:t>
      </w:r>
      <w:bookmarkEnd w:id="5"/>
      <w:proofErr w:type="gramEnd"/>
    </w:p>
    <w:p w14:paraId="6D3CC1E6" w14:textId="77777777" w:rsidR="009359BB" w:rsidRPr="009C2562" w:rsidRDefault="009359BB" w:rsidP="009359BB">
      <w:pPr>
        <w:pStyle w:val="subsection"/>
      </w:pPr>
      <w:r w:rsidRPr="009C2562">
        <w:tab/>
      </w:r>
      <w:r w:rsidRPr="009C2562">
        <w:tab/>
        <w:t>In this instrument:</w:t>
      </w:r>
    </w:p>
    <w:p w14:paraId="4EE78851" w14:textId="77777777" w:rsidR="009359BB" w:rsidRPr="00E66FE7" w:rsidRDefault="009359BB" w:rsidP="009359BB">
      <w:pPr>
        <w:pStyle w:val="Definition"/>
        <w:rPr>
          <w:i/>
        </w:rPr>
      </w:pPr>
      <w:r>
        <w:rPr>
          <w:b/>
          <w:i/>
        </w:rPr>
        <w:t>Regulations</w:t>
      </w:r>
      <w:r w:rsidRPr="009C2562">
        <w:t xml:space="preserve"> means the </w:t>
      </w:r>
      <w:r>
        <w:rPr>
          <w:i/>
        </w:rPr>
        <w:t>Migration Regulations 1994.</w:t>
      </w:r>
    </w:p>
    <w:p w14:paraId="23657DB2" w14:textId="77777777" w:rsidR="009359BB" w:rsidRPr="005A65D5" w:rsidRDefault="009359BB" w:rsidP="009359BB">
      <w:pPr>
        <w:pStyle w:val="ActHead5"/>
      </w:pPr>
      <w:bookmarkStart w:id="6" w:name="_Toc454781205"/>
      <w:bookmarkStart w:id="7" w:name="_Toc485120752"/>
      <w:proofErr w:type="gramStart"/>
      <w:r w:rsidRPr="005A65D5">
        <w:t>5  Schedules</w:t>
      </w:r>
      <w:bookmarkEnd w:id="6"/>
      <w:bookmarkEnd w:id="7"/>
      <w:proofErr w:type="gramEnd"/>
    </w:p>
    <w:p w14:paraId="0793C938" w14:textId="77777777" w:rsidR="009359BB" w:rsidRDefault="009359BB" w:rsidP="009359BB">
      <w:pPr>
        <w:pStyle w:val="subsection"/>
      </w:pPr>
      <w:r w:rsidRPr="006065DA">
        <w:tab/>
      </w:r>
      <w:r w:rsidRPr="006065DA">
        <w:tab/>
        <w:t xml:space="preserve">Each instrument that </w:t>
      </w:r>
      <w:proofErr w:type="gramStart"/>
      <w:r w:rsidRPr="006065DA">
        <w:t>is specified</w:t>
      </w:r>
      <w:proofErr w:type="gramEnd"/>
      <w:r w:rsidRPr="006065DA">
        <w:t xml:space="preserve"> in a Schedule to this instrument is amended or repealed as set out in the applicable items in the Schedule concerned, and any other item in a Schedule to this instrument has effect according to its terms.</w:t>
      </w:r>
    </w:p>
    <w:p w14:paraId="4B9B1B9F" w14:textId="77777777" w:rsidR="009359BB" w:rsidRDefault="009359BB" w:rsidP="009359BB">
      <w:pPr>
        <w:pStyle w:val="subsection"/>
      </w:pPr>
    </w:p>
    <w:p w14:paraId="187F7808" w14:textId="77777777" w:rsidR="009359BB" w:rsidRDefault="009359BB" w:rsidP="009359BB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6D2C9981" w14:textId="77777777" w:rsidR="009359BB" w:rsidRDefault="009359BB" w:rsidP="009359BB">
      <w:pPr>
        <w:pStyle w:val="subsection"/>
      </w:pPr>
    </w:p>
    <w:p w14:paraId="6309D875" w14:textId="2C67652E" w:rsidR="009359BB" w:rsidRDefault="009359BB" w:rsidP="009359BB">
      <w:pPr>
        <w:outlineLvl w:val="0"/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</w:pPr>
      <w:r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t>Part 2 –</w:t>
      </w:r>
      <w:r w:rsidRPr="00E03F87"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t xml:space="preserve"> </w:t>
      </w:r>
      <w:r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t xml:space="preserve">Specified Training </w:t>
      </w:r>
      <w:r w:rsidR="00963B3B"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t xml:space="preserve">Benchmarks </w:t>
      </w:r>
      <w:r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t xml:space="preserve">and </w:t>
      </w:r>
      <w:r w:rsidR="00963B3B"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t xml:space="preserve">Training </w:t>
      </w:r>
      <w:r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  <w:t xml:space="preserve">Requirements </w:t>
      </w:r>
    </w:p>
    <w:p w14:paraId="0BC1DE3E" w14:textId="77777777" w:rsidR="009359BB" w:rsidRDefault="009359BB" w:rsidP="009359BB">
      <w:pPr>
        <w:outlineLvl w:val="0"/>
        <w:rPr>
          <w:rFonts w:eastAsia="Times New Roman" w:cs="Times New Roman"/>
          <w:b/>
          <w:noProof/>
          <w:kern w:val="28"/>
          <w:sz w:val="32"/>
          <w:szCs w:val="32"/>
          <w:lang w:eastAsia="en-AU"/>
        </w:rPr>
      </w:pPr>
    </w:p>
    <w:p w14:paraId="2777ACEB" w14:textId="6267E79A" w:rsidR="009359BB" w:rsidRPr="006900B2" w:rsidRDefault="00116375" w:rsidP="00116375">
      <w:pPr>
        <w:pStyle w:val="ActHead5"/>
        <w:rPr>
          <w:b w:val="0"/>
          <w:noProof/>
          <w:szCs w:val="24"/>
        </w:rPr>
      </w:pPr>
      <w:r w:rsidRPr="00116375">
        <w:rPr>
          <w:noProof/>
          <w:szCs w:val="24"/>
        </w:rPr>
        <w:t>6</w:t>
      </w:r>
      <w:r>
        <w:rPr>
          <w:b w:val="0"/>
          <w:noProof/>
          <w:szCs w:val="24"/>
        </w:rPr>
        <w:t xml:space="preserve"> </w:t>
      </w:r>
      <w:r w:rsidR="00B114A6">
        <w:rPr>
          <w:b w:val="0"/>
          <w:noProof/>
          <w:szCs w:val="24"/>
        </w:rPr>
        <w:t xml:space="preserve"> </w:t>
      </w:r>
      <w:r w:rsidR="00963B3B">
        <w:rPr>
          <w:noProof/>
          <w:szCs w:val="24"/>
        </w:rPr>
        <w:t>Benchmarks and r</w:t>
      </w:r>
      <w:r w:rsidR="009359BB">
        <w:rPr>
          <w:noProof/>
          <w:szCs w:val="24"/>
        </w:rPr>
        <w:t>equirements</w:t>
      </w:r>
      <w:r w:rsidR="009359BB" w:rsidRPr="006900B2">
        <w:rPr>
          <w:noProof/>
          <w:szCs w:val="24"/>
        </w:rPr>
        <w:t xml:space="preserve"> for training of Australian citizens and Australian permanent residents</w:t>
      </w:r>
    </w:p>
    <w:p w14:paraId="35317648" w14:textId="77777777" w:rsidR="009359BB" w:rsidRDefault="009359BB" w:rsidP="009359BB">
      <w:pPr>
        <w:outlineLvl w:val="0"/>
        <w:rPr>
          <w:rFonts w:eastAsia="Times New Roman" w:cs="Times New Roman"/>
          <w:b/>
          <w:noProof/>
          <w:kern w:val="28"/>
          <w:szCs w:val="22"/>
          <w:lang w:eastAsia="en-AU"/>
        </w:rPr>
      </w:pPr>
    </w:p>
    <w:p w14:paraId="459389DD" w14:textId="77777777" w:rsidR="009359BB" w:rsidRDefault="009359BB" w:rsidP="009359BB">
      <w:pPr>
        <w:pStyle w:val="ListParagraph"/>
        <w:numPr>
          <w:ilvl w:val="0"/>
          <w:numId w:val="9"/>
        </w:numPr>
        <w:outlineLvl w:val="0"/>
        <w:rPr>
          <w:rFonts w:eastAsia="Times New Roman" w:cs="Times New Roman"/>
          <w:noProof/>
          <w:kern w:val="28"/>
          <w:szCs w:val="22"/>
          <w:lang w:eastAsia="en-AU"/>
        </w:rPr>
      </w:pPr>
      <w:r>
        <w:rPr>
          <w:rFonts w:eastAsia="Times New Roman" w:cs="Times New Roman"/>
          <w:noProof/>
          <w:kern w:val="28"/>
          <w:szCs w:val="22"/>
          <w:lang w:eastAsia="en-AU"/>
        </w:rPr>
        <w:t xml:space="preserve">For the purposes of paragraphs 2.59(d) and 2.68(e) of the Regulations, the specified benchmarks for the training of Australian citizens and Australian permanent residents are listed in Schedule 1 to this Instrument. </w:t>
      </w:r>
    </w:p>
    <w:p w14:paraId="481CB7BB" w14:textId="77777777" w:rsidR="009359BB" w:rsidRDefault="009359BB" w:rsidP="009359BB">
      <w:pPr>
        <w:pStyle w:val="ListParagraph"/>
        <w:outlineLvl w:val="0"/>
        <w:rPr>
          <w:rFonts w:eastAsia="Times New Roman" w:cs="Times New Roman"/>
          <w:noProof/>
          <w:kern w:val="28"/>
          <w:szCs w:val="22"/>
          <w:lang w:eastAsia="en-AU"/>
        </w:rPr>
      </w:pPr>
    </w:p>
    <w:p w14:paraId="10C14F9D" w14:textId="1F6A6B13" w:rsidR="009359BB" w:rsidRPr="00204718" w:rsidRDefault="009359BB" w:rsidP="009359BB">
      <w:pPr>
        <w:pStyle w:val="ListParagraph"/>
        <w:numPr>
          <w:ilvl w:val="0"/>
          <w:numId w:val="9"/>
        </w:numPr>
        <w:outlineLvl w:val="0"/>
        <w:rPr>
          <w:rStyle w:val="CharSectno"/>
          <w:rFonts w:eastAsia="Times New Roman" w:cs="Times New Roman"/>
          <w:b/>
          <w:noProof/>
          <w:kern w:val="28"/>
          <w:szCs w:val="22"/>
          <w:lang w:eastAsia="en-AU"/>
        </w:rPr>
      </w:pPr>
      <w:r w:rsidRPr="00A12E22">
        <w:rPr>
          <w:rFonts w:eastAsia="Times New Roman" w:cs="Times New Roman"/>
          <w:noProof/>
          <w:kern w:val="28"/>
          <w:szCs w:val="22"/>
          <w:lang w:eastAsia="en-AU"/>
        </w:rPr>
        <w:t xml:space="preserve">For the purposes of subregulations 2.87B(2) and 2.87B(3) of the Regulations, the requirements relating to training </w:t>
      </w:r>
      <w:r>
        <w:rPr>
          <w:rFonts w:eastAsia="Times New Roman" w:cs="Times New Roman"/>
          <w:noProof/>
          <w:kern w:val="28"/>
          <w:szCs w:val="22"/>
          <w:lang w:eastAsia="en-AU"/>
        </w:rPr>
        <w:t xml:space="preserve">that the person must comply with, are the </w:t>
      </w:r>
      <w:r w:rsidRPr="00A12E22">
        <w:rPr>
          <w:rFonts w:eastAsia="Times New Roman" w:cs="Times New Roman"/>
          <w:noProof/>
          <w:kern w:val="28"/>
          <w:szCs w:val="22"/>
          <w:lang w:eastAsia="en-AU"/>
        </w:rPr>
        <w:t xml:space="preserve">benchmarks </w:t>
      </w:r>
      <w:r>
        <w:rPr>
          <w:rFonts w:eastAsia="Times New Roman" w:cs="Times New Roman"/>
          <w:noProof/>
          <w:kern w:val="28"/>
          <w:szCs w:val="22"/>
          <w:lang w:eastAsia="en-AU"/>
        </w:rPr>
        <w:t>for the training of</w:t>
      </w:r>
      <w:r w:rsidRPr="00A12E22">
        <w:rPr>
          <w:rFonts w:eastAsia="Times New Roman" w:cs="Times New Roman"/>
          <w:noProof/>
          <w:kern w:val="28"/>
          <w:szCs w:val="22"/>
          <w:lang w:eastAsia="en-AU"/>
        </w:rPr>
        <w:t xml:space="preserve"> Australian citizens and Australian permanent residents listed in Schedule 1 to this Instrument.  </w:t>
      </w:r>
    </w:p>
    <w:p w14:paraId="0C19E1C9" w14:textId="77777777" w:rsidR="00116375" w:rsidRDefault="00116375" w:rsidP="009359BB">
      <w:pPr>
        <w:spacing w:line="240" w:lineRule="auto"/>
        <w:rPr>
          <w:szCs w:val="22"/>
        </w:rPr>
      </w:pPr>
    </w:p>
    <w:p w14:paraId="3844E21D" w14:textId="77777777" w:rsidR="00116375" w:rsidRPr="00017B4D" w:rsidRDefault="00116375" w:rsidP="00116375">
      <w:pPr>
        <w:keepNext/>
        <w:autoSpaceDE w:val="0"/>
        <w:autoSpaceDN w:val="0"/>
        <w:adjustRightInd w:val="0"/>
        <w:spacing w:before="240" w:after="120" w:line="240" w:lineRule="auto"/>
        <w:rPr>
          <w:b/>
          <w:color w:val="000000"/>
          <w:sz w:val="32"/>
          <w:szCs w:val="32"/>
        </w:rPr>
      </w:pPr>
      <w:r w:rsidRPr="00017B4D">
        <w:rPr>
          <w:b/>
          <w:color w:val="000000"/>
          <w:sz w:val="32"/>
          <w:szCs w:val="32"/>
        </w:rPr>
        <w:t xml:space="preserve">Part 3 </w:t>
      </w:r>
      <w:r w:rsidRPr="00017B4D">
        <w:rPr>
          <w:b/>
          <w:sz w:val="32"/>
          <w:szCs w:val="32"/>
        </w:rPr>
        <w:t>—</w:t>
      </w:r>
      <w:r w:rsidRPr="00017B4D">
        <w:rPr>
          <w:rStyle w:val="CharPartText"/>
          <w:b/>
          <w:sz w:val="32"/>
          <w:szCs w:val="32"/>
        </w:rPr>
        <w:t>Transitional provisions</w:t>
      </w:r>
    </w:p>
    <w:p w14:paraId="1EBD0006" w14:textId="31061435" w:rsidR="00116375" w:rsidRDefault="00116375" w:rsidP="00116375">
      <w:pPr>
        <w:pStyle w:val="ActHead5"/>
        <w:rPr>
          <w:sz w:val="22"/>
          <w:szCs w:val="22"/>
        </w:rPr>
      </w:pPr>
      <w:bookmarkStart w:id="8" w:name="_Toc485806253"/>
      <w:proofErr w:type="gramStart"/>
      <w:r>
        <w:t xml:space="preserve">7 </w:t>
      </w:r>
      <w:r w:rsidR="00B114A6">
        <w:t xml:space="preserve"> </w:t>
      </w:r>
      <w:r w:rsidRPr="00344B4F">
        <w:t>Application</w:t>
      </w:r>
      <w:proofErr w:type="gramEnd"/>
      <w:r w:rsidRPr="00344B4F">
        <w:t xml:space="preserve"> of this instrument</w:t>
      </w:r>
      <w:bookmarkEnd w:id="8"/>
    </w:p>
    <w:p w14:paraId="0D065190" w14:textId="07F73EF2" w:rsidR="00116375" w:rsidRPr="00E4218F" w:rsidRDefault="00B114A6" w:rsidP="00B114A6">
      <w:pPr>
        <w:pStyle w:val="subsection"/>
        <w:rPr>
          <w:szCs w:val="22"/>
        </w:rPr>
      </w:pPr>
      <w:r>
        <w:tab/>
      </w:r>
      <w:r>
        <w:tab/>
      </w:r>
      <w:r w:rsidR="00116375">
        <w:t>This instrument applies to nominations or standard business approvals lodged on or after commencement of this instrument.</w:t>
      </w:r>
    </w:p>
    <w:p w14:paraId="6317E2DF" w14:textId="254967A5" w:rsidR="009359BB" w:rsidRPr="00204718" w:rsidRDefault="009359BB" w:rsidP="009359BB">
      <w:pPr>
        <w:spacing w:line="240" w:lineRule="auto"/>
        <w:rPr>
          <w:rFonts w:ascii="Arial" w:eastAsia="Times New Roman" w:hAnsi="Arial" w:cs="Times New Roman"/>
          <w:b/>
          <w:kern w:val="28"/>
          <w:szCs w:val="22"/>
          <w:lang w:eastAsia="en-AU"/>
        </w:rPr>
      </w:pPr>
      <w:r w:rsidRPr="00A12E22">
        <w:rPr>
          <w:szCs w:val="22"/>
        </w:rPr>
        <w:br w:type="page"/>
      </w:r>
    </w:p>
    <w:p w14:paraId="26675EA1" w14:textId="77777777" w:rsidR="009359BB" w:rsidRDefault="009359BB" w:rsidP="009359BB">
      <w:pPr>
        <w:spacing w:line="240" w:lineRule="auto"/>
        <w:rPr>
          <w:rFonts w:eastAsia="Times New Roman" w:cs="Times New Roman"/>
          <w:sz w:val="24"/>
          <w:lang w:eastAsia="en-AU"/>
        </w:rPr>
      </w:pPr>
    </w:p>
    <w:p w14:paraId="66A60341" w14:textId="1D82EFAA" w:rsidR="009359BB" w:rsidRPr="00FA3883" w:rsidRDefault="009359BB" w:rsidP="008C5410">
      <w:pPr>
        <w:pStyle w:val="BodyPara"/>
        <w:numPr>
          <w:ilvl w:val="0"/>
          <w:numId w:val="0"/>
        </w:numPr>
        <w:ind w:left="1701" w:hanging="1843"/>
        <w:rPr>
          <w:b/>
          <w:sz w:val="32"/>
          <w:szCs w:val="32"/>
        </w:rPr>
      </w:pPr>
      <w:r w:rsidRPr="00FA3883">
        <w:rPr>
          <w:b/>
          <w:sz w:val="32"/>
          <w:szCs w:val="32"/>
        </w:rPr>
        <w:t xml:space="preserve">Schedule 1 – Training </w:t>
      </w:r>
      <w:r w:rsidR="00963B3B">
        <w:rPr>
          <w:b/>
          <w:sz w:val="32"/>
          <w:szCs w:val="32"/>
        </w:rPr>
        <w:t xml:space="preserve">Benchmarks </w:t>
      </w:r>
      <w:r>
        <w:rPr>
          <w:b/>
          <w:sz w:val="32"/>
          <w:szCs w:val="32"/>
        </w:rPr>
        <w:t xml:space="preserve">and </w:t>
      </w:r>
      <w:r w:rsidR="00963B3B">
        <w:rPr>
          <w:b/>
          <w:sz w:val="32"/>
          <w:szCs w:val="32"/>
        </w:rPr>
        <w:t xml:space="preserve">Training </w:t>
      </w:r>
      <w:r>
        <w:rPr>
          <w:b/>
          <w:sz w:val="32"/>
          <w:szCs w:val="32"/>
        </w:rPr>
        <w:t xml:space="preserve">Requirements </w:t>
      </w:r>
    </w:p>
    <w:p w14:paraId="09D7BA5F" w14:textId="77777777" w:rsidR="009359BB" w:rsidRPr="00FA3883" w:rsidRDefault="009359BB" w:rsidP="009359BB">
      <w:pPr>
        <w:pStyle w:val="BodyPara"/>
        <w:numPr>
          <w:ilvl w:val="0"/>
          <w:numId w:val="8"/>
        </w:numPr>
        <w:ind w:left="709" w:hanging="796"/>
        <w:rPr>
          <w:b/>
          <w:szCs w:val="24"/>
        </w:rPr>
      </w:pPr>
      <w:r w:rsidRPr="00FA3883">
        <w:rPr>
          <w:b/>
          <w:szCs w:val="24"/>
        </w:rPr>
        <w:t xml:space="preserve">Training Benchmarks </w:t>
      </w:r>
    </w:p>
    <w:p w14:paraId="34157540" w14:textId="77777777" w:rsidR="009359BB" w:rsidRPr="00FA3883" w:rsidRDefault="009359BB" w:rsidP="009359BB">
      <w:pPr>
        <w:pStyle w:val="BodyPara"/>
        <w:numPr>
          <w:ilvl w:val="0"/>
          <w:numId w:val="0"/>
        </w:numPr>
        <w:ind w:left="720"/>
        <w:jc w:val="both"/>
        <w:rPr>
          <w:sz w:val="22"/>
          <w:szCs w:val="22"/>
        </w:rPr>
      </w:pPr>
      <w:r w:rsidRPr="00FA3883">
        <w:rPr>
          <w:sz w:val="22"/>
          <w:szCs w:val="22"/>
        </w:rPr>
        <w:t xml:space="preserve">The business </w:t>
      </w:r>
      <w:r w:rsidRPr="00FA3883">
        <w:rPr>
          <w:sz w:val="22"/>
          <w:szCs w:val="22"/>
          <w:u w:val="single"/>
        </w:rPr>
        <w:t xml:space="preserve">is not </w:t>
      </w:r>
      <w:r w:rsidRPr="00FA3883">
        <w:rPr>
          <w:sz w:val="22"/>
          <w:szCs w:val="22"/>
        </w:rPr>
        <w:t>required to demonstrate that they are an industry leader in training.</w:t>
      </w:r>
    </w:p>
    <w:p w14:paraId="363FEE91" w14:textId="77777777" w:rsidR="009359BB" w:rsidRPr="00FA3883" w:rsidRDefault="009359BB" w:rsidP="009359BB">
      <w:pPr>
        <w:pStyle w:val="BodyPara"/>
        <w:numPr>
          <w:ilvl w:val="0"/>
          <w:numId w:val="0"/>
        </w:numPr>
        <w:ind w:left="720"/>
        <w:jc w:val="both"/>
        <w:rPr>
          <w:sz w:val="22"/>
          <w:szCs w:val="22"/>
        </w:rPr>
      </w:pPr>
      <w:r w:rsidRPr="00FA3883">
        <w:rPr>
          <w:sz w:val="22"/>
          <w:szCs w:val="22"/>
        </w:rPr>
        <w:t>The training benchmarks for an established business are:</w:t>
      </w:r>
    </w:p>
    <w:p w14:paraId="4DB0141B" w14:textId="77777777" w:rsidR="009359BB" w:rsidRPr="00FA3883" w:rsidRDefault="009359BB" w:rsidP="009359BB">
      <w:pPr>
        <w:pStyle w:val="BodyPara"/>
        <w:numPr>
          <w:ilvl w:val="0"/>
          <w:numId w:val="0"/>
        </w:numPr>
        <w:ind w:left="720"/>
        <w:jc w:val="both"/>
        <w:rPr>
          <w:b/>
          <w:u w:val="single"/>
        </w:rPr>
      </w:pPr>
      <w:r w:rsidRPr="00FA3883">
        <w:rPr>
          <w:b/>
          <w:u w:val="single"/>
        </w:rPr>
        <w:t>Training Benchmark A:</w:t>
      </w:r>
    </w:p>
    <w:p w14:paraId="77002B11" w14:textId="4B8D0A30" w:rsidR="009359BB" w:rsidRPr="00FA3883" w:rsidRDefault="009359BB" w:rsidP="009359BB">
      <w:pPr>
        <w:pStyle w:val="BodyPara"/>
        <w:numPr>
          <w:ilvl w:val="0"/>
          <w:numId w:val="0"/>
        </w:numPr>
        <w:ind w:left="709"/>
        <w:jc w:val="both"/>
        <w:rPr>
          <w:sz w:val="22"/>
          <w:szCs w:val="22"/>
        </w:rPr>
      </w:pPr>
      <w:r w:rsidRPr="00FA3883">
        <w:rPr>
          <w:sz w:val="22"/>
          <w:szCs w:val="22"/>
        </w:rPr>
        <w:t xml:space="preserve">Recent expenditure, by the business, to the equivalent of at least 2% of the payroll of the business, in payments allocated to a training fund that operates in the same or a related industry of the business. </w:t>
      </w:r>
    </w:p>
    <w:p w14:paraId="5C813485" w14:textId="77777777" w:rsidR="009359BB" w:rsidRPr="0019630A" w:rsidRDefault="009359BB" w:rsidP="009359BB">
      <w:pPr>
        <w:pStyle w:val="BodyPara"/>
        <w:numPr>
          <w:ilvl w:val="0"/>
          <w:numId w:val="0"/>
        </w:numPr>
        <w:ind w:left="709" w:firstLine="11"/>
        <w:jc w:val="both"/>
        <w:rPr>
          <w:sz w:val="22"/>
          <w:szCs w:val="22"/>
        </w:rPr>
      </w:pPr>
      <w:r w:rsidRPr="00FA3883">
        <w:rPr>
          <w:b/>
          <w:i/>
          <w:sz w:val="22"/>
          <w:szCs w:val="22"/>
        </w:rPr>
        <w:t xml:space="preserve">Recent expenditure </w:t>
      </w:r>
      <w:r w:rsidRPr="00FA3883">
        <w:rPr>
          <w:i/>
          <w:sz w:val="22"/>
          <w:szCs w:val="22"/>
        </w:rPr>
        <w:t xml:space="preserve">for Training Benchmark A </w:t>
      </w:r>
      <w:proofErr w:type="gramStart"/>
      <w:r w:rsidRPr="00FA3883">
        <w:rPr>
          <w:i/>
          <w:sz w:val="22"/>
          <w:szCs w:val="22"/>
        </w:rPr>
        <w:t>is defined</w:t>
      </w:r>
      <w:proofErr w:type="gramEnd"/>
      <w:r w:rsidRPr="00FA3883">
        <w:rPr>
          <w:i/>
          <w:sz w:val="22"/>
          <w:szCs w:val="22"/>
        </w:rPr>
        <w:t xml:space="preserve"> as expenditure made in the previous financial year or the previous 12 months, as evidenced by a receipt for the payment or a letter from the relevant fund.  </w:t>
      </w:r>
    </w:p>
    <w:p w14:paraId="63C8AA35" w14:textId="77777777" w:rsidR="009359BB" w:rsidRPr="0019630A" w:rsidRDefault="009359BB" w:rsidP="009359BB">
      <w:pPr>
        <w:pStyle w:val="BodyPara"/>
        <w:numPr>
          <w:ilvl w:val="0"/>
          <w:numId w:val="0"/>
        </w:numPr>
        <w:spacing w:before="0"/>
        <w:ind w:left="1440" w:hanging="720"/>
        <w:jc w:val="both"/>
        <w:rPr>
          <w:b/>
          <w:sz w:val="22"/>
          <w:szCs w:val="22"/>
        </w:rPr>
      </w:pPr>
    </w:p>
    <w:p w14:paraId="24368F91" w14:textId="77777777" w:rsidR="009359BB" w:rsidRPr="00523B7A" w:rsidRDefault="009359BB" w:rsidP="009359BB">
      <w:pPr>
        <w:pStyle w:val="BodyPara"/>
        <w:numPr>
          <w:ilvl w:val="0"/>
          <w:numId w:val="0"/>
        </w:numPr>
        <w:spacing w:before="0"/>
        <w:ind w:left="720"/>
        <w:jc w:val="both"/>
        <w:rPr>
          <w:rFonts w:eastAsiaTheme="minorHAnsi" w:cstheme="minorBidi"/>
          <w:sz w:val="22"/>
          <w:szCs w:val="22"/>
          <w:lang w:eastAsia="en-US"/>
        </w:rPr>
      </w:pPr>
      <w:r w:rsidRPr="00523B7A">
        <w:rPr>
          <w:rFonts w:eastAsiaTheme="minorHAnsi" w:cstheme="minorBidi"/>
          <w:sz w:val="22"/>
          <w:szCs w:val="22"/>
          <w:lang w:eastAsia="en-US"/>
        </w:rPr>
        <w:t xml:space="preserve">Expenditure is </w:t>
      </w:r>
      <w:r w:rsidRPr="00523B7A">
        <w:rPr>
          <w:rFonts w:eastAsiaTheme="minorHAnsi" w:cstheme="minorBidi"/>
          <w:sz w:val="22"/>
          <w:szCs w:val="22"/>
          <w:u w:val="single"/>
          <w:lang w:eastAsia="en-US"/>
        </w:rPr>
        <w:t xml:space="preserve">not </w:t>
      </w:r>
      <w:r w:rsidRPr="00523B7A">
        <w:rPr>
          <w:rFonts w:eastAsiaTheme="minorHAnsi" w:cstheme="minorBidi"/>
          <w:sz w:val="22"/>
          <w:szCs w:val="22"/>
          <w:lang w:eastAsia="en-US"/>
        </w:rPr>
        <w:t xml:space="preserve">acceptable for the purposes of meeting this benchmark where </w:t>
      </w:r>
      <w:proofErr w:type="gramStart"/>
      <w:r w:rsidRPr="00523B7A">
        <w:rPr>
          <w:rFonts w:eastAsiaTheme="minorHAnsi" w:cstheme="minorBidi"/>
          <w:sz w:val="22"/>
          <w:szCs w:val="22"/>
          <w:lang w:eastAsia="en-US"/>
        </w:rPr>
        <w:t>made to:</w:t>
      </w:r>
      <w:proofErr w:type="gramEnd"/>
    </w:p>
    <w:p w14:paraId="5C2E7F1F" w14:textId="77777777" w:rsidR="009359BB" w:rsidRPr="00523B7A" w:rsidRDefault="009359BB" w:rsidP="009359BB">
      <w:pPr>
        <w:pStyle w:val="BodyPara"/>
        <w:numPr>
          <w:ilvl w:val="0"/>
          <w:numId w:val="0"/>
        </w:numPr>
        <w:spacing w:before="0"/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7ECFB31B" w14:textId="77777777" w:rsidR="009359BB" w:rsidRPr="00523B7A" w:rsidRDefault="009359BB" w:rsidP="009359BB">
      <w:pPr>
        <w:pStyle w:val="BodyPara"/>
        <w:numPr>
          <w:ilvl w:val="0"/>
          <w:numId w:val="4"/>
        </w:numPr>
        <w:tabs>
          <w:tab w:val="left" w:pos="1276"/>
          <w:tab w:val="left" w:pos="1418"/>
        </w:tabs>
        <w:spacing w:before="0"/>
        <w:ind w:left="1276" w:hanging="425"/>
        <w:jc w:val="both"/>
        <w:rPr>
          <w:sz w:val="22"/>
          <w:szCs w:val="22"/>
        </w:rPr>
      </w:pPr>
      <w:r w:rsidRPr="00523B7A">
        <w:rPr>
          <w:sz w:val="22"/>
          <w:szCs w:val="22"/>
        </w:rPr>
        <w:t>training funds operated by Registered Training O</w:t>
      </w:r>
      <w:r>
        <w:rPr>
          <w:sz w:val="22"/>
          <w:szCs w:val="22"/>
        </w:rPr>
        <w:t>rganisation</w:t>
      </w:r>
      <w:r w:rsidRPr="00523B7A">
        <w:rPr>
          <w:sz w:val="22"/>
          <w:szCs w:val="22"/>
        </w:rPr>
        <w:t>s (RTOs) or  private individuals; or</w:t>
      </w:r>
    </w:p>
    <w:p w14:paraId="011713C4" w14:textId="7C8A2A30" w:rsidR="009359BB" w:rsidRPr="00523B7A" w:rsidRDefault="009359BB" w:rsidP="009359BB">
      <w:pPr>
        <w:pStyle w:val="BodyPara"/>
        <w:numPr>
          <w:ilvl w:val="0"/>
          <w:numId w:val="4"/>
        </w:numPr>
        <w:tabs>
          <w:tab w:val="left" w:pos="1276"/>
          <w:tab w:val="left" w:pos="1418"/>
        </w:tabs>
        <w:spacing w:before="0"/>
        <w:ind w:left="1276" w:hanging="425"/>
        <w:jc w:val="both"/>
        <w:rPr>
          <w:sz w:val="22"/>
          <w:szCs w:val="22"/>
        </w:rPr>
      </w:pPr>
      <w:proofErr w:type="gramStart"/>
      <w:r w:rsidRPr="00523B7A">
        <w:rPr>
          <w:sz w:val="22"/>
          <w:szCs w:val="22"/>
        </w:rPr>
        <w:t>funds</w:t>
      </w:r>
      <w:proofErr w:type="gramEnd"/>
      <w:r w:rsidRPr="00523B7A">
        <w:rPr>
          <w:sz w:val="22"/>
          <w:szCs w:val="22"/>
        </w:rPr>
        <w:t xml:space="preserve"> that allocate a percentage or part of the contributions received to commission</w:t>
      </w:r>
      <w:r w:rsidR="0075353C">
        <w:rPr>
          <w:sz w:val="22"/>
          <w:szCs w:val="22"/>
        </w:rPr>
        <w:t>s</w:t>
      </w:r>
      <w:r w:rsidRPr="00523B7A">
        <w:rPr>
          <w:sz w:val="22"/>
          <w:szCs w:val="22"/>
        </w:rPr>
        <w:t xml:space="preserve"> or offer refunds for failed </w:t>
      </w:r>
      <w:r>
        <w:rPr>
          <w:sz w:val="22"/>
          <w:szCs w:val="22"/>
        </w:rPr>
        <w:t>immigration</w:t>
      </w:r>
      <w:r w:rsidRPr="00523B7A">
        <w:rPr>
          <w:sz w:val="22"/>
          <w:szCs w:val="22"/>
        </w:rPr>
        <w:t xml:space="preserve"> applications</w:t>
      </w:r>
      <w:r w:rsidR="0005690B">
        <w:rPr>
          <w:sz w:val="22"/>
          <w:szCs w:val="22"/>
        </w:rPr>
        <w:t xml:space="preserve">.  </w:t>
      </w:r>
    </w:p>
    <w:p w14:paraId="6D5DEA8A" w14:textId="77777777" w:rsidR="009359BB" w:rsidRDefault="009359BB" w:rsidP="009359BB">
      <w:pPr>
        <w:pStyle w:val="BodyPara"/>
        <w:numPr>
          <w:ilvl w:val="0"/>
          <w:numId w:val="0"/>
        </w:numPr>
        <w:tabs>
          <w:tab w:val="left" w:pos="709"/>
        </w:tabs>
        <w:spacing w:before="0"/>
        <w:jc w:val="both"/>
        <w:rPr>
          <w:b/>
          <w:i/>
          <w:sz w:val="22"/>
          <w:szCs w:val="22"/>
        </w:rPr>
      </w:pPr>
    </w:p>
    <w:p w14:paraId="46FBB402" w14:textId="7F9A883E" w:rsidR="009359BB" w:rsidRPr="00FA3883" w:rsidRDefault="0075353C" w:rsidP="009359BB">
      <w:pPr>
        <w:pStyle w:val="BodyPara"/>
        <w:numPr>
          <w:ilvl w:val="0"/>
          <w:numId w:val="0"/>
        </w:numPr>
        <w:tabs>
          <w:tab w:val="left" w:pos="709"/>
        </w:tabs>
        <w:spacing w:before="0"/>
        <w:ind w:left="709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T</w:t>
      </w:r>
      <w:r w:rsidR="009359BB" w:rsidRPr="00FA3883">
        <w:rPr>
          <w:b/>
          <w:i/>
          <w:sz w:val="22"/>
          <w:szCs w:val="22"/>
        </w:rPr>
        <w:t>raining funds</w:t>
      </w:r>
      <w:r w:rsidR="009359BB" w:rsidRPr="00FA3883">
        <w:rPr>
          <w:sz w:val="22"/>
          <w:szCs w:val="22"/>
        </w:rPr>
        <w:t xml:space="preserve"> that </w:t>
      </w:r>
      <w:proofErr w:type="gramStart"/>
      <w:r w:rsidR="009359BB" w:rsidRPr="00FA3883">
        <w:rPr>
          <w:sz w:val="22"/>
          <w:szCs w:val="22"/>
        </w:rPr>
        <w:t>may be used</w:t>
      </w:r>
      <w:proofErr w:type="gramEnd"/>
      <w:r w:rsidR="009359BB" w:rsidRPr="00FA3883">
        <w:rPr>
          <w:sz w:val="22"/>
          <w:szCs w:val="22"/>
        </w:rPr>
        <w:t xml:space="preserve"> to meet the requirement of this benchmark are: </w:t>
      </w:r>
    </w:p>
    <w:p w14:paraId="41358A1E" w14:textId="77777777" w:rsidR="009359BB" w:rsidRPr="00FA3883" w:rsidRDefault="009359BB" w:rsidP="009359BB">
      <w:pPr>
        <w:pStyle w:val="BodyPara"/>
        <w:numPr>
          <w:ilvl w:val="0"/>
          <w:numId w:val="0"/>
        </w:numPr>
        <w:tabs>
          <w:tab w:val="left" w:pos="709"/>
        </w:tabs>
        <w:spacing w:before="0"/>
        <w:ind w:left="709"/>
        <w:jc w:val="both"/>
        <w:rPr>
          <w:sz w:val="22"/>
          <w:szCs w:val="22"/>
        </w:rPr>
      </w:pPr>
    </w:p>
    <w:p w14:paraId="3E006F20" w14:textId="77777777" w:rsidR="009359BB" w:rsidRPr="00FA3883" w:rsidRDefault="009359BB" w:rsidP="009359BB">
      <w:pPr>
        <w:pStyle w:val="BodyPara"/>
        <w:numPr>
          <w:ilvl w:val="0"/>
          <w:numId w:val="10"/>
        </w:numPr>
        <w:tabs>
          <w:tab w:val="left" w:pos="916"/>
        </w:tabs>
        <w:spacing w:before="0"/>
        <w:ind w:left="1276" w:hanging="425"/>
        <w:jc w:val="both"/>
        <w:rPr>
          <w:sz w:val="22"/>
          <w:szCs w:val="22"/>
        </w:rPr>
      </w:pPr>
      <w:r w:rsidRPr="00FA3883">
        <w:rPr>
          <w:sz w:val="22"/>
          <w:szCs w:val="22"/>
          <w:u w:val="single"/>
        </w:rPr>
        <w:t xml:space="preserve">an industry training fund: </w:t>
      </w:r>
      <w:r w:rsidRPr="00FA3883">
        <w:rPr>
          <w:sz w:val="22"/>
          <w:szCs w:val="22"/>
        </w:rPr>
        <w:t>that is, a statutory authority responsible for providing funding for training of eligible workers in certain industries;</w:t>
      </w:r>
    </w:p>
    <w:p w14:paraId="31B3EA61" w14:textId="0901A38C" w:rsidR="009359BB" w:rsidRPr="00FA3883" w:rsidRDefault="009359BB" w:rsidP="009359BB">
      <w:pPr>
        <w:pStyle w:val="BodyPara"/>
        <w:numPr>
          <w:ilvl w:val="0"/>
          <w:numId w:val="10"/>
        </w:numPr>
        <w:tabs>
          <w:tab w:val="left" w:pos="709"/>
        </w:tabs>
        <w:spacing w:before="0"/>
        <w:ind w:left="1276" w:hanging="425"/>
        <w:jc w:val="both"/>
        <w:rPr>
          <w:sz w:val="22"/>
          <w:szCs w:val="22"/>
        </w:rPr>
      </w:pPr>
      <w:r w:rsidRPr="00FA3883">
        <w:rPr>
          <w:sz w:val="22"/>
          <w:szCs w:val="22"/>
          <w:u w:val="single"/>
        </w:rPr>
        <w:t xml:space="preserve">a fund managed by a recognised industry body </w:t>
      </w:r>
      <w:r w:rsidRPr="00FA3883">
        <w:rPr>
          <w:sz w:val="22"/>
          <w:szCs w:val="22"/>
        </w:rPr>
        <w:t>that provides training opportunities in their industry and quarantines contributions to the fund for training purposes only;</w:t>
      </w:r>
      <w:r w:rsidR="0005690B">
        <w:rPr>
          <w:sz w:val="22"/>
          <w:szCs w:val="22"/>
        </w:rPr>
        <w:t xml:space="preserve"> or</w:t>
      </w:r>
    </w:p>
    <w:p w14:paraId="5E335737" w14:textId="77777777" w:rsidR="009359BB" w:rsidRPr="00FA3883" w:rsidRDefault="009359BB" w:rsidP="009359BB">
      <w:pPr>
        <w:pStyle w:val="BodyPara"/>
        <w:numPr>
          <w:ilvl w:val="0"/>
          <w:numId w:val="10"/>
        </w:numPr>
        <w:tabs>
          <w:tab w:val="left" w:pos="709"/>
        </w:tabs>
        <w:spacing w:before="0"/>
        <w:ind w:left="1276" w:hanging="425"/>
        <w:jc w:val="both"/>
        <w:rPr>
          <w:sz w:val="22"/>
          <w:szCs w:val="22"/>
        </w:rPr>
      </w:pPr>
      <w:proofErr w:type="gramStart"/>
      <w:r w:rsidRPr="00FA3883">
        <w:rPr>
          <w:sz w:val="22"/>
          <w:szCs w:val="22"/>
          <w:u w:val="single"/>
        </w:rPr>
        <w:t>a</w:t>
      </w:r>
      <w:proofErr w:type="gramEnd"/>
      <w:r w:rsidRPr="00FA3883">
        <w:rPr>
          <w:sz w:val="22"/>
          <w:szCs w:val="22"/>
          <w:u w:val="single"/>
        </w:rPr>
        <w:t xml:space="preserve"> recognised scholarship fund </w:t>
      </w:r>
      <w:r w:rsidRPr="00FA3883">
        <w:rPr>
          <w:sz w:val="22"/>
          <w:szCs w:val="22"/>
        </w:rPr>
        <w:t xml:space="preserve">operated by an Australian university or TAFE college only.  </w:t>
      </w:r>
    </w:p>
    <w:p w14:paraId="72A5B9DC" w14:textId="77777777" w:rsidR="009359BB" w:rsidRDefault="009359BB" w:rsidP="009359BB">
      <w:pPr>
        <w:pStyle w:val="BodyPara"/>
        <w:numPr>
          <w:ilvl w:val="0"/>
          <w:numId w:val="0"/>
        </w:numPr>
        <w:ind w:left="1440" w:hanging="720"/>
        <w:jc w:val="both"/>
        <w:rPr>
          <w:b/>
          <w:u w:val="single"/>
        </w:rPr>
      </w:pPr>
      <w:r>
        <w:t>OR</w:t>
      </w:r>
    </w:p>
    <w:p w14:paraId="5AD827CE" w14:textId="77777777" w:rsidR="009359BB" w:rsidRPr="00FA3883" w:rsidRDefault="009359BB" w:rsidP="009359BB">
      <w:pPr>
        <w:pStyle w:val="BodyPara"/>
        <w:numPr>
          <w:ilvl w:val="0"/>
          <w:numId w:val="0"/>
        </w:numPr>
        <w:ind w:left="1440" w:hanging="720"/>
        <w:jc w:val="both"/>
        <w:rPr>
          <w:b/>
          <w:u w:val="single"/>
        </w:rPr>
      </w:pPr>
      <w:r w:rsidRPr="00FA3883">
        <w:rPr>
          <w:b/>
          <w:u w:val="single"/>
        </w:rPr>
        <w:t>Training Benchmark B:</w:t>
      </w:r>
    </w:p>
    <w:p w14:paraId="317BDF7B" w14:textId="77777777" w:rsidR="009359BB" w:rsidRPr="00FA3883" w:rsidRDefault="009359BB" w:rsidP="009359BB">
      <w:pPr>
        <w:pStyle w:val="BodyPara"/>
        <w:numPr>
          <w:ilvl w:val="0"/>
          <w:numId w:val="0"/>
        </w:numPr>
        <w:ind w:left="709"/>
        <w:jc w:val="both"/>
        <w:rPr>
          <w:sz w:val="22"/>
          <w:szCs w:val="22"/>
        </w:rPr>
      </w:pPr>
      <w:r w:rsidRPr="00FA3883">
        <w:rPr>
          <w:sz w:val="22"/>
          <w:szCs w:val="22"/>
        </w:rPr>
        <w:t>Recent expenditure, by the business, to the equivalent of at least 1% of the payroll of the business, in the provision of training of employees of the business</w:t>
      </w:r>
      <w:r>
        <w:rPr>
          <w:sz w:val="22"/>
          <w:szCs w:val="22"/>
        </w:rPr>
        <w:t xml:space="preserve"> who are Australian citizens and Australian permanent residents</w:t>
      </w:r>
      <w:r w:rsidRPr="00FA3883">
        <w:rPr>
          <w:sz w:val="22"/>
          <w:szCs w:val="22"/>
        </w:rPr>
        <w:t xml:space="preserve">.  </w:t>
      </w:r>
    </w:p>
    <w:p w14:paraId="78393CC2" w14:textId="77777777" w:rsidR="009359BB" w:rsidRPr="00FA3883" w:rsidRDefault="009359BB" w:rsidP="009359BB">
      <w:pPr>
        <w:pStyle w:val="BodyPara"/>
        <w:numPr>
          <w:ilvl w:val="0"/>
          <w:numId w:val="0"/>
        </w:numPr>
        <w:ind w:left="709"/>
        <w:jc w:val="both"/>
        <w:rPr>
          <w:sz w:val="22"/>
          <w:szCs w:val="22"/>
        </w:rPr>
      </w:pPr>
      <w:r w:rsidRPr="00FA3883">
        <w:rPr>
          <w:sz w:val="22"/>
          <w:szCs w:val="22"/>
        </w:rPr>
        <w:lastRenderedPageBreak/>
        <w:t>The business is also required to show that the provision of training</w:t>
      </w:r>
      <w:r>
        <w:rPr>
          <w:sz w:val="22"/>
          <w:szCs w:val="22"/>
        </w:rPr>
        <w:t xml:space="preserve"> </w:t>
      </w:r>
      <w:proofErr w:type="gramStart"/>
      <w:r w:rsidRPr="00FA3883">
        <w:rPr>
          <w:sz w:val="22"/>
          <w:szCs w:val="22"/>
        </w:rPr>
        <w:t>is related</w:t>
      </w:r>
      <w:proofErr w:type="gramEnd"/>
      <w:r w:rsidRPr="00FA3883">
        <w:rPr>
          <w:sz w:val="22"/>
          <w:szCs w:val="22"/>
        </w:rPr>
        <w:t xml:space="preserve"> to the purpose of the business.</w:t>
      </w:r>
    </w:p>
    <w:p w14:paraId="46DCDED4" w14:textId="77777777" w:rsidR="009359BB" w:rsidRPr="00FA3883" w:rsidRDefault="009359BB" w:rsidP="009359BB">
      <w:pPr>
        <w:pStyle w:val="BodyPara"/>
        <w:numPr>
          <w:ilvl w:val="0"/>
          <w:numId w:val="0"/>
        </w:numPr>
        <w:ind w:left="720"/>
        <w:jc w:val="both"/>
        <w:rPr>
          <w:sz w:val="22"/>
          <w:szCs w:val="22"/>
        </w:rPr>
      </w:pPr>
      <w:r w:rsidRPr="00FA3883">
        <w:rPr>
          <w:b/>
          <w:i/>
          <w:sz w:val="22"/>
          <w:szCs w:val="22"/>
        </w:rPr>
        <w:t xml:space="preserve">Recent expenditure </w:t>
      </w:r>
      <w:r w:rsidRPr="00FA3883">
        <w:rPr>
          <w:i/>
          <w:sz w:val="22"/>
          <w:szCs w:val="22"/>
        </w:rPr>
        <w:t xml:space="preserve">for Training Benchmark B </w:t>
      </w:r>
      <w:proofErr w:type="gramStart"/>
      <w:r w:rsidRPr="00FA3883">
        <w:rPr>
          <w:i/>
          <w:sz w:val="22"/>
          <w:szCs w:val="22"/>
        </w:rPr>
        <w:t>is defined</w:t>
      </w:r>
      <w:proofErr w:type="gramEnd"/>
      <w:r w:rsidRPr="00FA3883">
        <w:rPr>
          <w:i/>
          <w:sz w:val="22"/>
          <w:szCs w:val="22"/>
        </w:rPr>
        <w:t xml:space="preserve"> as expenditure made in the previous financial year or the previous 12 months, as evidenced by a receipt for the payment(s) or a contract for employment of the relevant individual for whom salary payments are being included within expenditure that can count towards the benchmark. </w:t>
      </w:r>
      <w:r w:rsidRPr="00FA3883">
        <w:rPr>
          <w:sz w:val="22"/>
          <w:szCs w:val="22"/>
        </w:rPr>
        <w:t xml:space="preserve"> </w:t>
      </w:r>
    </w:p>
    <w:p w14:paraId="225D4AB4" w14:textId="77777777" w:rsidR="009359BB" w:rsidRPr="00FA3883" w:rsidRDefault="009359BB" w:rsidP="009359BB">
      <w:pPr>
        <w:pStyle w:val="BodyPara"/>
        <w:numPr>
          <w:ilvl w:val="0"/>
          <w:numId w:val="0"/>
        </w:numPr>
        <w:ind w:left="709"/>
        <w:jc w:val="both"/>
        <w:rPr>
          <w:b/>
          <w:i/>
          <w:sz w:val="22"/>
          <w:szCs w:val="22"/>
        </w:rPr>
      </w:pPr>
      <w:r w:rsidRPr="00FA3883">
        <w:rPr>
          <w:b/>
          <w:i/>
          <w:sz w:val="22"/>
          <w:szCs w:val="22"/>
        </w:rPr>
        <w:t xml:space="preserve">Applicable expenditure </w:t>
      </w:r>
    </w:p>
    <w:p w14:paraId="70078D24" w14:textId="77777777" w:rsidR="009359BB" w:rsidRPr="00FA3883" w:rsidRDefault="009359BB" w:rsidP="009359BB">
      <w:pPr>
        <w:pStyle w:val="BodyPara"/>
        <w:numPr>
          <w:ilvl w:val="0"/>
          <w:numId w:val="0"/>
        </w:numPr>
        <w:spacing w:before="0"/>
        <w:ind w:firstLine="709"/>
        <w:jc w:val="both"/>
        <w:rPr>
          <w:sz w:val="22"/>
          <w:szCs w:val="22"/>
        </w:rPr>
      </w:pPr>
    </w:p>
    <w:p w14:paraId="6CBE8F4B" w14:textId="77777777" w:rsidR="009359BB" w:rsidRPr="00FA3883" w:rsidRDefault="009359BB" w:rsidP="009359BB">
      <w:pPr>
        <w:pStyle w:val="BodyPara"/>
        <w:numPr>
          <w:ilvl w:val="0"/>
          <w:numId w:val="0"/>
        </w:numPr>
        <w:spacing w:before="0"/>
        <w:ind w:firstLine="709"/>
        <w:jc w:val="both"/>
        <w:rPr>
          <w:sz w:val="22"/>
          <w:szCs w:val="22"/>
        </w:rPr>
      </w:pPr>
      <w:r w:rsidRPr="00FA3883">
        <w:rPr>
          <w:sz w:val="22"/>
          <w:szCs w:val="22"/>
        </w:rPr>
        <w:t>Expenditure that can count towards this benchmark includes:</w:t>
      </w:r>
    </w:p>
    <w:p w14:paraId="658C1BC4" w14:textId="77777777" w:rsidR="009359BB" w:rsidRPr="00FA3883" w:rsidRDefault="009359BB" w:rsidP="009359BB">
      <w:pPr>
        <w:pStyle w:val="BodyPara"/>
        <w:numPr>
          <w:ilvl w:val="0"/>
          <w:numId w:val="0"/>
        </w:numPr>
        <w:spacing w:before="0"/>
        <w:ind w:firstLine="709"/>
        <w:jc w:val="both"/>
        <w:rPr>
          <w:sz w:val="22"/>
          <w:szCs w:val="22"/>
        </w:rPr>
      </w:pPr>
    </w:p>
    <w:p w14:paraId="4B122138" w14:textId="17AE3F37" w:rsidR="009359BB" w:rsidRPr="00FA3883" w:rsidRDefault="0005690B" w:rsidP="009359BB">
      <w:pPr>
        <w:pStyle w:val="BodyPara"/>
        <w:numPr>
          <w:ilvl w:val="0"/>
          <w:numId w:val="2"/>
        </w:numPr>
        <w:spacing w:befor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payments </w:t>
      </w:r>
      <w:r w:rsidR="009359BB" w:rsidRPr="00FA3883">
        <w:rPr>
          <w:sz w:val="22"/>
          <w:szCs w:val="22"/>
        </w:rPr>
        <w:t>for Australian employees to undertake a formal course of study, including any reasonable and necessary associated costs (e.g. costs of travelling to the training venue or access an online training programme);</w:t>
      </w:r>
    </w:p>
    <w:p w14:paraId="11913438" w14:textId="77777777" w:rsidR="009359BB" w:rsidRPr="00FA3883" w:rsidRDefault="009359BB" w:rsidP="009359BB">
      <w:pPr>
        <w:pStyle w:val="BodyPara"/>
        <w:numPr>
          <w:ilvl w:val="0"/>
          <w:numId w:val="2"/>
        </w:numPr>
        <w:spacing w:before="0"/>
        <w:jc w:val="both"/>
        <w:rPr>
          <w:sz w:val="22"/>
          <w:szCs w:val="22"/>
        </w:rPr>
      </w:pPr>
      <w:r w:rsidRPr="00FA3883">
        <w:rPr>
          <w:sz w:val="22"/>
          <w:szCs w:val="22"/>
        </w:rPr>
        <w:t>payments to RTOs to deliver face-to-face training to Australian employees that will contribute to an Australian Qualifications Framework qualification;</w:t>
      </w:r>
    </w:p>
    <w:p w14:paraId="0A8CF7C7" w14:textId="77777777" w:rsidR="009359BB" w:rsidRPr="00FA3883" w:rsidRDefault="009359BB" w:rsidP="009359BB">
      <w:pPr>
        <w:pStyle w:val="BodyPara"/>
        <w:numPr>
          <w:ilvl w:val="0"/>
          <w:numId w:val="2"/>
        </w:numPr>
        <w:spacing w:before="0"/>
        <w:jc w:val="both"/>
        <w:rPr>
          <w:sz w:val="22"/>
          <w:szCs w:val="22"/>
        </w:rPr>
      </w:pPr>
      <w:r w:rsidRPr="00FA3883">
        <w:rPr>
          <w:sz w:val="22"/>
          <w:szCs w:val="22"/>
        </w:rPr>
        <w:t>purchase of an eLearning platform or standalone training software;</w:t>
      </w:r>
    </w:p>
    <w:p w14:paraId="5D0A3FF1" w14:textId="77777777" w:rsidR="009359BB" w:rsidRPr="00FA3883" w:rsidRDefault="009359BB" w:rsidP="009359BB">
      <w:pPr>
        <w:pStyle w:val="ListParagraph"/>
        <w:widowControl w:val="0"/>
        <w:numPr>
          <w:ilvl w:val="0"/>
          <w:numId w:val="2"/>
        </w:numPr>
        <w:spacing w:line="240" w:lineRule="auto"/>
        <w:rPr>
          <w:rFonts w:eastAsia="MS Mincho"/>
          <w:color w:val="000000"/>
          <w:szCs w:val="22"/>
          <w:lang w:eastAsia="ja-JP"/>
        </w:rPr>
      </w:pPr>
      <w:r w:rsidRPr="00FA3883">
        <w:rPr>
          <w:szCs w:val="22"/>
        </w:rPr>
        <w:t xml:space="preserve">payments </w:t>
      </w:r>
      <w:r w:rsidRPr="00FA3883">
        <w:rPr>
          <w:rFonts w:eastAsia="MS Mincho"/>
          <w:color w:val="000000"/>
          <w:szCs w:val="22"/>
          <w:lang w:eastAsia="ja-JP"/>
        </w:rPr>
        <w:t>to cover the salary of Australian employees:</w:t>
      </w:r>
    </w:p>
    <w:p w14:paraId="6D43F8A9" w14:textId="3A98BC9C" w:rsidR="009359BB" w:rsidRPr="00FA3883" w:rsidRDefault="009359BB" w:rsidP="009359BB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eastAsia="MS Mincho"/>
          <w:color w:val="000000"/>
          <w:szCs w:val="22"/>
          <w:lang w:eastAsia="ja-JP"/>
        </w:rPr>
      </w:pPr>
      <w:r w:rsidRPr="00FA3883">
        <w:rPr>
          <w:rFonts w:eastAsia="MS Mincho"/>
          <w:color w:val="000000"/>
          <w:szCs w:val="22"/>
          <w:lang w:eastAsia="ja-JP"/>
        </w:rPr>
        <w:t>engaged by the business as apprentices or trainees under a formal training contract</w:t>
      </w:r>
      <w:r w:rsidR="0005690B">
        <w:rPr>
          <w:rFonts w:eastAsia="MS Mincho"/>
          <w:color w:val="000000"/>
          <w:szCs w:val="22"/>
          <w:lang w:eastAsia="ja-JP"/>
        </w:rPr>
        <w:t xml:space="preserve">, </w:t>
      </w:r>
      <w:r w:rsidR="00CA351A">
        <w:rPr>
          <w:rFonts w:eastAsia="MS Mincho"/>
          <w:color w:val="000000"/>
          <w:szCs w:val="22"/>
          <w:lang w:eastAsia="ja-JP"/>
        </w:rPr>
        <w:t>or</w:t>
      </w:r>
    </w:p>
    <w:p w14:paraId="63A74BC0" w14:textId="77777777" w:rsidR="009359BB" w:rsidRPr="0019630A" w:rsidRDefault="009359BB" w:rsidP="009359BB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eastAsia="MS Mincho"/>
          <w:color w:val="000000"/>
          <w:szCs w:val="22"/>
          <w:lang w:eastAsia="ja-JP"/>
        </w:rPr>
      </w:pPr>
      <w:r w:rsidRPr="00FA3883">
        <w:rPr>
          <w:rFonts w:eastAsia="MS Mincho"/>
          <w:color w:val="000000"/>
          <w:szCs w:val="22"/>
          <w:lang w:eastAsia="ja-JP"/>
        </w:rPr>
        <w:t>who</w:t>
      </w:r>
    </w:p>
    <w:p w14:paraId="2411F55F" w14:textId="77777777" w:rsidR="009359BB" w:rsidRPr="0019630A" w:rsidRDefault="009359BB" w:rsidP="009359BB">
      <w:pPr>
        <w:pStyle w:val="ListParagraph"/>
        <w:widowControl w:val="0"/>
        <w:numPr>
          <w:ilvl w:val="1"/>
          <w:numId w:val="11"/>
        </w:numPr>
        <w:spacing w:line="240" w:lineRule="auto"/>
        <w:rPr>
          <w:rFonts w:eastAsia="MS Mincho"/>
          <w:color w:val="000000"/>
          <w:szCs w:val="22"/>
          <w:lang w:eastAsia="ja-JP"/>
        </w:rPr>
      </w:pPr>
      <w:r w:rsidRPr="00FA3883">
        <w:rPr>
          <w:rFonts w:eastAsia="MS Mincho"/>
          <w:color w:val="000000"/>
          <w:szCs w:val="22"/>
          <w:lang w:eastAsia="ja-JP"/>
        </w:rPr>
        <w:t xml:space="preserve">have completed an undergraduate or higher degree in a university within the last 2 years, and </w:t>
      </w:r>
    </w:p>
    <w:p w14:paraId="5FFEF136" w14:textId="119F2FC5" w:rsidR="009359BB" w:rsidRPr="0019630A" w:rsidRDefault="009359BB" w:rsidP="009359BB">
      <w:pPr>
        <w:pStyle w:val="ListParagraph"/>
        <w:widowControl w:val="0"/>
        <w:numPr>
          <w:ilvl w:val="1"/>
          <w:numId w:val="11"/>
        </w:numPr>
        <w:spacing w:line="240" w:lineRule="auto"/>
        <w:rPr>
          <w:rFonts w:eastAsia="MS Mincho"/>
          <w:color w:val="000000"/>
          <w:szCs w:val="22"/>
          <w:lang w:eastAsia="ja-JP"/>
        </w:rPr>
      </w:pPr>
      <w:r w:rsidRPr="00FA3883">
        <w:rPr>
          <w:rFonts w:eastAsia="MS Mincho"/>
          <w:color w:val="000000"/>
          <w:szCs w:val="22"/>
          <w:lang w:eastAsia="ja-JP"/>
        </w:rPr>
        <w:t>are participating in a formal, structured graduate program for up to 2 years, or completing a professional year following their graduation</w:t>
      </w:r>
      <w:r w:rsidR="0005690B">
        <w:rPr>
          <w:rFonts w:eastAsia="MS Mincho"/>
          <w:color w:val="000000"/>
          <w:szCs w:val="22"/>
          <w:lang w:eastAsia="ja-JP"/>
        </w:rPr>
        <w:t xml:space="preserve">; </w:t>
      </w:r>
    </w:p>
    <w:p w14:paraId="52788B31" w14:textId="5CF87154" w:rsidR="009359BB" w:rsidRPr="00FA3883" w:rsidRDefault="009359BB" w:rsidP="009359BB">
      <w:pPr>
        <w:pStyle w:val="BodyPara"/>
        <w:numPr>
          <w:ilvl w:val="0"/>
          <w:numId w:val="2"/>
        </w:numPr>
        <w:spacing w:before="0"/>
        <w:jc w:val="both"/>
        <w:rPr>
          <w:sz w:val="22"/>
          <w:szCs w:val="22"/>
        </w:rPr>
      </w:pPr>
      <w:r w:rsidRPr="00FA3883">
        <w:rPr>
          <w:sz w:val="22"/>
          <w:szCs w:val="22"/>
        </w:rPr>
        <w:t xml:space="preserve"> the salary of a person who</w:t>
      </w:r>
      <w:r w:rsidR="00384872">
        <w:rPr>
          <w:sz w:val="22"/>
          <w:szCs w:val="22"/>
        </w:rPr>
        <w:t>se</w:t>
      </w:r>
      <w:r w:rsidRPr="00FA3883">
        <w:rPr>
          <w:sz w:val="22"/>
          <w:szCs w:val="22"/>
        </w:rPr>
        <w:t xml:space="preserve"> sole role is to provide  training to Australian employees;</w:t>
      </w:r>
    </w:p>
    <w:p w14:paraId="7580CA30" w14:textId="63C34303" w:rsidR="009359BB" w:rsidRPr="00FA3883" w:rsidRDefault="007A0A37" w:rsidP="009359BB">
      <w:pPr>
        <w:pStyle w:val="BodyPara"/>
        <w:numPr>
          <w:ilvl w:val="0"/>
          <w:numId w:val="2"/>
        </w:numPr>
        <w:spacing w:before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expenditure</w:t>
      </w:r>
      <w:proofErr w:type="gramEnd"/>
      <w:r>
        <w:rPr>
          <w:sz w:val="22"/>
          <w:szCs w:val="22"/>
        </w:rPr>
        <w:t xml:space="preserve"> to </w:t>
      </w:r>
      <w:r w:rsidR="009359BB" w:rsidRPr="00FA3883">
        <w:rPr>
          <w:sz w:val="22"/>
          <w:szCs w:val="22"/>
        </w:rPr>
        <w:t>attend conferences for continuing professional development.</w:t>
      </w:r>
    </w:p>
    <w:p w14:paraId="68D98926" w14:textId="77777777" w:rsidR="009359BB" w:rsidRDefault="009359BB" w:rsidP="009359BB">
      <w:pPr>
        <w:pStyle w:val="BodyPara"/>
        <w:numPr>
          <w:ilvl w:val="0"/>
          <w:numId w:val="0"/>
        </w:numPr>
        <w:spacing w:before="0"/>
        <w:ind w:left="993"/>
        <w:jc w:val="both"/>
        <w:rPr>
          <w:i/>
          <w:sz w:val="22"/>
          <w:szCs w:val="22"/>
          <w:u w:val="single"/>
        </w:rPr>
      </w:pPr>
    </w:p>
    <w:p w14:paraId="7C6F5E6D" w14:textId="27679BE2" w:rsidR="009359BB" w:rsidRPr="006900B2" w:rsidRDefault="009359BB" w:rsidP="009359BB">
      <w:pPr>
        <w:pStyle w:val="BodyPara"/>
        <w:numPr>
          <w:ilvl w:val="0"/>
          <w:numId w:val="0"/>
        </w:numPr>
        <w:spacing w:before="0"/>
        <w:ind w:left="993"/>
        <w:jc w:val="both"/>
        <w:rPr>
          <w:i/>
          <w:sz w:val="22"/>
          <w:szCs w:val="22"/>
          <w:u w:val="single"/>
        </w:rPr>
      </w:pPr>
      <w:r w:rsidRPr="006900B2">
        <w:rPr>
          <w:i/>
          <w:sz w:val="22"/>
          <w:szCs w:val="22"/>
          <w:u w:val="single"/>
        </w:rPr>
        <w:t>Note:</w:t>
      </w:r>
      <w:r>
        <w:rPr>
          <w:i/>
          <w:sz w:val="22"/>
          <w:szCs w:val="22"/>
          <w:u w:val="single"/>
        </w:rPr>
        <w:t xml:space="preserve"> Australian employee </w:t>
      </w:r>
      <w:proofErr w:type="gramStart"/>
      <w:r>
        <w:rPr>
          <w:i/>
          <w:sz w:val="22"/>
          <w:szCs w:val="22"/>
          <w:u w:val="single"/>
        </w:rPr>
        <w:t>is defined</w:t>
      </w:r>
      <w:proofErr w:type="gramEnd"/>
      <w:r>
        <w:rPr>
          <w:i/>
          <w:sz w:val="22"/>
          <w:szCs w:val="22"/>
          <w:u w:val="single"/>
        </w:rPr>
        <w:t xml:space="preserve"> as an Australian </w:t>
      </w:r>
      <w:r w:rsidR="00B9195F">
        <w:rPr>
          <w:i/>
          <w:sz w:val="22"/>
          <w:szCs w:val="22"/>
          <w:u w:val="single"/>
        </w:rPr>
        <w:t>c</w:t>
      </w:r>
      <w:r>
        <w:rPr>
          <w:i/>
          <w:sz w:val="22"/>
          <w:szCs w:val="22"/>
          <w:u w:val="single"/>
        </w:rPr>
        <w:t>itizen or Australian permanent resident.</w:t>
      </w:r>
    </w:p>
    <w:p w14:paraId="578683D1" w14:textId="77777777" w:rsidR="009359BB" w:rsidRPr="00FA3883" w:rsidRDefault="009359BB" w:rsidP="009359BB">
      <w:pPr>
        <w:pStyle w:val="BodyPara"/>
        <w:numPr>
          <w:ilvl w:val="0"/>
          <w:numId w:val="0"/>
        </w:numPr>
        <w:ind w:left="709"/>
        <w:jc w:val="both"/>
        <w:rPr>
          <w:i/>
          <w:sz w:val="22"/>
          <w:szCs w:val="22"/>
        </w:rPr>
      </w:pPr>
      <w:r w:rsidRPr="00FA3883">
        <w:rPr>
          <w:b/>
          <w:i/>
          <w:sz w:val="22"/>
          <w:szCs w:val="22"/>
        </w:rPr>
        <w:t xml:space="preserve">Inapplicable expenditure </w:t>
      </w:r>
    </w:p>
    <w:p w14:paraId="5E7BCB74" w14:textId="77777777" w:rsidR="009359BB" w:rsidRPr="00FA3883" w:rsidRDefault="009359BB" w:rsidP="009359BB">
      <w:pPr>
        <w:pStyle w:val="BodyPara"/>
        <w:numPr>
          <w:ilvl w:val="0"/>
          <w:numId w:val="0"/>
        </w:numPr>
        <w:spacing w:before="0"/>
        <w:ind w:left="709"/>
        <w:jc w:val="both"/>
        <w:rPr>
          <w:sz w:val="22"/>
          <w:szCs w:val="22"/>
        </w:rPr>
      </w:pPr>
    </w:p>
    <w:p w14:paraId="4E391BDF" w14:textId="202A1999" w:rsidR="009359BB" w:rsidRPr="00FA3883" w:rsidRDefault="009359BB" w:rsidP="009359BB">
      <w:pPr>
        <w:pStyle w:val="BodyPara"/>
        <w:numPr>
          <w:ilvl w:val="0"/>
          <w:numId w:val="0"/>
        </w:numPr>
        <w:spacing w:before="0"/>
        <w:ind w:left="709"/>
        <w:jc w:val="both"/>
        <w:rPr>
          <w:sz w:val="22"/>
          <w:szCs w:val="22"/>
        </w:rPr>
      </w:pPr>
      <w:r w:rsidRPr="00FA3883">
        <w:rPr>
          <w:sz w:val="22"/>
          <w:szCs w:val="22"/>
        </w:rPr>
        <w:t>Expenditure that cannot count towards this benchmark includes:</w:t>
      </w:r>
    </w:p>
    <w:p w14:paraId="7FEF2814" w14:textId="77777777" w:rsidR="009359BB" w:rsidRPr="00FA3883" w:rsidRDefault="009359BB" w:rsidP="009359BB">
      <w:pPr>
        <w:pStyle w:val="BodyPara"/>
        <w:numPr>
          <w:ilvl w:val="0"/>
          <w:numId w:val="0"/>
        </w:numPr>
        <w:spacing w:before="0"/>
        <w:ind w:left="709"/>
        <w:jc w:val="both"/>
        <w:rPr>
          <w:sz w:val="22"/>
          <w:szCs w:val="22"/>
        </w:rPr>
      </w:pPr>
    </w:p>
    <w:p w14:paraId="14E180F4" w14:textId="77777777" w:rsidR="009359BB" w:rsidRDefault="009359BB" w:rsidP="009359BB">
      <w:pPr>
        <w:pStyle w:val="BodyPara"/>
        <w:numPr>
          <w:ilvl w:val="0"/>
          <w:numId w:val="3"/>
        </w:numPr>
        <w:spacing w:before="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on the job training that is not otherwise identified above as applicable expenditure for Training Benchmark B;</w:t>
      </w:r>
    </w:p>
    <w:p w14:paraId="2A1CC385" w14:textId="77777777" w:rsidR="009359BB" w:rsidRPr="00FA3883" w:rsidRDefault="009359BB" w:rsidP="009359BB">
      <w:pPr>
        <w:pStyle w:val="BodyPara"/>
        <w:numPr>
          <w:ilvl w:val="0"/>
          <w:numId w:val="3"/>
        </w:numPr>
        <w:spacing w:before="0"/>
        <w:ind w:left="1276"/>
        <w:jc w:val="both"/>
        <w:rPr>
          <w:sz w:val="22"/>
          <w:szCs w:val="22"/>
        </w:rPr>
      </w:pPr>
      <w:r w:rsidRPr="00FA3883">
        <w:rPr>
          <w:sz w:val="22"/>
          <w:szCs w:val="22"/>
        </w:rPr>
        <w:t>training that is not relevant to the industry in which the business operates;</w:t>
      </w:r>
    </w:p>
    <w:p w14:paraId="2C85859B" w14:textId="77777777" w:rsidR="009359BB" w:rsidRPr="00FA3883" w:rsidRDefault="009359BB" w:rsidP="009359BB">
      <w:pPr>
        <w:pStyle w:val="BodyPara"/>
        <w:numPr>
          <w:ilvl w:val="0"/>
          <w:numId w:val="3"/>
        </w:numPr>
        <w:spacing w:before="0"/>
        <w:ind w:left="1276"/>
        <w:jc w:val="both"/>
        <w:rPr>
          <w:sz w:val="22"/>
          <w:szCs w:val="22"/>
        </w:rPr>
      </w:pPr>
      <w:r w:rsidRPr="00FA3883">
        <w:rPr>
          <w:sz w:val="22"/>
          <w:szCs w:val="22"/>
        </w:rPr>
        <w:t>training undertaken by persons who are principals in the business or their family members;</w:t>
      </w:r>
    </w:p>
    <w:p w14:paraId="19635F4E" w14:textId="0732E8FF" w:rsidR="009359BB" w:rsidRPr="00FA3883" w:rsidRDefault="001B162D" w:rsidP="009359BB">
      <w:pPr>
        <w:pStyle w:val="BodyPara"/>
        <w:numPr>
          <w:ilvl w:val="0"/>
          <w:numId w:val="3"/>
        </w:numPr>
        <w:spacing w:before="0"/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training that </w:t>
      </w:r>
      <w:r w:rsidR="009359BB" w:rsidRPr="00FA3883">
        <w:rPr>
          <w:sz w:val="22"/>
          <w:szCs w:val="22"/>
        </w:rPr>
        <w:t>has a very low skill level having regard to the characteristics and size of the business;</w:t>
      </w:r>
    </w:p>
    <w:p w14:paraId="144BFE91" w14:textId="77777777" w:rsidR="009359BB" w:rsidRPr="00FA3883" w:rsidRDefault="009359BB" w:rsidP="009359BB">
      <w:pPr>
        <w:pStyle w:val="BodyPara"/>
        <w:numPr>
          <w:ilvl w:val="0"/>
          <w:numId w:val="3"/>
        </w:numPr>
        <w:spacing w:before="0"/>
        <w:ind w:left="1276"/>
        <w:jc w:val="both"/>
        <w:rPr>
          <w:sz w:val="22"/>
          <w:szCs w:val="22"/>
        </w:rPr>
      </w:pPr>
      <w:r w:rsidRPr="00FA3883">
        <w:rPr>
          <w:sz w:val="22"/>
          <w:szCs w:val="22"/>
        </w:rPr>
        <w:t>induction training;</w:t>
      </w:r>
    </w:p>
    <w:p w14:paraId="4271C23D" w14:textId="77777777" w:rsidR="009359BB" w:rsidRPr="00FA3883" w:rsidRDefault="009359BB" w:rsidP="009359BB">
      <w:pPr>
        <w:pStyle w:val="BodyPara"/>
        <w:numPr>
          <w:ilvl w:val="0"/>
          <w:numId w:val="3"/>
        </w:numPr>
        <w:spacing w:before="0"/>
        <w:ind w:left="1276"/>
        <w:jc w:val="both"/>
        <w:rPr>
          <w:sz w:val="22"/>
          <w:szCs w:val="22"/>
        </w:rPr>
      </w:pPr>
      <w:r w:rsidRPr="00FA3883">
        <w:rPr>
          <w:sz w:val="22"/>
          <w:szCs w:val="22"/>
        </w:rPr>
        <w:t>staff salaries apportioned to time spent undertaking online</w:t>
      </w:r>
      <w:r>
        <w:rPr>
          <w:sz w:val="22"/>
          <w:szCs w:val="22"/>
        </w:rPr>
        <w:t xml:space="preserve"> or other</w:t>
      </w:r>
      <w:r w:rsidRPr="00FA3883">
        <w:rPr>
          <w:sz w:val="22"/>
          <w:szCs w:val="22"/>
        </w:rPr>
        <w:t xml:space="preserve"> training courses;</w:t>
      </w:r>
    </w:p>
    <w:p w14:paraId="21357587" w14:textId="7D3F6BA9" w:rsidR="009359BB" w:rsidRPr="00FA3883" w:rsidRDefault="009359BB" w:rsidP="009359BB">
      <w:pPr>
        <w:pStyle w:val="BodyPara"/>
        <w:numPr>
          <w:ilvl w:val="0"/>
          <w:numId w:val="3"/>
        </w:numPr>
        <w:spacing w:before="0"/>
        <w:ind w:left="1276"/>
        <w:jc w:val="both"/>
        <w:rPr>
          <w:sz w:val="22"/>
          <w:szCs w:val="22"/>
        </w:rPr>
      </w:pPr>
      <w:r w:rsidRPr="00FA3883">
        <w:rPr>
          <w:sz w:val="22"/>
          <w:szCs w:val="22"/>
        </w:rPr>
        <w:t>purchas</w:t>
      </w:r>
      <w:r w:rsidR="001B162D">
        <w:rPr>
          <w:sz w:val="22"/>
          <w:szCs w:val="22"/>
        </w:rPr>
        <w:t>e of</w:t>
      </w:r>
      <w:r w:rsidRPr="00FA3883">
        <w:rPr>
          <w:sz w:val="22"/>
          <w:szCs w:val="22"/>
        </w:rPr>
        <w:t xml:space="preserve"> software for use in normal duties;</w:t>
      </w:r>
    </w:p>
    <w:p w14:paraId="1AEA8DF1" w14:textId="77777777" w:rsidR="009359BB" w:rsidRPr="00FA3883" w:rsidRDefault="009359BB" w:rsidP="009359BB">
      <w:pPr>
        <w:pStyle w:val="BodyPara"/>
        <w:numPr>
          <w:ilvl w:val="0"/>
          <w:numId w:val="3"/>
        </w:numPr>
        <w:spacing w:before="0"/>
        <w:ind w:left="1276"/>
        <w:jc w:val="both"/>
        <w:rPr>
          <w:sz w:val="22"/>
          <w:szCs w:val="22"/>
        </w:rPr>
      </w:pPr>
      <w:r w:rsidRPr="00FA3883">
        <w:rPr>
          <w:sz w:val="22"/>
          <w:szCs w:val="22"/>
        </w:rPr>
        <w:lastRenderedPageBreak/>
        <w:t>membership fees;</w:t>
      </w:r>
    </w:p>
    <w:p w14:paraId="33541E7C" w14:textId="2A4C787F" w:rsidR="009359BB" w:rsidRPr="00FA3883" w:rsidRDefault="009359BB" w:rsidP="009359BB">
      <w:pPr>
        <w:pStyle w:val="BodyPara"/>
        <w:numPr>
          <w:ilvl w:val="0"/>
          <w:numId w:val="3"/>
        </w:numPr>
        <w:spacing w:before="0"/>
        <w:ind w:left="1276"/>
        <w:jc w:val="both"/>
        <w:rPr>
          <w:sz w:val="22"/>
          <w:szCs w:val="22"/>
        </w:rPr>
      </w:pPr>
      <w:r w:rsidRPr="00FA3883">
        <w:rPr>
          <w:sz w:val="22"/>
          <w:szCs w:val="22"/>
        </w:rPr>
        <w:t>purchas</w:t>
      </w:r>
      <w:r w:rsidR="001B162D">
        <w:rPr>
          <w:sz w:val="22"/>
          <w:szCs w:val="22"/>
        </w:rPr>
        <w:t>e of</w:t>
      </w:r>
      <w:r w:rsidRPr="00FA3883">
        <w:rPr>
          <w:sz w:val="22"/>
          <w:szCs w:val="22"/>
        </w:rPr>
        <w:t xml:space="preserve"> books, journals or magazine subscriptions;</w:t>
      </w:r>
    </w:p>
    <w:p w14:paraId="3D223CE9" w14:textId="5E1133F7" w:rsidR="009359BB" w:rsidRPr="00FA3883" w:rsidRDefault="009359BB" w:rsidP="009359BB">
      <w:pPr>
        <w:pStyle w:val="BodyPara"/>
        <w:numPr>
          <w:ilvl w:val="0"/>
          <w:numId w:val="3"/>
        </w:numPr>
        <w:spacing w:before="0"/>
        <w:ind w:left="1276"/>
        <w:jc w:val="both"/>
        <w:rPr>
          <w:sz w:val="22"/>
          <w:szCs w:val="22"/>
        </w:rPr>
      </w:pPr>
      <w:r w:rsidRPr="00FA3883">
        <w:rPr>
          <w:sz w:val="22"/>
          <w:szCs w:val="22"/>
        </w:rPr>
        <w:t>attending conferences for purposes other than continuing professional development;</w:t>
      </w:r>
      <w:r w:rsidR="001B162D">
        <w:rPr>
          <w:sz w:val="22"/>
          <w:szCs w:val="22"/>
        </w:rPr>
        <w:t xml:space="preserve"> and</w:t>
      </w:r>
    </w:p>
    <w:p w14:paraId="65878385" w14:textId="77777777" w:rsidR="009359BB" w:rsidRPr="00FA3883" w:rsidRDefault="009359BB" w:rsidP="009359BB">
      <w:pPr>
        <w:pStyle w:val="BodyPara"/>
        <w:numPr>
          <w:ilvl w:val="0"/>
          <w:numId w:val="3"/>
        </w:numPr>
        <w:spacing w:before="0"/>
        <w:ind w:left="1276"/>
        <w:jc w:val="both"/>
        <w:rPr>
          <w:sz w:val="22"/>
          <w:szCs w:val="22"/>
        </w:rPr>
      </w:pPr>
      <w:proofErr w:type="gramStart"/>
      <w:r w:rsidRPr="00FA3883">
        <w:rPr>
          <w:sz w:val="22"/>
          <w:szCs w:val="22"/>
        </w:rPr>
        <w:t>hiring</w:t>
      </w:r>
      <w:proofErr w:type="gramEnd"/>
      <w:r w:rsidRPr="00FA3883">
        <w:rPr>
          <w:sz w:val="22"/>
          <w:szCs w:val="22"/>
        </w:rPr>
        <w:t xml:space="preserve"> a booth at a trades show, conference or expo.</w:t>
      </w:r>
    </w:p>
    <w:p w14:paraId="1ACD6D18" w14:textId="77777777" w:rsidR="009359BB" w:rsidRDefault="009359BB" w:rsidP="009359BB">
      <w:pPr>
        <w:pStyle w:val="BodyPara"/>
        <w:numPr>
          <w:ilvl w:val="0"/>
          <w:numId w:val="0"/>
        </w:numPr>
        <w:spacing w:before="0"/>
        <w:jc w:val="both"/>
      </w:pPr>
    </w:p>
    <w:p w14:paraId="55DEFB26" w14:textId="77777777" w:rsidR="009359BB" w:rsidRDefault="009359BB" w:rsidP="009359BB">
      <w:pPr>
        <w:pStyle w:val="BodyPara"/>
        <w:numPr>
          <w:ilvl w:val="0"/>
          <w:numId w:val="0"/>
        </w:numPr>
        <w:spacing w:before="0"/>
        <w:ind w:left="1440" w:hanging="720"/>
        <w:jc w:val="both"/>
      </w:pPr>
    </w:p>
    <w:p w14:paraId="6655BAF1" w14:textId="77777777" w:rsidR="009359BB" w:rsidRPr="00ED78C4" w:rsidRDefault="009359BB" w:rsidP="009359BB">
      <w:pPr>
        <w:pStyle w:val="BodyPara"/>
        <w:numPr>
          <w:ilvl w:val="0"/>
          <w:numId w:val="0"/>
        </w:numPr>
        <w:spacing w:before="0"/>
        <w:ind w:left="709"/>
        <w:jc w:val="both"/>
        <w:rPr>
          <w:sz w:val="22"/>
          <w:szCs w:val="22"/>
          <w:u w:val="single"/>
        </w:rPr>
      </w:pPr>
      <w:r w:rsidRPr="00ED78C4">
        <w:rPr>
          <w:b/>
          <w:sz w:val="22"/>
          <w:szCs w:val="22"/>
          <w:u w:val="single"/>
        </w:rPr>
        <w:t>Definition of Payroll for Training Benchmark A and B</w:t>
      </w:r>
    </w:p>
    <w:p w14:paraId="01F19D1A" w14:textId="77777777" w:rsidR="009359BB" w:rsidRPr="00ED78C4" w:rsidRDefault="009359BB" w:rsidP="009359BB">
      <w:pPr>
        <w:pStyle w:val="BodyPara"/>
        <w:numPr>
          <w:ilvl w:val="0"/>
          <w:numId w:val="0"/>
        </w:numPr>
        <w:spacing w:before="0"/>
        <w:ind w:left="1440" w:hanging="720"/>
        <w:jc w:val="both"/>
        <w:rPr>
          <w:b/>
          <w:sz w:val="22"/>
          <w:szCs w:val="22"/>
        </w:rPr>
      </w:pPr>
    </w:p>
    <w:p w14:paraId="2D2490FD" w14:textId="77777777" w:rsidR="009359BB" w:rsidRPr="008221AD" w:rsidRDefault="009359BB" w:rsidP="009359BB">
      <w:pPr>
        <w:pStyle w:val="BodyPara"/>
        <w:numPr>
          <w:ilvl w:val="0"/>
          <w:numId w:val="0"/>
        </w:numPr>
        <w:spacing w:before="0"/>
        <w:ind w:left="142" w:firstLine="567"/>
        <w:jc w:val="both"/>
        <w:rPr>
          <w:sz w:val="22"/>
          <w:szCs w:val="22"/>
        </w:rPr>
      </w:pPr>
      <w:r w:rsidRPr="008221AD">
        <w:rPr>
          <w:sz w:val="22"/>
          <w:szCs w:val="22"/>
        </w:rPr>
        <w:t>The definition of “payroll” is either:</w:t>
      </w:r>
      <w:r w:rsidRPr="008221AD" w:rsidDel="00081230">
        <w:rPr>
          <w:sz w:val="22"/>
          <w:szCs w:val="22"/>
        </w:rPr>
        <w:t xml:space="preserve"> </w:t>
      </w:r>
    </w:p>
    <w:p w14:paraId="6EDB09A2" w14:textId="77777777" w:rsidR="009359BB" w:rsidRPr="008221AD" w:rsidRDefault="009359BB" w:rsidP="009359BB">
      <w:pPr>
        <w:pStyle w:val="BodyPara"/>
        <w:numPr>
          <w:ilvl w:val="0"/>
          <w:numId w:val="0"/>
        </w:numPr>
        <w:spacing w:before="0"/>
        <w:ind w:left="142"/>
        <w:jc w:val="both"/>
        <w:rPr>
          <w:sz w:val="22"/>
          <w:szCs w:val="22"/>
        </w:rPr>
      </w:pPr>
    </w:p>
    <w:p w14:paraId="640D86E2" w14:textId="77777777" w:rsidR="009359BB" w:rsidRPr="008221AD" w:rsidRDefault="009359BB" w:rsidP="009359BB">
      <w:pPr>
        <w:pStyle w:val="BodyPara"/>
        <w:numPr>
          <w:ilvl w:val="0"/>
          <w:numId w:val="5"/>
        </w:numPr>
        <w:spacing w:before="0"/>
        <w:jc w:val="both"/>
        <w:rPr>
          <w:sz w:val="22"/>
          <w:szCs w:val="22"/>
        </w:rPr>
      </w:pPr>
      <w:r w:rsidRPr="008221AD">
        <w:rPr>
          <w:sz w:val="22"/>
          <w:szCs w:val="22"/>
        </w:rPr>
        <w:t>the total amount of the two payments specified below:</w:t>
      </w:r>
    </w:p>
    <w:p w14:paraId="75FC6FD4" w14:textId="77777777" w:rsidR="009359BB" w:rsidRPr="008221AD" w:rsidRDefault="009359BB" w:rsidP="009359BB">
      <w:pPr>
        <w:pStyle w:val="BodyPara"/>
        <w:numPr>
          <w:ilvl w:val="1"/>
          <w:numId w:val="6"/>
        </w:numPr>
        <w:spacing w:before="0"/>
        <w:jc w:val="both"/>
        <w:rPr>
          <w:sz w:val="22"/>
          <w:szCs w:val="22"/>
        </w:rPr>
      </w:pPr>
      <w:r w:rsidRPr="008221AD">
        <w:rPr>
          <w:sz w:val="22"/>
          <w:szCs w:val="22"/>
        </w:rPr>
        <w:t xml:space="preserve">any wages, remuneration, salary, commission, bonuses, allowances, superannuation contributions or eligible termination payments, defined as wages in payroll tax legislation for the relevant State/Territory, that the applicant has paid to their employees during the same period; and </w:t>
      </w:r>
    </w:p>
    <w:p w14:paraId="71AC2D01" w14:textId="17BF63DD" w:rsidR="0005690B" w:rsidRDefault="009359BB" w:rsidP="009359BB">
      <w:pPr>
        <w:pStyle w:val="BodyPara"/>
        <w:numPr>
          <w:ilvl w:val="1"/>
          <w:numId w:val="6"/>
        </w:numPr>
        <w:spacing w:before="0"/>
        <w:jc w:val="both"/>
        <w:rPr>
          <w:sz w:val="22"/>
          <w:szCs w:val="22"/>
        </w:rPr>
      </w:pPr>
      <w:r w:rsidRPr="008221AD">
        <w:rPr>
          <w:sz w:val="22"/>
          <w:szCs w:val="22"/>
        </w:rPr>
        <w:t>payments made to contractors or subcontractors during the same period if work provided by the contractor is related to the service/product provided by the applicant</w:t>
      </w:r>
      <w:r w:rsidR="006B2586">
        <w:rPr>
          <w:sz w:val="22"/>
          <w:szCs w:val="22"/>
        </w:rPr>
        <w:t>,</w:t>
      </w:r>
    </w:p>
    <w:p w14:paraId="705B0F26" w14:textId="2466CF22" w:rsidR="009359BB" w:rsidRPr="008221AD" w:rsidRDefault="009359BB" w:rsidP="008221AD">
      <w:pPr>
        <w:pStyle w:val="BodyPara"/>
        <w:numPr>
          <w:ilvl w:val="0"/>
          <w:numId w:val="0"/>
        </w:numPr>
        <w:spacing w:before="0"/>
        <w:ind w:left="720" w:firstLine="360"/>
        <w:jc w:val="both"/>
        <w:rPr>
          <w:sz w:val="22"/>
          <w:szCs w:val="22"/>
        </w:rPr>
      </w:pPr>
      <w:proofErr w:type="gramStart"/>
      <w:r w:rsidRPr="008221AD">
        <w:rPr>
          <w:sz w:val="22"/>
          <w:szCs w:val="22"/>
        </w:rPr>
        <w:t>regardless</w:t>
      </w:r>
      <w:proofErr w:type="gramEnd"/>
      <w:r w:rsidRPr="008221AD">
        <w:rPr>
          <w:sz w:val="22"/>
          <w:szCs w:val="22"/>
        </w:rPr>
        <w:t xml:space="preserve"> of whether such payments are included for payroll tax purposes or not;</w:t>
      </w:r>
    </w:p>
    <w:p w14:paraId="70611DD0" w14:textId="77777777" w:rsidR="009359BB" w:rsidRPr="008221AD" w:rsidRDefault="009359BB" w:rsidP="009359BB">
      <w:pPr>
        <w:pStyle w:val="BodyPara"/>
        <w:numPr>
          <w:ilvl w:val="0"/>
          <w:numId w:val="0"/>
        </w:numPr>
        <w:spacing w:before="0"/>
        <w:jc w:val="both"/>
        <w:rPr>
          <w:sz w:val="22"/>
          <w:szCs w:val="22"/>
        </w:rPr>
      </w:pPr>
    </w:p>
    <w:p w14:paraId="58C19BE3" w14:textId="77777777" w:rsidR="009359BB" w:rsidRPr="008221AD" w:rsidRDefault="009359BB" w:rsidP="009359BB">
      <w:pPr>
        <w:pStyle w:val="BodyPara"/>
        <w:numPr>
          <w:ilvl w:val="0"/>
          <w:numId w:val="0"/>
        </w:numPr>
        <w:spacing w:before="0"/>
        <w:ind w:firstLine="709"/>
        <w:jc w:val="both"/>
        <w:rPr>
          <w:sz w:val="22"/>
          <w:szCs w:val="22"/>
        </w:rPr>
      </w:pPr>
      <w:r w:rsidRPr="008221AD">
        <w:rPr>
          <w:sz w:val="22"/>
          <w:szCs w:val="22"/>
        </w:rPr>
        <w:t>OR</w:t>
      </w:r>
    </w:p>
    <w:p w14:paraId="16863FE4" w14:textId="77777777" w:rsidR="009359BB" w:rsidRPr="008221AD" w:rsidRDefault="009359BB" w:rsidP="009359BB">
      <w:pPr>
        <w:pStyle w:val="BodyPara"/>
        <w:numPr>
          <w:ilvl w:val="0"/>
          <w:numId w:val="0"/>
        </w:numPr>
        <w:spacing w:before="0"/>
        <w:jc w:val="both"/>
        <w:rPr>
          <w:sz w:val="22"/>
          <w:szCs w:val="22"/>
        </w:rPr>
      </w:pPr>
    </w:p>
    <w:p w14:paraId="374DBAF0" w14:textId="77777777" w:rsidR="009359BB" w:rsidRPr="008221AD" w:rsidRDefault="009359BB" w:rsidP="009359BB">
      <w:pPr>
        <w:pStyle w:val="BodyPara"/>
        <w:numPr>
          <w:ilvl w:val="0"/>
          <w:numId w:val="5"/>
        </w:numPr>
        <w:spacing w:before="0"/>
        <w:jc w:val="both"/>
        <w:rPr>
          <w:sz w:val="22"/>
          <w:szCs w:val="22"/>
        </w:rPr>
      </w:pPr>
      <w:r w:rsidRPr="008221AD">
        <w:rPr>
          <w:sz w:val="22"/>
          <w:szCs w:val="22"/>
        </w:rPr>
        <w:t>if the applicant does not pay either of the types of payments specified above,</w:t>
      </w:r>
    </w:p>
    <w:p w14:paraId="3C094A00" w14:textId="77777777" w:rsidR="009359BB" w:rsidRPr="008221AD" w:rsidRDefault="009359BB" w:rsidP="009359BB">
      <w:pPr>
        <w:pStyle w:val="BodyPara"/>
        <w:numPr>
          <w:ilvl w:val="1"/>
          <w:numId w:val="7"/>
        </w:numPr>
        <w:spacing w:before="0"/>
        <w:jc w:val="both"/>
        <w:rPr>
          <w:sz w:val="22"/>
          <w:szCs w:val="22"/>
        </w:rPr>
      </w:pPr>
      <w:r w:rsidRPr="008221AD">
        <w:rPr>
          <w:sz w:val="22"/>
          <w:szCs w:val="22"/>
        </w:rPr>
        <w:t>the total monetary values of the director’s salaries, fees and drawn payments; or</w:t>
      </w:r>
    </w:p>
    <w:p w14:paraId="4B68C069" w14:textId="77777777" w:rsidR="009359BB" w:rsidRPr="008221AD" w:rsidRDefault="009359BB" w:rsidP="009359BB">
      <w:pPr>
        <w:pStyle w:val="BodyPara"/>
        <w:numPr>
          <w:ilvl w:val="1"/>
          <w:numId w:val="7"/>
        </w:numPr>
        <w:spacing w:before="0"/>
        <w:jc w:val="both"/>
        <w:rPr>
          <w:sz w:val="22"/>
          <w:szCs w:val="22"/>
        </w:rPr>
      </w:pPr>
      <w:r w:rsidRPr="008221AD">
        <w:rPr>
          <w:sz w:val="22"/>
          <w:szCs w:val="22"/>
        </w:rPr>
        <w:t>the actual profit of the business</w:t>
      </w:r>
    </w:p>
    <w:p w14:paraId="3FDE608D" w14:textId="06126324" w:rsidR="00CD4AEE" w:rsidRDefault="00CD4AEE">
      <w:pPr>
        <w:spacing w:after="160" w:line="259" w:lineRule="auto"/>
        <w:rPr>
          <w:rFonts w:eastAsia="Times New Roman" w:cs="Times New Roman"/>
          <w:sz w:val="24"/>
          <w:lang w:eastAsia="en-AU"/>
        </w:rPr>
      </w:pPr>
    </w:p>
    <w:p w14:paraId="071CCE25" w14:textId="77777777" w:rsidR="00CF5CE4" w:rsidRPr="005F62A6" w:rsidRDefault="00CF5CE4" w:rsidP="005F62A6">
      <w:pPr>
        <w:spacing w:line="240" w:lineRule="auto"/>
        <w:jc w:val="both"/>
        <w:rPr>
          <w:rFonts w:eastAsia="Times New Roman" w:cs="Times New Roman"/>
          <w:sz w:val="24"/>
          <w:lang w:eastAsia="en-AU"/>
        </w:rPr>
      </w:pPr>
    </w:p>
    <w:sectPr w:rsidR="00CF5CE4" w:rsidRPr="005F62A6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6600D" w14:textId="77777777" w:rsidR="000A5E7D" w:rsidRDefault="005F62A6">
      <w:pPr>
        <w:spacing w:line="240" w:lineRule="auto"/>
      </w:pPr>
      <w:r>
        <w:separator/>
      </w:r>
    </w:p>
  </w:endnote>
  <w:endnote w:type="continuationSeparator" w:id="0">
    <w:p w14:paraId="58F6555F" w14:textId="77777777" w:rsidR="000A5E7D" w:rsidRDefault="005F6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EB12F" w14:textId="77777777" w:rsidR="0072147A" w:rsidRPr="00E33C1C" w:rsidRDefault="00885D9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6B73107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902A46" w14:textId="77777777" w:rsidR="0072147A" w:rsidRDefault="009359BB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B27CDF" w14:textId="29255F76" w:rsidR="0072147A" w:rsidRPr="004E1307" w:rsidRDefault="009359BB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B6EA1">
            <w:rPr>
              <w:i/>
              <w:noProof/>
              <w:sz w:val="18"/>
            </w:rPr>
            <w:t>Migration (IMMI 17/045: Specification of Training Benchmarks and Training Requirements)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B6D4EC1" w14:textId="77777777" w:rsidR="0072147A" w:rsidRDefault="00885D9B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65CF5A4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84C651A" w14:textId="77777777" w:rsidR="0072147A" w:rsidRDefault="00885D9B" w:rsidP="00A369E3">
          <w:pPr>
            <w:jc w:val="right"/>
            <w:rPr>
              <w:sz w:val="18"/>
            </w:rPr>
          </w:pPr>
        </w:p>
      </w:tc>
    </w:tr>
  </w:tbl>
  <w:p w14:paraId="5EC65836" w14:textId="77777777" w:rsidR="0072147A" w:rsidRPr="00ED79B6" w:rsidRDefault="00885D9B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A596A" w14:textId="77777777" w:rsidR="0072147A" w:rsidRPr="00E33C1C" w:rsidRDefault="00885D9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5FB2F36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C502F7" w14:textId="77777777" w:rsidR="0072147A" w:rsidRDefault="00885D9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0F6DD6" w14:textId="42ADBEA7" w:rsidR="0072147A" w:rsidRDefault="009359BB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B6EA1">
            <w:rPr>
              <w:i/>
              <w:noProof/>
              <w:sz w:val="18"/>
            </w:rPr>
            <w:t>Migration (IMMI 17/045: Specification of Training Benchmarks and Training Requirements)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F575BF" w14:textId="77777777" w:rsidR="0072147A" w:rsidRDefault="009359BB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3C56325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30C082" w14:textId="77777777" w:rsidR="0072147A" w:rsidRDefault="00885D9B" w:rsidP="00A369E3">
          <w:pPr>
            <w:rPr>
              <w:sz w:val="18"/>
            </w:rPr>
          </w:pPr>
        </w:p>
      </w:tc>
    </w:tr>
  </w:tbl>
  <w:p w14:paraId="51D6EC6E" w14:textId="77777777" w:rsidR="0072147A" w:rsidRPr="00ED79B6" w:rsidRDefault="00885D9B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F3FFF" w14:textId="77777777" w:rsidR="0072147A" w:rsidRPr="00E33C1C" w:rsidRDefault="00885D9B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3A1DA3E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F6EA42" w14:textId="77777777" w:rsidR="0072147A" w:rsidRDefault="00885D9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85D0E6" w14:textId="77777777" w:rsidR="0072147A" w:rsidRDefault="00885D9B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ABE931" w14:textId="77777777" w:rsidR="0072147A" w:rsidRDefault="00885D9B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261ACE" w14:textId="77777777" w:rsidR="0072147A" w:rsidRPr="00ED79B6" w:rsidRDefault="00885D9B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B17EA" w14:textId="77777777" w:rsidR="00F6696E" w:rsidRPr="002B0EA5" w:rsidRDefault="00885D9B" w:rsidP="00B227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3F657943" w14:textId="77777777" w:rsidTr="00B22748">
      <w:tc>
        <w:tcPr>
          <w:tcW w:w="365" w:type="pct"/>
        </w:tcPr>
        <w:p w14:paraId="35416C70" w14:textId="77777777" w:rsidR="00F6696E" w:rsidRDefault="009359BB" w:rsidP="00B2274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9E9C4E7" w14:textId="77B367D4" w:rsidR="00F6696E" w:rsidRDefault="009359BB" w:rsidP="00B2274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B6EA1">
            <w:rPr>
              <w:i/>
              <w:noProof/>
              <w:sz w:val="18"/>
            </w:rPr>
            <w:t>Migration (IMMI 17/045: Specification of Training Benchmarks and Training Requirements)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8339EF3" w14:textId="77777777" w:rsidR="00F6696E" w:rsidRDefault="00885D9B" w:rsidP="00B22748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524B93B7" w14:textId="77777777" w:rsidTr="00B22748">
      <w:tc>
        <w:tcPr>
          <w:tcW w:w="5000" w:type="pct"/>
          <w:gridSpan w:val="3"/>
        </w:tcPr>
        <w:p w14:paraId="32E9E6E4" w14:textId="77777777" w:rsidR="00F6696E" w:rsidRDefault="00885D9B" w:rsidP="00B22748">
          <w:pPr>
            <w:jc w:val="right"/>
            <w:rPr>
              <w:sz w:val="18"/>
            </w:rPr>
          </w:pPr>
        </w:p>
      </w:tc>
    </w:tr>
  </w:tbl>
  <w:p w14:paraId="386EB9FC" w14:textId="77777777" w:rsidR="00F6696E" w:rsidRPr="00ED79B6" w:rsidRDefault="00885D9B" w:rsidP="00B2274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A13C8" w14:textId="77777777" w:rsidR="00F6696E" w:rsidRPr="002B0EA5" w:rsidRDefault="00885D9B" w:rsidP="00B227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3FC16F5B" w14:textId="77777777" w:rsidTr="00B22748">
      <w:tc>
        <w:tcPr>
          <w:tcW w:w="947" w:type="pct"/>
        </w:tcPr>
        <w:p w14:paraId="47B5A078" w14:textId="77777777" w:rsidR="00F6696E" w:rsidRDefault="00885D9B" w:rsidP="00B2274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DD9FA01" w14:textId="79692CDF" w:rsidR="00F6696E" w:rsidRDefault="009359BB" w:rsidP="00B2274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01E81">
            <w:rPr>
              <w:i/>
              <w:noProof/>
              <w:sz w:val="18"/>
            </w:rPr>
            <w:t>Migration (IMMI 17/045: Specification of Training Benchmarks and Training Requirements)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E58CD1B" w14:textId="297F365A" w:rsidR="00F6696E" w:rsidRDefault="009359BB" w:rsidP="00B2274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01E8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12B8A8D5" w14:textId="77777777" w:rsidTr="00B22748">
      <w:tc>
        <w:tcPr>
          <w:tcW w:w="5000" w:type="pct"/>
          <w:gridSpan w:val="3"/>
        </w:tcPr>
        <w:p w14:paraId="7AD9DB22" w14:textId="77777777" w:rsidR="00F6696E" w:rsidRDefault="00885D9B" w:rsidP="00B22748">
          <w:pPr>
            <w:rPr>
              <w:sz w:val="18"/>
            </w:rPr>
          </w:pPr>
        </w:p>
      </w:tc>
    </w:tr>
  </w:tbl>
  <w:p w14:paraId="5131A20F" w14:textId="77777777" w:rsidR="00F6696E" w:rsidRPr="00ED79B6" w:rsidRDefault="00885D9B" w:rsidP="00B2274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D8C66" w14:textId="77777777" w:rsidR="008C2EAC" w:rsidRPr="002B0EA5" w:rsidRDefault="00885D9B" w:rsidP="00B227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C2EAC" w14:paraId="1ADEAF67" w14:textId="77777777" w:rsidTr="00B22748">
      <w:tc>
        <w:tcPr>
          <w:tcW w:w="365" w:type="pct"/>
        </w:tcPr>
        <w:p w14:paraId="7A8FF394" w14:textId="1D544D53" w:rsidR="008C2EAC" w:rsidRDefault="009359BB" w:rsidP="00B2274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3A68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F805C63" w14:textId="74541A9A" w:rsidR="008C2EAC" w:rsidRDefault="009359BB" w:rsidP="00B2274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B6EA1">
            <w:rPr>
              <w:i/>
              <w:noProof/>
              <w:sz w:val="18"/>
            </w:rPr>
            <w:t>Migration (IMMI 17/045: Specification of Training Benchmarks and Training Requirements)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A654A42" w14:textId="77777777" w:rsidR="008C2EAC" w:rsidRDefault="00885D9B" w:rsidP="00B22748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35C53E1A" w14:textId="77777777" w:rsidTr="00B22748">
      <w:tc>
        <w:tcPr>
          <w:tcW w:w="5000" w:type="pct"/>
          <w:gridSpan w:val="3"/>
        </w:tcPr>
        <w:p w14:paraId="6BFBCBC5" w14:textId="77777777" w:rsidR="008C2EAC" w:rsidRDefault="00885D9B" w:rsidP="00B22748">
          <w:pPr>
            <w:jc w:val="right"/>
            <w:rPr>
              <w:sz w:val="18"/>
            </w:rPr>
          </w:pPr>
        </w:p>
      </w:tc>
    </w:tr>
  </w:tbl>
  <w:p w14:paraId="6AEC36E5" w14:textId="77777777" w:rsidR="008C2EAC" w:rsidRPr="00ED79B6" w:rsidRDefault="00885D9B" w:rsidP="00B2274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56D56" w14:textId="77777777" w:rsidR="008C2EAC" w:rsidRPr="002B0EA5" w:rsidRDefault="00885D9B" w:rsidP="007C3A68">
    <w:pPr>
      <w:pBdr>
        <w:top w:val="single" w:sz="6" w:space="8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C40A9E4" w14:textId="77777777" w:rsidTr="00B22748">
      <w:tc>
        <w:tcPr>
          <w:tcW w:w="947" w:type="pct"/>
        </w:tcPr>
        <w:p w14:paraId="10E036D7" w14:textId="77777777" w:rsidR="008C2EAC" w:rsidRDefault="00885D9B" w:rsidP="007C3A68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3688" w:type="pct"/>
        </w:tcPr>
        <w:p w14:paraId="04A4A23D" w14:textId="526D6E8E" w:rsidR="008C2EAC" w:rsidRDefault="007C3A68" w:rsidP="007C3A6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85D9B">
            <w:rPr>
              <w:i/>
              <w:noProof/>
              <w:sz w:val="18"/>
            </w:rPr>
            <w:t>Migration (IMMI 17/045: Specification of Training Benchmarks and Training Requirements) Instrument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AF0A041" w14:textId="1A489F25" w:rsidR="008C2EAC" w:rsidRDefault="009359BB" w:rsidP="00B2274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85D9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17D85CBF" w14:textId="77777777" w:rsidTr="00B22748">
      <w:tc>
        <w:tcPr>
          <w:tcW w:w="5000" w:type="pct"/>
          <w:gridSpan w:val="3"/>
        </w:tcPr>
        <w:p w14:paraId="17C26639" w14:textId="77777777" w:rsidR="008C2EAC" w:rsidRDefault="00885D9B" w:rsidP="00B22748">
          <w:pPr>
            <w:rPr>
              <w:sz w:val="18"/>
            </w:rPr>
          </w:pPr>
        </w:p>
      </w:tc>
    </w:tr>
  </w:tbl>
  <w:p w14:paraId="626ABC2A" w14:textId="77777777" w:rsidR="008C2EAC" w:rsidRPr="00ED79B6" w:rsidRDefault="00885D9B" w:rsidP="00B2274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21662" w14:textId="77777777" w:rsidR="000A5E7D" w:rsidRDefault="005F62A6">
      <w:pPr>
        <w:spacing w:line="240" w:lineRule="auto"/>
      </w:pPr>
      <w:r>
        <w:separator/>
      </w:r>
    </w:p>
  </w:footnote>
  <w:footnote w:type="continuationSeparator" w:id="0">
    <w:p w14:paraId="67B91070" w14:textId="77777777" w:rsidR="000A5E7D" w:rsidRDefault="005F62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59E51" w14:textId="77777777" w:rsidR="00F6696E" w:rsidRPr="005F1388" w:rsidRDefault="00885D9B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FA03C" w14:textId="77777777" w:rsidR="00F6696E" w:rsidRPr="005F1388" w:rsidRDefault="00885D9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E7388" w14:textId="77777777" w:rsidR="00F6696E" w:rsidRPr="00ED79B6" w:rsidRDefault="00885D9B" w:rsidP="00B22748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52B2D" w14:textId="77777777" w:rsidR="00F6696E" w:rsidRPr="00ED79B6" w:rsidRDefault="00885D9B" w:rsidP="00B22748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AC4D1" w14:textId="77777777" w:rsidR="00F6696E" w:rsidRPr="00ED79B6" w:rsidRDefault="00885D9B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CACD3" w14:textId="77777777" w:rsidR="004E1307" w:rsidRDefault="00885D9B" w:rsidP="00715914">
    <w:pPr>
      <w:rPr>
        <w:sz w:val="20"/>
      </w:rPr>
    </w:pPr>
  </w:p>
  <w:p w14:paraId="576ED180" w14:textId="77777777" w:rsidR="004E1307" w:rsidRDefault="00885D9B" w:rsidP="00715914">
    <w:pPr>
      <w:rPr>
        <w:sz w:val="20"/>
      </w:rPr>
    </w:pPr>
  </w:p>
  <w:p w14:paraId="5167F3D7" w14:textId="77777777" w:rsidR="004E1307" w:rsidRPr="007A1328" w:rsidRDefault="00885D9B" w:rsidP="00715914">
    <w:pPr>
      <w:rPr>
        <w:sz w:val="20"/>
      </w:rPr>
    </w:pPr>
  </w:p>
  <w:p w14:paraId="1C025EDE" w14:textId="77777777" w:rsidR="004E1307" w:rsidRPr="007A1328" w:rsidRDefault="00885D9B" w:rsidP="00715914">
    <w:pPr>
      <w:rPr>
        <w:b/>
        <w:sz w:val="24"/>
      </w:rPr>
    </w:pPr>
  </w:p>
  <w:p w14:paraId="21FE235F" w14:textId="77777777" w:rsidR="004E1307" w:rsidRPr="007A1328" w:rsidRDefault="00885D9B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8C858" w14:textId="77777777" w:rsidR="004E1307" w:rsidRPr="007A1328" w:rsidRDefault="00885D9B" w:rsidP="00715914">
    <w:pPr>
      <w:jc w:val="right"/>
      <w:rPr>
        <w:sz w:val="20"/>
      </w:rPr>
    </w:pPr>
  </w:p>
  <w:p w14:paraId="42EAC06B" w14:textId="77777777" w:rsidR="004E1307" w:rsidRPr="007A1328" w:rsidRDefault="00885D9B" w:rsidP="00715914">
    <w:pPr>
      <w:jc w:val="right"/>
      <w:rPr>
        <w:sz w:val="20"/>
      </w:rPr>
    </w:pPr>
  </w:p>
  <w:p w14:paraId="42E4AAA7" w14:textId="77777777" w:rsidR="004E1307" w:rsidRPr="007A1328" w:rsidRDefault="00885D9B" w:rsidP="00715914">
    <w:pPr>
      <w:jc w:val="right"/>
      <w:rPr>
        <w:sz w:val="20"/>
      </w:rPr>
    </w:pPr>
  </w:p>
  <w:p w14:paraId="5973A414" w14:textId="77777777" w:rsidR="004E1307" w:rsidRPr="007A1328" w:rsidRDefault="00885D9B" w:rsidP="00715914">
    <w:pPr>
      <w:jc w:val="right"/>
      <w:rPr>
        <w:b/>
        <w:sz w:val="24"/>
      </w:rPr>
    </w:pPr>
  </w:p>
  <w:p w14:paraId="446A842F" w14:textId="77777777" w:rsidR="004E1307" w:rsidRPr="007A1328" w:rsidRDefault="00885D9B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C1F"/>
    <w:multiLevelType w:val="hybridMultilevel"/>
    <w:tmpl w:val="9BAEE81E"/>
    <w:lvl w:ilvl="0" w:tplc="8B56FA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1135"/>
    <w:multiLevelType w:val="hybridMultilevel"/>
    <w:tmpl w:val="E8407436"/>
    <w:lvl w:ilvl="0" w:tplc="D3D64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D1804"/>
    <w:multiLevelType w:val="hybridMultilevel"/>
    <w:tmpl w:val="6E9273B4"/>
    <w:lvl w:ilvl="0" w:tplc="839EB83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80C4C"/>
    <w:multiLevelType w:val="hybridMultilevel"/>
    <w:tmpl w:val="20D04E74"/>
    <w:lvl w:ilvl="0" w:tplc="66B6AA4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500694"/>
    <w:multiLevelType w:val="hybridMultilevel"/>
    <w:tmpl w:val="3C249350"/>
    <w:lvl w:ilvl="0" w:tplc="0C4AF774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3449C"/>
    <w:multiLevelType w:val="hybridMultilevel"/>
    <w:tmpl w:val="A712EF06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CAB2E37"/>
    <w:multiLevelType w:val="hybridMultilevel"/>
    <w:tmpl w:val="3FC4D104"/>
    <w:lvl w:ilvl="0" w:tplc="8B56FA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16098"/>
    <w:multiLevelType w:val="hybridMultilevel"/>
    <w:tmpl w:val="2066710E"/>
    <w:lvl w:ilvl="0" w:tplc="0C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2A74974"/>
    <w:multiLevelType w:val="hybridMultilevel"/>
    <w:tmpl w:val="51442282"/>
    <w:lvl w:ilvl="0" w:tplc="070486D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91AE1"/>
    <w:multiLevelType w:val="hybridMultilevel"/>
    <w:tmpl w:val="A308D3D8"/>
    <w:lvl w:ilvl="0" w:tplc="8B56FA7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0A4031"/>
    <w:multiLevelType w:val="hybridMultilevel"/>
    <w:tmpl w:val="A6A69BD2"/>
    <w:lvl w:ilvl="0" w:tplc="8B56FA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2268E"/>
    <w:multiLevelType w:val="hybridMultilevel"/>
    <w:tmpl w:val="A1A0F1F8"/>
    <w:lvl w:ilvl="0" w:tplc="8B56FA76">
      <w:start w:val="1"/>
      <w:numFmt w:val="lowerLetter"/>
      <w:lvlText w:val="(%1)"/>
      <w:lvlJc w:val="left"/>
      <w:pPr>
        <w:ind w:left="731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2"/>
  </w:num>
  <w:num w:numId="5">
    <w:abstractNumId w:val="10"/>
  </w:num>
  <w:num w:numId="6">
    <w:abstractNumId w:val="11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BB"/>
    <w:rsid w:val="00053E39"/>
    <w:rsid w:val="0005690B"/>
    <w:rsid w:val="000A5E7D"/>
    <w:rsid w:val="000F4F6C"/>
    <w:rsid w:val="00116375"/>
    <w:rsid w:val="00142142"/>
    <w:rsid w:val="001B162D"/>
    <w:rsid w:val="001E011E"/>
    <w:rsid w:val="0025684A"/>
    <w:rsid w:val="003363E5"/>
    <w:rsid w:val="00384872"/>
    <w:rsid w:val="0039572D"/>
    <w:rsid w:val="003D1FC6"/>
    <w:rsid w:val="003D67C0"/>
    <w:rsid w:val="00437491"/>
    <w:rsid w:val="005F62A6"/>
    <w:rsid w:val="00606F11"/>
    <w:rsid w:val="006B2586"/>
    <w:rsid w:val="006B6EA1"/>
    <w:rsid w:val="006E3D8A"/>
    <w:rsid w:val="0073356E"/>
    <w:rsid w:val="0075353C"/>
    <w:rsid w:val="007A0A37"/>
    <w:rsid w:val="007C3A68"/>
    <w:rsid w:val="007F4A5D"/>
    <w:rsid w:val="008221AD"/>
    <w:rsid w:val="00885D9B"/>
    <w:rsid w:val="00886A40"/>
    <w:rsid w:val="008C5410"/>
    <w:rsid w:val="008E67B5"/>
    <w:rsid w:val="009359BB"/>
    <w:rsid w:val="00963B3B"/>
    <w:rsid w:val="009C48D6"/>
    <w:rsid w:val="009C5AB0"/>
    <w:rsid w:val="00B01E81"/>
    <w:rsid w:val="00B114A6"/>
    <w:rsid w:val="00B9195F"/>
    <w:rsid w:val="00CA351A"/>
    <w:rsid w:val="00CD4AEE"/>
    <w:rsid w:val="00CF5CE4"/>
    <w:rsid w:val="00E668A6"/>
    <w:rsid w:val="00ED78C4"/>
    <w:rsid w:val="00EE19C8"/>
    <w:rsid w:val="00F87E13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1FFFA13"/>
  <w15:docId w15:val="{80957628-FF4D-4937-8013-89B97F99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59BB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9359BB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9359BB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9359BB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9359BB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Sectno">
    <w:name w:val="CharSectno"/>
    <w:basedOn w:val="DefaultParagraphFont"/>
    <w:qFormat/>
    <w:rsid w:val="009359BB"/>
  </w:style>
  <w:style w:type="paragraph" w:customStyle="1" w:styleId="subsection">
    <w:name w:val="subsection"/>
    <w:aliases w:val="ss"/>
    <w:basedOn w:val="Normal"/>
    <w:link w:val="subsectionChar"/>
    <w:rsid w:val="009359BB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9359BB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9359B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9359BB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9359BB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9359BB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9359B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5">
    <w:name w:val="toc 5"/>
    <w:basedOn w:val="Normal"/>
    <w:next w:val="Normal"/>
    <w:uiPriority w:val="39"/>
    <w:unhideWhenUsed/>
    <w:rsid w:val="009359BB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359B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9359B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table" w:styleId="TableGrid">
    <w:name w:val="Table Grid"/>
    <w:basedOn w:val="TableNormal"/>
    <w:uiPriority w:val="59"/>
    <w:rsid w:val="009359BB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9359B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9359BB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359BB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9359BB"/>
    <w:pPr>
      <w:numPr>
        <w:numId w:val="1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paragraph" w:customStyle="1" w:styleId="BodyPara">
    <w:name w:val="BodyPara"/>
    <w:aliases w:val="ba"/>
    <w:basedOn w:val="Normal"/>
    <w:rsid w:val="009359BB"/>
    <w:pPr>
      <w:numPr>
        <w:ilvl w:val="1"/>
        <w:numId w:val="1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numbering" w:customStyle="1" w:styleId="OPCBodyList">
    <w:name w:val="OPCBodyList"/>
    <w:uiPriority w:val="99"/>
    <w:rsid w:val="009359B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359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5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9B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9B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9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B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11E"/>
    <w:rPr>
      <w:rFonts w:ascii="Times New Roman" w:hAnsi="Times New Roman"/>
      <w:b/>
      <w:bCs/>
      <w:sz w:val="20"/>
      <w:szCs w:val="20"/>
    </w:rPr>
  </w:style>
  <w:style w:type="character" w:customStyle="1" w:styleId="CharPartText">
    <w:name w:val="CharPartText"/>
    <w:basedOn w:val="DefaultParagraphFont"/>
    <w:qFormat/>
    <w:rsid w:val="0011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851E4-506A-4227-8B4B-050AE58A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Immigration And Border Protection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Savitha NARAYAN</dc:creator>
  <cp:keywords/>
  <dc:description/>
  <cp:lastModifiedBy>Olivia BARTLETT</cp:lastModifiedBy>
  <cp:revision>5</cp:revision>
  <cp:lastPrinted>2017-06-21T04:51:00Z</cp:lastPrinted>
  <dcterms:created xsi:type="dcterms:W3CDTF">2017-06-21T03:52:00Z</dcterms:created>
  <dcterms:modified xsi:type="dcterms:W3CDTF">2017-06-26T05:32:00Z</dcterms:modified>
</cp:coreProperties>
</file>