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5D" w:rsidRDefault="00136C5D" w:rsidP="00EA2AD2">
      <w:pPr>
        <w:tabs>
          <w:tab w:val="left" w:pos="1418"/>
        </w:tabs>
        <w:jc w:val="center"/>
        <w:rPr>
          <w:rFonts w:ascii="Calibri" w:hAnsi="Calibri" w:cs="Calibri"/>
          <w:b/>
          <w:lang w:eastAsia="en-AU"/>
        </w:rPr>
      </w:pPr>
    </w:p>
    <w:p w:rsidR="00136C5D" w:rsidRDefault="0021349C" w:rsidP="001945EC">
      <w:pPr>
        <w:spacing w:after="0"/>
        <w:rPr>
          <w:rFonts w:ascii="Calibri" w:hAnsi="Calibri" w:cs="Calibri"/>
          <w:b/>
          <w:i/>
          <w:lang w:eastAsia="en-AU"/>
        </w:rPr>
      </w:pPr>
      <w:r w:rsidRPr="003B060D">
        <w:rPr>
          <w:noProof/>
          <w:lang w:eastAsia="en-AU"/>
        </w:rPr>
        <w:drawing>
          <wp:inline distT="0" distB="0" distL="0" distR="0" wp14:anchorId="07ED3F0D" wp14:editId="339890C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9C" w:rsidRDefault="0021349C" w:rsidP="00136C5D">
      <w:pPr>
        <w:spacing w:after="0"/>
        <w:jc w:val="center"/>
        <w:rPr>
          <w:rFonts w:ascii="Calibri" w:hAnsi="Calibri" w:cs="Calibri"/>
          <w:b/>
          <w:i/>
          <w:sz w:val="28"/>
          <w:szCs w:val="28"/>
          <w:lang w:eastAsia="en-AU"/>
        </w:rPr>
      </w:pPr>
    </w:p>
    <w:p w:rsidR="00136C5D" w:rsidRPr="001945EC" w:rsidRDefault="00136C5D" w:rsidP="001945EC">
      <w:pPr>
        <w:spacing w:after="0"/>
        <w:rPr>
          <w:b/>
          <w:sz w:val="40"/>
          <w:szCs w:val="40"/>
          <w:lang w:eastAsia="en-AU"/>
        </w:rPr>
      </w:pPr>
      <w:r w:rsidRPr="001945EC">
        <w:rPr>
          <w:b/>
          <w:sz w:val="40"/>
          <w:szCs w:val="40"/>
          <w:lang w:eastAsia="en-AU"/>
        </w:rPr>
        <w:t>Higher Education (Occupation and Occupation Standard Deduction) Determination 2017</w:t>
      </w:r>
    </w:p>
    <w:p w:rsidR="00136C5D" w:rsidRPr="00382FF3" w:rsidRDefault="00136C5D" w:rsidP="00136C5D">
      <w:pPr>
        <w:spacing w:after="0"/>
        <w:rPr>
          <w:b/>
          <w:lang w:eastAsia="en-AU"/>
        </w:rPr>
      </w:pPr>
    </w:p>
    <w:p w:rsidR="00382FF3" w:rsidRDefault="00382FF3" w:rsidP="001945EC">
      <w:pPr>
        <w:pBdr>
          <w:bottom w:val="single" w:sz="6" w:space="1" w:color="auto"/>
        </w:pBdr>
        <w:spacing w:after="0"/>
        <w:rPr>
          <w:i/>
          <w:sz w:val="28"/>
          <w:szCs w:val="28"/>
          <w:lang w:eastAsia="en-AU"/>
        </w:rPr>
      </w:pPr>
      <w:r w:rsidRPr="001945EC">
        <w:rPr>
          <w:i/>
          <w:sz w:val="28"/>
          <w:szCs w:val="28"/>
          <w:lang w:eastAsia="en-AU"/>
        </w:rPr>
        <w:t>Higher Education Support Act 2003</w:t>
      </w:r>
    </w:p>
    <w:p w:rsidR="00136C5D" w:rsidRDefault="00136C5D" w:rsidP="00136C5D">
      <w:pPr>
        <w:spacing w:after="0"/>
        <w:rPr>
          <w:b/>
          <w:lang w:eastAsia="en-AU"/>
        </w:rPr>
      </w:pPr>
    </w:p>
    <w:p w:rsidR="00136C5D" w:rsidRDefault="00136C5D" w:rsidP="00136C5D">
      <w:pPr>
        <w:spacing w:after="0"/>
        <w:rPr>
          <w:lang w:eastAsia="en-AU"/>
        </w:rPr>
      </w:pPr>
      <w:r>
        <w:rPr>
          <w:lang w:eastAsia="en-AU"/>
        </w:rPr>
        <w:t xml:space="preserve">I, </w:t>
      </w:r>
      <w:r w:rsidRPr="005A44B3">
        <w:rPr>
          <w:lang w:eastAsia="en-AU"/>
        </w:rPr>
        <w:t>Simon Birmingham, Minister for Education and Training,</w:t>
      </w:r>
      <w:r w:rsidR="0021349C">
        <w:rPr>
          <w:lang w:eastAsia="en-AU"/>
        </w:rPr>
        <w:t xml:space="preserve"> make </w:t>
      </w:r>
      <w:r w:rsidR="000B64A8">
        <w:rPr>
          <w:lang w:eastAsia="en-AU"/>
        </w:rPr>
        <w:t xml:space="preserve">this Determination </w:t>
      </w:r>
      <w:r w:rsidR="0036230A">
        <w:rPr>
          <w:lang w:eastAsia="en-AU"/>
        </w:rPr>
        <w:t>under</w:t>
      </w:r>
      <w:r w:rsidRPr="005A44B3">
        <w:rPr>
          <w:lang w:eastAsia="en-AU"/>
        </w:rPr>
        <w:t xml:space="preserve"> subsection </w:t>
      </w:r>
      <w:r w:rsidR="00D50482">
        <w:rPr>
          <w:lang w:eastAsia="en-AU"/>
        </w:rPr>
        <w:t>154-17(2)</w:t>
      </w:r>
      <w:r w:rsidRPr="005A44B3">
        <w:rPr>
          <w:lang w:eastAsia="en-AU"/>
        </w:rPr>
        <w:t xml:space="preserve"> of the </w:t>
      </w:r>
      <w:r w:rsidRPr="005A44B3">
        <w:rPr>
          <w:i/>
          <w:lang w:eastAsia="en-AU"/>
        </w:rPr>
        <w:t>Higher Education Support Act 2003</w:t>
      </w:r>
      <w:r>
        <w:rPr>
          <w:lang w:eastAsia="en-AU"/>
        </w:rPr>
        <w:t xml:space="preserve"> and </w:t>
      </w:r>
      <w:r w:rsidR="00382FF3">
        <w:rPr>
          <w:lang w:eastAsia="en-AU"/>
        </w:rPr>
        <w:t>sub</w:t>
      </w:r>
      <w:r w:rsidR="00DE77B3">
        <w:rPr>
          <w:lang w:eastAsia="en-AU"/>
        </w:rPr>
        <w:t>section 7(2)</w:t>
      </w:r>
      <w:r>
        <w:rPr>
          <w:lang w:eastAsia="en-AU"/>
        </w:rPr>
        <w:t xml:space="preserve"> of the Overseas Debtors Repayment Guidelines 2017</w:t>
      </w:r>
      <w:r w:rsidR="000B64A8">
        <w:rPr>
          <w:lang w:eastAsia="en-AU"/>
        </w:rPr>
        <w:t>.</w:t>
      </w:r>
      <w:r>
        <w:rPr>
          <w:lang w:eastAsia="en-AU"/>
        </w:rPr>
        <w:t xml:space="preserve"> </w:t>
      </w:r>
    </w:p>
    <w:p w:rsidR="00136C5D" w:rsidRDefault="00136C5D" w:rsidP="00136C5D">
      <w:pPr>
        <w:spacing w:after="0"/>
        <w:rPr>
          <w:lang w:eastAsia="en-AU"/>
        </w:rPr>
      </w:pPr>
    </w:p>
    <w:p w:rsidR="00136C5D" w:rsidRDefault="00136C5D" w:rsidP="00136C5D">
      <w:pPr>
        <w:spacing w:after="0"/>
        <w:rPr>
          <w:lang w:eastAsia="en-AU"/>
        </w:rPr>
      </w:pPr>
    </w:p>
    <w:p w:rsidR="00136C5D" w:rsidRDefault="00136C5D" w:rsidP="00136C5D">
      <w:pPr>
        <w:spacing w:after="0"/>
        <w:rPr>
          <w:lang w:eastAsia="en-AU"/>
        </w:rPr>
      </w:pPr>
    </w:p>
    <w:p w:rsidR="00136C5D" w:rsidRDefault="00136C5D" w:rsidP="00136C5D">
      <w:pPr>
        <w:spacing w:after="0"/>
        <w:rPr>
          <w:lang w:eastAsia="en-AU"/>
        </w:rPr>
      </w:pPr>
      <w:r>
        <w:rPr>
          <w:lang w:eastAsia="en-AU"/>
        </w:rPr>
        <w:t xml:space="preserve">Dated </w:t>
      </w:r>
      <w:r w:rsidR="0036230A">
        <w:rPr>
          <w:lang w:eastAsia="en-AU"/>
        </w:rPr>
        <w:t xml:space="preserve">                            </w:t>
      </w:r>
      <w:r w:rsidR="008879B3">
        <w:rPr>
          <w:lang w:eastAsia="en-AU"/>
        </w:rPr>
        <w:t>21 June</w:t>
      </w:r>
      <w:bookmarkStart w:id="0" w:name="_GoBack"/>
      <w:bookmarkEnd w:id="0"/>
      <w:r w:rsidR="0036230A">
        <w:rPr>
          <w:lang w:eastAsia="en-AU"/>
        </w:rPr>
        <w:t xml:space="preserve">  </w:t>
      </w:r>
      <w:r>
        <w:rPr>
          <w:lang w:eastAsia="en-AU"/>
        </w:rPr>
        <w:t>2017</w:t>
      </w:r>
    </w:p>
    <w:p w:rsidR="00136C5D" w:rsidRDefault="00136C5D" w:rsidP="00136C5D">
      <w:pPr>
        <w:spacing w:after="0"/>
        <w:rPr>
          <w:rFonts w:ascii="Calibri" w:hAnsi="Calibri" w:cs="Calibri"/>
          <w:i/>
          <w:lang w:eastAsia="en-AU"/>
        </w:rPr>
      </w:pPr>
    </w:p>
    <w:p w:rsidR="00136C5D" w:rsidRDefault="00136C5D" w:rsidP="00136C5D">
      <w:pPr>
        <w:spacing w:after="0"/>
        <w:rPr>
          <w:rFonts w:ascii="Calibri" w:hAnsi="Calibri" w:cs="Calibri"/>
          <w:lang w:eastAsia="en-AU"/>
        </w:rPr>
      </w:pPr>
    </w:p>
    <w:p w:rsidR="00136C5D" w:rsidRDefault="00136C5D" w:rsidP="00136C5D">
      <w:pPr>
        <w:spacing w:after="0"/>
        <w:rPr>
          <w:rFonts w:ascii="Calibri" w:hAnsi="Calibri" w:cs="Calibri"/>
          <w:lang w:eastAsia="en-AU"/>
        </w:rPr>
      </w:pPr>
    </w:p>
    <w:p w:rsidR="00136C5D" w:rsidRDefault="00136C5D" w:rsidP="00136C5D">
      <w:pPr>
        <w:spacing w:after="0"/>
        <w:rPr>
          <w:rFonts w:ascii="Calibri" w:hAnsi="Calibri" w:cs="Calibri"/>
          <w:lang w:eastAsia="en-AU"/>
        </w:rPr>
      </w:pPr>
    </w:p>
    <w:p w:rsidR="00136C5D" w:rsidRDefault="00136C5D" w:rsidP="00136C5D">
      <w:pPr>
        <w:spacing w:after="0"/>
        <w:rPr>
          <w:rFonts w:ascii="Calibri" w:hAnsi="Calibri" w:cs="Calibri"/>
          <w:lang w:eastAsia="en-AU"/>
        </w:rPr>
      </w:pPr>
    </w:p>
    <w:p w:rsidR="00136C5D" w:rsidRDefault="00136C5D" w:rsidP="00136C5D">
      <w:pPr>
        <w:spacing w:after="0"/>
        <w:rPr>
          <w:rFonts w:ascii="Calibri" w:hAnsi="Calibri" w:cs="Calibri"/>
          <w:lang w:eastAsia="en-AU"/>
        </w:rPr>
      </w:pPr>
    </w:p>
    <w:p w:rsidR="00136C5D" w:rsidRDefault="00136C5D" w:rsidP="00136C5D">
      <w:pPr>
        <w:spacing w:after="0"/>
        <w:rPr>
          <w:rFonts w:ascii="Calibri" w:hAnsi="Calibri" w:cs="Calibri"/>
          <w:lang w:eastAsia="en-AU"/>
        </w:rPr>
      </w:pPr>
    </w:p>
    <w:p w:rsidR="00136C5D" w:rsidRDefault="00136C5D" w:rsidP="00136C5D">
      <w:pPr>
        <w:spacing w:after="0"/>
        <w:rPr>
          <w:rFonts w:ascii="Calibri" w:hAnsi="Calibri" w:cs="Calibri"/>
          <w:lang w:eastAsia="en-AU"/>
        </w:rPr>
      </w:pPr>
    </w:p>
    <w:p w:rsidR="00136C5D" w:rsidRDefault="00136C5D" w:rsidP="00136C5D">
      <w:pPr>
        <w:spacing w:after="0"/>
        <w:rPr>
          <w:rFonts w:ascii="Calibri" w:hAnsi="Calibri" w:cs="Calibri"/>
          <w:i/>
          <w:lang w:eastAsia="en-AU"/>
        </w:rPr>
      </w:pPr>
      <w:r>
        <w:rPr>
          <w:rFonts w:ascii="Calibri" w:hAnsi="Calibri" w:cs="Calibri"/>
          <w:lang w:eastAsia="en-AU"/>
        </w:rPr>
        <w:t xml:space="preserve">    </w:t>
      </w:r>
      <w:r>
        <w:rPr>
          <w:rFonts w:ascii="Calibri" w:hAnsi="Calibri" w:cs="Calibri"/>
          <w:i/>
          <w:lang w:eastAsia="en-AU"/>
        </w:rPr>
        <w:t xml:space="preserve">              </w:t>
      </w:r>
    </w:p>
    <w:p w:rsidR="00136C5D" w:rsidRDefault="00136C5D" w:rsidP="00136C5D">
      <w:pPr>
        <w:tabs>
          <w:tab w:val="left" w:pos="851"/>
        </w:tabs>
        <w:spacing w:after="0"/>
        <w:rPr>
          <w:rFonts w:ascii="Calibri" w:hAnsi="Calibri" w:cs="Calibri"/>
          <w:bCs/>
          <w:lang w:eastAsia="en-AU"/>
        </w:rPr>
      </w:pPr>
      <w:r>
        <w:rPr>
          <w:rFonts w:ascii="Calibri" w:hAnsi="Calibri" w:cs="Calibri"/>
          <w:bCs/>
          <w:lang w:eastAsia="en-AU"/>
        </w:rPr>
        <w:t>_____________________________</w:t>
      </w:r>
    </w:p>
    <w:p w:rsidR="00136C5D" w:rsidRDefault="00136C5D" w:rsidP="00136C5D">
      <w:pPr>
        <w:tabs>
          <w:tab w:val="left" w:pos="851"/>
        </w:tabs>
        <w:spacing w:after="0"/>
        <w:rPr>
          <w:bCs/>
          <w:lang w:eastAsia="en-AU"/>
        </w:rPr>
      </w:pPr>
      <w:r>
        <w:rPr>
          <w:bCs/>
          <w:lang w:eastAsia="en-AU"/>
        </w:rPr>
        <w:t>SIMON BIRMINGHAM</w:t>
      </w:r>
    </w:p>
    <w:p w:rsidR="00136C5D" w:rsidRDefault="00136C5D" w:rsidP="00136C5D">
      <w:pPr>
        <w:tabs>
          <w:tab w:val="left" w:pos="851"/>
        </w:tabs>
        <w:spacing w:after="0"/>
        <w:rPr>
          <w:bCs/>
          <w:lang w:eastAsia="en-AU"/>
        </w:rPr>
      </w:pPr>
      <w:r>
        <w:rPr>
          <w:bCs/>
          <w:lang w:eastAsia="en-AU"/>
        </w:rPr>
        <w:t>Minister for Education and Training</w:t>
      </w:r>
    </w:p>
    <w:p w:rsidR="0021349C" w:rsidRPr="000B64A8" w:rsidRDefault="0021349C" w:rsidP="001945EC">
      <w:pPr>
        <w:spacing w:after="0"/>
        <w:ind w:left="567"/>
        <w:contextualSpacing/>
        <w:rPr>
          <w:rFonts w:ascii="Calibri" w:hAnsi="Calibri" w:cs="Calibri"/>
          <w:bCs/>
          <w:lang w:eastAsia="en-AU"/>
        </w:rPr>
      </w:pPr>
      <w:r>
        <w:rPr>
          <w:rFonts w:ascii="Calibri" w:hAnsi="Calibri" w:cs="Calibri"/>
          <w:bCs/>
          <w:lang w:eastAsia="en-AU"/>
        </w:rPr>
        <w:br w:type="page"/>
      </w:r>
    </w:p>
    <w:p w:rsidR="0021349C" w:rsidRPr="001945EC" w:rsidRDefault="0021349C" w:rsidP="001945EC">
      <w:pPr>
        <w:spacing w:after="0"/>
        <w:ind w:left="720"/>
        <w:contextualSpacing/>
        <w:rPr>
          <w:b/>
          <w:sz w:val="28"/>
          <w:szCs w:val="28"/>
          <w:lang w:eastAsia="en-AU"/>
        </w:rPr>
      </w:pPr>
    </w:p>
    <w:p w:rsidR="00136C5D" w:rsidRPr="0021349C" w:rsidRDefault="00382FF3" w:rsidP="001945EC">
      <w:pPr>
        <w:numPr>
          <w:ilvl w:val="0"/>
          <w:numId w:val="5"/>
        </w:numPr>
        <w:spacing w:after="0"/>
        <w:ind w:left="567" w:hanging="567"/>
        <w:contextualSpacing/>
        <w:rPr>
          <w:b/>
          <w:sz w:val="28"/>
          <w:szCs w:val="28"/>
          <w:lang w:eastAsia="en-AU"/>
        </w:rPr>
      </w:pPr>
      <w:r w:rsidRPr="0021349C">
        <w:rPr>
          <w:b/>
          <w:sz w:val="28"/>
          <w:szCs w:val="28"/>
          <w:lang w:eastAsia="en-AU"/>
        </w:rPr>
        <w:t>Name</w:t>
      </w:r>
    </w:p>
    <w:p w:rsidR="00136C5D" w:rsidRDefault="00136C5D" w:rsidP="00136C5D">
      <w:pPr>
        <w:spacing w:after="0"/>
        <w:ind w:left="567"/>
        <w:contextualSpacing/>
        <w:rPr>
          <w:b/>
          <w:lang w:eastAsia="en-AU"/>
        </w:rPr>
      </w:pPr>
    </w:p>
    <w:p w:rsidR="00136C5D" w:rsidRPr="00136C5D" w:rsidRDefault="00136C5D" w:rsidP="00136C5D">
      <w:pPr>
        <w:spacing w:after="0"/>
        <w:ind w:left="540"/>
        <w:rPr>
          <w:lang w:eastAsia="en-AU"/>
        </w:rPr>
      </w:pPr>
      <w:r>
        <w:rPr>
          <w:lang w:eastAsia="en-AU"/>
        </w:rPr>
        <w:t>This</w:t>
      </w:r>
      <w:r w:rsidR="0021349C">
        <w:rPr>
          <w:lang w:eastAsia="en-AU"/>
        </w:rPr>
        <w:t xml:space="preserve"> </w:t>
      </w:r>
      <w:r w:rsidR="000B64A8">
        <w:rPr>
          <w:lang w:eastAsia="en-AU"/>
        </w:rPr>
        <w:t>Determination is</w:t>
      </w:r>
      <w:r w:rsidR="00382FF3">
        <w:rPr>
          <w:lang w:eastAsia="en-AU"/>
        </w:rPr>
        <w:t xml:space="preserve"> </w:t>
      </w:r>
      <w:r>
        <w:rPr>
          <w:lang w:eastAsia="en-AU"/>
        </w:rPr>
        <w:t xml:space="preserve">the </w:t>
      </w:r>
      <w:r w:rsidRPr="00136C5D">
        <w:rPr>
          <w:i/>
          <w:lang w:eastAsia="en-AU"/>
        </w:rPr>
        <w:t>Higher Education (Occupation and Occupation Standard Deduction) Determination 2017</w:t>
      </w:r>
      <w:r>
        <w:rPr>
          <w:lang w:eastAsia="en-AU"/>
        </w:rPr>
        <w:t>.</w:t>
      </w:r>
    </w:p>
    <w:p w:rsidR="00136C5D" w:rsidRDefault="00136C5D" w:rsidP="00136C5D">
      <w:pPr>
        <w:spacing w:after="0"/>
        <w:ind w:left="567"/>
        <w:contextualSpacing/>
        <w:rPr>
          <w:b/>
          <w:lang w:eastAsia="en-AU"/>
        </w:rPr>
      </w:pPr>
    </w:p>
    <w:p w:rsidR="00136C5D" w:rsidRDefault="00136C5D" w:rsidP="001945EC">
      <w:pPr>
        <w:numPr>
          <w:ilvl w:val="0"/>
          <w:numId w:val="5"/>
        </w:numPr>
        <w:spacing w:after="0"/>
        <w:ind w:left="567" w:hanging="567"/>
        <w:contextualSpacing/>
        <w:rPr>
          <w:b/>
          <w:sz w:val="28"/>
          <w:szCs w:val="28"/>
          <w:lang w:eastAsia="en-AU"/>
        </w:rPr>
      </w:pPr>
      <w:r>
        <w:rPr>
          <w:b/>
          <w:sz w:val="28"/>
          <w:szCs w:val="28"/>
          <w:lang w:eastAsia="en-AU"/>
        </w:rPr>
        <w:t>Commencement</w:t>
      </w:r>
    </w:p>
    <w:p w:rsidR="00136C5D" w:rsidRDefault="00136C5D" w:rsidP="00136C5D">
      <w:pPr>
        <w:spacing w:after="0"/>
        <w:ind w:left="567"/>
        <w:contextualSpacing/>
        <w:rPr>
          <w:b/>
          <w:lang w:eastAsia="en-AU"/>
        </w:rPr>
      </w:pPr>
    </w:p>
    <w:p w:rsidR="00136C5D" w:rsidRPr="005A44B3" w:rsidRDefault="00136C5D" w:rsidP="00136C5D">
      <w:pPr>
        <w:tabs>
          <w:tab w:val="left" w:pos="851"/>
        </w:tabs>
        <w:spacing w:after="0"/>
        <w:ind w:left="567"/>
        <w:rPr>
          <w:lang w:eastAsia="en-AU"/>
        </w:rPr>
      </w:pPr>
      <w:r>
        <w:rPr>
          <w:lang w:eastAsia="en-AU"/>
        </w:rPr>
        <w:t>This</w:t>
      </w:r>
      <w:r w:rsidR="000B64A8">
        <w:rPr>
          <w:lang w:eastAsia="en-AU"/>
        </w:rPr>
        <w:t xml:space="preserve"> Determination</w:t>
      </w:r>
      <w:r>
        <w:rPr>
          <w:lang w:eastAsia="en-AU"/>
        </w:rPr>
        <w:t xml:space="preserve"> commences on the day after it is registered on the Federal </w:t>
      </w:r>
      <w:r w:rsidRPr="005A44B3">
        <w:rPr>
          <w:lang w:eastAsia="en-AU"/>
        </w:rPr>
        <w:t xml:space="preserve">Register of </w:t>
      </w:r>
      <w:r w:rsidR="009A4A9B">
        <w:rPr>
          <w:lang w:eastAsia="en-AU"/>
        </w:rPr>
        <w:t>Legislation</w:t>
      </w:r>
      <w:r w:rsidRPr="005A44B3">
        <w:rPr>
          <w:lang w:eastAsia="en-AU"/>
        </w:rPr>
        <w:t>.</w:t>
      </w:r>
    </w:p>
    <w:p w:rsidR="00136C5D" w:rsidRDefault="00136C5D" w:rsidP="00136C5D">
      <w:pPr>
        <w:tabs>
          <w:tab w:val="left" w:pos="540"/>
        </w:tabs>
        <w:spacing w:after="0"/>
        <w:ind w:left="540" w:hanging="540"/>
        <w:rPr>
          <w:b/>
          <w:bCs/>
          <w:lang w:eastAsia="en-AU"/>
        </w:rPr>
      </w:pPr>
    </w:p>
    <w:p w:rsidR="0021349C" w:rsidRDefault="0021349C" w:rsidP="001945EC">
      <w:pPr>
        <w:numPr>
          <w:ilvl w:val="0"/>
          <w:numId w:val="5"/>
        </w:numPr>
        <w:spacing w:after="0"/>
        <w:ind w:left="567" w:hanging="567"/>
        <w:contextualSpacing/>
        <w:rPr>
          <w:b/>
          <w:sz w:val="28"/>
          <w:szCs w:val="28"/>
          <w:lang w:eastAsia="en-AU"/>
        </w:rPr>
      </w:pPr>
      <w:r>
        <w:rPr>
          <w:b/>
          <w:sz w:val="28"/>
          <w:szCs w:val="28"/>
          <w:lang w:eastAsia="en-AU"/>
        </w:rPr>
        <w:t>Authority</w:t>
      </w:r>
    </w:p>
    <w:p w:rsidR="0021349C" w:rsidRDefault="0021349C" w:rsidP="0021349C">
      <w:pPr>
        <w:spacing w:after="0"/>
        <w:ind w:left="720"/>
        <w:contextualSpacing/>
        <w:rPr>
          <w:lang w:eastAsia="en-AU"/>
        </w:rPr>
      </w:pPr>
    </w:p>
    <w:p w:rsidR="0021349C" w:rsidRDefault="000B64A8" w:rsidP="0021349C">
      <w:pPr>
        <w:spacing w:after="0"/>
        <w:ind w:left="567"/>
        <w:contextualSpacing/>
        <w:rPr>
          <w:lang w:eastAsia="en-AU"/>
        </w:rPr>
      </w:pPr>
      <w:r>
        <w:rPr>
          <w:lang w:eastAsia="en-AU"/>
        </w:rPr>
        <w:t>The Determination</w:t>
      </w:r>
      <w:r w:rsidR="00CB16B2">
        <w:rPr>
          <w:lang w:eastAsia="en-AU"/>
        </w:rPr>
        <w:t xml:space="preserve"> is</w:t>
      </w:r>
      <w:r w:rsidR="0021349C" w:rsidRPr="005A44B3">
        <w:rPr>
          <w:lang w:eastAsia="en-AU"/>
        </w:rPr>
        <w:t xml:space="preserve"> made under </w:t>
      </w:r>
      <w:r w:rsidR="0021349C" w:rsidRPr="00D50482">
        <w:rPr>
          <w:lang w:eastAsia="en-AU"/>
        </w:rPr>
        <w:t>subsection 154-17(2)</w:t>
      </w:r>
      <w:r w:rsidR="00132707">
        <w:rPr>
          <w:lang w:eastAsia="en-AU"/>
        </w:rPr>
        <w:t xml:space="preserve"> of</w:t>
      </w:r>
      <w:r w:rsidR="0021349C" w:rsidRPr="00D50482">
        <w:rPr>
          <w:lang w:eastAsia="en-AU"/>
        </w:rPr>
        <w:t xml:space="preserve"> the</w:t>
      </w:r>
      <w:r w:rsidR="0021349C" w:rsidRPr="005A44B3">
        <w:rPr>
          <w:lang w:eastAsia="en-AU"/>
        </w:rPr>
        <w:t xml:space="preserve"> </w:t>
      </w:r>
      <w:r w:rsidRPr="005A44B3">
        <w:rPr>
          <w:i/>
          <w:lang w:eastAsia="en-AU"/>
        </w:rPr>
        <w:t>Higher Education Support Act 2003</w:t>
      </w:r>
      <w:r>
        <w:rPr>
          <w:rStyle w:val="CommentReference"/>
        </w:rPr>
        <w:t xml:space="preserve"> </w:t>
      </w:r>
      <w:r w:rsidR="0021349C">
        <w:rPr>
          <w:lang w:eastAsia="en-AU"/>
        </w:rPr>
        <w:t xml:space="preserve">and </w:t>
      </w:r>
      <w:r>
        <w:rPr>
          <w:lang w:eastAsia="en-AU"/>
        </w:rPr>
        <w:t>sub</w:t>
      </w:r>
      <w:r w:rsidR="0021349C" w:rsidRPr="00DE77B3">
        <w:rPr>
          <w:lang w:eastAsia="en-AU"/>
        </w:rPr>
        <w:t>section 7(2) of the</w:t>
      </w:r>
      <w:r w:rsidR="0021349C">
        <w:rPr>
          <w:lang w:eastAsia="en-AU"/>
        </w:rPr>
        <w:t xml:space="preserve"> </w:t>
      </w:r>
      <w:r>
        <w:rPr>
          <w:lang w:eastAsia="en-AU"/>
        </w:rPr>
        <w:t>Overseas Debtors Repayment Guidelines 2017.</w:t>
      </w:r>
    </w:p>
    <w:p w:rsidR="0021349C" w:rsidRDefault="0021349C" w:rsidP="00136C5D">
      <w:pPr>
        <w:tabs>
          <w:tab w:val="left" w:pos="540"/>
        </w:tabs>
        <w:spacing w:after="0"/>
        <w:ind w:left="540" w:hanging="540"/>
        <w:rPr>
          <w:b/>
          <w:bCs/>
          <w:lang w:eastAsia="en-AU"/>
        </w:rPr>
      </w:pPr>
    </w:p>
    <w:p w:rsidR="000B64A8" w:rsidRDefault="00136C5D" w:rsidP="00136C5D">
      <w:pPr>
        <w:tabs>
          <w:tab w:val="left" w:pos="540"/>
        </w:tabs>
        <w:spacing w:after="0"/>
        <w:ind w:left="540" w:hanging="540"/>
        <w:rPr>
          <w:b/>
          <w:bCs/>
          <w:sz w:val="28"/>
          <w:szCs w:val="28"/>
          <w:lang w:eastAsia="en-AU"/>
        </w:rPr>
      </w:pPr>
      <w:r w:rsidRPr="005A44B3">
        <w:rPr>
          <w:b/>
          <w:bCs/>
          <w:sz w:val="28"/>
          <w:szCs w:val="28"/>
          <w:lang w:eastAsia="en-AU"/>
        </w:rPr>
        <w:t>4</w:t>
      </w:r>
      <w:r w:rsidRPr="005A44B3">
        <w:rPr>
          <w:b/>
          <w:bCs/>
          <w:sz w:val="28"/>
          <w:szCs w:val="28"/>
          <w:lang w:eastAsia="en-AU"/>
        </w:rPr>
        <w:tab/>
      </w:r>
      <w:r w:rsidR="000B64A8">
        <w:rPr>
          <w:b/>
          <w:bCs/>
          <w:sz w:val="28"/>
          <w:szCs w:val="28"/>
          <w:lang w:eastAsia="en-AU"/>
        </w:rPr>
        <w:t xml:space="preserve">Definitions </w:t>
      </w:r>
    </w:p>
    <w:p w:rsidR="000B64A8" w:rsidRDefault="000B64A8" w:rsidP="00136C5D">
      <w:pPr>
        <w:tabs>
          <w:tab w:val="left" w:pos="540"/>
        </w:tabs>
        <w:spacing w:after="0"/>
        <w:ind w:left="540" w:hanging="540"/>
        <w:rPr>
          <w:b/>
          <w:bCs/>
          <w:sz w:val="28"/>
          <w:szCs w:val="28"/>
          <w:lang w:eastAsia="en-AU"/>
        </w:rPr>
      </w:pPr>
    </w:p>
    <w:p w:rsidR="000B64A8" w:rsidRDefault="000B64A8" w:rsidP="00136C5D">
      <w:pPr>
        <w:tabs>
          <w:tab w:val="left" w:pos="540"/>
        </w:tabs>
        <w:spacing w:after="0"/>
        <w:ind w:left="540" w:hanging="540"/>
        <w:rPr>
          <w:bCs/>
          <w:lang w:eastAsia="en-AU"/>
        </w:rPr>
      </w:pPr>
      <w:r>
        <w:rPr>
          <w:b/>
          <w:bCs/>
          <w:sz w:val="28"/>
          <w:szCs w:val="28"/>
          <w:lang w:eastAsia="en-AU"/>
        </w:rPr>
        <w:tab/>
      </w:r>
      <w:r>
        <w:rPr>
          <w:bCs/>
          <w:lang w:eastAsia="en-AU"/>
        </w:rPr>
        <w:t xml:space="preserve">In </w:t>
      </w:r>
      <w:r w:rsidR="009A77A2">
        <w:rPr>
          <w:bCs/>
          <w:lang w:eastAsia="en-AU"/>
        </w:rPr>
        <w:t>this Determination</w:t>
      </w:r>
      <w:r>
        <w:rPr>
          <w:bCs/>
          <w:lang w:eastAsia="en-AU"/>
        </w:rPr>
        <w:t>:</w:t>
      </w:r>
    </w:p>
    <w:p w:rsidR="000B64A8" w:rsidRDefault="000B64A8" w:rsidP="00136C5D">
      <w:pPr>
        <w:tabs>
          <w:tab w:val="left" w:pos="540"/>
        </w:tabs>
        <w:spacing w:after="0"/>
        <w:ind w:left="540" w:hanging="540"/>
        <w:rPr>
          <w:bCs/>
          <w:lang w:eastAsia="en-AU"/>
        </w:rPr>
      </w:pPr>
    </w:p>
    <w:p w:rsidR="000B64A8" w:rsidRDefault="000B64A8" w:rsidP="00136C5D">
      <w:pPr>
        <w:tabs>
          <w:tab w:val="left" w:pos="540"/>
        </w:tabs>
        <w:spacing w:after="0"/>
        <w:ind w:left="540" w:hanging="540"/>
        <w:rPr>
          <w:bCs/>
          <w:i/>
          <w:lang w:eastAsia="en-AU"/>
        </w:rPr>
      </w:pPr>
      <w:r>
        <w:rPr>
          <w:bCs/>
          <w:lang w:eastAsia="en-AU"/>
        </w:rPr>
        <w:tab/>
      </w:r>
      <w:r>
        <w:rPr>
          <w:bCs/>
          <w:lang w:eastAsia="en-AU"/>
        </w:rPr>
        <w:tab/>
      </w:r>
      <w:r>
        <w:rPr>
          <w:b/>
          <w:bCs/>
          <w:i/>
          <w:lang w:eastAsia="en-AU"/>
        </w:rPr>
        <w:t xml:space="preserve">Act </w:t>
      </w:r>
      <w:r>
        <w:rPr>
          <w:bCs/>
          <w:lang w:eastAsia="en-AU"/>
        </w:rPr>
        <w:t xml:space="preserve">means the </w:t>
      </w:r>
      <w:r>
        <w:rPr>
          <w:bCs/>
          <w:i/>
          <w:lang w:eastAsia="en-AU"/>
        </w:rPr>
        <w:t xml:space="preserve">Higher Education Support Act 2003. </w:t>
      </w:r>
    </w:p>
    <w:p w:rsidR="000B64A8" w:rsidRDefault="000B64A8" w:rsidP="00136C5D">
      <w:pPr>
        <w:tabs>
          <w:tab w:val="left" w:pos="540"/>
        </w:tabs>
        <w:spacing w:after="0"/>
        <w:ind w:left="540" w:hanging="540"/>
        <w:rPr>
          <w:bCs/>
          <w:sz w:val="28"/>
          <w:szCs w:val="28"/>
          <w:lang w:eastAsia="en-AU"/>
        </w:rPr>
      </w:pPr>
    </w:p>
    <w:p w:rsidR="000B64A8" w:rsidRDefault="000B64A8" w:rsidP="00136C5D">
      <w:pPr>
        <w:tabs>
          <w:tab w:val="left" w:pos="540"/>
        </w:tabs>
        <w:spacing w:after="0"/>
        <w:ind w:left="540" w:hanging="540"/>
        <w:rPr>
          <w:bCs/>
          <w:lang w:eastAsia="en-AU"/>
        </w:rPr>
      </w:pPr>
      <w:r>
        <w:rPr>
          <w:bCs/>
          <w:sz w:val="28"/>
          <w:szCs w:val="28"/>
          <w:lang w:eastAsia="en-AU"/>
        </w:rPr>
        <w:tab/>
      </w:r>
      <w:r>
        <w:rPr>
          <w:bCs/>
          <w:sz w:val="28"/>
          <w:szCs w:val="28"/>
          <w:lang w:eastAsia="en-AU"/>
        </w:rPr>
        <w:tab/>
      </w:r>
      <w:r>
        <w:rPr>
          <w:b/>
          <w:bCs/>
          <w:i/>
          <w:lang w:eastAsia="en-AU"/>
        </w:rPr>
        <w:t xml:space="preserve">Guidelines </w:t>
      </w:r>
      <w:r>
        <w:rPr>
          <w:bCs/>
          <w:lang w:eastAsia="en-AU"/>
        </w:rPr>
        <w:t>means the Overseas Debtors Repayment Guidelines 2017.</w:t>
      </w:r>
    </w:p>
    <w:p w:rsidR="000B64A8" w:rsidRDefault="000B64A8" w:rsidP="00136C5D">
      <w:pPr>
        <w:tabs>
          <w:tab w:val="left" w:pos="540"/>
        </w:tabs>
        <w:spacing w:after="0"/>
        <w:ind w:left="540" w:hanging="540"/>
        <w:rPr>
          <w:bCs/>
          <w:sz w:val="28"/>
          <w:szCs w:val="28"/>
          <w:lang w:eastAsia="en-AU"/>
        </w:rPr>
      </w:pPr>
    </w:p>
    <w:p w:rsidR="000B64A8" w:rsidRPr="001945EC" w:rsidRDefault="000B64A8" w:rsidP="001945EC">
      <w:pPr>
        <w:tabs>
          <w:tab w:val="left" w:pos="540"/>
        </w:tabs>
        <w:spacing w:after="0"/>
        <w:ind w:left="720" w:hanging="540"/>
        <w:rPr>
          <w:bCs/>
          <w:lang w:eastAsia="en-AU"/>
        </w:rPr>
      </w:pPr>
      <w:r>
        <w:rPr>
          <w:bCs/>
          <w:sz w:val="28"/>
          <w:szCs w:val="28"/>
          <w:lang w:eastAsia="en-AU"/>
        </w:rPr>
        <w:t xml:space="preserve"> </w:t>
      </w:r>
      <w:r>
        <w:rPr>
          <w:bCs/>
          <w:sz w:val="28"/>
          <w:szCs w:val="28"/>
          <w:lang w:eastAsia="en-AU"/>
        </w:rPr>
        <w:tab/>
      </w:r>
      <w:r>
        <w:rPr>
          <w:bCs/>
          <w:sz w:val="28"/>
          <w:szCs w:val="28"/>
          <w:lang w:eastAsia="en-AU"/>
        </w:rPr>
        <w:tab/>
      </w:r>
      <w:r>
        <w:rPr>
          <w:b/>
          <w:bCs/>
          <w:i/>
          <w:lang w:eastAsia="en-AU"/>
        </w:rPr>
        <w:t xml:space="preserve">ATO </w:t>
      </w:r>
      <w:r w:rsidR="00A77825">
        <w:rPr>
          <w:b/>
          <w:bCs/>
          <w:i/>
          <w:lang w:eastAsia="en-AU"/>
        </w:rPr>
        <w:t>Occupation Code</w:t>
      </w:r>
      <w:r>
        <w:rPr>
          <w:b/>
          <w:bCs/>
          <w:i/>
          <w:lang w:eastAsia="en-AU"/>
        </w:rPr>
        <w:t xml:space="preserve"> </w:t>
      </w:r>
      <w:r>
        <w:rPr>
          <w:bCs/>
          <w:lang w:eastAsia="en-AU"/>
        </w:rPr>
        <w:t>means the Australian Taxation Office’s</w:t>
      </w:r>
      <w:r w:rsidR="00FB4498">
        <w:rPr>
          <w:bCs/>
          <w:lang w:eastAsia="en-AU"/>
        </w:rPr>
        <w:t xml:space="preserve"> publication</w:t>
      </w:r>
      <w:r>
        <w:rPr>
          <w:bCs/>
          <w:lang w:eastAsia="en-AU"/>
        </w:rPr>
        <w:t xml:space="preserve"> </w:t>
      </w:r>
      <w:r>
        <w:rPr>
          <w:bCs/>
          <w:i/>
          <w:lang w:eastAsia="en-AU"/>
        </w:rPr>
        <w:t xml:space="preserve">Salary and wage occupation codes </w:t>
      </w:r>
      <w:r w:rsidR="00690580">
        <w:rPr>
          <w:bCs/>
          <w:i/>
          <w:lang w:eastAsia="en-AU"/>
        </w:rPr>
        <w:t>2017</w:t>
      </w:r>
      <w:r w:rsidR="00690580">
        <w:rPr>
          <w:bCs/>
          <w:lang w:eastAsia="en-AU"/>
        </w:rPr>
        <w:t xml:space="preserve"> </w:t>
      </w:r>
      <w:r>
        <w:rPr>
          <w:bCs/>
          <w:lang w:eastAsia="en-AU"/>
        </w:rPr>
        <w:t>published</w:t>
      </w:r>
      <w:r w:rsidR="001A6CF8">
        <w:rPr>
          <w:bCs/>
          <w:lang w:eastAsia="en-AU"/>
        </w:rPr>
        <w:t xml:space="preserve"> in</w:t>
      </w:r>
      <w:r>
        <w:rPr>
          <w:bCs/>
          <w:lang w:eastAsia="en-AU"/>
        </w:rPr>
        <w:t xml:space="preserve"> June </w:t>
      </w:r>
      <w:r w:rsidR="00690580">
        <w:rPr>
          <w:bCs/>
          <w:lang w:eastAsia="en-AU"/>
        </w:rPr>
        <w:t>2017</w:t>
      </w:r>
      <w:r>
        <w:rPr>
          <w:bCs/>
          <w:lang w:eastAsia="en-AU"/>
        </w:rPr>
        <w:t xml:space="preserve">. </w:t>
      </w:r>
    </w:p>
    <w:p w:rsidR="000B64A8" w:rsidRDefault="000B64A8" w:rsidP="00136C5D">
      <w:pPr>
        <w:tabs>
          <w:tab w:val="left" w:pos="540"/>
        </w:tabs>
        <w:spacing w:after="0"/>
        <w:ind w:left="540" w:hanging="540"/>
        <w:rPr>
          <w:b/>
          <w:bCs/>
          <w:sz w:val="28"/>
          <w:szCs w:val="28"/>
          <w:lang w:eastAsia="en-AU"/>
        </w:rPr>
      </w:pPr>
    </w:p>
    <w:p w:rsidR="00136C5D" w:rsidRPr="005A44B3" w:rsidRDefault="000B64A8" w:rsidP="00136C5D">
      <w:pPr>
        <w:tabs>
          <w:tab w:val="left" w:pos="540"/>
        </w:tabs>
        <w:spacing w:after="0"/>
        <w:ind w:left="540" w:hanging="540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 xml:space="preserve">5 </w:t>
      </w:r>
      <w:r>
        <w:rPr>
          <w:b/>
          <w:bCs/>
          <w:sz w:val="28"/>
          <w:szCs w:val="28"/>
          <w:lang w:eastAsia="en-AU"/>
        </w:rPr>
        <w:tab/>
      </w:r>
      <w:r w:rsidR="00136C5D">
        <w:rPr>
          <w:b/>
          <w:bCs/>
          <w:sz w:val="28"/>
          <w:szCs w:val="28"/>
          <w:lang w:eastAsia="en-AU"/>
        </w:rPr>
        <w:t>Occupati</w:t>
      </w:r>
      <w:r w:rsidR="001F075B">
        <w:rPr>
          <w:b/>
          <w:bCs/>
          <w:sz w:val="28"/>
          <w:szCs w:val="28"/>
          <w:lang w:eastAsia="en-AU"/>
        </w:rPr>
        <w:t xml:space="preserve">ons as specified under </w:t>
      </w:r>
      <w:r w:rsidR="001A6CF8">
        <w:rPr>
          <w:b/>
          <w:bCs/>
          <w:sz w:val="28"/>
          <w:szCs w:val="28"/>
          <w:lang w:eastAsia="en-AU"/>
        </w:rPr>
        <w:t>sub</w:t>
      </w:r>
      <w:r w:rsidR="001F075B">
        <w:rPr>
          <w:b/>
          <w:bCs/>
          <w:sz w:val="28"/>
          <w:szCs w:val="28"/>
          <w:lang w:eastAsia="en-AU"/>
        </w:rPr>
        <w:t>section 7(2)</w:t>
      </w:r>
      <w:r w:rsidR="00136C5D">
        <w:rPr>
          <w:b/>
          <w:bCs/>
          <w:sz w:val="28"/>
          <w:szCs w:val="28"/>
          <w:lang w:eastAsia="en-AU"/>
        </w:rPr>
        <w:t xml:space="preserve"> of the Guidelines</w:t>
      </w:r>
    </w:p>
    <w:p w:rsidR="00136C5D" w:rsidRPr="005A44B3" w:rsidRDefault="00136C5D" w:rsidP="00136C5D">
      <w:pPr>
        <w:tabs>
          <w:tab w:val="left" w:pos="540"/>
        </w:tabs>
        <w:spacing w:after="0"/>
        <w:ind w:left="540" w:hanging="540"/>
        <w:rPr>
          <w:b/>
          <w:bCs/>
          <w:lang w:eastAsia="en-AU"/>
        </w:rPr>
      </w:pPr>
    </w:p>
    <w:p w:rsidR="00136C5D" w:rsidRDefault="00136C5D" w:rsidP="0029313A">
      <w:pPr>
        <w:tabs>
          <w:tab w:val="left" w:pos="540"/>
        </w:tabs>
        <w:spacing w:after="120"/>
        <w:ind w:left="540" w:hanging="540"/>
        <w:rPr>
          <w:bCs/>
          <w:lang w:eastAsia="en-AU"/>
        </w:rPr>
      </w:pPr>
      <w:r w:rsidRPr="005A44B3">
        <w:rPr>
          <w:b/>
          <w:bCs/>
          <w:sz w:val="28"/>
          <w:szCs w:val="28"/>
          <w:lang w:eastAsia="en-AU"/>
        </w:rPr>
        <w:tab/>
      </w:r>
      <w:r w:rsidRPr="005A44B3">
        <w:rPr>
          <w:bCs/>
          <w:lang w:eastAsia="en-AU"/>
        </w:rPr>
        <w:t xml:space="preserve">Pursuant to </w:t>
      </w:r>
      <w:r w:rsidRPr="00D50482">
        <w:rPr>
          <w:bCs/>
          <w:lang w:eastAsia="en-AU"/>
        </w:rPr>
        <w:t xml:space="preserve">subsection </w:t>
      </w:r>
      <w:r w:rsidR="00D50482" w:rsidRPr="00D50482">
        <w:rPr>
          <w:lang w:eastAsia="en-AU"/>
        </w:rPr>
        <w:t xml:space="preserve">154-17(2) </w:t>
      </w:r>
      <w:r w:rsidRPr="00D50482">
        <w:rPr>
          <w:bCs/>
          <w:lang w:eastAsia="en-AU"/>
        </w:rPr>
        <w:t>of the Act</w:t>
      </w:r>
      <w:r w:rsidR="00327929" w:rsidRPr="00D50482">
        <w:rPr>
          <w:bCs/>
          <w:lang w:eastAsia="en-AU"/>
        </w:rPr>
        <w:t xml:space="preserve"> and </w:t>
      </w:r>
      <w:r w:rsidR="001A6CF8">
        <w:rPr>
          <w:bCs/>
          <w:lang w:eastAsia="en-AU"/>
        </w:rPr>
        <w:t>sub</w:t>
      </w:r>
      <w:r w:rsidR="00DE77B3">
        <w:rPr>
          <w:lang w:eastAsia="en-AU"/>
        </w:rPr>
        <w:t xml:space="preserve">section 7(2) </w:t>
      </w:r>
      <w:r w:rsidR="00327929" w:rsidRPr="00DE77B3">
        <w:rPr>
          <w:bCs/>
          <w:lang w:eastAsia="en-AU"/>
        </w:rPr>
        <w:t>of the Guidelines</w:t>
      </w:r>
      <w:r w:rsidRPr="00DE77B3">
        <w:rPr>
          <w:bCs/>
          <w:lang w:eastAsia="en-AU"/>
        </w:rPr>
        <w:t>,</w:t>
      </w:r>
      <w:r>
        <w:rPr>
          <w:bCs/>
          <w:lang w:eastAsia="en-AU"/>
        </w:rPr>
        <w:t xml:space="preserve"> occupations are defined as the </w:t>
      </w:r>
      <w:r w:rsidR="001A6CF8">
        <w:rPr>
          <w:bCs/>
          <w:lang w:eastAsia="en-AU"/>
        </w:rPr>
        <w:t>occupations listed in the</w:t>
      </w:r>
      <w:r w:rsidR="00A77825">
        <w:rPr>
          <w:bCs/>
          <w:lang w:eastAsia="en-AU"/>
        </w:rPr>
        <w:t xml:space="preserve"> ATO Occupation Code </w:t>
      </w:r>
      <w:r w:rsidR="001A6CF8">
        <w:rPr>
          <w:bCs/>
          <w:lang w:eastAsia="en-AU"/>
        </w:rPr>
        <w:t>as</w:t>
      </w:r>
      <w:r>
        <w:rPr>
          <w:bCs/>
          <w:lang w:eastAsia="en-AU"/>
        </w:rPr>
        <w:t xml:space="preserve"> in force on the date of </w:t>
      </w:r>
      <w:r w:rsidR="000B64A8">
        <w:rPr>
          <w:bCs/>
          <w:lang w:eastAsia="en-AU"/>
        </w:rPr>
        <w:t>commencement</w:t>
      </w:r>
      <w:r w:rsidR="001A6CF8">
        <w:rPr>
          <w:bCs/>
          <w:lang w:eastAsia="en-AU"/>
        </w:rPr>
        <w:t xml:space="preserve">. </w:t>
      </w:r>
    </w:p>
    <w:p w:rsidR="0029313A" w:rsidRDefault="0029313A" w:rsidP="001945EC">
      <w:pPr>
        <w:tabs>
          <w:tab w:val="left" w:pos="540"/>
        </w:tabs>
        <w:spacing w:after="120"/>
        <w:ind w:left="540" w:hanging="540"/>
        <w:rPr>
          <w:bCs/>
          <w:lang w:eastAsia="en-AU"/>
        </w:rPr>
      </w:pPr>
    </w:p>
    <w:p w:rsidR="00136C5D" w:rsidRPr="005A44B3" w:rsidRDefault="000B64A8" w:rsidP="00136C5D">
      <w:pPr>
        <w:tabs>
          <w:tab w:val="left" w:pos="540"/>
        </w:tabs>
        <w:spacing w:after="0"/>
        <w:ind w:left="540" w:hanging="540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>6</w:t>
      </w:r>
      <w:r w:rsidR="00136C5D" w:rsidRPr="005A44B3">
        <w:rPr>
          <w:b/>
          <w:bCs/>
          <w:sz w:val="28"/>
          <w:szCs w:val="28"/>
          <w:lang w:eastAsia="en-AU"/>
        </w:rPr>
        <w:tab/>
      </w:r>
      <w:r w:rsidR="00136C5D">
        <w:rPr>
          <w:b/>
          <w:bCs/>
          <w:sz w:val="28"/>
          <w:szCs w:val="28"/>
          <w:lang w:eastAsia="en-AU"/>
        </w:rPr>
        <w:t>Method for working out a person’s occupation st</w:t>
      </w:r>
      <w:r w:rsidR="001F075B">
        <w:rPr>
          <w:b/>
          <w:bCs/>
          <w:sz w:val="28"/>
          <w:szCs w:val="28"/>
          <w:lang w:eastAsia="en-AU"/>
        </w:rPr>
        <w:t xml:space="preserve">andard deduction under </w:t>
      </w:r>
      <w:r w:rsidR="001A6CF8">
        <w:rPr>
          <w:b/>
          <w:bCs/>
          <w:sz w:val="28"/>
          <w:szCs w:val="28"/>
          <w:lang w:eastAsia="en-AU"/>
        </w:rPr>
        <w:t>sub</w:t>
      </w:r>
      <w:r w:rsidR="001F075B">
        <w:rPr>
          <w:b/>
          <w:bCs/>
          <w:sz w:val="28"/>
          <w:szCs w:val="28"/>
          <w:lang w:eastAsia="en-AU"/>
        </w:rPr>
        <w:t>section 7(2)</w:t>
      </w:r>
      <w:r w:rsidR="00136C5D">
        <w:rPr>
          <w:b/>
          <w:bCs/>
          <w:sz w:val="28"/>
          <w:szCs w:val="28"/>
          <w:lang w:eastAsia="en-AU"/>
        </w:rPr>
        <w:t xml:space="preserve"> of the Guidelines</w:t>
      </w:r>
    </w:p>
    <w:p w:rsidR="00136C5D" w:rsidRPr="005A44B3" w:rsidRDefault="00136C5D" w:rsidP="00136C5D">
      <w:pPr>
        <w:tabs>
          <w:tab w:val="left" w:pos="540"/>
        </w:tabs>
        <w:spacing w:after="0"/>
        <w:ind w:left="540" w:hanging="540"/>
        <w:rPr>
          <w:b/>
          <w:bCs/>
          <w:lang w:eastAsia="en-AU"/>
        </w:rPr>
      </w:pPr>
    </w:p>
    <w:p w:rsidR="00E652F8" w:rsidRDefault="00327929" w:rsidP="001945EC">
      <w:pPr>
        <w:pStyle w:val="ListParagraph"/>
        <w:numPr>
          <w:ilvl w:val="0"/>
          <w:numId w:val="6"/>
        </w:numPr>
        <w:tabs>
          <w:tab w:val="left" w:pos="540"/>
        </w:tabs>
        <w:spacing w:after="120"/>
        <w:rPr>
          <w:bCs/>
          <w:lang w:eastAsia="en-AU"/>
        </w:rPr>
      </w:pPr>
      <w:r w:rsidRPr="00850E16">
        <w:rPr>
          <w:bCs/>
          <w:lang w:eastAsia="en-AU"/>
        </w:rPr>
        <w:t xml:space="preserve">The calculation for the standard deduction for the person is worked out using data collected by the Australian Taxation Office. The standard deduction rate is the median ratio of work-related expenses to </w:t>
      </w:r>
      <w:r w:rsidR="00013435" w:rsidRPr="00850E16">
        <w:rPr>
          <w:bCs/>
          <w:lang w:eastAsia="en-AU"/>
        </w:rPr>
        <w:t>employment-</w:t>
      </w:r>
      <w:r w:rsidRPr="00850E16">
        <w:rPr>
          <w:bCs/>
          <w:lang w:eastAsia="en-AU"/>
        </w:rPr>
        <w:t xml:space="preserve">related income calculated </w:t>
      </w:r>
      <w:r w:rsidR="00AB415C">
        <w:rPr>
          <w:bCs/>
          <w:lang w:eastAsia="en-AU"/>
        </w:rPr>
        <w:t xml:space="preserve">by the Australian Taxation Office </w:t>
      </w:r>
      <w:r w:rsidRPr="00850E16">
        <w:rPr>
          <w:bCs/>
          <w:lang w:eastAsia="en-AU"/>
        </w:rPr>
        <w:t xml:space="preserve">for </w:t>
      </w:r>
      <w:r w:rsidR="002F12B4">
        <w:rPr>
          <w:bCs/>
          <w:lang w:eastAsia="en-AU"/>
        </w:rPr>
        <w:t>the occupation code selected from</w:t>
      </w:r>
      <w:r w:rsidR="000330B7" w:rsidRPr="00850E16">
        <w:rPr>
          <w:bCs/>
          <w:lang w:eastAsia="en-AU"/>
        </w:rPr>
        <w:t xml:space="preserve"> the ATO Occupation Code</w:t>
      </w:r>
      <w:r w:rsidRPr="00850E16">
        <w:rPr>
          <w:bCs/>
          <w:lang w:eastAsia="en-AU"/>
        </w:rPr>
        <w:t xml:space="preserve">. Once the person chooses the most appropriate occupation </w:t>
      </w:r>
      <w:r w:rsidR="00FF65D4" w:rsidRPr="00850E16">
        <w:rPr>
          <w:bCs/>
          <w:lang w:eastAsia="en-AU"/>
        </w:rPr>
        <w:t>listed</w:t>
      </w:r>
      <w:r w:rsidR="00BE699B" w:rsidRPr="00850E16">
        <w:rPr>
          <w:bCs/>
          <w:lang w:eastAsia="en-AU"/>
        </w:rPr>
        <w:t xml:space="preserve"> </w:t>
      </w:r>
      <w:r w:rsidR="00FF65D4" w:rsidRPr="00850E16">
        <w:rPr>
          <w:bCs/>
          <w:lang w:eastAsia="en-AU"/>
        </w:rPr>
        <w:t xml:space="preserve">in the </w:t>
      </w:r>
      <w:r w:rsidR="000330B7" w:rsidRPr="00850E16">
        <w:rPr>
          <w:bCs/>
          <w:lang w:eastAsia="en-AU"/>
        </w:rPr>
        <w:t>ATO Occupation Code</w:t>
      </w:r>
      <w:r w:rsidR="00132707" w:rsidRPr="00850E16">
        <w:rPr>
          <w:bCs/>
          <w:lang w:eastAsia="en-AU"/>
        </w:rPr>
        <w:t>,</w:t>
      </w:r>
      <w:r w:rsidR="000330B7" w:rsidRPr="00850E16">
        <w:rPr>
          <w:bCs/>
          <w:lang w:eastAsia="en-AU"/>
        </w:rPr>
        <w:t xml:space="preserve"> </w:t>
      </w:r>
      <w:r w:rsidRPr="00850E16">
        <w:rPr>
          <w:bCs/>
          <w:lang w:eastAsia="en-AU"/>
        </w:rPr>
        <w:t>the standard deduction rate is then applied against the gross income of the person.</w:t>
      </w:r>
    </w:p>
    <w:p w:rsidR="00850E16" w:rsidRPr="00850E16" w:rsidRDefault="00850E16" w:rsidP="001945EC">
      <w:pPr>
        <w:pStyle w:val="ListParagraph"/>
        <w:tabs>
          <w:tab w:val="left" w:pos="540"/>
        </w:tabs>
        <w:spacing w:after="120"/>
        <w:ind w:left="900"/>
        <w:rPr>
          <w:bCs/>
          <w:lang w:eastAsia="en-AU"/>
        </w:rPr>
      </w:pPr>
    </w:p>
    <w:p w:rsidR="00327929" w:rsidRPr="00850E16" w:rsidRDefault="00327929" w:rsidP="001945EC">
      <w:pPr>
        <w:pStyle w:val="ListParagraph"/>
        <w:numPr>
          <w:ilvl w:val="0"/>
          <w:numId w:val="6"/>
        </w:numPr>
        <w:tabs>
          <w:tab w:val="left" w:pos="540"/>
        </w:tabs>
        <w:spacing w:after="120"/>
        <w:rPr>
          <w:b/>
        </w:rPr>
      </w:pPr>
      <w:r w:rsidRPr="00850E16">
        <w:rPr>
          <w:bCs/>
          <w:lang w:eastAsia="en-AU"/>
        </w:rPr>
        <w:t xml:space="preserve">If the person’s occupation is not </w:t>
      </w:r>
      <w:r w:rsidR="00BE699B" w:rsidRPr="00850E16">
        <w:rPr>
          <w:bCs/>
          <w:lang w:eastAsia="en-AU"/>
        </w:rPr>
        <w:t xml:space="preserve">listed </w:t>
      </w:r>
      <w:r w:rsidRPr="00850E16">
        <w:rPr>
          <w:bCs/>
          <w:lang w:eastAsia="en-AU"/>
        </w:rPr>
        <w:t xml:space="preserve">in the </w:t>
      </w:r>
      <w:r w:rsidR="00A77825" w:rsidRPr="00850E16">
        <w:rPr>
          <w:bCs/>
          <w:lang w:eastAsia="en-AU"/>
        </w:rPr>
        <w:t>ATO Occupation Code</w:t>
      </w:r>
      <w:r w:rsidRPr="00850E16">
        <w:rPr>
          <w:bCs/>
          <w:lang w:eastAsia="en-AU"/>
        </w:rPr>
        <w:t xml:space="preserve">, </w:t>
      </w:r>
      <w:r w:rsidR="000330B7" w:rsidRPr="00850E16">
        <w:rPr>
          <w:bCs/>
          <w:lang w:eastAsia="en-AU"/>
        </w:rPr>
        <w:t xml:space="preserve">the person </w:t>
      </w:r>
      <w:r w:rsidRPr="00850E16">
        <w:rPr>
          <w:bCs/>
          <w:lang w:eastAsia="en-AU"/>
        </w:rPr>
        <w:t xml:space="preserve">may </w:t>
      </w:r>
      <w:r w:rsidR="00013435" w:rsidRPr="00850E16">
        <w:rPr>
          <w:bCs/>
          <w:lang w:eastAsia="en-AU"/>
        </w:rPr>
        <w:t xml:space="preserve">use a different method of assessing their </w:t>
      </w:r>
      <w:r w:rsidR="000330B7" w:rsidRPr="00850E16">
        <w:rPr>
          <w:bCs/>
          <w:lang w:eastAsia="en-AU"/>
        </w:rPr>
        <w:t xml:space="preserve">foreign-sourced </w:t>
      </w:r>
      <w:r w:rsidR="00013435" w:rsidRPr="00850E16">
        <w:rPr>
          <w:bCs/>
          <w:lang w:eastAsia="en-AU"/>
        </w:rPr>
        <w:t>income</w:t>
      </w:r>
      <w:r w:rsidR="000330B7" w:rsidRPr="00850E16">
        <w:rPr>
          <w:bCs/>
          <w:lang w:eastAsia="en-AU"/>
        </w:rPr>
        <w:t xml:space="preserve"> </w:t>
      </w:r>
      <w:r w:rsidR="00FB4498">
        <w:rPr>
          <w:bCs/>
          <w:lang w:eastAsia="en-AU"/>
        </w:rPr>
        <w:t>(</w:t>
      </w:r>
      <w:r w:rsidR="000330B7" w:rsidRPr="00850E16">
        <w:rPr>
          <w:bCs/>
          <w:lang w:eastAsia="en-AU"/>
        </w:rPr>
        <w:t>as specified in paragraphs 6(1</w:t>
      </w:r>
      <w:proofErr w:type="gramStart"/>
      <w:r w:rsidR="000330B7" w:rsidRPr="00850E16">
        <w:rPr>
          <w:bCs/>
          <w:lang w:eastAsia="en-AU"/>
        </w:rPr>
        <w:t>)(</w:t>
      </w:r>
      <w:proofErr w:type="gramEnd"/>
      <w:r w:rsidR="000330B7" w:rsidRPr="00850E16">
        <w:rPr>
          <w:bCs/>
          <w:lang w:eastAsia="en-AU"/>
        </w:rPr>
        <w:t xml:space="preserve">b) </w:t>
      </w:r>
      <w:r w:rsidR="00BE699B" w:rsidRPr="00850E16">
        <w:rPr>
          <w:bCs/>
          <w:lang w:eastAsia="en-AU"/>
        </w:rPr>
        <w:t>and</w:t>
      </w:r>
      <w:r w:rsidR="000330B7" w:rsidRPr="00850E16">
        <w:rPr>
          <w:bCs/>
          <w:lang w:eastAsia="en-AU"/>
        </w:rPr>
        <w:t xml:space="preserve"> (c) of the Guidelines</w:t>
      </w:r>
      <w:r w:rsidR="00FB4498">
        <w:rPr>
          <w:bCs/>
          <w:lang w:eastAsia="en-AU"/>
        </w:rPr>
        <w:t>)</w:t>
      </w:r>
      <w:r w:rsidR="000330B7" w:rsidRPr="00850E16">
        <w:rPr>
          <w:bCs/>
          <w:lang w:eastAsia="en-AU"/>
        </w:rPr>
        <w:t xml:space="preserve"> </w:t>
      </w:r>
      <w:r w:rsidR="00013435" w:rsidRPr="00850E16">
        <w:rPr>
          <w:bCs/>
          <w:lang w:eastAsia="en-AU"/>
        </w:rPr>
        <w:t xml:space="preserve">or </w:t>
      </w:r>
      <w:r w:rsidRPr="00850E16">
        <w:rPr>
          <w:bCs/>
          <w:lang w:eastAsia="en-AU"/>
        </w:rPr>
        <w:t xml:space="preserve">select ‘Occupation not listed’. </w:t>
      </w:r>
      <w:r w:rsidR="000330B7" w:rsidRPr="00850E16">
        <w:rPr>
          <w:bCs/>
          <w:lang w:eastAsia="en-AU"/>
        </w:rPr>
        <w:t>If the person selects ‘Occupation not listed’, t</w:t>
      </w:r>
      <w:r w:rsidRPr="00850E16">
        <w:rPr>
          <w:bCs/>
          <w:lang w:eastAsia="en-AU"/>
        </w:rPr>
        <w:t xml:space="preserve">his will provide a standard deduction rate of </w:t>
      </w:r>
      <w:r w:rsidR="000330B7" w:rsidRPr="00850E16">
        <w:rPr>
          <w:bCs/>
          <w:lang w:eastAsia="en-AU"/>
        </w:rPr>
        <w:t>zero per cent.</w:t>
      </w:r>
    </w:p>
    <w:sectPr w:rsidR="00327929" w:rsidRPr="00850E16" w:rsidSect="007E4A14">
      <w:headerReference w:type="default" r:id="rId13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C6" w:rsidRDefault="0029313A">
      <w:pPr>
        <w:spacing w:after="0"/>
      </w:pPr>
      <w:r>
        <w:separator/>
      </w:r>
    </w:p>
  </w:endnote>
  <w:endnote w:type="continuationSeparator" w:id="0">
    <w:p w:rsidR="009565C6" w:rsidRDefault="00293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C6" w:rsidRDefault="0029313A">
      <w:pPr>
        <w:spacing w:after="0"/>
      </w:pPr>
      <w:r>
        <w:separator/>
      </w:r>
    </w:p>
  </w:footnote>
  <w:footnote w:type="continuationSeparator" w:id="0">
    <w:p w:rsidR="009565C6" w:rsidRDefault="002931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12" w:rsidRDefault="00C67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75E"/>
    <w:multiLevelType w:val="multilevel"/>
    <w:tmpl w:val="BE3A48A8"/>
    <w:lvl w:ilvl="0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87C0C1A"/>
    <w:multiLevelType w:val="multilevel"/>
    <w:tmpl w:val="BE3A48A8"/>
    <w:lvl w:ilvl="0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51476BF"/>
    <w:multiLevelType w:val="hybridMultilevel"/>
    <w:tmpl w:val="47866EAE"/>
    <w:lvl w:ilvl="0" w:tplc="637E4470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6A65D3"/>
    <w:multiLevelType w:val="hybridMultilevel"/>
    <w:tmpl w:val="54EC6AAC"/>
    <w:lvl w:ilvl="0" w:tplc="92AAFFB2">
      <w:start w:val="1"/>
      <w:numFmt w:val="lowerLetter"/>
      <w:lvlText w:val="(%1)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1" w:tplc="FCB0A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C251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E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445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E40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DA5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1AD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9571C"/>
    <w:multiLevelType w:val="multilevel"/>
    <w:tmpl w:val="BE3A48A8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7C935CD"/>
    <w:multiLevelType w:val="hybridMultilevel"/>
    <w:tmpl w:val="54EC6AAC"/>
    <w:lvl w:ilvl="0" w:tplc="92AAFFB2">
      <w:start w:val="1"/>
      <w:numFmt w:val="lowerLetter"/>
      <w:lvlText w:val="(%1)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1" w:tplc="FCB0A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C251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E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445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E40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DA5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1AD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D"/>
    <w:rsid w:val="00013435"/>
    <w:rsid w:val="000330B7"/>
    <w:rsid w:val="000B64A8"/>
    <w:rsid w:val="000C41DA"/>
    <w:rsid w:val="00132707"/>
    <w:rsid w:val="00136C5D"/>
    <w:rsid w:val="001945EC"/>
    <w:rsid w:val="001A2F8A"/>
    <w:rsid w:val="001A6CF8"/>
    <w:rsid w:val="001C3E9A"/>
    <w:rsid w:val="001F075B"/>
    <w:rsid w:val="0021349C"/>
    <w:rsid w:val="0022647B"/>
    <w:rsid w:val="0029313A"/>
    <w:rsid w:val="002F12B4"/>
    <w:rsid w:val="00304A2E"/>
    <w:rsid w:val="00327929"/>
    <w:rsid w:val="0036230A"/>
    <w:rsid w:val="00382FF3"/>
    <w:rsid w:val="004A1E72"/>
    <w:rsid w:val="004B5C24"/>
    <w:rsid w:val="004C3708"/>
    <w:rsid w:val="004F5093"/>
    <w:rsid w:val="00510EA3"/>
    <w:rsid w:val="00516B3A"/>
    <w:rsid w:val="00580348"/>
    <w:rsid w:val="006777C5"/>
    <w:rsid w:val="00690580"/>
    <w:rsid w:val="006F7184"/>
    <w:rsid w:val="007377BD"/>
    <w:rsid w:val="00850E16"/>
    <w:rsid w:val="008879B3"/>
    <w:rsid w:val="009565C6"/>
    <w:rsid w:val="00977B44"/>
    <w:rsid w:val="009A4A9B"/>
    <w:rsid w:val="009A77A2"/>
    <w:rsid w:val="009E666F"/>
    <w:rsid w:val="00A10DD4"/>
    <w:rsid w:val="00A16216"/>
    <w:rsid w:val="00A77825"/>
    <w:rsid w:val="00AB415C"/>
    <w:rsid w:val="00B61243"/>
    <w:rsid w:val="00B625E9"/>
    <w:rsid w:val="00B67D80"/>
    <w:rsid w:val="00BE699B"/>
    <w:rsid w:val="00C04317"/>
    <w:rsid w:val="00C6701A"/>
    <w:rsid w:val="00CB16B2"/>
    <w:rsid w:val="00CC4F12"/>
    <w:rsid w:val="00D50482"/>
    <w:rsid w:val="00DE77B3"/>
    <w:rsid w:val="00E652F8"/>
    <w:rsid w:val="00EA2AD2"/>
    <w:rsid w:val="00FB4498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C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6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C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C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4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4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2F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8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T">
    <w:name w:val="ShortT"/>
    <w:basedOn w:val="Normal"/>
    <w:next w:val="Normal"/>
    <w:qFormat/>
    <w:rsid w:val="0021349C"/>
    <w:pPr>
      <w:spacing w:after="0"/>
    </w:pPr>
    <w:rPr>
      <w:b/>
      <w:sz w:val="4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5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C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6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C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C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4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4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2F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8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T">
    <w:name w:val="ShortT"/>
    <w:basedOn w:val="Normal"/>
    <w:next w:val="Normal"/>
    <w:qFormat/>
    <w:rsid w:val="0021349C"/>
    <w:pPr>
      <w:spacing w:after="0"/>
    </w:pPr>
    <w:rPr>
      <w:b/>
      <w:sz w:val="4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5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6D327892FFF7A6489F9C80ABC8C6B802" ma:contentTypeVersion="" ma:contentTypeDescription="PDMS Documentation Content Type" ma:contentTypeScope="" ma:versionID="d692d78677a84b352469d2be505ff581">
  <xsd:schema xmlns:xsd="http://www.w3.org/2001/XMLSchema" xmlns:xs="http://www.w3.org/2001/XMLSchema" xmlns:p="http://schemas.microsoft.com/office/2006/metadata/properties" xmlns:ns2="2E75E2CB-45DD-472B-9924-34F746809102" targetNamespace="http://schemas.microsoft.com/office/2006/metadata/properties" ma:root="true" ma:fieldsID="e780e1c7a90e9c3d4c3f740b6f408fd0" ns2:_="">
    <xsd:import namespace="2E75E2CB-45DD-472B-9924-34F74680910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E2CB-45DD-472B-9924-34F74680910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AttachedBy xmlns="2E75E2CB-45DD-472B-9924-34F746809102" xsi:nil="true"/>
    <pdms_DocumentType xmlns="2E75E2CB-45DD-472B-9924-34F746809102" xsi:nil="true"/>
    <pdms_Reason xmlns="2E75E2CB-45DD-472B-9924-34F746809102" xsi:nil="true"/>
    <SecurityClassification xmlns="2E75E2CB-45DD-472B-9924-34F746809102" xsi:nil="true"/>
    <pdms_SecurityClassification xmlns="2E75E2CB-45DD-472B-9924-34F7468091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CB65-4A1C-474F-8081-47A6922B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E2CB-45DD-472B-9924-34F746809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B9782-9511-44B0-AA3A-8B35CAD201EB}">
  <ds:schemaRefs>
    <ds:schemaRef ds:uri="2E75E2CB-45DD-472B-9924-34F746809102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D5000B-AAA3-4EE6-9791-7AC943D2D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7338B-3D09-4A15-833D-B73746B0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82D108F6.dotm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Brooks</dc:creator>
  <cp:lastModifiedBy>Joy Mulquiney</cp:lastModifiedBy>
  <cp:revision>4</cp:revision>
  <dcterms:created xsi:type="dcterms:W3CDTF">2017-06-27T01:13:00Z</dcterms:created>
  <dcterms:modified xsi:type="dcterms:W3CDTF">2017-06-27T01:21:00Z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0x010100266966F133664895A6EE3632470D45F501006D327892FFF7A6489F9C80ABC8C6B802</vt:lpwstr>
  </property>
</Properties>
</file>