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B7CD2" w:rsidRDefault="00193461" w:rsidP="0020300C">
      <w:pPr>
        <w:rPr>
          <w:sz w:val="28"/>
        </w:rPr>
      </w:pPr>
      <w:r w:rsidRPr="003B7CD2">
        <w:rPr>
          <w:noProof/>
          <w:lang w:eastAsia="en-AU"/>
        </w:rPr>
        <w:drawing>
          <wp:inline distT="0" distB="0" distL="0" distR="0" wp14:anchorId="7E3B52C0" wp14:editId="44E2969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B7CD2" w:rsidRDefault="0048364F" w:rsidP="0048364F">
      <w:pPr>
        <w:rPr>
          <w:sz w:val="19"/>
        </w:rPr>
      </w:pPr>
    </w:p>
    <w:p w:rsidR="0048364F" w:rsidRPr="003B7CD2" w:rsidRDefault="00AC7283" w:rsidP="0048364F">
      <w:pPr>
        <w:pStyle w:val="ShortT"/>
      </w:pPr>
      <w:r w:rsidRPr="003B7CD2">
        <w:t xml:space="preserve">Christmas Island Utilities and Services (Water, Sewerage and Building Application Services Fees) Amendment </w:t>
      </w:r>
      <w:r w:rsidR="008D4B86" w:rsidRPr="003B7CD2">
        <w:t>(</w:t>
      </w:r>
      <w:r w:rsidR="00721500" w:rsidRPr="003B7CD2">
        <w:t xml:space="preserve">2017 Measures </w:t>
      </w:r>
      <w:r w:rsidR="008D4B86" w:rsidRPr="003B7CD2">
        <w:t>No.</w:t>
      </w:r>
      <w:r w:rsidR="003B7CD2" w:rsidRPr="003B7CD2">
        <w:t> </w:t>
      </w:r>
      <w:r w:rsidR="008D4B86" w:rsidRPr="003B7CD2">
        <w:t xml:space="preserve">1) </w:t>
      </w:r>
      <w:r w:rsidRPr="003B7CD2">
        <w:t>Determination</w:t>
      </w:r>
      <w:r w:rsidR="003B7CD2" w:rsidRPr="003B7CD2">
        <w:t> </w:t>
      </w:r>
      <w:r w:rsidRPr="003B7CD2">
        <w:t>2017</w:t>
      </w:r>
    </w:p>
    <w:p w:rsidR="007B0AEC" w:rsidRPr="003B7CD2" w:rsidRDefault="007B0AEC" w:rsidP="00DB3754">
      <w:pPr>
        <w:pStyle w:val="SignCoverPageStart"/>
        <w:rPr>
          <w:szCs w:val="22"/>
        </w:rPr>
      </w:pPr>
      <w:r w:rsidRPr="003B7CD2">
        <w:rPr>
          <w:szCs w:val="22"/>
        </w:rPr>
        <w:t xml:space="preserve">I, Barry </w:t>
      </w:r>
      <w:proofErr w:type="spellStart"/>
      <w:r w:rsidRPr="003B7CD2">
        <w:rPr>
          <w:szCs w:val="22"/>
        </w:rPr>
        <w:t>Haase</w:t>
      </w:r>
      <w:proofErr w:type="spellEnd"/>
      <w:r w:rsidRPr="003B7CD2">
        <w:rPr>
          <w:szCs w:val="22"/>
        </w:rPr>
        <w:t>, Administrator of the Territory of Christmas Island, make the following determination.</w:t>
      </w:r>
    </w:p>
    <w:p w:rsidR="007B0AEC" w:rsidRPr="003B7CD2" w:rsidRDefault="007B0AEC" w:rsidP="00DB3754">
      <w:pPr>
        <w:keepNext/>
        <w:spacing w:before="300" w:line="240" w:lineRule="atLeast"/>
        <w:ind w:right="397"/>
        <w:jc w:val="both"/>
        <w:rPr>
          <w:szCs w:val="22"/>
        </w:rPr>
      </w:pPr>
      <w:r w:rsidRPr="003B7CD2">
        <w:rPr>
          <w:szCs w:val="22"/>
        </w:rPr>
        <w:t>Dated</w:t>
      </w:r>
      <w:r w:rsidRPr="003B7CD2">
        <w:rPr>
          <w:szCs w:val="22"/>
        </w:rPr>
        <w:tab/>
      </w:r>
      <w:bookmarkStart w:id="0" w:name="BKCheck15B_1"/>
      <w:bookmarkEnd w:id="0"/>
      <w:r w:rsidRPr="003B7CD2">
        <w:rPr>
          <w:szCs w:val="22"/>
        </w:rPr>
        <w:fldChar w:fldCharType="begin"/>
      </w:r>
      <w:r w:rsidRPr="003B7CD2">
        <w:rPr>
          <w:szCs w:val="22"/>
        </w:rPr>
        <w:instrText xml:space="preserve"> DOCPROPERTY  DateMade </w:instrText>
      </w:r>
      <w:r w:rsidRPr="003B7CD2">
        <w:rPr>
          <w:szCs w:val="22"/>
        </w:rPr>
        <w:fldChar w:fldCharType="separate"/>
      </w:r>
      <w:r w:rsidR="00485FEA">
        <w:rPr>
          <w:szCs w:val="22"/>
        </w:rPr>
        <w:t>22 June 2017</w:t>
      </w:r>
      <w:r w:rsidRPr="003B7CD2">
        <w:rPr>
          <w:szCs w:val="22"/>
        </w:rPr>
        <w:fldChar w:fldCharType="end"/>
      </w:r>
    </w:p>
    <w:p w:rsidR="007B0AEC" w:rsidRPr="003B7CD2" w:rsidRDefault="007B0AEC" w:rsidP="00DB375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B7CD2">
        <w:rPr>
          <w:szCs w:val="22"/>
        </w:rPr>
        <w:t xml:space="preserve">Barry </w:t>
      </w:r>
      <w:proofErr w:type="spellStart"/>
      <w:r w:rsidRPr="003B7CD2">
        <w:rPr>
          <w:szCs w:val="22"/>
        </w:rPr>
        <w:t>Haase</w:t>
      </w:r>
      <w:proofErr w:type="spellEnd"/>
    </w:p>
    <w:p w:rsidR="007B0AEC" w:rsidRPr="003B7CD2" w:rsidRDefault="007B0AEC" w:rsidP="00DB3754">
      <w:pPr>
        <w:pStyle w:val="SignCoverPageEnd"/>
        <w:rPr>
          <w:szCs w:val="22"/>
        </w:rPr>
      </w:pPr>
      <w:r w:rsidRPr="003B7CD2">
        <w:rPr>
          <w:szCs w:val="22"/>
        </w:rPr>
        <w:t>Administrator of the Territory of Christmas Island</w:t>
      </w:r>
    </w:p>
    <w:p w:rsidR="007B0AEC" w:rsidRPr="003B7CD2" w:rsidRDefault="007B0AEC" w:rsidP="00DB3754"/>
    <w:p w:rsidR="007B0AEC" w:rsidRPr="003B7CD2" w:rsidRDefault="007B0AEC" w:rsidP="007B0AEC"/>
    <w:p w:rsidR="0048364F" w:rsidRPr="003B7CD2" w:rsidRDefault="0048364F" w:rsidP="0048364F">
      <w:pPr>
        <w:pStyle w:val="Header"/>
        <w:tabs>
          <w:tab w:val="clear" w:pos="4150"/>
          <w:tab w:val="clear" w:pos="8307"/>
        </w:tabs>
      </w:pPr>
      <w:r w:rsidRPr="003B7CD2">
        <w:rPr>
          <w:rStyle w:val="CharAmSchNo"/>
        </w:rPr>
        <w:t xml:space="preserve"> </w:t>
      </w:r>
      <w:r w:rsidRPr="003B7CD2">
        <w:rPr>
          <w:rStyle w:val="CharAmSchText"/>
        </w:rPr>
        <w:t xml:space="preserve"> </w:t>
      </w:r>
    </w:p>
    <w:p w:rsidR="0048364F" w:rsidRPr="003B7CD2" w:rsidRDefault="0048364F" w:rsidP="0048364F">
      <w:pPr>
        <w:pStyle w:val="Header"/>
        <w:tabs>
          <w:tab w:val="clear" w:pos="4150"/>
          <w:tab w:val="clear" w:pos="8307"/>
        </w:tabs>
      </w:pPr>
      <w:r w:rsidRPr="003B7CD2">
        <w:rPr>
          <w:rStyle w:val="CharAmPartNo"/>
        </w:rPr>
        <w:t xml:space="preserve"> </w:t>
      </w:r>
      <w:r w:rsidRPr="003B7CD2">
        <w:rPr>
          <w:rStyle w:val="CharAmPartText"/>
        </w:rPr>
        <w:t xml:space="preserve"> </w:t>
      </w:r>
    </w:p>
    <w:p w:rsidR="0048364F" w:rsidRPr="003B7CD2" w:rsidRDefault="0048364F" w:rsidP="0048364F">
      <w:pPr>
        <w:sectPr w:rsidR="0048364F" w:rsidRPr="003B7CD2" w:rsidSect="00C437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B7CD2" w:rsidRDefault="0048364F" w:rsidP="00EC66D2">
      <w:pPr>
        <w:rPr>
          <w:sz w:val="36"/>
        </w:rPr>
      </w:pPr>
      <w:r w:rsidRPr="003B7CD2">
        <w:rPr>
          <w:sz w:val="36"/>
        </w:rPr>
        <w:lastRenderedPageBreak/>
        <w:t>Contents</w:t>
      </w:r>
    </w:p>
    <w:bookmarkStart w:id="1" w:name="BKCheck15B_2"/>
    <w:bookmarkEnd w:id="1"/>
    <w:p w:rsidR="00B244BE" w:rsidRPr="003B7CD2" w:rsidRDefault="00B244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CD2">
        <w:fldChar w:fldCharType="begin"/>
      </w:r>
      <w:r w:rsidRPr="003B7CD2">
        <w:instrText xml:space="preserve"> TOC \o "1-9" </w:instrText>
      </w:r>
      <w:r w:rsidRPr="003B7CD2">
        <w:fldChar w:fldCharType="separate"/>
      </w:r>
      <w:r w:rsidRPr="003B7CD2">
        <w:rPr>
          <w:noProof/>
        </w:rPr>
        <w:t>1</w:t>
      </w:r>
      <w:r w:rsidRPr="003B7CD2">
        <w:rPr>
          <w:noProof/>
        </w:rPr>
        <w:tab/>
        <w:t>Name</w:t>
      </w:r>
      <w:r w:rsidRPr="003B7CD2">
        <w:rPr>
          <w:noProof/>
        </w:rPr>
        <w:tab/>
      </w:r>
      <w:r w:rsidRPr="003B7CD2">
        <w:rPr>
          <w:noProof/>
        </w:rPr>
        <w:fldChar w:fldCharType="begin"/>
      </w:r>
      <w:r w:rsidRPr="003B7CD2">
        <w:rPr>
          <w:noProof/>
        </w:rPr>
        <w:instrText xml:space="preserve"> PAGEREF _Toc485645705 \h </w:instrText>
      </w:r>
      <w:r w:rsidRPr="003B7CD2">
        <w:rPr>
          <w:noProof/>
        </w:rPr>
      </w:r>
      <w:r w:rsidRPr="003B7CD2">
        <w:rPr>
          <w:noProof/>
        </w:rPr>
        <w:fldChar w:fldCharType="separate"/>
      </w:r>
      <w:r w:rsidR="00485FEA">
        <w:rPr>
          <w:noProof/>
        </w:rPr>
        <w:t>1</w:t>
      </w:r>
      <w:r w:rsidRPr="003B7CD2">
        <w:rPr>
          <w:noProof/>
        </w:rPr>
        <w:fldChar w:fldCharType="end"/>
      </w:r>
    </w:p>
    <w:p w:rsidR="00B244BE" w:rsidRPr="003B7CD2" w:rsidRDefault="00B244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CD2">
        <w:rPr>
          <w:noProof/>
        </w:rPr>
        <w:t>2</w:t>
      </w:r>
      <w:r w:rsidRPr="003B7CD2">
        <w:rPr>
          <w:noProof/>
        </w:rPr>
        <w:tab/>
        <w:t>Commencement</w:t>
      </w:r>
      <w:r w:rsidRPr="003B7CD2">
        <w:rPr>
          <w:noProof/>
        </w:rPr>
        <w:tab/>
      </w:r>
      <w:r w:rsidRPr="003B7CD2">
        <w:rPr>
          <w:noProof/>
        </w:rPr>
        <w:fldChar w:fldCharType="begin"/>
      </w:r>
      <w:r w:rsidRPr="003B7CD2">
        <w:rPr>
          <w:noProof/>
        </w:rPr>
        <w:instrText xml:space="preserve"> PAGEREF _Toc485645706 \h </w:instrText>
      </w:r>
      <w:r w:rsidRPr="003B7CD2">
        <w:rPr>
          <w:noProof/>
        </w:rPr>
      </w:r>
      <w:r w:rsidRPr="003B7CD2">
        <w:rPr>
          <w:noProof/>
        </w:rPr>
        <w:fldChar w:fldCharType="separate"/>
      </w:r>
      <w:r w:rsidR="00485FEA">
        <w:rPr>
          <w:noProof/>
        </w:rPr>
        <w:t>1</w:t>
      </w:r>
      <w:r w:rsidRPr="003B7CD2">
        <w:rPr>
          <w:noProof/>
        </w:rPr>
        <w:fldChar w:fldCharType="end"/>
      </w:r>
    </w:p>
    <w:p w:rsidR="00B244BE" w:rsidRPr="003B7CD2" w:rsidRDefault="00B244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CD2">
        <w:rPr>
          <w:noProof/>
        </w:rPr>
        <w:t>3</w:t>
      </w:r>
      <w:r w:rsidRPr="003B7CD2">
        <w:rPr>
          <w:noProof/>
        </w:rPr>
        <w:tab/>
        <w:t>Authority</w:t>
      </w:r>
      <w:r w:rsidRPr="003B7CD2">
        <w:rPr>
          <w:noProof/>
        </w:rPr>
        <w:tab/>
      </w:r>
      <w:r w:rsidRPr="003B7CD2">
        <w:rPr>
          <w:noProof/>
        </w:rPr>
        <w:fldChar w:fldCharType="begin"/>
      </w:r>
      <w:r w:rsidRPr="003B7CD2">
        <w:rPr>
          <w:noProof/>
        </w:rPr>
        <w:instrText xml:space="preserve"> PAGEREF _Toc485645707 \h </w:instrText>
      </w:r>
      <w:r w:rsidRPr="003B7CD2">
        <w:rPr>
          <w:noProof/>
        </w:rPr>
      </w:r>
      <w:r w:rsidRPr="003B7CD2">
        <w:rPr>
          <w:noProof/>
        </w:rPr>
        <w:fldChar w:fldCharType="separate"/>
      </w:r>
      <w:r w:rsidR="00485FEA">
        <w:rPr>
          <w:noProof/>
        </w:rPr>
        <w:t>1</w:t>
      </w:r>
      <w:r w:rsidRPr="003B7CD2">
        <w:rPr>
          <w:noProof/>
        </w:rPr>
        <w:fldChar w:fldCharType="end"/>
      </w:r>
    </w:p>
    <w:p w:rsidR="00B244BE" w:rsidRPr="003B7CD2" w:rsidRDefault="00B244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7CD2">
        <w:rPr>
          <w:noProof/>
        </w:rPr>
        <w:t>4</w:t>
      </w:r>
      <w:r w:rsidRPr="003B7CD2">
        <w:rPr>
          <w:noProof/>
        </w:rPr>
        <w:tab/>
        <w:t>Schedules</w:t>
      </w:r>
      <w:r w:rsidRPr="003B7CD2">
        <w:rPr>
          <w:noProof/>
        </w:rPr>
        <w:tab/>
      </w:r>
      <w:r w:rsidRPr="003B7CD2">
        <w:rPr>
          <w:noProof/>
        </w:rPr>
        <w:fldChar w:fldCharType="begin"/>
      </w:r>
      <w:r w:rsidRPr="003B7CD2">
        <w:rPr>
          <w:noProof/>
        </w:rPr>
        <w:instrText xml:space="preserve"> PAGEREF _Toc485645708 \h </w:instrText>
      </w:r>
      <w:r w:rsidRPr="003B7CD2">
        <w:rPr>
          <w:noProof/>
        </w:rPr>
      </w:r>
      <w:r w:rsidRPr="003B7CD2">
        <w:rPr>
          <w:noProof/>
        </w:rPr>
        <w:fldChar w:fldCharType="separate"/>
      </w:r>
      <w:r w:rsidR="00485FEA">
        <w:rPr>
          <w:noProof/>
        </w:rPr>
        <w:t>1</w:t>
      </w:r>
      <w:r w:rsidRPr="003B7CD2">
        <w:rPr>
          <w:noProof/>
        </w:rPr>
        <w:fldChar w:fldCharType="end"/>
      </w:r>
    </w:p>
    <w:p w:rsidR="00B244BE" w:rsidRPr="003B7CD2" w:rsidRDefault="00B244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7CD2">
        <w:rPr>
          <w:noProof/>
        </w:rPr>
        <w:t>Schedule</w:t>
      </w:r>
      <w:r w:rsidR="003B7CD2" w:rsidRPr="003B7CD2">
        <w:rPr>
          <w:noProof/>
        </w:rPr>
        <w:t> </w:t>
      </w:r>
      <w:r w:rsidRPr="003B7CD2">
        <w:rPr>
          <w:noProof/>
        </w:rPr>
        <w:t>1—Amendments</w:t>
      </w:r>
      <w:r w:rsidRPr="003B7CD2">
        <w:rPr>
          <w:b w:val="0"/>
          <w:noProof/>
          <w:sz w:val="18"/>
        </w:rPr>
        <w:tab/>
      </w:r>
      <w:r w:rsidRPr="003B7CD2">
        <w:rPr>
          <w:b w:val="0"/>
          <w:noProof/>
          <w:sz w:val="18"/>
        </w:rPr>
        <w:fldChar w:fldCharType="begin"/>
      </w:r>
      <w:r w:rsidRPr="003B7CD2">
        <w:rPr>
          <w:b w:val="0"/>
          <w:noProof/>
          <w:sz w:val="18"/>
        </w:rPr>
        <w:instrText xml:space="preserve"> PAGEREF _Toc485645709 \h </w:instrText>
      </w:r>
      <w:r w:rsidRPr="003B7CD2">
        <w:rPr>
          <w:b w:val="0"/>
          <w:noProof/>
          <w:sz w:val="18"/>
        </w:rPr>
      </w:r>
      <w:r w:rsidRPr="003B7CD2">
        <w:rPr>
          <w:b w:val="0"/>
          <w:noProof/>
          <w:sz w:val="18"/>
        </w:rPr>
        <w:fldChar w:fldCharType="separate"/>
      </w:r>
      <w:r w:rsidR="00485FEA">
        <w:rPr>
          <w:b w:val="0"/>
          <w:noProof/>
          <w:sz w:val="18"/>
        </w:rPr>
        <w:t>2</w:t>
      </w:r>
      <w:r w:rsidRPr="003B7CD2">
        <w:rPr>
          <w:b w:val="0"/>
          <w:noProof/>
          <w:sz w:val="18"/>
        </w:rPr>
        <w:fldChar w:fldCharType="end"/>
      </w:r>
    </w:p>
    <w:p w:rsidR="00B244BE" w:rsidRPr="003B7CD2" w:rsidRDefault="00B244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7CD2">
        <w:rPr>
          <w:noProof/>
        </w:rPr>
        <w:t>Christmas Island Utilities and Services (Water, Sewerage and Building Application Services Fees) Determination</w:t>
      </w:r>
      <w:r w:rsidR="003B7CD2" w:rsidRPr="003B7CD2">
        <w:rPr>
          <w:noProof/>
        </w:rPr>
        <w:t> </w:t>
      </w:r>
      <w:r w:rsidRPr="003B7CD2">
        <w:rPr>
          <w:noProof/>
        </w:rPr>
        <w:t>2016</w:t>
      </w:r>
      <w:r w:rsidRPr="003B7CD2">
        <w:rPr>
          <w:i w:val="0"/>
          <w:noProof/>
          <w:sz w:val="18"/>
        </w:rPr>
        <w:tab/>
      </w:r>
      <w:r w:rsidRPr="003B7CD2">
        <w:rPr>
          <w:i w:val="0"/>
          <w:noProof/>
          <w:sz w:val="18"/>
        </w:rPr>
        <w:fldChar w:fldCharType="begin"/>
      </w:r>
      <w:r w:rsidRPr="003B7CD2">
        <w:rPr>
          <w:i w:val="0"/>
          <w:noProof/>
          <w:sz w:val="18"/>
        </w:rPr>
        <w:instrText xml:space="preserve"> PAGEREF _Toc485645710 \h </w:instrText>
      </w:r>
      <w:r w:rsidRPr="003B7CD2">
        <w:rPr>
          <w:i w:val="0"/>
          <w:noProof/>
          <w:sz w:val="18"/>
        </w:rPr>
      </w:r>
      <w:r w:rsidRPr="003B7CD2">
        <w:rPr>
          <w:i w:val="0"/>
          <w:noProof/>
          <w:sz w:val="18"/>
        </w:rPr>
        <w:fldChar w:fldCharType="separate"/>
      </w:r>
      <w:r w:rsidR="00485FEA">
        <w:rPr>
          <w:i w:val="0"/>
          <w:noProof/>
          <w:sz w:val="18"/>
        </w:rPr>
        <w:t>2</w:t>
      </w:r>
      <w:r w:rsidRPr="003B7CD2">
        <w:rPr>
          <w:i w:val="0"/>
          <w:noProof/>
          <w:sz w:val="18"/>
        </w:rPr>
        <w:fldChar w:fldCharType="end"/>
      </w:r>
    </w:p>
    <w:p w:rsidR="0048364F" w:rsidRPr="003B7CD2" w:rsidRDefault="00B244BE" w:rsidP="0048364F">
      <w:r w:rsidRPr="003B7CD2">
        <w:fldChar w:fldCharType="end"/>
      </w:r>
    </w:p>
    <w:p w:rsidR="0048364F" w:rsidRPr="003B7CD2" w:rsidRDefault="0048364F" w:rsidP="0048364F">
      <w:pPr>
        <w:sectPr w:rsidR="0048364F" w:rsidRPr="003B7CD2" w:rsidSect="00C437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B7CD2" w:rsidRDefault="0048364F" w:rsidP="0048364F">
      <w:pPr>
        <w:pStyle w:val="ActHead5"/>
      </w:pPr>
      <w:bookmarkStart w:id="2" w:name="_Toc485645705"/>
      <w:r w:rsidRPr="003B7CD2">
        <w:rPr>
          <w:rStyle w:val="CharSectno"/>
        </w:rPr>
        <w:lastRenderedPageBreak/>
        <w:t>1</w:t>
      </w:r>
      <w:r w:rsidRPr="003B7CD2">
        <w:t xml:space="preserve">  </w:t>
      </w:r>
      <w:r w:rsidR="004F676E" w:rsidRPr="003B7CD2">
        <w:t>Name</w:t>
      </w:r>
      <w:bookmarkEnd w:id="2"/>
    </w:p>
    <w:p w:rsidR="0048364F" w:rsidRPr="003B7CD2" w:rsidRDefault="0048364F" w:rsidP="0048364F">
      <w:pPr>
        <w:pStyle w:val="subsection"/>
      </w:pPr>
      <w:r w:rsidRPr="003B7CD2">
        <w:tab/>
      </w:r>
      <w:r w:rsidRPr="003B7CD2">
        <w:tab/>
      </w:r>
      <w:r w:rsidR="00A26080" w:rsidRPr="003B7CD2">
        <w:t>This instrument is</w:t>
      </w:r>
      <w:r w:rsidRPr="003B7CD2">
        <w:t xml:space="preserve"> the </w:t>
      </w:r>
      <w:bookmarkStart w:id="3" w:name="BKCheck15B_3"/>
      <w:bookmarkEnd w:id="3"/>
      <w:r w:rsidR="00414ADE" w:rsidRPr="003B7CD2">
        <w:rPr>
          <w:i/>
        </w:rPr>
        <w:fldChar w:fldCharType="begin"/>
      </w:r>
      <w:r w:rsidR="00414ADE" w:rsidRPr="003B7CD2">
        <w:rPr>
          <w:i/>
        </w:rPr>
        <w:instrText xml:space="preserve"> STYLEREF  ShortT </w:instrText>
      </w:r>
      <w:r w:rsidR="00414ADE" w:rsidRPr="003B7CD2">
        <w:rPr>
          <w:i/>
        </w:rPr>
        <w:fldChar w:fldCharType="separate"/>
      </w:r>
      <w:r w:rsidR="00485FEA">
        <w:rPr>
          <w:i/>
          <w:noProof/>
        </w:rPr>
        <w:t>Christmas Island Utilities and Services (Water, Sewerage and Building Application Services Fees) Amendment (2017 Measures No. 1) Determination 2017</w:t>
      </w:r>
      <w:r w:rsidR="00414ADE" w:rsidRPr="003B7CD2">
        <w:rPr>
          <w:i/>
        </w:rPr>
        <w:fldChar w:fldCharType="end"/>
      </w:r>
      <w:r w:rsidRPr="003B7CD2">
        <w:t>.</w:t>
      </w:r>
    </w:p>
    <w:p w:rsidR="004F676E" w:rsidRPr="003B7CD2" w:rsidRDefault="0048364F" w:rsidP="005452CC">
      <w:pPr>
        <w:pStyle w:val="ActHead5"/>
      </w:pPr>
      <w:bookmarkStart w:id="4" w:name="_Toc485645706"/>
      <w:r w:rsidRPr="003B7CD2">
        <w:rPr>
          <w:rStyle w:val="CharSectno"/>
        </w:rPr>
        <w:t>2</w:t>
      </w:r>
      <w:r w:rsidRPr="003B7CD2">
        <w:t xml:space="preserve">  Commencement</w:t>
      </w:r>
      <w:bookmarkEnd w:id="4"/>
    </w:p>
    <w:p w:rsidR="00B257D1" w:rsidRPr="003B7CD2" w:rsidRDefault="00B257D1" w:rsidP="00DB3754">
      <w:pPr>
        <w:pStyle w:val="subsection"/>
      </w:pPr>
      <w:r w:rsidRPr="003B7CD2">
        <w:tab/>
        <w:t>(1)</w:t>
      </w:r>
      <w:r w:rsidRPr="003B7CD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257D1" w:rsidRPr="003B7CD2" w:rsidRDefault="00B257D1" w:rsidP="00DB375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257D1" w:rsidRPr="003B7CD2" w:rsidTr="00DB375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Commencement information</w:t>
            </w:r>
          </w:p>
        </w:tc>
      </w:tr>
      <w:tr w:rsidR="00B257D1" w:rsidRPr="003B7CD2" w:rsidTr="00DB375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Column 3</w:t>
            </w:r>
          </w:p>
        </w:tc>
      </w:tr>
      <w:tr w:rsidR="00B257D1" w:rsidRPr="003B7CD2" w:rsidTr="00DB375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257D1" w:rsidRPr="003B7CD2" w:rsidRDefault="00B257D1" w:rsidP="00DB3754">
            <w:pPr>
              <w:pStyle w:val="TableHeading"/>
            </w:pPr>
            <w:r w:rsidRPr="003B7CD2">
              <w:t>Date/Details</w:t>
            </w:r>
          </w:p>
        </w:tc>
      </w:tr>
      <w:tr w:rsidR="00B257D1" w:rsidRPr="003B7CD2" w:rsidTr="00DB375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257D1" w:rsidRPr="003B7CD2" w:rsidRDefault="00B257D1" w:rsidP="00F57BE4">
            <w:pPr>
              <w:pStyle w:val="Tabletext"/>
            </w:pPr>
            <w:r w:rsidRPr="003B7CD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257D1" w:rsidRPr="003B7CD2" w:rsidRDefault="00B257D1" w:rsidP="00F57BE4">
            <w:pPr>
              <w:pStyle w:val="Tabletext"/>
            </w:pPr>
            <w:r w:rsidRPr="003B7CD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257D1" w:rsidRPr="003B7CD2" w:rsidRDefault="00636171" w:rsidP="00F57BE4">
            <w:pPr>
              <w:pStyle w:val="Tabletext"/>
            </w:pPr>
            <w:r>
              <w:t>27 June 2017</w:t>
            </w:r>
            <w:bookmarkStart w:id="5" w:name="_GoBack"/>
            <w:bookmarkEnd w:id="5"/>
          </w:p>
        </w:tc>
      </w:tr>
    </w:tbl>
    <w:p w:rsidR="00B257D1" w:rsidRPr="003B7CD2" w:rsidRDefault="00B257D1" w:rsidP="00DB3754">
      <w:pPr>
        <w:pStyle w:val="notetext"/>
      </w:pPr>
      <w:r w:rsidRPr="003B7CD2">
        <w:rPr>
          <w:snapToGrid w:val="0"/>
          <w:lang w:eastAsia="en-US"/>
        </w:rPr>
        <w:t>Note:</w:t>
      </w:r>
      <w:r w:rsidRPr="003B7CD2">
        <w:rPr>
          <w:snapToGrid w:val="0"/>
          <w:lang w:eastAsia="en-US"/>
        </w:rPr>
        <w:tab/>
        <w:t xml:space="preserve">This table relates only to the provisions of this </w:t>
      </w:r>
      <w:r w:rsidRPr="003B7CD2">
        <w:t xml:space="preserve">instrument </w:t>
      </w:r>
      <w:r w:rsidRPr="003B7CD2">
        <w:rPr>
          <w:snapToGrid w:val="0"/>
          <w:lang w:eastAsia="en-US"/>
        </w:rPr>
        <w:t xml:space="preserve">as originally made. It will not be amended to deal with any later amendments of this </w:t>
      </w:r>
      <w:r w:rsidRPr="003B7CD2">
        <w:t>instrument</w:t>
      </w:r>
      <w:r w:rsidRPr="003B7CD2">
        <w:rPr>
          <w:snapToGrid w:val="0"/>
          <w:lang w:eastAsia="en-US"/>
        </w:rPr>
        <w:t>.</w:t>
      </w:r>
    </w:p>
    <w:p w:rsidR="00B257D1" w:rsidRPr="003B7CD2" w:rsidRDefault="00B257D1" w:rsidP="00DB3754">
      <w:pPr>
        <w:pStyle w:val="subsection"/>
      </w:pPr>
      <w:r w:rsidRPr="003B7CD2">
        <w:tab/>
        <w:t>(2)</w:t>
      </w:r>
      <w:r w:rsidRPr="003B7CD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B7CD2" w:rsidRDefault="00BF6650" w:rsidP="00BF6650">
      <w:pPr>
        <w:pStyle w:val="ActHead5"/>
      </w:pPr>
      <w:bookmarkStart w:id="6" w:name="_Toc485645707"/>
      <w:r w:rsidRPr="003B7CD2">
        <w:rPr>
          <w:rStyle w:val="CharSectno"/>
        </w:rPr>
        <w:t>3</w:t>
      </w:r>
      <w:r w:rsidRPr="003B7CD2">
        <w:t xml:space="preserve">  Authority</w:t>
      </w:r>
      <w:bookmarkEnd w:id="6"/>
    </w:p>
    <w:p w:rsidR="00BF6650" w:rsidRPr="003B7CD2" w:rsidRDefault="00BF6650" w:rsidP="00BF6650">
      <w:pPr>
        <w:pStyle w:val="subsection"/>
      </w:pPr>
      <w:r w:rsidRPr="003B7CD2">
        <w:tab/>
      </w:r>
      <w:r w:rsidRPr="003B7CD2">
        <w:tab/>
      </w:r>
      <w:r w:rsidR="00A26080" w:rsidRPr="003B7CD2">
        <w:t>This instrument is</w:t>
      </w:r>
      <w:r w:rsidRPr="003B7CD2">
        <w:t xml:space="preserve"> made under </w:t>
      </w:r>
      <w:r w:rsidR="00FC2D93" w:rsidRPr="003B7CD2">
        <w:t>paragraph</w:t>
      </w:r>
      <w:r w:rsidR="003B7CD2" w:rsidRPr="003B7CD2">
        <w:t> </w:t>
      </w:r>
      <w:r w:rsidR="00FC2D93" w:rsidRPr="003B7CD2">
        <w:t xml:space="preserve">7(2)(a) of the </w:t>
      </w:r>
      <w:r w:rsidR="00FC2D93" w:rsidRPr="003B7CD2">
        <w:rPr>
          <w:i/>
        </w:rPr>
        <w:t>Christmas Island Utilities and Services Ordinance 2016</w:t>
      </w:r>
      <w:r w:rsidR="00546FA3" w:rsidRPr="003B7CD2">
        <w:rPr>
          <w:i/>
        </w:rPr>
        <w:t>.</w:t>
      </w:r>
    </w:p>
    <w:p w:rsidR="00557C7A" w:rsidRPr="003B7CD2" w:rsidRDefault="00BF6650" w:rsidP="00557C7A">
      <w:pPr>
        <w:pStyle w:val="ActHead5"/>
      </w:pPr>
      <w:bookmarkStart w:id="7" w:name="_Toc485645708"/>
      <w:r w:rsidRPr="003B7CD2">
        <w:rPr>
          <w:rStyle w:val="CharSectno"/>
        </w:rPr>
        <w:t>4</w:t>
      </w:r>
      <w:r w:rsidR="00557C7A" w:rsidRPr="003B7CD2">
        <w:t xml:space="preserve">  </w:t>
      </w:r>
      <w:r w:rsidR="00083F48" w:rsidRPr="003B7CD2">
        <w:t>Schedules</w:t>
      </w:r>
      <w:bookmarkEnd w:id="7"/>
    </w:p>
    <w:p w:rsidR="00557C7A" w:rsidRPr="003B7CD2" w:rsidRDefault="00557C7A" w:rsidP="00557C7A">
      <w:pPr>
        <w:pStyle w:val="subsection"/>
      </w:pPr>
      <w:r w:rsidRPr="003B7CD2">
        <w:tab/>
      </w:r>
      <w:r w:rsidRPr="003B7CD2">
        <w:tab/>
      </w:r>
      <w:r w:rsidR="00083F48" w:rsidRPr="003B7CD2">
        <w:t xml:space="preserve">Each </w:t>
      </w:r>
      <w:r w:rsidR="00160BD7" w:rsidRPr="003B7CD2">
        <w:t>instrument</w:t>
      </w:r>
      <w:r w:rsidR="00083F48" w:rsidRPr="003B7CD2">
        <w:t xml:space="preserve"> that is specified in a Schedule to </w:t>
      </w:r>
      <w:r w:rsidR="00A26080" w:rsidRPr="003B7CD2">
        <w:t>this instrument</w:t>
      </w:r>
      <w:r w:rsidR="00083F48" w:rsidRPr="003B7CD2">
        <w:t xml:space="preserve"> is amended or repealed as set out in the applicable items in the Schedule concerned, and any other item in a Schedule to </w:t>
      </w:r>
      <w:r w:rsidR="00A26080" w:rsidRPr="003B7CD2">
        <w:t>this instrument</w:t>
      </w:r>
      <w:r w:rsidR="00083F48" w:rsidRPr="003B7CD2">
        <w:t xml:space="preserve"> has effect according to its terms.</w:t>
      </w:r>
    </w:p>
    <w:p w:rsidR="0048364F" w:rsidRPr="003B7CD2" w:rsidRDefault="0048364F" w:rsidP="009C5989">
      <w:pPr>
        <w:pStyle w:val="ActHead6"/>
        <w:pageBreakBefore/>
      </w:pPr>
      <w:bookmarkStart w:id="8" w:name="_Toc485645709"/>
      <w:bookmarkStart w:id="9" w:name="opcAmSched"/>
      <w:bookmarkStart w:id="10" w:name="opcCurrentFind"/>
      <w:r w:rsidRPr="003B7CD2">
        <w:rPr>
          <w:rStyle w:val="CharAmSchNo"/>
        </w:rPr>
        <w:t>Schedule</w:t>
      </w:r>
      <w:r w:rsidR="003B7CD2" w:rsidRPr="003B7CD2">
        <w:rPr>
          <w:rStyle w:val="CharAmSchNo"/>
        </w:rPr>
        <w:t> </w:t>
      </w:r>
      <w:r w:rsidRPr="003B7CD2">
        <w:rPr>
          <w:rStyle w:val="CharAmSchNo"/>
        </w:rPr>
        <w:t>1</w:t>
      </w:r>
      <w:r w:rsidRPr="003B7CD2">
        <w:t>—</w:t>
      </w:r>
      <w:r w:rsidR="00460499" w:rsidRPr="003B7CD2">
        <w:rPr>
          <w:rStyle w:val="CharAmSchText"/>
        </w:rPr>
        <w:t>Amendments</w:t>
      </w:r>
      <w:bookmarkEnd w:id="8"/>
    </w:p>
    <w:bookmarkEnd w:id="9"/>
    <w:bookmarkEnd w:id="10"/>
    <w:p w:rsidR="0004044E" w:rsidRPr="003B7CD2" w:rsidRDefault="0004044E" w:rsidP="0004044E">
      <w:pPr>
        <w:pStyle w:val="Header"/>
      </w:pPr>
      <w:r w:rsidRPr="003B7CD2">
        <w:rPr>
          <w:rStyle w:val="CharAmPartNo"/>
        </w:rPr>
        <w:t xml:space="preserve"> </w:t>
      </w:r>
      <w:r w:rsidRPr="003B7CD2">
        <w:rPr>
          <w:rStyle w:val="CharAmPartText"/>
        </w:rPr>
        <w:t xml:space="preserve"> </w:t>
      </w:r>
    </w:p>
    <w:p w:rsidR="0084172C" w:rsidRPr="003B7CD2" w:rsidRDefault="00B257D1" w:rsidP="00B257D1">
      <w:pPr>
        <w:pStyle w:val="ActHead9"/>
        <w:rPr>
          <w:noProof/>
        </w:rPr>
      </w:pPr>
      <w:bookmarkStart w:id="11" w:name="_Toc485645710"/>
      <w:r w:rsidRPr="003B7CD2">
        <w:rPr>
          <w:noProof/>
        </w:rPr>
        <w:t>Christmas Island Utilities and Services (Water, Sewerage and Building Application Services Fees) Determination</w:t>
      </w:r>
      <w:r w:rsidR="003B7CD2" w:rsidRPr="003B7CD2">
        <w:rPr>
          <w:noProof/>
        </w:rPr>
        <w:t> </w:t>
      </w:r>
      <w:r w:rsidRPr="003B7CD2">
        <w:rPr>
          <w:noProof/>
        </w:rPr>
        <w:t>2016</w:t>
      </w:r>
      <w:bookmarkEnd w:id="11"/>
    </w:p>
    <w:p w:rsidR="00B82BB2" w:rsidRPr="003B7CD2" w:rsidRDefault="00267EDC" w:rsidP="00B82BB2">
      <w:pPr>
        <w:pStyle w:val="ItemHead"/>
      </w:pPr>
      <w:r w:rsidRPr="003B7CD2">
        <w:t>1</w:t>
      </w:r>
      <w:r w:rsidR="00B82BB2" w:rsidRPr="003B7CD2">
        <w:t xml:space="preserve">  Subsection</w:t>
      </w:r>
      <w:r w:rsidR="003B7CD2" w:rsidRPr="003B7CD2">
        <w:t> </w:t>
      </w:r>
      <w:r w:rsidR="00B82BB2" w:rsidRPr="003B7CD2">
        <w:t>6(1)</w:t>
      </w:r>
    </w:p>
    <w:p w:rsidR="00B82BB2" w:rsidRPr="003B7CD2" w:rsidRDefault="00B82BB2" w:rsidP="00B82BB2">
      <w:pPr>
        <w:pStyle w:val="Item"/>
      </w:pPr>
      <w:r w:rsidRPr="003B7CD2">
        <w:t>Omit “the financial year commencing on 1</w:t>
      </w:r>
      <w:r w:rsidR="003B7CD2" w:rsidRPr="003B7CD2">
        <w:t> </w:t>
      </w:r>
      <w:r w:rsidRPr="003B7CD2">
        <w:t>July 2016”</w:t>
      </w:r>
      <w:r w:rsidR="00373F3C" w:rsidRPr="003B7CD2">
        <w:t>, substitute “a financial year”</w:t>
      </w:r>
      <w:r w:rsidRPr="003B7CD2">
        <w:t>.</w:t>
      </w:r>
    </w:p>
    <w:p w:rsidR="00AE3925" w:rsidRPr="003B7CD2" w:rsidRDefault="00267EDC" w:rsidP="00AE3925">
      <w:pPr>
        <w:pStyle w:val="ItemHead"/>
      </w:pPr>
      <w:r w:rsidRPr="003B7CD2">
        <w:t>2</w:t>
      </w:r>
      <w:r w:rsidR="00AE3925" w:rsidRPr="003B7CD2">
        <w:t xml:space="preserve">  </w:t>
      </w:r>
      <w:r w:rsidR="001C44A5" w:rsidRPr="003B7CD2">
        <w:t>After subsection</w:t>
      </w:r>
      <w:r w:rsidR="003B7CD2" w:rsidRPr="003B7CD2">
        <w:t> </w:t>
      </w:r>
      <w:r w:rsidR="001C44A5" w:rsidRPr="003B7CD2">
        <w:t>6(3)</w:t>
      </w:r>
    </w:p>
    <w:p w:rsidR="001C44A5" w:rsidRPr="003B7CD2" w:rsidRDefault="001C44A5" w:rsidP="001C44A5">
      <w:pPr>
        <w:pStyle w:val="Item"/>
      </w:pPr>
      <w:r w:rsidRPr="003B7CD2">
        <w:t>Insert:</w:t>
      </w:r>
    </w:p>
    <w:p w:rsidR="001C44A5" w:rsidRPr="003B7CD2" w:rsidRDefault="001C44A5" w:rsidP="001C44A5">
      <w:pPr>
        <w:pStyle w:val="subsection"/>
      </w:pPr>
      <w:r w:rsidRPr="003B7CD2">
        <w:tab/>
        <w:t>(3A)</w:t>
      </w:r>
      <w:r w:rsidRPr="003B7CD2">
        <w:tab/>
        <w:t xml:space="preserve">Despite </w:t>
      </w:r>
      <w:r w:rsidR="003B7CD2" w:rsidRPr="003B7CD2">
        <w:t>paragraph (</w:t>
      </w:r>
      <w:r w:rsidRPr="003B7CD2">
        <w:t xml:space="preserve">3)(a), if, in relation to particular land, the Administrator agrees, in writing, with the owner or occupier of the land on an amount of fixed fees </w:t>
      </w:r>
      <w:r w:rsidR="00373F3C" w:rsidRPr="003B7CD2">
        <w:t xml:space="preserve">for the supply of water services </w:t>
      </w:r>
      <w:r w:rsidRPr="003B7CD2">
        <w:t>that is lower than the amount of fixed fees for the land as set out in Schedule</w:t>
      </w:r>
      <w:r w:rsidR="003B7CD2" w:rsidRPr="003B7CD2">
        <w:t> </w:t>
      </w:r>
      <w:r w:rsidRPr="003B7CD2">
        <w:t xml:space="preserve">1, the amount of fixed fees for </w:t>
      </w:r>
      <w:r w:rsidR="006E1714" w:rsidRPr="003B7CD2">
        <w:t xml:space="preserve">the supply of water services for </w:t>
      </w:r>
      <w:r w:rsidRPr="003B7CD2">
        <w:t>the land is determined to be the amount agreed.</w:t>
      </w:r>
    </w:p>
    <w:p w:rsidR="001C44A5" w:rsidRPr="003B7CD2" w:rsidRDefault="00267EDC" w:rsidP="001C44A5">
      <w:pPr>
        <w:pStyle w:val="ItemHead"/>
      </w:pPr>
      <w:r w:rsidRPr="003B7CD2">
        <w:t>3</w:t>
      </w:r>
      <w:r w:rsidR="001C44A5" w:rsidRPr="003B7CD2">
        <w:t xml:space="preserve">  After subsection</w:t>
      </w:r>
      <w:r w:rsidR="003B7CD2" w:rsidRPr="003B7CD2">
        <w:t> </w:t>
      </w:r>
      <w:r w:rsidR="001C44A5" w:rsidRPr="003B7CD2">
        <w:t>6(4)</w:t>
      </w:r>
    </w:p>
    <w:p w:rsidR="001C44A5" w:rsidRPr="003B7CD2" w:rsidRDefault="001C44A5" w:rsidP="001C44A5">
      <w:pPr>
        <w:pStyle w:val="Item"/>
      </w:pPr>
      <w:r w:rsidRPr="003B7CD2">
        <w:t>Insert:</w:t>
      </w:r>
    </w:p>
    <w:p w:rsidR="001C44A5" w:rsidRPr="003B7CD2" w:rsidRDefault="001C44A5" w:rsidP="001C44A5">
      <w:pPr>
        <w:pStyle w:val="subsection"/>
      </w:pPr>
      <w:r w:rsidRPr="003B7CD2">
        <w:tab/>
        <w:t>(4A)</w:t>
      </w:r>
      <w:r w:rsidRPr="003B7CD2">
        <w:tab/>
        <w:t xml:space="preserve">The amount agreed under </w:t>
      </w:r>
      <w:r w:rsidR="003B7CD2" w:rsidRPr="003B7CD2">
        <w:t>subsection (</w:t>
      </w:r>
      <w:r w:rsidRPr="003B7CD2">
        <w:t>3</w:t>
      </w:r>
      <w:r w:rsidR="003F50DE" w:rsidRPr="003B7CD2">
        <w:t>A</w:t>
      </w:r>
      <w:r w:rsidRPr="003B7CD2">
        <w:t>) or (</w:t>
      </w:r>
      <w:r w:rsidR="003F50DE" w:rsidRPr="003B7CD2">
        <w:t>4</w:t>
      </w:r>
      <w:r w:rsidRPr="003B7CD2">
        <w:t>) may be a nil amount.</w:t>
      </w:r>
    </w:p>
    <w:p w:rsidR="003F50DE" w:rsidRPr="003B7CD2" w:rsidRDefault="003F50DE" w:rsidP="003F50DE">
      <w:pPr>
        <w:pStyle w:val="subsection"/>
      </w:pPr>
      <w:r w:rsidRPr="003B7CD2">
        <w:tab/>
        <w:t>(4B)</w:t>
      </w:r>
      <w:r w:rsidRPr="003B7CD2">
        <w:tab/>
        <w:t xml:space="preserve">The Administrator may </w:t>
      </w:r>
      <w:r w:rsidR="006E1714" w:rsidRPr="003B7CD2">
        <w:t xml:space="preserve">arrange for </w:t>
      </w:r>
      <w:r w:rsidRPr="003B7CD2">
        <w:t xml:space="preserve">an agreement mentioned in </w:t>
      </w:r>
      <w:r w:rsidR="003B7CD2" w:rsidRPr="003B7CD2">
        <w:t>subsection (</w:t>
      </w:r>
      <w:r w:rsidRPr="003B7CD2">
        <w:t xml:space="preserve">3A) or (4) </w:t>
      </w:r>
      <w:r w:rsidR="006E1714" w:rsidRPr="003B7CD2">
        <w:t xml:space="preserve">to be published </w:t>
      </w:r>
      <w:r w:rsidRPr="003B7CD2">
        <w:t>on the Department’s website.</w:t>
      </w:r>
    </w:p>
    <w:p w:rsidR="009F1D93" w:rsidRPr="003B7CD2" w:rsidRDefault="00267EDC" w:rsidP="009F1D93">
      <w:pPr>
        <w:pStyle w:val="ItemHead"/>
      </w:pPr>
      <w:r w:rsidRPr="003B7CD2">
        <w:t>4</w:t>
      </w:r>
      <w:r w:rsidR="009F1D93" w:rsidRPr="003B7CD2">
        <w:t xml:space="preserve">  Subclause</w:t>
      </w:r>
      <w:r w:rsidR="003B7CD2" w:rsidRPr="003B7CD2">
        <w:t> </w:t>
      </w:r>
      <w:r w:rsidR="009F1D93" w:rsidRPr="003B7CD2">
        <w:t>1(2) of Schedule</w:t>
      </w:r>
      <w:r w:rsidR="003B7CD2" w:rsidRPr="003B7CD2">
        <w:t> </w:t>
      </w:r>
      <w:r w:rsidR="009F1D93" w:rsidRPr="003B7CD2">
        <w:t>1 (table)</w:t>
      </w:r>
    </w:p>
    <w:p w:rsidR="009F1D93" w:rsidRPr="003B7CD2" w:rsidRDefault="009F1D93" w:rsidP="009F1D93">
      <w:pPr>
        <w:pStyle w:val="Item"/>
      </w:pPr>
      <w:r w:rsidRPr="003B7CD2">
        <w:t>Repeal the table, substitute:</w:t>
      </w:r>
    </w:p>
    <w:p w:rsidR="00521A34" w:rsidRPr="003B7CD2" w:rsidRDefault="00521A34" w:rsidP="00521A3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8"/>
        <w:gridCol w:w="1476"/>
      </w:tblGrid>
      <w:tr w:rsidR="00521A34" w:rsidRPr="003B7CD2" w:rsidTr="00521A3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Heading"/>
            </w:pPr>
            <w:r w:rsidRPr="003B7CD2">
              <w:t>Fixed fees for the supply of water services</w:t>
            </w:r>
          </w:p>
        </w:tc>
      </w:tr>
      <w:tr w:rsidR="00521A34" w:rsidRPr="003B7CD2" w:rsidTr="00E77338">
        <w:trPr>
          <w:tblHeader/>
        </w:trPr>
        <w:tc>
          <w:tcPr>
            <w:tcW w:w="3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Heading"/>
            </w:pPr>
            <w:r w:rsidRPr="003B7CD2">
              <w:t>Item</w:t>
            </w:r>
          </w:p>
        </w:tc>
        <w:tc>
          <w:tcPr>
            <w:tcW w:w="373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Heading"/>
            </w:pPr>
            <w:r w:rsidRPr="003B7CD2">
              <w:t>Supply of water services to ...</w:t>
            </w:r>
          </w:p>
        </w:tc>
        <w:tc>
          <w:tcPr>
            <w:tcW w:w="8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Heading"/>
              <w:jc w:val="right"/>
            </w:pPr>
            <w:r w:rsidRPr="003B7CD2">
              <w:t>Fixed fee</w:t>
            </w:r>
          </w:p>
        </w:tc>
      </w:tr>
      <w:tr w:rsidR="00521A34" w:rsidRPr="003B7CD2" w:rsidTr="00E77338"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1</w:t>
            </w:r>
          </w:p>
        </w:tc>
        <w:tc>
          <w:tcPr>
            <w:tcW w:w="37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residential land</w:t>
            </w:r>
          </w:p>
        </w:tc>
        <w:tc>
          <w:tcPr>
            <w:tcW w:w="8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21A34" w:rsidRPr="003B7CD2" w:rsidRDefault="00DB3754" w:rsidP="00DB3754">
            <w:pPr>
              <w:pStyle w:val="Tabletext"/>
              <w:jc w:val="right"/>
            </w:pPr>
            <w:r w:rsidRPr="003B7CD2">
              <w:t>$250.39</w:t>
            </w:r>
          </w:p>
        </w:tc>
      </w:tr>
      <w:tr w:rsidR="0030755C" w:rsidRPr="003B7CD2" w:rsidTr="0030755C">
        <w:trPr>
          <w:trHeight w:val="3050"/>
        </w:trPr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2</w:t>
            </w:r>
          </w:p>
        </w:tc>
        <w:tc>
          <w:tcPr>
            <w:tcW w:w="3739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commercial land or industrial land (other than land mentioned in item</w:t>
            </w:r>
            <w:r w:rsidR="003B7CD2" w:rsidRPr="003B7CD2">
              <w:t> </w:t>
            </w:r>
            <w:r w:rsidRPr="003B7CD2">
              <w:t>5), commercial/residential land, mining land or government land, or shipping (supply of water services to land for the purpose of water being taken on board a ship in a port), with: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no meter or a 15 or 20 mm meter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a 25 mm meter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(c) a 40 mm meter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(d) a 50 mm meter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(e) a 80 mm meter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(f) a 100 mm meter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(g) a 150 mm meter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$250.39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$391.26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$1,001.63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$1,565.03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$4,006.46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$6,260.10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$14,085.23</w:t>
            </w:r>
          </w:p>
        </w:tc>
      </w:tr>
      <w:tr w:rsidR="00521A34" w:rsidRPr="003B7CD2" w:rsidTr="00E77338"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3</w:t>
            </w:r>
          </w:p>
        </w:tc>
        <w:tc>
          <w:tcPr>
            <w:tcW w:w="3739" w:type="pct"/>
            <w:tcBorders>
              <w:top w:val="single" w:sz="4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institutional/public land, charitable purposes land or local government land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</w:tcPr>
          <w:p w:rsidR="00521A34" w:rsidRPr="003B7CD2" w:rsidRDefault="00DB3754" w:rsidP="00DB3754">
            <w:pPr>
              <w:pStyle w:val="Tabletext"/>
              <w:jc w:val="right"/>
            </w:pPr>
            <w:r w:rsidRPr="003B7CD2">
              <w:t>Nil</w:t>
            </w:r>
          </w:p>
        </w:tc>
      </w:tr>
      <w:tr w:rsidR="00521A34" w:rsidRPr="003B7CD2" w:rsidTr="00E77338">
        <w:tc>
          <w:tcPr>
            <w:tcW w:w="396" w:type="pct"/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4</w:t>
            </w:r>
          </w:p>
        </w:tc>
        <w:tc>
          <w:tcPr>
            <w:tcW w:w="3739" w:type="pct"/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vacant land</w:t>
            </w:r>
          </w:p>
        </w:tc>
        <w:tc>
          <w:tcPr>
            <w:tcW w:w="865" w:type="pct"/>
            <w:shd w:val="clear" w:color="auto" w:fill="auto"/>
          </w:tcPr>
          <w:p w:rsidR="00521A34" w:rsidRPr="003B7CD2" w:rsidRDefault="00DB3754" w:rsidP="00DB3754">
            <w:pPr>
              <w:pStyle w:val="Tabletext"/>
              <w:jc w:val="right"/>
            </w:pPr>
            <w:r w:rsidRPr="003B7CD2">
              <w:t>$250.39</w:t>
            </w:r>
          </w:p>
        </w:tc>
      </w:tr>
      <w:tr w:rsidR="00521A34" w:rsidRPr="003B7CD2" w:rsidTr="00E77338">
        <w:tc>
          <w:tcPr>
            <w:tcW w:w="396" w:type="pct"/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5</w:t>
            </w:r>
          </w:p>
        </w:tc>
        <w:tc>
          <w:tcPr>
            <w:tcW w:w="3739" w:type="pct"/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strata</w:t>
            </w:r>
            <w:r w:rsidR="003B7CD2">
              <w:noBreakHyphen/>
            </w:r>
            <w:r w:rsidRPr="003B7CD2">
              <w:t>titled commercial land or industrial land, if sharing a water service</w:t>
            </w:r>
          </w:p>
        </w:tc>
        <w:tc>
          <w:tcPr>
            <w:tcW w:w="865" w:type="pct"/>
            <w:shd w:val="clear" w:color="auto" w:fill="auto"/>
          </w:tcPr>
          <w:p w:rsidR="00521A34" w:rsidRPr="003B7CD2" w:rsidRDefault="00DB3754" w:rsidP="00DB3754">
            <w:pPr>
              <w:pStyle w:val="Tabletext"/>
              <w:jc w:val="right"/>
            </w:pPr>
            <w:r w:rsidRPr="003B7CD2">
              <w:t>$250.39</w:t>
            </w:r>
          </w:p>
        </w:tc>
      </w:tr>
      <w:tr w:rsidR="00521A34" w:rsidRPr="003B7CD2" w:rsidTr="00E77338"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6</w:t>
            </w:r>
          </w:p>
        </w:tc>
        <w:tc>
          <w:tcPr>
            <w:tcW w:w="3739" w:type="pct"/>
            <w:tcBorders>
              <w:bottom w:val="single" w:sz="12" w:space="0" w:color="auto"/>
            </w:tcBorders>
            <w:shd w:val="clear" w:color="auto" w:fill="auto"/>
          </w:tcPr>
          <w:p w:rsidR="00521A34" w:rsidRPr="003B7CD2" w:rsidRDefault="00521A34" w:rsidP="00DB3754">
            <w:pPr>
              <w:pStyle w:val="Tabletext"/>
            </w:pPr>
            <w:r w:rsidRPr="003B7CD2">
              <w:t>any land, for the supply of a fire service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</w:tcPr>
          <w:p w:rsidR="00521A34" w:rsidRPr="003B7CD2" w:rsidRDefault="00DB3754" w:rsidP="00DB3754">
            <w:pPr>
              <w:pStyle w:val="Tabletext"/>
              <w:jc w:val="right"/>
            </w:pPr>
            <w:r w:rsidRPr="003B7CD2">
              <w:t>$250.39</w:t>
            </w:r>
          </w:p>
        </w:tc>
      </w:tr>
    </w:tbl>
    <w:p w:rsidR="00B04EAA" w:rsidRPr="003B7CD2" w:rsidRDefault="00267EDC" w:rsidP="00B04EAA">
      <w:pPr>
        <w:pStyle w:val="ItemHead"/>
      </w:pPr>
      <w:r w:rsidRPr="003B7CD2">
        <w:t>5</w:t>
      </w:r>
      <w:r w:rsidR="00B04EAA" w:rsidRPr="003B7CD2">
        <w:t xml:space="preserve">  Clause</w:t>
      </w:r>
      <w:r w:rsidR="003B7CD2" w:rsidRPr="003B7CD2">
        <w:t> </w:t>
      </w:r>
      <w:r w:rsidR="00B04EAA" w:rsidRPr="003B7CD2">
        <w:t>1 of Schedule</w:t>
      </w:r>
      <w:r w:rsidR="003B7CD2" w:rsidRPr="003B7CD2">
        <w:t> </w:t>
      </w:r>
      <w:r w:rsidR="00B04EAA" w:rsidRPr="003B7CD2">
        <w:t>2 (table)</w:t>
      </w:r>
    </w:p>
    <w:p w:rsidR="00B04EAA" w:rsidRPr="003B7CD2" w:rsidRDefault="00B04EAA" w:rsidP="00B04EAA">
      <w:pPr>
        <w:pStyle w:val="Item"/>
      </w:pPr>
      <w:r w:rsidRPr="003B7CD2">
        <w:t>Repeal the table, substitute:</w:t>
      </w:r>
    </w:p>
    <w:p w:rsidR="00B04EAA" w:rsidRPr="003B7CD2" w:rsidRDefault="00B04EAA" w:rsidP="00B04EAA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5807"/>
        <w:gridCol w:w="1757"/>
      </w:tblGrid>
      <w:tr w:rsidR="00B04EAA" w:rsidRPr="003B7CD2" w:rsidTr="00DB375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</w:pPr>
            <w:r w:rsidRPr="003B7CD2">
              <w:t>Fixed fees for the supply of sewerage services</w:t>
            </w:r>
          </w:p>
        </w:tc>
      </w:tr>
      <w:tr w:rsidR="00B04EAA" w:rsidRPr="003B7CD2" w:rsidTr="00DB3754">
        <w:trPr>
          <w:trHeight w:val="340"/>
          <w:tblHeader/>
        </w:trPr>
        <w:tc>
          <w:tcPr>
            <w:tcW w:w="56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</w:pPr>
            <w:r w:rsidRPr="003B7CD2">
              <w:t>Item</w:t>
            </w:r>
          </w:p>
        </w:tc>
        <w:tc>
          <w:tcPr>
            <w:tcW w:w="340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</w:pPr>
            <w:r w:rsidRPr="003B7CD2">
              <w:t>Supply of sewerage services to …</w:t>
            </w:r>
          </w:p>
        </w:tc>
        <w:tc>
          <w:tcPr>
            <w:tcW w:w="103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  <w:jc w:val="right"/>
            </w:pPr>
            <w:r w:rsidRPr="003B7CD2">
              <w:t>Fixed fee</w:t>
            </w:r>
          </w:p>
        </w:tc>
      </w:tr>
      <w:tr w:rsidR="00B04EAA" w:rsidRPr="003B7CD2" w:rsidTr="00DB3754">
        <w:tc>
          <w:tcPr>
            <w:tcW w:w="56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  <w:r w:rsidRPr="003B7CD2">
              <w:t>1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  <w:r w:rsidRPr="003B7CD2">
              <w:t>residential land: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  <w:jc w:val="right"/>
            </w:pPr>
          </w:p>
        </w:tc>
      </w:tr>
      <w:tr w:rsidR="00B04EAA" w:rsidRPr="003B7CD2" w:rsidTr="00DB3754">
        <w:tc>
          <w:tcPr>
            <w:tcW w:w="566" w:type="pct"/>
            <w:vMerge/>
            <w:tcBorders>
              <w:left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</w:p>
        </w:tc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a"/>
            </w:pPr>
            <w:r w:rsidRPr="003B7CD2">
              <w:t>(a) rate in the dollar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5F3C7C" w:rsidP="00DB3754">
            <w:pPr>
              <w:pStyle w:val="Tabletext"/>
              <w:jc w:val="right"/>
            </w:pPr>
            <w:r w:rsidRPr="003B7CD2">
              <w:rPr>
                <w:lang w:eastAsia="en-US"/>
              </w:rPr>
              <w:t>$0.1329 per $1 of gross rental value</w:t>
            </w:r>
          </w:p>
        </w:tc>
      </w:tr>
      <w:tr w:rsidR="00B04EAA" w:rsidRPr="003B7CD2" w:rsidTr="00DB3754">
        <w:tc>
          <w:tcPr>
            <w:tcW w:w="566" w:type="pct"/>
            <w:vMerge/>
            <w:tcBorders>
              <w:left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</w:p>
        </w:tc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a"/>
            </w:pPr>
            <w:r w:rsidRPr="003B7CD2">
              <w:t>(b) minimum annual fee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DB3754" w:rsidP="00DB3754">
            <w:pPr>
              <w:pStyle w:val="Tabletext"/>
              <w:jc w:val="right"/>
            </w:pPr>
            <w:r w:rsidRPr="003B7CD2">
              <w:t>$404.14</w:t>
            </w:r>
          </w:p>
        </w:tc>
      </w:tr>
      <w:tr w:rsidR="00B04EAA" w:rsidRPr="003B7CD2" w:rsidTr="00DB3754">
        <w:tc>
          <w:tcPr>
            <w:tcW w:w="56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</w:p>
        </w:tc>
        <w:tc>
          <w:tcPr>
            <w:tcW w:w="3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a"/>
            </w:pPr>
            <w:r w:rsidRPr="003B7CD2">
              <w:t>(c) maximum annual fee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DB3754" w:rsidP="00DB3754">
            <w:pPr>
              <w:pStyle w:val="Tabletext"/>
              <w:jc w:val="right"/>
            </w:pPr>
            <w:r w:rsidRPr="003B7CD2">
              <w:t>$1</w:t>
            </w:r>
            <w:r w:rsidR="00C83722" w:rsidRPr="003B7CD2">
              <w:t>,</w:t>
            </w:r>
            <w:r w:rsidRPr="003B7CD2">
              <w:t>103.34</w:t>
            </w:r>
          </w:p>
        </w:tc>
      </w:tr>
      <w:tr w:rsidR="0030755C" w:rsidRPr="003B7CD2" w:rsidTr="0030755C">
        <w:trPr>
          <w:trHeight w:val="1990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2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commercial land or industrial land (other than land mentioned in item</w:t>
            </w:r>
            <w:r w:rsidR="003B7CD2" w:rsidRPr="003B7CD2">
              <w:t> </w:t>
            </w:r>
            <w:r w:rsidRPr="003B7CD2">
              <w:t>6) or mining land: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first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second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(c) third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(d) each subsequent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(e) minimum annual fee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$939.88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$402.32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$537.29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$584.27</w:t>
            </w:r>
          </w:p>
          <w:p w:rsidR="0030755C" w:rsidRPr="003B7CD2" w:rsidRDefault="0030755C" w:rsidP="0030755C">
            <w:pPr>
              <w:pStyle w:val="Tabletext"/>
              <w:jc w:val="right"/>
              <w:rPr>
                <w:i/>
              </w:rPr>
            </w:pPr>
            <w:r w:rsidRPr="003B7CD2">
              <w:t>$939.88</w:t>
            </w:r>
          </w:p>
        </w:tc>
      </w:tr>
      <w:tr w:rsidR="00B04EAA" w:rsidRPr="003B7CD2" w:rsidTr="00DB3754">
        <w:tc>
          <w:tcPr>
            <w:tcW w:w="56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  <w:r w:rsidRPr="003B7CD2">
              <w:t>3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  <w:r w:rsidRPr="003B7CD2">
              <w:t>vacant land: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  <w:jc w:val="right"/>
            </w:pPr>
          </w:p>
        </w:tc>
      </w:tr>
      <w:tr w:rsidR="00B04EAA" w:rsidRPr="003B7CD2" w:rsidTr="00DB3754">
        <w:tc>
          <w:tcPr>
            <w:tcW w:w="566" w:type="pct"/>
            <w:vMerge/>
            <w:tcBorders>
              <w:left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</w:p>
        </w:tc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a"/>
            </w:pPr>
            <w:r w:rsidRPr="003B7CD2">
              <w:t>(a) rate in the dollar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5F3C7C" w:rsidP="00DB3754">
            <w:pPr>
              <w:pStyle w:val="Tabletext"/>
              <w:jc w:val="right"/>
            </w:pPr>
            <w:r w:rsidRPr="003B7CD2">
              <w:rPr>
                <w:lang w:eastAsia="en-US"/>
              </w:rPr>
              <w:t>$0.1329 per $1 of gross rental value</w:t>
            </w:r>
          </w:p>
        </w:tc>
      </w:tr>
      <w:tr w:rsidR="00B04EAA" w:rsidRPr="003B7CD2" w:rsidTr="00DB3754">
        <w:tc>
          <w:tcPr>
            <w:tcW w:w="566" w:type="pct"/>
            <w:vMerge/>
            <w:tcBorders>
              <w:left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</w:p>
        </w:tc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a"/>
            </w:pPr>
            <w:r w:rsidRPr="003B7CD2">
              <w:t>(b) minimum annual fee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EAA" w:rsidRPr="003B7CD2" w:rsidRDefault="00DB3754" w:rsidP="00DB3754">
            <w:pPr>
              <w:pStyle w:val="Tabletext"/>
              <w:jc w:val="right"/>
            </w:pPr>
            <w:r w:rsidRPr="003B7CD2">
              <w:t>$265.93</w:t>
            </w:r>
          </w:p>
        </w:tc>
      </w:tr>
      <w:tr w:rsidR="00B04EAA" w:rsidRPr="003B7CD2" w:rsidTr="00DB3754">
        <w:tc>
          <w:tcPr>
            <w:tcW w:w="56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</w:p>
        </w:tc>
        <w:tc>
          <w:tcPr>
            <w:tcW w:w="3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a"/>
            </w:pPr>
            <w:r w:rsidRPr="003B7CD2">
              <w:t>(c) maximum annual fee (if zoned for future residential use)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4EAA" w:rsidRPr="003B7CD2" w:rsidRDefault="00DB3754" w:rsidP="00DB3754">
            <w:pPr>
              <w:pStyle w:val="Tabletext"/>
              <w:jc w:val="right"/>
            </w:pPr>
            <w:r w:rsidRPr="003B7CD2">
              <w:t>$1</w:t>
            </w:r>
            <w:r w:rsidR="003578ED" w:rsidRPr="003B7CD2">
              <w:t>,</w:t>
            </w:r>
            <w:r w:rsidRPr="003B7CD2">
              <w:t>103.34</w:t>
            </w:r>
          </w:p>
        </w:tc>
      </w:tr>
      <w:tr w:rsidR="0030755C" w:rsidRPr="003B7CD2" w:rsidTr="0030755C">
        <w:trPr>
          <w:trHeight w:val="1120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4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institutional/public land, charitable purposes land or local government land: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first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each subsequent major fixture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$252.52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$111.10</w:t>
            </w:r>
          </w:p>
        </w:tc>
      </w:tr>
      <w:tr w:rsidR="0030755C" w:rsidRPr="003B7CD2" w:rsidTr="00483A58">
        <w:trPr>
          <w:trHeight w:val="1540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5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government land: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first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second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(c) third major fixture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(d) each subsequent major fixture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83A58" w:rsidRPr="003B7CD2" w:rsidRDefault="00483A58" w:rsidP="00483A58">
            <w:pPr>
              <w:pStyle w:val="Tabletext"/>
              <w:spacing w:before="0"/>
              <w:jc w:val="right"/>
            </w:pP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$939.88</w:t>
            </w: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$402.32</w:t>
            </w: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$537.29</w:t>
            </w: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$584.27</w:t>
            </w:r>
          </w:p>
        </w:tc>
      </w:tr>
      <w:tr w:rsidR="00B04EAA" w:rsidRPr="003B7CD2" w:rsidTr="00B068C4">
        <w:trPr>
          <w:trHeight w:val="584"/>
        </w:trPr>
        <w:tc>
          <w:tcPr>
            <w:tcW w:w="5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  <w:r w:rsidRPr="003B7CD2">
              <w:t>6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04EAA" w:rsidRPr="003B7CD2" w:rsidRDefault="00B04EAA" w:rsidP="00DB3754">
            <w:pPr>
              <w:pStyle w:val="Tabletext"/>
            </w:pPr>
            <w:r w:rsidRPr="003B7CD2">
              <w:t>strata</w:t>
            </w:r>
            <w:r w:rsidR="003B7CD2">
              <w:noBreakHyphen/>
            </w:r>
            <w:r w:rsidRPr="003B7CD2">
              <w:t>titled commercial land or industrial land, if sharing a major fixture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04EAA" w:rsidRPr="003B7CD2" w:rsidRDefault="00D121F6" w:rsidP="00B068C4">
            <w:pPr>
              <w:pStyle w:val="Tabletext"/>
              <w:jc w:val="right"/>
            </w:pPr>
            <w:r w:rsidRPr="003B7CD2">
              <w:t>$584.27</w:t>
            </w:r>
          </w:p>
        </w:tc>
      </w:tr>
    </w:tbl>
    <w:p w:rsidR="00B04EAA" w:rsidRPr="003B7CD2" w:rsidRDefault="00267EDC" w:rsidP="00B04EAA">
      <w:pPr>
        <w:pStyle w:val="ItemHead"/>
      </w:pPr>
      <w:r w:rsidRPr="003B7CD2">
        <w:t>6</w:t>
      </w:r>
      <w:r w:rsidR="003643A0" w:rsidRPr="003B7CD2">
        <w:t xml:space="preserve">  </w:t>
      </w:r>
      <w:r w:rsidR="00B04EAA" w:rsidRPr="003B7CD2">
        <w:t>Clause</w:t>
      </w:r>
      <w:r w:rsidR="003B7CD2" w:rsidRPr="003B7CD2">
        <w:t> </w:t>
      </w:r>
      <w:r w:rsidR="00B04EAA" w:rsidRPr="003B7CD2">
        <w:t>1 of Schedule</w:t>
      </w:r>
      <w:r w:rsidR="003B7CD2" w:rsidRPr="003B7CD2">
        <w:t> </w:t>
      </w:r>
      <w:r w:rsidR="00B04EAA" w:rsidRPr="003B7CD2">
        <w:t>3 (table)</w:t>
      </w:r>
    </w:p>
    <w:p w:rsidR="00B04EAA" w:rsidRPr="003B7CD2" w:rsidRDefault="00B04EAA" w:rsidP="00B04EAA">
      <w:pPr>
        <w:pStyle w:val="Item"/>
      </w:pPr>
      <w:r w:rsidRPr="003B7CD2">
        <w:t>Repeal the table, substitute:</w:t>
      </w:r>
    </w:p>
    <w:p w:rsidR="00B04EAA" w:rsidRPr="003B7CD2" w:rsidRDefault="00B04EAA" w:rsidP="00B04EA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81"/>
        <w:gridCol w:w="6131"/>
        <w:gridCol w:w="1617"/>
      </w:tblGrid>
      <w:tr w:rsidR="00B04EAA" w:rsidRPr="003B7CD2" w:rsidTr="00C8372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</w:pPr>
            <w:r w:rsidRPr="003B7CD2">
              <w:t>Quantity fees for the supply of water and sewerage services</w:t>
            </w:r>
          </w:p>
        </w:tc>
      </w:tr>
      <w:tr w:rsidR="00B04EAA" w:rsidRPr="003B7CD2" w:rsidTr="00C83722">
        <w:trPr>
          <w:tblHeader/>
        </w:trPr>
        <w:tc>
          <w:tcPr>
            <w:tcW w:w="4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</w:pPr>
            <w:r w:rsidRPr="003B7CD2">
              <w:t>Item</w:t>
            </w:r>
          </w:p>
        </w:tc>
        <w:tc>
          <w:tcPr>
            <w:tcW w:w="35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</w:pPr>
            <w:r w:rsidRPr="003B7CD2">
              <w:t>Supply of water and sewerage services to ...</w:t>
            </w:r>
          </w:p>
        </w:tc>
        <w:tc>
          <w:tcPr>
            <w:tcW w:w="9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04EAA" w:rsidRPr="003B7CD2" w:rsidRDefault="00B04EAA" w:rsidP="00DB3754">
            <w:pPr>
              <w:pStyle w:val="TableHeading"/>
              <w:jc w:val="right"/>
            </w:pPr>
            <w:r w:rsidRPr="003B7CD2">
              <w:t xml:space="preserve">Quantity fee (per </w:t>
            </w:r>
            <w:proofErr w:type="spellStart"/>
            <w:r w:rsidRPr="003B7CD2">
              <w:t>kL</w:t>
            </w:r>
            <w:proofErr w:type="spellEnd"/>
            <w:r w:rsidRPr="003B7CD2">
              <w:t xml:space="preserve"> of water used)</w:t>
            </w:r>
          </w:p>
        </w:tc>
      </w:tr>
      <w:tr w:rsidR="0030755C" w:rsidRPr="003B7CD2" w:rsidTr="00B068C4">
        <w:trPr>
          <w:trHeight w:val="855"/>
        </w:trPr>
        <w:tc>
          <w:tcPr>
            <w:tcW w:w="458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1</w:t>
            </w:r>
          </w:p>
        </w:tc>
        <w:tc>
          <w:tcPr>
            <w:tcW w:w="3594" w:type="pct"/>
            <w:tcBorders>
              <w:top w:val="single" w:sz="12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residential land or vacant land that has been zoned for residential purposes: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(a) 0 to 350 </w:t>
            </w:r>
            <w:proofErr w:type="spellStart"/>
            <w:r w:rsidRPr="003B7CD2">
              <w:t>kL</w:t>
            </w:r>
            <w:proofErr w:type="spellEnd"/>
          </w:p>
        </w:tc>
        <w:tc>
          <w:tcPr>
            <w:tcW w:w="948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0755C" w:rsidRPr="003B7CD2" w:rsidRDefault="0030755C" w:rsidP="00B068C4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$1.681</w:t>
            </w:r>
          </w:p>
        </w:tc>
      </w:tr>
      <w:tr w:rsidR="0030755C" w:rsidRPr="003B7CD2" w:rsidTr="00B35448">
        <w:trPr>
          <w:trHeight w:val="915"/>
        </w:trPr>
        <w:tc>
          <w:tcPr>
            <w:tcW w:w="458" w:type="pct"/>
            <w:vMerge/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</w:p>
        </w:tc>
        <w:tc>
          <w:tcPr>
            <w:tcW w:w="3594" w:type="pct"/>
            <w:tcBorders>
              <w:top w:val="nil"/>
            </w:tcBorders>
            <w:shd w:val="clear" w:color="auto" w:fill="auto"/>
          </w:tcPr>
          <w:p w:rsidR="0030755C" w:rsidRPr="003B7CD2" w:rsidRDefault="0030755C" w:rsidP="00DB3754">
            <w:pPr>
              <w:pStyle w:val="Tablea"/>
            </w:pPr>
            <w:r w:rsidRPr="003B7CD2">
              <w:t xml:space="preserve">(b) 351 to 500 </w:t>
            </w:r>
            <w:proofErr w:type="spellStart"/>
            <w:r w:rsidRPr="003B7CD2">
              <w:t>kL</w:t>
            </w:r>
            <w:proofErr w:type="spellEnd"/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(c) 501 to 750 </w:t>
            </w:r>
            <w:proofErr w:type="spellStart"/>
            <w:r w:rsidRPr="003B7CD2">
              <w:t>kL</w:t>
            </w:r>
            <w:proofErr w:type="spellEnd"/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(d) over 750 </w:t>
            </w:r>
            <w:proofErr w:type="spellStart"/>
            <w:r w:rsidRPr="003B7CD2">
              <w:t>kL</w:t>
            </w:r>
            <w:proofErr w:type="spellEnd"/>
          </w:p>
        </w:tc>
        <w:tc>
          <w:tcPr>
            <w:tcW w:w="948" w:type="pct"/>
            <w:tcBorders>
              <w:top w:val="nil"/>
            </w:tcBorders>
            <w:shd w:val="clear" w:color="auto" w:fill="auto"/>
            <w:vAlign w:val="bottom"/>
          </w:tcPr>
          <w:p w:rsidR="0030755C" w:rsidRPr="003B7CD2" w:rsidRDefault="0030755C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$2.241</w:t>
            </w:r>
          </w:p>
          <w:p w:rsidR="0030755C" w:rsidRPr="003B7CD2" w:rsidRDefault="0030755C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$4.583</w:t>
            </w:r>
          </w:p>
          <w:p w:rsidR="0030755C" w:rsidRPr="003B7CD2" w:rsidRDefault="0030755C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$7.880</w:t>
            </w:r>
          </w:p>
        </w:tc>
      </w:tr>
      <w:tr w:rsidR="0030755C" w:rsidRPr="003B7CD2" w:rsidTr="00106FCD">
        <w:trPr>
          <w:trHeight w:val="910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2</w:t>
            </w:r>
          </w:p>
        </w:tc>
        <w:tc>
          <w:tcPr>
            <w:tcW w:w="3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commercial/residential land: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(a) 0 to 150 </w:t>
            </w:r>
            <w:proofErr w:type="spellStart"/>
            <w:r w:rsidRPr="003B7CD2">
              <w:t>kL</w:t>
            </w:r>
            <w:proofErr w:type="spellEnd"/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(b) over 150 </w:t>
            </w:r>
            <w:proofErr w:type="spellStart"/>
            <w:r w:rsidRPr="003B7CD2">
              <w:t>kL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755C" w:rsidRPr="003B7CD2" w:rsidRDefault="0030755C" w:rsidP="00C83722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$1.681</w:t>
            </w:r>
          </w:p>
          <w:p w:rsidR="0030755C" w:rsidRPr="003B7CD2" w:rsidRDefault="0030755C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$7.880</w:t>
            </w:r>
          </w:p>
        </w:tc>
      </w:tr>
      <w:tr w:rsidR="003578ED" w:rsidRPr="003B7CD2" w:rsidTr="00106FCD"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ED" w:rsidRPr="003B7CD2" w:rsidRDefault="003578ED" w:rsidP="00DB3754">
            <w:pPr>
              <w:pStyle w:val="Tabletext"/>
            </w:pPr>
            <w:r w:rsidRPr="003B7CD2">
              <w:t>3</w:t>
            </w:r>
          </w:p>
        </w:tc>
        <w:tc>
          <w:tcPr>
            <w:tcW w:w="3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ED" w:rsidRPr="003B7CD2" w:rsidRDefault="003578ED" w:rsidP="00DB3754">
            <w:pPr>
              <w:pStyle w:val="Tabletext"/>
            </w:pPr>
            <w:r w:rsidRPr="003B7CD2">
              <w:t>vacant land not mentioned in item</w:t>
            </w:r>
            <w:r w:rsidR="003B7CD2" w:rsidRPr="003B7CD2">
              <w:t> </w:t>
            </w:r>
            <w:r w:rsidRPr="003B7CD2"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8ED" w:rsidRPr="003B7CD2" w:rsidRDefault="00C83722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$7.880</w:t>
            </w:r>
          </w:p>
        </w:tc>
      </w:tr>
      <w:tr w:rsidR="003578ED" w:rsidRPr="003B7CD2" w:rsidTr="00106FCD"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ED" w:rsidRPr="003B7CD2" w:rsidRDefault="003578ED" w:rsidP="00DB3754">
            <w:pPr>
              <w:pStyle w:val="Tabletext"/>
            </w:pPr>
            <w:r w:rsidRPr="003B7CD2">
              <w:t>4</w:t>
            </w:r>
          </w:p>
        </w:tc>
        <w:tc>
          <w:tcPr>
            <w:tcW w:w="3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ED" w:rsidRPr="003B7CD2" w:rsidRDefault="003578ED" w:rsidP="00DB3754">
            <w:pPr>
              <w:pStyle w:val="Tabletext"/>
            </w:pPr>
            <w:r w:rsidRPr="003B7CD2">
              <w:t>government land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8ED" w:rsidRPr="003B7CD2" w:rsidRDefault="00C83722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$7.880</w:t>
            </w:r>
          </w:p>
        </w:tc>
      </w:tr>
      <w:tr w:rsidR="003578ED" w:rsidRPr="003B7CD2" w:rsidTr="00106FCD"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ED" w:rsidRPr="003B7CD2" w:rsidRDefault="003578ED" w:rsidP="00DB3754">
            <w:pPr>
              <w:pStyle w:val="Tabletext"/>
            </w:pPr>
            <w:r w:rsidRPr="003B7CD2">
              <w:t>5</w:t>
            </w:r>
          </w:p>
        </w:tc>
        <w:tc>
          <w:tcPr>
            <w:tcW w:w="3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8ED" w:rsidRPr="003B7CD2" w:rsidRDefault="003578ED" w:rsidP="00DB3754">
            <w:pPr>
              <w:pStyle w:val="Tabletext"/>
            </w:pPr>
            <w:r w:rsidRPr="003B7CD2">
              <w:t>institutional/public land used for non</w:t>
            </w:r>
            <w:r w:rsidR="003B7CD2">
              <w:noBreakHyphen/>
            </w:r>
            <w:r w:rsidRPr="003B7CD2">
              <w:t>government schools, churches or community facilities, charitable purposes land or local government land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578ED" w:rsidRPr="003B7CD2" w:rsidRDefault="003578ED" w:rsidP="0030755C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</w:t>
            </w:r>
            <w:r w:rsidR="00C83722" w:rsidRPr="003B7CD2">
              <w:rPr>
                <w:lang w:eastAsia="en-US"/>
              </w:rPr>
              <w:t>2.391</w:t>
            </w:r>
          </w:p>
        </w:tc>
      </w:tr>
      <w:tr w:rsidR="00C83722" w:rsidRPr="003B7CD2" w:rsidTr="00106FCD"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722" w:rsidRPr="003B7CD2" w:rsidRDefault="00C83722" w:rsidP="00DB3754">
            <w:pPr>
              <w:pStyle w:val="Tabletext"/>
            </w:pPr>
            <w:r w:rsidRPr="003B7CD2">
              <w:t>6</w:t>
            </w:r>
          </w:p>
        </w:tc>
        <w:tc>
          <w:tcPr>
            <w:tcW w:w="3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722" w:rsidRPr="003B7CD2" w:rsidRDefault="00C83722" w:rsidP="00DB3754">
            <w:pPr>
              <w:pStyle w:val="Tabletext"/>
            </w:pPr>
            <w:r w:rsidRPr="003B7CD2">
              <w:t>commercial land, industrial land or mining land, or shipping (supply of water services to land for the purpose of water being taken on board a ship in a port)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83722" w:rsidRPr="003B7CD2" w:rsidRDefault="00C83722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$7.880</w:t>
            </w:r>
          </w:p>
        </w:tc>
      </w:tr>
      <w:tr w:rsidR="0030755C" w:rsidRPr="003B7CD2" w:rsidTr="00106FCD">
        <w:trPr>
          <w:trHeight w:val="1125"/>
        </w:trPr>
        <w:tc>
          <w:tcPr>
            <w:tcW w:w="45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7</w:t>
            </w:r>
          </w:p>
        </w:tc>
        <w:tc>
          <w:tcPr>
            <w:tcW w:w="35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commercial land, government land or industrial land—discharge to sewer: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(a) 0 to 200 </w:t>
            </w:r>
            <w:proofErr w:type="spellStart"/>
            <w:r w:rsidRPr="003B7CD2">
              <w:t>kL</w:t>
            </w:r>
            <w:proofErr w:type="spellEnd"/>
            <w:r w:rsidRPr="003B7CD2">
              <w:t xml:space="preserve"> per property (allowance)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 xml:space="preserve">(b) over 200 </w:t>
            </w:r>
            <w:proofErr w:type="spellStart"/>
            <w:r w:rsidRPr="003B7CD2">
              <w:t>kL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30755C" w:rsidRPr="003B7CD2" w:rsidRDefault="0030755C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Nil</w:t>
            </w:r>
          </w:p>
          <w:p w:rsidR="0030755C" w:rsidRPr="003B7CD2" w:rsidRDefault="0030755C" w:rsidP="00C83722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$3.453</w:t>
            </w:r>
          </w:p>
        </w:tc>
      </w:tr>
    </w:tbl>
    <w:p w:rsidR="00267EDC" w:rsidRPr="003B7CD2" w:rsidRDefault="00267EDC" w:rsidP="00267EDC">
      <w:pPr>
        <w:pStyle w:val="ItemHead"/>
      </w:pPr>
      <w:r w:rsidRPr="003B7CD2">
        <w:t>7  Subclause</w:t>
      </w:r>
      <w:r w:rsidR="003B7CD2" w:rsidRPr="003B7CD2">
        <w:t> </w:t>
      </w:r>
      <w:r w:rsidRPr="003B7CD2">
        <w:t>1(1) of Schedule</w:t>
      </w:r>
      <w:r w:rsidR="003B7CD2" w:rsidRPr="003B7CD2">
        <w:t> </w:t>
      </w:r>
      <w:r w:rsidRPr="003B7CD2">
        <w:t>4 (table)</w:t>
      </w:r>
    </w:p>
    <w:p w:rsidR="00267EDC" w:rsidRPr="003B7CD2" w:rsidRDefault="00267EDC" w:rsidP="00267EDC">
      <w:pPr>
        <w:pStyle w:val="Item"/>
      </w:pPr>
      <w:r w:rsidRPr="003B7CD2">
        <w:t>Repeal the table, substitute:</w:t>
      </w:r>
    </w:p>
    <w:p w:rsidR="00267EDC" w:rsidRPr="003B7CD2" w:rsidRDefault="00267EDC" w:rsidP="00267ED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6351"/>
        <w:gridCol w:w="1397"/>
      </w:tblGrid>
      <w:tr w:rsidR="00267EDC" w:rsidRPr="003B7CD2" w:rsidTr="00DB375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Heading"/>
            </w:pPr>
            <w:r w:rsidRPr="003B7CD2">
              <w:t>Fees for the supply of other water and sewerage services</w:t>
            </w:r>
          </w:p>
        </w:tc>
      </w:tr>
      <w:tr w:rsidR="00267EDC" w:rsidRPr="003B7CD2" w:rsidTr="00DB3754">
        <w:trPr>
          <w:tblHeader/>
        </w:trPr>
        <w:tc>
          <w:tcPr>
            <w:tcW w:w="4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Heading"/>
            </w:pPr>
            <w:r w:rsidRPr="003B7CD2">
              <w:t>Item</w:t>
            </w:r>
          </w:p>
        </w:tc>
        <w:tc>
          <w:tcPr>
            <w:tcW w:w="372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Heading"/>
            </w:pPr>
            <w:r w:rsidRPr="003B7CD2">
              <w:t>Type of service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Heading"/>
              <w:jc w:val="right"/>
            </w:pPr>
            <w:r w:rsidRPr="003B7CD2">
              <w:t>Fee</w:t>
            </w:r>
          </w:p>
        </w:tc>
      </w:tr>
      <w:tr w:rsidR="00267EDC" w:rsidRPr="003B7CD2" w:rsidTr="00DB3754"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1</w:t>
            </w:r>
          </w:p>
        </w:tc>
        <w:tc>
          <w:tcPr>
            <w:tcW w:w="3723" w:type="pct"/>
            <w:tcBorders>
              <w:top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Relocation of service</w:t>
            </w:r>
          </w:p>
        </w:tc>
        <w:tc>
          <w:tcPr>
            <w:tcW w:w="819" w:type="pct"/>
            <w:tcBorders>
              <w:top w:val="single" w:sz="12" w:space="0" w:color="auto"/>
            </w:tcBorders>
            <w:shd w:val="clear" w:color="auto" w:fill="auto"/>
          </w:tcPr>
          <w:p w:rsidR="00267EDC" w:rsidRPr="003B7CD2" w:rsidRDefault="00916F8A" w:rsidP="00DB3754">
            <w:pPr>
              <w:pStyle w:val="Tabletext"/>
              <w:jc w:val="right"/>
            </w:pPr>
            <w:r w:rsidRPr="003B7CD2">
              <w:t>quoted cost</w:t>
            </w:r>
          </w:p>
        </w:tc>
      </w:tr>
      <w:tr w:rsidR="00267EDC" w:rsidRPr="003B7CD2" w:rsidTr="00DB3754">
        <w:tc>
          <w:tcPr>
            <w:tcW w:w="458" w:type="pct"/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2</w:t>
            </w:r>
          </w:p>
        </w:tc>
        <w:tc>
          <w:tcPr>
            <w:tcW w:w="3723" w:type="pct"/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Disconnection or reconnection of water service</w:t>
            </w:r>
          </w:p>
        </w:tc>
        <w:tc>
          <w:tcPr>
            <w:tcW w:w="819" w:type="pct"/>
            <w:shd w:val="clear" w:color="auto" w:fill="auto"/>
          </w:tcPr>
          <w:p w:rsidR="00267EDC" w:rsidRPr="003B7CD2" w:rsidRDefault="00916F8A" w:rsidP="00DB3754">
            <w:pPr>
              <w:pStyle w:val="Tabletext"/>
              <w:jc w:val="right"/>
            </w:pPr>
            <w:r w:rsidRPr="003B7CD2">
              <w:t>quoted cost</w:t>
            </w:r>
          </w:p>
        </w:tc>
      </w:tr>
      <w:tr w:rsidR="0030755C" w:rsidRPr="003B7CD2" w:rsidTr="0030755C">
        <w:trPr>
          <w:trHeight w:val="920"/>
        </w:trPr>
        <w:tc>
          <w:tcPr>
            <w:tcW w:w="458" w:type="pct"/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3</w:t>
            </w:r>
          </w:p>
        </w:tc>
        <w:tc>
          <w:tcPr>
            <w:tcW w:w="3723" w:type="pct"/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Special meter readings for change of owner/occupier: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within 7 days of being requested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within 2 days of being requested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$16.86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$56.65</w:t>
            </w:r>
          </w:p>
        </w:tc>
      </w:tr>
      <w:tr w:rsidR="0030755C" w:rsidRPr="003B7CD2" w:rsidTr="00483A58">
        <w:trPr>
          <w:trHeight w:val="1540"/>
        </w:trPr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4</w:t>
            </w:r>
          </w:p>
        </w:tc>
        <w:tc>
          <w:tcPr>
            <w:tcW w:w="3723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Advice of sale requests: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</w:t>
            </w:r>
            <w:r w:rsidRPr="003B7CD2">
              <w:rPr>
                <w:lang w:eastAsia="en-US"/>
              </w:rPr>
              <w:t xml:space="preserve"> </w:t>
            </w:r>
            <w:r w:rsidRPr="003B7CD2">
              <w:t>electronic advice—standard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electronic advice—urgent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(c) manual advice—standard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(d) manual advice—urgent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</w:tcPr>
          <w:p w:rsidR="00483A58" w:rsidRPr="003B7CD2" w:rsidRDefault="00483A58" w:rsidP="00483A58">
            <w:pPr>
              <w:pStyle w:val="Tabletext"/>
              <w:spacing w:before="0"/>
              <w:jc w:val="right"/>
            </w:pP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$44.77</w:t>
            </w: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$84.46</w:t>
            </w: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$76.82</w:t>
            </w:r>
          </w:p>
          <w:p w:rsidR="0030755C" w:rsidRPr="003B7CD2" w:rsidRDefault="0030755C" w:rsidP="00483A58">
            <w:pPr>
              <w:pStyle w:val="Tabletext"/>
              <w:jc w:val="right"/>
            </w:pPr>
            <w:r w:rsidRPr="003B7CD2">
              <w:t>$116.19</w:t>
            </w:r>
          </w:p>
        </w:tc>
      </w:tr>
      <w:tr w:rsidR="0030755C" w:rsidRPr="003B7CD2" w:rsidTr="0030755C">
        <w:trPr>
          <w:trHeight w:val="920"/>
        </w:trPr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5</w:t>
            </w:r>
          </w:p>
        </w:tc>
        <w:tc>
          <w:tcPr>
            <w:tcW w:w="3723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Meter tests: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20 to 25 mm meters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over 25 mm meters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 xml:space="preserve">$108.22 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quoted cost</w:t>
            </w:r>
          </w:p>
        </w:tc>
      </w:tr>
      <w:tr w:rsidR="0030755C" w:rsidRPr="003B7CD2" w:rsidTr="0030755C">
        <w:trPr>
          <w:trHeight w:val="1110"/>
        </w:trPr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6</w:t>
            </w:r>
          </w:p>
        </w:tc>
        <w:tc>
          <w:tcPr>
            <w:tcW w:w="3723" w:type="pct"/>
            <w:tcBorders>
              <w:top w:val="single" w:sz="4" w:space="0" w:color="auto"/>
            </w:tcBorders>
            <w:shd w:val="clear" w:color="auto" w:fill="auto"/>
          </w:tcPr>
          <w:p w:rsidR="0030755C" w:rsidRPr="003B7CD2" w:rsidRDefault="0030755C" w:rsidP="00DB3754">
            <w:pPr>
              <w:pStyle w:val="Tabletext"/>
            </w:pPr>
            <w:r w:rsidRPr="003B7CD2">
              <w:t>Restoration of service after restriction: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(a) between 7 am and 4 pm any day except Saturday, Sunday or a public holiday</w:t>
            </w:r>
          </w:p>
          <w:p w:rsidR="0030755C" w:rsidRPr="003B7CD2" w:rsidRDefault="0030755C" w:rsidP="00DB3754">
            <w:pPr>
              <w:pStyle w:val="Tablea"/>
            </w:pPr>
            <w:r w:rsidRPr="003B7CD2">
              <w:t>(b) any other time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$154.92</w:t>
            </w:r>
          </w:p>
          <w:p w:rsidR="0030755C" w:rsidRPr="003B7CD2" w:rsidRDefault="0030755C" w:rsidP="0030755C">
            <w:pPr>
              <w:pStyle w:val="Tabletext"/>
              <w:jc w:val="right"/>
            </w:pPr>
            <w:r w:rsidRPr="003B7CD2">
              <w:t>$246.17</w:t>
            </w:r>
          </w:p>
        </w:tc>
      </w:tr>
      <w:tr w:rsidR="00267EDC" w:rsidRPr="003B7CD2" w:rsidTr="00DB3754"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7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Sewer connection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EDC" w:rsidRPr="003B7CD2" w:rsidRDefault="00916F8A" w:rsidP="00DB3754">
            <w:pPr>
              <w:pStyle w:val="Tabletext"/>
              <w:jc w:val="right"/>
            </w:pPr>
            <w:r w:rsidRPr="003B7CD2">
              <w:t>quoted cost</w:t>
            </w:r>
          </w:p>
        </w:tc>
      </w:tr>
      <w:tr w:rsidR="00267EDC" w:rsidRPr="003B7CD2" w:rsidTr="00DB3754"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8</w:t>
            </w:r>
          </w:p>
        </w:tc>
        <w:tc>
          <w:tcPr>
            <w:tcW w:w="3723" w:type="pct"/>
            <w:tcBorders>
              <w:bottom w:val="single" w:sz="12" w:space="0" w:color="auto"/>
            </w:tcBorders>
            <w:shd w:val="clear" w:color="auto" w:fill="auto"/>
          </w:tcPr>
          <w:p w:rsidR="00267EDC" w:rsidRPr="003B7CD2" w:rsidRDefault="00267EDC" w:rsidP="00DB3754">
            <w:pPr>
              <w:pStyle w:val="Tabletext"/>
            </w:pPr>
            <w:r w:rsidRPr="003B7CD2">
              <w:t>Installation of sewer junction</w:t>
            </w:r>
          </w:p>
        </w:tc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</w:tcPr>
          <w:p w:rsidR="00267EDC" w:rsidRPr="003B7CD2" w:rsidRDefault="00916F8A" w:rsidP="00DB3754">
            <w:pPr>
              <w:pStyle w:val="Tabletext"/>
              <w:jc w:val="right"/>
            </w:pPr>
            <w:r w:rsidRPr="003B7CD2">
              <w:t>quoted cost</w:t>
            </w:r>
          </w:p>
        </w:tc>
      </w:tr>
    </w:tbl>
    <w:p w:rsidR="00F85E71" w:rsidRPr="003B7CD2" w:rsidRDefault="00F85E71" w:rsidP="00F85E71">
      <w:pPr>
        <w:pStyle w:val="ItemHead"/>
      </w:pPr>
      <w:r w:rsidRPr="003B7CD2">
        <w:t>8  Clause</w:t>
      </w:r>
      <w:r w:rsidR="003B7CD2" w:rsidRPr="003B7CD2">
        <w:t> </w:t>
      </w:r>
      <w:r w:rsidRPr="003B7CD2">
        <w:t>1 of Schedule</w:t>
      </w:r>
      <w:r w:rsidR="003B7CD2" w:rsidRPr="003B7CD2">
        <w:t> </w:t>
      </w:r>
      <w:r w:rsidRPr="003B7CD2">
        <w:t>5 (table items</w:t>
      </w:r>
      <w:r w:rsidR="003B7CD2" w:rsidRPr="003B7CD2">
        <w:t> </w:t>
      </w:r>
      <w:r w:rsidRPr="003B7CD2">
        <w:t>1 to 3)</w:t>
      </w:r>
    </w:p>
    <w:p w:rsidR="00F85E71" w:rsidRPr="003B7CD2" w:rsidRDefault="00F85E71" w:rsidP="00F85E71">
      <w:pPr>
        <w:pStyle w:val="Item"/>
      </w:pPr>
      <w:r w:rsidRPr="003B7CD2">
        <w:t>Repeal the items, substitute:</w:t>
      </w:r>
    </w:p>
    <w:p w:rsidR="00F85E71" w:rsidRPr="003B7CD2" w:rsidRDefault="00F85E71" w:rsidP="00F85E71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847"/>
        <w:gridCol w:w="1900"/>
      </w:tblGrid>
      <w:tr w:rsidR="00F85E71" w:rsidRPr="003B7CD2" w:rsidTr="008D3B3F">
        <w:tc>
          <w:tcPr>
            <w:tcW w:w="458" w:type="pct"/>
            <w:hideMark/>
          </w:tcPr>
          <w:p w:rsidR="00F85E71" w:rsidRPr="003B7CD2" w:rsidRDefault="00F85E71" w:rsidP="008D3B3F">
            <w:pPr>
              <w:pStyle w:val="Tabletext"/>
              <w:rPr>
                <w:lang w:eastAsia="en-US"/>
              </w:rPr>
            </w:pPr>
            <w:r w:rsidRPr="003B7CD2">
              <w:rPr>
                <w:lang w:eastAsia="en-US"/>
              </w:rPr>
              <w:t>1</w:t>
            </w:r>
          </w:p>
        </w:tc>
        <w:tc>
          <w:tcPr>
            <w:tcW w:w="3428" w:type="pct"/>
            <w:hideMark/>
          </w:tcPr>
          <w:p w:rsidR="00F85E71" w:rsidRPr="003B7CD2" w:rsidRDefault="00F85E71" w:rsidP="008D3B3F">
            <w:pPr>
              <w:pStyle w:val="Tabletext"/>
              <w:rPr>
                <w:lang w:eastAsia="en-US"/>
              </w:rPr>
            </w:pPr>
            <w:r w:rsidRPr="003B7CD2">
              <w:rPr>
                <w:lang w:eastAsia="en-US"/>
              </w:rPr>
              <w:t>a residential building</w:t>
            </w:r>
          </w:p>
        </w:tc>
        <w:tc>
          <w:tcPr>
            <w:tcW w:w="1114" w:type="pct"/>
            <w:vAlign w:val="bottom"/>
          </w:tcPr>
          <w:p w:rsidR="00F85E71" w:rsidRPr="003B7CD2" w:rsidRDefault="00F85E71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$124.99 per residential unit</w:t>
            </w:r>
          </w:p>
        </w:tc>
      </w:tr>
      <w:tr w:rsidR="00F85E71" w:rsidRPr="003B7CD2" w:rsidTr="008D3B3F">
        <w:tc>
          <w:tcPr>
            <w:tcW w:w="458" w:type="pct"/>
            <w:hideMark/>
          </w:tcPr>
          <w:p w:rsidR="00F85E71" w:rsidRPr="003B7CD2" w:rsidRDefault="00F85E71" w:rsidP="008D3B3F">
            <w:pPr>
              <w:pStyle w:val="Tabletext"/>
              <w:rPr>
                <w:lang w:eastAsia="en-US"/>
              </w:rPr>
            </w:pPr>
            <w:r w:rsidRPr="003B7CD2">
              <w:rPr>
                <w:lang w:eastAsia="en-US"/>
              </w:rPr>
              <w:t>2</w:t>
            </w:r>
          </w:p>
        </w:tc>
        <w:tc>
          <w:tcPr>
            <w:tcW w:w="3428" w:type="pct"/>
            <w:hideMark/>
          </w:tcPr>
          <w:p w:rsidR="00F85E71" w:rsidRPr="003B7CD2" w:rsidRDefault="00F85E71" w:rsidP="008D3B3F">
            <w:pPr>
              <w:pStyle w:val="Tabletext"/>
              <w:rPr>
                <w:lang w:eastAsia="en-US"/>
              </w:rPr>
            </w:pPr>
            <w:r w:rsidRPr="003B7CD2">
              <w:rPr>
                <w:lang w:eastAsia="en-US"/>
              </w:rPr>
              <w:t xml:space="preserve">an outbuilding to a single residential building, including pools, garages and pergolas (in </w:t>
            </w:r>
            <w:proofErr w:type="spellStart"/>
            <w:r w:rsidRPr="003B7CD2">
              <w:rPr>
                <w:lang w:eastAsia="en-US"/>
              </w:rPr>
              <w:t>sewered</w:t>
            </w:r>
            <w:proofErr w:type="spellEnd"/>
            <w:r w:rsidRPr="003B7CD2">
              <w:rPr>
                <w:lang w:eastAsia="en-US"/>
              </w:rPr>
              <w:t xml:space="preserve"> areas only)</w:t>
            </w:r>
          </w:p>
        </w:tc>
        <w:tc>
          <w:tcPr>
            <w:tcW w:w="1114" w:type="pct"/>
            <w:vAlign w:val="bottom"/>
          </w:tcPr>
          <w:p w:rsidR="00F85E71" w:rsidRPr="003B7CD2" w:rsidRDefault="00F85E71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$36.49</w:t>
            </w:r>
          </w:p>
        </w:tc>
      </w:tr>
      <w:tr w:rsidR="00F85E71" w:rsidRPr="003B7CD2" w:rsidTr="008D3B3F">
        <w:tc>
          <w:tcPr>
            <w:tcW w:w="458" w:type="pct"/>
            <w:hideMark/>
          </w:tcPr>
          <w:p w:rsidR="00F85E71" w:rsidRPr="003B7CD2" w:rsidRDefault="00F85E71" w:rsidP="008D3B3F">
            <w:pPr>
              <w:pStyle w:val="Tabletext"/>
              <w:rPr>
                <w:lang w:eastAsia="en-US"/>
              </w:rPr>
            </w:pPr>
            <w:r w:rsidRPr="003B7CD2">
              <w:rPr>
                <w:lang w:eastAsia="en-US"/>
              </w:rPr>
              <w:t>3</w:t>
            </w:r>
          </w:p>
        </w:tc>
        <w:tc>
          <w:tcPr>
            <w:tcW w:w="3428" w:type="pct"/>
            <w:hideMark/>
          </w:tcPr>
          <w:p w:rsidR="00F85E71" w:rsidRPr="003B7CD2" w:rsidRDefault="00F85E71" w:rsidP="008D3B3F">
            <w:pPr>
              <w:pStyle w:val="Tabletext"/>
              <w:rPr>
                <w:lang w:eastAsia="en-US"/>
              </w:rPr>
            </w:pPr>
            <w:r w:rsidRPr="003B7CD2">
              <w:rPr>
                <w:lang w:eastAsia="en-US"/>
              </w:rPr>
              <w:t>a multi</w:t>
            </w:r>
            <w:r w:rsidR="003B7CD2">
              <w:rPr>
                <w:lang w:eastAsia="en-US"/>
              </w:rPr>
              <w:noBreakHyphen/>
            </w:r>
            <w:r w:rsidRPr="003B7CD2">
              <w:rPr>
                <w:lang w:eastAsia="en-US"/>
              </w:rPr>
              <w:t>residential unit building</w:t>
            </w:r>
          </w:p>
        </w:tc>
        <w:tc>
          <w:tcPr>
            <w:tcW w:w="1114" w:type="pct"/>
            <w:vAlign w:val="bottom"/>
          </w:tcPr>
          <w:p w:rsidR="00F85E71" w:rsidRPr="003B7CD2" w:rsidRDefault="00F85E71" w:rsidP="008D3B3F">
            <w:pPr>
              <w:pStyle w:val="Tabletext"/>
              <w:jc w:val="right"/>
              <w:rPr>
                <w:lang w:eastAsia="en-US"/>
              </w:rPr>
            </w:pPr>
            <w:r w:rsidRPr="003B7CD2">
              <w:rPr>
                <w:lang w:eastAsia="en-US"/>
              </w:rPr>
              <w:t>$124.99 per residential unit</w:t>
            </w:r>
          </w:p>
        </w:tc>
      </w:tr>
    </w:tbl>
    <w:p w:rsidR="003E3AEA" w:rsidRPr="003B7CD2" w:rsidRDefault="003E3AEA" w:rsidP="003E3AEA">
      <w:pPr>
        <w:pStyle w:val="ItemHead"/>
      </w:pPr>
      <w:r w:rsidRPr="003B7CD2">
        <w:t>9  At the end of the instrument</w:t>
      </w:r>
    </w:p>
    <w:p w:rsidR="003E3AEA" w:rsidRPr="003B7CD2" w:rsidRDefault="003E3AEA" w:rsidP="003E3AEA">
      <w:pPr>
        <w:pStyle w:val="Item"/>
      </w:pPr>
      <w:r w:rsidRPr="003B7CD2">
        <w:t>Add:</w:t>
      </w:r>
    </w:p>
    <w:p w:rsidR="003E3AEA" w:rsidRPr="003B7CD2" w:rsidRDefault="003E3AEA" w:rsidP="00F85E71">
      <w:pPr>
        <w:pStyle w:val="ActHead1"/>
      </w:pPr>
      <w:bookmarkStart w:id="12" w:name="_Toc485645711"/>
      <w:r w:rsidRPr="003B7CD2">
        <w:rPr>
          <w:rStyle w:val="CharChapNo"/>
        </w:rPr>
        <w:t>Schedule</w:t>
      </w:r>
      <w:r w:rsidR="003B7CD2" w:rsidRPr="003B7CD2">
        <w:rPr>
          <w:rStyle w:val="CharChapNo"/>
        </w:rPr>
        <w:t> </w:t>
      </w:r>
      <w:r w:rsidRPr="003B7CD2">
        <w:rPr>
          <w:rStyle w:val="CharChapNo"/>
        </w:rPr>
        <w:t>6</w:t>
      </w:r>
      <w:r w:rsidRPr="003B7CD2">
        <w:t>—</w:t>
      </w:r>
      <w:r w:rsidRPr="003B7CD2">
        <w:rPr>
          <w:rStyle w:val="CharChapText"/>
        </w:rPr>
        <w:t>Application provisions</w:t>
      </w:r>
      <w:bookmarkEnd w:id="12"/>
    </w:p>
    <w:p w:rsidR="00200D84" w:rsidRPr="003B7CD2" w:rsidRDefault="00200D84" w:rsidP="00C16393">
      <w:pPr>
        <w:pStyle w:val="Header"/>
      </w:pPr>
      <w:bookmarkStart w:id="13" w:name="f_Check_Lines_below"/>
      <w:bookmarkEnd w:id="13"/>
      <w:r w:rsidRPr="003B7CD2">
        <w:rPr>
          <w:rStyle w:val="CharPartNo"/>
        </w:rPr>
        <w:t xml:space="preserve"> </w:t>
      </w:r>
      <w:r w:rsidRPr="003B7CD2">
        <w:rPr>
          <w:rStyle w:val="CharPartText"/>
        </w:rPr>
        <w:t xml:space="preserve"> </w:t>
      </w:r>
      <w:r w:rsidR="00C16393" w:rsidRPr="003B7CD2">
        <w:t xml:space="preserve">  </w:t>
      </w:r>
    </w:p>
    <w:p w:rsidR="00C16393" w:rsidRPr="003B7CD2" w:rsidRDefault="00C16393" w:rsidP="00200D84">
      <w:pPr>
        <w:pStyle w:val="Header"/>
        <w:rPr>
          <w:rStyle w:val="CharDivNo"/>
        </w:rPr>
      </w:pPr>
    </w:p>
    <w:p w:rsidR="003E3AEA" w:rsidRPr="003B7CD2" w:rsidRDefault="00950E13" w:rsidP="00200D84">
      <w:pPr>
        <w:pStyle w:val="ActHead5"/>
      </w:pPr>
      <w:bookmarkStart w:id="14" w:name="_Toc485645712"/>
      <w:r w:rsidRPr="003B7CD2">
        <w:rPr>
          <w:rStyle w:val="CharSectno"/>
        </w:rPr>
        <w:t>1</w:t>
      </w:r>
      <w:r w:rsidR="003E3AEA" w:rsidRPr="003B7CD2">
        <w:t xml:space="preserve">  Application of amendments</w:t>
      </w:r>
      <w:bookmarkEnd w:id="14"/>
    </w:p>
    <w:p w:rsidR="003E3AEA" w:rsidRPr="003B7CD2" w:rsidRDefault="00CC3150" w:rsidP="00CC3150">
      <w:pPr>
        <w:pStyle w:val="subsection"/>
      </w:pPr>
      <w:r w:rsidRPr="003B7CD2">
        <w:tab/>
      </w:r>
      <w:r w:rsidRPr="003B7CD2">
        <w:tab/>
      </w:r>
      <w:r w:rsidR="003E3AEA" w:rsidRPr="003B7CD2">
        <w:t xml:space="preserve">The amendments </w:t>
      </w:r>
      <w:r w:rsidR="00D30E6C" w:rsidRPr="003B7CD2">
        <w:t>of</w:t>
      </w:r>
      <w:r w:rsidR="003E3AEA" w:rsidRPr="003B7CD2">
        <w:t xml:space="preserve"> this instrument made by the </w:t>
      </w:r>
      <w:bookmarkStart w:id="15" w:name="BKCheck15B_4"/>
      <w:bookmarkEnd w:id="15"/>
      <w:r w:rsidR="003E3AEA" w:rsidRPr="003B7CD2">
        <w:rPr>
          <w:i/>
        </w:rPr>
        <w:fldChar w:fldCharType="begin"/>
      </w:r>
      <w:r w:rsidR="003E3AEA" w:rsidRPr="003B7CD2">
        <w:rPr>
          <w:i/>
        </w:rPr>
        <w:instrText xml:space="preserve"> STYLEREF  ShortT </w:instrText>
      </w:r>
      <w:r w:rsidR="003E3AEA" w:rsidRPr="003B7CD2">
        <w:rPr>
          <w:i/>
        </w:rPr>
        <w:fldChar w:fldCharType="separate"/>
      </w:r>
      <w:r w:rsidR="00485FEA">
        <w:rPr>
          <w:i/>
          <w:noProof/>
        </w:rPr>
        <w:t>Christmas Island Utilities and Services (Water, Sewerage and Building Application Services Fees) Amendment (2017 Measures No. 1) Determination 2017</w:t>
      </w:r>
      <w:r w:rsidR="003E3AEA" w:rsidRPr="003B7CD2">
        <w:rPr>
          <w:i/>
        </w:rPr>
        <w:fldChar w:fldCharType="end"/>
      </w:r>
      <w:r w:rsidR="003E3AEA" w:rsidRPr="003B7CD2">
        <w:t xml:space="preserve"> apply in relation to </w:t>
      </w:r>
      <w:r w:rsidR="00D30E6C" w:rsidRPr="003B7CD2">
        <w:t xml:space="preserve">the </w:t>
      </w:r>
      <w:r w:rsidR="003E3AEA" w:rsidRPr="003B7CD2">
        <w:t>financial year commencing on 1</w:t>
      </w:r>
      <w:r w:rsidR="003B7CD2" w:rsidRPr="003B7CD2">
        <w:t> </w:t>
      </w:r>
      <w:r w:rsidR="003E3AEA" w:rsidRPr="003B7CD2">
        <w:t>July 2017 and later financial years.</w:t>
      </w:r>
    </w:p>
    <w:sectPr w:rsidR="003E3AEA" w:rsidRPr="003B7CD2" w:rsidSect="00C437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5D" w:rsidRDefault="008D705D" w:rsidP="0048364F">
      <w:pPr>
        <w:spacing w:line="240" w:lineRule="auto"/>
      </w:pPr>
      <w:r>
        <w:separator/>
      </w:r>
    </w:p>
  </w:endnote>
  <w:endnote w:type="continuationSeparator" w:id="0">
    <w:p w:rsidR="008D705D" w:rsidRDefault="008D70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C4379C" w:rsidRDefault="00C4379C" w:rsidP="00C437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379C">
      <w:rPr>
        <w:i/>
        <w:sz w:val="18"/>
      </w:rPr>
      <w:t>OPC62722 -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Default="008D705D" w:rsidP="00E97334"/>
  <w:p w:rsidR="008D705D" w:rsidRPr="00C4379C" w:rsidRDefault="00C4379C" w:rsidP="00C4379C">
    <w:pPr>
      <w:rPr>
        <w:rFonts w:cs="Times New Roman"/>
        <w:i/>
        <w:sz w:val="18"/>
      </w:rPr>
    </w:pPr>
    <w:r w:rsidRPr="00C4379C">
      <w:rPr>
        <w:rFonts w:cs="Times New Roman"/>
        <w:i/>
        <w:sz w:val="18"/>
      </w:rPr>
      <w:t>OPC62722 -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C4379C" w:rsidRDefault="00C4379C" w:rsidP="00C437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379C">
      <w:rPr>
        <w:i/>
        <w:sz w:val="18"/>
      </w:rPr>
      <w:t>OPC62722 -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33C1C" w:rsidRDefault="008D705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D705D" w:rsidTr="00B244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5FE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5FEA">
            <w:rPr>
              <w:i/>
              <w:sz w:val="18"/>
            </w:rPr>
            <w:t>Christmas Island Utilities and Services (Water, Sewerage and Building Application Services Fees) Amendment (2017 Measures No. 1)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right"/>
            <w:rPr>
              <w:sz w:val="18"/>
            </w:rPr>
          </w:pPr>
        </w:p>
      </w:tc>
    </w:tr>
  </w:tbl>
  <w:p w:rsidR="008D705D" w:rsidRPr="00C4379C" w:rsidRDefault="00C4379C" w:rsidP="00C4379C">
    <w:pPr>
      <w:rPr>
        <w:rFonts w:cs="Times New Roman"/>
        <w:i/>
        <w:sz w:val="18"/>
      </w:rPr>
    </w:pPr>
    <w:r w:rsidRPr="00C4379C">
      <w:rPr>
        <w:rFonts w:cs="Times New Roman"/>
        <w:i/>
        <w:sz w:val="18"/>
      </w:rPr>
      <w:t>OPC62722 -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33C1C" w:rsidRDefault="008D705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D705D" w:rsidTr="00B244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5FEA">
            <w:rPr>
              <w:i/>
              <w:sz w:val="18"/>
            </w:rPr>
            <w:t>Christmas Island Utilities and Services (Water, Sewerage and Building Application Services Fees) Amendment (2017 Measures No. 1)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617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D705D" w:rsidRPr="00C4379C" w:rsidRDefault="00C4379C" w:rsidP="00C4379C">
    <w:pPr>
      <w:rPr>
        <w:rFonts w:cs="Times New Roman"/>
        <w:i/>
        <w:sz w:val="18"/>
      </w:rPr>
    </w:pPr>
    <w:r w:rsidRPr="00C4379C">
      <w:rPr>
        <w:rFonts w:cs="Times New Roman"/>
        <w:i/>
        <w:sz w:val="18"/>
      </w:rPr>
      <w:t>OPC62722 -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33C1C" w:rsidRDefault="008D705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D705D" w:rsidTr="00B244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617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5FEA">
            <w:rPr>
              <w:i/>
              <w:sz w:val="18"/>
            </w:rPr>
            <w:t>Christmas Island Utilities and Services (Water, Sewerage and Building Application Services Fees) Amendment (2017 Measures No. 1)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right"/>
            <w:rPr>
              <w:sz w:val="18"/>
            </w:rPr>
          </w:pPr>
        </w:p>
      </w:tc>
    </w:tr>
  </w:tbl>
  <w:p w:rsidR="008D705D" w:rsidRPr="00C4379C" w:rsidRDefault="00C4379C" w:rsidP="00C4379C">
    <w:pPr>
      <w:rPr>
        <w:rFonts w:cs="Times New Roman"/>
        <w:i/>
        <w:sz w:val="18"/>
      </w:rPr>
    </w:pPr>
    <w:r w:rsidRPr="00C4379C">
      <w:rPr>
        <w:rFonts w:cs="Times New Roman"/>
        <w:i/>
        <w:sz w:val="18"/>
      </w:rPr>
      <w:t>OPC62722 -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33C1C" w:rsidRDefault="008D705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D705D" w:rsidTr="00DB375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5FEA">
            <w:rPr>
              <w:i/>
              <w:sz w:val="18"/>
            </w:rPr>
            <w:t>Christmas Island Utilities and Services (Water, Sewerage and Building Application Services Fees) Amendment (2017 Measures No. 1)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617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D705D" w:rsidRPr="00C4379C" w:rsidRDefault="00C4379C" w:rsidP="00C4379C">
    <w:pPr>
      <w:rPr>
        <w:rFonts w:cs="Times New Roman"/>
        <w:i/>
        <w:sz w:val="18"/>
      </w:rPr>
    </w:pPr>
    <w:r w:rsidRPr="00C4379C">
      <w:rPr>
        <w:rFonts w:cs="Times New Roman"/>
        <w:i/>
        <w:sz w:val="18"/>
      </w:rPr>
      <w:t>OPC62722 -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33C1C" w:rsidRDefault="008D705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D705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5FEA">
            <w:rPr>
              <w:i/>
              <w:sz w:val="18"/>
            </w:rPr>
            <w:t>Christmas Island Utilities and Services (Water, Sewerage and Building Application Services Fees) Amendment (2017 Measures No. 1)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D705D" w:rsidRDefault="008D705D" w:rsidP="00DB37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5FE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D705D" w:rsidRPr="00C4379C" w:rsidRDefault="00C4379C" w:rsidP="00C4379C">
    <w:pPr>
      <w:rPr>
        <w:rFonts w:cs="Times New Roman"/>
        <w:i/>
        <w:sz w:val="18"/>
      </w:rPr>
    </w:pPr>
    <w:r w:rsidRPr="00C4379C">
      <w:rPr>
        <w:rFonts w:cs="Times New Roman"/>
        <w:i/>
        <w:sz w:val="18"/>
      </w:rPr>
      <w:t>OPC62722 -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5D" w:rsidRDefault="008D705D" w:rsidP="0048364F">
      <w:pPr>
        <w:spacing w:line="240" w:lineRule="auto"/>
      </w:pPr>
      <w:r>
        <w:separator/>
      </w:r>
    </w:p>
  </w:footnote>
  <w:footnote w:type="continuationSeparator" w:id="0">
    <w:p w:rsidR="008D705D" w:rsidRDefault="008D70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5F1388" w:rsidRDefault="008D705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5F1388" w:rsidRDefault="008D705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5F1388" w:rsidRDefault="008D705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D79B6" w:rsidRDefault="008D705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D79B6" w:rsidRDefault="008D705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ED79B6" w:rsidRDefault="008D705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A961C4" w:rsidRDefault="008D705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3617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36171">
      <w:rPr>
        <w:noProof/>
        <w:sz w:val="20"/>
      </w:rPr>
      <w:t>Amendments</w:t>
    </w:r>
    <w:r>
      <w:rPr>
        <w:sz w:val="20"/>
      </w:rPr>
      <w:fldChar w:fldCharType="end"/>
    </w:r>
  </w:p>
  <w:p w:rsidR="008D705D" w:rsidRPr="00A961C4" w:rsidRDefault="008D705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D705D" w:rsidRPr="00A961C4" w:rsidRDefault="008D705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A961C4" w:rsidRDefault="008D705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D705D" w:rsidRPr="00A961C4" w:rsidRDefault="008D705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D705D" w:rsidRPr="00A961C4" w:rsidRDefault="008D705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5D" w:rsidRPr="00A961C4" w:rsidRDefault="008D705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80"/>
    <w:rsid w:val="00000263"/>
    <w:rsid w:val="00003AC5"/>
    <w:rsid w:val="000113BC"/>
    <w:rsid w:val="000136AF"/>
    <w:rsid w:val="000144CF"/>
    <w:rsid w:val="00014576"/>
    <w:rsid w:val="00014F40"/>
    <w:rsid w:val="000202AE"/>
    <w:rsid w:val="00022BDE"/>
    <w:rsid w:val="00026432"/>
    <w:rsid w:val="00030BC3"/>
    <w:rsid w:val="00032CA3"/>
    <w:rsid w:val="0003346A"/>
    <w:rsid w:val="00035D7F"/>
    <w:rsid w:val="0004044E"/>
    <w:rsid w:val="00047DDD"/>
    <w:rsid w:val="0005120E"/>
    <w:rsid w:val="00054577"/>
    <w:rsid w:val="00056956"/>
    <w:rsid w:val="00061448"/>
    <w:rsid w:val="000614BF"/>
    <w:rsid w:val="0007169C"/>
    <w:rsid w:val="00072BBB"/>
    <w:rsid w:val="00077593"/>
    <w:rsid w:val="00083F48"/>
    <w:rsid w:val="00087AA8"/>
    <w:rsid w:val="00096571"/>
    <w:rsid w:val="000A4F88"/>
    <w:rsid w:val="000A7DF9"/>
    <w:rsid w:val="000C0A09"/>
    <w:rsid w:val="000D05EF"/>
    <w:rsid w:val="000D431E"/>
    <w:rsid w:val="000D5485"/>
    <w:rsid w:val="000E0EB3"/>
    <w:rsid w:val="000E4E6E"/>
    <w:rsid w:val="000F0DE5"/>
    <w:rsid w:val="000F21C1"/>
    <w:rsid w:val="00105D72"/>
    <w:rsid w:val="00106FCD"/>
    <w:rsid w:val="0010745C"/>
    <w:rsid w:val="00115B0D"/>
    <w:rsid w:val="00117277"/>
    <w:rsid w:val="00117A3F"/>
    <w:rsid w:val="0013172C"/>
    <w:rsid w:val="00136909"/>
    <w:rsid w:val="00142DA8"/>
    <w:rsid w:val="0014628B"/>
    <w:rsid w:val="001541AA"/>
    <w:rsid w:val="00155060"/>
    <w:rsid w:val="0016065F"/>
    <w:rsid w:val="00160BD7"/>
    <w:rsid w:val="00163D01"/>
    <w:rsid w:val="001643C9"/>
    <w:rsid w:val="00165568"/>
    <w:rsid w:val="00166082"/>
    <w:rsid w:val="00166C2F"/>
    <w:rsid w:val="001712B6"/>
    <w:rsid w:val="001716C9"/>
    <w:rsid w:val="00180900"/>
    <w:rsid w:val="00183E3E"/>
    <w:rsid w:val="00184261"/>
    <w:rsid w:val="00193461"/>
    <w:rsid w:val="001939E1"/>
    <w:rsid w:val="00195382"/>
    <w:rsid w:val="00196ABB"/>
    <w:rsid w:val="001A0969"/>
    <w:rsid w:val="001A3B9F"/>
    <w:rsid w:val="001A65C0"/>
    <w:rsid w:val="001B6456"/>
    <w:rsid w:val="001B7A5D"/>
    <w:rsid w:val="001C44A5"/>
    <w:rsid w:val="001C69C4"/>
    <w:rsid w:val="001D298A"/>
    <w:rsid w:val="001E0A8D"/>
    <w:rsid w:val="001E3197"/>
    <w:rsid w:val="001E3590"/>
    <w:rsid w:val="001E38D5"/>
    <w:rsid w:val="001E7407"/>
    <w:rsid w:val="00200D84"/>
    <w:rsid w:val="00201D27"/>
    <w:rsid w:val="002022F9"/>
    <w:rsid w:val="0020300C"/>
    <w:rsid w:val="00211283"/>
    <w:rsid w:val="00217C9E"/>
    <w:rsid w:val="00220A0C"/>
    <w:rsid w:val="00222966"/>
    <w:rsid w:val="00223E4A"/>
    <w:rsid w:val="002302EA"/>
    <w:rsid w:val="00240749"/>
    <w:rsid w:val="00240BCF"/>
    <w:rsid w:val="002468D7"/>
    <w:rsid w:val="002512DE"/>
    <w:rsid w:val="002636CF"/>
    <w:rsid w:val="00267EDC"/>
    <w:rsid w:val="002718CD"/>
    <w:rsid w:val="002740F0"/>
    <w:rsid w:val="00285CDD"/>
    <w:rsid w:val="00291167"/>
    <w:rsid w:val="00293257"/>
    <w:rsid w:val="002963BB"/>
    <w:rsid w:val="00297ECB"/>
    <w:rsid w:val="002A0EC9"/>
    <w:rsid w:val="002A1739"/>
    <w:rsid w:val="002A45C6"/>
    <w:rsid w:val="002B7841"/>
    <w:rsid w:val="002C152A"/>
    <w:rsid w:val="002D043A"/>
    <w:rsid w:val="003020FA"/>
    <w:rsid w:val="0030755C"/>
    <w:rsid w:val="0031118F"/>
    <w:rsid w:val="003149F9"/>
    <w:rsid w:val="0031639A"/>
    <w:rsid w:val="0031713F"/>
    <w:rsid w:val="00321913"/>
    <w:rsid w:val="003269AA"/>
    <w:rsid w:val="003316DC"/>
    <w:rsid w:val="00332E0D"/>
    <w:rsid w:val="00332F55"/>
    <w:rsid w:val="003407FE"/>
    <w:rsid w:val="003415D3"/>
    <w:rsid w:val="00346335"/>
    <w:rsid w:val="00351F07"/>
    <w:rsid w:val="00352B0F"/>
    <w:rsid w:val="00355112"/>
    <w:rsid w:val="003561B0"/>
    <w:rsid w:val="003578ED"/>
    <w:rsid w:val="0036357A"/>
    <w:rsid w:val="00363BF7"/>
    <w:rsid w:val="003643A0"/>
    <w:rsid w:val="003665C1"/>
    <w:rsid w:val="003675BA"/>
    <w:rsid w:val="00367960"/>
    <w:rsid w:val="00373F3C"/>
    <w:rsid w:val="003746A5"/>
    <w:rsid w:val="003A15AC"/>
    <w:rsid w:val="003A4349"/>
    <w:rsid w:val="003A56EB"/>
    <w:rsid w:val="003B0005"/>
    <w:rsid w:val="003B0627"/>
    <w:rsid w:val="003B3800"/>
    <w:rsid w:val="003B3A22"/>
    <w:rsid w:val="003B3F7F"/>
    <w:rsid w:val="003B7CD2"/>
    <w:rsid w:val="003C02D7"/>
    <w:rsid w:val="003C5F2B"/>
    <w:rsid w:val="003C7943"/>
    <w:rsid w:val="003D0383"/>
    <w:rsid w:val="003D0BFE"/>
    <w:rsid w:val="003D5700"/>
    <w:rsid w:val="003E3AEA"/>
    <w:rsid w:val="003E649D"/>
    <w:rsid w:val="003F0F5A"/>
    <w:rsid w:val="003F50DE"/>
    <w:rsid w:val="00400A30"/>
    <w:rsid w:val="0040182C"/>
    <w:rsid w:val="004022CA"/>
    <w:rsid w:val="004116CD"/>
    <w:rsid w:val="00414ADE"/>
    <w:rsid w:val="00424CA9"/>
    <w:rsid w:val="004257BB"/>
    <w:rsid w:val="004261D9"/>
    <w:rsid w:val="0044291A"/>
    <w:rsid w:val="00444B04"/>
    <w:rsid w:val="00450732"/>
    <w:rsid w:val="00450858"/>
    <w:rsid w:val="00460499"/>
    <w:rsid w:val="00467AF4"/>
    <w:rsid w:val="00474835"/>
    <w:rsid w:val="004819C7"/>
    <w:rsid w:val="0048364F"/>
    <w:rsid w:val="00483A58"/>
    <w:rsid w:val="00485FEA"/>
    <w:rsid w:val="00490F2E"/>
    <w:rsid w:val="0049176E"/>
    <w:rsid w:val="00496DB3"/>
    <w:rsid w:val="00496F97"/>
    <w:rsid w:val="004A53EA"/>
    <w:rsid w:val="004B2AC6"/>
    <w:rsid w:val="004C479A"/>
    <w:rsid w:val="004C6166"/>
    <w:rsid w:val="004D2BAA"/>
    <w:rsid w:val="004F1FAC"/>
    <w:rsid w:val="004F2ADB"/>
    <w:rsid w:val="004F325F"/>
    <w:rsid w:val="004F37B2"/>
    <w:rsid w:val="004F676E"/>
    <w:rsid w:val="00503D88"/>
    <w:rsid w:val="00504229"/>
    <w:rsid w:val="00510273"/>
    <w:rsid w:val="00516B8D"/>
    <w:rsid w:val="00520BB1"/>
    <w:rsid w:val="0052121A"/>
    <w:rsid w:val="00521A34"/>
    <w:rsid w:val="00523821"/>
    <w:rsid w:val="0052686F"/>
    <w:rsid w:val="0052756C"/>
    <w:rsid w:val="00530230"/>
    <w:rsid w:val="00530CC9"/>
    <w:rsid w:val="005353B6"/>
    <w:rsid w:val="00537FBC"/>
    <w:rsid w:val="00541D73"/>
    <w:rsid w:val="00543469"/>
    <w:rsid w:val="005452CC"/>
    <w:rsid w:val="005452E3"/>
    <w:rsid w:val="00546FA3"/>
    <w:rsid w:val="005525CD"/>
    <w:rsid w:val="00554243"/>
    <w:rsid w:val="00556902"/>
    <w:rsid w:val="00557C7A"/>
    <w:rsid w:val="0056136C"/>
    <w:rsid w:val="00561FC4"/>
    <w:rsid w:val="00562A58"/>
    <w:rsid w:val="005653F0"/>
    <w:rsid w:val="00574C26"/>
    <w:rsid w:val="005778D5"/>
    <w:rsid w:val="00580E02"/>
    <w:rsid w:val="00581211"/>
    <w:rsid w:val="00582C7C"/>
    <w:rsid w:val="00584811"/>
    <w:rsid w:val="00593AA6"/>
    <w:rsid w:val="00594161"/>
    <w:rsid w:val="00594749"/>
    <w:rsid w:val="00597723"/>
    <w:rsid w:val="005A1EA6"/>
    <w:rsid w:val="005A482B"/>
    <w:rsid w:val="005A7FAC"/>
    <w:rsid w:val="005B4067"/>
    <w:rsid w:val="005C36E0"/>
    <w:rsid w:val="005C3F41"/>
    <w:rsid w:val="005C598C"/>
    <w:rsid w:val="005D168D"/>
    <w:rsid w:val="005D425D"/>
    <w:rsid w:val="005D5EA1"/>
    <w:rsid w:val="005E0D31"/>
    <w:rsid w:val="005E61D3"/>
    <w:rsid w:val="005F3C7C"/>
    <w:rsid w:val="005F7738"/>
    <w:rsid w:val="00600219"/>
    <w:rsid w:val="0060033C"/>
    <w:rsid w:val="006031DE"/>
    <w:rsid w:val="00612955"/>
    <w:rsid w:val="00612EA5"/>
    <w:rsid w:val="00613EAD"/>
    <w:rsid w:val="006158AC"/>
    <w:rsid w:val="00624991"/>
    <w:rsid w:val="0063064D"/>
    <w:rsid w:val="00636171"/>
    <w:rsid w:val="00640402"/>
    <w:rsid w:val="00640F78"/>
    <w:rsid w:val="0064513F"/>
    <w:rsid w:val="00646E7B"/>
    <w:rsid w:val="00650E36"/>
    <w:rsid w:val="0065163A"/>
    <w:rsid w:val="00655D6A"/>
    <w:rsid w:val="00655F1B"/>
    <w:rsid w:val="00656D6D"/>
    <w:rsid w:val="00656DE9"/>
    <w:rsid w:val="006637E0"/>
    <w:rsid w:val="00666C52"/>
    <w:rsid w:val="006751F2"/>
    <w:rsid w:val="00677CC2"/>
    <w:rsid w:val="00685F42"/>
    <w:rsid w:val="006866A1"/>
    <w:rsid w:val="006911A7"/>
    <w:rsid w:val="0069207B"/>
    <w:rsid w:val="00696A05"/>
    <w:rsid w:val="006A4309"/>
    <w:rsid w:val="006A4F21"/>
    <w:rsid w:val="006A51DC"/>
    <w:rsid w:val="006B6D1D"/>
    <w:rsid w:val="006B7006"/>
    <w:rsid w:val="006B7850"/>
    <w:rsid w:val="006C05A1"/>
    <w:rsid w:val="006C24FC"/>
    <w:rsid w:val="006C7F8C"/>
    <w:rsid w:val="006D54E2"/>
    <w:rsid w:val="006D7AB9"/>
    <w:rsid w:val="006E0089"/>
    <w:rsid w:val="006E1714"/>
    <w:rsid w:val="006E681A"/>
    <w:rsid w:val="006F2459"/>
    <w:rsid w:val="006F34E0"/>
    <w:rsid w:val="00700B2C"/>
    <w:rsid w:val="007113DD"/>
    <w:rsid w:val="00713084"/>
    <w:rsid w:val="00720FC2"/>
    <w:rsid w:val="00721500"/>
    <w:rsid w:val="00731E00"/>
    <w:rsid w:val="00732E9D"/>
    <w:rsid w:val="0073491A"/>
    <w:rsid w:val="00737015"/>
    <w:rsid w:val="007440B7"/>
    <w:rsid w:val="00745494"/>
    <w:rsid w:val="00747993"/>
    <w:rsid w:val="007634AD"/>
    <w:rsid w:val="007647EE"/>
    <w:rsid w:val="007715C9"/>
    <w:rsid w:val="00774EDD"/>
    <w:rsid w:val="007757EC"/>
    <w:rsid w:val="00776B04"/>
    <w:rsid w:val="007950DE"/>
    <w:rsid w:val="007A23C7"/>
    <w:rsid w:val="007A35E6"/>
    <w:rsid w:val="007A6863"/>
    <w:rsid w:val="007A75A9"/>
    <w:rsid w:val="007B0AEC"/>
    <w:rsid w:val="007B7850"/>
    <w:rsid w:val="007C3A62"/>
    <w:rsid w:val="007C6433"/>
    <w:rsid w:val="007D45C1"/>
    <w:rsid w:val="007D6DCC"/>
    <w:rsid w:val="007D7C77"/>
    <w:rsid w:val="007E7D4A"/>
    <w:rsid w:val="007F48ED"/>
    <w:rsid w:val="007F7429"/>
    <w:rsid w:val="007F7947"/>
    <w:rsid w:val="00805EF7"/>
    <w:rsid w:val="008102F8"/>
    <w:rsid w:val="00812F45"/>
    <w:rsid w:val="008178F6"/>
    <w:rsid w:val="00823960"/>
    <w:rsid w:val="0084172C"/>
    <w:rsid w:val="00846FFF"/>
    <w:rsid w:val="00852942"/>
    <w:rsid w:val="00853DCB"/>
    <w:rsid w:val="00856A31"/>
    <w:rsid w:val="008754D0"/>
    <w:rsid w:val="00877D48"/>
    <w:rsid w:val="0088345B"/>
    <w:rsid w:val="00886F08"/>
    <w:rsid w:val="0088736C"/>
    <w:rsid w:val="008A16A5"/>
    <w:rsid w:val="008B6C87"/>
    <w:rsid w:val="008C0F5B"/>
    <w:rsid w:val="008C2B5D"/>
    <w:rsid w:val="008C456A"/>
    <w:rsid w:val="008C6B9B"/>
    <w:rsid w:val="008C7400"/>
    <w:rsid w:val="008D081E"/>
    <w:rsid w:val="008D0EE0"/>
    <w:rsid w:val="008D3B3F"/>
    <w:rsid w:val="008D4B86"/>
    <w:rsid w:val="008D598F"/>
    <w:rsid w:val="008D5B99"/>
    <w:rsid w:val="008D705D"/>
    <w:rsid w:val="008D7A27"/>
    <w:rsid w:val="008E0508"/>
    <w:rsid w:val="008E4702"/>
    <w:rsid w:val="008E69AA"/>
    <w:rsid w:val="008F3212"/>
    <w:rsid w:val="008F4F1C"/>
    <w:rsid w:val="00903D5D"/>
    <w:rsid w:val="00910DB5"/>
    <w:rsid w:val="009117D4"/>
    <w:rsid w:val="00913830"/>
    <w:rsid w:val="00916C90"/>
    <w:rsid w:val="00916F8A"/>
    <w:rsid w:val="00922764"/>
    <w:rsid w:val="00923358"/>
    <w:rsid w:val="00932377"/>
    <w:rsid w:val="009407A5"/>
    <w:rsid w:val="00943102"/>
    <w:rsid w:val="0094523D"/>
    <w:rsid w:val="00946EEF"/>
    <w:rsid w:val="00950E13"/>
    <w:rsid w:val="009559E6"/>
    <w:rsid w:val="009625A7"/>
    <w:rsid w:val="00970916"/>
    <w:rsid w:val="00971204"/>
    <w:rsid w:val="00973248"/>
    <w:rsid w:val="00976A63"/>
    <w:rsid w:val="00977EF4"/>
    <w:rsid w:val="00980BB8"/>
    <w:rsid w:val="00983419"/>
    <w:rsid w:val="009A3915"/>
    <w:rsid w:val="009A7A53"/>
    <w:rsid w:val="009B02BD"/>
    <w:rsid w:val="009C0C8B"/>
    <w:rsid w:val="009C11C0"/>
    <w:rsid w:val="009C2C0F"/>
    <w:rsid w:val="009C3431"/>
    <w:rsid w:val="009C5989"/>
    <w:rsid w:val="009D08DA"/>
    <w:rsid w:val="009D21B3"/>
    <w:rsid w:val="009D2E7E"/>
    <w:rsid w:val="009E3691"/>
    <w:rsid w:val="009E4E5F"/>
    <w:rsid w:val="009F1D93"/>
    <w:rsid w:val="00A02A83"/>
    <w:rsid w:val="00A06860"/>
    <w:rsid w:val="00A136F5"/>
    <w:rsid w:val="00A13DC9"/>
    <w:rsid w:val="00A14A51"/>
    <w:rsid w:val="00A165E5"/>
    <w:rsid w:val="00A231E2"/>
    <w:rsid w:val="00A2550D"/>
    <w:rsid w:val="00A26080"/>
    <w:rsid w:val="00A27F7F"/>
    <w:rsid w:val="00A410A3"/>
    <w:rsid w:val="00A4169B"/>
    <w:rsid w:val="00A445F2"/>
    <w:rsid w:val="00A50D55"/>
    <w:rsid w:val="00A5165B"/>
    <w:rsid w:val="00A52FDA"/>
    <w:rsid w:val="00A53DA0"/>
    <w:rsid w:val="00A64912"/>
    <w:rsid w:val="00A70A74"/>
    <w:rsid w:val="00A71DE0"/>
    <w:rsid w:val="00A80088"/>
    <w:rsid w:val="00A83AB3"/>
    <w:rsid w:val="00A875FD"/>
    <w:rsid w:val="00A97020"/>
    <w:rsid w:val="00AA0343"/>
    <w:rsid w:val="00AA2A5C"/>
    <w:rsid w:val="00AA53C3"/>
    <w:rsid w:val="00AA5D2C"/>
    <w:rsid w:val="00AB78E9"/>
    <w:rsid w:val="00AC1EC4"/>
    <w:rsid w:val="00AC3DA9"/>
    <w:rsid w:val="00AC7283"/>
    <w:rsid w:val="00AD3467"/>
    <w:rsid w:val="00AD5518"/>
    <w:rsid w:val="00AD5641"/>
    <w:rsid w:val="00AE0F9B"/>
    <w:rsid w:val="00AE3925"/>
    <w:rsid w:val="00AF55FF"/>
    <w:rsid w:val="00B00772"/>
    <w:rsid w:val="00B032D8"/>
    <w:rsid w:val="00B04EAA"/>
    <w:rsid w:val="00B068C4"/>
    <w:rsid w:val="00B13F3E"/>
    <w:rsid w:val="00B244BE"/>
    <w:rsid w:val="00B257D1"/>
    <w:rsid w:val="00B33B3C"/>
    <w:rsid w:val="00B344C3"/>
    <w:rsid w:val="00B40D74"/>
    <w:rsid w:val="00B4145B"/>
    <w:rsid w:val="00B52663"/>
    <w:rsid w:val="00B56DCB"/>
    <w:rsid w:val="00B770D2"/>
    <w:rsid w:val="00B804E6"/>
    <w:rsid w:val="00B82BB2"/>
    <w:rsid w:val="00BA3AE1"/>
    <w:rsid w:val="00BA47A3"/>
    <w:rsid w:val="00BA5026"/>
    <w:rsid w:val="00BB32A7"/>
    <w:rsid w:val="00BB6E79"/>
    <w:rsid w:val="00BB712F"/>
    <w:rsid w:val="00BC14B1"/>
    <w:rsid w:val="00BD3AA8"/>
    <w:rsid w:val="00BD3F3E"/>
    <w:rsid w:val="00BE09E0"/>
    <w:rsid w:val="00BE3B31"/>
    <w:rsid w:val="00BE719A"/>
    <w:rsid w:val="00BE720A"/>
    <w:rsid w:val="00BF35D2"/>
    <w:rsid w:val="00BF6650"/>
    <w:rsid w:val="00C01749"/>
    <w:rsid w:val="00C055B6"/>
    <w:rsid w:val="00C0603D"/>
    <w:rsid w:val="00C067E5"/>
    <w:rsid w:val="00C103F9"/>
    <w:rsid w:val="00C13939"/>
    <w:rsid w:val="00C142D6"/>
    <w:rsid w:val="00C16393"/>
    <w:rsid w:val="00C164CA"/>
    <w:rsid w:val="00C24A67"/>
    <w:rsid w:val="00C25DF8"/>
    <w:rsid w:val="00C31C07"/>
    <w:rsid w:val="00C405E9"/>
    <w:rsid w:val="00C4190D"/>
    <w:rsid w:val="00C42BF8"/>
    <w:rsid w:val="00C4379C"/>
    <w:rsid w:val="00C460AE"/>
    <w:rsid w:val="00C47942"/>
    <w:rsid w:val="00C50043"/>
    <w:rsid w:val="00C50A0F"/>
    <w:rsid w:val="00C62746"/>
    <w:rsid w:val="00C63347"/>
    <w:rsid w:val="00C65A43"/>
    <w:rsid w:val="00C72DBE"/>
    <w:rsid w:val="00C7573B"/>
    <w:rsid w:val="00C7684A"/>
    <w:rsid w:val="00C76CF3"/>
    <w:rsid w:val="00C8037C"/>
    <w:rsid w:val="00C83722"/>
    <w:rsid w:val="00C85763"/>
    <w:rsid w:val="00CA7844"/>
    <w:rsid w:val="00CB58EF"/>
    <w:rsid w:val="00CC3150"/>
    <w:rsid w:val="00CC3E33"/>
    <w:rsid w:val="00CC5896"/>
    <w:rsid w:val="00CD6FDE"/>
    <w:rsid w:val="00CE7D64"/>
    <w:rsid w:val="00CF0BB2"/>
    <w:rsid w:val="00CF6437"/>
    <w:rsid w:val="00D121F6"/>
    <w:rsid w:val="00D13441"/>
    <w:rsid w:val="00D1400D"/>
    <w:rsid w:val="00D22278"/>
    <w:rsid w:val="00D243A3"/>
    <w:rsid w:val="00D30E6C"/>
    <w:rsid w:val="00D3200B"/>
    <w:rsid w:val="00D33440"/>
    <w:rsid w:val="00D475C6"/>
    <w:rsid w:val="00D52EFE"/>
    <w:rsid w:val="00D56A0D"/>
    <w:rsid w:val="00D63218"/>
    <w:rsid w:val="00D63BF2"/>
    <w:rsid w:val="00D63EF6"/>
    <w:rsid w:val="00D66518"/>
    <w:rsid w:val="00D70DFB"/>
    <w:rsid w:val="00D71EEA"/>
    <w:rsid w:val="00D735CD"/>
    <w:rsid w:val="00D766DF"/>
    <w:rsid w:val="00D76BC2"/>
    <w:rsid w:val="00D85DA9"/>
    <w:rsid w:val="00D9257F"/>
    <w:rsid w:val="00D93C3D"/>
    <w:rsid w:val="00D95891"/>
    <w:rsid w:val="00DA461F"/>
    <w:rsid w:val="00DB2FC1"/>
    <w:rsid w:val="00DB3754"/>
    <w:rsid w:val="00DB40BD"/>
    <w:rsid w:val="00DB4BF3"/>
    <w:rsid w:val="00DB5CB4"/>
    <w:rsid w:val="00DE149E"/>
    <w:rsid w:val="00DE6FEE"/>
    <w:rsid w:val="00DE7CD1"/>
    <w:rsid w:val="00DF59D3"/>
    <w:rsid w:val="00E05704"/>
    <w:rsid w:val="00E12F1A"/>
    <w:rsid w:val="00E12F4E"/>
    <w:rsid w:val="00E13E8E"/>
    <w:rsid w:val="00E16E43"/>
    <w:rsid w:val="00E21CFB"/>
    <w:rsid w:val="00E22935"/>
    <w:rsid w:val="00E30918"/>
    <w:rsid w:val="00E409FB"/>
    <w:rsid w:val="00E451F2"/>
    <w:rsid w:val="00E54292"/>
    <w:rsid w:val="00E60191"/>
    <w:rsid w:val="00E74DC7"/>
    <w:rsid w:val="00E77338"/>
    <w:rsid w:val="00E871CC"/>
    <w:rsid w:val="00E87699"/>
    <w:rsid w:val="00E92E27"/>
    <w:rsid w:val="00E9586B"/>
    <w:rsid w:val="00E97334"/>
    <w:rsid w:val="00EA0D36"/>
    <w:rsid w:val="00EB2DBF"/>
    <w:rsid w:val="00EC66D2"/>
    <w:rsid w:val="00EC6EE2"/>
    <w:rsid w:val="00ED4928"/>
    <w:rsid w:val="00EE6190"/>
    <w:rsid w:val="00EF0D2B"/>
    <w:rsid w:val="00EF2E3A"/>
    <w:rsid w:val="00EF6402"/>
    <w:rsid w:val="00EF6DDD"/>
    <w:rsid w:val="00F00104"/>
    <w:rsid w:val="00F03DEB"/>
    <w:rsid w:val="00F047E2"/>
    <w:rsid w:val="00F04D57"/>
    <w:rsid w:val="00F078DC"/>
    <w:rsid w:val="00F13E86"/>
    <w:rsid w:val="00F201A9"/>
    <w:rsid w:val="00F32FCB"/>
    <w:rsid w:val="00F44587"/>
    <w:rsid w:val="00F4500D"/>
    <w:rsid w:val="00F524CC"/>
    <w:rsid w:val="00F57BE4"/>
    <w:rsid w:val="00F63CC0"/>
    <w:rsid w:val="00F65407"/>
    <w:rsid w:val="00F6709F"/>
    <w:rsid w:val="00F677A9"/>
    <w:rsid w:val="00F72067"/>
    <w:rsid w:val="00F732EA"/>
    <w:rsid w:val="00F82831"/>
    <w:rsid w:val="00F84CF5"/>
    <w:rsid w:val="00F85E71"/>
    <w:rsid w:val="00F8612E"/>
    <w:rsid w:val="00F87B4B"/>
    <w:rsid w:val="00F928CD"/>
    <w:rsid w:val="00F9535A"/>
    <w:rsid w:val="00F9545E"/>
    <w:rsid w:val="00F972C6"/>
    <w:rsid w:val="00FA02CD"/>
    <w:rsid w:val="00FA420B"/>
    <w:rsid w:val="00FB2752"/>
    <w:rsid w:val="00FB6BCE"/>
    <w:rsid w:val="00FC2D93"/>
    <w:rsid w:val="00FC458F"/>
    <w:rsid w:val="00FC51BB"/>
    <w:rsid w:val="00FE0781"/>
    <w:rsid w:val="00FE3134"/>
    <w:rsid w:val="00FE44BD"/>
    <w:rsid w:val="00FF39DE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7C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C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C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C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C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C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C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C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7CD2"/>
  </w:style>
  <w:style w:type="paragraph" w:customStyle="1" w:styleId="OPCParaBase">
    <w:name w:val="OPCParaBase"/>
    <w:qFormat/>
    <w:rsid w:val="003B7C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7C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7C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7C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7C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7C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B7C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7C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7C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7C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7C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7CD2"/>
  </w:style>
  <w:style w:type="paragraph" w:customStyle="1" w:styleId="Blocks">
    <w:name w:val="Blocks"/>
    <w:aliases w:val="bb"/>
    <w:basedOn w:val="OPCParaBase"/>
    <w:qFormat/>
    <w:rsid w:val="003B7C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7C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7CD2"/>
    <w:rPr>
      <w:i/>
    </w:rPr>
  </w:style>
  <w:style w:type="paragraph" w:customStyle="1" w:styleId="BoxList">
    <w:name w:val="BoxList"/>
    <w:aliases w:val="bl"/>
    <w:basedOn w:val="BoxText"/>
    <w:qFormat/>
    <w:rsid w:val="003B7C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7C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7C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7CD2"/>
    <w:pPr>
      <w:ind w:left="1985" w:hanging="851"/>
    </w:pPr>
  </w:style>
  <w:style w:type="character" w:customStyle="1" w:styleId="CharAmPartNo">
    <w:name w:val="CharAmPartNo"/>
    <w:basedOn w:val="OPCCharBase"/>
    <w:qFormat/>
    <w:rsid w:val="003B7CD2"/>
  </w:style>
  <w:style w:type="character" w:customStyle="1" w:styleId="CharAmPartText">
    <w:name w:val="CharAmPartText"/>
    <w:basedOn w:val="OPCCharBase"/>
    <w:qFormat/>
    <w:rsid w:val="003B7CD2"/>
  </w:style>
  <w:style w:type="character" w:customStyle="1" w:styleId="CharAmSchNo">
    <w:name w:val="CharAmSchNo"/>
    <w:basedOn w:val="OPCCharBase"/>
    <w:qFormat/>
    <w:rsid w:val="003B7CD2"/>
  </w:style>
  <w:style w:type="character" w:customStyle="1" w:styleId="CharAmSchText">
    <w:name w:val="CharAmSchText"/>
    <w:basedOn w:val="OPCCharBase"/>
    <w:qFormat/>
    <w:rsid w:val="003B7CD2"/>
  </w:style>
  <w:style w:type="character" w:customStyle="1" w:styleId="CharBoldItalic">
    <w:name w:val="CharBoldItalic"/>
    <w:basedOn w:val="OPCCharBase"/>
    <w:uiPriority w:val="1"/>
    <w:qFormat/>
    <w:rsid w:val="003B7C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7CD2"/>
  </w:style>
  <w:style w:type="character" w:customStyle="1" w:styleId="CharChapText">
    <w:name w:val="CharChapText"/>
    <w:basedOn w:val="OPCCharBase"/>
    <w:uiPriority w:val="1"/>
    <w:qFormat/>
    <w:rsid w:val="003B7CD2"/>
  </w:style>
  <w:style w:type="character" w:customStyle="1" w:styleId="CharDivNo">
    <w:name w:val="CharDivNo"/>
    <w:basedOn w:val="OPCCharBase"/>
    <w:uiPriority w:val="1"/>
    <w:qFormat/>
    <w:rsid w:val="003B7CD2"/>
  </w:style>
  <w:style w:type="character" w:customStyle="1" w:styleId="CharDivText">
    <w:name w:val="CharDivText"/>
    <w:basedOn w:val="OPCCharBase"/>
    <w:uiPriority w:val="1"/>
    <w:qFormat/>
    <w:rsid w:val="003B7CD2"/>
  </w:style>
  <w:style w:type="character" w:customStyle="1" w:styleId="CharItalic">
    <w:name w:val="CharItalic"/>
    <w:basedOn w:val="OPCCharBase"/>
    <w:uiPriority w:val="1"/>
    <w:qFormat/>
    <w:rsid w:val="003B7CD2"/>
    <w:rPr>
      <w:i/>
    </w:rPr>
  </w:style>
  <w:style w:type="character" w:customStyle="1" w:styleId="CharPartNo">
    <w:name w:val="CharPartNo"/>
    <w:basedOn w:val="OPCCharBase"/>
    <w:uiPriority w:val="1"/>
    <w:qFormat/>
    <w:rsid w:val="003B7CD2"/>
  </w:style>
  <w:style w:type="character" w:customStyle="1" w:styleId="CharPartText">
    <w:name w:val="CharPartText"/>
    <w:basedOn w:val="OPCCharBase"/>
    <w:uiPriority w:val="1"/>
    <w:qFormat/>
    <w:rsid w:val="003B7CD2"/>
  </w:style>
  <w:style w:type="character" w:customStyle="1" w:styleId="CharSectno">
    <w:name w:val="CharSectno"/>
    <w:basedOn w:val="OPCCharBase"/>
    <w:qFormat/>
    <w:rsid w:val="003B7CD2"/>
  </w:style>
  <w:style w:type="character" w:customStyle="1" w:styleId="CharSubdNo">
    <w:name w:val="CharSubdNo"/>
    <w:basedOn w:val="OPCCharBase"/>
    <w:uiPriority w:val="1"/>
    <w:qFormat/>
    <w:rsid w:val="003B7CD2"/>
  </w:style>
  <w:style w:type="character" w:customStyle="1" w:styleId="CharSubdText">
    <w:name w:val="CharSubdText"/>
    <w:basedOn w:val="OPCCharBase"/>
    <w:uiPriority w:val="1"/>
    <w:qFormat/>
    <w:rsid w:val="003B7CD2"/>
  </w:style>
  <w:style w:type="paragraph" w:customStyle="1" w:styleId="CTA--">
    <w:name w:val="CTA --"/>
    <w:basedOn w:val="OPCParaBase"/>
    <w:next w:val="Normal"/>
    <w:rsid w:val="003B7C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7C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7C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7C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7C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7C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7C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7C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7C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7C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7C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7C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7C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7C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B7C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7C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7C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7C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7C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7C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7C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7C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7C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7C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7C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B7C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7C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7C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7C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7C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7C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7C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7C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7C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7C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7C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7C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7C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7C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7C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7C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7C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7C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7C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7C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7C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7C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7C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7C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7C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B7C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7C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7C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7C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B7CD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B7CD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B7CD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B7CD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B7CD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B7CD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B7CD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B7CD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7CD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B7C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7C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7C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7C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7C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7C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7C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7C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B7CD2"/>
    <w:rPr>
      <w:sz w:val="16"/>
    </w:rPr>
  </w:style>
  <w:style w:type="table" w:customStyle="1" w:styleId="CFlag">
    <w:name w:val="CFlag"/>
    <w:basedOn w:val="TableNormal"/>
    <w:uiPriority w:val="99"/>
    <w:rsid w:val="003B7CD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B7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7CD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B7C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7CD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7C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7C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7CD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B7CD2"/>
    <w:pPr>
      <w:spacing w:before="120"/>
    </w:pPr>
  </w:style>
  <w:style w:type="paragraph" w:customStyle="1" w:styleId="CompiledActNo">
    <w:name w:val="CompiledActNo"/>
    <w:basedOn w:val="OPCParaBase"/>
    <w:next w:val="Normal"/>
    <w:rsid w:val="003B7C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B7C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7C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B7C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7C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B7C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7C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B7CD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B7C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B7C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7C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7C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7C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7C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7C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B7C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7C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7CD2"/>
  </w:style>
  <w:style w:type="character" w:customStyle="1" w:styleId="CharSubPartNoCASA">
    <w:name w:val="CharSubPartNo(CASA)"/>
    <w:basedOn w:val="OPCCharBase"/>
    <w:uiPriority w:val="1"/>
    <w:rsid w:val="003B7CD2"/>
  </w:style>
  <w:style w:type="paragraph" w:customStyle="1" w:styleId="ENoteTTIndentHeadingSub">
    <w:name w:val="ENoteTTIndentHeadingSub"/>
    <w:aliases w:val="enTTHis"/>
    <w:basedOn w:val="OPCParaBase"/>
    <w:rsid w:val="003B7C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7C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7C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7C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7C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7CD2"/>
    <w:rPr>
      <w:sz w:val="22"/>
    </w:rPr>
  </w:style>
  <w:style w:type="paragraph" w:customStyle="1" w:styleId="SOTextNote">
    <w:name w:val="SO TextNote"/>
    <w:aliases w:val="sont"/>
    <w:basedOn w:val="SOText"/>
    <w:qFormat/>
    <w:rsid w:val="003B7C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7C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7CD2"/>
    <w:rPr>
      <w:sz w:val="22"/>
    </w:rPr>
  </w:style>
  <w:style w:type="paragraph" w:customStyle="1" w:styleId="FileName">
    <w:name w:val="FileName"/>
    <w:basedOn w:val="Normal"/>
    <w:rsid w:val="003B7CD2"/>
  </w:style>
  <w:style w:type="paragraph" w:customStyle="1" w:styleId="TableHeading">
    <w:name w:val="TableHeading"/>
    <w:aliases w:val="th"/>
    <w:basedOn w:val="OPCParaBase"/>
    <w:next w:val="Tabletext"/>
    <w:rsid w:val="003B7C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7C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7C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7C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7C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7C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7C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7C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7C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7C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B7C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7C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7C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7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CD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C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C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C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CD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C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CD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7C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C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C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C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C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C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C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C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7CD2"/>
  </w:style>
  <w:style w:type="paragraph" w:customStyle="1" w:styleId="OPCParaBase">
    <w:name w:val="OPCParaBase"/>
    <w:qFormat/>
    <w:rsid w:val="003B7C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7C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7C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7C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7C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7C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B7C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7C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7C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7C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7C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7CD2"/>
  </w:style>
  <w:style w:type="paragraph" w:customStyle="1" w:styleId="Blocks">
    <w:name w:val="Blocks"/>
    <w:aliases w:val="bb"/>
    <w:basedOn w:val="OPCParaBase"/>
    <w:qFormat/>
    <w:rsid w:val="003B7C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7C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7CD2"/>
    <w:rPr>
      <w:i/>
    </w:rPr>
  </w:style>
  <w:style w:type="paragraph" w:customStyle="1" w:styleId="BoxList">
    <w:name w:val="BoxList"/>
    <w:aliases w:val="bl"/>
    <w:basedOn w:val="BoxText"/>
    <w:qFormat/>
    <w:rsid w:val="003B7C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7C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7C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7CD2"/>
    <w:pPr>
      <w:ind w:left="1985" w:hanging="851"/>
    </w:pPr>
  </w:style>
  <w:style w:type="character" w:customStyle="1" w:styleId="CharAmPartNo">
    <w:name w:val="CharAmPartNo"/>
    <w:basedOn w:val="OPCCharBase"/>
    <w:qFormat/>
    <w:rsid w:val="003B7CD2"/>
  </w:style>
  <w:style w:type="character" w:customStyle="1" w:styleId="CharAmPartText">
    <w:name w:val="CharAmPartText"/>
    <w:basedOn w:val="OPCCharBase"/>
    <w:qFormat/>
    <w:rsid w:val="003B7CD2"/>
  </w:style>
  <w:style w:type="character" w:customStyle="1" w:styleId="CharAmSchNo">
    <w:name w:val="CharAmSchNo"/>
    <w:basedOn w:val="OPCCharBase"/>
    <w:qFormat/>
    <w:rsid w:val="003B7CD2"/>
  </w:style>
  <w:style w:type="character" w:customStyle="1" w:styleId="CharAmSchText">
    <w:name w:val="CharAmSchText"/>
    <w:basedOn w:val="OPCCharBase"/>
    <w:qFormat/>
    <w:rsid w:val="003B7CD2"/>
  </w:style>
  <w:style w:type="character" w:customStyle="1" w:styleId="CharBoldItalic">
    <w:name w:val="CharBoldItalic"/>
    <w:basedOn w:val="OPCCharBase"/>
    <w:uiPriority w:val="1"/>
    <w:qFormat/>
    <w:rsid w:val="003B7C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7CD2"/>
  </w:style>
  <w:style w:type="character" w:customStyle="1" w:styleId="CharChapText">
    <w:name w:val="CharChapText"/>
    <w:basedOn w:val="OPCCharBase"/>
    <w:uiPriority w:val="1"/>
    <w:qFormat/>
    <w:rsid w:val="003B7CD2"/>
  </w:style>
  <w:style w:type="character" w:customStyle="1" w:styleId="CharDivNo">
    <w:name w:val="CharDivNo"/>
    <w:basedOn w:val="OPCCharBase"/>
    <w:uiPriority w:val="1"/>
    <w:qFormat/>
    <w:rsid w:val="003B7CD2"/>
  </w:style>
  <w:style w:type="character" w:customStyle="1" w:styleId="CharDivText">
    <w:name w:val="CharDivText"/>
    <w:basedOn w:val="OPCCharBase"/>
    <w:uiPriority w:val="1"/>
    <w:qFormat/>
    <w:rsid w:val="003B7CD2"/>
  </w:style>
  <w:style w:type="character" w:customStyle="1" w:styleId="CharItalic">
    <w:name w:val="CharItalic"/>
    <w:basedOn w:val="OPCCharBase"/>
    <w:uiPriority w:val="1"/>
    <w:qFormat/>
    <w:rsid w:val="003B7CD2"/>
    <w:rPr>
      <w:i/>
    </w:rPr>
  </w:style>
  <w:style w:type="character" w:customStyle="1" w:styleId="CharPartNo">
    <w:name w:val="CharPartNo"/>
    <w:basedOn w:val="OPCCharBase"/>
    <w:uiPriority w:val="1"/>
    <w:qFormat/>
    <w:rsid w:val="003B7CD2"/>
  </w:style>
  <w:style w:type="character" w:customStyle="1" w:styleId="CharPartText">
    <w:name w:val="CharPartText"/>
    <w:basedOn w:val="OPCCharBase"/>
    <w:uiPriority w:val="1"/>
    <w:qFormat/>
    <w:rsid w:val="003B7CD2"/>
  </w:style>
  <w:style w:type="character" w:customStyle="1" w:styleId="CharSectno">
    <w:name w:val="CharSectno"/>
    <w:basedOn w:val="OPCCharBase"/>
    <w:qFormat/>
    <w:rsid w:val="003B7CD2"/>
  </w:style>
  <w:style w:type="character" w:customStyle="1" w:styleId="CharSubdNo">
    <w:name w:val="CharSubdNo"/>
    <w:basedOn w:val="OPCCharBase"/>
    <w:uiPriority w:val="1"/>
    <w:qFormat/>
    <w:rsid w:val="003B7CD2"/>
  </w:style>
  <w:style w:type="character" w:customStyle="1" w:styleId="CharSubdText">
    <w:name w:val="CharSubdText"/>
    <w:basedOn w:val="OPCCharBase"/>
    <w:uiPriority w:val="1"/>
    <w:qFormat/>
    <w:rsid w:val="003B7CD2"/>
  </w:style>
  <w:style w:type="paragraph" w:customStyle="1" w:styleId="CTA--">
    <w:name w:val="CTA --"/>
    <w:basedOn w:val="OPCParaBase"/>
    <w:next w:val="Normal"/>
    <w:rsid w:val="003B7C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7C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7C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7C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7C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7C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7C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7C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7C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7C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7C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7C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7C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7C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B7C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7C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7C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7C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7C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7C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7C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7C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7C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7C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7C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B7C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7C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7C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7C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7C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7C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7C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7C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7C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7C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7C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7C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7C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7C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7C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7C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7C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7C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7C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7C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7C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7C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7C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7C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7C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B7C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7C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7C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7C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B7CD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B7CD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B7CD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B7CD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B7CD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B7CD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B7CD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B7CD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7CD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B7C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7C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7C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7C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7C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7C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7C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7C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B7CD2"/>
    <w:rPr>
      <w:sz w:val="16"/>
    </w:rPr>
  </w:style>
  <w:style w:type="table" w:customStyle="1" w:styleId="CFlag">
    <w:name w:val="CFlag"/>
    <w:basedOn w:val="TableNormal"/>
    <w:uiPriority w:val="99"/>
    <w:rsid w:val="003B7CD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B7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7CD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B7C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7CD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7C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7C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7CD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B7CD2"/>
    <w:pPr>
      <w:spacing w:before="120"/>
    </w:pPr>
  </w:style>
  <w:style w:type="paragraph" w:customStyle="1" w:styleId="CompiledActNo">
    <w:name w:val="CompiledActNo"/>
    <w:basedOn w:val="OPCParaBase"/>
    <w:next w:val="Normal"/>
    <w:rsid w:val="003B7C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B7C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7C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B7C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7C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B7C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7C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B7CD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B7C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B7C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7C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7C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7C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7C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7C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B7C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7C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7CD2"/>
  </w:style>
  <w:style w:type="character" w:customStyle="1" w:styleId="CharSubPartNoCASA">
    <w:name w:val="CharSubPartNo(CASA)"/>
    <w:basedOn w:val="OPCCharBase"/>
    <w:uiPriority w:val="1"/>
    <w:rsid w:val="003B7CD2"/>
  </w:style>
  <w:style w:type="paragraph" w:customStyle="1" w:styleId="ENoteTTIndentHeadingSub">
    <w:name w:val="ENoteTTIndentHeadingSub"/>
    <w:aliases w:val="enTTHis"/>
    <w:basedOn w:val="OPCParaBase"/>
    <w:rsid w:val="003B7C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7C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7C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7C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7C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7CD2"/>
    <w:rPr>
      <w:sz w:val="22"/>
    </w:rPr>
  </w:style>
  <w:style w:type="paragraph" w:customStyle="1" w:styleId="SOTextNote">
    <w:name w:val="SO TextNote"/>
    <w:aliases w:val="sont"/>
    <w:basedOn w:val="SOText"/>
    <w:qFormat/>
    <w:rsid w:val="003B7C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7C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7CD2"/>
    <w:rPr>
      <w:sz w:val="22"/>
    </w:rPr>
  </w:style>
  <w:style w:type="paragraph" w:customStyle="1" w:styleId="FileName">
    <w:name w:val="FileName"/>
    <w:basedOn w:val="Normal"/>
    <w:rsid w:val="003B7CD2"/>
  </w:style>
  <w:style w:type="paragraph" w:customStyle="1" w:styleId="TableHeading">
    <w:name w:val="TableHeading"/>
    <w:aliases w:val="th"/>
    <w:basedOn w:val="OPCParaBase"/>
    <w:next w:val="Tabletext"/>
    <w:rsid w:val="003B7C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7C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7C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7C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7C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7C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7C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7C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7C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7C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7C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B7C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7C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7C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7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CD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C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C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C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CD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C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CD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1159</Words>
  <Characters>6609</Characters>
  <Application>Microsoft Office Word</Application>
  <DocSecurity>4</DocSecurity>
  <PresentationFormat/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2017-06-19T04:48:00Z</cp:lastPrinted>
  <dcterms:created xsi:type="dcterms:W3CDTF">2017-06-26T00:52:00Z</dcterms:created>
  <dcterms:modified xsi:type="dcterms:W3CDTF">2017-06-26T00:52:00Z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Christmas Island Utilities and Services (Water, Sewerage and Building Application Services Fees) Amendment (2017 Measures No. 1) Determination 2017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OPC62722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22 June 2017</vt:lpwstr>
  </property>
</Properties>
</file>