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16" w:rsidRPr="001F2A16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r w:rsidRPr="001F2A16">
        <w:rPr>
          <w:rFonts w:ascii="Arial" w:hAnsi="Arial" w:cs="Arial"/>
          <w:sz w:val="34"/>
          <w:szCs w:val="34"/>
        </w:rPr>
        <w:t>Explanatory Statement</w:t>
      </w:r>
    </w:p>
    <w:p w:rsidR="001F2A16" w:rsidRPr="001F2A16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99555F" w:rsidRPr="001F2A16" w:rsidRDefault="00CC19BE" w:rsidP="00EA570E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CLASSES OF </w:t>
      </w:r>
      <w:r w:rsidR="00EA570E">
        <w:rPr>
          <w:rFonts w:ascii="Arial" w:hAnsi="Arial" w:cs="Arial"/>
          <w:sz w:val="34"/>
          <w:szCs w:val="34"/>
        </w:rPr>
        <w:t>GOVERNMENT RELATED ENTIT</w:t>
      </w:r>
      <w:r w:rsidR="00066149">
        <w:rPr>
          <w:rFonts w:ascii="Arial" w:hAnsi="Arial" w:cs="Arial"/>
          <w:sz w:val="34"/>
          <w:szCs w:val="34"/>
        </w:rPr>
        <w:t>IES</w:t>
      </w:r>
      <w:r w:rsidR="00EA570E">
        <w:rPr>
          <w:rFonts w:ascii="Arial" w:hAnsi="Arial" w:cs="Arial"/>
          <w:sz w:val="34"/>
          <w:szCs w:val="34"/>
        </w:rPr>
        <w:t xml:space="preserve"> EXEMPT FROM PROVIDING THIRD PARTY REPORTS DETERMINATION 201</w:t>
      </w:r>
      <w:r w:rsidR="0057596A">
        <w:rPr>
          <w:rFonts w:ascii="Arial" w:hAnsi="Arial" w:cs="Arial"/>
          <w:sz w:val="34"/>
          <w:szCs w:val="34"/>
        </w:rPr>
        <w:t>7</w:t>
      </w:r>
    </w:p>
    <w:p w:rsidR="0099555F" w:rsidRDefault="0099555F" w:rsidP="007C393C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="Arial" w:hAnsi="Arial" w:cs="Arial"/>
          <w:szCs w:val="24"/>
        </w:rPr>
      </w:pPr>
    </w:p>
    <w:p w:rsidR="001F2A16" w:rsidRPr="001F2A16" w:rsidRDefault="001F2A16" w:rsidP="007C393C">
      <w:pPr>
        <w:pStyle w:val="Header"/>
        <w:tabs>
          <w:tab w:val="clear" w:pos="4153"/>
          <w:tab w:val="clear" w:pos="8306"/>
        </w:tabs>
        <w:spacing w:after="120"/>
        <w:jc w:val="center"/>
        <w:rPr>
          <w:rFonts w:ascii="Arial" w:hAnsi="Arial" w:cs="Arial"/>
          <w:szCs w:val="24"/>
        </w:rPr>
      </w:pPr>
    </w:p>
    <w:p w:rsidR="00486653" w:rsidRPr="002877C1" w:rsidRDefault="00486653" w:rsidP="006E1736">
      <w:pPr>
        <w:pStyle w:val="Heading2"/>
        <w:rPr>
          <w:sz w:val="24"/>
          <w:szCs w:val="22"/>
        </w:rPr>
      </w:pPr>
      <w:bookmarkStart w:id="1" w:name="EDisclaimer"/>
      <w:bookmarkStart w:id="2" w:name="HBody"/>
      <w:bookmarkStart w:id="3" w:name="LReferences"/>
      <w:bookmarkStart w:id="4" w:name="NRulingRef"/>
      <w:bookmarkStart w:id="5" w:name="OSubjectRef"/>
      <w:bookmarkStart w:id="6" w:name="PLegrefText"/>
      <w:bookmarkStart w:id="7" w:name="QLegref"/>
      <w:bookmarkStart w:id="8" w:name="RCaseRefText"/>
      <w:bookmarkStart w:id="9" w:name="SCaseRef"/>
      <w:bookmarkStart w:id="10" w:name="VISS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877C1">
        <w:rPr>
          <w:sz w:val="24"/>
          <w:szCs w:val="22"/>
        </w:rPr>
        <w:t xml:space="preserve">General Outline of </w:t>
      </w:r>
      <w:r w:rsidR="00AE2316" w:rsidRPr="002877C1">
        <w:rPr>
          <w:sz w:val="24"/>
          <w:szCs w:val="22"/>
        </w:rPr>
        <w:t>Determination</w:t>
      </w:r>
    </w:p>
    <w:p w:rsidR="00D77015" w:rsidRPr="00AE2316" w:rsidRDefault="00AE2316" w:rsidP="00227F7C">
      <w:pPr>
        <w:keepLines/>
        <w:numPr>
          <w:ilvl w:val="0"/>
          <w:numId w:val="16"/>
        </w:numPr>
        <w:spacing w:after="120"/>
        <w:ind w:hanging="720"/>
        <w:rPr>
          <w:rFonts w:ascii="Arial" w:hAnsi="Arial" w:cs="Arial"/>
          <w:sz w:val="22"/>
          <w:szCs w:val="22"/>
        </w:rPr>
      </w:pPr>
      <w:bookmarkStart w:id="11" w:name="IComments"/>
      <w:r>
        <w:rPr>
          <w:rFonts w:ascii="Arial" w:hAnsi="Arial" w:cs="Arial"/>
          <w:sz w:val="22"/>
          <w:szCs w:val="22"/>
        </w:rPr>
        <w:t xml:space="preserve">This </w:t>
      </w:r>
      <w:r w:rsidR="00024A7D">
        <w:rPr>
          <w:rFonts w:ascii="Arial" w:hAnsi="Arial" w:cs="Arial"/>
          <w:sz w:val="22"/>
          <w:szCs w:val="22"/>
        </w:rPr>
        <w:t xml:space="preserve">instrument </w:t>
      </w:r>
      <w:r>
        <w:rPr>
          <w:rFonts w:ascii="Arial" w:hAnsi="Arial" w:cs="Arial"/>
          <w:sz w:val="22"/>
          <w:szCs w:val="22"/>
        </w:rPr>
        <w:t xml:space="preserve">is made under </w:t>
      </w:r>
      <w:r w:rsidR="00EA570E" w:rsidRPr="00AE2316">
        <w:rPr>
          <w:rFonts w:ascii="Arial" w:hAnsi="Arial" w:cs="Arial"/>
          <w:sz w:val="22"/>
          <w:szCs w:val="22"/>
        </w:rPr>
        <w:t>paragraph 396-70(4</w:t>
      </w:r>
      <w:proofErr w:type="gramStart"/>
      <w:r w:rsidR="00EA570E" w:rsidRPr="00AE2316">
        <w:rPr>
          <w:rFonts w:ascii="Arial" w:hAnsi="Arial" w:cs="Arial"/>
          <w:sz w:val="22"/>
          <w:szCs w:val="22"/>
        </w:rPr>
        <w:t>)(</w:t>
      </w:r>
      <w:proofErr w:type="gramEnd"/>
      <w:r w:rsidR="00EA570E" w:rsidRPr="00AE2316">
        <w:rPr>
          <w:rFonts w:ascii="Arial" w:hAnsi="Arial" w:cs="Arial"/>
          <w:sz w:val="22"/>
          <w:szCs w:val="22"/>
        </w:rPr>
        <w:t xml:space="preserve">a) of Schedule 1 to the </w:t>
      </w:r>
      <w:r w:rsidR="00EA570E" w:rsidRPr="00227F7C">
        <w:rPr>
          <w:rFonts w:ascii="Arial" w:hAnsi="Arial" w:cs="Arial"/>
          <w:i/>
          <w:sz w:val="22"/>
          <w:szCs w:val="22"/>
        </w:rPr>
        <w:t>Taxation Administration Act 1953</w:t>
      </w:r>
      <w:r w:rsidR="00024A7D" w:rsidRPr="00227F7C">
        <w:rPr>
          <w:rFonts w:ascii="Arial" w:hAnsi="Arial" w:cs="Arial"/>
          <w:i/>
          <w:sz w:val="22"/>
          <w:szCs w:val="22"/>
        </w:rPr>
        <w:t xml:space="preserve"> </w:t>
      </w:r>
      <w:r w:rsidR="00024A7D" w:rsidRPr="00227F7C">
        <w:rPr>
          <w:rFonts w:ascii="Arial" w:hAnsi="Arial" w:cs="Arial"/>
          <w:sz w:val="22"/>
          <w:szCs w:val="22"/>
        </w:rPr>
        <w:t>(TAA 1953).</w:t>
      </w:r>
    </w:p>
    <w:p w:rsidR="00227F7C" w:rsidRPr="00227F7C" w:rsidRDefault="004D0DD4" w:rsidP="00227F7C">
      <w:pPr>
        <w:keepLines/>
        <w:numPr>
          <w:ilvl w:val="0"/>
          <w:numId w:val="16"/>
        </w:numPr>
        <w:tabs>
          <w:tab w:val="clear" w:pos="720"/>
          <w:tab w:val="num" w:pos="709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227F7C">
        <w:rPr>
          <w:rFonts w:ascii="Arial" w:hAnsi="Arial" w:cs="Arial"/>
          <w:sz w:val="22"/>
          <w:szCs w:val="22"/>
        </w:rPr>
        <w:t xml:space="preserve">This </w:t>
      </w:r>
      <w:r w:rsidR="00024A7D" w:rsidRPr="00227F7C">
        <w:rPr>
          <w:rFonts w:ascii="Arial" w:hAnsi="Arial" w:cs="Arial"/>
          <w:sz w:val="22"/>
          <w:szCs w:val="22"/>
        </w:rPr>
        <w:t xml:space="preserve">instrument </w:t>
      </w:r>
      <w:r w:rsidRPr="00227F7C">
        <w:rPr>
          <w:rFonts w:ascii="Arial" w:hAnsi="Arial" w:cs="Arial"/>
          <w:sz w:val="22"/>
          <w:szCs w:val="22"/>
        </w:rPr>
        <w:t xml:space="preserve">exempts specified classes of government related </w:t>
      </w:r>
      <w:r w:rsidR="00113A77" w:rsidRPr="00227F7C">
        <w:rPr>
          <w:rFonts w:ascii="Arial" w:hAnsi="Arial" w:cs="Arial"/>
          <w:sz w:val="22"/>
          <w:szCs w:val="22"/>
        </w:rPr>
        <w:t>entities</w:t>
      </w:r>
      <w:r w:rsidRPr="00227F7C">
        <w:rPr>
          <w:rFonts w:ascii="Arial" w:hAnsi="Arial" w:cs="Arial"/>
          <w:sz w:val="22"/>
          <w:szCs w:val="22"/>
        </w:rPr>
        <w:t xml:space="preserve"> from having to prepare and </w:t>
      </w:r>
      <w:r w:rsidR="00113A77" w:rsidRPr="00227F7C">
        <w:rPr>
          <w:rFonts w:ascii="Arial" w:hAnsi="Arial" w:cs="Arial"/>
          <w:sz w:val="22"/>
          <w:szCs w:val="22"/>
        </w:rPr>
        <w:t>lodge</w:t>
      </w:r>
      <w:r w:rsidRPr="00227F7C">
        <w:rPr>
          <w:rFonts w:ascii="Arial" w:hAnsi="Arial" w:cs="Arial"/>
          <w:sz w:val="22"/>
          <w:szCs w:val="22"/>
        </w:rPr>
        <w:t xml:space="preserve"> reports </w:t>
      </w:r>
      <w:r w:rsidR="00113A77" w:rsidRPr="00227F7C">
        <w:rPr>
          <w:rFonts w:ascii="Arial" w:hAnsi="Arial" w:cs="Arial"/>
          <w:sz w:val="22"/>
          <w:szCs w:val="22"/>
        </w:rPr>
        <w:t>in relation to items 1 and 2 in the table included in</w:t>
      </w:r>
      <w:r w:rsidRPr="00227F7C">
        <w:rPr>
          <w:rFonts w:ascii="Arial" w:hAnsi="Arial" w:cs="Arial"/>
          <w:sz w:val="22"/>
          <w:szCs w:val="22"/>
        </w:rPr>
        <w:t xml:space="preserve"> section 396-55 of Schedule 1 to the </w:t>
      </w:r>
      <w:r w:rsidR="00024A7D" w:rsidRPr="00227F7C">
        <w:rPr>
          <w:rFonts w:ascii="Arial" w:hAnsi="Arial" w:cs="Arial"/>
          <w:sz w:val="22"/>
          <w:szCs w:val="22"/>
        </w:rPr>
        <w:t>TAA 1953.</w:t>
      </w:r>
    </w:p>
    <w:p w:rsidR="00227F7C" w:rsidRPr="00227F7C" w:rsidRDefault="00227F7C" w:rsidP="00227F7C">
      <w:pPr>
        <w:keepLines/>
        <w:numPr>
          <w:ilvl w:val="0"/>
          <w:numId w:val="16"/>
        </w:numPr>
        <w:tabs>
          <w:tab w:val="clear" w:pos="720"/>
          <w:tab w:val="num" w:pos="709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227F7C">
        <w:rPr>
          <w:rFonts w:ascii="Arial" w:hAnsi="Arial" w:cs="Arial"/>
          <w:sz w:val="22"/>
          <w:szCs w:val="22"/>
        </w:rPr>
        <w:t xml:space="preserve">Under subsection 33(3) of the </w:t>
      </w:r>
      <w:r w:rsidRPr="00227F7C">
        <w:rPr>
          <w:rFonts w:ascii="Arial" w:hAnsi="Arial" w:cs="Arial"/>
          <w:i/>
          <w:sz w:val="22"/>
          <w:szCs w:val="22"/>
        </w:rPr>
        <w:t>Acts Interpretation Act 1901</w:t>
      </w:r>
      <w:r w:rsidRPr="00227F7C">
        <w:rPr>
          <w:rFonts w:ascii="Arial" w:hAnsi="Arial" w:cs="Arial"/>
          <w:sz w:val="22"/>
          <w:szCs w:val="22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486653" w:rsidRPr="005F2C9D" w:rsidRDefault="00486653" w:rsidP="00227F7C">
      <w:pPr>
        <w:keepLines/>
        <w:numPr>
          <w:ilvl w:val="0"/>
          <w:numId w:val="16"/>
        </w:numPr>
        <w:spacing w:after="120"/>
        <w:ind w:hanging="720"/>
        <w:rPr>
          <w:rFonts w:ascii="Arial" w:hAnsi="Arial" w:cs="Arial"/>
          <w:sz w:val="22"/>
          <w:szCs w:val="22"/>
        </w:rPr>
      </w:pPr>
      <w:r w:rsidRPr="005F2C9D">
        <w:rPr>
          <w:rFonts w:ascii="Arial" w:hAnsi="Arial" w:cs="Arial"/>
          <w:sz w:val="22"/>
          <w:szCs w:val="22"/>
        </w:rPr>
        <w:t>Th</w:t>
      </w:r>
      <w:r w:rsidR="00AF4537">
        <w:rPr>
          <w:rFonts w:ascii="Arial" w:hAnsi="Arial" w:cs="Arial"/>
          <w:sz w:val="22"/>
          <w:szCs w:val="22"/>
        </w:rPr>
        <w:t>is</w:t>
      </w:r>
      <w:r w:rsidRPr="005F2C9D">
        <w:rPr>
          <w:rFonts w:ascii="Arial" w:hAnsi="Arial" w:cs="Arial"/>
          <w:sz w:val="22"/>
          <w:szCs w:val="22"/>
        </w:rPr>
        <w:t xml:space="preserve"> </w:t>
      </w:r>
      <w:r w:rsidR="00024A7D">
        <w:rPr>
          <w:rFonts w:ascii="Arial" w:hAnsi="Arial" w:cs="Arial"/>
          <w:sz w:val="22"/>
          <w:szCs w:val="22"/>
        </w:rPr>
        <w:t>instrument</w:t>
      </w:r>
      <w:r w:rsidR="00024A7D" w:rsidRPr="005F2C9D">
        <w:rPr>
          <w:rFonts w:ascii="Arial" w:hAnsi="Arial" w:cs="Arial"/>
          <w:sz w:val="22"/>
          <w:szCs w:val="22"/>
        </w:rPr>
        <w:t xml:space="preserve"> </w:t>
      </w:r>
      <w:r w:rsidRPr="005F2C9D">
        <w:rPr>
          <w:rFonts w:ascii="Arial" w:hAnsi="Arial" w:cs="Arial"/>
          <w:sz w:val="22"/>
          <w:szCs w:val="22"/>
        </w:rPr>
        <w:t xml:space="preserve">is a legislative instrument for the purposes of the </w:t>
      </w:r>
      <w:r w:rsidR="005E28C8" w:rsidRPr="00227F7C">
        <w:rPr>
          <w:rFonts w:ascii="Arial" w:hAnsi="Arial" w:cs="Arial"/>
          <w:i/>
          <w:sz w:val="22"/>
          <w:szCs w:val="22"/>
        </w:rPr>
        <w:t xml:space="preserve">Legislation </w:t>
      </w:r>
      <w:r w:rsidRPr="00227F7C">
        <w:rPr>
          <w:rFonts w:ascii="Arial" w:hAnsi="Arial" w:cs="Arial"/>
          <w:i/>
          <w:sz w:val="22"/>
          <w:szCs w:val="22"/>
        </w:rPr>
        <w:t>Act 2003</w:t>
      </w:r>
      <w:r w:rsidRPr="005F2C9D">
        <w:rPr>
          <w:rFonts w:ascii="Arial" w:hAnsi="Arial" w:cs="Arial"/>
          <w:sz w:val="22"/>
          <w:szCs w:val="22"/>
        </w:rPr>
        <w:t>.</w:t>
      </w:r>
    </w:p>
    <w:p w:rsidR="00486653" w:rsidRDefault="00486653">
      <w:pPr>
        <w:spacing w:after="120"/>
        <w:rPr>
          <w:rFonts w:ascii="Arial" w:hAnsi="Arial" w:cs="Arial"/>
          <w:sz w:val="22"/>
          <w:szCs w:val="22"/>
        </w:rPr>
      </w:pPr>
    </w:p>
    <w:p w:rsidR="0057596A" w:rsidRPr="00C43CF0" w:rsidRDefault="0057596A">
      <w:pPr>
        <w:spacing w:after="120"/>
        <w:rPr>
          <w:rFonts w:ascii="Arial" w:hAnsi="Arial" w:cs="Arial"/>
          <w:b/>
          <w:sz w:val="22"/>
          <w:szCs w:val="22"/>
        </w:rPr>
      </w:pPr>
      <w:r w:rsidRPr="00C43CF0">
        <w:rPr>
          <w:rFonts w:ascii="Arial" w:hAnsi="Arial" w:cs="Arial"/>
          <w:b/>
          <w:sz w:val="22"/>
          <w:szCs w:val="22"/>
        </w:rPr>
        <w:t>Repeal of previous instrument</w:t>
      </w:r>
    </w:p>
    <w:p w:rsidR="0007236D" w:rsidRPr="003E413D" w:rsidRDefault="00AF1269" w:rsidP="0007236D">
      <w:pPr>
        <w:keepLines/>
        <w:numPr>
          <w:ilvl w:val="0"/>
          <w:numId w:val="16"/>
        </w:numPr>
        <w:spacing w:after="120"/>
        <w:ind w:hanging="720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This determination replaces </w:t>
      </w:r>
      <w:r>
        <w:rPr>
          <w:rFonts w:ascii="Arial" w:hAnsi="Arial" w:cs="Arial"/>
          <w:i/>
          <w:sz w:val="22"/>
          <w:szCs w:val="22"/>
        </w:rPr>
        <w:t>Classes of Government Related Entities Exempt from providing Third Party Reports Determination 2016</w:t>
      </w:r>
      <w:r>
        <w:rPr>
          <w:rFonts w:ascii="Arial" w:hAnsi="Arial" w:cs="Arial"/>
          <w:sz w:val="22"/>
          <w:szCs w:val="22"/>
        </w:rPr>
        <w:t xml:space="preserve"> – F2016L00510; registered on 14 April 2016 (previous determination). The previous determination is repealed on commencement of this determination. </w:t>
      </w:r>
    </w:p>
    <w:p w:rsidR="0057596A" w:rsidRDefault="0007236D" w:rsidP="00C43CF0">
      <w:pPr>
        <w:keepLines/>
        <w:numPr>
          <w:ilvl w:val="0"/>
          <w:numId w:val="16"/>
        </w:numPr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7236D">
        <w:rPr>
          <w:rFonts w:ascii="Arial" w:hAnsi="Arial" w:cs="Arial"/>
          <w:sz w:val="22"/>
          <w:szCs w:val="22"/>
        </w:rPr>
        <w:t xml:space="preserve">legislative instrument is being repealed </w:t>
      </w:r>
      <w:r w:rsidR="008404AC">
        <w:rPr>
          <w:rFonts w:ascii="Arial" w:hAnsi="Arial" w:cs="Arial"/>
          <w:sz w:val="22"/>
          <w:szCs w:val="22"/>
        </w:rPr>
        <w:t>because of</w:t>
      </w:r>
      <w:r w:rsidRPr="0007236D">
        <w:rPr>
          <w:rFonts w:ascii="Arial" w:hAnsi="Arial" w:cs="Arial"/>
          <w:sz w:val="22"/>
          <w:szCs w:val="22"/>
        </w:rPr>
        <w:t xml:space="preserve"> an unintended consequence</w:t>
      </w:r>
      <w:r w:rsidR="008404AC">
        <w:rPr>
          <w:rFonts w:ascii="Arial" w:hAnsi="Arial" w:cs="Arial"/>
          <w:sz w:val="22"/>
          <w:szCs w:val="22"/>
        </w:rPr>
        <w:t xml:space="preserve">. </w:t>
      </w:r>
      <w:r w:rsidR="00414594">
        <w:rPr>
          <w:rFonts w:ascii="Arial" w:hAnsi="Arial" w:cs="Arial"/>
          <w:sz w:val="22"/>
          <w:szCs w:val="22"/>
        </w:rPr>
        <w:t>Some government de</w:t>
      </w:r>
      <w:r w:rsidRPr="0007236D">
        <w:rPr>
          <w:rFonts w:ascii="Arial" w:hAnsi="Arial" w:cs="Arial"/>
          <w:sz w:val="22"/>
          <w:szCs w:val="22"/>
        </w:rPr>
        <w:t>partments</w:t>
      </w:r>
      <w:r w:rsidR="00414594">
        <w:rPr>
          <w:rFonts w:ascii="Arial" w:hAnsi="Arial" w:cs="Arial"/>
          <w:sz w:val="22"/>
          <w:szCs w:val="22"/>
        </w:rPr>
        <w:t xml:space="preserve"> </w:t>
      </w:r>
      <w:r w:rsidRPr="0007236D">
        <w:rPr>
          <w:rFonts w:ascii="Arial" w:hAnsi="Arial" w:cs="Arial"/>
          <w:sz w:val="22"/>
          <w:szCs w:val="22"/>
        </w:rPr>
        <w:t>may have</w:t>
      </w:r>
      <w:r w:rsidR="00414594">
        <w:rPr>
          <w:rFonts w:ascii="Arial" w:hAnsi="Arial" w:cs="Arial"/>
          <w:sz w:val="22"/>
          <w:szCs w:val="22"/>
        </w:rPr>
        <w:t xml:space="preserve"> </w:t>
      </w:r>
      <w:r w:rsidR="00A12DBC">
        <w:rPr>
          <w:rFonts w:ascii="Arial" w:hAnsi="Arial" w:cs="Arial"/>
          <w:sz w:val="22"/>
          <w:szCs w:val="22"/>
        </w:rPr>
        <w:t>been</w:t>
      </w:r>
      <w:r w:rsidRPr="0007236D">
        <w:rPr>
          <w:rFonts w:ascii="Arial" w:hAnsi="Arial" w:cs="Arial"/>
          <w:sz w:val="22"/>
          <w:szCs w:val="22"/>
        </w:rPr>
        <w:t xml:space="preserve"> excluded from reporting </w:t>
      </w:r>
      <w:r w:rsidR="00A12DBC">
        <w:rPr>
          <w:rFonts w:ascii="Arial" w:hAnsi="Arial" w:cs="Arial"/>
          <w:sz w:val="22"/>
          <w:szCs w:val="22"/>
        </w:rPr>
        <w:t>because</w:t>
      </w:r>
      <w:r w:rsidRPr="0007236D">
        <w:rPr>
          <w:rFonts w:ascii="Arial" w:hAnsi="Arial" w:cs="Arial"/>
          <w:sz w:val="22"/>
          <w:szCs w:val="22"/>
        </w:rPr>
        <w:t xml:space="preserve"> they could</w:t>
      </w:r>
      <w:r w:rsidR="00414594">
        <w:rPr>
          <w:rFonts w:ascii="Arial" w:hAnsi="Arial" w:cs="Arial"/>
          <w:sz w:val="22"/>
          <w:szCs w:val="22"/>
        </w:rPr>
        <w:t xml:space="preserve"> be within a</w:t>
      </w:r>
      <w:r w:rsidR="00A12DBC">
        <w:rPr>
          <w:rFonts w:ascii="Arial" w:hAnsi="Arial" w:cs="Arial"/>
          <w:sz w:val="22"/>
          <w:szCs w:val="22"/>
        </w:rPr>
        <w:t xml:space="preserve"> class of exempt entities</w:t>
      </w:r>
      <w:r w:rsidR="00414594">
        <w:rPr>
          <w:rFonts w:ascii="Arial" w:hAnsi="Arial" w:cs="Arial"/>
          <w:sz w:val="22"/>
          <w:szCs w:val="22"/>
        </w:rPr>
        <w:t>.</w:t>
      </w:r>
      <w:r w:rsidRPr="0007236D">
        <w:rPr>
          <w:rFonts w:ascii="Arial" w:hAnsi="Arial" w:cs="Arial"/>
          <w:sz w:val="22"/>
          <w:szCs w:val="22"/>
        </w:rPr>
        <w:t xml:space="preserve"> The remaking of the legislative instrument clarifies the </w:t>
      </w:r>
      <w:r w:rsidR="008404AC">
        <w:rPr>
          <w:rFonts w:ascii="Arial" w:hAnsi="Arial" w:cs="Arial"/>
          <w:sz w:val="22"/>
          <w:szCs w:val="22"/>
        </w:rPr>
        <w:t xml:space="preserve">original </w:t>
      </w:r>
      <w:r w:rsidRPr="0007236D">
        <w:rPr>
          <w:rFonts w:ascii="Arial" w:hAnsi="Arial" w:cs="Arial"/>
          <w:sz w:val="22"/>
          <w:szCs w:val="22"/>
        </w:rPr>
        <w:t>intention and provides certainty to entities that they will be reporters.</w:t>
      </w:r>
    </w:p>
    <w:bookmarkEnd w:id="11"/>
    <w:p w:rsidR="00BF655F" w:rsidRDefault="00BF655F">
      <w:pPr>
        <w:pStyle w:val="Heading2"/>
        <w:rPr>
          <w:sz w:val="24"/>
          <w:szCs w:val="22"/>
        </w:rPr>
      </w:pPr>
    </w:p>
    <w:p w:rsidR="00486653" w:rsidRDefault="00486653">
      <w:pPr>
        <w:pStyle w:val="Heading2"/>
        <w:rPr>
          <w:sz w:val="24"/>
          <w:szCs w:val="22"/>
        </w:rPr>
      </w:pPr>
      <w:r w:rsidRPr="002877C1">
        <w:rPr>
          <w:sz w:val="24"/>
          <w:szCs w:val="22"/>
        </w:rPr>
        <w:t>Date of effect</w:t>
      </w:r>
    </w:p>
    <w:p w:rsidR="0007236D" w:rsidRPr="0007236D" w:rsidRDefault="0007236D" w:rsidP="00C43CF0"/>
    <w:p w:rsidR="00486653" w:rsidRPr="005F2C9D" w:rsidRDefault="00380CC4">
      <w:pPr>
        <w:numPr>
          <w:ilvl w:val="0"/>
          <w:numId w:val="16"/>
        </w:numPr>
        <w:spacing w:after="120"/>
        <w:ind w:hanging="720"/>
        <w:rPr>
          <w:rFonts w:ascii="Arial" w:hAnsi="Arial" w:cs="Arial"/>
          <w:color w:val="000000"/>
          <w:sz w:val="22"/>
          <w:szCs w:val="22"/>
        </w:rPr>
      </w:pPr>
      <w:r w:rsidRPr="005F2C9D">
        <w:rPr>
          <w:rFonts w:ascii="Arial" w:hAnsi="Arial" w:cs="Arial"/>
          <w:sz w:val="22"/>
          <w:szCs w:val="22"/>
        </w:rPr>
        <w:t>Th</w:t>
      </w:r>
      <w:r w:rsidR="00AF4537">
        <w:rPr>
          <w:rFonts w:ascii="Arial" w:hAnsi="Arial" w:cs="Arial"/>
          <w:sz w:val="22"/>
          <w:szCs w:val="22"/>
        </w:rPr>
        <w:t>is</w:t>
      </w:r>
      <w:r w:rsidRPr="005F2C9D">
        <w:rPr>
          <w:rFonts w:ascii="Arial" w:hAnsi="Arial" w:cs="Arial"/>
          <w:sz w:val="22"/>
          <w:szCs w:val="22"/>
        </w:rPr>
        <w:t xml:space="preserve"> </w:t>
      </w:r>
      <w:r w:rsidR="00024A7D">
        <w:rPr>
          <w:rFonts w:ascii="Arial" w:hAnsi="Arial" w:cs="Arial"/>
          <w:sz w:val="22"/>
          <w:szCs w:val="22"/>
        </w:rPr>
        <w:t>instrument</w:t>
      </w:r>
      <w:r w:rsidR="00024A7D" w:rsidRPr="005F2C9D">
        <w:rPr>
          <w:rFonts w:ascii="Arial" w:hAnsi="Arial" w:cs="Arial"/>
          <w:sz w:val="22"/>
          <w:szCs w:val="22"/>
        </w:rPr>
        <w:t xml:space="preserve"> </w:t>
      </w:r>
      <w:r w:rsidR="00134C06">
        <w:rPr>
          <w:rFonts w:ascii="Arial" w:hAnsi="Arial" w:cs="Arial"/>
          <w:sz w:val="22"/>
          <w:szCs w:val="22"/>
        </w:rPr>
        <w:t xml:space="preserve">commences </w:t>
      </w:r>
      <w:r w:rsidR="00024A7D">
        <w:rPr>
          <w:rFonts w:ascii="Arial" w:hAnsi="Arial" w:cs="Arial"/>
          <w:sz w:val="22"/>
          <w:szCs w:val="22"/>
        </w:rPr>
        <w:t>on</w:t>
      </w:r>
      <w:r w:rsidR="00AE2316">
        <w:rPr>
          <w:rFonts w:ascii="Arial" w:hAnsi="Arial" w:cs="Arial"/>
          <w:sz w:val="22"/>
          <w:szCs w:val="22"/>
        </w:rPr>
        <w:t xml:space="preserve"> </w:t>
      </w:r>
      <w:r w:rsidR="004D0DD4" w:rsidRPr="005F2C9D">
        <w:rPr>
          <w:rFonts w:ascii="Arial" w:hAnsi="Arial" w:cs="Arial"/>
          <w:sz w:val="22"/>
          <w:szCs w:val="22"/>
        </w:rPr>
        <w:t>1</w:t>
      </w:r>
      <w:r w:rsidRPr="005F2C9D">
        <w:rPr>
          <w:rFonts w:ascii="Arial" w:hAnsi="Arial" w:cs="Arial"/>
          <w:sz w:val="22"/>
          <w:szCs w:val="22"/>
        </w:rPr>
        <w:t xml:space="preserve"> </w:t>
      </w:r>
      <w:r w:rsidR="004D0DD4" w:rsidRPr="005F2C9D">
        <w:rPr>
          <w:rFonts w:ascii="Arial" w:hAnsi="Arial" w:cs="Arial"/>
          <w:sz w:val="22"/>
          <w:szCs w:val="22"/>
        </w:rPr>
        <w:t>July</w:t>
      </w:r>
      <w:r w:rsidRPr="005F2C9D">
        <w:rPr>
          <w:rFonts w:ascii="Arial" w:hAnsi="Arial" w:cs="Arial"/>
          <w:sz w:val="22"/>
          <w:szCs w:val="22"/>
        </w:rPr>
        <w:t xml:space="preserve"> </w:t>
      </w:r>
      <w:r w:rsidR="004D0DD4" w:rsidRPr="005F2C9D">
        <w:rPr>
          <w:rFonts w:ascii="Arial" w:hAnsi="Arial" w:cs="Arial"/>
          <w:sz w:val="22"/>
          <w:szCs w:val="22"/>
        </w:rPr>
        <w:t>2017.</w:t>
      </w:r>
    </w:p>
    <w:p w:rsidR="008F32C6" w:rsidRPr="005F2C9D" w:rsidRDefault="008F32C6">
      <w:pPr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</w:p>
    <w:p w:rsidR="00AF3B77" w:rsidRDefault="00AF3B77">
      <w:pPr>
        <w:pStyle w:val="Heading2"/>
        <w:keepNext w:val="0"/>
        <w:rPr>
          <w:sz w:val="24"/>
          <w:szCs w:val="22"/>
        </w:rPr>
      </w:pPr>
    </w:p>
    <w:p w:rsidR="00AF3B77" w:rsidRDefault="00AF3B77">
      <w:pPr>
        <w:pStyle w:val="Heading2"/>
        <w:keepNext w:val="0"/>
        <w:rPr>
          <w:sz w:val="24"/>
          <w:szCs w:val="22"/>
        </w:rPr>
      </w:pPr>
    </w:p>
    <w:p w:rsidR="00AF3B77" w:rsidRDefault="00AF3B77">
      <w:pPr>
        <w:pStyle w:val="Heading2"/>
        <w:keepNext w:val="0"/>
        <w:rPr>
          <w:sz w:val="24"/>
          <w:szCs w:val="22"/>
        </w:rPr>
      </w:pPr>
    </w:p>
    <w:p w:rsidR="00486653" w:rsidRPr="002877C1" w:rsidRDefault="00486653">
      <w:pPr>
        <w:pStyle w:val="Heading2"/>
        <w:keepNext w:val="0"/>
        <w:rPr>
          <w:sz w:val="24"/>
          <w:szCs w:val="22"/>
        </w:rPr>
      </w:pPr>
      <w:r w:rsidRPr="002877C1">
        <w:rPr>
          <w:sz w:val="24"/>
          <w:szCs w:val="22"/>
        </w:rPr>
        <w:lastRenderedPageBreak/>
        <w:t>What is this instrument about</w:t>
      </w:r>
    </w:p>
    <w:p w:rsidR="003039FD" w:rsidRPr="00113A77" w:rsidRDefault="00113A77">
      <w:pPr>
        <w:keepLines/>
        <w:numPr>
          <w:ilvl w:val="0"/>
          <w:numId w:val="16"/>
        </w:numPr>
        <w:spacing w:after="120"/>
        <w:ind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Subdivision 396-B of Schedule 1 to the </w:t>
      </w:r>
      <w:r w:rsidR="00134C06" w:rsidRPr="00134C06">
        <w:rPr>
          <w:rFonts w:ascii="Arial" w:hAnsi="Arial" w:cs="Arial"/>
          <w:sz w:val="22"/>
          <w:szCs w:val="22"/>
        </w:rPr>
        <w:t>TAA</w:t>
      </w:r>
      <w:r w:rsidR="00134C06">
        <w:rPr>
          <w:rFonts w:ascii="Arial" w:hAnsi="Arial" w:cs="Arial"/>
          <w:sz w:val="22"/>
          <w:szCs w:val="22"/>
        </w:rPr>
        <w:t xml:space="preserve"> 1953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introduced third party reporting arrangements that apply to </w:t>
      </w:r>
      <w:r w:rsidR="00C276A2">
        <w:rPr>
          <w:rFonts w:ascii="Arial" w:hAnsi="Arial" w:cs="Arial"/>
          <w:sz w:val="22"/>
          <w:szCs w:val="22"/>
        </w:rPr>
        <w:t>transactions that happen</w:t>
      </w:r>
      <w:r>
        <w:rPr>
          <w:rFonts w:ascii="Arial" w:hAnsi="Arial" w:cs="Arial"/>
          <w:sz w:val="22"/>
          <w:szCs w:val="22"/>
        </w:rPr>
        <w:t xml:space="preserve"> from 1 July 2017. Subdivision 396-B include</w:t>
      </w:r>
      <w:r w:rsidR="007A5D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requirements for government related entities to provide a report concerning the provision of a grant to an entity that has an ABN</w:t>
      </w:r>
      <w:r w:rsidR="00185CA3">
        <w:rPr>
          <w:rFonts w:ascii="Arial" w:hAnsi="Arial" w:cs="Arial"/>
          <w:sz w:val="22"/>
          <w:szCs w:val="22"/>
        </w:rPr>
        <w:t xml:space="preserve"> or the provision of</w:t>
      </w:r>
      <w:r w:rsidR="00E0022A">
        <w:rPr>
          <w:rFonts w:ascii="Arial" w:hAnsi="Arial" w:cs="Arial"/>
          <w:sz w:val="22"/>
          <w:szCs w:val="22"/>
        </w:rPr>
        <w:t xml:space="preserve"> </w:t>
      </w:r>
      <w:r w:rsidR="00FC20DD">
        <w:rPr>
          <w:rFonts w:ascii="Arial" w:hAnsi="Arial" w:cs="Arial"/>
          <w:sz w:val="22"/>
          <w:szCs w:val="22"/>
        </w:rPr>
        <w:t>consideration</w:t>
      </w:r>
      <w:r w:rsidR="00E0022A">
        <w:rPr>
          <w:rFonts w:ascii="Arial" w:hAnsi="Arial" w:cs="Arial"/>
          <w:sz w:val="22"/>
          <w:szCs w:val="22"/>
        </w:rPr>
        <w:t xml:space="preserve"> </w:t>
      </w:r>
      <w:r w:rsidR="00C55739">
        <w:rPr>
          <w:rFonts w:ascii="Arial" w:hAnsi="Arial" w:cs="Arial"/>
          <w:sz w:val="22"/>
          <w:szCs w:val="22"/>
        </w:rPr>
        <w:t xml:space="preserve">wholly or partly </w:t>
      </w:r>
      <w:r w:rsidR="00E0022A">
        <w:rPr>
          <w:rFonts w:ascii="Arial" w:hAnsi="Arial" w:cs="Arial"/>
          <w:sz w:val="22"/>
          <w:szCs w:val="22"/>
        </w:rPr>
        <w:t>for the supply of</w:t>
      </w:r>
      <w:r>
        <w:rPr>
          <w:rFonts w:ascii="Arial" w:hAnsi="Arial" w:cs="Arial"/>
          <w:sz w:val="22"/>
          <w:szCs w:val="22"/>
        </w:rPr>
        <w:t xml:space="preserve"> service</w:t>
      </w:r>
      <w:r w:rsidR="00E0022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These requirements are listed as items 1 and 2 in the table included in section 396-55</w:t>
      </w:r>
      <w:r w:rsidR="003039FD" w:rsidRPr="005F2C9D">
        <w:rPr>
          <w:rFonts w:ascii="Arial" w:hAnsi="Arial" w:cs="Arial"/>
          <w:sz w:val="22"/>
          <w:szCs w:val="22"/>
        </w:rPr>
        <w:t>.</w:t>
      </w:r>
    </w:p>
    <w:p w:rsidR="00113A77" w:rsidRPr="005F2C9D" w:rsidRDefault="00113A77">
      <w:pPr>
        <w:keepLines/>
        <w:numPr>
          <w:ilvl w:val="0"/>
          <w:numId w:val="16"/>
        </w:numPr>
        <w:spacing w:after="120"/>
        <w:ind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exempts certain entities from these reporting requirements.</w:t>
      </w:r>
    </w:p>
    <w:p w:rsidR="00486653" w:rsidRPr="007C393C" w:rsidRDefault="00486653" w:rsidP="00B06E10"/>
    <w:p w:rsidR="00486653" w:rsidRPr="002877C1" w:rsidRDefault="00486653">
      <w:pPr>
        <w:pStyle w:val="Heading2"/>
        <w:keepNext w:val="0"/>
        <w:rPr>
          <w:sz w:val="24"/>
          <w:szCs w:val="22"/>
        </w:rPr>
      </w:pPr>
      <w:r w:rsidRPr="002877C1">
        <w:rPr>
          <w:sz w:val="24"/>
          <w:szCs w:val="22"/>
        </w:rPr>
        <w:t>What is the effect of this instrument</w:t>
      </w:r>
    </w:p>
    <w:p w:rsidR="003039FD" w:rsidRPr="005F2C9D" w:rsidRDefault="00486653">
      <w:pPr>
        <w:keepLines/>
        <w:numPr>
          <w:ilvl w:val="0"/>
          <w:numId w:val="16"/>
        </w:numPr>
        <w:spacing w:after="120"/>
        <w:ind w:left="714" w:hanging="714"/>
        <w:rPr>
          <w:rFonts w:ascii="Arial" w:hAnsi="Arial" w:cs="Arial"/>
          <w:color w:val="000000"/>
          <w:sz w:val="22"/>
          <w:szCs w:val="22"/>
        </w:rPr>
      </w:pPr>
      <w:r w:rsidRPr="005F2C9D">
        <w:rPr>
          <w:rFonts w:ascii="Arial" w:hAnsi="Arial" w:cs="Arial"/>
          <w:color w:val="000000"/>
          <w:sz w:val="22"/>
          <w:szCs w:val="22"/>
        </w:rPr>
        <w:t xml:space="preserve">The effect of this </w:t>
      </w:r>
      <w:r w:rsidR="00024A7D">
        <w:rPr>
          <w:rFonts w:ascii="Arial" w:hAnsi="Arial" w:cs="Arial"/>
          <w:color w:val="000000"/>
          <w:sz w:val="22"/>
          <w:szCs w:val="22"/>
        </w:rPr>
        <w:t>instrument</w:t>
      </w:r>
      <w:r w:rsidR="00024A7D" w:rsidRPr="005F2C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F2C9D">
        <w:rPr>
          <w:rFonts w:ascii="Arial" w:hAnsi="Arial" w:cs="Arial"/>
          <w:color w:val="000000"/>
          <w:sz w:val="22"/>
          <w:szCs w:val="22"/>
        </w:rPr>
        <w:t>is</w:t>
      </w:r>
      <w:r w:rsidR="003039FD" w:rsidRPr="005F2C9D">
        <w:rPr>
          <w:rFonts w:ascii="Arial" w:hAnsi="Arial" w:cs="Arial"/>
          <w:color w:val="000000"/>
          <w:sz w:val="22"/>
          <w:szCs w:val="22"/>
        </w:rPr>
        <w:t xml:space="preserve"> to reduce the compliance burden for certain classes of </w:t>
      </w:r>
      <w:r w:rsidR="00104408">
        <w:rPr>
          <w:rFonts w:ascii="Arial" w:hAnsi="Arial" w:cs="Arial"/>
          <w:color w:val="000000"/>
          <w:sz w:val="22"/>
          <w:szCs w:val="22"/>
        </w:rPr>
        <w:t>entit</w:t>
      </w:r>
      <w:r w:rsidR="00113A77">
        <w:rPr>
          <w:rFonts w:ascii="Arial" w:hAnsi="Arial" w:cs="Arial"/>
          <w:color w:val="000000"/>
          <w:sz w:val="22"/>
          <w:szCs w:val="22"/>
        </w:rPr>
        <w:t>ies</w:t>
      </w:r>
      <w:r w:rsidR="003039FD" w:rsidRPr="005F2C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3A77">
        <w:rPr>
          <w:rFonts w:ascii="Arial" w:hAnsi="Arial" w:cs="Arial"/>
          <w:color w:val="000000"/>
          <w:sz w:val="22"/>
          <w:szCs w:val="22"/>
        </w:rPr>
        <w:t>by</w:t>
      </w:r>
      <w:r w:rsidR="003039FD" w:rsidRPr="005F2C9D">
        <w:rPr>
          <w:rFonts w:ascii="Arial" w:hAnsi="Arial" w:cs="Arial"/>
          <w:color w:val="000000"/>
          <w:sz w:val="22"/>
          <w:szCs w:val="22"/>
        </w:rPr>
        <w:t xml:space="preserve"> not having to prepare and </w:t>
      </w:r>
      <w:r w:rsidR="00113A77">
        <w:rPr>
          <w:rFonts w:ascii="Arial" w:hAnsi="Arial" w:cs="Arial"/>
          <w:color w:val="000000"/>
          <w:sz w:val="22"/>
          <w:szCs w:val="22"/>
        </w:rPr>
        <w:t>lodge</w:t>
      </w:r>
      <w:r w:rsidR="004F7403">
        <w:rPr>
          <w:rFonts w:ascii="Arial" w:hAnsi="Arial" w:cs="Arial"/>
          <w:color w:val="000000"/>
          <w:sz w:val="22"/>
          <w:szCs w:val="22"/>
        </w:rPr>
        <w:t xml:space="preserve"> </w:t>
      </w:r>
      <w:r w:rsidR="009D47C6">
        <w:rPr>
          <w:rFonts w:ascii="Arial" w:hAnsi="Arial" w:cs="Arial"/>
          <w:color w:val="000000"/>
          <w:sz w:val="22"/>
          <w:szCs w:val="22"/>
        </w:rPr>
        <w:t xml:space="preserve">a </w:t>
      </w:r>
      <w:r w:rsidR="00113A77">
        <w:rPr>
          <w:rFonts w:ascii="Arial" w:hAnsi="Arial" w:cs="Arial"/>
          <w:color w:val="000000"/>
          <w:sz w:val="22"/>
          <w:szCs w:val="22"/>
        </w:rPr>
        <w:t>report</w:t>
      </w:r>
      <w:r w:rsidR="003039FD" w:rsidRPr="005F2C9D">
        <w:rPr>
          <w:rFonts w:ascii="Arial" w:hAnsi="Arial" w:cs="Arial"/>
          <w:color w:val="000000"/>
          <w:sz w:val="22"/>
          <w:szCs w:val="22"/>
        </w:rPr>
        <w:t xml:space="preserve">. These classes of </w:t>
      </w:r>
      <w:r w:rsidR="00104408">
        <w:rPr>
          <w:rFonts w:ascii="Arial" w:hAnsi="Arial" w:cs="Arial"/>
          <w:color w:val="000000"/>
          <w:sz w:val="22"/>
          <w:szCs w:val="22"/>
        </w:rPr>
        <w:t>entit</w:t>
      </w:r>
      <w:r w:rsidR="00113A77">
        <w:rPr>
          <w:rFonts w:ascii="Arial" w:hAnsi="Arial" w:cs="Arial"/>
          <w:color w:val="000000"/>
          <w:sz w:val="22"/>
          <w:szCs w:val="22"/>
        </w:rPr>
        <w:t>ies</w:t>
      </w:r>
      <w:r w:rsidR="003039FD" w:rsidRPr="005F2C9D">
        <w:rPr>
          <w:rFonts w:ascii="Arial" w:hAnsi="Arial" w:cs="Arial"/>
          <w:color w:val="000000"/>
          <w:sz w:val="22"/>
          <w:szCs w:val="22"/>
        </w:rPr>
        <w:t xml:space="preserve"> have been identified as having:</w:t>
      </w:r>
    </w:p>
    <w:p w:rsidR="003039FD" w:rsidRPr="007C393C" w:rsidRDefault="00113A77" w:rsidP="00AF3B77">
      <w:pPr>
        <w:pStyle w:val="ListParagraph"/>
        <w:numPr>
          <w:ilvl w:val="1"/>
          <w:numId w:val="40"/>
        </w:numPr>
        <w:spacing w:after="120" w:line="240" w:lineRule="auto"/>
        <w:rPr>
          <w:rFonts w:ascii="Arial" w:hAnsi="Arial" w:cs="Arial"/>
        </w:rPr>
      </w:pPr>
      <w:r w:rsidRPr="007C393C">
        <w:rPr>
          <w:rFonts w:ascii="Arial" w:hAnsi="Arial" w:cs="Arial"/>
        </w:rPr>
        <w:t xml:space="preserve">made grants and payments to </w:t>
      </w:r>
      <w:r w:rsidR="003039FD" w:rsidRPr="007C393C">
        <w:rPr>
          <w:rFonts w:ascii="Arial" w:hAnsi="Arial" w:cs="Arial"/>
        </w:rPr>
        <w:t>recipients with low compliance risks</w:t>
      </w:r>
      <w:r w:rsidRPr="007C393C">
        <w:rPr>
          <w:rFonts w:ascii="Arial" w:hAnsi="Arial" w:cs="Arial"/>
        </w:rPr>
        <w:t>;</w:t>
      </w:r>
    </w:p>
    <w:p w:rsidR="003039FD" w:rsidRPr="007C393C" w:rsidRDefault="00113A77" w:rsidP="00AF3B77">
      <w:pPr>
        <w:pStyle w:val="ListParagraph"/>
        <w:numPr>
          <w:ilvl w:val="1"/>
          <w:numId w:val="40"/>
        </w:numPr>
        <w:spacing w:after="120" w:line="240" w:lineRule="auto"/>
        <w:rPr>
          <w:rFonts w:ascii="Arial" w:hAnsi="Arial" w:cs="Arial"/>
        </w:rPr>
      </w:pPr>
      <w:r w:rsidRPr="007C393C">
        <w:rPr>
          <w:rFonts w:ascii="Arial" w:hAnsi="Arial" w:cs="Arial"/>
        </w:rPr>
        <w:t xml:space="preserve">made </w:t>
      </w:r>
      <w:r w:rsidR="003039FD" w:rsidRPr="007C393C">
        <w:rPr>
          <w:rFonts w:ascii="Arial" w:hAnsi="Arial" w:cs="Arial"/>
        </w:rPr>
        <w:t xml:space="preserve">low value and low volume </w:t>
      </w:r>
      <w:r w:rsidRPr="007C393C">
        <w:rPr>
          <w:rFonts w:ascii="Arial" w:hAnsi="Arial" w:cs="Arial"/>
        </w:rPr>
        <w:t>grants</w:t>
      </w:r>
      <w:r w:rsidR="002F1F47" w:rsidRPr="007C393C">
        <w:rPr>
          <w:rFonts w:ascii="Arial" w:hAnsi="Arial" w:cs="Arial"/>
        </w:rPr>
        <w:t xml:space="preserve"> and payments</w:t>
      </w:r>
      <w:r w:rsidRPr="007C393C">
        <w:rPr>
          <w:rFonts w:ascii="Arial" w:hAnsi="Arial" w:cs="Arial"/>
        </w:rPr>
        <w:t>;</w:t>
      </w:r>
      <w:r w:rsidR="00134C06" w:rsidRPr="007C393C">
        <w:rPr>
          <w:rFonts w:ascii="Arial" w:hAnsi="Arial" w:cs="Arial"/>
        </w:rPr>
        <w:t xml:space="preserve"> </w:t>
      </w:r>
    </w:p>
    <w:p w:rsidR="003039FD" w:rsidRDefault="003039FD" w:rsidP="00AF3B77">
      <w:pPr>
        <w:pStyle w:val="ListParagraph"/>
        <w:numPr>
          <w:ilvl w:val="1"/>
          <w:numId w:val="40"/>
        </w:numPr>
        <w:spacing w:after="120" w:line="240" w:lineRule="auto"/>
        <w:rPr>
          <w:rFonts w:ascii="Arial" w:hAnsi="Arial" w:cs="Arial"/>
        </w:rPr>
      </w:pPr>
      <w:proofErr w:type="gramStart"/>
      <w:r w:rsidRPr="007C393C">
        <w:rPr>
          <w:rFonts w:ascii="Arial" w:hAnsi="Arial" w:cs="Arial"/>
        </w:rPr>
        <w:t>a</w:t>
      </w:r>
      <w:proofErr w:type="gramEnd"/>
      <w:r w:rsidRPr="007C393C">
        <w:rPr>
          <w:rFonts w:ascii="Arial" w:hAnsi="Arial" w:cs="Arial"/>
        </w:rPr>
        <w:t xml:space="preserve"> high risk of double reporting, as a large number of </w:t>
      </w:r>
      <w:r w:rsidR="00113A77" w:rsidRPr="007C393C">
        <w:rPr>
          <w:rFonts w:ascii="Arial" w:hAnsi="Arial" w:cs="Arial"/>
        </w:rPr>
        <w:t>controlling</w:t>
      </w:r>
      <w:r w:rsidRPr="007C393C">
        <w:rPr>
          <w:rFonts w:ascii="Arial" w:hAnsi="Arial" w:cs="Arial"/>
        </w:rPr>
        <w:t xml:space="preserve"> entities make grants</w:t>
      </w:r>
      <w:r w:rsidR="00113A77" w:rsidRPr="007C393C">
        <w:rPr>
          <w:rFonts w:ascii="Arial" w:hAnsi="Arial" w:cs="Arial"/>
        </w:rPr>
        <w:t xml:space="preserve"> and payments</w:t>
      </w:r>
      <w:r w:rsidRPr="007C393C">
        <w:rPr>
          <w:rFonts w:ascii="Arial" w:hAnsi="Arial" w:cs="Arial"/>
        </w:rPr>
        <w:t xml:space="preserve"> on behalf of the identified classes</w:t>
      </w:r>
      <w:r w:rsidR="00D874DB">
        <w:rPr>
          <w:rFonts w:ascii="Arial" w:hAnsi="Arial" w:cs="Arial"/>
        </w:rPr>
        <w:t>.</w:t>
      </w:r>
    </w:p>
    <w:p w:rsidR="003039FD" w:rsidRPr="00734DEC" w:rsidRDefault="003039FD" w:rsidP="007A4EA7">
      <w:pPr>
        <w:pStyle w:val="ListParagraph"/>
        <w:keepLines/>
        <w:numPr>
          <w:ilvl w:val="0"/>
          <w:numId w:val="16"/>
        </w:numPr>
        <w:spacing w:after="120" w:line="240" w:lineRule="auto"/>
        <w:ind w:left="714" w:hanging="714"/>
        <w:rPr>
          <w:rFonts w:ascii="Arial" w:hAnsi="Arial" w:cs="Arial"/>
          <w:i/>
          <w:color w:val="000000"/>
        </w:rPr>
      </w:pPr>
      <w:r w:rsidRPr="005F2C9D">
        <w:rPr>
          <w:rFonts w:ascii="Arial" w:hAnsi="Arial" w:cs="Arial"/>
          <w:color w:val="000000"/>
        </w:rPr>
        <w:t xml:space="preserve">Although some grants </w:t>
      </w:r>
      <w:r w:rsidR="00113A77">
        <w:rPr>
          <w:rFonts w:ascii="Arial" w:hAnsi="Arial" w:cs="Arial"/>
          <w:color w:val="000000"/>
        </w:rPr>
        <w:t xml:space="preserve">and payments </w:t>
      </w:r>
      <w:r w:rsidRPr="005F2C9D">
        <w:rPr>
          <w:rFonts w:ascii="Arial" w:hAnsi="Arial" w:cs="Arial"/>
          <w:color w:val="000000"/>
        </w:rPr>
        <w:t>will not be reported due to these exemptions, the</w:t>
      </w:r>
      <w:r w:rsidR="00C7327C" w:rsidRPr="005F2C9D">
        <w:rPr>
          <w:rFonts w:ascii="Arial" w:hAnsi="Arial" w:cs="Arial"/>
          <w:color w:val="000000"/>
        </w:rPr>
        <w:t xml:space="preserve"> reporting of information </w:t>
      </w:r>
      <w:r w:rsidR="00C35173">
        <w:rPr>
          <w:rFonts w:ascii="Arial" w:hAnsi="Arial" w:cs="Arial"/>
          <w:color w:val="000000"/>
        </w:rPr>
        <w:t xml:space="preserve">would </w:t>
      </w:r>
      <w:r w:rsidR="00C7327C" w:rsidRPr="005F2C9D">
        <w:rPr>
          <w:rFonts w:ascii="Arial" w:hAnsi="Arial" w:cs="Arial"/>
          <w:color w:val="000000"/>
        </w:rPr>
        <w:t xml:space="preserve">place a disproportionately high compliance cost on the reporter relative to the benefit of providing the information to the </w:t>
      </w:r>
      <w:r w:rsidR="00AF1269">
        <w:rPr>
          <w:rFonts w:ascii="Arial" w:hAnsi="Arial" w:cs="Arial"/>
          <w:color w:val="000000"/>
        </w:rPr>
        <w:t xml:space="preserve">Commissioner of </w:t>
      </w:r>
      <w:r w:rsidR="004D778C">
        <w:rPr>
          <w:rFonts w:ascii="Arial" w:hAnsi="Arial" w:cs="Arial"/>
          <w:color w:val="000000"/>
        </w:rPr>
        <w:t>Taxation</w:t>
      </w:r>
      <w:r w:rsidR="00C7327C" w:rsidRPr="005F2C9D">
        <w:rPr>
          <w:rFonts w:ascii="Arial" w:hAnsi="Arial" w:cs="Arial"/>
          <w:color w:val="000000"/>
        </w:rPr>
        <w:t xml:space="preserve">. </w:t>
      </w:r>
      <w:r w:rsidR="00D821EB">
        <w:rPr>
          <w:rFonts w:ascii="Arial" w:hAnsi="Arial" w:cs="Arial"/>
          <w:color w:val="000000"/>
        </w:rPr>
        <w:t xml:space="preserve">Exempting </w:t>
      </w:r>
      <w:r w:rsidR="00C35173">
        <w:rPr>
          <w:rFonts w:ascii="Arial" w:hAnsi="Arial" w:cs="Arial"/>
          <w:color w:val="000000"/>
        </w:rPr>
        <w:t xml:space="preserve">certain entities </w:t>
      </w:r>
      <w:r w:rsidR="00C7327C" w:rsidRPr="005F2C9D">
        <w:rPr>
          <w:rFonts w:ascii="Arial" w:hAnsi="Arial" w:cs="Arial"/>
          <w:color w:val="000000"/>
        </w:rPr>
        <w:t xml:space="preserve">is consistent with </w:t>
      </w:r>
      <w:r w:rsidR="00C35173">
        <w:rPr>
          <w:rFonts w:ascii="Arial" w:hAnsi="Arial" w:cs="Arial"/>
          <w:color w:val="000000"/>
        </w:rPr>
        <w:t>a</w:t>
      </w:r>
      <w:r w:rsidR="00C35173" w:rsidRPr="005F2C9D">
        <w:rPr>
          <w:rFonts w:ascii="Arial" w:hAnsi="Arial" w:cs="Arial"/>
          <w:color w:val="000000"/>
        </w:rPr>
        <w:t xml:space="preserve"> </w:t>
      </w:r>
      <w:r w:rsidR="00C7327C" w:rsidRPr="005F2C9D">
        <w:rPr>
          <w:rFonts w:ascii="Arial" w:hAnsi="Arial" w:cs="Arial"/>
          <w:color w:val="000000"/>
        </w:rPr>
        <w:t xml:space="preserve">broader objective of the third party reporting regime to </w:t>
      </w:r>
      <w:r w:rsidR="00113A77">
        <w:rPr>
          <w:rFonts w:ascii="Arial" w:hAnsi="Arial" w:cs="Arial"/>
          <w:color w:val="000000"/>
        </w:rPr>
        <w:t>minimise</w:t>
      </w:r>
      <w:r w:rsidR="00C7327C" w:rsidRPr="005F2C9D">
        <w:rPr>
          <w:rFonts w:ascii="Arial" w:hAnsi="Arial" w:cs="Arial"/>
          <w:color w:val="000000"/>
        </w:rPr>
        <w:t xml:space="preserve"> overall compliance costs.</w:t>
      </w:r>
    </w:p>
    <w:p w:rsidR="00734DEC" w:rsidRPr="00734DEC" w:rsidRDefault="00734DEC" w:rsidP="007A4EA7">
      <w:pPr>
        <w:pStyle w:val="ListParagraph"/>
        <w:keepLines/>
        <w:numPr>
          <w:ilvl w:val="0"/>
          <w:numId w:val="16"/>
        </w:numPr>
        <w:spacing w:after="120" w:line="240" w:lineRule="auto"/>
        <w:ind w:left="714" w:hanging="714"/>
        <w:rPr>
          <w:rFonts w:ascii="Arial" w:hAnsi="Arial" w:cs="Arial"/>
          <w:color w:val="000000"/>
        </w:rPr>
      </w:pPr>
      <w:r w:rsidRPr="00734DEC">
        <w:rPr>
          <w:rFonts w:ascii="Arial" w:hAnsi="Arial" w:cs="Arial"/>
          <w:color w:val="000000"/>
        </w:rPr>
        <w:t>Compliance cost impact: minor</w:t>
      </w:r>
      <w:r w:rsidR="009D084D">
        <w:rPr>
          <w:rFonts w:ascii="Arial" w:hAnsi="Arial" w:cs="Arial"/>
          <w:color w:val="000000"/>
        </w:rPr>
        <w:t xml:space="preserve"> –</w:t>
      </w:r>
      <w:r w:rsidRPr="00734DEC">
        <w:rPr>
          <w:rFonts w:ascii="Arial" w:hAnsi="Arial" w:cs="Arial"/>
          <w:color w:val="000000"/>
        </w:rPr>
        <w:t xml:space="preserve"> there will be no or minimal impacts for both implementation and ongoing compliance costs. The legislative instrument is minor or machinery in nature.</w:t>
      </w:r>
    </w:p>
    <w:p w:rsidR="00486653" w:rsidRPr="005F2C9D" w:rsidRDefault="00486653">
      <w:pPr>
        <w:spacing w:after="120"/>
        <w:rPr>
          <w:rFonts w:ascii="Arial" w:hAnsi="Arial" w:cs="Arial"/>
          <w:sz w:val="22"/>
          <w:szCs w:val="22"/>
        </w:rPr>
      </w:pPr>
    </w:p>
    <w:p w:rsidR="00486653" w:rsidRPr="002877C1" w:rsidRDefault="00486653">
      <w:pPr>
        <w:pStyle w:val="Heading2"/>
        <w:rPr>
          <w:sz w:val="24"/>
          <w:szCs w:val="22"/>
        </w:rPr>
      </w:pPr>
      <w:r w:rsidRPr="002877C1">
        <w:rPr>
          <w:sz w:val="24"/>
          <w:szCs w:val="22"/>
        </w:rPr>
        <w:t>Background</w:t>
      </w:r>
    </w:p>
    <w:p w:rsidR="00F95466" w:rsidRPr="005F2C9D" w:rsidRDefault="00486653">
      <w:pPr>
        <w:numPr>
          <w:ilvl w:val="0"/>
          <w:numId w:val="16"/>
        </w:numPr>
        <w:spacing w:after="120"/>
        <w:ind w:hanging="720"/>
        <w:rPr>
          <w:rFonts w:ascii="Arial" w:hAnsi="Arial" w:cs="Arial"/>
          <w:sz w:val="22"/>
          <w:szCs w:val="22"/>
        </w:rPr>
      </w:pPr>
      <w:r w:rsidRPr="005F2C9D">
        <w:rPr>
          <w:rFonts w:ascii="Arial" w:hAnsi="Arial" w:cs="Arial"/>
          <w:sz w:val="22"/>
          <w:szCs w:val="22"/>
        </w:rPr>
        <w:t xml:space="preserve">This </w:t>
      </w:r>
      <w:r w:rsidR="00024A7D">
        <w:rPr>
          <w:rFonts w:ascii="Arial" w:hAnsi="Arial" w:cs="Arial"/>
          <w:sz w:val="22"/>
          <w:szCs w:val="22"/>
        </w:rPr>
        <w:t>instrument</w:t>
      </w:r>
      <w:r w:rsidR="00024A7D" w:rsidRPr="005F2C9D">
        <w:rPr>
          <w:rFonts w:ascii="Arial" w:hAnsi="Arial" w:cs="Arial"/>
          <w:sz w:val="22"/>
          <w:szCs w:val="22"/>
        </w:rPr>
        <w:t xml:space="preserve"> </w:t>
      </w:r>
      <w:r w:rsidRPr="005F2C9D">
        <w:rPr>
          <w:rFonts w:ascii="Arial" w:hAnsi="Arial" w:cs="Arial"/>
          <w:sz w:val="22"/>
          <w:szCs w:val="22"/>
        </w:rPr>
        <w:t>has been developed to ensure that</w:t>
      </w:r>
      <w:r w:rsidR="00995E40" w:rsidRPr="005F2C9D">
        <w:rPr>
          <w:rFonts w:ascii="Arial" w:hAnsi="Arial" w:cs="Arial"/>
          <w:sz w:val="22"/>
          <w:szCs w:val="22"/>
        </w:rPr>
        <w:t xml:space="preserve"> the third party reporting measure operates efficiently and the compliance burden on reporters is minimised.</w:t>
      </w:r>
    </w:p>
    <w:p w:rsidR="00486653" w:rsidRDefault="00F95466">
      <w:pPr>
        <w:pStyle w:val="ListParagraph"/>
        <w:numPr>
          <w:ilvl w:val="0"/>
          <w:numId w:val="16"/>
        </w:numPr>
        <w:spacing w:after="120" w:line="240" w:lineRule="auto"/>
        <w:ind w:left="714" w:hanging="720"/>
        <w:rPr>
          <w:rFonts w:ascii="Arial" w:hAnsi="Arial" w:cs="Arial"/>
        </w:rPr>
      </w:pPr>
      <w:r w:rsidRPr="005F2C9D">
        <w:rPr>
          <w:rFonts w:ascii="Arial" w:hAnsi="Arial" w:cs="Arial"/>
        </w:rPr>
        <w:t xml:space="preserve">Exempting these classes of </w:t>
      </w:r>
      <w:r w:rsidR="00104408">
        <w:rPr>
          <w:rFonts w:ascii="Arial" w:hAnsi="Arial" w:cs="Arial"/>
        </w:rPr>
        <w:t>entit</w:t>
      </w:r>
      <w:r w:rsidR="00113A77">
        <w:rPr>
          <w:rFonts w:ascii="Arial" w:hAnsi="Arial" w:cs="Arial"/>
        </w:rPr>
        <w:t>ies</w:t>
      </w:r>
      <w:r w:rsidRPr="005F2C9D">
        <w:rPr>
          <w:rFonts w:ascii="Arial" w:hAnsi="Arial" w:cs="Arial"/>
        </w:rPr>
        <w:t xml:space="preserve"> from this reporting measure </w:t>
      </w:r>
      <w:r w:rsidR="00D874DB">
        <w:rPr>
          <w:rFonts w:ascii="Arial" w:hAnsi="Arial" w:cs="Arial"/>
        </w:rPr>
        <w:t xml:space="preserve">is aligned to the intent and </w:t>
      </w:r>
      <w:r w:rsidRPr="005F2C9D">
        <w:rPr>
          <w:rFonts w:ascii="Arial" w:hAnsi="Arial" w:cs="Arial"/>
        </w:rPr>
        <w:t>strikes a considered balance between the compliance risks and m</w:t>
      </w:r>
      <w:r w:rsidR="00113A77">
        <w:rPr>
          <w:rFonts w:ascii="Arial" w:hAnsi="Arial" w:cs="Arial"/>
        </w:rPr>
        <w:t>inimising the reporting burden.</w:t>
      </w:r>
    </w:p>
    <w:p w:rsidR="00D821EB" w:rsidRPr="007C393C" w:rsidRDefault="00D821EB" w:rsidP="007C393C">
      <w:pPr>
        <w:spacing w:after="120"/>
        <w:ind w:left="360"/>
        <w:rPr>
          <w:rFonts w:ascii="Arial" w:hAnsi="Arial" w:cs="Arial"/>
        </w:rPr>
      </w:pPr>
    </w:p>
    <w:p w:rsidR="0089527C" w:rsidRPr="00772C0F" w:rsidRDefault="00D821EB" w:rsidP="0089527C">
      <w:pPr>
        <w:pStyle w:val="Heading2"/>
        <w:rPr>
          <w:sz w:val="28"/>
          <w:szCs w:val="24"/>
        </w:rPr>
      </w:pPr>
      <w:r w:rsidRPr="002877C1">
        <w:rPr>
          <w:sz w:val="24"/>
          <w:szCs w:val="22"/>
        </w:rPr>
        <w:t>Consultation</w:t>
      </w:r>
    </w:p>
    <w:p w:rsidR="00270C6D" w:rsidRPr="00FF35F9" w:rsidRDefault="00E93754" w:rsidP="00270C6D">
      <w:pPr>
        <w:numPr>
          <w:ilvl w:val="0"/>
          <w:numId w:val="16"/>
        </w:numPr>
        <w:spacing w:after="120"/>
        <w:ind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consultation period of the draft legislative instrument commenced on 18 </w:t>
      </w:r>
      <w:r w:rsidR="00D71534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2017 and concluded on</w:t>
      </w:r>
      <w:r w:rsidR="00D71534">
        <w:rPr>
          <w:rFonts w:ascii="Arial" w:hAnsi="Arial" w:cs="Arial"/>
          <w:sz w:val="22"/>
          <w:szCs w:val="22"/>
        </w:rPr>
        <w:t xml:space="preserve"> 4 May 2017. The ATO provided one entity with an extension of time until 9 May 2017, to ensure </w:t>
      </w:r>
      <w:r w:rsidR="009A0EF8">
        <w:rPr>
          <w:rFonts w:ascii="Arial" w:hAnsi="Arial" w:cs="Arial"/>
          <w:sz w:val="22"/>
          <w:szCs w:val="22"/>
        </w:rPr>
        <w:t xml:space="preserve">the </w:t>
      </w:r>
      <w:r w:rsidR="00D71534">
        <w:rPr>
          <w:rFonts w:ascii="Arial" w:hAnsi="Arial" w:cs="Arial"/>
          <w:sz w:val="22"/>
          <w:szCs w:val="22"/>
        </w:rPr>
        <w:t>stakeholder received a fair opportunity to respond.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74DB" w:rsidRPr="00E45C5E" w:rsidRDefault="00E90F9A" w:rsidP="00270C6D">
      <w:pPr>
        <w:numPr>
          <w:ilvl w:val="0"/>
          <w:numId w:val="16"/>
        </w:numPr>
        <w:spacing w:after="120"/>
        <w:ind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ATO distributed an invitation</w:t>
      </w:r>
      <w:r w:rsidR="00647F37">
        <w:rPr>
          <w:rFonts w:ascii="Arial" w:hAnsi="Arial" w:cs="Arial"/>
          <w:sz w:val="22"/>
          <w:szCs w:val="22"/>
        </w:rPr>
        <w:t xml:space="preserve"> directly </w:t>
      </w:r>
      <w:r>
        <w:rPr>
          <w:rFonts w:ascii="Arial" w:hAnsi="Arial" w:cs="Arial"/>
          <w:sz w:val="22"/>
          <w:szCs w:val="22"/>
        </w:rPr>
        <w:t>to</w:t>
      </w:r>
      <w:r w:rsidR="00BF24E0">
        <w:rPr>
          <w:rFonts w:ascii="Arial" w:hAnsi="Arial" w:cs="Arial"/>
          <w:sz w:val="22"/>
          <w:szCs w:val="22"/>
        </w:rPr>
        <w:t xml:space="preserve"> </w:t>
      </w:r>
      <w:r w:rsidR="00647F37">
        <w:rPr>
          <w:rFonts w:ascii="Arial" w:hAnsi="Arial" w:cs="Arial"/>
          <w:sz w:val="22"/>
          <w:szCs w:val="22"/>
        </w:rPr>
        <w:t xml:space="preserve">impacted </w:t>
      </w:r>
      <w:r w:rsidR="00BF24E0">
        <w:rPr>
          <w:rFonts w:ascii="Arial" w:hAnsi="Arial" w:cs="Arial"/>
          <w:sz w:val="22"/>
          <w:szCs w:val="22"/>
        </w:rPr>
        <w:t xml:space="preserve">government entities </w:t>
      </w:r>
      <w:r w:rsidR="00D874DB">
        <w:rPr>
          <w:rFonts w:ascii="Arial" w:hAnsi="Arial" w:cs="Arial"/>
          <w:sz w:val="22"/>
          <w:szCs w:val="22"/>
        </w:rPr>
        <w:t xml:space="preserve">and forums </w:t>
      </w:r>
      <w:r w:rsidR="00647F37">
        <w:rPr>
          <w:rFonts w:ascii="Arial" w:hAnsi="Arial" w:cs="Arial"/>
          <w:sz w:val="22"/>
          <w:szCs w:val="22"/>
        </w:rPr>
        <w:t>seeking participation in consultation on</w:t>
      </w:r>
      <w:r w:rsidR="00BF24E0">
        <w:rPr>
          <w:rFonts w:ascii="Arial" w:hAnsi="Arial" w:cs="Arial"/>
          <w:sz w:val="22"/>
          <w:szCs w:val="22"/>
        </w:rPr>
        <w:t xml:space="preserve"> the proposed legislative instrument.</w:t>
      </w:r>
      <w:r>
        <w:rPr>
          <w:rFonts w:ascii="Arial" w:hAnsi="Arial" w:cs="Arial"/>
          <w:sz w:val="22"/>
          <w:szCs w:val="22"/>
        </w:rPr>
        <w:t xml:space="preserve"> </w:t>
      </w:r>
      <w:r w:rsidR="00D874DB">
        <w:rPr>
          <w:rFonts w:ascii="Arial" w:hAnsi="Arial" w:cs="Arial"/>
          <w:sz w:val="22"/>
          <w:szCs w:val="22"/>
        </w:rPr>
        <w:t>Twenty-one</w:t>
      </w:r>
      <w:r w:rsidR="009A0EF8">
        <w:rPr>
          <w:rFonts w:ascii="Arial" w:hAnsi="Arial" w:cs="Arial"/>
          <w:sz w:val="22"/>
          <w:szCs w:val="22"/>
        </w:rPr>
        <w:t xml:space="preserve"> government entities </w:t>
      </w:r>
      <w:r w:rsidR="003958DC">
        <w:rPr>
          <w:rFonts w:ascii="Arial" w:hAnsi="Arial" w:cs="Arial"/>
          <w:sz w:val="22"/>
          <w:szCs w:val="22"/>
        </w:rPr>
        <w:t xml:space="preserve">and three government forums known to the ATO </w:t>
      </w:r>
      <w:r w:rsidR="00D874DB">
        <w:rPr>
          <w:rFonts w:ascii="Arial" w:hAnsi="Arial" w:cs="Arial"/>
          <w:sz w:val="22"/>
          <w:szCs w:val="22"/>
        </w:rPr>
        <w:t>were contacted directly, including:</w:t>
      </w:r>
    </w:p>
    <w:p w:rsidR="00D874DB" w:rsidRDefault="00D874DB" w:rsidP="00AF3B77">
      <w:pPr>
        <w:numPr>
          <w:ilvl w:val="1"/>
          <w:numId w:val="41"/>
        </w:numPr>
        <w:spacing w:after="1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Commonwealth, state and territory departments of finance or treasury, who were asked to distribute the draft to </w:t>
      </w:r>
      <w:r w:rsidR="003958DC">
        <w:rPr>
          <w:rFonts w:ascii="Arial" w:eastAsiaTheme="minorHAnsi" w:hAnsi="Arial" w:cs="Arial"/>
          <w:color w:val="000000"/>
          <w:sz w:val="22"/>
          <w:szCs w:val="22"/>
        </w:rPr>
        <w:t>other government entities within their jurisdictions.</w:t>
      </w:r>
    </w:p>
    <w:p w:rsidR="003958DC" w:rsidRDefault="00CD2371" w:rsidP="00AF3B77">
      <w:pPr>
        <w:numPr>
          <w:ilvl w:val="1"/>
          <w:numId w:val="41"/>
        </w:numPr>
        <w:spacing w:after="1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Commonwealth, s</w:t>
      </w:r>
      <w:r w:rsidR="003958DC">
        <w:rPr>
          <w:rFonts w:ascii="Arial" w:eastAsiaTheme="minorHAnsi" w:hAnsi="Arial" w:cs="Arial"/>
          <w:color w:val="000000"/>
          <w:sz w:val="22"/>
          <w:szCs w:val="22"/>
        </w:rPr>
        <w:t>tate and territory departments of education, as the unintended consequence was raised by an education department and had potential impacts for them.</w:t>
      </w:r>
    </w:p>
    <w:p w:rsidR="003958DC" w:rsidRPr="00E45C5E" w:rsidRDefault="00A67930" w:rsidP="00AF3B77">
      <w:pPr>
        <w:numPr>
          <w:ilvl w:val="1"/>
          <w:numId w:val="41"/>
        </w:numPr>
        <w:spacing w:after="1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States and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>t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erritories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>i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ndustry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>p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artnership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 xml:space="preserve">forum, Federal CFO </w:t>
      </w:r>
      <w:proofErr w:type="gramStart"/>
      <w:r w:rsidR="0067117C">
        <w:rPr>
          <w:rFonts w:ascii="Arial" w:eastAsiaTheme="minorHAnsi" w:hAnsi="Arial" w:cs="Arial"/>
          <w:color w:val="000000"/>
          <w:sz w:val="22"/>
          <w:szCs w:val="22"/>
        </w:rPr>
        <w:t>f</w:t>
      </w:r>
      <w:r>
        <w:rPr>
          <w:rFonts w:ascii="Arial" w:eastAsiaTheme="minorHAnsi" w:hAnsi="Arial" w:cs="Arial"/>
          <w:color w:val="000000"/>
          <w:sz w:val="22"/>
          <w:szCs w:val="22"/>
        </w:rPr>
        <w:t>orum</w:t>
      </w:r>
      <w:proofErr w:type="gramEnd"/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958DC">
        <w:rPr>
          <w:rFonts w:ascii="Arial" w:eastAsiaTheme="minorHAnsi" w:hAnsi="Arial" w:cs="Arial"/>
          <w:color w:val="000000"/>
          <w:sz w:val="22"/>
          <w:szCs w:val="22"/>
        </w:rPr>
        <w:t xml:space="preserve">and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>Government tax m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anagers </w:t>
      </w:r>
      <w:r w:rsidR="0067117C">
        <w:rPr>
          <w:rFonts w:ascii="Arial" w:eastAsiaTheme="minorHAnsi" w:hAnsi="Arial" w:cs="Arial"/>
          <w:color w:val="000000"/>
          <w:sz w:val="22"/>
          <w:szCs w:val="22"/>
        </w:rPr>
        <w:t>f</w:t>
      </w:r>
      <w:r>
        <w:rPr>
          <w:rFonts w:ascii="Arial" w:eastAsiaTheme="minorHAnsi" w:hAnsi="Arial" w:cs="Arial"/>
          <w:color w:val="000000"/>
          <w:sz w:val="22"/>
          <w:szCs w:val="22"/>
        </w:rPr>
        <w:t>orum</w:t>
      </w:r>
      <w:r w:rsidR="003958DC">
        <w:rPr>
          <w:rFonts w:ascii="Arial" w:eastAsiaTheme="minorHAnsi" w:hAnsi="Arial" w:cs="Arial"/>
          <w:color w:val="000000"/>
          <w:sz w:val="22"/>
          <w:szCs w:val="22"/>
        </w:rPr>
        <w:t xml:space="preserve">, who were also asked to distribute </w:t>
      </w:r>
      <w:r w:rsidR="00614CA9">
        <w:rPr>
          <w:rFonts w:ascii="Arial" w:eastAsiaTheme="minorHAnsi" w:hAnsi="Arial" w:cs="Arial"/>
          <w:color w:val="000000"/>
          <w:sz w:val="22"/>
          <w:szCs w:val="22"/>
        </w:rPr>
        <w:t xml:space="preserve">the draft </w:t>
      </w:r>
      <w:r w:rsidR="003958DC">
        <w:rPr>
          <w:rFonts w:ascii="Arial" w:eastAsiaTheme="minorHAnsi" w:hAnsi="Arial" w:cs="Arial"/>
          <w:color w:val="000000"/>
          <w:sz w:val="22"/>
          <w:szCs w:val="22"/>
        </w:rPr>
        <w:t>to their government entity member contacts.</w:t>
      </w:r>
    </w:p>
    <w:p w:rsidR="00270C6D" w:rsidRPr="00FF35F9" w:rsidRDefault="00FE4FF1" w:rsidP="00270C6D">
      <w:pPr>
        <w:numPr>
          <w:ilvl w:val="0"/>
          <w:numId w:val="16"/>
        </w:numPr>
        <w:spacing w:after="120"/>
        <w:ind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ATO also published information about consultation on its website.</w:t>
      </w:r>
    </w:p>
    <w:p w:rsidR="00270C6D" w:rsidRPr="00FF35F9" w:rsidRDefault="005C5680" w:rsidP="00270C6D">
      <w:pPr>
        <w:numPr>
          <w:ilvl w:val="0"/>
          <w:numId w:val="16"/>
        </w:numPr>
        <w:spacing w:after="120"/>
        <w:ind w:hanging="72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ATO considered all issues in preparing the final legislative instrument. The majority of the feedback received sought clarification about the application of the legislative instrument </w:t>
      </w:r>
      <w:r w:rsidR="00297251">
        <w:rPr>
          <w:rFonts w:ascii="Arial" w:hAnsi="Arial" w:cs="Arial"/>
          <w:sz w:val="22"/>
          <w:szCs w:val="22"/>
        </w:rPr>
        <w:t xml:space="preserve">to specific circumstances and the ATO provided </w:t>
      </w:r>
      <w:r w:rsidR="003958DC">
        <w:rPr>
          <w:rFonts w:ascii="Arial" w:hAnsi="Arial" w:cs="Arial"/>
          <w:sz w:val="22"/>
          <w:szCs w:val="22"/>
        </w:rPr>
        <w:t xml:space="preserve">that </w:t>
      </w:r>
      <w:r w:rsidR="00297251">
        <w:rPr>
          <w:rFonts w:ascii="Arial" w:hAnsi="Arial" w:cs="Arial"/>
          <w:sz w:val="22"/>
          <w:szCs w:val="22"/>
        </w:rPr>
        <w:t>clarification</w:t>
      </w:r>
      <w:r w:rsidR="003958DC">
        <w:rPr>
          <w:rFonts w:ascii="Arial" w:hAnsi="Arial" w:cs="Arial"/>
          <w:sz w:val="22"/>
          <w:szCs w:val="22"/>
        </w:rPr>
        <w:t xml:space="preserve"> directly</w:t>
      </w:r>
      <w:r w:rsidR="00297251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08D8" w:rsidRPr="001C6956" w:rsidRDefault="00C608D8" w:rsidP="00C608D8">
      <w:pPr>
        <w:ind w:left="1700"/>
        <w:rPr>
          <w:rFonts w:ascii="Arial" w:hAnsi="Arial" w:cs="Arial"/>
          <w:sz w:val="20"/>
        </w:rPr>
      </w:pPr>
    </w:p>
    <w:p w:rsidR="00270C6D" w:rsidRPr="00E45C5E" w:rsidRDefault="00270C6D" w:rsidP="0002706D">
      <w:pPr>
        <w:spacing w:after="60"/>
        <w:rPr>
          <w:rFonts w:ascii="Arial" w:hAnsi="Arial" w:cs="Arial"/>
          <w:color w:val="0000FF"/>
          <w:sz w:val="20"/>
        </w:rPr>
      </w:pPr>
    </w:p>
    <w:p w:rsidR="00AF1269" w:rsidRDefault="00AF1269" w:rsidP="00AF1269">
      <w:pPr>
        <w:spacing w:after="60"/>
        <w:rPr>
          <w:rFonts w:ascii="Arial" w:hAnsi="Arial" w:cs="Arial"/>
          <w:b/>
          <w:szCs w:val="24"/>
        </w:rPr>
      </w:pPr>
      <w:r w:rsidRPr="00F97FBF">
        <w:rPr>
          <w:rFonts w:ascii="Arial" w:hAnsi="Arial" w:cs="Arial"/>
          <w:b/>
          <w:szCs w:val="24"/>
        </w:rPr>
        <w:t>LEGISLATIVE REFERENCES</w:t>
      </w:r>
    </w:p>
    <w:p w:rsidR="00AF1269" w:rsidRDefault="00AF1269" w:rsidP="0002706D">
      <w:pPr>
        <w:spacing w:after="60"/>
        <w:rPr>
          <w:rFonts w:ascii="Arial" w:hAnsi="Arial" w:cs="Arial"/>
          <w:i/>
          <w:color w:val="000000"/>
          <w:sz w:val="20"/>
        </w:rPr>
      </w:pPr>
    </w:p>
    <w:p w:rsidR="0002706D" w:rsidRDefault="005E28C8" w:rsidP="0002706D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Legislation</w:t>
      </w:r>
      <w:r w:rsidR="0002706D">
        <w:rPr>
          <w:rFonts w:ascii="Arial" w:hAnsi="Arial" w:cs="Arial"/>
          <w:i/>
          <w:color w:val="000000"/>
          <w:sz w:val="20"/>
        </w:rPr>
        <w:t xml:space="preserve"> Act 2003</w:t>
      </w:r>
    </w:p>
    <w:p w:rsidR="0002706D" w:rsidRDefault="0002706D" w:rsidP="0002706D">
      <w:pPr>
        <w:spacing w:after="60"/>
        <w:rPr>
          <w:rFonts w:ascii="Arial" w:hAnsi="Arial" w:cs="Arial"/>
          <w:i/>
          <w:color w:val="000000"/>
          <w:sz w:val="20"/>
        </w:rPr>
      </w:pPr>
      <w:r w:rsidRPr="00795D0C">
        <w:rPr>
          <w:rFonts w:ascii="Arial" w:hAnsi="Arial" w:cs="Arial"/>
          <w:i/>
          <w:color w:val="000000"/>
          <w:sz w:val="20"/>
        </w:rPr>
        <w:t>Taxation Administration Act 1953</w:t>
      </w:r>
    </w:p>
    <w:p w:rsidR="00D821EB" w:rsidRDefault="0002706D" w:rsidP="00227F7C">
      <w:pPr>
        <w:spacing w:after="60"/>
        <w:rPr>
          <w:rFonts w:ascii="Arial" w:hAnsi="Arial" w:cs="Arial"/>
          <w:i/>
          <w:color w:val="000000"/>
          <w:sz w:val="20"/>
        </w:rPr>
      </w:pPr>
      <w:r w:rsidRPr="00ED336F">
        <w:rPr>
          <w:rFonts w:ascii="Arial" w:hAnsi="Arial" w:cs="Arial"/>
          <w:i/>
          <w:color w:val="000000"/>
          <w:sz w:val="20"/>
        </w:rPr>
        <w:t>Human Rights (Parliamentary Scrutiny) Act 2011</w:t>
      </w:r>
    </w:p>
    <w:p w:rsidR="00AF1269" w:rsidRDefault="00AF1269" w:rsidP="00AF1269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A New tax System (Goods and Services) Act 1999</w:t>
      </w:r>
    </w:p>
    <w:p w:rsidR="00AF1269" w:rsidRDefault="00AF1269" w:rsidP="00AF1269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A New Tax System (Family Assistance) (Admin) Act 1999</w:t>
      </w:r>
    </w:p>
    <w:p w:rsidR="00AF1269" w:rsidRDefault="00AF1269" w:rsidP="00AF1269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Private Health Insurance Act 2007</w:t>
      </w:r>
    </w:p>
    <w:p w:rsidR="00AF1269" w:rsidRDefault="00AF1269" w:rsidP="00AF1269">
      <w:pPr>
        <w:spacing w:after="60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Superannuation Industry (Supervision) Act 1993</w:t>
      </w:r>
    </w:p>
    <w:p w:rsidR="004044BD" w:rsidRDefault="004044BD" w:rsidP="00AF1269">
      <w:pPr>
        <w:spacing w:after="6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</w:rPr>
        <w:t>Acts</w:t>
      </w:r>
      <w:bookmarkStart w:id="12" w:name="_GoBack"/>
      <w:bookmarkEnd w:id="12"/>
      <w:r>
        <w:rPr>
          <w:rFonts w:ascii="Arial" w:hAnsi="Arial" w:cs="Arial"/>
          <w:i/>
          <w:color w:val="000000"/>
          <w:sz w:val="20"/>
        </w:rPr>
        <w:t xml:space="preserve"> Interpretation Act 1901</w:t>
      </w:r>
    </w:p>
    <w:p w:rsidR="00AF1269" w:rsidRDefault="00AF1269" w:rsidP="00227F7C">
      <w:pPr>
        <w:spacing w:after="60"/>
        <w:rPr>
          <w:rFonts w:ascii="Arial" w:hAnsi="Arial" w:cs="Arial"/>
          <w:color w:val="0000FF"/>
          <w:sz w:val="22"/>
          <w:szCs w:val="22"/>
        </w:rPr>
      </w:pPr>
    </w:p>
    <w:p w:rsidR="004707E4" w:rsidRDefault="00D821EB" w:rsidP="00D821EB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:rsidR="00AA7944" w:rsidRPr="002877C1" w:rsidRDefault="00AA7944" w:rsidP="00AA7944">
      <w:pPr>
        <w:pStyle w:val="Heading2"/>
        <w:jc w:val="center"/>
        <w:rPr>
          <w:sz w:val="24"/>
        </w:rPr>
      </w:pPr>
      <w:r w:rsidRPr="002877C1">
        <w:rPr>
          <w:sz w:val="24"/>
        </w:rPr>
        <w:lastRenderedPageBreak/>
        <w:t>Statement of compatibility with Human Rights</w:t>
      </w:r>
    </w:p>
    <w:p w:rsidR="00AA7944" w:rsidRDefault="00AF1269" w:rsidP="00AA7944">
      <w:pPr>
        <w:pStyle w:val="Heading2"/>
        <w:spacing w:after="0"/>
        <w:jc w:val="center"/>
        <w:rPr>
          <w:b w:val="0"/>
          <w:i/>
        </w:rPr>
      </w:pPr>
      <w:r>
        <w:rPr>
          <w:b w:val="0"/>
        </w:rPr>
        <w:t>This statement is p</w:t>
      </w:r>
      <w:r w:rsidR="00AA7944" w:rsidRPr="0034034A">
        <w:rPr>
          <w:b w:val="0"/>
        </w:rPr>
        <w:t xml:space="preserve">repared in accordance with Part 3 of the </w:t>
      </w:r>
      <w:r w:rsidR="00AA7944" w:rsidRPr="0034034A">
        <w:rPr>
          <w:b w:val="0"/>
          <w:i/>
        </w:rPr>
        <w:t>Human Rights (Parliamentary Scrutiny) Act 2011</w:t>
      </w:r>
      <w:r>
        <w:rPr>
          <w:b w:val="0"/>
          <w:i/>
        </w:rPr>
        <w:t>.</w:t>
      </w:r>
    </w:p>
    <w:p w:rsidR="00AA7944" w:rsidRPr="0034034A" w:rsidRDefault="00AA7944" w:rsidP="00AA7944"/>
    <w:p w:rsidR="00AA7944" w:rsidRDefault="00AA7944" w:rsidP="00AA794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4034A">
        <w:rPr>
          <w:rFonts w:ascii="Arial" w:hAnsi="Arial" w:cs="Arial"/>
          <w:b/>
          <w:color w:val="000000"/>
          <w:sz w:val="22"/>
          <w:szCs w:val="22"/>
        </w:rPr>
        <w:t>CLASSES OF GOVERNMENT RELATED ENTITIES EXEMPT FROM PROVIDING THIRD PARTY REPORTS DETERMINATION 201</w:t>
      </w:r>
      <w:r w:rsidR="00AF1269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AA7944" w:rsidRPr="0034034A" w:rsidRDefault="00AA7944" w:rsidP="00AA794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A7944" w:rsidRPr="00477172" w:rsidRDefault="00AA7944" w:rsidP="00AA7944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477172">
        <w:rPr>
          <w:rFonts w:ascii="Arial" w:hAnsi="Arial" w:cs="Arial"/>
          <w:color w:val="000000"/>
          <w:sz w:val="22"/>
          <w:szCs w:val="22"/>
        </w:rPr>
        <w:t xml:space="preserve">This Legislative Instrument is compatible with the human rights and freedoms recognised or declared in the international instruments listed in section 3 of the </w:t>
      </w:r>
      <w:r w:rsidRPr="00477172">
        <w:rPr>
          <w:rFonts w:ascii="Arial" w:hAnsi="Arial" w:cs="Arial"/>
          <w:i/>
          <w:color w:val="000000"/>
          <w:sz w:val="22"/>
          <w:szCs w:val="22"/>
        </w:rPr>
        <w:t>Human Rights (Parliamentary Scrutiny) Act 2011</w:t>
      </w:r>
      <w:r w:rsidRPr="00477172">
        <w:rPr>
          <w:rFonts w:ascii="Arial" w:hAnsi="Arial" w:cs="Arial"/>
          <w:color w:val="000000"/>
          <w:sz w:val="22"/>
          <w:szCs w:val="22"/>
        </w:rPr>
        <w:t>.</w:t>
      </w:r>
    </w:p>
    <w:p w:rsidR="00AA7944" w:rsidRPr="00477172" w:rsidRDefault="00AA7944" w:rsidP="00AA79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A7944" w:rsidRDefault="00AA7944" w:rsidP="00AA7944">
      <w:pPr>
        <w:jc w:val="both"/>
        <w:rPr>
          <w:rFonts w:ascii="Arial" w:hAnsi="Arial" w:cs="Arial"/>
          <w:b/>
          <w:szCs w:val="22"/>
        </w:rPr>
      </w:pPr>
      <w:r w:rsidRPr="002877C1">
        <w:rPr>
          <w:rFonts w:ascii="Arial" w:hAnsi="Arial" w:cs="Arial"/>
          <w:b/>
          <w:szCs w:val="22"/>
        </w:rPr>
        <w:t>Overview of the Legislative Instrument</w:t>
      </w:r>
    </w:p>
    <w:p w:rsidR="00AA7944" w:rsidRPr="002877C1" w:rsidRDefault="00AA7944" w:rsidP="00AA7944">
      <w:pPr>
        <w:jc w:val="both"/>
        <w:rPr>
          <w:rFonts w:ascii="Arial" w:hAnsi="Arial" w:cs="Arial"/>
          <w:b/>
          <w:szCs w:val="22"/>
        </w:rPr>
      </w:pPr>
    </w:p>
    <w:p w:rsidR="00AA7944" w:rsidRPr="00477172" w:rsidRDefault="00AA7944" w:rsidP="00AA7944">
      <w:pPr>
        <w:rPr>
          <w:rFonts w:ascii="Arial" w:hAnsi="Arial" w:cs="Arial"/>
          <w:i/>
          <w:sz w:val="22"/>
          <w:szCs w:val="22"/>
        </w:rPr>
      </w:pPr>
      <w:r w:rsidRPr="00477172">
        <w:rPr>
          <w:rFonts w:ascii="Arial" w:hAnsi="Arial" w:cs="Arial"/>
          <w:sz w:val="22"/>
          <w:szCs w:val="22"/>
        </w:rPr>
        <w:t xml:space="preserve">This instrument exempts specified classes of government related </w:t>
      </w:r>
      <w:r>
        <w:rPr>
          <w:rFonts w:ascii="Arial" w:hAnsi="Arial" w:cs="Arial"/>
          <w:sz w:val="22"/>
          <w:szCs w:val="22"/>
        </w:rPr>
        <w:t>entities</w:t>
      </w:r>
      <w:r w:rsidRPr="00477172">
        <w:rPr>
          <w:rFonts w:ascii="Arial" w:hAnsi="Arial" w:cs="Arial"/>
          <w:sz w:val="22"/>
          <w:szCs w:val="22"/>
        </w:rPr>
        <w:t xml:space="preserve"> from having to prepare and </w:t>
      </w:r>
      <w:r>
        <w:rPr>
          <w:rFonts w:ascii="Arial" w:hAnsi="Arial" w:cs="Arial"/>
          <w:sz w:val="22"/>
          <w:szCs w:val="22"/>
        </w:rPr>
        <w:t>lodge</w:t>
      </w:r>
      <w:r w:rsidRPr="00477172">
        <w:rPr>
          <w:rFonts w:ascii="Arial" w:hAnsi="Arial" w:cs="Arial"/>
          <w:sz w:val="22"/>
          <w:szCs w:val="22"/>
        </w:rPr>
        <w:t xml:space="preserve"> reports </w:t>
      </w:r>
      <w:r>
        <w:rPr>
          <w:rFonts w:ascii="Arial" w:hAnsi="Arial" w:cs="Arial"/>
          <w:sz w:val="22"/>
          <w:szCs w:val="22"/>
        </w:rPr>
        <w:t>in relation to items 1 and 2 in the table included in</w:t>
      </w:r>
      <w:r w:rsidRPr="00477172">
        <w:rPr>
          <w:rFonts w:ascii="Arial" w:hAnsi="Arial" w:cs="Arial"/>
          <w:sz w:val="22"/>
          <w:szCs w:val="22"/>
        </w:rPr>
        <w:t xml:space="preserve"> section 396-55 of Schedule 1 to the </w:t>
      </w:r>
      <w:r w:rsidRPr="002877C1">
        <w:rPr>
          <w:rFonts w:ascii="Arial" w:hAnsi="Arial" w:cs="Arial"/>
          <w:i/>
          <w:sz w:val="22"/>
          <w:szCs w:val="22"/>
        </w:rPr>
        <w:t>Taxation Administration Act 1953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(TAA 1953)</w:t>
      </w:r>
      <w:r w:rsidRPr="00477172">
        <w:rPr>
          <w:rFonts w:ascii="Arial" w:hAnsi="Arial" w:cs="Arial"/>
          <w:i/>
          <w:sz w:val="22"/>
          <w:szCs w:val="22"/>
        </w:rPr>
        <w:t>.</w:t>
      </w:r>
    </w:p>
    <w:p w:rsidR="00AA7944" w:rsidRPr="00477172" w:rsidRDefault="00AA7944" w:rsidP="00AA7944">
      <w:pPr>
        <w:rPr>
          <w:rFonts w:ascii="Arial" w:hAnsi="Arial" w:cs="Arial"/>
          <w:sz w:val="22"/>
          <w:szCs w:val="22"/>
        </w:rPr>
      </w:pPr>
      <w:r w:rsidRPr="00477172">
        <w:rPr>
          <w:rFonts w:ascii="Arial" w:hAnsi="Arial" w:cs="Arial"/>
          <w:sz w:val="22"/>
          <w:szCs w:val="22"/>
        </w:rPr>
        <w:t xml:space="preserve">Exempting these classes of </w:t>
      </w:r>
      <w:r>
        <w:rPr>
          <w:rFonts w:ascii="Arial" w:hAnsi="Arial" w:cs="Arial"/>
          <w:sz w:val="22"/>
          <w:szCs w:val="22"/>
        </w:rPr>
        <w:t>entities</w:t>
      </w:r>
      <w:r w:rsidRPr="00477172">
        <w:rPr>
          <w:rFonts w:ascii="Arial" w:hAnsi="Arial" w:cs="Arial"/>
          <w:sz w:val="22"/>
          <w:szCs w:val="22"/>
        </w:rPr>
        <w:t xml:space="preserve"> from this reporting measure strikes a considered balance between the compliance risks and minimising the reporting burden</w:t>
      </w:r>
      <w:r>
        <w:rPr>
          <w:rFonts w:ascii="Arial" w:hAnsi="Arial" w:cs="Arial"/>
          <w:sz w:val="22"/>
          <w:szCs w:val="22"/>
        </w:rPr>
        <w:t>.</w:t>
      </w:r>
    </w:p>
    <w:p w:rsidR="00AA7944" w:rsidRPr="00477172" w:rsidRDefault="00AA7944" w:rsidP="00AA7944">
      <w:pPr>
        <w:rPr>
          <w:rFonts w:ascii="Arial" w:hAnsi="Arial" w:cs="Arial"/>
          <w:sz w:val="22"/>
          <w:szCs w:val="22"/>
        </w:rPr>
      </w:pPr>
    </w:p>
    <w:p w:rsidR="00AA7944" w:rsidRDefault="00AA7944" w:rsidP="00AA7944">
      <w:pPr>
        <w:rPr>
          <w:rFonts w:ascii="Arial" w:hAnsi="Arial" w:cs="Arial"/>
          <w:b/>
          <w:szCs w:val="22"/>
        </w:rPr>
      </w:pPr>
      <w:r w:rsidRPr="002877C1">
        <w:rPr>
          <w:rFonts w:ascii="Arial" w:hAnsi="Arial" w:cs="Arial"/>
          <w:b/>
          <w:szCs w:val="22"/>
        </w:rPr>
        <w:t>Human rights implications</w:t>
      </w:r>
    </w:p>
    <w:p w:rsidR="00AA7944" w:rsidRPr="002877C1" w:rsidRDefault="00AA7944" w:rsidP="00AA7944">
      <w:pPr>
        <w:rPr>
          <w:rFonts w:ascii="Arial" w:hAnsi="Arial" w:cs="Arial"/>
          <w:b/>
          <w:szCs w:val="22"/>
        </w:rPr>
      </w:pPr>
    </w:p>
    <w:p w:rsidR="00AA7944" w:rsidRPr="00477172" w:rsidRDefault="00AA7944" w:rsidP="00AA7944">
      <w:pPr>
        <w:rPr>
          <w:rFonts w:ascii="Arial" w:hAnsi="Arial" w:cs="Arial"/>
          <w:sz w:val="22"/>
          <w:szCs w:val="22"/>
        </w:rPr>
      </w:pPr>
      <w:r w:rsidRPr="00477172">
        <w:rPr>
          <w:rFonts w:ascii="Arial" w:hAnsi="Arial" w:cs="Arial"/>
          <w:sz w:val="22"/>
          <w:szCs w:val="22"/>
        </w:rPr>
        <w:t>This Legislative Instrument does not engage any of the applicable rights or freedoms</w:t>
      </w:r>
      <w:r>
        <w:rPr>
          <w:rFonts w:ascii="Arial" w:hAnsi="Arial" w:cs="Arial"/>
          <w:sz w:val="22"/>
          <w:szCs w:val="22"/>
        </w:rPr>
        <w:t>.</w:t>
      </w:r>
      <w:r w:rsidRPr="004771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477172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exempts</w:t>
      </w:r>
      <w:r w:rsidRPr="00477172">
        <w:rPr>
          <w:rFonts w:ascii="Arial" w:hAnsi="Arial" w:cs="Arial"/>
          <w:sz w:val="22"/>
          <w:szCs w:val="22"/>
        </w:rPr>
        <w:t xml:space="preserve"> specified classes of </w:t>
      </w:r>
      <w:r>
        <w:rPr>
          <w:rFonts w:ascii="Arial" w:hAnsi="Arial" w:cs="Arial"/>
          <w:sz w:val="22"/>
          <w:szCs w:val="22"/>
        </w:rPr>
        <w:t>entities</w:t>
      </w:r>
      <w:r w:rsidRPr="00477172">
        <w:rPr>
          <w:rFonts w:ascii="Arial" w:hAnsi="Arial" w:cs="Arial"/>
          <w:sz w:val="22"/>
          <w:szCs w:val="22"/>
        </w:rPr>
        <w:t xml:space="preserve"> from preparing and </w:t>
      </w:r>
      <w:r>
        <w:rPr>
          <w:rFonts w:ascii="Arial" w:hAnsi="Arial" w:cs="Arial"/>
          <w:sz w:val="22"/>
          <w:szCs w:val="22"/>
        </w:rPr>
        <w:t>lodging</w:t>
      </w:r>
      <w:r w:rsidRPr="00477172">
        <w:rPr>
          <w:rFonts w:ascii="Arial" w:hAnsi="Arial" w:cs="Arial"/>
          <w:sz w:val="22"/>
          <w:szCs w:val="22"/>
        </w:rPr>
        <w:t xml:space="preserve"> reports</w:t>
      </w:r>
      <w:r>
        <w:rPr>
          <w:rFonts w:ascii="Arial" w:hAnsi="Arial" w:cs="Arial"/>
          <w:sz w:val="22"/>
          <w:szCs w:val="22"/>
        </w:rPr>
        <w:t>, so they will not need to collect or provide the range of personal information required in the report to the Commissioner of Taxation.</w:t>
      </w:r>
    </w:p>
    <w:p w:rsidR="00AA7944" w:rsidRPr="00477172" w:rsidRDefault="00AA7944" w:rsidP="00AA7944">
      <w:pPr>
        <w:rPr>
          <w:rFonts w:ascii="Arial" w:hAnsi="Arial" w:cs="Arial"/>
          <w:b/>
          <w:sz w:val="22"/>
          <w:szCs w:val="22"/>
        </w:rPr>
      </w:pPr>
    </w:p>
    <w:p w:rsidR="00AA7944" w:rsidRDefault="00AA7944" w:rsidP="00AA7944">
      <w:pPr>
        <w:rPr>
          <w:rFonts w:ascii="Arial" w:hAnsi="Arial" w:cs="Arial"/>
          <w:b/>
          <w:szCs w:val="22"/>
        </w:rPr>
      </w:pPr>
      <w:r w:rsidRPr="002877C1">
        <w:rPr>
          <w:rFonts w:ascii="Arial" w:hAnsi="Arial" w:cs="Arial"/>
          <w:b/>
          <w:szCs w:val="22"/>
        </w:rPr>
        <w:t>Conclusion</w:t>
      </w:r>
    </w:p>
    <w:p w:rsidR="00AA7944" w:rsidRPr="002877C1" w:rsidRDefault="00AA7944" w:rsidP="00AA7944">
      <w:pPr>
        <w:rPr>
          <w:rFonts w:ascii="Arial" w:hAnsi="Arial" w:cs="Arial"/>
          <w:b/>
          <w:szCs w:val="22"/>
        </w:rPr>
      </w:pPr>
    </w:p>
    <w:p w:rsidR="00AA7944" w:rsidRPr="00477172" w:rsidRDefault="00AA7944" w:rsidP="00AA7944">
      <w:pPr>
        <w:spacing w:after="120"/>
        <w:rPr>
          <w:rFonts w:ascii="Arial" w:hAnsi="Arial" w:cs="Arial"/>
          <w:sz w:val="22"/>
          <w:szCs w:val="22"/>
        </w:rPr>
      </w:pPr>
      <w:r w:rsidRPr="00477172">
        <w:rPr>
          <w:rFonts w:ascii="Arial" w:hAnsi="Arial" w:cs="Arial"/>
          <w:sz w:val="22"/>
          <w:szCs w:val="22"/>
        </w:rPr>
        <w:t>This Legislative Instrument is compatible with human rights as it does not raise any human rights issues.</w:t>
      </w:r>
    </w:p>
    <w:p w:rsidR="00D821EB" w:rsidRDefault="00D821EB" w:rsidP="00D821E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</w:p>
    <w:p w:rsidR="00E53399" w:rsidRDefault="00E53399" w:rsidP="004D098C">
      <w:pPr>
        <w:ind w:left="720"/>
        <w:rPr>
          <w:rFonts w:ascii="Arial" w:hAnsi="Arial" w:cs="Arial"/>
          <w:color w:val="0000FF"/>
          <w:sz w:val="22"/>
          <w:szCs w:val="22"/>
        </w:rPr>
      </w:pPr>
    </w:p>
    <w:p w:rsidR="008540EA" w:rsidRPr="00C465D2" w:rsidRDefault="008540EA" w:rsidP="00FE17ED">
      <w:pPr>
        <w:pStyle w:val="Heading2"/>
        <w:rPr>
          <w:rFonts w:cs="Arial"/>
          <w:b w:val="0"/>
          <w:i/>
          <w:sz w:val="20"/>
        </w:rPr>
      </w:pPr>
    </w:p>
    <w:sectPr w:rsidR="008540EA" w:rsidRPr="00C465D2" w:rsidSect="00146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0" w:bottom="1358" w:left="184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B3" w:rsidRDefault="003C72B3">
      <w:r>
        <w:separator/>
      </w:r>
    </w:p>
  </w:endnote>
  <w:endnote w:type="continuationSeparator" w:id="0">
    <w:p w:rsidR="003C72B3" w:rsidRDefault="003C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48" w:rsidRDefault="00A76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48" w:rsidRDefault="00A762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48" w:rsidRDefault="00A76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B3" w:rsidRDefault="003C72B3">
      <w:r>
        <w:separator/>
      </w:r>
    </w:p>
  </w:footnote>
  <w:footnote w:type="continuationSeparator" w:id="0">
    <w:p w:rsidR="003C72B3" w:rsidRDefault="003C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</w:p>
  <w:p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9B4E83">
      <w:rPr>
        <w:rFonts w:ascii="Arial" w:hAnsi="Arial" w:cs="Arial"/>
        <w:noProof/>
        <w:snapToGrid w:val="0"/>
        <w:sz w:val="20"/>
        <w:lang w:eastAsia="en-US"/>
      </w:rPr>
      <w:t>4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D8" w:rsidRPr="00333FE9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13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:rsidR="00146ED8" w:rsidRPr="00146ED8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14" w:name="BPrefix"/>
    <w:bookmarkEnd w:id="13"/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>Inst</w:t>
    </w:r>
    <w:bookmarkStart w:id="15" w:name="CDocnum"/>
    <w:bookmarkEnd w:id="14"/>
    <w:bookmarkEnd w:id="15"/>
    <w:r w:rsidRPr="00146ED8">
      <w:rPr>
        <w:rFonts w:ascii="Arial" w:hAnsi="Arial" w:cs="Arial"/>
        <w:b/>
        <w:sz w:val="28"/>
        <w:szCs w:val="28"/>
      </w:rPr>
      <w:t xml:space="preserve">rument ID: </w:t>
    </w:r>
    <w:r w:rsidR="00AF1269">
      <w:rPr>
        <w:rFonts w:ascii="Arial" w:hAnsi="Arial" w:cs="Arial"/>
        <w:b/>
        <w:sz w:val="28"/>
        <w:szCs w:val="28"/>
      </w:rPr>
      <w:t>2017/SMB/0048</w:t>
    </w:r>
  </w:p>
  <w:p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3264D967" wp14:editId="61F520F4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A26DE0"/>
    <w:multiLevelType w:val="hybridMultilevel"/>
    <w:tmpl w:val="DBFE49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9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CC3903"/>
    <w:multiLevelType w:val="hybridMultilevel"/>
    <w:tmpl w:val="6D166454"/>
    <w:lvl w:ilvl="0" w:tplc="79B8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439B6431"/>
    <w:multiLevelType w:val="hybridMultilevel"/>
    <w:tmpl w:val="D0B42EA6"/>
    <w:lvl w:ilvl="0" w:tplc="485EBE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900CE0"/>
    <w:multiLevelType w:val="hybridMultilevel"/>
    <w:tmpl w:val="607E518E"/>
    <w:lvl w:ilvl="0" w:tplc="79B8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A36672"/>
    <w:multiLevelType w:val="hybridMultilevel"/>
    <w:tmpl w:val="F9C47B84"/>
    <w:lvl w:ilvl="0" w:tplc="79B8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37"/>
  </w:num>
  <w:num w:numId="5">
    <w:abstractNumId w:val="4"/>
  </w:num>
  <w:num w:numId="6">
    <w:abstractNumId w:val="12"/>
  </w:num>
  <w:num w:numId="7">
    <w:abstractNumId w:val="32"/>
  </w:num>
  <w:num w:numId="8">
    <w:abstractNumId w:val="31"/>
  </w:num>
  <w:num w:numId="9">
    <w:abstractNumId w:val="26"/>
  </w:num>
  <w:num w:numId="10">
    <w:abstractNumId w:val="20"/>
  </w:num>
  <w:num w:numId="11">
    <w:abstractNumId w:val="38"/>
  </w:num>
  <w:num w:numId="12">
    <w:abstractNumId w:val="33"/>
  </w:num>
  <w:num w:numId="13">
    <w:abstractNumId w:val="36"/>
  </w:num>
  <w:num w:numId="14">
    <w:abstractNumId w:val="35"/>
  </w:num>
  <w:num w:numId="15">
    <w:abstractNumId w:val="19"/>
  </w:num>
  <w:num w:numId="16">
    <w:abstractNumId w:val="21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  <w:num w:numId="21">
    <w:abstractNumId w:val="11"/>
  </w:num>
  <w:num w:numId="22">
    <w:abstractNumId w:val="29"/>
  </w:num>
  <w:num w:numId="23">
    <w:abstractNumId w:val="8"/>
  </w:num>
  <w:num w:numId="24">
    <w:abstractNumId w:val="18"/>
  </w:num>
  <w:num w:numId="25">
    <w:abstractNumId w:val="28"/>
  </w:num>
  <w:num w:numId="26">
    <w:abstractNumId w:val="27"/>
  </w:num>
  <w:num w:numId="27">
    <w:abstractNumId w:val="7"/>
  </w:num>
  <w:num w:numId="28">
    <w:abstractNumId w:val="30"/>
  </w:num>
  <w:num w:numId="29">
    <w:abstractNumId w:val="17"/>
  </w:num>
  <w:num w:numId="30">
    <w:abstractNumId w:val="13"/>
  </w:num>
  <w:num w:numId="31">
    <w:abstractNumId w:val="5"/>
  </w:num>
  <w:num w:numId="32">
    <w:abstractNumId w:val="0"/>
  </w:num>
  <w:num w:numId="33">
    <w:abstractNumId w:val="6"/>
  </w:num>
  <w:num w:numId="34">
    <w:abstractNumId w:val="23"/>
  </w:num>
  <w:num w:numId="35">
    <w:abstractNumId w:val="34"/>
  </w:num>
  <w:num w:numId="36">
    <w:abstractNumId w:val="16"/>
  </w:num>
  <w:num w:numId="37">
    <w:abstractNumId w:val="21"/>
  </w:num>
  <w:num w:numId="38">
    <w:abstractNumId w:val="24"/>
  </w:num>
  <w:num w:numId="39">
    <w:abstractNumId w:val="10"/>
  </w:num>
  <w:num w:numId="40">
    <w:abstractNumId w:val="3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0233D"/>
    <w:rsid w:val="000117B2"/>
    <w:rsid w:val="0001796D"/>
    <w:rsid w:val="00017BF0"/>
    <w:rsid w:val="00024A7D"/>
    <w:rsid w:val="0002568B"/>
    <w:rsid w:val="0002706D"/>
    <w:rsid w:val="00043FA7"/>
    <w:rsid w:val="00053B22"/>
    <w:rsid w:val="000552E8"/>
    <w:rsid w:val="00056585"/>
    <w:rsid w:val="0005674F"/>
    <w:rsid w:val="00061F25"/>
    <w:rsid w:val="00065C6E"/>
    <w:rsid w:val="00066149"/>
    <w:rsid w:val="0007236D"/>
    <w:rsid w:val="00073F1B"/>
    <w:rsid w:val="00075B58"/>
    <w:rsid w:val="000B11DD"/>
    <w:rsid w:val="000B3028"/>
    <w:rsid w:val="000C019D"/>
    <w:rsid w:val="000C390A"/>
    <w:rsid w:val="000C3A3A"/>
    <w:rsid w:val="000C77DD"/>
    <w:rsid w:val="000E295B"/>
    <w:rsid w:val="000E45A0"/>
    <w:rsid w:val="00104408"/>
    <w:rsid w:val="00107460"/>
    <w:rsid w:val="00112415"/>
    <w:rsid w:val="001131FB"/>
    <w:rsid w:val="00113A77"/>
    <w:rsid w:val="00131255"/>
    <w:rsid w:val="00134C06"/>
    <w:rsid w:val="0013678D"/>
    <w:rsid w:val="00140A34"/>
    <w:rsid w:val="00146ED8"/>
    <w:rsid w:val="00152911"/>
    <w:rsid w:val="00167202"/>
    <w:rsid w:val="001828A4"/>
    <w:rsid w:val="00185CA3"/>
    <w:rsid w:val="001A2291"/>
    <w:rsid w:val="001A3BE2"/>
    <w:rsid w:val="001B08BF"/>
    <w:rsid w:val="001B7842"/>
    <w:rsid w:val="001C35E7"/>
    <w:rsid w:val="001C4578"/>
    <w:rsid w:val="001E066B"/>
    <w:rsid w:val="001F28A6"/>
    <w:rsid w:val="001F2A16"/>
    <w:rsid w:val="001F6921"/>
    <w:rsid w:val="001F7C3E"/>
    <w:rsid w:val="002016A9"/>
    <w:rsid w:val="00201969"/>
    <w:rsid w:val="00213FA5"/>
    <w:rsid w:val="00227F7C"/>
    <w:rsid w:val="0023403F"/>
    <w:rsid w:val="0023733A"/>
    <w:rsid w:val="0024044F"/>
    <w:rsid w:val="00245D00"/>
    <w:rsid w:val="00257F2D"/>
    <w:rsid w:val="00262F9F"/>
    <w:rsid w:val="00266D2D"/>
    <w:rsid w:val="00270C6D"/>
    <w:rsid w:val="0027331F"/>
    <w:rsid w:val="00285E76"/>
    <w:rsid w:val="002877C1"/>
    <w:rsid w:val="002949C3"/>
    <w:rsid w:val="00297251"/>
    <w:rsid w:val="002A10A4"/>
    <w:rsid w:val="002A26FE"/>
    <w:rsid w:val="002B1423"/>
    <w:rsid w:val="002F1257"/>
    <w:rsid w:val="002F17F8"/>
    <w:rsid w:val="002F1F47"/>
    <w:rsid w:val="002F6A65"/>
    <w:rsid w:val="003039FD"/>
    <w:rsid w:val="00306D63"/>
    <w:rsid w:val="00310C61"/>
    <w:rsid w:val="003171B3"/>
    <w:rsid w:val="0032127C"/>
    <w:rsid w:val="00321CB1"/>
    <w:rsid w:val="0032302C"/>
    <w:rsid w:val="00323595"/>
    <w:rsid w:val="0032559D"/>
    <w:rsid w:val="00344575"/>
    <w:rsid w:val="0035113C"/>
    <w:rsid w:val="00354525"/>
    <w:rsid w:val="00354DD1"/>
    <w:rsid w:val="00365472"/>
    <w:rsid w:val="00366882"/>
    <w:rsid w:val="00366C72"/>
    <w:rsid w:val="00371A76"/>
    <w:rsid w:val="00380CC4"/>
    <w:rsid w:val="003958DC"/>
    <w:rsid w:val="003A33FE"/>
    <w:rsid w:val="003C0686"/>
    <w:rsid w:val="003C72B3"/>
    <w:rsid w:val="003D08CF"/>
    <w:rsid w:val="003D0CBA"/>
    <w:rsid w:val="003D0F6A"/>
    <w:rsid w:val="003D4BA8"/>
    <w:rsid w:val="003D6656"/>
    <w:rsid w:val="003E1779"/>
    <w:rsid w:val="003E5269"/>
    <w:rsid w:val="003F3860"/>
    <w:rsid w:val="00400F9F"/>
    <w:rsid w:val="004044BD"/>
    <w:rsid w:val="00405394"/>
    <w:rsid w:val="004066E4"/>
    <w:rsid w:val="0040680B"/>
    <w:rsid w:val="00407361"/>
    <w:rsid w:val="00414594"/>
    <w:rsid w:val="00417C55"/>
    <w:rsid w:val="00424A7B"/>
    <w:rsid w:val="004447C1"/>
    <w:rsid w:val="0046211F"/>
    <w:rsid w:val="0046787B"/>
    <w:rsid w:val="004707E4"/>
    <w:rsid w:val="00477172"/>
    <w:rsid w:val="0048532A"/>
    <w:rsid w:val="0048545D"/>
    <w:rsid w:val="00486653"/>
    <w:rsid w:val="00496CC2"/>
    <w:rsid w:val="004A3E72"/>
    <w:rsid w:val="004A5593"/>
    <w:rsid w:val="004A5FDA"/>
    <w:rsid w:val="004C3BA4"/>
    <w:rsid w:val="004D098C"/>
    <w:rsid w:val="004D0DD4"/>
    <w:rsid w:val="004D24A9"/>
    <w:rsid w:val="004D4576"/>
    <w:rsid w:val="004D778C"/>
    <w:rsid w:val="004E5357"/>
    <w:rsid w:val="004F0BA2"/>
    <w:rsid w:val="004F4A07"/>
    <w:rsid w:val="004F5EB1"/>
    <w:rsid w:val="004F6887"/>
    <w:rsid w:val="004F7403"/>
    <w:rsid w:val="00500E22"/>
    <w:rsid w:val="005030AD"/>
    <w:rsid w:val="0051249C"/>
    <w:rsid w:val="005176E7"/>
    <w:rsid w:val="00520330"/>
    <w:rsid w:val="00524B6B"/>
    <w:rsid w:val="00527BB4"/>
    <w:rsid w:val="005413EE"/>
    <w:rsid w:val="00567175"/>
    <w:rsid w:val="0057596A"/>
    <w:rsid w:val="00585E10"/>
    <w:rsid w:val="00587443"/>
    <w:rsid w:val="00587C50"/>
    <w:rsid w:val="005917F3"/>
    <w:rsid w:val="00593E3F"/>
    <w:rsid w:val="005A13FD"/>
    <w:rsid w:val="005A606B"/>
    <w:rsid w:val="005B0ACD"/>
    <w:rsid w:val="005B50A2"/>
    <w:rsid w:val="005B5F52"/>
    <w:rsid w:val="005C3408"/>
    <w:rsid w:val="005C5680"/>
    <w:rsid w:val="005D57FB"/>
    <w:rsid w:val="005D611B"/>
    <w:rsid w:val="005E28C8"/>
    <w:rsid w:val="005F1ACE"/>
    <w:rsid w:val="005F256D"/>
    <w:rsid w:val="005F2C9D"/>
    <w:rsid w:val="0060183A"/>
    <w:rsid w:val="00603110"/>
    <w:rsid w:val="00611C8E"/>
    <w:rsid w:val="00614CA9"/>
    <w:rsid w:val="006175A3"/>
    <w:rsid w:val="00631F30"/>
    <w:rsid w:val="00642420"/>
    <w:rsid w:val="00646158"/>
    <w:rsid w:val="00647F37"/>
    <w:rsid w:val="0066622C"/>
    <w:rsid w:val="00666487"/>
    <w:rsid w:val="0067117C"/>
    <w:rsid w:val="00673B37"/>
    <w:rsid w:val="00674184"/>
    <w:rsid w:val="00677E0B"/>
    <w:rsid w:val="006945EA"/>
    <w:rsid w:val="006B5470"/>
    <w:rsid w:val="006D0138"/>
    <w:rsid w:val="006D6F52"/>
    <w:rsid w:val="006D72A5"/>
    <w:rsid w:val="006D74CB"/>
    <w:rsid w:val="006E1736"/>
    <w:rsid w:val="00701718"/>
    <w:rsid w:val="00710359"/>
    <w:rsid w:val="00711293"/>
    <w:rsid w:val="00712FFF"/>
    <w:rsid w:val="00722DBF"/>
    <w:rsid w:val="00734DEC"/>
    <w:rsid w:val="00735157"/>
    <w:rsid w:val="007443F0"/>
    <w:rsid w:val="007448B3"/>
    <w:rsid w:val="00772C0F"/>
    <w:rsid w:val="00775490"/>
    <w:rsid w:val="00782595"/>
    <w:rsid w:val="0079002C"/>
    <w:rsid w:val="00795D0C"/>
    <w:rsid w:val="007A4EA7"/>
    <w:rsid w:val="007A55BA"/>
    <w:rsid w:val="007A5DC9"/>
    <w:rsid w:val="007B757D"/>
    <w:rsid w:val="007C1FBD"/>
    <w:rsid w:val="007C393C"/>
    <w:rsid w:val="007D7AFF"/>
    <w:rsid w:val="007E22F5"/>
    <w:rsid w:val="007F25F3"/>
    <w:rsid w:val="007F4901"/>
    <w:rsid w:val="00822DFB"/>
    <w:rsid w:val="00836B02"/>
    <w:rsid w:val="008404AC"/>
    <w:rsid w:val="0084295A"/>
    <w:rsid w:val="008467D4"/>
    <w:rsid w:val="00850FB0"/>
    <w:rsid w:val="0085238E"/>
    <w:rsid w:val="008540EA"/>
    <w:rsid w:val="00854D80"/>
    <w:rsid w:val="00865BE9"/>
    <w:rsid w:val="00866A00"/>
    <w:rsid w:val="008702A6"/>
    <w:rsid w:val="008749A6"/>
    <w:rsid w:val="008757CE"/>
    <w:rsid w:val="0088392C"/>
    <w:rsid w:val="0089527C"/>
    <w:rsid w:val="00897C0E"/>
    <w:rsid w:val="00897E31"/>
    <w:rsid w:val="008A046F"/>
    <w:rsid w:val="008A224B"/>
    <w:rsid w:val="008A405A"/>
    <w:rsid w:val="008A6A6A"/>
    <w:rsid w:val="008B0DF2"/>
    <w:rsid w:val="008B650A"/>
    <w:rsid w:val="008B787C"/>
    <w:rsid w:val="008C3898"/>
    <w:rsid w:val="008C66CC"/>
    <w:rsid w:val="008F32C6"/>
    <w:rsid w:val="008F483C"/>
    <w:rsid w:val="008F76E9"/>
    <w:rsid w:val="0090699E"/>
    <w:rsid w:val="00912D61"/>
    <w:rsid w:val="009322D7"/>
    <w:rsid w:val="00932BDE"/>
    <w:rsid w:val="00932D29"/>
    <w:rsid w:val="00934AF6"/>
    <w:rsid w:val="00955D71"/>
    <w:rsid w:val="00961A20"/>
    <w:rsid w:val="00967725"/>
    <w:rsid w:val="009902F8"/>
    <w:rsid w:val="00993BB8"/>
    <w:rsid w:val="0099555F"/>
    <w:rsid w:val="0099582C"/>
    <w:rsid w:val="00995E40"/>
    <w:rsid w:val="009A0EF8"/>
    <w:rsid w:val="009A22A1"/>
    <w:rsid w:val="009B0247"/>
    <w:rsid w:val="009B3A1B"/>
    <w:rsid w:val="009B4E83"/>
    <w:rsid w:val="009B6332"/>
    <w:rsid w:val="009C0912"/>
    <w:rsid w:val="009D084D"/>
    <w:rsid w:val="009D0E5B"/>
    <w:rsid w:val="009D47C6"/>
    <w:rsid w:val="009D6694"/>
    <w:rsid w:val="009F0300"/>
    <w:rsid w:val="00A12DBC"/>
    <w:rsid w:val="00A167A8"/>
    <w:rsid w:val="00A21F0A"/>
    <w:rsid w:val="00A26011"/>
    <w:rsid w:val="00A2763D"/>
    <w:rsid w:val="00A506C2"/>
    <w:rsid w:val="00A62886"/>
    <w:rsid w:val="00A67930"/>
    <w:rsid w:val="00A74C38"/>
    <w:rsid w:val="00A75215"/>
    <w:rsid w:val="00A76248"/>
    <w:rsid w:val="00A77D24"/>
    <w:rsid w:val="00A8572F"/>
    <w:rsid w:val="00A93E07"/>
    <w:rsid w:val="00A979CF"/>
    <w:rsid w:val="00AA4DF8"/>
    <w:rsid w:val="00AA7944"/>
    <w:rsid w:val="00AB780C"/>
    <w:rsid w:val="00AC22A2"/>
    <w:rsid w:val="00AD515B"/>
    <w:rsid w:val="00AD5ADE"/>
    <w:rsid w:val="00AE2316"/>
    <w:rsid w:val="00AE7138"/>
    <w:rsid w:val="00AF1269"/>
    <w:rsid w:val="00AF3B77"/>
    <w:rsid w:val="00AF4537"/>
    <w:rsid w:val="00AF4CAF"/>
    <w:rsid w:val="00B06E10"/>
    <w:rsid w:val="00B117BA"/>
    <w:rsid w:val="00B16D82"/>
    <w:rsid w:val="00B2097B"/>
    <w:rsid w:val="00B20D87"/>
    <w:rsid w:val="00B30FCF"/>
    <w:rsid w:val="00B578AC"/>
    <w:rsid w:val="00B6433F"/>
    <w:rsid w:val="00B64CF5"/>
    <w:rsid w:val="00B72FBA"/>
    <w:rsid w:val="00B76C9B"/>
    <w:rsid w:val="00B8069A"/>
    <w:rsid w:val="00B823A1"/>
    <w:rsid w:val="00B8428B"/>
    <w:rsid w:val="00BA41F5"/>
    <w:rsid w:val="00BB3C9C"/>
    <w:rsid w:val="00BE048D"/>
    <w:rsid w:val="00BF1079"/>
    <w:rsid w:val="00BF24E0"/>
    <w:rsid w:val="00BF4822"/>
    <w:rsid w:val="00BF655F"/>
    <w:rsid w:val="00C01D22"/>
    <w:rsid w:val="00C078F6"/>
    <w:rsid w:val="00C104B6"/>
    <w:rsid w:val="00C10652"/>
    <w:rsid w:val="00C10F02"/>
    <w:rsid w:val="00C114F4"/>
    <w:rsid w:val="00C11D03"/>
    <w:rsid w:val="00C2485B"/>
    <w:rsid w:val="00C276A2"/>
    <w:rsid w:val="00C31967"/>
    <w:rsid w:val="00C35173"/>
    <w:rsid w:val="00C371DE"/>
    <w:rsid w:val="00C409AE"/>
    <w:rsid w:val="00C42D50"/>
    <w:rsid w:val="00C43CF0"/>
    <w:rsid w:val="00C465D2"/>
    <w:rsid w:val="00C54DF8"/>
    <w:rsid w:val="00C55739"/>
    <w:rsid w:val="00C608D8"/>
    <w:rsid w:val="00C60B49"/>
    <w:rsid w:val="00C7327C"/>
    <w:rsid w:val="00C7440A"/>
    <w:rsid w:val="00C865ED"/>
    <w:rsid w:val="00C8775A"/>
    <w:rsid w:val="00CA0877"/>
    <w:rsid w:val="00CA266D"/>
    <w:rsid w:val="00CA6B59"/>
    <w:rsid w:val="00CB0626"/>
    <w:rsid w:val="00CB3B6C"/>
    <w:rsid w:val="00CB53DF"/>
    <w:rsid w:val="00CC1833"/>
    <w:rsid w:val="00CC189F"/>
    <w:rsid w:val="00CC19BE"/>
    <w:rsid w:val="00CC3368"/>
    <w:rsid w:val="00CD2371"/>
    <w:rsid w:val="00CD29A1"/>
    <w:rsid w:val="00CE6632"/>
    <w:rsid w:val="00CF19C4"/>
    <w:rsid w:val="00CF4246"/>
    <w:rsid w:val="00D1072C"/>
    <w:rsid w:val="00D13C04"/>
    <w:rsid w:val="00D15FA1"/>
    <w:rsid w:val="00D164B3"/>
    <w:rsid w:val="00D20A78"/>
    <w:rsid w:val="00D278BA"/>
    <w:rsid w:val="00D40454"/>
    <w:rsid w:val="00D4059C"/>
    <w:rsid w:val="00D53D8F"/>
    <w:rsid w:val="00D61C76"/>
    <w:rsid w:val="00D71534"/>
    <w:rsid w:val="00D77015"/>
    <w:rsid w:val="00D821EB"/>
    <w:rsid w:val="00D829D4"/>
    <w:rsid w:val="00D874DB"/>
    <w:rsid w:val="00D92B48"/>
    <w:rsid w:val="00D96D1C"/>
    <w:rsid w:val="00DA3532"/>
    <w:rsid w:val="00DB1693"/>
    <w:rsid w:val="00DD5B07"/>
    <w:rsid w:val="00DE4B3B"/>
    <w:rsid w:val="00DE6821"/>
    <w:rsid w:val="00DF06D6"/>
    <w:rsid w:val="00DF2022"/>
    <w:rsid w:val="00DF34BE"/>
    <w:rsid w:val="00DF5D59"/>
    <w:rsid w:val="00E0022A"/>
    <w:rsid w:val="00E239E4"/>
    <w:rsid w:val="00E36A38"/>
    <w:rsid w:val="00E45C5E"/>
    <w:rsid w:val="00E53399"/>
    <w:rsid w:val="00E77995"/>
    <w:rsid w:val="00E87099"/>
    <w:rsid w:val="00E90F9A"/>
    <w:rsid w:val="00E93754"/>
    <w:rsid w:val="00E9535E"/>
    <w:rsid w:val="00EA28E6"/>
    <w:rsid w:val="00EA570E"/>
    <w:rsid w:val="00ED336F"/>
    <w:rsid w:val="00EF1AD0"/>
    <w:rsid w:val="00EF78C4"/>
    <w:rsid w:val="00F04CD7"/>
    <w:rsid w:val="00F11199"/>
    <w:rsid w:val="00F16492"/>
    <w:rsid w:val="00F23E15"/>
    <w:rsid w:val="00F244A2"/>
    <w:rsid w:val="00F35064"/>
    <w:rsid w:val="00F374D8"/>
    <w:rsid w:val="00F40A56"/>
    <w:rsid w:val="00F47BFB"/>
    <w:rsid w:val="00F5684D"/>
    <w:rsid w:val="00F57AB6"/>
    <w:rsid w:val="00F6480F"/>
    <w:rsid w:val="00F67706"/>
    <w:rsid w:val="00F70AE8"/>
    <w:rsid w:val="00F75BE1"/>
    <w:rsid w:val="00F86713"/>
    <w:rsid w:val="00F932E0"/>
    <w:rsid w:val="00F95466"/>
    <w:rsid w:val="00FB6BBA"/>
    <w:rsid w:val="00FB7701"/>
    <w:rsid w:val="00FC20DD"/>
    <w:rsid w:val="00FC40F0"/>
    <w:rsid w:val="00FC6D3B"/>
    <w:rsid w:val="00FD0129"/>
    <w:rsid w:val="00FE17ED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46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E23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4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21E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55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46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AE23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4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21E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777B-735F-4909-9C16-1F5F41D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6813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ubafu</dc:creator>
  <cp:lastModifiedBy>Muscat, Robert</cp:lastModifiedBy>
  <cp:revision>4</cp:revision>
  <cp:lastPrinted>2017-04-18T05:41:00Z</cp:lastPrinted>
  <dcterms:created xsi:type="dcterms:W3CDTF">2017-05-30T23:17:00Z</dcterms:created>
  <dcterms:modified xsi:type="dcterms:W3CDTF">2017-06-01T04:58:00Z</dcterms:modified>
</cp:coreProperties>
</file>