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75D28" w14:textId="7EF0E922" w:rsidR="00CD4FA5" w:rsidRDefault="00084145" w:rsidP="00CD4FA5">
      <w:pPr>
        <w:tabs>
          <w:tab w:val="right" w:pos="8312"/>
        </w:tabs>
        <w:rPr>
          <w:b/>
        </w:rPr>
      </w:pPr>
      <w:bookmarkStart w:id="0" w:name="_GoBack"/>
      <w:bookmarkEnd w:id="0"/>
      <w:r>
        <w:rPr>
          <w:rFonts w:ascii="Arial Narrow" w:hAnsi="Arial Narrow"/>
          <w:b/>
          <w:noProof/>
          <w:color w:val="C86464"/>
          <w:sz w:val="36"/>
          <w:szCs w:val="36"/>
          <w:lang w:eastAsia="en-AU"/>
        </w:rPr>
        <w:pict w14:anchorId="07F2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1pt;height:53.2pt;visibility:visible;mso-wrap-style:square">
            <v:imagedata r:id="rId9" o:title="AUSTRAC_inlineShort"/>
          </v:shape>
        </w:pict>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3225EF97"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Laundering and Counter-Terrorism Financing Rules Amendment Instrument 2017 (No. </w:t>
      </w:r>
      <w:r w:rsidR="001602B8">
        <w:rPr>
          <w:rFonts w:ascii="Times New Roman" w:hAnsi="Times New Roman"/>
          <w:b/>
          <w:i/>
          <w:sz w:val="24"/>
        </w:rPr>
        <w:t>2</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5DA38247" w:rsidR="00CD4FA5" w:rsidRDefault="00CD4FA5" w:rsidP="00A247CD">
      <w:pPr>
        <w:spacing w:before="240"/>
        <w:rPr>
          <w:rFonts w:ascii="Times New Roman" w:hAnsi="Times New Roman"/>
          <w:b/>
          <w:sz w:val="24"/>
        </w:rPr>
      </w:pPr>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amending Chapter </w:t>
      </w:r>
      <w:r w:rsidR="001602B8">
        <w:rPr>
          <w:rFonts w:ascii="Times New Roman" w:hAnsi="Times New Roman"/>
          <w:b/>
          <w:sz w:val="24"/>
        </w:rPr>
        <w:t>22</w:t>
      </w:r>
      <w:r w:rsidRPr="00CD4FA5">
        <w:rPr>
          <w:rFonts w:ascii="Times New Roman" w:hAnsi="Times New Roman"/>
          <w:b/>
          <w:sz w:val="24"/>
        </w:rPr>
        <w:t xml:space="preserve">. </w:t>
      </w:r>
    </w:p>
    <w:p w14:paraId="0AB829A8" w14:textId="77777777" w:rsidR="00B414A6" w:rsidRDefault="00B414A6" w:rsidP="00A247CD">
      <w:pPr>
        <w:spacing w:before="240"/>
        <w:rPr>
          <w:rFonts w:ascii="Times New Roman" w:hAnsi="Times New Roman"/>
          <w:b/>
          <w:sz w:val="24"/>
        </w:rPr>
      </w:pPr>
    </w:p>
    <w:p w14:paraId="4928DD40" w14:textId="77777777" w:rsidR="00CD4FA5" w:rsidRDefault="00CD4FA5" w:rsidP="00CD4FA5">
      <w:pPr>
        <w:numPr>
          <w:ilvl w:val="0"/>
          <w:numId w:val="2"/>
        </w:numPr>
        <w:autoSpaceDE w:val="0"/>
        <w:autoSpaceDN w:val="0"/>
        <w:adjustRightInd w:val="0"/>
        <w:spacing w:before="120"/>
        <w:ind w:hanging="720"/>
        <w:rPr>
          <w:rFonts w:ascii="Times New Roman" w:hAnsi="Times New Roman"/>
          <w:sz w:val="24"/>
        </w:rPr>
      </w:pPr>
      <w:r w:rsidRPr="00CD4FA5">
        <w:rPr>
          <w:rFonts w:ascii="Times New Roman" w:hAnsi="Times New Roman"/>
          <w:sz w:val="24"/>
        </w:rPr>
        <w:t xml:space="preserve">Section 229 of the </w:t>
      </w:r>
      <w:r w:rsidRPr="00CD4FA5">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3FBCBBBD" w14:textId="3FFA5601" w:rsidR="00CD4FA5" w:rsidRPr="00DE4DCD" w:rsidRDefault="00CD4FA5" w:rsidP="00A247CD">
      <w:pPr>
        <w:spacing w:before="240"/>
        <w:ind w:left="720" w:hanging="720"/>
        <w:rPr>
          <w:rFonts w:ascii="Times New Roman" w:hAnsi="Times New Roman"/>
          <w:b/>
          <w:sz w:val="24"/>
        </w:rPr>
      </w:pPr>
      <w:r w:rsidRPr="00DE4DCD">
        <w:rPr>
          <w:rFonts w:ascii="Times New Roman" w:hAnsi="Times New Roman"/>
          <w:b/>
          <w:sz w:val="24"/>
        </w:rPr>
        <w:t xml:space="preserve">Amendments to Chapter </w:t>
      </w:r>
      <w:r w:rsidR="00430E99" w:rsidRPr="00DE4DCD">
        <w:rPr>
          <w:rFonts w:ascii="Times New Roman" w:hAnsi="Times New Roman"/>
          <w:b/>
          <w:sz w:val="24"/>
        </w:rPr>
        <w:t>22</w:t>
      </w:r>
      <w:r w:rsidRPr="00DE4DCD">
        <w:rPr>
          <w:rFonts w:ascii="Times New Roman" w:hAnsi="Times New Roman"/>
          <w:b/>
          <w:sz w:val="24"/>
        </w:rPr>
        <w:t xml:space="preserve"> </w:t>
      </w:r>
    </w:p>
    <w:p w14:paraId="581A0A52" w14:textId="02E57AC3" w:rsidR="00430E99" w:rsidRPr="00723200" w:rsidRDefault="00430E99" w:rsidP="00430E99">
      <w:pPr>
        <w:numPr>
          <w:ilvl w:val="0"/>
          <w:numId w:val="2"/>
        </w:numPr>
        <w:autoSpaceDE w:val="0"/>
        <w:autoSpaceDN w:val="0"/>
        <w:adjustRightInd w:val="0"/>
        <w:spacing w:before="120"/>
        <w:ind w:hanging="720"/>
        <w:rPr>
          <w:rFonts w:ascii="Times New Roman" w:hAnsi="Times New Roman"/>
          <w:sz w:val="24"/>
        </w:rPr>
      </w:pPr>
      <w:r w:rsidRPr="00961CA2">
        <w:rPr>
          <w:rFonts w:ascii="Times New Roman" w:hAnsi="Times New Roman"/>
          <w:sz w:val="24"/>
        </w:rPr>
        <w:t xml:space="preserve">Chapter 22 provides a conditional exemption from the AML/CTF Act for the item 33 and 35 designated services described in table 1 in section 6 of the AML/CTF Act. This exemption relates to the over-the-counter derivatives markets in Australia regarding the wholesale price of electricity, gas or renewable energy certificates involving specified market participants in the National Electricity Market </w:t>
      </w:r>
      <w:r w:rsidR="00800032">
        <w:rPr>
          <w:rFonts w:ascii="Times New Roman" w:hAnsi="Times New Roman"/>
          <w:sz w:val="24"/>
        </w:rPr>
        <w:t xml:space="preserve">(NEM) </w:t>
      </w:r>
      <w:r w:rsidRPr="00961CA2">
        <w:rPr>
          <w:rFonts w:ascii="Times New Roman" w:hAnsi="Times New Roman"/>
          <w:sz w:val="24"/>
        </w:rPr>
        <w:t>and Wholesale Electricity Market</w:t>
      </w:r>
      <w:r w:rsidR="00800032">
        <w:rPr>
          <w:rFonts w:ascii="Times New Roman" w:hAnsi="Times New Roman"/>
          <w:sz w:val="24"/>
        </w:rPr>
        <w:t xml:space="preserve"> (WEM)</w:t>
      </w:r>
      <w:r w:rsidRPr="00961CA2">
        <w:rPr>
          <w:rFonts w:ascii="Times New Roman" w:hAnsi="Times New Roman"/>
          <w:sz w:val="24"/>
        </w:rPr>
        <w:t>.</w:t>
      </w:r>
    </w:p>
    <w:p w14:paraId="7A0ADF7A" w14:textId="716E6A5B" w:rsidR="00430E99" w:rsidRDefault="00800032" w:rsidP="00800032">
      <w:pPr>
        <w:autoSpaceDE w:val="0"/>
        <w:autoSpaceDN w:val="0"/>
        <w:adjustRightInd w:val="0"/>
        <w:spacing w:before="120"/>
        <w:ind w:left="720" w:hanging="720"/>
        <w:rPr>
          <w:rFonts w:ascii="Times New Roman" w:eastAsia="MS Mincho" w:hAnsi="Times New Roman"/>
          <w:sz w:val="24"/>
        </w:rPr>
      </w:pPr>
      <w:r>
        <w:rPr>
          <w:rFonts w:ascii="Times New Roman" w:hAnsi="Times New Roman"/>
          <w:sz w:val="24"/>
        </w:rPr>
        <w:t>3.</w:t>
      </w:r>
      <w:r>
        <w:rPr>
          <w:rFonts w:ascii="Times New Roman" w:hAnsi="Times New Roman"/>
          <w:sz w:val="24"/>
        </w:rPr>
        <w:tab/>
      </w:r>
      <w:r w:rsidR="00430E99" w:rsidRPr="00881FF0">
        <w:rPr>
          <w:rFonts w:ascii="Times New Roman" w:hAnsi="Times New Roman"/>
          <w:sz w:val="24"/>
        </w:rPr>
        <w:t xml:space="preserve">Chapter 22 </w:t>
      </w:r>
      <w:r w:rsidR="00430E99">
        <w:rPr>
          <w:rFonts w:ascii="Times New Roman" w:hAnsi="Times New Roman"/>
          <w:sz w:val="24"/>
        </w:rPr>
        <w:t xml:space="preserve">has been amended to </w:t>
      </w:r>
      <w:r w:rsidR="00285066">
        <w:rPr>
          <w:rFonts w:ascii="Times New Roman" w:hAnsi="Times New Roman"/>
          <w:sz w:val="24"/>
        </w:rPr>
        <w:t xml:space="preserve">both </w:t>
      </w:r>
      <w:r w:rsidR="00430E99" w:rsidRPr="00A72603">
        <w:rPr>
          <w:rFonts w:ascii="Times New Roman" w:eastAsia="MS Mincho" w:hAnsi="Times New Roman"/>
          <w:sz w:val="24"/>
        </w:rPr>
        <w:t>broaden the class of entities entitled to receive the benefit of the exemption and the scope of the underlying commodities or products covered by the exemption</w:t>
      </w:r>
      <w:r>
        <w:rPr>
          <w:rFonts w:ascii="Times New Roman" w:eastAsia="MS Mincho" w:hAnsi="Times New Roman"/>
          <w:sz w:val="24"/>
        </w:rPr>
        <w:t xml:space="preserve"> as follows:</w:t>
      </w:r>
    </w:p>
    <w:p w14:paraId="35848322" w14:textId="67289129" w:rsidR="00903A21" w:rsidRDefault="00903A21" w:rsidP="00903A21">
      <w:pPr>
        <w:numPr>
          <w:ilvl w:val="0"/>
          <w:numId w:val="45"/>
        </w:numPr>
        <w:autoSpaceDE w:val="0"/>
        <w:autoSpaceDN w:val="0"/>
        <w:adjustRightInd w:val="0"/>
        <w:spacing w:before="120"/>
        <w:rPr>
          <w:rFonts w:ascii="Times New Roman" w:hAnsi="Times New Roman"/>
          <w:sz w:val="24"/>
        </w:rPr>
      </w:pPr>
      <w:r>
        <w:rPr>
          <w:rFonts w:ascii="Times New Roman" w:hAnsi="Times New Roman"/>
          <w:sz w:val="24"/>
        </w:rPr>
        <w:t>include all ‘Registered Participants’ under the NEM Rules as well as ‘Generators’ which have been exempted from registration under Rule 2.9.3 of the NEM Rules</w:t>
      </w:r>
    </w:p>
    <w:p w14:paraId="6319F01C" w14:textId="66170108" w:rsidR="00903A21" w:rsidRDefault="00903A21" w:rsidP="00903A21">
      <w:pPr>
        <w:numPr>
          <w:ilvl w:val="0"/>
          <w:numId w:val="45"/>
        </w:numPr>
        <w:autoSpaceDE w:val="0"/>
        <w:autoSpaceDN w:val="0"/>
        <w:adjustRightInd w:val="0"/>
        <w:spacing w:before="120"/>
        <w:rPr>
          <w:rFonts w:ascii="Times New Roman" w:hAnsi="Times New Roman"/>
          <w:sz w:val="24"/>
        </w:rPr>
      </w:pPr>
      <w:r>
        <w:rPr>
          <w:rFonts w:ascii="Times New Roman" w:hAnsi="Times New Roman"/>
          <w:sz w:val="24"/>
        </w:rPr>
        <w:t>include all ‘Rule Participants’ under the WEM Rules</w:t>
      </w:r>
    </w:p>
    <w:p w14:paraId="12F5C765" w14:textId="50DC9A31" w:rsidR="00903A21" w:rsidRDefault="00903A21" w:rsidP="00903A21">
      <w:pPr>
        <w:numPr>
          <w:ilvl w:val="0"/>
          <w:numId w:val="45"/>
        </w:numPr>
        <w:autoSpaceDE w:val="0"/>
        <w:autoSpaceDN w:val="0"/>
        <w:adjustRightInd w:val="0"/>
        <w:spacing w:before="120"/>
        <w:rPr>
          <w:rFonts w:ascii="Times New Roman" w:hAnsi="Times New Roman"/>
          <w:sz w:val="24"/>
        </w:rPr>
      </w:pPr>
      <w:r>
        <w:rPr>
          <w:rFonts w:ascii="Times New Roman" w:hAnsi="Times New Roman"/>
          <w:sz w:val="24"/>
        </w:rPr>
        <w:t>include ‘Registered Participants’ under section 135A of the National Gas Rules for participation in the Declared Wholesale Gas Market</w:t>
      </w:r>
    </w:p>
    <w:p w14:paraId="759F3634" w14:textId="62CCA46F" w:rsidR="00903A21" w:rsidRDefault="00903A21" w:rsidP="00903A21">
      <w:pPr>
        <w:numPr>
          <w:ilvl w:val="0"/>
          <w:numId w:val="45"/>
        </w:numPr>
        <w:autoSpaceDE w:val="0"/>
        <w:autoSpaceDN w:val="0"/>
        <w:adjustRightInd w:val="0"/>
        <w:spacing w:before="120"/>
        <w:rPr>
          <w:rFonts w:ascii="Times New Roman" w:hAnsi="Times New Roman"/>
          <w:sz w:val="24"/>
        </w:rPr>
      </w:pPr>
      <w:r>
        <w:rPr>
          <w:rFonts w:ascii="Times New Roman" w:hAnsi="Times New Roman"/>
          <w:sz w:val="24"/>
        </w:rPr>
        <w:t>include ‘Registered Participants’ under section 135ABA of the National Gas Rules for participation in the Short Term Trading Market</w:t>
      </w:r>
    </w:p>
    <w:p w14:paraId="44BFB4C5" w14:textId="25EEE28D" w:rsidR="00903A21" w:rsidRDefault="00903A21" w:rsidP="00903A21">
      <w:pPr>
        <w:numPr>
          <w:ilvl w:val="0"/>
          <w:numId w:val="45"/>
        </w:numPr>
        <w:autoSpaceDE w:val="0"/>
        <w:autoSpaceDN w:val="0"/>
        <w:adjustRightInd w:val="0"/>
        <w:spacing w:before="120"/>
        <w:rPr>
          <w:rFonts w:ascii="Times New Roman" w:hAnsi="Times New Roman"/>
          <w:sz w:val="24"/>
        </w:rPr>
      </w:pPr>
      <w:r>
        <w:rPr>
          <w:rFonts w:ascii="Times New Roman" w:hAnsi="Times New Roman"/>
          <w:sz w:val="24"/>
        </w:rPr>
        <w:t>not limit it to circumstance where the derivatives traded relate to the ‘wholesale price of electricity, gas or renewable energy certificates</w:t>
      </w:r>
    </w:p>
    <w:p w14:paraId="11B9B6F9" w14:textId="42021BCA" w:rsidR="00800032" w:rsidRPr="00903A21" w:rsidRDefault="00800032" w:rsidP="00903A21">
      <w:pPr>
        <w:pStyle w:val="Header"/>
        <w:tabs>
          <w:tab w:val="clear" w:pos="4153"/>
          <w:tab w:val="center" w:pos="1985"/>
        </w:tabs>
        <w:spacing w:before="240"/>
        <w:ind w:left="1560"/>
        <w:rPr>
          <w:rFonts w:ascii="Times New Roman" w:hAnsi="Times New Roman"/>
          <w:sz w:val="24"/>
        </w:rPr>
      </w:pPr>
    </w:p>
    <w:p w14:paraId="57225506" w14:textId="77777777" w:rsidR="00800032" w:rsidRDefault="00800032" w:rsidP="00800032">
      <w:pPr>
        <w:autoSpaceDE w:val="0"/>
        <w:autoSpaceDN w:val="0"/>
        <w:adjustRightInd w:val="0"/>
        <w:spacing w:before="120"/>
        <w:ind w:left="720" w:hanging="720"/>
        <w:rPr>
          <w:rFonts w:ascii="Times New Roman" w:hAnsi="Times New Roman"/>
          <w:sz w:val="24"/>
        </w:rPr>
      </w:pPr>
    </w:p>
    <w:p w14:paraId="72A057CE" w14:textId="5622C4FB" w:rsidR="00800032" w:rsidRPr="00800032" w:rsidRDefault="00903A21" w:rsidP="00800032">
      <w:pPr>
        <w:ind w:left="709" w:hanging="709"/>
        <w:rPr>
          <w:rFonts w:ascii="Times New Roman" w:hAnsi="Times New Roman"/>
          <w:sz w:val="24"/>
        </w:rPr>
      </w:pPr>
      <w:r>
        <w:rPr>
          <w:szCs w:val="22"/>
        </w:rPr>
        <w:lastRenderedPageBreak/>
        <w:t>4.</w:t>
      </w:r>
      <w:r w:rsidR="00800032">
        <w:rPr>
          <w:szCs w:val="22"/>
        </w:rPr>
        <w:tab/>
      </w:r>
      <w:r w:rsidR="00800032" w:rsidRPr="00800032">
        <w:rPr>
          <w:rFonts w:ascii="Times New Roman" w:hAnsi="Times New Roman"/>
          <w:sz w:val="24"/>
        </w:rPr>
        <w:t>It is considered that there is minimal money-laundering and terrorism-financing risk associated with the amendments and they will</w:t>
      </w:r>
      <w:r w:rsidR="00800032">
        <w:rPr>
          <w:rFonts w:ascii="Times New Roman" w:hAnsi="Times New Roman"/>
          <w:sz w:val="24"/>
        </w:rPr>
        <w:t xml:space="preserve"> also</w:t>
      </w:r>
      <w:r w:rsidR="00800032" w:rsidRPr="00800032">
        <w:rPr>
          <w:rFonts w:ascii="Times New Roman" w:hAnsi="Times New Roman"/>
          <w:sz w:val="24"/>
        </w:rPr>
        <w:t xml:space="preserve"> reduce the regulatory burden for </w:t>
      </w:r>
      <w:r w:rsidR="00B414A6">
        <w:rPr>
          <w:rFonts w:ascii="Times New Roman" w:hAnsi="Times New Roman"/>
          <w:sz w:val="24"/>
        </w:rPr>
        <w:t xml:space="preserve">relevant </w:t>
      </w:r>
      <w:r w:rsidR="00800032" w:rsidRPr="00800032">
        <w:rPr>
          <w:rFonts w:ascii="Times New Roman" w:hAnsi="Times New Roman"/>
          <w:sz w:val="24"/>
        </w:rPr>
        <w:t xml:space="preserve">reporting entities. </w:t>
      </w:r>
    </w:p>
    <w:p w14:paraId="0C18AF16" w14:textId="77777777" w:rsidR="00CD4FA5" w:rsidRPr="00CD4FA5" w:rsidRDefault="00CD4FA5" w:rsidP="00A247CD">
      <w:pPr>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284BB512" w:rsidR="00CD4FA5" w:rsidRPr="00CD4FA5" w:rsidRDefault="00285066" w:rsidP="00A247CD">
      <w:pPr>
        <w:autoSpaceDE w:val="0"/>
        <w:autoSpaceDN w:val="0"/>
        <w:adjustRightInd w:val="0"/>
        <w:spacing w:before="240"/>
        <w:ind w:left="709" w:hanging="709"/>
        <w:rPr>
          <w:rFonts w:ascii="Times New Roman" w:hAnsi="Times New Roman"/>
          <w:sz w:val="24"/>
        </w:rPr>
      </w:pPr>
      <w:r>
        <w:rPr>
          <w:rFonts w:ascii="Times New Roman" w:hAnsi="Times New Roman"/>
          <w:sz w:val="24"/>
        </w:rPr>
        <w:t>5</w:t>
      </w:r>
      <w:r w:rsidR="00CD4FA5" w:rsidRPr="00CD4FA5">
        <w:rPr>
          <w:rFonts w:ascii="Times New Roman" w:hAnsi="Times New Roman"/>
          <w:sz w:val="24"/>
        </w:rPr>
        <w:t>.</w:t>
      </w:r>
      <w:r w:rsidR="00CD4FA5" w:rsidRPr="00CD4FA5">
        <w:rPr>
          <w:rFonts w:ascii="Times New Roman" w:hAnsi="Times New Roman"/>
          <w:sz w:val="24"/>
        </w:rPr>
        <w:tab/>
        <w:t xml:space="preserve">The </w:t>
      </w:r>
      <w:r w:rsidR="00CD4FA5" w:rsidRPr="00CD4FA5">
        <w:rPr>
          <w:rFonts w:ascii="Times New Roman" w:hAnsi="Times New Roman"/>
          <w:i/>
          <w:sz w:val="24"/>
        </w:rPr>
        <w:t>Human Rights (Parliamentary Scrutiny) Act 2011</w:t>
      </w:r>
      <w:r w:rsidR="00CD4FA5"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040E1694" w:rsidR="00CD4FA5" w:rsidRPr="00CD4FA5" w:rsidRDefault="00285066" w:rsidP="00A247CD">
      <w:pPr>
        <w:spacing w:before="240"/>
        <w:ind w:left="720" w:hanging="720"/>
        <w:rPr>
          <w:rFonts w:ascii="Times New Roman" w:hAnsi="Times New Roman"/>
          <w:sz w:val="24"/>
        </w:rPr>
      </w:pPr>
      <w:r>
        <w:rPr>
          <w:rFonts w:ascii="Times New Roman" w:hAnsi="Times New Roman"/>
          <w:sz w:val="24"/>
        </w:rPr>
        <w:t>6</w:t>
      </w:r>
      <w:r w:rsidR="00CD4FA5" w:rsidRPr="00CD4FA5">
        <w:rPr>
          <w:rFonts w:ascii="Times New Roman" w:hAnsi="Times New Roman"/>
          <w:sz w:val="24"/>
        </w:rPr>
        <w:t>.</w:t>
      </w:r>
      <w:r w:rsidR="00CD4FA5" w:rsidRPr="00CD4FA5">
        <w:rPr>
          <w:rFonts w:ascii="Times New Roman" w:hAnsi="Times New Roman"/>
          <w:sz w:val="24"/>
        </w:rPr>
        <w:tab/>
        <w:t xml:space="preserve">The Statement of Compatibility for the </w:t>
      </w:r>
      <w:r w:rsidR="00CD4FA5" w:rsidRPr="00CD4FA5">
        <w:rPr>
          <w:rFonts w:ascii="Times New Roman" w:hAnsi="Times New Roman"/>
          <w:i/>
          <w:sz w:val="24"/>
        </w:rPr>
        <w:t xml:space="preserve">Anti-Money Laundering and Counter-Terrorism Financing Rules Amendment Instrument 2017 (No. </w:t>
      </w:r>
      <w:r w:rsidR="00430E99">
        <w:rPr>
          <w:rFonts w:ascii="Times New Roman" w:hAnsi="Times New Roman"/>
          <w:i/>
          <w:sz w:val="24"/>
        </w:rPr>
        <w:t>2</w:t>
      </w:r>
      <w:r w:rsidR="00CD4FA5" w:rsidRPr="00CD4FA5">
        <w:rPr>
          <w:rFonts w:ascii="Times New Roman" w:hAnsi="Times New Roman"/>
          <w:i/>
          <w:sz w:val="24"/>
        </w:rPr>
        <w:t>)</w:t>
      </w:r>
      <w:r w:rsidR="00CD4FA5" w:rsidRPr="00CD4FA5">
        <w:rPr>
          <w:rFonts w:ascii="Times New Roman" w:hAnsi="Times New Roman"/>
          <w:sz w:val="24"/>
        </w:rPr>
        <w:t xml:space="preserve"> is included in this Explanatory Statement at page </w:t>
      </w:r>
      <w:r w:rsidR="00B414A6">
        <w:rPr>
          <w:rFonts w:ascii="Times New Roman" w:hAnsi="Times New Roman"/>
          <w:sz w:val="24"/>
        </w:rPr>
        <w:t>6</w:t>
      </w:r>
      <w:r w:rsidR="00CD4FA5" w:rsidRPr="00CD4FA5">
        <w:rPr>
          <w:rFonts w:ascii="Times New Roman" w:hAnsi="Times New Roman"/>
          <w:sz w:val="24"/>
        </w:rPr>
        <w:t xml:space="preserve">.  The </w:t>
      </w:r>
      <w:r>
        <w:rPr>
          <w:rFonts w:ascii="Times New Roman" w:hAnsi="Times New Roman"/>
          <w:sz w:val="24"/>
        </w:rPr>
        <w:t>a</w:t>
      </w:r>
      <w:r w:rsidR="00430E99">
        <w:rPr>
          <w:rFonts w:ascii="Times New Roman" w:hAnsi="Times New Roman"/>
          <w:sz w:val="24"/>
        </w:rPr>
        <w:t xml:space="preserve">cting </w:t>
      </w:r>
      <w:r w:rsidR="00CD4FA5" w:rsidRPr="00CD4FA5">
        <w:rPr>
          <w:rFonts w:ascii="Times New Roman" w:hAnsi="Times New Roman"/>
          <w:sz w:val="24"/>
        </w:rPr>
        <w:t xml:space="preserve">AUSTRAC CEO, as the rule-maker of this legislative instrument, has stated that it is compatible with the human rights and freedoms recognised or declared in the international instruments listed in section 3 of the </w:t>
      </w:r>
      <w:r w:rsidR="00CD4FA5" w:rsidRPr="00CD4FA5">
        <w:rPr>
          <w:rFonts w:ascii="Times New Roman" w:hAnsi="Times New Roman"/>
          <w:i/>
          <w:sz w:val="24"/>
        </w:rPr>
        <w:t>Human Rights (Parliamentary Scrutiny) Act 2011</w:t>
      </w:r>
      <w:r w:rsidR="00CD4FA5" w:rsidRPr="00CD4FA5">
        <w:rPr>
          <w:rFonts w:ascii="Times New Roman" w:hAnsi="Times New Roman"/>
          <w:sz w:val="24"/>
        </w:rPr>
        <w:t>.</w:t>
      </w:r>
    </w:p>
    <w:p w14:paraId="779F5B8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sections</w:t>
      </w:r>
    </w:p>
    <w:p w14:paraId="4F45D9A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1</w:t>
      </w:r>
    </w:p>
    <w:p w14:paraId="690AAD0A" w14:textId="332A3AE7" w:rsidR="00CD4FA5" w:rsidRPr="00CD4FA5" w:rsidRDefault="00CD4FA5" w:rsidP="00A247CD">
      <w:pPr>
        <w:spacing w:before="240"/>
        <w:rPr>
          <w:rFonts w:ascii="Times New Roman" w:hAnsi="Times New Roman"/>
          <w:i/>
          <w:sz w:val="24"/>
        </w:rPr>
      </w:pPr>
      <w:r w:rsidRPr="00CD4FA5">
        <w:rPr>
          <w:rFonts w:ascii="Times New Roman" w:hAnsi="Times New Roman"/>
          <w:sz w:val="24"/>
        </w:rPr>
        <w:t xml:space="preserve">This section sets out the name of the Instrument, i.e. the </w:t>
      </w:r>
      <w:r w:rsidRPr="00CD4FA5">
        <w:rPr>
          <w:rFonts w:ascii="Times New Roman" w:hAnsi="Times New Roman"/>
          <w:i/>
          <w:sz w:val="24"/>
        </w:rPr>
        <w:t xml:space="preserve">Anti-Money Laundering and Counter-Terrorism Financing Rules Amendment Instrument 2017 (No. </w:t>
      </w:r>
      <w:r w:rsidR="00430E99">
        <w:rPr>
          <w:rFonts w:ascii="Times New Roman" w:hAnsi="Times New Roman"/>
          <w:i/>
          <w:sz w:val="24"/>
        </w:rPr>
        <w:t>2</w:t>
      </w:r>
      <w:r w:rsidRPr="00CD4FA5">
        <w:rPr>
          <w:rFonts w:ascii="Times New Roman" w:hAnsi="Times New Roman"/>
          <w:i/>
          <w:sz w:val="24"/>
        </w:rPr>
        <w:t>).</w:t>
      </w:r>
    </w:p>
    <w:p w14:paraId="01609E3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2</w:t>
      </w:r>
    </w:p>
    <w:p w14:paraId="4CD8E13D" w14:textId="006DBBA2" w:rsidR="00CD4FA5" w:rsidRDefault="00CD4FA5" w:rsidP="00A247CD">
      <w:pPr>
        <w:spacing w:before="240"/>
        <w:rPr>
          <w:rFonts w:ascii="Times New Roman" w:hAnsi="Times New Roman"/>
          <w:sz w:val="24"/>
        </w:rPr>
      </w:pPr>
      <w:r w:rsidRPr="00CD4FA5">
        <w:rPr>
          <w:rFonts w:ascii="Times New Roman" w:hAnsi="Times New Roman"/>
          <w:sz w:val="24"/>
        </w:rPr>
        <w:t xml:space="preserve">This section specifies that the </w:t>
      </w:r>
      <w:r w:rsidR="00AF6BAB">
        <w:rPr>
          <w:rFonts w:ascii="Times New Roman" w:hAnsi="Times New Roman"/>
          <w:sz w:val="24"/>
        </w:rPr>
        <w:t>Instrument</w:t>
      </w:r>
      <w:r w:rsidRPr="00CD4FA5">
        <w:rPr>
          <w:rFonts w:ascii="Times New Roman" w:hAnsi="Times New Roman"/>
          <w:sz w:val="24"/>
        </w:rPr>
        <w:t xml:space="preserve"> commence</w:t>
      </w:r>
      <w:r w:rsidR="00AF6BAB">
        <w:rPr>
          <w:rFonts w:ascii="Times New Roman" w:hAnsi="Times New Roman"/>
          <w:sz w:val="24"/>
        </w:rPr>
        <w:t>s</w:t>
      </w:r>
      <w:r w:rsidRPr="00CD4FA5">
        <w:rPr>
          <w:rFonts w:ascii="Times New Roman" w:hAnsi="Times New Roman"/>
          <w:sz w:val="24"/>
        </w:rPr>
        <w:t xml:space="preserve"> on the day after </w:t>
      </w:r>
      <w:r w:rsidR="00AF6BAB">
        <w:rPr>
          <w:rFonts w:ascii="Times New Roman" w:hAnsi="Times New Roman"/>
          <w:sz w:val="24"/>
        </w:rPr>
        <w:t>it is</w:t>
      </w:r>
      <w:r w:rsidRPr="00CD4FA5">
        <w:rPr>
          <w:rFonts w:ascii="Times New Roman" w:hAnsi="Times New Roman"/>
          <w:sz w:val="24"/>
        </w:rPr>
        <w:t xml:space="preserve"> registered.</w:t>
      </w:r>
    </w:p>
    <w:p w14:paraId="508B991E" w14:textId="77777777" w:rsidR="00285066" w:rsidRDefault="00285066" w:rsidP="00CD4FA5">
      <w:pPr>
        <w:rPr>
          <w:rFonts w:ascii="Times New Roman" w:hAnsi="Times New Roman"/>
          <w:b/>
          <w:sz w:val="24"/>
        </w:rPr>
      </w:pPr>
    </w:p>
    <w:p w14:paraId="06FBD982" w14:textId="77777777" w:rsidR="00CD4FA5" w:rsidRPr="00CD4FA5" w:rsidRDefault="00CD4FA5" w:rsidP="00CD4FA5">
      <w:pPr>
        <w:rPr>
          <w:rFonts w:ascii="Times New Roman" w:hAnsi="Times New Roman"/>
          <w:b/>
          <w:sz w:val="24"/>
        </w:rPr>
      </w:pPr>
      <w:r w:rsidRPr="00CD4FA5">
        <w:rPr>
          <w:rFonts w:ascii="Times New Roman" w:hAnsi="Times New Roman"/>
          <w:b/>
          <w:sz w:val="24"/>
        </w:rPr>
        <w:t>Section 3</w:t>
      </w:r>
    </w:p>
    <w:p w14:paraId="0C65BBAC"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This section contains the details of the amendment:</w:t>
      </w:r>
    </w:p>
    <w:p w14:paraId="0B8BE5F9" w14:textId="15829BB6" w:rsidR="00CD4FA5" w:rsidRPr="00CD4FA5" w:rsidRDefault="00CD4FA5" w:rsidP="00A247CD">
      <w:pPr>
        <w:spacing w:before="240"/>
        <w:rPr>
          <w:rFonts w:ascii="Times New Roman" w:hAnsi="Times New Roman"/>
          <w:sz w:val="24"/>
        </w:rPr>
      </w:pPr>
      <w:r w:rsidRPr="00CD4FA5">
        <w:rPr>
          <w:rFonts w:ascii="Times New Roman" w:hAnsi="Times New Roman"/>
          <w:sz w:val="24"/>
        </w:rPr>
        <w:t>Schedule 1 amend</w:t>
      </w:r>
      <w:r w:rsidR="00285066">
        <w:rPr>
          <w:rFonts w:ascii="Times New Roman" w:hAnsi="Times New Roman"/>
          <w:sz w:val="24"/>
        </w:rPr>
        <w:t>s</w:t>
      </w:r>
      <w:r w:rsidRPr="00CD4FA5">
        <w:rPr>
          <w:rFonts w:ascii="Times New Roman" w:hAnsi="Times New Roman"/>
          <w:sz w:val="24"/>
        </w:rPr>
        <w:t xml:space="preserve"> the </w:t>
      </w:r>
      <w:r w:rsidRPr="00CD4FA5">
        <w:rPr>
          <w:rFonts w:ascii="Times New Roman" w:hAnsi="Times New Roman"/>
          <w:i/>
          <w:sz w:val="24"/>
        </w:rPr>
        <w:t xml:space="preserve">Anti-Money Laundering and Counter-Terrorism Financing Rules Instrument 2007 (No. </w:t>
      </w:r>
      <w:r w:rsidR="003D7A85">
        <w:rPr>
          <w:rFonts w:ascii="Times New Roman" w:hAnsi="Times New Roman"/>
          <w:i/>
          <w:sz w:val="24"/>
        </w:rPr>
        <w:t>1</w:t>
      </w:r>
      <w:r w:rsidRPr="00CD4FA5">
        <w:rPr>
          <w:rFonts w:ascii="Times New Roman" w:hAnsi="Times New Roman"/>
          <w:i/>
          <w:sz w:val="24"/>
        </w:rPr>
        <w:t>)</w:t>
      </w:r>
      <w:r w:rsidRPr="00CD4FA5">
        <w:rPr>
          <w:rFonts w:ascii="Times New Roman" w:hAnsi="Times New Roman"/>
          <w:sz w:val="24"/>
        </w:rPr>
        <w:t>.</w:t>
      </w:r>
    </w:p>
    <w:p w14:paraId="1B9BD32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Schedule 1</w:t>
      </w:r>
    </w:p>
    <w:p w14:paraId="76594865" w14:textId="0CCCB7E4" w:rsidR="00CD4FA5" w:rsidRPr="00CD4FA5" w:rsidRDefault="00CD4FA5" w:rsidP="00A247CD">
      <w:pPr>
        <w:spacing w:before="240"/>
        <w:rPr>
          <w:rFonts w:ascii="Times New Roman" w:hAnsi="Times New Roman"/>
          <w:sz w:val="24"/>
        </w:rPr>
      </w:pPr>
      <w:r w:rsidRPr="00CD4FA5">
        <w:rPr>
          <w:rFonts w:ascii="Times New Roman" w:hAnsi="Times New Roman"/>
          <w:sz w:val="24"/>
        </w:rPr>
        <w:t xml:space="preserve">This schedule amends Chapter </w:t>
      </w:r>
      <w:r w:rsidR="00430E99">
        <w:rPr>
          <w:rFonts w:ascii="Times New Roman" w:hAnsi="Times New Roman"/>
          <w:sz w:val="24"/>
        </w:rPr>
        <w:t>22</w:t>
      </w:r>
      <w:r w:rsidRPr="00CD4FA5">
        <w:rPr>
          <w:rFonts w:ascii="Times New Roman" w:hAnsi="Times New Roman"/>
          <w:sz w:val="24"/>
        </w:rPr>
        <w:t>.</w:t>
      </w:r>
    </w:p>
    <w:p w14:paraId="48A48606"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Paragraphs</w:t>
      </w:r>
    </w:p>
    <w:p w14:paraId="7528B628" w14:textId="35033FD6" w:rsidR="00CD4FA5" w:rsidRPr="00CD4FA5" w:rsidRDefault="00CD4FA5" w:rsidP="00CD4FA5">
      <w:pPr>
        <w:spacing w:before="240"/>
        <w:rPr>
          <w:rFonts w:ascii="Times New Roman" w:hAnsi="Times New Roman"/>
          <w:b/>
          <w:sz w:val="24"/>
        </w:rPr>
      </w:pPr>
      <w:r w:rsidRPr="00CD4FA5">
        <w:rPr>
          <w:rFonts w:ascii="Times New Roman" w:hAnsi="Times New Roman"/>
          <w:b/>
          <w:sz w:val="24"/>
        </w:rPr>
        <w:t xml:space="preserve">Chapter </w:t>
      </w:r>
      <w:r w:rsidR="00430E99">
        <w:rPr>
          <w:rFonts w:ascii="Times New Roman" w:hAnsi="Times New Roman"/>
          <w:b/>
          <w:sz w:val="24"/>
        </w:rPr>
        <w:t>22</w:t>
      </w:r>
    </w:p>
    <w:p w14:paraId="58B4D6E6" w14:textId="77777777" w:rsidR="00430E99" w:rsidRPr="007B0B01" w:rsidRDefault="00430E99" w:rsidP="00430E99">
      <w:pPr>
        <w:spacing w:before="240"/>
        <w:rPr>
          <w:rFonts w:ascii="Times New Roman" w:hAnsi="Times New Roman"/>
          <w:b/>
          <w:sz w:val="24"/>
        </w:rPr>
      </w:pPr>
      <w:r w:rsidRPr="007B0B01">
        <w:rPr>
          <w:rFonts w:ascii="Times New Roman" w:hAnsi="Times New Roman"/>
          <w:b/>
          <w:sz w:val="24"/>
        </w:rPr>
        <w:t>Item 1</w:t>
      </w:r>
    </w:p>
    <w:p w14:paraId="2CA50D72" w14:textId="77777777" w:rsidR="00430E99" w:rsidRDefault="00430E99" w:rsidP="00430E99">
      <w:pPr>
        <w:spacing w:before="240"/>
        <w:rPr>
          <w:rFonts w:ascii="Times New Roman" w:hAnsi="Times New Roman"/>
          <w:sz w:val="24"/>
        </w:rPr>
      </w:pPr>
      <w:r>
        <w:rPr>
          <w:rFonts w:ascii="Times New Roman" w:hAnsi="Times New Roman"/>
          <w:sz w:val="24"/>
        </w:rPr>
        <w:t xml:space="preserve">This item repeals the existing Chapter 22 and substitutes a new Chapter 22. </w:t>
      </w:r>
    </w:p>
    <w:p w14:paraId="20EC8BDA" w14:textId="77777777" w:rsidR="00802A94" w:rsidRDefault="00802A94" w:rsidP="00430E99">
      <w:pPr>
        <w:spacing w:before="240"/>
        <w:rPr>
          <w:rFonts w:ascii="Times New Roman" w:hAnsi="Times New Roman"/>
          <w:sz w:val="24"/>
        </w:rPr>
      </w:pPr>
    </w:p>
    <w:p w14:paraId="5301AABA" w14:textId="77777777" w:rsidR="00430E99" w:rsidRDefault="00430E99" w:rsidP="00430E99">
      <w:pPr>
        <w:spacing w:before="240"/>
        <w:rPr>
          <w:rFonts w:ascii="Times New Roman" w:hAnsi="Times New Roman"/>
          <w:b/>
          <w:sz w:val="24"/>
        </w:rPr>
      </w:pPr>
      <w:r w:rsidRPr="00C3543E">
        <w:rPr>
          <w:rFonts w:ascii="Times New Roman" w:hAnsi="Times New Roman"/>
          <w:b/>
          <w:sz w:val="24"/>
        </w:rPr>
        <w:lastRenderedPageBreak/>
        <w:t>Paragraph 22.1</w:t>
      </w:r>
    </w:p>
    <w:p w14:paraId="01FF7305" w14:textId="0503B4B7" w:rsidR="00430E99" w:rsidRPr="00474DE4" w:rsidRDefault="00430E99" w:rsidP="00430E99">
      <w:pPr>
        <w:spacing w:before="240"/>
        <w:rPr>
          <w:rFonts w:ascii="Times New Roman" w:hAnsi="Times New Roman"/>
          <w:sz w:val="24"/>
        </w:rPr>
      </w:pPr>
      <w:r>
        <w:rPr>
          <w:rFonts w:ascii="Times New Roman" w:hAnsi="Times New Roman"/>
          <w:sz w:val="24"/>
        </w:rPr>
        <w:t>This paragraph specifies that these AML/CTF Rules have been made under section 229 of the AML/CTF Act for the purposes of subsection 247(</w:t>
      </w:r>
      <w:r w:rsidR="00B414A6">
        <w:rPr>
          <w:rFonts w:ascii="Times New Roman" w:hAnsi="Times New Roman"/>
          <w:sz w:val="24"/>
        </w:rPr>
        <w:t>3</w:t>
      </w:r>
      <w:r>
        <w:rPr>
          <w:rFonts w:ascii="Times New Roman" w:hAnsi="Times New Roman"/>
          <w:sz w:val="24"/>
        </w:rPr>
        <w:t>) of the AML/CTF Act.</w:t>
      </w:r>
    </w:p>
    <w:p w14:paraId="3FEC4B4D" w14:textId="77777777" w:rsidR="00430E99" w:rsidRDefault="00430E99" w:rsidP="00430E99">
      <w:pPr>
        <w:spacing w:before="240"/>
        <w:rPr>
          <w:rFonts w:ascii="Times New Roman" w:hAnsi="Times New Roman"/>
          <w:b/>
          <w:sz w:val="24"/>
        </w:rPr>
      </w:pPr>
      <w:r>
        <w:rPr>
          <w:rFonts w:ascii="Times New Roman" w:hAnsi="Times New Roman"/>
          <w:b/>
          <w:sz w:val="24"/>
        </w:rPr>
        <w:t>Paragraph 22.2</w:t>
      </w:r>
    </w:p>
    <w:p w14:paraId="6711A390" w14:textId="07FCEA2F" w:rsidR="00430E99" w:rsidRPr="00474DE4" w:rsidRDefault="00430E99" w:rsidP="00430E99">
      <w:pPr>
        <w:spacing w:before="240"/>
        <w:rPr>
          <w:rFonts w:ascii="Times New Roman" w:hAnsi="Times New Roman"/>
          <w:sz w:val="24"/>
        </w:rPr>
      </w:pPr>
      <w:r>
        <w:rPr>
          <w:rFonts w:ascii="Times New Roman" w:hAnsi="Times New Roman"/>
          <w:sz w:val="24"/>
        </w:rPr>
        <w:t xml:space="preserve">This paragraph specifies that the exemption applies to designated service </w:t>
      </w:r>
      <w:r w:rsidR="00285066">
        <w:rPr>
          <w:rFonts w:ascii="Times New Roman" w:hAnsi="Times New Roman"/>
          <w:sz w:val="24"/>
        </w:rPr>
        <w:t>described</w:t>
      </w:r>
      <w:r w:rsidRPr="004B4436">
        <w:rPr>
          <w:rFonts w:ascii="Times New Roman" w:hAnsi="Times New Roman"/>
          <w:sz w:val="24"/>
          <w:lang w:eastAsia="en-AU"/>
        </w:rPr>
        <w:t xml:space="preserve"> in item 35 of table 1 in section 6 of the AML/CTF Act</w:t>
      </w:r>
      <w:r>
        <w:rPr>
          <w:rFonts w:ascii="Times New Roman" w:hAnsi="Times New Roman"/>
          <w:sz w:val="24"/>
        </w:rPr>
        <w:t xml:space="preserve"> and the commodities or products which are covered by the exemption.</w:t>
      </w:r>
    </w:p>
    <w:p w14:paraId="2ABCACF2" w14:textId="77777777" w:rsidR="00430E99" w:rsidRDefault="00430E99" w:rsidP="00430E99">
      <w:pPr>
        <w:spacing w:before="240"/>
        <w:rPr>
          <w:rFonts w:ascii="Times New Roman" w:hAnsi="Times New Roman"/>
          <w:b/>
          <w:sz w:val="24"/>
        </w:rPr>
      </w:pPr>
      <w:r>
        <w:rPr>
          <w:rFonts w:ascii="Times New Roman" w:hAnsi="Times New Roman"/>
          <w:b/>
          <w:sz w:val="24"/>
        </w:rPr>
        <w:t>Paragraph 22.3</w:t>
      </w:r>
    </w:p>
    <w:p w14:paraId="23438D64" w14:textId="0CB0D023" w:rsidR="00430E99" w:rsidRPr="00474DE4" w:rsidRDefault="00430E99" w:rsidP="00430E99">
      <w:pPr>
        <w:spacing w:before="240"/>
        <w:rPr>
          <w:rFonts w:ascii="Times New Roman" w:hAnsi="Times New Roman"/>
          <w:sz w:val="24"/>
        </w:rPr>
      </w:pPr>
      <w:r>
        <w:rPr>
          <w:rFonts w:ascii="Times New Roman" w:hAnsi="Times New Roman"/>
          <w:sz w:val="24"/>
        </w:rPr>
        <w:t>This paragraph</w:t>
      </w:r>
      <w:r w:rsidRPr="00836D05">
        <w:rPr>
          <w:rFonts w:ascii="Times New Roman" w:hAnsi="Times New Roman"/>
          <w:sz w:val="24"/>
        </w:rPr>
        <w:t xml:space="preserve"> </w:t>
      </w:r>
      <w:r>
        <w:rPr>
          <w:rFonts w:ascii="Times New Roman" w:hAnsi="Times New Roman"/>
          <w:sz w:val="24"/>
        </w:rPr>
        <w:t>sets out the conditions that have to be satisfied for the exemption to apply</w:t>
      </w:r>
      <w:r w:rsidR="00285066">
        <w:rPr>
          <w:rFonts w:ascii="Times New Roman" w:hAnsi="Times New Roman"/>
          <w:sz w:val="24"/>
        </w:rPr>
        <w:t xml:space="preserve"> in relation to paragraph 22.2</w:t>
      </w:r>
      <w:r>
        <w:rPr>
          <w:rFonts w:ascii="Times New Roman" w:hAnsi="Times New Roman"/>
          <w:sz w:val="24"/>
        </w:rPr>
        <w:t>.</w:t>
      </w:r>
    </w:p>
    <w:p w14:paraId="7194081F" w14:textId="77777777" w:rsidR="00430E99" w:rsidRDefault="00430E99" w:rsidP="00430E99">
      <w:pPr>
        <w:spacing w:before="240"/>
        <w:rPr>
          <w:rFonts w:ascii="Times New Roman" w:hAnsi="Times New Roman"/>
          <w:b/>
          <w:sz w:val="24"/>
        </w:rPr>
      </w:pPr>
      <w:r>
        <w:rPr>
          <w:rFonts w:ascii="Times New Roman" w:hAnsi="Times New Roman"/>
          <w:b/>
          <w:sz w:val="24"/>
        </w:rPr>
        <w:t>Paragraph 22.4</w:t>
      </w:r>
    </w:p>
    <w:p w14:paraId="57088273" w14:textId="762D97FE" w:rsidR="00430E99" w:rsidRPr="00474DE4" w:rsidRDefault="00430E99" w:rsidP="00430E99">
      <w:pPr>
        <w:spacing w:before="240"/>
        <w:rPr>
          <w:rFonts w:ascii="Times New Roman" w:hAnsi="Times New Roman"/>
          <w:sz w:val="24"/>
        </w:rPr>
      </w:pPr>
      <w:r>
        <w:rPr>
          <w:rFonts w:ascii="Times New Roman" w:hAnsi="Times New Roman"/>
          <w:sz w:val="24"/>
        </w:rPr>
        <w:t xml:space="preserve">This paragraph specifies that the exemption applies to designated service </w:t>
      </w:r>
      <w:r w:rsidRPr="004B4436">
        <w:rPr>
          <w:rFonts w:ascii="Times New Roman" w:hAnsi="Times New Roman"/>
          <w:sz w:val="24"/>
          <w:lang w:eastAsia="en-AU"/>
        </w:rPr>
        <w:t>described in item 3</w:t>
      </w:r>
      <w:r>
        <w:rPr>
          <w:rFonts w:ascii="Times New Roman" w:hAnsi="Times New Roman"/>
          <w:sz w:val="24"/>
          <w:lang w:eastAsia="en-AU"/>
        </w:rPr>
        <w:t xml:space="preserve">3 </w:t>
      </w:r>
      <w:r w:rsidRPr="004B4436">
        <w:rPr>
          <w:rFonts w:ascii="Times New Roman" w:hAnsi="Times New Roman"/>
          <w:sz w:val="24"/>
          <w:lang w:eastAsia="en-AU"/>
        </w:rPr>
        <w:t>of table 1 in section 6 of the AML/CTF Act</w:t>
      </w:r>
      <w:r>
        <w:rPr>
          <w:rFonts w:ascii="Times New Roman" w:hAnsi="Times New Roman"/>
          <w:sz w:val="24"/>
        </w:rPr>
        <w:t xml:space="preserve"> and the commodities or products which are covered by the exemption.</w:t>
      </w:r>
    </w:p>
    <w:p w14:paraId="7C8152E9" w14:textId="77777777" w:rsidR="00430E99" w:rsidRDefault="00430E99" w:rsidP="00430E99">
      <w:pPr>
        <w:spacing w:before="240"/>
        <w:rPr>
          <w:rFonts w:ascii="Times New Roman" w:hAnsi="Times New Roman"/>
          <w:b/>
          <w:sz w:val="24"/>
        </w:rPr>
      </w:pPr>
      <w:r>
        <w:rPr>
          <w:rFonts w:ascii="Times New Roman" w:hAnsi="Times New Roman"/>
          <w:b/>
          <w:sz w:val="24"/>
        </w:rPr>
        <w:t>Paragraph 22.5</w:t>
      </w:r>
    </w:p>
    <w:p w14:paraId="0856AC62" w14:textId="4E2CDDD7" w:rsidR="00430E99" w:rsidRPr="00474DE4" w:rsidRDefault="00430E99" w:rsidP="00430E99">
      <w:pPr>
        <w:spacing w:before="240"/>
        <w:rPr>
          <w:rFonts w:ascii="Times New Roman" w:hAnsi="Times New Roman"/>
          <w:sz w:val="24"/>
        </w:rPr>
      </w:pPr>
      <w:r>
        <w:rPr>
          <w:rFonts w:ascii="Times New Roman" w:hAnsi="Times New Roman"/>
          <w:sz w:val="24"/>
        </w:rPr>
        <w:t>This paragraph sets out the conditions that have to be satisfied for the exemption to apply</w:t>
      </w:r>
      <w:r w:rsidR="00285066">
        <w:rPr>
          <w:rFonts w:ascii="Times New Roman" w:hAnsi="Times New Roman"/>
          <w:sz w:val="24"/>
        </w:rPr>
        <w:t xml:space="preserve"> in relation to paragraph 22.4</w:t>
      </w:r>
      <w:r>
        <w:rPr>
          <w:rFonts w:ascii="Times New Roman" w:hAnsi="Times New Roman"/>
          <w:sz w:val="24"/>
        </w:rPr>
        <w:t>.</w:t>
      </w:r>
    </w:p>
    <w:p w14:paraId="001FE91F" w14:textId="77777777" w:rsidR="00430E99" w:rsidRDefault="00430E99" w:rsidP="00430E99">
      <w:pPr>
        <w:spacing w:before="240"/>
        <w:rPr>
          <w:rFonts w:ascii="Times New Roman" w:hAnsi="Times New Roman"/>
          <w:b/>
          <w:sz w:val="24"/>
        </w:rPr>
      </w:pPr>
      <w:r>
        <w:rPr>
          <w:rFonts w:ascii="Times New Roman" w:hAnsi="Times New Roman"/>
          <w:b/>
          <w:sz w:val="24"/>
        </w:rPr>
        <w:t>Paragraph 22.6</w:t>
      </w:r>
    </w:p>
    <w:p w14:paraId="0353E4EE" w14:textId="78186DAD" w:rsidR="00430E99" w:rsidRDefault="00430E99" w:rsidP="00430E99">
      <w:pPr>
        <w:spacing w:before="240"/>
        <w:rPr>
          <w:rFonts w:ascii="Times New Roman" w:hAnsi="Times New Roman"/>
          <w:sz w:val="24"/>
          <w:lang w:eastAsia="en-AU"/>
        </w:rPr>
      </w:pPr>
      <w:r>
        <w:rPr>
          <w:rFonts w:ascii="Times New Roman" w:hAnsi="Times New Roman"/>
          <w:sz w:val="24"/>
        </w:rPr>
        <w:t xml:space="preserve">This paragraph defines the terms, </w:t>
      </w:r>
      <w:r w:rsidRPr="004B4436">
        <w:rPr>
          <w:rFonts w:ascii="Times New Roman" w:hAnsi="Times New Roman"/>
          <w:bCs/>
          <w:iCs/>
          <w:sz w:val="24"/>
          <w:lang w:eastAsia="en-AU"/>
        </w:rPr>
        <w:t>‘AFS licence’</w:t>
      </w:r>
      <w:r>
        <w:rPr>
          <w:rFonts w:ascii="Times New Roman" w:hAnsi="Times New Roman"/>
          <w:bCs/>
          <w:iCs/>
          <w:sz w:val="24"/>
          <w:lang w:eastAsia="en-AU"/>
        </w:rPr>
        <w:t xml:space="preserve">, </w:t>
      </w:r>
      <w:r w:rsidRPr="004B4436">
        <w:rPr>
          <w:rFonts w:ascii="Times New Roman" w:hAnsi="Times New Roman"/>
          <w:bCs/>
          <w:iCs/>
          <w:sz w:val="24"/>
          <w:lang w:eastAsia="en-AU"/>
        </w:rPr>
        <w:t>‘environmental products’</w:t>
      </w:r>
      <w:r>
        <w:rPr>
          <w:rFonts w:ascii="Times New Roman" w:hAnsi="Times New Roman"/>
          <w:bCs/>
          <w:iCs/>
          <w:sz w:val="24"/>
          <w:lang w:eastAsia="en-AU"/>
        </w:rPr>
        <w:t xml:space="preserve">, </w:t>
      </w:r>
      <w:r w:rsidRPr="004B4436">
        <w:rPr>
          <w:rFonts w:ascii="Times New Roman" w:hAnsi="Times New Roman"/>
          <w:bCs/>
          <w:iCs/>
          <w:sz w:val="24"/>
          <w:lang w:eastAsia="en-AU"/>
        </w:rPr>
        <w:t xml:space="preserve">‘National </w:t>
      </w:r>
      <w:r w:rsidRPr="004B4436">
        <w:rPr>
          <w:rFonts w:ascii="Times New Roman" w:hAnsi="Times New Roman"/>
          <w:sz w:val="24"/>
          <w:lang w:eastAsia="en-AU"/>
        </w:rPr>
        <w:t>Electricity</w:t>
      </w:r>
      <w:r w:rsidRPr="004B4436">
        <w:rPr>
          <w:rFonts w:ascii="Times New Roman" w:hAnsi="Times New Roman"/>
          <w:bCs/>
          <w:iCs/>
          <w:sz w:val="24"/>
          <w:lang w:eastAsia="en-AU"/>
        </w:rPr>
        <w:t xml:space="preserve"> Rules’</w:t>
      </w:r>
      <w:r>
        <w:rPr>
          <w:rFonts w:ascii="Times New Roman" w:hAnsi="Times New Roman"/>
          <w:bCs/>
          <w:iCs/>
          <w:sz w:val="24"/>
          <w:lang w:eastAsia="en-AU"/>
        </w:rPr>
        <w:t xml:space="preserve">, </w:t>
      </w:r>
      <w:r w:rsidRPr="004B4436">
        <w:rPr>
          <w:rFonts w:ascii="Times New Roman" w:hAnsi="Times New Roman"/>
          <w:sz w:val="24"/>
          <w:lang w:eastAsia="en-AU"/>
        </w:rPr>
        <w:t xml:space="preserve">‘National </w:t>
      </w:r>
      <w:r w:rsidR="0095227F">
        <w:rPr>
          <w:rFonts w:ascii="Times New Roman" w:hAnsi="Times New Roman"/>
          <w:sz w:val="24"/>
          <w:lang w:eastAsia="en-AU"/>
        </w:rPr>
        <w:t xml:space="preserve">Gas Rules’ and </w:t>
      </w:r>
      <w:r w:rsidR="002632D9">
        <w:rPr>
          <w:rFonts w:ascii="Times New Roman" w:hAnsi="Times New Roman"/>
          <w:sz w:val="24"/>
          <w:lang w:eastAsia="en-AU"/>
        </w:rPr>
        <w:t>‘Wholesale Electricity Market Rules’.</w:t>
      </w:r>
    </w:p>
    <w:p w14:paraId="5CE57DC8" w14:textId="77777777" w:rsidR="00CD4FA5" w:rsidRPr="00CD4FA5" w:rsidRDefault="00CD4FA5" w:rsidP="00CD4FA5">
      <w:pPr>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6B173BF1" w14:textId="77777777" w:rsidR="00CD4FA5" w:rsidRDefault="00CD4FA5" w:rsidP="00CD4FA5">
      <w:pPr>
        <w:spacing w:before="24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CD4FA5">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Likely impact</w:t>
      </w:r>
    </w:p>
    <w:p w14:paraId="066681F0" w14:textId="6308F83F"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The amendments to Chapter </w:t>
      </w:r>
      <w:r w:rsidR="00AA6218">
        <w:rPr>
          <w:rFonts w:ascii="Times New Roman" w:hAnsi="Times New Roman"/>
          <w:sz w:val="24"/>
        </w:rPr>
        <w:t>22</w:t>
      </w:r>
      <w:r w:rsidRPr="00CD4FA5">
        <w:rPr>
          <w:rFonts w:ascii="Times New Roman" w:hAnsi="Times New Roman"/>
          <w:sz w:val="24"/>
        </w:rPr>
        <w:t xml:space="preserve"> will </w:t>
      </w:r>
      <w:r w:rsidR="00B414A6">
        <w:rPr>
          <w:rFonts w:ascii="Times New Roman" w:hAnsi="Times New Roman"/>
          <w:sz w:val="24"/>
        </w:rPr>
        <w:t xml:space="preserve">have an </w:t>
      </w:r>
      <w:r w:rsidRPr="00CD4FA5">
        <w:rPr>
          <w:rFonts w:ascii="Times New Roman" w:hAnsi="Times New Roman"/>
          <w:sz w:val="24"/>
        </w:rPr>
        <w:t xml:space="preserve">impact on </w:t>
      </w:r>
      <w:r w:rsidR="00B414A6">
        <w:rPr>
          <w:rFonts w:ascii="Times New Roman" w:hAnsi="Times New Roman"/>
          <w:sz w:val="24"/>
        </w:rPr>
        <w:t xml:space="preserve">relevant </w:t>
      </w:r>
      <w:r w:rsidRPr="00CD4FA5">
        <w:rPr>
          <w:rFonts w:ascii="Times New Roman" w:hAnsi="Times New Roman"/>
          <w:sz w:val="24"/>
        </w:rPr>
        <w:t xml:space="preserve">reporting entities. </w:t>
      </w:r>
    </w:p>
    <w:p w14:paraId="25937E60" w14:textId="77777777" w:rsidR="00CD4FA5" w:rsidRPr="00CD4FA5" w:rsidRDefault="00CD4FA5" w:rsidP="00CD4FA5">
      <w:pPr>
        <w:spacing w:before="240"/>
        <w:rPr>
          <w:rFonts w:ascii="Times New Roman" w:hAnsi="Times New Roman"/>
          <w:b/>
          <w:color w:val="000000"/>
          <w:sz w:val="24"/>
        </w:rPr>
      </w:pPr>
      <w:r w:rsidRPr="00CD4FA5">
        <w:rPr>
          <w:rFonts w:ascii="Times New Roman" w:hAnsi="Times New Roman"/>
          <w:b/>
          <w:color w:val="000000"/>
          <w:sz w:val="24"/>
        </w:rPr>
        <w:t>Assessment of benefits</w:t>
      </w:r>
    </w:p>
    <w:p w14:paraId="771ED300" w14:textId="7A175CA9" w:rsidR="00B414A6" w:rsidRDefault="00AA6218" w:rsidP="00AA6218">
      <w:pPr>
        <w:autoSpaceDE w:val="0"/>
        <w:autoSpaceDN w:val="0"/>
        <w:adjustRightInd w:val="0"/>
        <w:spacing w:before="240"/>
        <w:rPr>
          <w:rFonts w:ascii="Times New Roman" w:hAnsi="Times New Roman"/>
          <w:sz w:val="24"/>
        </w:rPr>
      </w:pPr>
      <w:r>
        <w:rPr>
          <w:rFonts w:ascii="Times New Roman" w:hAnsi="Times New Roman"/>
          <w:sz w:val="24"/>
        </w:rPr>
        <w:t>The amendment</w:t>
      </w:r>
      <w:r w:rsidR="00B414A6">
        <w:rPr>
          <w:rFonts w:ascii="Times New Roman" w:hAnsi="Times New Roman"/>
          <w:sz w:val="24"/>
        </w:rPr>
        <w:t>s to</w:t>
      </w:r>
      <w:r>
        <w:rPr>
          <w:rFonts w:ascii="Times New Roman" w:hAnsi="Times New Roman"/>
          <w:sz w:val="24"/>
        </w:rPr>
        <w:t xml:space="preserve"> Chapter 22 will have a positive impact on </w:t>
      </w:r>
      <w:r w:rsidRPr="00F62A16">
        <w:rPr>
          <w:rFonts w:ascii="Times New Roman" w:hAnsi="Times New Roman"/>
          <w:sz w:val="24"/>
          <w:lang w:eastAsia="en-AU"/>
        </w:rPr>
        <w:t>specified market participants in the National Electricity Market and Wholesale Electricity Market</w:t>
      </w:r>
      <w:r>
        <w:rPr>
          <w:rFonts w:ascii="Times New Roman" w:hAnsi="Times New Roman"/>
          <w:sz w:val="24"/>
          <w:lang w:eastAsia="en-AU"/>
        </w:rPr>
        <w:t xml:space="preserve">. </w:t>
      </w:r>
      <w:r>
        <w:rPr>
          <w:rFonts w:ascii="Times New Roman" w:hAnsi="Times New Roman"/>
          <w:sz w:val="24"/>
        </w:rPr>
        <w:t xml:space="preserve">The regulatory savings as calculated under the Office of Best Practice Regulation Regulatory Burden Measurement Framework are detailed below: </w:t>
      </w:r>
    </w:p>
    <w:p w14:paraId="7491960A" w14:textId="7D3578F9" w:rsidR="00AA6218" w:rsidRDefault="00B414A6" w:rsidP="00AA6218">
      <w:pPr>
        <w:autoSpaceDE w:val="0"/>
        <w:autoSpaceDN w:val="0"/>
        <w:adjustRightInd w:val="0"/>
        <w:spacing w:before="240"/>
        <w:rPr>
          <w:rFonts w:ascii="Times New Roman" w:hAnsi="Times New Roman"/>
          <w:sz w:val="24"/>
        </w:rPr>
      </w:pPr>
      <w:r>
        <w:rPr>
          <w:rFonts w:ascii="Times New Roman" w:hAnsi="Times New Roman"/>
          <w:sz w:val="24"/>
        </w:rPr>
        <w:br w:type="page"/>
      </w:r>
    </w:p>
    <w:tbl>
      <w:tblPr>
        <w:tblStyle w:val="TableGrid"/>
        <w:tblW w:w="9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76"/>
        <w:gridCol w:w="1418"/>
        <w:gridCol w:w="5386"/>
      </w:tblGrid>
      <w:tr w:rsidR="00AA6218" w:rsidRPr="003112C7" w14:paraId="03717FD2" w14:textId="77777777" w:rsidTr="00611D39">
        <w:trPr>
          <w:cantSplit/>
        </w:trPr>
        <w:tc>
          <w:tcPr>
            <w:tcW w:w="9180" w:type="dxa"/>
            <w:gridSpan w:val="3"/>
            <w:tcBorders>
              <w:top w:val="single" w:sz="8" w:space="0" w:color="FFFFFF"/>
              <w:left w:val="single" w:sz="8" w:space="0" w:color="FFFFFF"/>
              <w:bottom w:val="single" w:sz="8" w:space="0" w:color="FFFFFF"/>
              <w:right w:val="single" w:sz="8" w:space="0" w:color="FFFFFF"/>
            </w:tcBorders>
            <w:shd w:val="clear" w:color="auto" w:fill="BFBFBF"/>
            <w:hideMark/>
          </w:tcPr>
          <w:p w14:paraId="082361C6" w14:textId="77777777" w:rsidR="00AA6218" w:rsidRDefault="00AA6218" w:rsidP="00611D39">
            <w:pPr>
              <w:spacing w:after="120"/>
              <w:jc w:val="center"/>
              <w:rPr>
                <w:b/>
              </w:rPr>
            </w:pPr>
            <w:r>
              <w:rPr>
                <w:b/>
              </w:rPr>
              <w:t>Chapter 22 Amendments – Regulatory Cost Savings - Business</w:t>
            </w:r>
          </w:p>
          <w:p w14:paraId="1036052E" w14:textId="380A6746" w:rsidR="00987A3A" w:rsidRDefault="00987A3A" w:rsidP="00611D39">
            <w:pPr>
              <w:spacing w:after="120"/>
              <w:jc w:val="center"/>
              <w:rPr>
                <w:b/>
                <w:szCs w:val="24"/>
              </w:rPr>
            </w:pPr>
            <w:r>
              <w:rPr>
                <w:b/>
              </w:rPr>
              <w:t>calculated on an annual basis</w:t>
            </w:r>
          </w:p>
        </w:tc>
      </w:tr>
      <w:tr w:rsidR="00AA6218" w:rsidRPr="003112C7" w14:paraId="20FB9053"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BFBFBF"/>
          </w:tcPr>
          <w:p w14:paraId="3441410E" w14:textId="77777777" w:rsidR="00AA6218" w:rsidRDefault="00AA6218" w:rsidP="00611D39">
            <w:pPr>
              <w:spacing w:after="120"/>
              <w:rPr>
                <w:b/>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BFBFBF"/>
          </w:tcPr>
          <w:p w14:paraId="46697E8B" w14:textId="77777777" w:rsidR="00AA6218" w:rsidRDefault="00AA6218" w:rsidP="00611D39">
            <w:pPr>
              <w:spacing w:after="120"/>
              <w:rPr>
                <w:b/>
                <w:szCs w:val="24"/>
              </w:rPr>
            </w:pPr>
          </w:p>
        </w:tc>
        <w:tc>
          <w:tcPr>
            <w:tcW w:w="5386" w:type="dxa"/>
            <w:tcBorders>
              <w:top w:val="single" w:sz="8" w:space="0" w:color="FFFFFF"/>
              <w:left w:val="single" w:sz="8" w:space="0" w:color="FFFFFF"/>
              <w:bottom w:val="single" w:sz="8" w:space="0" w:color="FFFFFF"/>
              <w:right w:val="single" w:sz="8" w:space="0" w:color="FFFFFF"/>
            </w:tcBorders>
            <w:shd w:val="clear" w:color="auto" w:fill="BFBFBF"/>
          </w:tcPr>
          <w:p w14:paraId="582866C6" w14:textId="77777777" w:rsidR="00AA6218" w:rsidRDefault="00AA6218" w:rsidP="00611D39">
            <w:pPr>
              <w:spacing w:after="120"/>
              <w:rPr>
                <w:szCs w:val="24"/>
              </w:rPr>
            </w:pPr>
          </w:p>
        </w:tc>
      </w:tr>
      <w:tr w:rsidR="00AA6218" w:rsidRPr="003112C7" w14:paraId="602C670B"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BFBFBF"/>
            <w:hideMark/>
          </w:tcPr>
          <w:p w14:paraId="3C825606" w14:textId="2E5FBDEC" w:rsidR="00AA6218" w:rsidRDefault="00AA6218" w:rsidP="00987A3A">
            <w:pPr>
              <w:spacing w:before="120"/>
              <w:rPr>
                <w:rFonts w:ascii="Times New Roman" w:hAnsi="Times New Roman"/>
                <w:sz w:val="24"/>
                <w:szCs w:val="24"/>
              </w:rPr>
            </w:pPr>
            <w:r>
              <w:rPr>
                <w:rFonts w:ascii="Times New Roman" w:hAnsi="Times New Roman"/>
                <w:sz w:val="24"/>
              </w:rPr>
              <w:t xml:space="preserve">Number of reporting entities </w:t>
            </w:r>
            <w:r w:rsidR="00987A3A">
              <w:rPr>
                <w:rFonts w:ascii="Times New Roman" w:hAnsi="Times New Roman"/>
                <w:sz w:val="24"/>
              </w:rPr>
              <w:t>affected</w:t>
            </w:r>
          </w:p>
        </w:tc>
        <w:tc>
          <w:tcPr>
            <w:tcW w:w="1418" w:type="dxa"/>
            <w:tcBorders>
              <w:top w:val="single" w:sz="8" w:space="0" w:color="FFFFFF"/>
              <w:left w:val="single" w:sz="8" w:space="0" w:color="FFFFFF"/>
              <w:bottom w:val="single" w:sz="8" w:space="0" w:color="FFFFFF"/>
              <w:right w:val="single" w:sz="8" w:space="0" w:color="FFFFFF"/>
            </w:tcBorders>
            <w:shd w:val="clear" w:color="auto" w:fill="BFBFBF"/>
            <w:hideMark/>
          </w:tcPr>
          <w:p w14:paraId="6F2AFE2A" w14:textId="77777777" w:rsidR="00AA6218" w:rsidRDefault="00AA6218" w:rsidP="00611D39">
            <w:pPr>
              <w:spacing w:before="120"/>
              <w:rPr>
                <w:rFonts w:ascii="Times New Roman" w:hAnsi="Times New Roman"/>
                <w:sz w:val="24"/>
                <w:szCs w:val="24"/>
              </w:rPr>
            </w:pPr>
            <w:r>
              <w:rPr>
                <w:rFonts w:ascii="Times New Roman" w:hAnsi="Times New Roman"/>
                <w:sz w:val="24"/>
              </w:rPr>
              <w:t>28</w:t>
            </w:r>
          </w:p>
        </w:tc>
        <w:tc>
          <w:tcPr>
            <w:tcW w:w="5386" w:type="dxa"/>
            <w:tcBorders>
              <w:top w:val="single" w:sz="8" w:space="0" w:color="FFFFFF"/>
              <w:left w:val="single" w:sz="8" w:space="0" w:color="FFFFFF"/>
              <w:bottom w:val="single" w:sz="8" w:space="0" w:color="FFFFFF"/>
              <w:right w:val="single" w:sz="8" w:space="0" w:color="FFFFFF"/>
            </w:tcBorders>
            <w:shd w:val="clear" w:color="auto" w:fill="BFBFBF"/>
          </w:tcPr>
          <w:p w14:paraId="5F65973A" w14:textId="0228C485" w:rsidR="00AA6218" w:rsidRDefault="00AA6218" w:rsidP="00611D39">
            <w:pPr>
              <w:spacing w:before="120"/>
              <w:rPr>
                <w:rFonts w:ascii="Times New Roman" w:hAnsi="Times New Roman"/>
                <w:sz w:val="24"/>
                <w:szCs w:val="24"/>
              </w:rPr>
            </w:pPr>
            <w:r>
              <w:rPr>
                <w:rFonts w:ascii="Times New Roman" w:hAnsi="Times New Roman"/>
                <w:sz w:val="24"/>
              </w:rPr>
              <w:t>Based on figures supplied by Industry</w:t>
            </w:r>
          </w:p>
          <w:p w14:paraId="57678394" w14:textId="77777777" w:rsidR="00AA6218" w:rsidRDefault="00AA6218" w:rsidP="00611D39">
            <w:pPr>
              <w:spacing w:before="120"/>
              <w:rPr>
                <w:rFonts w:ascii="Times New Roman" w:hAnsi="Times New Roman"/>
                <w:sz w:val="24"/>
              </w:rPr>
            </w:pPr>
            <w:r>
              <w:rPr>
                <w:rFonts w:ascii="Times New Roman" w:hAnsi="Times New Roman"/>
                <w:sz w:val="24"/>
              </w:rPr>
              <w:t>Number of Energy Market Participants.</w:t>
            </w:r>
          </w:p>
          <w:p w14:paraId="392FBA1B" w14:textId="7483623E" w:rsidR="00AA6218" w:rsidRDefault="00AA6218" w:rsidP="00611D39">
            <w:pPr>
              <w:spacing w:before="120"/>
              <w:rPr>
                <w:rFonts w:ascii="Times New Roman" w:hAnsi="Times New Roman"/>
                <w:sz w:val="24"/>
              </w:rPr>
            </w:pPr>
            <w:r>
              <w:rPr>
                <w:rFonts w:ascii="Times New Roman" w:hAnsi="Times New Roman"/>
                <w:sz w:val="24"/>
              </w:rPr>
              <w:t>25% of A</w:t>
            </w:r>
            <w:r w:rsidR="00B414A6">
              <w:rPr>
                <w:rFonts w:ascii="Times New Roman" w:hAnsi="Times New Roman"/>
                <w:sz w:val="24"/>
              </w:rPr>
              <w:t>ustralian Financial Market Association (A</w:t>
            </w:r>
            <w:r>
              <w:rPr>
                <w:rFonts w:ascii="Times New Roman" w:hAnsi="Times New Roman"/>
                <w:sz w:val="24"/>
              </w:rPr>
              <w:t>FMA</w:t>
            </w:r>
            <w:r w:rsidR="00B414A6">
              <w:rPr>
                <w:rFonts w:ascii="Times New Roman" w:hAnsi="Times New Roman"/>
                <w:sz w:val="24"/>
              </w:rPr>
              <w:t>)</w:t>
            </w:r>
            <w:r>
              <w:rPr>
                <w:rFonts w:ascii="Times New Roman" w:hAnsi="Times New Roman"/>
                <w:sz w:val="24"/>
              </w:rPr>
              <w:t xml:space="preserve"> </w:t>
            </w:r>
            <w:r w:rsidR="00B414A6">
              <w:rPr>
                <w:rFonts w:ascii="Times New Roman" w:hAnsi="Times New Roman"/>
                <w:sz w:val="24"/>
              </w:rPr>
              <w:t>m</w:t>
            </w:r>
            <w:r>
              <w:rPr>
                <w:rFonts w:ascii="Times New Roman" w:hAnsi="Times New Roman"/>
                <w:sz w:val="24"/>
              </w:rPr>
              <w:t>embers (100) are Energy Market Participants, and form 90% of the total Energy Market Participants.</w:t>
            </w:r>
          </w:p>
          <w:p w14:paraId="77036284" w14:textId="77777777" w:rsidR="00AA6218" w:rsidRDefault="00AA6218" w:rsidP="00611D39">
            <w:pPr>
              <w:spacing w:before="120"/>
              <w:rPr>
                <w:rFonts w:ascii="Times New Roman" w:hAnsi="Times New Roman"/>
                <w:sz w:val="24"/>
              </w:rPr>
            </w:pPr>
            <w:r>
              <w:rPr>
                <w:rFonts w:ascii="Times New Roman" w:hAnsi="Times New Roman"/>
                <w:sz w:val="24"/>
              </w:rPr>
              <w:t>25/100 x 100 x 100/90 = 28 Energy Market Participants</w:t>
            </w:r>
          </w:p>
          <w:p w14:paraId="57E75172" w14:textId="77777777" w:rsidR="00AA6218" w:rsidRDefault="00AA6218" w:rsidP="00611D39">
            <w:pPr>
              <w:spacing w:after="120"/>
              <w:rPr>
                <w:szCs w:val="24"/>
              </w:rPr>
            </w:pPr>
          </w:p>
        </w:tc>
      </w:tr>
      <w:tr w:rsidR="00AA6218" w:rsidRPr="003112C7" w14:paraId="78C2EBE5"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BFBFBF"/>
          </w:tcPr>
          <w:p w14:paraId="2279E8AA" w14:textId="77777777" w:rsidR="00AA6218" w:rsidRDefault="00AA6218" w:rsidP="00611D39">
            <w:pPr>
              <w:spacing w:after="120"/>
              <w:rPr>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BFBFBF"/>
          </w:tcPr>
          <w:p w14:paraId="39DF892A" w14:textId="77777777" w:rsidR="00AA6218" w:rsidRDefault="00AA6218" w:rsidP="00611D39">
            <w:pPr>
              <w:spacing w:after="120"/>
              <w:rPr>
                <w:szCs w:val="24"/>
              </w:rPr>
            </w:pPr>
          </w:p>
        </w:tc>
        <w:tc>
          <w:tcPr>
            <w:tcW w:w="5386" w:type="dxa"/>
            <w:tcBorders>
              <w:top w:val="single" w:sz="8" w:space="0" w:color="FFFFFF"/>
              <w:left w:val="single" w:sz="8" w:space="0" w:color="FFFFFF"/>
              <w:bottom w:val="single" w:sz="8" w:space="0" w:color="FFFFFF"/>
              <w:right w:val="single" w:sz="8" w:space="0" w:color="FFFFFF"/>
            </w:tcBorders>
            <w:shd w:val="clear" w:color="auto" w:fill="BFBFBF"/>
          </w:tcPr>
          <w:p w14:paraId="4F9DEE11" w14:textId="77777777" w:rsidR="00AA6218" w:rsidRDefault="00AA6218" w:rsidP="00611D39">
            <w:pPr>
              <w:spacing w:after="120"/>
              <w:rPr>
                <w:szCs w:val="24"/>
              </w:rPr>
            </w:pPr>
          </w:p>
        </w:tc>
      </w:tr>
      <w:tr w:rsidR="00AA6218" w:rsidRPr="003112C7" w14:paraId="46BBFCE0"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hideMark/>
          </w:tcPr>
          <w:p w14:paraId="68E0BBB5" w14:textId="77777777" w:rsidR="00AA6218" w:rsidRDefault="00AA6218" w:rsidP="00611D39">
            <w:pPr>
              <w:spacing w:before="120"/>
              <w:rPr>
                <w:rFonts w:ascii="Times New Roman" w:hAnsi="Times New Roman"/>
                <w:sz w:val="24"/>
                <w:szCs w:val="24"/>
              </w:rPr>
            </w:pPr>
            <w:r>
              <w:rPr>
                <w:rFonts w:ascii="Times New Roman" w:hAnsi="Times New Roman"/>
                <w:sz w:val="24"/>
              </w:rPr>
              <w:t>Ongoing annual compliance costs</w:t>
            </w:r>
          </w:p>
        </w:tc>
        <w:tc>
          <w:tcPr>
            <w:tcW w:w="1418" w:type="dxa"/>
            <w:tcBorders>
              <w:top w:val="single" w:sz="8" w:space="0" w:color="FFFFFF"/>
              <w:left w:val="single" w:sz="8" w:space="0" w:color="FFFFFF"/>
              <w:bottom w:val="single" w:sz="8" w:space="0" w:color="FFFFFF"/>
              <w:right w:val="single" w:sz="8" w:space="0" w:color="FFFFFF"/>
            </w:tcBorders>
            <w:shd w:val="clear" w:color="auto" w:fill="D9D9D9"/>
            <w:hideMark/>
          </w:tcPr>
          <w:p w14:paraId="108DF0D7" w14:textId="77777777" w:rsidR="00AA6218" w:rsidRDefault="00AA6218" w:rsidP="00611D39">
            <w:pPr>
              <w:spacing w:before="120"/>
              <w:rPr>
                <w:rFonts w:ascii="Times New Roman" w:hAnsi="Times New Roman"/>
                <w:sz w:val="24"/>
                <w:szCs w:val="24"/>
              </w:rPr>
            </w:pPr>
            <w:r>
              <w:rPr>
                <w:rFonts w:ascii="Times New Roman" w:hAnsi="Times New Roman"/>
                <w:sz w:val="24"/>
              </w:rPr>
              <w:t>$1,890,000</w:t>
            </w:r>
          </w:p>
        </w:tc>
        <w:tc>
          <w:tcPr>
            <w:tcW w:w="5386" w:type="dxa"/>
            <w:tcBorders>
              <w:top w:val="single" w:sz="8" w:space="0" w:color="FFFFFF"/>
              <w:left w:val="single" w:sz="8" w:space="0" w:color="FFFFFF"/>
              <w:bottom w:val="single" w:sz="8" w:space="0" w:color="FFFFFF"/>
              <w:right w:val="single" w:sz="8" w:space="0" w:color="FFFFFF"/>
            </w:tcBorders>
            <w:shd w:val="clear" w:color="auto" w:fill="D9D9D9"/>
            <w:hideMark/>
          </w:tcPr>
          <w:p w14:paraId="305D12AB" w14:textId="7107DEDB" w:rsidR="00AA6218" w:rsidRDefault="00AA6218" w:rsidP="00611D39">
            <w:pPr>
              <w:spacing w:before="120"/>
              <w:rPr>
                <w:rFonts w:ascii="Times New Roman" w:hAnsi="Times New Roman"/>
                <w:sz w:val="24"/>
                <w:szCs w:val="24"/>
              </w:rPr>
            </w:pPr>
            <w:r>
              <w:rPr>
                <w:rFonts w:ascii="Times New Roman" w:hAnsi="Times New Roman"/>
                <w:sz w:val="24"/>
              </w:rPr>
              <w:t>Industry provided an estimate of between $60,000 and $75,000 per reporting entity in direct and indirect compliance costs.</w:t>
            </w:r>
          </w:p>
          <w:p w14:paraId="7DA1E430" w14:textId="77777777" w:rsidR="00AA6218" w:rsidRDefault="00AA6218" w:rsidP="00611D39">
            <w:pPr>
              <w:spacing w:before="120"/>
              <w:rPr>
                <w:rFonts w:ascii="Times New Roman" w:hAnsi="Times New Roman"/>
                <w:sz w:val="24"/>
                <w:szCs w:val="24"/>
              </w:rPr>
            </w:pPr>
            <w:r>
              <w:rPr>
                <w:rFonts w:ascii="Times New Roman" w:hAnsi="Times New Roman"/>
                <w:sz w:val="24"/>
              </w:rPr>
              <w:t>Midpoint figure used for calculation = $67,500.</w:t>
            </w:r>
          </w:p>
        </w:tc>
      </w:tr>
      <w:tr w:rsidR="00AA6218" w:rsidRPr="003112C7" w14:paraId="6517776A"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tcPr>
          <w:p w14:paraId="34E0E562" w14:textId="77777777" w:rsidR="00AA6218" w:rsidRDefault="00AA6218" w:rsidP="00611D39">
            <w:pPr>
              <w:spacing w:before="120"/>
              <w:rPr>
                <w:rFonts w:ascii="Times New Roman" w:hAnsi="Times New Roman"/>
                <w:sz w:val="24"/>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D9D9D9"/>
          </w:tcPr>
          <w:p w14:paraId="32CCA96F" w14:textId="77777777" w:rsidR="00AA6218" w:rsidRDefault="00AA6218" w:rsidP="00611D39">
            <w:pPr>
              <w:spacing w:before="120"/>
              <w:rPr>
                <w:rFonts w:ascii="Times New Roman" w:hAnsi="Times New Roman"/>
                <w:sz w:val="24"/>
                <w:szCs w:val="24"/>
              </w:rPr>
            </w:pPr>
          </w:p>
        </w:tc>
        <w:tc>
          <w:tcPr>
            <w:tcW w:w="5386" w:type="dxa"/>
            <w:tcBorders>
              <w:top w:val="single" w:sz="8" w:space="0" w:color="FFFFFF"/>
              <w:left w:val="single" w:sz="8" w:space="0" w:color="FFFFFF"/>
              <w:bottom w:val="single" w:sz="8" w:space="0" w:color="FFFFFF"/>
              <w:right w:val="single" w:sz="8" w:space="0" w:color="FFFFFF"/>
            </w:tcBorders>
            <w:shd w:val="clear" w:color="auto" w:fill="D9D9D9"/>
          </w:tcPr>
          <w:p w14:paraId="708CD014" w14:textId="77777777" w:rsidR="00AA6218" w:rsidRDefault="00AA6218" w:rsidP="00611D39">
            <w:pPr>
              <w:spacing w:before="120"/>
              <w:rPr>
                <w:rFonts w:ascii="Times New Roman" w:hAnsi="Times New Roman"/>
                <w:sz w:val="24"/>
                <w:szCs w:val="24"/>
              </w:rPr>
            </w:pPr>
          </w:p>
        </w:tc>
      </w:tr>
      <w:tr w:rsidR="00AA6218" w:rsidRPr="003112C7" w14:paraId="3E9BAA38"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hideMark/>
          </w:tcPr>
          <w:p w14:paraId="504D09C7" w14:textId="77777777" w:rsidR="00AA6218" w:rsidRDefault="00AA6218" w:rsidP="00611D39">
            <w:pPr>
              <w:spacing w:before="120"/>
              <w:rPr>
                <w:rFonts w:ascii="Times New Roman" w:hAnsi="Times New Roman"/>
                <w:sz w:val="24"/>
                <w:szCs w:val="24"/>
              </w:rPr>
            </w:pPr>
            <w:r>
              <w:rPr>
                <w:rFonts w:ascii="Times New Roman" w:hAnsi="Times New Roman"/>
                <w:sz w:val="24"/>
              </w:rPr>
              <w:t>Know Your Customer identification costs</w:t>
            </w:r>
          </w:p>
        </w:tc>
        <w:tc>
          <w:tcPr>
            <w:tcW w:w="1418" w:type="dxa"/>
            <w:tcBorders>
              <w:top w:val="single" w:sz="8" w:space="0" w:color="FFFFFF"/>
              <w:left w:val="single" w:sz="8" w:space="0" w:color="FFFFFF"/>
              <w:bottom w:val="single" w:sz="8" w:space="0" w:color="FFFFFF"/>
              <w:right w:val="single" w:sz="8" w:space="0" w:color="FFFFFF"/>
            </w:tcBorders>
            <w:shd w:val="clear" w:color="auto" w:fill="D9D9D9"/>
            <w:hideMark/>
          </w:tcPr>
          <w:p w14:paraId="367D0331" w14:textId="77777777" w:rsidR="00AA6218" w:rsidRDefault="00AA6218" w:rsidP="00611D39">
            <w:pPr>
              <w:spacing w:before="120"/>
              <w:rPr>
                <w:rFonts w:ascii="Times New Roman" w:hAnsi="Times New Roman"/>
                <w:sz w:val="24"/>
                <w:szCs w:val="24"/>
              </w:rPr>
            </w:pPr>
            <w:r>
              <w:rPr>
                <w:rFonts w:ascii="Times New Roman" w:hAnsi="Times New Roman"/>
                <w:sz w:val="24"/>
              </w:rPr>
              <w:t>$700,000</w:t>
            </w:r>
          </w:p>
        </w:tc>
        <w:tc>
          <w:tcPr>
            <w:tcW w:w="5386" w:type="dxa"/>
            <w:tcBorders>
              <w:top w:val="single" w:sz="8" w:space="0" w:color="FFFFFF"/>
              <w:left w:val="single" w:sz="8" w:space="0" w:color="FFFFFF"/>
              <w:bottom w:val="single" w:sz="8" w:space="0" w:color="FFFFFF"/>
              <w:right w:val="single" w:sz="8" w:space="0" w:color="FFFFFF"/>
            </w:tcBorders>
            <w:shd w:val="clear" w:color="auto" w:fill="D9D9D9"/>
            <w:hideMark/>
          </w:tcPr>
          <w:p w14:paraId="74F037DA" w14:textId="16154E83" w:rsidR="00AA6218" w:rsidRDefault="00AA6218" w:rsidP="00987A3A">
            <w:pPr>
              <w:spacing w:before="120"/>
              <w:rPr>
                <w:rFonts w:ascii="Times New Roman" w:hAnsi="Times New Roman"/>
                <w:sz w:val="24"/>
                <w:szCs w:val="24"/>
              </w:rPr>
            </w:pPr>
            <w:r>
              <w:rPr>
                <w:rFonts w:ascii="Times New Roman" w:hAnsi="Times New Roman"/>
                <w:sz w:val="24"/>
              </w:rPr>
              <w:t>Industry estimate</w:t>
            </w:r>
            <w:r w:rsidR="00987A3A">
              <w:rPr>
                <w:rFonts w:ascii="Times New Roman" w:hAnsi="Times New Roman"/>
                <w:sz w:val="24"/>
              </w:rPr>
              <w:t>s</w:t>
            </w:r>
            <w:r>
              <w:rPr>
                <w:rFonts w:ascii="Times New Roman" w:hAnsi="Times New Roman"/>
                <w:sz w:val="24"/>
              </w:rPr>
              <w:t xml:space="preserve"> $25,000 in know your customer costs per reporting entities.</w:t>
            </w:r>
          </w:p>
        </w:tc>
      </w:tr>
      <w:tr w:rsidR="00AA6218" w:rsidRPr="003112C7" w14:paraId="3F2519CA"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tcPr>
          <w:p w14:paraId="74DE0221" w14:textId="77777777" w:rsidR="00AA6218" w:rsidRDefault="00AA6218" w:rsidP="00611D39">
            <w:pPr>
              <w:spacing w:before="120"/>
              <w:rPr>
                <w:rFonts w:ascii="Times New Roman" w:hAnsi="Times New Roman"/>
                <w:sz w:val="24"/>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D9D9D9"/>
          </w:tcPr>
          <w:p w14:paraId="04049963" w14:textId="77777777" w:rsidR="00AA6218" w:rsidRDefault="00AA6218" w:rsidP="00611D39">
            <w:pPr>
              <w:spacing w:before="120"/>
              <w:rPr>
                <w:rFonts w:ascii="Times New Roman" w:hAnsi="Times New Roman"/>
                <w:sz w:val="24"/>
                <w:szCs w:val="24"/>
              </w:rPr>
            </w:pPr>
          </w:p>
        </w:tc>
        <w:tc>
          <w:tcPr>
            <w:tcW w:w="5386" w:type="dxa"/>
            <w:tcBorders>
              <w:top w:val="single" w:sz="8" w:space="0" w:color="FFFFFF"/>
              <w:left w:val="single" w:sz="8" w:space="0" w:color="FFFFFF"/>
              <w:bottom w:val="single" w:sz="8" w:space="0" w:color="FFFFFF"/>
              <w:right w:val="single" w:sz="8" w:space="0" w:color="FFFFFF"/>
            </w:tcBorders>
            <w:shd w:val="clear" w:color="auto" w:fill="D9D9D9"/>
          </w:tcPr>
          <w:p w14:paraId="3F7D25EF" w14:textId="77777777" w:rsidR="00AA6218" w:rsidRDefault="00AA6218" w:rsidP="00611D39">
            <w:pPr>
              <w:spacing w:before="120"/>
              <w:rPr>
                <w:rFonts w:ascii="Times New Roman" w:hAnsi="Times New Roman"/>
                <w:sz w:val="24"/>
                <w:szCs w:val="24"/>
              </w:rPr>
            </w:pPr>
          </w:p>
        </w:tc>
      </w:tr>
      <w:tr w:rsidR="00AA6218" w:rsidRPr="003112C7" w14:paraId="304C4244"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hideMark/>
          </w:tcPr>
          <w:p w14:paraId="0D5B3DAB" w14:textId="77777777" w:rsidR="00AA6218" w:rsidRDefault="00AA6218" w:rsidP="00611D39">
            <w:pPr>
              <w:spacing w:before="120"/>
              <w:rPr>
                <w:rFonts w:ascii="Times New Roman" w:hAnsi="Times New Roman"/>
                <w:sz w:val="24"/>
                <w:szCs w:val="24"/>
              </w:rPr>
            </w:pPr>
            <w:r>
              <w:rPr>
                <w:rFonts w:ascii="Times New Roman" w:hAnsi="Times New Roman"/>
                <w:sz w:val="24"/>
              </w:rPr>
              <w:t xml:space="preserve">Total annual savings </w:t>
            </w:r>
          </w:p>
        </w:tc>
        <w:tc>
          <w:tcPr>
            <w:tcW w:w="1418" w:type="dxa"/>
            <w:tcBorders>
              <w:top w:val="single" w:sz="8" w:space="0" w:color="FFFFFF"/>
              <w:left w:val="single" w:sz="8" w:space="0" w:color="FFFFFF"/>
              <w:bottom w:val="single" w:sz="8" w:space="0" w:color="FFFFFF"/>
              <w:right w:val="single" w:sz="8" w:space="0" w:color="FFFFFF"/>
            </w:tcBorders>
            <w:shd w:val="clear" w:color="auto" w:fill="D9D9D9"/>
            <w:hideMark/>
          </w:tcPr>
          <w:p w14:paraId="00597017" w14:textId="77777777" w:rsidR="00AA6218" w:rsidRDefault="00AA6218" w:rsidP="00611D39">
            <w:pPr>
              <w:spacing w:before="120"/>
              <w:rPr>
                <w:rFonts w:ascii="Times New Roman" w:hAnsi="Times New Roman"/>
                <w:b/>
                <w:sz w:val="24"/>
                <w:szCs w:val="24"/>
              </w:rPr>
            </w:pPr>
            <w:r>
              <w:rPr>
                <w:rFonts w:ascii="Times New Roman" w:hAnsi="Times New Roman"/>
                <w:b/>
                <w:sz w:val="24"/>
              </w:rPr>
              <w:t>$2,590,000</w:t>
            </w:r>
          </w:p>
        </w:tc>
        <w:tc>
          <w:tcPr>
            <w:tcW w:w="5386" w:type="dxa"/>
            <w:tcBorders>
              <w:top w:val="single" w:sz="8" w:space="0" w:color="FFFFFF"/>
              <w:left w:val="single" w:sz="8" w:space="0" w:color="FFFFFF"/>
              <w:bottom w:val="single" w:sz="8" w:space="0" w:color="FFFFFF"/>
              <w:right w:val="single" w:sz="8" w:space="0" w:color="FFFFFF"/>
            </w:tcBorders>
            <w:shd w:val="clear" w:color="auto" w:fill="D9D9D9"/>
          </w:tcPr>
          <w:p w14:paraId="022DC0DB" w14:textId="77777777" w:rsidR="00AA6218" w:rsidRDefault="00AA6218" w:rsidP="00611D39">
            <w:pPr>
              <w:spacing w:before="120"/>
              <w:rPr>
                <w:rFonts w:ascii="Times New Roman" w:hAnsi="Times New Roman"/>
                <w:sz w:val="24"/>
                <w:szCs w:val="24"/>
              </w:rPr>
            </w:pPr>
          </w:p>
        </w:tc>
      </w:tr>
      <w:tr w:rsidR="00AA6218" w:rsidRPr="003112C7" w14:paraId="3EEC0709" w14:textId="77777777" w:rsidTr="00611D39">
        <w:trPr>
          <w:cantSplit/>
        </w:trPr>
        <w:tc>
          <w:tcPr>
            <w:tcW w:w="2376" w:type="dxa"/>
            <w:tcBorders>
              <w:top w:val="single" w:sz="8" w:space="0" w:color="FFFFFF"/>
              <w:left w:val="single" w:sz="8" w:space="0" w:color="FFFFFF"/>
              <w:bottom w:val="single" w:sz="8" w:space="0" w:color="FFFFFF"/>
              <w:right w:val="single" w:sz="8" w:space="0" w:color="FFFFFF"/>
            </w:tcBorders>
            <w:shd w:val="clear" w:color="auto" w:fill="D9D9D9"/>
          </w:tcPr>
          <w:p w14:paraId="7896EF19" w14:textId="77777777" w:rsidR="00AA6218" w:rsidRDefault="00AA6218" w:rsidP="00611D39">
            <w:pPr>
              <w:spacing w:before="120"/>
              <w:rPr>
                <w:rFonts w:ascii="Times New Roman" w:hAnsi="Times New Roman"/>
                <w:sz w:val="24"/>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D9D9D9"/>
          </w:tcPr>
          <w:p w14:paraId="515F8C2D" w14:textId="77777777" w:rsidR="00AA6218" w:rsidRDefault="00AA6218" w:rsidP="00611D39">
            <w:pPr>
              <w:spacing w:before="120"/>
              <w:rPr>
                <w:rFonts w:ascii="Times New Roman" w:hAnsi="Times New Roman"/>
                <w:sz w:val="24"/>
                <w:szCs w:val="24"/>
              </w:rPr>
            </w:pPr>
          </w:p>
        </w:tc>
        <w:tc>
          <w:tcPr>
            <w:tcW w:w="5386" w:type="dxa"/>
            <w:tcBorders>
              <w:top w:val="single" w:sz="8" w:space="0" w:color="FFFFFF"/>
              <w:left w:val="single" w:sz="8" w:space="0" w:color="FFFFFF"/>
              <w:bottom w:val="single" w:sz="8" w:space="0" w:color="FFFFFF"/>
              <w:right w:val="single" w:sz="8" w:space="0" w:color="FFFFFF"/>
            </w:tcBorders>
            <w:shd w:val="clear" w:color="auto" w:fill="D9D9D9"/>
          </w:tcPr>
          <w:p w14:paraId="599186C5" w14:textId="77777777" w:rsidR="00AA6218" w:rsidRDefault="00AA6218" w:rsidP="00611D39">
            <w:pPr>
              <w:spacing w:before="120"/>
              <w:rPr>
                <w:rFonts w:ascii="Times New Roman" w:hAnsi="Times New Roman"/>
                <w:sz w:val="24"/>
                <w:szCs w:val="24"/>
              </w:rPr>
            </w:pPr>
          </w:p>
        </w:tc>
      </w:tr>
    </w:tbl>
    <w:p w14:paraId="7FD6CB71" w14:textId="77777777" w:rsidR="00AA6218" w:rsidRDefault="00AA6218" w:rsidP="00AA6218">
      <w:pPr>
        <w:pStyle w:val="Heading2"/>
        <w:rPr>
          <w:sz w:val="24"/>
          <w:szCs w:val="24"/>
        </w:rPr>
      </w:pPr>
      <w:r>
        <w:rPr>
          <w:sz w:val="24"/>
          <w:szCs w:val="24"/>
        </w:rPr>
        <w:t>Total offset savings</w:t>
      </w:r>
    </w:p>
    <w:tbl>
      <w:tblPr>
        <w:tblStyle w:val="TableGrid"/>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76"/>
        <w:gridCol w:w="1418"/>
        <w:gridCol w:w="5386"/>
      </w:tblGrid>
      <w:tr w:rsidR="00AA6218" w:rsidRPr="003112C7" w14:paraId="727B671B" w14:textId="77777777" w:rsidTr="00611D39">
        <w:trPr>
          <w:cantSplit/>
          <w:tblHeader/>
        </w:trPr>
        <w:tc>
          <w:tcPr>
            <w:tcW w:w="2376" w:type="dxa"/>
            <w:tcBorders>
              <w:top w:val="single" w:sz="8" w:space="0" w:color="FFFFFF"/>
              <w:left w:val="single" w:sz="8" w:space="0" w:color="FFFFFF"/>
              <w:bottom w:val="single" w:sz="8" w:space="0" w:color="FFFFFF"/>
              <w:right w:val="single" w:sz="8" w:space="0" w:color="FFFFFF"/>
            </w:tcBorders>
            <w:shd w:val="clear" w:color="auto" w:fill="007398"/>
            <w:hideMark/>
          </w:tcPr>
          <w:p w14:paraId="6E47B2D2" w14:textId="77777777" w:rsidR="00AA6218" w:rsidRDefault="00AA6218" w:rsidP="00611D39">
            <w:pPr>
              <w:spacing w:after="120"/>
              <w:rPr>
                <w:rFonts w:ascii="Times New Roman" w:hAnsi="Times New Roman"/>
                <w:b/>
                <w:color w:val="FFFFFF"/>
                <w:sz w:val="24"/>
                <w:szCs w:val="24"/>
              </w:rPr>
            </w:pPr>
            <w:r>
              <w:rPr>
                <w:rFonts w:ascii="Times New Roman" w:hAnsi="Times New Roman"/>
                <w:b/>
                <w:color w:val="FFFFFF"/>
                <w:sz w:val="24"/>
              </w:rPr>
              <w:t xml:space="preserve">Total annualised offset savings </w:t>
            </w:r>
          </w:p>
        </w:tc>
        <w:tc>
          <w:tcPr>
            <w:tcW w:w="1418" w:type="dxa"/>
            <w:tcBorders>
              <w:top w:val="single" w:sz="8" w:space="0" w:color="FFFFFF"/>
              <w:left w:val="single" w:sz="8" w:space="0" w:color="FFFFFF"/>
              <w:bottom w:val="single" w:sz="8" w:space="0" w:color="FFFFFF"/>
              <w:right w:val="single" w:sz="8" w:space="0" w:color="FFFFFF"/>
            </w:tcBorders>
            <w:shd w:val="clear" w:color="auto" w:fill="007398"/>
            <w:hideMark/>
          </w:tcPr>
          <w:p w14:paraId="4FA41D65" w14:textId="77777777" w:rsidR="00AA6218" w:rsidRDefault="00AA6218" w:rsidP="00611D39">
            <w:pPr>
              <w:rPr>
                <w:rFonts w:ascii="Times New Roman" w:hAnsi="Times New Roman"/>
                <w:b/>
                <w:color w:val="FFFFFF"/>
                <w:sz w:val="24"/>
                <w:szCs w:val="24"/>
              </w:rPr>
            </w:pPr>
            <w:r>
              <w:rPr>
                <w:rFonts w:ascii="Times New Roman" w:hAnsi="Times New Roman"/>
                <w:b/>
                <w:color w:val="FFFFFF"/>
                <w:sz w:val="24"/>
              </w:rPr>
              <w:t>$2,590,000</w:t>
            </w:r>
          </w:p>
        </w:tc>
        <w:tc>
          <w:tcPr>
            <w:tcW w:w="5386" w:type="dxa"/>
            <w:tcBorders>
              <w:top w:val="single" w:sz="8" w:space="0" w:color="FFFFFF"/>
              <w:left w:val="single" w:sz="8" w:space="0" w:color="FFFFFF"/>
              <w:bottom w:val="single" w:sz="8" w:space="0" w:color="FFFFFF"/>
              <w:right w:val="single" w:sz="8" w:space="0" w:color="FFFFFF"/>
            </w:tcBorders>
            <w:shd w:val="clear" w:color="auto" w:fill="007398"/>
            <w:hideMark/>
          </w:tcPr>
          <w:p w14:paraId="66089650" w14:textId="77777777" w:rsidR="00AA6218" w:rsidRDefault="00AA6218" w:rsidP="00611D39">
            <w:pPr>
              <w:spacing w:after="120"/>
              <w:rPr>
                <w:rFonts w:ascii="Times New Roman" w:hAnsi="Times New Roman"/>
                <w:b/>
                <w:color w:val="FFFFFF"/>
                <w:sz w:val="24"/>
                <w:szCs w:val="24"/>
              </w:rPr>
            </w:pPr>
            <w:r>
              <w:rPr>
                <w:rFonts w:ascii="Times New Roman" w:hAnsi="Times New Roman"/>
                <w:b/>
                <w:color w:val="FFFFFF"/>
                <w:sz w:val="24"/>
              </w:rPr>
              <w:t xml:space="preserve">Average savings over 10 years for business. </w:t>
            </w:r>
          </w:p>
        </w:tc>
      </w:tr>
    </w:tbl>
    <w:p w14:paraId="032F742B" w14:textId="77777777" w:rsidR="00AA6218" w:rsidRDefault="00AA6218" w:rsidP="00AA6218">
      <w:pPr>
        <w:autoSpaceDE w:val="0"/>
        <w:autoSpaceDN w:val="0"/>
        <w:adjustRightInd w:val="0"/>
        <w:spacing w:before="240"/>
        <w:rPr>
          <w:rFonts w:ascii="Times New Roman" w:hAnsi="Times New Roman"/>
          <w:sz w:val="24"/>
        </w:rPr>
      </w:pPr>
    </w:p>
    <w:p w14:paraId="4E8844C0" w14:textId="77777777" w:rsidR="00AA6218" w:rsidRPr="007E2D73" w:rsidRDefault="00AA6218" w:rsidP="00AA6218">
      <w:pPr>
        <w:pStyle w:val="Paragraph"/>
        <w:rPr>
          <w:b/>
          <w:sz w:val="26"/>
          <w:szCs w:val="26"/>
        </w:rPr>
      </w:pPr>
      <w:r w:rsidRPr="007E2D73">
        <w:rPr>
          <w:b/>
          <w:sz w:val="26"/>
          <w:szCs w:val="26"/>
        </w:rPr>
        <w:t>Consultation</w:t>
      </w:r>
    </w:p>
    <w:p w14:paraId="5CC25D41" w14:textId="77777777" w:rsidR="00AA6218" w:rsidRDefault="00AA6218" w:rsidP="00AA6218">
      <w:pPr>
        <w:rPr>
          <w:rFonts w:ascii="Times New Roman" w:hAnsi="Times New Roman"/>
          <w:sz w:val="24"/>
        </w:rPr>
      </w:pPr>
    </w:p>
    <w:p w14:paraId="6EF1D658" w14:textId="7B9B48D0" w:rsidR="00285066" w:rsidRPr="00285066" w:rsidRDefault="00AA6218" w:rsidP="00285066">
      <w:pPr>
        <w:rPr>
          <w:rFonts w:ascii="Times New Roman" w:hAnsi="Times New Roman"/>
          <w:sz w:val="24"/>
        </w:rPr>
      </w:pPr>
      <w:r>
        <w:rPr>
          <w:rFonts w:ascii="Times New Roman" w:hAnsi="Times New Roman"/>
          <w:sz w:val="24"/>
        </w:rPr>
        <w:t>The amendment</w:t>
      </w:r>
      <w:r w:rsidR="00B414A6">
        <w:rPr>
          <w:rFonts w:ascii="Times New Roman" w:hAnsi="Times New Roman"/>
          <w:sz w:val="24"/>
        </w:rPr>
        <w:t>s</w:t>
      </w:r>
      <w:r>
        <w:rPr>
          <w:rFonts w:ascii="Times New Roman" w:hAnsi="Times New Roman"/>
          <w:sz w:val="24"/>
        </w:rPr>
        <w:t xml:space="preserve"> to Chapter 22 w</w:t>
      </w:r>
      <w:r w:rsidR="00B414A6">
        <w:rPr>
          <w:rFonts w:ascii="Times New Roman" w:hAnsi="Times New Roman"/>
          <w:sz w:val="24"/>
        </w:rPr>
        <w:t>ere</w:t>
      </w:r>
      <w:r>
        <w:rPr>
          <w:rFonts w:ascii="Times New Roman" w:hAnsi="Times New Roman"/>
          <w:sz w:val="24"/>
        </w:rPr>
        <w:t xml:space="preserve"> published on the AUSTRAC website from </w:t>
      </w:r>
      <w:r w:rsidRPr="00EC638E">
        <w:rPr>
          <w:rFonts w:ascii="Times New Roman" w:hAnsi="Times New Roman"/>
          <w:sz w:val="24"/>
        </w:rPr>
        <w:t>10 May 2016 to 7 June 2016</w:t>
      </w:r>
      <w:r w:rsidR="00EF3F73">
        <w:rPr>
          <w:rFonts w:ascii="Times New Roman" w:hAnsi="Times New Roman"/>
          <w:sz w:val="24"/>
        </w:rPr>
        <w:t>.</w:t>
      </w:r>
      <w:r w:rsidR="00285066">
        <w:rPr>
          <w:rFonts w:ascii="Times New Roman" w:hAnsi="Times New Roman"/>
          <w:sz w:val="24"/>
        </w:rPr>
        <w:t xml:space="preserve">  </w:t>
      </w:r>
      <w:r w:rsidR="00285066" w:rsidRPr="00285066">
        <w:rPr>
          <w:rFonts w:ascii="Times New Roman" w:hAnsi="Times New Roman"/>
          <w:sz w:val="24"/>
        </w:rPr>
        <w:t xml:space="preserve">There was subsequent extensive liaison and consultation </w:t>
      </w:r>
      <w:r w:rsidR="00B414A6">
        <w:rPr>
          <w:rFonts w:ascii="Times New Roman" w:hAnsi="Times New Roman"/>
          <w:sz w:val="24"/>
        </w:rPr>
        <w:t xml:space="preserve">by AUSTRAC </w:t>
      </w:r>
      <w:r w:rsidR="00285066" w:rsidRPr="00285066">
        <w:rPr>
          <w:rFonts w:ascii="Times New Roman" w:hAnsi="Times New Roman"/>
          <w:sz w:val="24"/>
        </w:rPr>
        <w:t xml:space="preserve">with </w:t>
      </w:r>
      <w:r w:rsidR="00B414A6">
        <w:rPr>
          <w:rFonts w:ascii="Times New Roman" w:hAnsi="Times New Roman"/>
          <w:sz w:val="24"/>
        </w:rPr>
        <w:t>AFMA</w:t>
      </w:r>
      <w:r w:rsidR="00285066" w:rsidRPr="00285066">
        <w:rPr>
          <w:rFonts w:ascii="Times New Roman" w:hAnsi="Times New Roman"/>
          <w:sz w:val="24"/>
        </w:rPr>
        <w:t xml:space="preserve"> (who represent many of the reporting entities affected by the exemption) in finalising the amendments following the public consultation period. </w:t>
      </w:r>
    </w:p>
    <w:p w14:paraId="07B57DA1" w14:textId="77777777" w:rsidR="00AA6218" w:rsidRDefault="00AA6218" w:rsidP="00AA6218">
      <w:pPr>
        <w:spacing w:before="240"/>
        <w:rPr>
          <w:rFonts w:ascii="Times New Roman" w:hAnsi="Times New Roman"/>
          <w:sz w:val="24"/>
        </w:rPr>
      </w:pPr>
      <w:r w:rsidRPr="004062DD">
        <w:rPr>
          <w:rFonts w:ascii="Times New Roman" w:hAnsi="Times New Roman"/>
          <w:sz w:val="24"/>
        </w:rPr>
        <w:t>AUSTRAC has consulted with the Australian Taxation Office, the Department of Immigration and Border Protection, the Australian Federal Police, the Australian Criminal Intelligence Commission and the Office of the Australian Information Commissioner.</w:t>
      </w:r>
    </w:p>
    <w:p w14:paraId="58A13C23" w14:textId="77777777" w:rsidR="00AA6218" w:rsidRPr="007E2D73" w:rsidRDefault="00AA6218" w:rsidP="00AA6218">
      <w:pPr>
        <w:spacing w:before="240"/>
        <w:rPr>
          <w:rFonts w:ascii="Times New Roman" w:hAnsi="Times New Roman"/>
          <w:b/>
          <w:sz w:val="26"/>
          <w:szCs w:val="26"/>
        </w:rPr>
      </w:pPr>
      <w:r w:rsidRPr="007E2D73">
        <w:rPr>
          <w:rFonts w:ascii="Times New Roman" w:hAnsi="Times New Roman"/>
          <w:b/>
          <w:sz w:val="26"/>
          <w:szCs w:val="26"/>
        </w:rPr>
        <w:lastRenderedPageBreak/>
        <w:t>Ongoing consultation</w:t>
      </w:r>
    </w:p>
    <w:p w14:paraId="3C8D02D3" w14:textId="6C0453A5" w:rsidR="00B414A6" w:rsidRDefault="00AA6218" w:rsidP="00AA6218">
      <w:pPr>
        <w:spacing w:before="240"/>
        <w:rPr>
          <w:rFonts w:ascii="Times New Roman" w:hAnsi="Times New Roman"/>
          <w:sz w:val="24"/>
        </w:rPr>
      </w:pPr>
      <w:r>
        <w:rPr>
          <w:rFonts w:ascii="Times New Roman" w:hAnsi="Times New Roman"/>
          <w:sz w:val="24"/>
        </w:rPr>
        <w:t>AUSTRAC will conduct ongoing consultation with stakeholders on the operation of these AML/CTF Rules</w:t>
      </w:r>
      <w:r w:rsidRPr="00EE3DCD">
        <w:rPr>
          <w:rFonts w:ascii="Times New Roman" w:hAnsi="Times New Roman"/>
          <w:sz w:val="24"/>
        </w:rPr>
        <w:t>.</w:t>
      </w:r>
      <w:r>
        <w:rPr>
          <w:rFonts w:ascii="Times New Roman" w:hAnsi="Times New Roman"/>
          <w:sz w:val="24"/>
        </w:rPr>
        <w:t xml:space="preserve"> </w:t>
      </w:r>
    </w:p>
    <w:p w14:paraId="6E4A1ECD" w14:textId="7D09C69E" w:rsidR="00B414A6" w:rsidRDefault="00B414A6" w:rsidP="00AA6218">
      <w:pPr>
        <w:spacing w:before="240"/>
        <w:rPr>
          <w:rFonts w:ascii="Times New Roman" w:hAnsi="Times New Roman"/>
          <w:sz w:val="24"/>
        </w:rPr>
      </w:pPr>
      <w:r>
        <w:rPr>
          <w:rFonts w:ascii="Times New Roman" w:hAnsi="Times New Roman"/>
          <w:sz w:val="24"/>
        </w:rPr>
        <w:br w:type="page"/>
      </w:r>
    </w:p>
    <w:p w14:paraId="3D460995" w14:textId="0F453D37"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t>Statement of Compatibility with Human Rights</w:t>
      </w:r>
    </w:p>
    <w:p w14:paraId="64CD9967" w14:textId="77777777" w:rsidR="00304398" w:rsidRPr="00CD4FA5" w:rsidRDefault="00304398"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364C9024"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 xml:space="preserve">Anti-Money Laundering and Counter-Terrorism Financing Rules Amendment Instrument 2017 (No. </w:t>
      </w:r>
      <w:r w:rsidR="0083420B">
        <w:rPr>
          <w:rFonts w:ascii="Times New Roman" w:hAnsi="Times New Roman"/>
          <w:b/>
          <w:i/>
          <w:sz w:val="24"/>
        </w:rPr>
        <w:t>2</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74B17EEF" w14:textId="77777777" w:rsidR="00A247CD" w:rsidRPr="00CD4FA5" w:rsidRDefault="00A247CD"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p>
    <w:p w14:paraId="5C80E73E" w14:textId="29C35FB1" w:rsidR="00CD4FA5" w:rsidRPr="00CD4FA5" w:rsidRDefault="00CD4FA5" w:rsidP="00A247CD">
      <w:pPr>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sidRPr="00CD4FA5">
        <w:rPr>
          <w:rFonts w:ascii="Times New Roman" w:hAnsi="Times New Roman"/>
          <w:sz w:val="24"/>
        </w:rPr>
        <w:t xml:space="preserve">The Instrument amends Chapter </w:t>
      </w:r>
      <w:r w:rsidR="0083420B">
        <w:rPr>
          <w:rFonts w:ascii="Times New Roman" w:hAnsi="Times New Roman"/>
          <w:sz w:val="24"/>
        </w:rPr>
        <w:t>22</w:t>
      </w:r>
      <w:r w:rsidR="0083420B" w:rsidRPr="00CD4FA5">
        <w:rPr>
          <w:rFonts w:ascii="Times New Roman" w:hAnsi="Times New Roman"/>
          <w:sz w:val="24"/>
        </w:rPr>
        <w:t xml:space="preserve"> </w:t>
      </w:r>
      <w:r w:rsidR="0083420B">
        <w:rPr>
          <w:rFonts w:ascii="Times New Roman" w:hAnsi="Times New Roman"/>
          <w:sz w:val="24"/>
        </w:rPr>
        <w:t xml:space="preserve">to </w:t>
      </w:r>
      <w:r w:rsidR="0083420B" w:rsidRPr="00A72603">
        <w:rPr>
          <w:rFonts w:ascii="Times New Roman" w:eastAsia="MS Mincho" w:hAnsi="Times New Roman"/>
          <w:sz w:val="24"/>
        </w:rPr>
        <w:t>broaden the class of entities entitled to receive the benefit of the exemption and to broaden the scope of the underlying commodities or products covered by the exemption</w:t>
      </w:r>
      <w:r w:rsidR="0083420B">
        <w:rPr>
          <w:rFonts w:ascii="Times New Roman" w:hAnsi="Times New Roman"/>
          <w:sz w:val="24"/>
        </w:rPr>
        <w:t>.</w:t>
      </w:r>
    </w:p>
    <w:p w14:paraId="1B9B14F4"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6610D07A" w14:textId="273DCBAD"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552573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3B829DFD" w:rsidR="00CD4FA5" w:rsidRPr="00CD4FA5" w:rsidRDefault="00906E18"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Gavin McCairns</w:t>
      </w:r>
    </w:p>
    <w:p w14:paraId="5A24610B" w14:textId="21C3B420" w:rsidR="00CD4FA5" w:rsidRPr="00CD4FA5" w:rsidRDefault="00543FD3"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Acting </w:t>
      </w:r>
      <w:r w:rsidR="00CD4FA5" w:rsidRPr="00CD4FA5">
        <w:rPr>
          <w:rFonts w:ascii="Times New Roman" w:hAnsi="Times New Roman"/>
          <w:sz w:val="24"/>
        </w:rPr>
        <w:t>Chief Executive Officer</w:t>
      </w:r>
    </w:p>
    <w:p w14:paraId="40ABD20A" w14:textId="77777777"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sectPr w:rsidR="00CD4FA5" w:rsidRPr="00CD4FA5" w:rsidSect="0091656F">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7F4">
      <w:rPr>
        <w:rStyle w:val="PageNumber"/>
        <w:noProof/>
      </w:rPr>
      <w:t>6</w: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145">
      <w:rPr>
        <w:rStyle w:val="PageNumber"/>
        <w:noProof/>
      </w:rPr>
      <w:t>2</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2">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4">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1">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2"/>
  </w:num>
  <w:num w:numId="3">
    <w:abstractNumId w:val="1"/>
  </w:num>
  <w:num w:numId="4">
    <w:abstractNumId w:val="29"/>
  </w:num>
  <w:num w:numId="5">
    <w:abstractNumId w:val="38"/>
  </w:num>
  <w:num w:numId="6">
    <w:abstractNumId w:val="26"/>
  </w:num>
  <w:num w:numId="7">
    <w:abstractNumId w:val="43"/>
  </w:num>
  <w:num w:numId="8">
    <w:abstractNumId w:val="36"/>
  </w:num>
  <w:num w:numId="9">
    <w:abstractNumId w:val="13"/>
  </w:num>
  <w:num w:numId="10">
    <w:abstractNumId w:val="31"/>
  </w:num>
  <w:num w:numId="11">
    <w:abstractNumId w:val="19"/>
  </w:num>
  <w:num w:numId="12">
    <w:abstractNumId w:val="34"/>
  </w:num>
  <w:num w:numId="13">
    <w:abstractNumId w:val="10"/>
  </w:num>
  <w:num w:numId="14">
    <w:abstractNumId w:val="3"/>
  </w:num>
  <w:num w:numId="15">
    <w:abstractNumId w:val="6"/>
  </w:num>
  <w:num w:numId="16">
    <w:abstractNumId w:val="15"/>
  </w:num>
  <w:num w:numId="17">
    <w:abstractNumId w:val="37"/>
  </w:num>
  <w:num w:numId="18">
    <w:abstractNumId w:val="5"/>
  </w:num>
  <w:num w:numId="19">
    <w:abstractNumId w:val="0"/>
  </w:num>
  <w:num w:numId="20">
    <w:abstractNumId w:val="39"/>
  </w:num>
  <w:num w:numId="21">
    <w:abstractNumId w:val="27"/>
  </w:num>
  <w:num w:numId="22">
    <w:abstractNumId w:val="20"/>
  </w:num>
  <w:num w:numId="23">
    <w:abstractNumId w:val="8"/>
  </w:num>
  <w:num w:numId="24">
    <w:abstractNumId w:val="18"/>
  </w:num>
  <w:num w:numId="25">
    <w:abstractNumId w:val="41"/>
  </w:num>
  <w:num w:numId="26">
    <w:abstractNumId w:val="23"/>
  </w:num>
  <w:num w:numId="27">
    <w:abstractNumId w:val="24"/>
  </w:num>
  <w:num w:numId="28">
    <w:abstractNumId w:val="2"/>
  </w:num>
  <w:num w:numId="29">
    <w:abstractNumId w:val="28"/>
  </w:num>
  <w:num w:numId="30">
    <w:abstractNumId w:val="16"/>
  </w:num>
  <w:num w:numId="31">
    <w:abstractNumId w:val="40"/>
  </w:num>
  <w:num w:numId="32">
    <w:abstractNumId w:val="11"/>
  </w:num>
  <w:num w:numId="33">
    <w:abstractNumId w:val="4"/>
  </w:num>
  <w:num w:numId="34">
    <w:abstractNumId w:val="35"/>
  </w:num>
  <w:num w:numId="35">
    <w:abstractNumId w:val="17"/>
  </w:num>
  <w:num w:numId="36">
    <w:abstractNumId w:val="44"/>
  </w:num>
  <w:num w:numId="37">
    <w:abstractNumId w:val="42"/>
  </w:num>
  <w:num w:numId="38">
    <w:abstractNumId w:val="9"/>
  </w:num>
  <w:num w:numId="39">
    <w:abstractNumId w:val="12"/>
  </w:num>
  <w:num w:numId="40">
    <w:abstractNumId w:val="33"/>
  </w:num>
  <w:num w:numId="41">
    <w:abstractNumId w:val="22"/>
  </w:num>
  <w:num w:numId="42">
    <w:abstractNumId w:val="21"/>
  </w:num>
  <w:num w:numId="43">
    <w:abstractNumId w:val="7"/>
  </w:num>
  <w:num w:numId="44">
    <w:abstractNumId w:val="3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58F"/>
    <w:rsid w:val="00011BFD"/>
    <w:rsid w:val="00013686"/>
    <w:rsid w:val="000222A4"/>
    <w:rsid w:val="00024C66"/>
    <w:rsid w:val="00027747"/>
    <w:rsid w:val="00033B8D"/>
    <w:rsid w:val="00035795"/>
    <w:rsid w:val="000358DA"/>
    <w:rsid w:val="00037327"/>
    <w:rsid w:val="000430D4"/>
    <w:rsid w:val="00050CE5"/>
    <w:rsid w:val="00051713"/>
    <w:rsid w:val="00053A7A"/>
    <w:rsid w:val="000572EA"/>
    <w:rsid w:val="00057C98"/>
    <w:rsid w:val="0006328D"/>
    <w:rsid w:val="00072759"/>
    <w:rsid w:val="00075472"/>
    <w:rsid w:val="0008191B"/>
    <w:rsid w:val="00084145"/>
    <w:rsid w:val="000926BD"/>
    <w:rsid w:val="00092891"/>
    <w:rsid w:val="0009363E"/>
    <w:rsid w:val="000942AF"/>
    <w:rsid w:val="000A0109"/>
    <w:rsid w:val="000A1B36"/>
    <w:rsid w:val="000A25BE"/>
    <w:rsid w:val="000A448C"/>
    <w:rsid w:val="000A71FF"/>
    <w:rsid w:val="000B07C2"/>
    <w:rsid w:val="000B3D22"/>
    <w:rsid w:val="000B4EE1"/>
    <w:rsid w:val="000B7D16"/>
    <w:rsid w:val="000C4CBB"/>
    <w:rsid w:val="000C4DEC"/>
    <w:rsid w:val="000C5E2A"/>
    <w:rsid w:val="000D0E25"/>
    <w:rsid w:val="000D13F2"/>
    <w:rsid w:val="000D143A"/>
    <w:rsid w:val="000D180A"/>
    <w:rsid w:val="000D1DA2"/>
    <w:rsid w:val="000D261E"/>
    <w:rsid w:val="000D4F84"/>
    <w:rsid w:val="000D658D"/>
    <w:rsid w:val="000E63EE"/>
    <w:rsid w:val="000F0AA0"/>
    <w:rsid w:val="00100A29"/>
    <w:rsid w:val="00100E9D"/>
    <w:rsid w:val="00101CDF"/>
    <w:rsid w:val="0010234E"/>
    <w:rsid w:val="0010649D"/>
    <w:rsid w:val="001138C2"/>
    <w:rsid w:val="00115CA1"/>
    <w:rsid w:val="001161BA"/>
    <w:rsid w:val="001212F7"/>
    <w:rsid w:val="00121FC3"/>
    <w:rsid w:val="00122D9B"/>
    <w:rsid w:val="00133529"/>
    <w:rsid w:val="0013429C"/>
    <w:rsid w:val="00134CA6"/>
    <w:rsid w:val="00142983"/>
    <w:rsid w:val="00143BAA"/>
    <w:rsid w:val="00146670"/>
    <w:rsid w:val="00146C29"/>
    <w:rsid w:val="001475BE"/>
    <w:rsid w:val="00151851"/>
    <w:rsid w:val="00151CE0"/>
    <w:rsid w:val="0015491C"/>
    <w:rsid w:val="00156041"/>
    <w:rsid w:val="0015621A"/>
    <w:rsid w:val="00156C39"/>
    <w:rsid w:val="00160041"/>
    <w:rsid w:val="001602B8"/>
    <w:rsid w:val="00162CC7"/>
    <w:rsid w:val="001663D5"/>
    <w:rsid w:val="0017034F"/>
    <w:rsid w:val="00190C40"/>
    <w:rsid w:val="00193377"/>
    <w:rsid w:val="001941DA"/>
    <w:rsid w:val="00194C14"/>
    <w:rsid w:val="001970B1"/>
    <w:rsid w:val="00197E8A"/>
    <w:rsid w:val="001A58BA"/>
    <w:rsid w:val="001A63E8"/>
    <w:rsid w:val="001B005E"/>
    <w:rsid w:val="001B3A61"/>
    <w:rsid w:val="001B679A"/>
    <w:rsid w:val="001B6FCC"/>
    <w:rsid w:val="001B7DCC"/>
    <w:rsid w:val="001C2371"/>
    <w:rsid w:val="001C37C9"/>
    <w:rsid w:val="001C57DA"/>
    <w:rsid w:val="001C5B36"/>
    <w:rsid w:val="001C60F1"/>
    <w:rsid w:val="001C6C6F"/>
    <w:rsid w:val="001D3034"/>
    <w:rsid w:val="001D3559"/>
    <w:rsid w:val="001D3968"/>
    <w:rsid w:val="001D3C6E"/>
    <w:rsid w:val="001D5E25"/>
    <w:rsid w:val="001D6003"/>
    <w:rsid w:val="001E005B"/>
    <w:rsid w:val="001E23BF"/>
    <w:rsid w:val="001E2728"/>
    <w:rsid w:val="001E4D8A"/>
    <w:rsid w:val="001F108A"/>
    <w:rsid w:val="001F396D"/>
    <w:rsid w:val="0020292C"/>
    <w:rsid w:val="00205D35"/>
    <w:rsid w:val="0020702F"/>
    <w:rsid w:val="00207A4E"/>
    <w:rsid w:val="002222BA"/>
    <w:rsid w:val="00231302"/>
    <w:rsid w:val="00232C59"/>
    <w:rsid w:val="00234EE9"/>
    <w:rsid w:val="002358FE"/>
    <w:rsid w:val="00236988"/>
    <w:rsid w:val="00237735"/>
    <w:rsid w:val="00241858"/>
    <w:rsid w:val="00243298"/>
    <w:rsid w:val="00243C97"/>
    <w:rsid w:val="00244D95"/>
    <w:rsid w:val="00246666"/>
    <w:rsid w:val="00247043"/>
    <w:rsid w:val="002475AC"/>
    <w:rsid w:val="002526C4"/>
    <w:rsid w:val="00252A86"/>
    <w:rsid w:val="0025603C"/>
    <w:rsid w:val="002570AB"/>
    <w:rsid w:val="00261776"/>
    <w:rsid w:val="002632D9"/>
    <w:rsid w:val="00263EDA"/>
    <w:rsid w:val="002700FC"/>
    <w:rsid w:val="00270F89"/>
    <w:rsid w:val="00272368"/>
    <w:rsid w:val="002748A5"/>
    <w:rsid w:val="00276CC0"/>
    <w:rsid w:val="00285066"/>
    <w:rsid w:val="00285882"/>
    <w:rsid w:val="00291994"/>
    <w:rsid w:val="00292115"/>
    <w:rsid w:val="002948D1"/>
    <w:rsid w:val="0029686B"/>
    <w:rsid w:val="002A02FC"/>
    <w:rsid w:val="002A0A5F"/>
    <w:rsid w:val="002A5004"/>
    <w:rsid w:val="002A6852"/>
    <w:rsid w:val="002A6B5F"/>
    <w:rsid w:val="002B0655"/>
    <w:rsid w:val="002B0D2D"/>
    <w:rsid w:val="002B4D5C"/>
    <w:rsid w:val="002C10AE"/>
    <w:rsid w:val="002C2936"/>
    <w:rsid w:val="002C3BD6"/>
    <w:rsid w:val="002C75DD"/>
    <w:rsid w:val="002C76AE"/>
    <w:rsid w:val="002D123A"/>
    <w:rsid w:val="002D18EA"/>
    <w:rsid w:val="002D67A4"/>
    <w:rsid w:val="002D7A9B"/>
    <w:rsid w:val="002E74AC"/>
    <w:rsid w:val="002F4E2A"/>
    <w:rsid w:val="003017CC"/>
    <w:rsid w:val="00303AFD"/>
    <w:rsid w:val="00304398"/>
    <w:rsid w:val="0030571B"/>
    <w:rsid w:val="00306189"/>
    <w:rsid w:val="003112C7"/>
    <w:rsid w:val="00313FAF"/>
    <w:rsid w:val="00316294"/>
    <w:rsid w:val="00322DBF"/>
    <w:rsid w:val="00325102"/>
    <w:rsid w:val="00326047"/>
    <w:rsid w:val="00330393"/>
    <w:rsid w:val="003340DB"/>
    <w:rsid w:val="00344E15"/>
    <w:rsid w:val="00345CA1"/>
    <w:rsid w:val="003568F8"/>
    <w:rsid w:val="00363F21"/>
    <w:rsid w:val="00365FD7"/>
    <w:rsid w:val="003676D9"/>
    <w:rsid w:val="003747EE"/>
    <w:rsid w:val="003911F4"/>
    <w:rsid w:val="003912AD"/>
    <w:rsid w:val="003932F4"/>
    <w:rsid w:val="00393952"/>
    <w:rsid w:val="00393D2A"/>
    <w:rsid w:val="003A1795"/>
    <w:rsid w:val="003A3B0B"/>
    <w:rsid w:val="003A49E8"/>
    <w:rsid w:val="003A73B8"/>
    <w:rsid w:val="003B2DDD"/>
    <w:rsid w:val="003B4F88"/>
    <w:rsid w:val="003B7524"/>
    <w:rsid w:val="003C0500"/>
    <w:rsid w:val="003C43B6"/>
    <w:rsid w:val="003C57E7"/>
    <w:rsid w:val="003D1772"/>
    <w:rsid w:val="003D672A"/>
    <w:rsid w:val="003D7390"/>
    <w:rsid w:val="003D7A85"/>
    <w:rsid w:val="003E07F4"/>
    <w:rsid w:val="003E13D0"/>
    <w:rsid w:val="003E6AA6"/>
    <w:rsid w:val="003F12F1"/>
    <w:rsid w:val="003F166D"/>
    <w:rsid w:val="003F16C9"/>
    <w:rsid w:val="003F250A"/>
    <w:rsid w:val="003F2F59"/>
    <w:rsid w:val="003F5ADD"/>
    <w:rsid w:val="003F623E"/>
    <w:rsid w:val="00402D9E"/>
    <w:rsid w:val="0040415D"/>
    <w:rsid w:val="00404190"/>
    <w:rsid w:val="0040525D"/>
    <w:rsid w:val="004062DD"/>
    <w:rsid w:val="004065F6"/>
    <w:rsid w:val="00412303"/>
    <w:rsid w:val="004132BB"/>
    <w:rsid w:val="00413391"/>
    <w:rsid w:val="00413620"/>
    <w:rsid w:val="0041386C"/>
    <w:rsid w:val="0041387C"/>
    <w:rsid w:val="004171CA"/>
    <w:rsid w:val="0042132D"/>
    <w:rsid w:val="004253AB"/>
    <w:rsid w:val="004255A4"/>
    <w:rsid w:val="00426515"/>
    <w:rsid w:val="00430DA3"/>
    <w:rsid w:val="00430E99"/>
    <w:rsid w:val="00431575"/>
    <w:rsid w:val="004321FD"/>
    <w:rsid w:val="00433B24"/>
    <w:rsid w:val="00433C9D"/>
    <w:rsid w:val="0043626D"/>
    <w:rsid w:val="004379C6"/>
    <w:rsid w:val="00445B35"/>
    <w:rsid w:val="004479B7"/>
    <w:rsid w:val="004521B8"/>
    <w:rsid w:val="004571E2"/>
    <w:rsid w:val="00460BA8"/>
    <w:rsid w:val="00460E86"/>
    <w:rsid w:val="004619BB"/>
    <w:rsid w:val="004661D5"/>
    <w:rsid w:val="00474718"/>
    <w:rsid w:val="00474DE4"/>
    <w:rsid w:val="004760F8"/>
    <w:rsid w:val="0048013E"/>
    <w:rsid w:val="00482B80"/>
    <w:rsid w:val="004849C5"/>
    <w:rsid w:val="00484BF4"/>
    <w:rsid w:val="00486E49"/>
    <w:rsid w:val="004878CA"/>
    <w:rsid w:val="0049116B"/>
    <w:rsid w:val="0049443F"/>
    <w:rsid w:val="004A3E59"/>
    <w:rsid w:val="004A49A4"/>
    <w:rsid w:val="004A4CD9"/>
    <w:rsid w:val="004B06CC"/>
    <w:rsid w:val="004B06F0"/>
    <w:rsid w:val="004B17CA"/>
    <w:rsid w:val="004B231F"/>
    <w:rsid w:val="004B3D32"/>
    <w:rsid w:val="004C1454"/>
    <w:rsid w:val="004D1BEF"/>
    <w:rsid w:val="004D29B8"/>
    <w:rsid w:val="004D3937"/>
    <w:rsid w:val="004D4B9B"/>
    <w:rsid w:val="004D6131"/>
    <w:rsid w:val="004F566E"/>
    <w:rsid w:val="004F6865"/>
    <w:rsid w:val="00504315"/>
    <w:rsid w:val="005073C6"/>
    <w:rsid w:val="00507EC4"/>
    <w:rsid w:val="005107A4"/>
    <w:rsid w:val="005114F2"/>
    <w:rsid w:val="005117CC"/>
    <w:rsid w:val="00512DE8"/>
    <w:rsid w:val="00514F91"/>
    <w:rsid w:val="00515AE5"/>
    <w:rsid w:val="00515F66"/>
    <w:rsid w:val="00517752"/>
    <w:rsid w:val="00521F8E"/>
    <w:rsid w:val="0052299B"/>
    <w:rsid w:val="00524990"/>
    <w:rsid w:val="00525E3E"/>
    <w:rsid w:val="00527C66"/>
    <w:rsid w:val="005300D6"/>
    <w:rsid w:val="00531FCB"/>
    <w:rsid w:val="005352F5"/>
    <w:rsid w:val="00535FD4"/>
    <w:rsid w:val="0054012A"/>
    <w:rsid w:val="00542129"/>
    <w:rsid w:val="00543C45"/>
    <w:rsid w:val="00543FD3"/>
    <w:rsid w:val="005467A0"/>
    <w:rsid w:val="005472C1"/>
    <w:rsid w:val="005474A0"/>
    <w:rsid w:val="005516F3"/>
    <w:rsid w:val="005522D5"/>
    <w:rsid w:val="00555A1B"/>
    <w:rsid w:val="0055701C"/>
    <w:rsid w:val="00560220"/>
    <w:rsid w:val="0056172E"/>
    <w:rsid w:val="00565748"/>
    <w:rsid w:val="00570274"/>
    <w:rsid w:val="005723CF"/>
    <w:rsid w:val="00573FB1"/>
    <w:rsid w:val="00575F3B"/>
    <w:rsid w:val="00580BF2"/>
    <w:rsid w:val="00582944"/>
    <w:rsid w:val="0058606F"/>
    <w:rsid w:val="00592027"/>
    <w:rsid w:val="0059487B"/>
    <w:rsid w:val="00596868"/>
    <w:rsid w:val="005A3C8A"/>
    <w:rsid w:val="005A3F83"/>
    <w:rsid w:val="005B0550"/>
    <w:rsid w:val="005B548D"/>
    <w:rsid w:val="005B5AD3"/>
    <w:rsid w:val="005B5D9A"/>
    <w:rsid w:val="005B6807"/>
    <w:rsid w:val="005B69DB"/>
    <w:rsid w:val="005B7452"/>
    <w:rsid w:val="005C0442"/>
    <w:rsid w:val="005C0E87"/>
    <w:rsid w:val="005C51C8"/>
    <w:rsid w:val="005D1AAB"/>
    <w:rsid w:val="005D51C8"/>
    <w:rsid w:val="005D58B2"/>
    <w:rsid w:val="005D59E2"/>
    <w:rsid w:val="005D650F"/>
    <w:rsid w:val="005D67E7"/>
    <w:rsid w:val="005E5E7F"/>
    <w:rsid w:val="005E600A"/>
    <w:rsid w:val="005E7F24"/>
    <w:rsid w:val="005F2F3D"/>
    <w:rsid w:val="005F5E52"/>
    <w:rsid w:val="005F5F9C"/>
    <w:rsid w:val="0060028C"/>
    <w:rsid w:val="006032DC"/>
    <w:rsid w:val="00603BC5"/>
    <w:rsid w:val="00604416"/>
    <w:rsid w:val="00605791"/>
    <w:rsid w:val="00607A71"/>
    <w:rsid w:val="00611827"/>
    <w:rsid w:val="00613E6B"/>
    <w:rsid w:val="00617ECA"/>
    <w:rsid w:val="00621D05"/>
    <w:rsid w:val="00624DF2"/>
    <w:rsid w:val="00625479"/>
    <w:rsid w:val="006262A1"/>
    <w:rsid w:val="00626E80"/>
    <w:rsid w:val="00627996"/>
    <w:rsid w:val="00627C0B"/>
    <w:rsid w:val="0063048E"/>
    <w:rsid w:val="00631371"/>
    <w:rsid w:val="006361B8"/>
    <w:rsid w:val="00637851"/>
    <w:rsid w:val="00640C28"/>
    <w:rsid w:val="00642710"/>
    <w:rsid w:val="006474D5"/>
    <w:rsid w:val="00650E63"/>
    <w:rsid w:val="006552E8"/>
    <w:rsid w:val="006568C2"/>
    <w:rsid w:val="00656B01"/>
    <w:rsid w:val="00657A4D"/>
    <w:rsid w:val="006613BC"/>
    <w:rsid w:val="00661BFE"/>
    <w:rsid w:val="00662190"/>
    <w:rsid w:val="006757A9"/>
    <w:rsid w:val="006760CB"/>
    <w:rsid w:val="00685865"/>
    <w:rsid w:val="00685FBE"/>
    <w:rsid w:val="006867FD"/>
    <w:rsid w:val="00686BF3"/>
    <w:rsid w:val="006A0527"/>
    <w:rsid w:val="006A44F1"/>
    <w:rsid w:val="006B1285"/>
    <w:rsid w:val="006B2808"/>
    <w:rsid w:val="006B3A2F"/>
    <w:rsid w:val="006B520D"/>
    <w:rsid w:val="006C1ED7"/>
    <w:rsid w:val="006C3F77"/>
    <w:rsid w:val="006D0503"/>
    <w:rsid w:val="006D1560"/>
    <w:rsid w:val="006E438F"/>
    <w:rsid w:val="006E51E2"/>
    <w:rsid w:val="006E5F4D"/>
    <w:rsid w:val="006F4E28"/>
    <w:rsid w:val="006F5D16"/>
    <w:rsid w:val="0070191D"/>
    <w:rsid w:val="0070277B"/>
    <w:rsid w:val="007030C7"/>
    <w:rsid w:val="00703DE2"/>
    <w:rsid w:val="0070408F"/>
    <w:rsid w:val="00704289"/>
    <w:rsid w:val="00706BE4"/>
    <w:rsid w:val="007102B3"/>
    <w:rsid w:val="007103FF"/>
    <w:rsid w:val="00710EA7"/>
    <w:rsid w:val="00712840"/>
    <w:rsid w:val="00713311"/>
    <w:rsid w:val="00715DED"/>
    <w:rsid w:val="007202F1"/>
    <w:rsid w:val="00720D25"/>
    <w:rsid w:val="00722B4C"/>
    <w:rsid w:val="00722E42"/>
    <w:rsid w:val="00723200"/>
    <w:rsid w:val="00725474"/>
    <w:rsid w:val="00730049"/>
    <w:rsid w:val="00731178"/>
    <w:rsid w:val="00731CAB"/>
    <w:rsid w:val="007350B4"/>
    <w:rsid w:val="00736E51"/>
    <w:rsid w:val="007402D2"/>
    <w:rsid w:val="00740E05"/>
    <w:rsid w:val="00743DDD"/>
    <w:rsid w:val="007442E3"/>
    <w:rsid w:val="00745E6D"/>
    <w:rsid w:val="00746C4A"/>
    <w:rsid w:val="00747409"/>
    <w:rsid w:val="00753E95"/>
    <w:rsid w:val="00766E95"/>
    <w:rsid w:val="00774219"/>
    <w:rsid w:val="00775723"/>
    <w:rsid w:val="00775BBE"/>
    <w:rsid w:val="00780E18"/>
    <w:rsid w:val="00784906"/>
    <w:rsid w:val="00785B2D"/>
    <w:rsid w:val="007868DF"/>
    <w:rsid w:val="00787D9C"/>
    <w:rsid w:val="00791450"/>
    <w:rsid w:val="007929FC"/>
    <w:rsid w:val="00794DB6"/>
    <w:rsid w:val="007A4967"/>
    <w:rsid w:val="007A7979"/>
    <w:rsid w:val="007B0B01"/>
    <w:rsid w:val="007B0ECA"/>
    <w:rsid w:val="007B1B95"/>
    <w:rsid w:val="007B404C"/>
    <w:rsid w:val="007C52B3"/>
    <w:rsid w:val="007C6B20"/>
    <w:rsid w:val="007C7671"/>
    <w:rsid w:val="007D0816"/>
    <w:rsid w:val="007D191E"/>
    <w:rsid w:val="007D1961"/>
    <w:rsid w:val="007D2DBB"/>
    <w:rsid w:val="007D3E7B"/>
    <w:rsid w:val="007D52F8"/>
    <w:rsid w:val="007D57F7"/>
    <w:rsid w:val="007D5F87"/>
    <w:rsid w:val="007D7E86"/>
    <w:rsid w:val="007E08A2"/>
    <w:rsid w:val="007E2861"/>
    <w:rsid w:val="007E2D73"/>
    <w:rsid w:val="007E32CD"/>
    <w:rsid w:val="007E6720"/>
    <w:rsid w:val="007E67BF"/>
    <w:rsid w:val="007F2F0F"/>
    <w:rsid w:val="007F6190"/>
    <w:rsid w:val="007F6303"/>
    <w:rsid w:val="007F7874"/>
    <w:rsid w:val="00800032"/>
    <w:rsid w:val="00800383"/>
    <w:rsid w:val="00800465"/>
    <w:rsid w:val="00801D69"/>
    <w:rsid w:val="00802A94"/>
    <w:rsid w:val="00803999"/>
    <w:rsid w:val="008156AC"/>
    <w:rsid w:val="008158AC"/>
    <w:rsid w:val="008169EF"/>
    <w:rsid w:val="0082090C"/>
    <w:rsid w:val="00821DE1"/>
    <w:rsid w:val="00822B6C"/>
    <w:rsid w:val="008275EE"/>
    <w:rsid w:val="00832FD7"/>
    <w:rsid w:val="0083420B"/>
    <w:rsid w:val="008344D1"/>
    <w:rsid w:val="00834E6A"/>
    <w:rsid w:val="00836D05"/>
    <w:rsid w:val="00842441"/>
    <w:rsid w:val="00844BEE"/>
    <w:rsid w:val="00850188"/>
    <w:rsid w:val="00851AE0"/>
    <w:rsid w:val="00853BDB"/>
    <w:rsid w:val="00853EB5"/>
    <w:rsid w:val="00854FDF"/>
    <w:rsid w:val="00856FD6"/>
    <w:rsid w:val="00860109"/>
    <w:rsid w:val="008634E5"/>
    <w:rsid w:val="008759D0"/>
    <w:rsid w:val="00881FF0"/>
    <w:rsid w:val="0088590B"/>
    <w:rsid w:val="008929D0"/>
    <w:rsid w:val="00893479"/>
    <w:rsid w:val="00893E97"/>
    <w:rsid w:val="008944A3"/>
    <w:rsid w:val="008A4E5F"/>
    <w:rsid w:val="008A5AE5"/>
    <w:rsid w:val="008A602F"/>
    <w:rsid w:val="008B14C4"/>
    <w:rsid w:val="008B2491"/>
    <w:rsid w:val="008B4637"/>
    <w:rsid w:val="008B5AA2"/>
    <w:rsid w:val="008C002C"/>
    <w:rsid w:val="008C3631"/>
    <w:rsid w:val="008C3CEA"/>
    <w:rsid w:val="008C67CA"/>
    <w:rsid w:val="008D00E8"/>
    <w:rsid w:val="008D0E3B"/>
    <w:rsid w:val="008D128E"/>
    <w:rsid w:val="008D1D16"/>
    <w:rsid w:val="008D25B6"/>
    <w:rsid w:val="008E09CA"/>
    <w:rsid w:val="008E4D07"/>
    <w:rsid w:val="008E7F86"/>
    <w:rsid w:val="008F36B9"/>
    <w:rsid w:val="008F5EA5"/>
    <w:rsid w:val="008F6EB6"/>
    <w:rsid w:val="00901510"/>
    <w:rsid w:val="00901A26"/>
    <w:rsid w:val="00903128"/>
    <w:rsid w:val="00903A21"/>
    <w:rsid w:val="00906E18"/>
    <w:rsid w:val="009103AC"/>
    <w:rsid w:val="00915C8B"/>
    <w:rsid w:val="0091656F"/>
    <w:rsid w:val="00920455"/>
    <w:rsid w:val="00922EA2"/>
    <w:rsid w:val="009413B8"/>
    <w:rsid w:val="009430AC"/>
    <w:rsid w:val="0094470E"/>
    <w:rsid w:val="009451CB"/>
    <w:rsid w:val="009471D1"/>
    <w:rsid w:val="00951A7D"/>
    <w:rsid w:val="0095227F"/>
    <w:rsid w:val="009531E4"/>
    <w:rsid w:val="00955AF7"/>
    <w:rsid w:val="00956137"/>
    <w:rsid w:val="0096018A"/>
    <w:rsid w:val="00961CA2"/>
    <w:rsid w:val="00962024"/>
    <w:rsid w:val="0096237A"/>
    <w:rsid w:val="009671EF"/>
    <w:rsid w:val="00972512"/>
    <w:rsid w:val="0097268A"/>
    <w:rsid w:val="0097373B"/>
    <w:rsid w:val="00976AF8"/>
    <w:rsid w:val="009808DB"/>
    <w:rsid w:val="00980BB2"/>
    <w:rsid w:val="00981803"/>
    <w:rsid w:val="00983976"/>
    <w:rsid w:val="00986F88"/>
    <w:rsid w:val="00987A3A"/>
    <w:rsid w:val="00992FA8"/>
    <w:rsid w:val="00995FE6"/>
    <w:rsid w:val="009A05A7"/>
    <w:rsid w:val="009A188F"/>
    <w:rsid w:val="009A70D8"/>
    <w:rsid w:val="009B18E1"/>
    <w:rsid w:val="009B30D9"/>
    <w:rsid w:val="009B66AA"/>
    <w:rsid w:val="009C2AEA"/>
    <w:rsid w:val="009C7626"/>
    <w:rsid w:val="009D20F2"/>
    <w:rsid w:val="009D4EDA"/>
    <w:rsid w:val="009D7365"/>
    <w:rsid w:val="009E2403"/>
    <w:rsid w:val="009E3615"/>
    <w:rsid w:val="009E3ABB"/>
    <w:rsid w:val="009F1526"/>
    <w:rsid w:val="009F24E4"/>
    <w:rsid w:val="009F55D4"/>
    <w:rsid w:val="009F7B8D"/>
    <w:rsid w:val="00A046E3"/>
    <w:rsid w:val="00A15D25"/>
    <w:rsid w:val="00A15FD8"/>
    <w:rsid w:val="00A220EF"/>
    <w:rsid w:val="00A247CD"/>
    <w:rsid w:val="00A3220B"/>
    <w:rsid w:val="00A33486"/>
    <w:rsid w:val="00A33736"/>
    <w:rsid w:val="00A35354"/>
    <w:rsid w:val="00A364BC"/>
    <w:rsid w:val="00A40D24"/>
    <w:rsid w:val="00A41DC2"/>
    <w:rsid w:val="00A42783"/>
    <w:rsid w:val="00A427FE"/>
    <w:rsid w:val="00A42967"/>
    <w:rsid w:val="00A434EF"/>
    <w:rsid w:val="00A44FB5"/>
    <w:rsid w:val="00A52F00"/>
    <w:rsid w:val="00A55140"/>
    <w:rsid w:val="00A55530"/>
    <w:rsid w:val="00A56A87"/>
    <w:rsid w:val="00A57F33"/>
    <w:rsid w:val="00A629AC"/>
    <w:rsid w:val="00A66647"/>
    <w:rsid w:val="00A66E81"/>
    <w:rsid w:val="00A673EB"/>
    <w:rsid w:val="00A67B86"/>
    <w:rsid w:val="00A72496"/>
    <w:rsid w:val="00A72603"/>
    <w:rsid w:val="00A73A2F"/>
    <w:rsid w:val="00A76C79"/>
    <w:rsid w:val="00A810CD"/>
    <w:rsid w:val="00A825E5"/>
    <w:rsid w:val="00A82F52"/>
    <w:rsid w:val="00A83001"/>
    <w:rsid w:val="00A91296"/>
    <w:rsid w:val="00A920E5"/>
    <w:rsid w:val="00A93FC1"/>
    <w:rsid w:val="00AA28B4"/>
    <w:rsid w:val="00AA6218"/>
    <w:rsid w:val="00AB3147"/>
    <w:rsid w:val="00AB4A86"/>
    <w:rsid w:val="00AC2B2D"/>
    <w:rsid w:val="00AC4DF8"/>
    <w:rsid w:val="00AC4EFE"/>
    <w:rsid w:val="00AD12F4"/>
    <w:rsid w:val="00AE0609"/>
    <w:rsid w:val="00AE0E61"/>
    <w:rsid w:val="00AE10CB"/>
    <w:rsid w:val="00AE23BF"/>
    <w:rsid w:val="00AE52B2"/>
    <w:rsid w:val="00AE7619"/>
    <w:rsid w:val="00AF361F"/>
    <w:rsid w:val="00AF543F"/>
    <w:rsid w:val="00AF6BAB"/>
    <w:rsid w:val="00B0398F"/>
    <w:rsid w:val="00B05B5F"/>
    <w:rsid w:val="00B06115"/>
    <w:rsid w:val="00B0751C"/>
    <w:rsid w:val="00B12DE7"/>
    <w:rsid w:val="00B12E5F"/>
    <w:rsid w:val="00B142A8"/>
    <w:rsid w:val="00B14DFD"/>
    <w:rsid w:val="00B20C44"/>
    <w:rsid w:val="00B235C2"/>
    <w:rsid w:val="00B268B2"/>
    <w:rsid w:val="00B3042A"/>
    <w:rsid w:val="00B319D0"/>
    <w:rsid w:val="00B35542"/>
    <w:rsid w:val="00B414A6"/>
    <w:rsid w:val="00B41C9C"/>
    <w:rsid w:val="00B47D6F"/>
    <w:rsid w:val="00B53805"/>
    <w:rsid w:val="00B572B0"/>
    <w:rsid w:val="00B647FD"/>
    <w:rsid w:val="00B66083"/>
    <w:rsid w:val="00B7008F"/>
    <w:rsid w:val="00B70663"/>
    <w:rsid w:val="00B76175"/>
    <w:rsid w:val="00B77480"/>
    <w:rsid w:val="00B804DA"/>
    <w:rsid w:val="00B85A4C"/>
    <w:rsid w:val="00B907A6"/>
    <w:rsid w:val="00B925C6"/>
    <w:rsid w:val="00B936F6"/>
    <w:rsid w:val="00B94373"/>
    <w:rsid w:val="00B950C0"/>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1C66"/>
    <w:rsid w:val="00BC221B"/>
    <w:rsid w:val="00BC71EB"/>
    <w:rsid w:val="00BD06AD"/>
    <w:rsid w:val="00BD07E8"/>
    <w:rsid w:val="00BD14DB"/>
    <w:rsid w:val="00BD2466"/>
    <w:rsid w:val="00BD3813"/>
    <w:rsid w:val="00BE3D82"/>
    <w:rsid w:val="00BE509D"/>
    <w:rsid w:val="00BF0E87"/>
    <w:rsid w:val="00BF4F6F"/>
    <w:rsid w:val="00BF7EAB"/>
    <w:rsid w:val="00C00D41"/>
    <w:rsid w:val="00C039F5"/>
    <w:rsid w:val="00C13200"/>
    <w:rsid w:val="00C13686"/>
    <w:rsid w:val="00C1446B"/>
    <w:rsid w:val="00C15AD7"/>
    <w:rsid w:val="00C21C37"/>
    <w:rsid w:val="00C32017"/>
    <w:rsid w:val="00C320D4"/>
    <w:rsid w:val="00C3257C"/>
    <w:rsid w:val="00C35234"/>
    <w:rsid w:val="00C3543E"/>
    <w:rsid w:val="00C35547"/>
    <w:rsid w:val="00C40447"/>
    <w:rsid w:val="00C40751"/>
    <w:rsid w:val="00C40CB3"/>
    <w:rsid w:val="00C44C32"/>
    <w:rsid w:val="00C47BCA"/>
    <w:rsid w:val="00C53B7B"/>
    <w:rsid w:val="00C562F5"/>
    <w:rsid w:val="00C5647C"/>
    <w:rsid w:val="00C64858"/>
    <w:rsid w:val="00C672BC"/>
    <w:rsid w:val="00C70146"/>
    <w:rsid w:val="00C74DF5"/>
    <w:rsid w:val="00C813A6"/>
    <w:rsid w:val="00C822A4"/>
    <w:rsid w:val="00C83B9B"/>
    <w:rsid w:val="00C87509"/>
    <w:rsid w:val="00CA0D07"/>
    <w:rsid w:val="00CA1878"/>
    <w:rsid w:val="00CA215F"/>
    <w:rsid w:val="00CA239D"/>
    <w:rsid w:val="00CA497D"/>
    <w:rsid w:val="00CB12E9"/>
    <w:rsid w:val="00CB2871"/>
    <w:rsid w:val="00CB2E92"/>
    <w:rsid w:val="00CB5002"/>
    <w:rsid w:val="00CB6711"/>
    <w:rsid w:val="00CB675F"/>
    <w:rsid w:val="00CC054E"/>
    <w:rsid w:val="00CC0775"/>
    <w:rsid w:val="00CC34D4"/>
    <w:rsid w:val="00CC3776"/>
    <w:rsid w:val="00CD4FA5"/>
    <w:rsid w:val="00CD5822"/>
    <w:rsid w:val="00CE05AD"/>
    <w:rsid w:val="00CE3A3D"/>
    <w:rsid w:val="00CE3E37"/>
    <w:rsid w:val="00CE7678"/>
    <w:rsid w:val="00CE7F16"/>
    <w:rsid w:val="00CF081A"/>
    <w:rsid w:val="00CF3A4F"/>
    <w:rsid w:val="00CF684B"/>
    <w:rsid w:val="00D008C3"/>
    <w:rsid w:val="00D071F3"/>
    <w:rsid w:val="00D07AC3"/>
    <w:rsid w:val="00D13DE2"/>
    <w:rsid w:val="00D13F7F"/>
    <w:rsid w:val="00D17CB5"/>
    <w:rsid w:val="00D21F50"/>
    <w:rsid w:val="00D25D42"/>
    <w:rsid w:val="00D26799"/>
    <w:rsid w:val="00D300A2"/>
    <w:rsid w:val="00D335F0"/>
    <w:rsid w:val="00D34049"/>
    <w:rsid w:val="00D36795"/>
    <w:rsid w:val="00D37860"/>
    <w:rsid w:val="00D426F8"/>
    <w:rsid w:val="00D4382C"/>
    <w:rsid w:val="00D44977"/>
    <w:rsid w:val="00D44DEA"/>
    <w:rsid w:val="00D456F1"/>
    <w:rsid w:val="00D569FC"/>
    <w:rsid w:val="00D62BC3"/>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317D"/>
    <w:rsid w:val="00DB32A9"/>
    <w:rsid w:val="00DB46BA"/>
    <w:rsid w:val="00DB59B1"/>
    <w:rsid w:val="00DB626B"/>
    <w:rsid w:val="00DB6EF1"/>
    <w:rsid w:val="00DB7E90"/>
    <w:rsid w:val="00DC3F5A"/>
    <w:rsid w:val="00DC5399"/>
    <w:rsid w:val="00DC73ED"/>
    <w:rsid w:val="00DD029B"/>
    <w:rsid w:val="00DD17DD"/>
    <w:rsid w:val="00DE08BE"/>
    <w:rsid w:val="00DE43EB"/>
    <w:rsid w:val="00DE4563"/>
    <w:rsid w:val="00DE4DCD"/>
    <w:rsid w:val="00DE6A9B"/>
    <w:rsid w:val="00DE7AA1"/>
    <w:rsid w:val="00DE7DBA"/>
    <w:rsid w:val="00DF0101"/>
    <w:rsid w:val="00E00882"/>
    <w:rsid w:val="00E0591C"/>
    <w:rsid w:val="00E06A12"/>
    <w:rsid w:val="00E07FA9"/>
    <w:rsid w:val="00E108DB"/>
    <w:rsid w:val="00E1250A"/>
    <w:rsid w:val="00E1267D"/>
    <w:rsid w:val="00E13361"/>
    <w:rsid w:val="00E157F5"/>
    <w:rsid w:val="00E1765C"/>
    <w:rsid w:val="00E32833"/>
    <w:rsid w:val="00E32F27"/>
    <w:rsid w:val="00E33BDF"/>
    <w:rsid w:val="00E36D58"/>
    <w:rsid w:val="00E454F8"/>
    <w:rsid w:val="00E5533D"/>
    <w:rsid w:val="00E600DC"/>
    <w:rsid w:val="00E61D36"/>
    <w:rsid w:val="00E635EC"/>
    <w:rsid w:val="00E64F1D"/>
    <w:rsid w:val="00E67FF6"/>
    <w:rsid w:val="00E72232"/>
    <w:rsid w:val="00E773B9"/>
    <w:rsid w:val="00E83DF0"/>
    <w:rsid w:val="00E90EF9"/>
    <w:rsid w:val="00E9115C"/>
    <w:rsid w:val="00E912AF"/>
    <w:rsid w:val="00E93F84"/>
    <w:rsid w:val="00E943AE"/>
    <w:rsid w:val="00E961FB"/>
    <w:rsid w:val="00EA1048"/>
    <w:rsid w:val="00EA5F4F"/>
    <w:rsid w:val="00EB1C10"/>
    <w:rsid w:val="00EB51D0"/>
    <w:rsid w:val="00EB5C57"/>
    <w:rsid w:val="00EB5F44"/>
    <w:rsid w:val="00EB6E3B"/>
    <w:rsid w:val="00EC51D6"/>
    <w:rsid w:val="00EC58C8"/>
    <w:rsid w:val="00EC638E"/>
    <w:rsid w:val="00ED38BE"/>
    <w:rsid w:val="00ED6C78"/>
    <w:rsid w:val="00ED7333"/>
    <w:rsid w:val="00EE04A8"/>
    <w:rsid w:val="00EE3472"/>
    <w:rsid w:val="00EE7D92"/>
    <w:rsid w:val="00EF1910"/>
    <w:rsid w:val="00EF1BAE"/>
    <w:rsid w:val="00EF30D3"/>
    <w:rsid w:val="00EF3F73"/>
    <w:rsid w:val="00EF7964"/>
    <w:rsid w:val="00F021D4"/>
    <w:rsid w:val="00F03C63"/>
    <w:rsid w:val="00F06A0F"/>
    <w:rsid w:val="00F10923"/>
    <w:rsid w:val="00F15258"/>
    <w:rsid w:val="00F17295"/>
    <w:rsid w:val="00F21CB2"/>
    <w:rsid w:val="00F228A0"/>
    <w:rsid w:val="00F239B5"/>
    <w:rsid w:val="00F24D4D"/>
    <w:rsid w:val="00F2653B"/>
    <w:rsid w:val="00F30B06"/>
    <w:rsid w:val="00F30D1C"/>
    <w:rsid w:val="00F35A73"/>
    <w:rsid w:val="00F36D4C"/>
    <w:rsid w:val="00F3748B"/>
    <w:rsid w:val="00F43D4C"/>
    <w:rsid w:val="00F44835"/>
    <w:rsid w:val="00F45001"/>
    <w:rsid w:val="00F47B4B"/>
    <w:rsid w:val="00F53284"/>
    <w:rsid w:val="00F62A16"/>
    <w:rsid w:val="00F72014"/>
    <w:rsid w:val="00F7392E"/>
    <w:rsid w:val="00F74E13"/>
    <w:rsid w:val="00F76DE0"/>
    <w:rsid w:val="00F7776E"/>
    <w:rsid w:val="00F81405"/>
    <w:rsid w:val="00F82B9F"/>
    <w:rsid w:val="00F83DEF"/>
    <w:rsid w:val="00F8508D"/>
    <w:rsid w:val="00F85165"/>
    <w:rsid w:val="00F86738"/>
    <w:rsid w:val="00F905A2"/>
    <w:rsid w:val="00F910C0"/>
    <w:rsid w:val="00F927A7"/>
    <w:rsid w:val="00F92905"/>
    <w:rsid w:val="00FA17AB"/>
    <w:rsid w:val="00FA1EEF"/>
    <w:rsid w:val="00FA4351"/>
    <w:rsid w:val="00FA45DE"/>
    <w:rsid w:val="00FA4A39"/>
    <w:rsid w:val="00FA5793"/>
    <w:rsid w:val="00FA7AE1"/>
    <w:rsid w:val="00FC3DE0"/>
    <w:rsid w:val="00FC42B9"/>
    <w:rsid w:val="00FC504D"/>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8446-7CE9-4095-81DB-C50324BB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2</cp:revision>
  <cp:lastPrinted>2017-06-14T22:31:00Z</cp:lastPrinted>
  <dcterms:created xsi:type="dcterms:W3CDTF">2017-06-21T06:17:00Z</dcterms:created>
  <dcterms:modified xsi:type="dcterms:W3CDTF">2017-06-21T06:17:00Z</dcterms:modified>
</cp:coreProperties>
</file>