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3E9" w:rsidRPr="00C62758" w:rsidRDefault="007413E9" w:rsidP="002569FB">
      <w:pPr>
        <w:spacing w:before="0" w:after="0"/>
        <w:ind w:right="372"/>
        <w:jc w:val="center"/>
        <w:rPr>
          <w:rFonts w:ascii="Times New Roman" w:hAnsi="Times New Roman"/>
          <w:b/>
          <w:bCs/>
        </w:rPr>
      </w:pPr>
      <w:r w:rsidRPr="00C62758">
        <w:rPr>
          <w:rFonts w:ascii="Times New Roman" w:hAnsi="Times New Roman"/>
          <w:b/>
          <w:bCs/>
          <w:u w:val="single"/>
        </w:rPr>
        <w:t>EXPLANATORY STATEMENT</w:t>
      </w:r>
    </w:p>
    <w:p w:rsidR="007413E9" w:rsidRPr="00C62758" w:rsidRDefault="007413E9" w:rsidP="002569FB">
      <w:pPr>
        <w:spacing w:before="0" w:after="0"/>
        <w:ind w:right="372"/>
        <w:rPr>
          <w:rFonts w:ascii="Times New Roman" w:hAnsi="Times New Roman"/>
        </w:rPr>
      </w:pPr>
    </w:p>
    <w:p w:rsidR="007413E9" w:rsidRPr="00C62758" w:rsidRDefault="007413E9" w:rsidP="002569FB">
      <w:pPr>
        <w:spacing w:before="0" w:after="0"/>
        <w:ind w:right="372"/>
        <w:jc w:val="center"/>
        <w:rPr>
          <w:rFonts w:ascii="Times New Roman" w:hAnsi="Times New Roman"/>
        </w:rPr>
      </w:pPr>
      <w:r w:rsidRPr="00C62758">
        <w:rPr>
          <w:rFonts w:ascii="Times New Roman" w:hAnsi="Times New Roman"/>
        </w:rPr>
        <w:t xml:space="preserve">Issued by the Authority of the Minister for </w:t>
      </w:r>
      <w:r w:rsidR="00876008">
        <w:rPr>
          <w:rFonts w:ascii="Times New Roman" w:hAnsi="Times New Roman"/>
        </w:rPr>
        <w:t>Social Services</w:t>
      </w:r>
    </w:p>
    <w:p w:rsidR="007413E9" w:rsidRPr="00C62758" w:rsidRDefault="007413E9" w:rsidP="002569FB">
      <w:pPr>
        <w:spacing w:before="0" w:after="0"/>
        <w:ind w:right="372"/>
        <w:jc w:val="both"/>
        <w:rPr>
          <w:rFonts w:ascii="Times New Roman" w:hAnsi="Times New Roman"/>
        </w:rPr>
      </w:pPr>
    </w:p>
    <w:p w:rsidR="007413E9" w:rsidRDefault="007413E9" w:rsidP="002569FB">
      <w:pPr>
        <w:pStyle w:val="Heading2"/>
        <w:keepNext w:val="0"/>
        <w:ind w:left="0"/>
      </w:pPr>
      <w:r w:rsidRPr="00C62758">
        <w:t>Social Security (International Agreements) Act 1999</w:t>
      </w:r>
    </w:p>
    <w:p w:rsidR="00BA7C0D" w:rsidRPr="00C62758" w:rsidRDefault="00BA7C0D" w:rsidP="002537F9">
      <w:pPr>
        <w:spacing w:before="0" w:after="0"/>
        <w:ind w:right="372"/>
        <w:jc w:val="both"/>
        <w:rPr>
          <w:rFonts w:ascii="Times New Roman" w:hAnsi="Times New Roman"/>
        </w:rPr>
      </w:pPr>
    </w:p>
    <w:p w:rsidR="007413E9" w:rsidRPr="00C62758" w:rsidRDefault="007413E9" w:rsidP="002569FB">
      <w:pPr>
        <w:pStyle w:val="Heading2"/>
        <w:keepNext w:val="0"/>
        <w:ind w:left="0"/>
      </w:pPr>
      <w:r w:rsidRPr="00C62758">
        <w:t xml:space="preserve">Social Security (International Agreements) Amendment </w:t>
      </w:r>
      <w:r w:rsidR="00EE0906">
        <w:t>(</w:t>
      </w:r>
      <w:r w:rsidR="00E76929">
        <w:t xml:space="preserve">Amendment of </w:t>
      </w:r>
      <w:r w:rsidR="00D134CC">
        <w:t>New Zealand</w:t>
      </w:r>
      <w:r w:rsidR="007B05D8">
        <w:t xml:space="preserve"> Agreement</w:t>
      </w:r>
      <w:bookmarkStart w:id="0" w:name="_GoBack"/>
      <w:bookmarkEnd w:id="0"/>
      <w:r w:rsidR="00EE0906">
        <w:t xml:space="preserve">) </w:t>
      </w:r>
      <w:r w:rsidRPr="00C62758">
        <w:t>Regulation</w:t>
      </w:r>
      <w:r w:rsidR="00B113F2">
        <w:t>s</w:t>
      </w:r>
      <w:r w:rsidRPr="00C62758">
        <w:t> </w:t>
      </w:r>
      <w:r w:rsidR="00275B2D" w:rsidRPr="00C62758">
        <w:t>20</w:t>
      </w:r>
      <w:r w:rsidR="00275B2D">
        <w:t>17</w:t>
      </w:r>
      <w:r w:rsidR="00275B2D" w:rsidRPr="00C62758">
        <w:t> </w:t>
      </w:r>
    </w:p>
    <w:p w:rsidR="007413E9" w:rsidRDefault="007413E9" w:rsidP="002569FB">
      <w:pPr>
        <w:spacing w:before="0" w:after="0"/>
        <w:ind w:right="372"/>
        <w:jc w:val="both"/>
        <w:rPr>
          <w:rFonts w:ascii="Times New Roman" w:hAnsi="Times New Roman"/>
        </w:rPr>
      </w:pPr>
    </w:p>
    <w:p w:rsidR="00011050" w:rsidRDefault="00011050" w:rsidP="00EB334D">
      <w:pPr>
        <w:spacing w:before="0" w:after="0"/>
        <w:ind w:right="369"/>
        <w:rPr>
          <w:rFonts w:ascii="Times New Roman" w:hAnsi="Times New Roman"/>
        </w:rPr>
      </w:pPr>
      <w:r w:rsidRPr="00011050">
        <w:rPr>
          <w:rFonts w:ascii="Times New Roman" w:hAnsi="Times New Roman"/>
        </w:rPr>
        <w:t xml:space="preserve">The </w:t>
      </w:r>
      <w:r w:rsidRPr="00011050">
        <w:rPr>
          <w:rFonts w:ascii="Times New Roman" w:hAnsi="Times New Roman"/>
          <w:i/>
        </w:rPr>
        <w:t xml:space="preserve">Social Security (International Agreements) Act 1999 </w:t>
      </w:r>
      <w:r w:rsidRPr="00011050">
        <w:rPr>
          <w:rFonts w:ascii="Times New Roman" w:hAnsi="Times New Roman"/>
        </w:rPr>
        <w:t xml:space="preserve">(the </w:t>
      </w:r>
      <w:r w:rsidRPr="00023122">
        <w:rPr>
          <w:rFonts w:ascii="Times New Roman" w:hAnsi="Times New Roman"/>
        </w:rPr>
        <w:t>Act</w:t>
      </w:r>
      <w:r w:rsidRPr="00011050">
        <w:rPr>
          <w:rFonts w:ascii="Times New Roman" w:hAnsi="Times New Roman"/>
        </w:rPr>
        <w:t>) gives effect to any social security agreement between Australia and another country relating to reciprocity in social security or superannuation matters if the text of the agreement is set out in a Schedule to the Act.  Section 6 of the Act provides that the provisions of a scheduled international social security agreement have effect despite anything in the social security law.  An agreement is a scheduled international agreement if the text of the agreement is set out in a Schedule to the Act.</w:t>
      </w:r>
    </w:p>
    <w:p w:rsidR="005E0864" w:rsidRDefault="005E0864" w:rsidP="00EB334D">
      <w:pPr>
        <w:spacing w:before="0" w:after="0"/>
        <w:ind w:right="369"/>
        <w:rPr>
          <w:rFonts w:ascii="Times New Roman" w:hAnsi="Times New Roman"/>
        </w:rPr>
      </w:pPr>
    </w:p>
    <w:p w:rsidR="005E0864" w:rsidRDefault="005E0864" w:rsidP="00EB334D">
      <w:pPr>
        <w:spacing w:before="0" w:after="0"/>
        <w:ind w:right="369"/>
        <w:rPr>
          <w:rFonts w:ascii="Times New Roman" w:hAnsi="Times New Roman"/>
        </w:rPr>
      </w:pPr>
      <w:r>
        <w:rPr>
          <w:rFonts w:ascii="Times New Roman" w:hAnsi="Times New Roman"/>
        </w:rPr>
        <w:t>Section 25 of the Act provides that the Governor-General may make regulations prescribing matters required or permitted by the Act to be prescribed, or necessary or convenient for carrying out or giving effect to the Act.</w:t>
      </w:r>
    </w:p>
    <w:p w:rsidR="005E0864" w:rsidRDefault="005E0864" w:rsidP="00EB334D">
      <w:pPr>
        <w:spacing w:before="0" w:after="0"/>
        <w:ind w:right="369"/>
        <w:rPr>
          <w:rFonts w:ascii="Times New Roman" w:hAnsi="Times New Roman"/>
        </w:rPr>
      </w:pPr>
    </w:p>
    <w:p w:rsidR="00EB334D" w:rsidRPr="00EB334D" w:rsidRDefault="00EB334D" w:rsidP="00EB334D">
      <w:pPr>
        <w:spacing w:before="0" w:after="0"/>
        <w:ind w:right="371"/>
        <w:rPr>
          <w:rFonts w:ascii="Times New Roman" w:hAnsi="Times New Roman"/>
        </w:rPr>
      </w:pPr>
      <w:r w:rsidRPr="00EB334D">
        <w:rPr>
          <w:rFonts w:ascii="Times New Roman" w:hAnsi="Times New Roman"/>
        </w:rPr>
        <w:t xml:space="preserve">Subsection 7(1) of the Act, provides that the regulations may amend a Schedule to the Act that sets out the text of an agreement between Australia and another country.  </w:t>
      </w:r>
    </w:p>
    <w:p w:rsidR="00EB334D" w:rsidRDefault="00EB334D" w:rsidP="00EB334D">
      <w:pPr>
        <w:spacing w:before="0" w:after="0"/>
        <w:ind w:right="369"/>
        <w:rPr>
          <w:rFonts w:ascii="Times New Roman" w:hAnsi="Times New Roman"/>
        </w:rPr>
      </w:pPr>
    </w:p>
    <w:p w:rsidR="008A3BE4" w:rsidRDefault="00EB334D" w:rsidP="008A3BE4">
      <w:pPr>
        <w:spacing w:before="0" w:after="0"/>
        <w:ind w:right="369"/>
        <w:rPr>
          <w:rFonts w:ascii="Times New Roman" w:hAnsi="Times New Roman"/>
        </w:rPr>
      </w:pPr>
      <w:r w:rsidRPr="00EB334D">
        <w:rPr>
          <w:rFonts w:ascii="Times New Roman" w:hAnsi="Times New Roman"/>
        </w:rPr>
        <w:t xml:space="preserve">Due to delays in implementing New Zealand’s new social security legislation, references to that legislation in the </w:t>
      </w:r>
      <w:r w:rsidRPr="00EB334D">
        <w:rPr>
          <w:rFonts w:ascii="Times New Roman" w:hAnsi="Times New Roman"/>
          <w:i/>
        </w:rPr>
        <w:t>Agreement on Social Security between the Government of Australia and the Government of New Zealand</w:t>
      </w:r>
      <w:r w:rsidRPr="00EB334D">
        <w:rPr>
          <w:rFonts w:ascii="Times New Roman" w:hAnsi="Times New Roman"/>
        </w:rPr>
        <w:t xml:space="preserve">, done at Wellington on 8 December 2016 (the Agreement) and the </w:t>
      </w:r>
      <w:r w:rsidRPr="00EB334D">
        <w:rPr>
          <w:rFonts w:ascii="Times New Roman" w:hAnsi="Times New Roman"/>
          <w:i/>
        </w:rPr>
        <w:t>Social Security (International Agreements) Amendment (New Zealand) Regulations 2017</w:t>
      </w:r>
      <w:r w:rsidRPr="00EB334D">
        <w:rPr>
          <w:rFonts w:ascii="Times New Roman" w:hAnsi="Times New Roman"/>
        </w:rPr>
        <w:t xml:space="preserve"> currently before parliament are now incorrect.  The incorrect legislative references in the Agreement, and a minor editorial change, were corrected by an Exchange of Notes of 24 March 2017 and 11 April 2017 (the Exchange of Notes).  The proposed regulations are required to give effect to the changes to the Agreement made by the Exchange of Notes.</w:t>
      </w:r>
    </w:p>
    <w:p w:rsidR="008A3BE4" w:rsidRDefault="008A3BE4" w:rsidP="008A3BE4">
      <w:pPr>
        <w:spacing w:before="0" w:after="0"/>
        <w:ind w:right="369"/>
        <w:rPr>
          <w:rFonts w:ascii="Times New Roman" w:hAnsi="Times New Roman"/>
        </w:rPr>
      </w:pPr>
    </w:p>
    <w:p w:rsidR="00FD42C8" w:rsidRDefault="00FD42C8" w:rsidP="008A3BE4">
      <w:pPr>
        <w:spacing w:before="0" w:after="0"/>
        <w:ind w:right="369"/>
        <w:rPr>
          <w:rFonts w:ascii="Times New Roman" w:hAnsi="Times New Roman"/>
        </w:rPr>
      </w:pPr>
      <w:r w:rsidRPr="008A3BE4">
        <w:rPr>
          <w:rFonts w:ascii="Times New Roman" w:hAnsi="Times New Roman"/>
        </w:rPr>
        <w:t>The proposed Social Security (International Agreements) Amendment (Amendment of New Zealand) Regulations 2017 (the proposed Regulations) are required to give effect to the changes to the Agreement made by the Exchange of Notes.</w:t>
      </w:r>
    </w:p>
    <w:p w:rsidR="008A3BE4" w:rsidRPr="008A3BE4" w:rsidRDefault="008A3BE4" w:rsidP="008A3BE4">
      <w:pPr>
        <w:spacing w:before="0" w:after="0"/>
        <w:ind w:right="369"/>
        <w:rPr>
          <w:rFonts w:ascii="Times New Roman" w:hAnsi="Times New Roman"/>
        </w:rPr>
      </w:pPr>
    </w:p>
    <w:p w:rsidR="005E0864" w:rsidRDefault="005E0864" w:rsidP="00220957">
      <w:pPr>
        <w:spacing w:before="0" w:after="0"/>
        <w:ind w:right="369"/>
        <w:rPr>
          <w:rFonts w:ascii="Times New Roman" w:hAnsi="Times New Roman"/>
        </w:rPr>
      </w:pPr>
      <w:r>
        <w:rPr>
          <w:rFonts w:ascii="Times New Roman" w:hAnsi="Times New Roman"/>
        </w:rPr>
        <w:t xml:space="preserve">The purpose of the </w:t>
      </w:r>
      <w:r w:rsidR="008A3BE4">
        <w:rPr>
          <w:rFonts w:ascii="Times New Roman" w:hAnsi="Times New Roman"/>
        </w:rPr>
        <w:t xml:space="preserve">proposed </w:t>
      </w:r>
      <w:r w:rsidRPr="00414032">
        <w:rPr>
          <w:rFonts w:ascii="Times New Roman" w:hAnsi="Times New Roman"/>
        </w:rPr>
        <w:t>Regulations</w:t>
      </w:r>
      <w:r>
        <w:rPr>
          <w:rFonts w:ascii="Times New Roman" w:hAnsi="Times New Roman"/>
        </w:rPr>
        <w:t xml:space="preserve"> is to amend the new Schedule 3 (the Agreement made at Wellington on 8 December 2016) by adding the Exchange of Notes </w:t>
      </w:r>
      <w:r w:rsidR="008612AA">
        <w:rPr>
          <w:rFonts w:ascii="Times New Roman" w:hAnsi="Times New Roman"/>
        </w:rPr>
        <w:t>of 24 March 2017 and 11 April 2017 as Part B to Schedule 3.</w:t>
      </w:r>
    </w:p>
    <w:p w:rsidR="00F41C4E" w:rsidRPr="00C62758" w:rsidRDefault="00F41C4E" w:rsidP="00220957">
      <w:pPr>
        <w:spacing w:before="0" w:after="0"/>
        <w:ind w:right="369"/>
        <w:rPr>
          <w:rFonts w:ascii="Times New Roman" w:hAnsi="Times New Roman"/>
        </w:rPr>
      </w:pPr>
    </w:p>
    <w:p w:rsidR="008A3BE4" w:rsidRPr="00414032" w:rsidRDefault="008A3BE4" w:rsidP="008A3BE4">
      <w:pPr>
        <w:spacing w:before="0" w:after="0"/>
        <w:ind w:right="369"/>
        <w:rPr>
          <w:rFonts w:ascii="Times New Roman" w:hAnsi="Times New Roman"/>
        </w:rPr>
      </w:pPr>
      <w:r w:rsidRPr="00376195">
        <w:rPr>
          <w:rFonts w:ascii="Times New Roman" w:hAnsi="Times New Roman"/>
        </w:rPr>
        <w:t>References to any New Zealand laws, including the New Zealand social security law do not affect the operation of Australia’s social security law.  The</w:t>
      </w:r>
      <w:r>
        <w:rPr>
          <w:rFonts w:ascii="Times New Roman" w:hAnsi="Times New Roman"/>
        </w:rPr>
        <w:t xml:space="preserve"> proposed Regulations </w:t>
      </w:r>
      <w:r w:rsidRPr="00376195">
        <w:rPr>
          <w:rFonts w:ascii="Times New Roman" w:hAnsi="Times New Roman"/>
        </w:rPr>
        <w:t xml:space="preserve">do not therefore apply, adopt or incorporate New Zealand social security law for the purpose of section 14 of the </w:t>
      </w:r>
      <w:r w:rsidRPr="00376195">
        <w:rPr>
          <w:rFonts w:ascii="Times New Roman" w:hAnsi="Times New Roman"/>
          <w:i/>
        </w:rPr>
        <w:t>Legislation Act 2003</w:t>
      </w:r>
      <w:r w:rsidRPr="00376195">
        <w:rPr>
          <w:rFonts w:ascii="Times New Roman" w:hAnsi="Times New Roman"/>
        </w:rPr>
        <w:t>.</w:t>
      </w:r>
    </w:p>
    <w:p w:rsidR="008A3BE4" w:rsidRDefault="008A3BE4" w:rsidP="008A3BE4">
      <w:pPr>
        <w:spacing w:before="0" w:after="0"/>
        <w:ind w:right="369"/>
        <w:rPr>
          <w:rFonts w:ascii="Times New Roman" w:hAnsi="Times New Roman"/>
        </w:rPr>
      </w:pPr>
    </w:p>
    <w:p w:rsidR="007C00E0" w:rsidRPr="00180B92" w:rsidRDefault="007C00E0" w:rsidP="00220957">
      <w:pPr>
        <w:spacing w:before="0" w:after="0"/>
        <w:ind w:right="369"/>
        <w:rPr>
          <w:rFonts w:ascii="Times New Roman" w:hAnsi="Times New Roman"/>
        </w:rPr>
      </w:pPr>
      <w:r w:rsidRPr="00C62758">
        <w:rPr>
          <w:rFonts w:ascii="Times New Roman" w:hAnsi="Times New Roman"/>
        </w:rPr>
        <w:t xml:space="preserve">The </w:t>
      </w:r>
      <w:r w:rsidR="0087701C">
        <w:rPr>
          <w:rFonts w:ascii="Times New Roman" w:hAnsi="Times New Roman"/>
        </w:rPr>
        <w:t>Regulations</w:t>
      </w:r>
      <w:r w:rsidRPr="00C62758">
        <w:rPr>
          <w:rFonts w:ascii="Times New Roman" w:hAnsi="Times New Roman"/>
        </w:rPr>
        <w:t xml:space="preserve"> </w:t>
      </w:r>
      <w:r w:rsidR="0064364E">
        <w:rPr>
          <w:rFonts w:ascii="Times New Roman" w:hAnsi="Times New Roman"/>
        </w:rPr>
        <w:t>are</w:t>
      </w:r>
      <w:r w:rsidR="0064364E" w:rsidRPr="00C62758">
        <w:rPr>
          <w:rFonts w:ascii="Times New Roman" w:hAnsi="Times New Roman"/>
        </w:rPr>
        <w:t xml:space="preserve"> </w:t>
      </w:r>
      <w:r w:rsidRPr="00C62758">
        <w:rPr>
          <w:rFonts w:ascii="Times New Roman" w:hAnsi="Times New Roman"/>
        </w:rPr>
        <w:t xml:space="preserve">a legislative instrument for the purposes of the </w:t>
      </w:r>
      <w:r w:rsidRPr="00C62758">
        <w:rPr>
          <w:rFonts w:ascii="Times New Roman" w:hAnsi="Times New Roman"/>
          <w:i/>
          <w:iCs/>
        </w:rPr>
        <w:t>Legislati</w:t>
      </w:r>
      <w:r w:rsidR="00650A68">
        <w:rPr>
          <w:rFonts w:ascii="Times New Roman" w:hAnsi="Times New Roman"/>
          <w:i/>
          <w:iCs/>
        </w:rPr>
        <w:t xml:space="preserve">on Act </w:t>
      </w:r>
      <w:r w:rsidRPr="00C62758">
        <w:rPr>
          <w:rFonts w:ascii="Times New Roman" w:hAnsi="Times New Roman"/>
          <w:i/>
          <w:iCs/>
        </w:rPr>
        <w:t>2003</w:t>
      </w:r>
      <w:r>
        <w:rPr>
          <w:rFonts w:ascii="Times New Roman" w:hAnsi="Times New Roman"/>
          <w:iCs/>
        </w:rPr>
        <w:t xml:space="preserve"> (the </w:t>
      </w:r>
      <w:r w:rsidR="00650A68">
        <w:rPr>
          <w:rFonts w:ascii="Times New Roman" w:hAnsi="Times New Roman"/>
          <w:iCs/>
        </w:rPr>
        <w:t xml:space="preserve">Legislation </w:t>
      </w:r>
      <w:r>
        <w:rPr>
          <w:rFonts w:ascii="Times New Roman" w:hAnsi="Times New Roman"/>
          <w:iCs/>
        </w:rPr>
        <w:t>Act)</w:t>
      </w:r>
      <w:r w:rsidRPr="00C62758">
        <w:rPr>
          <w:rFonts w:ascii="Times New Roman" w:hAnsi="Times New Roman"/>
        </w:rPr>
        <w:t>.</w:t>
      </w:r>
      <w:r>
        <w:rPr>
          <w:rFonts w:ascii="Times New Roman" w:hAnsi="Times New Roman"/>
        </w:rPr>
        <w:t xml:space="preserve">  </w:t>
      </w:r>
    </w:p>
    <w:p w:rsidR="00511EB3" w:rsidRPr="00C62758" w:rsidRDefault="00511EB3" w:rsidP="00220957">
      <w:pPr>
        <w:spacing w:before="0" w:after="0"/>
        <w:ind w:right="369"/>
        <w:rPr>
          <w:rFonts w:ascii="Times New Roman" w:hAnsi="Times New Roman"/>
        </w:rPr>
      </w:pPr>
    </w:p>
    <w:p w:rsidR="00023122" w:rsidRDefault="00023122" w:rsidP="00ED50EF">
      <w:pPr>
        <w:spacing w:before="0" w:after="0"/>
        <w:ind w:right="374"/>
        <w:rPr>
          <w:rFonts w:ascii="Times New Roman" w:hAnsi="Times New Roman"/>
        </w:rPr>
      </w:pPr>
    </w:p>
    <w:p w:rsidR="00ED50EF" w:rsidRDefault="00EE4DEC" w:rsidP="00ED50EF">
      <w:pPr>
        <w:spacing w:before="0" w:after="0"/>
        <w:ind w:right="374"/>
        <w:rPr>
          <w:rFonts w:ascii="Times New Roman" w:hAnsi="Times New Roman"/>
        </w:rPr>
      </w:pPr>
      <w:r>
        <w:rPr>
          <w:rFonts w:ascii="Times New Roman" w:hAnsi="Times New Roman"/>
        </w:rPr>
        <w:lastRenderedPageBreak/>
        <w:t>Sections</w:t>
      </w:r>
      <w:r w:rsidR="00D82AA0">
        <w:rPr>
          <w:rFonts w:ascii="Times New Roman" w:hAnsi="Times New Roman"/>
        </w:rPr>
        <w:t xml:space="preserve"> 1 to </w:t>
      </w:r>
      <w:r w:rsidR="0087701C">
        <w:rPr>
          <w:rFonts w:ascii="Times New Roman" w:hAnsi="Times New Roman"/>
        </w:rPr>
        <w:t>5</w:t>
      </w:r>
      <w:r w:rsidR="00920139">
        <w:rPr>
          <w:rFonts w:ascii="Times New Roman" w:hAnsi="Times New Roman"/>
        </w:rPr>
        <w:t xml:space="preserve"> </w:t>
      </w:r>
      <w:r w:rsidR="00511EB3">
        <w:rPr>
          <w:rFonts w:ascii="Times New Roman" w:hAnsi="Times New Roman"/>
        </w:rPr>
        <w:t>of the</w:t>
      </w:r>
      <w:r w:rsidR="0087701C">
        <w:rPr>
          <w:rFonts w:ascii="Times New Roman" w:hAnsi="Times New Roman"/>
        </w:rPr>
        <w:t xml:space="preserve"> </w:t>
      </w:r>
      <w:r w:rsidR="0064364E">
        <w:rPr>
          <w:rFonts w:ascii="Times New Roman" w:hAnsi="Times New Roman"/>
        </w:rPr>
        <w:t>Regulations</w:t>
      </w:r>
      <w:r w:rsidR="00511EB3">
        <w:rPr>
          <w:rFonts w:ascii="Times New Roman" w:hAnsi="Times New Roman"/>
        </w:rPr>
        <w:t xml:space="preserve"> </w:t>
      </w:r>
      <w:r w:rsidR="00D82AA0" w:rsidRPr="003D0250">
        <w:rPr>
          <w:rFonts w:ascii="Times New Roman" w:hAnsi="Times New Roman"/>
        </w:rPr>
        <w:t xml:space="preserve">commence on the day after </w:t>
      </w:r>
      <w:r w:rsidR="00F50062">
        <w:rPr>
          <w:rFonts w:ascii="Times New Roman" w:hAnsi="Times New Roman"/>
        </w:rPr>
        <w:t>the Regulations</w:t>
      </w:r>
      <w:r w:rsidR="00F50062" w:rsidRPr="003D0250">
        <w:rPr>
          <w:rFonts w:ascii="Times New Roman" w:hAnsi="Times New Roman"/>
        </w:rPr>
        <w:t xml:space="preserve"> </w:t>
      </w:r>
      <w:r w:rsidR="000F673E">
        <w:rPr>
          <w:rFonts w:ascii="Times New Roman" w:hAnsi="Times New Roman"/>
        </w:rPr>
        <w:t>are</w:t>
      </w:r>
      <w:r w:rsidR="00D82AA0" w:rsidRPr="003D0250">
        <w:rPr>
          <w:rFonts w:ascii="Times New Roman" w:hAnsi="Times New Roman"/>
        </w:rPr>
        <w:t xml:space="preserve"> registered</w:t>
      </w:r>
      <w:r w:rsidR="00D82AA0">
        <w:rPr>
          <w:rFonts w:ascii="Times New Roman" w:hAnsi="Times New Roman"/>
        </w:rPr>
        <w:t>.</w:t>
      </w:r>
      <w:r w:rsidR="00D82AA0" w:rsidRPr="00D82AA0">
        <w:rPr>
          <w:rFonts w:ascii="Times New Roman" w:hAnsi="Times New Roman"/>
        </w:rPr>
        <w:t xml:space="preserve">  </w:t>
      </w:r>
      <w:r w:rsidR="0006796C" w:rsidRPr="003D0250">
        <w:rPr>
          <w:rFonts w:ascii="Times New Roman" w:hAnsi="Times New Roman"/>
        </w:rPr>
        <w:t xml:space="preserve">Schedule 1 </w:t>
      </w:r>
      <w:r w:rsidR="0006796C">
        <w:rPr>
          <w:rFonts w:ascii="Times New Roman" w:hAnsi="Times New Roman"/>
        </w:rPr>
        <w:t xml:space="preserve">to the </w:t>
      </w:r>
      <w:r w:rsidR="0064364E">
        <w:rPr>
          <w:rFonts w:ascii="Times New Roman" w:hAnsi="Times New Roman"/>
        </w:rPr>
        <w:t>Regulations,</w:t>
      </w:r>
      <w:r w:rsidR="0006796C">
        <w:rPr>
          <w:rFonts w:ascii="Times New Roman" w:hAnsi="Times New Roman"/>
        </w:rPr>
        <w:t xml:space="preserve"> </w:t>
      </w:r>
      <w:r w:rsidR="0006796C" w:rsidRPr="00D82AA0">
        <w:rPr>
          <w:rFonts w:ascii="Times New Roman" w:hAnsi="Times New Roman"/>
        </w:rPr>
        <w:t>which contain</w:t>
      </w:r>
      <w:r w:rsidR="00D166A7">
        <w:rPr>
          <w:rFonts w:ascii="Times New Roman" w:hAnsi="Times New Roman"/>
        </w:rPr>
        <w:t>s</w:t>
      </w:r>
      <w:r w:rsidR="0006796C" w:rsidRPr="00D82AA0">
        <w:rPr>
          <w:rFonts w:ascii="Times New Roman" w:hAnsi="Times New Roman"/>
        </w:rPr>
        <w:t xml:space="preserve"> the</w:t>
      </w:r>
      <w:r w:rsidR="00ED50EF">
        <w:rPr>
          <w:rFonts w:ascii="Times New Roman" w:hAnsi="Times New Roman"/>
        </w:rPr>
        <w:t xml:space="preserve"> Exchange of Notes between the Governments of Australia and New Zealand on 24 March and 11 April 2017 commences immediately after the</w:t>
      </w:r>
      <w:r w:rsidR="00623D60">
        <w:rPr>
          <w:rFonts w:ascii="Times New Roman" w:hAnsi="Times New Roman"/>
        </w:rPr>
        <w:t xml:space="preserve"> commencement of Schedule 1 to the Amendment Regulations (which commences on the day the</w:t>
      </w:r>
      <w:r w:rsidR="00ED50EF">
        <w:rPr>
          <w:rFonts w:ascii="Times New Roman" w:hAnsi="Times New Roman"/>
        </w:rPr>
        <w:t xml:space="preserve"> Agreement enters into force </w:t>
      </w:r>
      <w:r w:rsidR="00623D60">
        <w:rPr>
          <w:rFonts w:ascii="Times New Roman" w:hAnsi="Times New Roman"/>
        </w:rPr>
        <w:t>for Australia).</w:t>
      </w:r>
    </w:p>
    <w:p w:rsidR="00ED50EF" w:rsidRDefault="0006796C" w:rsidP="00220957">
      <w:pPr>
        <w:spacing w:before="0" w:after="0"/>
        <w:ind w:right="374"/>
        <w:rPr>
          <w:rFonts w:ascii="Times New Roman" w:hAnsi="Times New Roman"/>
        </w:rPr>
      </w:pPr>
      <w:r w:rsidRPr="00D82AA0">
        <w:rPr>
          <w:rFonts w:ascii="Times New Roman" w:hAnsi="Times New Roman"/>
        </w:rPr>
        <w:t xml:space="preserve"> </w:t>
      </w:r>
    </w:p>
    <w:p w:rsidR="00B7005A" w:rsidRDefault="00511EB3" w:rsidP="00220957">
      <w:pPr>
        <w:spacing w:before="0" w:after="0"/>
        <w:ind w:right="369"/>
        <w:rPr>
          <w:rFonts w:ascii="Times New Roman" w:hAnsi="Times New Roman"/>
        </w:rPr>
      </w:pPr>
      <w:r w:rsidRPr="003D0250">
        <w:rPr>
          <w:rFonts w:ascii="Times New Roman" w:hAnsi="Times New Roman"/>
        </w:rPr>
        <w:t xml:space="preserve">The commencement provision </w:t>
      </w:r>
      <w:r>
        <w:rPr>
          <w:rFonts w:ascii="Times New Roman" w:hAnsi="Times New Roman"/>
        </w:rPr>
        <w:t>in section 2 of the Regulation</w:t>
      </w:r>
      <w:r w:rsidR="00F50062">
        <w:rPr>
          <w:rFonts w:ascii="Times New Roman" w:hAnsi="Times New Roman"/>
        </w:rPr>
        <w:t>s</w:t>
      </w:r>
      <w:r>
        <w:rPr>
          <w:rFonts w:ascii="Times New Roman" w:hAnsi="Times New Roman"/>
        </w:rPr>
        <w:t xml:space="preserve"> </w:t>
      </w:r>
      <w:r w:rsidRPr="003D0250">
        <w:rPr>
          <w:rFonts w:ascii="Times New Roman" w:hAnsi="Times New Roman"/>
        </w:rPr>
        <w:t xml:space="preserve">satisfies the requirements of subsection </w:t>
      </w:r>
      <w:r w:rsidR="008A3BE4">
        <w:rPr>
          <w:rFonts w:ascii="Times New Roman" w:hAnsi="Times New Roman"/>
        </w:rPr>
        <w:t>7</w:t>
      </w:r>
      <w:r w:rsidRPr="003D0250">
        <w:rPr>
          <w:rFonts w:ascii="Times New Roman" w:hAnsi="Times New Roman"/>
        </w:rPr>
        <w:t>(2) of the Act that regulations not come into operation on a day earlier than the day the relevant agreement comes into effect for Australia.</w:t>
      </w:r>
      <w:r w:rsidR="00B7005A">
        <w:rPr>
          <w:rFonts w:ascii="Times New Roman" w:hAnsi="Times New Roman"/>
        </w:rPr>
        <w:t xml:space="preserve"> </w:t>
      </w:r>
    </w:p>
    <w:p w:rsidR="00B7005A" w:rsidRDefault="00B7005A" w:rsidP="0004598C">
      <w:pPr>
        <w:spacing w:before="0" w:after="0"/>
        <w:ind w:right="369"/>
        <w:rPr>
          <w:rFonts w:ascii="Times New Roman" w:hAnsi="Times New Roman"/>
        </w:rPr>
      </w:pPr>
    </w:p>
    <w:p w:rsidR="009A6DE0" w:rsidRDefault="0004598C" w:rsidP="005B0749">
      <w:pPr>
        <w:spacing w:before="0" w:after="0"/>
        <w:ind w:right="369"/>
        <w:rPr>
          <w:rFonts w:ascii="Times New Roman" w:hAnsi="Times New Roman"/>
        </w:rPr>
      </w:pPr>
      <w:r>
        <w:rPr>
          <w:rFonts w:ascii="Times New Roman" w:hAnsi="Times New Roman"/>
        </w:rPr>
        <w:t>In line with Article 27 of the Agreement, t</w:t>
      </w:r>
      <w:r w:rsidR="00323273" w:rsidRPr="005B0749">
        <w:rPr>
          <w:rFonts w:ascii="Times New Roman" w:hAnsi="Times New Roman"/>
        </w:rPr>
        <w:t xml:space="preserve">he commencement provision in section 2 </w:t>
      </w:r>
      <w:r w:rsidR="00B7005A" w:rsidRPr="005B0749">
        <w:rPr>
          <w:rFonts w:ascii="Times New Roman" w:hAnsi="Times New Roman"/>
        </w:rPr>
        <w:t xml:space="preserve">of the </w:t>
      </w:r>
      <w:r w:rsidR="0064364E">
        <w:rPr>
          <w:rFonts w:ascii="Times New Roman" w:hAnsi="Times New Roman"/>
        </w:rPr>
        <w:t>Regulations</w:t>
      </w:r>
      <w:r w:rsidR="00B7005A" w:rsidRPr="005B0749">
        <w:rPr>
          <w:rFonts w:ascii="Times New Roman" w:hAnsi="Times New Roman"/>
        </w:rPr>
        <w:t xml:space="preserve"> </w:t>
      </w:r>
      <w:r w:rsidR="00323273" w:rsidRPr="005B0749">
        <w:rPr>
          <w:rFonts w:ascii="Times New Roman" w:hAnsi="Times New Roman"/>
        </w:rPr>
        <w:t xml:space="preserve">does not include a mechanism by which the </w:t>
      </w:r>
      <w:r w:rsidR="0064364E">
        <w:rPr>
          <w:rFonts w:ascii="Times New Roman" w:hAnsi="Times New Roman"/>
        </w:rPr>
        <w:t>Regulations</w:t>
      </w:r>
      <w:r w:rsidR="00323273" w:rsidRPr="005B0749">
        <w:rPr>
          <w:rFonts w:ascii="Times New Roman" w:hAnsi="Times New Roman"/>
        </w:rPr>
        <w:t xml:space="preserve"> will </w:t>
      </w:r>
      <w:r w:rsidR="009A6DE0">
        <w:rPr>
          <w:rFonts w:ascii="Times New Roman" w:hAnsi="Times New Roman"/>
        </w:rPr>
        <w:t xml:space="preserve">automatically </w:t>
      </w:r>
      <w:r w:rsidR="00323273" w:rsidRPr="005B0749">
        <w:rPr>
          <w:rFonts w:ascii="Times New Roman" w:hAnsi="Times New Roman"/>
        </w:rPr>
        <w:t xml:space="preserve">commence or be repealed if </w:t>
      </w:r>
      <w:r w:rsidR="00B7005A" w:rsidRPr="005B0749">
        <w:rPr>
          <w:rFonts w:ascii="Times New Roman" w:hAnsi="Times New Roman"/>
        </w:rPr>
        <w:t xml:space="preserve">the </w:t>
      </w:r>
      <w:r w:rsidR="00F50062">
        <w:rPr>
          <w:rFonts w:ascii="Times New Roman" w:hAnsi="Times New Roman"/>
        </w:rPr>
        <w:t>Agreement does not enter into force for Australia</w:t>
      </w:r>
      <w:r w:rsidR="00323273" w:rsidRPr="005B0749">
        <w:rPr>
          <w:rFonts w:ascii="Times New Roman" w:hAnsi="Times New Roman"/>
        </w:rPr>
        <w:t>.</w:t>
      </w:r>
      <w:r w:rsidR="0064364E">
        <w:rPr>
          <w:rFonts w:ascii="Times New Roman" w:hAnsi="Times New Roman"/>
        </w:rPr>
        <w:t xml:space="preserve"> </w:t>
      </w:r>
      <w:r w:rsidR="00ED50EF">
        <w:rPr>
          <w:rFonts w:ascii="Times New Roman" w:hAnsi="Times New Roman"/>
        </w:rPr>
        <w:t xml:space="preserve"> </w:t>
      </w:r>
      <w:r w:rsidR="00F50062">
        <w:rPr>
          <w:rFonts w:ascii="Times New Roman" w:hAnsi="Times New Roman"/>
        </w:rPr>
        <w:t>Article 27 of the Agreement anticipates a commencement date of 1 July 2017</w:t>
      </w:r>
      <w:r w:rsidR="009A6DE0">
        <w:rPr>
          <w:rFonts w:ascii="Times New Roman" w:hAnsi="Times New Roman"/>
        </w:rPr>
        <w:t xml:space="preserve">, but commencement is not time limited. The Agreement could commence at any time after 1 July 2017 provided that notes stating that all matters necessary to give effect to the Agreement have been completed have been exchanged through the diplomatic channel. </w:t>
      </w:r>
      <w:r w:rsidR="00323273" w:rsidRPr="005B0749">
        <w:rPr>
          <w:rFonts w:ascii="Times New Roman" w:hAnsi="Times New Roman"/>
        </w:rPr>
        <w:t xml:space="preserve"> </w:t>
      </w:r>
      <w:r w:rsidR="000E7F6D" w:rsidRPr="005B0749">
        <w:rPr>
          <w:rFonts w:ascii="Times New Roman" w:hAnsi="Times New Roman"/>
        </w:rPr>
        <w:t xml:space="preserve"> </w:t>
      </w:r>
    </w:p>
    <w:p w:rsidR="00220957" w:rsidRDefault="00220957" w:rsidP="005B0749">
      <w:pPr>
        <w:spacing w:before="0" w:after="0"/>
        <w:ind w:right="369"/>
        <w:rPr>
          <w:rFonts w:ascii="Times New Roman" w:hAnsi="Times New Roman"/>
        </w:rPr>
      </w:pPr>
    </w:p>
    <w:p w:rsidR="00492528" w:rsidRDefault="0064364E" w:rsidP="0004598C">
      <w:pPr>
        <w:spacing w:before="0" w:after="0"/>
        <w:ind w:right="369"/>
        <w:rPr>
          <w:rFonts w:ascii="Times New Roman" w:hAnsi="Times New Roman"/>
        </w:rPr>
      </w:pPr>
      <w:r>
        <w:rPr>
          <w:rFonts w:ascii="Times New Roman" w:hAnsi="Times New Roman"/>
        </w:rPr>
        <w:t xml:space="preserve">Section 3 of the </w:t>
      </w:r>
      <w:r w:rsidR="007434FF">
        <w:rPr>
          <w:rFonts w:ascii="Times New Roman" w:hAnsi="Times New Roman"/>
        </w:rPr>
        <w:t xml:space="preserve">proposed </w:t>
      </w:r>
      <w:r>
        <w:rPr>
          <w:rFonts w:ascii="Times New Roman" w:hAnsi="Times New Roman"/>
        </w:rPr>
        <w:t>Regulations specifies that th</w:t>
      </w:r>
      <w:r w:rsidR="0087701C">
        <w:rPr>
          <w:rFonts w:ascii="Times New Roman" w:hAnsi="Times New Roman"/>
        </w:rPr>
        <w:t xml:space="preserve">e Regulations are made under </w:t>
      </w:r>
      <w:r>
        <w:rPr>
          <w:rFonts w:ascii="Times New Roman" w:hAnsi="Times New Roman"/>
        </w:rPr>
        <w:t xml:space="preserve">section </w:t>
      </w:r>
      <w:r w:rsidR="0087701C">
        <w:rPr>
          <w:rFonts w:ascii="Times New Roman" w:hAnsi="Times New Roman"/>
        </w:rPr>
        <w:t>7</w:t>
      </w:r>
      <w:r>
        <w:rPr>
          <w:rFonts w:ascii="Times New Roman" w:hAnsi="Times New Roman"/>
        </w:rPr>
        <w:t xml:space="preserve"> of the </w:t>
      </w:r>
      <w:r w:rsidR="007434FF" w:rsidRPr="007434FF">
        <w:rPr>
          <w:rFonts w:ascii="Times New Roman" w:hAnsi="Times New Roman"/>
        </w:rPr>
        <w:t>Act</w:t>
      </w:r>
      <w:r>
        <w:rPr>
          <w:rFonts w:ascii="Times New Roman" w:hAnsi="Times New Roman"/>
        </w:rPr>
        <w:t>.</w:t>
      </w:r>
    </w:p>
    <w:p w:rsidR="0087701C" w:rsidRPr="00B7005A" w:rsidRDefault="0087701C" w:rsidP="0004598C">
      <w:pPr>
        <w:spacing w:before="0" w:after="0"/>
        <w:ind w:right="369"/>
        <w:rPr>
          <w:rFonts w:ascii="Times New Roman" w:hAnsi="Times New Roman"/>
          <w:iCs/>
        </w:rPr>
      </w:pPr>
    </w:p>
    <w:p w:rsidR="00920139" w:rsidRDefault="00920139" w:rsidP="0004598C">
      <w:pPr>
        <w:spacing w:before="0" w:after="0"/>
        <w:ind w:right="369"/>
        <w:rPr>
          <w:rFonts w:ascii="Times New Roman" w:hAnsi="Times New Roman"/>
        </w:rPr>
      </w:pPr>
      <w:r>
        <w:rPr>
          <w:rFonts w:ascii="Times New Roman" w:hAnsi="Times New Roman"/>
        </w:rPr>
        <w:t xml:space="preserve">Section 4 of the </w:t>
      </w:r>
      <w:r w:rsidR="0064364E">
        <w:rPr>
          <w:rFonts w:ascii="Times New Roman" w:hAnsi="Times New Roman"/>
        </w:rPr>
        <w:t>Regulations</w:t>
      </w:r>
      <w:r>
        <w:rPr>
          <w:rFonts w:ascii="Times New Roman" w:hAnsi="Times New Roman"/>
        </w:rPr>
        <w:t xml:space="preserve"> provides that the </w:t>
      </w:r>
      <w:r w:rsidR="0064364E">
        <w:rPr>
          <w:rFonts w:ascii="Times New Roman" w:hAnsi="Times New Roman"/>
        </w:rPr>
        <w:t>Regulations</w:t>
      </w:r>
      <w:r>
        <w:rPr>
          <w:rFonts w:ascii="Times New Roman" w:hAnsi="Times New Roman"/>
        </w:rPr>
        <w:t xml:space="preserve"> will be repealed the day after Schedule 1 to the </w:t>
      </w:r>
      <w:r w:rsidR="0064364E">
        <w:rPr>
          <w:rFonts w:ascii="Times New Roman" w:hAnsi="Times New Roman"/>
        </w:rPr>
        <w:t>Regulations</w:t>
      </w:r>
      <w:r>
        <w:rPr>
          <w:rFonts w:ascii="Times New Roman" w:hAnsi="Times New Roman"/>
        </w:rPr>
        <w:t xml:space="preserve"> commences.</w:t>
      </w:r>
      <w:r w:rsidR="000E7F6D">
        <w:rPr>
          <w:rFonts w:ascii="Times New Roman" w:hAnsi="Times New Roman"/>
        </w:rPr>
        <w:t xml:space="preserve"> </w:t>
      </w:r>
      <w:r>
        <w:rPr>
          <w:rFonts w:ascii="Times New Roman" w:hAnsi="Times New Roman"/>
        </w:rPr>
        <w:t xml:space="preserve"> </w:t>
      </w:r>
      <w:r w:rsidRPr="00920139">
        <w:rPr>
          <w:rFonts w:ascii="Times New Roman" w:hAnsi="Times New Roman"/>
        </w:rPr>
        <w:t xml:space="preserve">Part </w:t>
      </w:r>
      <w:r w:rsidR="00650A68">
        <w:rPr>
          <w:rFonts w:ascii="Times New Roman" w:hAnsi="Times New Roman"/>
        </w:rPr>
        <w:t>3</w:t>
      </w:r>
      <w:r w:rsidR="00650A68" w:rsidRPr="00920139">
        <w:rPr>
          <w:rFonts w:ascii="Times New Roman" w:hAnsi="Times New Roman"/>
        </w:rPr>
        <w:t xml:space="preserve"> </w:t>
      </w:r>
      <w:r w:rsidRPr="00920139">
        <w:rPr>
          <w:rFonts w:ascii="Times New Roman" w:hAnsi="Times New Roman"/>
        </w:rPr>
        <w:t xml:space="preserve">of </w:t>
      </w:r>
      <w:r w:rsidR="00E330AF">
        <w:rPr>
          <w:rFonts w:ascii="Times New Roman" w:hAnsi="Times New Roman"/>
        </w:rPr>
        <w:t xml:space="preserve">Chapter 3 of </w:t>
      </w:r>
      <w:r w:rsidRPr="00920139">
        <w:rPr>
          <w:rFonts w:ascii="Times New Roman" w:hAnsi="Times New Roman"/>
        </w:rPr>
        <w:t xml:space="preserve">the </w:t>
      </w:r>
      <w:r w:rsidRPr="0087701C">
        <w:rPr>
          <w:rFonts w:ascii="Times New Roman" w:hAnsi="Times New Roman"/>
          <w:i/>
        </w:rPr>
        <w:t>L</w:t>
      </w:r>
      <w:r w:rsidR="00650A68" w:rsidRPr="0087701C">
        <w:rPr>
          <w:rFonts w:ascii="Times New Roman" w:hAnsi="Times New Roman"/>
          <w:i/>
        </w:rPr>
        <w:t>egislation</w:t>
      </w:r>
      <w:r w:rsidRPr="0087701C">
        <w:rPr>
          <w:rFonts w:ascii="Times New Roman" w:hAnsi="Times New Roman"/>
          <w:i/>
        </w:rPr>
        <w:t xml:space="preserve"> Act</w:t>
      </w:r>
      <w:r w:rsidRPr="00920139">
        <w:rPr>
          <w:rFonts w:ascii="Times New Roman" w:hAnsi="Times New Roman"/>
        </w:rPr>
        <w:t xml:space="preserve"> </w:t>
      </w:r>
      <w:r w:rsidR="0087701C">
        <w:rPr>
          <w:rFonts w:ascii="Times New Roman" w:hAnsi="Times New Roman"/>
          <w:i/>
        </w:rPr>
        <w:t xml:space="preserve">2003 </w:t>
      </w:r>
      <w:r w:rsidR="0087701C">
        <w:rPr>
          <w:rFonts w:ascii="Times New Roman" w:hAnsi="Times New Roman"/>
        </w:rPr>
        <w:t xml:space="preserve">(the Legislation Act) </w:t>
      </w:r>
      <w:r w:rsidRPr="00920139">
        <w:rPr>
          <w:rFonts w:ascii="Times New Roman" w:hAnsi="Times New Roman"/>
        </w:rPr>
        <w:t>provides for the automatic repeal of spent legislative instruments, but only those whose only legal effect is to amend or repeal one or more other legislative instruments.</w:t>
      </w:r>
      <w:r w:rsidR="000E7F6D">
        <w:rPr>
          <w:rFonts w:ascii="Times New Roman" w:hAnsi="Times New Roman"/>
        </w:rPr>
        <w:t xml:space="preserve"> </w:t>
      </w:r>
      <w:r w:rsidRPr="00920139">
        <w:rPr>
          <w:rFonts w:ascii="Times New Roman" w:hAnsi="Times New Roman"/>
        </w:rPr>
        <w:t xml:space="preserve"> Part</w:t>
      </w:r>
      <w:r w:rsidR="009A757F">
        <w:rPr>
          <w:rFonts w:ascii="Times New Roman" w:hAnsi="Times New Roman"/>
        </w:rPr>
        <w:t> </w:t>
      </w:r>
      <w:r w:rsidR="00650A68">
        <w:rPr>
          <w:rFonts w:ascii="Times New Roman" w:hAnsi="Times New Roman"/>
        </w:rPr>
        <w:t>3</w:t>
      </w:r>
      <w:r w:rsidRPr="00920139">
        <w:rPr>
          <w:rFonts w:ascii="Times New Roman" w:hAnsi="Times New Roman"/>
        </w:rPr>
        <w:t xml:space="preserve"> </w:t>
      </w:r>
      <w:r w:rsidR="00511EB3">
        <w:rPr>
          <w:rFonts w:ascii="Times New Roman" w:hAnsi="Times New Roman"/>
        </w:rPr>
        <w:t xml:space="preserve">of </w:t>
      </w:r>
      <w:r w:rsidR="00E330AF">
        <w:rPr>
          <w:rFonts w:ascii="Times New Roman" w:hAnsi="Times New Roman"/>
        </w:rPr>
        <w:t xml:space="preserve">Chapter 3 of </w:t>
      </w:r>
      <w:r w:rsidR="00511EB3">
        <w:rPr>
          <w:rFonts w:ascii="Times New Roman" w:hAnsi="Times New Roman"/>
        </w:rPr>
        <w:t>the L</w:t>
      </w:r>
      <w:r w:rsidR="00650A68">
        <w:rPr>
          <w:rFonts w:ascii="Times New Roman" w:hAnsi="Times New Roman"/>
        </w:rPr>
        <w:t>egislation</w:t>
      </w:r>
      <w:r w:rsidR="00511EB3">
        <w:rPr>
          <w:rFonts w:ascii="Times New Roman" w:hAnsi="Times New Roman"/>
        </w:rPr>
        <w:t xml:space="preserve"> Act </w:t>
      </w:r>
      <w:r w:rsidRPr="00920139">
        <w:rPr>
          <w:rFonts w:ascii="Times New Roman" w:hAnsi="Times New Roman"/>
        </w:rPr>
        <w:t xml:space="preserve">does not operate to automatically repeal spent legislative instruments which amend or repeal Acts. </w:t>
      </w:r>
      <w:r w:rsidR="000E7F6D">
        <w:rPr>
          <w:rFonts w:ascii="Times New Roman" w:hAnsi="Times New Roman"/>
        </w:rPr>
        <w:t xml:space="preserve"> </w:t>
      </w:r>
      <w:r w:rsidRPr="00920139">
        <w:rPr>
          <w:rFonts w:ascii="Times New Roman" w:hAnsi="Times New Roman"/>
        </w:rPr>
        <w:t xml:space="preserve">For this reason, to ensure </w:t>
      </w:r>
      <w:r w:rsidR="00511EB3">
        <w:rPr>
          <w:rFonts w:ascii="Times New Roman" w:hAnsi="Times New Roman"/>
        </w:rPr>
        <w:t xml:space="preserve">the </w:t>
      </w:r>
      <w:r w:rsidR="0064364E">
        <w:rPr>
          <w:rFonts w:ascii="Times New Roman" w:hAnsi="Times New Roman"/>
        </w:rPr>
        <w:t>Regulations</w:t>
      </w:r>
      <w:r w:rsidR="00511EB3">
        <w:rPr>
          <w:rFonts w:ascii="Times New Roman" w:hAnsi="Times New Roman"/>
        </w:rPr>
        <w:t xml:space="preserve"> do not remain in force</w:t>
      </w:r>
      <w:r w:rsidRPr="00920139">
        <w:rPr>
          <w:rFonts w:ascii="Times New Roman" w:hAnsi="Times New Roman"/>
        </w:rPr>
        <w:t xml:space="preserve"> once spent, </w:t>
      </w:r>
      <w:r w:rsidR="00511EB3">
        <w:rPr>
          <w:rFonts w:ascii="Times New Roman" w:hAnsi="Times New Roman"/>
        </w:rPr>
        <w:t>section 4 has been included to</w:t>
      </w:r>
      <w:r w:rsidRPr="00920139">
        <w:rPr>
          <w:rFonts w:ascii="Times New Roman" w:hAnsi="Times New Roman"/>
        </w:rPr>
        <w:t xml:space="preserve"> </w:t>
      </w:r>
      <w:r w:rsidR="00511EB3">
        <w:rPr>
          <w:rFonts w:ascii="Times New Roman" w:hAnsi="Times New Roman"/>
        </w:rPr>
        <w:t xml:space="preserve">ensure </w:t>
      </w:r>
      <w:r w:rsidRPr="00920139">
        <w:rPr>
          <w:rFonts w:ascii="Times New Roman" w:hAnsi="Times New Roman"/>
        </w:rPr>
        <w:t xml:space="preserve">that </w:t>
      </w:r>
      <w:r w:rsidR="00511EB3">
        <w:rPr>
          <w:rFonts w:ascii="Times New Roman" w:hAnsi="Times New Roman"/>
        </w:rPr>
        <w:t xml:space="preserve">the </w:t>
      </w:r>
      <w:r w:rsidR="0064364E">
        <w:rPr>
          <w:rFonts w:ascii="Times New Roman" w:hAnsi="Times New Roman"/>
        </w:rPr>
        <w:t>Regulations</w:t>
      </w:r>
      <w:r w:rsidRPr="00920139">
        <w:rPr>
          <w:rFonts w:ascii="Times New Roman" w:hAnsi="Times New Roman"/>
        </w:rPr>
        <w:t xml:space="preserve"> </w:t>
      </w:r>
      <w:r w:rsidR="00511EB3">
        <w:rPr>
          <w:rFonts w:ascii="Times New Roman" w:hAnsi="Times New Roman"/>
        </w:rPr>
        <w:t>will be</w:t>
      </w:r>
      <w:r w:rsidRPr="00920139">
        <w:rPr>
          <w:rFonts w:ascii="Times New Roman" w:hAnsi="Times New Roman"/>
        </w:rPr>
        <w:t xml:space="preserve"> repealed </w:t>
      </w:r>
      <w:r w:rsidR="00B7005A">
        <w:rPr>
          <w:rFonts w:ascii="Times New Roman" w:hAnsi="Times New Roman"/>
        </w:rPr>
        <w:t xml:space="preserve">once Schedule 1 to the </w:t>
      </w:r>
      <w:r w:rsidR="0064364E">
        <w:rPr>
          <w:rFonts w:ascii="Times New Roman" w:hAnsi="Times New Roman"/>
        </w:rPr>
        <w:t>Regulations</w:t>
      </w:r>
      <w:r w:rsidR="00B7005A">
        <w:rPr>
          <w:rFonts w:ascii="Times New Roman" w:hAnsi="Times New Roman"/>
        </w:rPr>
        <w:t xml:space="preserve"> commences</w:t>
      </w:r>
      <w:r w:rsidRPr="00920139">
        <w:rPr>
          <w:rFonts w:ascii="Times New Roman" w:hAnsi="Times New Roman"/>
        </w:rPr>
        <w:t>.</w:t>
      </w:r>
    </w:p>
    <w:p w:rsidR="0064364E" w:rsidRDefault="0064364E" w:rsidP="0004598C">
      <w:pPr>
        <w:spacing w:before="0" w:after="0"/>
        <w:ind w:right="369"/>
        <w:rPr>
          <w:rFonts w:ascii="Times New Roman" w:hAnsi="Times New Roman"/>
        </w:rPr>
      </w:pPr>
    </w:p>
    <w:p w:rsidR="0064364E" w:rsidRDefault="0064364E" w:rsidP="0004598C">
      <w:pPr>
        <w:spacing w:before="0" w:after="0"/>
        <w:ind w:right="369"/>
        <w:rPr>
          <w:rFonts w:ascii="Times New Roman" w:hAnsi="Times New Roman"/>
        </w:rPr>
      </w:pPr>
      <w:r>
        <w:rPr>
          <w:rFonts w:ascii="Times New Roman" w:hAnsi="Times New Roman"/>
        </w:rPr>
        <w:t>Section 5 of the Regulations provides that legislation specified in a Schedule to the instrument is amended or repealed as set out in the applicable items in the Schedule concerned, and any other item in a Schedule to the instrument has effect according to its terms.</w:t>
      </w:r>
    </w:p>
    <w:p w:rsidR="00E05BC3" w:rsidRPr="007434FF" w:rsidRDefault="00E05BC3" w:rsidP="007434FF">
      <w:pPr>
        <w:spacing w:before="0" w:after="0"/>
        <w:ind w:right="371"/>
        <w:rPr>
          <w:rFonts w:ascii="Times New Roman" w:hAnsi="Times New Roman"/>
          <w:szCs w:val="20"/>
          <w:lang w:eastAsia="en-AU"/>
        </w:rPr>
      </w:pPr>
    </w:p>
    <w:p w:rsidR="007434FF" w:rsidRPr="007434FF" w:rsidRDefault="007434FF" w:rsidP="007434FF">
      <w:pPr>
        <w:spacing w:before="0" w:after="0"/>
        <w:ind w:right="371"/>
        <w:rPr>
          <w:rFonts w:ascii="Times New Roman" w:hAnsi="Times New Roman"/>
          <w:szCs w:val="20"/>
          <w:lang w:eastAsia="en-AU"/>
        </w:rPr>
      </w:pPr>
      <w:proofErr w:type="gramStart"/>
      <w:r w:rsidRPr="007434FF">
        <w:rPr>
          <w:rFonts w:ascii="Times New Roman" w:hAnsi="Times New Roman"/>
          <w:szCs w:val="20"/>
          <w:lang w:eastAsia="en-AU"/>
        </w:rPr>
        <w:t>Schedule 1 of the proposed Regulations sets out the amendments to Schedule 3 of the Act.</w:t>
      </w:r>
      <w:proofErr w:type="gramEnd"/>
      <w:r w:rsidRPr="007434FF">
        <w:rPr>
          <w:rFonts w:ascii="Times New Roman" w:hAnsi="Times New Roman"/>
          <w:szCs w:val="20"/>
          <w:lang w:eastAsia="en-AU"/>
        </w:rPr>
        <w:t xml:space="preserve">  Item 1 inserts the heading ‘Part A’ after the Schedule heading to Schedule 3 of the Act.  Item 2 inserts the Exchange of Notes under Part B at the end of Schedule 3 of the Act.</w:t>
      </w:r>
    </w:p>
    <w:p w:rsidR="001765BD" w:rsidRDefault="001765BD" w:rsidP="0004598C">
      <w:pPr>
        <w:spacing w:before="0" w:after="0"/>
        <w:ind w:right="371"/>
        <w:rPr>
          <w:rFonts w:ascii="Times New Roman" w:hAnsi="Times New Roman"/>
          <w:b/>
        </w:rPr>
      </w:pPr>
    </w:p>
    <w:p w:rsidR="003D0250" w:rsidRDefault="003D0250" w:rsidP="0004598C">
      <w:pPr>
        <w:spacing w:before="0" w:after="0"/>
        <w:ind w:right="371"/>
        <w:rPr>
          <w:rFonts w:ascii="Times New Roman" w:hAnsi="Times New Roman"/>
        </w:rPr>
      </w:pPr>
      <w:r>
        <w:rPr>
          <w:rFonts w:ascii="Times New Roman" w:hAnsi="Times New Roman"/>
          <w:b/>
        </w:rPr>
        <w:t>Consultation</w:t>
      </w:r>
    </w:p>
    <w:p w:rsidR="005A038C" w:rsidRDefault="005A038C" w:rsidP="0004598C">
      <w:pPr>
        <w:spacing w:before="0" w:after="0"/>
        <w:ind w:right="371"/>
        <w:rPr>
          <w:rFonts w:ascii="Times New Roman" w:hAnsi="Times New Roman"/>
        </w:rPr>
      </w:pPr>
    </w:p>
    <w:p w:rsidR="004B6F97" w:rsidRDefault="00761443" w:rsidP="0004598C">
      <w:pPr>
        <w:spacing w:before="0" w:after="0"/>
        <w:ind w:right="371"/>
        <w:rPr>
          <w:rFonts w:ascii="Times New Roman" w:hAnsi="Times New Roman"/>
          <w:bCs/>
          <w:lang w:val="en-US"/>
        </w:rPr>
      </w:pPr>
      <w:r w:rsidRPr="00175D3E">
        <w:rPr>
          <w:rFonts w:ascii="Times New Roman" w:hAnsi="Times New Roman"/>
          <w:bCs/>
          <w:lang w:val="en-US"/>
        </w:rPr>
        <w:t xml:space="preserve">The </w:t>
      </w:r>
      <w:r w:rsidR="00E05BC3" w:rsidRPr="00175D3E">
        <w:rPr>
          <w:rFonts w:ascii="Times New Roman" w:hAnsi="Times New Roman"/>
          <w:bCs/>
          <w:lang w:val="en-US"/>
        </w:rPr>
        <w:t>Office of International Law, Attorney-General’s Department, the Australian Government Solicitor and the Office of Parliamentary Counsel</w:t>
      </w:r>
      <w:r w:rsidRPr="00175D3E">
        <w:rPr>
          <w:rFonts w:ascii="Times New Roman" w:hAnsi="Times New Roman"/>
          <w:bCs/>
          <w:lang w:val="en-US"/>
        </w:rPr>
        <w:t xml:space="preserve"> were consulted</w:t>
      </w:r>
      <w:r w:rsidR="00E05BC3" w:rsidRPr="00175D3E">
        <w:rPr>
          <w:rFonts w:ascii="Times New Roman" w:hAnsi="Times New Roman"/>
          <w:bCs/>
          <w:lang w:val="en-US"/>
        </w:rPr>
        <w:t xml:space="preserve"> regarding the corrections required for the Exchange of Notes</w:t>
      </w:r>
      <w:r w:rsidRPr="00175D3E">
        <w:rPr>
          <w:rFonts w:ascii="Times New Roman" w:hAnsi="Times New Roman"/>
          <w:bCs/>
          <w:lang w:val="en-US"/>
        </w:rPr>
        <w:t xml:space="preserve"> in</w:t>
      </w:r>
      <w:r w:rsidR="001C4CBC" w:rsidRPr="00175D3E">
        <w:rPr>
          <w:rFonts w:ascii="Times New Roman" w:hAnsi="Times New Roman"/>
          <w:bCs/>
          <w:lang w:val="en-US"/>
        </w:rPr>
        <w:t xml:space="preserve"> relation to</w:t>
      </w:r>
      <w:r w:rsidRPr="00175D3E">
        <w:rPr>
          <w:rFonts w:ascii="Times New Roman" w:hAnsi="Times New Roman"/>
          <w:bCs/>
          <w:lang w:val="en-US"/>
        </w:rPr>
        <w:t xml:space="preserve"> the preparation of the</w:t>
      </w:r>
      <w:r w:rsidR="00065A04" w:rsidRPr="00175D3E">
        <w:rPr>
          <w:rFonts w:ascii="Times New Roman" w:hAnsi="Times New Roman"/>
          <w:bCs/>
          <w:lang w:val="en-US"/>
        </w:rPr>
        <w:t xml:space="preserve"> </w:t>
      </w:r>
      <w:r w:rsidR="001C4CBC" w:rsidRPr="00175D3E">
        <w:rPr>
          <w:rFonts w:ascii="Times New Roman" w:hAnsi="Times New Roman"/>
          <w:bCs/>
          <w:lang w:val="en-US"/>
        </w:rPr>
        <w:t>Regulations</w:t>
      </w:r>
      <w:r w:rsidRPr="00175D3E">
        <w:rPr>
          <w:rFonts w:ascii="Times New Roman" w:hAnsi="Times New Roman"/>
          <w:bCs/>
          <w:lang w:val="en-US"/>
        </w:rPr>
        <w:t>.</w:t>
      </w:r>
    </w:p>
    <w:p w:rsidR="002306C2" w:rsidRDefault="002306C2" w:rsidP="0004598C">
      <w:pPr>
        <w:spacing w:before="0" w:after="0"/>
        <w:ind w:right="374"/>
        <w:rPr>
          <w:rFonts w:ascii="Times New Roman" w:hAnsi="Times New Roman"/>
        </w:rPr>
      </w:pPr>
    </w:p>
    <w:p w:rsidR="00023122" w:rsidRDefault="00023122" w:rsidP="0004598C">
      <w:pPr>
        <w:spacing w:before="0" w:after="0"/>
        <w:ind w:right="371"/>
        <w:rPr>
          <w:rFonts w:ascii="Times New Roman" w:hAnsi="Times New Roman"/>
          <w:b/>
        </w:rPr>
      </w:pPr>
    </w:p>
    <w:p w:rsidR="00023122" w:rsidRDefault="00023122" w:rsidP="0004598C">
      <w:pPr>
        <w:spacing w:before="0" w:after="0"/>
        <w:ind w:right="371"/>
        <w:rPr>
          <w:rFonts w:ascii="Times New Roman" w:hAnsi="Times New Roman"/>
          <w:b/>
        </w:rPr>
      </w:pPr>
    </w:p>
    <w:p w:rsidR="008B0E44" w:rsidRDefault="008B0E44" w:rsidP="0004598C">
      <w:pPr>
        <w:spacing w:before="0" w:after="0"/>
        <w:ind w:right="371"/>
        <w:rPr>
          <w:rFonts w:ascii="Times New Roman" w:hAnsi="Times New Roman"/>
          <w:b/>
        </w:rPr>
      </w:pPr>
      <w:r w:rsidRPr="006D216C">
        <w:rPr>
          <w:rFonts w:ascii="Times New Roman" w:hAnsi="Times New Roman"/>
          <w:b/>
        </w:rPr>
        <w:lastRenderedPageBreak/>
        <w:t>Regulatory Impact Analysis</w:t>
      </w:r>
    </w:p>
    <w:p w:rsidR="00220957" w:rsidRPr="006D216C" w:rsidRDefault="00220957" w:rsidP="0004598C">
      <w:pPr>
        <w:spacing w:before="0" w:after="0"/>
        <w:ind w:right="371"/>
        <w:rPr>
          <w:rFonts w:ascii="Times New Roman" w:hAnsi="Times New Roman"/>
          <w:b/>
        </w:rPr>
      </w:pPr>
    </w:p>
    <w:p w:rsidR="00B2535B" w:rsidRDefault="00220957" w:rsidP="005B0749">
      <w:pPr>
        <w:spacing w:before="0" w:after="0"/>
        <w:rPr>
          <w:rFonts w:ascii="Times New Roman" w:hAnsi="Times New Roman"/>
          <w:bCs/>
        </w:rPr>
      </w:pPr>
      <w:r w:rsidRPr="00175D3E">
        <w:rPr>
          <w:rFonts w:ascii="Times New Roman" w:hAnsi="Times New Roman"/>
          <w:bCs/>
        </w:rPr>
        <w:t>The Department of Social Services</w:t>
      </w:r>
      <w:r w:rsidR="00B2535B" w:rsidRPr="00175D3E">
        <w:rPr>
          <w:rFonts w:ascii="Times New Roman" w:hAnsi="Times New Roman"/>
          <w:bCs/>
        </w:rPr>
        <w:t xml:space="preserve"> consulted with the Office of Best Practice Regulation (</w:t>
      </w:r>
      <w:r w:rsidR="00B2535B" w:rsidRPr="00023122">
        <w:rPr>
          <w:rFonts w:ascii="Times New Roman" w:hAnsi="Times New Roman"/>
          <w:bCs/>
        </w:rPr>
        <w:t>OBPR</w:t>
      </w:r>
      <w:r w:rsidR="00B2535B" w:rsidRPr="00175D3E">
        <w:rPr>
          <w:rFonts w:ascii="Times New Roman" w:hAnsi="Times New Roman"/>
          <w:bCs/>
        </w:rPr>
        <w:t>) in relation to the requirement for a Regulation Impact Statement.  OBPR advised that</w:t>
      </w:r>
      <w:r w:rsidR="003863D6" w:rsidRPr="00175D3E">
        <w:rPr>
          <w:rFonts w:ascii="Times New Roman" w:hAnsi="Times New Roman"/>
          <w:bCs/>
        </w:rPr>
        <w:t xml:space="preserve"> </w:t>
      </w:r>
      <w:r w:rsidR="003863D6" w:rsidRPr="00175D3E">
        <w:rPr>
          <w:rFonts w:ascii="Times New Roman" w:hAnsi="Times New Roman"/>
        </w:rPr>
        <w:t>the regulatory impacts of the Agreement are nil and the RIS requirements have been met (reference 16543)</w:t>
      </w:r>
      <w:r w:rsidR="000C2801" w:rsidRPr="00175D3E">
        <w:rPr>
          <w:rFonts w:ascii="Times New Roman" w:hAnsi="Times New Roman"/>
          <w:bCs/>
        </w:rPr>
        <w:t>.</w:t>
      </w:r>
      <w:r w:rsidR="00B2535B" w:rsidRPr="00175D3E">
        <w:rPr>
          <w:rFonts w:ascii="Times New Roman" w:hAnsi="Times New Roman"/>
          <w:bCs/>
        </w:rPr>
        <w:t xml:space="preserve"> </w:t>
      </w:r>
      <w:r w:rsidR="001C4CBC" w:rsidRPr="00175D3E">
        <w:rPr>
          <w:rFonts w:ascii="Times New Roman" w:hAnsi="Times New Roman"/>
          <w:bCs/>
        </w:rPr>
        <w:t>An additional Regulation Impact Statement was not sought from OBPR for the Regulations as the amendments have no regulatory impacts.</w:t>
      </w:r>
    </w:p>
    <w:p w:rsidR="001C4CBC" w:rsidRDefault="001C4CBC">
      <w:pPr>
        <w:spacing w:before="0" w:after="0"/>
        <w:rPr>
          <w:rFonts w:ascii="Times New Roman" w:hAnsi="Times New Roman"/>
          <w:bCs/>
        </w:rPr>
      </w:pPr>
      <w:r>
        <w:rPr>
          <w:rFonts w:ascii="Times New Roman" w:hAnsi="Times New Roman"/>
          <w:bCs/>
        </w:rPr>
        <w:br w:type="page"/>
      </w:r>
    </w:p>
    <w:p w:rsidR="004403F1" w:rsidRPr="00E4135E" w:rsidRDefault="004403F1" w:rsidP="005B0749">
      <w:pPr>
        <w:spacing w:before="0" w:after="0"/>
        <w:jc w:val="center"/>
        <w:rPr>
          <w:rFonts w:ascii="Times New Roman" w:hAnsi="Times New Roman"/>
          <w:b/>
          <w:sz w:val="28"/>
          <w:szCs w:val="28"/>
        </w:rPr>
      </w:pPr>
      <w:r w:rsidRPr="00E4135E">
        <w:rPr>
          <w:rFonts w:ascii="Times New Roman" w:hAnsi="Times New Roman"/>
          <w:b/>
          <w:sz w:val="28"/>
          <w:szCs w:val="28"/>
        </w:rPr>
        <w:lastRenderedPageBreak/>
        <w:t>Statement of Compatibility with Human Rights</w:t>
      </w:r>
    </w:p>
    <w:p w:rsidR="004403F1" w:rsidRDefault="004403F1" w:rsidP="0004598C">
      <w:pPr>
        <w:pStyle w:val="Heading2"/>
        <w:keepNext w:val="0"/>
        <w:ind w:left="0"/>
        <w:rPr>
          <w:b/>
        </w:rPr>
      </w:pPr>
    </w:p>
    <w:p w:rsidR="004403F1" w:rsidRPr="00215F21" w:rsidRDefault="004403F1" w:rsidP="0004598C">
      <w:pPr>
        <w:pStyle w:val="Heading2"/>
        <w:keepNext w:val="0"/>
        <w:ind w:left="0"/>
        <w:rPr>
          <w:b/>
        </w:rPr>
      </w:pPr>
      <w:r w:rsidRPr="00215F21">
        <w:rPr>
          <w:b/>
        </w:rPr>
        <w:t xml:space="preserve">Social Security (International Agreements) Amendment </w:t>
      </w:r>
      <w:r>
        <w:rPr>
          <w:b/>
        </w:rPr>
        <w:t>(</w:t>
      </w:r>
      <w:r w:rsidR="0087701C">
        <w:rPr>
          <w:b/>
        </w:rPr>
        <w:t xml:space="preserve">Amendment of </w:t>
      </w:r>
      <w:r>
        <w:rPr>
          <w:b/>
        </w:rPr>
        <w:t xml:space="preserve">New Zealand) </w:t>
      </w:r>
      <w:r w:rsidR="0064364E">
        <w:rPr>
          <w:b/>
        </w:rPr>
        <w:t>Regulations</w:t>
      </w:r>
      <w:r w:rsidRPr="00215F21">
        <w:rPr>
          <w:b/>
        </w:rPr>
        <w:t> 201</w:t>
      </w:r>
      <w:r w:rsidR="003A61EB">
        <w:rPr>
          <w:b/>
        </w:rPr>
        <w:t>7</w:t>
      </w:r>
      <w:r w:rsidRPr="00215F21">
        <w:rPr>
          <w:b/>
        </w:rPr>
        <w:t> </w:t>
      </w:r>
    </w:p>
    <w:p w:rsidR="004403F1" w:rsidRDefault="004403F1" w:rsidP="005B0749">
      <w:pPr>
        <w:spacing w:before="0" w:after="0"/>
        <w:jc w:val="center"/>
        <w:rPr>
          <w:rFonts w:ascii="Times New Roman" w:hAnsi="Times New Roman"/>
          <w:i/>
        </w:rPr>
      </w:pPr>
    </w:p>
    <w:p w:rsidR="004403F1" w:rsidRPr="00E4135E" w:rsidRDefault="004403F1" w:rsidP="005B0749">
      <w:pPr>
        <w:spacing w:before="0" w:after="0"/>
        <w:jc w:val="center"/>
        <w:rPr>
          <w:rFonts w:ascii="Times New Roman" w:hAnsi="Times New Roman"/>
        </w:rPr>
      </w:pPr>
      <w:r w:rsidRPr="00E4135E">
        <w:rPr>
          <w:rFonts w:ascii="Times New Roman" w:hAnsi="Times New Roman"/>
          <w:i/>
        </w:rPr>
        <w:t>Prepared in accordance with Part 3 of the Human Rights (Parliamentary Scrutiny) Act 2011</w:t>
      </w:r>
    </w:p>
    <w:p w:rsidR="004403F1" w:rsidRPr="00E4135E" w:rsidRDefault="004403F1" w:rsidP="005B0749">
      <w:pPr>
        <w:spacing w:before="0" w:after="0"/>
        <w:jc w:val="center"/>
        <w:rPr>
          <w:rFonts w:ascii="Times New Roman" w:hAnsi="Times New Roman"/>
        </w:rPr>
      </w:pPr>
    </w:p>
    <w:p w:rsidR="004403F1" w:rsidRPr="00E4135E" w:rsidRDefault="004403F1" w:rsidP="005B0749">
      <w:pPr>
        <w:spacing w:before="0" w:after="0"/>
        <w:rPr>
          <w:rFonts w:ascii="Times New Roman" w:hAnsi="Times New Roman"/>
        </w:rPr>
      </w:pPr>
      <w:r>
        <w:rPr>
          <w:rFonts w:ascii="Times New Roman" w:hAnsi="Times New Roman"/>
        </w:rPr>
        <w:t xml:space="preserve">This </w:t>
      </w:r>
      <w:r w:rsidRPr="00E4135E">
        <w:rPr>
          <w:rFonts w:ascii="Times New Roman" w:hAnsi="Times New Roman"/>
        </w:rPr>
        <w:t xml:space="preserve">Legislative Instrument is compatible with the human rights and freedoms recognised or declared in the international instruments listed in section 3 of the </w:t>
      </w:r>
      <w:r w:rsidRPr="00E4135E">
        <w:rPr>
          <w:rFonts w:ascii="Times New Roman" w:hAnsi="Times New Roman"/>
          <w:i/>
        </w:rPr>
        <w:t>Human Rights (Parliamentary Scrutiny) Act 2011</w:t>
      </w:r>
      <w:r w:rsidRPr="00E4135E">
        <w:rPr>
          <w:rFonts w:ascii="Times New Roman" w:hAnsi="Times New Roman"/>
        </w:rPr>
        <w:t>.</w:t>
      </w:r>
    </w:p>
    <w:p w:rsidR="004403F1" w:rsidRPr="00E4135E" w:rsidRDefault="004403F1" w:rsidP="005B0749">
      <w:pPr>
        <w:spacing w:before="0" w:after="0"/>
        <w:jc w:val="center"/>
        <w:rPr>
          <w:rFonts w:ascii="Times New Roman" w:hAnsi="Times New Roman"/>
        </w:rPr>
      </w:pPr>
    </w:p>
    <w:p w:rsidR="004403F1" w:rsidRDefault="004403F1" w:rsidP="005B0749">
      <w:pPr>
        <w:spacing w:before="0" w:after="0"/>
        <w:jc w:val="both"/>
        <w:rPr>
          <w:rFonts w:ascii="Times New Roman" w:hAnsi="Times New Roman"/>
          <w:b/>
        </w:rPr>
      </w:pPr>
      <w:r w:rsidRPr="00E4135E">
        <w:rPr>
          <w:rFonts w:ascii="Times New Roman" w:hAnsi="Times New Roman"/>
          <w:b/>
        </w:rPr>
        <w:t>Overview of the Legislative Instrument</w:t>
      </w:r>
    </w:p>
    <w:p w:rsidR="00220957" w:rsidRDefault="00220957" w:rsidP="005B0749">
      <w:pPr>
        <w:spacing w:before="0" w:after="0"/>
        <w:jc w:val="both"/>
        <w:rPr>
          <w:rFonts w:ascii="Times New Roman" w:hAnsi="Times New Roman"/>
          <w:b/>
        </w:rPr>
      </w:pPr>
    </w:p>
    <w:p w:rsidR="00DA07C2" w:rsidRDefault="00DA07C2" w:rsidP="00DA07C2">
      <w:pPr>
        <w:spacing w:before="0" w:after="0"/>
        <w:ind w:right="369"/>
        <w:rPr>
          <w:rFonts w:ascii="Times New Roman" w:hAnsi="Times New Roman"/>
        </w:rPr>
      </w:pPr>
      <w:r>
        <w:rPr>
          <w:rFonts w:ascii="Times New Roman" w:hAnsi="Times New Roman"/>
        </w:rPr>
        <w:t xml:space="preserve">This Legislative Instrument amends the new Schedule 3 (the Agreement made at Wellington on 8 December 2016) by </w:t>
      </w:r>
      <w:r w:rsidR="007434FF">
        <w:rPr>
          <w:rFonts w:ascii="Times New Roman" w:hAnsi="Times New Roman"/>
        </w:rPr>
        <w:t xml:space="preserve">inserting the heading ‘Part A’ after the Schedule heading to Schedule 3 of the Act and inserting </w:t>
      </w:r>
      <w:r>
        <w:rPr>
          <w:rFonts w:ascii="Times New Roman" w:hAnsi="Times New Roman"/>
        </w:rPr>
        <w:t xml:space="preserve">the Exchange of Notes of 24 March 2017 and 11 April 2017 as Part B to </w:t>
      </w:r>
      <w:r w:rsidR="001E2F0C">
        <w:rPr>
          <w:rFonts w:ascii="Times New Roman" w:hAnsi="Times New Roman"/>
        </w:rPr>
        <w:t xml:space="preserve">the end of </w:t>
      </w:r>
      <w:r>
        <w:rPr>
          <w:rFonts w:ascii="Times New Roman" w:hAnsi="Times New Roman"/>
        </w:rPr>
        <w:t>Schedule 3</w:t>
      </w:r>
      <w:r w:rsidR="001E2F0C">
        <w:rPr>
          <w:rFonts w:ascii="Times New Roman" w:hAnsi="Times New Roman"/>
        </w:rPr>
        <w:t xml:space="preserve"> of the Act</w:t>
      </w:r>
      <w:r>
        <w:rPr>
          <w:rFonts w:ascii="Times New Roman" w:hAnsi="Times New Roman"/>
        </w:rPr>
        <w:t>.</w:t>
      </w:r>
    </w:p>
    <w:p w:rsidR="00DA07C2" w:rsidRDefault="00DA07C2" w:rsidP="00DA07C2">
      <w:pPr>
        <w:spacing w:before="0" w:after="0"/>
        <w:ind w:right="369"/>
        <w:rPr>
          <w:rFonts w:ascii="Times New Roman" w:hAnsi="Times New Roman"/>
        </w:rPr>
      </w:pPr>
    </w:p>
    <w:p w:rsidR="00DA07C2" w:rsidRDefault="00DA07C2" w:rsidP="00DA07C2">
      <w:pPr>
        <w:autoSpaceDE w:val="0"/>
        <w:autoSpaceDN w:val="0"/>
        <w:adjustRightInd w:val="0"/>
        <w:spacing w:before="0" w:after="0"/>
        <w:ind w:right="371"/>
        <w:rPr>
          <w:rFonts w:ascii="Times New Roman" w:hAnsi="Times New Roman"/>
          <w:lang w:eastAsia="en-AU"/>
        </w:rPr>
      </w:pPr>
      <w:r>
        <w:rPr>
          <w:rFonts w:ascii="Times New Roman" w:hAnsi="Times New Roman"/>
          <w:lang w:eastAsia="en-AU"/>
        </w:rPr>
        <w:t xml:space="preserve">The Exchange of Notes between the Government of New Zealand and the Government of Australia on 24 March 2017 and 11 April 2017 respectively corrects errors in the </w:t>
      </w:r>
      <w:r>
        <w:rPr>
          <w:rFonts w:ascii="Times New Roman" w:hAnsi="Times New Roman"/>
          <w:i/>
          <w:iCs/>
          <w:lang w:eastAsia="en-AU"/>
        </w:rPr>
        <w:t>Agreement on Social Security between the Government of Australia and the Government of New Zealand</w:t>
      </w:r>
      <w:r>
        <w:rPr>
          <w:rFonts w:ascii="Times New Roman" w:hAnsi="Times New Roman"/>
          <w:lang w:eastAsia="en-AU"/>
        </w:rPr>
        <w:t xml:space="preserve"> (the </w:t>
      </w:r>
      <w:r w:rsidRPr="00692255">
        <w:rPr>
          <w:rFonts w:ascii="Times New Roman" w:hAnsi="Times New Roman"/>
          <w:bCs/>
          <w:lang w:eastAsia="en-AU"/>
        </w:rPr>
        <w:t>Agreement</w:t>
      </w:r>
      <w:r>
        <w:rPr>
          <w:rFonts w:ascii="Times New Roman" w:hAnsi="Times New Roman"/>
          <w:lang w:eastAsia="en-AU"/>
        </w:rPr>
        <w:t>) made at Wellington on 8 December 2016.</w:t>
      </w:r>
    </w:p>
    <w:p w:rsidR="00DA07C2" w:rsidRDefault="00DA07C2" w:rsidP="00DA07C2">
      <w:pPr>
        <w:autoSpaceDE w:val="0"/>
        <w:autoSpaceDN w:val="0"/>
        <w:adjustRightInd w:val="0"/>
        <w:spacing w:before="0" w:after="0"/>
        <w:ind w:right="371"/>
        <w:rPr>
          <w:rFonts w:ascii="Times New Roman" w:hAnsi="Times New Roman"/>
          <w:lang w:eastAsia="en-AU"/>
        </w:rPr>
      </w:pPr>
    </w:p>
    <w:p w:rsidR="00DA07C2" w:rsidRDefault="00DA07C2" w:rsidP="00DA07C2">
      <w:pPr>
        <w:autoSpaceDE w:val="0"/>
        <w:autoSpaceDN w:val="0"/>
        <w:adjustRightInd w:val="0"/>
        <w:spacing w:before="0" w:after="0"/>
        <w:ind w:right="371"/>
        <w:rPr>
          <w:rFonts w:ascii="Times New Roman" w:hAnsi="Times New Roman"/>
          <w:lang w:eastAsia="en-AU"/>
        </w:rPr>
      </w:pPr>
      <w:r>
        <w:rPr>
          <w:rFonts w:ascii="Times New Roman" w:hAnsi="Times New Roman"/>
          <w:lang w:eastAsia="en-AU"/>
        </w:rPr>
        <w:t xml:space="preserve">The Exchange of Notes corrects references to the </w:t>
      </w:r>
      <w:r>
        <w:rPr>
          <w:rFonts w:ascii="Times New Roman" w:hAnsi="Times New Roman"/>
          <w:i/>
          <w:iCs/>
          <w:lang w:eastAsia="en-AU"/>
        </w:rPr>
        <w:t xml:space="preserve">Social Security Act 2016 </w:t>
      </w:r>
      <w:r>
        <w:rPr>
          <w:rFonts w:ascii="Times New Roman" w:hAnsi="Times New Roman"/>
          <w:lang w:eastAsia="en-AU"/>
        </w:rPr>
        <w:t xml:space="preserve">by replacing the reference to the year ‘2016’ with the year ‘1964’ in article 1(c) and 1(n)(ii) so that both references will read the </w:t>
      </w:r>
      <w:r>
        <w:rPr>
          <w:rFonts w:ascii="Times New Roman" w:hAnsi="Times New Roman"/>
          <w:i/>
          <w:iCs/>
          <w:lang w:eastAsia="en-AU"/>
        </w:rPr>
        <w:t>Social Security Act 1964</w:t>
      </w:r>
      <w:r>
        <w:rPr>
          <w:rFonts w:ascii="Times New Roman" w:hAnsi="Times New Roman"/>
          <w:lang w:eastAsia="en-AU"/>
        </w:rPr>
        <w:t xml:space="preserve"> in the Agreement.</w:t>
      </w:r>
    </w:p>
    <w:p w:rsidR="00DA07C2" w:rsidRDefault="00DA07C2" w:rsidP="00DA07C2">
      <w:pPr>
        <w:autoSpaceDE w:val="0"/>
        <w:autoSpaceDN w:val="0"/>
        <w:adjustRightInd w:val="0"/>
        <w:spacing w:before="0" w:after="0"/>
        <w:ind w:right="371"/>
        <w:rPr>
          <w:rFonts w:ascii="Times New Roman" w:hAnsi="Times New Roman"/>
          <w:lang w:eastAsia="en-AU"/>
        </w:rPr>
      </w:pPr>
    </w:p>
    <w:p w:rsidR="00DA07C2" w:rsidRDefault="00DA07C2" w:rsidP="00DA07C2">
      <w:pPr>
        <w:autoSpaceDE w:val="0"/>
        <w:autoSpaceDN w:val="0"/>
        <w:adjustRightInd w:val="0"/>
        <w:spacing w:before="0" w:after="0"/>
        <w:ind w:right="371"/>
        <w:rPr>
          <w:rFonts w:ascii="Times New Roman" w:hAnsi="Times New Roman"/>
          <w:lang w:eastAsia="en-AU"/>
        </w:rPr>
      </w:pPr>
      <w:r>
        <w:rPr>
          <w:rFonts w:ascii="Times New Roman" w:hAnsi="Times New Roman"/>
          <w:lang w:eastAsia="en-AU"/>
        </w:rPr>
        <w:t>The Exchange of Notes also corrects article 6 of the Agreement by inserting in paragraph 5, after the words ‘payable to’, the words ‘a person in’.</w:t>
      </w:r>
    </w:p>
    <w:p w:rsidR="00DA07C2" w:rsidRDefault="00DA07C2" w:rsidP="00DA07C2">
      <w:pPr>
        <w:autoSpaceDE w:val="0"/>
        <w:autoSpaceDN w:val="0"/>
        <w:adjustRightInd w:val="0"/>
        <w:spacing w:before="0" w:after="0"/>
        <w:ind w:right="371"/>
        <w:rPr>
          <w:rFonts w:ascii="Times New Roman" w:hAnsi="Times New Roman"/>
          <w:lang w:eastAsia="en-AU"/>
        </w:rPr>
      </w:pPr>
    </w:p>
    <w:p w:rsidR="00DA07C2" w:rsidRDefault="00DA07C2" w:rsidP="00DA07C2">
      <w:pPr>
        <w:autoSpaceDE w:val="0"/>
        <w:autoSpaceDN w:val="0"/>
        <w:adjustRightInd w:val="0"/>
        <w:spacing w:before="0" w:after="0"/>
        <w:ind w:right="369"/>
        <w:rPr>
          <w:rFonts w:ascii="Times New Roman" w:hAnsi="Times New Roman"/>
          <w:lang w:eastAsia="en-AU"/>
        </w:rPr>
      </w:pPr>
      <w:r>
        <w:rPr>
          <w:rFonts w:ascii="Times New Roman" w:hAnsi="Times New Roman"/>
          <w:lang w:eastAsia="en-AU"/>
        </w:rPr>
        <w:t>The Exchange of Notes does not alter the overall purpose of the Agreement.</w:t>
      </w:r>
    </w:p>
    <w:p w:rsidR="004403F1" w:rsidRDefault="004403F1" w:rsidP="005B0749">
      <w:pPr>
        <w:tabs>
          <w:tab w:val="left" w:pos="851"/>
        </w:tabs>
        <w:autoSpaceDE w:val="0"/>
        <w:autoSpaceDN w:val="0"/>
        <w:adjustRightInd w:val="0"/>
        <w:spacing w:before="0" w:after="0"/>
        <w:rPr>
          <w:rFonts w:ascii="Times New Roman" w:hAnsi="Times New Roman"/>
        </w:rPr>
      </w:pPr>
    </w:p>
    <w:p w:rsidR="004403F1" w:rsidRDefault="004403F1" w:rsidP="005B0749">
      <w:pPr>
        <w:tabs>
          <w:tab w:val="left" w:pos="851"/>
        </w:tabs>
        <w:autoSpaceDE w:val="0"/>
        <w:autoSpaceDN w:val="0"/>
        <w:adjustRightInd w:val="0"/>
        <w:spacing w:before="0" w:after="0"/>
        <w:rPr>
          <w:rFonts w:ascii="Times New Roman" w:hAnsi="Times New Roman"/>
          <w:b/>
        </w:rPr>
      </w:pPr>
      <w:r w:rsidRPr="00E4135E">
        <w:rPr>
          <w:rFonts w:ascii="Times New Roman" w:hAnsi="Times New Roman"/>
          <w:b/>
        </w:rPr>
        <w:t>Human rights implications</w:t>
      </w:r>
    </w:p>
    <w:p w:rsidR="00820D01" w:rsidRDefault="00820D01" w:rsidP="00820D01">
      <w:pPr>
        <w:tabs>
          <w:tab w:val="left" w:pos="851"/>
        </w:tabs>
        <w:autoSpaceDE w:val="0"/>
        <w:autoSpaceDN w:val="0"/>
        <w:adjustRightInd w:val="0"/>
        <w:spacing w:before="0" w:after="0"/>
        <w:rPr>
          <w:rFonts w:ascii="Times New Roman" w:hAnsi="Times New Roman"/>
          <w:lang w:eastAsia="en-AU"/>
        </w:rPr>
      </w:pPr>
    </w:p>
    <w:p w:rsidR="00DA07C2" w:rsidRDefault="00DA07C2" w:rsidP="00DA07C2">
      <w:pPr>
        <w:tabs>
          <w:tab w:val="left" w:pos="851"/>
        </w:tabs>
        <w:autoSpaceDE w:val="0"/>
        <w:autoSpaceDN w:val="0"/>
        <w:adjustRightInd w:val="0"/>
        <w:spacing w:before="0" w:after="0"/>
        <w:rPr>
          <w:rFonts w:ascii="Times New Roman" w:hAnsi="Times New Roman"/>
          <w:lang w:eastAsia="en-AU"/>
        </w:rPr>
      </w:pPr>
      <w:r>
        <w:rPr>
          <w:rFonts w:ascii="Times New Roman" w:hAnsi="Times New Roman"/>
          <w:lang w:eastAsia="en-AU"/>
        </w:rPr>
        <w:t xml:space="preserve">This Legislative Instrument has considered the human rights implications particularly with reference to the right to social security as contained within Article 9 of the International Covenant on Economic, Social and Cultural Rights.  </w:t>
      </w:r>
    </w:p>
    <w:p w:rsidR="00DA07C2" w:rsidRDefault="00DA07C2" w:rsidP="00DA07C2">
      <w:pPr>
        <w:tabs>
          <w:tab w:val="left" w:pos="851"/>
        </w:tabs>
        <w:autoSpaceDE w:val="0"/>
        <w:autoSpaceDN w:val="0"/>
        <w:adjustRightInd w:val="0"/>
        <w:spacing w:before="0" w:after="0"/>
        <w:rPr>
          <w:rFonts w:ascii="Times New Roman" w:hAnsi="Times New Roman"/>
          <w:lang w:eastAsia="en-AU"/>
        </w:rPr>
      </w:pPr>
    </w:p>
    <w:p w:rsidR="00DA07C2" w:rsidRDefault="00DA07C2" w:rsidP="00DA07C2">
      <w:pPr>
        <w:tabs>
          <w:tab w:val="left" w:pos="851"/>
        </w:tabs>
        <w:autoSpaceDE w:val="0"/>
        <w:autoSpaceDN w:val="0"/>
        <w:adjustRightInd w:val="0"/>
        <w:spacing w:before="0" w:after="0"/>
        <w:rPr>
          <w:rFonts w:ascii="Times New Roman" w:hAnsi="Times New Roman"/>
          <w:lang w:eastAsia="en-AU"/>
        </w:rPr>
      </w:pPr>
      <w:r>
        <w:rPr>
          <w:rFonts w:ascii="Times New Roman" w:hAnsi="Times New Roman"/>
          <w:lang w:eastAsia="en-AU"/>
        </w:rPr>
        <w:t>This Legislative Instrument supports the right to social security as it allows people in both Australia and New Zealand to access social security assistance that would not have otherwise been available to them.</w:t>
      </w:r>
    </w:p>
    <w:p w:rsidR="00220957" w:rsidRPr="0055220D" w:rsidRDefault="00220957" w:rsidP="005B0749">
      <w:pPr>
        <w:spacing w:before="0" w:after="0"/>
        <w:rPr>
          <w:rFonts w:ascii="Times New Roman" w:hAnsi="Times New Roman"/>
          <w:b/>
        </w:rPr>
      </w:pPr>
    </w:p>
    <w:p w:rsidR="004403F1" w:rsidRDefault="004403F1" w:rsidP="005B0749">
      <w:pPr>
        <w:spacing w:before="0" w:after="0"/>
        <w:rPr>
          <w:rFonts w:ascii="Times New Roman" w:hAnsi="Times New Roman"/>
          <w:b/>
        </w:rPr>
      </w:pPr>
      <w:r w:rsidRPr="00E4135E">
        <w:rPr>
          <w:rFonts w:ascii="Times New Roman" w:hAnsi="Times New Roman"/>
          <w:b/>
        </w:rPr>
        <w:t>Conclusion</w:t>
      </w:r>
    </w:p>
    <w:p w:rsidR="00220957" w:rsidRPr="00E4135E" w:rsidRDefault="00220957" w:rsidP="005B0749">
      <w:pPr>
        <w:spacing w:before="0" w:after="0"/>
        <w:rPr>
          <w:rFonts w:ascii="Times New Roman" w:hAnsi="Times New Roman"/>
          <w:b/>
        </w:rPr>
      </w:pPr>
    </w:p>
    <w:p w:rsidR="00F16FBB" w:rsidRDefault="004403F1" w:rsidP="00DA07C2">
      <w:pPr>
        <w:spacing w:before="0" w:after="0"/>
        <w:rPr>
          <w:rFonts w:ascii="Times New Roman" w:hAnsi="Times New Roman"/>
        </w:rPr>
      </w:pPr>
      <w:r>
        <w:rPr>
          <w:rFonts w:ascii="Times New Roman" w:hAnsi="Times New Roman"/>
        </w:rPr>
        <w:t xml:space="preserve">The </w:t>
      </w:r>
      <w:r w:rsidRPr="00D664E6">
        <w:rPr>
          <w:rFonts w:ascii="Times New Roman" w:hAnsi="Times New Roman"/>
        </w:rPr>
        <w:t xml:space="preserve">Legislative Instrument </w:t>
      </w:r>
      <w:r>
        <w:rPr>
          <w:rFonts w:ascii="Times New Roman" w:hAnsi="Times New Roman"/>
        </w:rPr>
        <w:t>supports the right to social security and is compatible with human rights.  To the extent that this human rights obligation is engaged, it is reasonable, proportionate and transparent in achieving its objectives.</w:t>
      </w:r>
    </w:p>
    <w:p w:rsidR="00DA07C2" w:rsidRDefault="00DA07C2" w:rsidP="00DA07C2">
      <w:pPr>
        <w:spacing w:before="0" w:after="0"/>
        <w:rPr>
          <w:rFonts w:ascii="Times New Roman" w:hAnsi="Times New Roman"/>
        </w:rPr>
      </w:pPr>
    </w:p>
    <w:p w:rsidR="00BC7DC3" w:rsidRPr="00B76254" w:rsidRDefault="004403F1" w:rsidP="00DA07C2">
      <w:pPr>
        <w:spacing w:before="0" w:after="0"/>
        <w:jc w:val="center"/>
        <w:rPr>
          <w:rFonts w:ascii="Times New Roman" w:hAnsi="Times New Roman"/>
        </w:rPr>
      </w:pPr>
      <w:r>
        <w:rPr>
          <w:rFonts w:ascii="Times New Roman" w:hAnsi="Times New Roman"/>
          <w:b/>
        </w:rPr>
        <w:t>The Department of Social Services</w:t>
      </w:r>
    </w:p>
    <w:sectPr w:rsidR="00BC7DC3" w:rsidRPr="00B76254" w:rsidSect="000E7F6D">
      <w:headerReference w:type="even" r:id="rId9"/>
      <w:headerReference w:type="default" r:id="rId10"/>
      <w:footerReference w:type="even" r:id="rId11"/>
      <w:footerReference w:type="default" r:id="rId12"/>
      <w:headerReference w:type="first" r:id="rId13"/>
      <w:footerReference w:type="first" r:id="rId14"/>
      <w:pgSz w:w="11907" w:h="16840" w:code="9"/>
      <w:pgMar w:top="862" w:right="1531" w:bottom="1009" w:left="153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B56" w:rsidRDefault="00D86B56">
      <w:r>
        <w:separator/>
      </w:r>
    </w:p>
  </w:endnote>
  <w:endnote w:type="continuationSeparator" w:id="0">
    <w:p w:rsidR="00D86B56" w:rsidRDefault="00D86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Arial Bold Itali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1BA" w:rsidRDefault="00C001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FD5" w:rsidRPr="0079191B" w:rsidRDefault="00452FD5">
    <w:pPr>
      <w:pStyle w:val="Footer"/>
      <w:jc w:val="center"/>
      <w:rPr>
        <w:rFonts w:ascii="Times New Roman" w:hAnsi="Times New Roman"/>
      </w:rPr>
    </w:pPr>
    <w:r w:rsidRPr="0079191B">
      <w:rPr>
        <w:rStyle w:val="PageNumber"/>
        <w:rFonts w:ascii="Times New Roman" w:hAnsi="Times New Roman"/>
      </w:rPr>
      <w:fldChar w:fldCharType="begin"/>
    </w:r>
    <w:r w:rsidRPr="0079191B">
      <w:rPr>
        <w:rStyle w:val="PageNumber"/>
        <w:rFonts w:ascii="Times New Roman" w:hAnsi="Times New Roman"/>
      </w:rPr>
      <w:instrText xml:space="preserve"> PAGE </w:instrText>
    </w:r>
    <w:r w:rsidRPr="0079191B">
      <w:rPr>
        <w:rStyle w:val="PageNumber"/>
        <w:rFonts w:ascii="Times New Roman" w:hAnsi="Times New Roman"/>
      </w:rPr>
      <w:fldChar w:fldCharType="separate"/>
    </w:r>
    <w:r w:rsidR="007B05D8">
      <w:rPr>
        <w:rStyle w:val="PageNumber"/>
        <w:rFonts w:ascii="Times New Roman" w:hAnsi="Times New Roman"/>
        <w:noProof/>
      </w:rPr>
      <w:t>4</w:t>
    </w:r>
    <w:r w:rsidRPr="0079191B">
      <w:rPr>
        <w:rStyle w:val="PageNumber"/>
        <w:rFonts w:ascii="Times New Roman" w:hAnsi="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1BA" w:rsidRDefault="00C001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B56" w:rsidRDefault="00D86B56">
      <w:r>
        <w:separator/>
      </w:r>
    </w:p>
  </w:footnote>
  <w:footnote w:type="continuationSeparator" w:id="0">
    <w:p w:rsidR="00D86B56" w:rsidRDefault="00D86B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FD5" w:rsidRDefault="00452F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5016">
      <w:rPr>
        <w:rStyle w:val="PageNumber"/>
        <w:noProof/>
      </w:rPr>
      <w:t>5</w:t>
    </w:r>
    <w:r>
      <w:rPr>
        <w:rStyle w:val="PageNumber"/>
      </w:rPr>
      <w:fldChar w:fldCharType="end"/>
    </w:r>
  </w:p>
  <w:p w:rsidR="00452FD5" w:rsidRDefault="00452F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1BA" w:rsidRDefault="00C001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1BA" w:rsidRDefault="00C001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0014"/>
    <w:multiLevelType w:val="hybridMultilevel"/>
    <w:tmpl w:val="492686F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1C470099"/>
    <w:multiLevelType w:val="hybridMultilevel"/>
    <w:tmpl w:val="443E831C"/>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nsid w:val="218D4668"/>
    <w:multiLevelType w:val="hybridMultilevel"/>
    <w:tmpl w:val="719012CC"/>
    <w:lvl w:ilvl="0" w:tplc="04090001">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
    <w:nsid w:val="25D505D1"/>
    <w:multiLevelType w:val="hybridMultilevel"/>
    <w:tmpl w:val="B11275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27CD1C9E"/>
    <w:multiLevelType w:val="hybridMultilevel"/>
    <w:tmpl w:val="C5BE847C"/>
    <w:lvl w:ilvl="0" w:tplc="4BB84EE2">
      <w:start w:val="1"/>
      <w:numFmt w:val="lowerLetter"/>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5">
    <w:nsid w:val="3BCA6D4B"/>
    <w:multiLevelType w:val="hybridMultilevel"/>
    <w:tmpl w:val="F7E24E12"/>
    <w:lvl w:ilvl="0" w:tplc="FB547E32">
      <w:start w:val="1"/>
      <w:numFmt w:val="decimal"/>
      <w:lvlText w:val="%1."/>
      <w:lvlJc w:val="left"/>
      <w:pPr>
        <w:ind w:left="360" w:hanging="360"/>
      </w:pPr>
      <w:rPr>
        <w:rFonts w:hint="default"/>
        <w:b w:val="0"/>
      </w:rPr>
    </w:lvl>
    <w:lvl w:ilvl="1" w:tplc="03726522">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C440835"/>
    <w:multiLevelType w:val="hybridMultilevel"/>
    <w:tmpl w:val="19F679AC"/>
    <w:lvl w:ilvl="0" w:tplc="0C09000F">
      <w:start w:val="1"/>
      <w:numFmt w:val="decimal"/>
      <w:lvlText w:val="%1."/>
      <w:lvlJc w:val="left"/>
      <w:pPr>
        <w:ind w:left="360" w:hanging="360"/>
      </w:pPr>
      <w:rPr>
        <w:rFonts w:hint="default"/>
        <w:b w:val="0"/>
      </w:rPr>
    </w:lvl>
    <w:lvl w:ilvl="1" w:tplc="03726522">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5ABE7343"/>
    <w:multiLevelType w:val="hybridMultilevel"/>
    <w:tmpl w:val="4B987CDA"/>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
    <w:nsid w:val="66C276E9"/>
    <w:multiLevelType w:val="hybridMultilevel"/>
    <w:tmpl w:val="348E844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73E2763C"/>
    <w:multiLevelType w:val="hybridMultilevel"/>
    <w:tmpl w:val="D8B428F4"/>
    <w:lvl w:ilvl="0" w:tplc="0C090001">
      <w:start w:val="1"/>
      <w:numFmt w:val="bullet"/>
      <w:lvlText w:val=""/>
      <w:lvlJc w:val="left"/>
      <w:pPr>
        <w:tabs>
          <w:tab w:val="num" w:pos="381"/>
        </w:tabs>
        <w:ind w:left="381" w:hanging="360"/>
      </w:pPr>
      <w:rPr>
        <w:rFonts w:ascii="Symbol" w:hAnsi="Symbol" w:hint="default"/>
      </w:rPr>
    </w:lvl>
    <w:lvl w:ilvl="1" w:tplc="0C090003" w:tentative="1">
      <w:start w:val="1"/>
      <w:numFmt w:val="bullet"/>
      <w:lvlText w:val="o"/>
      <w:lvlJc w:val="left"/>
      <w:pPr>
        <w:tabs>
          <w:tab w:val="num" w:pos="1101"/>
        </w:tabs>
        <w:ind w:left="1101" w:hanging="360"/>
      </w:pPr>
      <w:rPr>
        <w:rFonts w:ascii="Courier New" w:hAnsi="Courier New" w:cs="Courier New" w:hint="default"/>
      </w:rPr>
    </w:lvl>
    <w:lvl w:ilvl="2" w:tplc="0C090005" w:tentative="1">
      <w:start w:val="1"/>
      <w:numFmt w:val="bullet"/>
      <w:lvlText w:val=""/>
      <w:lvlJc w:val="left"/>
      <w:pPr>
        <w:tabs>
          <w:tab w:val="num" w:pos="1821"/>
        </w:tabs>
        <w:ind w:left="1821" w:hanging="360"/>
      </w:pPr>
      <w:rPr>
        <w:rFonts w:ascii="Wingdings" w:hAnsi="Wingdings" w:hint="default"/>
      </w:rPr>
    </w:lvl>
    <w:lvl w:ilvl="3" w:tplc="0C090001" w:tentative="1">
      <w:start w:val="1"/>
      <w:numFmt w:val="bullet"/>
      <w:lvlText w:val=""/>
      <w:lvlJc w:val="left"/>
      <w:pPr>
        <w:tabs>
          <w:tab w:val="num" w:pos="2541"/>
        </w:tabs>
        <w:ind w:left="2541" w:hanging="360"/>
      </w:pPr>
      <w:rPr>
        <w:rFonts w:ascii="Symbol" w:hAnsi="Symbol" w:hint="default"/>
      </w:rPr>
    </w:lvl>
    <w:lvl w:ilvl="4" w:tplc="0C090003" w:tentative="1">
      <w:start w:val="1"/>
      <w:numFmt w:val="bullet"/>
      <w:lvlText w:val="o"/>
      <w:lvlJc w:val="left"/>
      <w:pPr>
        <w:tabs>
          <w:tab w:val="num" w:pos="3261"/>
        </w:tabs>
        <w:ind w:left="3261" w:hanging="360"/>
      </w:pPr>
      <w:rPr>
        <w:rFonts w:ascii="Courier New" w:hAnsi="Courier New" w:cs="Courier New" w:hint="default"/>
      </w:rPr>
    </w:lvl>
    <w:lvl w:ilvl="5" w:tplc="0C090005" w:tentative="1">
      <w:start w:val="1"/>
      <w:numFmt w:val="bullet"/>
      <w:lvlText w:val=""/>
      <w:lvlJc w:val="left"/>
      <w:pPr>
        <w:tabs>
          <w:tab w:val="num" w:pos="3981"/>
        </w:tabs>
        <w:ind w:left="3981" w:hanging="360"/>
      </w:pPr>
      <w:rPr>
        <w:rFonts w:ascii="Wingdings" w:hAnsi="Wingdings" w:hint="default"/>
      </w:rPr>
    </w:lvl>
    <w:lvl w:ilvl="6" w:tplc="0C090001" w:tentative="1">
      <w:start w:val="1"/>
      <w:numFmt w:val="bullet"/>
      <w:lvlText w:val=""/>
      <w:lvlJc w:val="left"/>
      <w:pPr>
        <w:tabs>
          <w:tab w:val="num" w:pos="4701"/>
        </w:tabs>
        <w:ind w:left="4701" w:hanging="360"/>
      </w:pPr>
      <w:rPr>
        <w:rFonts w:ascii="Symbol" w:hAnsi="Symbol" w:hint="default"/>
      </w:rPr>
    </w:lvl>
    <w:lvl w:ilvl="7" w:tplc="0C090003" w:tentative="1">
      <w:start w:val="1"/>
      <w:numFmt w:val="bullet"/>
      <w:lvlText w:val="o"/>
      <w:lvlJc w:val="left"/>
      <w:pPr>
        <w:tabs>
          <w:tab w:val="num" w:pos="5421"/>
        </w:tabs>
        <w:ind w:left="5421" w:hanging="360"/>
      </w:pPr>
      <w:rPr>
        <w:rFonts w:ascii="Courier New" w:hAnsi="Courier New" w:cs="Courier New" w:hint="default"/>
      </w:rPr>
    </w:lvl>
    <w:lvl w:ilvl="8" w:tplc="0C090005" w:tentative="1">
      <w:start w:val="1"/>
      <w:numFmt w:val="bullet"/>
      <w:lvlText w:val=""/>
      <w:lvlJc w:val="left"/>
      <w:pPr>
        <w:tabs>
          <w:tab w:val="num" w:pos="6141"/>
        </w:tabs>
        <w:ind w:left="6141" w:hanging="360"/>
      </w:pPr>
      <w:rPr>
        <w:rFonts w:ascii="Wingdings" w:hAnsi="Wingdings" w:hint="default"/>
      </w:rPr>
    </w:lvl>
  </w:abstractNum>
  <w:num w:numId="1">
    <w:abstractNumId w:val="1"/>
  </w:num>
  <w:num w:numId="2">
    <w:abstractNumId w:val="7"/>
  </w:num>
  <w:num w:numId="3">
    <w:abstractNumId w:val="2"/>
  </w:num>
  <w:num w:numId="4">
    <w:abstractNumId w:val="9"/>
  </w:num>
  <w:num w:numId="5">
    <w:abstractNumId w:val="0"/>
  </w:num>
  <w:num w:numId="6">
    <w:abstractNumId w:val="3"/>
  </w:num>
  <w:num w:numId="7">
    <w:abstractNumId w:val="8"/>
  </w:num>
  <w:num w:numId="8">
    <w:abstractNumId w:val="5"/>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3E9"/>
    <w:rsid w:val="0000152F"/>
    <w:rsid w:val="00002DD1"/>
    <w:rsid w:val="0000529D"/>
    <w:rsid w:val="00011050"/>
    <w:rsid w:val="000132AC"/>
    <w:rsid w:val="00023122"/>
    <w:rsid w:val="00026B3C"/>
    <w:rsid w:val="00026DE0"/>
    <w:rsid w:val="00041524"/>
    <w:rsid w:val="00044102"/>
    <w:rsid w:val="0004598C"/>
    <w:rsid w:val="00050247"/>
    <w:rsid w:val="00057B40"/>
    <w:rsid w:val="00065A04"/>
    <w:rsid w:val="0006796C"/>
    <w:rsid w:val="00070788"/>
    <w:rsid w:val="0007709A"/>
    <w:rsid w:val="00094AF1"/>
    <w:rsid w:val="000A01F8"/>
    <w:rsid w:val="000A0B20"/>
    <w:rsid w:val="000A175E"/>
    <w:rsid w:val="000B1474"/>
    <w:rsid w:val="000C2801"/>
    <w:rsid w:val="000D6EE6"/>
    <w:rsid w:val="000E7F6D"/>
    <w:rsid w:val="000F078A"/>
    <w:rsid w:val="000F673E"/>
    <w:rsid w:val="00101F96"/>
    <w:rsid w:val="001044A3"/>
    <w:rsid w:val="00111DDF"/>
    <w:rsid w:val="00134C0D"/>
    <w:rsid w:val="001356DA"/>
    <w:rsid w:val="00135C37"/>
    <w:rsid w:val="00135DF1"/>
    <w:rsid w:val="00155ADF"/>
    <w:rsid w:val="0016316F"/>
    <w:rsid w:val="00175D3E"/>
    <w:rsid w:val="001765BD"/>
    <w:rsid w:val="00180B92"/>
    <w:rsid w:val="00182F93"/>
    <w:rsid w:val="001C4CBC"/>
    <w:rsid w:val="001D0CDE"/>
    <w:rsid w:val="001E085C"/>
    <w:rsid w:val="001E2F0C"/>
    <w:rsid w:val="001F3D09"/>
    <w:rsid w:val="001F4323"/>
    <w:rsid w:val="001F65DF"/>
    <w:rsid w:val="002070CE"/>
    <w:rsid w:val="00215F21"/>
    <w:rsid w:val="00220957"/>
    <w:rsid w:val="00222679"/>
    <w:rsid w:val="002231F2"/>
    <w:rsid w:val="002306C2"/>
    <w:rsid w:val="00242A87"/>
    <w:rsid w:val="00246073"/>
    <w:rsid w:val="00247ADA"/>
    <w:rsid w:val="002537F9"/>
    <w:rsid w:val="00254830"/>
    <w:rsid w:val="002569FB"/>
    <w:rsid w:val="00272CA4"/>
    <w:rsid w:val="00275B2D"/>
    <w:rsid w:val="00275DAB"/>
    <w:rsid w:val="00285B72"/>
    <w:rsid w:val="002900B4"/>
    <w:rsid w:val="00293570"/>
    <w:rsid w:val="002962DF"/>
    <w:rsid w:val="002966E9"/>
    <w:rsid w:val="00297BF3"/>
    <w:rsid w:val="002A233E"/>
    <w:rsid w:val="002A3EC7"/>
    <w:rsid w:val="002A4EB0"/>
    <w:rsid w:val="002A6E0A"/>
    <w:rsid w:val="002A76B9"/>
    <w:rsid w:val="002A782F"/>
    <w:rsid w:val="002B24D0"/>
    <w:rsid w:val="002D449E"/>
    <w:rsid w:val="002F3868"/>
    <w:rsid w:val="002F3F62"/>
    <w:rsid w:val="00321878"/>
    <w:rsid w:val="00323273"/>
    <w:rsid w:val="00330C96"/>
    <w:rsid w:val="003318F8"/>
    <w:rsid w:val="003319BB"/>
    <w:rsid w:val="003457C2"/>
    <w:rsid w:val="003558C9"/>
    <w:rsid w:val="00356A02"/>
    <w:rsid w:val="0035790A"/>
    <w:rsid w:val="00364F41"/>
    <w:rsid w:val="003673BB"/>
    <w:rsid w:val="00371C8E"/>
    <w:rsid w:val="00376195"/>
    <w:rsid w:val="00385F23"/>
    <w:rsid w:val="003863D6"/>
    <w:rsid w:val="003936C9"/>
    <w:rsid w:val="00395D0C"/>
    <w:rsid w:val="003A244E"/>
    <w:rsid w:val="003A61EB"/>
    <w:rsid w:val="003A75A4"/>
    <w:rsid w:val="003A77EB"/>
    <w:rsid w:val="003D0250"/>
    <w:rsid w:val="003D3413"/>
    <w:rsid w:val="003E4096"/>
    <w:rsid w:val="004042B6"/>
    <w:rsid w:val="00407C88"/>
    <w:rsid w:val="00413145"/>
    <w:rsid w:val="00414032"/>
    <w:rsid w:val="0042440D"/>
    <w:rsid w:val="0042554C"/>
    <w:rsid w:val="00435730"/>
    <w:rsid w:val="004403F1"/>
    <w:rsid w:val="0045040E"/>
    <w:rsid w:val="00452FD5"/>
    <w:rsid w:val="00455016"/>
    <w:rsid w:val="004748CA"/>
    <w:rsid w:val="00484D01"/>
    <w:rsid w:val="00492528"/>
    <w:rsid w:val="004A1C61"/>
    <w:rsid w:val="004B6F97"/>
    <w:rsid w:val="004C2E1F"/>
    <w:rsid w:val="004C48D4"/>
    <w:rsid w:val="004C4D9C"/>
    <w:rsid w:val="004D0C94"/>
    <w:rsid w:val="004D3F54"/>
    <w:rsid w:val="004E359F"/>
    <w:rsid w:val="004F6F98"/>
    <w:rsid w:val="005053F8"/>
    <w:rsid w:val="00511EB3"/>
    <w:rsid w:val="005158C5"/>
    <w:rsid w:val="00520273"/>
    <w:rsid w:val="00526068"/>
    <w:rsid w:val="00562713"/>
    <w:rsid w:val="00573599"/>
    <w:rsid w:val="005758C3"/>
    <w:rsid w:val="0058236B"/>
    <w:rsid w:val="00586C62"/>
    <w:rsid w:val="005A038C"/>
    <w:rsid w:val="005B0749"/>
    <w:rsid w:val="005E0864"/>
    <w:rsid w:val="005E6948"/>
    <w:rsid w:val="005F4579"/>
    <w:rsid w:val="00605601"/>
    <w:rsid w:val="00623A76"/>
    <w:rsid w:val="00623D60"/>
    <w:rsid w:val="00634711"/>
    <w:rsid w:val="0064364E"/>
    <w:rsid w:val="00644530"/>
    <w:rsid w:val="006454D3"/>
    <w:rsid w:val="00650A68"/>
    <w:rsid w:val="0067131C"/>
    <w:rsid w:val="0067288C"/>
    <w:rsid w:val="0067404F"/>
    <w:rsid w:val="00674D8F"/>
    <w:rsid w:val="00675034"/>
    <w:rsid w:val="006802D9"/>
    <w:rsid w:val="006864FD"/>
    <w:rsid w:val="00692255"/>
    <w:rsid w:val="006A35D7"/>
    <w:rsid w:val="006A60D8"/>
    <w:rsid w:val="006B0198"/>
    <w:rsid w:val="006B127A"/>
    <w:rsid w:val="006C028B"/>
    <w:rsid w:val="006C0B9F"/>
    <w:rsid w:val="006C547D"/>
    <w:rsid w:val="006D216C"/>
    <w:rsid w:val="006D2E28"/>
    <w:rsid w:val="006E0913"/>
    <w:rsid w:val="006E0BB9"/>
    <w:rsid w:val="006E6B5F"/>
    <w:rsid w:val="006F6ABC"/>
    <w:rsid w:val="007043CB"/>
    <w:rsid w:val="007110CF"/>
    <w:rsid w:val="007413E9"/>
    <w:rsid w:val="00741AEF"/>
    <w:rsid w:val="007434FF"/>
    <w:rsid w:val="0075043B"/>
    <w:rsid w:val="0075054B"/>
    <w:rsid w:val="00761443"/>
    <w:rsid w:val="0077497B"/>
    <w:rsid w:val="0077537E"/>
    <w:rsid w:val="00785807"/>
    <w:rsid w:val="0079191B"/>
    <w:rsid w:val="007B05D8"/>
    <w:rsid w:val="007B5369"/>
    <w:rsid w:val="007C00E0"/>
    <w:rsid w:val="007C1DFF"/>
    <w:rsid w:val="007C2478"/>
    <w:rsid w:val="007D1559"/>
    <w:rsid w:val="007D662A"/>
    <w:rsid w:val="007F03B1"/>
    <w:rsid w:val="007F3B88"/>
    <w:rsid w:val="007F64F3"/>
    <w:rsid w:val="007F718D"/>
    <w:rsid w:val="0080314D"/>
    <w:rsid w:val="0081273F"/>
    <w:rsid w:val="00816A44"/>
    <w:rsid w:val="00820D01"/>
    <w:rsid w:val="0082375F"/>
    <w:rsid w:val="00832D41"/>
    <w:rsid w:val="008612AA"/>
    <w:rsid w:val="008612C1"/>
    <w:rsid w:val="00864405"/>
    <w:rsid w:val="00876008"/>
    <w:rsid w:val="0087701C"/>
    <w:rsid w:val="00882E19"/>
    <w:rsid w:val="008843AB"/>
    <w:rsid w:val="00890271"/>
    <w:rsid w:val="008A3BE4"/>
    <w:rsid w:val="008B0E44"/>
    <w:rsid w:val="008B3782"/>
    <w:rsid w:val="008C7BD6"/>
    <w:rsid w:val="008D0DB6"/>
    <w:rsid w:val="008D45E2"/>
    <w:rsid w:val="008E2397"/>
    <w:rsid w:val="008E451F"/>
    <w:rsid w:val="008F66FF"/>
    <w:rsid w:val="00900421"/>
    <w:rsid w:val="00903C0C"/>
    <w:rsid w:val="00920139"/>
    <w:rsid w:val="00932B69"/>
    <w:rsid w:val="00934E89"/>
    <w:rsid w:val="00947A64"/>
    <w:rsid w:val="00983DA9"/>
    <w:rsid w:val="00994F69"/>
    <w:rsid w:val="0099596E"/>
    <w:rsid w:val="009A6DE0"/>
    <w:rsid w:val="009A757F"/>
    <w:rsid w:val="009D6150"/>
    <w:rsid w:val="009D759B"/>
    <w:rsid w:val="009E364C"/>
    <w:rsid w:val="009F34F6"/>
    <w:rsid w:val="00A000E2"/>
    <w:rsid w:val="00A24610"/>
    <w:rsid w:val="00A4647A"/>
    <w:rsid w:val="00A46680"/>
    <w:rsid w:val="00A53997"/>
    <w:rsid w:val="00A57E51"/>
    <w:rsid w:val="00A70116"/>
    <w:rsid w:val="00A744CF"/>
    <w:rsid w:val="00A749AB"/>
    <w:rsid w:val="00A81AA7"/>
    <w:rsid w:val="00A86E0F"/>
    <w:rsid w:val="00A87A42"/>
    <w:rsid w:val="00A93754"/>
    <w:rsid w:val="00A952FD"/>
    <w:rsid w:val="00AA2977"/>
    <w:rsid w:val="00AA2A5F"/>
    <w:rsid w:val="00AB608B"/>
    <w:rsid w:val="00AD0757"/>
    <w:rsid w:val="00AD3B49"/>
    <w:rsid w:val="00AF5B6E"/>
    <w:rsid w:val="00B02446"/>
    <w:rsid w:val="00B05C35"/>
    <w:rsid w:val="00B113F2"/>
    <w:rsid w:val="00B16148"/>
    <w:rsid w:val="00B207BA"/>
    <w:rsid w:val="00B22C37"/>
    <w:rsid w:val="00B22C58"/>
    <w:rsid w:val="00B2535B"/>
    <w:rsid w:val="00B413AC"/>
    <w:rsid w:val="00B45219"/>
    <w:rsid w:val="00B552FD"/>
    <w:rsid w:val="00B7005A"/>
    <w:rsid w:val="00B7283D"/>
    <w:rsid w:val="00B76254"/>
    <w:rsid w:val="00B84D30"/>
    <w:rsid w:val="00B939B4"/>
    <w:rsid w:val="00B957BC"/>
    <w:rsid w:val="00B97396"/>
    <w:rsid w:val="00B977FA"/>
    <w:rsid w:val="00BA5F35"/>
    <w:rsid w:val="00BA7C0D"/>
    <w:rsid w:val="00BC7DC3"/>
    <w:rsid w:val="00BE1DD2"/>
    <w:rsid w:val="00BE2AA4"/>
    <w:rsid w:val="00BE4DD3"/>
    <w:rsid w:val="00BE63E3"/>
    <w:rsid w:val="00BF7C36"/>
    <w:rsid w:val="00C001BA"/>
    <w:rsid w:val="00C030F6"/>
    <w:rsid w:val="00C0545F"/>
    <w:rsid w:val="00C12E29"/>
    <w:rsid w:val="00C1576A"/>
    <w:rsid w:val="00C16D2B"/>
    <w:rsid w:val="00C243B5"/>
    <w:rsid w:val="00C57E21"/>
    <w:rsid w:val="00C62758"/>
    <w:rsid w:val="00C64CCC"/>
    <w:rsid w:val="00C72C51"/>
    <w:rsid w:val="00C830B8"/>
    <w:rsid w:val="00C96A5C"/>
    <w:rsid w:val="00CA0F4B"/>
    <w:rsid w:val="00CB1CB0"/>
    <w:rsid w:val="00CB61C5"/>
    <w:rsid w:val="00CB6B56"/>
    <w:rsid w:val="00CB7572"/>
    <w:rsid w:val="00CB757D"/>
    <w:rsid w:val="00CC33C7"/>
    <w:rsid w:val="00CD0D4A"/>
    <w:rsid w:val="00CD3973"/>
    <w:rsid w:val="00CE1455"/>
    <w:rsid w:val="00CF2594"/>
    <w:rsid w:val="00CF7FD6"/>
    <w:rsid w:val="00D134CC"/>
    <w:rsid w:val="00D1617E"/>
    <w:rsid w:val="00D166A7"/>
    <w:rsid w:val="00D4105C"/>
    <w:rsid w:val="00D42AD8"/>
    <w:rsid w:val="00D44580"/>
    <w:rsid w:val="00D54159"/>
    <w:rsid w:val="00D553A6"/>
    <w:rsid w:val="00D6086D"/>
    <w:rsid w:val="00D609DE"/>
    <w:rsid w:val="00D61007"/>
    <w:rsid w:val="00D64DA9"/>
    <w:rsid w:val="00D77EE2"/>
    <w:rsid w:val="00D82AA0"/>
    <w:rsid w:val="00D86B56"/>
    <w:rsid w:val="00DA07C2"/>
    <w:rsid w:val="00DB11E0"/>
    <w:rsid w:val="00DC1550"/>
    <w:rsid w:val="00DC7C2B"/>
    <w:rsid w:val="00DD0AE4"/>
    <w:rsid w:val="00DD3E41"/>
    <w:rsid w:val="00DD554E"/>
    <w:rsid w:val="00E00B58"/>
    <w:rsid w:val="00E03AA8"/>
    <w:rsid w:val="00E05BC3"/>
    <w:rsid w:val="00E05E9D"/>
    <w:rsid w:val="00E2363A"/>
    <w:rsid w:val="00E244AA"/>
    <w:rsid w:val="00E262DD"/>
    <w:rsid w:val="00E330AF"/>
    <w:rsid w:val="00E40C86"/>
    <w:rsid w:val="00E534B3"/>
    <w:rsid w:val="00E605D8"/>
    <w:rsid w:val="00E75624"/>
    <w:rsid w:val="00E76929"/>
    <w:rsid w:val="00E90BEF"/>
    <w:rsid w:val="00E92203"/>
    <w:rsid w:val="00E9604A"/>
    <w:rsid w:val="00EB334D"/>
    <w:rsid w:val="00ED09C8"/>
    <w:rsid w:val="00ED2675"/>
    <w:rsid w:val="00ED50EF"/>
    <w:rsid w:val="00EE0906"/>
    <w:rsid w:val="00EE4DEC"/>
    <w:rsid w:val="00F02354"/>
    <w:rsid w:val="00F02FF1"/>
    <w:rsid w:val="00F05A27"/>
    <w:rsid w:val="00F1342E"/>
    <w:rsid w:val="00F16FBB"/>
    <w:rsid w:val="00F34BB7"/>
    <w:rsid w:val="00F41C4E"/>
    <w:rsid w:val="00F50062"/>
    <w:rsid w:val="00F60E94"/>
    <w:rsid w:val="00F6137F"/>
    <w:rsid w:val="00F63899"/>
    <w:rsid w:val="00F66C24"/>
    <w:rsid w:val="00F74F22"/>
    <w:rsid w:val="00F85BF4"/>
    <w:rsid w:val="00F87BDA"/>
    <w:rsid w:val="00F949DC"/>
    <w:rsid w:val="00F952D3"/>
    <w:rsid w:val="00F96514"/>
    <w:rsid w:val="00FB006F"/>
    <w:rsid w:val="00FB0724"/>
    <w:rsid w:val="00FB4C0C"/>
    <w:rsid w:val="00FB655D"/>
    <w:rsid w:val="00FC1D7F"/>
    <w:rsid w:val="00FD15B7"/>
    <w:rsid w:val="00FD3682"/>
    <w:rsid w:val="00FD42C8"/>
    <w:rsid w:val="00FE0130"/>
    <w:rsid w:val="00FE4A8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pPr>
    <w:rPr>
      <w:rFonts w:ascii="Arial" w:hAnsi="Arial"/>
      <w:sz w:val="24"/>
      <w:szCs w:val="24"/>
      <w:lang w:eastAsia="zh-CN"/>
    </w:rPr>
  </w:style>
  <w:style w:type="paragraph" w:styleId="Heading1">
    <w:name w:val="heading 1"/>
    <w:basedOn w:val="Normal"/>
    <w:next w:val="Normal"/>
    <w:qFormat/>
    <w:pPr>
      <w:keepNext/>
      <w:spacing w:before="0" w:after="0"/>
      <w:ind w:left="284" w:right="372"/>
      <w:jc w:val="center"/>
      <w:outlineLvl w:val="0"/>
    </w:pPr>
    <w:rPr>
      <w:rFonts w:ascii="Times New Roman" w:hAnsi="Times New Roman"/>
      <w:szCs w:val="20"/>
      <w:u w:val="single"/>
      <w:lang w:val="en-GB" w:eastAsia="en-US"/>
    </w:rPr>
  </w:style>
  <w:style w:type="paragraph" w:styleId="Heading2">
    <w:name w:val="heading 2"/>
    <w:basedOn w:val="Normal"/>
    <w:next w:val="Normal"/>
    <w:qFormat/>
    <w:pPr>
      <w:keepNext/>
      <w:spacing w:before="0" w:after="0"/>
      <w:ind w:left="284" w:right="372"/>
      <w:jc w:val="center"/>
      <w:outlineLvl w:val="1"/>
    </w:pPr>
    <w:rPr>
      <w:rFonts w:ascii="Times New Roman" w:hAnsi="Times New Roman"/>
      <w:i/>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Module">
    <w:name w:val="HeadingModule"/>
    <w:basedOn w:val="Normal"/>
    <w:autoRedefine/>
    <w:pPr>
      <w:spacing w:before="0" w:after="0"/>
    </w:pPr>
    <w:rPr>
      <w:rFonts w:ascii="Arial Bold" w:hAnsi="Arial Bold"/>
      <w:b/>
      <w:bCs/>
    </w:rPr>
  </w:style>
  <w:style w:type="paragraph" w:customStyle="1" w:styleId="HeadingExample">
    <w:name w:val="HeadingExample"/>
    <w:basedOn w:val="Normal"/>
    <w:autoRedefine/>
    <w:pPr>
      <w:spacing w:before="0" w:after="0"/>
    </w:pPr>
    <w:rPr>
      <w:sz w:val="16"/>
      <w:szCs w:val="16"/>
    </w:rPr>
  </w:style>
  <w:style w:type="paragraph" w:customStyle="1" w:styleId="HeadingDivision">
    <w:name w:val="HeadingDivision"/>
    <w:basedOn w:val="Normal"/>
    <w:next w:val="Normal"/>
    <w:autoRedefine/>
    <w:pPr>
      <w:spacing w:before="0" w:after="0"/>
      <w:ind w:left="1440" w:hanging="1440"/>
    </w:pPr>
    <w:rPr>
      <w:rFonts w:ascii="Arial Bold" w:hAnsi="Arial Bold"/>
      <w:b/>
      <w:bCs/>
    </w:rPr>
  </w:style>
  <w:style w:type="paragraph" w:customStyle="1" w:styleId="textexample">
    <w:name w:val="textexample"/>
    <w:basedOn w:val="Normal"/>
    <w:autoRedefine/>
    <w:pPr>
      <w:spacing w:before="0" w:after="0"/>
    </w:pPr>
    <w:rPr>
      <w:sz w:val="16"/>
      <w:szCs w:val="16"/>
    </w:rPr>
  </w:style>
  <w:style w:type="paragraph" w:customStyle="1" w:styleId="HeadingRateCalculator">
    <w:name w:val="HeadingRateCalculator"/>
    <w:basedOn w:val="Normal"/>
    <w:autoRedefine/>
    <w:pPr>
      <w:spacing w:before="0" w:after="0"/>
      <w:jc w:val="center"/>
    </w:pPr>
    <w:rPr>
      <w:rFonts w:ascii="Arial Bold Italic" w:hAnsi="Arial Bold Italic"/>
      <w:b/>
      <w:bCs/>
      <w:i/>
      <w:iCs/>
    </w:rPr>
  </w:style>
  <w:style w:type="paragraph" w:styleId="BlockText">
    <w:name w:val="Block Text"/>
    <w:basedOn w:val="Normal"/>
    <w:pPr>
      <w:spacing w:before="0" w:after="0"/>
      <w:ind w:left="284" w:right="372"/>
      <w:jc w:val="both"/>
    </w:pPr>
    <w:rPr>
      <w:rFonts w:ascii="Times New Roman" w:hAnsi="Times New Roman"/>
      <w:szCs w:val="20"/>
      <w:lang w:val="en-GB" w:eastAsia="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CharChar1Char">
    <w:name w:val="Char Char1 Char"/>
    <w:basedOn w:val="Normal"/>
    <w:rsid w:val="00FC1D7F"/>
    <w:pPr>
      <w:spacing w:before="0" w:after="0"/>
    </w:pPr>
    <w:rPr>
      <w:sz w:val="22"/>
      <w:szCs w:val="20"/>
      <w:lang w:eastAsia="en-US"/>
    </w:rPr>
  </w:style>
  <w:style w:type="paragraph" w:styleId="NormalWeb">
    <w:name w:val="Normal (Web)"/>
    <w:basedOn w:val="Normal"/>
    <w:rsid w:val="00FC1D7F"/>
    <w:pPr>
      <w:spacing w:before="100" w:beforeAutospacing="1" w:after="100" w:afterAutospacing="1"/>
    </w:pPr>
    <w:rPr>
      <w:rFonts w:ascii="Times New Roman" w:hAnsi="Times New Roman"/>
      <w:lang w:eastAsia="en-AU"/>
    </w:rPr>
  </w:style>
  <w:style w:type="paragraph" w:customStyle="1" w:styleId="content">
    <w:name w:val="content"/>
    <w:basedOn w:val="Normal"/>
    <w:rsid w:val="00FC1D7F"/>
    <w:pPr>
      <w:spacing w:before="100" w:beforeAutospacing="1" w:after="100" w:afterAutospacing="1"/>
    </w:pPr>
    <w:rPr>
      <w:rFonts w:ascii="Times New Roman" w:hAnsi="Times New Roman"/>
      <w:lang w:eastAsia="en-AU"/>
    </w:rPr>
  </w:style>
  <w:style w:type="character" w:styleId="CommentReference">
    <w:name w:val="annotation reference"/>
    <w:semiHidden/>
    <w:rsid w:val="00CE1455"/>
    <w:rPr>
      <w:sz w:val="16"/>
      <w:szCs w:val="16"/>
    </w:rPr>
  </w:style>
  <w:style w:type="paragraph" w:styleId="CommentText">
    <w:name w:val="annotation text"/>
    <w:basedOn w:val="Normal"/>
    <w:link w:val="CommentTextChar"/>
    <w:semiHidden/>
    <w:rsid w:val="00CE1455"/>
    <w:pPr>
      <w:spacing w:before="240" w:after="0"/>
    </w:pPr>
    <w:rPr>
      <w:rFonts w:ascii="Times New Roman" w:hAnsi="Times New Roman"/>
      <w:sz w:val="20"/>
      <w:szCs w:val="20"/>
      <w:lang w:eastAsia="en-AU"/>
    </w:rPr>
  </w:style>
  <w:style w:type="paragraph" w:styleId="BalloonText">
    <w:name w:val="Balloon Text"/>
    <w:basedOn w:val="Normal"/>
    <w:semiHidden/>
    <w:rsid w:val="00CE1455"/>
    <w:rPr>
      <w:rFonts w:ascii="Tahoma" w:hAnsi="Tahoma" w:cs="Tahoma"/>
      <w:sz w:val="16"/>
      <w:szCs w:val="16"/>
    </w:rPr>
  </w:style>
  <w:style w:type="paragraph" w:customStyle="1" w:styleId="Char">
    <w:name w:val="Char"/>
    <w:basedOn w:val="Normal"/>
    <w:rsid w:val="008B0E44"/>
    <w:pPr>
      <w:spacing w:before="0" w:after="160" w:line="240" w:lineRule="exact"/>
    </w:pPr>
    <w:rPr>
      <w:rFonts w:ascii="Verdana" w:hAnsi="Verdana"/>
      <w:sz w:val="20"/>
      <w:lang w:val="en-US" w:eastAsia="en-US"/>
    </w:rPr>
  </w:style>
  <w:style w:type="paragraph" w:customStyle="1" w:styleId="numberlist">
    <w:name w:val="numberlist"/>
    <w:basedOn w:val="Normal"/>
    <w:rsid w:val="008B0E44"/>
    <w:pPr>
      <w:spacing w:before="100" w:beforeAutospacing="1" w:after="100" w:afterAutospacing="1"/>
    </w:pPr>
    <w:rPr>
      <w:rFonts w:ascii="Times New Roman" w:hAnsi="Times New Roman"/>
      <w:lang w:eastAsia="en-AU"/>
    </w:rPr>
  </w:style>
  <w:style w:type="paragraph" w:styleId="CommentSubject">
    <w:name w:val="annotation subject"/>
    <w:basedOn w:val="CommentText"/>
    <w:next w:val="CommentText"/>
    <w:semiHidden/>
    <w:rsid w:val="00CB61C5"/>
    <w:pPr>
      <w:spacing w:before="120" w:after="120"/>
    </w:pPr>
    <w:rPr>
      <w:rFonts w:ascii="Arial" w:hAnsi="Arial"/>
      <w:b/>
      <w:bCs/>
      <w:lang w:eastAsia="zh-CN"/>
    </w:rPr>
  </w:style>
  <w:style w:type="character" w:customStyle="1" w:styleId="CommentTextChar">
    <w:name w:val="Comment Text Char"/>
    <w:link w:val="CommentText"/>
    <w:semiHidden/>
    <w:rsid w:val="000A175E"/>
  </w:style>
  <w:style w:type="character" w:styleId="BookTitle">
    <w:name w:val="Book Title"/>
    <w:uiPriority w:val="33"/>
    <w:qFormat/>
    <w:rsid w:val="004403F1"/>
    <w:rPr>
      <w:i/>
      <w:iCs/>
      <w:smallCaps/>
      <w:spacing w:val="5"/>
    </w:rPr>
  </w:style>
  <w:style w:type="paragraph" w:styleId="Revision">
    <w:name w:val="Revision"/>
    <w:hidden/>
    <w:uiPriority w:val="99"/>
    <w:semiHidden/>
    <w:rsid w:val="008D0DB6"/>
    <w:rPr>
      <w:rFonts w:ascii="Arial" w:hAnsi="Arial"/>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pPr>
    <w:rPr>
      <w:rFonts w:ascii="Arial" w:hAnsi="Arial"/>
      <w:sz w:val="24"/>
      <w:szCs w:val="24"/>
      <w:lang w:eastAsia="zh-CN"/>
    </w:rPr>
  </w:style>
  <w:style w:type="paragraph" w:styleId="Heading1">
    <w:name w:val="heading 1"/>
    <w:basedOn w:val="Normal"/>
    <w:next w:val="Normal"/>
    <w:qFormat/>
    <w:pPr>
      <w:keepNext/>
      <w:spacing w:before="0" w:after="0"/>
      <w:ind w:left="284" w:right="372"/>
      <w:jc w:val="center"/>
      <w:outlineLvl w:val="0"/>
    </w:pPr>
    <w:rPr>
      <w:rFonts w:ascii="Times New Roman" w:hAnsi="Times New Roman"/>
      <w:szCs w:val="20"/>
      <w:u w:val="single"/>
      <w:lang w:val="en-GB" w:eastAsia="en-US"/>
    </w:rPr>
  </w:style>
  <w:style w:type="paragraph" w:styleId="Heading2">
    <w:name w:val="heading 2"/>
    <w:basedOn w:val="Normal"/>
    <w:next w:val="Normal"/>
    <w:qFormat/>
    <w:pPr>
      <w:keepNext/>
      <w:spacing w:before="0" w:after="0"/>
      <w:ind w:left="284" w:right="372"/>
      <w:jc w:val="center"/>
      <w:outlineLvl w:val="1"/>
    </w:pPr>
    <w:rPr>
      <w:rFonts w:ascii="Times New Roman" w:hAnsi="Times New Roman"/>
      <w:i/>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Module">
    <w:name w:val="HeadingModule"/>
    <w:basedOn w:val="Normal"/>
    <w:autoRedefine/>
    <w:pPr>
      <w:spacing w:before="0" w:after="0"/>
    </w:pPr>
    <w:rPr>
      <w:rFonts w:ascii="Arial Bold" w:hAnsi="Arial Bold"/>
      <w:b/>
      <w:bCs/>
    </w:rPr>
  </w:style>
  <w:style w:type="paragraph" w:customStyle="1" w:styleId="HeadingExample">
    <w:name w:val="HeadingExample"/>
    <w:basedOn w:val="Normal"/>
    <w:autoRedefine/>
    <w:pPr>
      <w:spacing w:before="0" w:after="0"/>
    </w:pPr>
    <w:rPr>
      <w:sz w:val="16"/>
      <w:szCs w:val="16"/>
    </w:rPr>
  </w:style>
  <w:style w:type="paragraph" w:customStyle="1" w:styleId="HeadingDivision">
    <w:name w:val="HeadingDivision"/>
    <w:basedOn w:val="Normal"/>
    <w:next w:val="Normal"/>
    <w:autoRedefine/>
    <w:pPr>
      <w:spacing w:before="0" w:after="0"/>
      <w:ind w:left="1440" w:hanging="1440"/>
    </w:pPr>
    <w:rPr>
      <w:rFonts w:ascii="Arial Bold" w:hAnsi="Arial Bold"/>
      <w:b/>
      <w:bCs/>
    </w:rPr>
  </w:style>
  <w:style w:type="paragraph" w:customStyle="1" w:styleId="textexample">
    <w:name w:val="textexample"/>
    <w:basedOn w:val="Normal"/>
    <w:autoRedefine/>
    <w:pPr>
      <w:spacing w:before="0" w:after="0"/>
    </w:pPr>
    <w:rPr>
      <w:sz w:val="16"/>
      <w:szCs w:val="16"/>
    </w:rPr>
  </w:style>
  <w:style w:type="paragraph" w:customStyle="1" w:styleId="HeadingRateCalculator">
    <w:name w:val="HeadingRateCalculator"/>
    <w:basedOn w:val="Normal"/>
    <w:autoRedefine/>
    <w:pPr>
      <w:spacing w:before="0" w:after="0"/>
      <w:jc w:val="center"/>
    </w:pPr>
    <w:rPr>
      <w:rFonts w:ascii="Arial Bold Italic" w:hAnsi="Arial Bold Italic"/>
      <w:b/>
      <w:bCs/>
      <w:i/>
      <w:iCs/>
    </w:rPr>
  </w:style>
  <w:style w:type="paragraph" w:styleId="BlockText">
    <w:name w:val="Block Text"/>
    <w:basedOn w:val="Normal"/>
    <w:pPr>
      <w:spacing w:before="0" w:after="0"/>
      <w:ind w:left="284" w:right="372"/>
      <w:jc w:val="both"/>
    </w:pPr>
    <w:rPr>
      <w:rFonts w:ascii="Times New Roman" w:hAnsi="Times New Roman"/>
      <w:szCs w:val="20"/>
      <w:lang w:val="en-GB" w:eastAsia="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CharChar1Char">
    <w:name w:val="Char Char1 Char"/>
    <w:basedOn w:val="Normal"/>
    <w:rsid w:val="00FC1D7F"/>
    <w:pPr>
      <w:spacing w:before="0" w:after="0"/>
    </w:pPr>
    <w:rPr>
      <w:sz w:val="22"/>
      <w:szCs w:val="20"/>
      <w:lang w:eastAsia="en-US"/>
    </w:rPr>
  </w:style>
  <w:style w:type="paragraph" w:styleId="NormalWeb">
    <w:name w:val="Normal (Web)"/>
    <w:basedOn w:val="Normal"/>
    <w:rsid w:val="00FC1D7F"/>
    <w:pPr>
      <w:spacing w:before="100" w:beforeAutospacing="1" w:after="100" w:afterAutospacing="1"/>
    </w:pPr>
    <w:rPr>
      <w:rFonts w:ascii="Times New Roman" w:hAnsi="Times New Roman"/>
      <w:lang w:eastAsia="en-AU"/>
    </w:rPr>
  </w:style>
  <w:style w:type="paragraph" w:customStyle="1" w:styleId="content">
    <w:name w:val="content"/>
    <w:basedOn w:val="Normal"/>
    <w:rsid w:val="00FC1D7F"/>
    <w:pPr>
      <w:spacing w:before="100" w:beforeAutospacing="1" w:after="100" w:afterAutospacing="1"/>
    </w:pPr>
    <w:rPr>
      <w:rFonts w:ascii="Times New Roman" w:hAnsi="Times New Roman"/>
      <w:lang w:eastAsia="en-AU"/>
    </w:rPr>
  </w:style>
  <w:style w:type="character" w:styleId="CommentReference">
    <w:name w:val="annotation reference"/>
    <w:semiHidden/>
    <w:rsid w:val="00CE1455"/>
    <w:rPr>
      <w:sz w:val="16"/>
      <w:szCs w:val="16"/>
    </w:rPr>
  </w:style>
  <w:style w:type="paragraph" w:styleId="CommentText">
    <w:name w:val="annotation text"/>
    <w:basedOn w:val="Normal"/>
    <w:link w:val="CommentTextChar"/>
    <w:semiHidden/>
    <w:rsid w:val="00CE1455"/>
    <w:pPr>
      <w:spacing w:before="240" w:after="0"/>
    </w:pPr>
    <w:rPr>
      <w:rFonts w:ascii="Times New Roman" w:hAnsi="Times New Roman"/>
      <w:sz w:val="20"/>
      <w:szCs w:val="20"/>
      <w:lang w:eastAsia="en-AU"/>
    </w:rPr>
  </w:style>
  <w:style w:type="paragraph" w:styleId="BalloonText">
    <w:name w:val="Balloon Text"/>
    <w:basedOn w:val="Normal"/>
    <w:semiHidden/>
    <w:rsid w:val="00CE1455"/>
    <w:rPr>
      <w:rFonts w:ascii="Tahoma" w:hAnsi="Tahoma" w:cs="Tahoma"/>
      <w:sz w:val="16"/>
      <w:szCs w:val="16"/>
    </w:rPr>
  </w:style>
  <w:style w:type="paragraph" w:customStyle="1" w:styleId="Char">
    <w:name w:val="Char"/>
    <w:basedOn w:val="Normal"/>
    <w:rsid w:val="008B0E44"/>
    <w:pPr>
      <w:spacing w:before="0" w:after="160" w:line="240" w:lineRule="exact"/>
    </w:pPr>
    <w:rPr>
      <w:rFonts w:ascii="Verdana" w:hAnsi="Verdana"/>
      <w:sz w:val="20"/>
      <w:lang w:val="en-US" w:eastAsia="en-US"/>
    </w:rPr>
  </w:style>
  <w:style w:type="paragraph" w:customStyle="1" w:styleId="numberlist">
    <w:name w:val="numberlist"/>
    <w:basedOn w:val="Normal"/>
    <w:rsid w:val="008B0E44"/>
    <w:pPr>
      <w:spacing w:before="100" w:beforeAutospacing="1" w:after="100" w:afterAutospacing="1"/>
    </w:pPr>
    <w:rPr>
      <w:rFonts w:ascii="Times New Roman" w:hAnsi="Times New Roman"/>
      <w:lang w:eastAsia="en-AU"/>
    </w:rPr>
  </w:style>
  <w:style w:type="paragraph" w:styleId="CommentSubject">
    <w:name w:val="annotation subject"/>
    <w:basedOn w:val="CommentText"/>
    <w:next w:val="CommentText"/>
    <w:semiHidden/>
    <w:rsid w:val="00CB61C5"/>
    <w:pPr>
      <w:spacing w:before="120" w:after="120"/>
    </w:pPr>
    <w:rPr>
      <w:rFonts w:ascii="Arial" w:hAnsi="Arial"/>
      <w:b/>
      <w:bCs/>
      <w:lang w:eastAsia="zh-CN"/>
    </w:rPr>
  </w:style>
  <w:style w:type="character" w:customStyle="1" w:styleId="CommentTextChar">
    <w:name w:val="Comment Text Char"/>
    <w:link w:val="CommentText"/>
    <w:semiHidden/>
    <w:rsid w:val="000A175E"/>
  </w:style>
  <w:style w:type="character" w:styleId="BookTitle">
    <w:name w:val="Book Title"/>
    <w:uiPriority w:val="33"/>
    <w:qFormat/>
    <w:rsid w:val="004403F1"/>
    <w:rPr>
      <w:i/>
      <w:iCs/>
      <w:smallCaps/>
      <w:spacing w:val="5"/>
    </w:rPr>
  </w:style>
  <w:style w:type="paragraph" w:styleId="Revision">
    <w:name w:val="Revision"/>
    <w:hidden/>
    <w:uiPriority w:val="99"/>
    <w:semiHidden/>
    <w:rsid w:val="008D0DB6"/>
    <w:rPr>
      <w:rFonts w:ascii="Arial" w:hAnsi="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99889">
      <w:bodyDiv w:val="1"/>
      <w:marLeft w:val="0"/>
      <w:marRight w:val="0"/>
      <w:marTop w:val="0"/>
      <w:marBottom w:val="0"/>
      <w:divBdr>
        <w:top w:val="none" w:sz="0" w:space="0" w:color="auto"/>
        <w:left w:val="none" w:sz="0" w:space="0" w:color="auto"/>
        <w:bottom w:val="none" w:sz="0" w:space="0" w:color="auto"/>
        <w:right w:val="none" w:sz="0" w:space="0" w:color="auto"/>
      </w:divBdr>
    </w:div>
    <w:div w:id="282729545">
      <w:bodyDiv w:val="1"/>
      <w:marLeft w:val="0"/>
      <w:marRight w:val="0"/>
      <w:marTop w:val="0"/>
      <w:marBottom w:val="0"/>
      <w:divBdr>
        <w:top w:val="none" w:sz="0" w:space="0" w:color="auto"/>
        <w:left w:val="none" w:sz="0" w:space="0" w:color="auto"/>
        <w:bottom w:val="none" w:sz="0" w:space="0" w:color="auto"/>
        <w:right w:val="none" w:sz="0" w:space="0" w:color="auto"/>
      </w:divBdr>
    </w:div>
    <w:div w:id="596671036">
      <w:bodyDiv w:val="1"/>
      <w:marLeft w:val="0"/>
      <w:marRight w:val="0"/>
      <w:marTop w:val="0"/>
      <w:marBottom w:val="0"/>
      <w:divBdr>
        <w:top w:val="none" w:sz="0" w:space="0" w:color="auto"/>
        <w:left w:val="none" w:sz="0" w:space="0" w:color="auto"/>
        <w:bottom w:val="none" w:sz="0" w:space="0" w:color="auto"/>
        <w:right w:val="none" w:sz="0" w:space="0" w:color="auto"/>
      </w:divBdr>
    </w:div>
    <w:div w:id="789250456">
      <w:bodyDiv w:val="1"/>
      <w:marLeft w:val="0"/>
      <w:marRight w:val="0"/>
      <w:marTop w:val="0"/>
      <w:marBottom w:val="0"/>
      <w:divBdr>
        <w:top w:val="none" w:sz="0" w:space="0" w:color="auto"/>
        <w:left w:val="none" w:sz="0" w:space="0" w:color="auto"/>
        <w:bottom w:val="none" w:sz="0" w:space="0" w:color="auto"/>
        <w:right w:val="none" w:sz="0" w:space="0" w:color="auto"/>
      </w:divBdr>
    </w:div>
    <w:div w:id="896017998">
      <w:bodyDiv w:val="1"/>
      <w:marLeft w:val="0"/>
      <w:marRight w:val="0"/>
      <w:marTop w:val="0"/>
      <w:marBottom w:val="0"/>
      <w:divBdr>
        <w:top w:val="none" w:sz="0" w:space="0" w:color="auto"/>
        <w:left w:val="none" w:sz="0" w:space="0" w:color="auto"/>
        <w:bottom w:val="none" w:sz="0" w:space="0" w:color="auto"/>
        <w:right w:val="none" w:sz="0" w:space="0" w:color="auto"/>
      </w:divBdr>
    </w:div>
    <w:div w:id="900557220">
      <w:bodyDiv w:val="1"/>
      <w:marLeft w:val="0"/>
      <w:marRight w:val="0"/>
      <w:marTop w:val="0"/>
      <w:marBottom w:val="0"/>
      <w:divBdr>
        <w:top w:val="none" w:sz="0" w:space="0" w:color="auto"/>
        <w:left w:val="none" w:sz="0" w:space="0" w:color="auto"/>
        <w:bottom w:val="none" w:sz="0" w:space="0" w:color="auto"/>
        <w:right w:val="none" w:sz="0" w:space="0" w:color="auto"/>
      </w:divBdr>
    </w:div>
    <w:div w:id="113641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B397-6F75-425A-8190-C8EA5DB28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1345</Words>
  <Characters>7077</Characters>
  <Application>Microsoft Office Word</Application>
  <DocSecurity>4</DocSecurity>
  <Lines>162</Lines>
  <Paragraphs>39</Paragraphs>
  <ScaleCrop>false</ScaleCrop>
  <HeadingPairs>
    <vt:vector size="2" baseType="variant">
      <vt:variant>
        <vt:lpstr>Title</vt:lpstr>
      </vt:variant>
      <vt:variant>
        <vt:i4>1</vt:i4>
      </vt:variant>
    </vt:vector>
  </HeadingPairs>
  <TitlesOfParts>
    <vt:vector size="1" baseType="lpstr">
      <vt:lpstr>Social Security (International Agreements) Amendment Regulation 2012 (No. 1)</vt:lpstr>
    </vt:vector>
  </TitlesOfParts>
  <Company>Families, Houisng, Community Services and Indigenous Affairs</Company>
  <LinksUpToDate>false</LinksUpToDate>
  <CharactersWithSpaces>8410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Security (International Agreements) Amendment Regulation 2012 (No. 1)</dc:title>
  <dc:subject>Explanatory Statement</dc:subject>
  <dc:creator>Jeff Cressall</dc:creator>
  <cp:lastModifiedBy>ADDY, Rachel</cp:lastModifiedBy>
  <cp:revision>2</cp:revision>
  <cp:lastPrinted>2017-01-11T00:24:00Z</cp:lastPrinted>
  <dcterms:created xsi:type="dcterms:W3CDTF">2017-06-19T02:18:00Z</dcterms:created>
  <dcterms:modified xsi:type="dcterms:W3CDTF">2017-06-19T02:18:00Z</dcterms:modified>
</cp:coreProperties>
</file>