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D6196" w14:textId="77777777" w:rsidR="008F06FB" w:rsidRPr="009922DB" w:rsidRDefault="008F06FB" w:rsidP="008F06FB">
      <w:pPr>
        <w:tabs>
          <w:tab w:val="left" w:pos="851"/>
        </w:tabs>
        <w:rPr>
          <w:noProof/>
          <w:sz w:val="20"/>
          <w:szCs w:val="20"/>
          <w:lang w:val="en-AU" w:eastAsia="en-AU"/>
        </w:rPr>
      </w:pPr>
      <w:r w:rsidRPr="009922DB">
        <w:rPr>
          <w:noProof/>
          <w:sz w:val="20"/>
          <w:szCs w:val="20"/>
          <w:lang w:eastAsia="en-GB"/>
        </w:rPr>
        <w:drawing>
          <wp:inline distT="0" distB="0" distL="0" distR="0" wp14:anchorId="43A6562D" wp14:editId="5F44D1D7">
            <wp:extent cx="2657475" cy="438150"/>
            <wp:effectExtent l="0" t="0" r="0" b="0"/>
            <wp:docPr id="3" name="Picture 3"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2315A38A" w14:textId="77777777" w:rsidR="008F06FB" w:rsidRPr="009922DB" w:rsidRDefault="008F06FB" w:rsidP="008F06FB">
      <w:pPr>
        <w:pBdr>
          <w:bottom w:val="single" w:sz="4" w:space="1" w:color="auto"/>
        </w:pBdr>
        <w:tabs>
          <w:tab w:val="left" w:pos="851"/>
        </w:tabs>
        <w:rPr>
          <w:b/>
          <w:bCs/>
          <w:szCs w:val="20"/>
        </w:rPr>
      </w:pPr>
    </w:p>
    <w:p w14:paraId="102FBC21" w14:textId="77777777" w:rsidR="008F06FB" w:rsidRPr="009922DB" w:rsidRDefault="008F06FB" w:rsidP="008F06FB">
      <w:pPr>
        <w:pBdr>
          <w:bottom w:val="single" w:sz="4" w:space="1" w:color="auto"/>
        </w:pBdr>
        <w:tabs>
          <w:tab w:val="left" w:pos="851"/>
        </w:tabs>
        <w:rPr>
          <w:b/>
          <w:sz w:val="20"/>
          <w:szCs w:val="20"/>
        </w:rPr>
      </w:pPr>
      <w:r w:rsidRPr="009922DB">
        <w:rPr>
          <w:b/>
          <w:sz w:val="20"/>
          <w:szCs w:val="20"/>
        </w:rPr>
        <w:t>Food Standards (Proposal P1026 – Lupin as an Allergen) Variation</w:t>
      </w:r>
    </w:p>
    <w:p w14:paraId="1250ED0C" w14:textId="77777777" w:rsidR="008F06FB" w:rsidRPr="009922DB" w:rsidRDefault="008F06FB" w:rsidP="008F06FB">
      <w:pPr>
        <w:pBdr>
          <w:bottom w:val="single" w:sz="4" w:space="1" w:color="auto"/>
        </w:pBdr>
        <w:tabs>
          <w:tab w:val="left" w:pos="851"/>
        </w:tabs>
        <w:rPr>
          <w:b/>
          <w:sz w:val="20"/>
          <w:szCs w:val="20"/>
        </w:rPr>
      </w:pPr>
    </w:p>
    <w:p w14:paraId="45A29B88" w14:textId="77777777" w:rsidR="008F06FB" w:rsidRPr="009922DB" w:rsidRDefault="008F06FB" w:rsidP="008F06FB">
      <w:pPr>
        <w:tabs>
          <w:tab w:val="left" w:pos="851"/>
        </w:tabs>
        <w:rPr>
          <w:sz w:val="20"/>
          <w:szCs w:val="20"/>
        </w:rPr>
      </w:pPr>
    </w:p>
    <w:p w14:paraId="0A3596C3" w14:textId="77777777" w:rsidR="008F06FB" w:rsidRPr="009922DB" w:rsidRDefault="008F06FB" w:rsidP="008F06FB">
      <w:pPr>
        <w:tabs>
          <w:tab w:val="left" w:pos="851"/>
        </w:tabs>
        <w:rPr>
          <w:sz w:val="20"/>
          <w:szCs w:val="20"/>
        </w:rPr>
      </w:pPr>
      <w:r w:rsidRPr="009922DB">
        <w:rPr>
          <w:sz w:val="20"/>
          <w:szCs w:val="20"/>
        </w:rPr>
        <w:t xml:space="preserve">The Board of Food Standards Australia New Zealand gives notice of the making of this variation under section 92 of the </w:t>
      </w:r>
      <w:r w:rsidRPr="009922DB">
        <w:rPr>
          <w:i/>
          <w:sz w:val="20"/>
          <w:szCs w:val="20"/>
        </w:rPr>
        <w:t>Food Standards Australia New Zealand Act 1991</w:t>
      </w:r>
      <w:r w:rsidRPr="009922DB">
        <w:rPr>
          <w:sz w:val="20"/>
          <w:szCs w:val="20"/>
        </w:rPr>
        <w:t>.  The variation commences on the date specified in clause 3 of this variation.</w:t>
      </w:r>
    </w:p>
    <w:p w14:paraId="44E56EF6" w14:textId="77777777" w:rsidR="008F06FB" w:rsidRPr="009922DB" w:rsidRDefault="008F06FB" w:rsidP="008F06FB">
      <w:pPr>
        <w:tabs>
          <w:tab w:val="left" w:pos="851"/>
        </w:tabs>
        <w:rPr>
          <w:sz w:val="20"/>
          <w:szCs w:val="20"/>
        </w:rPr>
      </w:pPr>
    </w:p>
    <w:p w14:paraId="4BFB4119" w14:textId="77777777" w:rsidR="001F4149" w:rsidRPr="001F4149" w:rsidRDefault="001F4149" w:rsidP="001F4149">
      <w:pPr>
        <w:widowControl w:val="0"/>
        <w:rPr>
          <w:rFonts w:eastAsia="Times New Roman" w:cs="Times New Roman"/>
          <w:sz w:val="20"/>
          <w:szCs w:val="24"/>
          <w:lang w:bidi="en-US"/>
        </w:rPr>
      </w:pPr>
      <w:r w:rsidRPr="001F4149">
        <w:rPr>
          <w:rFonts w:eastAsia="Times New Roman" w:cs="Times New Roman"/>
          <w:sz w:val="20"/>
          <w:szCs w:val="24"/>
          <w:lang w:bidi="en-US"/>
        </w:rPr>
        <w:t>Dated 22 May 2017</w:t>
      </w:r>
    </w:p>
    <w:p w14:paraId="00FD4B21" w14:textId="77777777" w:rsidR="001F4149" w:rsidRPr="001F4149" w:rsidRDefault="001F4149" w:rsidP="001F4149">
      <w:pPr>
        <w:widowControl w:val="0"/>
        <w:rPr>
          <w:rFonts w:eastAsia="Times New Roman" w:cs="Times New Roman"/>
          <w:sz w:val="20"/>
          <w:szCs w:val="24"/>
          <w:lang w:bidi="en-US"/>
        </w:rPr>
      </w:pPr>
      <w:r w:rsidRPr="001F4149">
        <w:rPr>
          <w:rFonts w:eastAsia="Times New Roman" w:cs="Times New Roman"/>
          <w:noProof/>
          <w:szCs w:val="24"/>
          <w:lang w:eastAsia="en-GB"/>
        </w:rPr>
        <w:drawing>
          <wp:inline distT="0" distB="0" distL="0" distR="0" wp14:anchorId="1AFFC1F4" wp14:editId="60C06F93">
            <wp:extent cx="1343025" cy="790575"/>
            <wp:effectExtent l="0" t="0" r="9525" b="9525"/>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14:paraId="1037EBCF" w14:textId="77777777" w:rsidR="001F4149" w:rsidRPr="001F4149" w:rsidRDefault="001F4149" w:rsidP="001F4149">
      <w:pPr>
        <w:widowControl w:val="0"/>
        <w:rPr>
          <w:rFonts w:eastAsia="Times New Roman" w:cs="Times New Roman"/>
          <w:sz w:val="20"/>
          <w:szCs w:val="24"/>
          <w:lang w:bidi="en-US"/>
        </w:rPr>
      </w:pPr>
      <w:r w:rsidRPr="001F4149">
        <w:rPr>
          <w:rFonts w:eastAsia="Times New Roman" w:cs="Times New Roman"/>
          <w:sz w:val="20"/>
          <w:szCs w:val="24"/>
          <w:lang w:bidi="en-US"/>
        </w:rPr>
        <w:t>Standards Management Officer</w:t>
      </w:r>
    </w:p>
    <w:p w14:paraId="4C5E2E3B" w14:textId="77777777" w:rsidR="001F4149" w:rsidRPr="001F4149" w:rsidRDefault="001F4149" w:rsidP="001F4149">
      <w:pPr>
        <w:widowControl w:val="0"/>
        <w:rPr>
          <w:rFonts w:eastAsia="Times New Roman" w:cs="Times New Roman"/>
          <w:sz w:val="20"/>
          <w:szCs w:val="24"/>
          <w:lang w:bidi="en-US"/>
        </w:rPr>
      </w:pPr>
      <w:r w:rsidRPr="001F4149">
        <w:rPr>
          <w:rFonts w:eastAsia="Times New Roman" w:cs="Times New Roman"/>
          <w:sz w:val="20"/>
          <w:szCs w:val="24"/>
          <w:lang w:bidi="en-US"/>
        </w:rPr>
        <w:t>Delegate of the Board of Food Standards Australia New Zealand</w:t>
      </w:r>
    </w:p>
    <w:p w14:paraId="54205E18" w14:textId="77777777" w:rsidR="001F4149" w:rsidRPr="001F4149" w:rsidRDefault="001F4149" w:rsidP="001F4149">
      <w:pPr>
        <w:widowControl w:val="0"/>
        <w:rPr>
          <w:rFonts w:eastAsia="Times New Roman" w:cs="Times New Roman"/>
          <w:sz w:val="20"/>
          <w:szCs w:val="24"/>
          <w:lang w:bidi="en-US"/>
        </w:rPr>
      </w:pPr>
    </w:p>
    <w:p w14:paraId="78C699FA" w14:textId="77777777" w:rsidR="001F4149" w:rsidRPr="001F4149" w:rsidRDefault="001F4149" w:rsidP="001F4149">
      <w:pPr>
        <w:widowControl w:val="0"/>
        <w:rPr>
          <w:rFonts w:eastAsia="Times New Roman" w:cs="Times New Roman"/>
          <w:sz w:val="20"/>
          <w:szCs w:val="24"/>
          <w:lang w:bidi="en-US"/>
        </w:rPr>
      </w:pPr>
    </w:p>
    <w:p w14:paraId="760E1529" w14:textId="77777777" w:rsidR="001F4149" w:rsidRPr="001F4149" w:rsidRDefault="001F4149" w:rsidP="001F4149">
      <w:pPr>
        <w:widowControl w:val="0"/>
        <w:rPr>
          <w:rFonts w:eastAsia="Times New Roman" w:cs="Times New Roman"/>
          <w:sz w:val="20"/>
          <w:szCs w:val="24"/>
          <w:lang w:bidi="en-US"/>
        </w:rPr>
      </w:pPr>
    </w:p>
    <w:p w14:paraId="154EC427" w14:textId="77777777" w:rsidR="001F4149" w:rsidRPr="001F4149" w:rsidRDefault="001F4149" w:rsidP="001F4149">
      <w:pPr>
        <w:widowControl w:val="0"/>
        <w:rPr>
          <w:rFonts w:eastAsia="Times New Roman" w:cs="Times New Roman"/>
          <w:sz w:val="20"/>
          <w:szCs w:val="24"/>
          <w:lang w:bidi="en-US"/>
        </w:rPr>
      </w:pPr>
    </w:p>
    <w:p w14:paraId="09C7C232" w14:textId="77777777" w:rsidR="001F4149" w:rsidRPr="001F4149" w:rsidRDefault="001F4149" w:rsidP="001F4149">
      <w:pPr>
        <w:widowControl w:val="0"/>
        <w:rPr>
          <w:rFonts w:eastAsia="Times New Roman" w:cs="Times New Roman"/>
          <w:sz w:val="20"/>
          <w:szCs w:val="24"/>
          <w:lang w:bidi="en-US"/>
        </w:rPr>
      </w:pPr>
    </w:p>
    <w:p w14:paraId="4F71AA37" w14:textId="77777777" w:rsidR="001F4149" w:rsidRPr="001F4149" w:rsidRDefault="001F4149" w:rsidP="001F4149">
      <w:pPr>
        <w:widowControl w:val="0"/>
        <w:pBdr>
          <w:top w:val="single" w:sz="4" w:space="1" w:color="auto"/>
          <w:left w:val="single" w:sz="4" w:space="4" w:color="auto"/>
          <w:bottom w:val="single" w:sz="4" w:space="1" w:color="auto"/>
          <w:right w:val="single" w:sz="4" w:space="4" w:color="auto"/>
        </w:pBdr>
        <w:rPr>
          <w:rFonts w:eastAsia="Times New Roman" w:cs="Times New Roman"/>
          <w:b/>
          <w:sz w:val="20"/>
          <w:szCs w:val="24"/>
          <w:lang w:bidi="en-US"/>
        </w:rPr>
      </w:pPr>
      <w:r w:rsidRPr="001F4149">
        <w:rPr>
          <w:rFonts w:eastAsia="Times New Roman" w:cs="Times New Roman"/>
          <w:b/>
          <w:sz w:val="20"/>
          <w:szCs w:val="24"/>
          <w:lang w:bidi="en-US"/>
        </w:rPr>
        <w:t xml:space="preserve">Note:  </w:t>
      </w:r>
    </w:p>
    <w:p w14:paraId="569BE6B5" w14:textId="77777777" w:rsidR="001F4149" w:rsidRPr="001F4149" w:rsidRDefault="001F4149" w:rsidP="001F4149">
      <w:pPr>
        <w:widowControl w:val="0"/>
        <w:pBdr>
          <w:top w:val="single" w:sz="4" w:space="1" w:color="auto"/>
          <w:left w:val="single" w:sz="4" w:space="4" w:color="auto"/>
          <w:bottom w:val="single" w:sz="4" w:space="1" w:color="auto"/>
          <w:right w:val="single" w:sz="4" w:space="4" w:color="auto"/>
        </w:pBdr>
        <w:rPr>
          <w:rFonts w:eastAsia="Times New Roman" w:cs="Times New Roman"/>
          <w:sz w:val="20"/>
          <w:szCs w:val="24"/>
          <w:lang w:bidi="en-US"/>
        </w:rPr>
      </w:pPr>
    </w:p>
    <w:p w14:paraId="35EE88B8" w14:textId="77777777" w:rsidR="001F4149" w:rsidRPr="001F4149" w:rsidRDefault="001F4149" w:rsidP="001F4149">
      <w:pPr>
        <w:widowControl w:val="0"/>
        <w:pBdr>
          <w:top w:val="single" w:sz="4" w:space="1" w:color="auto"/>
          <w:left w:val="single" w:sz="4" w:space="4" w:color="auto"/>
          <w:bottom w:val="single" w:sz="4" w:space="1" w:color="auto"/>
          <w:right w:val="single" w:sz="4" w:space="4" w:color="auto"/>
        </w:pBdr>
        <w:rPr>
          <w:rFonts w:eastAsia="Times New Roman" w:cs="Times New Roman"/>
          <w:sz w:val="20"/>
          <w:szCs w:val="24"/>
          <w:lang w:bidi="en-US"/>
        </w:rPr>
      </w:pPr>
      <w:r w:rsidRPr="001F4149">
        <w:rPr>
          <w:rFonts w:eastAsia="Times New Roman" w:cs="Times New Roman"/>
          <w:sz w:val="20"/>
          <w:szCs w:val="24"/>
          <w:lang w:bidi="en-US"/>
        </w:rPr>
        <w:t xml:space="preserve">This variation will be published in the Commonwealth of Australia Gazette No. FSC 112 on 25 May 2017. This means that this date is the gazettal date for the purposes of clause 3 of the variation. </w:t>
      </w:r>
    </w:p>
    <w:p w14:paraId="2B907E95" w14:textId="77777777" w:rsidR="008F06FB" w:rsidRPr="009922DB" w:rsidRDefault="008F06FB" w:rsidP="008F06FB">
      <w:pPr>
        <w:tabs>
          <w:tab w:val="left" w:pos="851"/>
        </w:tabs>
        <w:rPr>
          <w:sz w:val="20"/>
          <w:szCs w:val="20"/>
        </w:rPr>
      </w:pPr>
      <w:bookmarkStart w:id="0" w:name="_GoBack"/>
      <w:bookmarkEnd w:id="0"/>
    </w:p>
    <w:p w14:paraId="6154E3DB" w14:textId="77777777" w:rsidR="008F06FB" w:rsidRPr="009922DB" w:rsidRDefault="008F06FB" w:rsidP="008F06FB">
      <w:pPr>
        <w:rPr>
          <w:sz w:val="20"/>
          <w:szCs w:val="20"/>
        </w:rPr>
      </w:pPr>
      <w:r w:rsidRPr="009922DB">
        <w:rPr>
          <w:sz w:val="20"/>
          <w:szCs w:val="20"/>
        </w:rPr>
        <w:br w:type="page"/>
      </w:r>
    </w:p>
    <w:p w14:paraId="10B63E93" w14:textId="77777777" w:rsidR="008F06FB" w:rsidRPr="009922DB" w:rsidRDefault="008F06FB" w:rsidP="008F06FB">
      <w:pPr>
        <w:spacing w:before="120" w:after="120"/>
        <w:ind w:left="851" w:hanging="851"/>
        <w:rPr>
          <w:b/>
          <w:sz w:val="20"/>
          <w:szCs w:val="20"/>
        </w:rPr>
      </w:pPr>
      <w:r w:rsidRPr="009922DB">
        <w:rPr>
          <w:b/>
          <w:sz w:val="20"/>
          <w:szCs w:val="20"/>
        </w:rPr>
        <w:lastRenderedPageBreak/>
        <w:t>1</w:t>
      </w:r>
      <w:r w:rsidRPr="009922DB">
        <w:rPr>
          <w:b/>
          <w:sz w:val="20"/>
          <w:szCs w:val="20"/>
        </w:rPr>
        <w:tab/>
        <w:t>Name</w:t>
      </w:r>
    </w:p>
    <w:p w14:paraId="3A8B441A" w14:textId="77777777" w:rsidR="008F06FB" w:rsidRPr="009922DB" w:rsidRDefault="008F06FB" w:rsidP="008F06FB">
      <w:pPr>
        <w:tabs>
          <w:tab w:val="left" w:pos="851"/>
        </w:tabs>
        <w:spacing w:before="120" w:after="120"/>
        <w:rPr>
          <w:sz w:val="20"/>
          <w:szCs w:val="20"/>
        </w:rPr>
      </w:pPr>
      <w:r w:rsidRPr="009922DB">
        <w:rPr>
          <w:sz w:val="20"/>
          <w:szCs w:val="20"/>
        </w:rPr>
        <w:t xml:space="preserve">This instrument is the </w:t>
      </w:r>
      <w:r w:rsidRPr="0099770C">
        <w:rPr>
          <w:i/>
          <w:sz w:val="20"/>
          <w:szCs w:val="20"/>
        </w:rPr>
        <w:t>Food Standards (Proposal P1026 – Lupin</w:t>
      </w:r>
      <w:r w:rsidRPr="0099770C">
        <w:rPr>
          <w:b/>
          <w:i/>
          <w:sz w:val="20"/>
          <w:szCs w:val="20"/>
        </w:rPr>
        <w:t xml:space="preserve"> </w:t>
      </w:r>
      <w:r w:rsidRPr="0099770C">
        <w:rPr>
          <w:i/>
          <w:sz w:val="20"/>
          <w:szCs w:val="20"/>
        </w:rPr>
        <w:t>as an Allergen) Variation</w:t>
      </w:r>
      <w:r w:rsidRPr="009922DB">
        <w:rPr>
          <w:sz w:val="20"/>
          <w:szCs w:val="20"/>
        </w:rPr>
        <w:t>.</w:t>
      </w:r>
    </w:p>
    <w:p w14:paraId="0BC063DA" w14:textId="77777777" w:rsidR="008F06FB" w:rsidRPr="009922DB" w:rsidRDefault="008F06FB" w:rsidP="008F06FB">
      <w:pPr>
        <w:spacing w:before="120" w:after="120"/>
        <w:ind w:left="851" w:hanging="851"/>
        <w:rPr>
          <w:b/>
          <w:sz w:val="20"/>
          <w:szCs w:val="20"/>
        </w:rPr>
      </w:pPr>
      <w:r w:rsidRPr="009922DB">
        <w:rPr>
          <w:b/>
          <w:sz w:val="20"/>
          <w:szCs w:val="20"/>
        </w:rPr>
        <w:t>2</w:t>
      </w:r>
      <w:r w:rsidRPr="009922DB">
        <w:rPr>
          <w:b/>
          <w:sz w:val="20"/>
          <w:szCs w:val="20"/>
        </w:rPr>
        <w:tab/>
        <w:t xml:space="preserve">Variation to standards in the </w:t>
      </w:r>
      <w:r w:rsidRPr="009922DB">
        <w:rPr>
          <w:b/>
          <w:i/>
          <w:sz w:val="20"/>
          <w:szCs w:val="20"/>
        </w:rPr>
        <w:t>Australia New Zealand Food Standards Code</w:t>
      </w:r>
    </w:p>
    <w:p w14:paraId="6EC363D4" w14:textId="77777777" w:rsidR="008F06FB" w:rsidRPr="009922DB" w:rsidRDefault="008F06FB" w:rsidP="008F06FB">
      <w:pPr>
        <w:tabs>
          <w:tab w:val="left" w:pos="851"/>
        </w:tabs>
        <w:spacing w:before="120" w:after="120"/>
        <w:rPr>
          <w:sz w:val="20"/>
          <w:szCs w:val="20"/>
        </w:rPr>
      </w:pPr>
      <w:r w:rsidRPr="009922DB">
        <w:rPr>
          <w:sz w:val="20"/>
          <w:szCs w:val="20"/>
        </w:rPr>
        <w:t xml:space="preserve">The Schedule varies Standards in the </w:t>
      </w:r>
      <w:r w:rsidRPr="009922DB">
        <w:rPr>
          <w:i/>
          <w:sz w:val="20"/>
          <w:szCs w:val="20"/>
        </w:rPr>
        <w:t>Australia New Zealand Food Standards Code</w:t>
      </w:r>
      <w:r w:rsidRPr="009922DB">
        <w:rPr>
          <w:sz w:val="20"/>
          <w:szCs w:val="20"/>
        </w:rPr>
        <w:t>.</w:t>
      </w:r>
    </w:p>
    <w:p w14:paraId="58D9C0B6" w14:textId="77777777" w:rsidR="008F06FB" w:rsidRPr="009922DB" w:rsidRDefault="008F06FB" w:rsidP="008F06FB">
      <w:pPr>
        <w:spacing w:before="120" w:after="120"/>
        <w:ind w:left="851" w:hanging="851"/>
        <w:rPr>
          <w:b/>
          <w:sz w:val="20"/>
          <w:szCs w:val="20"/>
        </w:rPr>
      </w:pPr>
      <w:r w:rsidRPr="009922DB">
        <w:rPr>
          <w:b/>
          <w:sz w:val="20"/>
          <w:szCs w:val="20"/>
        </w:rPr>
        <w:t>3</w:t>
      </w:r>
      <w:r w:rsidRPr="009922DB">
        <w:rPr>
          <w:b/>
          <w:sz w:val="20"/>
          <w:szCs w:val="20"/>
        </w:rPr>
        <w:tab/>
        <w:t>Commencement</w:t>
      </w:r>
    </w:p>
    <w:p w14:paraId="34C2FA55" w14:textId="77777777" w:rsidR="008F06FB" w:rsidRPr="009922DB" w:rsidRDefault="008F06FB" w:rsidP="008F06FB">
      <w:pPr>
        <w:tabs>
          <w:tab w:val="left" w:pos="851"/>
        </w:tabs>
        <w:spacing w:before="120" w:after="120"/>
        <w:rPr>
          <w:sz w:val="20"/>
          <w:szCs w:val="20"/>
        </w:rPr>
      </w:pPr>
      <w:r w:rsidRPr="009922DB">
        <w:rPr>
          <w:sz w:val="20"/>
          <w:szCs w:val="20"/>
        </w:rPr>
        <w:t>The variation commences on the date of gazettal.</w:t>
      </w:r>
    </w:p>
    <w:p w14:paraId="370A5E27" w14:textId="77777777" w:rsidR="008F06FB" w:rsidRPr="009922DB" w:rsidRDefault="008F06FB" w:rsidP="008F06FB">
      <w:pPr>
        <w:tabs>
          <w:tab w:val="left" w:pos="851"/>
        </w:tabs>
        <w:jc w:val="center"/>
        <w:rPr>
          <w:b/>
          <w:sz w:val="20"/>
          <w:szCs w:val="20"/>
        </w:rPr>
      </w:pPr>
      <w:r w:rsidRPr="009922DB">
        <w:rPr>
          <w:b/>
          <w:sz w:val="20"/>
          <w:szCs w:val="20"/>
        </w:rPr>
        <w:t>Schedule</w:t>
      </w:r>
    </w:p>
    <w:p w14:paraId="23CADEC1" w14:textId="77777777" w:rsidR="008F06FB" w:rsidRPr="009922DB" w:rsidRDefault="008F06FB" w:rsidP="008F06FB">
      <w:pPr>
        <w:tabs>
          <w:tab w:val="left" w:pos="851"/>
        </w:tabs>
        <w:spacing w:before="120" w:after="120"/>
        <w:rPr>
          <w:sz w:val="20"/>
          <w:szCs w:val="20"/>
        </w:rPr>
      </w:pPr>
      <w:r w:rsidRPr="009922DB">
        <w:rPr>
          <w:b/>
          <w:sz w:val="20"/>
          <w:szCs w:val="20"/>
        </w:rPr>
        <w:t>[1]</w:t>
      </w:r>
      <w:r w:rsidRPr="009922DB">
        <w:rPr>
          <w:b/>
          <w:sz w:val="20"/>
          <w:szCs w:val="20"/>
        </w:rPr>
        <w:tab/>
        <w:t>Standard 1.2.3</w:t>
      </w:r>
      <w:r w:rsidRPr="009922DB">
        <w:rPr>
          <w:sz w:val="20"/>
          <w:szCs w:val="20"/>
        </w:rPr>
        <w:t xml:space="preserve"> is varied by </w:t>
      </w:r>
    </w:p>
    <w:p w14:paraId="38D04AC3" w14:textId="77777777" w:rsidR="008F06FB" w:rsidRPr="009922DB" w:rsidRDefault="008F06FB" w:rsidP="008F06FB">
      <w:pPr>
        <w:tabs>
          <w:tab w:val="left" w:pos="851"/>
        </w:tabs>
        <w:spacing w:before="120" w:after="120"/>
        <w:rPr>
          <w:sz w:val="20"/>
          <w:szCs w:val="20"/>
        </w:rPr>
      </w:pPr>
      <w:r w:rsidRPr="009922DB">
        <w:rPr>
          <w:sz w:val="20"/>
          <w:szCs w:val="20"/>
        </w:rPr>
        <w:t>[1.1]</w:t>
      </w:r>
      <w:r w:rsidRPr="009922DB">
        <w:rPr>
          <w:sz w:val="20"/>
          <w:szCs w:val="20"/>
        </w:rPr>
        <w:tab/>
        <w:t>inserting after section 1.2.3—1</w:t>
      </w:r>
    </w:p>
    <w:p w14:paraId="29D0DA9B" w14:textId="77777777" w:rsidR="008F06FB" w:rsidRPr="009922DB" w:rsidRDefault="008F06FB" w:rsidP="008F06FB">
      <w:pPr>
        <w:keepNext/>
        <w:spacing w:before="240" w:after="120"/>
        <w:ind w:left="1701" w:hanging="1701"/>
        <w:outlineLvl w:val="4"/>
        <w:rPr>
          <w:b/>
          <w:bCs/>
          <w:kern w:val="32"/>
          <w:lang w:eastAsia="en-AU"/>
        </w:rPr>
      </w:pPr>
      <w:r w:rsidRPr="009922DB">
        <w:rPr>
          <w:b/>
          <w:bCs/>
          <w:kern w:val="32"/>
          <w:lang w:eastAsia="en-AU"/>
        </w:rPr>
        <w:t>1.2.3—1A</w:t>
      </w:r>
      <w:r w:rsidRPr="009922DB">
        <w:rPr>
          <w:b/>
          <w:bCs/>
          <w:kern w:val="32"/>
          <w:lang w:eastAsia="en-AU"/>
        </w:rPr>
        <w:tab/>
        <w:t>Transitional arrangements for prescribed variations</w:t>
      </w:r>
    </w:p>
    <w:p w14:paraId="4C5F35E3" w14:textId="77777777" w:rsidR="008F06FB" w:rsidRPr="009922DB" w:rsidRDefault="008F06FB" w:rsidP="008F06FB">
      <w:pPr>
        <w:tabs>
          <w:tab w:val="left" w:pos="1134"/>
        </w:tabs>
        <w:spacing w:before="120" w:after="120"/>
        <w:ind w:left="1701" w:hanging="1701"/>
        <w:rPr>
          <w:rFonts w:cs="Arial"/>
          <w:iCs/>
          <w:sz w:val="20"/>
          <w:lang w:eastAsia="en-AU"/>
        </w:rPr>
      </w:pPr>
      <w:r w:rsidRPr="009922DB">
        <w:rPr>
          <w:rFonts w:cs="Arial"/>
          <w:iCs/>
          <w:sz w:val="20"/>
          <w:lang w:eastAsia="en-AU"/>
        </w:rPr>
        <w:tab/>
        <w:t>(1)</w:t>
      </w:r>
      <w:r w:rsidRPr="009922DB">
        <w:rPr>
          <w:rFonts w:cs="Arial"/>
          <w:iCs/>
          <w:sz w:val="20"/>
          <w:lang w:eastAsia="en-AU"/>
        </w:rPr>
        <w:tab/>
        <w:t xml:space="preserve">For the purposes of this </w:t>
      </w:r>
      <w:r>
        <w:rPr>
          <w:rFonts w:cs="Arial"/>
          <w:iCs/>
          <w:sz w:val="20"/>
          <w:lang w:eastAsia="en-AU"/>
        </w:rPr>
        <w:t>section</w:t>
      </w:r>
      <w:r w:rsidRPr="009922DB">
        <w:rPr>
          <w:rFonts w:cs="Arial"/>
          <w:iCs/>
          <w:sz w:val="20"/>
          <w:lang w:eastAsia="en-AU"/>
        </w:rPr>
        <w:t>:</w:t>
      </w:r>
    </w:p>
    <w:p w14:paraId="7BA32D89" w14:textId="77777777" w:rsidR="008F06FB" w:rsidRPr="009922DB" w:rsidRDefault="008F06FB" w:rsidP="008F06FB">
      <w:pPr>
        <w:tabs>
          <w:tab w:val="left" w:pos="1134"/>
        </w:tabs>
        <w:spacing w:before="120" w:after="120"/>
        <w:ind w:left="1701"/>
        <w:rPr>
          <w:rFonts w:cs="Arial"/>
          <w:iCs/>
          <w:sz w:val="20"/>
          <w:lang w:eastAsia="en-AU"/>
        </w:rPr>
      </w:pPr>
      <w:r w:rsidRPr="004F53C0">
        <w:rPr>
          <w:rFonts w:cs="Arial"/>
          <w:b/>
          <w:i/>
          <w:iCs/>
          <w:sz w:val="20"/>
          <w:lang w:eastAsia="en-AU"/>
        </w:rPr>
        <w:t>prescribed variation</w:t>
      </w:r>
      <w:r w:rsidRPr="009922DB">
        <w:rPr>
          <w:rFonts w:cs="Arial"/>
          <w:iCs/>
          <w:sz w:val="20"/>
          <w:lang w:eastAsia="en-AU"/>
        </w:rPr>
        <w:t xml:space="preserve"> means the amendment made by the Variation to paragraph 1.2.3—4(1)(b).</w:t>
      </w:r>
    </w:p>
    <w:p w14:paraId="3E16EC70" w14:textId="77777777" w:rsidR="008F06FB" w:rsidRPr="009922DB" w:rsidRDefault="008F06FB" w:rsidP="008F06FB">
      <w:pPr>
        <w:tabs>
          <w:tab w:val="left" w:pos="1134"/>
        </w:tabs>
        <w:spacing w:before="120" w:after="120"/>
        <w:ind w:left="1701"/>
        <w:rPr>
          <w:rFonts w:cs="Arial"/>
          <w:iCs/>
          <w:sz w:val="20"/>
          <w:lang w:eastAsia="en-AU"/>
        </w:rPr>
      </w:pPr>
      <w:r w:rsidRPr="004F53C0">
        <w:rPr>
          <w:rFonts w:cs="Arial"/>
          <w:b/>
          <w:i/>
          <w:iCs/>
          <w:sz w:val="20"/>
          <w:lang w:eastAsia="en-AU"/>
        </w:rPr>
        <w:t>transitional period</w:t>
      </w:r>
      <w:r w:rsidRPr="009922DB">
        <w:rPr>
          <w:rFonts w:cs="Arial"/>
          <w:iCs/>
          <w:sz w:val="20"/>
          <w:lang w:eastAsia="en-AU"/>
        </w:rPr>
        <w:t xml:space="preserve"> means the period commencing on the Variation’s date of commencement and ending 12 months after the commencement.</w:t>
      </w:r>
    </w:p>
    <w:p w14:paraId="10794E58" w14:textId="77777777" w:rsidR="008F06FB" w:rsidRPr="009922DB" w:rsidRDefault="008F06FB" w:rsidP="008F06FB">
      <w:pPr>
        <w:tabs>
          <w:tab w:val="left" w:pos="1134"/>
        </w:tabs>
        <w:spacing w:before="120" w:after="120"/>
        <w:ind w:left="1701"/>
        <w:rPr>
          <w:rFonts w:cs="Arial"/>
          <w:iCs/>
          <w:sz w:val="20"/>
          <w:lang w:eastAsia="en-AU"/>
        </w:rPr>
      </w:pPr>
      <w:r w:rsidRPr="004F53C0">
        <w:rPr>
          <w:rFonts w:cs="Arial"/>
          <w:b/>
          <w:i/>
          <w:iCs/>
          <w:sz w:val="20"/>
          <w:lang w:eastAsia="en-AU"/>
        </w:rPr>
        <w:t>the Variation</w:t>
      </w:r>
      <w:r w:rsidRPr="009922DB">
        <w:rPr>
          <w:rFonts w:cs="Arial"/>
          <w:iCs/>
          <w:sz w:val="20"/>
          <w:lang w:eastAsia="en-AU"/>
        </w:rPr>
        <w:t xml:space="preserve"> means the </w:t>
      </w:r>
      <w:r w:rsidRPr="009922DB">
        <w:rPr>
          <w:rFonts w:cs="Arial"/>
          <w:i/>
          <w:iCs/>
          <w:sz w:val="20"/>
          <w:lang w:eastAsia="en-AU"/>
        </w:rPr>
        <w:t>Food Standards (Proposal P1026 – Lupin as an Allergen) Variation</w:t>
      </w:r>
      <w:r w:rsidRPr="009922DB">
        <w:rPr>
          <w:rFonts w:cs="Arial"/>
          <w:iCs/>
          <w:sz w:val="20"/>
          <w:lang w:eastAsia="en-AU"/>
        </w:rPr>
        <w:t>.</w:t>
      </w:r>
    </w:p>
    <w:p w14:paraId="18BF4EA7" w14:textId="77777777" w:rsidR="008F06FB" w:rsidRPr="009922DB" w:rsidRDefault="008F06FB" w:rsidP="008F06FB">
      <w:pPr>
        <w:tabs>
          <w:tab w:val="left" w:pos="1134"/>
        </w:tabs>
        <w:spacing w:before="120" w:after="120"/>
        <w:ind w:left="1701" w:hanging="1701"/>
        <w:rPr>
          <w:rFonts w:cs="Arial"/>
          <w:iCs/>
          <w:sz w:val="20"/>
          <w:lang w:eastAsia="en-AU"/>
        </w:rPr>
      </w:pPr>
      <w:r w:rsidRPr="009922DB">
        <w:rPr>
          <w:rFonts w:cs="Arial"/>
          <w:iCs/>
          <w:sz w:val="20"/>
          <w:lang w:eastAsia="en-AU"/>
        </w:rPr>
        <w:tab/>
        <w:t>(2)</w:t>
      </w:r>
      <w:r w:rsidRPr="009922DB">
        <w:rPr>
          <w:rFonts w:cs="Arial"/>
          <w:iCs/>
          <w:sz w:val="20"/>
          <w:lang w:eastAsia="en-AU"/>
        </w:rPr>
        <w:tab/>
        <w:t>Section 1.1.1—9 of Standard 1.1.1 does not apply to the prescribed variation.</w:t>
      </w:r>
    </w:p>
    <w:p w14:paraId="7E39177C" w14:textId="77777777" w:rsidR="008F06FB" w:rsidRPr="009922DB" w:rsidRDefault="008F06FB" w:rsidP="008F06FB">
      <w:pPr>
        <w:tabs>
          <w:tab w:val="left" w:pos="1134"/>
        </w:tabs>
        <w:spacing w:before="120" w:after="120"/>
        <w:ind w:left="1701" w:hanging="1701"/>
        <w:rPr>
          <w:rFonts w:cs="Arial"/>
          <w:iCs/>
          <w:sz w:val="20"/>
          <w:lang w:eastAsia="en-AU"/>
        </w:rPr>
      </w:pPr>
      <w:r w:rsidRPr="009922DB">
        <w:rPr>
          <w:rFonts w:cs="Arial"/>
          <w:iCs/>
          <w:sz w:val="20"/>
          <w:lang w:eastAsia="en-AU"/>
        </w:rPr>
        <w:tab/>
        <w:t>(3)</w:t>
      </w:r>
      <w:r w:rsidRPr="009922DB">
        <w:rPr>
          <w:rFonts w:cs="Arial"/>
          <w:iCs/>
          <w:sz w:val="20"/>
          <w:lang w:eastAsia="en-AU"/>
        </w:rPr>
        <w:tab/>
        <w:t>During the transition</w:t>
      </w:r>
      <w:r>
        <w:rPr>
          <w:rFonts w:cs="Arial"/>
          <w:iCs/>
          <w:sz w:val="20"/>
          <w:lang w:eastAsia="en-AU"/>
        </w:rPr>
        <w:t>al</w:t>
      </w:r>
      <w:r w:rsidRPr="009922DB">
        <w:rPr>
          <w:rFonts w:cs="Arial"/>
          <w:iCs/>
          <w:sz w:val="20"/>
          <w:lang w:eastAsia="en-AU"/>
        </w:rPr>
        <w:t xml:space="preserve"> period, </w:t>
      </w:r>
      <w:r w:rsidRPr="009922DB">
        <w:rPr>
          <w:rFonts w:eastAsiaTheme="majorEastAsia"/>
          <w:iCs/>
          <w:sz w:val="20"/>
          <w:lang w:eastAsia="en-AU"/>
        </w:rPr>
        <w:t>a food product</w:t>
      </w:r>
      <w:r w:rsidRPr="009922DB">
        <w:rPr>
          <w:rFonts w:cs="Arial"/>
          <w:iCs/>
          <w:sz w:val="20"/>
          <w:lang w:eastAsia="en-AU"/>
        </w:rPr>
        <w:t xml:space="preserve"> may comply with either:</w:t>
      </w:r>
    </w:p>
    <w:p w14:paraId="6F46E070" w14:textId="77777777" w:rsidR="008F06FB" w:rsidRPr="009922DB" w:rsidRDefault="008F06FB" w:rsidP="008F06FB">
      <w:pPr>
        <w:tabs>
          <w:tab w:val="left" w:pos="1701"/>
        </w:tabs>
        <w:spacing w:before="60" w:after="60"/>
        <w:ind w:left="2268" w:hanging="2268"/>
        <w:rPr>
          <w:rFonts w:cs="Arial"/>
          <w:iCs/>
          <w:sz w:val="20"/>
          <w:lang w:eastAsia="en-AU"/>
        </w:rPr>
      </w:pPr>
      <w:r w:rsidRPr="009922DB">
        <w:rPr>
          <w:rFonts w:cs="Arial"/>
          <w:iCs/>
          <w:sz w:val="20"/>
          <w:szCs w:val="20"/>
          <w:lang w:eastAsia="en-AU"/>
        </w:rPr>
        <w:tab/>
      </w:r>
      <w:r w:rsidRPr="009922DB">
        <w:rPr>
          <w:rFonts w:cs="Arial"/>
          <w:iCs/>
          <w:sz w:val="20"/>
          <w:lang w:eastAsia="en-AU"/>
        </w:rPr>
        <w:t>(a)</w:t>
      </w:r>
      <w:r w:rsidRPr="009922DB">
        <w:rPr>
          <w:rFonts w:cs="Arial"/>
          <w:iCs/>
          <w:sz w:val="20"/>
          <w:lang w:eastAsia="en-AU"/>
        </w:rPr>
        <w:tab/>
        <w:t>the Code as in force without the prescribed variation; or</w:t>
      </w:r>
    </w:p>
    <w:p w14:paraId="0D1D1437" w14:textId="77777777" w:rsidR="008F06FB" w:rsidRPr="009922DB" w:rsidRDefault="008F06FB" w:rsidP="008F06FB">
      <w:pPr>
        <w:tabs>
          <w:tab w:val="left" w:pos="1701"/>
        </w:tabs>
        <w:spacing w:before="60" w:after="60"/>
        <w:ind w:left="2268" w:hanging="2268"/>
        <w:rPr>
          <w:rFonts w:cs="Arial"/>
          <w:iCs/>
          <w:sz w:val="20"/>
          <w:lang w:eastAsia="en-AU"/>
        </w:rPr>
      </w:pPr>
      <w:r w:rsidRPr="009922DB">
        <w:rPr>
          <w:rFonts w:cs="Arial"/>
          <w:iCs/>
          <w:sz w:val="20"/>
          <w:lang w:eastAsia="en-AU"/>
        </w:rPr>
        <w:tab/>
        <w:t>(b)</w:t>
      </w:r>
      <w:r w:rsidRPr="009922DB">
        <w:rPr>
          <w:rFonts w:cs="Arial"/>
          <w:iCs/>
          <w:sz w:val="20"/>
          <w:lang w:eastAsia="en-AU"/>
        </w:rPr>
        <w:tab/>
        <w:t>the Code as amended by the prescribed variation;</w:t>
      </w:r>
    </w:p>
    <w:p w14:paraId="2F9D2845" w14:textId="77777777" w:rsidR="008F06FB" w:rsidRPr="009922DB" w:rsidRDefault="008F06FB" w:rsidP="008F06FB">
      <w:pPr>
        <w:tabs>
          <w:tab w:val="left" w:pos="1134"/>
        </w:tabs>
        <w:spacing w:before="120" w:after="120"/>
        <w:ind w:left="1701" w:hanging="1701"/>
        <w:rPr>
          <w:rFonts w:cs="Arial"/>
          <w:iCs/>
          <w:sz w:val="20"/>
          <w:lang w:eastAsia="en-AU"/>
        </w:rPr>
      </w:pPr>
      <w:r w:rsidRPr="009922DB">
        <w:rPr>
          <w:rFonts w:cs="Arial"/>
          <w:iCs/>
          <w:sz w:val="20"/>
          <w:lang w:eastAsia="en-AU"/>
        </w:rPr>
        <w:tab/>
      </w:r>
      <w:r w:rsidRPr="009922DB">
        <w:rPr>
          <w:rFonts w:cs="Arial"/>
          <w:iCs/>
          <w:sz w:val="20"/>
          <w:lang w:eastAsia="en-AU"/>
        </w:rPr>
        <w:tab/>
        <w:t>but not a combination of both.</w:t>
      </w:r>
    </w:p>
    <w:p w14:paraId="3B1EB1F0" w14:textId="77777777" w:rsidR="008F06FB" w:rsidRPr="009922DB" w:rsidRDefault="008F06FB" w:rsidP="008F06FB">
      <w:pPr>
        <w:tabs>
          <w:tab w:val="left" w:pos="851"/>
        </w:tabs>
        <w:spacing w:before="120" w:after="120"/>
        <w:rPr>
          <w:sz w:val="20"/>
          <w:szCs w:val="20"/>
        </w:rPr>
      </w:pPr>
      <w:r w:rsidRPr="009922DB">
        <w:rPr>
          <w:sz w:val="20"/>
          <w:szCs w:val="20"/>
        </w:rPr>
        <w:t xml:space="preserve">[1.2] </w:t>
      </w:r>
      <w:r w:rsidRPr="009922DB">
        <w:rPr>
          <w:sz w:val="20"/>
          <w:szCs w:val="20"/>
        </w:rPr>
        <w:tab/>
        <w:t>omitting from paragraph 1.2.3—4(1)(b)</w:t>
      </w:r>
    </w:p>
    <w:p w14:paraId="239D19FC" w14:textId="77777777" w:rsidR="008F06FB" w:rsidRPr="009922DB" w:rsidRDefault="008F06FB" w:rsidP="008F06FB">
      <w:pPr>
        <w:tabs>
          <w:tab w:val="left" w:pos="2268"/>
        </w:tabs>
        <w:spacing w:before="60" w:after="60"/>
        <w:ind w:left="2835" w:hanging="2835"/>
        <w:rPr>
          <w:rFonts w:cs="Arial"/>
          <w:iCs/>
          <w:sz w:val="20"/>
          <w:lang w:eastAsia="en-AU"/>
        </w:rPr>
      </w:pPr>
      <w:r w:rsidRPr="009922DB">
        <w:rPr>
          <w:rFonts w:cs="Arial"/>
          <w:iCs/>
          <w:sz w:val="20"/>
          <w:lang w:eastAsia="en-AU"/>
        </w:rPr>
        <w:tab/>
        <w:t>(ix)</w:t>
      </w:r>
      <w:r w:rsidRPr="009922DB">
        <w:rPr>
          <w:rFonts w:cs="Arial"/>
          <w:iCs/>
          <w:sz w:val="20"/>
          <w:lang w:eastAsia="en-AU"/>
        </w:rPr>
        <w:tab/>
        <w:t xml:space="preserve">tree nuts, other than coconut from the fruit of the palm </w:t>
      </w:r>
      <w:r w:rsidRPr="009922DB">
        <w:rPr>
          <w:rFonts w:cs="Arial"/>
          <w:i/>
          <w:iCs/>
          <w:sz w:val="20"/>
          <w:lang w:eastAsia="en-AU"/>
        </w:rPr>
        <w:t>Cocos nucifera</w:t>
      </w:r>
      <w:r w:rsidRPr="009922DB">
        <w:rPr>
          <w:rFonts w:cs="Arial"/>
          <w:iCs/>
          <w:sz w:val="20"/>
          <w:lang w:eastAsia="en-AU"/>
        </w:rPr>
        <w:t>.</w:t>
      </w:r>
    </w:p>
    <w:p w14:paraId="5CFA8B32" w14:textId="77777777" w:rsidR="008F06FB" w:rsidRPr="009922DB" w:rsidRDefault="008F06FB" w:rsidP="008F06FB">
      <w:pPr>
        <w:pStyle w:val="FSCDraftingitem"/>
      </w:pPr>
      <w:r w:rsidRPr="009922DB">
        <w:t>substituting</w:t>
      </w:r>
    </w:p>
    <w:p w14:paraId="12BAF547" w14:textId="77777777" w:rsidR="008F06FB" w:rsidRPr="009922DB" w:rsidRDefault="008F06FB" w:rsidP="008F06FB">
      <w:pPr>
        <w:tabs>
          <w:tab w:val="left" w:pos="2268"/>
        </w:tabs>
        <w:spacing w:before="60" w:after="60"/>
        <w:ind w:left="2835" w:hanging="2835"/>
        <w:rPr>
          <w:rFonts w:cs="Arial"/>
          <w:iCs/>
          <w:sz w:val="20"/>
          <w:lang w:eastAsia="en-AU"/>
        </w:rPr>
      </w:pPr>
      <w:r w:rsidRPr="009922DB">
        <w:rPr>
          <w:rFonts w:cs="Arial"/>
          <w:iCs/>
          <w:sz w:val="20"/>
          <w:lang w:eastAsia="en-AU"/>
        </w:rPr>
        <w:tab/>
        <w:t>(ix)</w:t>
      </w:r>
      <w:r w:rsidRPr="009922DB">
        <w:rPr>
          <w:rFonts w:cs="Arial"/>
          <w:iCs/>
          <w:sz w:val="20"/>
          <w:lang w:eastAsia="en-AU"/>
        </w:rPr>
        <w:tab/>
        <w:t xml:space="preserve">tree nuts, other than coconut from the fruit of the palm </w:t>
      </w:r>
      <w:r w:rsidRPr="009922DB">
        <w:rPr>
          <w:rFonts w:cs="Arial"/>
          <w:i/>
          <w:iCs/>
          <w:sz w:val="20"/>
          <w:lang w:eastAsia="en-AU"/>
        </w:rPr>
        <w:t>Cocos nucifera</w:t>
      </w:r>
      <w:r w:rsidRPr="009922DB">
        <w:rPr>
          <w:rFonts w:cs="Arial"/>
          <w:iCs/>
          <w:sz w:val="20"/>
          <w:lang w:eastAsia="en-AU"/>
        </w:rPr>
        <w:t xml:space="preserve">; </w:t>
      </w:r>
    </w:p>
    <w:p w14:paraId="29605ECA" w14:textId="77777777" w:rsidR="008F06FB" w:rsidRPr="009922DB" w:rsidRDefault="008F06FB" w:rsidP="008F06FB">
      <w:pPr>
        <w:tabs>
          <w:tab w:val="left" w:pos="2268"/>
        </w:tabs>
        <w:spacing w:before="60" w:after="60"/>
        <w:ind w:left="2835" w:hanging="2835"/>
        <w:rPr>
          <w:rFonts w:cs="Arial"/>
          <w:iCs/>
          <w:sz w:val="20"/>
          <w:lang w:eastAsia="en-AU"/>
        </w:rPr>
      </w:pPr>
      <w:r w:rsidRPr="009922DB">
        <w:rPr>
          <w:rFonts w:cs="Arial"/>
          <w:iCs/>
          <w:sz w:val="20"/>
          <w:lang w:eastAsia="en-AU"/>
        </w:rPr>
        <w:tab/>
        <w:t>(x)</w:t>
      </w:r>
      <w:r w:rsidRPr="009922DB">
        <w:rPr>
          <w:rFonts w:cs="Arial"/>
          <w:iCs/>
          <w:sz w:val="20"/>
          <w:lang w:eastAsia="en-AU"/>
        </w:rPr>
        <w:tab/>
        <w:t>lupin.</w:t>
      </w:r>
    </w:p>
    <w:p w14:paraId="7121357C" w14:textId="77777777" w:rsidR="008F06FB" w:rsidRPr="009922DB" w:rsidRDefault="008F06FB" w:rsidP="008F06FB">
      <w:pPr>
        <w:tabs>
          <w:tab w:val="left" w:pos="851"/>
        </w:tabs>
        <w:spacing w:before="120" w:after="120"/>
        <w:rPr>
          <w:sz w:val="20"/>
          <w:szCs w:val="20"/>
        </w:rPr>
      </w:pPr>
      <w:r w:rsidRPr="009922DB">
        <w:rPr>
          <w:b/>
          <w:sz w:val="20"/>
          <w:szCs w:val="20"/>
        </w:rPr>
        <w:t>[2]</w:t>
      </w:r>
      <w:r w:rsidRPr="009922DB">
        <w:rPr>
          <w:b/>
          <w:sz w:val="20"/>
          <w:szCs w:val="20"/>
        </w:rPr>
        <w:tab/>
        <w:t>Schedule 10</w:t>
      </w:r>
      <w:r w:rsidRPr="009922DB">
        <w:rPr>
          <w:sz w:val="20"/>
          <w:szCs w:val="20"/>
        </w:rPr>
        <w:t xml:space="preserve"> is varied by </w:t>
      </w:r>
    </w:p>
    <w:p w14:paraId="220DC88A" w14:textId="77777777" w:rsidR="008F06FB" w:rsidRPr="009922DB" w:rsidRDefault="008F06FB" w:rsidP="008F06FB">
      <w:pPr>
        <w:tabs>
          <w:tab w:val="left" w:pos="851"/>
        </w:tabs>
        <w:spacing w:before="120" w:after="120"/>
        <w:rPr>
          <w:sz w:val="20"/>
          <w:szCs w:val="20"/>
        </w:rPr>
      </w:pPr>
      <w:r w:rsidRPr="009922DB">
        <w:rPr>
          <w:sz w:val="20"/>
          <w:szCs w:val="20"/>
        </w:rPr>
        <w:t>[2.1]</w:t>
      </w:r>
      <w:r w:rsidRPr="009922DB">
        <w:rPr>
          <w:sz w:val="20"/>
          <w:szCs w:val="20"/>
        </w:rPr>
        <w:tab/>
        <w:t>omitting “1.2.4—4(b)(i)” from Note 1, substituting “1.2.4—4(b)(iii)”</w:t>
      </w:r>
    </w:p>
    <w:p w14:paraId="05D31E98" w14:textId="77777777" w:rsidR="008F06FB" w:rsidRPr="009922DB" w:rsidRDefault="008F06FB" w:rsidP="008F06FB">
      <w:pPr>
        <w:tabs>
          <w:tab w:val="left" w:pos="851"/>
        </w:tabs>
        <w:spacing w:before="120" w:after="120"/>
        <w:rPr>
          <w:sz w:val="20"/>
          <w:szCs w:val="20"/>
        </w:rPr>
      </w:pPr>
      <w:r w:rsidRPr="009922DB">
        <w:rPr>
          <w:sz w:val="20"/>
          <w:szCs w:val="20"/>
        </w:rPr>
        <w:t>[2.2]</w:t>
      </w:r>
      <w:r w:rsidRPr="009922DB">
        <w:rPr>
          <w:sz w:val="20"/>
          <w:szCs w:val="20"/>
        </w:rPr>
        <w:tab/>
        <w:t>inserting after section S10—1</w:t>
      </w:r>
    </w:p>
    <w:p w14:paraId="0F495323" w14:textId="77777777" w:rsidR="008F06FB" w:rsidRPr="009922DB" w:rsidRDefault="008F06FB" w:rsidP="008F06FB">
      <w:pPr>
        <w:keepNext/>
        <w:spacing w:before="240" w:after="120"/>
        <w:ind w:left="1701" w:hanging="1701"/>
        <w:outlineLvl w:val="4"/>
        <w:rPr>
          <w:b/>
          <w:bCs/>
          <w:kern w:val="32"/>
          <w:lang w:eastAsia="en-AU"/>
        </w:rPr>
      </w:pPr>
      <w:r w:rsidRPr="009922DB">
        <w:rPr>
          <w:b/>
          <w:bCs/>
          <w:kern w:val="32"/>
          <w:lang w:eastAsia="en-AU"/>
        </w:rPr>
        <w:t>S10—1A</w:t>
      </w:r>
      <w:r w:rsidRPr="009922DB">
        <w:rPr>
          <w:b/>
          <w:bCs/>
          <w:kern w:val="32"/>
          <w:lang w:eastAsia="en-AU"/>
        </w:rPr>
        <w:tab/>
        <w:t>Transitional arrangements for prescribed variations</w:t>
      </w:r>
    </w:p>
    <w:p w14:paraId="0B0715BF" w14:textId="77777777" w:rsidR="008F06FB" w:rsidRPr="009922DB" w:rsidRDefault="008F06FB" w:rsidP="008F06FB">
      <w:pPr>
        <w:tabs>
          <w:tab w:val="left" w:pos="1134"/>
        </w:tabs>
        <w:spacing w:before="120" w:after="120"/>
        <w:ind w:left="1701" w:hanging="1701"/>
        <w:rPr>
          <w:rFonts w:cs="Arial"/>
          <w:iCs/>
          <w:sz w:val="20"/>
          <w:lang w:eastAsia="en-AU"/>
        </w:rPr>
      </w:pPr>
      <w:r w:rsidRPr="009922DB">
        <w:rPr>
          <w:rFonts w:cs="Arial"/>
          <w:iCs/>
          <w:sz w:val="20"/>
          <w:lang w:eastAsia="en-AU"/>
        </w:rPr>
        <w:tab/>
        <w:t>(1)</w:t>
      </w:r>
      <w:r w:rsidRPr="009922DB">
        <w:rPr>
          <w:rFonts w:cs="Arial"/>
          <w:iCs/>
          <w:sz w:val="20"/>
          <w:lang w:eastAsia="en-AU"/>
        </w:rPr>
        <w:tab/>
        <w:t>For the purposes of this section</w:t>
      </w:r>
      <w:r>
        <w:rPr>
          <w:rFonts w:cs="Arial"/>
          <w:iCs/>
          <w:sz w:val="20"/>
          <w:lang w:eastAsia="en-AU"/>
        </w:rPr>
        <w:t>:</w:t>
      </w:r>
    </w:p>
    <w:p w14:paraId="29DA046C" w14:textId="77777777" w:rsidR="008F06FB" w:rsidRPr="009922DB" w:rsidRDefault="008F06FB" w:rsidP="008F06FB">
      <w:pPr>
        <w:tabs>
          <w:tab w:val="left" w:pos="1134"/>
        </w:tabs>
        <w:spacing w:before="120" w:after="120"/>
        <w:ind w:left="1701"/>
        <w:rPr>
          <w:rFonts w:cs="Arial"/>
          <w:iCs/>
          <w:sz w:val="20"/>
          <w:lang w:eastAsia="en-AU"/>
        </w:rPr>
      </w:pPr>
      <w:r w:rsidRPr="004F53C0">
        <w:rPr>
          <w:rFonts w:cs="Arial"/>
          <w:b/>
          <w:i/>
          <w:iCs/>
          <w:sz w:val="20"/>
          <w:lang w:eastAsia="en-AU"/>
        </w:rPr>
        <w:t>prescribed variation</w:t>
      </w:r>
      <w:r w:rsidRPr="009922DB">
        <w:rPr>
          <w:rFonts w:cs="Arial"/>
          <w:iCs/>
          <w:sz w:val="20"/>
          <w:lang w:eastAsia="en-AU"/>
        </w:rPr>
        <w:t xml:space="preserve"> means the amendment made by the Variation to paragraph (a) under the entry for “fats or oils” in the table to section S10—2.</w:t>
      </w:r>
    </w:p>
    <w:p w14:paraId="2BE87A61" w14:textId="77777777" w:rsidR="008F06FB" w:rsidRPr="009922DB" w:rsidRDefault="008F06FB" w:rsidP="008F06FB">
      <w:pPr>
        <w:tabs>
          <w:tab w:val="left" w:pos="1134"/>
        </w:tabs>
        <w:spacing w:before="120" w:after="120"/>
        <w:ind w:left="1701"/>
        <w:rPr>
          <w:rFonts w:cs="Arial"/>
          <w:iCs/>
          <w:sz w:val="20"/>
          <w:lang w:eastAsia="en-AU"/>
        </w:rPr>
      </w:pPr>
      <w:r w:rsidRPr="004F53C0">
        <w:rPr>
          <w:rFonts w:cs="Arial"/>
          <w:b/>
          <w:i/>
          <w:iCs/>
          <w:sz w:val="20"/>
          <w:lang w:eastAsia="en-AU"/>
        </w:rPr>
        <w:t>transitional period</w:t>
      </w:r>
      <w:r w:rsidRPr="009922DB">
        <w:rPr>
          <w:rFonts w:cs="Arial"/>
          <w:iCs/>
          <w:sz w:val="20"/>
          <w:lang w:eastAsia="en-AU"/>
        </w:rPr>
        <w:t xml:space="preserve"> means the period commencing on the Variation’s date of commencement and ending 12 months after the commencement.</w:t>
      </w:r>
    </w:p>
    <w:p w14:paraId="10AB983C" w14:textId="77777777" w:rsidR="008F06FB" w:rsidRPr="009922DB" w:rsidRDefault="008F06FB" w:rsidP="008F06FB">
      <w:pPr>
        <w:tabs>
          <w:tab w:val="left" w:pos="1134"/>
        </w:tabs>
        <w:spacing w:before="120" w:after="120"/>
        <w:ind w:left="1701"/>
        <w:rPr>
          <w:rFonts w:cs="Arial"/>
          <w:iCs/>
          <w:sz w:val="20"/>
          <w:lang w:eastAsia="en-AU"/>
        </w:rPr>
      </w:pPr>
      <w:r w:rsidRPr="004F53C0">
        <w:rPr>
          <w:rFonts w:cs="Arial"/>
          <w:b/>
          <w:i/>
          <w:iCs/>
          <w:sz w:val="20"/>
          <w:lang w:eastAsia="en-AU"/>
        </w:rPr>
        <w:t>the Variation</w:t>
      </w:r>
      <w:r w:rsidRPr="009922DB">
        <w:rPr>
          <w:rFonts w:cs="Arial"/>
          <w:iCs/>
          <w:sz w:val="20"/>
          <w:lang w:eastAsia="en-AU"/>
        </w:rPr>
        <w:t xml:space="preserve"> means the </w:t>
      </w:r>
      <w:r w:rsidRPr="009922DB">
        <w:rPr>
          <w:rFonts w:cs="Arial"/>
          <w:i/>
          <w:iCs/>
          <w:sz w:val="20"/>
          <w:lang w:eastAsia="en-AU"/>
        </w:rPr>
        <w:t>Food Standards (Proposal P1026 – Lupin as an Allergen) Variation</w:t>
      </w:r>
      <w:r w:rsidRPr="009922DB">
        <w:rPr>
          <w:rFonts w:cs="Arial"/>
          <w:iCs/>
          <w:sz w:val="20"/>
          <w:lang w:eastAsia="en-AU"/>
        </w:rPr>
        <w:t>.</w:t>
      </w:r>
    </w:p>
    <w:p w14:paraId="21FBE3BB" w14:textId="77777777" w:rsidR="008F06FB" w:rsidRPr="009922DB" w:rsidRDefault="008F06FB" w:rsidP="008F06FB">
      <w:pPr>
        <w:tabs>
          <w:tab w:val="left" w:pos="1134"/>
        </w:tabs>
        <w:spacing w:before="120" w:after="120"/>
        <w:ind w:left="1701" w:hanging="1701"/>
        <w:rPr>
          <w:rFonts w:cs="Arial"/>
          <w:iCs/>
          <w:sz w:val="20"/>
          <w:lang w:eastAsia="en-AU"/>
        </w:rPr>
      </w:pPr>
      <w:r w:rsidRPr="009922DB">
        <w:rPr>
          <w:rFonts w:cs="Arial"/>
          <w:iCs/>
          <w:sz w:val="20"/>
          <w:lang w:eastAsia="en-AU"/>
        </w:rPr>
        <w:tab/>
        <w:t>(2)</w:t>
      </w:r>
      <w:r w:rsidRPr="009922DB">
        <w:rPr>
          <w:rFonts w:cs="Arial"/>
          <w:iCs/>
          <w:sz w:val="20"/>
          <w:lang w:eastAsia="en-AU"/>
        </w:rPr>
        <w:tab/>
        <w:t>Section 1.1.1—9 of Standard 1.1.1 does not apply to the prescribed variation.</w:t>
      </w:r>
    </w:p>
    <w:p w14:paraId="575C3DAC" w14:textId="77777777" w:rsidR="008F06FB" w:rsidRPr="009922DB" w:rsidRDefault="008F06FB" w:rsidP="008F06FB">
      <w:pPr>
        <w:tabs>
          <w:tab w:val="left" w:pos="1134"/>
        </w:tabs>
        <w:spacing w:before="120" w:after="120"/>
        <w:ind w:left="1701" w:hanging="1701"/>
        <w:rPr>
          <w:rFonts w:cs="Arial"/>
          <w:iCs/>
          <w:sz w:val="20"/>
          <w:lang w:eastAsia="en-AU"/>
        </w:rPr>
      </w:pPr>
      <w:r w:rsidRPr="009922DB">
        <w:rPr>
          <w:rFonts w:cs="Arial"/>
          <w:iCs/>
          <w:sz w:val="20"/>
          <w:lang w:eastAsia="en-AU"/>
        </w:rPr>
        <w:tab/>
        <w:t>(3)</w:t>
      </w:r>
      <w:r w:rsidRPr="009922DB">
        <w:rPr>
          <w:rFonts w:cs="Arial"/>
          <w:iCs/>
          <w:sz w:val="20"/>
          <w:lang w:eastAsia="en-AU"/>
        </w:rPr>
        <w:tab/>
        <w:t>During the transition</w:t>
      </w:r>
      <w:r>
        <w:rPr>
          <w:rFonts w:cs="Arial"/>
          <w:iCs/>
          <w:sz w:val="20"/>
          <w:lang w:eastAsia="en-AU"/>
        </w:rPr>
        <w:t>al</w:t>
      </w:r>
      <w:r w:rsidRPr="009922DB">
        <w:rPr>
          <w:rFonts w:cs="Arial"/>
          <w:iCs/>
          <w:sz w:val="20"/>
          <w:lang w:eastAsia="en-AU"/>
        </w:rPr>
        <w:t xml:space="preserve"> period, </w:t>
      </w:r>
      <w:r w:rsidRPr="009922DB">
        <w:rPr>
          <w:rFonts w:eastAsiaTheme="majorEastAsia"/>
          <w:iCs/>
          <w:sz w:val="20"/>
          <w:lang w:eastAsia="en-AU"/>
        </w:rPr>
        <w:t>a food product</w:t>
      </w:r>
      <w:r w:rsidRPr="009922DB">
        <w:rPr>
          <w:rFonts w:cs="Arial"/>
          <w:iCs/>
          <w:sz w:val="20"/>
          <w:lang w:eastAsia="en-AU"/>
        </w:rPr>
        <w:t xml:space="preserve"> may comply with either</w:t>
      </w:r>
      <w:r>
        <w:rPr>
          <w:rFonts w:cs="Arial"/>
          <w:iCs/>
          <w:sz w:val="20"/>
          <w:lang w:eastAsia="en-AU"/>
        </w:rPr>
        <w:t>:</w:t>
      </w:r>
    </w:p>
    <w:p w14:paraId="08B6C6EE" w14:textId="77777777" w:rsidR="008F06FB" w:rsidRPr="009922DB" w:rsidRDefault="008F06FB" w:rsidP="008F06FB">
      <w:pPr>
        <w:tabs>
          <w:tab w:val="left" w:pos="1701"/>
        </w:tabs>
        <w:spacing w:before="60" w:after="60"/>
        <w:ind w:left="2268" w:hanging="2268"/>
        <w:rPr>
          <w:rFonts w:cs="Arial"/>
          <w:iCs/>
          <w:sz w:val="20"/>
          <w:lang w:eastAsia="en-AU"/>
        </w:rPr>
      </w:pPr>
      <w:r w:rsidRPr="009922DB">
        <w:rPr>
          <w:rFonts w:cs="Arial"/>
          <w:iCs/>
          <w:sz w:val="20"/>
          <w:szCs w:val="20"/>
          <w:lang w:eastAsia="en-AU"/>
        </w:rPr>
        <w:tab/>
      </w:r>
      <w:r w:rsidRPr="009922DB">
        <w:rPr>
          <w:rFonts w:cs="Arial"/>
          <w:iCs/>
          <w:sz w:val="20"/>
          <w:lang w:eastAsia="en-AU"/>
        </w:rPr>
        <w:t>(a)</w:t>
      </w:r>
      <w:r w:rsidRPr="009922DB">
        <w:rPr>
          <w:rFonts w:cs="Arial"/>
          <w:iCs/>
          <w:sz w:val="20"/>
          <w:lang w:eastAsia="en-AU"/>
        </w:rPr>
        <w:tab/>
        <w:t>the Code as in force without the prescribed variation; or</w:t>
      </w:r>
    </w:p>
    <w:p w14:paraId="66FA4AF6" w14:textId="77777777" w:rsidR="008F06FB" w:rsidRPr="009922DB" w:rsidRDefault="008F06FB" w:rsidP="008F06FB">
      <w:pPr>
        <w:tabs>
          <w:tab w:val="left" w:pos="1701"/>
        </w:tabs>
        <w:spacing w:before="60" w:after="60"/>
        <w:ind w:left="2268" w:hanging="2268"/>
        <w:rPr>
          <w:rFonts w:cs="Arial"/>
          <w:iCs/>
          <w:sz w:val="20"/>
          <w:lang w:eastAsia="en-AU"/>
        </w:rPr>
      </w:pPr>
      <w:r w:rsidRPr="009922DB">
        <w:rPr>
          <w:rFonts w:cs="Arial"/>
          <w:iCs/>
          <w:sz w:val="20"/>
          <w:lang w:eastAsia="en-AU"/>
        </w:rPr>
        <w:tab/>
        <w:t>(b)</w:t>
      </w:r>
      <w:r w:rsidRPr="009922DB">
        <w:rPr>
          <w:rFonts w:cs="Arial"/>
          <w:iCs/>
          <w:sz w:val="20"/>
          <w:lang w:eastAsia="en-AU"/>
        </w:rPr>
        <w:tab/>
        <w:t>the Code as amended by the prescribed variation;</w:t>
      </w:r>
    </w:p>
    <w:p w14:paraId="2B1AA98B" w14:textId="77777777" w:rsidR="008F06FB" w:rsidRPr="009922DB" w:rsidRDefault="008F06FB" w:rsidP="008F06FB">
      <w:pPr>
        <w:tabs>
          <w:tab w:val="left" w:pos="1134"/>
        </w:tabs>
        <w:spacing w:before="120" w:after="120"/>
        <w:ind w:left="1701" w:hanging="1701"/>
        <w:rPr>
          <w:rFonts w:cs="Arial"/>
          <w:iCs/>
          <w:sz w:val="20"/>
          <w:lang w:eastAsia="en-AU"/>
        </w:rPr>
      </w:pPr>
      <w:r w:rsidRPr="009922DB">
        <w:rPr>
          <w:rFonts w:cs="Arial"/>
          <w:iCs/>
          <w:sz w:val="20"/>
          <w:lang w:eastAsia="en-AU"/>
        </w:rPr>
        <w:lastRenderedPageBreak/>
        <w:tab/>
      </w:r>
      <w:r w:rsidRPr="009922DB">
        <w:rPr>
          <w:rFonts w:cs="Arial"/>
          <w:iCs/>
          <w:sz w:val="20"/>
          <w:lang w:eastAsia="en-AU"/>
        </w:rPr>
        <w:tab/>
        <w:t>but not a combination of both.</w:t>
      </w:r>
    </w:p>
    <w:p w14:paraId="38E6FBBC" w14:textId="77777777" w:rsidR="008F06FB" w:rsidRPr="009922DB" w:rsidRDefault="008F06FB" w:rsidP="008F06FB">
      <w:pPr>
        <w:tabs>
          <w:tab w:val="left" w:pos="851"/>
        </w:tabs>
        <w:spacing w:before="120" w:after="120"/>
        <w:rPr>
          <w:sz w:val="20"/>
          <w:szCs w:val="20"/>
        </w:rPr>
      </w:pPr>
      <w:r w:rsidRPr="009922DB">
        <w:rPr>
          <w:sz w:val="20"/>
          <w:szCs w:val="20"/>
        </w:rPr>
        <w:t>[2.3]</w:t>
      </w:r>
      <w:r w:rsidRPr="009922DB">
        <w:rPr>
          <w:sz w:val="20"/>
          <w:szCs w:val="20"/>
        </w:rPr>
        <w:tab/>
        <w:t>omitting from paragraph (a) under the entry for “fats or oils” in the table to section S10—2</w:t>
      </w:r>
    </w:p>
    <w:tbl>
      <w:tblPr>
        <w:tblW w:w="9072" w:type="dxa"/>
        <w:tblBorders>
          <w:bottom w:val="single" w:sz="6" w:space="0" w:color="auto"/>
          <w:insideH w:val="single" w:sz="4" w:space="0" w:color="auto"/>
        </w:tblBorders>
        <w:tblLook w:val="04A0" w:firstRow="1" w:lastRow="0" w:firstColumn="1" w:lastColumn="0" w:noHBand="0" w:noVBand="1"/>
      </w:tblPr>
      <w:tblGrid>
        <w:gridCol w:w="2376"/>
        <w:gridCol w:w="6696"/>
      </w:tblGrid>
      <w:tr w:rsidR="008F06FB" w:rsidRPr="009922DB" w14:paraId="62C71C68" w14:textId="77777777" w:rsidTr="00A665F0">
        <w:tc>
          <w:tcPr>
            <w:tcW w:w="2376" w:type="dxa"/>
            <w:tcBorders>
              <w:top w:val="nil"/>
              <w:bottom w:val="nil"/>
            </w:tcBorders>
            <w:shd w:val="clear" w:color="auto" w:fill="auto"/>
          </w:tcPr>
          <w:p w14:paraId="105424A8" w14:textId="77777777" w:rsidR="008F06FB" w:rsidRPr="009922DB" w:rsidRDefault="008F06FB" w:rsidP="00A665F0">
            <w:pPr>
              <w:keepLines/>
              <w:tabs>
                <w:tab w:val="right" w:pos="3969"/>
              </w:tabs>
              <w:spacing w:before="60" w:after="60"/>
              <w:rPr>
                <w:rFonts w:cs="Arial"/>
                <w:sz w:val="18"/>
                <w:szCs w:val="20"/>
                <w:lang w:eastAsia="en-AU"/>
              </w:rPr>
            </w:pPr>
          </w:p>
        </w:tc>
        <w:tc>
          <w:tcPr>
            <w:tcW w:w="6696" w:type="dxa"/>
            <w:tcBorders>
              <w:top w:val="nil"/>
              <w:bottom w:val="nil"/>
            </w:tcBorders>
            <w:shd w:val="clear" w:color="auto" w:fill="auto"/>
          </w:tcPr>
          <w:p w14:paraId="070EEDD8" w14:textId="77777777" w:rsidR="008F06FB" w:rsidRPr="009922DB" w:rsidRDefault="008F06FB" w:rsidP="00A665F0">
            <w:pPr>
              <w:keepLines/>
              <w:spacing w:before="60" w:after="60"/>
              <w:ind w:left="794" w:hanging="397"/>
              <w:rPr>
                <w:rFonts w:cs="Arial"/>
                <w:sz w:val="18"/>
                <w:lang w:eastAsia="en-AU"/>
              </w:rPr>
            </w:pPr>
            <w:r w:rsidRPr="009922DB">
              <w:rPr>
                <w:rFonts w:cs="Arial"/>
                <w:sz w:val="18"/>
                <w:lang w:eastAsia="en-AU"/>
              </w:rPr>
              <w:t>(ii)</w:t>
            </w:r>
            <w:r w:rsidRPr="009922DB">
              <w:rPr>
                <w:rFonts w:cs="Arial"/>
                <w:sz w:val="18"/>
                <w:lang w:eastAsia="en-AU"/>
              </w:rPr>
              <w:tab/>
              <w:t>if the source of oil is peanut or sesame—the specific source name; and</w:t>
            </w:r>
          </w:p>
        </w:tc>
      </w:tr>
    </w:tbl>
    <w:p w14:paraId="0B99B0AE" w14:textId="77777777" w:rsidR="008F06FB" w:rsidRPr="009922DB" w:rsidRDefault="008F06FB" w:rsidP="008F06FB">
      <w:pPr>
        <w:tabs>
          <w:tab w:val="left" w:pos="851"/>
        </w:tabs>
        <w:spacing w:before="120" w:after="120"/>
        <w:rPr>
          <w:sz w:val="20"/>
          <w:szCs w:val="20"/>
        </w:rPr>
      </w:pPr>
      <w:r w:rsidRPr="009922DB">
        <w:rPr>
          <w:sz w:val="20"/>
          <w:szCs w:val="20"/>
        </w:rPr>
        <w:t>substituting</w:t>
      </w:r>
    </w:p>
    <w:tbl>
      <w:tblPr>
        <w:tblW w:w="9072" w:type="dxa"/>
        <w:tblBorders>
          <w:bottom w:val="single" w:sz="6" w:space="0" w:color="auto"/>
          <w:insideH w:val="single" w:sz="4" w:space="0" w:color="auto"/>
        </w:tblBorders>
        <w:tblLook w:val="04A0" w:firstRow="1" w:lastRow="0" w:firstColumn="1" w:lastColumn="0" w:noHBand="0" w:noVBand="1"/>
      </w:tblPr>
      <w:tblGrid>
        <w:gridCol w:w="2376"/>
        <w:gridCol w:w="6696"/>
      </w:tblGrid>
      <w:tr w:rsidR="008F06FB" w:rsidRPr="009922DB" w14:paraId="689286AE" w14:textId="77777777" w:rsidTr="00A665F0">
        <w:tc>
          <w:tcPr>
            <w:tcW w:w="2376" w:type="dxa"/>
            <w:tcBorders>
              <w:top w:val="nil"/>
              <w:bottom w:val="nil"/>
            </w:tcBorders>
            <w:shd w:val="clear" w:color="auto" w:fill="auto"/>
          </w:tcPr>
          <w:p w14:paraId="221BB018" w14:textId="77777777" w:rsidR="008F06FB" w:rsidRPr="009922DB" w:rsidRDefault="008F06FB" w:rsidP="00A665F0">
            <w:pPr>
              <w:keepLines/>
              <w:tabs>
                <w:tab w:val="right" w:pos="3969"/>
              </w:tabs>
              <w:spacing w:before="60" w:after="60"/>
              <w:rPr>
                <w:rFonts w:cs="Arial"/>
                <w:sz w:val="18"/>
                <w:szCs w:val="20"/>
                <w:lang w:eastAsia="en-AU"/>
              </w:rPr>
            </w:pPr>
          </w:p>
        </w:tc>
        <w:tc>
          <w:tcPr>
            <w:tcW w:w="6696" w:type="dxa"/>
            <w:tcBorders>
              <w:top w:val="nil"/>
              <w:bottom w:val="nil"/>
            </w:tcBorders>
            <w:shd w:val="clear" w:color="auto" w:fill="auto"/>
          </w:tcPr>
          <w:p w14:paraId="1B3F5AFE" w14:textId="77777777" w:rsidR="008F06FB" w:rsidRPr="009922DB" w:rsidRDefault="008F06FB" w:rsidP="00A665F0">
            <w:pPr>
              <w:keepLines/>
              <w:spacing w:before="60" w:after="60"/>
              <w:ind w:left="794" w:hanging="397"/>
              <w:rPr>
                <w:rFonts w:cs="Arial"/>
                <w:sz w:val="18"/>
                <w:lang w:eastAsia="en-AU"/>
              </w:rPr>
            </w:pPr>
            <w:r w:rsidRPr="009922DB">
              <w:rPr>
                <w:rFonts w:cs="Arial"/>
                <w:iCs/>
                <w:sz w:val="18"/>
                <w:lang w:eastAsia="en-AU"/>
              </w:rPr>
              <w:t>(ii)</w:t>
            </w:r>
            <w:r w:rsidRPr="009922DB">
              <w:rPr>
                <w:rFonts w:cs="Arial"/>
                <w:iCs/>
                <w:sz w:val="18"/>
                <w:lang w:eastAsia="en-AU"/>
              </w:rPr>
              <w:tab/>
              <w:t>if the source of oil is lupin, peanut or sesame—the specific source name; and</w:t>
            </w:r>
          </w:p>
        </w:tc>
      </w:tr>
    </w:tbl>
    <w:p w14:paraId="5845BB31" w14:textId="77777777" w:rsidR="008F06FB" w:rsidRPr="009922DB" w:rsidRDefault="008F06FB" w:rsidP="008F06FB">
      <w:pPr>
        <w:tabs>
          <w:tab w:val="left" w:pos="2268"/>
        </w:tabs>
        <w:spacing w:before="60" w:after="60"/>
        <w:ind w:left="2835" w:hanging="2835"/>
        <w:rPr>
          <w:rFonts w:cs="Arial"/>
          <w:iCs/>
          <w:sz w:val="20"/>
          <w:lang w:eastAsia="en-AU"/>
        </w:rPr>
      </w:pPr>
    </w:p>
    <w:p w14:paraId="062B3BEB" w14:textId="77777777" w:rsidR="00D5526B" w:rsidRPr="003A01FB" w:rsidRDefault="00D5526B" w:rsidP="003A01FB"/>
    <w:sectPr w:rsidR="00D5526B" w:rsidRPr="003A01FB" w:rsidSect="008E2339">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CC0C2" w14:textId="77777777" w:rsidR="008F06FB" w:rsidRDefault="008F06FB" w:rsidP="008F06FB">
      <w:r>
        <w:separator/>
      </w:r>
    </w:p>
  </w:endnote>
  <w:endnote w:type="continuationSeparator" w:id="0">
    <w:p w14:paraId="35C5190B" w14:textId="77777777" w:rsidR="008F06FB" w:rsidRDefault="008F06FB" w:rsidP="008F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921563"/>
      <w:docPartObj>
        <w:docPartGallery w:val="Page Numbers (Bottom of Page)"/>
        <w:docPartUnique/>
      </w:docPartObj>
    </w:sdtPr>
    <w:sdtEndPr>
      <w:rPr>
        <w:noProof/>
      </w:rPr>
    </w:sdtEndPr>
    <w:sdtContent>
      <w:p w14:paraId="788C26E5" w14:textId="7C48D2D7" w:rsidR="008F06FB" w:rsidRDefault="008F06FB" w:rsidP="008F06FB">
        <w:pPr>
          <w:pStyle w:val="Footer"/>
          <w:jc w:val="center"/>
        </w:pPr>
        <w:r>
          <w:fldChar w:fldCharType="begin"/>
        </w:r>
        <w:r>
          <w:instrText xml:space="preserve"> PAGE   \* MERGEFORMAT </w:instrText>
        </w:r>
        <w:r>
          <w:fldChar w:fldCharType="separate"/>
        </w:r>
        <w:r w:rsidR="001F414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3089C" w14:textId="77777777" w:rsidR="008F06FB" w:rsidRDefault="008F06FB" w:rsidP="008F06FB">
      <w:r>
        <w:separator/>
      </w:r>
    </w:p>
  </w:footnote>
  <w:footnote w:type="continuationSeparator" w:id="0">
    <w:p w14:paraId="0420BEDB" w14:textId="77777777" w:rsidR="008F06FB" w:rsidRDefault="008F06FB" w:rsidP="008F0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6FB"/>
    <w:rsid w:val="0000542C"/>
    <w:rsid w:val="00005EF8"/>
    <w:rsid w:val="00041643"/>
    <w:rsid w:val="000622E7"/>
    <w:rsid w:val="00066854"/>
    <w:rsid w:val="00066D85"/>
    <w:rsid w:val="000A38F8"/>
    <w:rsid w:val="000F2196"/>
    <w:rsid w:val="001734EA"/>
    <w:rsid w:val="00184403"/>
    <w:rsid w:val="00191770"/>
    <w:rsid w:val="001C5126"/>
    <w:rsid w:val="001E696B"/>
    <w:rsid w:val="001F4149"/>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8F06FB"/>
    <w:rsid w:val="00935023"/>
    <w:rsid w:val="009806A5"/>
    <w:rsid w:val="0099770C"/>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5CA4"/>
  <w15:docId w15:val="{29B96B6C-DC4E-4EC4-A98D-A0256E3F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paragraph" w:customStyle="1" w:styleId="FSCDraftingitem">
    <w:name w:val="FSC_Drafting_item"/>
    <w:basedOn w:val="Normal"/>
    <w:qFormat/>
    <w:rsid w:val="008F06FB"/>
    <w:pPr>
      <w:tabs>
        <w:tab w:val="left" w:pos="851"/>
      </w:tabs>
      <w:spacing w:before="120" w:after="120"/>
    </w:pPr>
    <w:rPr>
      <w:rFonts w:eastAsia="Times New Roman" w:cs="Times New Roman"/>
      <w:sz w:val="20"/>
      <w:szCs w:val="20"/>
    </w:rPr>
  </w:style>
  <w:style w:type="paragraph" w:styleId="BalloonText">
    <w:name w:val="Balloon Text"/>
    <w:basedOn w:val="Normal"/>
    <w:link w:val="BalloonTextChar"/>
    <w:uiPriority w:val="99"/>
    <w:semiHidden/>
    <w:unhideWhenUsed/>
    <w:rsid w:val="008F06FB"/>
    <w:rPr>
      <w:rFonts w:ascii="Tahoma" w:hAnsi="Tahoma" w:cs="Tahoma"/>
      <w:sz w:val="16"/>
      <w:szCs w:val="16"/>
    </w:rPr>
  </w:style>
  <w:style w:type="character" w:customStyle="1" w:styleId="BalloonTextChar">
    <w:name w:val="Balloon Text Char"/>
    <w:basedOn w:val="DefaultParagraphFont"/>
    <w:link w:val="BalloonText"/>
    <w:uiPriority w:val="99"/>
    <w:semiHidden/>
    <w:rsid w:val="008F06FB"/>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959f586-1386-49a0-8f25-29490ba8c513" ContentTypeId="0x01010004C4C934AD08B647A78FCADD498BE31902" PreviousValue="false"/>
</file>

<file path=customXml/item2.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ff5de93e-c5e8-4efc-a1bd-21450292fcfe">X3VAMR3A5FUY-552-5449</_dlc_DocId>
    <_dlc_DocIdUrl xmlns="ff5de93e-c5e8-4efc-a1bd-21450292fcfe">
      <Url>http://teams/Sections/RAP/_layouts/15/DocIdRedir.aspx?ID=X3VAMR3A5FUY-552-5449</Url>
      <Description>X3VAMR3A5FUY-552-5449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DC318-CE9F-4828-B9DB-AAC028B83D9B}">
  <ds:schemaRefs>
    <ds:schemaRef ds:uri="Microsoft.SharePoint.Taxonomy.ContentTypeSync"/>
  </ds:schemaRefs>
</ds:datastoreItem>
</file>

<file path=customXml/itemProps2.xml><?xml version="1.0" encoding="utf-8"?>
<ds:datastoreItem xmlns:ds="http://schemas.openxmlformats.org/officeDocument/2006/customXml" ds:itemID="{845044B2-B233-4240-982A-919776178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ff5de93e-c5e8-4efc-a1bd-21450292f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D7F66-C442-4701-BD9D-63029F0A7BD6}">
  <ds:schemaRefs>
    <ds:schemaRef ds:uri="http://purl.org/dc/dcmitype/"/>
    <ds:schemaRef ds:uri="ff5de93e-c5e8-4efc-a1bd-21450292fcfe"/>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ec50576e-4a27-4780-a1e1-e59563bc70b8"/>
    <ds:schemaRef ds:uri="http://schemas.microsoft.com/office/2006/metadata/properties"/>
  </ds:schemaRefs>
</ds:datastoreItem>
</file>

<file path=customXml/itemProps4.xml><?xml version="1.0" encoding="utf-8"?>
<ds:datastoreItem xmlns:ds="http://schemas.openxmlformats.org/officeDocument/2006/customXml" ds:itemID="{77F96725-A04D-4AFD-9D18-A086608A1D72}">
  <ds:schemaRefs>
    <ds:schemaRef ds:uri="http://schemas.microsoft.com/sharepoint/v3/contenttype/forms"/>
  </ds:schemaRefs>
</ds:datastoreItem>
</file>

<file path=customXml/itemProps5.xml><?xml version="1.0" encoding="utf-8"?>
<ds:datastoreItem xmlns:ds="http://schemas.openxmlformats.org/officeDocument/2006/customXml" ds:itemID="{C22E0517-B705-4323-9617-656C37C0DEB1}">
  <ds:schemaRefs>
    <ds:schemaRef ds:uri="http://schemas.microsoft.com/sharepoint/events"/>
  </ds:schemaRefs>
</ds:datastoreItem>
</file>

<file path=customXml/itemProps6.xml><?xml version="1.0" encoding="utf-8"?>
<ds:datastoreItem xmlns:ds="http://schemas.openxmlformats.org/officeDocument/2006/customXml" ds:itemID="{E8FE3AF4-C581-48FB-9046-FD20D8DD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474</Words>
  <Characters>2706</Characters>
  <Application>Microsoft Office Word</Application>
  <DocSecurity>0</DocSecurity>
  <Lines>22</Lines>
  <Paragraphs>6</Paragraphs>
  <ScaleCrop>false</ScaleCrop>
  <Company>Food Standards Australia New Zealand</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Humphries, Cathie</cp:lastModifiedBy>
  <cp:revision>4</cp:revision>
  <dcterms:created xsi:type="dcterms:W3CDTF">2017-02-27T00:33:00Z</dcterms:created>
  <dcterms:modified xsi:type="dcterms:W3CDTF">2017-05-16T08:09:00Z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0x01010004C4C934AD08B647A78FCADD498BE3190200326A638932699E48A89F1995A4895C37</vt:lpwstr>
  </property>
  <property fmtid="{D5CDD505-2E9C-101B-9397-08002B2CF9AE}" pid="3" name="DisposalClass">
    <vt:lpwstr/>
  </property>
  <property fmtid="{D5CDD505-2E9C-101B-9397-08002B2CF9AE}" pid="4" name="BCS_">
    <vt:lpwstr>846;#Instruments|4a8ff5e5-1f0e-4751-ab44-bc0d33b46a80</vt:lpwstr>
  </property>
  <property fmtid="{D5CDD505-2E9C-101B-9397-08002B2CF9AE}" pid="5" name="_dlc_DocIdItemGuid">
    <vt:lpwstr>d693f419-9e58-4daf-b28c-5c0c572892b5</vt:lpwstr>
  </property>
  <property fmtid="{D5CDD505-2E9C-101B-9397-08002B2CF9AE}" pid="6" name="TitusGUID">
    <vt:lpwstr>b90c6e7f-e97d-4c23-9d1f-613a2b71f94c</vt:lpwstr>
  </property>
</Properties>
</file>