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329E8" w14:textId="77777777" w:rsidR="00EC46A4" w:rsidRPr="00BA61EE" w:rsidRDefault="00971B15" w:rsidP="00EC46A4">
      <w:pPr>
        <w:jc w:val="center"/>
        <w:outlineLvl w:val="0"/>
        <w:rPr>
          <w:rFonts w:ascii="Times New Roman" w:hAnsi="Times New Roman"/>
          <w:b/>
          <w:sz w:val="24"/>
          <w:szCs w:val="24"/>
          <w:u w:val="single"/>
        </w:rPr>
      </w:pPr>
      <w:r w:rsidRPr="00BA61EE">
        <w:rPr>
          <w:rFonts w:ascii="Times New Roman" w:hAnsi="Times New Roman"/>
          <w:b/>
          <w:sz w:val="24"/>
          <w:szCs w:val="24"/>
          <w:u w:val="single"/>
        </w:rPr>
        <w:t>EXPLANATORY STATEMENT</w:t>
      </w:r>
    </w:p>
    <w:p w14:paraId="264329E9" w14:textId="77777777" w:rsidR="00EC46A4" w:rsidRPr="00BA61EE" w:rsidRDefault="00971B15" w:rsidP="00EC46A4">
      <w:pPr>
        <w:jc w:val="center"/>
        <w:rPr>
          <w:rFonts w:ascii="Times New Roman" w:hAnsi="Times New Roman"/>
          <w:sz w:val="24"/>
          <w:szCs w:val="24"/>
        </w:rPr>
      </w:pPr>
      <w:r w:rsidRPr="00BA61EE">
        <w:rPr>
          <w:rFonts w:ascii="Times New Roman" w:hAnsi="Times New Roman"/>
          <w:sz w:val="24"/>
          <w:szCs w:val="24"/>
        </w:rPr>
        <w:t xml:space="preserve">Issued by the Authority of the </w:t>
      </w:r>
      <w:r>
        <w:rPr>
          <w:rFonts w:ascii="Times New Roman" w:hAnsi="Times New Roman"/>
          <w:sz w:val="24"/>
          <w:szCs w:val="24"/>
        </w:rPr>
        <w:t xml:space="preserve">Deputy Prime Minister and </w:t>
      </w:r>
      <w:r w:rsidRPr="00FB53C2">
        <w:rPr>
          <w:rFonts w:ascii="Times New Roman" w:hAnsi="Times New Roman"/>
          <w:sz w:val="24"/>
          <w:szCs w:val="24"/>
        </w:rPr>
        <w:t>Minister for Agriculture and Water Resources</w:t>
      </w:r>
    </w:p>
    <w:p w14:paraId="264329EA" w14:textId="77777777" w:rsidR="00EC46A4" w:rsidRPr="00BA61EE" w:rsidRDefault="00971B15" w:rsidP="00EC46A4">
      <w:pPr>
        <w:jc w:val="center"/>
        <w:rPr>
          <w:rFonts w:ascii="Times New Roman" w:hAnsi="Times New Roman"/>
          <w:i/>
          <w:sz w:val="24"/>
          <w:szCs w:val="24"/>
        </w:rPr>
      </w:pPr>
      <w:r w:rsidRPr="00BA61EE">
        <w:rPr>
          <w:rFonts w:ascii="Times New Roman" w:hAnsi="Times New Roman"/>
          <w:i/>
          <w:sz w:val="24"/>
          <w:szCs w:val="24"/>
        </w:rPr>
        <w:t>Water Act 2007</w:t>
      </w:r>
    </w:p>
    <w:p w14:paraId="264329EB" w14:textId="7B6B1B84" w:rsidR="00EC46A4" w:rsidRPr="00BA61EE" w:rsidRDefault="00971B15" w:rsidP="00EC46A4">
      <w:pPr>
        <w:ind w:right="-144"/>
        <w:jc w:val="center"/>
        <w:rPr>
          <w:rFonts w:ascii="Times New Roman" w:hAnsi="Times New Roman"/>
          <w:i/>
          <w:sz w:val="24"/>
          <w:szCs w:val="24"/>
        </w:rPr>
      </w:pPr>
      <w:r>
        <w:rPr>
          <w:rFonts w:ascii="Times New Roman" w:hAnsi="Times New Roman"/>
          <w:i/>
          <w:sz w:val="24"/>
          <w:szCs w:val="24"/>
        </w:rPr>
        <w:t>Water Amendment (Murray-Darling Basin Agreement)</w:t>
      </w:r>
      <w:r w:rsidRPr="00BA61EE">
        <w:rPr>
          <w:rFonts w:ascii="Times New Roman" w:hAnsi="Times New Roman"/>
          <w:i/>
          <w:sz w:val="24"/>
          <w:szCs w:val="24"/>
        </w:rPr>
        <w:t xml:space="preserve"> Regulation</w:t>
      </w:r>
      <w:r>
        <w:rPr>
          <w:rFonts w:ascii="Times New Roman" w:hAnsi="Times New Roman"/>
          <w:i/>
          <w:sz w:val="24"/>
          <w:szCs w:val="24"/>
        </w:rPr>
        <w:t>s</w:t>
      </w:r>
      <w:r w:rsidRPr="00BA61EE">
        <w:rPr>
          <w:rFonts w:ascii="Times New Roman" w:hAnsi="Times New Roman"/>
          <w:i/>
          <w:sz w:val="24"/>
          <w:szCs w:val="24"/>
        </w:rPr>
        <w:t xml:space="preserve"> 201</w:t>
      </w:r>
      <w:r>
        <w:rPr>
          <w:rFonts w:ascii="Times New Roman" w:hAnsi="Times New Roman"/>
          <w:i/>
          <w:sz w:val="24"/>
          <w:szCs w:val="24"/>
        </w:rPr>
        <w:t>7</w:t>
      </w:r>
      <w:r w:rsidRPr="00BA61EE">
        <w:rPr>
          <w:rFonts w:ascii="Times New Roman" w:hAnsi="Times New Roman"/>
          <w:i/>
          <w:sz w:val="24"/>
          <w:szCs w:val="24"/>
        </w:rPr>
        <w:t xml:space="preserve"> </w:t>
      </w:r>
    </w:p>
    <w:p w14:paraId="264329EC" w14:textId="77777777" w:rsidR="00EC46A4" w:rsidRDefault="00971B15" w:rsidP="00EC46A4">
      <w:pPr>
        <w:spacing w:line="240" w:lineRule="auto"/>
        <w:rPr>
          <w:rFonts w:ascii="Times New Roman" w:hAnsi="Times New Roman"/>
          <w:b/>
          <w:sz w:val="24"/>
          <w:szCs w:val="24"/>
        </w:rPr>
      </w:pPr>
      <w:r w:rsidRPr="00EE0453">
        <w:rPr>
          <w:rFonts w:ascii="Times New Roman" w:hAnsi="Times New Roman"/>
          <w:b/>
          <w:sz w:val="24"/>
          <w:szCs w:val="24"/>
        </w:rPr>
        <w:t xml:space="preserve">Legislative Authority </w:t>
      </w:r>
    </w:p>
    <w:p w14:paraId="264329ED" w14:textId="4A669B68" w:rsidR="00EC46A4" w:rsidRPr="00F85CB7" w:rsidRDefault="00971B15" w:rsidP="00EC46A4">
      <w:pPr>
        <w:spacing w:line="240" w:lineRule="auto"/>
        <w:rPr>
          <w:rFonts w:ascii="Times New Roman" w:hAnsi="Times New Roman"/>
          <w:sz w:val="24"/>
          <w:szCs w:val="24"/>
        </w:rPr>
      </w:pPr>
      <w:r w:rsidRPr="00F85CB7">
        <w:rPr>
          <w:rFonts w:ascii="Times New Roman" w:hAnsi="Times New Roman"/>
          <w:sz w:val="24"/>
          <w:szCs w:val="24"/>
        </w:rPr>
        <w:t xml:space="preserve">The </w:t>
      </w:r>
      <w:r w:rsidRPr="00F85CB7">
        <w:rPr>
          <w:rFonts w:ascii="Times New Roman" w:hAnsi="Times New Roman"/>
          <w:i/>
          <w:sz w:val="24"/>
          <w:szCs w:val="24"/>
        </w:rPr>
        <w:t>Water Act 2007</w:t>
      </w:r>
      <w:r w:rsidRPr="00F85CB7">
        <w:rPr>
          <w:rFonts w:ascii="Times New Roman" w:hAnsi="Times New Roman"/>
          <w:sz w:val="24"/>
          <w:szCs w:val="24"/>
        </w:rPr>
        <w:t xml:space="preserve"> (the</w:t>
      </w:r>
      <w:r>
        <w:rPr>
          <w:rFonts w:ascii="Times New Roman" w:hAnsi="Times New Roman"/>
          <w:sz w:val="24"/>
          <w:szCs w:val="24"/>
        </w:rPr>
        <w:t xml:space="preserve"> </w:t>
      </w:r>
      <w:r w:rsidRPr="00F85CB7">
        <w:rPr>
          <w:rFonts w:ascii="Times New Roman" w:hAnsi="Times New Roman"/>
          <w:sz w:val="24"/>
          <w:szCs w:val="24"/>
        </w:rPr>
        <w:t xml:space="preserve">Act) provides the legislative framework for managing Australia’s largest water resource </w:t>
      </w:r>
      <w:r>
        <w:rPr>
          <w:rFonts w:ascii="Times New Roman" w:hAnsi="Times New Roman"/>
          <w:sz w:val="24"/>
          <w:szCs w:val="24"/>
        </w:rPr>
        <w:t>—</w:t>
      </w:r>
      <w:r w:rsidRPr="00F85CB7">
        <w:rPr>
          <w:rFonts w:ascii="Times New Roman" w:hAnsi="Times New Roman"/>
          <w:sz w:val="24"/>
          <w:szCs w:val="24"/>
        </w:rPr>
        <w:t xml:space="preserve"> the Murray-Darling Basin </w:t>
      </w:r>
      <w:r>
        <w:rPr>
          <w:rFonts w:ascii="Times New Roman" w:hAnsi="Times New Roman"/>
          <w:sz w:val="24"/>
          <w:szCs w:val="24"/>
        </w:rPr>
        <w:t>—</w:t>
      </w:r>
      <w:r w:rsidRPr="00F85CB7">
        <w:rPr>
          <w:rFonts w:ascii="Times New Roman" w:hAnsi="Times New Roman"/>
          <w:sz w:val="24"/>
          <w:szCs w:val="24"/>
        </w:rPr>
        <w:t xml:space="preserve"> in the national interest, as well as for providing information on Australia’s water resources. Section 256 of the Act provides that the Governor-General may make regulations prescribing matters required or permitted by the Act to be prescribed, or necessary or convenient to be prescribed for carrying out or giving effect to the Act.</w:t>
      </w:r>
      <w:r>
        <w:rPr>
          <w:rFonts w:ascii="Times New Roman" w:hAnsi="Times New Roman"/>
          <w:sz w:val="24"/>
          <w:szCs w:val="24"/>
        </w:rPr>
        <w:t xml:space="preserve"> </w:t>
      </w:r>
    </w:p>
    <w:p w14:paraId="264329EF" w14:textId="4E35D6DB" w:rsidR="00EC46A4" w:rsidRDefault="00971B15" w:rsidP="00EC46A4">
      <w:pPr>
        <w:spacing w:line="240" w:lineRule="auto"/>
        <w:rPr>
          <w:rFonts w:ascii="Times New Roman" w:hAnsi="Times New Roman"/>
          <w:sz w:val="24"/>
          <w:szCs w:val="24"/>
        </w:rPr>
      </w:pPr>
      <w:r w:rsidRPr="0091351D">
        <w:rPr>
          <w:rFonts w:ascii="Times New Roman" w:hAnsi="Times New Roman"/>
          <w:sz w:val="24"/>
          <w:szCs w:val="24"/>
        </w:rPr>
        <w:t xml:space="preserve">The </w:t>
      </w:r>
      <w:r>
        <w:rPr>
          <w:rFonts w:ascii="Times New Roman" w:hAnsi="Times New Roman"/>
          <w:sz w:val="24"/>
          <w:szCs w:val="24"/>
        </w:rPr>
        <w:t xml:space="preserve">Murray-Darling Basin </w:t>
      </w:r>
      <w:r w:rsidRPr="0091351D">
        <w:rPr>
          <w:rFonts w:ascii="Times New Roman" w:hAnsi="Times New Roman"/>
          <w:sz w:val="24"/>
          <w:szCs w:val="24"/>
        </w:rPr>
        <w:t>Agreement</w:t>
      </w:r>
      <w:r>
        <w:rPr>
          <w:rFonts w:ascii="Times New Roman" w:hAnsi="Times New Roman"/>
          <w:sz w:val="24"/>
          <w:szCs w:val="24"/>
        </w:rPr>
        <w:t xml:space="preserve"> (the Agreement)</w:t>
      </w:r>
      <w:r w:rsidRPr="0091351D">
        <w:rPr>
          <w:rFonts w:ascii="Times New Roman" w:hAnsi="Times New Roman"/>
          <w:sz w:val="24"/>
          <w:szCs w:val="24"/>
        </w:rPr>
        <w:t>, including its eight Schedules, is an intergovernmental agreement between the Commonwealth, New South Wales, Victoria, South</w:t>
      </w:r>
      <w:r w:rsidR="00A35842">
        <w:rPr>
          <w:rFonts w:ascii="Times New Roman" w:hAnsi="Times New Roman"/>
          <w:sz w:val="24"/>
          <w:szCs w:val="24"/>
        </w:rPr>
        <w:t> </w:t>
      </w:r>
      <w:r w:rsidRPr="0091351D">
        <w:rPr>
          <w:rFonts w:ascii="Times New Roman" w:hAnsi="Times New Roman"/>
          <w:sz w:val="24"/>
          <w:szCs w:val="24"/>
        </w:rPr>
        <w:t xml:space="preserve">Australia, Queensland and the Australian Capital Territory (together referred to in the Agreement as the Contracting Governments). </w:t>
      </w:r>
      <w:r w:rsidRPr="00DF0260">
        <w:rPr>
          <w:rFonts w:ascii="Times New Roman" w:hAnsi="Times New Roman"/>
          <w:sz w:val="24"/>
          <w:szCs w:val="24"/>
        </w:rPr>
        <w:t>The text of the Agreement is set out in Schedule</w:t>
      </w:r>
      <w:r w:rsidR="00A35842">
        <w:rPr>
          <w:rFonts w:ascii="Times New Roman" w:hAnsi="Times New Roman"/>
          <w:sz w:val="24"/>
          <w:szCs w:val="24"/>
        </w:rPr>
        <w:t> </w:t>
      </w:r>
      <w:r w:rsidRPr="00DF0260">
        <w:rPr>
          <w:rFonts w:ascii="Times New Roman" w:hAnsi="Times New Roman"/>
          <w:sz w:val="24"/>
          <w:szCs w:val="24"/>
        </w:rPr>
        <w:t>1</w:t>
      </w:r>
      <w:r w:rsidR="008B782F">
        <w:rPr>
          <w:rFonts w:ascii="Times New Roman" w:hAnsi="Times New Roman"/>
          <w:sz w:val="24"/>
          <w:szCs w:val="24"/>
        </w:rPr>
        <w:t xml:space="preserve"> to the Act</w:t>
      </w:r>
      <w:r w:rsidRPr="00DF0260">
        <w:rPr>
          <w:rFonts w:ascii="Times New Roman" w:hAnsi="Times New Roman"/>
          <w:sz w:val="24"/>
          <w:szCs w:val="24"/>
        </w:rPr>
        <w:t xml:space="preserve">. </w:t>
      </w:r>
      <w:r w:rsidR="008B782F">
        <w:rPr>
          <w:rFonts w:ascii="Times New Roman" w:hAnsi="Times New Roman"/>
          <w:sz w:val="24"/>
          <w:szCs w:val="24"/>
        </w:rPr>
        <w:t xml:space="preserve"> </w:t>
      </w:r>
      <w:r w:rsidRPr="0091351D">
        <w:rPr>
          <w:rFonts w:ascii="Times New Roman" w:hAnsi="Times New Roman"/>
          <w:sz w:val="24"/>
          <w:szCs w:val="24"/>
        </w:rPr>
        <w:t xml:space="preserve">The purpose of the Agreement is to promote </w:t>
      </w:r>
      <w:r>
        <w:rPr>
          <w:rFonts w:ascii="Times New Roman" w:hAnsi="Times New Roman"/>
          <w:sz w:val="24"/>
          <w:szCs w:val="24"/>
        </w:rPr>
        <w:t>and co</w:t>
      </w:r>
      <w:r w:rsidRPr="0091351D">
        <w:rPr>
          <w:rFonts w:ascii="Times New Roman" w:hAnsi="Times New Roman"/>
          <w:sz w:val="24"/>
          <w:szCs w:val="24"/>
        </w:rPr>
        <w:t>ordinate effective planning and management for the equitable, efficient and sustainable use of the water and other natural resources of the Murray-Darling Bas</w:t>
      </w:r>
      <w:r>
        <w:rPr>
          <w:rFonts w:ascii="Times New Roman" w:hAnsi="Times New Roman"/>
          <w:sz w:val="24"/>
          <w:szCs w:val="24"/>
        </w:rPr>
        <w:t>in.</w:t>
      </w:r>
      <w:r w:rsidRPr="00DF0260">
        <w:t xml:space="preserve"> </w:t>
      </w:r>
    </w:p>
    <w:p w14:paraId="40AB2CB2" w14:textId="0B287ADC" w:rsidR="00DA3EA3" w:rsidRPr="00381881" w:rsidRDefault="00971B15" w:rsidP="00381881">
      <w:pPr>
        <w:spacing w:line="240" w:lineRule="auto"/>
        <w:rPr>
          <w:rFonts w:ascii="Times New Roman" w:hAnsi="Times New Roman"/>
          <w:sz w:val="24"/>
          <w:szCs w:val="24"/>
        </w:rPr>
      </w:pPr>
      <w:r w:rsidRPr="00F85CB7">
        <w:rPr>
          <w:rFonts w:ascii="Times New Roman" w:hAnsi="Times New Roman"/>
          <w:sz w:val="24"/>
          <w:szCs w:val="24"/>
        </w:rPr>
        <w:t>The</w:t>
      </w:r>
      <w:r>
        <w:rPr>
          <w:rFonts w:ascii="Times New Roman" w:hAnsi="Times New Roman"/>
          <w:sz w:val="24"/>
          <w:szCs w:val="24"/>
        </w:rPr>
        <w:t xml:space="preserve"> Agreement establishes the</w:t>
      </w:r>
      <w:r w:rsidRPr="00F85CB7">
        <w:rPr>
          <w:rFonts w:ascii="Times New Roman" w:hAnsi="Times New Roman"/>
          <w:sz w:val="24"/>
          <w:szCs w:val="24"/>
        </w:rPr>
        <w:t xml:space="preserve"> </w:t>
      </w:r>
      <w:r>
        <w:rPr>
          <w:rFonts w:ascii="Times New Roman" w:hAnsi="Times New Roman"/>
          <w:sz w:val="24"/>
          <w:szCs w:val="24"/>
        </w:rPr>
        <w:t xml:space="preserve">Murray-Darling Basin </w:t>
      </w:r>
      <w:r w:rsidRPr="00F85CB7">
        <w:rPr>
          <w:rFonts w:ascii="Times New Roman" w:hAnsi="Times New Roman"/>
          <w:sz w:val="24"/>
          <w:szCs w:val="24"/>
        </w:rPr>
        <w:t>Ministerial Council</w:t>
      </w:r>
      <w:r>
        <w:rPr>
          <w:rFonts w:ascii="Times New Roman" w:hAnsi="Times New Roman"/>
          <w:sz w:val="24"/>
          <w:szCs w:val="24"/>
        </w:rPr>
        <w:t xml:space="preserve"> (the Council), consisting</w:t>
      </w:r>
      <w:r w:rsidRPr="00F85CB7">
        <w:rPr>
          <w:rFonts w:ascii="Times New Roman" w:hAnsi="Times New Roman"/>
          <w:sz w:val="24"/>
          <w:szCs w:val="24"/>
        </w:rPr>
        <w:t xml:space="preserve"> of a Minister of each </w:t>
      </w:r>
      <w:r>
        <w:rPr>
          <w:rFonts w:ascii="Times New Roman" w:hAnsi="Times New Roman"/>
          <w:sz w:val="24"/>
          <w:szCs w:val="24"/>
        </w:rPr>
        <w:t xml:space="preserve">of the Contracting Governments. </w:t>
      </w:r>
      <w:r w:rsidRPr="00F85CB7">
        <w:rPr>
          <w:rFonts w:ascii="Times New Roman" w:hAnsi="Times New Roman"/>
          <w:sz w:val="24"/>
          <w:szCs w:val="24"/>
        </w:rPr>
        <w:t xml:space="preserve">The </w:t>
      </w:r>
      <w:r>
        <w:rPr>
          <w:rFonts w:ascii="Times New Roman" w:hAnsi="Times New Roman"/>
          <w:sz w:val="24"/>
          <w:szCs w:val="24"/>
        </w:rPr>
        <w:t xml:space="preserve">Council is the policy-setting and decision-making body through which the Agreement is implemented. </w:t>
      </w:r>
      <w:r w:rsidR="008B782F" w:rsidRPr="006E5D99">
        <w:rPr>
          <w:rFonts w:ascii="Times New Roman" w:hAnsi="Times New Roman"/>
          <w:sz w:val="24"/>
          <w:szCs w:val="24"/>
        </w:rPr>
        <w:t xml:space="preserve">Section </w:t>
      </w:r>
      <w:proofErr w:type="gramStart"/>
      <w:r w:rsidR="008B782F" w:rsidRPr="006E5D99">
        <w:rPr>
          <w:rFonts w:ascii="Times New Roman" w:hAnsi="Times New Roman"/>
          <w:sz w:val="24"/>
          <w:szCs w:val="24"/>
        </w:rPr>
        <w:t>18C(</w:t>
      </w:r>
      <w:proofErr w:type="gramEnd"/>
      <w:r w:rsidR="008B782F" w:rsidRPr="006E5D99">
        <w:rPr>
          <w:rFonts w:ascii="Times New Roman" w:hAnsi="Times New Roman"/>
          <w:sz w:val="24"/>
          <w:szCs w:val="24"/>
        </w:rPr>
        <w:t>1) of the Act provides that regulations may be made to amend Schedule 1 to the Act to incorporate amendments to the Agreement agreed by the Council.</w:t>
      </w:r>
      <w:r w:rsidR="008B782F" w:rsidRPr="006E5D99">
        <w:t xml:space="preserve"> </w:t>
      </w:r>
      <w:r w:rsidR="00381881">
        <w:rPr>
          <w:rFonts w:ascii="Times New Roman" w:hAnsi="Times New Roman"/>
          <w:sz w:val="24"/>
          <w:szCs w:val="24"/>
        </w:rPr>
        <w:t>A</w:t>
      </w:r>
      <w:r w:rsidRPr="00DF0260">
        <w:rPr>
          <w:rFonts w:ascii="Times New Roman" w:hAnsi="Times New Roman"/>
          <w:sz w:val="24"/>
          <w:szCs w:val="24"/>
        </w:rPr>
        <w:t xml:space="preserve">n amendment to the Agreement takes effect upon registration of a legislative instrument in accordance with the </w:t>
      </w:r>
      <w:r w:rsidRPr="00A35842">
        <w:rPr>
          <w:rFonts w:ascii="Times New Roman" w:hAnsi="Times New Roman"/>
          <w:i/>
          <w:sz w:val="24"/>
          <w:szCs w:val="24"/>
        </w:rPr>
        <w:t>Legislation Act 2003</w:t>
      </w:r>
      <w:r w:rsidR="00381881">
        <w:rPr>
          <w:rFonts w:ascii="Times New Roman" w:hAnsi="Times New Roman"/>
          <w:sz w:val="24"/>
          <w:szCs w:val="24"/>
        </w:rPr>
        <w:t xml:space="preserve"> (clause 5 of the Agreement)</w:t>
      </w:r>
      <w:r w:rsidRPr="00DF0260">
        <w:rPr>
          <w:rFonts w:ascii="Times New Roman" w:hAnsi="Times New Roman"/>
          <w:sz w:val="24"/>
          <w:szCs w:val="24"/>
        </w:rPr>
        <w:t xml:space="preserve">. </w:t>
      </w:r>
      <w:r>
        <w:rPr>
          <w:rFonts w:ascii="Times New Roman" w:hAnsi="Times New Roman"/>
          <w:sz w:val="24"/>
          <w:szCs w:val="24"/>
        </w:rPr>
        <w:t>T</w:t>
      </w:r>
      <w:r w:rsidRPr="00210928">
        <w:rPr>
          <w:rFonts w:ascii="Times New Roman" w:hAnsi="Times New Roman"/>
          <w:sz w:val="24"/>
          <w:szCs w:val="24"/>
        </w:rPr>
        <w:t xml:space="preserve">he </w:t>
      </w:r>
      <w:r>
        <w:rPr>
          <w:rFonts w:ascii="Times New Roman" w:hAnsi="Times New Roman"/>
          <w:sz w:val="24"/>
          <w:szCs w:val="24"/>
        </w:rPr>
        <w:t>Council agree</w:t>
      </w:r>
      <w:r w:rsidR="00F551EE">
        <w:rPr>
          <w:rFonts w:ascii="Times New Roman" w:hAnsi="Times New Roman"/>
          <w:sz w:val="24"/>
          <w:szCs w:val="24"/>
        </w:rPr>
        <w:t>d</w:t>
      </w:r>
      <w:r>
        <w:rPr>
          <w:rFonts w:ascii="Times New Roman" w:hAnsi="Times New Roman"/>
          <w:sz w:val="24"/>
          <w:szCs w:val="24"/>
        </w:rPr>
        <w:t xml:space="preserve"> to the amendments incorporated in the </w:t>
      </w:r>
      <w:r w:rsidR="0004556C" w:rsidRPr="00F61FE6">
        <w:rPr>
          <w:rFonts w:ascii="Times New Roman" w:hAnsi="Times New Roman"/>
          <w:i/>
          <w:sz w:val="24"/>
          <w:szCs w:val="24"/>
        </w:rPr>
        <w:t>Water Amendment (Murray-Darling Basin Agreement) Regulations 2017</w:t>
      </w:r>
      <w:r w:rsidR="0004556C">
        <w:rPr>
          <w:rFonts w:ascii="Times New Roman" w:hAnsi="Times New Roman"/>
          <w:i/>
          <w:sz w:val="24"/>
          <w:szCs w:val="24"/>
        </w:rPr>
        <w:t>(the Regulations)</w:t>
      </w:r>
      <w:r w:rsidR="00A35842">
        <w:rPr>
          <w:rFonts w:ascii="Times New Roman" w:hAnsi="Times New Roman"/>
          <w:i/>
          <w:sz w:val="24"/>
          <w:szCs w:val="24"/>
        </w:rPr>
        <w:t xml:space="preserve"> </w:t>
      </w:r>
      <w:r>
        <w:rPr>
          <w:rFonts w:ascii="Times New Roman" w:hAnsi="Times New Roman"/>
          <w:sz w:val="24"/>
          <w:szCs w:val="24"/>
        </w:rPr>
        <w:t>on 18 November 2016</w:t>
      </w:r>
      <w:r w:rsidRPr="00F85CB7">
        <w:rPr>
          <w:rFonts w:ascii="Times New Roman" w:hAnsi="Times New Roman"/>
          <w:sz w:val="24"/>
          <w:szCs w:val="24"/>
        </w:rPr>
        <w:t xml:space="preserve">. </w:t>
      </w:r>
      <w:r w:rsidR="00A35842">
        <w:rPr>
          <w:rFonts w:ascii="Times New Roman" w:hAnsi="Times New Roman"/>
          <w:sz w:val="24"/>
          <w:szCs w:val="24"/>
        </w:rPr>
        <w:t xml:space="preserve"> </w:t>
      </w:r>
    </w:p>
    <w:p w14:paraId="264329F1" w14:textId="77777777" w:rsidR="00EC46A4" w:rsidRDefault="00971B15" w:rsidP="00EC46A4">
      <w:pPr>
        <w:spacing w:line="240" w:lineRule="auto"/>
        <w:rPr>
          <w:rFonts w:ascii="Times New Roman" w:hAnsi="Times New Roman"/>
          <w:sz w:val="24"/>
          <w:szCs w:val="24"/>
        </w:rPr>
      </w:pPr>
      <w:r w:rsidRPr="00EE0453">
        <w:rPr>
          <w:rFonts w:ascii="Times New Roman" w:hAnsi="Times New Roman"/>
          <w:b/>
          <w:sz w:val="24"/>
          <w:szCs w:val="24"/>
        </w:rPr>
        <w:t>Purpose</w:t>
      </w:r>
    </w:p>
    <w:p w14:paraId="264329F2" w14:textId="6D989C18" w:rsidR="00EC46A4" w:rsidRDefault="00971B15" w:rsidP="00EC46A4">
      <w:pPr>
        <w:spacing w:line="240" w:lineRule="auto"/>
        <w:rPr>
          <w:rFonts w:ascii="Times New Roman" w:hAnsi="Times New Roman"/>
          <w:sz w:val="24"/>
          <w:szCs w:val="24"/>
        </w:rPr>
      </w:pPr>
      <w:r>
        <w:rPr>
          <w:rFonts w:ascii="Times New Roman" w:hAnsi="Times New Roman"/>
          <w:sz w:val="24"/>
          <w:szCs w:val="24"/>
        </w:rPr>
        <w:t>U</w:t>
      </w:r>
      <w:r w:rsidRPr="0051372F">
        <w:rPr>
          <w:rFonts w:ascii="Times New Roman" w:hAnsi="Times New Roman"/>
          <w:sz w:val="24"/>
          <w:szCs w:val="24"/>
        </w:rPr>
        <w:t xml:space="preserve">nder section 16E of the </w:t>
      </w:r>
      <w:r w:rsidRPr="00A55792">
        <w:rPr>
          <w:rFonts w:ascii="Times New Roman" w:hAnsi="Times New Roman"/>
          <w:i/>
          <w:sz w:val="24"/>
          <w:szCs w:val="24"/>
        </w:rPr>
        <w:t xml:space="preserve">Public Governance, Performance and Accountability Rule 2014 </w:t>
      </w:r>
      <w:r w:rsidRPr="00A55792">
        <w:rPr>
          <w:rFonts w:ascii="Times New Roman" w:hAnsi="Times New Roman"/>
          <w:sz w:val="24"/>
          <w:szCs w:val="24"/>
        </w:rPr>
        <w:t>(PGPA Rule)</w:t>
      </w:r>
      <w:r>
        <w:rPr>
          <w:rFonts w:ascii="Times New Roman" w:hAnsi="Times New Roman"/>
          <w:sz w:val="24"/>
          <w:szCs w:val="24"/>
        </w:rPr>
        <w:t xml:space="preserve"> — which commenced </w:t>
      </w:r>
      <w:r w:rsidR="00381881">
        <w:rPr>
          <w:rFonts w:ascii="Times New Roman" w:hAnsi="Times New Roman"/>
          <w:sz w:val="24"/>
          <w:szCs w:val="24"/>
        </w:rPr>
        <w:t xml:space="preserve">on 25 </w:t>
      </w:r>
      <w:r>
        <w:rPr>
          <w:rFonts w:ascii="Times New Roman" w:hAnsi="Times New Roman"/>
          <w:sz w:val="24"/>
          <w:szCs w:val="24"/>
        </w:rPr>
        <w:t xml:space="preserve">April 2015 — the Authority is required </w:t>
      </w:r>
      <w:r w:rsidRPr="0051372F">
        <w:rPr>
          <w:rFonts w:ascii="Times New Roman" w:hAnsi="Times New Roman"/>
          <w:sz w:val="24"/>
          <w:szCs w:val="24"/>
        </w:rPr>
        <w:t xml:space="preserve">to publish a Corporate Plan by 31 August each year. The </w:t>
      </w:r>
      <w:r>
        <w:rPr>
          <w:rFonts w:ascii="Times New Roman" w:hAnsi="Times New Roman"/>
          <w:sz w:val="24"/>
          <w:szCs w:val="24"/>
        </w:rPr>
        <w:t>current</w:t>
      </w:r>
      <w:r w:rsidRPr="0051372F">
        <w:rPr>
          <w:rFonts w:ascii="Times New Roman" w:hAnsi="Times New Roman"/>
          <w:sz w:val="24"/>
          <w:szCs w:val="24"/>
        </w:rPr>
        <w:t xml:space="preserve"> format of the </w:t>
      </w:r>
      <w:r>
        <w:rPr>
          <w:rFonts w:ascii="Times New Roman" w:hAnsi="Times New Roman"/>
          <w:sz w:val="24"/>
          <w:szCs w:val="24"/>
        </w:rPr>
        <w:t xml:space="preserve">Authority’s </w:t>
      </w:r>
      <w:r w:rsidRPr="0051372F">
        <w:rPr>
          <w:rFonts w:ascii="Times New Roman" w:hAnsi="Times New Roman"/>
          <w:sz w:val="24"/>
          <w:szCs w:val="24"/>
        </w:rPr>
        <w:t>corporate plan is a detailed operational document not suitable for publication.</w:t>
      </w:r>
      <w:r w:rsidR="00381881">
        <w:rPr>
          <w:rFonts w:ascii="Times New Roman" w:hAnsi="Times New Roman"/>
          <w:sz w:val="24"/>
          <w:szCs w:val="24"/>
        </w:rPr>
        <w:t xml:space="preserve"> </w:t>
      </w:r>
      <w:r w:rsidR="00381881" w:rsidRPr="00381881">
        <w:rPr>
          <w:rFonts w:ascii="Times New Roman" w:hAnsi="Times New Roman"/>
          <w:sz w:val="24"/>
          <w:szCs w:val="24"/>
        </w:rPr>
        <w:t>The Regulations are a response to these requirements.</w:t>
      </w:r>
    </w:p>
    <w:p w14:paraId="264329F3" w14:textId="0849FBCA" w:rsidR="00EC46A4" w:rsidRPr="0051372F" w:rsidRDefault="00720CF5" w:rsidP="00EC46A4">
      <w:pPr>
        <w:spacing w:line="240" w:lineRule="auto"/>
        <w:rPr>
          <w:rFonts w:ascii="Times New Roman" w:hAnsi="Times New Roman"/>
          <w:sz w:val="24"/>
          <w:szCs w:val="24"/>
        </w:rPr>
      </w:pPr>
      <w:r>
        <w:rPr>
          <w:rFonts w:ascii="Times New Roman" w:hAnsi="Times New Roman"/>
          <w:sz w:val="24"/>
          <w:szCs w:val="24"/>
        </w:rPr>
        <w:t xml:space="preserve">The </w:t>
      </w:r>
      <w:r w:rsidR="00971B15">
        <w:rPr>
          <w:rFonts w:ascii="Times New Roman" w:hAnsi="Times New Roman"/>
          <w:sz w:val="24"/>
          <w:szCs w:val="24"/>
        </w:rPr>
        <w:t>Regulations amend the</w:t>
      </w:r>
      <w:r w:rsidR="00971B15" w:rsidRPr="0051372F">
        <w:rPr>
          <w:rFonts w:ascii="Times New Roman" w:hAnsi="Times New Roman"/>
          <w:sz w:val="24"/>
          <w:szCs w:val="24"/>
        </w:rPr>
        <w:t xml:space="preserve"> Agreement </w:t>
      </w:r>
      <w:r w:rsidR="00971B15">
        <w:rPr>
          <w:rFonts w:ascii="Times New Roman" w:hAnsi="Times New Roman"/>
          <w:sz w:val="24"/>
          <w:szCs w:val="24"/>
        </w:rPr>
        <w:t>to</w:t>
      </w:r>
      <w:r w:rsidR="00971B15" w:rsidRPr="0051372F">
        <w:rPr>
          <w:rFonts w:ascii="Times New Roman" w:hAnsi="Times New Roman"/>
          <w:sz w:val="24"/>
          <w:szCs w:val="24"/>
        </w:rPr>
        <w:t xml:space="preserve"> allow the </w:t>
      </w:r>
      <w:r w:rsidR="00971B15">
        <w:rPr>
          <w:rFonts w:ascii="Times New Roman" w:hAnsi="Times New Roman"/>
          <w:sz w:val="24"/>
          <w:szCs w:val="24"/>
        </w:rPr>
        <w:t>Authority to prepare a high-</w:t>
      </w:r>
      <w:r w:rsidR="00971B15" w:rsidRPr="0051372F">
        <w:rPr>
          <w:rFonts w:ascii="Times New Roman" w:hAnsi="Times New Roman"/>
          <w:sz w:val="24"/>
          <w:szCs w:val="24"/>
        </w:rPr>
        <w:t xml:space="preserve">level corporate plan to </w:t>
      </w:r>
      <w:r w:rsidR="00971B15">
        <w:rPr>
          <w:rFonts w:ascii="Times New Roman" w:hAnsi="Times New Roman"/>
          <w:sz w:val="24"/>
          <w:szCs w:val="24"/>
        </w:rPr>
        <w:t>fulfil the requirements of the</w:t>
      </w:r>
      <w:r w:rsidR="00971B15" w:rsidRPr="0051372F">
        <w:rPr>
          <w:rFonts w:ascii="Times New Roman" w:hAnsi="Times New Roman"/>
          <w:sz w:val="24"/>
          <w:szCs w:val="24"/>
        </w:rPr>
        <w:t xml:space="preserve"> </w:t>
      </w:r>
      <w:r w:rsidR="00971B15" w:rsidRPr="001259C9">
        <w:rPr>
          <w:rFonts w:ascii="Times New Roman" w:hAnsi="Times New Roman"/>
          <w:i/>
          <w:sz w:val="24"/>
          <w:szCs w:val="24"/>
        </w:rPr>
        <w:t>Public Governance Performance and Accountability Act 2013</w:t>
      </w:r>
      <w:r w:rsidR="00EC268E">
        <w:rPr>
          <w:rFonts w:ascii="Times New Roman" w:hAnsi="Times New Roman"/>
          <w:sz w:val="24"/>
          <w:szCs w:val="24"/>
        </w:rPr>
        <w:t xml:space="preserve"> (PGPA Act</w:t>
      </w:r>
      <w:r w:rsidR="00971B15">
        <w:rPr>
          <w:rFonts w:ascii="Times New Roman" w:hAnsi="Times New Roman"/>
          <w:sz w:val="24"/>
          <w:szCs w:val="24"/>
        </w:rPr>
        <w:t xml:space="preserve">), the PGPA </w:t>
      </w:r>
      <w:r w:rsidR="00971B15" w:rsidRPr="0051372F">
        <w:rPr>
          <w:rFonts w:ascii="Times New Roman" w:hAnsi="Times New Roman"/>
          <w:sz w:val="24"/>
          <w:szCs w:val="24"/>
        </w:rPr>
        <w:t xml:space="preserve">Rule </w:t>
      </w:r>
      <w:r w:rsidR="00971B15">
        <w:rPr>
          <w:rFonts w:ascii="Times New Roman" w:hAnsi="Times New Roman"/>
          <w:sz w:val="24"/>
          <w:szCs w:val="24"/>
        </w:rPr>
        <w:t>and the Act</w:t>
      </w:r>
      <w:r w:rsidR="00971B15" w:rsidRPr="0051372F">
        <w:rPr>
          <w:rFonts w:ascii="Times New Roman" w:hAnsi="Times New Roman"/>
          <w:sz w:val="24"/>
          <w:szCs w:val="24"/>
        </w:rPr>
        <w:t>, while maintaining a detailed work plan under the Agree</w:t>
      </w:r>
      <w:r w:rsidR="00971B15">
        <w:rPr>
          <w:rFonts w:ascii="Times New Roman" w:hAnsi="Times New Roman"/>
          <w:sz w:val="24"/>
          <w:szCs w:val="24"/>
        </w:rPr>
        <w:t xml:space="preserve">ment for operational purposes. </w:t>
      </w:r>
      <w:r w:rsidR="0030236D">
        <w:rPr>
          <w:rFonts w:ascii="Times New Roman" w:hAnsi="Times New Roman"/>
          <w:sz w:val="24"/>
          <w:szCs w:val="24"/>
        </w:rPr>
        <w:t>Additionally, t</w:t>
      </w:r>
      <w:r w:rsidR="00971B15" w:rsidRPr="0051372F">
        <w:rPr>
          <w:rFonts w:ascii="Times New Roman" w:hAnsi="Times New Roman"/>
          <w:sz w:val="24"/>
          <w:szCs w:val="24"/>
        </w:rPr>
        <w:t xml:space="preserve">he </w:t>
      </w:r>
      <w:r w:rsidR="0049032F">
        <w:rPr>
          <w:rFonts w:ascii="Times New Roman" w:hAnsi="Times New Roman"/>
          <w:sz w:val="24"/>
          <w:szCs w:val="24"/>
        </w:rPr>
        <w:t>R</w:t>
      </w:r>
      <w:r w:rsidR="00971B15" w:rsidRPr="0051372F">
        <w:rPr>
          <w:rFonts w:ascii="Times New Roman" w:hAnsi="Times New Roman"/>
          <w:sz w:val="24"/>
          <w:szCs w:val="24"/>
        </w:rPr>
        <w:t>egulation</w:t>
      </w:r>
      <w:r w:rsidR="00971B15">
        <w:rPr>
          <w:rFonts w:ascii="Times New Roman" w:hAnsi="Times New Roman"/>
          <w:sz w:val="24"/>
          <w:szCs w:val="24"/>
        </w:rPr>
        <w:t>s</w:t>
      </w:r>
      <w:r w:rsidR="00971B15" w:rsidRPr="0051372F">
        <w:rPr>
          <w:rFonts w:ascii="Times New Roman" w:hAnsi="Times New Roman"/>
          <w:sz w:val="24"/>
          <w:szCs w:val="24"/>
        </w:rPr>
        <w:t xml:space="preserve"> substitute references to the </w:t>
      </w:r>
      <w:r w:rsidR="00971B15" w:rsidRPr="001259C9">
        <w:rPr>
          <w:rFonts w:ascii="Times New Roman" w:hAnsi="Times New Roman"/>
          <w:i/>
          <w:sz w:val="24"/>
          <w:szCs w:val="24"/>
        </w:rPr>
        <w:t>Legislative Instruments Act 2003</w:t>
      </w:r>
      <w:r w:rsidR="00971B15" w:rsidRPr="0051372F">
        <w:rPr>
          <w:rFonts w:ascii="Times New Roman" w:hAnsi="Times New Roman"/>
          <w:sz w:val="24"/>
          <w:szCs w:val="24"/>
        </w:rPr>
        <w:t xml:space="preserve">, in the Agreement, with the </w:t>
      </w:r>
      <w:r w:rsidR="00971B15" w:rsidRPr="001259C9">
        <w:rPr>
          <w:rFonts w:ascii="Times New Roman" w:hAnsi="Times New Roman"/>
          <w:i/>
          <w:sz w:val="24"/>
          <w:szCs w:val="24"/>
        </w:rPr>
        <w:t>Legislation Act 2003</w:t>
      </w:r>
      <w:r w:rsidR="00971B15" w:rsidRPr="0051372F">
        <w:rPr>
          <w:rFonts w:ascii="Times New Roman" w:hAnsi="Times New Roman"/>
          <w:sz w:val="24"/>
          <w:szCs w:val="24"/>
        </w:rPr>
        <w:t>.</w:t>
      </w:r>
      <w:r w:rsidR="00971B15" w:rsidRPr="001A70E8">
        <w:t xml:space="preserve"> </w:t>
      </w:r>
      <w:r w:rsidR="00971B15" w:rsidRPr="001A70E8">
        <w:rPr>
          <w:rFonts w:ascii="Times New Roman" w:hAnsi="Times New Roman"/>
          <w:sz w:val="24"/>
          <w:szCs w:val="24"/>
        </w:rPr>
        <w:t xml:space="preserve">The Regulations </w:t>
      </w:r>
      <w:r w:rsidR="00971B15">
        <w:rPr>
          <w:rFonts w:ascii="Times New Roman" w:hAnsi="Times New Roman"/>
          <w:sz w:val="24"/>
          <w:szCs w:val="24"/>
        </w:rPr>
        <w:t>amend</w:t>
      </w:r>
      <w:r w:rsidR="00971B15" w:rsidRPr="001A70E8">
        <w:rPr>
          <w:rFonts w:ascii="Times New Roman" w:hAnsi="Times New Roman"/>
          <w:sz w:val="24"/>
          <w:szCs w:val="24"/>
        </w:rPr>
        <w:t xml:space="preserve"> the text of Schedule 1</w:t>
      </w:r>
      <w:r w:rsidR="003A4D1B">
        <w:rPr>
          <w:rFonts w:ascii="Times New Roman" w:hAnsi="Times New Roman"/>
          <w:sz w:val="24"/>
          <w:szCs w:val="24"/>
        </w:rPr>
        <w:t xml:space="preserve"> to the Act</w:t>
      </w:r>
      <w:r w:rsidR="00971B15" w:rsidRPr="001A70E8">
        <w:rPr>
          <w:rFonts w:ascii="Times New Roman" w:hAnsi="Times New Roman"/>
          <w:sz w:val="24"/>
          <w:szCs w:val="24"/>
        </w:rPr>
        <w:t xml:space="preserve"> to reflect these amendments.</w:t>
      </w:r>
    </w:p>
    <w:p w14:paraId="264329F4" w14:textId="77777777" w:rsidR="00DB5EB8" w:rsidRPr="00821612" w:rsidRDefault="00971B15" w:rsidP="00DB5EB8">
      <w:pPr>
        <w:spacing w:line="240" w:lineRule="auto"/>
        <w:outlineLvl w:val="0"/>
        <w:rPr>
          <w:rFonts w:ascii="Times New Roman" w:hAnsi="Times New Roman"/>
          <w:i/>
          <w:sz w:val="24"/>
          <w:szCs w:val="24"/>
        </w:rPr>
      </w:pPr>
      <w:r w:rsidRPr="00EE0453">
        <w:rPr>
          <w:rFonts w:ascii="Times New Roman" w:hAnsi="Times New Roman"/>
          <w:b/>
          <w:sz w:val="24"/>
          <w:szCs w:val="24"/>
        </w:rPr>
        <w:t>Background</w:t>
      </w:r>
      <w:r w:rsidRPr="00821612">
        <w:rPr>
          <w:rFonts w:ascii="Times New Roman" w:hAnsi="Times New Roman"/>
          <w:i/>
          <w:sz w:val="24"/>
          <w:szCs w:val="24"/>
        </w:rPr>
        <w:t xml:space="preserve"> </w:t>
      </w:r>
    </w:p>
    <w:p w14:paraId="264329F5" w14:textId="17D04EAC" w:rsidR="001259C9" w:rsidRPr="001259C9" w:rsidRDefault="00971B15" w:rsidP="001259C9">
      <w:pPr>
        <w:spacing w:line="240" w:lineRule="auto"/>
        <w:outlineLvl w:val="0"/>
        <w:rPr>
          <w:rFonts w:ascii="Times New Roman" w:hAnsi="Times New Roman"/>
          <w:sz w:val="24"/>
          <w:szCs w:val="24"/>
        </w:rPr>
      </w:pPr>
      <w:r w:rsidRPr="001E1FF3">
        <w:rPr>
          <w:rFonts w:ascii="Times New Roman" w:hAnsi="Times New Roman"/>
          <w:sz w:val="24"/>
          <w:szCs w:val="24"/>
        </w:rPr>
        <w:t xml:space="preserve">The </w:t>
      </w:r>
      <w:r>
        <w:rPr>
          <w:rFonts w:ascii="Times New Roman" w:hAnsi="Times New Roman"/>
          <w:sz w:val="24"/>
          <w:szCs w:val="24"/>
        </w:rPr>
        <w:t>Authority</w:t>
      </w:r>
      <w:r w:rsidRPr="001E1FF3">
        <w:rPr>
          <w:rFonts w:ascii="Times New Roman" w:hAnsi="Times New Roman"/>
          <w:sz w:val="24"/>
          <w:szCs w:val="24"/>
        </w:rPr>
        <w:t xml:space="preserve"> is a corporate Commonwealth entity as defined by section 176 of the</w:t>
      </w:r>
      <w:r>
        <w:rPr>
          <w:rFonts w:ascii="Times New Roman" w:hAnsi="Times New Roman"/>
          <w:sz w:val="24"/>
          <w:szCs w:val="24"/>
        </w:rPr>
        <w:t xml:space="preserve"> </w:t>
      </w:r>
      <w:r w:rsidRPr="001E1FF3">
        <w:rPr>
          <w:rFonts w:ascii="Times New Roman" w:hAnsi="Times New Roman"/>
          <w:sz w:val="24"/>
          <w:szCs w:val="24"/>
        </w:rPr>
        <w:t>Act and section 11 of the PGPA Act.</w:t>
      </w:r>
      <w:r>
        <w:rPr>
          <w:rFonts w:ascii="Times New Roman" w:hAnsi="Times New Roman"/>
          <w:sz w:val="24"/>
          <w:szCs w:val="24"/>
        </w:rPr>
        <w:t xml:space="preserve"> </w:t>
      </w:r>
      <w:r w:rsidRPr="001259C9">
        <w:rPr>
          <w:rFonts w:ascii="Times New Roman" w:hAnsi="Times New Roman"/>
          <w:sz w:val="24"/>
          <w:szCs w:val="24"/>
        </w:rPr>
        <w:t xml:space="preserve">The purpose of clauses 34 and 35 of the Agreement is to outline the process for producing the </w:t>
      </w:r>
      <w:r>
        <w:rPr>
          <w:rFonts w:ascii="Times New Roman" w:hAnsi="Times New Roman"/>
          <w:sz w:val="24"/>
          <w:szCs w:val="24"/>
        </w:rPr>
        <w:t>Authority’s</w:t>
      </w:r>
      <w:r w:rsidRPr="001259C9">
        <w:rPr>
          <w:rFonts w:ascii="Times New Roman" w:hAnsi="Times New Roman"/>
          <w:sz w:val="24"/>
          <w:szCs w:val="24"/>
        </w:rPr>
        <w:t xml:space="preserve"> annual corporate plan. The requirement to prepare a corporate plan is mandated by section 35 of the PGPA Act</w:t>
      </w:r>
      <w:r>
        <w:rPr>
          <w:rFonts w:ascii="Times New Roman" w:hAnsi="Times New Roman"/>
          <w:sz w:val="24"/>
          <w:szCs w:val="24"/>
        </w:rPr>
        <w:t xml:space="preserve"> and section 213A of the Act</w:t>
      </w:r>
      <w:r w:rsidRPr="001259C9">
        <w:rPr>
          <w:rFonts w:ascii="Times New Roman" w:hAnsi="Times New Roman"/>
          <w:sz w:val="24"/>
          <w:szCs w:val="24"/>
        </w:rPr>
        <w:t xml:space="preserve">. </w:t>
      </w:r>
      <w:r w:rsidRPr="001259C9">
        <w:rPr>
          <w:rFonts w:ascii="Times New Roman" w:hAnsi="Times New Roman"/>
          <w:sz w:val="24"/>
          <w:szCs w:val="24"/>
        </w:rPr>
        <w:lastRenderedPageBreak/>
        <w:t xml:space="preserve">Subsection 35(2) of the PGPA Act requires a Commonwealth entity’s corporate plan to comply with and be published in accordance with any requirements prescribed by the PGPA Rule. </w:t>
      </w:r>
    </w:p>
    <w:p w14:paraId="0DB06DD1" w14:textId="6B83C6AF" w:rsidR="007711DF" w:rsidRDefault="00971B15" w:rsidP="001259C9">
      <w:pPr>
        <w:spacing w:line="240" w:lineRule="auto"/>
        <w:outlineLvl w:val="0"/>
        <w:rPr>
          <w:rFonts w:ascii="Times New Roman" w:hAnsi="Times New Roman"/>
          <w:sz w:val="24"/>
          <w:szCs w:val="24"/>
        </w:rPr>
      </w:pPr>
      <w:r w:rsidRPr="001259C9">
        <w:rPr>
          <w:rFonts w:ascii="Times New Roman" w:hAnsi="Times New Roman"/>
          <w:sz w:val="24"/>
          <w:szCs w:val="24"/>
        </w:rPr>
        <w:t xml:space="preserve">The </w:t>
      </w:r>
      <w:r w:rsidRPr="001259C9">
        <w:rPr>
          <w:rFonts w:ascii="Times New Roman" w:hAnsi="Times New Roman"/>
          <w:i/>
          <w:sz w:val="24"/>
          <w:szCs w:val="24"/>
        </w:rPr>
        <w:t xml:space="preserve">Public Governance, Performance and Accountability Amendment (Corporate Plans and Annual Performance Statements) Rule 2015, </w:t>
      </w:r>
      <w:r w:rsidRPr="001259C9">
        <w:rPr>
          <w:rFonts w:ascii="Times New Roman" w:hAnsi="Times New Roman"/>
          <w:sz w:val="24"/>
          <w:szCs w:val="24"/>
        </w:rPr>
        <w:t>amended the PGPA Rule to give effect to a new requirement for Commonwealth entities to publish their corporate plans on their websites (subsection 16E (3</w:t>
      </w:r>
      <w:r>
        <w:rPr>
          <w:rFonts w:ascii="Times New Roman" w:hAnsi="Times New Roman"/>
          <w:sz w:val="24"/>
          <w:szCs w:val="24"/>
        </w:rPr>
        <w:t>)</w:t>
      </w:r>
      <w:r w:rsidRPr="001259C9">
        <w:rPr>
          <w:rFonts w:ascii="Times New Roman" w:hAnsi="Times New Roman"/>
          <w:sz w:val="24"/>
          <w:szCs w:val="24"/>
        </w:rPr>
        <w:t>) and cover a period of at least four reporting periods (s</w:t>
      </w:r>
      <w:r w:rsidR="00A35842">
        <w:rPr>
          <w:rFonts w:ascii="Times New Roman" w:hAnsi="Times New Roman"/>
          <w:sz w:val="24"/>
          <w:szCs w:val="24"/>
        </w:rPr>
        <w:t xml:space="preserve">ubsection 16E </w:t>
      </w:r>
      <w:r w:rsidRPr="001259C9">
        <w:rPr>
          <w:rFonts w:ascii="Times New Roman" w:hAnsi="Times New Roman"/>
          <w:sz w:val="24"/>
          <w:szCs w:val="24"/>
        </w:rPr>
        <w:t>(1)). These changes</w:t>
      </w:r>
      <w:r w:rsidR="00381881">
        <w:rPr>
          <w:rFonts w:ascii="Times New Roman" w:hAnsi="Times New Roman"/>
          <w:sz w:val="24"/>
          <w:szCs w:val="24"/>
        </w:rPr>
        <w:t xml:space="preserve"> </w:t>
      </w:r>
      <w:r w:rsidRPr="001259C9">
        <w:rPr>
          <w:rFonts w:ascii="Times New Roman" w:hAnsi="Times New Roman"/>
          <w:sz w:val="24"/>
          <w:szCs w:val="24"/>
        </w:rPr>
        <w:t xml:space="preserve">also outline matters that must be included in a Commonwealth entity’s corporate plan (subsection 16E (2)). The </w:t>
      </w:r>
      <w:r>
        <w:rPr>
          <w:rFonts w:ascii="Times New Roman" w:hAnsi="Times New Roman"/>
          <w:sz w:val="24"/>
          <w:szCs w:val="24"/>
        </w:rPr>
        <w:t>Authority</w:t>
      </w:r>
      <w:r w:rsidRPr="001259C9">
        <w:rPr>
          <w:rFonts w:ascii="Times New Roman" w:hAnsi="Times New Roman"/>
          <w:sz w:val="24"/>
          <w:szCs w:val="24"/>
        </w:rPr>
        <w:t xml:space="preserve"> complied with the requirements of the amended PGPA Rule in 2015</w:t>
      </w:r>
      <w:r>
        <w:rPr>
          <w:rFonts w:ascii="Times New Roman" w:hAnsi="Times New Roman"/>
          <w:sz w:val="24"/>
          <w:szCs w:val="24"/>
        </w:rPr>
        <w:t xml:space="preserve"> and 2016</w:t>
      </w:r>
      <w:r w:rsidRPr="001259C9">
        <w:rPr>
          <w:rFonts w:ascii="Times New Roman" w:hAnsi="Times New Roman"/>
          <w:sz w:val="24"/>
          <w:szCs w:val="24"/>
        </w:rPr>
        <w:t xml:space="preserve"> by publishing their corporate plan on their website. However, the existing format of the corporate plan</w:t>
      </w:r>
      <w:r w:rsidR="00F551EE">
        <w:rPr>
          <w:rFonts w:ascii="Times New Roman" w:hAnsi="Times New Roman"/>
          <w:sz w:val="24"/>
          <w:szCs w:val="24"/>
        </w:rPr>
        <w:t>,</w:t>
      </w:r>
      <w:r w:rsidRPr="001259C9">
        <w:rPr>
          <w:rFonts w:ascii="Times New Roman" w:hAnsi="Times New Roman"/>
          <w:sz w:val="24"/>
          <w:szCs w:val="24"/>
        </w:rPr>
        <w:t xml:space="preserve"> as set out in the Agreement</w:t>
      </w:r>
      <w:r w:rsidR="00F551EE">
        <w:rPr>
          <w:rFonts w:ascii="Times New Roman" w:hAnsi="Times New Roman"/>
          <w:sz w:val="24"/>
          <w:szCs w:val="24"/>
        </w:rPr>
        <w:t>,</w:t>
      </w:r>
      <w:r w:rsidRPr="001259C9">
        <w:rPr>
          <w:rFonts w:ascii="Times New Roman" w:hAnsi="Times New Roman"/>
          <w:sz w:val="24"/>
          <w:szCs w:val="24"/>
        </w:rPr>
        <w:t xml:space="preserve"> is </w:t>
      </w:r>
      <w:r>
        <w:rPr>
          <w:rFonts w:ascii="Times New Roman" w:hAnsi="Times New Roman"/>
          <w:sz w:val="24"/>
          <w:szCs w:val="24"/>
        </w:rPr>
        <w:t xml:space="preserve">prepared for operational purposes. </w:t>
      </w:r>
      <w:r w:rsidR="00C64DF1">
        <w:rPr>
          <w:rFonts w:ascii="Times New Roman" w:hAnsi="Times New Roman"/>
          <w:sz w:val="24"/>
          <w:szCs w:val="24"/>
        </w:rPr>
        <w:t>As a response to this, t</w:t>
      </w:r>
      <w:r w:rsidR="007711DF">
        <w:rPr>
          <w:rFonts w:ascii="Times New Roman" w:hAnsi="Times New Roman"/>
          <w:sz w:val="24"/>
          <w:szCs w:val="24"/>
        </w:rPr>
        <w:t xml:space="preserve">he Regulations </w:t>
      </w:r>
      <w:r>
        <w:rPr>
          <w:rFonts w:ascii="Times New Roman" w:hAnsi="Times New Roman"/>
          <w:sz w:val="24"/>
          <w:szCs w:val="24"/>
        </w:rPr>
        <w:t>allow the Authority to produce</w:t>
      </w:r>
      <w:r w:rsidR="007711DF">
        <w:rPr>
          <w:rFonts w:ascii="Times New Roman" w:hAnsi="Times New Roman"/>
          <w:sz w:val="24"/>
          <w:szCs w:val="24"/>
        </w:rPr>
        <w:t>:</w:t>
      </w:r>
    </w:p>
    <w:p w14:paraId="263167C9" w14:textId="36E8EE4E" w:rsidR="007711DF" w:rsidRDefault="007711DF" w:rsidP="007711DF">
      <w:pPr>
        <w:pStyle w:val="ListParagraph"/>
        <w:numPr>
          <w:ilvl w:val="0"/>
          <w:numId w:val="9"/>
        </w:numPr>
        <w:spacing w:line="240" w:lineRule="auto"/>
        <w:outlineLvl w:val="0"/>
        <w:rPr>
          <w:rFonts w:ascii="Times New Roman" w:hAnsi="Times New Roman"/>
          <w:sz w:val="24"/>
          <w:szCs w:val="24"/>
        </w:rPr>
      </w:pPr>
      <w:r>
        <w:rPr>
          <w:rFonts w:ascii="Times New Roman" w:hAnsi="Times New Roman"/>
          <w:sz w:val="24"/>
          <w:szCs w:val="24"/>
        </w:rPr>
        <w:t xml:space="preserve">Under clause 34 of the Agreement: </w:t>
      </w:r>
      <w:r w:rsidRPr="009F3921">
        <w:rPr>
          <w:rFonts w:ascii="Times New Roman" w:hAnsi="Times New Roman"/>
          <w:sz w:val="24"/>
          <w:szCs w:val="24"/>
        </w:rPr>
        <w:t>a high-level corporate plan for publication</w:t>
      </w:r>
      <w:r>
        <w:rPr>
          <w:rFonts w:ascii="Times New Roman" w:hAnsi="Times New Roman"/>
          <w:sz w:val="24"/>
          <w:szCs w:val="24"/>
        </w:rPr>
        <w:t>,</w:t>
      </w:r>
      <w:r w:rsidRPr="00364DAA">
        <w:t xml:space="preserve"> </w:t>
      </w:r>
      <w:r w:rsidRPr="009F3921">
        <w:rPr>
          <w:rFonts w:ascii="Times New Roman" w:hAnsi="Times New Roman"/>
          <w:sz w:val="24"/>
          <w:szCs w:val="24"/>
        </w:rPr>
        <w:t>to comply with its statutory obligations under the Act, PGPA Act and PGPA Rule. This document w</w:t>
      </w:r>
      <w:r>
        <w:rPr>
          <w:rFonts w:ascii="Times New Roman" w:hAnsi="Times New Roman"/>
          <w:sz w:val="24"/>
          <w:szCs w:val="24"/>
        </w:rPr>
        <w:t>ill</w:t>
      </w:r>
      <w:r w:rsidRPr="009F3921">
        <w:rPr>
          <w:rFonts w:ascii="Times New Roman" w:hAnsi="Times New Roman"/>
          <w:sz w:val="24"/>
          <w:szCs w:val="24"/>
        </w:rPr>
        <w:t xml:space="preserve"> contain information about the </w:t>
      </w:r>
      <w:r>
        <w:rPr>
          <w:rFonts w:ascii="Times New Roman" w:hAnsi="Times New Roman"/>
          <w:sz w:val="24"/>
          <w:szCs w:val="24"/>
        </w:rPr>
        <w:t>Authority’s: purposes; operating environment;</w:t>
      </w:r>
      <w:r w:rsidRPr="009F3921">
        <w:rPr>
          <w:rFonts w:ascii="Times New Roman" w:hAnsi="Times New Roman"/>
          <w:sz w:val="24"/>
          <w:szCs w:val="24"/>
        </w:rPr>
        <w:t xml:space="preserve"> perfor</w:t>
      </w:r>
      <w:r>
        <w:rPr>
          <w:rFonts w:ascii="Times New Roman" w:hAnsi="Times New Roman"/>
          <w:sz w:val="24"/>
          <w:szCs w:val="24"/>
        </w:rPr>
        <w:t>mance expectations and measures; key strategies and plans;</w:t>
      </w:r>
      <w:r w:rsidRPr="009F3921">
        <w:rPr>
          <w:rFonts w:ascii="Times New Roman" w:hAnsi="Times New Roman"/>
          <w:sz w:val="24"/>
          <w:szCs w:val="24"/>
        </w:rPr>
        <w:t xml:space="preserve"> and</w:t>
      </w:r>
      <w:r w:rsidRPr="00364DAA">
        <w:rPr>
          <w:rFonts w:ascii="Times New Roman" w:hAnsi="Times New Roman"/>
          <w:sz w:val="24"/>
          <w:szCs w:val="24"/>
        </w:rPr>
        <w:t xml:space="preserve"> information on risk management</w:t>
      </w:r>
      <w:r>
        <w:rPr>
          <w:rFonts w:ascii="Times New Roman" w:hAnsi="Times New Roman"/>
          <w:sz w:val="24"/>
          <w:szCs w:val="24"/>
        </w:rPr>
        <w:t xml:space="preserve">; and </w:t>
      </w:r>
    </w:p>
    <w:p w14:paraId="264329F6" w14:textId="210AE8F3" w:rsidR="00A55792" w:rsidRPr="007711DF" w:rsidRDefault="007711DF" w:rsidP="0030236D">
      <w:pPr>
        <w:pStyle w:val="ListParagraph"/>
        <w:numPr>
          <w:ilvl w:val="0"/>
          <w:numId w:val="9"/>
        </w:numPr>
        <w:spacing w:line="240" w:lineRule="auto"/>
        <w:outlineLvl w:val="0"/>
        <w:rPr>
          <w:rFonts w:ascii="Times New Roman" w:hAnsi="Times New Roman"/>
          <w:sz w:val="24"/>
          <w:szCs w:val="24"/>
        </w:rPr>
      </w:pPr>
      <w:r>
        <w:rPr>
          <w:rFonts w:ascii="Times New Roman" w:hAnsi="Times New Roman"/>
          <w:sz w:val="24"/>
          <w:szCs w:val="24"/>
        </w:rPr>
        <w:t xml:space="preserve">Under clause 34A of the Agreement: </w:t>
      </w:r>
      <w:r w:rsidR="00971B15" w:rsidRPr="007711DF">
        <w:rPr>
          <w:rFonts w:ascii="Times New Roman" w:hAnsi="Times New Roman"/>
          <w:sz w:val="24"/>
          <w:szCs w:val="24"/>
        </w:rPr>
        <w:t xml:space="preserve">a detailed work plan for </w:t>
      </w:r>
      <w:r w:rsidR="0030236D">
        <w:rPr>
          <w:rFonts w:ascii="Times New Roman" w:hAnsi="Times New Roman"/>
          <w:sz w:val="24"/>
          <w:szCs w:val="24"/>
        </w:rPr>
        <w:t xml:space="preserve">internal </w:t>
      </w:r>
      <w:r w:rsidR="00971B15" w:rsidRPr="007711DF">
        <w:rPr>
          <w:rFonts w:ascii="Times New Roman" w:hAnsi="Times New Roman"/>
          <w:sz w:val="24"/>
          <w:szCs w:val="24"/>
        </w:rPr>
        <w:t xml:space="preserve">operational purposes. </w:t>
      </w:r>
      <w:r w:rsidR="0030236D" w:rsidRPr="0030236D">
        <w:rPr>
          <w:rFonts w:ascii="Times New Roman" w:hAnsi="Times New Roman"/>
          <w:sz w:val="24"/>
          <w:szCs w:val="24"/>
        </w:rPr>
        <w:t xml:space="preserve">The work plan </w:t>
      </w:r>
      <w:r w:rsidR="0030236D">
        <w:rPr>
          <w:rFonts w:ascii="Times New Roman" w:hAnsi="Times New Roman"/>
          <w:sz w:val="24"/>
          <w:szCs w:val="24"/>
        </w:rPr>
        <w:t xml:space="preserve">will </w:t>
      </w:r>
      <w:r w:rsidR="0030236D" w:rsidRPr="0030236D">
        <w:rPr>
          <w:rFonts w:ascii="Times New Roman" w:hAnsi="Times New Roman"/>
          <w:sz w:val="24"/>
          <w:szCs w:val="24"/>
        </w:rPr>
        <w:t xml:space="preserve">be a more detailed document that </w:t>
      </w:r>
      <w:r w:rsidR="0030236D">
        <w:rPr>
          <w:rFonts w:ascii="Times New Roman" w:hAnsi="Times New Roman"/>
          <w:sz w:val="24"/>
          <w:szCs w:val="24"/>
        </w:rPr>
        <w:t>will</w:t>
      </w:r>
      <w:r w:rsidR="0030236D" w:rsidRPr="0030236D">
        <w:rPr>
          <w:rFonts w:ascii="Times New Roman" w:hAnsi="Times New Roman"/>
          <w:sz w:val="24"/>
          <w:szCs w:val="24"/>
        </w:rPr>
        <w:t xml:space="preserve"> provide additional information on the Authority’s: activities (including capital works and operational and maintenance programmes to be undertaken); budget information for the activities; works and programmes; and any other matters relevant to the Authority’s functions as the Authority sees fit. Due to its operational nature, the work plan </w:t>
      </w:r>
      <w:r w:rsidR="0030236D">
        <w:rPr>
          <w:rFonts w:ascii="Times New Roman" w:hAnsi="Times New Roman"/>
          <w:sz w:val="24"/>
          <w:szCs w:val="24"/>
        </w:rPr>
        <w:t>will</w:t>
      </w:r>
      <w:r w:rsidR="0030236D" w:rsidRPr="0030236D">
        <w:rPr>
          <w:rFonts w:ascii="Times New Roman" w:hAnsi="Times New Roman"/>
          <w:sz w:val="24"/>
          <w:szCs w:val="24"/>
        </w:rPr>
        <w:t xml:space="preserve"> not be published.</w:t>
      </w:r>
    </w:p>
    <w:p w14:paraId="264329F7" w14:textId="3A97781C" w:rsidR="001A70E8" w:rsidRPr="001259C9" w:rsidRDefault="00971B15" w:rsidP="001259C9">
      <w:pPr>
        <w:spacing w:line="240" w:lineRule="auto"/>
        <w:outlineLvl w:val="0"/>
        <w:rPr>
          <w:rFonts w:ascii="Times New Roman" w:hAnsi="Times New Roman"/>
          <w:sz w:val="24"/>
          <w:szCs w:val="24"/>
        </w:rPr>
      </w:pPr>
      <w:r w:rsidRPr="001A70E8">
        <w:rPr>
          <w:rFonts w:ascii="Times New Roman" w:hAnsi="Times New Roman"/>
          <w:sz w:val="24"/>
          <w:szCs w:val="24"/>
        </w:rPr>
        <w:t>Under the Agreement on Murray-Darling Basin Reform-Referral of July 2008 (the Referral Agreement) the Basin States agreed to refer legislative power to the Commonwealth for the purposes of paragraph (xxxvii) of the Commonwealth Constitution. The referral of power by the Basin States supports parts of the Act including the provisions dealing with the Agreement (Part 1A). Under the Referral Agreement</w:t>
      </w:r>
      <w:r>
        <w:rPr>
          <w:rFonts w:ascii="Times New Roman" w:hAnsi="Times New Roman"/>
          <w:sz w:val="24"/>
          <w:szCs w:val="24"/>
        </w:rPr>
        <w:t>,</w:t>
      </w:r>
      <w:r w:rsidRPr="001A70E8">
        <w:rPr>
          <w:rFonts w:ascii="Times New Roman" w:hAnsi="Times New Roman"/>
          <w:sz w:val="24"/>
          <w:szCs w:val="24"/>
        </w:rPr>
        <w:t xml:space="preserve"> the Basin States must agree to any amendments to the referred regulations. The </w:t>
      </w:r>
      <w:r w:rsidRPr="00CD77E7">
        <w:rPr>
          <w:rFonts w:ascii="Times New Roman" w:hAnsi="Times New Roman"/>
          <w:sz w:val="24"/>
          <w:szCs w:val="24"/>
        </w:rPr>
        <w:t xml:space="preserve">Water Amendment (Murray-Darling Basin Agreement) Regulations 2017 </w:t>
      </w:r>
      <w:r>
        <w:rPr>
          <w:rFonts w:ascii="Times New Roman" w:hAnsi="Times New Roman"/>
          <w:sz w:val="24"/>
          <w:szCs w:val="24"/>
        </w:rPr>
        <w:t>are</w:t>
      </w:r>
      <w:r w:rsidRPr="001A70E8">
        <w:rPr>
          <w:rFonts w:ascii="Times New Roman" w:hAnsi="Times New Roman"/>
          <w:sz w:val="24"/>
          <w:szCs w:val="24"/>
        </w:rPr>
        <w:t xml:space="preserve"> referred regulation</w:t>
      </w:r>
      <w:r>
        <w:rPr>
          <w:rFonts w:ascii="Times New Roman" w:hAnsi="Times New Roman"/>
          <w:sz w:val="24"/>
          <w:szCs w:val="24"/>
        </w:rPr>
        <w:t>s</w:t>
      </w:r>
      <w:r w:rsidRPr="001A70E8">
        <w:rPr>
          <w:rFonts w:ascii="Times New Roman" w:hAnsi="Times New Roman"/>
          <w:sz w:val="24"/>
          <w:szCs w:val="24"/>
        </w:rPr>
        <w:t>.</w:t>
      </w:r>
    </w:p>
    <w:p w14:paraId="264329F8" w14:textId="77777777" w:rsidR="00DB5EB8" w:rsidRPr="00EE0453" w:rsidRDefault="00971B15" w:rsidP="00DB5EB8">
      <w:pPr>
        <w:spacing w:line="240" w:lineRule="auto"/>
        <w:rPr>
          <w:rFonts w:ascii="Times New Roman" w:hAnsi="Times New Roman"/>
          <w:b/>
          <w:sz w:val="24"/>
          <w:szCs w:val="24"/>
        </w:rPr>
      </w:pPr>
      <w:r w:rsidRPr="00EE0453">
        <w:rPr>
          <w:rFonts w:ascii="Times New Roman" w:hAnsi="Times New Roman"/>
          <w:b/>
          <w:sz w:val="24"/>
          <w:szCs w:val="24"/>
        </w:rPr>
        <w:t>Impact and Effect</w:t>
      </w:r>
    </w:p>
    <w:p w14:paraId="264329F9" w14:textId="1274E184" w:rsidR="00E54C62" w:rsidRDefault="00971B15" w:rsidP="00DB5EB8">
      <w:pPr>
        <w:spacing w:line="240" w:lineRule="auto"/>
        <w:rPr>
          <w:rFonts w:ascii="Times New Roman" w:hAnsi="Times New Roman"/>
          <w:sz w:val="24"/>
          <w:szCs w:val="24"/>
        </w:rPr>
      </w:pPr>
      <w:r w:rsidRPr="00E54C62">
        <w:rPr>
          <w:rFonts w:ascii="Times New Roman" w:hAnsi="Times New Roman"/>
          <w:sz w:val="24"/>
          <w:szCs w:val="24"/>
        </w:rPr>
        <w:t xml:space="preserve">The amendments will not diminish public access to information. Appropriate and relevant elements of the </w:t>
      </w:r>
      <w:r>
        <w:rPr>
          <w:rFonts w:ascii="Times New Roman" w:hAnsi="Times New Roman"/>
          <w:sz w:val="24"/>
          <w:szCs w:val="24"/>
        </w:rPr>
        <w:t xml:space="preserve">Authority’s work plan </w:t>
      </w:r>
      <w:r w:rsidRPr="00E54C62">
        <w:rPr>
          <w:rFonts w:ascii="Times New Roman" w:hAnsi="Times New Roman"/>
          <w:sz w:val="24"/>
          <w:szCs w:val="24"/>
        </w:rPr>
        <w:t xml:space="preserve">will be included in the </w:t>
      </w:r>
      <w:r>
        <w:rPr>
          <w:rFonts w:ascii="Times New Roman" w:hAnsi="Times New Roman"/>
          <w:sz w:val="24"/>
          <w:szCs w:val="24"/>
        </w:rPr>
        <w:t xml:space="preserve">publicly available </w:t>
      </w:r>
      <w:r w:rsidRPr="00E54C62">
        <w:rPr>
          <w:rFonts w:ascii="Times New Roman" w:hAnsi="Times New Roman"/>
          <w:sz w:val="24"/>
          <w:szCs w:val="24"/>
        </w:rPr>
        <w:t xml:space="preserve">corporate plan, as agreed by </w:t>
      </w:r>
      <w:r>
        <w:rPr>
          <w:rFonts w:ascii="Times New Roman" w:hAnsi="Times New Roman"/>
          <w:sz w:val="24"/>
          <w:szCs w:val="24"/>
        </w:rPr>
        <w:t>the Council</w:t>
      </w:r>
      <w:r w:rsidRPr="00E54C62">
        <w:rPr>
          <w:rFonts w:ascii="Times New Roman" w:hAnsi="Times New Roman"/>
          <w:sz w:val="24"/>
          <w:szCs w:val="24"/>
        </w:rPr>
        <w:t xml:space="preserve">, which will be published on the </w:t>
      </w:r>
      <w:r>
        <w:rPr>
          <w:rFonts w:ascii="Times New Roman" w:hAnsi="Times New Roman"/>
          <w:sz w:val="24"/>
          <w:szCs w:val="24"/>
        </w:rPr>
        <w:t>Authority’s</w:t>
      </w:r>
      <w:r w:rsidRPr="00E54C62">
        <w:rPr>
          <w:rFonts w:ascii="Times New Roman" w:hAnsi="Times New Roman"/>
          <w:sz w:val="24"/>
          <w:szCs w:val="24"/>
        </w:rPr>
        <w:t xml:space="preserve"> website. </w:t>
      </w:r>
    </w:p>
    <w:p w14:paraId="264329FA" w14:textId="77777777" w:rsidR="00DB5EB8" w:rsidRPr="00BA61EE" w:rsidRDefault="00971B15" w:rsidP="00DB5EB8">
      <w:pPr>
        <w:spacing w:line="240" w:lineRule="auto"/>
        <w:rPr>
          <w:rFonts w:ascii="Times New Roman" w:hAnsi="Times New Roman"/>
          <w:b/>
          <w:sz w:val="24"/>
          <w:szCs w:val="24"/>
        </w:rPr>
      </w:pPr>
      <w:r>
        <w:rPr>
          <w:rFonts w:ascii="Times New Roman" w:hAnsi="Times New Roman"/>
          <w:b/>
          <w:sz w:val="24"/>
          <w:szCs w:val="24"/>
        </w:rPr>
        <w:t xml:space="preserve">Consultation </w:t>
      </w:r>
    </w:p>
    <w:p w14:paraId="264329FB" w14:textId="6661E911" w:rsidR="000069C5" w:rsidRDefault="00971B15" w:rsidP="00DB5EB8">
      <w:pPr>
        <w:spacing w:line="240" w:lineRule="auto"/>
        <w:rPr>
          <w:rFonts w:ascii="Times New Roman" w:hAnsi="Times New Roman"/>
          <w:sz w:val="24"/>
          <w:szCs w:val="24"/>
        </w:rPr>
      </w:pPr>
      <w:r>
        <w:rPr>
          <w:rFonts w:ascii="Times New Roman" w:hAnsi="Times New Roman"/>
          <w:sz w:val="24"/>
          <w:szCs w:val="24"/>
        </w:rPr>
        <w:t>Contracting Governments were consulted on the draft instrument prior to obtaining agreement from the Basin Officials Committee and the Council</w:t>
      </w:r>
      <w:r w:rsidR="00A021F5">
        <w:rPr>
          <w:rFonts w:ascii="Times New Roman" w:hAnsi="Times New Roman"/>
          <w:sz w:val="24"/>
          <w:szCs w:val="24"/>
        </w:rPr>
        <w:t xml:space="preserve"> and raised no concerns regarding the Regulations</w:t>
      </w:r>
      <w:r>
        <w:rPr>
          <w:rFonts w:ascii="Times New Roman" w:hAnsi="Times New Roman"/>
          <w:sz w:val="24"/>
          <w:szCs w:val="24"/>
        </w:rPr>
        <w:t xml:space="preserve">. </w:t>
      </w:r>
    </w:p>
    <w:p w14:paraId="264329FC" w14:textId="5A2627BB" w:rsidR="00DB5EB8" w:rsidRDefault="00971B15" w:rsidP="00DB5EB8">
      <w:pPr>
        <w:spacing w:line="240" w:lineRule="auto"/>
        <w:rPr>
          <w:rFonts w:ascii="Times New Roman" w:hAnsi="Times New Roman"/>
          <w:sz w:val="24"/>
          <w:szCs w:val="24"/>
        </w:rPr>
      </w:pPr>
      <w:r>
        <w:rPr>
          <w:rFonts w:ascii="Times New Roman" w:hAnsi="Times New Roman"/>
          <w:sz w:val="24"/>
          <w:szCs w:val="24"/>
        </w:rPr>
        <w:t>A Regulatory Impact Statement (RIS) Preliminary Assessment was prepared for consideration by t</w:t>
      </w:r>
      <w:r w:rsidRPr="003D5D84">
        <w:rPr>
          <w:rFonts w:ascii="Times New Roman" w:hAnsi="Times New Roman"/>
          <w:sz w:val="24"/>
          <w:szCs w:val="24"/>
        </w:rPr>
        <w:t>he Office of Best Practice Regulation</w:t>
      </w:r>
      <w:r>
        <w:rPr>
          <w:rFonts w:ascii="Times New Roman" w:hAnsi="Times New Roman"/>
          <w:sz w:val="24"/>
          <w:szCs w:val="24"/>
        </w:rPr>
        <w:t xml:space="preserve"> (OBPR). OBPR advised that no RIS was required </w:t>
      </w:r>
      <w:r w:rsidRPr="003D5D84">
        <w:rPr>
          <w:rFonts w:ascii="Times New Roman" w:hAnsi="Times New Roman"/>
          <w:sz w:val="24"/>
          <w:szCs w:val="24"/>
        </w:rPr>
        <w:t xml:space="preserve">as </w:t>
      </w:r>
      <w:r>
        <w:rPr>
          <w:rFonts w:ascii="Times New Roman" w:hAnsi="Times New Roman"/>
          <w:sz w:val="24"/>
          <w:szCs w:val="24"/>
        </w:rPr>
        <w:t xml:space="preserve">the </w:t>
      </w:r>
      <w:r w:rsidRPr="003D5D84">
        <w:rPr>
          <w:rFonts w:ascii="Times New Roman" w:hAnsi="Times New Roman"/>
          <w:sz w:val="24"/>
          <w:szCs w:val="24"/>
        </w:rPr>
        <w:t>Regulation</w:t>
      </w:r>
      <w:r>
        <w:rPr>
          <w:rFonts w:ascii="Times New Roman" w:hAnsi="Times New Roman"/>
          <w:sz w:val="24"/>
          <w:szCs w:val="24"/>
        </w:rPr>
        <w:t>s</w:t>
      </w:r>
      <w:r w:rsidRPr="003D5D84">
        <w:rPr>
          <w:rFonts w:ascii="Times New Roman" w:hAnsi="Times New Roman"/>
          <w:sz w:val="24"/>
          <w:szCs w:val="24"/>
        </w:rPr>
        <w:t xml:space="preserve"> will not have any regulatory impact on business, individ</w:t>
      </w:r>
      <w:r>
        <w:rPr>
          <w:rFonts w:ascii="Times New Roman" w:hAnsi="Times New Roman"/>
          <w:sz w:val="24"/>
          <w:szCs w:val="24"/>
        </w:rPr>
        <w:t xml:space="preserve">uals or community organisations (OBPR ID: 20874). </w:t>
      </w:r>
    </w:p>
    <w:p w14:paraId="264329FD" w14:textId="72C7FAB2" w:rsidR="000069C5" w:rsidRDefault="00971B15" w:rsidP="00DB5EB8">
      <w:pPr>
        <w:spacing w:line="240" w:lineRule="auto"/>
        <w:rPr>
          <w:rFonts w:ascii="Times New Roman" w:hAnsi="Times New Roman"/>
          <w:b/>
          <w:sz w:val="24"/>
          <w:szCs w:val="24"/>
        </w:rPr>
      </w:pPr>
      <w:r>
        <w:rPr>
          <w:rFonts w:ascii="Times New Roman" w:hAnsi="Times New Roman"/>
          <w:sz w:val="24"/>
          <w:szCs w:val="24"/>
        </w:rPr>
        <w:t xml:space="preserve">The Authority was consulted during all phases of the regulations making process.  </w:t>
      </w:r>
    </w:p>
    <w:p w14:paraId="264329FE" w14:textId="77777777" w:rsidR="00DB5EB8" w:rsidRPr="00BA61EE" w:rsidRDefault="00971B15" w:rsidP="00DB5EB8">
      <w:pPr>
        <w:outlineLvl w:val="0"/>
        <w:rPr>
          <w:rFonts w:ascii="Times New Roman" w:hAnsi="Times New Roman"/>
          <w:sz w:val="24"/>
          <w:szCs w:val="24"/>
        </w:rPr>
      </w:pPr>
      <w:r w:rsidRPr="00BA61EE">
        <w:rPr>
          <w:rFonts w:ascii="Times New Roman" w:hAnsi="Times New Roman"/>
          <w:b/>
          <w:sz w:val="24"/>
          <w:szCs w:val="24"/>
        </w:rPr>
        <w:t>Details of the Regulation</w:t>
      </w:r>
      <w:r>
        <w:rPr>
          <w:rFonts w:ascii="Times New Roman" w:hAnsi="Times New Roman"/>
          <w:b/>
          <w:sz w:val="24"/>
          <w:szCs w:val="24"/>
        </w:rPr>
        <w:t>s</w:t>
      </w:r>
    </w:p>
    <w:p w14:paraId="264329FF" w14:textId="1027F85D" w:rsidR="00DB5EB8" w:rsidRDefault="00971B15" w:rsidP="00DB5EB8">
      <w:pPr>
        <w:rPr>
          <w:rFonts w:ascii="Times New Roman" w:hAnsi="Times New Roman"/>
          <w:sz w:val="24"/>
          <w:szCs w:val="24"/>
        </w:rPr>
      </w:pPr>
      <w:r w:rsidRPr="00BA61EE">
        <w:rPr>
          <w:rFonts w:ascii="Times New Roman" w:hAnsi="Times New Roman"/>
          <w:sz w:val="24"/>
          <w:szCs w:val="24"/>
        </w:rPr>
        <w:t xml:space="preserve">Details of the </w:t>
      </w:r>
      <w:r>
        <w:rPr>
          <w:rFonts w:ascii="Times New Roman" w:hAnsi="Times New Roman"/>
          <w:sz w:val="24"/>
          <w:szCs w:val="24"/>
        </w:rPr>
        <w:t>R</w:t>
      </w:r>
      <w:r w:rsidRPr="00BA61EE">
        <w:rPr>
          <w:rFonts w:ascii="Times New Roman" w:hAnsi="Times New Roman"/>
          <w:sz w:val="24"/>
          <w:szCs w:val="24"/>
        </w:rPr>
        <w:t>egulation</w:t>
      </w:r>
      <w:r>
        <w:rPr>
          <w:rFonts w:ascii="Times New Roman" w:hAnsi="Times New Roman"/>
          <w:sz w:val="24"/>
          <w:szCs w:val="24"/>
        </w:rPr>
        <w:t>s</w:t>
      </w:r>
      <w:r w:rsidRPr="00BA61EE">
        <w:rPr>
          <w:rFonts w:ascii="Times New Roman" w:hAnsi="Times New Roman"/>
          <w:sz w:val="24"/>
          <w:szCs w:val="24"/>
        </w:rPr>
        <w:t xml:space="preserve"> are set out in </w:t>
      </w:r>
      <w:r w:rsidRPr="00BA61EE">
        <w:rPr>
          <w:rFonts w:ascii="Times New Roman" w:hAnsi="Times New Roman"/>
          <w:sz w:val="24"/>
          <w:szCs w:val="24"/>
          <w:u w:val="single"/>
        </w:rPr>
        <w:t>Attachment</w:t>
      </w:r>
      <w:r>
        <w:rPr>
          <w:rFonts w:ascii="Times New Roman" w:hAnsi="Times New Roman"/>
          <w:sz w:val="24"/>
          <w:szCs w:val="24"/>
          <w:u w:val="single"/>
        </w:rPr>
        <w:t xml:space="preserve"> A</w:t>
      </w:r>
      <w:r w:rsidRPr="00BA61EE">
        <w:rPr>
          <w:rFonts w:ascii="Times New Roman" w:hAnsi="Times New Roman"/>
          <w:sz w:val="24"/>
          <w:szCs w:val="24"/>
        </w:rPr>
        <w:t>.</w:t>
      </w:r>
    </w:p>
    <w:p w14:paraId="26432A00" w14:textId="1B4CF7BD" w:rsidR="00DB5EB8" w:rsidRDefault="00971B15" w:rsidP="00DB5EB8">
      <w:pPr>
        <w:tabs>
          <w:tab w:val="left" w:pos="1701"/>
          <w:tab w:val="right" w:pos="9072"/>
        </w:tabs>
        <w:spacing w:after="0" w:line="240" w:lineRule="auto"/>
        <w:rPr>
          <w:rFonts w:ascii="Times New Roman" w:hAnsi="Times New Roman"/>
          <w:sz w:val="24"/>
          <w:szCs w:val="24"/>
        </w:rPr>
      </w:pPr>
      <w:r w:rsidRPr="00E76AB5">
        <w:rPr>
          <w:rFonts w:ascii="Times New Roman" w:hAnsi="Times New Roman"/>
          <w:sz w:val="24"/>
          <w:szCs w:val="24"/>
        </w:rPr>
        <w:lastRenderedPageBreak/>
        <w:t xml:space="preserve">The </w:t>
      </w:r>
      <w:r>
        <w:rPr>
          <w:rFonts w:ascii="Times New Roman" w:hAnsi="Times New Roman"/>
          <w:sz w:val="24"/>
          <w:szCs w:val="24"/>
        </w:rPr>
        <w:t>Regulations are compatible</w:t>
      </w:r>
      <w:r w:rsidRPr="00EE0453">
        <w:rPr>
          <w:rFonts w:ascii="Times New Roman" w:hAnsi="Times New Roman"/>
          <w:sz w:val="24"/>
          <w:szCs w:val="24"/>
        </w:rPr>
        <w:t xml:space="preserve"> with the human rights and freedoms recognised or declared under section 3 of the </w:t>
      </w:r>
      <w:r w:rsidRPr="00EE0453">
        <w:rPr>
          <w:rFonts w:ascii="Times New Roman" w:hAnsi="Times New Roman"/>
          <w:i/>
          <w:sz w:val="24"/>
          <w:szCs w:val="24"/>
        </w:rPr>
        <w:t xml:space="preserve">Human Rights </w:t>
      </w:r>
      <w:r w:rsidRPr="00E76AB5">
        <w:rPr>
          <w:rFonts w:ascii="Times New Roman" w:hAnsi="Times New Roman"/>
          <w:i/>
          <w:sz w:val="24"/>
          <w:szCs w:val="24"/>
        </w:rPr>
        <w:t>(Parliamentary Scrutiny) Act 2011.</w:t>
      </w:r>
      <w:r w:rsidRPr="00E76AB5">
        <w:rPr>
          <w:rFonts w:ascii="Times New Roman" w:hAnsi="Times New Roman"/>
          <w:sz w:val="24"/>
          <w:szCs w:val="24"/>
        </w:rPr>
        <w:t xml:space="preserve"> A full statement of compatibility is set out in </w:t>
      </w:r>
      <w:r w:rsidRPr="00E76AB5">
        <w:rPr>
          <w:rFonts w:ascii="Times New Roman" w:hAnsi="Times New Roman"/>
          <w:sz w:val="24"/>
          <w:szCs w:val="24"/>
          <w:u w:val="single"/>
        </w:rPr>
        <w:t>Attachment B</w:t>
      </w:r>
      <w:r w:rsidRPr="00E76AB5">
        <w:rPr>
          <w:rFonts w:ascii="Times New Roman" w:hAnsi="Times New Roman"/>
          <w:sz w:val="24"/>
          <w:szCs w:val="24"/>
        </w:rPr>
        <w:t>.</w:t>
      </w:r>
    </w:p>
    <w:p w14:paraId="26432A01" w14:textId="77777777" w:rsidR="00DB5EB8" w:rsidRPr="00E76AB5" w:rsidRDefault="00751DCC" w:rsidP="00DB5EB8">
      <w:pPr>
        <w:tabs>
          <w:tab w:val="left" w:pos="1701"/>
          <w:tab w:val="right" w:pos="9072"/>
        </w:tabs>
        <w:spacing w:after="0" w:line="240" w:lineRule="auto"/>
        <w:rPr>
          <w:rFonts w:ascii="Times New Roman" w:hAnsi="Times New Roman"/>
          <w:sz w:val="24"/>
          <w:szCs w:val="24"/>
        </w:rPr>
      </w:pPr>
    </w:p>
    <w:p w14:paraId="26432A02" w14:textId="5DDC562E" w:rsidR="00DB5EB8" w:rsidRPr="00BA61EE" w:rsidRDefault="00971B15" w:rsidP="00DB5EB8">
      <w:pPr>
        <w:rPr>
          <w:rFonts w:ascii="Times New Roman" w:hAnsi="Times New Roman"/>
          <w:sz w:val="24"/>
          <w:szCs w:val="24"/>
        </w:rPr>
      </w:pPr>
      <w:r w:rsidRPr="00BA61EE">
        <w:rPr>
          <w:rFonts w:ascii="Times New Roman" w:hAnsi="Times New Roman"/>
          <w:sz w:val="24"/>
          <w:szCs w:val="24"/>
        </w:rPr>
        <w:t>The Regulation</w:t>
      </w:r>
      <w:r>
        <w:rPr>
          <w:rFonts w:ascii="Times New Roman" w:hAnsi="Times New Roman"/>
          <w:sz w:val="24"/>
          <w:szCs w:val="24"/>
        </w:rPr>
        <w:t>s</w:t>
      </w:r>
      <w:r w:rsidRPr="00BA61EE">
        <w:rPr>
          <w:rFonts w:ascii="Times New Roman" w:hAnsi="Times New Roman"/>
          <w:sz w:val="24"/>
          <w:szCs w:val="24"/>
        </w:rPr>
        <w:t xml:space="preserve"> </w:t>
      </w:r>
      <w:r>
        <w:rPr>
          <w:rFonts w:ascii="Times New Roman" w:hAnsi="Times New Roman"/>
          <w:sz w:val="24"/>
          <w:szCs w:val="24"/>
        </w:rPr>
        <w:t>are</w:t>
      </w:r>
      <w:r w:rsidRPr="00BA61EE">
        <w:rPr>
          <w:rFonts w:ascii="Times New Roman" w:hAnsi="Times New Roman"/>
          <w:sz w:val="24"/>
          <w:szCs w:val="24"/>
        </w:rPr>
        <w:t xml:space="preserve"> a legislative instrument</w:t>
      </w:r>
      <w:r>
        <w:rPr>
          <w:rFonts w:ascii="Times New Roman" w:hAnsi="Times New Roman"/>
          <w:sz w:val="24"/>
          <w:szCs w:val="24"/>
        </w:rPr>
        <w:t xml:space="preserve"> for the</w:t>
      </w:r>
      <w:r w:rsidRPr="00BA61EE">
        <w:rPr>
          <w:rFonts w:ascii="Times New Roman" w:hAnsi="Times New Roman"/>
          <w:sz w:val="24"/>
          <w:szCs w:val="24"/>
        </w:rPr>
        <w:t xml:space="preserve"> </w:t>
      </w:r>
      <w:r w:rsidRPr="00132DA5">
        <w:rPr>
          <w:rFonts w:ascii="Times New Roman" w:hAnsi="Times New Roman"/>
          <w:sz w:val="24"/>
          <w:szCs w:val="24"/>
        </w:rPr>
        <w:t xml:space="preserve">purposes of the </w:t>
      </w:r>
      <w:r>
        <w:rPr>
          <w:rFonts w:ascii="Times New Roman" w:hAnsi="Times New Roman"/>
          <w:i/>
          <w:sz w:val="24"/>
          <w:szCs w:val="24"/>
        </w:rPr>
        <w:t>Legislation Act</w:t>
      </w:r>
      <w:r w:rsidRPr="00C64110">
        <w:rPr>
          <w:rFonts w:ascii="Times New Roman" w:hAnsi="Times New Roman"/>
          <w:i/>
          <w:sz w:val="24"/>
          <w:szCs w:val="24"/>
        </w:rPr>
        <w:t xml:space="preserve"> 2003</w:t>
      </w:r>
      <w:r w:rsidRPr="00960101">
        <w:rPr>
          <w:rFonts w:ascii="Times New Roman" w:hAnsi="Times New Roman"/>
          <w:sz w:val="24"/>
          <w:szCs w:val="24"/>
        </w:rPr>
        <w:t>.</w:t>
      </w:r>
    </w:p>
    <w:p w14:paraId="26432A03" w14:textId="77777777" w:rsidR="00DB5EB8" w:rsidRDefault="00971B15" w:rsidP="00DB5EB8">
      <w:pPr>
        <w:spacing w:after="0" w:line="240" w:lineRule="auto"/>
        <w:rPr>
          <w:rFonts w:ascii="Times New Roman" w:hAnsi="Times New Roman"/>
          <w:b/>
          <w:sz w:val="24"/>
          <w:szCs w:val="24"/>
        </w:rPr>
      </w:pPr>
      <w:r>
        <w:rPr>
          <w:rFonts w:ascii="Times New Roman" w:hAnsi="Times New Roman"/>
          <w:b/>
          <w:sz w:val="24"/>
          <w:szCs w:val="24"/>
        </w:rPr>
        <w:br w:type="page"/>
      </w:r>
    </w:p>
    <w:p w14:paraId="26432A04" w14:textId="77777777" w:rsidR="00DB5EB8" w:rsidRPr="00FE4457" w:rsidRDefault="00751DCC" w:rsidP="00DB5EB8">
      <w:pPr>
        <w:jc w:val="center"/>
        <w:sectPr w:rsidR="00DB5EB8" w:rsidRPr="00FE4457" w:rsidSect="006E5F3C">
          <w:footerReference w:type="default" r:id="rId11"/>
          <w:headerReference w:type="first" r:id="rId12"/>
          <w:pgSz w:w="11906" w:h="16838"/>
          <w:pgMar w:top="1418" w:right="1276" w:bottom="567" w:left="1418" w:header="425" w:footer="425" w:gutter="0"/>
          <w:pgNumType w:start="1"/>
          <w:cols w:space="708"/>
          <w:docGrid w:linePitch="360"/>
        </w:sectPr>
      </w:pPr>
    </w:p>
    <w:p w14:paraId="26432A05" w14:textId="77777777" w:rsidR="00DB5EB8" w:rsidRPr="00BA61EE" w:rsidRDefault="00971B15" w:rsidP="00DB5EB8">
      <w:pPr>
        <w:spacing w:after="0" w:line="240" w:lineRule="auto"/>
        <w:jc w:val="right"/>
        <w:rPr>
          <w:rFonts w:ascii="Times New Roman" w:hAnsi="Times New Roman"/>
          <w:b/>
          <w:sz w:val="24"/>
          <w:szCs w:val="24"/>
          <w:u w:val="single"/>
        </w:rPr>
      </w:pPr>
      <w:r w:rsidRPr="00BA61EE">
        <w:rPr>
          <w:rFonts w:ascii="Times New Roman" w:hAnsi="Times New Roman"/>
          <w:b/>
          <w:sz w:val="24"/>
          <w:szCs w:val="24"/>
          <w:u w:val="single"/>
        </w:rPr>
        <w:lastRenderedPageBreak/>
        <w:t>ATTACHMENT</w:t>
      </w:r>
      <w:r>
        <w:rPr>
          <w:rFonts w:ascii="Times New Roman" w:hAnsi="Times New Roman"/>
          <w:b/>
          <w:sz w:val="24"/>
          <w:szCs w:val="24"/>
          <w:u w:val="single"/>
        </w:rPr>
        <w:t xml:space="preserve"> A</w:t>
      </w:r>
    </w:p>
    <w:p w14:paraId="26432A06" w14:textId="77777777" w:rsidR="00DB5EB8" w:rsidRPr="00BA61EE" w:rsidRDefault="00751DCC" w:rsidP="00DB5EB8">
      <w:pPr>
        <w:spacing w:after="0" w:line="240" w:lineRule="auto"/>
        <w:rPr>
          <w:rFonts w:ascii="Times New Roman" w:hAnsi="Times New Roman"/>
          <w:b/>
          <w:sz w:val="24"/>
          <w:szCs w:val="24"/>
          <w:u w:val="single"/>
        </w:rPr>
      </w:pPr>
    </w:p>
    <w:p w14:paraId="26432A07" w14:textId="77777777" w:rsidR="00DB5EB8" w:rsidRPr="00BA61EE" w:rsidRDefault="00751DCC" w:rsidP="00DB5EB8">
      <w:pPr>
        <w:pStyle w:val="Header"/>
        <w:jc w:val="right"/>
        <w:rPr>
          <w:b/>
          <w:i w:val="0"/>
          <w:sz w:val="24"/>
          <w:szCs w:val="24"/>
          <w:u w:val="single"/>
        </w:rPr>
      </w:pPr>
    </w:p>
    <w:p w14:paraId="26432A08" w14:textId="5C0630C2" w:rsidR="00DB5EB8" w:rsidRPr="00BA61EE" w:rsidRDefault="00971B15" w:rsidP="00DB5EB8">
      <w:pPr>
        <w:pStyle w:val="Header"/>
        <w:jc w:val="left"/>
        <w:outlineLvl w:val="0"/>
        <w:rPr>
          <w:b/>
          <w:sz w:val="24"/>
          <w:szCs w:val="24"/>
          <w:u w:val="single"/>
        </w:rPr>
      </w:pPr>
      <w:r w:rsidRPr="00BA61EE">
        <w:rPr>
          <w:b/>
          <w:i w:val="0"/>
          <w:sz w:val="24"/>
          <w:szCs w:val="24"/>
          <w:u w:val="single"/>
        </w:rPr>
        <w:t xml:space="preserve">Details of the </w:t>
      </w:r>
      <w:r w:rsidRPr="00BA61EE">
        <w:rPr>
          <w:b/>
          <w:sz w:val="24"/>
          <w:szCs w:val="24"/>
          <w:u w:val="single"/>
        </w:rPr>
        <w:t>Water Amendment (</w:t>
      </w:r>
      <w:r>
        <w:rPr>
          <w:b/>
          <w:sz w:val="24"/>
          <w:szCs w:val="24"/>
          <w:u w:val="single"/>
        </w:rPr>
        <w:t>Murray-Darling Basin Agreement</w:t>
      </w:r>
      <w:r w:rsidRPr="00BA61EE">
        <w:rPr>
          <w:b/>
          <w:sz w:val="24"/>
          <w:szCs w:val="24"/>
          <w:u w:val="single"/>
        </w:rPr>
        <w:t>) Regulation</w:t>
      </w:r>
      <w:r>
        <w:rPr>
          <w:b/>
          <w:sz w:val="24"/>
          <w:szCs w:val="24"/>
          <w:u w:val="single"/>
        </w:rPr>
        <w:t>s</w:t>
      </w:r>
      <w:r w:rsidRPr="00BA61EE">
        <w:rPr>
          <w:b/>
          <w:sz w:val="24"/>
          <w:szCs w:val="24"/>
          <w:u w:val="single"/>
        </w:rPr>
        <w:t xml:space="preserve"> 201</w:t>
      </w:r>
      <w:r>
        <w:rPr>
          <w:b/>
          <w:sz w:val="24"/>
          <w:szCs w:val="24"/>
          <w:u w:val="single"/>
        </w:rPr>
        <w:t>7</w:t>
      </w:r>
      <w:r w:rsidRPr="00BA61EE">
        <w:rPr>
          <w:b/>
          <w:sz w:val="24"/>
          <w:szCs w:val="24"/>
          <w:u w:val="single"/>
        </w:rPr>
        <w:t xml:space="preserve"> </w:t>
      </w:r>
    </w:p>
    <w:p w14:paraId="26432A09" w14:textId="77777777" w:rsidR="00DB5EB8" w:rsidRPr="00BA61EE" w:rsidRDefault="00751DCC" w:rsidP="00DB5EB8">
      <w:pPr>
        <w:spacing w:after="0" w:line="240" w:lineRule="auto"/>
        <w:rPr>
          <w:rFonts w:ascii="Times New Roman" w:hAnsi="Times New Roman"/>
          <w:sz w:val="24"/>
          <w:szCs w:val="24"/>
        </w:rPr>
      </w:pPr>
    </w:p>
    <w:p w14:paraId="26432A0A" w14:textId="77777777" w:rsidR="00DB5EB8" w:rsidRPr="00BA61EE" w:rsidRDefault="00971B15" w:rsidP="00DB5EB8">
      <w:pPr>
        <w:spacing w:line="240" w:lineRule="auto"/>
        <w:outlineLvl w:val="0"/>
        <w:rPr>
          <w:rFonts w:ascii="Times New Roman" w:hAnsi="Times New Roman"/>
          <w:sz w:val="24"/>
          <w:szCs w:val="24"/>
          <w:u w:val="single"/>
        </w:rPr>
      </w:pPr>
      <w:r w:rsidRPr="00BA61EE">
        <w:rPr>
          <w:rFonts w:ascii="Times New Roman" w:hAnsi="Times New Roman"/>
          <w:sz w:val="24"/>
          <w:szCs w:val="24"/>
          <w:u w:val="single"/>
        </w:rPr>
        <w:t xml:space="preserve">Section 1 </w:t>
      </w:r>
      <w:r>
        <w:rPr>
          <w:rFonts w:ascii="Times New Roman" w:hAnsi="Times New Roman"/>
          <w:sz w:val="24"/>
          <w:szCs w:val="24"/>
          <w:u w:val="single"/>
        </w:rPr>
        <w:t>–</w:t>
      </w:r>
      <w:r w:rsidRPr="00BA61EE">
        <w:rPr>
          <w:rFonts w:ascii="Times New Roman" w:hAnsi="Times New Roman"/>
          <w:sz w:val="24"/>
          <w:szCs w:val="24"/>
          <w:u w:val="single"/>
        </w:rPr>
        <w:t xml:space="preserve"> Name </w:t>
      </w:r>
    </w:p>
    <w:p w14:paraId="26432A0B" w14:textId="2BEB8537" w:rsidR="00DB5EB8" w:rsidRPr="00BA61EE" w:rsidRDefault="00971B15" w:rsidP="00DB5EB8">
      <w:pPr>
        <w:spacing w:line="240" w:lineRule="auto"/>
        <w:rPr>
          <w:rFonts w:ascii="Times New Roman" w:hAnsi="Times New Roman"/>
          <w:sz w:val="24"/>
          <w:szCs w:val="24"/>
        </w:rPr>
      </w:pPr>
      <w:r w:rsidRPr="00BA61EE">
        <w:rPr>
          <w:rFonts w:ascii="Times New Roman" w:hAnsi="Times New Roman"/>
          <w:sz w:val="24"/>
          <w:szCs w:val="24"/>
        </w:rPr>
        <w:t xml:space="preserve">This section provides that the title of the </w:t>
      </w:r>
      <w:r w:rsidR="00720CF5">
        <w:rPr>
          <w:rFonts w:ascii="Times New Roman" w:hAnsi="Times New Roman"/>
          <w:sz w:val="24"/>
          <w:szCs w:val="24"/>
        </w:rPr>
        <w:t>R</w:t>
      </w:r>
      <w:r w:rsidRPr="00BA61EE">
        <w:rPr>
          <w:rFonts w:ascii="Times New Roman" w:hAnsi="Times New Roman"/>
          <w:sz w:val="24"/>
          <w:szCs w:val="24"/>
        </w:rPr>
        <w:t>egulation</w:t>
      </w:r>
      <w:r>
        <w:rPr>
          <w:rFonts w:ascii="Times New Roman" w:hAnsi="Times New Roman"/>
          <w:sz w:val="24"/>
          <w:szCs w:val="24"/>
        </w:rPr>
        <w:t>s</w:t>
      </w:r>
      <w:r w:rsidRPr="00BA61EE">
        <w:rPr>
          <w:rFonts w:ascii="Times New Roman" w:hAnsi="Times New Roman"/>
          <w:sz w:val="24"/>
          <w:szCs w:val="24"/>
        </w:rPr>
        <w:t xml:space="preserve"> is the </w:t>
      </w:r>
      <w:r w:rsidRPr="00BA61EE">
        <w:rPr>
          <w:rFonts w:ascii="Times New Roman" w:hAnsi="Times New Roman"/>
          <w:i/>
          <w:sz w:val="24"/>
          <w:szCs w:val="24"/>
        </w:rPr>
        <w:t>Water Amendment (</w:t>
      </w:r>
      <w:r>
        <w:rPr>
          <w:rFonts w:ascii="Times New Roman" w:hAnsi="Times New Roman"/>
          <w:i/>
          <w:sz w:val="24"/>
          <w:szCs w:val="24"/>
        </w:rPr>
        <w:t>Murray-Darling Basin Agreement</w:t>
      </w:r>
      <w:r w:rsidRPr="00BA61EE">
        <w:rPr>
          <w:rFonts w:ascii="Times New Roman" w:hAnsi="Times New Roman"/>
          <w:i/>
          <w:sz w:val="24"/>
          <w:szCs w:val="24"/>
        </w:rPr>
        <w:t>) Regulation</w:t>
      </w:r>
      <w:r>
        <w:rPr>
          <w:rFonts w:ascii="Times New Roman" w:hAnsi="Times New Roman"/>
          <w:i/>
          <w:sz w:val="24"/>
          <w:szCs w:val="24"/>
        </w:rPr>
        <w:t>s</w:t>
      </w:r>
      <w:r w:rsidRPr="00BA61EE">
        <w:rPr>
          <w:rFonts w:ascii="Times New Roman" w:hAnsi="Times New Roman"/>
          <w:i/>
          <w:sz w:val="24"/>
          <w:szCs w:val="24"/>
        </w:rPr>
        <w:t xml:space="preserve"> 201</w:t>
      </w:r>
      <w:r>
        <w:rPr>
          <w:rFonts w:ascii="Times New Roman" w:hAnsi="Times New Roman"/>
          <w:i/>
          <w:sz w:val="24"/>
          <w:szCs w:val="24"/>
        </w:rPr>
        <w:t>7</w:t>
      </w:r>
      <w:r w:rsidRPr="00BA61EE">
        <w:rPr>
          <w:rFonts w:ascii="Times New Roman" w:hAnsi="Times New Roman"/>
          <w:i/>
          <w:sz w:val="24"/>
          <w:szCs w:val="24"/>
        </w:rPr>
        <w:t xml:space="preserve"> </w:t>
      </w:r>
      <w:r w:rsidRPr="00BA61EE">
        <w:rPr>
          <w:rFonts w:ascii="Times New Roman" w:hAnsi="Times New Roman"/>
          <w:sz w:val="24"/>
          <w:szCs w:val="24"/>
        </w:rPr>
        <w:t>(</w:t>
      </w:r>
      <w:r>
        <w:rPr>
          <w:rFonts w:ascii="Times New Roman" w:hAnsi="Times New Roman"/>
          <w:sz w:val="24"/>
          <w:szCs w:val="24"/>
        </w:rPr>
        <w:t xml:space="preserve">the </w:t>
      </w:r>
      <w:r w:rsidRPr="00BA61EE">
        <w:rPr>
          <w:rFonts w:ascii="Times New Roman" w:hAnsi="Times New Roman"/>
          <w:sz w:val="24"/>
          <w:szCs w:val="24"/>
        </w:rPr>
        <w:t>Regulation</w:t>
      </w:r>
      <w:r>
        <w:rPr>
          <w:rFonts w:ascii="Times New Roman" w:hAnsi="Times New Roman"/>
          <w:sz w:val="24"/>
          <w:szCs w:val="24"/>
        </w:rPr>
        <w:t>s</w:t>
      </w:r>
      <w:r w:rsidRPr="00BA61EE">
        <w:rPr>
          <w:rFonts w:ascii="Times New Roman" w:hAnsi="Times New Roman"/>
          <w:sz w:val="24"/>
          <w:szCs w:val="24"/>
        </w:rPr>
        <w:t>).</w:t>
      </w:r>
    </w:p>
    <w:p w14:paraId="26432A0C" w14:textId="77777777" w:rsidR="00DB5EB8" w:rsidRPr="00BA61EE" w:rsidRDefault="00971B15" w:rsidP="00DB5EB8">
      <w:pPr>
        <w:spacing w:line="240" w:lineRule="auto"/>
        <w:outlineLvl w:val="0"/>
        <w:rPr>
          <w:rFonts w:ascii="Times New Roman" w:hAnsi="Times New Roman"/>
          <w:sz w:val="24"/>
          <w:szCs w:val="24"/>
          <w:u w:val="single"/>
        </w:rPr>
      </w:pPr>
      <w:r w:rsidRPr="00BA61EE">
        <w:rPr>
          <w:rFonts w:ascii="Times New Roman" w:hAnsi="Times New Roman"/>
          <w:sz w:val="24"/>
          <w:szCs w:val="24"/>
          <w:u w:val="single"/>
        </w:rPr>
        <w:t xml:space="preserve">Section 2 </w:t>
      </w:r>
      <w:r>
        <w:rPr>
          <w:rFonts w:ascii="Times New Roman" w:hAnsi="Times New Roman"/>
          <w:sz w:val="24"/>
          <w:szCs w:val="24"/>
          <w:u w:val="single"/>
        </w:rPr>
        <w:t>–</w:t>
      </w:r>
      <w:r w:rsidRPr="00BA61EE">
        <w:rPr>
          <w:rFonts w:ascii="Times New Roman" w:hAnsi="Times New Roman"/>
          <w:sz w:val="24"/>
          <w:szCs w:val="24"/>
          <w:u w:val="single"/>
        </w:rPr>
        <w:t xml:space="preserve"> Commencement</w:t>
      </w:r>
    </w:p>
    <w:p w14:paraId="26432A0D" w14:textId="26DE45B1" w:rsidR="00DB5EB8" w:rsidRDefault="00971B15" w:rsidP="00DB5EB8">
      <w:pPr>
        <w:rPr>
          <w:rFonts w:ascii="Times New Roman" w:hAnsi="Times New Roman"/>
          <w:sz w:val="24"/>
          <w:szCs w:val="24"/>
        </w:rPr>
      </w:pPr>
      <w:r w:rsidRPr="00946E18">
        <w:rPr>
          <w:rFonts w:ascii="Times New Roman" w:hAnsi="Times New Roman"/>
          <w:sz w:val="24"/>
          <w:szCs w:val="24"/>
        </w:rPr>
        <w:t>This section provides that the Regulation</w:t>
      </w:r>
      <w:r>
        <w:rPr>
          <w:rFonts w:ascii="Times New Roman" w:hAnsi="Times New Roman"/>
          <w:sz w:val="24"/>
          <w:szCs w:val="24"/>
        </w:rPr>
        <w:t>s</w:t>
      </w:r>
      <w:r w:rsidRPr="00946E18">
        <w:rPr>
          <w:rFonts w:ascii="Times New Roman" w:hAnsi="Times New Roman"/>
          <w:sz w:val="24"/>
          <w:szCs w:val="24"/>
        </w:rPr>
        <w:t xml:space="preserve"> commence on </w:t>
      </w:r>
      <w:r>
        <w:rPr>
          <w:rFonts w:ascii="Times New Roman" w:hAnsi="Times New Roman"/>
          <w:sz w:val="24"/>
          <w:szCs w:val="24"/>
        </w:rPr>
        <w:t xml:space="preserve">the day after </w:t>
      </w:r>
      <w:r w:rsidR="00720CF5">
        <w:rPr>
          <w:rFonts w:ascii="Times New Roman" w:hAnsi="Times New Roman"/>
          <w:sz w:val="24"/>
          <w:szCs w:val="24"/>
        </w:rPr>
        <w:t>the instrument is registered</w:t>
      </w:r>
      <w:r>
        <w:rPr>
          <w:rFonts w:ascii="Times New Roman" w:hAnsi="Times New Roman"/>
          <w:sz w:val="24"/>
          <w:szCs w:val="24"/>
        </w:rPr>
        <w:t xml:space="preserve">. </w:t>
      </w:r>
    </w:p>
    <w:p w14:paraId="26432A0E" w14:textId="2332FEB7" w:rsidR="00DB5EB8" w:rsidRPr="00BA61EE" w:rsidRDefault="00971B15" w:rsidP="00296463">
      <w:pPr>
        <w:tabs>
          <w:tab w:val="left" w:pos="7058"/>
        </w:tabs>
        <w:spacing w:line="240" w:lineRule="auto"/>
        <w:outlineLvl w:val="0"/>
        <w:rPr>
          <w:rFonts w:ascii="Times New Roman" w:hAnsi="Times New Roman"/>
          <w:i/>
          <w:sz w:val="24"/>
          <w:szCs w:val="24"/>
          <w:u w:val="single"/>
        </w:rPr>
      </w:pPr>
      <w:r w:rsidRPr="00BA61EE">
        <w:rPr>
          <w:rFonts w:ascii="Times New Roman" w:hAnsi="Times New Roman"/>
          <w:sz w:val="24"/>
          <w:szCs w:val="24"/>
          <w:u w:val="single"/>
        </w:rPr>
        <w:t xml:space="preserve">Section 3 </w:t>
      </w:r>
      <w:r>
        <w:rPr>
          <w:rFonts w:ascii="Times New Roman" w:hAnsi="Times New Roman"/>
          <w:sz w:val="24"/>
          <w:szCs w:val="24"/>
          <w:u w:val="single"/>
        </w:rPr>
        <w:t>–</w:t>
      </w:r>
      <w:r w:rsidRPr="00BA61EE">
        <w:rPr>
          <w:rFonts w:ascii="Times New Roman" w:hAnsi="Times New Roman"/>
          <w:sz w:val="24"/>
          <w:szCs w:val="24"/>
          <w:u w:val="single"/>
        </w:rPr>
        <w:t xml:space="preserve"> Authority</w:t>
      </w:r>
    </w:p>
    <w:p w14:paraId="26432A0F" w14:textId="60D2507F" w:rsidR="00DB5EB8" w:rsidRPr="00BA61EE" w:rsidRDefault="00971B15" w:rsidP="00DB5EB8">
      <w:pPr>
        <w:spacing w:line="240" w:lineRule="auto"/>
        <w:rPr>
          <w:rFonts w:ascii="Times New Roman" w:hAnsi="Times New Roman"/>
          <w:sz w:val="24"/>
          <w:szCs w:val="24"/>
        </w:rPr>
      </w:pPr>
      <w:r w:rsidRPr="00BA61EE">
        <w:rPr>
          <w:rFonts w:ascii="Times New Roman" w:hAnsi="Times New Roman"/>
          <w:sz w:val="24"/>
          <w:szCs w:val="24"/>
        </w:rPr>
        <w:t>This section provides that the Regulation</w:t>
      </w:r>
      <w:r>
        <w:rPr>
          <w:rFonts w:ascii="Times New Roman" w:hAnsi="Times New Roman"/>
          <w:sz w:val="24"/>
          <w:szCs w:val="24"/>
        </w:rPr>
        <w:t>s</w:t>
      </w:r>
      <w:r w:rsidRPr="00BA61EE">
        <w:rPr>
          <w:rFonts w:ascii="Times New Roman" w:hAnsi="Times New Roman"/>
          <w:sz w:val="24"/>
          <w:szCs w:val="24"/>
        </w:rPr>
        <w:t xml:space="preserve"> </w:t>
      </w:r>
      <w:r>
        <w:rPr>
          <w:rFonts w:ascii="Times New Roman" w:hAnsi="Times New Roman"/>
          <w:sz w:val="24"/>
          <w:szCs w:val="24"/>
        </w:rPr>
        <w:t>are</w:t>
      </w:r>
      <w:r w:rsidRPr="00BA61EE">
        <w:rPr>
          <w:rFonts w:ascii="Times New Roman" w:hAnsi="Times New Roman"/>
          <w:sz w:val="24"/>
          <w:szCs w:val="24"/>
        </w:rPr>
        <w:t xml:space="preserve"> made under the </w:t>
      </w:r>
      <w:r w:rsidRPr="00BA61EE">
        <w:rPr>
          <w:rFonts w:ascii="Times New Roman" w:hAnsi="Times New Roman"/>
          <w:i/>
          <w:sz w:val="24"/>
          <w:szCs w:val="24"/>
        </w:rPr>
        <w:t>Water Act 2007</w:t>
      </w:r>
      <w:r w:rsidRPr="00BA61EE">
        <w:rPr>
          <w:rFonts w:ascii="Times New Roman" w:hAnsi="Times New Roman"/>
          <w:sz w:val="24"/>
          <w:szCs w:val="24"/>
        </w:rPr>
        <w:t xml:space="preserve"> (</w:t>
      </w:r>
      <w:r>
        <w:rPr>
          <w:rFonts w:ascii="Times New Roman" w:hAnsi="Times New Roman"/>
          <w:sz w:val="24"/>
          <w:szCs w:val="24"/>
        </w:rPr>
        <w:t xml:space="preserve">the </w:t>
      </w:r>
      <w:r w:rsidRPr="00BA61EE">
        <w:rPr>
          <w:rFonts w:ascii="Times New Roman" w:hAnsi="Times New Roman"/>
          <w:sz w:val="24"/>
          <w:szCs w:val="24"/>
        </w:rPr>
        <w:t>Act).</w:t>
      </w:r>
    </w:p>
    <w:p w14:paraId="26432A10" w14:textId="77777777" w:rsidR="00DB5EB8" w:rsidRDefault="00971B15" w:rsidP="00DB5EB8">
      <w:pPr>
        <w:spacing w:line="240" w:lineRule="auto"/>
        <w:outlineLvl w:val="0"/>
        <w:rPr>
          <w:rFonts w:ascii="Times New Roman" w:hAnsi="Times New Roman"/>
          <w:sz w:val="24"/>
          <w:szCs w:val="24"/>
          <w:u w:val="single"/>
        </w:rPr>
      </w:pPr>
      <w:r>
        <w:rPr>
          <w:rFonts w:ascii="Times New Roman" w:hAnsi="Times New Roman"/>
          <w:sz w:val="24"/>
          <w:szCs w:val="24"/>
          <w:u w:val="single"/>
        </w:rPr>
        <w:t>Section 4 – Repeal of this instrument</w:t>
      </w:r>
    </w:p>
    <w:p w14:paraId="26432A11" w14:textId="68D60698" w:rsidR="002B08F6" w:rsidRPr="002B08F6" w:rsidRDefault="00971B15" w:rsidP="00DB5EB8">
      <w:pPr>
        <w:spacing w:line="240" w:lineRule="auto"/>
        <w:outlineLvl w:val="0"/>
        <w:rPr>
          <w:rFonts w:ascii="Times New Roman" w:hAnsi="Times New Roman"/>
          <w:sz w:val="24"/>
          <w:szCs w:val="24"/>
        </w:rPr>
      </w:pPr>
      <w:r w:rsidRPr="002B08F6">
        <w:rPr>
          <w:rFonts w:ascii="Times New Roman" w:hAnsi="Times New Roman"/>
          <w:sz w:val="24"/>
          <w:szCs w:val="24"/>
        </w:rPr>
        <w:t>This section provides for the Regulation</w:t>
      </w:r>
      <w:r>
        <w:rPr>
          <w:rFonts w:ascii="Times New Roman" w:hAnsi="Times New Roman"/>
          <w:sz w:val="24"/>
          <w:szCs w:val="24"/>
        </w:rPr>
        <w:t>s</w:t>
      </w:r>
      <w:r w:rsidRPr="002B08F6">
        <w:rPr>
          <w:rFonts w:ascii="Times New Roman" w:hAnsi="Times New Roman"/>
          <w:sz w:val="24"/>
          <w:szCs w:val="24"/>
        </w:rPr>
        <w:t xml:space="preserve"> to be repealed on the day after commence</w:t>
      </w:r>
      <w:r>
        <w:rPr>
          <w:rFonts w:ascii="Times New Roman" w:hAnsi="Times New Roman"/>
          <w:sz w:val="24"/>
          <w:szCs w:val="24"/>
        </w:rPr>
        <w:t>ment</w:t>
      </w:r>
      <w:r w:rsidRPr="002B08F6">
        <w:rPr>
          <w:rFonts w:ascii="Times New Roman" w:hAnsi="Times New Roman"/>
          <w:sz w:val="24"/>
          <w:szCs w:val="24"/>
        </w:rPr>
        <w:t>. When the Regulation</w:t>
      </w:r>
      <w:r>
        <w:rPr>
          <w:rFonts w:ascii="Times New Roman" w:hAnsi="Times New Roman"/>
          <w:sz w:val="24"/>
          <w:szCs w:val="24"/>
        </w:rPr>
        <w:t>s</w:t>
      </w:r>
      <w:r w:rsidRPr="002B08F6">
        <w:rPr>
          <w:rFonts w:ascii="Times New Roman" w:hAnsi="Times New Roman"/>
          <w:sz w:val="24"/>
          <w:szCs w:val="24"/>
        </w:rPr>
        <w:t xml:space="preserve"> commence</w:t>
      </w:r>
      <w:r>
        <w:rPr>
          <w:rFonts w:ascii="Times New Roman" w:hAnsi="Times New Roman"/>
          <w:sz w:val="24"/>
          <w:szCs w:val="24"/>
        </w:rPr>
        <w:t>, they will</w:t>
      </w:r>
      <w:r w:rsidRPr="002B08F6">
        <w:rPr>
          <w:rFonts w:ascii="Times New Roman" w:hAnsi="Times New Roman"/>
          <w:sz w:val="24"/>
          <w:szCs w:val="24"/>
        </w:rPr>
        <w:t xml:space="preserve"> amend the text of the Murray-Darling Basin Agreement</w:t>
      </w:r>
      <w:r>
        <w:rPr>
          <w:rFonts w:ascii="Times New Roman" w:hAnsi="Times New Roman"/>
          <w:sz w:val="24"/>
          <w:szCs w:val="24"/>
        </w:rPr>
        <w:t xml:space="preserve"> (the Agreement)</w:t>
      </w:r>
      <w:r w:rsidRPr="002B08F6">
        <w:rPr>
          <w:rFonts w:ascii="Times New Roman" w:hAnsi="Times New Roman"/>
          <w:sz w:val="24"/>
          <w:szCs w:val="24"/>
        </w:rPr>
        <w:t xml:space="preserve"> in Schedule 1</w:t>
      </w:r>
      <w:r>
        <w:rPr>
          <w:rFonts w:ascii="Times New Roman" w:hAnsi="Times New Roman"/>
          <w:sz w:val="24"/>
          <w:szCs w:val="24"/>
        </w:rPr>
        <w:t xml:space="preserve"> to the Act</w:t>
      </w:r>
      <w:r w:rsidRPr="002B08F6">
        <w:rPr>
          <w:rFonts w:ascii="Times New Roman" w:hAnsi="Times New Roman"/>
          <w:sz w:val="24"/>
          <w:szCs w:val="24"/>
        </w:rPr>
        <w:t>. After the text of the Agreement is amended</w:t>
      </w:r>
      <w:r>
        <w:rPr>
          <w:rFonts w:ascii="Times New Roman" w:hAnsi="Times New Roman"/>
          <w:sz w:val="24"/>
          <w:szCs w:val="24"/>
        </w:rPr>
        <w:t>,</w:t>
      </w:r>
      <w:r w:rsidRPr="002B08F6">
        <w:rPr>
          <w:rFonts w:ascii="Times New Roman" w:hAnsi="Times New Roman"/>
          <w:sz w:val="24"/>
          <w:szCs w:val="24"/>
        </w:rPr>
        <w:t xml:space="preserve"> the Regulation</w:t>
      </w:r>
      <w:r>
        <w:rPr>
          <w:rFonts w:ascii="Times New Roman" w:hAnsi="Times New Roman"/>
          <w:sz w:val="24"/>
          <w:szCs w:val="24"/>
        </w:rPr>
        <w:t>s</w:t>
      </w:r>
      <w:r w:rsidRPr="002B08F6">
        <w:rPr>
          <w:rFonts w:ascii="Times New Roman" w:hAnsi="Times New Roman"/>
          <w:sz w:val="24"/>
          <w:szCs w:val="24"/>
        </w:rPr>
        <w:t xml:space="preserve"> will have no continuing le</w:t>
      </w:r>
      <w:r>
        <w:rPr>
          <w:rFonts w:ascii="Times New Roman" w:hAnsi="Times New Roman"/>
          <w:sz w:val="24"/>
          <w:szCs w:val="24"/>
        </w:rPr>
        <w:t>gal effect and can therefore be repealed.</w:t>
      </w:r>
    </w:p>
    <w:p w14:paraId="26432A12" w14:textId="77777777" w:rsidR="002B08F6" w:rsidRPr="00BA61EE" w:rsidRDefault="00971B15" w:rsidP="00DB5EB8">
      <w:pPr>
        <w:spacing w:line="240" w:lineRule="auto"/>
        <w:outlineLvl w:val="0"/>
        <w:rPr>
          <w:rFonts w:ascii="Times New Roman" w:hAnsi="Times New Roman"/>
          <w:i/>
          <w:sz w:val="24"/>
          <w:szCs w:val="24"/>
          <w:u w:val="single"/>
        </w:rPr>
      </w:pPr>
      <w:r>
        <w:rPr>
          <w:rFonts w:ascii="Times New Roman" w:hAnsi="Times New Roman"/>
          <w:sz w:val="24"/>
          <w:szCs w:val="24"/>
          <w:u w:val="single"/>
        </w:rPr>
        <w:t>Section 5 – Schedules</w:t>
      </w:r>
    </w:p>
    <w:p w14:paraId="26432A13" w14:textId="77777777" w:rsidR="00DB5EB8" w:rsidRPr="00BA61EE" w:rsidRDefault="00971B15" w:rsidP="00DB5EB8">
      <w:pPr>
        <w:spacing w:line="240" w:lineRule="auto"/>
        <w:rPr>
          <w:rFonts w:ascii="Times New Roman" w:hAnsi="Times New Roman"/>
          <w:sz w:val="24"/>
          <w:szCs w:val="24"/>
        </w:rPr>
      </w:pPr>
      <w:r w:rsidRPr="00BA61EE">
        <w:rPr>
          <w:rFonts w:ascii="Times New Roman" w:hAnsi="Times New Roman"/>
          <w:sz w:val="24"/>
          <w:szCs w:val="24"/>
        </w:rPr>
        <w:t>This section provides that each instrument that is specified in a Schedule is amended or repealed as set out in the applicable items in the Schedule concerned, and any other item in a Schedule has effect according to its terms.</w:t>
      </w:r>
    </w:p>
    <w:p w14:paraId="26432A14" w14:textId="77777777" w:rsidR="00DB5EB8" w:rsidRDefault="00971B15" w:rsidP="00DB5EB8">
      <w:pPr>
        <w:spacing w:line="240" w:lineRule="auto"/>
        <w:outlineLvl w:val="0"/>
        <w:rPr>
          <w:rFonts w:ascii="Times New Roman" w:hAnsi="Times New Roman"/>
          <w:b/>
          <w:sz w:val="24"/>
          <w:szCs w:val="24"/>
          <w:u w:val="single"/>
        </w:rPr>
      </w:pPr>
      <w:r>
        <w:rPr>
          <w:rFonts w:ascii="Times New Roman" w:hAnsi="Times New Roman"/>
          <w:b/>
          <w:sz w:val="24"/>
          <w:szCs w:val="24"/>
          <w:u w:val="single"/>
        </w:rPr>
        <w:t>Schedule 1 – Amendment of the Murray-Darling Basin Agreement</w:t>
      </w:r>
    </w:p>
    <w:p w14:paraId="26432A15" w14:textId="77777777" w:rsidR="00907870" w:rsidRPr="00C2676F" w:rsidRDefault="00971B15" w:rsidP="00DB5EB8">
      <w:pPr>
        <w:spacing w:line="240" w:lineRule="auto"/>
        <w:outlineLvl w:val="0"/>
        <w:rPr>
          <w:rFonts w:ascii="Times New Roman" w:hAnsi="Times New Roman"/>
          <w:b/>
          <w:sz w:val="24"/>
          <w:szCs w:val="24"/>
          <w:u w:val="single"/>
        </w:rPr>
      </w:pPr>
      <w:r>
        <w:rPr>
          <w:rFonts w:ascii="Times New Roman" w:hAnsi="Times New Roman"/>
          <w:b/>
          <w:sz w:val="24"/>
          <w:szCs w:val="24"/>
          <w:u w:val="single"/>
        </w:rPr>
        <w:t>Part 1 – Corporate Plans</w:t>
      </w:r>
    </w:p>
    <w:p w14:paraId="26432A16" w14:textId="77777777" w:rsidR="00DB5EB8" w:rsidRPr="00F84801" w:rsidRDefault="00971B15" w:rsidP="00DB5EB8">
      <w:pPr>
        <w:spacing w:line="240" w:lineRule="auto"/>
        <w:outlineLvl w:val="0"/>
        <w:rPr>
          <w:rFonts w:ascii="Times New Roman" w:hAnsi="Times New Roman"/>
          <w:sz w:val="24"/>
          <w:szCs w:val="24"/>
          <w:u w:val="single"/>
        </w:rPr>
      </w:pPr>
      <w:r w:rsidRPr="007E2215">
        <w:rPr>
          <w:rFonts w:ascii="Times New Roman" w:hAnsi="Times New Roman"/>
          <w:sz w:val="24"/>
          <w:szCs w:val="24"/>
          <w:u w:val="single"/>
        </w:rPr>
        <w:t>Murray-Darling Basin Agreement, Schedule 1 to the</w:t>
      </w:r>
      <w:r>
        <w:rPr>
          <w:rFonts w:ascii="Times New Roman" w:hAnsi="Times New Roman"/>
          <w:i/>
          <w:sz w:val="24"/>
          <w:szCs w:val="24"/>
          <w:u w:val="single"/>
        </w:rPr>
        <w:t xml:space="preserve"> Water Act 2007 </w:t>
      </w:r>
    </w:p>
    <w:p w14:paraId="26432A17" w14:textId="77777777" w:rsidR="00DB5EB8" w:rsidRPr="00946E18" w:rsidRDefault="00971B15" w:rsidP="00DB5EB8">
      <w:pPr>
        <w:spacing w:line="240" w:lineRule="auto"/>
        <w:rPr>
          <w:rFonts w:ascii="Times New Roman" w:hAnsi="Times New Roman"/>
          <w:b/>
          <w:sz w:val="24"/>
          <w:szCs w:val="24"/>
        </w:rPr>
      </w:pPr>
      <w:r>
        <w:rPr>
          <w:rFonts w:ascii="Times New Roman" w:hAnsi="Times New Roman"/>
          <w:b/>
          <w:sz w:val="24"/>
          <w:szCs w:val="24"/>
        </w:rPr>
        <w:t xml:space="preserve">Item </w:t>
      </w:r>
      <w:r w:rsidRPr="00BA61EE">
        <w:rPr>
          <w:rFonts w:ascii="Times New Roman" w:hAnsi="Times New Roman"/>
          <w:b/>
          <w:sz w:val="24"/>
          <w:szCs w:val="24"/>
        </w:rPr>
        <w:t xml:space="preserve">1 </w:t>
      </w:r>
      <w:r>
        <w:rPr>
          <w:rFonts w:ascii="Times New Roman" w:hAnsi="Times New Roman"/>
          <w:b/>
          <w:sz w:val="24"/>
          <w:szCs w:val="24"/>
        </w:rPr>
        <w:t xml:space="preserve">– </w:t>
      </w:r>
      <w:r w:rsidRPr="00CD1450">
        <w:rPr>
          <w:rFonts w:ascii="Times New Roman" w:hAnsi="Times New Roman"/>
          <w:b/>
          <w:sz w:val="24"/>
          <w:szCs w:val="24"/>
        </w:rPr>
        <w:t>Clause </w:t>
      </w:r>
      <w:r>
        <w:rPr>
          <w:rFonts w:ascii="Times New Roman" w:hAnsi="Times New Roman"/>
          <w:b/>
          <w:sz w:val="24"/>
          <w:szCs w:val="24"/>
        </w:rPr>
        <w:t xml:space="preserve">2 of </w:t>
      </w:r>
      <w:r w:rsidRPr="00CD1450">
        <w:rPr>
          <w:rFonts w:ascii="Times New Roman" w:hAnsi="Times New Roman"/>
          <w:b/>
          <w:sz w:val="24"/>
          <w:szCs w:val="24"/>
        </w:rPr>
        <w:t>Schedule </w:t>
      </w:r>
      <w:r>
        <w:rPr>
          <w:rFonts w:ascii="Times New Roman" w:hAnsi="Times New Roman"/>
          <w:b/>
          <w:sz w:val="24"/>
          <w:szCs w:val="24"/>
        </w:rPr>
        <w:t>1</w:t>
      </w:r>
    </w:p>
    <w:p w14:paraId="26432A18" w14:textId="77777777" w:rsidR="006A5541" w:rsidRDefault="00971B15" w:rsidP="00DB5EB8">
      <w:pPr>
        <w:spacing w:line="240" w:lineRule="auto"/>
        <w:rPr>
          <w:rFonts w:ascii="Times New Roman" w:hAnsi="Times New Roman"/>
          <w:sz w:val="24"/>
          <w:szCs w:val="24"/>
        </w:rPr>
      </w:pPr>
      <w:r>
        <w:rPr>
          <w:rFonts w:ascii="Times New Roman" w:hAnsi="Times New Roman"/>
          <w:sz w:val="24"/>
          <w:szCs w:val="24"/>
        </w:rPr>
        <w:t xml:space="preserve">This item inserts a new definition — ‘work plan’ — into clause 2 of the Agreement. A work plan is defined as a work plan approved under clause 34A of the Agreement, and includes any amendments to that plan approved under clause 35 of the Agreement. </w:t>
      </w:r>
    </w:p>
    <w:p w14:paraId="26432A19" w14:textId="77777777" w:rsidR="00CE38A0" w:rsidRDefault="00971B15" w:rsidP="00DB5EB8">
      <w:pPr>
        <w:spacing w:line="240" w:lineRule="auto"/>
        <w:rPr>
          <w:rFonts w:ascii="Times New Roman" w:hAnsi="Times New Roman"/>
          <w:sz w:val="24"/>
          <w:szCs w:val="24"/>
        </w:rPr>
      </w:pPr>
      <w:r>
        <w:rPr>
          <w:rFonts w:ascii="Times New Roman" w:hAnsi="Times New Roman"/>
          <w:sz w:val="24"/>
          <w:szCs w:val="24"/>
        </w:rPr>
        <w:t xml:space="preserve">A work plan is distinct from a ‘corporate plan’ (also defined under clause 2) in several ways. </w:t>
      </w:r>
    </w:p>
    <w:p w14:paraId="26432A1A" w14:textId="75C7DC8B" w:rsidR="00831773" w:rsidRDefault="00971B15" w:rsidP="00DB5EB8">
      <w:pPr>
        <w:spacing w:line="240" w:lineRule="auto"/>
        <w:rPr>
          <w:rFonts w:ascii="Times New Roman" w:hAnsi="Times New Roman"/>
          <w:sz w:val="24"/>
          <w:szCs w:val="24"/>
        </w:rPr>
      </w:pPr>
      <w:r>
        <w:rPr>
          <w:rFonts w:ascii="Times New Roman" w:hAnsi="Times New Roman"/>
          <w:sz w:val="24"/>
          <w:szCs w:val="24"/>
        </w:rPr>
        <w:t xml:space="preserve">A corporate plan is prepared specifically to comply with section 35 of the </w:t>
      </w:r>
      <w:r w:rsidRPr="001259C9">
        <w:rPr>
          <w:rFonts w:ascii="Times New Roman" w:hAnsi="Times New Roman"/>
          <w:i/>
          <w:sz w:val="24"/>
          <w:szCs w:val="24"/>
        </w:rPr>
        <w:t>Public Governance Performance and Accountability Act 2013</w:t>
      </w:r>
      <w:r>
        <w:rPr>
          <w:rFonts w:ascii="Times New Roman" w:hAnsi="Times New Roman"/>
          <w:i/>
          <w:sz w:val="24"/>
          <w:szCs w:val="24"/>
        </w:rPr>
        <w:t xml:space="preserve"> </w:t>
      </w:r>
      <w:r>
        <w:rPr>
          <w:rFonts w:ascii="Times New Roman" w:hAnsi="Times New Roman"/>
          <w:sz w:val="24"/>
          <w:szCs w:val="24"/>
        </w:rPr>
        <w:t xml:space="preserve">(PGPA Act), section 16E of the </w:t>
      </w:r>
      <w:r w:rsidRPr="00A55792">
        <w:rPr>
          <w:rFonts w:ascii="Times New Roman" w:hAnsi="Times New Roman"/>
          <w:i/>
          <w:sz w:val="24"/>
          <w:szCs w:val="24"/>
        </w:rPr>
        <w:t xml:space="preserve">Public Governance, Performance and Accountability Rule 2014 </w:t>
      </w:r>
      <w:r>
        <w:rPr>
          <w:rFonts w:ascii="Times New Roman" w:hAnsi="Times New Roman"/>
          <w:sz w:val="24"/>
          <w:szCs w:val="24"/>
        </w:rPr>
        <w:t xml:space="preserve">(PGPA Rule), and section 213A of the Act. The corporate plan is required to be published on the Murray-Darling Basin Authority’s (the Authority’s) website and must contain information about the Authority’s: purposes, operating environment, performance expectations and measures, key strategies and plans, and information on risk management. A corporate plan must also </w:t>
      </w:r>
      <w:r w:rsidRPr="00CE38A0">
        <w:rPr>
          <w:rFonts w:ascii="Times New Roman" w:hAnsi="Times New Roman"/>
          <w:sz w:val="24"/>
          <w:szCs w:val="24"/>
        </w:rPr>
        <w:t xml:space="preserve">be published on the </w:t>
      </w:r>
      <w:r>
        <w:rPr>
          <w:rFonts w:ascii="Times New Roman" w:hAnsi="Times New Roman"/>
          <w:sz w:val="24"/>
          <w:szCs w:val="24"/>
        </w:rPr>
        <w:t xml:space="preserve">Authority’s </w:t>
      </w:r>
      <w:r w:rsidRPr="00CE38A0">
        <w:rPr>
          <w:rFonts w:ascii="Times New Roman" w:hAnsi="Times New Roman"/>
          <w:sz w:val="24"/>
          <w:szCs w:val="24"/>
        </w:rPr>
        <w:t>website by the last day of the second month of the reporting period for which the plan is prepared.</w:t>
      </w:r>
      <w:r>
        <w:rPr>
          <w:rFonts w:ascii="Times New Roman" w:hAnsi="Times New Roman"/>
          <w:sz w:val="24"/>
          <w:szCs w:val="24"/>
        </w:rPr>
        <w:t xml:space="preserve"> Further detail on the specific requirements for a corporate plan are at section 16E of the PGPA Rule.</w:t>
      </w:r>
    </w:p>
    <w:p w14:paraId="26432A1B" w14:textId="1B2CBB28" w:rsidR="002B08F6" w:rsidRDefault="00971B15" w:rsidP="00DB5EB8">
      <w:pPr>
        <w:spacing w:line="240" w:lineRule="auto"/>
        <w:rPr>
          <w:rFonts w:ascii="Times New Roman" w:hAnsi="Times New Roman"/>
          <w:sz w:val="24"/>
          <w:szCs w:val="24"/>
        </w:rPr>
      </w:pPr>
      <w:r>
        <w:rPr>
          <w:rFonts w:ascii="Times New Roman" w:hAnsi="Times New Roman"/>
          <w:sz w:val="24"/>
          <w:szCs w:val="24"/>
        </w:rPr>
        <w:t>A work plan is a more detailed document that provides additional information on the Authority’s activities, including capital works and operational and maintenance program</w:t>
      </w:r>
      <w:r w:rsidR="00C70540">
        <w:rPr>
          <w:rFonts w:ascii="Times New Roman" w:hAnsi="Times New Roman"/>
          <w:sz w:val="24"/>
          <w:szCs w:val="24"/>
        </w:rPr>
        <w:t>me</w:t>
      </w:r>
      <w:r>
        <w:rPr>
          <w:rFonts w:ascii="Times New Roman" w:hAnsi="Times New Roman"/>
          <w:sz w:val="24"/>
          <w:szCs w:val="24"/>
        </w:rPr>
        <w:t>s to be undertaken, and budget information for the activities, works and program</w:t>
      </w:r>
      <w:r w:rsidR="00C70540">
        <w:rPr>
          <w:rFonts w:ascii="Times New Roman" w:hAnsi="Times New Roman"/>
          <w:sz w:val="24"/>
          <w:szCs w:val="24"/>
        </w:rPr>
        <w:t>me</w:t>
      </w:r>
      <w:r>
        <w:rPr>
          <w:rFonts w:ascii="Times New Roman" w:hAnsi="Times New Roman"/>
          <w:sz w:val="24"/>
          <w:szCs w:val="24"/>
        </w:rPr>
        <w:t xml:space="preserve">s. The work </w:t>
      </w:r>
      <w:r>
        <w:rPr>
          <w:rFonts w:ascii="Times New Roman" w:hAnsi="Times New Roman"/>
          <w:sz w:val="24"/>
          <w:szCs w:val="24"/>
        </w:rPr>
        <w:lastRenderedPageBreak/>
        <w:t xml:space="preserve">plan may also include any other matters relevant to the Authority’s functions as the Authority sees fit. Due to its operational nature, the work plan will not be published. </w:t>
      </w:r>
    </w:p>
    <w:p w14:paraId="26432A1C" w14:textId="77777777" w:rsidR="00CE38A0" w:rsidRPr="00946E18" w:rsidRDefault="00971B15" w:rsidP="00CE38A0">
      <w:pPr>
        <w:spacing w:line="240" w:lineRule="auto"/>
        <w:rPr>
          <w:rFonts w:ascii="Times New Roman" w:hAnsi="Times New Roman"/>
          <w:b/>
          <w:sz w:val="24"/>
          <w:szCs w:val="24"/>
        </w:rPr>
      </w:pPr>
      <w:r>
        <w:rPr>
          <w:rFonts w:ascii="Times New Roman" w:hAnsi="Times New Roman"/>
          <w:b/>
          <w:sz w:val="24"/>
          <w:szCs w:val="24"/>
        </w:rPr>
        <w:t>Item 2</w:t>
      </w:r>
      <w:r w:rsidRPr="00BA61EE">
        <w:rPr>
          <w:rFonts w:ascii="Times New Roman" w:hAnsi="Times New Roman"/>
          <w:b/>
          <w:sz w:val="24"/>
          <w:szCs w:val="24"/>
        </w:rPr>
        <w:t xml:space="preserve"> </w:t>
      </w:r>
      <w:r>
        <w:rPr>
          <w:rFonts w:ascii="Times New Roman" w:hAnsi="Times New Roman"/>
          <w:b/>
          <w:sz w:val="24"/>
          <w:szCs w:val="24"/>
        </w:rPr>
        <w:t xml:space="preserve">– Paragraph 9(c) of </w:t>
      </w:r>
      <w:r w:rsidRPr="00CD1450">
        <w:rPr>
          <w:rFonts w:ascii="Times New Roman" w:hAnsi="Times New Roman"/>
          <w:b/>
          <w:sz w:val="24"/>
          <w:szCs w:val="24"/>
        </w:rPr>
        <w:t>Schedule </w:t>
      </w:r>
      <w:r>
        <w:rPr>
          <w:rFonts w:ascii="Times New Roman" w:hAnsi="Times New Roman"/>
          <w:b/>
          <w:sz w:val="24"/>
          <w:szCs w:val="24"/>
        </w:rPr>
        <w:t>1</w:t>
      </w:r>
    </w:p>
    <w:p w14:paraId="26432A1D" w14:textId="77777777" w:rsidR="006A5541" w:rsidRDefault="00971B15" w:rsidP="00DB5EB8">
      <w:pPr>
        <w:spacing w:line="240" w:lineRule="auto"/>
        <w:rPr>
          <w:rFonts w:ascii="Times New Roman" w:hAnsi="Times New Roman"/>
          <w:sz w:val="24"/>
          <w:szCs w:val="24"/>
        </w:rPr>
      </w:pPr>
      <w:r>
        <w:rPr>
          <w:rFonts w:ascii="Times New Roman" w:hAnsi="Times New Roman"/>
          <w:sz w:val="24"/>
          <w:szCs w:val="24"/>
        </w:rPr>
        <w:t xml:space="preserve">This item deletes the words ‘and budget, and’ and substitutes them with ‘, the annual work plan, and the’. </w:t>
      </w:r>
    </w:p>
    <w:p w14:paraId="26432A1E" w14:textId="1E14B8E9" w:rsidR="006F551E" w:rsidRDefault="00971B15" w:rsidP="00DB5EB8">
      <w:pPr>
        <w:spacing w:line="240" w:lineRule="auto"/>
        <w:rPr>
          <w:rFonts w:ascii="Times New Roman" w:hAnsi="Times New Roman"/>
          <w:sz w:val="24"/>
          <w:szCs w:val="24"/>
        </w:rPr>
      </w:pPr>
      <w:r>
        <w:rPr>
          <w:rFonts w:ascii="Times New Roman" w:hAnsi="Times New Roman"/>
          <w:sz w:val="24"/>
          <w:szCs w:val="24"/>
        </w:rPr>
        <w:t>The effect of this item is to clarify that one of the functions of the Murray-Darling Basin Ministerial Council (the Council) is to approve both the annual corporate plan and the annual work plan.</w:t>
      </w:r>
    </w:p>
    <w:p w14:paraId="26432A1F" w14:textId="77777777" w:rsidR="006F551E" w:rsidRDefault="00971B15" w:rsidP="00DB5EB8">
      <w:pPr>
        <w:spacing w:line="240" w:lineRule="auto"/>
        <w:rPr>
          <w:rFonts w:ascii="Times New Roman" w:hAnsi="Times New Roman"/>
          <w:b/>
          <w:sz w:val="24"/>
          <w:szCs w:val="24"/>
        </w:rPr>
      </w:pPr>
      <w:r>
        <w:rPr>
          <w:rFonts w:ascii="Times New Roman" w:hAnsi="Times New Roman"/>
          <w:b/>
          <w:sz w:val="24"/>
          <w:szCs w:val="24"/>
        </w:rPr>
        <w:t>Item 3 – Paragraph 9(ca) of Schedule 1</w:t>
      </w:r>
    </w:p>
    <w:p w14:paraId="26432A20" w14:textId="77777777" w:rsidR="006F551E" w:rsidRDefault="00971B15" w:rsidP="00DB5EB8">
      <w:pPr>
        <w:spacing w:line="240" w:lineRule="auto"/>
        <w:rPr>
          <w:rFonts w:ascii="Times New Roman" w:hAnsi="Times New Roman"/>
          <w:sz w:val="24"/>
          <w:szCs w:val="24"/>
        </w:rPr>
      </w:pPr>
      <w:r>
        <w:rPr>
          <w:rFonts w:ascii="Times New Roman" w:hAnsi="Times New Roman"/>
          <w:sz w:val="24"/>
          <w:szCs w:val="24"/>
        </w:rPr>
        <w:t>This item inserts the words ‘or the annual work plan’ after ‘annual corporate plan’.</w:t>
      </w:r>
    </w:p>
    <w:p w14:paraId="26432A21" w14:textId="1C069225" w:rsidR="006F551E" w:rsidRDefault="00971B15" w:rsidP="00DB5EB8">
      <w:pPr>
        <w:spacing w:line="240" w:lineRule="auto"/>
        <w:rPr>
          <w:rFonts w:ascii="Times New Roman" w:hAnsi="Times New Roman"/>
          <w:sz w:val="24"/>
          <w:szCs w:val="24"/>
        </w:rPr>
      </w:pPr>
      <w:r>
        <w:rPr>
          <w:rFonts w:ascii="Times New Roman" w:hAnsi="Times New Roman"/>
          <w:sz w:val="24"/>
          <w:szCs w:val="24"/>
        </w:rPr>
        <w:t xml:space="preserve">The effect of this item is to make clear that one of the functions of the Council is to approve any amendments to both the annual corporate plan and the annual work plan. </w:t>
      </w:r>
    </w:p>
    <w:p w14:paraId="26432A22" w14:textId="77777777" w:rsidR="006F551E" w:rsidRPr="006F551E" w:rsidRDefault="00971B15" w:rsidP="00DB5EB8">
      <w:pPr>
        <w:spacing w:line="240" w:lineRule="auto"/>
        <w:rPr>
          <w:rFonts w:ascii="Times New Roman" w:hAnsi="Times New Roman"/>
          <w:b/>
          <w:sz w:val="24"/>
          <w:szCs w:val="24"/>
        </w:rPr>
      </w:pPr>
      <w:r w:rsidRPr="006F551E">
        <w:rPr>
          <w:rFonts w:ascii="Times New Roman" w:hAnsi="Times New Roman"/>
          <w:b/>
          <w:sz w:val="24"/>
          <w:szCs w:val="24"/>
        </w:rPr>
        <w:t>Item 4 – After paragraph 29(2</w:t>
      </w:r>
      <w:proofErr w:type="gramStart"/>
      <w:r w:rsidRPr="006F551E">
        <w:rPr>
          <w:rFonts w:ascii="Times New Roman" w:hAnsi="Times New Roman"/>
          <w:b/>
          <w:sz w:val="24"/>
          <w:szCs w:val="24"/>
        </w:rPr>
        <w:t>)(</w:t>
      </w:r>
      <w:proofErr w:type="gramEnd"/>
      <w:r w:rsidRPr="006F551E">
        <w:rPr>
          <w:rFonts w:ascii="Times New Roman" w:hAnsi="Times New Roman"/>
          <w:b/>
          <w:sz w:val="24"/>
          <w:szCs w:val="24"/>
        </w:rPr>
        <w:t xml:space="preserve">b) of Schedule 1 </w:t>
      </w:r>
    </w:p>
    <w:p w14:paraId="26432A23" w14:textId="77777777" w:rsidR="002B08F6" w:rsidRDefault="00971B15" w:rsidP="00DB5EB8">
      <w:pPr>
        <w:spacing w:line="240" w:lineRule="auto"/>
        <w:rPr>
          <w:rFonts w:ascii="Times New Roman" w:hAnsi="Times New Roman"/>
          <w:sz w:val="24"/>
          <w:szCs w:val="24"/>
        </w:rPr>
      </w:pPr>
      <w:r>
        <w:rPr>
          <w:rFonts w:ascii="Times New Roman" w:hAnsi="Times New Roman"/>
          <w:sz w:val="24"/>
          <w:szCs w:val="24"/>
        </w:rPr>
        <w:t>This item inserts the words ‘the work plan’ after subclause 29(2</w:t>
      </w:r>
      <w:proofErr w:type="gramStart"/>
      <w:r>
        <w:rPr>
          <w:rFonts w:ascii="Times New Roman" w:hAnsi="Times New Roman"/>
          <w:sz w:val="24"/>
          <w:szCs w:val="24"/>
        </w:rPr>
        <w:t>)(</w:t>
      </w:r>
      <w:proofErr w:type="gramEnd"/>
      <w:r>
        <w:rPr>
          <w:rFonts w:ascii="Times New Roman" w:hAnsi="Times New Roman"/>
          <w:sz w:val="24"/>
          <w:szCs w:val="24"/>
        </w:rPr>
        <w:t xml:space="preserve">b). </w:t>
      </w:r>
    </w:p>
    <w:p w14:paraId="26432A24" w14:textId="731BE152" w:rsidR="006F551E" w:rsidRDefault="00971B15" w:rsidP="00DB5EB8">
      <w:pPr>
        <w:spacing w:line="240" w:lineRule="auto"/>
        <w:rPr>
          <w:rFonts w:ascii="Times New Roman" w:hAnsi="Times New Roman"/>
          <w:sz w:val="24"/>
          <w:szCs w:val="24"/>
        </w:rPr>
      </w:pPr>
      <w:r>
        <w:rPr>
          <w:rFonts w:ascii="Times New Roman" w:hAnsi="Times New Roman"/>
          <w:sz w:val="24"/>
          <w:szCs w:val="24"/>
        </w:rPr>
        <w:t>The effect of this item is to clarify that the Authority, in carrying out its functions, must act in accordance with, among other things, both the corporate plan and the work plan.</w:t>
      </w:r>
    </w:p>
    <w:p w14:paraId="26432A25" w14:textId="77777777" w:rsidR="00DB462C" w:rsidRDefault="00971B15" w:rsidP="00DB5EB8">
      <w:pPr>
        <w:spacing w:line="240" w:lineRule="auto"/>
        <w:rPr>
          <w:rFonts w:ascii="Times New Roman" w:hAnsi="Times New Roman"/>
          <w:b/>
          <w:sz w:val="24"/>
          <w:szCs w:val="24"/>
        </w:rPr>
      </w:pPr>
      <w:r>
        <w:rPr>
          <w:rFonts w:ascii="Times New Roman" w:hAnsi="Times New Roman"/>
          <w:b/>
          <w:sz w:val="24"/>
          <w:szCs w:val="24"/>
        </w:rPr>
        <w:t>Item 5 – Subclauses 34(1) and (2) of Schedule 1</w:t>
      </w:r>
    </w:p>
    <w:p w14:paraId="26432A26" w14:textId="77777777" w:rsidR="00DB462C" w:rsidRDefault="00971B15" w:rsidP="00DB5EB8">
      <w:pPr>
        <w:spacing w:line="240" w:lineRule="auto"/>
        <w:rPr>
          <w:rFonts w:ascii="Times New Roman" w:hAnsi="Times New Roman"/>
          <w:sz w:val="24"/>
          <w:szCs w:val="24"/>
        </w:rPr>
      </w:pPr>
      <w:r>
        <w:rPr>
          <w:rFonts w:ascii="Times New Roman" w:hAnsi="Times New Roman"/>
          <w:sz w:val="24"/>
          <w:szCs w:val="24"/>
        </w:rPr>
        <w:t xml:space="preserve">This item repeals subclauses 34(1) and (2) and replaces them with new subclauses to give effect to the new requirements for a corporate plan. </w:t>
      </w:r>
    </w:p>
    <w:p w14:paraId="26432A27" w14:textId="0E24A66A" w:rsidR="004101DC" w:rsidRDefault="00971B15" w:rsidP="00DB5EB8">
      <w:pPr>
        <w:spacing w:line="240" w:lineRule="auto"/>
        <w:rPr>
          <w:rFonts w:ascii="Times New Roman" w:hAnsi="Times New Roman"/>
          <w:sz w:val="24"/>
          <w:szCs w:val="24"/>
        </w:rPr>
      </w:pPr>
      <w:r>
        <w:rPr>
          <w:rFonts w:ascii="Times New Roman" w:hAnsi="Times New Roman"/>
          <w:sz w:val="24"/>
          <w:szCs w:val="24"/>
        </w:rPr>
        <w:t>The effect of these amendments is to remove some of the requirements that are currently included in the corporate plan, such as the requirement to provide detail on the capital works and operational and maintenance program</w:t>
      </w:r>
      <w:r w:rsidR="00C70540">
        <w:rPr>
          <w:rFonts w:ascii="Times New Roman" w:hAnsi="Times New Roman"/>
          <w:sz w:val="24"/>
          <w:szCs w:val="24"/>
        </w:rPr>
        <w:t>me</w:t>
      </w:r>
      <w:r>
        <w:rPr>
          <w:rFonts w:ascii="Times New Roman" w:hAnsi="Times New Roman"/>
          <w:sz w:val="24"/>
          <w:szCs w:val="24"/>
        </w:rPr>
        <w:t>s, and budget information.</w:t>
      </w:r>
    </w:p>
    <w:p w14:paraId="26432A28" w14:textId="057BDB2A" w:rsidR="00DB462C" w:rsidRDefault="00971B15" w:rsidP="00DB5EB8">
      <w:pPr>
        <w:spacing w:line="240" w:lineRule="auto"/>
        <w:rPr>
          <w:rFonts w:ascii="Times New Roman" w:hAnsi="Times New Roman"/>
          <w:sz w:val="24"/>
          <w:szCs w:val="24"/>
        </w:rPr>
      </w:pPr>
      <w:r>
        <w:rPr>
          <w:rFonts w:ascii="Times New Roman" w:hAnsi="Times New Roman"/>
          <w:sz w:val="24"/>
          <w:szCs w:val="24"/>
        </w:rPr>
        <w:t xml:space="preserve">Subclause 34(1) provides that the Authority must prepare a draft corporate plan by a date determined by the Council and in compliance with the PGPA Act. </w:t>
      </w:r>
    </w:p>
    <w:p w14:paraId="26432A29" w14:textId="7B939273" w:rsidR="004101DC" w:rsidRDefault="00971B15" w:rsidP="00DB5EB8">
      <w:pPr>
        <w:spacing w:line="240" w:lineRule="auto"/>
        <w:rPr>
          <w:rFonts w:ascii="Times New Roman" w:hAnsi="Times New Roman"/>
          <w:sz w:val="24"/>
          <w:szCs w:val="24"/>
        </w:rPr>
      </w:pPr>
      <w:r>
        <w:rPr>
          <w:rFonts w:ascii="Times New Roman" w:hAnsi="Times New Roman"/>
          <w:sz w:val="24"/>
          <w:szCs w:val="24"/>
        </w:rPr>
        <w:t>Subclause 34(2) provides for the information that must be in the draft corporate plan, including: a statement that the draft corporate plan is prepared for the purposes of the Agreement, and the same matters in relation to the Authority’s functions under the Agreement as are required under section 35 of the PGPA Act for the relevant reporting period.</w:t>
      </w:r>
    </w:p>
    <w:p w14:paraId="26432A2A" w14:textId="2ED04DCA" w:rsidR="00AC2140" w:rsidRDefault="00971B15" w:rsidP="00DB5EB8">
      <w:pPr>
        <w:spacing w:line="240" w:lineRule="auto"/>
        <w:rPr>
          <w:rFonts w:ascii="Times New Roman" w:hAnsi="Times New Roman"/>
          <w:sz w:val="24"/>
          <w:szCs w:val="24"/>
        </w:rPr>
      </w:pPr>
      <w:r>
        <w:rPr>
          <w:rFonts w:ascii="Times New Roman" w:hAnsi="Times New Roman"/>
          <w:sz w:val="24"/>
          <w:szCs w:val="24"/>
        </w:rPr>
        <w:t>The note to this item clarifies that the draft corporate plan prepared under clause 34 of the Agreement is not the same document as the corporate plan prepared for the purposes of the Act, PGPA Act and PGPA Rule. This is because the draft corporate plan prepared under clause 34 of the Agreement is only required to cover matters that are relevant to the Agreement. However, it is intended that the draft corporate plan approved by the Council under subclause 34(6) — which only covers matters relevant to the agreement — will be incorporated into the final corporate plan required under section 213A of the Act, section 35 of the PGPA Act and section 16E of the PGPA Rule.</w:t>
      </w:r>
    </w:p>
    <w:p w14:paraId="6EB735B6" w14:textId="77777777" w:rsidR="00AC2140" w:rsidRDefault="00AC2140">
      <w:pPr>
        <w:rPr>
          <w:rFonts w:ascii="Times New Roman" w:hAnsi="Times New Roman"/>
          <w:sz w:val="24"/>
          <w:szCs w:val="24"/>
        </w:rPr>
      </w:pPr>
      <w:r>
        <w:rPr>
          <w:rFonts w:ascii="Times New Roman" w:hAnsi="Times New Roman"/>
          <w:sz w:val="24"/>
          <w:szCs w:val="24"/>
        </w:rPr>
        <w:br w:type="page"/>
      </w:r>
    </w:p>
    <w:p w14:paraId="1DE47177" w14:textId="77777777" w:rsidR="00BB1AFD" w:rsidRDefault="00751DCC" w:rsidP="00DB5EB8">
      <w:pPr>
        <w:spacing w:line="240" w:lineRule="auto"/>
        <w:rPr>
          <w:rFonts w:ascii="Times New Roman" w:hAnsi="Times New Roman"/>
          <w:sz w:val="24"/>
          <w:szCs w:val="24"/>
        </w:rPr>
      </w:pPr>
    </w:p>
    <w:p w14:paraId="26432A2B" w14:textId="77777777" w:rsidR="00BB1AFD" w:rsidRDefault="00971B15" w:rsidP="00DB5EB8">
      <w:pPr>
        <w:spacing w:line="240" w:lineRule="auto"/>
        <w:rPr>
          <w:rFonts w:ascii="Times New Roman" w:hAnsi="Times New Roman"/>
          <w:b/>
          <w:sz w:val="24"/>
          <w:szCs w:val="24"/>
        </w:rPr>
      </w:pPr>
      <w:r>
        <w:rPr>
          <w:rFonts w:ascii="Times New Roman" w:hAnsi="Times New Roman"/>
          <w:b/>
          <w:sz w:val="24"/>
          <w:szCs w:val="24"/>
        </w:rPr>
        <w:t>Item 6 – After clause 34 of Schedule 1</w:t>
      </w:r>
    </w:p>
    <w:p w14:paraId="26432A2C" w14:textId="77777777" w:rsidR="00BB1AFD" w:rsidRDefault="00971B15" w:rsidP="00DB5EB8">
      <w:pPr>
        <w:spacing w:line="240" w:lineRule="auto"/>
        <w:rPr>
          <w:rFonts w:ascii="Times New Roman" w:hAnsi="Times New Roman"/>
          <w:sz w:val="24"/>
          <w:szCs w:val="24"/>
        </w:rPr>
      </w:pPr>
      <w:r>
        <w:rPr>
          <w:rFonts w:ascii="Times New Roman" w:hAnsi="Times New Roman"/>
          <w:sz w:val="24"/>
          <w:szCs w:val="24"/>
        </w:rPr>
        <w:t>This item inserts a new clause describing the function and requirements of an annual work plan.</w:t>
      </w:r>
    </w:p>
    <w:p w14:paraId="26432A2D" w14:textId="78887CEA" w:rsidR="009908F8" w:rsidRDefault="00971B15" w:rsidP="00DB5EB8">
      <w:pPr>
        <w:spacing w:line="240" w:lineRule="auto"/>
        <w:rPr>
          <w:rFonts w:ascii="Times New Roman" w:hAnsi="Times New Roman"/>
          <w:sz w:val="24"/>
          <w:szCs w:val="24"/>
        </w:rPr>
      </w:pPr>
      <w:r>
        <w:rPr>
          <w:rFonts w:ascii="Times New Roman" w:hAnsi="Times New Roman"/>
          <w:sz w:val="24"/>
          <w:szCs w:val="24"/>
        </w:rPr>
        <w:t>Subclause 34A(1) sets out that the Authority must prepare a draft work plan, by a date determined by the Council, in line with the reporting timeframes required under the PGPA Act and — by extension — the PGPA Rule.</w:t>
      </w:r>
    </w:p>
    <w:p w14:paraId="26432A2E" w14:textId="77777777" w:rsidR="009908F8" w:rsidRDefault="00971B15" w:rsidP="00DB5EB8">
      <w:pPr>
        <w:spacing w:line="240" w:lineRule="auto"/>
        <w:rPr>
          <w:rFonts w:ascii="Times New Roman" w:hAnsi="Times New Roman"/>
          <w:sz w:val="24"/>
          <w:szCs w:val="24"/>
        </w:rPr>
      </w:pPr>
      <w:r>
        <w:rPr>
          <w:rFonts w:ascii="Times New Roman" w:hAnsi="Times New Roman"/>
          <w:sz w:val="24"/>
          <w:szCs w:val="24"/>
        </w:rPr>
        <w:t xml:space="preserve">Subclause </w:t>
      </w:r>
      <w:proofErr w:type="gramStart"/>
      <w:r>
        <w:rPr>
          <w:rFonts w:ascii="Times New Roman" w:hAnsi="Times New Roman"/>
          <w:sz w:val="24"/>
          <w:szCs w:val="24"/>
        </w:rPr>
        <w:t>34A(</w:t>
      </w:r>
      <w:proofErr w:type="gramEnd"/>
      <w:r>
        <w:rPr>
          <w:rFonts w:ascii="Times New Roman" w:hAnsi="Times New Roman"/>
          <w:sz w:val="24"/>
          <w:szCs w:val="24"/>
        </w:rPr>
        <w:t xml:space="preserve">2) sets out what must be included in the draft work plan. </w:t>
      </w:r>
    </w:p>
    <w:p w14:paraId="26432A2F" w14:textId="2D072548" w:rsidR="009908F8" w:rsidRDefault="00971B15" w:rsidP="00DB5EB8">
      <w:pPr>
        <w:spacing w:line="240" w:lineRule="auto"/>
        <w:rPr>
          <w:rFonts w:ascii="Times New Roman" w:hAnsi="Times New Roman"/>
          <w:sz w:val="24"/>
          <w:szCs w:val="24"/>
        </w:rPr>
      </w:pPr>
      <w:r>
        <w:rPr>
          <w:rFonts w:ascii="Times New Roman" w:hAnsi="Times New Roman"/>
          <w:sz w:val="24"/>
          <w:szCs w:val="24"/>
        </w:rPr>
        <w:t xml:space="preserve">Subclause 34A(2)(a) requires that the draft work plan must set out the Authority’s activities under the Agreement for the next four years, including how the Authority intends to achieve the outcomes and objectives set by the Council and, in respect of river operations, those set by the Basin Officials Committee (BOC). </w:t>
      </w:r>
    </w:p>
    <w:p w14:paraId="26432A30" w14:textId="2F10F717" w:rsidR="00B2359B" w:rsidRDefault="00971B15" w:rsidP="00DB5EB8">
      <w:pPr>
        <w:spacing w:line="240" w:lineRule="auto"/>
        <w:rPr>
          <w:rFonts w:ascii="Times New Roman" w:hAnsi="Times New Roman"/>
          <w:sz w:val="24"/>
          <w:szCs w:val="24"/>
        </w:rPr>
      </w:pPr>
      <w:r>
        <w:rPr>
          <w:rFonts w:ascii="Times New Roman" w:hAnsi="Times New Roman"/>
          <w:sz w:val="24"/>
          <w:szCs w:val="24"/>
        </w:rPr>
        <w:t>Subclause 34A(2)(b) requires that the draft work plan must set out new capital works and operational and maintenance program</w:t>
      </w:r>
      <w:r w:rsidR="00C70540">
        <w:rPr>
          <w:rFonts w:ascii="Times New Roman" w:hAnsi="Times New Roman"/>
          <w:sz w:val="24"/>
          <w:szCs w:val="24"/>
        </w:rPr>
        <w:t>me</w:t>
      </w:r>
      <w:r>
        <w:rPr>
          <w:rFonts w:ascii="Times New Roman" w:hAnsi="Times New Roman"/>
          <w:sz w:val="24"/>
          <w:szCs w:val="24"/>
        </w:rPr>
        <w:t xml:space="preserve">s to be undertaken or required under Part VIII of the Agreement, including those activities that may be required to implement the asset management plan. </w:t>
      </w:r>
    </w:p>
    <w:p w14:paraId="26432A31" w14:textId="1F9013DB" w:rsidR="00B2359B" w:rsidRDefault="00971B15" w:rsidP="00DB5EB8">
      <w:pPr>
        <w:spacing w:line="240" w:lineRule="auto"/>
        <w:rPr>
          <w:rFonts w:ascii="Times New Roman" w:hAnsi="Times New Roman"/>
          <w:sz w:val="24"/>
          <w:szCs w:val="24"/>
        </w:rPr>
      </w:pPr>
      <w:r>
        <w:rPr>
          <w:rFonts w:ascii="Times New Roman" w:hAnsi="Times New Roman"/>
          <w:sz w:val="24"/>
          <w:szCs w:val="24"/>
        </w:rPr>
        <w:t>Subclause 34A(2)(c) requires that the draft work plan must include the budget for the activities, works and program</w:t>
      </w:r>
      <w:r w:rsidR="00C70540">
        <w:rPr>
          <w:rFonts w:ascii="Times New Roman" w:hAnsi="Times New Roman"/>
          <w:sz w:val="24"/>
          <w:szCs w:val="24"/>
        </w:rPr>
        <w:t>me</w:t>
      </w:r>
      <w:r>
        <w:rPr>
          <w:rFonts w:ascii="Times New Roman" w:hAnsi="Times New Roman"/>
          <w:sz w:val="24"/>
          <w:szCs w:val="24"/>
        </w:rPr>
        <w:t>s set out in subclauses 34A(2)(a)-(b).</w:t>
      </w:r>
    </w:p>
    <w:p w14:paraId="26432A32" w14:textId="2DB7F10A" w:rsidR="00B2359B" w:rsidRDefault="00971B15" w:rsidP="00DB5EB8">
      <w:pPr>
        <w:spacing w:line="240" w:lineRule="auto"/>
        <w:rPr>
          <w:rFonts w:ascii="Times New Roman" w:hAnsi="Times New Roman"/>
          <w:sz w:val="24"/>
          <w:szCs w:val="24"/>
        </w:rPr>
      </w:pPr>
      <w:r>
        <w:rPr>
          <w:rFonts w:ascii="Times New Roman" w:hAnsi="Times New Roman"/>
          <w:sz w:val="24"/>
          <w:szCs w:val="24"/>
        </w:rPr>
        <w:t xml:space="preserve">Subclause </w:t>
      </w:r>
      <w:proofErr w:type="gramStart"/>
      <w:r>
        <w:rPr>
          <w:rFonts w:ascii="Times New Roman" w:hAnsi="Times New Roman"/>
          <w:sz w:val="24"/>
          <w:szCs w:val="24"/>
        </w:rPr>
        <w:t>34A(</w:t>
      </w:r>
      <w:proofErr w:type="gramEnd"/>
      <w:r>
        <w:rPr>
          <w:rFonts w:ascii="Times New Roman" w:hAnsi="Times New Roman"/>
          <w:sz w:val="24"/>
          <w:szCs w:val="24"/>
        </w:rPr>
        <w:t>3) provides that the draft work plan may include any other matters relevant to the Authority’s functions under the Agreement as the Authority sees fit.</w:t>
      </w:r>
    </w:p>
    <w:p w14:paraId="26432A33" w14:textId="0EFEE300" w:rsidR="00B2359B" w:rsidRDefault="00971B15" w:rsidP="00DB5EB8">
      <w:pPr>
        <w:spacing w:line="240" w:lineRule="auto"/>
        <w:rPr>
          <w:rFonts w:ascii="Times New Roman" w:hAnsi="Times New Roman"/>
          <w:sz w:val="24"/>
          <w:szCs w:val="24"/>
        </w:rPr>
      </w:pPr>
      <w:r>
        <w:rPr>
          <w:rFonts w:ascii="Times New Roman" w:hAnsi="Times New Roman"/>
          <w:sz w:val="24"/>
          <w:szCs w:val="24"/>
        </w:rPr>
        <w:t xml:space="preserve">Subclauses </w:t>
      </w:r>
      <w:proofErr w:type="gramStart"/>
      <w:r>
        <w:rPr>
          <w:rFonts w:ascii="Times New Roman" w:hAnsi="Times New Roman"/>
          <w:sz w:val="24"/>
          <w:szCs w:val="24"/>
        </w:rPr>
        <w:t>34A(</w:t>
      </w:r>
      <w:proofErr w:type="gramEnd"/>
      <w:r>
        <w:rPr>
          <w:rFonts w:ascii="Times New Roman" w:hAnsi="Times New Roman"/>
          <w:sz w:val="24"/>
          <w:szCs w:val="24"/>
        </w:rPr>
        <w:t xml:space="preserve">4)-(6) sets out the process to be followed for the submission of the draft work plan to BOC and the Council, as well as the Council’s options for approving the work plan. </w:t>
      </w:r>
    </w:p>
    <w:p w14:paraId="26432A34" w14:textId="77777777" w:rsidR="00B2359B" w:rsidRDefault="00971B15" w:rsidP="00DB5EB8">
      <w:pPr>
        <w:spacing w:line="240" w:lineRule="auto"/>
        <w:rPr>
          <w:rFonts w:ascii="Times New Roman" w:hAnsi="Times New Roman"/>
          <w:b/>
          <w:sz w:val="24"/>
          <w:szCs w:val="24"/>
        </w:rPr>
      </w:pPr>
      <w:r>
        <w:rPr>
          <w:rFonts w:ascii="Times New Roman" w:hAnsi="Times New Roman"/>
          <w:b/>
          <w:sz w:val="24"/>
          <w:szCs w:val="24"/>
        </w:rPr>
        <w:t>Item 7 – Clause 35 of Schedule 1 (heading)</w:t>
      </w:r>
    </w:p>
    <w:p w14:paraId="26432A35" w14:textId="77777777" w:rsidR="00B2359B" w:rsidRPr="00B2359B" w:rsidRDefault="00971B15" w:rsidP="00DB5EB8">
      <w:pPr>
        <w:spacing w:line="240" w:lineRule="auto"/>
        <w:rPr>
          <w:rFonts w:ascii="Times New Roman" w:hAnsi="Times New Roman"/>
          <w:sz w:val="24"/>
          <w:szCs w:val="24"/>
        </w:rPr>
      </w:pPr>
      <w:r>
        <w:rPr>
          <w:rFonts w:ascii="Times New Roman" w:hAnsi="Times New Roman"/>
          <w:sz w:val="24"/>
          <w:szCs w:val="24"/>
        </w:rPr>
        <w:t xml:space="preserve">This item amends the heading of clause 35 so that it covers the process for amending both a corporate plan and a work plan. </w:t>
      </w:r>
    </w:p>
    <w:p w14:paraId="26432A36" w14:textId="77777777" w:rsidR="00B2359B" w:rsidRPr="00B2359B" w:rsidRDefault="00971B15" w:rsidP="00DB5EB8">
      <w:pPr>
        <w:spacing w:line="240" w:lineRule="auto"/>
        <w:rPr>
          <w:rFonts w:ascii="Times New Roman" w:hAnsi="Times New Roman"/>
          <w:b/>
          <w:sz w:val="24"/>
          <w:szCs w:val="24"/>
        </w:rPr>
      </w:pPr>
      <w:r w:rsidRPr="00B2359B">
        <w:rPr>
          <w:rFonts w:ascii="Times New Roman" w:hAnsi="Times New Roman"/>
          <w:b/>
          <w:sz w:val="24"/>
          <w:szCs w:val="24"/>
        </w:rPr>
        <w:t>Item 8 – Subclause 35(1) of Schedule 1</w:t>
      </w:r>
    </w:p>
    <w:p w14:paraId="26432A37" w14:textId="63571F16" w:rsidR="00B2359B" w:rsidRPr="00B2359B" w:rsidRDefault="00971B15" w:rsidP="00DB5EB8">
      <w:pPr>
        <w:spacing w:line="240" w:lineRule="auto"/>
        <w:rPr>
          <w:rFonts w:ascii="Times New Roman" w:hAnsi="Times New Roman"/>
          <w:sz w:val="24"/>
          <w:szCs w:val="24"/>
        </w:rPr>
      </w:pPr>
      <w:r>
        <w:rPr>
          <w:rFonts w:ascii="Times New Roman" w:hAnsi="Times New Roman"/>
          <w:sz w:val="24"/>
          <w:szCs w:val="24"/>
        </w:rPr>
        <w:t>This item inserts new words into subclause 35(1) to allow for the Authority to consider changes to both a corporate plan and a work plan.</w:t>
      </w:r>
    </w:p>
    <w:p w14:paraId="26432A38" w14:textId="77777777" w:rsidR="00BB1AFD" w:rsidRPr="00B2359B" w:rsidRDefault="00971B15" w:rsidP="00DB5EB8">
      <w:pPr>
        <w:spacing w:line="240" w:lineRule="auto"/>
        <w:rPr>
          <w:rFonts w:ascii="Times New Roman" w:hAnsi="Times New Roman"/>
          <w:b/>
          <w:sz w:val="24"/>
          <w:szCs w:val="24"/>
        </w:rPr>
      </w:pPr>
      <w:r w:rsidRPr="00B2359B">
        <w:rPr>
          <w:rFonts w:ascii="Times New Roman" w:hAnsi="Times New Roman"/>
          <w:b/>
          <w:sz w:val="24"/>
          <w:szCs w:val="24"/>
        </w:rPr>
        <w:t>Item 9 – Subclause 35(1) of Schedule 1</w:t>
      </w:r>
    </w:p>
    <w:p w14:paraId="26432A39" w14:textId="20506FA7" w:rsidR="009302F2" w:rsidRPr="00B2359B" w:rsidRDefault="00971B15" w:rsidP="009302F2">
      <w:pPr>
        <w:spacing w:line="240" w:lineRule="auto"/>
        <w:rPr>
          <w:rFonts w:ascii="Times New Roman" w:hAnsi="Times New Roman"/>
          <w:sz w:val="24"/>
          <w:szCs w:val="24"/>
        </w:rPr>
      </w:pPr>
      <w:r>
        <w:rPr>
          <w:rFonts w:ascii="Times New Roman" w:hAnsi="Times New Roman"/>
          <w:sz w:val="24"/>
          <w:szCs w:val="24"/>
        </w:rPr>
        <w:t>This item deletes and substitutes new words into subclause 35(1) to allow for the Authority to prepare draft amendments to both a corporate plan and a work plan.</w:t>
      </w:r>
    </w:p>
    <w:p w14:paraId="26432A3A" w14:textId="77777777" w:rsidR="006F551E" w:rsidRDefault="00971B15" w:rsidP="00DB5EB8">
      <w:pPr>
        <w:spacing w:line="240" w:lineRule="auto"/>
        <w:rPr>
          <w:rFonts w:ascii="Times New Roman" w:hAnsi="Times New Roman"/>
          <w:b/>
          <w:sz w:val="24"/>
          <w:szCs w:val="24"/>
        </w:rPr>
      </w:pPr>
      <w:r>
        <w:rPr>
          <w:rFonts w:ascii="Times New Roman" w:hAnsi="Times New Roman"/>
          <w:b/>
          <w:sz w:val="24"/>
          <w:szCs w:val="24"/>
        </w:rPr>
        <w:t>Item 10 – Subclause 35(1A) of Schedule 1</w:t>
      </w:r>
    </w:p>
    <w:p w14:paraId="26432A3B" w14:textId="48D81948" w:rsidR="009302F2" w:rsidRDefault="00971B15" w:rsidP="00DB5EB8">
      <w:pPr>
        <w:spacing w:line="240" w:lineRule="auto"/>
        <w:rPr>
          <w:rFonts w:ascii="Times New Roman" w:hAnsi="Times New Roman"/>
          <w:sz w:val="24"/>
          <w:szCs w:val="24"/>
        </w:rPr>
      </w:pPr>
      <w:r>
        <w:rPr>
          <w:rFonts w:ascii="Times New Roman" w:hAnsi="Times New Roman"/>
          <w:sz w:val="24"/>
          <w:szCs w:val="24"/>
        </w:rPr>
        <w:t>This item inserts new words into subclause 35(1A) to allow for the Authority to prepare a draft amendment to both a corporate plan and a work plan.</w:t>
      </w:r>
    </w:p>
    <w:p w14:paraId="26432A3C" w14:textId="77777777" w:rsidR="00367ACB" w:rsidRDefault="00971B15" w:rsidP="00DB5EB8">
      <w:pPr>
        <w:spacing w:line="240" w:lineRule="auto"/>
        <w:rPr>
          <w:rFonts w:ascii="Times New Roman" w:hAnsi="Times New Roman"/>
          <w:b/>
          <w:sz w:val="24"/>
          <w:szCs w:val="24"/>
        </w:rPr>
      </w:pPr>
      <w:r>
        <w:rPr>
          <w:rFonts w:ascii="Times New Roman" w:hAnsi="Times New Roman"/>
          <w:b/>
          <w:sz w:val="24"/>
          <w:szCs w:val="24"/>
        </w:rPr>
        <w:t>Item 11 – Paragraph 35(3</w:t>
      </w:r>
      <w:proofErr w:type="gramStart"/>
      <w:r>
        <w:rPr>
          <w:rFonts w:ascii="Times New Roman" w:hAnsi="Times New Roman"/>
          <w:b/>
          <w:sz w:val="24"/>
          <w:szCs w:val="24"/>
        </w:rPr>
        <w:t>)(</w:t>
      </w:r>
      <w:proofErr w:type="gramEnd"/>
      <w:r>
        <w:rPr>
          <w:rFonts w:ascii="Times New Roman" w:hAnsi="Times New Roman"/>
          <w:b/>
          <w:sz w:val="24"/>
          <w:szCs w:val="24"/>
        </w:rPr>
        <w:t>a) of Schedule 1</w:t>
      </w:r>
    </w:p>
    <w:p w14:paraId="26432A3D" w14:textId="185C36AB" w:rsidR="00AD2FF8" w:rsidRDefault="00971B15" w:rsidP="00DB5EB8">
      <w:pPr>
        <w:spacing w:line="240" w:lineRule="auto"/>
        <w:rPr>
          <w:rFonts w:ascii="Times New Roman" w:hAnsi="Times New Roman"/>
          <w:sz w:val="24"/>
          <w:szCs w:val="24"/>
        </w:rPr>
      </w:pPr>
      <w:r>
        <w:rPr>
          <w:rFonts w:ascii="Times New Roman" w:hAnsi="Times New Roman"/>
          <w:sz w:val="24"/>
          <w:szCs w:val="24"/>
        </w:rPr>
        <w:t>This item deletes and substitutes new words into subclause 35(3</w:t>
      </w:r>
      <w:proofErr w:type="gramStart"/>
      <w:r>
        <w:rPr>
          <w:rFonts w:ascii="Times New Roman" w:hAnsi="Times New Roman"/>
          <w:sz w:val="24"/>
          <w:szCs w:val="24"/>
        </w:rPr>
        <w:t>)(</w:t>
      </w:r>
      <w:proofErr w:type="gramEnd"/>
      <w:r>
        <w:rPr>
          <w:rFonts w:ascii="Times New Roman" w:hAnsi="Times New Roman"/>
          <w:sz w:val="24"/>
          <w:szCs w:val="24"/>
        </w:rPr>
        <w:t>a) to allow the Council to approve draft amendments to both a corporate plan and a work plan.</w:t>
      </w:r>
    </w:p>
    <w:p w14:paraId="26432A3E" w14:textId="5DD0539A" w:rsidR="00367ACB" w:rsidRPr="00A35842" w:rsidRDefault="00971B15" w:rsidP="00A35842">
      <w:pPr>
        <w:rPr>
          <w:rFonts w:ascii="Times New Roman" w:hAnsi="Times New Roman"/>
          <w:sz w:val="24"/>
          <w:szCs w:val="24"/>
        </w:rPr>
      </w:pPr>
      <w:r>
        <w:rPr>
          <w:rFonts w:ascii="Times New Roman" w:hAnsi="Times New Roman"/>
          <w:b/>
          <w:sz w:val="24"/>
          <w:szCs w:val="24"/>
        </w:rPr>
        <w:t xml:space="preserve">Item 12 – Paragraph </w:t>
      </w:r>
      <w:proofErr w:type="gramStart"/>
      <w:r>
        <w:rPr>
          <w:rFonts w:ascii="Times New Roman" w:hAnsi="Times New Roman"/>
          <w:b/>
          <w:sz w:val="24"/>
          <w:szCs w:val="24"/>
        </w:rPr>
        <w:t>35A(</w:t>
      </w:r>
      <w:proofErr w:type="gramEnd"/>
      <w:r>
        <w:rPr>
          <w:rFonts w:ascii="Times New Roman" w:hAnsi="Times New Roman"/>
          <w:b/>
          <w:sz w:val="24"/>
          <w:szCs w:val="24"/>
        </w:rPr>
        <w:t>a) of Schedule 1</w:t>
      </w:r>
    </w:p>
    <w:p w14:paraId="26432A3F" w14:textId="3474262C" w:rsidR="00367ACB" w:rsidRDefault="00971B15" w:rsidP="00DB5EB8">
      <w:pPr>
        <w:spacing w:line="240" w:lineRule="auto"/>
        <w:rPr>
          <w:rFonts w:ascii="Times New Roman" w:hAnsi="Times New Roman"/>
          <w:sz w:val="24"/>
          <w:szCs w:val="24"/>
        </w:rPr>
      </w:pPr>
      <w:r>
        <w:rPr>
          <w:rFonts w:ascii="Times New Roman" w:hAnsi="Times New Roman"/>
          <w:sz w:val="24"/>
          <w:szCs w:val="24"/>
        </w:rPr>
        <w:t xml:space="preserve">This item deletes the reference to corporate plan under the Authority-Council service level agreement and substitutes it with a reference to a work plan. </w:t>
      </w:r>
    </w:p>
    <w:p w14:paraId="26432A40" w14:textId="7F2319FB" w:rsidR="00367ACB" w:rsidRDefault="00971B15" w:rsidP="00DB5EB8">
      <w:pPr>
        <w:spacing w:line="240" w:lineRule="auto"/>
        <w:rPr>
          <w:rFonts w:ascii="Times New Roman" w:hAnsi="Times New Roman"/>
          <w:sz w:val="24"/>
          <w:szCs w:val="24"/>
        </w:rPr>
      </w:pPr>
      <w:r>
        <w:rPr>
          <w:rFonts w:ascii="Times New Roman" w:hAnsi="Times New Roman"/>
          <w:sz w:val="24"/>
          <w:szCs w:val="24"/>
        </w:rPr>
        <w:lastRenderedPageBreak/>
        <w:t>The service level agreement between the Authority and the Council sets out the key elements of how the Authority will undertake its responsibilities for the joint program</w:t>
      </w:r>
      <w:r w:rsidR="007B2B64">
        <w:rPr>
          <w:rFonts w:ascii="Times New Roman" w:hAnsi="Times New Roman"/>
          <w:sz w:val="24"/>
          <w:szCs w:val="24"/>
        </w:rPr>
        <w:t>me</w:t>
      </w:r>
      <w:r>
        <w:rPr>
          <w:rFonts w:ascii="Times New Roman" w:hAnsi="Times New Roman"/>
          <w:sz w:val="24"/>
          <w:szCs w:val="24"/>
        </w:rPr>
        <w:t xml:space="preserve">s and other activities and functions under the Agreement. </w:t>
      </w:r>
    </w:p>
    <w:p w14:paraId="26432A41" w14:textId="613400E1" w:rsidR="00D47CF0" w:rsidRDefault="00971B15" w:rsidP="00DB5EB8">
      <w:pPr>
        <w:spacing w:line="240" w:lineRule="auto"/>
        <w:rPr>
          <w:rFonts w:ascii="Times New Roman" w:hAnsi="Times New Roman"/>
          <w:sz w:val="24"/>
          <w:szCs w:val="24"/>
        </w:rPr>
      </w:pPr>
      <w:r>
        <w:rPr>
          <w:rFonts w:ascii="Times New Roman" w:hAnsi="Times New Roman"/>
          <w:sz w:val="24"/>
          <w:szCs w:val="24"/>
        </w:rPr>
        <w:t>The intent of amendments in the Regulations will shift the requirements for reporting on the joint program</w:t>
      </w:r>
      <w:r w:rsidR="007B2B64">
        <w:rPr>
          <w:rFonts w:ascii="Times New Roman" w:hAnsi="Times New Roman"/>
          <w:sz w:val="24"/>
          <w:szCs w:val="24"/>
        </w:rPr>
        <w:t>me</w:t>
      </w:r>
      <w:r>
        <w:rPr>
          <w:rFonts w:ascii="Times New Roman" w:hAnsi="Times New Roman"/>
          <w:sz w:val="24"/>
          <w:szCs w:val="24"/>
        </w:rPr>
        <w:t>s — including capital works, operational and maintenance program</w:t>
      </w:r>
      <w:r w:rsidR="00C70540">
        <w:rPr>
          <w:rFonts w:ascii="Times New Roman" w:hAnsi="Times New Roman"/>
          <w:sz w:val="24"/>
          <w:szCs w:val="24"/>
        </w:rPr>
        <w:t>me</w:t>
      </w:r>
      <w:r>
        <w:rPr>
          <w:rFonts w:ascii="Times New Roman" w:hAnsi="Times New Roman"/>
          <w:sz w:val="24"/>
          <w:szCs w:val="24"/>
        </w:rPr>
        <w:t>s, and budget matters — from the corporate plan to the work plan. Accordingly, this amendment allows the service level agreement to set out the key elements of how the Authority will undertake its joint program</w:t>
      </w:r>
      <w:r w:rsidR="007B2B64">
        <w:rPr>
          <w:rFonts w:ascii="Times New Roman" w:hAnsi="Times New Roman"/>
          <w:sz w:val="24"/>
          <w:szCs w:val="24"/>
        </w:rPr>
        <w:t>me</w:t>
      </w:r>
      <w:r>
        <w:rPr>
          <w:rFonts w:ascii="Times New Roman" w:hAnsi="Times New Roman"/>
          <w:sz w:val="24"/>
          <w:szCs w:val="24"/>
        </w:rPr>
        <w:t>s</w:t>
      </w:r>
      <w:r w:rsidR="007B2B64">
        <w:rPr>
          <w:rFonts w:ascii="Times New Roman" w:hAnsi="Times New Roman"/>
          <w:sz w:val="24"/>
          <w:szCs w:val="24"/>
        </w:rPr>
        <w:t>’</w:t>
      </w:r>
      <w:r>
        <w:rPr>
          <w:rFonts w:ascii="Times New Roman" w:hAnsi="Times New Roman"/>
          <w:sz w:val="24"/>
          <w:szCs w:val="24"/>
        </w:rPr>
        <w:t xml:space="preserve"> responsibilities with respect to the work plan (rather than the less detailed corporate plan).</w:t>
      </w:r>
    </w:p>
    <w:p w14:paraId="26432A42" w14:textId="77777777" w:rsidR="00D47CF0" w:rsidRDefault="00971B15" w:rsidP="00DB5EB8">
      <w:pPr>
        <w:spacing w:line="240" w:lineRule="auto"/>
        <w:rPr>
          <w:rFonts w:ascii="Times New Roman" w:hAnsi="Times New Roman"/>
          <w:b/>
          <w:sz w:val="24"/>
          <w:szCs w:val="24"/>
        </w:rPr>
      </w:pPr>
      <w:r>
        <w:rPr>
          <w:rFonts w:ascii="Times New Roman" w:hAnsi="Times New Roman"/>
          <w:b/>
          <w:sz w:val="24"/>
          <w:szCs w:val="24"/>
        </w:rPr>
        <w:t>Items 13-14 –Subparagraph 52(1</w:t>
      </w:r>
      <w:proofErr w:type="gramStart"/>
      <w:r>
        <w:rPr>
          <w:rFonts w:ascii="Times New Roman" w:hAnsi="Times New Roman"/>
          <w:b/>
          <w:sz w:val="24"/>
          <w:szCs w:val="24"/>
        </w:rPr>
        <w:t>)(</w:t>
      </w:r>
      <w:proofErr w:type="gramEnd"/>
      <w:r>
        <w:rPr>
          <w:rFonts w:ascii="Times New Roman" w:hAnsi="Times New Roman"/>
          <w:b/>
          <w:sz w:val="24"/>
          <w:szCs w:val="24"/>
        </w:rPr>
        <w:t>a)(ii) of Schedule 1</w:t>
      </w:r>
    </w:p>
    <w:p w14:paraId="26432A43" w14:textId="77777777" w:rsidR="00367ACB" w:rsidRDefault="00971B15" w:rsidP="00DB5EB8">
      <w:pPr>
        <w:spacing w:line="240" w:lineRule="auto"/>
        <w:rPr>
          <w:rFonts w:ascii="Times New Roman" w:hAnsi="Times New Roman"/>
          <w:sz w:val="24"/>
          <w:szCs w:val="24"/>
        </w:rPr>
      </w:pPr>
      <w:r>
        <w:rPr>
          <w:rFonts w:ascii="Times New Roman" w:hAnsi="Times New Roman"/>
          <w:sz w:val="24"/>
          <w:szCs w:val="24"/>
        </w:rPr>
        <w:t>These items amend subparagraph 52(1)(a)(ii) so that works or measures under the Agreement must be constructed, operated, maintained or implemented in accordance with the relevant corporate plan or work plan.</w:t>
      </w:r>
    </w:p>
    <w:p w14:paraId="26432A44" w14:textId="77777777" w:rsidR="00D47CF0" w:rsidRDefault="00971B15" w:rsidP="00DB5EB8">
      <w:pPr>
        <w:spacing w:line="240" w:lineRule="auto"/>
        <w:rPr>
          <w:rFonts w:ascii="Times New Roman" w:hAnsi="Times New Roman"/>
          <w:b/>
          <w:sz w:val="24"/>
          <w:szCs w:val="24"/>
        </w:rPr>
      </w:pPr>
      <w:r>
        <w:rPr>
          <w:rFonts w:ascii="Times New Roman" w:hAnsi="Times New Roman"/>
          <w:b/>
          <w:sz w:val="24"/>
          <w:szCs w:val="24"/>
        </w:rPr>
        <w:t>Item 15 – Subclause 52(2) of Schedule 1</w:t>
      </w:r>
    </w:p>
    <w:p w14:paraId="26432A45" w14:textId="77777777" w:rsidR="00D47CF0" w:rsidRDefault="00971B15" w:rsidP="00DB5EB8">
      <w:pPr>
        <w:spacing w:line="240" w:lineRule="auto"/>
        <w:rPr>
          <w:rFonts w:ascii="Times New Roman" w:hAnsi="Times New Roman"/>
          <w:sz w:val="24"/>
          <w:szCs w:val="24"/>
        </w:rPr>
      </w:pPr>
      <w:r w:rsidRPr="001915E1">
        <w:rPr>
          <w:rFonts w:ascii="Times New Roman" w:hAnsi="Times New Roman"/>
          <w:sz w:val="24"/>
          <w:szCs w:val="24"/>
        </w:rPr>
        <w:t>This i</w:t>
      </w:r>
      <w:r>
        <w:rPr>
          <w:rFonts w:ascii="Times New Roman" w:hAnsi="Times New Roman"/>
          <w:sz w:val="24"/>
          <w:szCs w:val="24"/>
        </w:rPr>
        <w:t>tem amends subclause 52(2) by deleting the words ‘corporate plan’ and substituting them with ‘work plan’.</w:t>
      </w:r>
    </w:p>
    <w:p w14:paraId="26432A46" w14:textId="77777777" w:rsidR="001915E1" w:rsidRPr="001915E1" w:rsidRDefault="00971B15" w:rsidP="00DB5EB8">
      <w:pPr>
        <w:spacing w:line="240" w:lineRule="auto"/>
        <w:rPr>
          <w:rFonts w:ascii="Times New Roman" w:hAnsi="Times New Roman"/>
          <w:sz w:val="24"/>
          <w:szCs w:val="24"/>
        </w:rPr>
      </w:pPr>
      <w:r>
        <w:rPr>
          <w:rFonts w:ascii="Times New Roman" w:hAnsi="Times New Roman"/>
          <w:sz w:val="24"/>
          <w:szCs w:val="24"/>
        </w:rPr>
        <w:t>The effect of this amendment is to clarify that a Contracting Government is deemed to have been nominated under subclause 52(2</w:t>
      </w:r>
      <w:proofErr w:type="gramStart"/>
      <w:r>
        <w:rPr>
          <w:rFonts w:ascii="Times New Roman" w:hAnsi="Times New Roman"/>
          <w:sz w:val="24"/>
          <w:szCs w:val="24"/>
        </w:rPr>
        <w:t>)(</w:t>
      </w:r>
      <w:proofErr w:type="gramEnd"/>
      <w:r>
        <w:rPr>
          <w:rFonts w:ascii="Times New Roman" w:hAnsi="Times New Roman"/>
          <w:sz w:val="24"/>
          <w:szCs w:val="24"/>
        </w:rPr>
        <w:t xml:space="preserve">1)(b) to construct, operate, maintain and renew a particular work until the relevant work plan nominates another Contracting Government for one or more of those purposes with respect to that work. </w:t>
      </w:r>
    </w:p>
    <w:p w14:paraId="26432A47" w14:textId="77777777" w:rsidR="00D47CF0" w:rsidRDefault="00971B15" w:rsidP="00DB5EB8">
      <w:pPr>
        <w:spacing w:line="240" w:lineRule="auto"/>
        <w:rPr>
          <w:rFonts w:ascii="Times New Roman" w:hAnsi="Times New Roman"/>
          <w:b/>
          <w:sz w:val="24"/>
          <w:szCs w:val="24"/>
        </w:rPr>
      </w:pPr>
      <w:r>
        <w:rPr>
          <w:rFonts w:ascii="Times New Roman" w:hAnsi="Times New Roman"/>
          <w:b/>
          <w:sz w:val="24"/>
          <w:szCs w:val="24"/>
        </w:rPr>
        <w:t>Item 16 – Subclause 56(2) of Schedule 1</w:t>
      </w:r>
    </w:p>
    <w:p w14:paraId="26432A48" w14:textId="77777777" w:rsidR="001915E1" w:rsidRDefault="00971B15" w:rsidP="00DB5EB8">
      <w:pPr>
        <w:spacing w:line="240" w:lineRule="auto"/>
        <w:rPr>
          <w:rFonts w:ascii="Times New Roman" w:hAnsi="Times New Roman"/>
          <w:sz w:val="24"/>
          <w:szCs w:val="24"/>
        </w:rPr>
      </w:pPr>
      <w:r>
        <w:rPr>
          <w:rFonts w:ascii="Times New Roman" w:hAnsi="Times New Roman"/>
          <w:sz w:val="24"/>
          <w:szCs w:val="24"/>
        </w:rPr>
        <w:t>This item clarifies the wording of subclause 56(2) and deletes the words ‘corporate plan’ and substitutes them with ‘work plan’. This amendment also makes minor changes to the words of the subclause to improve clarity.</w:t>
      </w:r>
    </w:p>
    <w:p w14:paraId="26432A49" w14:textId="1AAF8935" w:rsidR="001915E1" w:rsidRPr="001915E1" w:rsidRDefault="00971B15" w:rsidP="00DB5EB8">
      <w:pPr>
        <w:spacing w:line="240" w:lineRule="auto"/>
        <w:rPr>
          <w:rFonts w:ascii="Times New Roman" w:hAnsi="Times New Roman"/>
          <w:sz w:val="24"/>
          <w:szCs w:val="24"/>
        </w:rPr>
      </w:pPr>
      <w:r>
        <w:rPr>
          <w:rFonts w:ascii="Times New Roman" w:hAnsi="Times New Roman"/>
          <w:sz w:val="24"/>
          <w:szCs w:val="24"/>
        </w:rPr>
        <w:t xml:space="preserve">The subclause provides that — except in an emergency when only the Council approval is required — works or measures are considered authorised by the Council if the work or measure is contained in a work plan. </w:t>
      </w:r>
    </w:p>
    <w:p w14:paraId="26432A4A" w14:textId="77777777" w:rsidR="006F551E" w:rsidRDefault="00971B15" w:rsidP="00DB5EB8">
      <w:pPr>
        <w:spacing w:line="240" w:lineRule="auto"/>
        <w:rPr>
          <w:rFonts w:ascii="Times New Roman" w:hAnsi="Times New Roman"/>
          <w:b/>
          <w:sz w:val="24"/>
          <w:szCs w:val="24"/>
        </w:rPr>
      </w:pPr>
      <w:r>
        <w:rPr>
          <w:rFonts w:ascii="Times New Roman" w:hAnsi="Times New Roman"/>
          <w:b/>
          <w:sz w:val="24"/>
          <w:szCs w:val="24"/>
        </w:rPr>
        <w:t>Item 17 – Subclause 56(5) of Schedule 1</w:t>
      </w:r>
    </w:p>
    <w:p w14:paraId="26432A4B" w14:textId="77777777" w:rsidR="001337F4" w:rsidRDefault="00971B15" w:rsidP="00DB5EB8">
      <w:pPr>
        <w:spacing w:line="240" w:lineRule="auto"/>
        <w:rPr>
          <w:rFonts w:ascii="Times New Roman" w:hAnsi="Times New Roman"/>
          <w:sz w:val="24"/>
          <w:szCs w:val="24"/>
        </w:rPr>
      </w:pPr>
      <w:r>
        <w:rPr>
          <w:rFonts w:ascii="Times New Roman" w:hAnsi="Times New Roman"/>
          <w:sz w:val="24"/>
          <w:szCs w:val="24"/>
        </w:rPr>
        <w:t>This item deletes the words ‘corporate plan’ and substitutes them with ‘work plan’.</w:t>
      </w:r>
    </w:p>
    <w:p w14:paraId="26432A4C" w14:textId="46B5888F" w:rsidR="001337F4" w:rsidRPr="001337F4" w:rsidRDefault="00971B15" w:rsidP="00DB5EB8">
      <w:pPr>
        <w:spacing w:line="240" w:lineRule="auto"/>
        <w:rPr>
          <w:rFonts w:ascii="Times New Roman" w:hAnsi="Times New Roman"/>
          <w:sz w:val="24"/>
          <w:szCs w:val="24"/>
        </w:rPr>
      </w:pPr>
      <w:r>
        <w:rPr>
          <w:rFonts w:ascii="Times New Roman" w:hAnsi="Times New Roman"/>
          <w:sz w:val="24"/>
          <w:szCs w:val="24"/>
        </w:rPr>
        <w:t xml:space="preserve">The effect of this item is to allow for the Council, the Authority or the relevant work plan to nominate a Contracting Government (or Governments) to be responsible for the construction, operation and maintenance of an authorised work, or implementation of an authorised measure. </w:t>
      </w:r>
    </w:p>
    <w:p w14:paraId="26432A4D" w14:textId="77777777" w:rsidR="001337F4" w:rsidRDefault="00971B15" w:rsidP="00DB5EB8">
      <w:pPr>
        <w:spacing w:line="240" w:lineRule="auto"/>
        <w:rPr>
          <w:rFonts w:ascii="Times New Roman" w:hAnsi="Times New Roman"/>
          <w:b/>
          <w:sz w:val="24"/>
          <w:szCs w:val="24"/>
        </w:rPr>
      </w:pPr>
      <w:r>
        <w:rPr>
          <w:rFonts w:ascii="Times New Roman" w:hAnsi="Times New Roman"/>
          <w:b/>
          <w:sz w:val="24"/>
          <w:szCs w:val="24"/>
        </w:rPr>
        <w:t>Items 18 - 26 – Schedule 1</w:t>
      </w:r>
    </w:p>
    <w:p w14:paraId="26432A4E" w14:textId="77777777" w:rsidR="003A731E" w:rsidRDefault="00971B15" w:rsidP="00DB5EB8">
      <w:pPr>
        <w:spacing w:line="240" w:lineRule="auto"/>
        <w:rPr>
          <w:rFonts w:ascii="Times New Roman" w:hAnsi="Times New Roman"/>
          <w:sz w:val="24"/>
          <w:szCs w:val="24"/>
        </w:rPr>
      </w:pPr>
      <w:r>
        <w:rPr>
          <w:rFonts w:ascii="Times New Roman" w:hAnsi="Times New Roman"/>
          <w:sz w:val="24"/>
          <w:szCs w:val="24"/>
        </w:rPr>
        <w:t>These items delete the words ‘corporate plan’ and substitute them with ‘work plan’.</w:t>
      </w:r>
    </w:p>
    <w:p w14:paraId="26432A4F" w14:textId="77777777" w:rsidR="003A731E" w:rsidRPr="003A731E" w:rsidRDefault="00971B15" w:rsidP="00DB5EB8">
      <w:pPr>
        <w:spacing w:line="240" w:lineRule="auto"/>
        <w:rPr>
          <w:rFonts w:ascii="Times New Roman" w:hAnsi="Times New Roman"/>
          <w:sz w:val="24"/>
          <w:szCs w:val="24"/>
        </w:rPr>
      </w:pPr>
      <w:r>
        <w:rPr>
          <w:rFonts w:ascii="Times New Roman" w:hAnsi="Times New Roman"/>
          <w:sz w:val="24"/>
          <w:szCs w:val="24"/>
        </w:rPr>
        <w:t>The effect of these items is to clarify that the references to a corporate plan are now references to a work plan, as defined at clause 34A.</w:t>
      </w:r>
    </w:p>
    <w:p w14:paraId="26432A50" w14:textId="77777777" w:rsidR="006F551E" w:rsidRPr="003A731E" w:rsidRDefault="00971B15" w:rsidP="00DB5EB8">
      <w:pPr>
        <w:spacing w:line="240" w:lineRule="auto"/>
        <w:rPr>
          <w:rFonts w:ascii="Times New Roman" w:hAnsi="Times New Roman"/>
          <w:b/>
          <w:sz w:val="24"/>
          <w:szCs w:val="24"/>
        </w:rPr>
      </w:pPr>
      <w:r>
        <w:rPr>
          <w:rFonts w:ascii="Times New Roman" w:hAnsi="Times New Roman"/>
          <w:b/>
          <w:sz w:val="24"/>
          <w:szCs w:val="24"/>
        </w:rPr>
        <w:t>Item 27 – Clause 138 of Schedule 1</w:t>
      </w:r>
    </w:p>
    <w:p w14:paraId="26432A51" w14:textId="77777777" w:rsidR="006F551E" w:rsidRDefault="00971B15" w:rsidP="00DB5EB8">
      <w:pPr>
        <w:spacing w:line="240" w:lineRule="auto"/>
        <w:rPr>
          <w:rFonts w:ascii="Times New Roman" w:hAnsi="Times New Roman"/>
          <w:sz w:val="24"/>
          <w:szCs w:val="24"/>
        </w:rPr>
      </w:pPr>
      <w:r>
        <w:rPr>
          <w:rFonts w:ascii="Times New Roman" w:hAnsi="Times New Roman"/>
          <w:sz w:val="24"/>
          <w:szCs w:val="24"/>
        </w:rPr>
        <w:t xml:space="preserve">This item deletes the words ‘approved corporate plan’ and substitutes them with ‘work plan’. </w:t>
      </w:r>
    </w:p>
    <w:p w14:paraId="26432A52" w14:textId="3D44BCC0" w:rsidR="00E3533D" w:rsidRDefault="00971B15" w:rsidP="00DB5EB8">
      <w:pPr>
        <w:spacing w:line="240" w:lineRule="auto"/>
        <w:rPr>
          <w:rFonts w:ascii="Times New Roman" w:hAnsi="Times New Roman"/>
          <w:sz w:val="24"/>
          <w:szCs w:val="24"/>
        </w:rPr>
      </w:pPr>
      <w:r>
        <w:rPr>
          <w:rFonts w:ascii="Times New Roman" w:hAnsi="Times New Roman"/>
          <w:sz w:val="24"/>
          <w:szCs w:val="24"/>
        </w:rPr>
        <w:t xml:space="preserve">The effect of this amendment is to clarify that the amounts to be paid to New South Wales each year may be specified in the work plan (rather than the corporate plan). The word ‘approved’ has been removed as it is redundant — a work plan is necessarily already approved by the Council. </w:t>
      </w:r>
    </w:p>
    <w:p w14:paraId="26432A53" w14:textId="77777777" w:rsidR="00E3533D" w:rsidRDefault="00971B15" w:rsidP="00DB5EB8">
      <w:pPr>
        <w:spacing w:line="240" w:lineRule="auto"/>
        <w:rPr>
          <w:rFonts w:ascii="Times New Roman" w:hAnsi="Times New Roman"/>
          <w:b/>
          <w:sz w:val="24"/>
          <w:szCs w:val="24"/>
        </w:rPr>
      </w:pPr>
      <w:r>
        <w:rPr>
          <w:rFonts w:ascii="Times New Roman" w:hAnsi="Times New Roman"/>
          <w:b/>
          <w:sz w:val="24"/>
          <w:szCs w:val="24"/>
        </w:rPr>
        <w:lastRenderedPageBreak/>
        <w:t>Item 28 – Part XVII of Schedule 1 (heading)</w:t>
      </w:r>
    </w:p>
    <w:p w14:paraId="26432A54" w14:textId="77777777" w:rsidR="00BB0736" w:rsidRDefault="00971B15" w:rsidP="00DB5EB8">
      <w:pPr>
        <w:spacing w:line="240" w:lineRule="auto"/>
        <w:rPr>
          <w:rFonts w:ascii="Times New Roman" w:hAnsi="Times New Roman"/>
          <w:sz w:val="24"/>
          <w:szCs w:val="24"/>
        </w:rPr>
      </w:pPr>
      <w:r>
        <w:rPr>
          <w:rFonts w:ascii="Times New Roman" w:hAnsi="Times New Roman"/>
          <w:sz w:val="24"/>
          <w:szCs w:val="24"/>
        </w:rPr>
        <w:t xml:space="preserve">This item amends the heading of Part XVII of the Agreement by removing references to reviews, schedules, resolutions and activities. </w:t>
      </w:r>
    </w:p>
    <w:p w14:paraId="26432A55" w14:textId="77777777" w:rsidR="00D80258" w:rsidRDefault="00971B15" w:rsidP="00DB5EB8">
      <w:pPr>
        <w:spacing w:line="240" w:lineRule="auto"/>
        <w:rPr>
          <w:rFonts w:ascii="Times New Roman" w:hAnsi="Times New Roman"/>
          <w:sz w:val="24"/>
          <w:szCs w:val="24"/>
        </w:rPr>
      </w:pPr>
      <w:r>
        <w:rPr>
          <w:rFonts w:ascii="Times New Roman" w:hAnsi="Times New Roman"/>
          <w:sz w:val="24"/>
          <w:szCs w:val="24"/>
        </w:rPr>
        <w:t>This item also inserts an additional sub-heading — ‘DIVISION 1–TRANSITION TO THIS AGREEMENT — which has the effect of providing for two sets of transitional provisions: those that are relevant to the coming into effect of the Agreement, and those relating to the coming into effect of the amendments made by the Regulations.</w:t>
      </w:r>
    </w:p>
    <w:p w14:paraId="26432A56" w14:textId="77777777" w:rsidR="00D80258" w:rsidRDefault="00971B15" w:rsidP="00DB5EB8">
      <w:pPr>
        <w:spacing w:line="240" w:lineRule="auto"/>
        <w:rPr>
          <w:rFonts w:ascii="Times New Roman" w:hAnsi="Times New Roman"/>
          <w:b/>
          <w:sz w:val="24"/>
          <w:szCs w:val="24"/>
        </w:rPr>
      </w:pPr>
      <w:r>
        <w:rPr>
          <w:rFonts w:ascii="Times New Roman" w:hAnsi="Times New Roman"/>
          <w:b/>
          <w:sz w:val="24"/>
          <w:szCs w:val="24"/>
        </w:rPr>
        <w:t>Item 29 – Clause 149 of Schedule 1</w:t>
      </w:r>
    </w:p>
    <w:p w14:paraId="26432A57" w14:textId="77777777" w:rsidR="00D80258" w:rsidRDefault="00971B15" w:rsidP="00DB5EB8">
      <w:pPr>
        <w:spacing w:line="240" w:lineRule="auto"/>
        <w:rPr>
          <w:rFonts w:ascii="Times New Roman" w:hAnsi="Times New Roman"/>
          <w:sz w:val="24"/>
          <w:szCs w:val="24"/>
        </w:rPr>
      </w:pPr>
      <w:r>
        <w:rPr>
          <w:rFonts w:ascii="Times New Roman" w:hAnsi="Times New Roman"/>
          <w:sz w:val="24"/>
          <w:szCs w:val="24"/>
        </w:rPr>
        <w:t>This item is consequential to Item 28 and changes the word ‘Part’ to ‘Division’.</w:t>
      </w:r>
    </w:p>
    <w:p w14:paraId="26432A58" w14:textId="77777777" w:rsidR="006C1C12" w:rsidRDefault="00971B15" w:rsidP="00DB5EB8">
      <w:pPr>
        <w:spacing w:line="240" w:lineRule="auto"/>
        <w:rPr>
          <w:rFonts w:ascii="Times New Roman" w:hAnsi="Times New Roman"/>
          <w:b/>
          <w:sz w:val="24"/>
          <w:szCs w:val="24"/>
        </w:rPr>
      </w:pPr>
      <w:r>
        <w:rPr>
          <w:rFonts w:ascii="Times New Roman" w:hAnsi="Times New Roman"/>
          <w:b/>
          <w:sz w:val="24"/>
          <w:szCs w:val="24"/>
        </w:rPr>
        <w:t xml:space="preserve">Item 30 – Clause 149 of Schedule 1 (definition of </w:t>
      </w:r>
      <w:r>
        <w:rPr>
          <w:rFonts w:ascii="Times New Roman" w:hAnsi="Times New Roman"/>
          <w:b/>
          <w:i/>
          <w:sz w:val="24"/>
          <w:szCs w:val="24"/>
        </w:rPr>
        <w:t>transitional provisions</w:t>
      </w:r>
      <w:r>
        <w:rPr>
          <w:rFonts w:ascii="Times New Roman" w:hAnsi="Times New Roman"/>
          <w:b/>
          <w:sz w:val="24"/>
          <w:szCs w:val="24"/>
        </w:rPr>
        <w:t>)</w:t>
      </w:r>
    </w:p>
    <w:p w14:paraId="26432A59" w14:textId="77777777" w:rsidR="006C1C12" w:rsidRDefault="00971B15" w:rsidP="00DB5EB8">
      <w:pPr>
        <w:spacing w:line="240" w:lineRule="auto"/>
        <w:rPr>
          <w:rFonts w:ascii="Times New Roman" w:hAnsi="Times New Roman"/>
          <w:sz w:val="24"/>
          <w:szCs w:val="24"/>
        </w:rPr>
      </w:pPr>
      <w:r>
        <w:rPr>
          <w:rFonts w:ascii="Times New Roman" w:hAnsi="Times New Roman"/>
          <w:sz w:val="24"/>
          <w:szCs w:val="24"/>
        </w:rPr>
        <w:t>This item repeals the definition of ‘transitional provisions’.</w:t>
      </w:r>
    </w:p>
    <w:p w14:paraId="26432A5A" w14:textId="45D6438F" w:rsidR="003E2D38" w:rsidRDefault="00971B15" w:rsidP="003E2D38">
      <w:pPr>
        <w:spacing w:line="240" w:lineRule="auto"/>
        <w:rPr>
          <w:rFonts w:ascii="Times New Roman" w:hAnsi="Times New Roman"/>
          <w:sz w:val="24"/>
          <w:szCs w:val="24"/>
        </w:rPr>
      </w:pPr>
      <w:r>
        <w:rPr>
          <w:rFonts w:ascii="Times New Roman" w:hAnsi="Times New Roman"/>
          <w:sz w:val="24"/>
          <w:szCs w:val="24"/>
        </w:rPr>
        <w:t>This amendment is necessary as the definition of transitional provisions is no longer accurate because the Regulations introduce two sets of transitional provisions — those relating to the coming into effect of the Agreement, and those relating to the coming into effect of the amendments made by the Regulations.</w:t>
      </w:r>
    </w:p>
    <w:p w14:paraId="26432A5B" w14:textId="77777777" w:rsidR="003E2D38" w:rsidRPr="006C1C12" w:rsidRDefault="00971B15" w:rsidP="00DB5EB8">
      <w:pPr>
        <w:spacing w:line="240" w:lineRule="auto"/>
        <w:rPr>
          <w:rFonts w:ascii="Times New Roman" w:hAnsi="Times New Roman"/>
          <w:sz w:val="24"/>
          <w:szCs w:val="24"/>
        </w:rPr>
      </w:pPr>
      <w:r>
        <w:rPr>
          <w:rFonts w:ascii="Times New Roman" w:hAnsi="Times New Roman"/>
          <w:sz w:val="24"/>
          <w:szCs w:val="24"/>
        </w:rPr>
        <w:t>Clause 150 deals with transitional provisions relevant to the coming into effect of the Agreement, and the amended clause 152 deals with transitional provisions relating to amendments made by the Regulations.</w:t>
      </w:r>
    </w:p>
    <w:p w14:paraId="26432A5C" w14:textId="77777777" w:rsidR="00E3533D" w:rsidRPr="003E2D38" w:rsidRDefault="00971B15" w:rsidP="00DB5EB8">
      <w:pPr>
        <w:spacing w:line="240" w:lineRule="auto"/>
        <w:rPr>
          <w:rFonts w:ascii="Times New Roman" w:hAnsi="Times New Roman"/>
          <w:b/>
          <w:sz w:val="24"/>
          <w:szCs w:val="24"/>
        </w:rPr>
      </w:pPr>
      <w:r>
        <w:rPr>
          <w:rFonts w:ascii="Times New Roman" w:hAnsi="Times New Roman"/>
          <w:b/>
          <w:sz w:val="24"/>
          <w:szCs w:val="24"/>
        </w:rPr>
        <w:t>Item 31 – Clause 150 of Schedule 1 (heading)</w:t>
      </w:r>
    </w:p>
    <w:p w14:paraId="26432A5D" w14:textId="77777777" w:rsidR="00E3533D" w:rsidRDefault="00971B15" w:rsidP="00DB5EB8">
      <w:pPr>
        <w:spacing w:line="240" w:lineRule="auto"/>
        <w:rPr>
          <w:rFonts w:ascii="Times New Roman" w:hAnsi="Times New Roman"/>
          <w:sz w:val="24"/>
          <w:szCs w:val="24"/>
        </w:rPr>
      </w:pPr>
      <w:r>
        <w:rPr>
          <w:rFonts w:ascii="Times New Roman" w:hAnsi="Times New Roman"/>
          <w:sz w:val="24"/>
          <w:szCs w:val="24"/>
        </w:rPr>
        <w:t>This item amends the heading of clause 150 to clarify that the clause only deals with the transitional provisions relating to the coming into effect of the Agreement (rather than the coming into effect of the Regulations).</w:t>
      </w:r>
    </w:p>
    <w:p w14:paraId="26432A5E" w14:textId="77777777" w:rsidR="003E2D38" w:rsidRDefault="00971B15" w:rsidP="00DB5EB8">
      <w:pPr>
        <w:spacing w:line="240" w:lineRule="auto"/>
        <w:rPr>
          <w:rFonts w:ascii="Times New Roman" w:hAnsi="Times New Roman"/>
          <w:b/>
          <w:sz w:val="24"/>
          <w:szCs w:val="24"/>
        </w:rPr>
      </w:pPr>
      <w:r>
        <w:rPr>
          <w:rFonts w:ascii="Times New Roman" w:hAnsi="Times New Roman"/>
          <w:b/>
          <w:sz w:val="24"/>
          <w:szCs w:val="24"/>
        </w:rPr>
        <w:t>Item 32 – Clauses 151 and 152 of Schedule 1</w:t>
      </w:r>
    </w:p>
    <w:p w14:paraId="26432A5F" w14:textId="77777777" w:rsidR="003E2D38" w:rsidRDefault="00971B15" w:rsidP="00DB5EB8">
      <w:pPr>
        <w:spacing w:line="240" w:lineRule="auto"/>
        <w:rPr>
          <w:rFonts w:ascii="Times New Roman" w:hAnsi="Times New Roman"/>
          <w:sz w:val="24"/>
          <w:szCs w:val="24"/>
        </w:rPr>
      </w:pPr>
      <w:r>
        <w:rPr>
          <w:rFonts w:ascii="Times New Roman" w:hAnsi="Times New Roman"/>
          <w:sz w:val="24"/>
          <w:szCs w:val="24"/>
        </w:rPr>
        <w:t xml:space="preserve">This item deletes the headings and content of clauses 151 and 152, as those provisions are now redundant, having effect only for the period up until the Basin Plan first took effect on 24 November 2012. </w:t>
      </w:r>
      <w:r w:rsidRPr="005621A5">
        <w:rPr>
          <w:rFonts w:ascii="Times New Roman" w:hAnsi="Times New Roman"/>
          <w:sz w:val="24"/>
          <w:szCs w:val="24"/>
        </w:rPr>
        <w:t xml:space="preserve">This item </w:t>
      </w:r>
      <w:r>
        <w:rPr>
          <w:rFonts w:ascii="Times New Roman" w:hAnsi="Times New Roman"/>
          <w:sz w:val="24"/>
          <w:szCs w:val="24"/>
        </w:rPr>
        <w:t>also inserts a new Division heading. The amended clauses deal with transitional provisions relating to the coming into effect of the Regulations.</w:t>
      </w:r>
    </w:p>
    <w:p w14:paraId="26432A60" w14:textId="1113A374" w:rsidR="005621A5" w:rsidRPr="005621A5" w:rsidRDefault="00971B15" w:rsidP="00DB5EB8">
      <w:pPr>
        <w:spacing w:line="240" w:lineRule="auto"/>
        <w:rPr>
          <w:rFonts w:ascii="Times New Roman" w:hAnsi="Times New Roman"/>
          <w:sz w:val="24"/>
          <w:szCs w:val="24"/>
        </w:rPr>
      </w:pPr>
      <w:r>
        <w:rPr>
          <w:rFonts w:ascii="Times New Roman" w:hAnsi="Times New Roman"/>
          <w:sz w:val="24"/>
          <w:szCs w:val="24"/>
        </w:rPr>
        <w:t xml:space="preserve">Clause 151 is amended to provide for a new heading ‘Definitions’, and two new definitions for the purposes of clarifying the transitional provisions for the coming into effect of the Regulations. The ‘amending regulations’ refers to the Regulations. The ‘transition period’ is the period that starts at the commencement of the Regulations, and ends when the first work plan is approved by the Council under new clause 34A. The first work plan is likely to be approved by the Council before 31 August 2017. </w:t>
      </w:r>
    </w:p>
    <w:p w14:paraId="26432A61" w14:textId="397241D4" w:rsidR="00151796" w:rsidRDefault="00971B15" w:rsidP="00DB5EB8">
      <w:pPr>
        <w:spacing w:line="240" w:lineRule="auto"/>
        <w:rPr>
          <w:rFonts w:ascii="Times New Roman" w:hAnsi="Times New Roman"/>
          <w:sz w:val="24"/>
          <w:szCs w:val="24"/>
        </w:rPr>
      </w:pPr>
      <w:r>
        <w:rPr>
          <w:rFonts w:ascii="Times New Roman" w:hAnsi="Times New Roman"/>
          <w:sz w:val="24"/>
          <w:szCs w:val="24"/>
        </w:rPr>
        <w:t xml:space="preserve">Clause 152 is amended to provide for transitional provisions relating to the coming into effect of the Regulations. Subclause 152(1) clarifies that clauses 34, 34A and 35 — which deal with the corporate plan, work plan, and amendments to corporate plans and work plans, respectively — apply in relation to the next reporting period, which commences each year on 1 July. So, for example, if the Regulations commence on 1 March 2017, clauses 34, 34A and 35 would apply in relation to the next reporting period, commencing on 1 July 2017. </w:t>
      </w:r>
    </w:p>
    <w:p w14:paraId="26432A62" w14:textId="0B69CAAD" w:rsidR="00C31040" w:rsidRDefault="00971B15" w:rsidP="00DB5EB8">
      <w:pPr>
        <w:spacing w:line="240" w:lineRule="auto"/>
        <w:rPr>
          <w:rFonts w:ascii="Times New Roman" w:hAnsi="Times New Roman"/>
          <w:sz w:val="24"/>
          <w:szCs w:val="24"/>
        </w:rPr>
      </w:pPr>
      <w:r>
        <w:rPr>
          <w:rFonts w:ascii="Times New Roman" w:hAnsi="Times New Roman"/>
          <w:sz w:val="24"/>
          <w:szCs w:val="24"/>
        </w:rPr>
        <w:t xml:space="preserve">Subclause 152(2) clarifies that, during the transition period (from commencement of the Regulations until approval of the first work plan by the Council), a reference in the Agreement to a work plan also includes a reference to the most recently approved corporate plan, including amendments to the corporate plan. The effect of this subclause is to ensure that, following </w:t>
      </w:r>
      <w:r>
        <w:rPr>
          <w:rFonts w:ascii="Times New Roman" w:hAnsi="Times New Roman"/>
          <w:sz w:val="24"/>
          <w:szCs w:val="24"/>
        </w:rPr>
        <w:lastRenderedPageBreak/>
        <w:t>commencement of the Regulations, the provisions of the corporate plan most recently approved by the Council under clause 34 remain in force. The exception to this is clause 34A and subclauses 52(2) and 56(2).</w:t>
      </w:r>
    </w:p>
    <w:p w14:paraId="26432A63" w14:textId="77777777" w:rsidR="005621A5" w:rsidRDefault="00971B15" w:rsidP="00DB5EB8">
      <w:pPr>
        <w:spacing w:line="240" w:lineRule="auto"/>
        <w:rPr>
          <w:rFonts w:ascii="Times New Roman" w:hAnsi="Times New Roman"/>
          <w:sz w:val="24"/>
          <w:szCs w:val="24"/>
        </w:rPr>
      </w:pPr>
      <w:r>
        <w:rPr>
          <w:rFonts w:ascii="Times New Roman" w:hAnsi="Times New Roman"/>
          <w:sz w:val="24"/>
          <w:szCs w:val="24"/>
        </w:rPr>
        <w:t xml:space="preserve">Clause 34A is a new clause that deals with the requirements for the annual work plan. The provisions of this clause are not subject to the transitional provisions because clause 34A merely sets out the requirements for work plans drafted and approved with effect for the next reporting period following commencement of the Regulations. </w:t>
      </w:r>
    </w:p>
    <w:p w14:paraId="26432A64" w14:textId="7BC2286C" w:rsidR="00C31040" w:rsidRDefault="00971B15" w:rsidP="00DB5EB8">
      <w:pPr>
        <w:spacing w:line="240" w:lineRule="auto"/>
        <w:rPr>
          <w:rFonts w:ascii="Times New Roman" w:hAnsi="Times New Roman"/>
          <w:sz w:val="24"/>
          <w:szCs w:val="24"/>
        </w:rPr>
      </w:pPr>
      <w:r>
        <w:rPr>
          <w:rFonts w:ascii="Times New Roman" w:hAnsi="Times New Roman"/>
          <w:sz w:val="24"/>
          <w:szCs w:val="24"/>
        </w:rPr>
        <w:t xml:space="preserve">Subclauses 52(2) and 56(2) both deal with acts and decisions that could have been made under previous corporate plans (including corporate plans from some years ago). The effect of exempting subclauses 52(2) and 56(2) from the provisions of the amended 152(2) is to ensure that those acts and decisions made under earlier corporate plans remain in effect once the Regulations commence. </w:t>
      </w:r>
    </w:p>
    <w:p w14:paraId="26432A65" w14:textId="77777777" w:rsidR="0010609A" w:rsidRDefault="00971B15" w:rsidP="00DB5EB8">
      <w:pPr>
        <w:spacing w:line="240" w:lineRule="auto"/>
        <w:rPr>
          <w:rFonts w:ascii="Times New Roman" w:hAnsi="Times New Roman"/>
          <w:sz w:val="24"/>
          <w:szCs w:val="24"/>
        </w:rPr>
      </w:pPr>
      <w:r>
        <w:rPr>
          <w:rFonts w:ascii="Times New Roman" w:hAnsi="Times New Roman"/>
          <w:sz w:val="24"/>
          <w:szCs w:val="24"/>
        </w:rPr>
        <w:t>Subclause 152(3) clarifies that references to a work plan in subclauses 52(2) and 56(2) can include references to corporate plans</w:t>
      </w:r>
      <w:r w:rsidRPr="00964923">
        <w:rPr>
          <w:rFonts w:ascii="Times New Roman" w:hAnsi="Times New Roman"/>
          <w:sz w:val="24"/>
          <w:szCs w:val="24"/>
        </w:rPr>
        <w:t xml:space="preserve"> </w:t>
      </w:r>
      <w:r>
        <w:rPr>
          <w:rFonts w:ascii="Times New Roman" w:hAnsi="Times New Roman"/>
          <w:sz w:val="24"/>
          <w:szCs w:val="24"/>
        </w:rPr>
        <w:t xml:space="preserve">previously approved for any reporting period. </w:t>
      </w:r>
    </w:p>
    <w:p w14:paraId="26432A66" w14:textId="77777777" w:rsidR="00D84C52" w:rsidRDefault="00971B15" w:rsidP="00DB5EB8">
      <w:pPr>
        <w:spacing w:line="240" w:lineRule="auto"/>
        <w:rPr>
          <w:rFonts w:ascii="Times New Roman" w:hAnsi="Times New Roman"/>
          <w:sz w:val="24"/>
          <w:szCs w:val="24"/>
        </w:rPr>
      </w:pPr>
      <w:r>
        <w:rPr>
          <w:rFonts w:ascii="Times New Roman" w:hAnsi="Times New Roman"/>
          <w:sz w:val="24"/>
          <w:szCs w:val="24"/>
        </w:rPr>
        <w:t>Subclause 52(2) deals with the nomination of Contracting Governments to undertake works in the Murray-Darling Basin. A Contracting Government is taken to have been ‘nominated’ to undertake that work until a corporate plan nominates another Contracting Government to undertake that work. The nomination of a Contracting Government by a corporate plan (or a work plan, following commencement of the Regulations) is an act that has enduring effect even after the relevant corporate plan (or work plan) is superseded. The effect of Subclause 152(3) is to ensure that the nomination of a Contracting Government made by a previous corporate plan or work plan under subclause 52(2) remains in effect following the approval of a new work plan, assuming that the new corporate plan or work plan does not specifically change the nomination.</w:t>
      </w:r>
    </w:p>
    <w:p w14:paraId="26432A67" w14:textId="23F31DB7" w:rsidR="00D84C52" w:rsidRDefault="00971B15" w:rsidP="00D84C52">
      <w:pPr>
        <w:spacing w:line="240" w:lineRule="auto"/>
        <w:rPr>
          <w:rFonts w:ascii="Times New Roman" w:hAnsi="Times New Roman"/>
          <w:sz w:val="24"/>
          <w:szCs w:val="24"/>
        </w:rPr>
      </w:pPr>
      <w:r>
        <w:rPr>
          <w:rFonts w:ascii="Times New Roman" w:hAnsi="Times New Roman"/>
          <w:sz w:val="24"/>
          <w:szCs w:val="24"/>
        </w:rPr>
        <w:t>Subclause 56(2) concerns the approval of works and measures by the Council. Once amended, it clarifies that — except in cases of emergency — works and measures are to be included in the relevant work plan. The effect of subclause 152(3) in the Regulations on subclause 56(2) in the Agreement is to ensure that works previously authorised by a corporate plan, work plan or the Council remain authorised even when a new work plan is in place, assuming that the new corporate plan or work plan does not specifically alter the authorisation.</w:t>
      </w:r>
    </w:p>
    <w:p w14:paraId="26432A68" w14:textId="77777777" w:rsidR="00E5248C" w:rsidRPr="00C2676F" w:rsidRDefault="00971B15" w:rsidP="00E5248C">
      <w:pPr>
        <w:spacing w:line="240" w:lineRule="auto"/>
        <w:outlineLvl w:val="0"/>
        <w:rPr>
          <w:rFonts w:ascii="Times New Roman" w:hAnsi="Times New Roman"/>
          <w:b/>
          <w:sz w:val="24"/>
          <w:szCs w:val="24"/>
          <w:u w:val="single"/>
        </w:rPr>
      </w:pPr>
      <w:r>
        <w:rPr>
          <w:rFonts w:ascii="Times New Roman" w:hAnsi="Times New Roman"/>
          <w:b/>
          <w:sz w:val="24"/>
          <w:szCs w:val="24"/>
          <w:u w:val="single"/>
        </w:rPr>
        <w:t>Part 2 – Technical amendments</w:t>
      </w:r>
    </w:p>
    <w:p w14:paraId="26432A69" w14:textId="77777777" w:rsidR="00E5248C" w:rsidRPr="00F84801" w:rsidRDefault="00971B15" w:rsidP="00E5248C">
      <w:pPr>
        <w:spacing w:line="240" w:lineRule="auto"/>
        <w:outlineLvl w:val="0"/>
        <w:rPr>
          <w:rFonts w:ascii="Times New Roman" w:hAnsi="Times New Roman"/>
          <w:sz w:val="24"/>
          <w:szCs w:val="24"/>
          <w:u w:val="single"/>
        </w:rPr>
      </w:pPr>
      <w:r>
        <w:rPr>
          <w:rFonts w:ascii="Times New Roman" w:hAnsi="Times New Roman"/>
          <w:i/>
          <w:sz w:val="24"/>
          <w:szCs w:val="24"/>
          <w:u w:val="single"/>
        </w:rPr>
        <w:t xml:space="preserve">Water Act 2007 </w:t>
      </w:r>
    </w:p>
    <w:p w14:paraId="26432A6A" w14:textId="77777777" w:rsidR="00E5248C" w:rsidRPr="00946E18" w:rsidRDefault="00971B15" w:rsidP="00E5248C">
      <w:pPr>
        <w:spacing w:line="240" w:lineRule="auto"/>
        <w:rPr>
          <w:rFonts w:ascii="Times New Roman" w:hAnsi="Times New Roman"/>
          <w:b/>
          <w:sz w:val="24"/>
          <w:szCs w:val="24"/>
        </w:rPr>
      </w:pPr>
      <w:r>
        <w:rPr>
          <w:rFonts w:ascii="Times New Roman" w:hAnsi="Times New Roman"/>
          <w:b/>
          <w:sz w:val="24"/>
          <w:szCs w:val="24"/>
        </w:rPr>
        <w:t>Item 33</w:t>
      </w:r>
      <w:r w:rsidRPr="00BA61EE">
        <w:rPr>
          <w:rFonts w:ascii="Times New Roman" w:hAnsi="Times New Roman"/>
          <w:b/>
          <w:sz w:val="24"/>
          <w:szCs w:val="24"/>
        </w:rPr>
        <w:t xml:space="preserve"> </w:t>
      </w:r>
      <w:r>
        <w:rPr>
          <w:rFonts w:ascii="Times New Roman" w:hAnsi="Times New Roman"/>
          <w:b/>
          <w:sz w:val="24"/>
          <w:szCs w:val="24"/>
        </w:rPr>
        <w:t xml:space="preserve">– Subclause 5(2) of </w:t>
      </w:r>
      <w:r w:rsidRPr="00CD1450">
        <w:rPr>
          <w:rFonts w:ascii="Times New Roman" w:hAnsi="Times New Roman"/>
          <w:b/>
          <w:sz w:val="24"/>
          <w:szCs w:val="24"/>
        </w:rPr>
        <w:t>Schedule </w:t>
      </w:r>
      <w:r>
        <w:rPr>
          <w:rFonts w:ascii="Times New Roman" w:hAnsi="Times New Roman"/>
          <w:b/>
          <w:sz w:val="24"/>
          <w:szCs w:val="24"/>
        </w:rPr>
        <w:t>1</w:t>
      </w:r>
    </w:p>
    <w:p w14:paraId="6540CF36" w14:textId="77777777" w:rsidR="00A35842" w:rsidRDefault="00971B15" w:rsidP="00A35842">
      <w:pPr>
        <w:spacing w:line="240" w:lineRule="auto"/>
        <w:rPr>
          <w:rFonts w:ascii="Times New Roman" w:hAnsi="Times New Roman"/>
          <w:sz w:val="24"/>
          <w:szCs w:val="24"/>
        </w:rPr>
      </w:pPr>
      <w:r>
        <w:rPr>
          <w:rFonts w:ascii="Times New Roman" w:hAnsi="Times New Roman"/>
          <w:sz w:val="24"/>
          <w:szCs w:val="24"/>
        </w:rPr>
        <w:t xml:space="preserve">This item is a consequential change following the re-titling of the </w:t>
      </w:r>
      <w:r>
        <w:rPr>
          <w:rFonts w:ascii="Times New Roman" w:hAnsi="Times New Roman"/>
          <w:i/>
          <w:sz w:val="24"/>
          <w:szCs w:val="24"/>
        </w:rPr>
        <w:t xml:space="preserve">Legislative Instruments Act 2003 </w:t>
      </w:r>
      <w:r>
        <w:rPr>
          <w:rFonts w:ascii="Times New Roman" w:hAnsi="Times New Roman"/>
          <w:sz w:val="24"/>
          <w:szCs w:val="24"/>
        </w:rPr>
        <w:t xml:space="preserve">to the </w:t>
      </w:r>
      <w:r>
        <w:rPr>
          <w:rFonts w:ascii="Times New Roman" w:hAnsi="Times New Roman"/>
          <w:i/>
          <w:sz w:val="24"/>
          <w:szCs w:val="24"/>
        </w:rPr>
        <w:t>Legislation Act 2003</w:t>
      </w:r>
      <w:r>
        <w:rPr>
          <w:rFonts w:ascii="Times New Roman" w:hAnsi="Times New Roman"/>
          <w:sz w:val="24"/>
          <w:szCs w:val="24"/>
        </w:rPr>
        <w:t>.</w:t>
      </w:r>
    </w:p>
    <w:p w14:paraId="10720980" w14:textId="77777777" w:rsidR="00751DCC" w:rsidRDefault="00751DCC" w:rsidP="00A35842">
      <w:pPr>
        <w:spacing w:line="240" w:lineRule="auto"/>
        <w:rPr>
          <w:rFonts w:ascii="Times New Roman" w:hAnsi="Times New Roman"/>
          <w:sz w:val="24"/>
          <w:szCs w:val="24"/>
        </w:rPr>
      </w:pPr>
    </w:p>
    <w:p w14:paraId="26432A6D" w14:textId="025A36BE" w:rsidR="00DB5EB8" w:rsidRPr="00A35842" w:rsidRDefault="00971B15" w:rsidP="00A6269F">
      <w:pPr>
        <w:spacing w:line="240" w:lineRule="auto"/>
        <w:jc w:val="right"/>
        <w:rPr>
          <w:rFonts w:ascii="Times New Roman" w:hAnsi="Times New Roman"/>
          <w:sz w:val="24"/>
          <w:szCs w:val="24"/>
        </w:rPr>
      </w:pPr>
      <w:r>
        <w:rPr>
          <w:rFonts w:ascii="Times New Roman" w:hAnsi="Times New Roman"/>
          <w:b/>
          <w:sz w:val="24"/>
          <w:szCs w:val="24"/>
        </w:rPr>
        <w:t>ATTACHMENT B</w:t>
      </w:r>
    </w:p>
    <w:p w14:paraId="26432A6E" w14:textId="77777777" w:rsidR="00DB5EB8" w:rsidRPr="00BA61EE" w:rsidRDefault="00971B15" w:rsidP="00DB5EB8">
      <w:pPr>
        <w:spacing w:line="240" w:lineRule="auto"/>
        <w:jc w:val="center"/>
        <w:outlineLvl w:val="0"/>
        <w:rPr>
          <w:rFonts w:ascii="Times New Roman" w:hAnsi="Times New Roman"/>
          <w:b/>
          <w:sz w:val="24"/>
          <w:szCs w:val="24"/>
        </w:rPr>
      </w:pPr>
      <w:r w:rsidRPr="00BA61EE">
        <w:rPr>
          <w:rFonts w:ascii="Times New Roman" w:hAnsi="Times New Roman"/>
          <w:b/>
          <w:sz w:val="24"/>
          <w:szCs w:val="24"/>
        </w:rPr>
        <w:t>Statement of Compatibility with Human Rights</w:t>
      </w:r>
      <w:bookmarkStart w:id="0" w:name="_GoBack"/>
      <w:bookmarkEnd w:id="0"/>
    </w:p>
    <w:p w14:paraId="26432A6F" w14:textId="0D3192ED" w:rsidR="00DB5EB8" w:rsidRPr="00BA61EE" w:rsidRDefault="00971B15" w:rsidP="009718C1">
      <w:pPr>
        <w:spacing w:line="240" w:lineRule="auto"/>
        <w:jc w:val="center"/>
        <w:rPr>
          <w:rFonts w:ascii="Times New Roman" w:hAnsi="Times New Roman"/>
          <w:sz w:val="24"/>
          <w:szCs w:val="24"/>
          <w:u w:val="single"/>
        </w:rPr>
      </w:pPr>
      <w:r w:rsidRPr="00EE0453">
        <w:rPr>
          <w:rFonts w:ascii="Times New Roman" w:hAnsi="Times New Roman"/>
          <w:i/>
          <w:sz w:val="24"/>
          <w:szCs w:val="24"/>
        </w:rPr>
        <w:t xml:space="preserve">Prepared in accordance with Part 3 of the </w:t>
      </w:r>
      <w:r w:rsidRPr="00B26592">
        <w:rPr>
          <w:rFonts w:ascii="Times New Roman" w:hAnsi="Times New Roman"/>
          <w:i/>
          <w:sz w:val="24"/>
          <w:szCs w:val="24"/>
        </w:rPr>
        <w:t xml:space="preserve">Human Rights (Parliamentary Scrutiny) Act 2011 </w:t>
      </w:r>
      <w:r w:rsidR="00CD7A3B">
        <w:rPr>
          <w:rFonts w:ascii="Times New Roman" w:hAnsi="Times New Roman"/>
          <w:i/>
          <w:sz w:val="24"/>
          <w:szCs w:val="24"/>
        </w:rPr>
        <w:t>(</w:t>
      </w:r>
      <w:r w:rsidR="00CD7A3B" w:rsidRPr="00CD7A3B">
        <w:rPr>
          <w:rFonts w:ascii="Times New Roman" w:hAnsi="Times New Roman"/>
          <w:sz w:val="24"/>
          <w:szCs w:val="24"/>
        </w:rPr>
        <w:t>Human Rights Act</w:t>
      </w:r>
      <w:r w:rsidRPr="00EE0453">
        <w:rPr>
          <w:rFonts w:ascii="Times New Roman" w:hAnsi="Times New Roman"/>
          <w:i/>
          <w:sz w:val="24"/>
          <w:szCs w:val="24"/>
        </w:rPr>
        <w:t>).</w:t>
      </w:r>
    </w:p>
    <w:p w14:paraId="26432A70" w14:textId="1FDD250D" w:rsidR="00DB5EB8" w:rsidRPr="00BA61EE" w:rsidRDefault="00971B15" w:rsidP="00DB5EB8">
      <w:pPr>
        <w:spacing w:line="240" w:lineRule="auto"/>
        <w:jc w:val="center"/>
        <w:outlineLvl w:val="0"/>
        <w:rPr>
          <w:rFonts w:ascii="Times New Roman" w:hAnsi="Times New Roman"/>
          <w:i/>
          <w:sz w:val="24"/>
          <w:szCs w:val="24"/>
          <w:u w:val="single"/>
        </w:rPr>
      </w:pPr>
      <w:r w:rsidRPr="00BA61EE">
        <w:rPr>
          <w:rFonts w:ascii="Times New Roman" w:hAnsi="Times New Roman"/>
          <w:i/>
          <w:sz w:val="24"/>
          <w:szCs w:val="24"/>
          <w:u w:val="single"/>
        </w:rPr>
        <w:t>Water Amendment (</w:t>
      </w:r>
      <w:r>
        <w:rPr>
          <w:rFonts w:ascii="Times New Roman" w:hAnsi="Times New Roman"/>
          <w:i/>
          <w:sz w:val="24"/>
          <w:szCs w:val="24"/>
          <w:u w:val="single"/>
        </w:rPr>
        <w:t>Murray-Darling Basin Agreement</w:t>
      </w:r>
      <w:r w:rsidRPr="00BA61EE">
        <w:rPr>
          <w:rFonts w:ascii="Times New Roman" w:hAnsi="Times New Roman"/>
          <w:i/>
          <w:sz w:val="24"/>
          <w:szCs w:val="24"/>
          <w:u w:val="single"/>
        </w:rPr>
        <w:t>) Regulation</w:t>
      </w:r>
      <w:r>
        <w:rPr>
          <w:rFonts w:ascii="Times New Roman" w:hAnsi="Times New Roman"/>
          <w:i/>
          <w:sz w:val="24"/>
          <w:szCs w:val="24"/>
          <w:u w:val="single"/>
        </w:rPr>
        <w:t>s</w:t>
      </w:r>
      <w:r w:rsidRPr="00BA61EE">
        <w:rPr>
          <w:rFonts w:ascii="Times New Roman" w:hAnsi="Times New Roman"/>
          <w:i/>
          <w:sz w:val="24"/>
          <w:szCs w:val="24"/>
          <w:u w:val="single"/>
        </w:rPr>
        <w:t xml:space="preserve"> 201</w:t>
      </w:r>
      <w:r>
        <w:rPr>
          <w:rFonts w:ascii="Times New Roman" w:hAnsi="Times New Roman"/>
          <w:i/>
          <w:sz w:val="24"/>
          <w:szCs w:val="24"/>
          <w:u w:val="single"/>
        </w:rPr>
        <w:t>7</w:t>
      </w:r>
      <w:r w:rsidRPr="00BA61EE">
        <w:rPr>
          <w:rFonts w:ascii="Times New Roman" w:hAnsi="Times New Roman"/>
          <w:i/>
          <w:sz w:val="24"/>
          <w:szCs w:val="24"/>
          <w:u w:val="single"/>
        </w:rPr>
        <w:t xml:space="preserve"> </w:t>
      </w:r>
    </w:p>
    <w:p w14:paraId="26432A71" w14:textId="77777777" w:rsidR="00DB5EB8" w:rsidRPr="00BA61EE" w:rsidRDefault="00971B15" w:rsidP="00DB5EB8">
      <w:pPr>
        <w:spacing w:line="240" w:lineRule="auto"/>
        <w:rPr>
          <w:rFonts w:ascii="Times New Roman" w:hAnsi="Times New Roman"/>
          <w:sz w:val="24"/>
          <w:szCs w:val="24"/>
        </w:rPr>
      </w:pPr>
      <w:r w:rsidRPr="00BA61EE">
        <w:rPr>
          <w:rFonts w:ascii="Times New Roman" w:hAnsi="Times New Roman"/>
          <w:sz w:val="24"/>
          <w:szCs w:val="24"/>
        </w:rPr>
        <w:t>This legislative instrument is compatible with the human rights and freedoms recognised or declared in the international instruments listed in section 3 of the</w:t>
      </w:r>
      <w:r w:rsidRPr="00BA61EE">
        <w:rPr>
          <w:rFonts w:ascii="Times New Roman" w:hAnsi="Times New Roman"/>
          <w:i/>
          <w:sz w:val="24"/>
          <w:szCs w:val="24"/>
        </w:rPr>
        <w:t xml:space="preserve"> </w:t>
      </w:r>
      <w:r w:rsidRPr="00BA61EE">
        <w:rPr>
          <w:rFonts w:ascii="Times New Roman" w:hAnsi="Times New Roman"/>
          <w:sz w:val="24"/>
          <w:szCs w:val="24"/>
        </w:rPr>
        <w:t>Human Rights Act.</w:t>
      </w:r>
    </w:p>
    <w:p w14:paraId="26432A72" w14:textId="77777777" w:rsidR="00DB5EB8" w:rsidRPr="00BA61EE" w:rsidRDefault="00971B15" w:rsidP="00DB5EB8">
      <w:pPr>
        <w:spacing w:line="240" w:lineRule="auto"/>
        <w:outlineLvl w:val="0"/>
        <w:rPr>
          <w:rFonts w:ascii="Times New Roman" w:hAnsi="Times New Roman"/>
          <w:sz w:val="24"/>
          <w:szCs w:val="24"/>
          <w:u w:val="single"/>
        </w:rPr>
      </w:pPr>
      <w:r w:rsidRPr="00BA61EE">
        <w:rPr>
          <w:rFonts w:ascii="Times New Roman" w:hAnsi="Times New Roman"/>
          <w:sz w:val="24"/>
          <w:szCs w:val="24"/>
          <w:u w:val="single"/>
        </w:rPr>
        <w:lastRenderedPageBreak/>
        <w:t>Overview of the Legislative Instrument</w:t>
      </w:r>
    </w:p>
    <w:p w14:paraId="26432A73" w14:textId="0B54990B" w:rsidR="00C96699" w:rsidRDefault="00971B15" w:rsidP="00DB5EB8">
      <w:pPr>
        <w:spacing w:line="240" w:lineRule="auto"/>
        <w:rPr>
          <w:rFonts w:ascii="Times New Roman" w:hAnsi="Times New Roman"/>
          <w:sz w:val="24"/>
          <w:szCs w:val="24"/>
        </w:rPr>
      </w:pPr>
      <w:r w:rsidRPr="00313067">
        <w:rPr>
          <w:rFonts w:ascii="Times New Roman" w:hAnsi="Times New Roman"/>
          <w:sz w:val="24"/>
          <w:szCs w:val="24"/>
        </w:rPr>
        <w:t xml:space="preserve">This legislative instrument amends the </w:t>
      </w:r>
      <w:r w:rsidRPr="00C96699">
        <w:rPr>
          <w:rFonts w:ascii="Times New Roman" w:hAnsi="Times New Roman"/>
          <w:sz w:val="24"/>
          <w:szCs w:val="24"/>
        </w:rPr>
        <w:t>Murray-Darling Basin Agreement</w:t>
      </w:r>
      <w:r>
        <w:rPr>
          <w:rFonts w:ascii="Times New Roman" w:hAnsi="Times New Roman"/>
          <w:sz w:val="24"/>
          <w:szCs w:val="24"/>
        </w:rPr>
        <w:t xml:space="preserve"> (‘the Agreement’), which is set out in Schedule 1 to the </w:t>
      </w:r>
      <w:r>
        <w:rPr>
          <w:rFonts w:ascii="Times New Roman" w:hAnsi="Times New Roman"/>
          <w:i/>
          <w:sz w:val="24"/>
          <w:szCs w:val="24"/>
        </w:rPr>
        <w:t xml:space="preserve">Water Act 2007 </w:t>
      </w:r>
      <w:r w:rsidR="00CD7A3B">
        <w:rPr>
          <w:rFonts w:ascii="Times New Roman" w:hAnsi="Times New Roman"/>
          <w:sz w:val="24"/>
          <w:szCs w:val="24"/>
        </w:rPr>
        <w:t>(the Act</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 xml:space="preserve">to: </w:t>
      </w:r>
    </w:p>
    <w:p w14:paraId="26432A74" w14:textId="630C8C93" w:rsidR="00C96699" w:rsidRDefault="00971B15" w:rsidP="00C96699">
      <w:pPr>
        <w:pStyle w:val="ListParagraph"/>
        <w:numPr>
          <w:ilvl w:val="0"/>
          <w:numId w:val="7"/>
        </w:numPr>
        <w:spacing w:line="240" w:lineRule="auto"/>
        <w:outlineLvl w:val="0"/>
        <w:rPr>
          <w:rFonts w:ascii="Times New Roman" w:hAnsi="Times New Roman"/>
          <w:sz w:val="24"/>
          <w:szCs w:val="24"/>
          <w:lang w:val="en-US"/>
        </w:rPr>
      </w:pPr>
      <w:r>
        <w:rPr>
          <w:rFonts w:ascii="Times New Roman" w:hAnsi="Times New Roman"/>
          <w:sz w:val="24"/>
          <w:szCs w:val="24"/>
          <w:lang w:val="en-US"/>
        </w:rPr>
        <w:t>allow the M</w:t>
      </w:r>
      <w:r w:rsidR="00CD7A3B">
        <w:rPr>
          <w:rFonts w:ascii="Times New Roman" w:hAnsi="Times New Roman"/>
          <w:sz w:val="24"/>
          <w:szCs w:val="24"/>
          <w:lang w:val="en-US"/>
        </w:rPr>
        <w:t>urray-Darling Basin Authority (the Authority</w:t>
      </w:r>
      <w:r>
        <w:rPr>
          <w:rFonts w:ascii="Times New Roman" w:hAnsi="Times New Roman"/>
          <w:sz w:val="24"/>
          <w:szCs w:val="24"/>
          <w:lang w:val="en-US"/>
        </w:rPr>
        <w:t>)</w:t>
      </w:r>
      <w:r w:rsidRPr="00C96699">
        <w:rPr>
          <w:rFonts w:ascii="Times New Roman" w:hAnsi="Times New Roman"/>
          <w:sz w:val="24"/>
          <w:szCs w:val="24"/>
          <w:lang w:val="en-US"/>
        </w:rPr>
        <w:t xml:space="preserve"> to prepare a high</w:t>
      </w:r>
      <w:r>
        <w:rPr>
          <w:rFonts w:ascii="Times New Roman" w:hAnsi="Times New Roman"/>
          <w:sz w:val="24"/>
          <w:szCs w:val="24"/>
          <w:lang w:val="en-US"/>
        </w:rPr>
        <w:t>-</w:t>
      </w:r>
      <w:r w:rsidRPr="00C96699">
        <w:rPr>
          <w:rFonts w:ascii="Times New Roman" w:hAnsi="Times New Roman"/>
          <w:sz w:val="24"/>
          <w:szCs w:val="24"/>
          <w:lang w:val="en-US"/>
        </w:rPr>
        <w:t xml:space="preserve">level corporate plan for publication, to </w:t>
      </w:r>
      <w:r>
        <w:rPr>
          <w:rFonts w:ascii="Times New Roman" w:hAnsi="Times New Roman"/>
          <w:sz w:val="24"/>
          <w:szCs w:val="24"/>
          <w:lang w:val="en-US"/>
        </w:rPr>
        <w:t>comply with its statutory obligations under the Act,</w:t>
      </w:r>
      <w:r w:rsidRPr="00C96699">
        <w:rPr>
          <w:rFonts w:ascii="Times New Roman" w:hAnsi="Times New Roman"/>
          <w:sz w:val="24"/>
          <w:szCs w:val="24"/>
          <w:lang w:val="en-US"/>
        </w:rPr>
        <w:t xml:space="preserve"> </w:t>
      </w:r>
      <w:r w:rsidRPr="001259C9">
        <w:rPr>
          <w:rFonts w:ascii="Times New Roman" w:hAnsi="Times New Roman"/>
          <w:i/>
          <w:sz w:val="24"/>
          <w:szCs w:val="24"/>
        </w:rPr>
        <w:t>Public Governance</w:t>
      </w:r>
      <w:r>
        <w:rPr>
          <w:rFonts w:ascii="Times New Roman" w:hAnsi="Times New Roman"/>
          <w:i/>
          <w:sz w:val="24"/>
          <w:szCs w:val="24"/>
        </w:rPr>
        <w:t>,</w:t>
      </w:r>
      <w:r w:rsidRPr="001259C9">
        <w:rPr>
          <w:rFonts w:ascii="Times New Roman" w:hAnsi="Times New Roman"/>
          <w:i/>
          <w:sz w:val="24"/>
          <w:szCs w:val="24"/>
        </w:rPr>
        <w:t xml:space="preserve"> Performance and Accountability Act 2013</w:t>
      </w:r>
      <w:r w:rsidR="00CD7A3B">
        <w:rPr>
          <w:rFonts w:ascii="Times New Roman" w:hAnsi="Times New Roman"/>
          <w:i/>
          <w:sz w:val="24"/>
          <w:szCs w:val="24"/>
        </w:rPr>
        <w:t xml:space="preserve"> (</w:t>
      </w:r>
      <w:r w:rsidRPr="00C96699">
        <w:rPr>
          <w:rFonts w:ascii="Times New Roman" w:hAnsi="Times New Roman"/>
          <w:sz w:val="24"/>
          <w:szCs w:val="24"/>
          <w:lang w:val="en-US"/>
        </w:rPr>
        <w:t>PGPA Act</w:t>
      </w:r>
      <w:r>
        <w:rPr>
          <w:rFonts w:ascii="Times New Roman" w:hAnsi="Times New Roman"/>
          <w:sz w:val="24"/>
          <w:szCs w:val="24"/>
          <w:lang w:val="en-US"/>
        </w:rPr>
        <w:t>)</w:t>
      </w:r>
      <w:r w:rsidRPr="00C96699">
        <w:rPr>
          <w:rFonts w:ascii="Times New Roman" w:hAnsi="Times New Roman"/>
          <w:sz w:val="24"/>
          <w:szCs w:val="24"/>
          <w:lang w:val="en-US"/>
        </w:rPr>
        <w:t xml:space="preserve"> and </w:t>
      </w:r>
      <w:r w:rsidRPr="00A55792">
        <w:rPr>
          <w:rFonts w:ascii="Times New Roman" w:hAnsi="Times New Roman"/>
          <w:i/>
          <w:sz w:val="24"/>
          <w:szCs w:val="24"/>
        </w:rPr>
        <w:t xml:space="preserve">Public Governance, Performance and Accountability Rule 2014 </w:t>
      </w:r>
      <w:r w:rsidR="00CD7A3B">
        <w:rPr>
          <w:rFonts w:ascii="Times New Roman" w:hAnsi="Times New Roman"/>
          <w:i/>
          <w:sz w:val="24"/>
          <w:szCs w:val="24"/>
        </w:rPr>
        <w:t>(</w:t>
      </w:r>
      <w:r w:rsidR="00CD7A3B">
        <w:rPr>
          <w:rFonts w:ascii="Times New Roman" w:hAnsi="Times New Roman"/>
          <w:sz w:val="24"/>
          <w:szCs w:val="24"/>
        </w:rPr>
        <w:t>PGPA Rule</w:t>
      </w:r>
      <w:r w:rsidRPr="00D554A5">
        <w:rPr>
          <w:rFonts w:ascii="Times New Roman" w:hAnsi="Times New Roman"/>
          <w:sz w:val="24"/>
          <w:szCs w:val="24"/>
        </w:rPr>
        <w:t>)</w:t>
      </w:r>
      <w:r w:rsidRPr="00C96699">
        <w:rPr>
          <w:rFonts w:ascii="Times New Roman" w:hAnsi="Times New Roman"/>
          <w:sz w:val="24"/>
          <w:szCs w:val="24"/>
          <w:lang w:val="en-US"/>
        </w:rPr>
        <w:t>, while maintaining a detailed work plan under the Agreement for operational purposes; and</w:t>
      </w:r>
    </w:p>
    <w:p w14:paraId="26432A75" w14:textId="77777777" w:rsidR="00C81B61" w:rsidRPr="00C81B61" w:rsidRDefault="00971B15" w:rsidP="00C81B61">
      <w:pPr>
        <w:pStyle w:val="ListParagraph"/>
        <w:numPr>
          <w:ilvl w:val="0"/>
          <w:numId w:val="7"/>
        </w:numPr>
        <w:spacing w:line="240" w:lineRule="auto"/>
        <w:outlineLvl w:val="0"/>
        <w:rPr>
          <w:rFonts w:ascii="Times New Roman" w:hAnsi="Times New Roman"/>
          <w:sz w:val="24"/>
          <w:szCs w:val="24"/>
          <w:lang w:val="en-US"/>
        </w:rPr>
      </w:pPr>
      <w:proofErr w:type="gramStart"/>
      <w:r>
        <w:rPr>
          <w:rFonts w:ascii="Times New Roman" w:hAnsi="Times New Roman"/>
          <w:sz w:val="24"/>
          <w:szCs w:val="24"/>
          <w:lang w:val="en-US"/>
        </w:rPr>
        <w:t>substitute</w:t>
      </w:r>
      <w:proofErr w:type="gramEnd"/>
      <w:r>
        <w:rPr>
          <w:rFonts w:ascii="Times New Roman" w:hAnsi="Times New Roman"/>
          <w:sz w:val="24"/>
          <w:szCs w:val="24"/>
          <w:lang w:val="en-US"/>
        </w:rPr>
        <w:t xml:space="preserve"> references to the </w:t>
      </w:r>
      <w:r w:rsidRPr="00C81B61">
        <w:rPr>
          <w:rFonts w:ascii="Times New Roman" w:hAnsi="Times New Roman"/>
          <w:bCs/>
          <w:i/>
          <w:sz w:val="24"/>
          <w:szCs w:val="24"/>
        </w:rPr>
        <w:t xml:space="preserve">Legislative Instruments Act 2003, </w:t>
      </w:r>
      <w:r w:rsidRPr="00C81B61">
        <w:rPr>
          <w:rFonts w:ascii="Times New Roman" w:hAnsi="Times New Roman"/>
          <w:bCs/>
          <w:sz w:val="24"/>
          <w:szCs w:val="24"/>
        </w:rPr>
        <w:t xml:space="preserve">in the Agreement, with the </w:t>
      </w:r>
      <w:r w:rsidRPr="00C81B61">
        <w:rPr>
          <w:rFonts w:ascii="Times New Roman" w:hAnsi="Times New Roman"/>
          <w:bCs/>
          <w:i/>
          <w:sz w:val="24"/>
          <w:szCs w:val="24"/>
        </w:rPr>
        <w:t>Legislation Act 2003</w:t>
      </w:r>
      <w:r>
        <w:rPr>
          <w:rFonts w:ascii="Times New Roman" w:hAnsi="Times New Roman"/>
          <w:bCs/>
          <w:i/>
          <w:sz w:val="24"/>
          <w:szCs w:val="24"/>
        </w:rPr>
        <w:t xml:space="preserve">. </w:t>
      </w:r>
    </w:p>
    <w:p w14:paraId="26432A76" w14:textId="77777777" w:rsidR="00DB5EB8" w:rsidRPr="00BA61EE" w:rsidRDefault="00971B15" w:rsidP="00DB5EB8">
      <w:pPr>
        <w:spacing w:line="240" w:lineRule="auto"/>
        <w:outlineLvl w:val="0"/>
        <w:rPr>
          <w:rFonts w:ascii="Times New Roman" w:hAnsi="Times New Roman"/>
          <w:sz w:val="24"/>
          <w:szCs w:val="24"/>
          <w:u w:val="single"/>
        </w:rPr>
      </w:pPr>
      <w:r w:rsidRPr="00BA61EE">
        <w:rPr>
          <w:rFonts w:ascii="Times New Roman" w:hAnsi="Times New Roman"/>
          <w:sz w:val="24"/>
          <w:szCs w:val="24"/>
          <w:u w:val="single"/>
        </w:rPr>
        <w:t>Human rights implications</w:t>
      </w:r>
    </w:p>
    <w:p w14:paraId="26432A77" w14:textId="3A38E06F" w:rsidR="00DB5EB8" w:rsidRPr="00BA61EE" w:rsidRDefault="00971B15" w:rsidP="00DB5EB8">
      <w:pPr>
        <w:spacing w:line="240" w:lineRule="auto"/>
        <w:rPr>
          <w:rFonts w:ascii="Times New Roman" w:hAnsi="Times New Roman"/>
          <w:sz w:val="24"/>
          <w:szCs w:val="24"/>
        </w:rPr>
      </w:pPr>
      <w:r w:rsidRPr="00BA61EE">
        <w:rPr>
          <w:rFonts w:ascii="Times New Roman" w:hAnsi="Times New Roman"/>
          <w:sz w:val="24"/>
          <w:szCs w:val="24"/>
        </w:rPr>
        <w:t>This legislative instrument engages the right to an adequate standard of living and the right to health in the International Covenant on Economic, Social and Cultural Rights (</w:t>
      </w:r>
      <w:r>
        <w:rPr>
          <w:rFonts w:ascii="Times New Roman" w:hAnsi="Times New Roman"/>
          <w:sz w:val="24"/>
          <w:szCs w:val="24"/>
        </w:rPr>
        <w:t xml:space="preserve">the </w:t>
      </w:r>
      <w:r w:rsidR="00CD7A3B">
        <w:rPr>
          <w:rFonts w:ascii="Times New Roman" w:hAnsi="Times New Roman"/>
          <w:sz w:val="24"/>
          <w:szCs w:val="24"/>
        </w:rPr>
        <w:t>ICESCR</w:t>
      </w:r>
      <w:r w:rsidRPr="00BA61EE">
        <w:rPr>
          <w:rFonts w:ascii="Times New Roman" w:hAnsi="Times New Roman"/>
          <w:sz w:val="24"/>
          <w:szCs w:val="24"/>
        </w:rPr>
        <w:t>). The right to an adequate standard of living is protected in Article 11 of the ICESCR and the right to physical and mental health is protected in article 12 of the ICESCR. The Committee on Economic, Social and Cultural Rights, established to oversee the implementation of the ICESCR, has interpreted these articles as including a human right to water which encompasses an entitlement to ‘sufficient, safe, acceptable, physically accessible and affordable water for personal and domestic uses’.</w:t>
      </w:r>
      <w:r>
        <w:rPr>
          <w:rStyle w:val="FootnoteReference"/>
          <w:rFonts w:ascii="Times New Roman" w:hAnsi="Times New Roman"/>
          <w:sz w:val="24"/>
          <w:szCs w:val="24"/>
        </w:rPr>
        <w:footnoteReference w:id="1"/>
      </w:r>
    </w:p>
    <w:p w14:paraId="26432A78" w14:textId="77777777" w:rsidR="00DB5EB8" w:rsidRPr="00BA61EE" w:rsidRDefault="00971B15" w:rsidP="00DB5EB8">
      <w:pPr>
        <w:spacing w:line="240" w:lineRule="auto"/>
        <w:rPr>
          <w:rFonts w:ascii="Times New Roman" w:hAnsi="Times New Roman"/>
          <w:sz w:val="24"/>
          <w:szCs w:val="24"/>
        </w:rPr>
      </w:pPr>
      <w:r w:rsidRPr="00BA61EE">
        <w:rPr>
          <w:rFonts w:ascii="Times New Roman" w:hAnsi="Times New Roman"/>
          <w:sz w:val="24"/>
          <w:szCs w:val="24"/>
        </w:rPr>
        <w:t xml:space="preserve">The human rights implications of the legislative instrument must be considered in the context of the </w:t>
      </w:r>
      <w:r>
        <w:rPr>
          <w:rFonts w:ascii="Times New Roman" w:hAnsi="Times New Roman"/>
          <w:sz w:val="24"/>
          <w:szCs w:val="24"/>
        </w:rPr>
        <w:t>Act</w:t>
      </w:r>
      <w:r w:rsidRPr="00BA61EE">
        <w:rPr>
          <w:rFonts w:ascii="Times New Roman" w:hAnsi="Times New Roman"/>
          <w:sz w:val="24"/>
          <w:szCs w:val="24"/>
        </w:rPr>
        <w:t>. The overall framework of the Act supports access to sufficient, safe, acceptable and physically accessible water for personal and domestic uses. This</w:t>
      </w:r>
      <w:r>
        <w:rPr>
          <w:rFonts w:ascii="Times New Roman" w:hAnsi="Times New Roman"/>
          <w:sz w:val="24"/>
          <w:szCs w:val="24"/>
        </w:rPr>
        <w:t> </w:t>
      </w:r>
      <w:r w:rsidRPr="00BA61EE">
        <w:rPr>
          <w:rFonts w:ascii="Times New Roman" w:hAnsi="Times New Roman"/>
          <w:sz w:val="24"/>
          <w:szCs w:val="24"/>
        </w:rPr>
        <w:t xml:space="preserve">is reflected in the Act by section 20 which sets out the purpose of the </w:t>
      </w:r>
      <w:r w:rsidRPr="00BA61EE">
        <w:rPr>
          <w:rFonts w:ascii="Times New Roman" w:hAnsi="Times New Roman"/>
          <w:i/>
          <w:sz w:val="24"/>
          <w:szCs w:val="24"/>
        </w:rPr>
        <w:t>Basin Plan 2012</w:t>
      </w:r>
      <w:r w:rsidRPr="00BA61EE">
        <w:rPr>
          <w:rFonts w:ascii="Times New Roman" w:hAnsi="Times New Roman"/>
          <w:sz w:val="24"/>
          <w:szCs w:val="24"/>
        </w:rPr>
        <w:t xml:space="preserve"> (the Basin Plan) and is supported by subsection 22(1) which sets out the specific content required to be included in the Basin Plan, such as a water quality and salinity management plan (</w:t>
      </w:r>
      <w:r>
        <w:rPr>
          <w:rFonts w:ascii="Times New Roman" w:hAnsi="Times New Roman"/>
          <w:sz w:val="24"/>
          <w:szCs w:val="24"/>
        </w:rPr>
        <w:t>i</w:t>
      </w:r>
      <w:r w:rsidRPr="00BA61EE">
        <w:rPr>
          <w:rFonts w:ascii="Times New Roman" w:hAnsi="Times New Roman"/>
          <w:sz w:val="24"/>
          <w:szCs w:val="24"/>
        </w:rPr>
        <w:t xml:space="preserve">tem 10). These sections, together with subsection 86A(1)(a) which requires regard to be given to critical human water needs and water quality, support the human right to water. </w:t>
      </w:r>
    </w:p>
    <w:p w14:paraId="26432A79" w14:textId="7934DCA8" w:rsidR="00DB5EB8" w:rsidRPr="0061403A" w:rsidRDefault="00971B15" w:rsidP="00DB5EB8">
      <w:pPr>
        <w:spacing w:line="240" w:lineRule="auto"/>
        <w:rPr>
          <w:rFonts w:ascii="Times New Roman" w:hAnsi="Times New Roman"/>
          <w:sz w:val="24"/>
          <w:szCs w:val="24"/>
          <w:lang w:val="en-US"/>
        </w:rPr>
      </w:pPr>
      <w:r w:rsidRPr="00BA61EE">
        <w:rPr>
          <w:rFonts w:ascii="Times New Roman" w:hAnsi="Times New Roman"/>
          <w:sz w:val="24"/>
          <w:szCs w:val="24"/>
        </w:rPr>
        <w:t xml:space="preserve">These amendments to the </w:t>
      </w:r>
      <w:r>
        <w:rPr>
          <w:rFonts w:ascii="Times New Roman" w:hAnsi="Times New Roman"/>
          <w:sz w:val="24"/>
          <w:szCs w:val="24"/>
        </w:rPr>
        <w:t xml:space="preserve">Agreement </w:t>
      </w:r>
      <w:r w:rsidRPr="00BA61EE">
        <w:rPr>
          <w:rFonts w:ascii="Times New Roman" w:hAnsi="Times New Roman"/>
          <w:sz w:val="24"/>
          <w:szCs w:val="24"/>
        </w:rPr>
        <w:t xml:space="preserve">deal with </w:t>
      </w:r>
      <w:r>
        <w:rPr>
          <w:rFonts w:ascii="Times New Roman" w:hAnsi="Times New Roman"/>
          <w:sz w:val="24"/>
          <w:szCs w:val="24"/>
        </w:rPr>
        <w:t>the corporate plan reporting requirements for the Authority,</w:t>
      </w:r>
      <w:r w:rsidRPr="00A07446">
        <w:rPr>
          <w:rFonts w:ascii="Times New Roman" w:hAnsi="Times New Roman"/>
          <w:sz w:val="24"/>
          <w:szCs w:val="24"/>
        </w:rPr>
        <w:t xml:space="preserve"> which </w:t>
      </w:r>
      <w:r>
        <w:rPr>
          <w:rFonts w:ascii="Times New Roman" w:hAnsi="Times New Roman"/>
          <w:sz w:val="24"/>
          <w:szCs w:val="24"/>
        </w:rPr>
        <w:t xml:space="preserve">is </w:t>
      </w:r>
      <w:r w:rsidRPr="00A07446">
        <w:rPr>
          <w:rFonts w:ascii="Times New Roman" w:hAnsi="Times New Roman"/>
          <w:sz w:val="24"/>
          <w:szCs w:val="24"/>
        </w:rPr>
        <w:t xml:space="preserve">required to </w:t>
      </w:r>
      <w:r>
        <w:rPr>
          <w:rFonts w:ascii="Times New Roman" w:hAnsi="Times New Roman"/>
          <w:sz w:val="24"/>
          <w:szCs w:val="24"/>
        </w:rPr>
        <w:t xml:space="preserve">comply with the new requirement, under subsection </w:t>
      </w:r>
      <w:r w:rsidRPr="00BB15C4">
        <w:rPr>
          <w:rFonts w:ascii="Times New Roman" w:hAnsi="Times New Roman"/>
          <w:sz w:val="24"/>
          <w:szCs w:val="24"/>
          <w:lang w:val="en-US"/>
        </w:rPr>
        <w:t>16E(3) of the PGPA Rule, for Commonwealth entities to publish a corporate plan by 31 August each year.</w:t>
      </w:r>
      <w:r>
        <w:rPr>
          <w:rFonts w:ascii="Times New Roman" w:hAnsi="Times New Roman"/>
          <w:sz w:val="24"/>
          <w:szCs w:val="24"/>
          <w:lang w:val="en-US"/>
        </w:rPr>
        <w:t xml:space="preserve"> The amendments will improve transparency for stakeholders by ensuring that the Authority’s corporate plan is publicly available and in a format that is appropriate for the audience. </w:t>
      </w:r>
    </w:p>
    <w:p w14:paraId="26432A7A" w14:textId="77777777" w:rsidR="00DB5EB8" w:rsidRPr="00BA61EE" w:rsidRDefault="00971B15" w:rsidP="00DB5EB8">
      <w:pPr>
        <w:spacing w:line="240" w:lineRule="auto"/>
        <w:outlineLvl w:val="0"/>
        <w:rPr>
          <w:rFonts w:ascii="Times New Roman" w:hAnsi="Times New Roman"/>
          <w:sz w:val="24"/>
          <w:szCs w:val="24"/>
          <w:u w:val="single"/>
        </w:rPr>
      </w:pPr>
      <w:r w:rsidRPr="00BA61EE">
        <w:rPr>
          <w:rFonts w:ascii="Times New Roman" w:hAnsi="Times New Roman"/>
          <w:sz w:val="24"/>
          <w:szCs w:val="24"/>
          <w:u w:val="single"/>
        </w:rPr>
        <w:t>Conclusion</w:t>
      </w:r>
    </w:p>
    <w:p w14:paraId="26432A7B" w14:textId="77777777" w:rsidR="00DB5EB8" w:rsidRPr="00BA61EE" w:rsidRDefault="00971B15" w:rsidP="00DB5EB8">
      <w:pPr>
        <w:spacing w:line="240" w:lineRule="auto"/>
        <w:rPr>
          <w:rFonts w:ascii="Times New Roman" w:hAnsi="Times New Roman"/>
          <w:sz w:val="24"/>
          <w:szCs w:val="24"/>
        </w:rPr>
      </w:pPr>
      <w:r w:rsidRPr="00BA61EE">
        <w:rPr>
          <w:rFonts w:ascii="Times New Roman" w:hAnsi="Times New Roman"/>
          <w:sz w:val="24"/>
          <w:szCs w:val="24"/>
        </w:rPr>
        <w:t xml:space="preserve">The legislative instrument is compatible with human rights because it supports the human right to water. </w:t>
      </w:r>
    </w:p>
    <w:p w14:paraId="26432A7C" w14:textId="77777777" w:rsidR="00DB5EB8" w:rsidRDefault="00751DCC" w:rsidP="00DB5EB8">
      <w:pPr>
        <w:tabs>
          <w:tab w:val="left" w:pos="6560"/>
        </w:tabs>
        <w:rPr>
          <w:rFonts w:ascii="Times New Roman" w:hAnsi="Times New Roman"/>
          <w:sz w:val="24"/>
          <w:szCs w:val="24"/>
        </w:rPr>
      </w:pPr>
    </w:p>
    <w:p w14:paraId="26432A7D" w14:textId="77777777" w:rsidR="00DB5EB8" w:rsidRDefault="00971B15" w:rsidP="00DB5EB8">
      <w:pPr>
        <w:spacing w:before="120" w:after="120"/>
        <w:contextualSpacing/>
        <w:jc w:val="center"/>
        <w:rPr>
          <w:rFonts w:ascii="Times New Roman" w:hAnsi="Times New Roman"/>
          <w:b/>
          <w:sz w:val="24"/>
          <w:szCs w:val="24"/>
        </w:rPr>
      </w:pPr>
      <w:r>
        <w:rPr>
          <w:rFonts w:ascii="Times New Roman" w:hAnsi="Times New Roman"/>
          <w:b/>
          <w:sz w:val="24"/>
          <w:szCs w:val="24"/>
        </w:rPr>
        <w:t>The Hon. Barnaby Joyce MP</w:t>
      </w:r>
    </w:p>
    <w:p w14:paraId="26432A7F" w14:textId="7B35F9E5" w:rsidR="00827473" w:rsidRPr="00795ED6" w:rsidRDefault="00971B15" w:rsidP="00795ED6">
      <w:pPr>
        <w:jc w:val="center"/>
        <w:rPr>
          <w:rFonts w:ascii="Times New Roman" w:hAnsi="Times New Roman"/>
          <w:sz w:val="24"/>
          <w:szCs w:val="24"/>
        </w:rPr>
      </w:pPr>
      <w:r>
        <w:rPr>
          <w:rFonts w:ascii="Times New Roman" w:hAnsi="Times New Roman"/>
          <w:b/>
          <w:sz w:val="24"/>
          <w:szCs w:val="24"/>
        </w:rPr>
        <w:t>Deputy Prime Minister and Minister for Agriculture and Water Resources</w:t>
      </w:r>
    </w:p>
    <w:sectPr w:rsidR="00827473" w:rsidRPr="00795ED6" w:rsidSect="00C96699">
      <w:headerReference w:type="even" r:id="rId13"/>
      <w:headerReference w:type="default" r:id="rId14"/>
      <w:headerReference w:type="first" r:id="rId15"/>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8AB3E" w14:textId="77777777" w:rsidR="00C10100" w:rsidRDefault="00C10100">
      <w:pPr>
        <w:spacing w:after="0" w:line="240" w:lineRule="auto"/>
      </w:pPr>
      <w:r>
        <w:separator/>
      </w:r>
    </w:p>
  </w:endnote>
  <w:endnote w:type="continuationSeparator" w:id="0">
    <w:p w14:paraId="644E8B69" w14:textId="77777777" w:rsidR="00C10100" w:rsidRDefault="00C1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32A89" w14:textId="77777777" w:rsidR="002E3439" w:rsidRDefault="00971B15">
    <w:pPr>
      <w:pStyle w:val="Footer"/>
      <w:jc w:val="center"/>
    </w:pPr>
    <w:r w:rsidRPr="0041451A">
      <w:rPr>
        <w:rFonts w:ascii="Times New Roman" w:hAnsi="Times New Roman"/>
      </w:rPr>
      <w:fldChar w:fldCharType="begin"/>
    </w:r>
    <w:r w:rsidRPr="0041451A">
      <w:rPr>
        <w:rFonts w:ascii="Times New Roman" w:hAnsi="Times New Roman"/>
      </w:rPr>
      <w:instrText xml:space="preserve"> PAGE   \* MERGEFORMAT </w:instrText>
    </w:r>
    <w:r w:rsidRPr="0041451A">
      <w:rPr>
        <w:rFonts w:ascii="Times New Roman" w:hAnsi="Times New Roman"/>
      </w:rPr>
      <w:fldChar w:fldCharType="separate"/>
    </w:r>
    <w:r w:rsidR="00751DCC">
      <w:rPr>
        <w:rFonts w:ascii="Times New Roman" w:hAnsi="Times New Roman"/>
        <w:noProof/>
      </w:rPr>
      <w:t>7</w:t>
    </w:r>
    <w:r w:rsidRPr="0041451A">
      <w:rPr>
        <w:rFonts w:ascii="Times New Roman" w:hAnsi="Times New Roman"/>
      </w:rPr>
      <w:fldChar w:fldCharType="end"/>
    </w:r>
  </w:p>
  <w:p w14:paraId="26432A8A" w14:textId="77777777" w:rsidR="002E3439" w:rsidRDefault="00751D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D18D0" w14:textId="77777777" w:rsidR="00C10100" w:rsidRDefault="00C10100" w:rsidP="00DB5EB8">
      <w:pPr>
        <w:spacing w:after="0" w:line="240" w:lineRule="auto"/>
      </w:pPr>
      <w:r>
        <w:separator/>
      </w:r>
    </w:p>
  </w:footnote>
  <w:footnote w:type="continuationSeparator" w:id="0">
    <w:p w14:paraId="43D6F894" w14:textId="77777777" w:rsidR="00C10100" w:rsidRDefault="00C10100" w:rsidP="00DB5EB8">
      <w:pPr>
        <w:spacing w:after="0" w:line="240" w:lineRule="auto"/>
      </w:pPr>
      <w:r>
        <w:continuationSeparator/>
      </w:r>
    </w:p>
  </w:footnote>
  <w:footnote w:id="1">
    <w:p w14:paraId="26432A9A" w14:textId="77777777" w:rsidR="002E3439" w:rsidRDefault="00971B15" w:rsidP="00DB5EB8">
      <w:pPr>
        <w:pStyle w:val="FootnoteText"/>
      </w:pPr>
      <w:r>
        <w:rPr>
          <w:rStyle w:val="FootnoteReference"/>
        </w:rPr>
        <w:footnoteRef/>
      </w:r>
      <w:r>
        <w:t xml:space="preserve"> </w:t>
      </w:r>
      <w:r w:rsidRPr="0078407B">
        <w:rPr>
          <w:rFonts w:ascii="Times New Roman" w:hAnsi="Times New Roman"/>
        </w:rPr>
        <w:t>CESCR General Comment No. 15: The Right to Water E/C 12/2002/11.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32A8B" w14:textId="7E49121A" w:rsidR="002E3439" w:rsidRPr="006E5F3C" w:rsidRDefault="00971B15" w:rsidP="00CB17D8">
    <w:pPr>
      <w:pStyle w:val="Header"/>
      <w:tabs>
        <w:tab w:val="clear" w:pos="9026"/>
        <w:tab w:val="left" w:pos="5040"/>
        <w:tab w:val="left" w:pos="5760"/>
      </w:tabs>
      <w:rPr>
        <w:sz w:val="36"/>
        <w:szCs w:val="36"/>
      </w:rPr>
    </w:pPr>
    <w:r w:rsidRPr="006E5F3C">
      <w:rPr>
        <w:b/>
        <w:i w:val="0"/>
        <w:sz w:val="36"/>
        <w:szCs w:val="36"/>
      </w:rPr>
      <w:t xml:space="preserve">Sensitive: Legal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32A8C" w14:textId="18B46D71" w:rsidR="002E3439" w:rsidRDefault="00751D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32A8F" w14:textId="77777777" w:rsidR="002E3439" w:rsidRDefault="00751DC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32A91" w14:textId="5AA8CC5A" w:rsidR="002E3439" w:rsidRDefault="00751D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B3286"/>
    <w:multiLevelType w:val="hybridMultilevel"/>
    <w:tmpl w:val="07E65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89176F"/>
    <w:multiLevelType w:val="hybridMultilevel"/>
    <w:tmpl w:val="6A689A02"/>
    <w:lvl w:ilvl="0" w:tplc="8EA03D4C">
      <w:start w:val="1"/>
      <w:numFmt w:val="bullet"/>
      <w:lvlText w:val=""/>
      <w:lvlJc w:val="left"/>
      <w:pPr>
        <w:ind w:left="720" w:hanging="360"/>
      </w:pPr>
      <w:rPr>
        <w:rFonts w:ascii="Symbol" w:hAnsi="Symbol" w:hint="default"/>
      </w:rPr>
    </w:lvl>
    <w:lvl w:ilvl="1" w:tplc="DFFA312C" w:tentative="1">
      <w:start w:val="1"/>
      <w:numFmt w:val="bullet"/>
      <w:lvlText w:val="o"/>
      <w:lvlJc w:val="left"/>
      <w:pPr>
        <w:ind w:left="1440" w:hanging="360"/>
      </w:pPr>
      <w:rPr>
        <w:rFonts w:ascii="Courier New" w:hAnsi="Courier New" w:cs="Courier New" w:hint="default"/>
      </w:rPr>
    </w:lvl>
    <w:lvl w:ilvl="2" w:tplc="DE588772" w:tentative="1">
      <w:start w:val="1"/>
      <w:numFmt w:val="bullet"/>
      <w:lvlText w:val=""/>
      <w:lvlJc w:val="left"/>
      <w:pPr>
        <w:ind w:left="2160" w:hanging="360"/>
      </w:pPr>
      <w:rPr>
        <w:rFonts w:ascii="Wingdings" w:hAnsi="Wingdings" w:hint="default"/>
      </w:rPr>
    </w:lvl>
    <w:lvl w:ilvl="3" w:tplc="B5ECD544" w:tentative="1">
      <w:start w:val="1"/>
      <w:numFmt w:val="bullet"/>
      <w:lvlText w:val=""/>
      <w:lvlJc w:val="left"/>
      <w:pPr>
        <w:ind w:left="2880" w:hanging="360"/>
      </w:pPr>
      <w:rPr>
        <w:rFonts w:ascii="Symbol" w:hAnsi="Symbol" w:hint="default"/>
      </w:rPr>
    </w:lvl>
    <w:lvl w:ilvl="4" w:tplc="0A78DB74" w:tentative="1">
      <w:start w:val="1"/>
      <w:numFmt w:val="bullet"/>
      <w:lvlText w:val="o"/>
      <w:lvlJc w:val="left"/>
      <w:pPr>
        <w:ind w:left="3600" w:hanging="360"/>
      </w:pPr>
      <w:rPr>
        <w:rFonts w:ascii="Courier New" w:hAnsi="Courier New" w:cs="Courier New" w:hint="default"/>
      </w:rPr>
    </w:lvl>
    <w:lvl w:ilvl="5" w:tplc="88B041BA" w:tentative="1">
      <w:start w:val="1"/>
      <w:numFmt w:val="bullet"/>
      <w:lvlText w:val=""/>
      <w:lvlJc w:val="left"/>
      <w:pPr>
        <w:ind w:left="4320" w:hanging="360"/>
      </w:pPr>
      <w:rPr>
        <w:rFonts w:ascii="Wingdings" w:hAnsi="Wingdings" w:hint="default"/>
      </w:rPr>
    </w:lvl>
    <w:lvl w:ilvl="6" w:tplc="12A227FE" w:tentative="1">
      <w:start w:val="1"/>
      <w:numFmt w:val="bullet"/>
      <w:lvlText w:val=""/>
      <w:lvlJc w:val="left"/>
      <w:pPr>
        <w:ind w:left="5040" w:hanging="360"/>
      </w:pPr>
      <w:rPr>
        <w:rFonts w:ascii="Symbol" w:hAnsi="Symbol" w:hint="default"/>
      </w:rPr>
    </w:lvl>
    <w:lvl w:ilvl="7" w:tplc="C54ED69A" w:tentative="1">
      <w:start w:val="1"/>
      <w:numFmt w:val="bullet"/>
      <w:lvlText w:val="o"/>
      <w:lvlJc w:val="left"/>
      <w:pPr>
        <w:ind w:left="5760" w:hanging="360"/>
      </w:pPr>
      <w:rPr>
        <w:rFonts w:ascii="Courier New" w:hAnsi="Courier New" w:cs="Courier New" w:hint="default"/>
      </w:rPr>
    </w:lvl>
    <w:lvl w:ilvl="8" w:tplc="7988E966" w:tentative="1">
      <w:start w:val="1"/>
      <w:numFmt w:val="bullet"/>
      <w:lvlText w:val=""/>
      <w:lvlJc w:val="left"/>
      <w:pPr>
        <w:ind w:left="6480" w:hanging="360"/>
      </w:pPr>
      <w:rPr>
        <w:rFonts w:ascii="Wingdings" w:hAnsi="Wingdings" w:hint="default"/>
      </w:rPr>
    </w:lvl>
  </w:abstractNum>
  <w:abstractNum w:abstractNumId="2" w15:restartNumberingAfterBreak="0">
    <w:nsid w:val="3098052F"/>
    <w:multiLevelType w:val="multilevel"/>
    <w:tmpl w:val="473EA67C"/>
    <w:lvl w:ilvl="0">
      <w:start w:val="1"/>
      <w:numFmt w:val="decimal"/>
      <w:lvlText w:val="%1."/>
      <w:lvlJc w:val="left"/>
      <w:pPr>
        <w:ind w:left="369" w:hanging="369"/>
      </w:pPr>
      <w:rPr>
        <w:rFonts w:cs="Times New Roman" w:hint="default"/>
      </w:rPr>
    </w:lvl>
    <w:lvl w:ilvl="1">
      <w:start w:val="1"/>
      <w:numFmt w:val="none"/>
      <w:lvlText w:val="-"/>
      <w:lvlJc w:val="left"/>
      <w:pPr>
        <w:ind w:left="737" w:hanging="368"/>
      </w:pPr>
      <w:rPr>
        <w:rFonts w:cs="Times New Roman" w:hint="default"/>
      </w:rPr>
    </w:lvl>
    <w:lvl w:ilvl="2">
      <w:start w:val="1"/>
      <w:numFmt w:val="none"/>
      <w:lvlText w:val=":"/>
      <w:lvlJc w:val="left"/>
      <w:pPr>
        <w:ind w:left="1106" w:hanging="369"/>
      </w:pPr>
      <w:rPr>
        <w:rFonts w:cs="Times New Roman" w:hint="default"/>
      </w:rPr>
    </w:lvl>
    <w:lvl w:ilvl="3">
      <w:start w:val="1"/>
      <w:numFmt w:val="none"/>
      <w:lvlText w:val=""/>
      <w:lvlJc w:val="left"/>
      <w:pPr>
        <w:ind w:left="1474" w:hanging="368"/>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32DF435A"/>
    <w:multiLevelType w:val="multilevel"/>
    <w:tmpl w:val="86946828"/>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cs="Times New Roman" w:hint="default"/>
      </w:rPr>
    </w:lvl>
    <w:lvl w:ilvl="2">
      <w:start w:val="1"/>
      <w:numFmt w:val="none"/>
      <w:lvlText w:val=":"/>
      <w:lvlJc w:val="left"/>
      <w:pPr>
        <w:ind w:left="1106" w:hanging="369"/>
      </w:pPr>
      <w:rPr>
        <w:rFonts w:cs="Times New Roman" w:hint="default"/>
      </w:rPr>
    </w:lvl>
    <w:lvl w:ilvl="3">
      <w:start w:val="1"/>
      <w:numFmt w:val="none"/>
      <w:lvlText w:val=""/>
      <w:lvlJc w:val="left"/>
      <w:pPr>
        <w:ind w:left="1474" w:hanging="368"/>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3E7839D7"/>
    <w:multiLevelType w:val="hybridMultilevel"/>
    <w:tmpl w:val="3D82F7A4"/>
    <w:lvl w:ilvl="0" w:tplc="A8122696">
      <w:start w:val="1"/>
      <w:numFmt w:val="bullet"/>
      <w:lvlText w:val=""/>
      <w:lvlJc w:val="left"/>
      <w:pPr>
        <w:ind w:left="720" w:hanging="360"/>
      </w:pPr>
      <w:rPr>
        <w:rFonts w:ascii="Symbol" w:hAnsi="Symbol" w:hint="default"/>
      </w:rPr>
    </w:lvl>
    <w:lvl w:ilvl="1" w:tplc="9AEE3A56" w:tentative="1">
      <w:start w:val="1"/>
      <w:numFmt w:val="bullet"/>
      <w:lvlText w:val="o"/>
      <w:lvlJc w:val="left"/>
      <w:pPr>
        <w:ind w:left="1440" w:hanging="360"/>
      </w:pPr>
      <w:rPr>
        <w:rFonts w:ascii="Courier New" w:hAnsi="Courier New" w:cs="Courier New" w:hint="default"/>
      </w:rPr>
    </w:lvl>
    <w:lvl w:ilvl="2" w:tplc="58DC8B24" w:tentative="1">
      <w:start w:val="1"/>
      <w:numFmt w:val="bullet"/>
      <w:lvlText w:val=""/>
      <w:lvlJc w:val="left"/>
      <w:pPr>
        <w:ind w:left="2160" w:hanging="360"/>
      </w:pPr>
      <w:rPr>
        <w:rFonts w:ascii="Wingdings" w:hAnsi="Wingdings" w:hint="default"/>
      </w:rPr>
    </w:lvl>
    <w:lvl w:ilvl="3" w:tplc="623E7F12" w:tentative="1">
      <w:start w:val="1"/>
      <w:numFmt w:val="bullet"/>
      <w:lvlText w:val=""/>
      <w:lvlJc w:val="left"/>
      <w:pPr>
        <w:ind w:left="2880" w:hanging="360"/>
      </w:pPr>
      <w:rPr>
        <w:rFonts w:ascii="Symbol" w:hAnsi="Symbol" w:hint="default"/>
      </w:rPr>
    </w:lvl>
    <w:lvl w:ilvl="4" w:tplc="46E657B8" w:tentative="1">
      <w:start w:val="1"/>
      <w:numFmt w:val="bullet"/>
      <w:lvlText w:val="o"/>
      <w:lvlJc w:val="left"/>
      <w:pPr>
        <w:ind w:left="3600" w:hanging="360"/>
      </w:pPr>
      <w:rPr>
        <w:rFonts w:ascii="Courier New" w:hAnsi="Courier New" w:cs="Courier New" w:hint="default"/>
      </w:rPr>
    </w:lvl>
    <w:lvl w:ilvl="5" w:tplc="CA860B02" w:tentative="1">
      <w:start w:val="1"/>
      <w:numFmt w:val="bullet"/>
      <w:lvlText w:val=""/>
      <w:lvlJc w:val="left"/>
      <w:pPr>
        <w:ind w:left="4320" w:hanging="360"/>
      </w:pPr>
      <w:rPr>
        <w:rFonts w:ascii="Wingdings" w:hAnsi="Wingdings" w:hint="default"/>
      </w:rPr>
    </w:lvl>
    <w:lvl w:ilvl="6" w:tplc="B5948BFC" w:tentative="1">
      <w:start w:val="1"/>
      <w:numFmt w:val="bullet"/>
      <w:lvlText w:val=""/>
      <w:lvlJc w:val="left"/>
      <w:pPr>
        <w:ind w:left="5040" w:hanging="360"/>
      </w:pPr>
      <w:rPr>
        <w:rFonts w:ascii="Symbol" w:hAnsi="Symbol" w:hint="default"/>
      </w:rPr>
    </w:lvl>
    <w:lvl w:ilvl="7" w:tplc="A2DA11B2" w:tentative="1">
      <w:start w:val="1"/>
      <w:numFmt w:val="bullet"/>
      <w:lvlText w:val="o"/>
      <w:lvlJc w:val="left"/>
      <w:pPr>
        <w:ind w:left="5760" w:hanging="360"/>
      </w:pPr>
      <w:rPr>
        <w:rFonts w:ascii="Courier New" w:hAnsi="Courier New" w:cs="Courier New" w:hint="default"/>
      </w:rPr>
    </w:lvl>
    <w:lvl w:ilvl="8" w:tplc="5066DBFE" w:tentative="1">
      <w:start w:val="1"/>
      <w:numFmt w:val="bullet"/>
      <w:lvlText w:val=""/>
      <w:lvlJc w:val="left"/>
      <w:pPr>
        <w:ind w:left="6480" w:hanging="360"/>
      </w:pPr>
      <w:rPr>
        <w:rFonts w:ascii="Wingdings" w:hAnsi="Wingdings" w:hint="default"/>
      </w:rPr>
    </w:lvl>
  </w:abstractNum>
  <w:abstractNum w:abstractNumId="5" w15:restartNumberingAfterBreak="0">
    <w:nsid w:val="42835F25"/>
    <w:multiLevelType w:val="hybridMultilevel"/>
    <w:tmpl w:val="ADC4A33E"/>
    <w:lvl w:ilvl="0" w:tplc="FC304D9C">
      <w:start w:val="1"/>
      <w:numFmt w:val="bullet"/>
      <w:lvlText w:val="o"/>
      <w:lvlJc w:val="left"/>
      <w:pPr>
        <w:ind w:left="1080" w:hanging="360"/>
      </w:pPr>
      <w:rPr>
        <w:rFonts w:ascii="Courier New" w:hAnsi="Courier New" w:cs="Courier New" w:hint="default"/>
        <w:sz w:val="22"/>
      </w:rPr>
    </w:lvl>
    <w:lvl w:ilvl="1" w:tplc="C674DD28" w:tentative="1">
      <w:start w:val="1"/>
      <w:numFmt w:val="bullet"/>
      <w:lvlText w:val="o"/>
      <w:lvlJc w:val="left"/>
      <w:pPr>
        <w:ind w:left="1800" w:hanging="360"/>
      </w:pPr>
      <w:rPr>
        <w:rFonts w:ascii="Courier New" w:hAnsi="Courier New" w:cs="Courier New" w:hint="default"/>
      </w:rPr>
    </w:lvl>
    <w:lvl w:ilvl="2" w:tplc="FD7660D4" w:tentative="1">
      <w:start w:val="1"/>
      <w:numFmt w:val="bullet"/>
      <w:lvlText w:val=""/>
      <w:lvlJc w:val="left"/>
      <w:pPr>
        <w:ind w:left="2520" w:hanging="360"/>
      </w:pPr>
      <w:rPr>
        <w:rFonts w:ascii="Wingdings" w:hAnsi="Wingdings" w:hint="default"/>
      </w:rPr>
    </w:lvl>
    <w:lvl w:ilvl="3" w:tplc="072801CC" w:tentative="1">
      <w:start w:val="1"/>
      <w:numFmt w:val="bullet"/>
      <w:lvlText w:val=""/>
      <w:lvlJc w:val="left"/>
      <w:pPr>
        <w:ind w:left="3240" w:hanging="360"/>
      </w:pPr>
      <w:rPr>
        <w:rFonts w:ascii="Symbol" w:hAnsi="Symbol" w:hint="default"/>
      </w:rPr>
    </w:lvl>
    <w:lvl w:ilvl="4" w:tplc="5A0E2ED0" w:tentative="1">
      <w:start w:val="1"/>
      <w:numFmt w:val="bullet"/>
      <w:lvlText w:val="o"/>
      <w:lvlJc w:val="left"/>
      <w:pPr>
        <w:ind w:left="3960" w:hanging="360"/>
      </w:pPr>
      <w:rPr>
        <w:rFonts w:ascii="Courier New" w:hAnsi="Courier New" w:cs="Courier New" w:hint="default"/>
      </w:rPr>
    </w:lvl>
    <w:lvl w:ilvl="5" w:tplc="4DAE8F68" w:tentative="1">
      <w:start w:val="1"/>
      <w:numFmt w:val="bullet"/>
      <w:lvlText w:val=""/>
      <w:lvlJc w:val="left"/>
      <w:pPr>
        <w:ind w:left="4680" w:hanging="360"/>
      </w:pPr>
      <w:rPr>
        <w:rFonts w:ascii="Wingdings" w:hAnsi="Wingdings" w:hint="default"/>
      </w:rPr>
    </w:lvl>
    <w:lvl w:ilvl="6" w:tplc="17D48A1A" w:tentative="1">
      <w:start w:val="1"/>
      <w:numFmt w:val="bullet"/>
      <w:lvlText w:val=""/>
      <w:lvlJc w:val="left"/>
      <w:pPr>
        <w:ind w:left="5400" w:hanging="360"/>
      </w:pPr>
      <w:rPr>
        <w:rFonts w:ascii="Symbol" w:hAnsi="Symbol" w:hint="default"/>
      </w:rPr>
    </w:lvl>
    <w:lvl w:ilvl="7" w:tplc="8E0CDDD0" w:tentative="1">
      <w:start w:val="1"/>
      <w:numFmt w:val="bullet"/>
      <w:lvlText w:val="o"/>
      <w:lvlJc w:val="left"/>
      <w:pPr>
        <w:ind w:left="6120" w:hanging="360"/>
      </w:pPr>
      <w:rPr>
        <w:rFonts w:ascii="Courier New" w:hAnsi="Courier New" w:cs="Courier New" w:hint="default"/>
      </w:rPr>
    </w:lvl>
    <w:lvl w:ilvl="8" w:tplc="15D6F59C" w:tentative="1">
      <w:start w:val="1"/>
      <w:numFmt w:val="bullet"/>
      <w:lvlText w:val=""/>
      <w:lvlJc w:val="left"/>
      <w:pPr>
        <w:ind w:left="6840" w:hanging="360"/>
      </w:pPr>
      <w:rPr>
        <w:rFonts w:ascii="Wingdings" w:hAnsi="Wingdings" w:hint="default"/>
      </w:rPr>
    </w:lvl>
  </w:abstractNum>
  <w:abstractNum w:abstractNumId="6" w15:restartNumberingAfterBreak="0">
    <w:nsid w:val="5259585A"/>
    <w:multiLevelType w:val="hybridMultilevel"/>
    <w:tmpl w:val="78445F6E"/>
    <w:lvl w:ilvl="0" w:tplc="9D4E465E">
      <w:start w:val="1"/>
      <w:numFmt w:val="bullet"/>
      <w:lvlText w:val=""/>
      <w:lvlJc w:val="left"/>
      <w:pPr>
        <w:ind w:left="720" w:hanging="360"/>
      </w:pPr>
      <w:rPr>
        <w:rFonts w:ascii="Symbol" w:hAnsi="Symbol" w:hint="default"/>
      </w:rPr>
    </w:lvl>
    <w:lvl w:ilvl="1" w:tplc="D20E19DE" w:tentative="1">
      <w:start w:val="1"/>
      <w:numFmt w:val="bullet"/>
      <w:lvlText w:val="o"/>
      <w:lvlJc w:val="left"/>
      <w:pPr>
        <w:ind w:left="1440" w:hanging="360"/>
      </w:pPr>
      <w:rPr>
        <w:rFonts w:ascii="Courier New" w:hAnsi="Courier New" w:cs="Courier New" w:hint="default"/>
      </w:rPr>
    </w:lvl>
    <w:lvl w:ilvl="2" w:tplc="DB561EC2" w:tentative="1">
      <w:start w:val="1"/>
      <w:numFmt w:val="bullet"/>
      <w:lvlText w:val=""/>
      <w:lvlJc w:val="left"/>
      <w:pPr>
        <w:ind w:left="2160" w:hanging="360"/>
      </w:pPr>
      <w:rPr>
        <w:rFonts w:ascii="Wingdings" w:hAnsi="Wingdings" w:hint="default"/>
      </w:rPr>
    </w:lvl>
    <w:lvl w:ilvl="3" w:tplc="809C6BAE" w:tentative="1">
      <w:start w:val="1"/>
      <w:numFmt w:val="bullet"/>
      <w:lvlText w:val=""/>
      <w:lvlJc w:val="left"/>
      <w:pPr>
        <w:ind w:left="2880" w:hanging="360"/>
      </w:pPr>
      <w:rPr>
        <w:rFonts w:ascii="Symbol" w:hAnsi="Symbol" w:hint="default"/>
      </w:rPr>
    </w:lvl>
    <w:lvl w:ilvl="4" w:tplc="4ED25172" w:tentative="1">
      <w:start w:val="1"/>
      <w:numFmt w:val="bullet"/>
      <w:lvlText w:val="o"/>
      <w:lvlJc w:val="left"/>
      <w:pPr>
        <w:ind w:left="3600" w:hanging="360"/>
      </w:pPr>
      <w:rPr>
        <w:rFonts w:ascii="Courier New" w:hAnsi="Courier New" w:cs="Courier New" w:hint="default"/>
      </w:rPr>
    </w:lvl>
    <w:lvl w:ilvl="5" w:tplc="01488BFC" w:tentative="1">
      <w:start w:val="1"/>
      <w:numFmt w:val="bullet"/>
      <w:lvlText w:val=""/>
      <w:lvlJc w:val="left"/>
      <w:pPr>
        <w:ind w:left="4320" w:hanging="360"/>
      </w:pPr>
      <w:rPr>
        <w:rFonts w:ascii="Wingdings" w:hAnsi="Wingdings" w:hint="default"/>
      </w:rPr>
    </w:lvl>
    <w:lvl w:ilvl="6" w:tplc="BD06007C" w:tentative="1">
      <w:start w:val="1"/>
      <w:numFmt w:val="bullet"/>
      <w:lvlText w:val=""/>
      <w:lvlJc w:val="left"/>
      <w:pPr>
        <w:ind w:left="5040" w:hanging="360"/>
      </w:pPr>
      <w:rPr>
        <w:rFonts w:ascii="Symbol" w:hAnsi="Symbol" w:hint="default"/>
      </w:rPr>
    </w:lvl>
    <w:lvl w:ilvl="7" w:tplc="EAF69FE8" w:tentative="1">
      <w:start w:val="1"/>
      <w:numFmt w:val="bullet"/>
      <w:lvlText w:val="o"/>
      <w:lvlJc w:val="left"/>
      <w:pPr>
        <w:ind w:left="5760" w:hanging="360"/>
      </w:pPr>
      <w:rPr>
        <w:rFonts w:ascii="Courier New" w:hAnsi="Courier New" w:cs="Courier New" w:hint="default"/>
      </w:rPr>
    </w:lvl>
    <w:lvl w:ilvl="8" w:tplc="2688ABD8" w:tentative="1">
      <w:start w:val="1"/>
      <w:numFmt w:val="bullet"/>
      <w:lvlText w:val=""/>
      <w:lvlJc w:val="left"/>
      <w:pPr>
        <w:ind w:left="6480" w:hanging="360"/>
      </w:pPr>
      <w:rPr>
        <w:rFonts w:ascii="Wingdings" w:hAnsi="Wingdings" w:hint="default"/>
      </w:rPr>
    </w:lvl>
  </w:abstractNum>
  <w:abstractNum w:abstractNumId="7" w15:restartNumberingAfterBreak="0">
    <w:nsid w:val="53FB1372"/>
    <w:multiLevelType w:val="hybridMultilevel"/>
    <w:tmpl w:val="65B4350E"/>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8" w15:restartNumberingAfterBreak="0">
    <w:nsid w:val="673D5BA2"/>
    <w:multiLevelType w:val="hybridMultilevel"/>
    <w:tmpl w:val="3AFAFD5E"/>
    <w:lvl w:ilvl="0" w:tplc="77BE1C60">
      <w:start w:val="1"/>
      <w:numFmt w:val="bullet"/>
      <w:lvlText w:val=""/>
      <w:lvlJc w:val="left"/>
      <w:pPr>
        <w:ind w:left="720" w:hanging="360"/>
      </w:pPr>
      <w:rPr>
        <w:rFonts w:ascii="Symbol" w:hAnsi="Symbol" w:hint="default"/>
      </w:rPr>
    </w:lvl>
    <w:lvl w:ilvl="1" w:tplc="16229DCA" w:tentative="1">
      <w:start w:val="1"/>
      <w:numFmt w:val="bullet"/>
      <w:lvlText w:val="o"/>
      <w:lvlJc w:val="left"/>
      <w:pPr>
        <w:ind w:left="1440" w:hanging="360"/>
      </w:pPr>
      <w:rPr>
        <w:rFonts w:ascii="Courier New" w:hAnsi="Courier New" w:cs="Courier New" w:hint="default"/>
      </w:rPr>
    </w:lvl>
    <w:lvl w:ilvl="2" w:tplc="DC3A1A46" w:tentative="1">
      <w:start w:val="1"/>
      <w:numFmt w:val="bullet"/>
      <w:lvlText w:val=""/>
      <w:lvlJc w:val="left"/>
      <w:pPr>
        <w:ind w:left="2160" w:hanging="360"/>
      </w:pPr>
      <w:rPr>
        <w:rFonts w:ascii="Wingdings" w:hAnsi="Wingdings" w:hint="default"/>
      </w:rPr>
    </w:lvl>
    <w:lvl w:ilvl="3" w:tplc="2DF8E0AC" w:tentative="1">
      <w:start w:val="1"/>
      <w:numFmt w:val="bullet"/>
      <w:lvlText w:val=""/>
      <w:lvlJc w:val="left"/>
      <w:pPr>
        <w:ind w:left="2880" w:hanging="360"/>
      </w:pPr>
      <w:rPr>
        <w:rFonts w:ascii="Symbol" w:hAnsi="Symbol" w:hint="default"/>
      </w:rPr>
    </w:lvl>
    <w:lvl w:ilvl="4" w:tplc="B4CA4328" w:tentative="1">
      <w:start w:val="1"/>
      <w:numFmt w:val="bullet"/>
      <w:lvlText w:val="o"/>
      <w:lvlJc w:val="left"/>
      <w:pPr>
        <w:ind w:left="3600" w:hanging="360"/>
      </w:pPr>
      <w:rPr>
        <w:rFonts w:ascii="Courier New" w:hAnsi="Courier New" w:cs="Courier New" w:hint="default"/>
      </w:rPr>
    </w:lvl>
    <w:lvl w:ilvl="5" w:tplc="E29C099C" w:tentative="1">
      <w:start w:val="1"/>
      <w:numFmt w:val="bullet"/>
      <w:lvlText w:val=""/>
      <w:lvlJc w:val="left"/>
      <w:pPr>
        <w:ind w:left="4320" w:hanging="360"/>
      </w:pPr>
      <w:rPr>
        <w:rFonts w:ascii="Wingdings" w:hAnsi="Wingdings" w:hint="default"/>
      </w:rPr>
    </w:lvl>
    <w:lvl w:ilvl="6" w:tplc="00DEC662" w:tentative="1">
      <w:start w:val="1"/>
      <w:numFmt w:val="bullet"/>
      <w:lvlText w:val=""/>
      <w:lvlJc w:val="left"/>
      <w:pPr>
        <w:ind w:left="5040" w:hanging="360"/>
      </w:pPr>
      <w:rPr>
        <w:rFonts w:ascii="Symbol" w:hAnsi="Symbol" w:hint="default"/>
      </w:rPr>
    </w:lvl>
    <w:lvl w:ilvl="7" w:tplc="17A68C28" w:tentative="1">
      <w:start w:val="1"/>
      <w:numFmt w:val="bullet"/>
      <w:lvlText w:val="o"/>
      <w:lvlJc w:val="left"/>
      <w:pPr>
        <w:ind w:left="5760" w:hanging="360"/>
      </w:pPr>
      <w:rPr>
        <w:rFonts w:ascii="Courier New" w:hAnsi="Courier New" w:cs="Courier New" w:hint="default"/>
      </w:rPr>
    </w:lvl>
    <w:lvl w:ilvl="8" w:tplc="4FE44466" w:tentative="1">
      <w:start w:val="1"/>
      <w:numFmt w:val="bullet"/>
      <w:lvlText w:val=""/>
      <w:lvlJc w:val="left"/>
      <w:pPr>
        <w:ind w:left="6480" w:hanging="360"/>
      </w:pPr>
      <w:rPr>
        <w:rFonts w:ascii="Wingdings" w:hAnsi="Wingdings" w:hint="default"/>
      </w:rPr>
    </w:lvl>
  </w:abstractNum>
  <w:abstractNum w:abstractNumId="9" w15:restartNumberingAfterBreak="0">
    <w:nsid w:val="78A21F55"/>
    <w:multiLevelType w:val="hybridMultilevel"/>
    <w:tmpl w:val="9210F69A"/>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num w:numId="1">
    <w:abstractNumId w:val="2"/>
  </w:num>
  <w:num w:numId="2">
    <w:abstractNumId w:val="3"/>
  </w:num>
  <w:num w:numId="3">
    <w:abstractNumId w:val="4"/>
  </w:num>
  <w:num w:numId="4">
    <w:abstractNumId w:val="8"/>
  </w:num>
  <w:num w:numId="5">
    <w:abstractNumId w:val="1"/>
  </w:num>
  <w:num w:numId="6">
    <w:abstractNumId w:val="5"/>
  </w:num>
  <w:num w:numId="7">
    <w:abstractNumId w:val="6"/>
  </w:num>
  <w:num w:numId="8">
    <w:abstractNumId w:val="0"/>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B15"/>
    <w:rsid w:val="0004556C"/>
    <w:rsid w:val="000847E0"/>
    <w:rsid w:val="000963A2"/>
    <w:rsid w:val="000A6225"/>
    <w:rsid w:val="0013167D"/>
    <w:rsid w:val="00141CE3"/>
    <w:rsid w:val="001A36A1"/>
    <w:rsid w:val="0027725C"/>
    <w:rsid w:val="002837DF"/>
    <w:rsid w:val="00296463"/>
    <w:rsid w:val="0030236D"/>
    <w:rsid w:val="00381881"/>
    <w:rsid w:val="003A4D1B"/>
    <w:rsid w:val="003C73D2"/>
    <w:rsid w:val="00433F4A"/>
    <w:rsid w:val="0049032F"/>
    <w:rsid w:val="005C64E1"/>
    <w:rsid w:val="00664A7F"/>
    <w:rsid w:val="006B2D74"/>
    <w:rsid w:val="00715DB1"/>
    <w:rsid w:val="00720CF5"/>
    <w:rsid w:val="0075121A"/>
    <w:rsid w:val="00751DCC"/>
    <w:rsid w:val="007618B7"/>
    <w:rsid w:val="007711DF"/>
    <w:rsid w:val="007750CF"/>
    <w:rsid w:val="00795ED6"/>
    <w:rsid w:val="007B2B64"/>
    <w:rsid w:val="008447B2"/>
    <w:rsid w:val="008B782F"/>
    <w:rsid w:val="00951353"/>
    <w:rsid w:val="00971B15"/>
    <w:rsid w:val="009E7618"/>
    <w:rsid w:val="00A021F5"/>
    <w:rsid w:val="00A35842"/>
    <w:rsid w:val="00A6269F"/>
    <w:rsid w:val="00AB583F"/>
    <w:rsid w:val="00AC2140"/>
    <w:rsid w:val="00AD2FF8"/>
    <w:rsid w:val="00AE1ECB"/>
    <w:rsid w:val="00C10100"/>
    <w:rsid w:val="00C321CA"/>
    <w:rsid w:val="00C64DF1"/>
    <w:rsid w:val="00C70540"/>
    <w:rsid w:val="00CD7A3B"/>
    <w:rsid w:val="00DA3EA3"/>
    <w:rsid w:val="00E7264E"/>
    <w:rsid w:val="00EC268E"/>
    <w:rsid w:val="00F25727"/>
    <w:rsid w:val="00F551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64329E8"/>
  <w15:docId w15:val="{9EB4FDC0-F912-419A-98DE-FC6CA41C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6463"/>
  </w:style>
  <w:style w:type="paragraph" w:styleId="Heading1">
    <w:name w:val="heading 1"/>
    <w:basedOn w:val="Normal"/>
    <w:next w:val="Normal"/>
    <w:link w:val="Heading1Char"/>
    <w:uiPriority w:val="9"/>
    <w:qFormat/>
    <w:rsid w:val="0029646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29646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9646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9646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29646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9646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9646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9646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9646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5EB8"/>
    <w:pPr>
      <w:tabs>
        <w:tab w:val="center" w:pos="4513"/>
        <w:tab w:val="right" w:pos="9026"/>
      </w:tabs>
      <w:spacing w:after="0" w:line="240" w:lineRule="auto"/>
      <w:jc w:val="center"/>
    </w:pPr>
    <w:rPr>
      <w:rFonts w:ascii="Times New Roman" w:hAnsi="Times New Roman"/>
      <w:i/>
    </w:rPr>
  </w:style>
  <w:style w:type="character" w:customStyle="1" w:styleId="HeaderChar">
    <w:name w:val="Header Char"/>
    <w:basedOn w:val="DefaultParagraphFont"/>
    <w:link w:val="Header"/>
    <w:uiPriority w:val="99"/>
    <w:rsid w:val="00DB5EB8"/>
    <w:rPr>
      <w:rFonts w:ascii="Times New Roman" w:eastAsia="Times New Roman" w:hAnsi="Times New Roman" w:cs="Times New Roman"/>
      <w:i/>
    </w:rPr>
  </w:style>
  <w:style w:type="paragraph" w:styleId="Footer">
    <w:name w:val="footer"/>
    <w:basedOn w:val="Normal"/>
    <w:link w:val="FooterChar"/>
    <w:uiPriority w:val="99"/>
    <w:rsid w:val="00DB5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EB8"/>
    <w:rPr>
      <w:rFonts w:ascii="Arial" w:eastAsia="Times New Roman" w:hAnsi="Arial" w:cs="Times New Roman"/>
    </w:rPr>
  </w:style>
  <w:style w:type="paragraph" w:styleId="ListParagraph">
    <w:name w:val="List Paragraph"/>
    <w:basedOn w:val="Normal"/>
    <w:uiPriority w:val="34"/>
    <w:qFormat/>
    <w:rsid w:val="00DB5EB8"/>
    <w:pPr>
      <w:ind w:left="720"/>
      <w:contextualSpacing/>
    </w:pPr>
  </w:style>
  <w:style w:type="paragraph" w:styleId="FootnoteText">
    <w:name w:val="footnote text"/>
    <w:basedOn w:val="Normal"/>
    <w:link w:val="FootnoteTextChar"/>
    <w:rsid w:val="00DB5EB8"/>
    <w:rPr>
      <w:rFonts w:ascii="Calibri" w:hAnsi="Calibri"/>
      <w:sz w:val="20"/>
      <w:szCs w:val="20"/>
    </w:rPr>
  </w:style>
  <w:style w:type="character" w:customStyle="1" w:styleId="FootnoteTextChar">
    <w:name w:val="Footnote Text Char"/>
    <w:basedOn w:val="DefaultParagraphFont"/>
    <w:link w:val="FootnoteText"/>
    <w:rsid w:val="00DB5EB8"/>
    <w:rPr>
      <w:rFonts w:ascii="Calibri" w:eastAsia="Times New Roman" w:hAnsi="Calibri" w:cs="Times New Roman"/>
      <w:sz w:val="20"/>
      <w:szCs w:val="20"/>
    </w:rPr>
  </w:style>
  <w:style w:type="character" w:styleId="FootnoteReference">
    <w:name w:val="footnote reference"/>
    <w:basedOn w:val="DefaultParagraphFont"/>
    <w:rsid w:val="00DB5EB8"/>
    <w:rPr>
      <w:rFonts w:cs="Times New Roman"/>
      <w:vertAlign w:val="superscript"/>
    </w:rPr>
  </w:style>
  <w:style w:type="character" w:styleId="CommentReference">
    <w:name w:val="annotation reference"/>
    <w:basedOn w:val="DefaultParagraphFont"/>
    <w:uiPriority w:val="99"/>
    <w:semiHidden/>
    <w:unhideWhenUsed/>
    <w:rsid w:val="00C81B61"/>
    <w:rPr>
      <w:sz w:val="16"/>
      <w:szCs w:val="16"/>
    </w:rPr>
  </w:style>
  <w:style w:type="paragraph" w:styleId="CommentText">
    <w:name w:val="annotation text"/>
    <w:basedOn w:val="Normal"/>
    <w:link w:val="CommentTextChar"/>
    <w:uiPriority w:val="99"/>
    <w:semiHidden/>
    <w:unhideWhenUsed/>
    <w:rsid w:val="00C81B61"/>
    <w:pPr>
      <w:spacing w:line="240" w:lineRule="auto"/>
    </w:pPr>
    <w:rPr>
      <w:sz w:val="20"/>
      <w:szCs w:val="20"/>
    </w:rPr>
  </w:style>
  <w:style w:type="character" w:customStyle="1" w:styleId="CommentTextChar">
    <w:name w:val="Comment Text Char"/>
    <w:basedOn w:val="DefaultParagraphFont"/>
    <w:link w:val="CommentText"/>
    <w:uiPriority w:val="99"/>
    <w:semiHidden/>
    <w:rsid w:val="00C81B6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81B61"/>
    <w:rPr>
      <w:b/>
      <w:bCs/>
    </w:rPr>
  </w:style>
  <w:style w:type="character" w:customStyle="1" w:styleId="CommentSubjectChar">
    <w:name w:val="Comment Subject Char"/>
    <w:basedOn w:val="CommentTextChar"/>
    <w:link w:val="CommentSubject"/>
    <w:uiPriority w:val="99"/>
    <w:semiHidden/>
    <w:rsid w:val="00C81B61"/>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C81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B61"/>
    <w:rPr>
      <w:rFonts w:ascii="Segoe UI" w:eastAsia="Times New Roman" w:hAnsi="Segoe UI" w:cs="Segoe UI"/>
      <w:sz w:val="18"/>
      <w:szCs w:val="18"/>
    </w:rPr>
  </w:style>
  <w:style w:type="paragraph" w:styleId="Revision">
    <w:name w:val="Revision"/>
    <w:hidden/>
    <w:uiPriority w:val="99"/>
    <w:semiHidden/>
    <w:rsid w:val="00AE211E"/>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uiPriority w:val="9"/>
    <w:rsid w:val="00296463"/>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29646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9646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9646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9646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9646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9646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9646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96463"/>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296463"/>
    <w:pPr>
      <w:spacing w:line="240" w:lineRule="auto"/>
    </w:pPr>
    <w:rPr>
      <w:b/>
      <w:bCs/>
      <w:smallCaps/>
      <w:color w:val="44546A" w:themeColor="text2"/>
    </w:rPr>
  </w:style>
  <w:style w:type="paragraph" w:styleId="Title">
    <w:name w:val="Title"/>
    <w:basedOn w:val="Normal"/>
    <w:next w:val="Normal"/>
    <w:link w:val="TitleChar"/>
    <w:uiPriority w:val="10"/>
    <w:qFormat/>
    <w:rsid w:val="0029646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9646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9646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9646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296463"/>
    <w:rPr>
      <w:b/>
      <w:bCs/>
    </w:rPr>
  </w:style>
  <w:style w:type="character" w:styleId="Emphasis">
    <w:name w:val="Emphasis"/>
    <w:basedOn w:val="DefaultParagraphFont"/>
    <w:uiPriority w:val="20"/>
    <w:qFormat/>
    <w:rsid w:val="00296463"/>
    <w:rPr>
      <w:i/>
      <w:iCs/>
    </w:rPr>
  </w:style>
  <w:style w:type="paragraph" w:styleId="NoSpacing">
    <w:name w:val="No Spacing"/>
    <w:uiPriority w:val="1"/>
    <w:qFormat/>
    <w:rsid w:val="00296463"/>
    <w:pPr>
      <w:spacing w:after="0" w:line="240" w:lineRule="auto"/>
    </w:pPr>
  </w:style>
  <w:style w:type="paragraph" w:styleId="Quote">
    <w:name w:val="Quote"/>
    <w:basedOn w:val="Normal"/>
    <w:next w:val="Normal"/>
    <w:link w:val="QuoteChar"/>
    <w:uiPriority w:val="29"/>
    <w:qFormat/>
    <w:rsid w:val="0029646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96463"/>
    <w:rPr>
      <w:color w:val="44546A" w:themeColor="text2"/>
      <w:sz w:val="24"/>
      <w:szCs w:val="24"/>
    </w:rPr>
  </w:style>
  <w:style w:type="paragraph" w:styleId="IntenseQuote">
    <w:name w:val="Intense Quote"/>
    <w:basedOn w:val="Normal"/>
    <w:next w:val="Normal"/>
    <w:link w:val="IntenseQuoteChar"/>
    <w:uiPriority w:val="30"/>
    <w:qFormat/>
    <w:rsid w:val="0029646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9646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96463"/>
    <w:rPr>
      <w:i/>
      <w:iCs/>
      <w:color w:val="595959" w:themeColor="text1" w:themeTint="A6"/>
    </w:rPr>
  </w:style>
  <w:style w:type="character" w:styleId="IntenseEmphasis">
    <w:name w:val="Intense Emphasis"/>
    <w:basedOn w:val="DefaultParagraphFont"/>
    <w:uiPriority w:val="21"/>
    <w:qFormat/>
    <w:rsid w:val="00296463"/>
    <w:rPr>
      <w:b/>
      <w:bCs/>
      <w:i/>
      <w:iCs/>
    </w:rPr>
  </w:style>
  <w:style w:type="character" w:styleId="SubtleReference">
    <w:name w:val="Subtle Reference"/>
    <w:basedOn w:val="DefaultParagraphFont"/>
    <w:uiPriority w:val="31"/>
    <w:qFormat/>
    <w:rsid w:val="0029646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96463"/>
    <w:rPr>
      <w:b/>
      <w:bCs/>
      <w:smallCaps/>
      <w:color w:val="44546A" w:themeColor="text2"/>
      <w:u w:val="single"/>
    </w:rPr>
  </w:style>
  <w:style w:type="character" w:styleId="BookTitle">
    <w:name w:val="Book Title"/>
    <w:basedOn w:val="DefaultParagraphFont"/>
    <w:uiPriority w:val="33"/>
    <w:qFormat/>
    <w:rsid w:val="00296463"/>
    <w:rPr>
      <w:b/>
      <w:bCs/>
      <w:smallCaps/>
      <w:spacing w:val="10"/>
    </w:rPr>
  </w:style>
  <w:style w:type="paragraph" w:styleId="TOCHeading">
    <w:name w:val="TOC Heading"/>
    <w:basedOn w:val="Heading1"/>
    <w:next w:val="Normal"/>
    <w:uiPriority w:val="39"/>
    <w:semiHidden/>
    <w:unhideWhenUsed/>
    <w:qFormat/>
    <w:rsid w:val="0029646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CDCCA639222CB24D8EA5E22AE8F46494" ma:contentTypeVersion="" ma:contentTypeDescription="PDMS Documentation Content Type" ma:contentTypeScope="" ma:versionID="a2f9f898aeadb375929ec76c8de1bd86">
  <xsd:schema xmlns:xsd="http://www.w3.org/2001/XMLSchema" xmlns:xs="http://www.w3.org/2001/XMLSchema" xmlns:p="http://schemas.microsoft.com/office/2006/metadata/properties" xmlns:ns2="7B2C3D5B-CA70-41E9-B1BB-7523D7A9B8A1" targetNamespace="http://schemas.microsoft.com/office/2006/metadata/properties" ma:root="true" ma:fieldsID="089a14cefedc5c42aeda820f79b9361f" ns2:_="">
    <xsd:import namespace="7B2C3D5B-CA70-41E9-B1BB-7523D7A9B8A1"/>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C3D5B-CA70-41E9-B1BB-7523D7A9B8A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B2C3D5B-CA70-41E9-B1BB-7523D7A9B8A1" xsi:nil="true"/>
    <pdms_AttachedBy xmlns="7B2C3D5B-CA70-41E9-B1BB-7523D7A9B8A1" xsi:nil="true"/>
    <pdms_SecurityClassification xmlns="7B2C3D5B-CA70-41E9-B1BB-7523D7A9B8A1" xsi:nil="true"/>
    <pdms_DocumentType xmlns="7B2C3D5B-CA70-41E9-B1BB-7523D7A9B8A1" xsi:nil="true"/>
    <pdms_Reason xmlns="7B2C3D5B-CA70-41E9-B1BB-7523D7A9B8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C4AF-9658-41C2-9314-A0882A5EF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C3D5B-CA70-41E9-B1BB-7523D7A9B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83AB7-B063-44A5-8CA1-4F0CF2A2D558}">
  <ds:schemaRefs>
    <ds:schemaRef ds:uri="http://schemas.microsoft.com/sharepoint/v3/contenttype/forms"/>
  </ds:schemaRefs>
</ds:datastoreItem>
</file>

<file path=customXml/itemProps3.xml><?xml version="1.0" encoding="utf-8"?>
<ds:datastoreItem xmlns:ds="http://schemas.openxmlformats.org/officeDocument/2006/customXml" ds:itemID="{09FA6731-2D7D-4531-9684-241266E568E8}">
  <ds:schemaRefs>
    <ds:schemaRef ds:uri="7B2C3D5B-CA70-41E9-B1BB-7523D7A9B8A1"/>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7FC74D2-C169-477D-BEBC-AAD8A22AB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4104</Words>
  <Characters>23394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27444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Approval to make the Water Amendment (Murray-Darling Basin Agreement) Regulation</dc:subject>
  <dc:creator>Hussey-Smith, Sam</dc:creator>
  <cp:lastModifiedBy>Department of Agriculture</cp:lastModifiedBy>
  <cp:revision>7</cp:revision>
  <cp:lastPrinted>2017-04-12T01:10:00Z</cp:lastPrinted>
  <dcterms:created xsi:type="dcterms:W3CDTF">2017-05-16T22:49:00Z</dcterms:created>
  <dcterms:modified xsi:type="dcterms:W3CDTF">2017-05-16T22:56:00Z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
  </property>
  <property fmtid="{D5CDD505-2E9C-101B-9397-08002B2CF9AE}" pid="4" name="ClearanceDueDate">
    <vt:lpwstr/>
  </property>
  <property fmtid="{D5CDD505-2E9C-101B-9397-08002B2CF9AE}" pid="5" name="ContentTypeId">
    <vt:lpwstr>0x010100266966F133664895A6EE3632470D45F50100CDCCA639222CB24D8EA5E22AE8F46494</vt:lpwstr>
  </property>
  <property fmtid="{D5CDD505-2E9C-101B-9397-08002B2CF9AE}" pid="6" name="Electorates">
    <vt:lpwstr> </vt:lpwstr>
  </property>
  <property fmtid="{D5CDD505-2E9C-101B-9397-08002B2CF9AE}" pid="7" name="GroupResponsible">
    <vt:lpwstr>Water</vt:lpwstr>
  </property>
  <property fmtid="{D5CDD505-2E9C-101B-9397-08002B2CF9AE}" pid="8" name="HandlingProtocol">
    <vt:lpwstr>LimitedDistribution</vt:lpwstr>
  </property>
  <property fmtid="{D5CDD505-2E9C-101B-9397-08002B2CF9AE}" pid="9" name="InformationMinister">
    <vt:lpwstr> </vt:lpwstr>
  </property>
  <property fmtid="{D5CDD505-2E9C-101B-9397-08002B2CF9AE}" pid="10" name="InitiatorAddressLine1">
    <vt:lpwstr/>
  </property>
  <property fmtid="{D5CDD505-2E9C-101B-9397-08002B2CF9AE}" pid="11" name="InitiatorAddressLine1And2">
    <vt:lpwstr/>
  </property>
  <property fmtid="{D5CDD505-2E9C-101B-9397-08002B2CF9AE}" pid="12" name="InitiatorAddressLine2">
    <vt:lpwstr/>
  </property>
  <property fmtid="{D5CDD505-2E9C-101B-9397-08002B2CF9AE}" pid="13" name="InitiatorContactName">
    <vt:lpwstr/>
  </property>
  <property fmtid="{D5CDD505-2E9C-101B-9397-08002B2CF9AE}" pid="14" name="InitiatorContactPosition">
    <vt:lpwstr/>
  </property>
  <property fmtid="{D5CDD505-2E9C-101B-9397-08002B2CF9AE}" pid="15" name="InitiatorCountry">
    <vt:lpwstr/>
  </property>
  <property fmtid="{D5CDD505-2E9C-101B-9397-08002B2CF9AE}" pid="16" name="InitiatorEmail">
    <vt:lpwstr/>
  </property>
  <property fmtid="{D5CDD505-2E9C-101B-9397-08002B2CF9AE}" pid="17" name="InitiatorFax">
    <vt:lpwstr/>
  </property>
  <property fmtid="{D5CDD505-2E9C-101B-9397-08002B2CF9AE}" pid="18" name="InitiatorFirstName">
    <vt:lpwstr/>
  </property>
  <property fmtid="{D5CDD505-2E9C-101B-9397-08002B2CF9AE}" pid="19" name="InitiatorFormalTitle">
    <vt:lpwstr/>
  </property>
  <property fmtid="{D5CDD505-2E9C-101B-9397-08002B2CF9AE}" pid="20" name="InitiatorFullName">
    <vt:lpwstr/>
  </property>
  <property fmtid="{D5CDD505-2E9C-101B-9397-08002B2CF9AE}" pid="21" name="InitiatorLastName">
    <vt:lpwstr/>
  </property>
  <property fmtid="{D5CDD505-2E9C-101B-9397-08002B2CF9AE}" pid="22" name="InitiatorMobile">
    <vt:lpwstr/>
  </property>
  <property fmtid="{D5CDD505-2E9C-101B-9397-08002B2CF9AE}" pid="23" name="InitiatorMPElectorate">
    <vt:lpwstr/>
  </property>
  <property fmtid="{D5CDD505-2E9C-101B-9397-08002B2CF9AE}" pid="24" name="InitiatorMPState">
    <vt:lpwstr/>
  </property>
  <property fmtid="{D5CDD505-2E9C-101B-9397-08002B2CF9AE}" pid="25" name="InitiatorName">
    <vt:lpwstr/>
  </property>
  <property fmtid="{D5CDD505-2E9C-101B-9397-08002B2CF9AE}" pid="26" name="InitiatorOnBehalfVia">
    <vt:lpwstr/>
  </property>
  <property fmtid="{D5CDD505-2E9C-101B-9397-08002B2CF9AE}" pid="27" name="InitiatorOrganisation">
    <vt:lpwstr/>
  </property>
  <property fmtid="{D5CDD505-2E9C-101B-9397-08002B2CF9AE}" pid="28" name="InitiatorOrganisationContactInformation">
    <vt:lpwstr/>
  </property>
  <property fmtid="{D5CDD505-2E9C-101B-9397-08002B2CF9AE}" pid="29" name="InitiatorOrganisationType">
    <vt:lpwstr/>
  </property>
  <property fmtid="{D5CDD505-2E9C-101B-9397-08002B2CF9AE}" pid="30" name="InitiatorOrganisationWebsite">
    <vt:lpwstr/>
  </property>
  <property fmtid="{D5CDD505-2E9C-101B-9397-08002B2CF9AE}" pid="31" name="InitiatorParliamentaryTitle">
    <vt:lpwstr/>
  </property>
  <property fmtid="{D5CDD505-2E9C-101B-9397-08002B2CF9AE}" pid="32" name="InitiatorPhone">
    <vt:lpwstr/>
  </property>
  <property fmtid="{D5CDD505-2E9C-101B-9397-08002B2CF9AE}" pid="33" name="InitiatorPostCode">
    <vt:lpwstr/>
  </property>
  <property fmtid="{D5CDD505-2E9C-101B-9397-08002B2CF9AE}" pid="34" name="InitiatorPostNominal">
    <vt:lpwstr/>
  </property>
  <property fmtid="{D5CDD505-2E9C-101B-9397-08002B2CF9AE}" pid="35" name="InitiatorState">
    <vt:lpwstr/>
  </property>
  <property fmtid="{D5CDD505-2E9C-101B-9397-08002B2CF9AE}" pid="36" name="InitiatorSuburbOrCity">
    <vt:lpwstr/>
  </property>
  <property fmtid="{D5CDD505-2E9C-101B-9397-08002B2CF9AE}" pid="37" name="InitiatorSuburbStatePostcode">
    <vt:lpwstr/>
  </property>
  <property fmtid="{D5CDD505-2E9C-101B-9397-08002B2CF9AE}" pid="38" name="InitiatorTitle">
    <vt:lpwstr/>
  </property>
  <property fmtid="{D5CDD505-2E9C-101B-9397-08002B2CF9AE}" pid="39" name="InitiatorTitledFullName">
    <vt:lpwstr/>
  </property>
  <property fmtid="{D5CDD505-2E9C-101B-9397-08002B2CF9AE}" pid="40" name="LastClearingOfficer">
    <vt:lpwstr/>
  </property>
  <property fmtid="{D5CDD505-2E9C-101B-9397-08002B2CF9AE}" pid="41" name="Ministers">
    <vt:lpwstr>Deputy Prime Minister</vt:lpwstr>
  </property>
  <property fmtid="{D5CDD505-2E9C-101B-9397-08002B2CF9AE}" pid="42" name="PdrId">
    <vt:lpwstr>MS17-000022</vt:lpwstr>
  </property>
  <property fmtid="{D5CDD505-2E9C-101B-9397-08002B2CF9AE}" pid="43" name="Principal">
    <vt:lpwstr>For Decision</vt:lpwstr>
  </property>
  <property fmtid="{D5CDD505-2E9C-101B-9397-08002B2CF9AE}" pid="44" name="ReasonForSensitivity">
    <vt:lpwstr/>
  </property>
  <property fmtid="{D5CDD505-2E9C-101B-9397-08002B2CF9AE}" pid="45" name="RegisteredDate">
    <vt:lpwstr>11 January 2017</vt:lpwstr>
  </property>
  <property fmtid="{D5CDD505-2E9C-101B-9397-08002B2CF9AE}" pid="46" name="RequestedAction">
    <vt:lpwstr>For Signature</vt:lpwstr>
  </property>
  <property fmtid="{D5CDD505-2E9C-101B-9397-08002B2CF9AE}" pid="47" name="ResponsibleMinister">
    <vt:lpwstr>Deputy Prime Minister</vt:lpwstr>
  </property>
  <property fmtid="{D5CDD505-2E9C-101B-9397-08002B2CF9AE}" pid="48" name="SecurityClassification">
    <vt:lpwstr>Sensitive: Legal  </vt:lpwstr>
  </property>
  <property fmtid="{D5CDD505-2E9C-101B-9397-08002B2CF9AE}" pid="49" name="Subject">
    <vt:lpwstr>Approval to make the Water Amendment (Murray-Darling Basin Agreement) Regulation</vt:lpwstr>
  </property>
  <property fmtid="{D5CDD505-2E9C-101B-9397-08002B2CF9AE}" pid="50" name="TaskSeqNo">
    <vt:lpwstr>3</vt:lpwstr>
  </property>
  <property fmtid="{D5CDD505-2E9C-101B-9397-08002B2CF9AE}" pid="51" name="TemplateSubType">
    <vt:lpwstr>Standard</vt:lpwstr>
  </property>
  <property fmtid="{D5CDD505-2E9C-101B-9397-08002B2CF9AE}" pid="52" name="TemplateType">
    <vt:lpwstr>Minister</vt:lpwstr>
  </property>
  <property fmtid="{D5CDD505-2E9C-101B-9397-08002B2CF9AE}" pid="53" name="TrustedGroups">
    <vt:lpwstr>Parliamentary Coordinator MS, DLO, Ministerial Staff - Coalition 2013, Business Administrator, Limited Distribution MS</vt:lpwstr>
  </property>
  <property fmtid="{D5CDD505-2E9C-101B-9397-08002B2CF9AE}" pid="54" name="ObjectiveRef">
    <vt:lpwstr>Removed</vt:lpwstr>
  </property>
  <property fmtid="{D5CDD505-2E9C-101B-9397-08002B2CF9AE}" pid="55" name="LeadingLawyers">
    <vt:lpwstr>Removed</vt:lpwstr>
  </property>
</Properties>
</file>