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68B" w:rsidRDefault="002E568B" w:rsidP="004B1EFD">
      <w:pPr>
        <w:pStyle w:val="Title"/>
        <w:rPr>
          <w:szCs w:val="24"/>
        </w:rPr>
      </w:pPr>
      <w:r w:rsidRPr="00BA306B">
        <w:rPr>
          <w:szCs w:val="24"/>
        </w:rPr>
        <w:t xml:space="preserve">EXPLANATORY </w:t>
      </w:r>
      <w:r w:rsidR="004B1EFD">
        <w:rPr>
          <w:szCs w:val="24"/>
        </w:rPr>
        <w:t>STATEMENT</w:t>
      </w:r>
    </w:p>
    <w:p w:rsidR="004B1EFD" w:rsidRPr="00BA306B" w:rsidRDefault="004B1EFD" w:rsidP="004B1EFD">
      <w:pPr>
        <w:pStyle w:val="Title"/>
        <w:rPr>
          <w:szCs w:val="24"/>
        </w:rPr>
      </w:pPr>
    </w:p>
    <w:p w:rsidR="003E33C4" w:rsidRDefault="007B086B" w:rsidP="004B1EFD">
      <w:pPr>
        <w:jc w:val="center"/>
        <w:rPr>
          <w:i/>
          <w:szCs w:val="24"/>
        </w:rPr>
      </w:pPr>
      <w:r w:rsidRPr="00BA306B">
        <w:rPr>
          <w:i/>
          <w:szCs w:val="24"/>
        </w:rPr>
        <w:t>Therapeutic Goods (Charges) Act 1989</w:t>
      </w:r>
    </w:p>
    <w:p w:rsidR="004B1EFD" w:rsidRDefault="004B1EFD" w:rsidP="004B1EFD">
      <w:pPr>
        <w:jc w:val="center"/>
        <w:rPr>
          <w:i/>
          <w:szCs w:val="24"/>
        </w:rPr>
      </w:pPr>
    </w:p>
    <w:p w:rsidR="002E568B" w:rsidRPr="00BA306B" w:rsidRDefault="002E568B" w:rsidP="004B1EFD">
      <w:pPr>
        <w:ind w:left="1440"/>
        <w:jc w:val="center"/>
        <w:rPr>
          <w:i/>
          <w:szCs w:val="24"/>
        </w:rPr>
      </w:pPr>
      <w:bookmarkStart w:id="0" w:name="_GoBack"/>
      <w:r w:rsidRPr="00BA306B">
        <w:rPr>
          <w:i/>
          <w:szCs w:val="24"/>
        </w:rPr>
        <w:t>Therapeutic Goods (Charges</w:t>
      </w:r>
      <w:r w:rsidR="00802B83">
        <w:rPr>
          <w:i/>
          <w:szCs w:val="24"/>
        </w:rPr>
        <w:t>)</w:t>
      </w:r>
      <w:r w:rsidRPr="00BA306B">
        <w:rPr>
          <w:i/>
          <w:szCs w:val="24"/>
        </w:rPr>
        <w:t xml:space="preserve"> Amendment </w:t>
      </w:r>
      <w:r w:rsidR="00B24498">
        <w:rPr>
          <w:i/>
          <w:szCs w:val="24"/>
        </w:rPr>
        <w:t>(201</w:t>
      </w:r>
      <w:r w:rsidR="00020E96">
        <w:rPr>
          <w:i/>
          <w:szCs w:val="24"/>
        </w:rPr>
        <w:t>7</w:t>
      </w:r>
      <w:r w:rsidR="00802B83">
        <w:rPr>
          <w:i/>
          <w:szCs w:val="24"/>
        </w:rPr>
        <w:t xml:space="preserve"> Measures No. 1) </w:t>
      </w:r>
      <w:r w:rsidRPr="00BA306B">
        <w:rPr>
          <w:i/>
          <w:szCs w:val="24"/>
        </w:rPr>
        <w:t>Regulation</w:t>
      </w:r>
      <w:r w:rsidR="00020E96">
        <w:rPr>
          <w:i/>
          <w:szCs w:val="24"/>
        </w:rPr>
        <w:t>s</w:t>
      </w:r>
      <w:r w:rsidRPr="00BA306B">
        <w:rPr>
          <w:i/>
          <w:szCs w:val="24"/>
        </w:rPr>
        <w:t xml:space="preserve"> </w:t>
      </w:r>
      <w:r>
        <w:rPr>
          <w:i/>
          <w:szCs w:val="24"/>
        </w:rPr>
        <w:t>201</w:t>
      </w:r>
      <w:r w:rsidR="00020E96">
        <w:rPr>
          <w:i/>
          <w:szCs w:val="24"/>
        </w:rPr>
        <w:t>7</w:t>
      </w:r>
    </w:p>
    <w:bookmarkEnd w:id="0"/>
    <w:p w:rsidR="002E568B" w:rsidRPr="00704057" w:rsidRDefault="002E568B" w:rsidP="003856A4">
      <w:pPr>
        <w:rPr>
          <w:szCs w:val="24"/>
          <w:highlight w:val="yellow"/>
        </w:rPr>
      </w:pPr>
    </w:p>
    <w:p w:rsidR="00CD7CD9" w:rsidRPr="003856A4" w:rsidRDefault="00ED3AE4" w:rsidP="00CD7CD9">
      <w:pPr>
        <w:rPr>
          <w:szCs w:val="24"/>
        </w:rPr>
      </w:pPr>
      <w:r>
        <w:rPr>
          <w:szCs w:val="24"/>
        </w:rPr>
        <w:t>T</w:t>
      </w:r>
      <w:r w:rsidR="00CD7CD9" w:rsidRPr="003856A4">
        <w:rPr>
          <w:szCs w:val="24"/>
        </w:rPr>
        <w:t xml:space="preserve">he </w:t>
      </w:r>
      <w:r w:rsidR="00CD7CD9" w:rsidRPr="003856A4">
        <w:rPr>
          <w:i/>
          <w:szCs w:val="24"/>
        </w:rPr>
        <w:t>Therapeutic Goods (Charges) Act 1989</w:t>
      </w:r>
      <w:r w:rsidR="00CD7CD9" w:rsidRPr="003856A4">
        <w:rPr>
          <w:szCs w:val="24"/>
        </w:rPr>
        <w:t xml:space="preserve"> (the Act) impos</w:t>
      </w:r>
      <w:r w:rsidR="00CD7CD9">
        <w:rPr>
          <w:szCs w:val="24"/>
        </w:rPr>
        <w:t xml:space="preserve">es </w:t>
      </w:r>
      <w:r w:rsidR="00CD7CD9" w:rsidRPr="003856A4">
        <w:rPr>
          <w:szCs w:val="24"/>
        </w:rPr>
        <w:t>annual charge</w:t>
      </w:r>
      <w:r w:rsidR="00CD7CD9">
        <w:rPr>
          <w:szCs w:val="24"/>
        </w:rPr>
        <w:t>s</w:t>
      </w:r>
      <w:r w:rsidR="00CD7CD9" w:rsidRPr="003856A4">
        <w:rPr>
          <w:szCs w:val="24"/>
        </w:rPr>
        <w:t xml:space="preserve"> on the registration, listing and inclusion of therapeutic goods in the Australian Register of Therapeutic Goods (the Register), and on the licensing of manufacturers of therapeutic goods. The </w:t>
      </w:r>
      <w:r>
        <w:rPr>
          <w:szCs w:val="24"/>
        </w:rPr>
        <w:t>T</w:t>
      </w:r>
      <w:r w:rsidR="00980228">
        <w:rPr>
          <w:szCs w:val="24"/>
        </w:rPr>
        <w:t xml:space="preserve">herapeutic Goods Administration (TGA), which is part of the Department of Health, </w:t>
      </w:r>
      <w:r w:rsidR="00CD7CD9" w:rsidRPr="003856A4">
        <w:rPr>
          <w:szCs w:val="24"/>
        </w:rPr>
        <w:t>is responsible for administering the Act.</w:t>
      </w:r>
    </w:p>
    <w:p w:rsidR="00CD7CD9" w:rsidRPr="003856A4" w:rsidRDefault="00CD7CD9" w:rsidP="00CD7CD9">
      <w:pPr>
        <w:rPr>
          <w:szCs w:val="24"/>
        </w:rPr>
      </w:pPr>
    </w:p>
    <w:p w:rsidR="00CD7CD9" w:rsidRPr="003856A4" w:rsidRDefault="00CD7CD9" w:rsidP="00CD7CD9">
      <w:pPr>
        <w:rPr>
          <w:szCs w:val="24"/>
        </w:rPr>
      </w:pPr>
      <w:r w:rsidRPr="003856A4">
        <w:rPr>
          <w:szCs w:val="24"/>
        </w:rPr>
        <w:t>Section 4 of the Act provides that annual charges of such amounts as are prescribed are payable in respect of therapeutic go</w:t>
      </w:r>
      <w:r w:rsidR="00376B26">
        <w:rPr>
          <w:szCs w:val="24"/>
        </w:rPr>
        <w:t>ods o</w:t>
      </w:r>
      <w:r w:rsidRPr="003856A4">
        <w:rPr>
          <w:szCs w:val="24"/>
        </w:rPr>
        <w:t xml:space="preserve">n the Register, as well as in respect of </w:t>
      </w:r>
      <w:r w:rsidR="00575D61">
        <w:rPr>
          <w:szCs w:val="24"/>
        </w:rPr>
        <w:t xml:space="preserve">manufacturing </w:t>
      </w:r>
      <w:r w:rsidRPr="003856A4">
        <w:rPr>
          <w:szCs w:val="24"/>
        </w:rPr>
        <w:t>licences</w:t>
      </w:r>
      <w:r w:rsidR="009B3848">
        <w:rPr>
          <w:szCs w:val="24"/>
        </w:rPr>
        <w:t>,</w:t>
      </w:r>
      <w:r w:rsidRPr="003856A4">
        <w:rPr>
          <w:szCs w:val="24"/>
        </w:rPr>
        <w:t xml:space="preserve"> that are in force at any</w:t>
      </w:r>
      <w:r w:rsidR="00ED3AE4">
        <w:rPr>
          <w:szCs w:val="24"/>
        </w:rPr>
        <w:t xml:space="preserve"> time within a financial year. In addition, u</w:t>
      </w:r>
      <w:r w:rsidRPr="003856A4">
        <w:rPr>
          <w:szCs w:val="24"/>
        </w:rPr>
        <w:t>nder subsection 4(1A) of the Act, where one or more therapeutic goods are “grouped” and each of the “grouped” therapeutic goods is covered by a single regis</w:t>
      </w:r>
      <w:r w:rsidR="00EF6410">
        <w:rPr>
          <w:szCs w:val="24"/>
        </w:rPr>
        <w:t xml:space="preserve">tration number, </w:t>
      </w:r>
      <w:r w:rsidRPr="003856A4">
        <w:rPr>
          <w:szCs w:val="24"/>
        </w:rPr>
        <w:t xml:space="preserve">a single annual charge as </w:t>
      </w:r>
      <w:r w:rsidR="00EF6410">
        <w:rPr>
          <w:szCs w:val="24"/>
        </w:rPr>
        <w:t xml:space="preserve">is </w:t>
      </w:r>
      <w:r w:rsidRPr="003856A4">
        <w:rPr>
          <w:szCs w:val="24"/>
        </w:rPr>
        <w:t>prescribed will apply for maintaining all the registered goods covered under the same group.</w:t>
      </w:r>
    </w:p>
    <w:p w:rsidR="00CD7CD9" w:rsidRPr="003856A4" w:rsidRDefault="00CD7CD9" w:rsidP="00CD7CD9">
      <w:pPr>
        <w:rPr>
          <w:szCs w:val="24"/>
        </w:rPr>
      </w:pPr>
    </w:p>
    <w:p w:rsidR="00CD7CD9" w:rsidRDefault="00CD7CD9" w:rsidP="00575D61">
      <w:pPr>
        <w:rPr>
          <w:szCs w:val="24"/>
        </w:rPr>
      </w:pPr>
      <w:r w:rsidRPr="003856A4">
        <w:rPr>
          <w:szCs w:val="24"/>
        </w:rPr>
        <w:t xml:space="preserve">Subsection 5(1) of the Act provides that the Governor-General may make regulations, not inconsistent with the Act, prescribing the amounts of charges. </w:t>
      </w:r>
      <w:r w:rsidR="00D2672A">
        <w:rPr>
          <w:szCs w:val="24"/>
        </w:rPr>
        <w:t xml:space="preserve">Under </w:t>
      </w:r>
      <w:r w:rsidR="009B3848">
        <w:rPr>
          <w:szCs w:val="24"/>
        </w:rPr>
        <w:t>s</w:t>
      </w:r>
      <w:r w:rsidRPr="003856A4">
        <w:rPr>
          <w:szCs w:val="24"/>
        </w:rPr>
        <w:t xml:space="preserve">ubsection 5(2) of the </w:t>
      </w:r>
      <w:r w:rsidR="00FB7657">
        <w:rPr>
          <w:szCs w:val="24"/>
        </w:rPr>
        <w:t xml:space="preserve">Act, </w:t>
      </w:r>
      <w:r w:rsidRPr="003856A4">
        <w:rPr>
          <w:szCs w:val="24"/>
        </w:rPr>
        <w:t>the Governo</w:t>
      </w:r>
      <w:r w:rsidR="00FB7657">
        <w:rPr>
          <w:szCs w:val="24"/>
        </w:rPr>
        <w:t>r-General may</w:t>
      </w:r>
      <w:r w:rsidRPr="003856A4">
        <w:rPr>
          <w:szCs w:val="24"/>
        </w:rPr>
        <w:t xml:space="preserve"> prescribe different levels of charges for different classes of goods or, in the case of annual licensing charges, for different steps in the manufacture of therapeutic goods.</w:t>
      </w:r>
    </w:p>
    <w:p w:rsidR="00C863BC" w:rsidRDefault="00C863BC" w:rsidP="00575D61">
      <w:pPr>
        <w:rPr>
          <w:szCs w:val="24"/>
        </w:rPr>
      </w:pPr>
    </w:p>
    <w:p w:rsidR="00643564" w:rsidRPr="00EE7CFE" w:rsidRDefault="004A2ED7" w:rsidP="000854E9">
      <w:pPr>
        <w:rPr>
          <w:i/>
          <w:szCs w:val="24"/>
        </w:rPr>
      </w:pPr>
      <w:r>
        <w:rPr>
          <w:szCs w:val="24"/>
        </w:rPr>
        <w:t xml:space="preserve">The purpose of the </w:t>
      </w:r>
      <w:r w:rsidR="00EE7CFE" w:rsidRPr="00BA306B">
        <w:rPr>
          <w:i/>
          <w:szCs w:val="24"/>
        </w:rPr>
        <w:t>Therapeutic Goods (Charges</w:t>
      </w:r>
      <w:r w:rsidR="00EE7CFE">
        <w:rPr>
          <w:i/>
          <w:szCs w:val="24"/>
        </w:rPr>
        <w:t>)</w:t>
      </w:r>
      <w:r w:rsidR="00EE7CFE" w:rsidRPr="00BA306B">
        <w:rPr>
          <w:i/>
          <w:szCs w:val="24"/>
        </w:rPr>
        <w:t xml:space="preserve"> Amendment </w:t>
      </w:r>
      <w:r w:rsidR="00EE7CFE">
        <w:rPr>
          <w:i/>
          <w:szCs w:val="24"/>
        </w:rPr>
        <w:t>(201</w:t>
      </w:r>
      <w:r w:rsidR="00020E96">
        <w:rPr>
          <w:i/>
          <w:szCs w:val="24"/>
        </w:rPr>
        <w:t>7</w:t>
      </w:r>
      <w:r w:rsidR="00EE7CFE">
        <w:rPr>
          <w:i/>
          <w:szCs w:val="24"/>
        </w:rPr>
        <w:t xml:space="preserve"> Measures No. 1) </w:t>
      </w:r>
      <w:r w:rsidR="00EE7CFE" w:rsidRPr="00BA306B">
        <w:rPr>
          <w:i/>
          <w:szCs w:val="24"/>
        </w:rPr>
        <w:t>Regulation</w:t>
      </w:r>
      <w:r w:rsidR="00020E96">
        <w:rPr>
          <w:i/>
          <w:szCs w:val="24"/>
        </w:rPr>
        <w:t>s</w:t>
      </w:r>
      <w:r w:rsidR="00EE7CFE" w:rsidRPr="00BA306B">
        <w:rPr>
          <w:i/>
          <w:szCs w:val="24"/>
        </w:rPr>
        <w:t xml:space="preserve"> </w:t>
      </w:r>
      <w:r w:rsidR="00EE7CFE" w:rsidRPr="00EE7CFE">
        <w:rPr>
          <w:szCs w:val="24"/>
        </w:rPr>
        <w:t>201</w:t>
      </w:r>
      <w:r w:rsidR="00020E96">
        <w:rPr>
          <w:szCs w:val="24"/>
        </w:rPr>
        <w:t>7</w:t>
      </w:r>
      <w:r w:rsidR="00EE7CFE">
        <w:rPr>
          <w:szCs w:val="24"/>
        </w:rPr>
        <w:t xml:space="preserve"> (the </w:t>
      </w:r>
      <w:r>
        <w:rPr>
          <w:szCs w:val="24"/>
        </w:rPr>
        <w:t>Regulation</w:t>
      </w:r>
      <w:r w:rsidR="000A4B49">
        <w:rPr>
          <w:szCs w:val="24"/>
        </w:rPr>
        <w:t>s</w:t>
      </w:r>
      <w:r w:rsidR="00EE7CFE">
        <w:rPr>
          <w:szCs w:val="24"/>
        </w:rPr>
        <w:t>)</w:t>
      </w:r>
      <w:r>
        <w:rPr>
          <w:szCs w:val="24"/>
        </w:rPr>
        <w:t xml:space="preserve"> is</w:t>
      </w:r>
      <w:r w:rsidR="00442C44">
        <w:rPr>
          <w:szCs w:val="24"/>
        </w:rPr>
        <w:t>, principally,</w:t>
      </w:r>
      <w:r>
        <w:rPr>
          <w:szCs w:val="24"/>
        </w:rPr>
        <w:t xml:space="preserve"> to amend the </w:t>
      </w:r>
      <w:r w:rsidRPr="00EE7CFE">
        <w:rPr>
          <w:i/>
          <w:szCs w:val="24"/>
        </w:rPr>
        <w:t>Therapeutic Goods (Charges) Regulations 1990</w:t>
      </w:r>
      <w:r>
        <w:rPr>
          <w:szCs w:val="24"/>
        </w:rPr>
        <w:t xml:space="preserve"> (the Charges Regulations) to</w:t>
      </w:r>
      <w:r w:rsidR="000854E9">
        <w:rPr>
          <w:szCs w:val="24"/>
        </w:rPr>
        <w:t xml:space="preserve"> </w:t>
      </w:r>
      <w:r w:rsidRPr="000854E9">
        <w:rPr>
          <w:szCs w:val="24"/>
        </w:rPr>
        <w:t>inc</w:t>
      </w:r>
      <w:r w:rsidR="000854E9">
        <w:rPr>
          <w:szCs w:val="24"/>
        </w:rPr>
        <w:t xml:space="preserve">rease annual charges by </w:t>
      </w:r>
      <w:r w:rsidR="00F33B23">
        <w:rPr>
          <w:szCs w:val="24"/>
        </w:rPr>
        <w:t>1</w:t>
      </w:r>
      <w:r w:rsidR="000854E9">
        <w:rPr>
          <w:szCs w:val="24"/>
        </w:rPr>
        <w:t>.</w:t>
      </w:r>
      <w:r w:rsidR="00F33B23">
        <w:rPr>
          <w:szCs w:val="24"/>
        </w:rPr>
        <w:t>65</w:t>
      </w:r>
      <w:r w:rsidRPr="000854E9">
        <w:rPr>
          <w:szCs w:val="24"/>
        </w:rPr>
        <w:t xml:space="preserve"> per </w:t>
      </w:r>
      <w:r w:rsidR="000854E9">
        <w:rPr>
          <w:szCs w:val="24"/>
        </w:rPr>
        <w:t>cent for the financial year 201</w:t>
      </w:r>
      <w:r w:rsidR="00442C44">
        <w:rPr>
          <w:szCs w:val="24"/>
        </w:rPr>
        <w:t>7</w:t>
      </w:r>
      <w:r w:rsidR="000854E9">
        <w:rPr>
          <w:szCs w:val="24"/>
        </w:rPr>
        <w:t>-1</w:t>
      </w:r>
      <w:r w:rsidR="00442C44">
        <w:rPr>
          <w:szCs w:val="24"/>
        </w:rPr>
        <w:t>8</w:t>
      </w:r>
      <w:r w:rsidR="00280D0F">
        <w:rPr>
          <w:szCs w:val="24"/>
        </w:rPr>
        <w:t xml:space="preserve">, with some exceptions, and also to </w:t>
      </w:r>
      <w:r w:rsidR="00280D0F">
        <w:t xml:space="preserve">introduce an annual charge for certain </w:t>
      </w:r>
      <w:r w:rsidR="007B0D40">
        <w:t>in-vitro diagnostic medical devices (</w:t>
      </w:r>
      <w:r w:rsidR="00280D0F">
        <w:t>IVD</w:t>
      </w:r>
      <w:r w:rsidR="007B0D40">
        <w:t>s)</w:t>
      </w:r>
      <w:r w:rsidR="00280D0F">
        <w:t xml:space="preserve"> from 1 July 2017</w:t>
      </w:r>
      <w:r w:rsidR="000854E9">
        <w:rPr>
          <w:szCs w:val="24"/>
        </w:rPr>
        <w:t>.</w:t>
      </w:r>
    </w:p>
    <w:p w:rsidR="004A2ED7" w:rsidRDefault="004A2ED7" w:rsidP="00575D61">
      <w:pPr>
        <w:rPr>
          <w:szCs w:val="24"/>
        </w:rPr>
      </w:pPr>
    </w:p>
    <w:p w:rsidR="00061854" w:rsidRDefault="00D27D4C" w:rsidP="00D27D4C">
      <w:pPr>
        <w:rPr>
          <w:szCs w:val="24"/>
        </w:rPr>
      </w:pPr>
      <w:r>
        <w:rPr>
          <w:szCs w:val="24"/>
        </w:rPr>
        <w:t>The increase appl</w:t>
      </w:r>
      <w:r w:rsidR="004B1EFD">
        <w:rPr>
          <w:szCs w:val="24"/>
        </w:rPr>
        <w:t>ies</w:t>
      </w:r>
      <w:r>
        <w:rPr>
          <w:szCs w:val="24"/>
        </w:rPr>
        <w:t xml:space="preserve"> to annual charges relating to the registration, listing or inclusion of the</w:t>
      </w:r>
      <w:r w:rsidR="00A81397">
        <w:rPr>
          <w:szCs w:val="24"/>
        </w:rPr>
        <w:t>rapeutic goods in the Register</w:t>
      </w:r>
      <w:r w:rsidR="00967DE7">
        <w:rPr>
          <w:szCs w:val="24"/>
        </w:rPr>
        <w:t>.  T</w:t>
      </w:r>
      <w:r>
        <w:rPr>
          <w:szCs w:val="24"/>
        </w:rPr>
        <w:t>his encompass</w:t>
      </w:r>
      <w:r w:rsidR="004B1EFD">
        <w:rPr>
          <w:szCs w:val="24"/>
        </w:rPr>
        <w:t>es</w:t>
      </w:r>
      <w:r>
        <w:rPr>
          <w:szCs w:val="24"/>
        </w:rPr>
        <w:t xml:space="preserve"> registered goods, listed goods, biologicals and </w:t>
      </w:r>
      <w:r w:rsidR="00967DE7">
        <w:rPr>
          <w:szCs w:val="24"/>
        </w:rPr>
        <w:t xml:space="preserve">Class 1 </w:t>
      </w:r>
      <w:r>
        <w:rPr>
          <w:szCs w:val="24"/>
        </w:rPr>
        <w:t>medical devices</w:t>
      </w:r>
      <w:r w:rsidR="00967DE7">
        <w:rPr>
          <w:szCs w:val="24"/>
        </w:rPr>
        <w:t xml:space="preserve">.  The Regulations, however, reduce </w:t>
      </w:r>
      <w:r w:rsidR="00967DE7">
        <w:t xml:space="preserve">annual charges for medical devices other than </w:t>
      </w:r>
      <w:r w:rsidR="0085040E">
        <w:t xml:space="preserve">some </w:t>
      </w:r>
      <w:r w:rsidR="00967DE7">
        <w:t xml:space="preserve">Class </w:t>
      </w:r>
      <w:r w:rsidR="002215C0">
        <w:t xml:space="preserve">I </w:t>
      </w:r>
      <w:r w:rsidR="0085040E">
        <w:t>medical devices</w:t>
      </w:r>
      <w:r w:rsidR="00967DE7">
        <w:t xml:space="preserve">, in recognition that annual charges revenue from medical devices has been higher than expected following the introduction of the Annual Charges Exemption </w:t>
      </w:r>
      <w:r w:rsidR="009C416B">
        <w:t>(ACE) s</w:t>
      </w:r>
      <w:r w:rsidR="00967DE7">
        <w:t>cheme on 1</w:t>
      </w:r>
      <w:r w:rsidR="004B1EFD">
        <w:t> </w:t>
      </w:r>
      <w:r w:rsidR="00967DE7">
        <w:t>July 2015.  A</w:t>
      </w:r>
      <w:r w:rsidR="0059381E">
        <w:rPr>
          <w:szCs w:val="24"/>
        </w:rPr>
        <w:t>nnual charges for</w:t>
      </w:r>
      <w:r w:rsidR="000854E9">
        <w:rPr>
          <w:szCs w:val="24"/>
        </w:rPr>
        <w:t xml:space="preserve"> manufacturing licences</w:t>
      </w:r>
      <w:r w:rsidR="004B1EFD">
        <w:rPr>
          <w:szCs w:val="24"/>
        </w:rPr>
        <w:t xml:space="preserve"> are</w:t>
      </w:r>
      <w:r w:rsidR="00967DE7">
        <w:rPr>
          <w:szCs w:val="24"/>
        </w:rPr>
        <w:t xml:space="preserve"> also covered by the increase of 1.65 per cent</w:t>
      </w:r>
      <w:r w:rsidR="000854E9">
        <w:rPr>
          <w:szCs w:val="24"/>
        </w:rPr>
        <w:t>.</w:t>
      </w:r>
    </w:p>
    <w:p w:rsidR="00EA3BFF" w:rsidRDefault="00EA3BFF" w:rsidP="00EA3BFF">
      <w:pPr>
        <w:rPr>
          <w:szCs w:val="24"/>
        </w:rPr>
      </w:pPr>
    </w:p>
    <w:p w:rsidR="0072588E" w:rsidRDefault="0072588E" w:rsidP="00EA3BFF">
      <w:pPr>
        <w:rPr>
          <w:szCs w:val="24"/>
        </w:rPr>
      </w:pPr>
      <w:r>
        <w:rPr>
          <w:szCs w:val="24"/>
        </w:rPr>
        <w:t xml:space="preserve">The </w:t>
      </w:r>
      <w:r w:rsidR="00624609">
        <w:rPr>
          <w:szCs w:val="24"/>
        </w:rPr>
        <w:t>1</w:t>
      </w:r>
      <w:r w:rsidR="00EA3BFF">
        <w:rPr>
          <w:szCs w:val="24"/>
        </w:rPr>
        <w:t>.</w:t>
      </w:r>
      <w:r w:rsidR="00624609">
        <w:rPr>
          <w:szCs w:val="24"/>
        </w:rPr>
        <w:t>6</w:t>
      </w:r>
      <w:r w:rsidR="00EA3BFF">
        <w:rPr>
          <w:szCs w:val="24"/>
        </w:rPr>
        <w:t xml:space="preserve">5 per cent </w:t>
      </w:r>
      <w:r>
        <w:rPr>
          <w:szCs w:val="24"/>
        </w:rPr>
        <w:t xml:space="preserve">figure for the </w:t>
      </w:r>
      <w:r w:rsidR="00EA3BFF">
        <w:rPr>
          <w:szCs w:val="24"/>
        </w:rPr>
        <w:t xml:space="preserve">increase is based on </w:t>
      </w:r>
      <w:r>
        <w:rPr>
          <w:szCs w:val="24"/>
        </w:rPr>
        <w:t xml:space="preserve">an </w:t>
      </w:r>
      <w:r w:rsidR="00EA3BFF">
        <w:rPr>
          <w:szCs w:val="24"/>
        </w:rPr>
        <w:t xml:space="preserve">indexation </w:t>
      </w:r>
      <w:r>
        <w:rPr>
          <w:szCs w:val="24"/>
        </w:rPr>
        <w:t xml:space="preserve">formula </w:t>
      </w:r>
      <w:r w:rsidR="00EA3BFF">
        <w:rPr>
          <w:szCs w:val="24"/>
        </w:rPr>
        <w:t xml:space="preserve">used to calculate adjustments to TGA fees and charges in </w:t>
      </w:r>
      <w:r>
        <w:rPr>
          <w:szCs w:val="24"/>
        </w:rPr>
        <w:t xml:space="preserve">most previous years, and is </w:t>
      </w:r>
      <w:r w:rsidR="00EA3BFF">
        <w:rPr>
          <w:szCs w:val="24"/>
        </w:rPr>
        <w:t xml:space="preserve">based on the </w:t>
      </w:r>
      <w:r>
        <w:rPr>
          <w:szCs w:val="24"/>
        </w:rPr>
        <w:t xml:space="preserve">Australian Bureau of Statistics’ </w:t>
      </w:r>
      <w:r w:rsidR="00EA3BFF">
        <w:rPr>
          <w:szCs w:val="24"/>
        </w:rPr>
        <w:t xml:space="preserve">Wage Price Index (50 per cent) </w:t>
      </w:r>
      <w:r w:rsidR="005E7B97">
        <w:rPr>
          <w:szCs w:val="24"/>
        </w:rPr>
        <w:t>(in this case, for the year to September 201</w:t>
      </w:r>
      <w:r w:rsidR="005C56C2">
        <w:rPr>
          <w:szCs w:val="24"/>
        </w:rPr>
        <w:t>6</w:t>
      </w:r>
      <w:r w:rsidR="005E7B97">
        <w:rPr>
          <w:szCs w:val="24"/>
        </w:rPr>
        <w:t xml:space="preserve">) </w:t>
      </w:r>
      <w:r w:rsidR="00EA3BFF">
        <w:rPr>
          <w:szCs w:val="24"/>
        </w:rPr>
        <w:t>and</w:t>
      </w:r>
      <w:r w:rsidR="005E7B97">
        <w:rPr>
          <w:szCs w:val="24"/>
        </w:rPr>
        <w:t xml:space="preserve"> </w:t>
      </w:r>
      <w:r w:rsidR="00EA3BFF">
        <w:rPr>
          <w:szCs w:val="24"/>
        </w:rPr>
        <w:t>Cons</w:t>
      </w:r>
      <w:r>
        <w:rPr>
          <w:szCs w:val="24"/>
        </w:rPr>
        <w:t>umer Price Index (50 per cent))</w:t>
      </w:r>
      <w:r w:rsidR="005E7B97">
        <w:rPr>
          <w:szCs w:val="24"/>
        </w:rPr>
        <w:t xml:space="preserve"> (also for the year to September 201</w:t>
      </w:r>
      <w:r w:rsidR="005C56C2">
        <w:rPr>
          <w:szCs w:val="24"/>
        </w:rPr>
        <w:t>6</w:t>
      </w:r>
      <w:r w:rsidR="005E7B97">
        <w:rPr>
          <w:szCs w:val="24"/>
        </w:rPr>
        <w:t>)</w:t>
      </w:r>
      <w:r w:rsidR="00EA3BFF">
        <w:rPr>
          <w:szCs w:val="24"/>
        </w:rPr>
        <w:t>.</w:t>
      </w:r>
      <w:r>
        <w:rPr>
          <w:szCs w:val="24"/>
        </w:rPr>
        <w:t xml:space="preserve">  </w:t>
      </w:r>
    </w:p>
    <w:p w:rsidR="0072588E" w:rsidRDefault="0072588E" w:rsidP="00EA3BFF">
      <w:pPr>
        <w:rPr>
          <w:szCs w:val="24"/>
        </w:rPr>
      </w:pPr>
    </w:p>
    <w:p w:rsidR="00EA3BFF" w:rsidRDefault="0072588E" w:rsidP="00EA3BFF">
      <w:pPr>
        <w:rPr>
          <w:szCs w:val="24"/>
        </w:rPr>
      </w:pPr>
      <w:r>
        <w:rPr>
          <w:szCs w:val="24"/>
        </w:rPr>
        <w:t>This</w:t>
      </w:r>
      <w:r w:rsidR="00EA3BFF">
        <w:rPr>
          <w:szCs w:val="24"/>
        </w:rPr>
        <w:t xml:space="preserve"> increase ensure</w:t>
      </w:r>
      <w:r w:rsidR="00E81EAD">
        <w:rPr>
          <w:szCs w:val="24"/>
        </w:rPr>
        <w:t>s</w:t>
      </w:r>
      <w:r w:rsidR="00EA3BFF">
        <w:rPr>
          <w:szCs w:val="24"/>
        </w:rPr>
        <w:t xml:space="preserve"> </w:t>
      </w:r>
      <w:r>
        <w:rPr>
          <w:szCs w:val="24"/>
        </w:rPr>
        <w:t xml:space="preserve">that </w:t>
      </w:r>
      <w:r w:rsidR="00EA3BFF">
        <w:rPr>
          <w:szCs w:val="24"/>
        </w:rPr>
        <w:t xml:space="preserve">the TGA is able to continue to recover its costs of administering the </w:t>
      </w:r>
      <w:r w:rsidR="00EA3BFF" w:rsidRPr="00D74719">
        <w:rPr>
          <w:i/>
          <w:szCs w:val="24"/>
        </w:rPr>
        <w:t>Therapeutic Goods Act 1989</w:t>
      </w:r>
      <w:r w:rsidR="00EA3BFF">
        <w:rPr>
          <w:szCs w:val="24"/>
        </w:rPr>
        <w:t>.</w:t>
      </w:r>
    </w:p>
    <w:p w:rsidR="00061854" w:rsidRDefault="00061854" w:rsidP="00D27D4C">
      <w:pPr>
        <w:rPr>
          <w:szCs w:val="24"/>
        </w:rPr>
      </w:pPr>
    </w:p>
    <w:p w:rsidR="00451E1F" w:rsidRDefault="00451E1F" w:rsidP="002E199E">
      <w:pPr>
        <w:rPr>
          <w:szCs w:val="24"/>
        </w:rPr>
      </w:pPr>
      <w:r w:rsidRPr="00C6778C">
        <w:rPr>
          <w:szCs w:val="24"/>
        </w:rPr>
        <w:t>In applying the</w:t>
      </w:r>
      <w:r>
        <w:rPr>
          <w:szCs w:val="24"/>
        </w:rPr>
        <w:t>se</w:t>
      </w:r>
      <w:r w:rsidRPr="00C6778C">
        <w:rPr>
          <w:szCs w:val="24"/>
        </w:rPr>
        <w:t xml:space="preserve"> increases, the </w:t>
      </w:r>
      <w:r>
        <w:rPr>
          <w:szCs w:val="24"/>
        </w:rPr>
        <w:t>following rounding policy has been applied</w:t>
      </w:r>
      <w:r w:rsidRPr="00C6778C">
        <w:rPr>
          <w:szCs w:val="24"/>
        </w:rPr>
        <w:t>:</w:t>
      </w:r>
    </w:p>
    <w:p w:rsidR="00EA3BFF" w:rsidRPr="00C6778C" w:rsidRDefault="00EA3BFF" w:rsidP="002E199E">
      <w:pPr>
        <w:rPr>
          <w:szCs w:val="24"/>
        </w:rPr>
      </w:pPr>
    </w:p>
    <w:p w:rsidR="00451E1F" w:rsidRDefault="00451E1F" w:rsidP="002E199E">
      <w:pPr>
        <w:pStyle w:val="ListParagraph"/>
        <w:widowControl w:val="0"/>
        <w:numPr>
          <w:ilvl w:val="0"/>
          <w:numId w:val="5"/>
        </w:numPr>
        <w:adjustRightInd w:val="0"/>
        <w:ind w:left="567" w:hanging="567"/>
        <w:contextualSpacing w:val="0"/>
        <w:textAlignment w:val="baseline"/>
      </w:pPr>
      <w:r>
        <w:t>for charge items that are less than $10,000 - to the nearest $</w:t>
      </w:r>
      <w:r w:rsidR="005C56C2">
        <w:t>10</w:t>
      </w:r>
      <w:r>
        <w:t>; and</w:t>
      </w:r>
    </w:p>
    <w:p w:rsidR="00451E1F" w:rsidRPr="003F7635" w:rsidRDefault="00451E1F" w:rsidP="00451E1F">
      <w:pPr>
        <w:pStyle w:val="ListParagraph"/>
        <w:widowControl w:val="0"/>
        <w:numPr>
          <w:ilvl w:val="0"/>
          <w:numId w:val="5"/>
        </w:numPr>
        <w:adjustRightInd w:val="0"/>
        <w:ind w:left="567" w:hanging="567"/>
        <w:textAlignment w:val="baseline"/>
      </w:pPr>
      <w:r>
        <w:t xml:space="preserve">for charge items that are greater than or equal to $10,000 - to the nearest $100. </w:t>
      </w:r>
    </w:p>
    <w:p w:rsidR="00451E1F" w:rsidRDefault="00451E1F" w:rsidP="00D27D4C">
      <w:pPr>
        <w:rPr>
          <w:szCs w:val="24"/>
        </w:rPr>
      </w:pPr>
    </w:p>
    <w:p w:rsidR="002E568B" w:rsidRPr="003856A4" w:rsidRDefault="00B56BA6" w:rsidP="003856A4">
      <w:pPr>
        <w:rPr>
          <w:szCs w:val="24"/>
        </w:rPr>
      </w:pPr>
      <w:r>
        <w:rPr>
          <w:szCs w:val="24"/>
        </w:rPr>
        <w:t>D</w:t>
      </w:r>
      <w:r w:rsidR="002E568B" w:rsidRPr="003856A4">
        <w:rPr>
          <w:szCs w:val="24"/>
        </w:rPr>
        <w:t xml:space="preserve">etails of the </w:t>
      </w:r>
      <w:r w:rsidR="0048522A">
        <w:rPr>
          <w:szCs w:val="24"/>
        </w:rPr>
        <w:t>R</w:t>
      </w:r>
      <w:r w:rsidR="002E568B" w:rsidRPr="003856A4">
        <w:rPr>
          <w:szCs w:val="24"/>
        </w:rPr>
        <w:t>egulation</w:t>
      </w:r>
      <w:r w:rsidR="00022A12">
        <w:rPr>
          <w:szCs w:val="24"/>
        </w:rPr>
        <w:t>s</w:t>
      </w:r>
      <w:r w:rsidR="002E568B" w:rsidRPr="003856A4">
        <w:rPr>
          <w:szCs w:val="24"/>
        </w:rPr>
        <w:t xml:space="preserve"> are set out in the </w:t>
      </w:r>
      <w:r w:rsidR="002E568B" w:rsidRPr="003856A4">
        <w:rPr>
          <w:szCs w:val="24"/>
          <w:u w:val="single"/>
        </w:rPr>
        <w:t>Attachment</w:t>
      </w:r>
      <w:r w:rsidR="002E568B" w:rsidRPr="003856A4">
        <w:rPr>
          <w:szCs w:val="24"/>
        </w:rPr>
        <w:t>.</w:t>
      </w:r>
    </w:p>
    <w:p w:rsidR="002E568B" w:rsidRPr="002747DD" w:rsidRDefault="002E568B" w:rsidP="003856A4">
      <w:pPr>
        <w:rPr>
          <w:szCs w:val="24"/>
        </w:rPr>
      </w:pPr>
    </w:p>
    <w:p w:rsidR="002E568B" w:rsidRPr="003856A4" w:rsidRDefault="00646264" w:rsidP="003856A4">
      <w:pPr>
        <w:rPr>
          <w:szCs w:val="24"/>
        </w:rPr>
      </w:pPr>
      <w:r>
        <w:rPr>
          <w:szCs w:val="24"/>
        </w:rPr>
        <w:t xml:space="preserve">The </w:t>
      </w:r>
      <w:r w:rsidR="00EF1F76">
        <w:rPr>
          <w:szCs w:val="24"/>
        </w:rPr>
        <w:t xml:space="preserve">Act </w:t>
      </w:r>
      <w:r>
        <w:rPr>
          <w:szCs w:val="24"/>
        </w:rPr>
        <w:t xml:space="preserve">does not </w:t>
      </w:r>
      <w:r w:rsidR="00EF1F76">
        <w:rPr>
          <w:szCs w:val="24"/>
        </w:rPr>
        <w:t xml:space="preserve">specify </w:t>
      </w:r>
      <w:r w:rsidR="002E568B" w:rsidRPr="003856A4">
        <w:rPr>
          <w:szCs w:val="24"/>
        </w:rPr>
        <w:t>conditions that need to be met before the power</w:t>
      </w:r>
      <w:r w:rsidR="00EF1F76">
        <w:rPr>
          <w:szCs w:val="24"/>
        </w:rPr>
        <w:t>s</w:t>
      </w:r>
      <w:r w:rsidR="002E568B" w:rsidRPr="003856A4">
        <w:rPr>
          <w:szCs w:val="24"/>
        </w:rPr>
        <w:t xml:space="preserve"> </w:t>
      </w:r>
      <w:r w:rsidR="00BA167E">
        <w:rPr>
          <w:szCs w:val="24"/>
        </w:rPr>
        <w:t xml:space="preserve">under </w:t>
      </w:r>
      <w:r>
        <w:rPr>
          <w:szCs w:val="24"/>
        </w:rPr>
        <w:t xml:space="preserve">the </w:t>
      </w:r>
      <w:r w:rsidR="00BA167E">
        <w:rPr>
          <w:szCs w:val="24"/>
        </w:rPr>
        <w:t xml:space="preserve">Act </w:t>
      </w:r>
      <w:r w:rsidR="002E568B" w:rsidRPr="003856A4">
        <w:rPr>
          <w:szCs w:val="24"/>
        </w:rPr>
        <w:t xml:space="preserve">to make </w:t>
      </w:r>
      <w:r w:rsidR="00BA167E">
        <w:rPr>
          <w:szCs w:val="24"/>
        </w:rPr>
        <w:t xml:space="preserve">the </w:t>
      </w:r>
      <w:r w:rsidR="0048522A">
        <w:rPr>
          <w:szCs w:val="24"/>
        </w:rPr>
        <w:t>R</w:t>
      </w:r>
      <w:r w:rsidR="002E568B" w:rsidRPr="003856A4">
        <w:rPr>
          <w:szCs w:val="24"/>
        </w:rPr>
        <w:t>egulation</w:t>
      </w:r>
      <w:r w:rsidR="00022A12">
        <w:rPr>
          <w:szCs w:val="24"/>
        </w:rPr>
        <w:t>s</w:t>
      </w:r>
      <w:r w:rsidR="002E568B" w:rsidRPr="003856A4">
        <w:rPr>
          <w:szCs w:val="24"/>
        </w:rPr>
        <w:t xml:space="preserve"> may be exercised.</w:t>
      </w:r>
    </w:p>
    <w:p w:rsidR="002E568B" w:rsidRPr="003856A4" w:rsidRDefault="002E568B" w:rsidP="003856A4">
      <w:pPr>
        <w:rPr>
          <w:szCs w:val="24"/>
        </w:rPr>
      </w:pPr>
    </w:p>
    <w:p w:rsidR="002E568B" w:rsidRPr="003856A4" w:rsidRDefault="002E568B" w:rsidP="003856A4">
      <w:pPr>
        <w:rPr>
          <w:szCs w:val="24"/>
        </w:rPr>
      </w:pPr>
      <w:r w:rsidRPr="003856A4">
        <w:rPr>
          <w:szCs w:val="24"/>
        </w:rPr>
        <w:t xml:space="preserve">The </w:t>
      </w:r>
      <w:r w:rsidR="0048522A">
        <w:rPr>
          <w:szCs w:val="24"/>
        </w:rPr>
        <w:t>R</w:t>
      </w:r>
      <w:r w:rsidRPr="003856A4">
        <w:rPr>
          <w:szCs w:val="24"/>
        </w:rPr>
        <w:t>egulation</w:t>
      </w:r>
      <w:r w:rsidR="00022A12">
        <w:rPr>
          <w:szCs w:val="24"/>
        </w:rPr>
        <w:t>s</w:t>
      </w:r>
      <w:r w:rsidRPr="003856A4">
        <w:rPr>
          <w:szCs w:val="24"/>
        </w:rPr>
        <w:t xml:space="preserve"> </w:t>
      </w:r>
      <w:r w:rsidR="00314CEC">
        <w:rPr>
          <w:szCs w:val="24"/>
        </w:rPr>
        <w:t xml:space="preserve">are </w:t>
      </w:r>
      <w:r w:rsidRPr="003856A4">
        <w:rPr>
          <w:szCs w:val="24"/>
        </w:rPr>
        <w:t xml:space="preserve">a legislative instrument for the purposes of the </w:t>
      </w:r>
      <w:r w:rsidR="00575363">
        <w:rPr>
          <w:i/>
          <w:szCs w:val="24"/>
        </w:rPr>
        <w:t xml:space="preserve">Legislation </w:t>
      </w:r>
      <w:r w:rsidRPr="003856A4">
        <w:rPr>
          <w:i/>
          <w:szCs w:val="24"/>
        </w:rPr>
        <w:t>Act 2003</w:t>
      </w:r>
      <w:r w:rsidRPr="003856A4">
        <w:rPr>
          <w:szCs w:val="24"/>
        </w:rPr>
        <w:t>.</w:t>
      </w:r>
    </w:p>
    <w:p w:rsidR="002E568B" w:rsidRPr="003856A4" w:rsidRDefault="002E568B" w:rsidP="003856A4">
      <w:pPr>
        <w:rPr>
          <w:szCs w:val="24"/>
        </w:rPr>
      </w:pPr>
    </w:p>
    <w:p w:rsidR="002E568B" w:rsidRPr="003856A4" w:rsidRDefault="002E568B" w:rsidP="003856A4">
      <w:pPr>
        <w:rPr>
          <w:szCs w:val="24"/>
        </w:rPr>
      </w:pPr>
      <w:r w:rsidRPr="003856A4">
        <w:rPr>
          <w:szCs w:val="24"/>
        </w:rPr>
        <w:t xml:space="preserve">The </w:t>
      </w:r>
      <w:r w:rsidR="0048522A">
        <w:rPr>
          <w:szCs w:val="24"/>
        </w:rPr>
        <w:t>R</w:t>
      </w:r>
      <w:r w:rsidRPr="003856A4">
        <w:rPr>
          <w:szCs w:val="24"/>
        </w:rPr>
        <w:t>egulation</w:t>
      </w:r>
      <w:r w:rsidR="00022A12">
        <w:rPr>
          <w:szCs w:val="24"/>
        </w:rPr>
        <w:t>s</w:t>
      </w:r>
      <w:r w:rsidRPr="003856A4">
        <w:rPr>
          <w:szCs w:val="24"/>
        </w:rPr>
        <w:t xml:space="preserve"> commence on 1 July 201</w:t>
      </w:r>
      <w:r w:rsidR="00022A12">
        <w:rPr>
          <w:szCs w:val="24"/>
        </w:rPr>
        <w:t>7</w:t>
      </w:r>
      <w:r w:rsidRPr="003856A4">
        <w:rPr>
          <w:szCs w:val="24"/>
        </w:rPr>
        <w:t>.</w:t>
      </w:r>
    </w:p>
    <w:p w:rsidR="00314CEC" w:rsidRDefault="00314CEC" w:rsidP="00314CEC">
      <w:pPr>
        <w:rPr>
          <w:b/>
          <w:szCs w:val="24"/>
        </w:rPr>
      </w:pPr>
    </w:p>
    <w:p w:rsidR="00314CEC" w:rsidRDefault="00314CEC" w:rsidP="00314CEC">
      <w:pPr>
        <w:rPr>
          <w:b/>
          <w:szCs w:val="24"/>
        </w:rPr>
      </w:pPr>
      <w:r w:rsidRPr="007E164C">
        <w:rPr>
          <w:b/>
          <w:szCs w:val="24"/>
        </w:rPr>
        <w:t>Consultation</w:t>
      </w:r>
    </w:p>
    <w:p w:rsidR="002E568B" w:rsidRPr="003856A4" w:rsidRDefault="002E568B" w:rsidP="003856A4">
      <w:pPr>
        <w:rPr>
          <w:szCs w:val="24"/>
        </w:rPr>
      </w:pPr>
    </w:p>
    <w:p w:rsidR="00314CEC" w:rsidRDefault="00314CEC" w:rsidP="00314CEC">
      <w:pPr>
        <w:spacing w:after="240"/>
      </w:pPr>
      <w:r>
        <w:t>Consultation on the proposals to increase TGA charges by 1.65 per cent, reduce charges for medical devices other than Class 1 devices by 4.96 per cent and introduce an annual charge for IVD medical devices from 1 July 2017 was undertaken at bilateral meetings with industry representative bodies in February 2017. The representative bodies - Medicines Australia, the Generic and Biosimilar Medicines Association, AusBiotech, the Medical Technology Association of Australia, IVD Australia, the Australian Dental Industry Association (ADIA), the Australian Self-Medical Industry, Complementary Medicines Australia and Accord Australasia - did not object to the proposal. ADIA advised that the decrease in annual charges for some medical devices, when coupled with the previous 5 percent reduction in charges for medical devices classified as Class IIa and above that was introduced on 1 July 2015, would result in minimal residual impact associated with the introduction of the TGA’s ACE scheme on 1 July 2015.</w:t>
      </w:r>
    </w:p>
    <w:p w:rsidR="002E568B" w:rsidRPr="003856A4" w:rsidRDefault="002E568B" w:rsidP="003856A4">
      <w:pPr>
        <w:rPr>
          <w:szCs w:val="24"/>
        </w:rPr>
      </w:pPr>
    </w:p>
    <w:p w:rsidR="002E568B" w:rsidRPr="003856A4" w:rsidRDefault="002E568B" w:rsidP="00646264">
      <w:pPr>
        <w:ind w:left="5670" w:hanging="1134"/>
        <w:rPr>
          <w:szCs w:val="24"/>
        </w:rPr>
      </w:pPr>
      <w:r w:rsidRPr="003856A4">
        <w:rPr>
          <w:szCs w:val="24"/>
          <w:u w:val="single"/>
        </w:rPr>
        <w:t>Authority:</w:t>
      </w:r>
      <w:r w:rsidRPr="003856A4">
        <w:rPr>
          <w:szCs w:val="24"/>
        </w:rPr>
        <w:t xml:space="preserve"> </w:t>
      </w:r>
      <w:r w:rsidRPr="003856A4">
        <w:rPr>
          <w:szCs w:val="24"/>
        </w:rPr>
        <w:tab/>
        <w:t xml:space="preserve">Subsection 5(1) of the </w:t>
      </w:r>
    </w:p>
    <w:p w:rsidR="002E568B" w:rsidRPr="00BA167E" w:rsidRDefault="002E568B" w:rsidP="003856A4">
      <w:pPr>
        <w:ind w:left="5670"/>
        <w:rPr>
          <w:szCs w:val="24"/>
        </w:rPr>
      </w:pPr>
      <w:r w:rsidRPr="003856A4">
        <w:rPr>
          <w:i/>
          <w:szCs w:val="24"/>
        </w:rPr>
        <w:t>Therapeutic Goods (Charges) Act 1989</w:t>
      </w:r>
      <w:r w:rsidR="00BA167E">
        <w:rPr>
          <w:szCs w:val="24"/>
        </w:rPr>
        <w:t>.</w:t>
      </w:r>
    </w:p>
    <w:p w:rsidR="002E568B" w:rsidRPr="00AC42A1" w:rsidRDefault="002E568B" w:rsidP="00E93A0F">
      <w:pPr>
        <w:ind w:left="6237" w:firstLine="3"/>
        <w:jc w:val="right"/>
        <w:rPr>
          <w:b/>
          <w:szCs w:val="24"/>
          <w:u w:val="single"/>
        </w:rPr>
      </w:pPr>
      <w:r w:rsidRPr="003856A4">
        <w:rPr>
          <w:color w:val="FF0000"/>
          <w:szCs w:val="24"/>
          <w:u w:val="single"/>
        </w:rPr>
        <w:br w:type="page"/>
      </w:r>
      <w:r w:rsidRPr="00AC42A1">
        <w:rPr>
          <w:b/>
          <w:szCs w:val="24"/>
          <w:u w:val="single"/>
        </w:rPr>
        <w:lastRenderedPageBreak/>
        <w:t>ATTACHMENT</w:t>
      </w:r>
    </w:p>
    <w:p w:rsidR="002E568B" w:rsidRPr="00684780" w:rsidRDefault="002E568B" w:rsidP="003856A4">
      <w:pPr>
        <w:ind w:firstLine="3"/>
        <w:rPr>
          <w:b/>
          <w:szCs w:val="24"/>
        </w:rPr>
      </w:pPr>
    </w:p>
    <w:p w:rsidR="002E568B" w:rsidRPr="00B34411" w:rsidRDefault="002E568B" w:rsidP="003856A4">
      <w:pPr>
        <w:ind w:firstLine="3"/>
        <w:rPr>
          <w:b/>
          <w:caps/>
          <w:szCs w:val="24"/>
          <w:u w:val="single"/>
        </w:rPr>
      </w:pPr>
      <w:r w:rsidRPr="00B34411">
        <w:rPr>
          <w:b/>
          <w:szCs w:val="24"/>
          <w:u w:val="single"/>
        </w:rPr>
        <w:t xml:space="preserve">Details of the </w:t>
      </w:r>
      <w:r w:rsidRPr="00B34411">
        <w:rPr>
          <w:b/>
          <w:i/>
          <w:szCs w:val="24"/>
          <w:u w:val="single"/>
        </w:rPr>
        <w:t>Therapeutic Goods (Ch</w:t>
      </w:r>
      <w:r w:rsidR="00BA167E" w:rsidRPr="00B34411">
        <w:rPr>
          <w:b/>
          <w:i/>
          <w:szCs w:val="24"/>
          <w:u w:val="single"/>
        </w:rPr>
        <w:t xml:space="preserve">arges) Amendment </w:t>
      </w:r>
      <w:r w:rsidR="0072588E">
        <w:rPr>
          <w:b/>
          <w:i/>
          <w:szCs w:val="24"/>
          <w:u w:val="single"/>
        </w:rPr>
        <w:t>(201</w:t>
      </w:r>
      <w:r w:rsidR="00022A12">
        <w:rPr>
          <w:b/>
          <w:i/>
          <w:szCs w:val="24"/>
          <w:u w:val="single"/>
        </w:rPr>
        <w:t>7</w:t>
      </w:r>
      <w:r w:rsidR="00802B83" w:rsidRPr="00B34411">
        <w:rPr>
          <w:b/>
          <w:i/>
          <w:szCs w:val="24"/>
          <w:u w:val="single"/>
        </w:rPr>
        <w:t xml:space="preserve"> Measures No. 1) </w:t>
      </w:r>
      <w:r w:rsidR="00BA167E" w:rsidRPr="00B34411">
        <w:rPr>
          <w:b/>
          <w:i/>
          <w:szCs w:val="24"/>
          <w:u w:val="single"/>
        </w:rPr>
        <w:t>Regulation</w:t>
      </w:r>
      <w:r w:rsidR="00022A12">
        <w:rPr>
          <w:b/>
          <w:i/>
          <w:szCs w:val="24"/>
          <w:u w:val="single"/>
        </w:rPr>
        <w:t>s</w:t>
      </w:r>
      <w:r w:rsidR="00BA167E" w:rsidRPr="00B34411">
        <w:rPr>
          <w:b/>
          <w:i/>
          <w:szCs w:val="24"/>
          <w:u w:val="single"/>
        </w:rPr>
        <w:t xml:space="preserve"> 201</w:t>
      </w:r>
      <w:r w:rsidR="00022A12">
        <w:rPr>
          <w:b/>
          <w:i/>
          <w:szCs w:val="24"/>
          <w:u w:val="single"/>
        </w:rPr>
        <w:t>7</w:t>
      </w:r>
      <w:r w:rsidR="00BA167E" w:rsidRPr="00B34411">
        <w:rPr>
          <w:szCs w:val="24"/>
          <w:u w:val="single"/>
        </w:rPr>
        <w:t xml:space="preserve"> </w:t>
      </w:r>
    </w:p>
    <w:p w:rsidR="002E568B" w:rsidRPr="00684780" w:rsidRDefault="002E568B" w:rsidP="003856A4">
      <w:pPr>
        <w:ind w:firstLine="3"/>
        <w:rPr>
          <w:b/>
          <w:szCs w:val="24"/>
          <w:highlight w:val="yellow"/>
        </w:rPr>
      </w:pPr>
    </w:p>
    <w:p w:rsidR="002E568B" w:rsidRPr="00684780" w:rsidRDefault="002E568B" w:rsidP="003856A4">
      <w:pPr>
        <w:ind w:firstLine="3"/>
        <w:rPr>
          <w:szCs w:val="24"/>
        </w:rPr>
      </w:pPr>
      <w:r>
        <w:rPr>
          <w:szCs w:val="24"/>
          <w:u w:val="single"/>
        </w:rPr>
        <w:t>Sec</w:t>
      </w:r>
      <w:r w:rsidRPr="00684780">
        <w:rPr>
          <w:szCs w:val="24"/>
          <w:u w:val="single"/>
        </w:rPr>
        <w:t>tion 1 – Name</w:t>
      </w:r>
    </w:p>
    <w:p w:rsidR="002E568B" w:rsidRPr="00684780" w:rsidRDefault="002E568B" w:rsidP="003856A4">
      <w:pPr>
        <w:ind w:firstLine="3"/>
        <w:rPr>
          <w:szCs w:val="24"/>
        </w:rPr>
      </w:pPr>
      <w:r w:rsidRPr="00684780">
        <w:rPr>
          <w:szCs w:val="24"/>
        </w:rPr>
        <w:t xml:space="preserve">This </w:t>
      </w:r>
      <w:r w:rsidR="00BA167E">
        <w:rPr>
          <w:szCs w:val="24"/>
        </w:rPr>
        <w:t>section</w:t>
      </w:r>
      <w:r w:rsidR="00B34411">
        <w:rPr>
          <w:szCs w:val="24"/>
        </w:rPr>
        <w:t xml:space="preserve"> provide</w:t>
      </w:r>
      <w:r w:rsidR="008A7DFC">
        <w:rPr>
          <w:szCs w:val="24"/>
        </w:rPr>
        <w:t>s</w:t>
      </w:r>
      <w:r w:rsidR="00B34411">
        <w:rPr>
          <w:szCs w:val="24"/>
        </w:rPr>
        <w:t xml:space="preserve"> that the title of the</w:t>
      </w:r>
      <w:r w:rsidRPr="00684780">
        <w:rPr>
          <w:szCs w:val="24"/>
        </w:rPr>
        <w:t xml:space="preserve"> </w:t>
      </w:r>
      <w:r w:rsidR="00B34411">
        <w:rPr>
          <w:szCs w:val="24"/>
        </w:rPr>
        <w:t>Regulation</w:t>
      </w:r>
      <w:r w:rsidR="00022A12">
        <w:rPr>
          <w:szCs w:val="24"/>
        </w:rPr>
        <w:t>s</w:t>
      </w:r>
      <w:r w:rsidR="00B34411">
        <w:rPr>
          <w:szCs w:val="24"/>
        </w:rPr>
        <w:t xml:space="preserve"> is</w:t>
      </w:r>
      <w:r w:rsidRPr="00684780">
        <w:rPr>
          <w:szCs w:val="24"/>
        </w:rPr>
        <w:t xml:space="preserve"> the </w:t>
      </w:r>
      <w:r w:rsidRPr="00684780">
        <w:rPr>
          <w:i/>
          <w:szCs w:val="24"/>
        </w:rPr>
        <w:t>Therapeutic Goods</w:t>
      </w:r>
      <w:r w:rsidR="00B34411">
        <w:rPr>
          <w:i/>
          <w:szCs w:val="24"/>
        </w:rPr>
        <w:t xml:space="preserve"> </w:t>
      </w:r>
      <w:r w:rsidRPr="00684780">
        <w:rPr>
          <w:i/>
          <w:szCs w:val="24"/>
        </w:rPr>
        <w:t xml:space="preserve">(Charges) Amendment </w:t>
      </w:r>
      <w:r w:rsidR="0072588E">
        <w:rPr>
          <w:i/>
          <w:szCs w:val="24"/>
        </w:rPr>
        <w:t>(201</w:t>
      </w:r>
      <w:r w:rsidR="00022A12">
        <w:rPr>
          <w:i/>
          <w:szCs w:val="24"/>
        </w:rPr>
        <w:t>7</w:t>
      </w:r>
      <w:r w:rsidR="00802B83">
        <w:rPr>
          <w:i/>
          <w:szCs w:val="24"/>
        </w:rPr>
        <w:t xml:space="preserve"> Measures No. 1) </w:t>
      </w:r>
      <w:r w:rsidR="0072588E">
        <w:rPr>
          <w:i/>
          <w:szCs w:val="24"/>
        </w:rPr>
        <w:t>Regulation</w:t>
      </w:r>
      <w:r w:rsidR="00022A12">
        <w:rPr>
          <w:i/>
          <w:szCs w:val="24"/>
        </w:rPr>
        <w:t>s</w:t>
      </w:r>
      <w:r w:rsidR="0072588E">
        <w:rPr>
          <w:i/>
          <w:szCs w:val="24"/>
        </w:rPr>
        <w:t xml:space="preserve"> 201</w:t>
      </w:r>
      <w:r w:rsidR="00022A12">
        <w:rPr>
          <w:i/>
          <w:szCs w:val="24"/>
        </w:rPr>
        <w:t>7</w:t>
      </w:r>
      <w:r w:rsidR="00802B83">
        <w:rPr>
          <w:i/>
          <w:szCs w:val="24"/>
        </w:rPr>
        <w:t xml:space="preserve">. </w:t>
      </w:r>
    </w:p>
    <w:p w:rsidR="002E568B" w:rsidRPr="00154185" w:rsidRDefault="002E568B" w:rsidP="003856A4">
      <w:pPr>
        <w:ind w:firstLine="3"/>
        <w:rPr>
          <w:szCs w:val="24"/>
        </w:rPr>
      </w:pPr>
    </w:p>
    <w:p w:rsidR="002E568B" w:rsidRPr="00684780" w:rsidRDefault="002E568B" w:rsidP="003856A4">
      <w:pPr>
        <w:ind w:firstLine="3"/>
        <w:rPr>
          <w:b/>
          <w:szCs w:val="24"/>
        </w:rPr>
      </w:pPr>
      <w:r>
        <w:rPr>
          <w:szCs w:val="24"/>
          <w:u w:val="single"/>
        </w:rPr>
        <w:t>Sec</w:t>
      </w:r>
      <w:r w:rsidRPr="00684780">
        <w:rPr>
          <w:szCs w:val="24"/>
          <w:u w:val="single"/>
        </w:rPr>
        <w:t>tion 2</w:t>
      </w:r>
      <w:r>
        <w:rPr>
          <w:szCs w:val="24"/>
          <w:u w:val="single"/>
        </w:rPr>
        <w:t xml:space="preserve"> – Co</w:t>
      </w:r>
      <w:r w:rsidRPr="00684780">
        <w:rPr>
          <w:szCs w:val="24"/>
          <w:u w:val="single"/>
        </w:rPr>
        <w:t>mmencement</w:t>
      </w:r>
    </w:p>
    <w:p w:rsidR="002E568B" w:rsidRPr="00684780" w:rsidRDefault="002E568B" w:rsidP="003856A4">
      <w:pPr>
        <w:ind w:firstLine="3"/>
        <w:rPr>
          <w:szCs w:val="24"/>
        </w:rPr>
      </w:pPr>
      <w:r w:rsidRPr="00684780">
        <w:rPr>
          <w:szCs w:val="24"/>
        </w:rPr>
        <w:t xml:space="preserve">This </w:t>
      </w:r>
      <w:r>
        <w:rPr>
          <w:szCs w:val="24"/>
        </w:rPr>
        <w:t>sec</w:t>
      </w:r>
      <w:r w:rsidRPr="00684780">
        <w:rPr>
          <w:szCs w:val="24"/>
        </w:rPr>
        <w:t>tion provide</w:t>
      </w:r>
      <w:r w:rsidR="008A7DFC">
        <w:rPr>
          <w:szCs w:val="24"/>
        </w:rPr>
        <w:t>s</w:t>
      </w:r>
      <w:r w:rsidRPr="00684780">
        <w:rPr>
          <w:szCs w:val="24"/>
        </w:rPr>
        <w:t xml:space="preserve"> for the </w:t>
      </w:r>
      <w:r w:rsidR="00B34411">
        <w:rPr>
          <w:szCs w:val="24"/>
        </w:rPr>
        <w:t>R</w:t>
      </w:r>
      <w:r w:rsidRPr="00684780">
        <w:rPr>
          <w:szCs w:val="24"/>
        </w:rPr>
        <w:t>egulation</w:t>
      </w:r>
      <w:r w:rsidR="00022A12">
        <w:rPr>
          <w:szCs w:val="24"/>
        </w:rPr>
        <w:t>s</w:t>
      </w:r>
      <w:r w:rsidRPr="00684780">
        <w:rPr>
          <w:szCs w:val="24"/>
        </w:rPr>
        <w:t xml:space="preserve"> to commence on 1 July 201</w:t>
      </w:r>
      <w:r w:rsidR="00022A12">
        <w:rPr>
          <w:szCs w:val="24"/>
        </w:rPr>
        <w:t>7</w:t>
      </w:r>
      <w:r w:rsidRPr="00684780">
        <w:rPr>
          <w:szCs w:val="24"/>
        </w:rPr>
        <w:t>.</w:t>
      </w:r>
    </w:p>
    <w:p w:rsidR="002E568B" w:rsidRPr="00154185" w:rsidRDefault="002E568B" w:rsidP="003856A4">
      <w:pPr>
        <w:ind w:firstLine="3"/>
        <w:rPr>
          <w:szCs w:val="24"/>
        </w:rPr>
      </w:pPr>
    </w:p>
    <w:p w:rsidR="00922B98" w:rsidRDefault="002E568B" w:rsidP="003856A4">
      <w:pPr>
        <w:ind w:firstLine="3"/>
        <w:rPr>
          <w:szCs w:val="24"/>
          <w:u w:val="single"/>
        </w:rPr>
      </w:pPr>
      <w:r>
        <w:rPr>
          <w:szCs w:val="24"/>
          <w:u w:val="single"/>
        </w:rPr>
        <w:t>Sec</w:t>
      </w:r>
      <w:r w:rsidRPr="00684780">
        <w:rPr>
          <w:szCs w:val="24"/>
          <w:u w:val="single"/>
        </w:rPr>
        <w:t xml:space="preserve">tion 3 – </w:t>
      </w:r>
      <w:r w:rsidR="00922B98">
        <w:rPr>
          <w:szCs w:val="24"/>
          <w:u w:val="single"/>
        </w:rPr>
        <w:t xml:space="preserve">Authority </w:t>
      </w:r>
    </w:p>
    <w:p w:rsidR="00900C44" w:rsidRPr="00900C44" w:rsidRDefault="00C326E4" w:rsidP="003856A4">
      <w:pPr>
        <w:ind w:firstLine="3"/>
        <w:rPr>
          <w:szCs w:val="24"/>
        </w:rPr>
      </w:pPr>
      <w:r>
        <w:rPr>
          <w:szCs w:val="24"/>
        </w:rPr>
        <w:t xml:space="preserve">This </w:t>
      </w:r>
      <w:r w:rsidR="00B34411">
        <w:rPr>
          <w:szCs w:val="24"/>
        </w:rPr>
        <w:t>section provide</w:t>
      </w:r>
      <w:r w:rsidR="008A7DFC">
        <w:rPr>
          <w:szCs w:val="24"/>
        </w:rPr>
        <w:t>s</w:t>
      </w:r>
      <w:r w:rsidR="00B34411">
        <w:rPr>
          <w:szCs w:val="24"/>
        </w:rPr>
        <w:t xml:space="preserve"> that the R</w:t>
      </w:r>
      <w:r>
        <w:rPr>
          <w:szCs w:val="24"/>
        </w:rPr>
        <w:t>egulation</w:t>
      </w:r>
      <w:r w:rsidR="003B0699">
        <w:rPr>
          <w:szCs w:val="24"/>
        </w:rPr>
        <w:t>s</w:t>
      </w:r>
      <w:r>
        <w:rPr>
          <w:szCs w:val="24"/>
        </w:rPr>
        <w:t xml:space="preserve"> </w:t>
      </w:r>
      <w:r w:rsidR="003B0699">
        <w:rPr>
          <w:szCs w:val="24"/>
        </w:rPr>
        <w:t xml:space="preserve">are </w:t>
      </w:r>
      <w:r>
        <w:rPr>
          <w:szCs w:val="24"/>
        </w:rPr>
        <w:t>made</w:t>
      </w:r>
      <w:r w:rsidR="00574D01">
        <w:rPr>
          <w:szCs w:val="24"/>
        </w:rPr>
        <w:t xml:space="preserve"> under the </w:t>
      </w:r>
      <w:r w:rsidRPr="00C326E4">
        <w:rPr>
          <w:i/>
          <w:szCs w:val="24"/>
        </w:rPr>
        <w:t>Therapeutic Goods (Charges) Act 1989</w:t>
      </w:r>
      <w:r>
        <w:rPr>
          <w:szCs w:val="24"/>
        </w:rPr>
        <w:t>.</w:t>
      </w:r>
    </w:p>
    <w:p w:rsidR="00900C44" w:rsidRDefault="00900C44" w:rsidP="003856A4">
      <w:pPr>
        <w:ind w:firstLine="3"/>
        <w:rPr>
          <w:szCs w:val="24"/>
          <w:u w:val="single"/>
        </w:rPr>
      </w:pPr>
    </w:p>
    <w:p w:rsidR="00922B98" w:rsidRDefault="00922B98" w:rsidP="003856A4">
      <w:pPr>
        <w:pStyle w:val="Heading1"/>
        <w:rPr>
          <w:b w:val="0"/>
          <w:szCs w:val="24"/>
          <w:u w:val="single"/>
        </w:rPr>
      </w:pPr>
      <w:r>
        <w:rPr>
          <w:b w:val="0"/>
          <w:szCs w:val="24"/>
          <w:u w:val="single"/>
        </w:rPr>
        <w:t>Section 4 – Schedule</w:t>
      </w:r>
      <w:r w:rsidR="003B0699">
        <w:rPr>
          <w:b w:val="0"/>
          <w:szCs w:val="24"/>
          <w:u w:val="single"/>
        </w:rPr>
        <w:t>s</w:t>
      </w:r>
    </w:p>
    <w:p w:rsidR="00941170" w:rsidRDefault="00C326E4" w:rsidP="003856A4">
      <w:pPr>
        <w:pStyle w:val="Heading1"/>
        <w:rPr>
          <w:b w:val="0"/>
          <w:szCs w:val="24"/>
        </w:rPr>
      </w:pPr>
      <w:r>
        <w:rPr>
          <w:b w:val="0"/>
          <w:szCs w:val="24"/>
        </w:rPr>
        <w:t xml:space="preserve">This section </w:t>
      </w:r>
      <w:r w:rsidR="000B380F">
        <w:rPr>
          <w:b w:val="0"/>
          <w:szCs w:val="24"/>
        </w:rPr>
        <w:t>provide</w:t>
      </w:r>
      <w:r w:rsidR="008A7DFC">
        <w:rPr>
          <w:b w:val="0"/>
          <w:szCs w:val="24"/>
        </w:rPr>
        <w:t>s</w:t>
      </w:r>
      <w:r w:rsidR="000B380F">
        <w:rPr>
          <w:b w:val="0"/>
          <w:szCs w:val="24"/>
        </w:rPr>
        <w:t xml:space="preserve"> that</w:t>
      </w:r>
      <w:r w:rsidR="00D30DEE">
        <w:rPr>
          <w:b w:val="0"/>
          <w:szCs w:val="24"/>
        </w:rPr>
        <w:t xml:space="preserve"> each instrument </w:t>
      </w:r>
      <w:r w:rsidR="00B34411">
        <w:rPr>
          <w:b w:val="0"/>
          <w:szCs w:val="24"/>
        </w:rPr>
        <w:t xml:space="preserve">that is </w:t>
      </w:r>
      <w:r w:rsidR="00D30DEE">
        <w:rPr>
          <w:b w:val="0"/>
          <w:szCs w:val="24"/>
        </w:rPr>
        <w:t xml:space="preserve">specified in </w:t>
      </w:r>
      <w:r w:rsidR="00802B83">
        <w:rPr>
          <w:b w:val="0"/>
          <w:szCs w:val="24"/>
        </w:rPr>
        <w:t xml:space="preserve">a </w:t>
      </w:r>
      <w:r w:rsidR="00B34411">
        <w:rPr>
          <w:b w:val="0"/>
          <w:szCs w:val="24"/>
        </w:rPr>
        <w:t>Schedule to the R</w:t>
      </w:r>
      <w:r w:rsidR="000B380F">
        <w:rPr>
          <w:b w:val="0"/>
          <w:szCs w:val="24"/>
        </w:rPr>
        <w:t>egulation</w:t>
      </w:r>
      <w:r w:rsidR="003B0699">
        <w:rPr>
          <w:b w:val="0"/>
          <w:szCs w:val="24"/>
        </w:rPr>
        <w:t>s</w:t>
      </w:r>
      <w:r w:rsidR="000B380F">
        <w:rPr>
          <w:b w:val="0"/>
          <w:szCs w:val="24"/>
        </w:rPr>
        <w:t xml:space="preserve"> is amended </w:t>
      </w:r>
      <w:r w:rsidR="00B34411">
        <w:rPr>
          <w:b w:val="0"/>
          <w:szCs w:val="24"/>
        </w:rPr>
        <w:t>or repealed as set out in the applicable items in the Schedule concerned, and any other item in a Schedu</w:t>
      </w:r>
      <w:r w:rsidR="00714D86">
        <w:rPr>
          <w:b w:val="0"/>
          <w:szCs w:val="24"/>
        </w:rPr>
        <w:t>le to the Regulation</w:t>
      </w:r>
      <w:r w:rsidR="003B0699">
        <w:rPr>
          <w:b w:val="0"/>
          <w:szCs w:val="24"/>
        </w:rPr>
        <w:t>s</w:t>
      </w:r>
      <w:r w:rsidR="00714D86">
        <w:rPr>
          <w:b w:val="0"/>
          <w:szCs w:val="24"/>
        </w:rPr>
        <w:t xml:space="preserve"> has effect according to its terms</w:t>
      </w:r>
      <w:r w:rsidR="00B34411">
        <w:rPr>
          <w:b w:val="0"/>
          <w:szCs w:val="24"/>
        </w:rPr>
        <w:t>.</w:t>
      </w:r>
    </w:p>
    <w:p w:rsidR="000B380F" w:rsidRDefault="000B380F" w:rsidP="000B380F"/>
    <w:p w:rsidR="000B380F" w:rsidRDefault="00D30DEE" w:rsidP="000B380F">
      <w:pPr>
        <w:rPr>
          <w:u w:val="single"/>
        </w:rPr>
      </w:pPr>
      <w:r w:rsidRPr="00D30DEE">
        <w:rPr>
          <w:u w:val="single"/>
        </w:rPr>
        <w:t>Schedule 1 –</w:t>
      </w:r>
      <w:r>
        <w:rPr>
          <w:u w:val="single"/>
        </w:rPr>
        <w:t xml:space="preserve"> </w:t>
      </w:r>
      <w:r w:rsidR="002C2A34">
        <w:rPr>
          <w:u w:val="single"/>
        </w:rPr>
        <w:t>Amendments</w:t>
      </w:r>
    </w:p>
    <w:p w:rsidR="00683C0D" w:rsidRPr="00D30DEE" w:rsidRDefault="00683C0D" w:rsidP="000B380F">
      <w:pPr>
        <w:rPr>
          <w:u w:val="single"/>
        </w:rPr>
      </w:pPr>
    </w:p>
    <w:p w:rsidR="00683C0D" w:rsidRDefault="00683C0D" w:rsidP="00084325">
      <w:r w:rsidRPr="00AD72DB">
        <w:rPr>
          <w:b/>
          <w:i/>
        </w:rPr>
        <w:t xml:space="preserve">Therapeutic Goods </w:t>
      </w:r>
      <w:r>
        <w:rPr>
          <w:b/>
          <w:i/>
        </w:rPr>
        <w:t>(Charges) Regulations 1990</w:t>
      </w:r>
    </w:p>
    <w:p w:rsidR="00683C0D" w:rsidRDefault="00683C0D" w:rsidP="00084325"/>
    <w:p w:rsidR="0077263E" w:rsidRDefault="00B34411" w:rsidP="00084325">
      <w:pPr>
        <w:rPr>
          <w:b/>
        </w:rPr>
      </w:pPr>
      <w:r>
        <w:rPr>
          <w:b/>
        </w:rPr>
        <w:t>I</w:t>
      </w:r>
      <w:r w:rsidR="00D30DEE" w:rsidRPr="00084325">
        <w:rPr>
          <w:b/>
        </w:rPr>
        <w:t xml:space="preserve">tem 1 </w:t>
      </w:r>
      <w:r w:rsidR="0048068F">
        <w:rPr>
          <w:b/>
        </w:rPr>
        <w:t>–</w:t>
      </w:r>
      <w:r w:rsidR="00BB7B51">
        <w:rPr>
          <w:b/>
        </w:rPr>
        <w:t xml:space="preserve"> </w:t>
      </w:r>
      <w:r w:rsidR="0048068F">
        <w:rPr>
          <w:b/>
        </w:rPr>
        <w:t>Paragraph 3(1B)(e)</w:t>
      </w:r>
    </w:p>
    <w:p w:rsidR="002C2A34" w:rsidRDefault="00683C0D" w:rsidP="00084325">
      <w:r w:rsidRPr="00967DE7">
        <w:t>Item</w:t>
      </w:r>
      <w:r>
        <w:t xml:space="preserve"> 1</w:t>
      </w:r>
      <w:r w:rsidR="003C3D95">
        <w:t xml:space="preserve"> provide</w:t>
      </w:r>
      <w:r w:rsidR="008A7DFC">
        <w:t>s</w:t>
      </w:r>
      <w:r w:rsidR="003C3D95">
        <w:t xml:space="preserve"> for an annual charge of $660 for all classes of in-vitro diagnostic medical devices (IVDs) required to</w:t>
      </w:r>
      <w:r w:rsidR="009C416B">
        <w:t xml:space="preserve"> </w:t>
      </w:r>
      <w:r w:rsidR="003C3D95">
        <w:t>be included in the Register, except for Class 4 in-house IVDs.</w:t>
      </w:r>
    </w:p>
    <w:p w:rsidR="003C3D95" w:rsidRDefault="003C3D95" w:rsidP="00084325"/>
    <w:p w:rsidR="009C416B" w:rsidRDefault="003C3D95" w:rsidP="00084325">
      <w:r>
        <w:t>A new framework for the regulation of IVDs was introduced in 2010. As part of the transitional arrangements for the introduction of this new framework, it was determined that annual charges for IVDs would not commence unt</w:t>
      </w:r>
      <w:r w:rsidR="00592F93">
        <w:t>i</w:t>
      </w:r>
      <w:r>
        <w:t xml:space="preserve">l after the end of the transition period on 30 June 2017. </w:t>
      </w:r>
      <w:r w:rsidR="00592F93">
        <w:t>As such, there is now a need to introduce an appropriate annual charge – in the amount of $660</w:t>
      </w:r>
      <w:r w:rsidR="00462C24">
        <w:t xml:space="preserve"> </w:t>
      </w:r>
      <w:r w:rsidR="00592F93">
        <w:t>- for all classes of IVDs required to be included in the Register, except for Class 4 in-house IVDs.</w:t>
      </w:r>
      <w:r w:rsidR="009C416B">
        <w:t xml:space="preserve">  </w:t>
      </w:r>
    </w:p>
    <w:p w:rsidR="009C416B" w:rsidRDefault="009C416B" w:rsidP="00084325"/>
    <w:p w:rsidR="00592F93" w:rsidRDefault="009C416B" w:rsidP="00084325">
      <w:r>
        <w:t>This charge reflect</w:t>
      </w:r>
      <w:r w:rsidR="00C72ED0">
        <w:t>s</w:t>
      </w:r>
      <w:r>
        <w:t xml:space="preserve"> the expected staff effort of personnel in the </w:t>
      </w:r>
      <w:r w:rsidR="0085040E">
        <w:t xml:space="preserve">Medical Devices and </w:t>
      </w:r>
      <w:r>
        <w:t>Laboratories Branch</w:t>
      </w:r>
      <w:r w:rsidR="0085040E">
        <w:t>es</w:t>
      </w:r>
      <w:r w:rsidR="002215C0">
        <w:t>,</w:t>
      </w:r>
      <w:r>
        <w:t xml:space="preserve"> and the Advertising Unit</w:t>
      </w:r>
      <w:r w:rsidR="002215C0">
        <w:t>,</w:t>
      </w:r>
      <w:r>
        <w:t xml:space="preserve"> of the Department’s Health Products Regulation Group </w:t>
      </w:r>
      <w:r w:rsidR="002215C0">
        <w:t xml:space="preserve">that are </w:t>
      </w:r>
      <w:r>
        <w:t>likely to be involved in monitoring the numbers of relevant entries in the Register for these products.</w:t>
      </w:r>
    </w:p>
    <w:p w:rsidR="00592F93" w:rsidRDefault="00592F93" w:rsidP="00084325"/>
    <w:p w:rsidR="002C2A34" w:rsidRPr="009C416B" w:rsidRDefault="00592F93" w:rsidP="00084325">
      <w:r>
        <w:t xml:space="preserve">Class 4 in-house IVDs will not attract an annual charge, as they will be exempt </w:t>
      </w:r>
      <w:r w:rsidR="00CB7620">
        <w:t>under the Annual Charges Exemption scheme (ACE scheme) because they are for in-house use by labor</w:t>
      </w:r>
      <w:r w:rsidR="00EC6BC2">
        <w:t xml:space="preserve">atories only and are not for sale, whereas under the ACE scheme a sponsor’s liability for annual charges is, principally, based on the turnover of their products. </w:t>
      </w:r>
      <w:r>
        <w:t xml:space="preserve">  </w:t>
      </w:r>
    </w:p>
    <w:p w:rsidR="002C2A34" w:rsidRDefault="002C2A34" w:rsidP="00084325">
      <w:pPr>
        <w:rPr>
          <w:b/>
        </w:rPr>
      </w:pPr>
    </w:p>
    <w:p w:rsidR="002215C0" w:rsidRDefault="002215C0" w:rsidP="00084325">
      <w:pPr>
        <w:rPr>
          <w:b/>
        </w:rPr>
      </w:pPr>
    </w:p>
    <w:p w:rsidR="00A47D9B" w:rsidRDefault="00A47D9B" w:rsidP="00084325">
      <w:pPr>
        <w:rPr>
          <w:b/>
        </w:rPr>
      </w:pPr>
    </w:p>
    <w:p w:rsidR="00A47D9B" w:rsidRDefault="00A47D9B" w:rsidP="00084325">
      <w:pPr>
        <w:rPr>
          <w:b/>
        </w:rPr>
      </w:pPr>
    </w:p>
    <w:p w:rsidR="002215C0" w:rsidRDefault="002215C0" w:rsidP="00084325">
      <w:pPr>
        <w:rPr>
          <w:b/>
        </w:rPr>
      </w:pPr>
    </w:p>
    <w:p w:rsidR="002C2A34" w:rsidRPr="00084325" w:rsidRDefault="002C2A34" w:rsidP="002C2A34">
      <w:pPr>
        <w:rPr>
          <w:b/>
        </w:rPr>
      </w:pPr>
      <w:r>
        <w:rPr>
          <w:b/>
        </w:rPr>
        <w:lastRenderedPageBreak/>
        <w:t>I</w:t>
      </w:r>
      <w:r w:rsidRPr="00084325">
        <w:rPr>
          <w:b/>
        </w:rPr>
        <w:t xml:space="preserve">tem </w:t>
      </w:r>
      <w:r>
        <w:rPr>
          <w:b/>
        </w:rPr>
        <w:t>2</w:t>
      </w:r>
      <w:r w:rsidRPr="00084325">
        <w:rPr>
          <w:b/>
        </w:rPr>
        <w:t xml:space="preserve"> </w:t>
      </w:r>
      <w:r>
        <w:rPr>
          <w:b/>
        </w:rPr>
        <w:t xml:space="preserve">- </w:t>
      </w:r>
      <w:r w:rsidR="00BF6E56">
        <w:rPr>
          <w:b/>
        </w:rPr>
        <w:t>A</w:t>
      </w:r>
      <w:r w:rsidRPr="00084325">
        <w:rPr>
          <w:b/>
        </w:rPr>
        <w:t xml:space="preserve">mendments </w:t>
      </w:r>
      <w:r w:rsidR="00BF6E56">
        <w:rPr>
          <w:b/>
        </w:rPr>
        <w:t>of listed provisions</w:t>
      </w:r>
    </w:p>
    <w:p w:rsidR="002C1A9B" w:rsidRDefault="00DD5EB3" w:rsidP="00084325">
      <w:r w:rsidRPr="00084325">
        <w:t xml:space="preserve">Item </w:t>
      </w:r>
      <w:r w:rsidR="002C2A34">
        <w:t>2</w:t>
      </w:r>
      <w:r w:rsidR="00FE13A9" w:rsidRPr="00084325">
        <w:t xml:space="preserve"> </w:t>
      </w:r>
      <w:r w:rsidR="0077263E" w:rsidRPr="00084325">
        <w:t xml:space="preserve">sets out a table of amendments to </w:t>
      </w:r>
      <w:r w:rsidR="008B32B7">
        <w:t xml:space="preserve">listed </w:t>
      </w:r>
      <w:r w:rsidR="0077263E" w:rsidRPr="00084325">
        <w:t xml:space="preserve">provisions of the </w:t>
      </w:r>
      <w:r w:rsidR="0077263E" w:rsidRPr="00B34411">
        <w:rPr>
          <w:i/>
        </w:rPr>
        <w:t>Therapeutic Goods (Charges) Regulations 1990</w:t>
      </w:r>
      <w:r w:rsidR="0077263E" w:rsidRPr="00084325">
        <w:t xml:space="preserve"> (the Charges Regulations)</w:t>
      </w:r>
      <w:r w:rsidR="002C1A9B">
        <w:t>.</w:t>
      </w:r>
    </w:p>
    <w:p w:rsidR="00802B83" w:rsidRDefault="00802B83" w:rsidP="00084325"/>
    <w:p w:rsidR="00802B83" w:rsidRDefault="00204B3E" w:rsidP="00084325">
      <w:r>
        <w:t xml:space="preserve">The effect of these amendments </w:t>
      </w:r>
      <w:r w:rsidR="008A7DFC">
        <w:t xml:space="preserve">is </w:t>
      </w:r>
      <w:r w:rsidR="00B34411">
        <w:t>to increase all annual charges for therapeutic g</w:t>
      </w:r>
      <w:r>
        <w:t>oods and manufacturing licences</w:t>
      </w:r>
      <w:r w:rsidR="0072588E">
        <w:t xml:space="preserve"> by </w:t>
      </w:r>
      <w:r w:rsidR="002C2A34">
        <w:t>1</w:t>
      </w:r>
      <w:r w:rsidR="0072588E">
        <w:t>.</w:t>
      </w:r>
      <w:r w:rsidR="002C2A34">
        <w:t>6</w:t>
      </w:r>
      <w:r w:rsidR="0072588E">
        <w:t>5</w:t>
      </w:r>
      <w:r w:rsidR="00451E1F">
        <w:t xml:space="preserve"> per cent, subject to the TGA’s rounding policy</w:t>
      </w:r>
      <w:r w:rsidR="0072588E">
        <w:t>, from 1</w:t>
      </w:r>
      <w:r w:rsidR="00BA1715">
        <w:t> </w:t>
      </w:r>
      <w:r w:rsidR="0072588E">
        <w:t>July 201</w:t>
      </w:r>
      <w:r w:rsidR="002C2A34">
        <w:t>7</w:t>
      </w:r>
      <w:r w:rsidR="00D54EDE">
        <w:t xml:space="preserve">, </w:t>
      </w:r>
      <w:r w:rsidR="008B32B7">
        <w:t>and subject to</w:t>
      </w:r>
      <w:r w:rsidR="00BA1715">
        <w:t xml:space="preserve"> a reduction in annual charges for some medical devices</w:t>
      </w:r>
      <w:r>
        <w:t>.</w:t>
      </w:r>
    </w:p>
    <w:p w:rsidR="00802B83" w:rsidRDefault="00802B83" w:rsidP="00084325"/>
    <w:p w:rsidR="00D54EDE" w:rsidRDefault="00D54EDE" w:rsidP="00381280">
      <w:r>
        <w:t>When the ACE scheme commenced on 1 July 2015, annual charges for several types of entries in the Australian Register of Therapeutic Goods (the Register) were reduced to minimise the impact of the new scheme</w:t>
      </w:r>
      <w:r w:rsidR="008D78BC">
        <w:t>:</w:t>
      </w:r>
    </w:p>
    <w:p w:rsidR="00780FCF" w:rsidRDefault="008D78BC" w:rsidP="009C416B">
      <w:pPr>
        <w:pStyle w:val="ListParagraph"/>
        <w:numPr>
          <w:ilvl w:val="0"/>
          <w:numId w:val="13"/>
        </w:numPr>
        <w:ind w:left="284" w:hanging="284"/>
      </w:pPr>
      <w:r>
        <w:t xml:space="preserve">non-biological </w:t>
      </w:r>
      <w:r w:rsidR="00780FCF">
        <w:t>prescription medicines (other than generic medicines)</w:t>
      </w:r>
      <w:r w:rsidR="00462C24">
        <w:t xml:space="preserve"> </w:t>
      </w:r>
      <w:r w:rsidR="00780FCF">
        <w:t>- 5 per cent;</w:t>
      </w:r>
    </w:p>
    <w:p w:rsidR="00780FCF" w:rsidRDefault="00780FCF" w:rsidP="009C416B">
      <w:pPr>
        <w:pStyle w:val="ListParagraph"/>
        <w:numPr>
          <w:ilvl w:val="0"/>
          <w:numId w:val="13"/>
        </w:numPr>
        <w:ind w:left="284" w:hanging="284"/>
      </w:pPr>
      <w:r>
        <w:t>non-biological prescription medicines (generic medicines) – 23 per cent; and</w:t>
      </w:r>
    </w:p>
    <w:p w:rsidR="008D78BC" w:rsidRDefault="00780FCF" w:rsidP="009C416B">
      <w:pPr>
        <w:pStyle w:val="ListParagraph"/>
        <w:numPr>
          <w:ilvl w:val="0"/>
          <w:numId w:val="13"/>
        </w:numPr>
        <w:ind w:left="284" w:hanging="284"/>
      </w:pPr>
      <w:r>
        <w:t xml:space="preserve">medical devices classified as class IIA and above – 5 per cent.  </w:t>
      </w:r>
    </w:p>
    <w:p w:rsidR="00D54EDE" w:rsidRDefault="00D54EDE" w:rsidP="00381280"/>
    <w:p w:rsidR="00780FCF" w:rsidRDefault="00780FCF" w:rsidP="00381280">
      <w:r>
        <w:t xml:space="preserve">On introduction of the ACE scheme, </w:t>
      </w:r>
      <w:r w:rsidR="009C416B">
        <w:t xml:space="preserve">the </w:t>
      </w:r>
      <w:r>
        <w:t xml:space="preserve">TGA committed to monitor the impact of the new scheme on the </w:t>
      </w:r>
      <w:r w:rsidR="00CA5993">
        <w:t>therapeutic goods industry and adjust annual charges, if needed, to ensure appropriate cost recovery from each industry sector.</w:t>
      </w:r>
    </w:p>
    <w:p w:rsidR="00CA5993" w:rsidRDefault="00CA5993" w:rsidP="00381280"/>
    <w:p w:rsidR="00CA5993" w:rsidRDefault="00CA5993" w:rsidP="00381280">
      <w:r>
        <w:t>After a full year of operation</w:t>
      </w:r>
      <w:r w:rsidR="00512983">
        <w:t xml:space="preserve">, an impact assessment of the new scheme was undertaken which suggested that annual charges revenue from medical devices was higher than forecast, due to lower than anticipated cancellations of entries from the Register. It was therefore </w:t>
      </w:r>
      <w:r w:rsidR="00967DE7">
        <w:t>proposed</w:t>
      </w:r>
      <w:r w:rsidR="00512983">
        <w:t xml:space="preserve"> to further reduce annual charges for medical devices (other than class 1 medical devices </w:t>
      </w:r>
      <w:r w:rsidR="00B47CC5">
        <w:t>covered by paragraph 3(1B)(a) of the Charges Regulations, which currently incur an annual charge of $80 and are not to change as part of these amendments) by 6.5 percent, subject to the</w:t>
      </w:r>
      <w:r w:rsidR="00967DE7">
        <w:t xml:space="preserve"> </w:t>
      </w:r>
      <w:r w:rsidR="00B47CC5">
        <w:t xml:space="preserve">general indexation increase of 1.65 per cent to all TGA fees and charges- resulting in an </w:t>
      </w:r>
      <w:r w:rsidR="005C68EB">
        <w:t xml:space="preserve">overall reduction in annual charges for most medical devices of 4.96 per cent. </w:t>
      </w:r>
      <w:r w:rsidR="00B47CC5">
        <w:t xml:space="preserve"> </w:t>
      </w:r>
      <w:r w:rsidR="00512983">
        <w:t xml:space="preserve">  </w:t>
      </w:r>
    </w:p>
    <w:p w:rsidR="00D54EDE" w:rsidRDefault="00D54EDE" w:rsidP="00381280"/>
    <w:p w:rsidR="00381280" w:rsidRDefault="0072588E" w:rsidP="00381280">
      <w:r>
        <w:t xml:space="preserve">Item </w:t>
      </w:r>
      <w:r w:rsidR="00F67D92" w:rsidRPr="00F67D92">
        <w:t>2</w:t>
      </w:r>
      <w:r w:rsidR="00F67D92">
        <w:t>6</w:t>
      </w:r>
      <w:r w:rsidR="00381280">
        <w:t xml:space="preserve"> of the table make</w:t>
      </w:r>
      <w:r w:rsidR="008A7DFC">
        <w:t>s</w:t>
      </w:r>
      <w:r w:rsidR="00381280">
        <w:t xml:space="preserve"> an amendment to the note to subregulation 3(3) of the Charges Regulations.</w:t>
      </w:r>
    </w:p>
    <w:p w:rsidR="007761E4" w:rsidRDefault="007761E4" w:rsidP="00381280"/>
    <w:p w:rsidR="00381280" w:rsidRDefault="00381280" w:rsidP="00381280">
      <w:r>
        <w:t xml:space="preserve">This note refers to the fact that under regulation 43AAJ of the </w:t>
      </w:r>
      <w:r w:rsidRPr="00A954E4">
        <w:rPr>
          <w:i/>
        </w:rPr>
        <w:t>T</w:t>
      </w:r>
      <w:r w:rsidR="00F67D92" w:rsidRPr="00A954E4">
        <w:rPr>
          <w:i/>
        </w:rPr>
        <w:t xml:space="preserve">herapeutic </w:t>
      </w:r>
      <w:r w:rsidRPr="00A954E4">
        <w:rPr>
          <w:i/>
        </w:rPr>
        <w:t>G</w:t>
      </w:r>
      <w:r w:rsidR="00F67D92" w:rsidRPr="00A954E4">
        <w:rPr>
          <w:i/>
        </w:rPr>
        <w:t>oods</w:t>
      </w:r>
      <w:r w:rsidRPr="00A954E4">
        <w:rPr>
          <w:i/>
        </w:rPr>
        <w:t xml:space="preserve"> Regulations</w:t>
      </w:r>
      <w:r w:rsidR="00F67D92" w:rsidRPr="00A954E4">
        <w:rPr>
          <w:i/>
        </w:rPr>
        <w:t xml:space="preserve"> 1990</w:t>
      </w:r>
      <w:r w:rsidR="00F67D92">
        <w:t xml:space="preserve"> (the TG Regulations)</w:t>
      </w:r>
      <w:r>
        <w:t xml:space="preserve">, the annual charge for a manufacturing licence under Part 3-3 of the </w:t>
      </w:r>
      <w:r w:rsidRPr="00381280">
        <w:rPr>
          <w:i/>
        </w:rPr>
        <w:t>Therapeutic Goods Act 1989</w:t>
      </w:r>
      <w:r>
        <w:t xml:space="preserve"> </w:t>
      </w:r>
      <w:r w:rsidRPr="00A251B0">
        <w:t>(</w:t>
      </w:r>
      <w:r w:rsidR="00FD263F">
        <w:t xml:space="preserve">other than a licence to manufacture </w:t>
      </w:r>
      <w:r>
        <w:t xml:space="preserve">human blood and blood components) </w:t>
      </w:r>
      <w:r w:rsidR="00F67D92">
        <w:t xml:space="preserve">that is </w:t>
      </w:r>
      <w:r>
        <w:t>payable by a person whose wholesale turnover of goods in a financial year is not more th</w:t>
      </w:r>
      <w:r w:rsidR="0072588E">
        <w:t>an $9</w:t>
      </w:r>
      <w:r w:rsidR="002C2A34">
        <w:t>4</w:t>
      </w:r>
      <w:r w:rsidR="00462C24">
        <w:t>,</w:t>
      </w:r>
      <w:r w:rsidR="002C2A34">
        <w:t>5</w:t>
      </w:r>
      <w:r>
        <w:t xml:space="preserve">00, is half the amount mentioned in subregulation 3(2) </w:t>
      </w:r>
      <w:r w:rsidR="00FD263F">
        <w:t>of the Charges Regulations</w:t>
      </w:r>
      <w:r>
        <w:t>. Subregulation 3(2) of the Charges Regulations lists annual charges for manufacturing licences.</w:t>
      </w:r>
    </w:p>
    <w:p w:rsidR="00381280" w:rsidRDefault="00381280" w:rsidP="00381280"/>
    <w:p w:rsidR="00381280" w:rsidRDefault="00381280" w:rsidP="00381280">
      <w:r w:rsidRPr="00084325">
        <w:t xml:space="preserve">Item </w:t>
      </w:r>
      <w:r w:rsidR="00F67D92">
        <w:t>26</w:t>
      </w:r>
      <w:r>
        <w:t xml:space="preserve"> of the table replace</w:t>
      </w:r>
      <w:r w:rsidR="00216ED0">
        <w:t>s</w:t>
      </w:r>
      <w:r>
        <w:t xml:space="preserve"> the current reference in this note</w:t>
      </w:r>
      <w:r w:rsidR="0072588E">
        <w:t xml:space="preserve"> to the amount of $9</w:t>
      </w:r>
      <w:r w:rsidR="002C2A34">
        <w:t>4</w:t>
      </w:r>
      <w:r w:rsidR="001A4B09">
        <w:t>,</w:t>
      </w:r>
      <w:r w:rsidR="002C2A34">
        <w:t>5</w:t>
      </w:r>
      <w:r>
        <w:t>00 with a reference to th</w:t>
      </w:r>
      <w:r w:rsidR="0072588E">
        <w:t>e proposed updated amount of $9</w:t>
      </w:r>
      <w:r w:rsidR="002C2A34">
        <w:t>6,1</w:t>
      </w:r>
      <w:r>
        <w:t>00</w:t>
      </w:r>
      <w:r w:rsidR="00FD263F">
        <w:t>,</w:t>
      </w:r>
      <w:r w:rsidR="0072588E">
        <w:t xml:space="preserve"> for 201</w:t>
      </w:r>
      <w:r w:rsidR="002C2A34">
        <w:t>7</w:t>
      </w:r>
      <w:r w:rsidR="0072588E">
        <w:t>-1</w:t>
      </w:r>
      <w:r w:rsidR="002C2A34">
        <w:t>8</w:t>
      </w:r>
      <w:r>
        <w:t>.  This ensure</w:t>
      </w:r>
      <w:r w:rsidR="00216ED0">
        <w:t>s</w:t>
      </w:r>
      <w:r>
        <w:t xml:space="preserve"> consistency with changes to the TG Regulations</w:t>
      </w:r>
      <w:r w:rsidR="00F67D92">
        <w:t xml:space="preserve"> that also commence on 1</w:t>
      </w:r>
      <w:r w:rsidR="009E0F1E">
        <w:t> </w:t>
      </w:r>
      <w:r w:rsidR="00F67D92">
        <w:t>July 201</w:t>
      </w:r>
      <w:r w:rsidR="002C2A34">
        <w:t>7</w:t>
      </w:r>
      <w:r>
        <w:t>, which include an amendment to regulation 43AAJ of the TG Regulations to increase the wholesale turnover thr</w:t>
      </w:r>
      <w:r w:rsidR="0072588E">
        <w:t>eshold mentioned above, from $9</w:t>
      </w:r>
      <w:r w:rsidR="002C2A34">
        <w:t>4</w:t>
      </w:r>
      <w:r w:rsidR="00462C24">
        <w:t>,</w:t>
      </w:r>
      <w:r w:rsidR="002C2A34">
        <w:t>5</w:t>
      </w:r>
      <w:r w:rsidR="0072588E">
        <w:t>00 to $9</w:t>
      </w:r>
      <w:r w:rsidR="002C2A34">
        <w:t>6,1</w:t>
      </w:r>
      <w:r>
        <w:t>00.</w:t>
      </w:r>
    </w:p>
    <w:p w:rsidR="00A47D9B" w:rsidRDefault="00A47D9B" w:rsidP="00084325">
      <w:r>
        <w:br w:type="page"/>
      </w:r>
    </w:p>
    <w:p w:rsidR="00802B83" w:rsidRDefault="00802B83" w:rsidP="00084325"/>
    <w:p w:rsidR="00A47D9B" w:rsidRDefault="00A47D9B" w:rsidP="00A47D9B">
      <w:pPr>
        <w:jc w:val="center"/>
        <w:rPr>
          <w:b/>
          <w:sz w:val="28"/>
          <w:szCs w:val="28"/>
        </w:rPr>
      </w:pPr>
      <w:r>
        <w:rPr>
          <w:b/>
          <w:sz w:val="28"/>
          <w:szCs w:val="28"/>
        </w:rPr>
        <w:t>Statement of Compatibility with Human Rights</w:t>
      </w:r>
    </w:p>
    <w:p w:rsidR="00A47D9B" w:rsidRDefault="00A47D9B" w:rsidP="00A47D9B">
      <w:pPr>
        <w:rPr>
          <w:szCs w:val="24"/>
        </w:rPr>
      </w:pPr>
    </w:p>
    <w:p w:rsidR="00A47D9B" w:rsidRDefault="00A47D9B" w:rsidP="00A47D9B">
      <w:pPr>
        <w:rPr>
          <w:szCs w:val="24"/>
        </w:rPr>
      </w:pPr>
      <w:r>
        <w:rPr>
          <w:szCs w:val="24"/>
        </w:rPr>
        <w:t xml:space="preserve">Prepared in accordance with Part 3 of the </w:t>
      </w:r>
      <w:r>
        <w:rPr>
          <w:i/>
          <w:szCs w:val="24"/>
        </w:rPr>
        <w:t>Human Rights (Parliamentary Scrutiny) Act 2011</w:t>
      </w:r>
    </w:p>
    <w:p w:rsidR="00A47D9B" w:rsidRDefault="00A47D9B" w:rsidP="00A47D9B">
      <w:pPr>
        <w:rPr>
          <w:b/>
          <w:szCs w:val="24"/>
        </w:rPr>
      </w:pPr>
    </w:p>
    <w:p w:rsidR="00A47D9B" w:rsidRDefault="00A47D9B" w:rsidP="00A47D9B">
      <w:pPr>
        <w:jc w:val="center"/>
        <w:rPr>
          <w:b/>
          <w:szCs w:val="24"/>
        </w:rPr>
      </w:pPr>
      <w:r>
        <w:rPr>
          <w:b/>
          <w:szCs w:val="24"/>
        </w:rPr>
        <w:t>Therapeutic Goods (Charges) Amendment (2017 Measures No.1) Regulations 2017</w:t>
      </w:r>
    </w:p>
    <w:p w:rsidR="00A47D9B" w:rsidRDefault="00A47D9B" w:rsidP="00A47D9B">
      <w:pPr>
        <w:rPr>
          <w:szCs w:val="24"/>
        </w:rPr>
      </w:pPr>
    </w:p>
    <w:p w:rsidR="00A47D9B" w:rsidRDefault="00A47D9B" w:rsidP="00A47D9B">
      <w:pPr>
        <w:rPr>
          <w:b/>
          <w:szCs w:val="24"/>
        </w:rPr>
      </w:pPr>
      <w:r>
        <w:rPr>
          <w:szCs w:val="24"/>
        </w:rPr>
        <w:t xml:space="preserve">The </w:t>
      </w:r>
      <w:r>
        <w:rPr>
          <w:i/>
          <w:szCs w:val="24"/>
        </w:rPr>
        <w:t>Therapeutic Goods (Charges) Amendment (2017 Measures No.1) Regulation</w:t>
      </w:r>
      <w:r w:rsidR="00C72ED0">
        <w:rPr>
          <w:i/>
          <w:szCs w:val="24"/>
        </w:rPr>
        <w:t>s</w:t>
      </w:r>
      <w:r>
        <w:rPr>
          <w:i/>
          <w:szCs w:val="24"/>
        </w:rPr>
        <w:t xml:space="preserve"> 2017</w:t>
      </w:r>
      <w:r>
        <w:rPr>
          <w:szCs w:val="24"/>
        </w:rPr>
        <w:t xml:space="preserve"> (the Regulations) are compatible with the human rights and freedoms recognised or declared in the international instruments listed in section 3 of the </w:t>
      </w:r>
      <w:r>
        <w:rPr>
          <w:i/>
          <w:szCs w:val="24"/>
        </w:rPr>
        <w:t>Human Rights (Parliamentary Scrutiny) Act 2011</w:t>
      </w:r>
      <w:r>
        <w:rPr>
          <w:szCs w:val="24"/>
        </w:rPr>
        <w:t>.</w:t>
      </w:r>
    </w:p>
    <w:p w:rsidR="00A47D9B" w:rsidRDefault="00A47D9B" w:rsidP="00A47D9B">
      <w:pPr>
        <w:rPr>
          <w:szCs w:val="24"/>
        </w:rPr>
      </w:pPr>
    </w:p>
    <w:p w:rsidR="00A47D9B" w:rsidRDefault="00A47D9B" w:rsidP="00A47D9B">
      <w:pPr>
        <w:rPr>
          <w:b/>
          <w:szCs w:val="24"/>
        </w:rPr>
      </w:pPr>
      <w:r>
        <w:rPr>
          <w:b/>
          <w:szCs w:val="24"/>
        </w:rPr>
        <w:t>Overview of the Legislative Instrument</w:t>
      </w:r>
    </w:p>
    <w:p w:rsidR="00A47D9B" w:rsidRPr="00EE7CFE" w:rsidRDefault="00A47D9B" w:rsidP="00A47D9B">
      <w:pPr>
        <w:rPr>
          <w:i/>
          <w:szCs w:val="24"/>
        </w:rPr>
      </w:pPr>
      <w:r>
        <w:rPr>
          <w:szCs w:val="24"/>
        </w:rPr>
        <w:t xml:space="preserve">The Regulations are made under subsection 5(1) of the </w:t>
      </w:r>
      <w:r>
        <w:rPr>
          <w:i/>
          <w:szCs w:val="24"/>
        </w:rPr>
        <w:t>Therapeutic Goods (Charges) Act 1989</w:t>
      </w:r>
      <w:r>
        <w:rPr>
          <w:szCs w:val="24"/>
        </w:rPr>
        <w:t xml:space="preserve"> (the Charges Act).  The purpose of the Regulations is, principally, to amend the </w:t>
      </w:r>
      <w:r w:rsidRPr="00EE7CFE">
        <w:rPr>
          <w:i/>
          <w:szCs w:val="24"/>
        </w:rPr>
        <w:t>Therapeutic Goods (Charges) Regulations 1990</w:t>
      </w:r>
      <w:r>
        <w:rPr>
          <w:szCs w:val="24"/>
        </w:rPr>
        <w:t xml:space="preserve"> (the Charges Regulations) to </w:t>
      </w:r>
      <w:r w:rsidRPr="000854E9">
        <w:rPr>
          <w:szCs w:val="24"/>
        </w:rPr>
        <w:t>inc</w:t>
      </w:r>
      <w:r>
        <w:rPr>
          <w:szCs w:val="24"/>
        </w:rPr>
        <w:t xml:space="preserve">rease </w:t>
      </w:r>
      <w:r w:rsidR="001A4B09">
        <w:rPr>
          <w:szCs w:val="24"/>
        </w:rPr>
        <w:t xml:space="preserve">TGA </w:t>
      </w:r>
      <w:r>
        <w:rPr>
          <w:szCs w:val="24"/>
        </w:rPr>
        <w:t>annual charges by 1.65</w:t>
      </w:r>
      <w:r w:rsidRPr="000854E9">
        <w:rPr>
          <w:szCs w:val="24"/>
        </w:rPr>
        <w:t xml:space="preserve"> per </w:t>
      </w:r>
      <w:r>
        <w:rPr>
          <w:szCs w:val="24"/>
        </w:rPr>
        <w:t xml:space="preserve">cent for the financial year 2017-18, with some exceptions, and also to </w:t>
      </w:r>
      <w:r>
        <w:t>introduce an annual charge for certain IVD medical devices from 1 July 2017</w:t>
      </w:r>
      <w:r>
        <w:rPr>
          <w:szCs w:val="24"/>
        </w:rPr>
        <w:t>.</w:t>
      </w:r>
      <w:r w:rsidR="0032089B">
        <w:rPr>
          <w:szCs w:val="24"/>
        </w:rPr>
        <w:t xml:space="preserve"> </w:t>
      </w:r>
    </w:p>
    <w:p w:rsidR="00A47D9B" w:rsidRDefault="00A47D9B" w:rsidP="00A47D9B">
      <w:pPr>
        <w:spacing w:after="120"/>
        <w:ind w:right="-45"/>
        <w:rPr>
          <w:szCs w:val="24"/>
        </w:rPr>
      </w:pPr>
    </w:p>
    <w:p w:rsidR="00A47D9B" w:rsidRDefault="00A47D9B" w:rsidP="00A47D9B">
      <w:pPr>
        <w:rPr>
          <w:szCs w:val="24"/>
        </w:rPr>
      </w:pPr>
      <w:r>
        <w:rPr>
          <w:szCs w:val="24"/>
        </w:rPr>
        <w:t xml:space="preserve">The increase applies to annual charges relating to the registration, listing or inclusion of therapeutic goods in the Register.  This encompasses registered goods, listed goods, biologicals and Class 1 medical devices.  The </w:t>
      </w:r>
      <w:r w:rsidR="0032089B">
        <w:rPr>
          <w:szCs w:val="24"/>
        </w:rPr>
        <w:t xml:space="preserve">Amendment </w:t>
      </w:r>
      <w:r>
        <w:rPr>
          <w:szCs w:val="24"/>
        </w:rPr>
        <w:t xml:space="preserve">Regulations, however, reduce </w:t>
      </w:r>
      <w:r>
        <w:t>annual charges for medical devices other than some Class I medical devices, in recognition that annual charges revenue from medical devices has been higher than expected following the introduction of the Annual Charges Exemption (ACE) scheme on 1 July 2015.  A</w:t>
      </w:r>
      <w:r>
        <w:rPr>
          <w:szCs w:val="24"/>
        </w:rPr>
        <w:t>nnual charges for manufacturing licences are also covered by the increase of 1.65 per cent.</w:t>
      </w:r>
    </w:p>
    <w:p w:rsidR="00A47D9B" w:rsidRDefault="00A47D9B" w:rsidP="00A47D9B">
      <w:pPr>
        <w:rPr>
          <w:szCs w:val="24"/>
        </w:rPr>
      </w:pPr>
    </w:p>
    <w:p w:rsidR="00A47D9B" w:rsidRDefault="00A47D9B" w:rsidP="00A47D9B">
      <w:pPr>
        <w:rPr>
          <w:szCs w:val="24"/>
        </w:rPr>
      </w:pPr>
      <w:r>
        <w:rPr>
          <w:szCs w:val="24"/>
        </w:rPr>
        <w:t xml:space="preserve">The 1.65 per cent figure is based on a formula used to calculate adjustments to TGA fees and charges in most previous years, and is based on the Australian Bureau of Statistics’ Wage Price Index (50 per cent) (in this case, for the year to September 2016) and Consumer Price Index (50 per cent)) (also for the year to September 2016). </w:t>
      </w:r>
      <w:r w:rsidR="001A4B09">
        <w:rPr>
          <w:szCs w:val="24"/>
        </w:rPr>
        <w:t xml:space="preserve">This increase is designed to ensure that the TGA is able to continue to recover its costs of administering the </w:t>
      </w:r>
      <w:r w:rsidR="001A4B09" w:rsidRPr="00D74719">
        <w:rPr>
          <w:i/>
          <w:szCs w:val="24"/>
        </w:rPr>
        <w:t>Therapeutic Goods Act 1989</w:t>
      </w:r>
      <w:r w:rsidR="001A4B09">
        <w:rPr>
          <w:i/>
          <w:szCs w:val="24"/>
        </w:rPr>
        <w:t>.</w:t>
      </w:r>
    </w:p>
    <w:p w:rsidR="00A47D9B" w:rsidRDefault="00A47D9B" w:rsidP="00A47D9B">
      <w:pPr>
        <w:rPr>
          <w:szCs w:val="24"/>
        </w:rPr>
      </w:pPr>
    </w:p>
    <w:p w:rsidR="00A47D9B" w:rsidRDefault="00A47D9B" w:rsidP="00A47D9B">
      <w:pPr>
        <w:rPr>
          <w:b/>
          <w:szCs w:val="24"/>
        </w:rPr>
      </w:pPr>
      <w:r>
        <w:rPr>
          <w:b/>
          <w:szCs w:val="24"/>
        </w:rPr>
        <w:t>Human rights implications</w:t>
      </w:r>
    </w:p>
    <w:p w:rsidR="00A47D9B" w:rsidRDefault="00A47D9B" w:rsidP="00A47D9B">
      <w:pPr>
        <w:rPr>
          <w:szCs w:val="24"/>
        </w:rPr>
      </w:pPr>
      <w:r>
        <w:rPr>
          <w:szCs w:val="24"/>
        </w:rPr>
        <w:t>As the Regulation</w:t>
      </w:r>
      <w:r w:rsidR="0032089B">
        <w:rPr>
          <w:szCs w:val="24"/>
        </w:rPr>
        <w:t>s</w:t>
      </w:r>
      <w:r>
        <w:rPr>
          <w:szCs w:val="24"/>
        </w:rPr>
        <w:t xml:space="preserve"> do not introduce any changes to the Charges Regulations other than to implement the changes </w:t>
      </w:r>
      <w:r w:rsidR="001A4B09">
        <w:rPr>
          <w:szCs w:val="24"/>
        </w:rPr>
        <w:t>outlined</w:t>
      </w:r>
      <w:r>
        <w:rPr>
          <w:szCs w:val="24"/>
        </w:rPr>
        <w:t xml:space="preserve"> above, it does not engage any of the applicable rights or freedoms.</w:t>
      </w:r>
    </w:p>
    <w:p w:rsidR="00A47D9B" w:rsidRDefault="00A47D9B" w:rsidP="00A47D9B">
      <w:pPr>
        <w:rPr>
          <w:b/>
          <w:szCs w:val="24"/>
        </w:rPr>
      </w:pPr>
    </w:p>
    <w:p w:rsidR="00A47D9B" w:rsidRDefault="00A47D9B" w:rsidP="00A47D9B">
      <w:pPr>
        <w:rPr>
          <w:b/>
          <w:szCs w:val="24"/>
        </w:rPr>
      </w:pPr>
      <w:r>
        <w:rPr>
          <w:b/>
          <w:szCs w:val="24"/>
        </w:rPr>
        <w:t>Conclusion</w:t>
      </w:r>
    </w:p>
    <w:p w:rsidR="00A47D9B" w:rsidRDefault="00A47D9B" w:rsidP="00A47D9B">
      <w:pPr>
        <w:rPr>
          <w:szCs w:val="24"/>
        </w:rPr>
      </w:pPr>
      <w:r>
        <w:rPr>
          <w:szCs w:val="24"/>
        </w:rPr>
        <w:t>This legislative instrument is compatible with human rights as it does not raise any human rights issues.</w:t>
      </w:r>
    </w:p>
    <w:p w:rsidR="00A47D9B" w:rsidRDefault="00A47D9B" w:rsidP="00A47D9B">
      <w:pPr>
        <w:rPr>
          <w:szCs w:val="24"/>
        </w:rPr>
      </w:pPr>
    </w:p>
    <w:p w:rsidR="00A47D9B" w:rsidRPr="007D16AC" w:rsidRDefault="00A47D9B" w:rsidP="00A47D9B">
      <w:pPr>
        <w:jc w:val="center"/>
        <w:rPr>
          <w:szCs w:val="24"/>
        </w:rPr>
      </w:pPr>
      <w:r>
        <w:rPr>
          <w:b/>
          <w:szCs w:val="24"/>
        </w:rPr>
        <w:t>Greg Hunt, Minister for Health</w:t>
      </w:r>
    </w:p>
    <w:p w:rsidR="00A47D9B" w:rsidRDefault="00A47D9B" w:rsidP="00084325"/>
    <w:sectPr w:rsidR="00A47D9B" w:rsidSect="004906E3">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DE1" w:rsidRDefault="00230DE1" w:rsidP="00A2299B">
      <w:r>
        <w:separator/>
      </w:r>
    </w:p>
  </w:endnote>
  <w:endnote w:type="continuationSeparator" w:id="0">
    <w:p w:rsidR="00230DE1" w:rsidRDefault="00230DE1" w:rsidP="00A2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DE1" w:rsidRDefault="00230DE1" w:rsidP="00A2299B">
      <w:r>
        <w:separator/>
      </w:r>
    </w:p>
  </w:footnote>
  <w:footnote w:type="continuationSeparator" w:id="0">
    <w:p w:rsidR="00230DE1" w:rsidRDefault="00230DE1" w:rsidP="00A22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C1C" w:rsidRDefault="006740D4">
    <w:pPr>
      <w:pStyle w:val="Header"/>
      <w:jc w:val="center"/>
    </w:pPr>
    <w:r>
      <w:fldChar w:fldCharType="begin"/>
    </w:r>
    <w:r w:rsidR="00A96C1C">
      <w:instrText xml:space="preserve"> PAGE   \* MERGEFORMAT </w:instrText>
    </w:r>
    <w:r>
      <w:fldChar w:fldCharType="separate"/>
    </w:r>
    <w:r w:rsidR="006D16AD">
      <w:rPr>
        <w:noProof/>
      </w:rPr>
      <w:t>5</w:t>
    </w:r>
    <w:r>
      <w:rPr>
        <w:noProof/>
      </w:rPr>
      <w:fldChar w:fldCharType="end"/>
    </w:r>
  </w:p>
  <w:p w:rsidR="00A96C1C" w:rsidRDefault="00A96C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47989"/>
    <w:multiLevelType w:val="hybridMultilevel"/>
    <w:tmpl w:val="7EB8F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F6B4530"/>
    <w:multiLevelType w:val="hybridMultilevel"/>
    <w:tmpl w:val="AD2A9B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1B2C08"/>
    <w:multiLevelType w:val="hybridMultilevel"/>
    <w:tmpl w:val="F97827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31CE7BD9"/>
    <w:multiLevelType w:val="hybridMultilevel"/>
    <w:tmpl w:val="028E453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85E1D24"/>
    <w:multiLevelType w:val="multilevel"/>
    <w:tmpl w:val="42D8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AB3B8E"/>
    <w:multiLevelType w:val="hybridMultilevel"/>
    <w:tmpl w:val="CB76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06C0C6E"/>
    <w:multiLevelType w:val="hybridMultilevel"/>
    <w:tmpl w:val="35B83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135319C"/>
    <w:multiLevelType w:val="hybridMultilevel"/>
    <w:tmpl w:val="92A682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6280D4A"/>
    <w:multiLevelType w:val="hybridMultilevel"/>
    <w:tmpl w:val="E16A1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AB7677F"/>
    <w:multiLevelType w:val="hybridMultilevel"/>
    <w:tmpl w:val="672A228E"/>
    <w:lvl w:ilvl="0" w:tplc="2C80B504">
      <w:start w:val="1"/>
      <w:numFmt w:val="lowerLetter"/>
      <w:lvlText w:val="(%1)"/>
      <w:lvlJc w:val="left"/>
      <w:pPr>
        <w:ind w:left="765" w:hanging="360"/>
      </w:pPr>
      <w:rPr>
        <w:rFonts w:ascii="Times New Roman" w:eastAsia="Times New Roman" w:hAnsi="Times New Roman" w:cs="Times New Roman"/>
      </w:rPr>
    </w:lvl>
    <w:lvl w:ilvl="1" w:tplc="0C090019" w:tentative="1">
      <w:start w:val="1"/>
      <w:numFmt w:val="lowerLetter"/>
      <w:lvlText w:val="%2."/>
      <w:lvlJc w:val="left"/>
      <w:pPr>
        <w:ind w:left="1485" w:hanging="360"/>
      </w:pPr>
      <w:rPr>
        <w:rFonts w:cs="Times New Roman"/>
      </w:rPr>
    </w:lvl>
    <w:lvl w:ilvl="2" w:tplc="0C09001B" w:tentative="1">
      <w:start w:val="1"/>
      <w:numFmt w:val="lowerRoman"/>
      <w:lvlText w:val="%3."/>
      <w:lvlJc w:val="right"/>
      <w:pPr>
        <w:ind w:left="2205" w:hanging="180"/>
      </w:pPr>
      <w:rPr>
        <w:rFonts w:cs="Times New Roman"/>
      </w:rPr>
    </w:lvl>
    <w:lvl w:ilvl="3" w:tplc="0C09000F" w:tentative="1">
      <w:start w:val="1"/>
      <w:numFmt w:val="decimal"/>
      <w:lvlText w:val="%4."/>
      <w:lvlJc w:val="left"/>
      <w:pPr>
        <w:ind w:left="2925" w:hanging="360"/>
      </w:pPr>
      <w:rPr>
        <w:rFonts w:cs="Times New Roman"/>
      </w:rPr>
    </w:lvl>
    <w:lvl w:ilvl="4" w:tplc="0C090019" w:tentative="1">
      <w:start w:val="1"/>
      <w:numFmt w:val="lowerLetter"/>
      <w:lvlText w:val="%5."/>
      <w:lvlJc w:val="left"/>
      <w:pPr>
        <w:ind w:left="3645" w:hanging="360"/>
      </w:pPr>
      <w:rPr>
        <w:rFonts w:cs="Times New Roman"/>
      </w:rPr>
    </w:lvl>
    <w:lvl w:ilvl="5" w:tplc="0C09001B" w:tentative="1">
      <w:start w:val="1"/>
      <w:numFmt w:val="lowerRoman"/>
      <w:lvlText w:val="%6."/>
      <w:lvlJc w:val="right"/>
      <w:pPr>
        <w:ind w:left="4365" w:hanging="180"/>
      </w:pPr>
      <w:rPr>
        <w:rFonts w:cs="Times New Roman"/>
      </w:rPr>
    </w:lvl>
    <w:lvl w:ilvl="6" w:tplc="0C09000F" w:tentative="1">
      <w:start w:val="1"/>
      <w:numFmt w:val="decimal"/>
      <w:lvlText w:val="%7."/>
      <w:lvlJc w:val="left"/>
      <w:pPr>
        <w:ind w:left="5085" w:hanging="360"/>
      </w:pPr>
      <w:rPr>
        <w:rFonts w:cs="Times New Roman"/>
      </w:rPr>
    </w:lvl>
    <w:lvl w:ilvl="7" w:tplc="0C090019" w:tentative="1">
      <w:start w:val="1"/>
      <w:numFmt w:val="lowerLetter"/>
      <w:lvlText w:val="%8."/>
      <w:lvlJc w:val="left"/>
      <w:pPr>
        <w:ind w:left="5805" w:hanging="360"/>
      </w:pPr>
      <w:rPr>
        <w:rFonts w:cs="Times New Roman"/>
      </w:rPr>
    </w:lvl>
    <w:lvl w:ilvl="8" w:tplc="0C09001B" w:tentative="1">
      <w:start w:val="1"/>
      <w:numFmt w:val="lowerRoman"/>
      <w:lvlText w:val="%9."/>
      <w:lvlJc w:val="right"/>
      <w:pPr>
        <w:ind w:left="6525" w:hanging="180"/>
      </w:pPr>
      <w:rPr>
        <w:rFonts w:cs="Times New Roman"/>
      </w:rPr>
    </w:lvl>
  </w:abstractNum>
  <w:abstractNum w:abstractNumId="10">
    <w:nsid w:val="6B445B6E"/>
    <w:multiLevelType w:val="hybridMultilevel"/>
    <w:tmpl w:val="98A2029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0734AF8"/>
    <w:multiLevelType w:val="hybridMultilevel"/>
    <w:tmpl w:val="BA08687C"/>
    <w:lvl w:ilvl="0" w:tplc="0C090001">
      <w:start w:val="1"/>
      <w:numFmt w:val="bullet"/>
      <w:lvlText w:val=""/>
      <w:lvlJc w:val="left"/>
      <w:pPr>
        <w:ind w:left="765" w:hanging="360"/>
      </w:pPr>
      <w:rPr>
        <w:rFonts w:ascii="Symbol" w:hAnsi="Symbol" w:hint="default"/>
      </w:rPr>
    </w:lvl>
    <w:lvl w:ilvl="1" w:tplc="0C090019" w:tentative="1">
      <w:start w:val="1"/>
      <w:numFmt w:val="lowerLetter"/>
      <w:lvlText w:val="%2."/>
      <w:lvlJc w:val="left"/>
      <w:pPr>
        <w:ind w:left="1485" w:hanging="360"/>
      </w:pPr>
      <w:rPr>
        <w:rFonts w:cs="Times New Roman"/>
      </w:rPr>
    </w:lvl>
    <w:lvl w:ilvl="2" w:tplc="0C09001B" w:tentative="1">
      <w:start w:val="1"/>
      <w:numFmt w:val="lowerRoman"/>
      <w:lvlText w:val="%3."/>
      <w:lvlJc w:val="right"/>
      <w:pPr>
        <w:ind w:left="2205" w:hanging="180"/>
      </w:pPr>
      <w:rPr>
        <w:rFonts w:cs="Times New Roman"/>
      </w:rPr>
    </w:lvl>
    <w:lvl w:ilvl="3" w:tplc="0C09000F" w:tentative="1">
      <w:start w:val="1"/>
      <w:numFmt w:val="decimal"/>
      <w:lvlText w:val="%4."/>
      <w:lvlJc w:val="left"/>
      <w:pPr>
        <w:ind w:left="2925" w:hanging="360"/>
      </w:pPr>
      <w:rPr>
        <w:rFonts w:cs="Times New Roman"/>
      </w:rPr>
    </w:lvl>
    <w:lvl w:ilvl="4" w:tplc="0C090019" w:tentative="1">
      <w:start w:val="1"/>
      <w:numFmt w:val="lowerLetter"/>
      <w:lvlText w:val="%5."/>
      <w:lvlJc w:val="left"/>
      <w:pPr>
        <w:ind w:left="3645" w:hanging="360"/>
      </w:pPr>
      <w:rPr>
        <w:rFonts w:cs="Times New Roman"/>
      </w:rPr>
    </w:lvl>
    <w:lvl w:ilvl="5" w:tplc="0C09001B" w:tentative="1">
      <w:start w:val="1"/>
      <w:numFmt w:val="lowerRoman"/>
      <w:lvlText w:val="%6."/>
      <w:lvlJc w:val="right"/>
      <w:pPr>
        <w:ind w:left="4365" w:hanging="180"/>
      </w:pPr>
      <w:rPr>
        <w:rFonts w:cs="Times New Roman"/>
      </w:rPr>
    </w:lvl>
    <w:lvl w:ilvl="6" w:tplc="0C09000F" w:tentative="1">
      <w:start w:val="1"/>
      <w:numFmt w:val="decimal"/>
      <w:lvlText w:val="%7."/>
      <w:lvlJc w:val="left"/>
      <w:pPr>
        <w:ind w:left="5085" w:hanging="360"/>
      </w:pPr>
      <w:rPr>
        <w:rFonts w:cs="Times New Roman"/>
      </w:rPr>
    </w:lvl>
    <w:lvl w:ilvl="7" w:tplc="0C090019" w:tentative="1">
      <w:start w:val="1"/>
      <w:numFmt w:val="lowerLetter"/>
      <w:lvlText w:val="%8."/>
      <w:lvlJc w:val="left"/>
      <w:pPr>
        <w:ind w:left="5805" w:hanging="360"/>
      </w:pPr>
      <w:rPr>
        <w:rFonts w:cs="Times New Roman"/>
      </w:rPr>
    </w:lvl>
    <w:lvl w:ilvl="8" w:tplc="0C09001B" w:tentative="1">
      <w:start w:val="1"/>
      <w:numFmt w:val="lowerRoman"/>
      <w:lvlText w:val="%9."/>
      <w:lvlJc w:val="right"/>
      <w:pPr>
        <w:ind w:left="6525" w:hanging="180"/>
      </w:pPr>
      <w:rPr>
        <w:rFonts w:cs="Times New Roman"/>
      </w:rPr>
    </w:lvl>
  </w:abstractNum>
  <w:abstractNum w:abstractNumId="12">
    <w:nsid w:val="712C6ED5"/>
    <w:multiLevelType w:val="hybridMultilevel"/>
    <w:tmpl w:val="6994B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6"/>
  </w:num>
  <w:num w:numId="5">
    <w:abstractNumId w:val="11"/>
  </w:num>
  <w:num w:numId="6">
    <w:abstractNumId w:val="0"/>
  </w:num>
  <w:num w:numId="7">
    <w:abstractNumId w:val="1"/>
  </w:num>
  <w:num w:numId="8">
    <w:abstractNumId w:val="2"/>
  </w:num>
  <w:num w:numId="9">
    <w:abstractNumId w:val="5"/>
  </w:num>
  <w:num w:numId="10">
    <w:abstractNumId w:val="8"/>
  </w:num>
  <w:num w:numId="11">
    <w:abstractNumId w:val="1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A4"/>
    <w:rsid w:val="00001091"/>
    <w:rsid w:val="00006EED"/>
    <w:rsid w:val="0001421B"/>
    <w:rsid w:val="00016AB0"/>
    <w:rsid w:val="00020E96"/>
    <w:rsid w:val="00022A12"/>
    <w:rsid w:val="00025FF0"/>
    <w:rsid w:val="00027757"/>
    <w:rsid w:val="00030D81"/>
    <w:rsid w:val="00034254"/>
    <w:rsid w:val="00035E27"/>
    <w:rsid w:val="00041D0B"/>
    <w:rsid w:val="0004282E"/>
    <w:rsid w:val="00051CE8"/>
    <w:rsid w:val="00057527"/>
    <w:rsid w:val="00061854"/>
    <w:rsid w:val="00072DA1"/>
    <w:rsid w:val="000734F6"/>
    <w:rsid w:val="0007636B"/>
    <w:rsid w:val="00080088"/>
    <w:rsid w:val="00083309"/>
    <w:rsid w:val="00084325"/>
    <w:rsid w:val="0008436F"/>
    <w:rsid w:val="000854E9"/>
    <w:rsid w:val="00095AC7"/>
    <w:rsid w:val="00096F11"/>
    <w:rsid w:val="000A4B49"/>
    <w:rsid w:val="000A7148"/>
    <w:rsid w:val="000B1535"/>
    <w:rsid w:val="000B380F"/>
    <w:rsid w:val="000B3C18"/>
    <w:rsid w:val="000B5C93"/>
    <w:rsid w:val="000B75D3"/>
    <w:rsid w:val="000C6B8D"/>
    <w:rsid w:val="000D046B"/>
    <w:rsid w:val="000D5BFD"/>
    <w:rsid w:val="000E4581"/>
    <w:rsid w:val="00107BC7"/>
    <w:rsid w:val="001163EC"/>
    <w:rsid w:val="00117C9D"/>
    <w:rsid w:val="0012141E"/>
    <w:rsid w:val="00127D76"/>
    <w:rsid w:val="00153A0A"/>
    <w:rsid w:val="00154185"/>
    <w:rsid w:val="00156491"/>
    <w:rsid w:val="0016321A"/>
    <w:rsid w:val="00163597"/>
    <w:rsid w:val="001766E6"/>
    <w:rsid w:val="00184D0B"/>
    <w:rsid w:val="00185234"/>
    <w:rsid w:val="00194102"/>
    <w:rsid w:val="00196CD4"/>
    <w:rsid w:val="00197CC0"/>
    <w:rsid w:val="001A4B09"/>
    <w:rsid w:val="001B38E8"/>
    <w:rsid w:val="001C5822"/>
    <w:rsid w:val="001D2E82"/>
    <w:rsid w:val="001E5D95"/>
    <w:rsid w:val="001F39A3"/>
    <w:rsid w:val="00202085"/>
    <w:rsid w:val="00204B3E"/>
    <w:rsid w:val="00216ED0"/>
    <w:rsid w:val="002215C0"/>
    <w:rsid w:val="00221737"/>
    <w:rsid w:val="00227FD8"/>
    <w:rsid w:val="00230DE1"/>
    <w:rsid w:val="00235126"/>
    <w:rsid w:val="00241672"/>
    <w:rsid w:val="0024495C"/>
    <w:rsid w:val="00247FA8"/>
    <w:rsid w:val="00260FD5"/>
    <w:rsid w:val="00270C51"/>
    <w:rsid w:val="002747DD"/>
    <w:rsid w:val="0027681F"/>
    <w:rsid w:val="00280D0F"/>
    <w:rsid w:val="00283A2F"/>
    <w:rsid w:val="00295A1D"/>
    <w:rsid w:val="002A0D6C"/>
    <w:rsid w:val="002A351A"/>
    <w:rsid w:val="002C1A9B"/>
    <w:rsid w:val="002C2A34"/>
    <w:rsid w:val="002C4298"/>
    <w:rsid w:val="002C5C61"/>
    <w:rsid w:val="002D24BB"/>
    <w:rsid w:val="002D5938"/>
    <w:rsid w:val="002E0B8C"/>
    <w:rsid w:val="002E199E"/>
    <w:rsid w:val="002E568B"/>
    <w:rsid w:val="002F2512"/>
    <w:rsid w:val="002F3E9E"/>
    <w:rsid w:val="002F413F"/>
    <w:rsid w:val="00305F61"/>
    <w:rsid w:val="0031303D"/>
    <w:rsid w:val="00314CEC"/>
    <w:rsid w:val="00314ED3"/>
    <w:rsid w:val="0032089B"/>
    <w:rsid w:val="0032141A"/>
    <w:rsid w:val="0032168C"/>
    <w:rsid w:val="00322D3A"/>
    <w:rsid w:val="00323171"/>
    <w:rsid w:val="003261E6"/>
    <w:rsid w:val="00326F4A"/>
    <w:rsid w:val="0033433B"/>
    <w:rsid w:val="0033580D"/>
    <w:rsid w:val="00337CDA"/>
    <w:rsid w:val="003411ED"/>
    <w:rsid w:val="003662B3"/>
    <w:rsid w:val="00376B26"/>
    <w:rsid w:val="00380326"/>
    <w:rsid w:val="00381280"/>
    <w:rsid w:val="003856A4"/>
    <w:rsid w:val="0039169F"/>
    <w:rsid w:val="00392C09"/>
    <w:rsid w:val="003936E1"/>
    <w:rsid w:val="003A26DD"/>
    <w:rsid w:val="003A4BB8"/>
    <w:rsid w:val="003A5C6B"/>
    <w:rsid w:val="003B0699"/>
    <w:rsid w:val="003C3D95"/>
    <w:rsid w:val="003D3F2F"/>
    <w:rsid w:val="003E33C4"/>
    <w:rsid w:val="003F61B9"/>
    <w:rsid w:val="003F7635"/>
    <w:rsid w:val="0041758D"/>
    <w:rsid w:val="004214FB"/>
    <w:rsid w:val="0042269B"/>
    <w:rsid w:val="0042497B"/>
    <w:rsid w:val="00434D72"/>
    <w:rsid w:val="0044252B"/>
    <w:rsid w:val="00442C44"/>
    <w:rsid w:val="00451E1F"/>
    <w:rsid w:val="004545DC"/>
    <w:rsid w:val="00462276"/>
    <w:rsid w:val="00462C24"/>
    <w:rsid w:val="00470A7B"/>
    <w:rsid w:val="004728EB"/>
    <w:rsid w:val="0048068F"/>
    <w:rsid w:val="0048522A"/>
    <w:rsid w:val="004906E3"/>
    <w:rsid w:val="00491B8A"/>
    <w:rsid w:val="004947F7"/>
    <w:rsid w:val="004A2ED7"/>
    <w:rsid w:val="004B1A78"/>
    <w:rsid w:val="004B1EFD"/>
    <w:rsid w:val="004C03A4"/>
    <w:rsid w:val="004D2AEF"/>
    <w:rsid w:val="004E0A87"/>
    <w:rsid w:val="004E2513"/>
    <w:rsid w:val="004E4456"/>
    <w:rsid w:val="004E7D96"/>
    <w:rsid w:val="004F11D2"/>
    <w:rsid w:val="004F49DB"/>
    <w:rsid w:val="004F7A6C"/>
    <w:rsid w:val="00500F1D"/>
    <w:rsid w:val="00506C06"/>
    <w:rsid w:val="00507967"/>
    <w:rsid w:val="00512983"/>
    <w:rsid w:val="00515857"/>
    <w:rsid w:val="00517846"/>
    <w:rsid w:val="005309EA"/>
    <w:rsid w:val="005329D6"/>
    <w:rsid w:val="00542F8E"/>
    <w:rsid w:val="00565A39"/>
    <w:rsid w:val="00574D01"/>
    <w:rsid w:val="00575363"/>
    <w:rsid w:val="00575D61"/>
    <w:rsid w:val="00592F93"/>
    <w:rsid w:val="0059381E"/>
    <w:rsid w:val="005A0AF9"/>
    <w:rsid w:val="005A4FA2"/>
    <w:rsid w:val="005B72FD"/>
    <w:rsid w:val="005C1FA3"/>
    <w:rsid w:val="005C3A1D"/>
    <w:rsid w:val="005C56C2"/>
    <w:rsid w:val="005C68EB"/>
    <w:rsid w:val="005D14E1"/>
    <w:rsid w:val="005E7B97"/>
    <w:rsid w:val="005F305B"/>
    <w:rsid w:val="005F3B1E"/>
    <w:rsid w:val="00600CB8"/>
    <w:rsid w:val="00623AC5"/>
    <w:rsid w:val="00623B27"/>
    <w:rsid w:val="0062448D"/>
    <w:rsid w:val="00624609"/>
    <w:rsid w:val="00624716"/>
    <w:rsid w:val="006311D3"/>
    <w:rsid w:val="00634DF1"/>
    <w:rsid w:val="00641252"/>
    <w:rsid w:val="00642FD4"/>
    <w:rsid w:val="00643564"/>
    <w:rsid w:val="00645B7F"/>
    <w:rsid w:val="00646264"/>
    <w:rsid w:val="006510CB"/>
    <w:rsid w:val="00655A97"/>
    <w:rsid w:val="00664FF5"/>
    <w:rsid w:val="006668C3"/>
    <w:rsid w:val="00671C55"/>
    <w:rsid w:val="0067242A"/>
    <w:rsid w:val="006740D4"/>
    <w:rsid w:val="00675505"/>
    <w:rsid w:val="00680A6E"/>
    <w:rsid w:val="00682316"/>
    <w:rsid w:val="00683C0D"/>
    <w:rsid w:val="00684780"/>
    <w:rsid w:val="00686072"/>
    <w:rsid w:val="006A397D"/>
    <w:rsid w:val="006A57AE"/>
    <w:rsid w:val="006A7534"/>
    <w:rsid w:val="006B07BF"/>
    <w:rsid w:val="006C13C1"/>
    <w:rsid w:val="006D16AD"/>
    <w:rsid w:val="006D22C0"/>
    <w:rsid w:val="006D2BD7"/>
    <w:rsid w:val="006D75A9"/>
    <w:rsid w:val="006E0AA8"/>
    <w:rsid w:val="006E2878"/>
    <w:rsid w:val="006E4C3D"/>
    <w:rsid w:val="006F575B"/>
    <w:rsid w:val="00704057"/>
    <w:rsid w:val="00713DD8"/>
    <w:rsid w:val="007140A6"/>
    <w:rsid w:val="007146E9"/>
    <w:rsid w:val="00714D86"/>
    <w:rsid w:val="0072242C"/>
    <w:rsid w:val="0072588E"/>
    <w:rsid w:val="00730734"/>
    <w:rsid w:val="00733108"/>
    <w:rsid w:val="00737DF8"/>
    <w:rsid w:val="00743A70"/>
    <w:rsid w:val="00747579"/>
    <w:rsid w:val="00752098"/>
    <w:rsid w:val="00763436"/>
    <w:rsid w:val="0077263E"/>
    <w:rsid w:val="007761E4"/>
    <w:rsid w:val="00780FCF"/>
    <w:rsid w:val="007837EB"/>
    <w:rsid w:val="007940A5"/>
    <w:rsid w:val="00795062"/>
    <w:rsid w:val="00796DB0"/>
    <w:rsid w:val="007A1A21"/>
    <w:rsid w:val="007A2D51"/>
    <w:rsid w:val="007A7623"/>
    <w:rsid w:val="007B086B"/>
    <w:rsid w:val="007B0D40"/>
    <w:rsid w:val="007B6541"/>
    <w:rsid w:val="007B6FE8"/>
    <w:rsid w:val="007C08F3"/>
    <w:rsid w:val="007C0E54"/>
    <w:rsid w:val="007C210C"/>
    <w:rsid w:val="007C3174"/>
    <w:rsid w:val="007F51A0"/>
    <w:rsid w:val="00800C44"/>
    <w:rsid w:val="00802B83"/>
    <w:rsid w:val="00810717"/>
    <w:rsid w:val="008134B6"/>
    <w:rsid w:val="00831EF9"/>
    <w:rsid w:val="00842912"/>
    <w:rsid w:val="0084641C"/>
    <w:rsid w:val="0085040E"/>
    <w:rsid w:val="00850F73"/>
    <w:rsid w:val="00852AF3"/>
    <w:rsid w:val="008531F9"/>
    <w:rsid w:val="008842F1"/>
    <w:rsid w:val="0088720A"/>
    <w:rsid w:val="0089192E"/>
    <w:rsid w:val="00891E2E"/>
    <w:rsid w:val="008A0AD6"/>
    <w:rsid w:val="008A0FDA"/>
    <w:rsid w:val="008A4B48"/>
    <w:rsid w:val="008A7DFC"/>
    <w:rsid w:val="008B1642"/>
    <w:rsid w:val="008B32B7"/>
    <w:rsid w:val="008C7363"/>
    <w:rsid w:val="008D2BE1"/>
    <w:rsid w:val="008D78BC"/>
    <w:rsid w:val="008E30B6"/>
    <w:rsid w:val="008E7167"/>
    <w:rsid w:val="00900C44"/>
    <w:rsid w:val="00901A68"/>
    <w:rsid w:val="0090593D"/>
    <w:rsid w:val="009067A7"/>
    <w:rsid w:val="009161C8"/>
    <w:rsid w:val="00920D23"/>
    <w:rsid w:val="00922B98"/>
    <w:rsid w:val="00924968"/>
    <w:rsid w:val="0093638A"/>
    <w:rsid w:val="00941170"/>
    <w:rsid w:val="00945A69"/>
    <w:rsid w:val="00951650"/>
    <w:rsid w:val="00954163"/>
    <w:rsid w:val="00955B3E"/>
    <w:rsid w:val="00956B5A"/>
    <w:rsid w:val="00961C3E"/>
    <w:rsid w:val="00961F07"/>
    <w:rsid w:val="00963BE5"/>
    <w:rsid w:val="00965C19"/>
    <w:rsid w:val="00967DE7"/>
    <w:rsid w:val="00980228"/>
    <w:rsid w:val="00996541"/>
    <w:rsid w:val="009B3848"/>
    <w:rsid w:val="009B70C0"/>
    <w:rsid w:val="009C010D"/>
    <w:rsid w:val="009C3E35"/>
    <w:rsid w:val="009C416B"/>
    <w:rsid w:val="009D0F95"/>
    <w:rsid w:val="009E0F1E"/>
    <w:rsid w:val="009F0F57"/>
    <w:rsid w:val="009F26C4"/>
    <w:rsid w:val="00A148E9"/>
    <w:rsid w:val="00A2096C"/>
    <w:rsid w:val="00A2299B"/>
    <w:rsid w:val="00A22CDC"/>
    <w:rsid w:val="00A251B0"/>
    <w:rsid w:val="00A34D1C"/>
    <w:rsid w:val="00A354CA"/>
    <w:rsid w:val="00A47D9B"/>
    <w:rsid w:val="00A7143D"/>
    <w:rsid w:val="00A75822"/>
    <w:rsid w:val="00A81397"/>
    <w:rsid w:val="00A83D33"/>
    <w:rsid w:val="00A85600"/>
    <w:rsid w:val="00A8610F"/>
    <w:rsid w:val="00A8653F"/>
    <w:rsid w:val="00A91AE5"/>
    <w:rsid w:val="00A93C4E"/>
    <w:rsid w:val="00A954E4"/>
    <w:rsid w:val="00A96C1C"/>
    <w:rsid w:val="00AA3401"/>
    <w:rsid w:val="00AA4029"/>
    <w:rsid w:val="00AB195A"/>
    <w:rsid w:val="00AB56AD"/>
    <w:rsid w:val="00AC11C8"/>
    <w:rsid w:val="00AC42A1"/>
    <w:rsid w:val="00AD14E2"/>
    <w:rsid w:val="00AD390C"/>
    <w:rsid w:val="00AD4F3B"/>
    <w:rsid w:val="00AD7222"/>
    <w:rsid w:val="00AE5795"/>
    <w:rsid w:val="00AF14FF"/>
    <w:rsid w:val="00B0417C"/>
    <w:rsid w:val="00B12B73"/>
    <w:rsid w:val="00B13045"/>
    <w:rsid w:val="00B13E8E"/>
    <w:rsid w:val="00B15BAC"/>
    <w:rsid w:val="00B163A7"/>
    <w:rsid w:val="00B24498"/>
    <w:rsid w:val="00B25BA1"/>
    <w:rsid w:val="00B25E6A"/>
    <w:rsid w:val="00B34411"/>
    <w:rsid w:val="00B42634"/>
    <w:rsid w:val="00B43D28"/>
    <w:rsid w:val="00B446E4"/>
    <w:rsid w:val="00B4622C"/>
    <w:rsid w:val="00B46646"/>
    <w:rsid w:val="00B47CC5"/>
    <w:rsid w:val="00B50B81"/>
    <w:rsid w:val="00B50EB2"/>
    <w:rsid w:val="00B56BA6"/>
    <w:rsid w:val="00B70663"/>
    <w:rsid w:val="00B77AB9"/>
    <w:rsid w:val="00B82E41"/>
    <w:rsid w:val="00B878D3"/>
    <w:rsid w:val="00B93A28"/>
    <w:rsid w:val="00B97F7D"/>
    <w:rsid w:val="00BA08DD"/>
    <w:rsid w:val="00BA167E"/>
    <w:rsid w:val="00BA1715"/>
    <w:rsid w:val="00BA306B"/>
    <w:rsid w:val="00BA6970"/>
    <w:rsid w:val="00BB7B51"/>
    <w:rsid w:val="00BC3C90"/>
    <w:rsid w:val="00BC499A"/>
    <w:rsid w:val="00BC68D2"/>
    <w:rsid w:val="00BE4ABA"/>
    <w:rsid w:val="00BF2BFE"/>
    <w:rsid w:val="00BF41B6"/>
    <w:rsid w:val="00BF6DCC"/>
    <w:rsid w:val="00BF6E56"/>
    <w:rsid w:val="00C001FC"/>
    <w:rsid w:val="00C168DB"/>
    <w:rsid w:val="00C20D4C"/>
    <w:rsid w:val="00C3139C"/>
    <w:rsid w:val="00C326E4"/>
    <w:rsid w:val="00C44B5B"/>
    <w:rsid w:val="00C47D97"/>
    <w:rsid w:val="00C513B4"/>
    <w:rsid w:val="00C57FA9"/>
    <w:rsid w:val="00C61C10"/>
    <w:rsid w:val="00C67319"/>
    <w:rsid w:val="00C6778C"/>
    <w:rsid w:val="00C72ED0"/>
    <w:rsid w:val="00C73432"/>
    <w:rsid w:val="00C75178"/>
    <w:rsid w:val="00C80C87"/>
    <w:rsid w:val="00C81E54"/>
    <w:rsid w:val="00C82782"/>
    <w:rsid w:val="00C83867"/>
    <w:rsid w:val="00C863BC"/>
    <w:rsid w:val="00C873FA"/>
    <w:rsid w:val="00C90901"/>
    <w:rsid w:val="00C93586"/>
    <w:rsid w:val="00C96E92"/>
    <w:rsid w:val="00C97781"/>
    <w:rsid w:val="00CA1B88"/>
    <w:rsid w:val="00CA2337"/>
    <w:rsid w:val="00CA5993"/>
    <w:rsid w:val="00CA63E5"/>
    <w:rsid w:val="00CA7D07"/>
    <w:rsid w:val="00CB7620"/>
    <w:rsid w:val="00CC7B5B"/>
    <w:rsid w:val="00CD6FDC"/>
    <w:rsid w:val="00CD7CD9"/>
    <w:rsid w:val="00CF71DD"/>
    <w:rsid w:val="00D15347"/>
    <w:rsid w:val="00D17848"/>
    <w:rsid w:val="00D2672A"/>
    <w:rsid w:val="00D27D4C"/>
    <w:rsid w:val="00D30DEE"/>
    <w:rsid w:val="00D32EA9"/>
    <w:rsid w:val="00D36BB2"/>
    <w:rsid w:val="00D4024D"/>
    <w:rsid w:val="00D408E3"/>
    <w:rsid w:val="00D443FC"/>
    <w:rsid w:val="00D4730B"/>
    <w:rsid w:val="00D54EDE"/>
    <w:rsid w:val="00D6356B"/>
    <w:rsid w:val="00D66A30"/>
    <w:rsid w:val="00D74719"/>
    <w:rsid w:val="00D84927"/>
    <w:rsid w:val="00D86EC1"/>
    <w:rsid w:val="00D9238E"/>
    <w:rsid w:val="00DA2792"/>
    <w:rsid w:val="00DA7E05"/>
    <w:rsid w:val="00DB4931"/>
    <w:rsid w:val="00DB6F99"/>
    <w:rsid w:val="00DC53E7"/>
    <w:rsid w:val="00DC7474"/>
    <w:rsid w:val="00DD0F6E"/>
    <w:rsid w:val="00DD5EB3"/>
    <w:rsid w:val="00DE1949"/>
    <w:rsid w:val="00DE2D23"/>
    <w:rsid w:val="00E2429C"/>
    <w:rsid w:val="00E2509F"/>
    <w:rsid w:val="00E35A94"/>
    <w:rsid w:val="00E36BFE"/>
    <w:rsid w:val="00E3700D"/>
    <w:rsid w:val="00E409DC"/>
    <w:rsid w:val="00E415A9"/>
    <w:rsid w:val="00E41F02"/>
    <w:rsid w:val="00E6022A"/>
    <w:rsid w:val="00E60488"/>
    <w:rsid w:val="00E6405D"/>
    <w:rsid w:val="00E81EAD"/>
    <w:rsid w:val="00E82F11"/>
    <w:rsid w:val="00E85D3B"/>
    <w:rsid w:val="00E861CC"/>
    <w:rsid w:val="00E90EC6"/>
    <w:rsid w:val="00E93A0F"/>
    <w:rsid w:val="00EA1D03"/>
    <w:rsid w:val="00EA3BFF"/>
    <w:rsid w:val="00EB2323"/>
    <w:rsid w:val="00EB25DE"/>
    <w:rsid w:val="00EB441B"/>
    <w:rsid w:val="00EB45AA"/>
    <w:rsid w:val="00EB66C8"/>
    <w:rsid w:val="00EB6F85"/>
    <w:rsid w:val="00EC0460"/>
    <w:rsid w:val="00EC5E3C"/>
    <w:rsid w:val="00EC6980"/>
    <w:rsid w:val="00EC6BC2"/>
    <w:rsid w:val="00ED19AA"/>
    <w:rsid w:val="00ED3AE4"/>
    <w:rsid w:val="00EE7CFE"/>
    <w:rsid w:val="00EF1F76"/>
    <w:rsid w:val="00EF6410"/>
    <w:rsid w:val="00F02405"/>
    <w:rsid w:val="00F14E91"/>
    <w:rsid w:val="00F209CE"/>
    <w:rsid w:val="00F235B3"/>
    <w:rsid w:val="00F25B4C"/>
    <w:rsid w:val="00F33B23"/>
    <w:rsid w:val="00F35DC6"/>
    <w:rsid w:val="00F42A9C"/>
    <w:rsid w:val="00F52483"/>
    <w:rsid w:val="00F52CBD"/>
    <w:rsid w:val="00F53C1D"/>
    <w:rsid w:val="00F57A4A"/>
    <w:rsid w:val="00F61134"/>
    <w:rsid w:val="00F61524"/>
    <w:rsid w:val="00F650A3"/>
    <w:rsid w:val="00F66E67"/>
    <w:rsid w:val="00F67D92"/>
    <w:rsid w:val="00F903DD"/>
    <w:rsid w:val="00F920FB"/>
    <w:rsid w:val="00F93BB8"/>
    <w:rsid w:val="00FA422A"/>
    <w:rsid w:val="00FA6381"/>
    <w:rsid w:val="00FA7030"/>
    <w:rsid w:val="00FB1315"/>
    <w:rsid w:val="00FB7657"/>
    <w:rsid w:val="00FD263F"/>
    <w:rsid w:val="00FD466C"/>
    <w:rsid w:val="00FD7B79"/>
    <w:rsid w:val="00FE13A9"/>
    <w:rsid w:val="00FF1F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A4"/>
    <w:rPr>
      <w:rFonts w:ascii="Times New Roman" w:eastAsia="Times New Roman" w:hAnsi="Times New Roman"/>
      <w:sz w:val="24"/>
      <w:szCs w:val="20"/>
      <w:lang w:val="en-AU" w:eastAsia="en-AU"/>
    </w:rPr>
  </w:style>
  <w:style w:type="paragraph" w:styleId="Heading1">
    <w:name w:val="heading 1"/>
    <w:basedOn w:val="Normal"/>
    <w:next w:val="Normal"/>
    <w:link w:val="Heading1Char"/>
    <w:uiPriority w:val="99"/>
    <w:qFormat/>
    <w:rsid w:val="003856A4"/>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6A4"/>
    <w:rPr>
      <w:rFonts w:ascii="Times New Roman" w:hAnsi="Times New Roman" w:cs="Times New Roman"/>
      <w:b/>
      <w:sz w:val="20"/>
      <w:szCs w:val="20"/>
      <w:lang w:eastAsia="en-AU"/>
    </w:rPr>
  </w:style>
  <w:style w:type="paragraph" w:styleId="Title">
    <w:name w:val="Title"/>
    <w:basedOn w:val="Normal"/>
    <w:link w:val="TitleChar"/>
    <w:uiPriority w:val="99"/>
    <w:qFormat/>
    <w:rsid w:val="003856A4"/>
    <w:pPr>
      <w:jc w:val="center"/>
    </w:pPr>
    <w:rPr>
      <w:b/>
      <w:u w:val="single"/>
    </w:rPr>
  </w:style>
  <w:style w:type="character" w:customStyle="1" w:styleId="TitleChar">
    <w:name w:val="Title Char"/>
    <w:basedOn w:val="DefaultParagraphFont"/>
    <w:link w:val="Title"/>
    <w:uiPriority w:val="99"/>
    <w:locked/>
    <w:rsid w:val="003856A4"/>
    <w:rPr>
      <w:rFonts w:ascii="Times New Roman" w:hAnsi="Times New Roman" w:cs="Times New Roman"/>
      <w:b/>
      <w:sz w:val="20"/>
      <w:szCs w:val="20"/>
      <w:u w:val="single"/>
      <w:lang w:eastAsia="en-AU"/>
    </w:rPr>
  </w:style>
  <w:style w:type="character" w:styleId="CommentReference">
    <w:name w:val="annotation reference"/>
    <w:basedOn w:val="DefaultParagraphFont"/>
    <w:uiPriority w:val="99"/>
    <w:semiHidden/>
    <w:rsid w:val="003856A4"/>
    <w:rPr>
      <w:rFonts w:cs="Times New Roman"/>
      <w:sz w:val="16"/>
    </w:rPr>
  </w:style>
  <w:style w:type="paragraph" w:styleId="CommentText">
    <w:name w:val="annotation text"/>
    <w:basedOn w:val="Normal"/>
    <w:link w:val="CommentTextChar"/>
    <w:uiPriority w:val="99"/>
    <w:semiHidden/>
    <w:rsid w:val="003856A4"/>
    <w:rPr>
      <w:sz w:val="20"/>
    </w:rPr>
  </w:style>
  <w:style w:type="character" w:customStyle="1" w:styleId="CommentTextChar">
    <w:name w:val="Comment Text Char"/>
    <w:basedOn w:val="DefaultParagraphFont"/>
    <w:link w:val="CommentText"/>
    <w:uiPriority w:val="99"/>
    <w:semiHidden/>
    <w:locked/>
    <w:rsid w:val="003856A4"/>
    <w:rPr>
      <w:rFonts w:ascii="Times New Roman" w:hAnsi="Times New Roman" w:cs="Times New Roman"/>
      <w:sz w:val="20"/>
      <w:szCs w:val="20"/>
      <w:lang w:eastAsia="en-AU"/>
    </w:rPr>
  </w:style>
  <w:style w:type="paragraph" w:styleId="BodyText2">
    <w:name w:val="Body Text 2"/>
    <w:basedOn w:val="Normal"/>
    <w:link w:val="BodyText2Char"/>
    <w:uiPriority w:val="99"/>
    <w:rsid w:val="003856A4"/>
    <w:rPr>
      <w:color w:val="0000FF"/>
    </w:rPr>
  </w:style>
  <w:style w:type="character" w:customStyle="1" w:styleId="BodyText2Char">
    <w:name w:val="Body Text 2 Char"/>
    <w:basedOn w:val="DefaultParagraphFont"/>
    <w:link w:val="BodyText2"/>
    <w:uiPriority w:val="99"/>
    <w:locked/>
    <w:rsid w:val="003856A4"/>
    <w:rPr>
      <w:rFonts w:ascii="Times New Roman" w:hAnsi="Times New Roman" w:cs="Times New Roman"/>
      <w:color w:val="0000FF"/>
      <w:sz w:val="20"/>
      <w:szCs w:val="20"/>
      <w:lang w:eastAsia="en-AU"/>
    </w:rPr>
  </w:style>
  <w:style w:type="paragraph" w:styleId="BalloonText">
    <w:name w:val="Balloon Text"/>
    <w:basedOn w:val="Normal"/>
    <w:link w:val="BalloonTextChar"/>
    <w:uiPriority w:val="99"/>
    <w:semiHidden/>
    <w:rsid w:val="00385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6A4"/>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2F3E9E"/>
    <w:rPr>
      <w:b/>
      <w:bCs/>
    </w:rPr>
  </w:style>
  <w:style w:type="character" w:customStyle="1" w:styleId="CommentSubjectChar">
    <w:name w:val="Comment Subject Char"/>
    <w:basedOn w:val="CommentTextChar"/>
    <w:link w:val="CommentSubject"/>
    <w:uiPriority w:val="99"/>
    <w:semiHidden/>
    <w:locked/>
    <w:rsid w:val="002F3E9E"/>
    <w:rPr>
      <w:rFonts w:ascii="Times New Roman" w:hAnsi="Times New Roman" w:cs="Times New Roman"/>
      <w:b/>
      <w:bCs/>
      <w:sz w:val="20"/>
      <w:szCs w:val="20"/>
      <w:lang w:eastAsia="en-AU"/>
    </w:rPr>
  </w:style>
  <w:style w:type="paragraph" w:styleId="Header">
    <w:name w:val="header"/>
    <w:basedOn w:val="Normal"/>
    <w:link w:val="HeaderChar"/>
    <w:uiPriority w:val="99"/>
    <w:rsid w:val="00A2299B"/>
    <w:pPr>
      <w:tabs>
        <w:tab w:val="center" w:pos="4513"/>
        <w:tab w:val="right" w:pos="9026"/>
      </w:tabs>
    </w:pPr>
  </w:style>
  <w:style w:type="character" w:customStyle="1" w:styleId="HeaderChar">
    <w:name w:val="Header Char"/>
    <w:basedOn w:val="DefaultParagraphFont"/>
    <w:link w:val="Header"/>
    <w:uiPriority w:val="99"/>
    <w:locked/>
    <w:rsid w:val="00A2299B"/>
    <w:rPr>
      <w:rFonts w:ascii="Times New Roman" w:hAnsi="Times New Roman" w:cs="Times New Roman"/>
      <w:sz w:val="20"/>
      <w:szCs w:val="20"/>
      <w:lang w:eastAsia="en-AU"/>
    </w:rPr>
  </w:style>
  <w:style w:type="paragraph" w:styleId="Footer">
    <w:name w:val="footer"/>
    <w:basedOn w:val="Normal"/>
    <w:link w:val="FooterChar"/>
    <w:uiPriority w:val="99"/>
    <w:semiHidden/>
    <w:rsid w:val="00A2299B"/>
    <w:pPr>
      <w:tabs>
        <w:tab w:val="center" w:pos="4513"/>
        <w:tab w:val="right" w:pos="9026"/>
      </w:tabs>
    </w:pPr>
  </w:style>
  <w:style w:type="character" w:customStyle="1" w:styleId="FooterChar">
    <w:name w:val="Footer Char"/>
    <w:basedOn w:val="DefaultParagraphFont"/>
    <w:link w:val="Footer"/>
    <w:uiPriority w:val="99"/>
    <w:semiHidden/>
    <w:locked/>
    <w:rsid w:val="00A2299B"/>
    <w:rPr>
      <w:rFonts w:ascii="Times New Roman" w:hAnsi="Times New Roman" w:cs="Times New Roman"/>
      <w:sz w:val="20"/>
      <w:szCs w:val="20"/>
      <w:lang w:eastAsia="en-AU"/>
    </w:rPr>
  </w:style>
  <w:style w:type="character" w:styleId="Hyperlink">
    <w:name w:val="Hyperlink"/>
    <w:basedOn w:val="DefaultParagraphFont"/>
    <w:uiPriority w:val="99"/>
    <w:semiHidden/>
    <w:rsid w:val="008A0AD6"/>
    <w:rPr>
      <w:rFonts w:cs="Times New Roman"/>
      <w:color w:val="0000FF"/>
      <w:u w:val="single"/>
    </w:rPr>
  </w:style>
  <w:style w:type="paragraph" w:styleId="ListParagraph">
    <w:name w:val="List Paragraph"/>
    <w:basedOn w:val="Normal"/>
    <w:uiPriority w:val="34"/>
    <w:qFormat/>
    <w:rsid w:val="00EF1F76"/>
    <w:pPr>
      <w:ind w:left="720"/>
      <w:contextualSpacing/>
    </w:pPr>
  </w:style>
  <w:style w:type="paragraph" w:styleId="NormalWeb">
    <w:name w:val="Normal (Web)"/>
    <w:basedOn w:val="Normal"/>
    <w:uiPriority w:val="99"/>
    <w:semiHidden/>
    <w:unhideWhenUsed/>
    <w:rsid w:val="0042497B"/>
    <w:pPr>
      <w:spacing w:before="240" w:after="240"/>
    </w:pPr>
    <w:rPr>
      <w:szCs w:val="24"/>
    </w:rPr>
  </w:style>
  <w:style w:type="character" w:styleId="FollowedHyperlink">
    <w:name w:val="FollowedHyperlink"/>
    <w:basedOn w:val="DefaultParagraphFont"/>
    <w:uiPriority w:val="99"/>
    <w:semiHidden/>
    <w:unhideWhenUsed/>
    <w:rsid w:val="00680A6E"/>
    <w:rPr>
      <w:color w:val="800080" w:themeColor="followedHyperlink"/>
      <w:u w:val="single"/>
    </w:rPr>
  </w:style>
  <w:style w:type="paragraph" w:customStyle="1" w:styleId="paragraph">
    <w:name w:val="paragraph"/>
    <w:aliases w:val="a"/>
    <w:basedOn w:val="Normal"/>
    <w:rsid w:val="00B56BA6"/>
    <w:pPr>
      <w:tabs>
        <w:tab w:val="right" w:pos="1531"/>
      </w:tabs>
      <w:spacing w:before="40"/>
      <w:ind w:left="1644" w:hanging="1644"/>
    </w:pPr>
    <w:rPr>
      <w:sz w:val="22"/>
    </w:rPr>
  </w:style>
  <w:style w:type="paragraph" w:styleId="Revision">
    <w:name w:val="Revision"/>
    <w:hidden/>
    <w:uiPriority w:val="99"/>
    <w:semiHidden/>
    <w:rsid w:val="00DA2792"/>
    <w:rPr>
      <w:rFonts w:ascii="Times New Roman" w:eastAsia="Times New Roman" w:hAnsi="Times New Roman"/>
      <w:sz w:val="24"/>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A4"/>
    <w:rPr>
      <w:rFonts w:ascii="Times New Roman" w:eastAsia="Times New Roman" w:hAnsi="Times New Roman"/>
      <w:sz w:val="24"/>
      <w:szCs w:val="20"/>
      <w:lang w:val="en-AU" w:eastAsia="en-AU"/>
    </w:rPr>
  </w:style>
  <w:style w:type="paragraph" w:styleId="Heading1">
    <w:name w:val="heading 1"/>
    <w:basedOn w:val="Normal"/>
    <w:next w:val="Normal"/>
    <w:link w:val="Heading1Char"/>
    <w:uiPriority w:val="99"/>
    <w:qFormat/>
    <w:rsid w:val="003856A4"/>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6A4"/>
    <w:rPr>
      <w:rFonts w:ascii="Times New Roman" w:hAnsi="Times New Roman" w:cs="Times New Roman"/>
      <w:b/>
      <w:sz w:val="20"/>
      <w:szCs w:val="20"/>
      <w:lang w:eastAsia="en-AU"/>
    </w:rPr>
  </w:style>
  <w:style w:type="paragraph" w:styleId="Title">
    <w:name w:val="Title"/>
    <w:basedOn w:val="Normal"/>
    <w:link w:val="TitleChar"/>
    <w:uiPriority w:val="99"/>
    <w:qFormat/>
    <w:rsid w:val="003856A4"/>
    <w:pPr>
      <w:jc w:val="center"/>
    </w:pPr>
    <w:rPr>
      <w:b/>
      <w:u w:val="single"/>
    </w:rPr>
  </w:style>
  <w:style w:type="character" w:customStyle="1" w:styleId="TitleChar">
    <w:name w:val="Title Char"/>
    <w:basedOn w:val="DefaultParagraphFont"/>
    <w:link w:val="Title"/>
    <w:uiPriority w:val="99"/>
    <w:locked/>
    <w:rsid w:val="003856A4"/>
    <w:rPr>
      <w:rFonts w:ascii="Times New Roman" w:hAnsi="Times New Roman" w:cs="Times New Roman"/>
      <w:b/>
      <w:sz w:val="20"/>
      <w:szCs w:val="20"/>
      <w:u w:val="single"/>
      <w:lang w:eastAsia="en-AU"/>
    </w:rPr>
  </w:style>
  <w:style w:type="character" w:styleId="CommentReference">
    <w:name w:val="annotation reference"/>
    <w:basedOn w:val="DefaultParagraphFont"/>
    <w:uiPriority w:val="99"/>
    <w:semiHidden/>
    <w:rsid w:val="003856A4"/>
    <w:rPr>
      <w:rFonts w:cs="Times New Roman"/>
      <w:sz w:val="16"/>
    </w:rPr>
  </w:style>
  <w:style w:type="paragraph" w:styleId="CommentText">
    <w:name w:val="annotation text"/>
    <w:basedOn w:val="Normal"/>
    <w:link w:val="CommentTextChar"/>
    <w:uiPriority w:val="99"/>
    <w:semiHidden/>
    <w:rsid w:val="003856A4"/>
    <w:rPr>
      <w:sz w:val="20"/>
    </w:rPr>
  </w:style>
  <w:style w:type="character" w:customStyle="1" w:styleId="CommentTextChar">
    <w:name w:val="Comment Text Char"/>
    <w:basedOn w:val="DefaultParagraphFont"/>
    <w:link w:val="CommentText"/>
    <w:uiPriority w:val="99"/>
    <w:semiHidden/>
    <w:locked/>
    <w:rsid w:val="003856A4"/>
    <w:rPr>
      <w:rFonts w:ascii="Times New Roman" w:hAnsi="Times New Roman" w:cs="Times New Roman"/>
      <w:sz w:val="20"/>
      <w:szCs w:val="20"/>
      <w:lang w:eastAsia="en-AU"/>
    </w:rPr>
  </w:style>
  <w:style w:type="paragraph" w:styleId="BodyText2">
    <w:name w:val="Body Text 2"/>
    <w:basedOn w:val="Normal"/>
    <w:link w:val="BodyText2Char"/>
    <w:uiPriority w:val="99"/>
    <w:rsid w:val="003856A4"/>
    <w:rPr>
      <w:color w:val="0000FF"/>
    </w:rPr>
  </w:style>
  <w:style w:type="character" w:customStyle="1" w:styleId="BodyText2Char">
    <w:name w:val="Body Text 2 Char"/>
    <w:basedOn w:val="DefaultParagraphFont"/>
    <w:link w:val="BodyText2"/>
    <w:uiPriority w:val="99"/>
    <w:locked/>
    <w:rsid w:val="003856A4"/>
    <w:rPr>
      <w:rFonts w:ascii="Times New Roman" w:hAnsi="Times New Roman" w:cs="Times New Roman"/>
      <w:color w:val="0000FF"/>
      <w:sz w:val="20"/>
      <w:szCs w:val="20"/>
      <w:lang w:eastAsia="en-AU"/>
    </w:rPr>
  </w:style>
  <w:style w:type="paragraph" w:styleId="BalloonText">
    <w:name w:val="Balloon Text"/>
    <w:basedOn w:val="Normal"/>
    <w:link w:val="BalloonTextChar"/>
    <w:uiPriority w:val="99"/>
    <w:semiHidden/>
    <w:rsid w:val="00385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6A4"/>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2F3E9E"/>
    <w:rPr>
      <w:b/>
      <w:bCs/>
    </w:rPr>
  </w:style>
  <w:style w:type="character" w:customStyle="1" w:styleId="CommentSubjectChar">
    <w:name w:val="Comment Subject Char"/>
    <w:basedOn w:val="CommentTextChar"/>
    <w:link w:val="CommentSubject"/>
    <w:uiPriority w:val="99"/>
    <w:semiHidden/>
    <w:locked/>
    <w:rsid w:val="002F3E9E"/>
    <w:rPr>
      <w:rFonts w:ascii="Times New Roman" w:hAnsi="Times New Roman" w:cs="Times New Roman"/>
      <w:b/>
      <w:bCs/>
      <w:sz w:val="20"/>
      <w:szCs w:val="20"/>
      <w:lang w:eastAsia="en-AU"/>
    </w:rPr>
  </w:style>
  <w:style w:type="paragraph" w:styleId="Header">
    <w:name w:val="header"/>
    <w:basedOn w:val="Normal"/>
    <w:link w:val="HeaderChar"/>
    <w:uiPriority w:val="99"/>
    <w:rsid w:val="00A2299B"/>
    <w:pPr>
      <w:tabs>
        <w:tab w:val="center" w:pos="4513"/>
        <w:tab w:val="right" w:pos="9026"/>
      </w:tabs>
    </w:pPr>
  </w:style>
  <w:style w:type="character" w:customStyle="1" w:styleId="HeaderChar">
    <w:name w:val="Header Char"/>
    <w:basedOn w:val="DefaultParagraphFont"/>
    <w:link w:val="Header"/>
    <w:uiPriority w:val="99"/>
    <w:locked/>
    <w:rsid w:val="00A2299B"/>
    <w:rPr>
      <w:rFonts w:ascii="Times New Roman" w:hAnsi="Times New Roman" w:cs="Times New Roman"/>
      <w:sz w:val="20"/>
      <w:szCs w:val="20"/>
      <w:lang w:eastAsia="en-AU"/>
    </w:rPr>
  </w:style>
  <w:style w:type="paragraph" w:styleId="Footer">
    <w:name w:val="footer"/>
    <w:basedOn w:val="Normal"/>
    <w:link w:val="FooterChar"/>
    <w:uiPriority w:val="99"/>
    <w:semiHidden/>
    <w:rsid w:val="00A2299B"/>
    <w:pPr>
      <w:tabs>
        <w:tab w:val="center" w:pos="4513"/>
        <w:tab w:val="right" w:pos="9026"/>
      </w:tabs>
    </w:pPr>
  </w:style>
  <w:style w:type="character" w:customStyle="1" w:styleId="FooterChar">
    <w:name w:val="Footer Char"/>
    <w:basedOn w:val="DefaultParagraphFont"/>
    <w:link w:val="Footer"/>
    <w:uiPriority w:val="99"/>
    <w:semiHidden/>
    <w:locked/>
    <w:rsid w:val="00A2299B"/>
    <w:rPr>
      <w:rFonts w:ascii="Times New Roman" w:hAnsi="Times New Roman" w:cs="Times New Roman"/>
      <w:sz w:val="20"/>
      <w:szCs w:val="20"/>
      <w:lang w:eastAsia="en-AU"/>
    </w:rPr>
  </w:style>
  <w:style w:type="character" w:styleId="Hyperlink">
    <w:name w:val="Hyperlink"/>
    <w:basedOn w:val="DefaultParagraphFont"/>
    <w:uiPriority w:val="99"/>
    <w:semiHidden/>
    <w:rsid w:val="008A0AD6"/>
    <w:rPr>
      <w:rFonts w:cs="Times New Roman"/>
      <w:color w:val="0000FF"/>
      <w:u w:val="single"/>
    </w:rPr>
  </w:style>
  <w:style w:type="paragraph" w:styleId="ListParagraph">
    <w:name w:val="List Paragraph"/>
    <w:basedOn w:val="Normal"/>
    <w:uiPriority w:val="34"/>
    <w:qFormat/>
    <w:rsid w:val="00EF1F76"/>
    <w:pPr>
      <w:ind w:left="720"/>
      <w:contextualSpacing/>
    </w:pPr>
  </w:style>
  <w:style w:type="paragraph" w:styleId="NormalWeb">
    <w:name w:val="Normal (Web)"/>
    <w:basedOn w:val="Normal"/>
    <w:uiPriority w:val="99"/>
    <w:semiHidden/>
    <w:unhideWhenUsed/>
    <w:rsid w:val="0042497B"/>
    <w:pPr>
      <w:spacing w:before="240" w:after="240"/>
    </w:pPr>
    <w:rPr>
      <w:szCs w:val="24"/>
    </w:rPr>
  </w:style>
  <w:style w:type="character" w:styleId="FollowedHyperlink">
    <w:name w:val="FollowedHyperlink"/>
    <w:basedOn w:val="DefaultParagraphFont"/>
    <w:uiPriority w:val="99"/>
    <w:semiHidden/>
    <w:unhideWhenUsed/>
    <w:rsid w:val="00680A6E"/>
    <w:rPr>
      <w:color w:val="800080" w:themeColor="followedHyperlink"/>
      <w:u w:val="single"/>
    </w:rPr>
  </w:style>
  <w:style w:type="paragraph" w:customStyle="1" w:styleId="paragraph">
    <w:name w:val="paragraph"/>
    <w:aliases w:val="a"/>
    <w:basedOn w:val="Normal"/>
    <w:rsid w:val="00B56BA6"/>
    <w:pPr>
      <w:tabs>
        <w:tab w:val="right" w:pos="1531"/>
      </w:tabs>
      <w:spacing w:before="40"/>
      <w:ind w:left="1644" w:hanging="1644"/>
    </w:pPr>
    <w:rPr>
      <w:sz w:val="22"/>
    </w:rPr>
  </w:style>
  <w:style w:type="paragraph" w:styleId="Revision">
    <w:name w:val="Revision"/>
    <w:hidden/>
    <w:uiPriority w:val="99"/>
    <w:semiHidden/>
    <w:rsid w:val="00DA2792"/>
    <w:rPr>
      <w:rFonts w:ascii="Times New Roman" w:eastAsia="Times New Roman" w:hAnsi="Times New Roman"/>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73195">
      <w:bodyDiv w:val="1"/>
      <w:marLeft w:val="0"/>
      <w:marRight w:val="0"/>
      <w:marTop w:val="0"/>
      <w:marBottom w:val="0"/>
      <w:divBdr>
        <w:top w:val="none" w:sz="0" w:space="0" w:color="auto"/>
        <w:left w:val="none" w:sz="0" w:space="0" w:color="auto"/>
        <w:bottom w:val="none" w:sz="0" w:space="0" w:color="auto"/>
        <w:right w:val="none" w:sz="0" w:space="0" w:color="auto"/>
      </w:divBdr>
    </w:div>
    <w:div w:id="559706639">
      <w:bodyDiv w:val="1"/>
      <w:marLeft w:val="0"/>
      <w:marRight w:val="0"/>
      <w:marTop w:val="0"/>
      <w:marBottom w:val="0"/>
      <w:divBdr>
        <w:top w:val="none" w:sz="0" w:space="0" w:color="auto"/>
        <w:left w:val="none" w:sz="0" w:space="0" w:color="auto"/>
        <w:bottom w:val="none" w:sz="0" w:space="0" w:color="auto"/>
        <w:right w:val="none" w:sz="0" w:space="0" w:color="auto"/>
      </w:divBdr>
      <w:divsChild>
        <w:div w:id="1949923287">
          <w:marLeft w:val="0"/>
          <w:marRight w:val="0"/>
          <w:marTop w:val="0"/>
          <w:marBottom w:val="0"/>
          <w:divBdr>
            <w:top w:val="none" w:sz="0" w:space="0" w:color="auto"/>
            <w:left w:val="none" w:sz="0" w:space="0" w:color="auto"/>
            <w:bottom w:val="none" w:sz="0" w:space="0" w:color="auto"/>
            <w:right w:val="none" w:sz="0" w:space="0" w:color="auto"/>
          </w:divBdr>
          <w:divsChild>
            <w:div w:id="1443301570">
              <w:marLeft w:val="0"/>
              <w:marRight w:val="0"/>
              <w:marTop w:val="0"/>
              <w:marBottom w:val="0"/>
              <w:divBdr>
                <w:top w:val="none" w:sz="0" w:space="0" w:color="auto"/>
                <w:left w:val="none" w:sz="0" w:space="0" w:color="auto"/>
                <w:bottom w:val="none" w:sz="0" w:space="0" w:color="auto"/>
                <w:right w:val="none" w:sz="0" w:space="0" w:color="auto"/>
              </w:divBdr>
              <w:divsChild>
                <w:div w:id="1302491883">
                  <w:marLeft w:val="0"/>
                  <w:marRight w:val="0"/>
                  <w:marTop w:val="0"/>
                  <w:marBottom w:val="0"/>
                  <w:divBdr>
                    <w:top w:val="none" w:sz="0" w:space="0" w:color="auto"/>
                    <w:left w:val="none" w:sz="0" w:space="0" w:color="auto"/>
                    <w:bottom w:val="none" w:sz="0" w:space="0" w:color="auto"/>
                    <w:right w:val="none" w:sz="0" w:space="0" w:color="auto"/>
                  </w:divBdr>
                  <w:divsChild>
                    <w:div w:id="1155217137">
                      <w:marLeft w:val="0"/>
                      <w:marRight w:val="0"/>
                      <w:marTop w:val="0"/>
                      <w:marBottom w:val="0"/>
                      <w:divBdr>
                        <w:top w:val="none" w:sz="0" w:space="0" w:color="auto"/>
                        <w:left w:val="none" w:sz="0" w:space="0" w:color="auto"/>
                        <w:bottom w:val="none" w:sz="0" w:space="0" w:color="auto"/>
                        <w:right w:val="none" w:sz="0" w:space="0" w:color="auto"/>
                      </w:divBdr>
                      <w:divsChild>
                        <w:div w:id="1782534792">
                          <w:marLeft w:val="0"/>
                          <w:marRight w:val="0"/>
                          <w:marTop w:val="0"/>
                          <w:marBottom w:val="0"/>
                          <w:divBdr>
                            <w:top w:val="none" w:sz="0" w:space="0" w:color="auto"/>
                            <w:left w:val="none" w:sz="0" w:space="0" w:color="auto"/>
                            <w:bottom w:val="none" w:sz="0" w:space="0" w:color="auto"/>
                            <w:right w:val="none" w:sz="0" w:space="0" w:color="auto"/>
                          </w:divBdr>
                          <w:divsChild>
                            <w:div w:id="750271041">
                              <w:marLeft w:val="0"/>
                              <w:marRight w:val="0"/>
                              <w:marTop w:val="0"/>
                              <w:marBottom w:val="0"/>
                              <w:divBdr>
                                <w:top w:val="none" w:sz="0" w:space="0" w:color="auto"/>
                                <w:left w:val="none" w:sz="0" w:space="0" w:color="auto"/>
                                <w:bottom w:val="none" w:sz="0" w:space="0" w:color="auto"/>
                                <w:right w:val="none" w:sz="0" w:space="0" w:color="auto"/>
                              </w:divBdr>
                              <w:divsChild>
                                <w:div w:id="102117454">
                                  <w:marLeft w:val="0"/>
                                  <w:marRight w:val="0"/>
                                  <w:marTop w:val="0"/>
                                  <w:marBottom w:val="0"/>
                                  <w:divBdr>
                                    <w:top w:val="none" w:sz="0" w:space="0" w:color="auto"/>
                                    <w:left w:val="none" w:sz="0" w:space="0" w:color="auto"/>
                                    <w:bottom w:val="none" w:sz="0" w:space="0" w:color="auto"/>
                                    <w:right w:val="none" w:sz="0" w:space="0" w:color="auto"/>
                                  </w:divBdr>
                                  <w:divsChild>
                                    <w:div w:id="1880121087">
                                      <w:marLeft w:val="0"/>
                                      <w:marRight w:val="0"/>
                                      <w:marTop w:val="0"/>
                                      <w:marBottom w:val="0"/>
                                      <w:divBdr>
                                        <w:top w:val="none" w:sz="0" w:space="0" w:color="auto"/>
                                        <w:left w:val="none" w:sz="0" w:space="0" w:color="auto"/>
                                        <w:bottom w:val="none" w:sz="0" w:space="0" w:color="auto"/>
                                        <w:right w:val="none" w:sz="0" w:space="0" w:color="auto"/>
                                      </w:divBdr>
                                      <w:divsChild>
                                        <w:div w:id="11506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077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F1393-B318-4D3D-A94C-4EE3C729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1917</Words>
  <Characters>10270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TGA</Company>
  <LinksUpToDate>false</LinksUpToDate>
  <CharactersWithSpaces>12163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banchj</dc:creator>
  <cp:lastModifiedBy>KWONG, Jady</cp:lastModifiedBy>
  <cp:revision>2</cp:revision>
  <cp:lastPrinted>2017-04-11T08:13:00Z</cp:lastPrinted>
  <dcterms:created xsi:type="dcterms:W3CDTF">2017-05-16T02:15:00Z</dcterms:created>
  <dcterms:modified xsi:type="dcterms:W3CDTF">2017-05-16T02:15:00Z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