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B051E" w14:textId="77777777" w:rsidR="00DE55A0" w:rsidRDefault="00DE55A0">
      <w:pPr>
        <w:pStyle w:val="HP"/>
        <w:keepNext w:val="0"/>
        <w:spacing w:before="0"/>
      </w:pPr>
      <w:r>
        <w:t xml:space="preserve">Commonwealth of </w:t>
      </w:r>
      <w:smartTag w:uri="urn:schemas-microsoft-com:office:smarttags" w:element="PersonName">
        <w:smartTag w:uri="urn:schemas-microsoft-com:office:smarttags" w:element="country-region">
          <w:r>
            <w:t>Australia</w:t>
          </w:r>
        </w:smartTag>
      </w:smartTag>
    </w:p>
    <w:p w14:paraId="6520454F" w14:textId="77777777" w:rsidR="00DE55A0" w:rsidRDefault="00DE55A0">
      <w:pPr>
        <w:jc w:val="center"/>
        <w:rPr>
          <w:b/>
          <w:bCs/>
        </w:rPr>
      </w:pPr>
    </w:p>
    <w:p w14:paraId="220FD9BE" w14:textId="77777777" w:rsidR="00BD125D" w:rsidRDefault="00BD125D" w:rsidP="00BD125D">
      <w:pPr>
        <w:pStyle w:val="Heading6"/>
        <w:jc w:val="center"/>
        <w:rPr>
          <w:b w:val="0"/>
          <w:i/>
        </w:rPr>
      </w:pPr>
      <w:r w:rsidRPr="00BD125D">
        <w:rPr>
          <w:b w:val="0"/>
          <w:i/>
          <w:iCs/>
          <w:szCs w:val="24"/>
        </w:rPr>
        <w:t>Australian Communications and Media Authority Act 2005</w:t>
      </w:r>
    </w:p>
    <w:p w14:paraId="55211308" w14:textId="77777777" w:rsidR="00DE55A0" w:rsidRDefault="00DE55A0">
      <w:pPr>
        <w:pStyle w:val="Title"/>
        <w:spacing w:before="0"/>
      </w:pPr>
      <w:bookmarkStart w:id="0" w:name="year"/>
    </w:p>
    <w:bookmarkEnd w:id="0"/>
    <w:p w14:paraId="70E3FEE8" w14:textId="77777777" w:rsidR="00BD125D" w:rsidRDefault="00BD125D" w:rsidP="00BD125D">
      <w:pPr>
        <w:pStyle w:val="Title"/>
        <w:spacing w:before="0"/>
      </w:pPr>
      <w:r>
        <w:t xml:space="preserve">Australian Communications and Media Authority (Annual Carrier Licence Charge) </w:t>
      </w:r>
    </w:p>
    <w:p w14:paraId="75B704C9" w14:textId="679DC182" w:rsidR="00DE55A0" w:rsidRDefault="00BD125D" w:rsidP="00BD125D">
      <w:pPr>
        <w:pStyle w:val="Title"/>
        <w:spacing w:before="0"/>
      </w:pPr>
      <w:r>
        <w:t>Direction 201</w:t>
      </w:r>
      <w:r w:rsidR="008F024B">
        <w:t>7</w:t>
      </w:r>
      <w:r w:rsidR="00682E43">
        <w:t xml:space="preserve"> </w:t>
      </w:r>
    </w:p>
    <w:p w14:paraId="093F92A0" w14:textId="77777777" w:rsidR="00DE55A0" w:rsidRDefault="00DE55A0"/>
    <w:p w14:paraId="66E8C47D" w14:textId="37B1A2C7" w:rsidR="00BD125D" w:rsidRDefault="00BD125D" w:rsidP="00BD125D">
      <w:pPr>
        <w:spacing w:before="400" w:line="300" w:lineRule="atLeast"/>
      </w:pPr>
      <w:r>
        <w:t>I,</w:t>
      </w:r>
      <w:r>
        <w:rPr>
          <w:caps/>
        </w:rPr>
        <w:t xml:space="preserve"> </w:t>
      </w:r>
      <w:r w:rsidR="004C3947">
        <w:rPr>
          <w:caps/>
        </w:rPr>
        <w:t>MITCH FIFIELD</w:t>
      </w:r>
      <w:r>
        <w:t>, Minister for Communications</w:t>
      </w:r>
      <w:r w:rsidR="00275710">
        <w:t>,</w:t>
      </w:r>
      <w:r>
        <w:t xml:space="preserve"> make the following Direction under the </w:t>
      </w:r>
      <w:r>
        <w:rPr>
          <w:i/>
          <w:iCs/>
          <w:szCs w:val="24"/>
        </w:rPr>
        <w:t xml:space="preserve">Australian Communications and Media Authority Act 2005. </w:t>
      </w:r>
    </w:p>
    <w:p w14:paraId="0AC6CA60" w14:textId="2735E1DA" w:rsidR="00BD125D" w:rsidRDefault="006A4C1C" w:rsidP="00BD125D">
      <w:pPr>
        <w:tabs>
          <w:tab w:val="center" w:pos="3119"/>
        </w:tabs>
        <w:spacing w:before="300" w:after="600" w:line="300" w:lineRule="atLeast"/>
      </w:pPr>
      <w:r>
        <w:t>Dated</w:t>
      </w:r>
      <w:r w:rsidR="0022137D">
        <w:t>:</w:t>
      </w:r>
      <w:r>
        <w:t xml:space="preserve"> </w:t>
      </w:r>
      <w:r w:rsidR="00ED3DCF">
        <w:t xml:space="preserve">21 </w:t>
      </w:r>
      <w:bookmarkStart w:id="1" w:name="_GoBack"/>
      <w:bookmarkEnd w:id="1"/>
      <w:r w:rsidR="0022137D" w:rsidRPr="009514CA">
        <w:t>April</w:t>
      </w:r>
      <w:r w:rsidR="00D3249B">
        <w:t xml:space="preserve"> 2017</w:t>
      </w:r>
    </w:p>
    <w:p w14:paraId="074E8BFC" w14:textId="3DE737AC" w:rsidR="00BD125D" w:rsidRDefault="00BD125D" w:rsidP="00BD125D">
      <w:pPr>
        <w:pStyle w:val="HP"/>
        <w:keepNext w:val="0"/>
        <w:spacing w:before="0"/>
      </w:pPr>
    </w:p>
    <w:p w14:paraId="6B5D047B" w14:textId="77777777" w:rsidR="00BD125D" w:rsidRDefault="00BD125D" w:rsidP="00BD125D">
      <w:pPr>
        <w:pStyle w:val="HP"/>
        <w:keepNext w:val="0"/>
        <w:spacing w:before="0"/>
      </w:pPr>
    </w:p>
    <w:p w14:paraId="6A81DCE4" w14:textId="091C2380" w:rsidR="00BD125D" w:rsidRDefault="004C3947" w:rsidP="00BD125D">
      <w:pPr>
        <w:pStyle w:val="HP"/>
        <w:keepNext w:val="0"/>
        <w:spacing w:before="0"/>
        <w:rPr>
          <w:b w:val="0"/>
          <w:bCs w:val="0"/>
        </w:rPr>
      </w:pPr>
      <w:r>
        <w:rPr>
          <w:b w:val="0"/>
          <w:bCs w:val="0"/>
        </w:rPr>
        <w:t>MITCH FIFIELD</w:t>
      </w:r>
    </w:p>
    <w:p w14:paraId="1303FA90" w14:textId="267D20AB" w:rsidR="00BD125D" w:rsidRDefault="00BD125D" w:rsidP="00BD125D">
      <w:pPr>
        <w:jc w:val="center"/>
      </w:pPr>
      <w:r>
        <w:t>Minister for Communications _________________________________________________________________</w:t>
      </w:r>
    </w:p>
    <w:p w14:paraId="1AB010B9" w14:textId="77777777" w:rsidR="00BD125D" w:rsidRDefault="00BD125D" w:rsidP="00BD125D">
      <w:pPr>
        <w:pStyle w:val="HR"/>
        <w:numPr>
          <w:ilvl w:val="0"/>
          <w:numId w:val="12"/>
        </w:numPr>
        <w:tabs>
          <w:tab w:val="clear" w:pos="360"/>
          <w:tab w:val="num" w:pos="540"/>
        </w:tabs>
        <w:spacing w:before="400" w:line="300" w:lineRule="atLeast"/>
        <w:jc w:val="left"/>
        <w:rPr>
          <w:rFonts w:ascii="Arial" w:hAnsi="Arial" w:cs="Arial"/>
        </w:rPr>
      </w:pPr>
      <w:r>
        <w:rPr>
          <w:rFonts w:ascii="Arial" w:hAnsi="Arial" w:cs="Arial"/>
        </w:rPr>
        <w:t>Name of Direction</w:t>
      </w:r>
    </w:p>
    <w:p w14:paraId="6F7E5BB3" w14:textId="4527E4F0" w:rsidR="00BD125D" w:rsidRDefault="00BD125D" w:rsidP="00BD125D">
      <w:pPr>
        <w:spacing w:before="120" w:line="300" w:lineRule="atLeast"/>
        <w:ind w:left="567"/>
        <w:rPr>
          <w:b/>
          <w:bCs/>
        </w:rPr>
      </w:pPr>
      <w:r>
        <w:t xml:space="preserve">This Direction is the </w:t>
      </w:r>
      <w:r>
        <w:rPr>
          <w:i/>
          <w:iCs/>
        </w:rPr>
        <w:t>Australian Communications and Media Authority (Annual Carrier Licence Charge) Direction 201</w:t>
      </w:r>
      <w:r w:rsidR="008F024B">
        <w:rPr>
          <w:i/>
          <w:iCs/>
        </w:rPr>
        <w:t>7</w:t>
      </w:r>
      <w:r>
        <w:rPr>
          <w:i/>
          <w:iCs/>
        </w:rPr>
        <w:t xml:space="preserve">. </w:t>
      </w:r>
    </w:p>
    <w:p w14:paraId="5D90E1B4" w14:textId="77777777" w:rsidR="00BD125D" w:rsidRDefault="008807D8" w:rsidP="00090F70">
      <w:pPr>
        <w:pStyle w:val="HR"/>
        <w:numPr>
          <w:ilvl w:val="0"/>
          <w:numId w:val="12"/>
        </w:numPr>
        <w:tabs>
          <w:tab w:val="clear" w:pos="360"/>
          <w:tab w:val="num" w:pos="540"/>
        </w:tabs>
        <w:spacing w:before="400" w:line="300" w:lineRule="atLeast"/>
        <w:jc w:val="left"/>
        <w:rPr>
          <w:rFonts w:ascii="Arial" w:hAnsi="Arial" w:cs="Arial"/>
        </w:rPr>
      </w:pPr>
      <w:r>
        <w:rPr>
          <w:rFonts w:ascii="Arial" w:hAnsi="Arial" w:cs="Arial"/>
        </w:rPr>
        <w:t xml:space="preserve">Commencement </w:t>
      </w:r>
    </w:p>
    <w:p w14:paraId="60E5DDD5" w14:textId="21D8A4D3" w:rsidR="00275710" w:rsidRDefault="0061556B" w:rsidP="004C3947">
      <w:pPr>
        <w:spacing w:before="120" w:line="300" w:lineRule="atLeast"/>
        <w:ind w:left="567"/>
      </w:pPr>
      <w:r>
        <w:t xml:space="preserve">This Direction commences on </w:t>
      </w:r>
      <w:r w:rsidR="004C3947">
        <w:t xml:space="preserve">the day after this Direction is registered on the Federal Register of Legislation. </w:t>
      </w:r>
    </w:p>
    <w:p w14:paraId="0D1CDA49" w14:textId="77777777" w:rsidR="004C3947" w:rsidRDefault="004C3947" w:rsidP="004C3947">
      <w:pPr>
        <w:pStyle w:val="HR"/>
        <w:numPr>
          <w:ilvl w:val="0"/>
          <w:numId w:val="12"/>
        </w:numPr>
        <w:tabs>
          <w:tab w:val="clear" w:pos="360"/>
          <w:tab w:val="num" w:pos="540"/>
        </w:tabs>
        <w:spacing w:before="400" w:line="300" w:lineRule="atLeast"/>
        <w:jc w:val="left"/>
        <w:rPr>
          <w:rFonts w:ascii="Arial" w:hAnsi="Arial" w:cs="Arial"/>
        </w:rPr>
      </w:pPr>
      <w:r>
        <w:rPr>
          <w:rFonts w:ascii="Arial" w:hAnsi="Arial" w:cs="Arial"/>
        </w:rPr>
        <w:t>Authority</w:t>
      </w:r>
    </w:p>
    <w:p w14:paraId="26EEE548" w14:textId="77777777" w:rsidR="004C3947" w:rsidRDefault="004C3947" w:rsidP="004C3947">
      <w:pPr>
        <w:spacing w:before="120" w:line="300" w:lineRule="atLeast"/>
        <w:ind w:left="567"/>
        <w:rPr>
          <w:b/>
          <w:bCs/>
        </w:rPr>
      </w:pPr>
      <w:r>
        <w:t xml:space="preserve">This Direction is made under section 14 of the </w:t>
      </w:r>
      <w:r w:rsidRPr="004C3947">
        <w:rPr>
          <w:i/>
        </w:rPr>
        <w:t>Australian Communications and Media Authority Act 2005</w:t>
      </w:r>
      <w:r>
        <w:rPr>
          <w:i/>
          <w:iCs/>
        </w:rPr>
        <w:t xml:space="preserve">. </w:t>
      </w:r>
    </w:p>
    <w:p w14:paraId="3FB536C9" w14:textId="77777777" w:rsidR="004C3947" w:rsidRDefault="004C3947" w:rsidP="00275710">
      <w:pPr>
        <w:pStyle w:val="HR"/>
        <w:numPr>
          <w:ilvl w:val="0"/>
          <w:numId w:val="12"/>
        </w:numPr>
        <w:tabs>
          <w:tab w:val="clear" w:pos="360"/>
          <w:tab w:val="num" w:pos="540"/>
        </w:tabs>
        <w:spacing w:before="400" w:line="300" w:lineRule="atLeast"/>
        <w:jc w:val="left"/>
        <w:rPr>
          <w:rFonts w:ascii="Arial" w:hAnsi="Arial" w:cs="Arial"/>
        </w:rPr>
      </w:pPr>
      <w:r>
        <w:rPr>
          <w:rFonts w:ascii="Arial" w:hAnsi="Arial" w:cs="Arial"/>
        </w:rPr>
        <w:lastRenderedPageBreak/>
        <w:t>Re</w:t>
      </w:r>
      <w:r w:rsidR="00762728">
        <w:rPr>
          <w:rFonts w:ascii="Arial" w:hAnsi="Arial" w:cs="Arial"/>
        </w:rPr>
        <w:t xml:space="preserve">peal </w:t>
      </w:r>
    </w:p>
    <w:p w14:paraId="26038AF2" w14:textId="77777777" w:rsidR="004C3947" w:rsidRPr="004C3947" w:rsidRDefault="004C3947" w:rsidP="004C3947">
      <w:pPr>
        <w:spacing w:before="120" w:line="300" w:lineRule="atLeast"/>
        <w:ind w:left="567"/>
        <w:rPr>
          <w:iCs/>
        </w:rPr>
      </w:pPr>
      <w:r>
        <w:t xml:space="preserve">The </w:t>
      </w:r>
      <w:r>
        <w:rPr>
          <w:i/>
          <w:iCs/>
        </w:rPr>
        <w:t xml:space="preserve">Australian Communications and Media Authority (Annual Carrier Licence Charge) Direction 2013 </w:t>
      </w:r>
      <w:r>
        <w:rPr>
          <w:iCs/>
        </w:rPr>
        <w:t>is re</w:t>
      </w:r>
      <w:r w:rsidR="00762728">
        <w:rPr>
          <w:iCs/>
        </w:rPr>
        <w:t>pealed</w:t>
      </w:r>
      <w:r>
        <w:rPr>
          <w:iCs/>
        </w:rPr>
        <w:t>.</w:t>
      </w:r>
    </w:p>
    <w:p w14:paraId="70F63C27" w14:textId="77777777" w:rsidR="00BD125D" w:rsidRDefault="00BD125D" w:rsidP="00090F70">
      <w:pPr>
        <w:pStyle w:val="HR"/>
        <w:numPr>
          <w:ilvl w:val="0"/>
          <w:numId w:val="12"/>
        </w:numPr>
        <w:tabs>
          <w:tab w:val="clear" w:pos="360"/>
          <w:tab w:val="num" w:pos="540"/>
        </w:tabs>
        <w:spacing w:before="400" w:line="300" w:lineRule="atLeast"/>
        <w:jc w:val="left"/>
        <w:rPr>
          <w:rFonts w:ascii="Arial" w:hAnsi="Arial" w:cs="Arial"/>
        </w:rPr>
      </w:pPr>
      <w:r>
        <w:rPr>
          <w:rFonts w:ascii="Arial" w:hAnsi="Arial" w:cs="Arial"/>
        </w:rPr>
        <w:t>Definitions</w:t>
      </w:r>
    </w:p>
    <w:p w14:paraId="316EA6FE" w14:textId="77777777" w:rsidR="00BD125D" w:rsidRDefault="00BD125D" w:rsidP="00BD125D">
      <w:pPr>
        <w:tabs>
          <w:tab w:val="left" w:pos="567"/>
        </w:tabs>
        <w:spacing w:before="120" w:after="120"/>
        <w:ind w:firstLine="540"/>
      </w:pPr>
      <w:r>
        <w:tab/>
        <w:t>In this Direction:</w:t>
      </w:r>
    </w:p>
    <w:p w14:paraId="7D093DCE" w14:textId="77777777" w:rsidR="00BD125D" w:rsidRDefault="00BD125D" w:rsidP="00BD125D">
      <w:pPr>
        <w:pStyle w:val="definition"/>
        <w:tabs>
          <w:tab w:val="clear" w:pos="1260"/>
          <w:tab w:val="left" w:pos="851"/>
        </w:tabs>
        <w:spacing w:before="120" w:after="120"/>
        <w:jc w:val="left"/>
        <w:rPr>
          <w:rFonts w:ascii="Times New Roman" w:hAnsi="Times New Roman" w:cs="Times New Roman"/>
          <w:sz w:val="24"/>
          <w:szCs w:val="24"/>
        </w:rPr>
      </w:pPr>
      <w:r>
        <w:rPr>
          <w:b/>
          <w:bCs/>
          <w:i/>
          <w:iCs/>
        </w:rPr>
        <w:tab/>
      </w:r>
      <w:r>
        <w:rPr>
          <w:rFonts w:ascii="Times New Roman" w:hAnsi="Times New Roman" w:cs="Times New Roman"/>
          <w:b/>
          <w:bCs/>
          <w:i/>
          <w:iCs/>
          <w:sz w:val="24"/>
          <w:szCs w:val="24"/>
        </w:rPr>
        <w:tab/>
        <w:t xml:space="preserve">ACMA </w:t>
      </w:r>
      <w:r>
        <w:rPr>
          <w:rFonts w:ascii="Times New Roman" w:hAnsi="Times New Roman" w:cs="Times New Roman"/>
          <w:sz w:val="24"/>
          <w:szCs w:val="24"/>
        </w:rPr>
        <w:t>means the Australian Communications and Media Authority.</w:t>
      </w:r>
    </w:p>
    <w:p w14:paraId="6694F860" w14:textId="77777777" w:rsidR="00BD125D" w:rsidRDefault="00BD125D" w:rsidP="00BD125D">
      <w:pPr>
        <w:pStyle w:val="definition"/>
        <w:tabs>
          <w:tab w:val="clear" w:pos="1260"/>
          <w:tab w:val="left" w:pos="851"/>
        </w:tabs>
        <w:spacing w:before="120" w:after="120"/>
        <w:ind w:left="851"/>
        <w:jc w:val="left"/>
        <w:rPr>
          <w:rFonts w:ascii="Times New Roman" w:hAnsi="Times New Roman" w:cs="Times New Roman"/>
          <w:bCs/>
          <w:iCs/>
          <w:sz w:val="24"/>
          <w:szCs w:val="24"/>
        </w:rPr>
      </w:pPr>
      <w:r>
        <w:rPr>
          <w:rFonts w:ascii="Times New Roman" w:hAnsi="Times New Roman" w:cs="Times New Roman"/>
          <w:b/>
          <w:bCs/>
          <w:i/>
          <w:iCs/>
          <w:sz w:val="24"/>
          <w:szCs w:val="24"/>
        </w:rPr>
        <w:t xml:space="preserve">annual carrier licence charge </w:t>
      </w:r>
      <w:r>
        <w:rPr>
          <w:rFonts w:ascii="Times New Roman" w:hAnsi="Times New Roman" w:cs="Times New Roman"/>
          <w:bCs/>
          <w:iCs/>
          <w:sz w:val="24"/>
          <w:szCs w:val="24"/>
        </w:rPr>
        <w:t>means charge within the meaning of Part 3 of the</w:t>
      </w:r>
      <w:r>
        <w:rPr>
          <w:rFonts w:ascii="Times New Roman" w:hAnsi="Times New Roman" w:cs="Times New Roman"/>
          <w:bCs/>
          <w:i/>
          <w:iCs/>
          <w:sz w:val="24"/>
          <w:szCs w:val="24"/>
        </w:rPr>
        <w:t xml:space="preserve"> </w:t>
      </w:r>
      <w:r>
        <w:rPr>
          <w:rFonts w:ascii="Times New Roman" w:hAnsi="Times New Roman" w:cs="Times New Roman"/>
          <w:bCs/>
          <w:iCs/>
          <w:sz w:val="24"/>
          <w:szCs w:val="24"/>
        </w:rPr>
        <w:t>Carrier</w:t>
      </w:r>
      <w:r>
        <w:rPr>
          <w:rFonts w:ascii="Times New Roman" w:hAnsi="Times New Roman" w:cs="Times New Roman"/>
          <w:bCs/>
          <w:i/>
          <w:iCs/>
          <w:sz w:val="24"/>
          <w:szCs w:val="24"/>
        </w:rPr>
        <w:t xml:space="preserve"> </w:t>
      </w:r>
      <w:r>
        <w:rPr>
          <w:rFonts w:ascii="Times New Roman" w:hAnsi="Times New Roman" w:cs="Times New Roman"/>
          <w:bCs/>
          <w:iCs/>
          <w:sz w:val="24"/>
          <w:szCs w:val="24"/>
        </w:rPr>
        <w:t xml:space="preserve">Licence Charges Act. </w:t>
      </w:r>
    </w:p>
    <w:p w14:paraId="7C09747B" w14:textId="77777777" w:rsidR="00BD125D" w:rsidRDefault="00BD125D" w:rsidP="00BD125D">
      <w:pPr>
        <w:pStyle w:val="definition"/>
        <w:tabs>
          <w:tab w:val="clear" w:pos="1260"/>
          <w:tab w:val="left" w:pos="851"/>
        </w:tabs>
        <w:spacing w:before="120" w:after="120"/>
        <w:ind w:left="851"/>
        <w:jc w:val="left"/>
        <w:rPr>
          <w:rFonts w:ascii="Times New Roman" w:hAnsi="Times New Roman" w:cs="Times New Roman"/>
          <w:bCs/>
          <w:iCs/>
          <w:sz w:val="24"/>
          <w:szCs w:val="24"/>
        </w:rPr>
      </w:pPr>
      <w:r>
        <w:rPr>
          <w:rFonts w:ascii="Times New Roman" w:hAnsi="Times New Roman" w:cs="Times New Roman"/>
          <w:b/>
          <w:bCs/>
          <w:i/>
          <w:iCs/>
          <w:sz w:val="24"/>
          <w:szCs w:val="24"/>
        </w:rPr>
        <w:t xml:space="preserve">carrier </w:t>
      </w:r>
      <w:r>
        <w:rPr>
          <w:rFonts w:ascii="Times New Roman" w:hAnsi="Times New Roman" w:cs="Times New Roman"/>
          <w:bCs/>
          <w:iCs/>
          <w:sz w:val="24"/>
          <w:szCs w:val="24"/>
        </w:rPr>
        <w:t xml:space="preserve">has the same meaning as in section 7 of the </w:t>
      </w:r>
      <w:r>
        <w:rPr>
          <w:rFonts w:ascii="Times New Roman" w:hAnsi="Times New Roman" w:cs="Times New Roman"/>
          <w:bCs/>
          <w:i/>
          <w:iCs/>
          <w:sz w:val="24"/>
          <w:szCs w:val="24"/>
        </w:rPr>
        <w:t>Telecommunications Act 1997</w:t>
      </w:r>
      <w:r>
        <w:rPr>
          <w:rFonts w:ascii="Times New Roman" w:hAnsi="Times New Roman" w:cs="Times New Roman"/>
          <w:bCs/>
          <w:iCs/>
          <w:sz w:val="24"/>
          <w:szCs w:val="24"/>
        </w:rPr>
        <w:t>.</w:t>
      </w:r>
    </w:p>
    <w:p w14:paraId="11C68B52" w14:textId="77777777" w:rsidR="00BD125D" w:rsidRDefault="00BD125D" w:rsidP="00BD125D">
      <w:pPr>
        <w:pStyle w:val="definition"/>
        <w:tabs>
          <w:tab w:val="clear" w:pos="1260"/>
          <w:tab w:val="left" w:pos="851"/>
        </w:tabs>
        <w:spacing w:before="120" w:after="120"/>
        <w:ind w:left="851"/>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carrier licence </w:t>
      </w:r>
      <w:r>
        <w:rPr>
          <w:rFonts w:ascii="Times New Roman" w:hAnsi="Times New Roman" w:cs="Times New Roman"/>
          <w:bCs/>
          <w:iCs/>
          <w:sz w:val="24"/>
          <w:szCs w:val="24"/>
        </w:rPr>
        <w:t xml:space="preserve">has the same meaning as in section 7 of the </w:t>
      </w:r>
      <w:r>
        <w:rPr>
          <w:rFonts w:ascii="Times New Roman" w:hAnsi="Times New Roman" w:cs="Times New Roman"/>
          <w:bCs/>
          <w:i/>
          <w:iCs/>
          <w:sz w:val="24"/>
          <w:szCs w:val="24"/>
        </w:rPr>
        <w:t>Telecommunications Act 1997</w:t>
      </w:r>
      <w:r>
        <w:rPr>
          <w:rFonts w:ascii="Times New Roman" w:hAnsi="Times New Roman" w:cs="Times New Roman"/>
          <w:bCs/>
          <w:iCs/>
          <w:sz w:val="24"/>
          <w:szCs w:val="24"/>
        </w:rPr>
        <w:t>.</w:t>
      </w:r>
    </w:p>
    <w:p w14:paraId="08DB8D5A" w14:textId="77777777" w:rsidR="00BD125D" w:rsidRDefault="00BD125D" w:rsidP="00BD125D">
      <w:pPr>
        <w:pStyle w:val="definition"/>
        <w:tabs>
          <w:tab w:val="clear" w:pos="1260"/>
          <w:tab w:val="left" w:pos="851"/>
        </w:tabs>
        <w:spacing w:before="120" w:after="120"/>
        <w:ind w:left="851"/>
        <w:jc w:val="left"/>
        <w:rPr>
          <w:rFonts w:ascii="Times New Roman" w:hAnsi="Times New Roman" w:cs="Times New Roman"/>
          <w:bCs/>
          <w:iCs/>
          <w:sz w:val="24"/>
          <w:szCs w:val="24"/>
        </w:rPr>
      </w:pPr>
      <w:r>
        <w:rPr>
          <w:rFonts w:ascii="Times New Roman" w:hAnsi="Times New Roman" w:cs="Times New Roman"/>
          <w:b/>
          <w:bCs/>
          <w:i/>
          <w:iCs/>
          <w:sz w:val="24"/>
          <w:szCs w:val="24"/>
        </w:rPr>
        <w:t xml:space="preserve">Carrier Licence Charges Act </w:t>
      </w:r>
      <w:r>
        <w:rPr>
          <w:rFonts w:ascii="Times New Roman" w:hAnsi="Times New Roman" w:cs="Times New Roman"/>
          <w:bCs/>
          <w:iCs/>
          <w:sz w:val="24"/>
          <w:szCs w:val="24"/>
        </w:rPr>
        <w:t xml:space="preserve">means the </w:t>
      </w:r>
      <w:r>
        <w:rPr>
          <w:rFonts w:ascii="Times New Roman" w:hAnsi="Times New Roman" w:cs="Times New Roman"/>
          <w:bCs/>
          <w:i/>
          <w:iCs/>
          <w:sz w:val="24"/>
          <w:szCs w:val="24"/>
        </w:rPr>
        <w:t>Telecommunications (Carrier Licence Charges) Act 1997</w:t>
      </w:r>
      <w:r>
        <w:rPr>
          <w:rFonts w:ascii="Times New Roman" w:hAnsi="Times New Roman" w:cs="Times New Roman"/>
          <w:bCs/>
          <w:iCs/>
          <w:sz w:val="24"/>
          <w:szCs w:val="24"/>
        </w:rPr>
        <w:t>.</w:t>
      </w:r>
    </w:p>
    <w:p w14:paraId="69CA70E3" w14:textId="27286202" w:rsidR="00BD125D" w:rsidRDefault="00BD125D" w:rsidP="00BD125D">
      <w:pPr>
        <w:pStyle w:val="definition"/>
        <w:tabs>
          <w:tab w:val="clear" w:pos="1260"/>
          <w:tab w:val="left" w:pos="851"/>
        </w:tabs>
        <w:spacing w:before="120" w:after="120"/>
        <w:ind w:left="851"/>
        <w:jc w:val="left"/>
        <w:rPr>
          <w:rFonts w:ascii="Times New Roman" w:hAnsi="Times New Roman" w:cs="Times New Roman"/>
          <w:sz w:val="24"/>
          <w:szCs w:val="24"/>
        </w:rPr>
      </w:pPr>
      <w:r>
        <w:rPr>
          <w:rFonts w:ascii="Times New Roman" w:hAnsi="Times New Roman" w:cs="Times New Roman"/>
          <w:b/>
          <w:bCs/>
          <w:i/>
          <w:iCs/>
          <w:sz w:val="24"/>
          <w:szCs w:val="24"/>
        </w:rPr>
        <w:t>eligible revenue period</w:t>
      </w:r>
      <w:r>
        <w:rPr>
          <w:rFonts w:ascii="Times New Roman" w:hAnsi="Times New Roman" w:cs="Times New Roman"/>
          <w:bCs/>
          <w:iCs/>
          <w:sz w:val="24"/>
          <w:szCs w:val="24"/>
        </w:rPr>
        <w:t xml:space="preserve"> has the same meaning as in </w:t>
      </w:r>
      <w:r w:rsidR="00BD12EC">
        <w:rPr>
          <w:rFonts w:ascii="Times New Roman" w:hAnsi="Times New Roman" w:cs="Times New Roman"/>
          <w:bCs/>
          <w:iCs/>
          <w:sz w:val="24"/>
          <w:szCs w:val="24"/>
        </w:rPr>
        <w:t xml:space="preserve">section </w:t>
      </w:r>
      <w:r w:rsidR="004C3947">
        <w:rPr>
          <w:rFonts w:ascii="Times New Roman" w:hAnsi="Times New Roman" w:cs="Times New Roman"/>
          <w:bCs/>
          <w:iCs/>
          <w:sz w:val="24"/>
          <w:szCs w:val="24"/>
        </w:rPr>
        <w:t>5</w:t>
      </w:r>
      <w:r w:rsidR="00BD12EC">
        <w:rPr>
          <w:rFonts w:ascii="Times New Roman" w:hAnsi="Times New Roman" w:cs="Times New Roman"/>
          <w:bCs/>
          <w:iCs/>
          <w:sz w:val="24"/>
          <w:szCs w:val="24"/>
        </w:rPr>
        <w:t xml:space="preserve"> of the </w:t>
      </w:r>
      <w:r w:rsidR="004C3947">
        <w:rPr>
          <w:rFonts w:ascii="Times New Roman" w:hAnsi="Times New Roman" w:cs="Times New Roman"/>
          <w:bCs/>
          <w:iCs/>
          <w:sz w:val="24"/>
          <w:szCs w:val="24"/>
        </w:rPr>
        <w:t xml:space="preserve">TCPSS </w:t>
      </w:r>
      <w:r w:rsidR="00BD12EC">
        <w:rPr>
          <w:rFonts w:ascii="Times New Roman" w:hAnsi="Times New Roman" w:cs="Times New Roman"/>
          <w:bCs/>
          <w:iCs/>
          <w:sz w:val="24"/>
          <w:szCs w:val="24"/>
        </w:rPr>
        <w:t>Act.</w:t>
      </w:r>
      <w:r>
        <w:rPr>
          <w:rFonts w:ascii="Times New Roman" w:hAnsi="Times New Roman" w:cs="Times New Roman"/>
          <w:i/>
          <w:iCs/>
          <w:sz w:val="24"/>
          <w:szCs w:val="24"/>
        </w:rPr>
        <w:t xml:space="preserve"> </w:t>
      </w:r>
    </w:p>
    <w:p w14:paraId="1659A157" w14:textId="10E9CCE3" w:rsidR="000C7006" w:rsidRPr="00337C84" w:rsidRDefault="00BD125D" w:rsidP="005F1489">
      <w:pPr>
        <w:pStyle w:val="definition"/>
        <w:tabs>
          <w:tab w:val="left" w:pos="360"/>
          <w:tab w:val="left" w:pos="851"/>
        </w:tabs>
        <w:spacing w:before="120" w:after="120"/>
        <w:ind w:left="851" w:right="-290" w:hanging="851"/>
        <w:jc w:val="left"/>
        <w:rPr>
          <w:rFonts w:ascii="Times New Roman" w:hAnsi="Times New Roman" w:cs="Times New Roman"/>
          <w:bCs/>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sidR="000C7006">
        <w:rPr>
          <w:rFonts w:ascii="Times New Roman" w:hAnsi="Times New Roman" w:cs="Times New Roman"/>
          <w:b/>
          <w:bCs/>
          <w:i/>
          <w:iCs/>
          <w:sz w:val="24"/>
          <w:szCs w:val="24"/>
        </w:rPr>
        <w:t>non-</w:t>
      </w:r>
      <w:r w:rsidR="00162084">
        <w:rPr>
          <w:rFonts w:ascii="Times New Roman" w:hAnsi="Times New Roman" w:cs="Times New Roman"/>
          <w:b/>
          <w:bCs/>
          <w:i/>
          <w:iCs/>
          <w:sz w:val="24"/>
          <w:szCs w:val="24"/>
        </w:rPr>
        <w:t>p</w:t>
      </w:r>
      <w:r w:rsidR="000C7006">
        <w:rPr>
          <w:rFonts w:ascii="Times New Roman" w:hAnsi="Times New Roman" w:cs="Times New Roman"/>
          <w:b/>
          <w:bCs/>
          <w:i/>
          <w:iCs/>
          <w:sz w:val="24"/>
          <w:szCs w:val="24"/>
        </w:rPr>
        <w:t xml:space="preserve">articipating </w:t>
      </w:r>
      <w:r w:rsidR="00162084">
        <w:rPr>
          <w:rFonts w:ascii="Times New Roman" w:hAnsi="Times New Roman" w:cs="Times New Roman"/>
          <w:b/>
          <w:bCs/>
          <w:i/>
          <w:iCs/>
          <w:sz w:val="24"/>
          <w:szCs w:val="24"/>
        </w:rPr>
        <w:t>p</w:t>
      </w:r>
      <w:r w:rsidR="000C7006">
        <w:rPr>
          <w:rFonts w:ascii="Times New Roman" w:hAnsi="Times New Roman" w:cs="Times New Roman"/>
          <w:b/>
          <w:bCs/>
          <w:i/>
          <w:iCs/>
          <w:sz w:val="24"/>
          <w:szCs w:val="24"/>
        </w:rPr>
        <w:t xml:space="preserve">erson </w:t>
      </w:r>
      <w:r w:rsidR="000C7006">
        <w:rPr>
          <w:rFonts w:ascii="Times New Roman" w:hAnsi="Times New Roman" w:cs="Times New Roman"/>
          <w:bCs/>
          <w:iCs/>
          <w:sz w:val="24"/>
          <w:szCs w:val="24"/>
        </w:rPr>
        <w:t>has the same meaning as</w:t>
      </w:r>
      <w:r w:rsidR="005F1489">
        <w:rPr>
          <w:rFonts w:ascii="Times New Roman" w:hAnsi="Times New Roman" w:cs="Times New Roman"/>
          <w:bCs/>
          <w:iCs/>
          <w:sz w:val="24"/>
          <w:szCs w:val="24"/>
        </w:rPr>
        <w:t xml:space="preserve"> </w:t>
      </w:r>
      <w:r w:rsidR="000C7006" w:rsidRPr="00337C84">
        <w:rPr>
          <w:rFonts w:ascii="Times New Roman" w:hAnsi="Times New Roman" w:cs="Times New Roman"/>
          <w:bCs/>
          <w:iCs/>
          <w:sz w:val="24"/>
          <w:szCs w:val="24"/>
        </w:rPr>
        <w:t>in</w:t>
      </w:r>
      <w:r w:rsidR="00D66CEA">
        <w:rPr>
          <w:rFonts w:ascii="Times New Roman" w:hAnsi="Times New Roman" w:cs="Times New Roman"/>
          <w:bCs/>
          <w:iCs/>
          <w:sz w:val="24"/>
          <w:szCs w:val="24"/>
        </w:rPr>
        <w:t xml:space="preserve"> subsection 4(3) of</w:t>
      </w:r>
      <w:r w:rsidR="000C7006" w:rsidRPr="00337C84">
        <w:rPr>
          <w:rFonts w:ascii="Times New Roman" w:hAnsi="Times New Roman" w:cs="Times New Roman"/>
          <w:bCs/>
          <w:iCs/>
          <w:sz w:val="24"/>
          <w:szCs w:val="24"/>
        </w:rPr>
        <w:t xml:space="preserve"> </w:t>
      </w:r>
      <w:r w:rsidR="00C8720D" w:rsidRPr="00337C84">
        <w:rPr>
          <w:rFonts w:ascii="Times New Roman" w:hAnsi="Times New Roman" w:cs="Times New Roman"/>
          <w:bCs/>
          <w:iCs/>
          <w:sz w:val="24"/>
          <w:szCs w:val="24"/>
        </w:rPr>
        <w:t xml:space="preserve">the </w:t>
      </w:r>
      <w:r w:rsidR="000C7006" w:rsidRPr="00337C84">
        <w:rPr>
          <w:i/>
          <w:iCs/>
          <w:sz w:val="24"/>
          <w:szCs w:val="24"/>
        </w:rPr>
        <w:t xml:space="preserve">Telecommunications (Participating Persons) Determination </w:t>
      </w:r>
      <w:r w:rsidR="004C3947">
        <w:rPr>
          <w:i/>
          <w:iCs/>
          <w:sz w:val="24"/>
          <w:szCs w:val="24"/>
        </w:rPr>
        <w:t>2015</w:t>
      </w:r>
      <w:r w:rsidR="00CD110F" w:rsidRPr="00337C84">
        <w:rPr>
          <w:iCs/>
          <w:sz w:val="24"/>
          <w:szCs w:val="24"/>
        </w:rPr>
        <w:t xml:space="preserve">.  </w:t>
      </w:r>
    </w:p>
    <w:p w14:paraId="078F372A" w14:textId="2D1E12F2" w:rsidR="00BD12EC" w:rsidRDefault="000C7006" w:rsidP="004B2C43">
      <w:pPr>
        <w:pStyle w:val="definition"/>
        <w:tabs>
          <w:tab w:val="clear" w:pos="1080"/>
          <w:tab w:val="clear" w:pos="1260"/>
          <w:tab w:val="clear" w:pos="1800"/>
          <w:tab w:val="left" w:pos="851"/>
        </w:tabs>
        <w:spacing w:before="120" w:after="120"/>
        <w:ind w:left="851" w:right="-290" w:hanging="851"/>
        <w:jc w:val="left"/>
        <w:rPr>
          <w:rFonts w:ascii="Times New Roman" w:hAnsi="Times New Roman" w:cs="Times New Roman"/>
          <w:bCs/>
          <w:iCs/>
          <w:sz w:val="24"/>
          <w:szCs w:val="24"/>
        </w:rPr>
      </w:pPr>
      <w:r>
        <w:rPr>
          <w:rFonts w:ascii="Times New Roman" w:hAnsi="Times New Roman" w:cs="Times New Roman"/>
          <w:b/>
          <w:bCs/>
          <w:i/>
          <w:iCs/>
          <w:sz w:val="24"/>
          <w:szCs w:val="24"/>
        </w:rPr>
        <w:tab/>
      </w:r>
      <w:r w:rsidR="00BD12EC">
        <w:rPr>
          <w:rFonts w:ascii="Times New Roman" w:hAnsi="Times New Roman" w:cs="Times New Roman"/>
          <w:b/>
          <w:i/>
          <w:sz w:val="24"/>
          <w:szCs w:val="24"/>
        </w:rPr>
        <w:t>relevant financial year</w:t>
      </w:r>
      <w:r w:rsidR="00BD12EC">
        <w:rPr>
          <w:rFonts w:ascii="Times New Roman" w:hAnsi="Times New Roman" w:cs="Times New Roman"/>
          <w:sz w:val="24"/>
          <w:szCs w:val="24"/>
        </w:rPr>
        <w:t xml:space="preserve"> means</w:t>
      </w:r>
      <w:r w:rsidR="00BD12EC">
        <w:rPr>
          <w:rFonts w:ascii="Times New Roman" w:hAnsi="Times New Roman" w:cs="Times New Roman"/>
          <w:bCs/>
          <w:iCs/>
          <w:sz w:val="24"/>
          <w:szCs w:val="24"/>
        </w:rPr>
        <w:t xml:space="preserve"> the financial year that begins on 1 July </w:t>
      </w:r>
      <w:r w:rsidR="004C3947">
        <w:rPr>
          <w:rFonts w:ascii="Times New Roman" w:hAnsi="Times New Roman" w:cs="Times New Roman"/>
          <w:bCs/>
          <w:iCs/>
          <w:sz w:val="24"/>
          <w:szCs w:val="24"/>
        </w:rPr>
        <w:t xml:space="preserve">2017 </w:t>
      </w:r>
      <w:r w:rsidR="00BD12EC">
        <w:rPr>
          <w:rFonts w:ascii="Times New Roman" w:hAnsi="Times New Roman" w:cs="Times New Roman"/>
          <w:bCs/>
          <w:iCs/>
          <w:sz w:val="24"/>
          <w:szCs w:val="24"/>
        </w:rPr>
        <w:t>and each later financial year.</w:t>
      </w:r>
    </w:p>
    <w:p w14:paraId="1C43EE59" w14:textId="129753A8" w:rsidR="00BD12EC" w:rsidRPr="00BD12EC" w:rsidRDefault="00BD12EC" w:rsidP="00BD12EC">
      <w:pPr>
        <w:pStyle w:val="definition"/>
        <w:tabs>
          <w:tab w:val="clear" w:pos="1260"/>
          <w:tab w:val="left" w:pos="851"/>
        </w:tabs>
        <w:spacing w:before="120" w:after="120"/>
        <w:ind w:left="851"/>
        <w:jc w:val="left"/>
        <w:rPr>
          <w:rFonts w:ascii="Times New Roman" w:hAnsi="Times New Roman" w:cs="Times New Roman"/>
          <w:sz w:val="24"/>
          <w:szCs w:val="24"/>
        </w:rPr>
      </w:pPr>
      <w:r>
        <w:rPr>
          <w:rFonts w:ascii="Times New Roman" w:hAnsi="Times New Roman" w:cs="Times New Roman"/>
          <w:b/>
          <w:i/>
          <w:sz w:val="24"/>
          <w:szCs w:val="24"/>
        </w:rPr>
        <w:t>T</w:t>
      </w:r>
      <w:r w:rsidR="004C3947">
        <w:rPr>
          <w:rFonts w:ascii="Times New Roman" w:hAnsi="Times New Roman" w:cs="Times New Roman"/>
          <w:b/>
          <w:i/>
          <w:sz w:val="24"/>
          <w:szCs w:val="24"/>
        </w:rPr>
        <w:t xml:space="preserve">CPSS </w:t>
      </w:r>
      <w:r>
        <w:rPr>
          <w:rFonts w:ascii="Times New Roman" w:hAnsi="Times New Roman" w:cs="Times New Roman"/>
          <w:b/>
          <w:i/>
          <w:sz w:val="24"/>
          <w:szCs w:val="24"/>
        </w:rPr>
        <w:t>Act</w:t>
      </w:r>
      <w:r>
        <w:rPr>
          <w:rFonts w:ascii="Times New Roman" w:hAnsi="Times New Roman" w:cs="Times New Roman"/>
          <w:b/>
          <w:sz w:val="24"/>
          <w:szCs w:val="24"/>
        </w:rPr>
        <w:t xml:space="preserve"> </w:t>
      </w:r>
      <w:r w:rsidRPr="00BD12EC">
        <w:rPr>
          <w:rFonts w:ascii="Times New Roman" w:hAnsi="Times New Roman" w:cs="Times New Roman"/>
          <w:sz w:val="24"/>
          <w:szCs w:val="24"/>
        </w:rPr>
        <w:t>means</w:t>
      </w:r>
      <w:r>
        <w:rPr>
          <w:rFonts w:ascii="Times New Roman" w:hAnsi="Times New Roman" w:cs="Times New Roman"/>
          <w:sz w:val="24"/>
          <w:szCs w:val="24"/>
        </w:rPr>
        <w:t xml:space="preserve"> the </w:t>
      </w:r>
      <w:r w:rsidRPr="00BD12EC">
        <w:rPr>
          <w:rFonts w:ascii="Times New Roman" w:hAnsi="Times New Roman" w:cs="Times New Roman"/>
          <w:i/>
          <w:sz w:val="24"/>
          <w:szCs w:val="24"/>
        </w:rPr>
        <w:t xml:space="preserve">Telecommunications </w:t>
      </w:r>
      <w:r w:rsidR="004C3947">
        <w:rPr>
          <w:rFonts w:ascii="Times New Roman" w:hAnsi="Times New Roman" w:cs="Times New Roman"/>
          <w:i/>
          <w:sz w:val="24"/>
          <w:szCs w:val="24"/>
        </w:rPr>
        <w:t>(Consumer Protection and Service Standards) Act 1999.</w:t>
      </w:r>
    </w:p>
    <w:p w14:paraId="751B86A0" w14:textId="77777777" w:rsidR="00BD125D" w:rsidRDefault="00BD125D" w:rsidP="00090F70">
      <w:pPr>
        <w:pStyle w:val="HR"/>
        <w:numPr>
          <w:ilvl w:val="0"/>
          <w:numId w:val="12"/>
        </w:numPr>
        <w:tabs>
          <w:tab w:val="clear" w:pos="360"/>
          <w:tab w:val="num" w:pos="540"/>
        </w:tabs>
        <w:spacing w:before="400" w:line="300" w:lineRule="atLeast"/>
        <w:jc w:val="left"/>
        <w:rPr>
          <w:rFonts w:ascii="Arial" w:hAnsi="Arial" w:cs="Arial"/>
          <w:sz w:val="24"/>
          <w:szCs w:val="24"/>
        </w:rPr>
      </w:pPr>
      <w:r>
        <w:rPr>
          <w:rFonts w:ascii="Arial" w:hAnsi="Arial" w:cs="Arial"/>
          <w:sz w:val="24"/>
          <w:szCs w:val="24"/>
        </w:rPr>
        <w:t>Direction</w:t>
      </w:r>
      <w:r>
        <w:rPr>
          <w:rFonts w:ascii="Arial" w:hAnsi="Arial" w:cs="Arial"/>
          <w:sz w:val="24"/>
          <w:szCs w:val="24"/>
        </w:rPr>
        <w:br/>
      </w:r>
    </w:p>
    <w:p w14:paraId="3C088E1A" w14:textId="77777777" w:rsidR="00BD125D" w:rsidRDefault="00BD125D" w:rsidP="00162084">
      <w:pPr>
        <w:ind w:left="567"/>
      </w:pPr>
      <w:r>
        <w:t>I direct the ACMA to make such determinations as are necessary under subsection 14(1) of the Carrier Licence Charges Act to have the effect of imposing an annual carrier licence charge in the amount of $0 on each carrier licence that is:</w:t>
      </w:r>
    </w:p>
    <w:p w14:paraId="2F405D87" w14:textId="77777777" w:rsidR="00BD125D" w:rsidRDefault="00BD125D" w:rsidP="00162084">
      <w:pPr>
        <w:pStyle w:val="R1"/>
        <w:numPr>
          <w:ilvl w:val="1"/>
          <w:numId w:val="14"/>
        </w:numPr>
        <w:tabs>
          <w:tab w:val="clear" w:pos="1080"/>
          <w:tab w:val="clear" w:pos="1260"/>
          <w:tab w:val="left" w:pos="567"/>
          <w:tab w:val="left" w:pos="709"/>
          <w:tab w:val="num" w:pos="1440"/>
        </w:tabs>
        <w:ind w:left="1441" w:hanging="539"/>
        <w:jc w:val="left"/>
        <w:rPr>
          <w:rFonts w:ascii="Times New Roman" w:hAnsi="Times New Roman" w:cs="Times New Roman"/>
          <w:sz w:val="24"/>
          <w:szCs w:val="24"/>
        </w:rPr>
      </w:pPr>
      <w:r>
        <w:rPr>
          <w:rFonts w:ascii="Times New Roman" w:hAnsi="Times New Roman" w:cs="Times New Roman"/>
          <w:sz w:val="24"/>
          <w:szCs w:val="24"/>
        </w:rPr>
        <w:t>in force at the beginning of a relevant financial year; and</w:t>
      </w:r>
    </w:p>
    <w:p w14:paraId="5350D4F7" w14:textId="77777777" w:rsidR="00BD125D" w:rsidRDefault="00BD125D" w:rsidP="00162084">
      <w:pPr>
        <w:pStyle w:val="P1"/>
        <w:numPr>
          <w:ilvl w:val="1"/>
          <w:numId w:val="14"/>
        </w:numPr>
        <w:tabs>
          <w:tab w:val="clear" w:pos="1080"/>
          <w:tab w:val="clear" w:pos="1260"/>
          <w:tab w:val="num" w:pos="1440"/>
        </w:tabs>
        <w:spacing w:before="120" w:line="240" w:lineRule="auto"/>
        <w:ind w:left="1441" w:hanging="539"/>
        <w:jc w:val="left"/>
        <w:rPr>
          <w:rFonts w:ascii="Times New Roman" w:hAnsi="Times New Roman" w:cs="Times New Roman"/>
          <w:sz w:val="24"/>
          <w:szCs w:val="24"/>
        </w:rPr>
      </w:pPr>
      <w:r>
        <w:rPr>
          <w:rFonts w:ascii="Times New Roman" w:hAnsi="Times New Roman" w:cs="Times New Roman"/>
          <w:sz w:val="24"/>
          <w:szCs w:val="24"/>
        </w:rPr>
        <w:t xml:space="preserve">held by a carrier that was a </w:t>
      </w:r>
      <w:r w:rsidR="000C7006">
        <w:rPr>
          <w:rFonts w:ascii="Times New Roman" w:hAnsi="Times New Roman" w:cs="Times New Roman"/>
          <w:sz w:val="24"/>
          <w:szCs w:val="24"/>
        </w:rPr>
        <w:t>non-</w:t>
      </w:r>
      <w:r w:rsidR="00162084">
        <w:rPr>
          <w:rFonts w:ascii="Times New Roman" w:hAnsi="Times New Roman" w:cs="Times New Roman"/>
          <w:sz w:val="24"/>
          <w:szCs w:val="24"/>
        </w:rPr>
        <w:t>p</w:t>
      </w:r>
      <w:r>
        <w:rPr>
          <w:rFonts w:ascii="Times New Roman" w:hAnsi="Times New Roman" w:cs="Times New Roman"/>
          <w:sz w:val="24"/>
          <w:szCs w:val="24"/>
        </w:rPr>
        <w:t xml:space="preserve">articipating </w:t>
      </w:r>
      <w:r w:rsidR="00162084">
        <w:rPr>
          <w:rFonts w:ascii="Times New Roman" w:hAnsi="Times New Roman" w:cs="Times New Roman"/>
          <w:sz w:val="24"/>
          <w:szCs w:val="24"/>
        </w:rPr>
        <w:t>p</w:t>
      </w:r>
      <w:r>
        <w:rPr>
          <w:rFonts w:ascii="Times New Roman" w:hAnsi="Times New Roman" w:cs="Times New Roman"/>
          <w:sz w:val="24"/>
          <w:szCs w:val="24"/>
        </w:rPr>
        <w:t>erson for the eligible revenue period immediately preceding that financial year.</w:t>
      </w:r>
      <w:r>
        <w:rPr>
          <w:rFonts w:ascii="Times New Roman" w:hAnsi="Times New Roman" w:cs="Times New Roman"/>
          <w:sz w:val="24"/>
          <w:szCs w:val="24"/>
        </w:rPr>
        <w:br/>
      </w:r>
    </w:p>
    <w:p w14:paraId="5F06E829" w14:textId="77777777" w:rsidR="00BD125D" w:rsidRDefault="00BD125D" w:rsidP="00BD125D">
      <w:pPr>
        <w:pStyle w:val="P1"/>
        <w:ind w:left="1287" w:firstLine="0"/>
      </w:pPr>
    </w:p>
    <w:p w14:paraId="27056455" w14:textId="77777777" w:rsidR="00DE55A0" w:rsidRDefault="00DE55A0" w:rsidP="00BD125D">
      <w:pPr>
        <w:spacing w:before="400" w:line="300" w:lineRule="atLeast"/>
        <w:rPr>
          <w:szCs w:val="24"/>
        </w:rPr>
      </w:pPr>
    </w:p>
    <w:sectPr w:rsidR="00DE55A0" w:rsidSect="006A653F">
      <w:headerReference w:type="default" r:id="rId11"/>
      <w:footerReference w:type="default" r:id="rId12"/>
      <w:headerReference w:type="first" r:id="rId13"/>
      <w:footerReference w:type="first" r:id="rId14"/>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97761" w14:textId="77777777" w:rsidR="009513C0" w:rsidRDefault="009513C0">
      <w:r>
        <w:separator/>
      </w:r>
    </w:p>
  </w:endnote>
  <w:endnote w:type="continuationSeparator" w:id="0">
    <w:p w14:paraId="68AA9A5F" w14:textId="77777777" w:rsidR="009513C0" w:rsidRDefault="0095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20E6" w14:textId="77777777" w:rsidR="00323160" w:rsidRDefault="005F307B">
    <w:pPr>
      <w:pStyle w:val="Footer"/>
      <w:jc w:val="center"/>
    </w:pPr>
    <w:r>
      <w:fldChar w:fldCharType="begin"/>
    </w:r>
    <w:r>
      <w:instrText xml:space="preserve"> PAGE   \* MERGEFORMAT </w:instrText>
    </w:r>
    <w:r>
      <w:fldChar w:fldCharType="separate"/>
    </w:r>
    <w:r w:rsidR="00ED3DCF">
      <w:rPr>
        <w:noProof/>
      </w:rPr>
      <w:t>2</w:t>
    </w:r>
    <w:r>
      <w:rPr>
        <w:noProof/>
      </w:rPr>
      <w:fldChar w:fldCharType="end"/>
    </w:r>
  </w:p>
  <w:p w14:paraId="5EFAF8A9" w14:textId="77777777" w:rsidR="00323160" w:rsidRDefault="00323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9FF2" w14:textId="77777777" w:rsidR="00323160" w:rsidRPr="00323160" w:rsidRDefault="00323160" w:rsidP="00323160">
    <w:pPr>
      <w:pStyle w:val="Head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B454B" w14:textId="77777777" w:rsidR="009513C0" w:rsidRDefault="009513C0">
      <w:r>
        <w:separator/>
      </w:r>
    </w:p>
  </w:footnote>
  <w:footnote w:type="continuationSeparator" w:id="0">
    <w:p w14:paraId="2AC50103" w14:textId="77777777" w:rsidR="009513C0" w:rsidRDefault="00951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71A70" w14:textId="3B174F93" w:rsidR="008E7C9A" w:rsidRPr="00785369" w:rsidRDefault="00785369" w:rsidP="00785369">
    <w:pPr>
      <w:pStyle w:val="Header"/>
      <w:jc w:val="center"/>
    </w:pPr>
    <w:r>
      <w:rPr>
        <w:i/>
        <w:iCs/>
      </w:rPr>
      <w:t>Australian Communications and Media Authority (Annual Carrier Licence Charge) Direction 201</w:t>
    </w:r>
    <w:r w:rsidR="008F024B">
      <w:rPr>
        <w:i/>
        <w:iCs/>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CC593" w14:textId="3571AB40" w:rsidR="00323160" w:rsidRPr="00323160" w:rsidRDefault="00323160" w:rsidP="006C1C29">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44FE"/>
    <w:multiLevelType w:val="hybridMultilevel"/>
    <w:tmpl w:val="09BCF2AE"/>
    <w:lvl w:ilvl="0" w:tplc="4772751A">
      <w:start w:val="2"/>
      <w:numFmt w:val="lowerLetter"/>
      <w:lvlText w:val="(%1)"/>
      <w:lvlJc w:val="left"/>
      <w:pPr>
        <w:tabs>
          <w:tab w:val="num" w:pos="1440"/>
        </w:tabs>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57529F"/>
    <w:multiLevelType w:val="hybridMultilevel"/>
    <w:tmpl w:val="AD8A3C7C"/>
    <w:lvl w:ilvl="0" w:tplc="69D487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804407"/>
    <w:multiLevelType w:val="hybridMultilevel"/>
    <w:tmpl w:val="17020EB2"/>
    <w:lvl w:ilvl="0" w:tplc="12B402C6">
      <w:start w:val="1"/>
      <w:numFmt w:val="decimal"/>
      <w:lvlText w:val="(%1)"/>
      <w:lvlJc w:val="left"/>
      <w:pPr>
        <w:tabs>
          <w:tab w:val="num" w:pos="795"/>
        </w:tabs>
        <w:ind w:left="795" w:hanging="4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0813315"/>
    <w:multiLevelType w:val="hybridMultilevel"/>
    <w:tmpl w:val="B06CB0DC"/>
    <w:lvl w:ilvl="0" w:tplc="12B402C6">
      <w:start w:val="1"/>
      <w:numFmt w:val="decimal"/>
      <w:lvlText w:val="(%1)"/>
      <w:lvlJc w:val="left"/>
      <w:pPr>
        <w:tabs>
          <w:tab w:val="num" w:pos="795"/>
        </w:tabs>
        <w:ind w:left="795" w:hanging="4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AA117F6"/>
    <w:multiLevelType w:val="hybridMultilevel"/>
    <w:tmpl w:val="D8E8B3E8"/>
    <w:lvl w:ilvl="0" w:tplc="1BBE8C14">
      <w:start w:val="1"/>
      <w:numFmt w:val="lowerRoman"/>
      <w:lvlText w:val="(%1)"/>
      <w:lvlJc w:val="right"/>
      <w:pPr>
        <w:tabs>
          <w:tab w:val="num" w:pos="1840"/>
        </w:tabs>
        <w:ind w:left="1840" w:hanging="400"/>
      </w:pPr>
      <w:rPr>
        <w:rFonts w:cs="Times New Roman"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2F917B0D"/>
    <w:multiLevelType w:val="multilevel"/>
    <w:tmpl w:val="BFD84904"/>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9D67DB7"/>
    <w:multiLevelType w:val="hybridMultilevel"/>
    <w:tmpl w:val="7B76F6BA"/>
    <w:lvl w:ilvl="0" w:tplc="12B402C6">
      <w:start w:val="1"/>
      <w:numFmt w:val="decimal"/>
      <w:lvlText w:val="(%1)"/>
      <w:lvlJc w:val="left"/>
      <w:pPr>
        <w:tabs>
          <w:tab w:val="num" w:pos="795"/>
        </w:tabs>
        <w:ind w:left="795" w:hanging="435"/>
      </w:pPr>
      <w:rPr>
        <w:rFonts w:hint="default"/>
      </w:rPr>
    </w:lvl>
    <w:lvl w:ilvl="1" w:tplc="61186E44">
      <w:start w:val="1"/>
      <w:numFmt w:val="lowerLetter"/>
      <w:lvlText w:val="(%2)"/>
      <w:lvlJc w:val="left"/>
      <w:pPr>
        <w:tabs>
          <w:tab w:val="num" w:pos="1440"/>
        </w:tabs>
        <w:ind w:left="1440" w:hanging="360"/>
      </w:pPr>
      <w:rPr>
        <w:rFonts w:hint="default"/>
      </w:rPr>
    </w:lvl>
    <w:lvl w:ilvl="2" w:tplc="2EF86868">
      <w:start w:val="1"/>
      <w:numFmt w:val="lowerRoman"/>
      <w:lvlText w:val="(%3)"/>
      <w:lvlJc w:val="righ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E713A90"/>
    <w:multiLevelType w:val="hybridMultilevel"/>
    <w:tmpl w:val="E2987CDA"/>
    <w:lvl w:ilvl="0" w:tplc="5F56C486">
      <w:start w:val="1"/>
      <w:numFmt w:val="lowerLetter"/>
      <w:lvlText w:val="(%1)"/>
      <w:lvlJc w:val="left"/>
      <w:pPr>
        <w:ind w:left="927" w:hanging="360"/>
      </w:pPr>
      <w:rPr>
        <w:i w:val="0"/>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8" w15:restartNumberingAfterBreak="0">
    <w:nsid w:val="5044180A"/>
    <w:multiLevelType w:val="hybridMultilevel"/>
    <w:tmpl w:val="BAC46CC8"/>
    <w:lvl w:ilvl="0" w:tplc="BF5823D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52E30881"/>
    <w:multiLevelType w:val="hybridMultilevel"/>
    <w:tmpl w:val="DE7CE3A2"/>
    <w:lvl w:ilvl="0" w:tplc="1BBE8C14">
      <w:start w:val="1"/>
      <w:numFmt w:val="lowerRoman"/>
      <w:lvlText w:val="(%1)"/>
      <w:lvlJc w:val="right"/>
      <w:pPr>
        <w:tabs>
          <w:tab w:val="num" w:pos="1840"/>
        </w:tabs>
        <w:ind w:left="1840" w:hanging="400"/>
      </w:pPr>
      <w:rPr>
        <w:rFonts w:cs="Times New Roman"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588649D5"/>
    <w:multiLevelType w:val="hybridMultilevel"/>
    <w:tmpl w:val="7232874A"/>
    <w:lvl w:ilvl="0" w:tplc="1BBE8C14">
      <w:start w:val="1"/>
      <w:numFmt w:val="lowerRoman"/>
      <w:lvlText w:val="(%1)"/>
      <w:lvlJc w:val="right"/>
      <w:pPr>
        <w:tabs>
          <w:tab w:val="num" w:pos="1840"/>
        </w:tabs>
        <w:ind w:left="1840" w:hanging="400"/>
      </w:pPr>
      <w:rPr>
        <w:rFonts w:cs="Times New Roman"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66F16C61"/>
    <w:multiLevelType w:val="hybridMultilevel"/>
    <w:tmpl w:val="986A90F4"/>
    <w:lvl w:ilvl="0" w:tplc="69D487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FD4B1D"/>
    <w:multiLevelType w:val="hybridMultilevel"/>
    <w:tmpl w:val="DB920752"/>
    <w:lvl w:ilvl="0" w:tplc="61186E44">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7A36307E"/>
    <w:multiLevelType w:val="hybridMultilevel"/>
    <w:tmpl w:val="D9122C7A"/>
    <w:lvl w:ilvl="0" w:tplc="476C7A2E">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7FC03CA9"/>
    <w:multiLevelType w:val="singleLevel"/>
    <w:tmpl w:val="E5D491BA"/>
    <w:lvl w:ilvl="0">
      <w:start w:val="1"/>
      <w:numFmt w:val="decimal"/>
      <w:lvlText w:val="%1"/>
      <w:lvlJc w:val="left"/>
      <w:pPr>
        <w:tabs>
          <w:tab w:val="num" w:pos="360"/>
        </w:tabs>
        <w:ind w:left="360" w:hanging="360"/>
      </w:pPr>
      <w:rPr>
        <w:rFonts w:hint="default"/>
      </w:rPr>
    </w:lvl>
  </w:abstractNum>
  <w:abstractNum w:abstractNumId="15" w15:restartNumberingAfterBreak="0">
    <w:nsid w:val="7FD158B7"/>
    <w:multiLevelType w:val="hybridMultilevel"/>
    <w:tmpl w:val="94086D28"/>
    <w:lvl w:ilvl="0" w:tplc="21066A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4"/>
  </w:num>
  <w:num w:numId="5">
    <w:abstractNumId w:val="3"/>
  </w:num>
  <w:num w:numId="6">
    <w:abstractNumId w:val="6"/>
  </w:num>
  <w:num w:numId="7">
    <w:abstractNumId w:val="12"/>
  </w:num>
  <w:num w:numId="8">
    <w:abstractNumId w:val="2"/>
  </w:num>
  <w:num w:numId="9">
    <w:abstractNumId w:val="0"/>
  </w:num>
  <w:num w:numId="10">
    <w:abstractNumId w:val="8"/>
  </w:num>
  <w:num w:numId="11">
    <w:abstractNumId w:val="13"/>
  </w:num>
  <w:num w:numId="12">
    <w:abstractNumId w:val="14"/>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1"/>
  </w:num>
  <w:num w:numId="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49"/>
    <w:rsid w:val="0001011A"/>
    <w:rsid w:val="000104C1"/>
    <w:rsid w:val="00024D66"/>
    <w:rsid w:val="000250C3"/>
    <w:rsid w:val="00036020"/>
    <w:rsid w:val="00050AC2"/>
    <w:rsid w:val="0005470B"/>
    <w:rsid w:val="00083EFD"/>
    <w:rsid w:val="00090F70"/>
    <w:rsid w:val="00091D9E"/>
    <w:rsid w:val="000931CD"/>
    <w:rsid w:val="00094104"/>
    <w:rsid w:val="000951BF"/>
    <w:rsid w:val="000B2B0C"/>
    <w:rsid w:val="000C7006"/>
    <w:rsid w:val="000D0093"/>
    <w:rsid w:val="000E0F6F"/>
    <w:rsid w:val="000E6F5C"/>
    <w:rsid w:val="000E71EE"/>
    <w:rsid w:val="001234A1"/>
    <w:rsid w:val="00140967"/>
    <w:rsid w:val="0015767F"/>
    <w:rsid w:val="0016114E"/>
    <w:rsid w:val="001619A3"/>
    <w:rsid w:val="00162084"/>
    <w:rsid w:val="001620D3"/>
    <w:rsid w:val="00163896"/>
    <w:rsid w:val="00165290"/>
    <w:rsid w:val="00167526"/>
    <w:rsid w:val="001714B1"/>
    <w:rsid w:val="00171E85"/>
    <w:rsid w:val="00183C24"/>
    <w:rsid w:val="00187D12"/>
    <w:rsid w:val="00191FE2"/>
    <w:rsid w:val="00193C9A"/>
    <w:rsid w:val="00194386"/>
    <w:rsid w:val="001947A7"/>
    <w:rsid w:val="001A13E8"/>
    <w:rsid w:val="001A5812"/>
    <w:rsid w:val="001B15A2"/>
    <w:rsid w:val="001B4C35"/>
    <w:rsid w:val="001B7DB3"/>
    <w:rsid w:val="001D7EB3"/>
    <w:rsid w:val="001F06D1"/>
    <w:rsid w:val="001F0A58"/>
    <w:rsid w:val="0020469E"/>
    <w:rsid w:val="002070C9"/>
    <w:rsid w:val="0022137D"/>
    <w:rsid w:val="002213BB"/>
    <w:rsid w:val="00226206"/>
    <w:rsid w:val="00231473"/>
    <w:rsid w:val="002349D7"/>
    <w:rsid w:val="00274B10"/>
    <w:rsid w:val="00274F6B"/>
    <w:rsid w:val="00275710"/>
    <w:rsid w:val="00275DE1"/>
    <w:rsid w:val="00281A26"/>
    <w:rsid w:val="00284A40"/>
    <w:rsid w:val="00286AAB"/>
    <w:rsid w:val="002B43FE"/>
    <w:rsid w:val="002B6436"/>
    <w:rsid w:val="002C506F"/>
    <w:rsid w:val="002E049B"/>
    <w:rsid w:val="002E5D7A"/>
    <w:rsid w:val="003078C0"/>
    <w:rsid w:val="00310116"/>
    <w:rsid w:val="00311939"/>
    <w:rsid w:val="00323160"/>
    <w:rsid w:val="00325C9D"/>
    <w:rsid w:val="003341FA"/>
    <w:rsid w:val="00337C84"/>
    <w:rsid w:val="003442A9"/>
    <w:rsid w:val="003500FF"/>
    <w:rsid w:val="00357475"/>
    <w:rsid w:val="00371CF3"/>
    <w:rsid w:val="003959E6"/>
    <w:rsid w:val="00395E23"/>
    <w:rsid w:val="003A4D7B"/>
    <w:rsid w:val="003B17C9"/>
    <w:rsid w:val="003B46C6"/>
    <w:rsid w:val="003B7E63"/>
    <w:rsid w:val="003D38EC"/>
    <w:rsid w:val="003D3A11"/>
    <w:rsid w:val="003D6F66"/>
    <w:rsid w:val="004051E7"/>
    <w:rsid w:val="00431148"/>
    <w:rsid w:val="00431E0D"/>
    <w:rsid w:val="0044124D"/>
    <w:rsid w:val="0044346A"/>
    <w:rsid w:val="00476748"/>
    <w:rsid w:val="0048410D"/>
    <w:rsid w:val="004876A7"/>
    <w:rsid w:val="004A2D99"/>
    <w:rsid w:val="004A616F"/>
    <w:rsid w:val="004B2C43"/>
    <w:rsid w:val="004B6A38"/>
    <w:rsid w:val="004C3947"/>
    <w:rsid w:val="004C5E82"/>
    <w:rsid w:val="004C742F"/>
    <w:rsid w:val="004E17F4"/>
    <w:rsid w:val="004E3664"/>
    <w:rsid w:val="004E5341"/>
    <w:rsid w:val="005000BF"/>
    <w:rsid w:val="00500997"/>
    <w:rsid w:val="00505A2C"/>
    <w:rsid w:val="00511395"/>
    <w:rsid w:val="005128D1"/>
    <w:rsid w:val="00512D38"/>
    <w:rsid w:val="005134CF"/>
    <w:rsid w:val="005208AA"/>
    <w:rsid w:val="005274FC"/>
    <w:rsid w:val="00534B43"/>
    <w:rsid w:val="00536E5D"/>
    <w:rsid w:val="005532BC"/>
    <w:rsid w:val="00565BA1"/>
    <w:rsid w:val="00582119"/>
    <w:rsid w:val="00585046"/>
    <w:rsid w:val="005975E8"/>
    <w:rsid w:val="005A725A"/>
    <w:rsid w:val="005B16F2"/>
    <w:rsid w:val="005B594F"/>
    <w:rsid w:val="005B64B4"/>
    <w:rsid w:val="005B7CB4"/>
    <w:rsid w:val="005B7F1A"/>
    <w:rsid w:val="005C022E"/>
    <w:rsid w:val="005F1489"/>
    <w:rsid w:val="005F307B"/>
    <w:rsid w:val="005F3E1C"/>
    <w:rsid w:val="005F4297"/>
    <w:rsid w:val="005F590E"/>
    <w:rsid w:val="005F77C2"/>
    <w:rsid w:val="006075AF"/>
    <w:rsid w:val="0061556B"/>
    <w:rsid w:val="0062724C"/>
    <w:rsid w:val="00630F7E"/>
    <w:rsid w:val="00641536"/>
    <w:rsid w:val="00651513"/>
    <w:rsid w:val="00660230"/>
    <w:rsid w:val="006758B4"/>
    <w:rsid w:val="00682E43"/>
    <w:rsid w:val="006871AA"/>
    <w:rsid w:val="00692F96"/>
    <w:rsid w:val="00695E26"/>
    <w:rsid w:val="0069758F"/>
    <w:rsid w:val="006975D6"/>
    <w:rsid w:val="006A4C1C"/>
    <w:rsid w:val="006A653F"/>
    <w:rsid w:val="006C1C29"/>
    <w:rsid w:val="006D6654"/>
    <w:rsid w:val="006E0AD3"/>
    <w:rsid w:val="006E22E7"/>
    <w:rsid w:val="006E735B"/>
    <w:rsid w:val="006F23BE"/>
    <w:rsid w:val="00701F5D"/>
    <w:rsid w:val="00704E8F"/>
    <w:rsid w:val="007168B4"/>
    <w:rsid w:val="00724570"/>
    <w:rsid w:val="007453B7"/>
    <w:rsid w:val="0074606B"/>
    <w:rsid w:val="00762728"/>
    <w:rsid w:val="00764F84"/>
    <w:rsid w:val="007717FB"/>
    <w:rsid w:val="00775B6B"/>
    <w:rsid w:val="00784622"/>
    <w:rsid w:val="00785369"/>
    <w:rsid w:val="007B46D6"/>
    <w:rsid w:val="007C10D0"/>
    <w:rsid w:val="007D13E0"/>
    <w:rsid w:val="008121D6"/>
    <w:rsid w:val="00813FF3"/>
    <w:rsid w:val="00821DBF"/>
    <w:rsid w:val="008330A3"/>
    <w:rsid w:val="008338C0"/>
    <w:rsid w:val="00834BB3"/>
    <w:rsid w:val="00835E2B"/>
    <w:rsid w:val="00840E74"/>
    <w:rsid w:val="008422B0"/>
    <w:rsid w:val="0084335D"/>
    <w:rsid w:val="00843AF9"/>
    <w:rsid w:val="00850DE9"/>
    <w:rsid w:val="0086288B"/>
    <w:rsid w:val="008639C2"/>
    <w:rsid w:val="008650C3"/>
    <w:rsid w:val="00873761"/>
    <w:rsid w:val="00874750"/>
    <w:rsid w:val="008807D8"/>
    <w:rsid w:val="00881711"/>
    <w:rsid w:val="0088661E"/>
    <w:rsid w:val="00887FB7"/>
    <w:rsid w:val="008B65D8"/>
    <w:rsid w:val="008C210A"/>
    <w:rsid w:val="008C47E2"/>
    <w:rsid w:val="008D3238"/>
    <w:rsid w:val="008D6BE1"/>
    <w:rsid w:val="008E7C9A"/>
    <w:rsid w:val="008F024B"/>
    <w:rsid w:val="009037A5"/>
    <w:rsid w:val="00933817"/>
    <w:rsid w:val="009339A9"/>
    <w:rsid w:val="0094183A"/>
    <w:rsid w:val="009513C0"/>
    <w:rsid w:val="009514CA"/>
    <w:rsid w:val="009550F8"/>
    <w:rsid w:val="009861A8"/>
    <w:rsid w:val="009A3B34"/>
    <w:rsid w:val="009B4694"/>
    <w:rsid w:val="009B5815"/>
    <w:rsid w:val="009B5F2D"/>
    <w:rsid w:val="009D13EA"/>
    <w:rsid w:val="009D381E"/>
    <w:rsid w:val="009E0AD6"/>
    <w:rsid w:val="009F2A55"/>
    <w:rsid w:val="009F6626"/>
    <w:rsid w:val="00A13825"/>
    <w:rsid w:val="00A5378B"/>
    <w:rsid w:val="00A603F1"/>
    <w:rsid w:val="00A76376"/>
    <w:rsid w:val="00A839E2"/>
    <w:rsid w:val="00A85674"/>
    <w:rsid w:val="00AA3405"/>
    <w:rsid w:val="00AB5CDA"/>
    <w:rsid w:val="00AC11AE"/>
    <w:rsid w:val="00AC153C"/>
    <w:rsid w:val="00AD250B"/>
    <w:rsid w:val="00AF4452"/>
    <w:rsid w:val="00B11FC5"/>
    <w:rsid w:val="00B17C9C"/>
    <w:rsid w:val="00B43316"/>
    <w:rsid w:val="00B46A0C"/>
    <w:rsid w:val="00B50C5F"/>
    <w:rsid w:val="00B54973"/>
    <w:rsid w:val="00B625C6"/>
    <w:rsid w:val="00B6360D"/>
    <w:rsid w:val="00B75B1F"/>
    <w:rsid w:val="00B93AA7"/>
    <w:rsid w:val="00B9682E"/>
    <w:rsid w:val="00BA13CC"/>
    <w:rsid w:val="00BB27D4"/>
    <w:rsid w:val="00BB2D95"/>
    <w:rsid w:val="00BB48A5"/>
    <w:rsid w:val="00BD0958"/>
    <w:rsid w:val="00BD125D"/>
    <w:rsid w:val="00BD12EC"/>
    <w:rsid w:val="00BD644D"/>
    <w:rsid w:val="00BD7B87"/>
    <w:rsid w:val="00BE1C87"/>
    <w:rsid w:val="00BF0FBA"/>
    <w:rsid w:val="00BF1A18"/>
    <w:rsid w:val="00BF559A"/>
    <w:rsid w:val="00C05BE5"/>
    <w:rsid w:val="00C143A5"/>
    <w:rsid w:val="00C44F5A"/>
    <w:rsid w:val="00C5160B"/>
    <w:rsid w:val="00C6206C"/>
    <w:rsid w:val="00C628EE"/>
    <w:rsid w:val="00C64984"/>
    <w:rsid w:val="00C66503"/>
    <w:rsid w:val="00C66A90"/>
    <w:rsid w:val="00C7265E"/>
    <w:rsid w:val="00C8720D"/>
    <w:rsid w:val="00C92C87"/>
    <w:rsid w:val="00C9487F"/>
    <w:rsid w:val="00C95D49"/>
    <w:rsid w:val="00C95F3A"/>
    <w:rsid w:val="00CA44E7"/>
    <w:rsid w:val="00CB06BF"/>
    <w:rsid w:val="00CB49D7"/>
    <w:rsid w:val="00CC3451"/>
    <w:rsid w:val="00CC5478"/>
    <w:rsid w:val="00CD065D"/>
    <w:rsid w:val="00CD110F"/>
    <w:rsid w:val="00CE0B2C"/>
    <w:rsid w:val="00CE7523"/>
    <w:rsid w:val="00CF54AD"/>
    <w:rsid w:val="00D02E15"/>
    <w:rsid w:val="00D03847"/>
    <w:rsid w:val="00D128A1"/>
    <w:rsid w:val="00D2375F"/>
    <w:rsid w:val="00D2443F"/>
    <w:rsid w:val="00D3249B"/>
    <w:rsid w:val="00D41351"/>
    <w:rsid w:val="00D51849"/>
    <w:rsid w:val="00D528E3"/>
    <w:rsid w:val="00D65F73"/>
    <w:rsid w:val="00D66CEA"/>
    <w:rsid w:val="00D67264"/>
    <w:rsid w:val="00D76B17"/>
    <w:rsid w:val="00D76E50"/>
    <w:rsid w:val="00D81F02"/>
    <w:rsid w:val="00D837C8"/>
    <w:rsid w:val="00DA0F60"/>
    <w:rsid w:val="00DA1E0A"/>
    <w:rsid w:val="00DA621A"/>
    <w:rsid w:val="00DB7D30"/>
    <w:rsid w:val="00DC2EA4"/>
    <w:rsid w:val="00DC3308"/>
    <w:rsid w:val="00DC6023"/>
    <w:rsid w:val="00DD14AC"/>
    <w:rsid w:val="00DD3DE3"/>
    <w:rsid w:val="00DD409B"/>
    <w:rsid w:val="00DE4252"/>
    <w:rsid w:val="00DE55A0"/>
    <w:rsid w:val="00E02AE4"/>
    <w:rsid w:val="00E03840"/>
    <w:rsid w:val="00E05107"/>
    <w:rsid w:val="00E12C45"/>
    <w:rsid w:val="00E16862"/>
    <w:rsid w:val="00E20FF5"/>
    <w:rsid w:val="00E40131"/>
    <w:rsid w:val="00E5740B"/>
    <w:rsid w:val="00E623B1"/>
    <w:rsid w:val="00E638C6"/>
    <w:rsid w:val="00E762E2"/>
    <w:rsid w:val="00E858CF"/>
    <w:rsid w:val="00EB4B38"/>
    <w:rsid w:val="00EC26F7"/>
    <w:rsid w:val="00ED2FD5"/>
    <w:rsid w:val="00ED3DCF"/>
    <w:rsid w:val="00ED5609"/>
    <w:rsid w:val="00EE2E6C"/>
    <w:rsid w:val="00F152AF"/>
    <w:rsid w:val="00F31070"/>
    <w:rsid w:val="00F4769B"/>
    <w:rsid w:val="00F643BE"/>
    <w:rsid w:val="00F73986"/>
    <w:rsid w:val="00F870FC"/>
    <w:rsid w:val="00F90D0F"/>
    <w:rsid w:val="00F91551"/>
    <w:rsid w:val="00F91B63"/>
    <w:rsid w:val="00F94D99"/>
    <w:rsid w:val="00FA2A4D"/>
    <w:rsid w:val="00FB0F8C"/>
    <w:rsid w:val="00FC1E6F"/>
    <w:rsid w:val="00FC4B7F"/>
    <w:rsid w:val="00FC572E"/>
    <w:rsid w:val="00FC630D"/>
    <w:rsid w:val="00FD7914"/>
    <w:rsid w:val="00FE439D"/>
    <w:rsid w:val="00FF3F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hapeDefaults>
    <o:shapedefaults v:ext="edit" spidmax="18433"/>
    <o:shapelayout v:ext="edit">
      <o:idmap v:ext="edit" data="1"/>
    </o:shapelayout>
  </w:shapeDefaults>
  <w:decimalSymbol w:val="."/>
  <w:listSeparator w:val=","/>
  <w14:docId w14:val="3620493A"/>
  <w15:docId w15:val="{95B37294-660C-4808-879F-F65BAB52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1AE"/>
    <w:rPr>
      <w:sz w:val="24"/>
      <w:lang w:eastAsia="en-US"/>
    </w:rPr>
  </w:style>
  <w:style w:type="paragraph" w:styleId="Heading6">
    <w:name w:val="heading 6"/>
    <w:basedOn w:val="Normal"/>
    <w:next w:val="Normal"/>
    <w:link w:val="Heading6Char"/>
    <w:qFormat/>
    <w:rsid w:val="00AC11A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
    <w:name w:val="HR"/>
    <w:aliases w:val="Regulation Heading"/>
    <w:basedOn w:val="Normal"/>
    <w:next w:val="R1"/>
    <w:rsid w:val="00AC11AE"/>
    <w:pPr>
      <w:keepNext/>
      <w:tabs>
        <w:tab w:val="left" w:pos="540"/>
      </w:tabs>
      <w:autoSpaceDE w:val="0"/>
      <w:autoSpaceDN w:val="0"/>
      <w:spacing w:before="480" w:line="240" w:lineRule="atLeast"/>
      <w:jc w:val="both"/>
    </w:pPr>
    <w:rPr>
      <w:rFonts w:ascii="Times" w:hAnsi="Times" w:cs="Times"/>
      <w:b/>
      <w:bCs/>
      <w:sz w:val="26"/>
      <w:szCs w:val="26"/>
      <w:lang w:eastAsia="en-AU"/>
    </w:rPr>
  </w:style>
  <w:style w:type="paragraph" w:customStyle="1" w:styleId="R1">
    <w:name w:val="R1"/>
    <w:aliases w:val="1. or 1.(1)"/>
    <w:basedOn w:val="Normal"/>
    <w:next w:val="P1"/>
    <w:rsid w:val="00AC11AE"/>
    <w:pPr>
      <w:tabs>
        <w:tab w:val="right" w:pos="1080"/>
        <w:tab w:val="left" w:pos="1260"/>
        <w:tab w:val="left" w:pos="1800"/>
      </w:tabs>
      <w:autoSpaceDE w:val="0"/>
      <w:autoSpaceDN w:val="0"/>
      <w:spacing w:before="120"/>
      <w:jc w:val="both"/>
    </w:pPr>
    <w:rPr>
      <w:rFonts w:ascii="Times" w:hAnsi="Times" w:cs="Times"/>
      <w:sz w:val="26"/>
      <w:szCs w:val="26"/>
      <w:lang w:eastAsia="en-AU"/>
    </w:rPr>
  </w:style>
  <w:style w:type="paragraph" w:customStyle="1" w:styleId="P1">
    <w:name w:val="P1"/>
    <w:aliases w:val="(a)"/>
    <w:basedOn w:val="Normal"/>
    <w:rsid w:val="00AC11AE"/>
    <w:pPr>
      <w:tabs>
        <w:tab w:val="right" w:pos="1080"/>
      </w:tabs>
      <w:autoSpaceDE w:val="0"/>
      <w:autoSpaceDN w:val="0"/>
      <w:spacing w:before="40" w:line="260" w:lineRule="atLeast"/>
      <w:ind w:left="1276" w:hanging="1280"/>
      <w:jc w:val="both"/>
    </w:pPr>
    <w:rPr>
      <w:rFonts w:ascii="Times" w:hAnsi="Times" w:cs="Times"/>
      <w:sz w:val="26"/>
      <w:szCs w:val="26"/>
      <w:lang w:eastAsia="en-AU"/>
    </w:rPr>
  </w:style>
  <w:style w:type="paragraph" w:customStyle="1" w:styleId="P2">
    <w:name w:val="P2"/>
    <w:aliases w:val="(i)"/>
    <w:basedOn w:val="Normal"/>
    <w:rsid w:val="00AC11AE"/>
    <w:pPr>
      <w:tabs>
        <w:tab w:val="right" w:pos="1800"/>
      </w:tabs>
      <w:autoSpaceDE w:val="0"/>
      <w:autoSpaceDN w:val="0"/>
      <w:spacing w:before="40" w:line="260" w:lineRule="atLeast"/>
      <w:ind w:left="1985" w:hanging="1980"/>
      <w:jc w:val="both"/>
    </w:pPr>
    <w:rPr>
      <w:rFonts w:ascii="Times" w:hAnsi="Times" w:cs="Times"/>
      <w:sz w:val="26"/>
      <w:szCs w:val="26"/>
      <w:lang w:eastAsia="en-AU"/>
    </w:rPr>
  </w:style>
  <w:style w:type="paragraph" w:styleId="Title">
    <w:name w:val="Title"/>
    <w:basedOn w:val="Normal"/>
    <w:next w:val="Normal"/>
    <w:link w:val="TitleChar"/>
    <w:qFormat/>
    <w:rsid w:val="00AC11AE"/>
    <w:pPr>
      <w:autoSpaceDE w:val="0"/>
      <w:autoSpaceDN w:val="0"/>
      <w:spacing w:before="480"/>
      <w:jc w:val="center"/>
    </w:pPr>
    <w:rPr>
      <w:rFonts w:ascii="Times" w:hAnsi="Times" w:cs="Times"/>
      <w:b/>
      <w:bCs/>
      <w:sz w:val="36"/>
      <w:szCs w:val="36"/>
      <w:lang w:eastAsia="en-AU"/>
    </w:rPr>
  </w:style>
  <w:style w:type="paragraph" w:customStyle="1" w:styleId="HP">
    <w:name w:val="HP"/>
    <w:aliases w:val="Part Heading"/>
    <w:basedOn w:val="Normal"/>
    <w:next w:val="Normal"/>
    <w:rsid w:val="00AC11AE"/>
    <w:pPr>
      <w:keepNext/>
      <w:autoSpaceDE w:val="0"/>
      <w:autoSpaceDN w:val="0"/>
      <w:spacing w:before="480"/>
      <w:jc w:val="center"/>
    </w:pPr>
    <w:rPr>
      <w:rFonts w:ascii="Times" w:hAnsi="Times" w:cs="Times"/>
      <w:b/>
      <w:bCs/>
      <w:sz w:val="26"/>
      <w:szCs w:val="26"/>
      <w:lang w:eastAsia="en-AU"/>
    </w:rPr>
  </w:style>
  <w:style w:type="paragraph" w:customStyle="1" w:styleId="definition">
    <w:name w:val="definition"/>
    <w:basedOn w:val="Normal"/>
    <w:rsid w:val="00AC11AE"/>
    <w:pPr>
      <w:tabs>
        <w:tab w:val="right" w:pos="1080"/>
        <w:tab w:val="left" w:pos="1260"/>
        <w:tab w:val="left" w:pos="1800"/>
      </w:tabs>
      <w:autoSpaceDE w:val="0"/>
      <w:autoSpaceDN w:val="0"/>
      <w:spacing w:before="40"/>
      <w:jc w:val="both"/>
    </w:pPr>
    <w:rPr>
      <w:rFonts w:ascii="Times" w:hAnsi="Times" w:cs="Times"/>
      <w:sz w:val="26"/>
      <w:szCs w:val="26"/>
      <w:lang w:eastAsia="en-AU"/>
    </w:rPr>
  </w:style>
  <w:style w:type="character" w:styleId="CommentReference">
    <w:name w:val="annotation reference"/>
    <w:semiHidden/>
    <w:rsid w:val="00AC11AE"/>
    <w:rPr>
      <w:sz w:val="16"/>
      <w:szCs w:val="16"/>
    </w:rPr>
  </w:style>
  <w:style w:type="paragraph" w:styleId="CommentText">
    <w:name w:val="annotation text"/>
    <w:basedOn w:val="Normal"/>
    <w:semiHidden/>
    <w:rsid w:val="00AC11AE"/>
    <w:rPr>
      <w:sz w:val="20"/>
    </w:rPr>
  </w:style>
  <w:style w:type="paragraph" w:styleId="CommentSubject">
    <w:name w:val="annotation subject"/>
    <w:basedOn w:val="CommentText"/>
    <w:next w:val="CommentText"/>
    <w:semiHidden/>
    <w:rsid w:val="00AC11AE"/>
    <w:rPr>
      <w:b/>
      <w:bCs/>
    </w:rPr>
  </w:style>
  <w:style w:type="paragraph" w:styleId="BalloonText">
    <w:name w:val="Balloon Text"/>
    <w:basedOn w:val="Normal"/>
    <w:semiHidden/>
    <w:rsid w:val="00AC11AE"/>
    <w:rPr>
      <w:rFonts w:ascii="Tahoma" w:hAnsi="Tahoma" w:cs="Tahoma"/>
      <w:sz w:val="16"/>
      <w:szCs w:val="16"/>
    </w:rPr>
  </w:style>
  <w:style w:type="paragraph" w:styleId="Header">
    <w:name w:val="header"/>
    <w:basedOn w:val="Normal"/>
    <w:rsid w:val="00AC11AE"/>
    <w:pPr>
      <w:tabs>
        <w:tab w:val="center" w:pos="4153"/>
        <w:tab w:val="right" w:pos="8306"/>
      </w:tabs>
    </w:pPr>
  </w:style>
  <w:style w:type="paragraph" w:styleId="Footer">
    <w:name w:val="footer"/>
    <w:basedOn w:val="Normal"/>
    <w:link w:val="FooterChar"/>
    <w:uiPriority w:val="99"/>
    <w:rsid w:val="00AC11AE"/>
    <w:pPr>
      <w:tabs>
        <w:tab w:val="center" w:pos="4153"/>
        <w:tab w:val="right" w:pos="8306"/>
      </w:tabs>
    </w:pPr>
  </w:style>
  <w:style w:type="paragraph" w:customStyle="1" w:styleId="hr0">
    <w:name w:val="hr"/>
    <w:basedOn w:val="Normal"/>
    <w:rsid w:val="00AC11AE"/>
    <w:pPr>
      <w:keepNext/>
      <w:spacing w:before="360"/>
      <w:ind w:left="964" w:hanging="964"/>
    </w:pPr>
    <w:rPr>
      <w:rFonts w:ascii="Arial" w:hAnsi="Arial" w:cs="Arial"/>
      <w:b/>
      <w:bCs/>
      <w:szCs w:val="24"/>
      <w:lang w:eastAsia="en-AU"/>
    </w:rPr>
  </w:style>
  <w:style w:type="paragraph" w:customStyle="1" w:styleId="r10">
    <w:name w:val="r1"/>
    <w:basedOn w:val="Normal"/>
    <w:rsid w:val="00AC11AE"/>
    <w:pPr>
      <w:spacing w:before="120" w:line="260" w:lineRule="atLeast"/>
      <w:ind w:left="964" w:hanging="964"/>
      <w:jc w:val="both"/>
    </w:pPr>
    <w:rPr>
      <w:szCs w:val="24"/>
      <w:lang w:eastAsia="en-AU"/>
    </w:rPr>
  </w:style>
  <w:style w:type="paragraph" w:styleId="DocumentMap">
    <w:name w:val="Document Map"/>
    <w:basedOn w:val="Normal"/>
    <w:semiHidden/>
    <w:rsid w:val="00AC11AE"/>
    <w:pPr>
      <w:shd w:val="clear" w:color="auto" w:fill="000080"/>
    </w:pPr>
    <w:rPr>
      <w:rFonts w:ascii="Tahoma" w:hAnsi="Tahoma" w:cs="Tahoma"/>
      <w:sz w:val="20"/>
    </w:rPr>
  </w:style>
  <w:style w:type="paragraph" w:styleId="BodyText">
    <w:name w:val="Body Text"/>
    <w:basedOn w:val="Normal"/>
    <w:link w:val="BodyTextChar"/>
    <w:qFormat/>
    <w:rsid w:val="002B43FE"/>
    <w:pPr>
      <w:spacing w:after="240" w:line="240" w:lineRule="atLeast"/>
    </w:pPr>
    <w:rPr>
      <w:rFonts w:ascii="Arial" w:hAnsi="Arial"/>
      <w:color w:val="000000"/>
      <w:sz w:val="20"/>
    </w:rPr>
  </w:style>
  <w:style w:type="character" w:customStyle="1" w:styleId="BodyTextChar">
    <w:name w:val="Body Text Char"/>
    <w:link w:val="BodyText"/>
    <w:rsid w:val="002B43FE"/>
    <w:rPr>
      <w:rFonts w:ascii="Arial" w:hAnsi="Arial"/>
      <w:color w:val="000000"/>
      <w:lang w:eastAsia="en-US"/>
    </w:rPr>
  </w:style>
  <w:style w:type="character" w:styleId="Hyperlink">
    <w:name w:val="Hyperlink"/>
    <w:uiPriority w:val="99"/>
    <w:unhideWhenUsed/>
    <w:rsid w:val="00C66A90"/>
    <w:rPr>
      <w:color w:val="0000FF"/>
      <w:u w:val="single"/>
    </w:rPr>
  </w:style>
  <w:style w:type="paragraph" w:styleId="Revision">
    <w:name w:val="Revision"/>
    <w:hidden/>
    <w:uiPriority w:val="99"/>
    <w:semiHidden/>
    <w:rsid w:val="00C66A90"/>
    <w:rPr>
      <w:sz w:val="24"/>
      <w:lang w:eastAsia="en-US"/>
    </w:rPr>
  </w:style>
  <w:style w:type="character" w:customStyle="1" w:styleId="FooterChar">
    <w:name w:val="Footer Char"/>
    <w:link w:val="Footer"/>
    <w:uiPriority w:val="99"/>
    <w:rsid w:val="006A653F"/>
    <w:rPr>
      <w:sz w:val="24"/>
      <w:lang w:eastAsia="en-US"/>
    </w:rPr>
  </w:style>
  <w:style w:type="character" w:customStyle="1" w:styleId="TitleChar">
    <w:name w:val="Title Char"/>
    <w:link w:val="Title"/>
    <w:rsid w:val="00BD125D"/>
    <w:rPr>
      <w:rFonts w:ascii="Times" w:hAnsi="Times" w:cs="Times"/>
      <w:b/>
      <w:bCs/>
      <w:sz w:val="36"/>
      <w:szCs w:val="36"/>
    </w:rPr>
  </w:style>
  <w:style w:type="character" w:customStyle="1" w:styleId="Heading6Char">
    <w:name w:val="Heading 6 Char"/>
    <w:link w:val="Heading6"/>
    <w:rsid w:val="00BD125D"/>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4541">
      <w:bodyDiv w:val="1"/>
      <w:marLeft w:val="0"/>
      <w:marRight w:val="0"/>
      <w:marTop w:val="0"/>
      <w:marBottom w:val="0"/>
      <w:divBdr>
        <w:top w:val="none" w:sz="0" w:space="0" w:color="auto"/>
        <w:left w:val="none" w:sz="0" w:space="0" w:color="auto"/>
        <w:bottom w:val="none" w:sz="0" w:space="0" w:color="auto"/>
        <w:right w:val="none" w:sz="0" w:space="0" w:color="auto"/>
      </w:divBdr>
    </w:div>
    <w:div w:id="470711059">
      <w:bodyDiv w:val="1"/>
      <w:marLeft w:val="0"/>
      <w:marRight w:val="0"/>
      <w:marTop w:val="0"/>
      <w:marBottom w:val="0"/>
      <w:divBdr>
        <w:top w:val="none" w:sz="0" w:space="0" w:color="auto"/>
        <w:left w:val="none" w:sz="0" w:space="0" w:color="auto"/>
        <w:bottom w:val="none" w:sz="0" w:space="0" w:color="auto"/>
        <w:right w:val="none" w:sz="0" w:space="0" w:color="auto"/>
      </w:divBdr>
      <w:divsChild>
        <w:div w:id="1990480569">
          <w:marLeft w:val="0"/>
          <w:marRight w:val="0"/>
          <w:marTop w:val="0"/>
          <w:marBottom w:val="0"/>
          <w:divBdr>
            <w:top w:val="none" w:sz="0" w:space="0" w:color="auto"/>
            <w:left w:val="none" w:sz="0" w:space="0" w:color="auto"/>
            <w:bottom w:val="none" w:sz="0" w:space="0" w:color="auto"/>
            <w:right w:val="none" w:sz="0" w:space="0" w:color="auto"/>
          </w:divBdr>
          <w:divsChild>
            <w:div w:id="72970031">
              <w:marLeft w:val="0"/>
              <w:marRight w:val="0"/>
              <w:marTop w:val="0"/>
              <w:marBottom w:val="0"/>
              <w:divBdr>
                <w:top w:val="none" w:sz="0" w:space="0" w:color="auto"/>
                <w:left w:val="none" w:sz="0" w:space="0" w:color="auto"/>
                <w:bottom w:val="none" w:sz="0" w:space="0" w:color="auto"/>
                <w:right w:val="none" w:sz="0" w:space="0" w:color="auto"/>
              </w:divBdr>
              <w:divsChild>
                <w:div w:id="1925992217">
                  <w:marLeft w:val="0"/>
                  <w:marRight w:val="0"/>
                  <w:marTop w:val="0"/>
                  <w:marBottom w:val="0"/>
                  <w:divBdr>
                    <w:top w:val="none" w:sz="0" w:space="0" w:color="auto"/>
                    <w:left w:val="none" w:sz="0" w:space="0" w:color="auto"/>
                    <w:bottom w:val="none" w:sz="0" w:space="0" w:color="auto"/>
                    <w:right w:val="none" w:sz="0" w:space="0" w:color="auto"/>
                  </w:divBdr>
                  <w:divsChild>
                    <w:div w:id="499085393">
                      <w:marLeft w:val="0"/>
                      <w:marRight w:val="0"/>
                      <w:marTop w:val="0"/>
                      <w:marBottom w:val="0"/>
                      <w:divBdr>
                        <w:top w:val="none" w:sz="0" w:space="0" w:color="auto"/>
                        <w:left w:val="none" w:sz="0" w:space="0" w:color="auto"/>
                        <w:bottom w:val="none" w:sz="0" w:space="0" w:color="auto"/>
                        <w:right w:val="none" w:sz="0" w:space="0" w:color="auto"/>
                      </w:divBdr>
                      <w:divsChild>
                        <w:div w:id="1310093971">
                          <w:marLeft w:val="0"/>
                          <w:marRight w:val="0"/>
                          <w:marTop w:val="0"/>
                          <w:marBottom w:val="0"/>
                          <w:divBdr>
                            <w:top w:val="none" w:sz="0" w:space="0" w:color="auto"/>
                            <w:left w:val="none" w:sz="0" w:space="0" w:color="auto"/>
                            <w:bottom w:val="none" w:sz="0" w:space="0" w:color="auto"/>
                            <w:right w:val="none" w:sz="0" w:space="0" w:color="auto"/>
                          </w:divBdr>
                          <w:divsChild>
                            <w:div w:id="11176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0881">
      <w:bodyDiv w:val="1"/>
      <w:marLeft w:val="0"/>
      <w:marRight w:val="0"/>
      <w:marTop w:val="0"/>
      <w:marBottom w:val="0"/>
      <w:divBdr>
        <w:top w:val="none" w:sz="0" w:space="0" w:color="auto"/>
        <w:left w:val="none" w:sz="0" w:space="0" w:color="auto"/>
        <w:bottom w:val="none" w:sz="0" w:space="0" w:color="auto"/>
        <w:right w:val="none" w:sz="0" w:space="0" w:color="auto"/>
      </w:divBdr>
    </w:div>
    <w:div w:id="863982164">
      <w:bodyDiv w:val="1"/>
      <w:marLeft w:val="0"/>
      <w:marRight w:val="0"/>
      <w:marTop w:val="0"/>
      <w:marBottom w:val="0"/>
      <w:divBdr>
        <w:top w:val="none" w:sz="0" w:space="0" w:color="auto"/>
        <w:left w:val="none" w:sz="0" w:space="0" w:color="auto"/>
        <w:bottom w:val="none" w:sz="0" w:space="0" w:color="auto"/>
        <w:right w:val="none" w:sz="0" w:space="0" w:color="auto"/>
      </w:divBdr>
    </w:div>
    <w:div w:id="1269432731">
      <w:bodyDiv w:val="1"/>
      <w:marLeft w:val="0"/>
      <w:marRight w:val="0"/>
      <w:marTop w:val="0"/>
      <w:marBottom w:val="0"/>
      <w:divBdr>
        <w:top w:val="none" w:sz="0" w:space="0" w:color="auto"/>
        <w:left w:val="none" w:sz="0" w:space="0" w:color="auto"/>
        <w:bottom w:val="none" w:sz="0" w:space="0" w:color="auto"/>
        <w:right w:val="none" w:sz="0" w:space="0" w:color="auto"/>
      </w:divBdr>
    </w:div>
    <w:div w:id="1283028212">
      <w:bodyDiv w:val="1"/>
      <w:marLeft w:val="0"/>
      <w:marRight w:val="0"/>
      <w:marTop w:val="0"/>
      <w:marBottom w:val="0"/>
      <w:divBdr>
        <w:top w:val="none" w:sz="0" w:space="0" w:color="auto"/>
        <w:left w:val="none" w:sz="0" w:space="0" w:color="auto"/>
        <w:bottom w:val="none" w:sz="0" w:space="0" w:color="auto"/>
        <w:right w:val="none" w:sz="0" w:space="0" w:color="auto"/>
      </w:divBdr>
    </w:div>
    <w:div w:id="1346639205">
      <w:bodyDiv w:val="1"/>
      <w:marLeft w:val="0"/>
      <w:marRight w:val="0"/>
      <w:marTop w:val="0"/>
      <w:marBottom w:val="0"/>
      <w:divBdr>
        <w:top w:val="none" w:sz="0" w:space="0" w:color="auto"/>
        <w:left w:val="none" w:sz="0" w:space="0" w:color="auto"/>
        <w:bottom w:val="none" w:sz="0" w:space="0" w:color="auto"/>
        <w:right w:val="none" w:sz="0" w:space="0" w:color="auto"/>
      </w:divBdr>
    </w:div>
    <w:div w:id="1403748267">
      <w:bodyDiv w:val="1"/>
      <w:marLeft w:val="0"/>
      <w:marRight w:val="0"/>
      <w:marTop w:val="0"/>
      <w:marBottom w:val="0"/>
      <w:divBdr>
        <w:top w:val="none" w:sz="0" w:space="0" w:color="auto"/>
        <w:left w:val="none" w:sz="0" w:space="0" w:color="auto"/>
        <w:bottom w:val="none" w:sz="0" w:space="0" w:color="auto"/>
        <w:right w:val="none" w:sz="0" w:space="0" w:color="auto"/>
      </w:divBdr>
      <w:divsChild>
        <w:div w:id="1895119655">
          <w:marLeft w:val="0"/>
          <w:marRight w:val="0"/>
          <w:marTop w:val="0"/>
          <w:marBottom w:val="0"/>
          <w:divBdr>
            <w:top w:val="none" w:sz="0" w:space="0" w:color="auto"/>
            <w:left w:val="none" w:sz="0" w:space="0" w:color="auto"/>
            <w:bottom w:val="none" w:sz="0" w:space="0" w:color="auto"/>
            <w:right w:val="none" w:sz="0" w:space="0" w:color="auto"/>
          </w:divBdr>
          <w:divsChild>
            <w:div w:id="970745266">
              <w:marLeft w:val="0"/>
              <w:marRight w:val="0"/>
              <w:marTop w:val="0"/>
              <w:marBottom w:val="0"/>
              <w:divBdr>
                <w:top w:val="none" w:sz="0" w:space="0" w:color="auto"/>
                <w:left w:val="none" w:sz="0" w:space="0" w:color="auto"/>
                <w:bottom w:val="none" w:sz="0" w:space="0" w:color="auto"/>
                <w:right w:val="none" w:sz="0" w:space="0" w:color="auto"/>
              </w:divBdr>
              <w:divsChild>
                <w:div w:id="1701009205">
                  <w:marLeft w:val="0"/>
                  <w:marRight w:val="0"/>
                  <w:marTop w:val="0"/>
                  <w:marBottom w:val="0"/>
                  <w:divBdr>
                    <w:top w:val="none" w:sz="0" w:space="0" w:color="auto"/>
                    <w:left w:val="none" w:sz="0" w:space="0" w:color="auto"/>
                    <w:bottom w:val="none" w:sz="0" w:space="0" w:color="auto"/>
                    <w:right w:val="none" w:sz="0" w:space="0" w:color="auto"/>
                  </w:divBdr>
                  <w:divsChild>
                    <w:div w:id="1176463737">
                      <w:marLeft w:val="0"/>
                      <w:marRight w:val="0"/>
                      <w:marTop w:val="0"/>
                      <w:marBottom w:val="0"/>
                      <w:divBdr>
                        <w:top w:val="none" w:sz="0" w:space="0" w:color="auto"/>
                        <w:left w:val="none" w:sz="0" w:space="0" w:color="auto"/>
                        <w:bottom w:val="none" w:sz="0" w:space="0" w:color="auto"/>
                        <w:right w:val="none" w:sz="0" w:space="0" w:color="auto"/>
                      </w:divBdr>
                      <w:divsChild>
                        <w:div w:id="1623414992">
                          <w:marLeft w:val="0"/>
                          <w:marRight w:val="0"/>
                          <w:marTop w:val="0"/>
                          <w:marBottom w:val="0"/>
                          <w:divBdr>
                            <w:top w:val="single" w:sz="6" w:space="0" w:color="828282"/>
                            <w:left w:val="single" w:sz="6" w:space="0" w:color="828282"/>
                            <w:bottom w:val="single" w:sz="6" w:space="0" w:color="828282"/>
                            <w:right w:val="single" w:sz="6" w:space="0" w:color="828282"/>
                          </w:divBdr>
                          <w:divsChild>
                            <w:div w:id="1704746560">
                              <w:marLeft w:val="0"/>
                              <w:marRight w:val="0"/>
                              <w:marTop w:val="0"/>
                              <w:marBottom w:val="0"/>
                              <w:divBdr>
                                <w:top w:val="none" w:sz="0" w:space="0" w:color="auto"/>
                                <w:left w:val="none" w:sz="0" w:space="0" w:color="auto"/>
                                <w:bottom w:val="none" w:sz="0" w:space="0" w:color="auto"/>
                                <w:right w:val="none" w:sz="0" w:space="0" w:color="auto"/>
                              </w:divBdr>
                              <w:divsChild>
                                <w:div w:id="1221597635">
                                  <w:marLeft w:val="0"/>
                                  <w:marRight w:val="0"/>
                                  <w:marTop w:val="0"/>
                                  <w:marBottom w:val="0"/>
                                  <w:divBdr>
                                    <w:top w:val="none" w:sz="0" w:space="0" w:color="auto"/>
                                    <w:left w:val="none" w:sz="0" w:space="0" w:color="auto"/>
                                    <w:bottom w:val="none" w:sz="0" w:space="0" w:color="auto"/>
                                    <w:right w:val="none" w:sz="0" w:space="0" w:color="auto"/>
                                  </w:divBdr>
                                  <w:divsChild>
                                    <w:div w:id="1849520207">
                                      <w:marLeft w:val="0"/>
                                      <w:marRight w:val="0"/>
                                      <w:marTop w:val="0"/>
                                      <w:marBottom w:val="0"/>
                                      <w:divBdr>
                                        <w:top w:val="none" w:sz="0" w:space="0" w:color="auto"/>
                                        <w:left w:val="none" w:sz="0" w:space="0" w:color="auto"/>
                                        <w:bottom w:val="none" w:sz="0" w:space="0" w:color="auto"/>
                                        <w:right w:val="none" w:sz="0" w:space="0" w:color="auto"/>
                                      </w:divBdr>
                                      <w:divsChild>
                                        <w:div w:id="172840128">
                                          <w:marLeft w:val="0"/>
                                          <w:marRight w:val="0"/>
                                          <w:marTop w:val="0"/>
                                          <w:marBottom w:val="0"/>
                                          <w:divBdr>
                                            <w:top w:val="none" w:sz="0" w:space="0" w:color="auto"/>
                                            <w:left w:val="none" w:sz="0" w:space="0" w:color="auto"/>
                                            <w:bottom w:val="none" w:sz="0" w:space="0" w:color="auto"/>
                                            <w:right w:val="none" w:sz="0" w:space="0" w:color="auto"/>
                                          </w:divBdr>
                                          <w:divsChild>
                                            <w:div w:id="1016812500">
                                              <w:marLeft w:val="0"/>
                                              <w:marRight w:val="0"/>
                                              <w:marTop w:val="0"/>
                                              <w:marBottom w:val="0"/>
                                              <w:divBdr>
                                                <w:top w:val="none" w:sz="0" w:space="0" w:color="auto"/>
                                                <w:left w:val="none" w:sz="0" w:space="0" w:color="auto"/>
                                                <w:bottom w:val="none" w:sz="0" w:space="0" w:color="auto"/>
                                                <w:right w:val="none" w:sz="0" w:space="0" w:color="auto"/>
                                              </w:divBdr>
                                              <w:divsChild>
                                                <w:div w:id="9407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968471">
      <w:bodyDiv w:val="1"/>
      <w:marLeft w:val="0"/>
      <w:marRight w:val="0"/>
      <w:marTop w:val="0"/>
      <w:marBottom w:val="0"/>
      <w:divBdr>
        <w:top w:val="none" w:sz="0" w:space="0" w:color="auto"/>
        <w:left w:val="none" w:sz="0" w:space="0" w:color="auto"/>
        <w:bottom w:val="none" w:sz="0" w:space="0" w:color="auto"/>
        <w:right w:val="none" w:sz="0" w:space="0" w:color="auto"/>
      </w:divBdr>
      <w:divsChild>
        <w:div w:id="904531344">
          <w:marLeft w:val="0"/>
          <w:marRight w:val="0"/>
          <w:marTop w:val="0"/>
          <w:marBottom w:val="0"/>
          <w:divBdr>
            <w:top w:val="none" w:sz="0" w:space="0" w:color="auto"/>
            <w:left w:val="none" w:sz="0" w:space="0" w:color="auto"/>
            <w:bottom w:val="none" w:sz="0" w:space="0" w:color="auto"/>
            <w:right w:val="none" w:sz="0" w:space="0" w:color="auto"/>
          </w:divBdr>
          <w:divsChild>
            <w:div w:id="1215697232">
              <w:marLeft w:val="0"/>
              <w:marRight w:val="0"/>
              <w:marTop w:val="0"/>
              <w:marBottom w:val="0"/>
              <w:divBdr>
                <w:top w:val="none" w:sz="0" w:space="0" w:color="auto"/>
                <w:left w:val="none" w:sz="0" w:space="0" w:color="auto"/>
                <w:bottom w:val="none" w:sz="0" w:space="0" w:color="auto"/>
                <w:right w:val="none" w:sz="0" w:space="0" w:color="auto"/>
              </w:divBdr>
              <w:divsChild>
                <w:div w:id="59640117">
                  <w:marLeft w:val="0"/>
                  <w:marRight w:val="0"/>
                  <w:marTop w:val="0"/>
                  <w:marBottom w:val="0"/>
                  <w:divBdr>
                    <w:top w:val="none" w:sz="0" w:space="0" w:color="auto"/>
                    <w:left w:val="none" w:sz="0" w:space="0" w:color="auto"/>
                    <w:bottom w:val="none" w:sz="0" w:space="0" w:color="auto"/>
                    <w:right w:val="none" w:sz="0" w:space="0" w:color="auto"/>
                  </w:divBdr>
                  <w:divsChild>
                    <w:div w:id="14505073">
                      <w:marLeft w:val="0"/>
                      <w:marRight w:val="0"/>
                      <w:marTop w:val="0"/>
                      <w:marBottom w:val="0"/>
                      <w:divBdr>
                        <w:top w:val="none" w:sz="0" w:space="0" w:color="auto"/>
                        <w:left w:val="none" w:sz="0" w:space="0" w:color="auto"/>
                        <w:bottom w:val="none" w:sz="0" w:space="0" w:color="auto"/>
                        <w:right w:val="none" w:sz="0" w:space="0" w:color="auto"/>
                      </w:divBdr>
                      <w:divsChild>
                        <w:div w:id="1894609508">
                          <w:marLeft w:val="0"/>
                          <w:marRight w:val="0"/>
                          <w:marTop w:val="0"/>
                          <w:marBottom w:val="0"/>
                          <w:divBdr>
                            <w:top w:val="none" w:sz="0" w:space="0" w:color="auto"/>
                            <w:left w:val="none" w:sz="0" w:space="0" w:color="auto"/>
                            <w:bottom w:val="none" w:sz="0" w:space="0" w:color="auto"/>
                            <w:right w:val="none" w:sz="0" w:space="0" w:color="auto"/>
                          </w:divBdr>
                          <w:divsChild>
                            <w:div w:id="10908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AB2C3F3B-EC5A-432F-8C8A-DDFFA961F547" xsi:nil="true"/>
    <SecurityClassification xmlns="AB2C3F3B-EC5A-432F-8C8A-DDFFA961F547" xsi:nil="true"/>
    <pdms_AttachedBy xmlns="AB2C3F3B-EC5A-432F-8C8A-DDFFA961F547" xsi:nil="true"/>
    <pdms_Reason xmlns="AB2C3F3B-EC5A-432F-8C8A-DDFFA961F547" xsi:nil="true"/>
    <pdms_SecurityClassification xmlns="AB2C3F3B-EC5A-432F-8C8A-DDFFA961F5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ED9C3E2DBC646D4DA1AE02D35DE6993D" ma:contentTypeVersion="" ma:contentTypeDescription="PDMS Documentation Content Type" ma:contentTypeScope="" ma:versionID="926345cb0018a4f34f6150619c1d2ece">
  <xsd:schema xmlns:xsd="http://www.w3.org/2001/XMLSchema" xmlns:xs="http://www.w3.org/2001/XMLSchema" xmlns:p="http://schemas.microsoft.com/office/2006/metadata/properties" xmlns:ns2="AB2C3F3B-EC5A-432F-8C8A-DDFFA961F547" targetNamespace="http://schemas.microsoft.com/office/2006/metadata/properties" ma:root="true" ma:fieldsID="e3cddae1a6abb609d0ca62be80702167" ns2:_="">
    <xsd:import namespace="AB2C3F3B-EC5A-432F-8C8A-DDFFA961F547"/>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C3F3B-EC5A-432F-8C8A-DDFFA961F54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E14B7-ABEB-4AD8-8826-491AC2BBA655}">
  <ds:schemaRefs>
    <ds:schemaRef ds:uri="AB2C3F3B-EC5A-432F-8C8A-DDFFA961F54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7ECBF4E-38F6-4DA7-8C39-B313C7A7F778}">
  <ds:schemaRefs>
    <ds:schemaRef ds:uri="http://schemas.microsoft.com/sharepoint/v3/contenttype/forms"/>
  </ds:schemaRefs>
</ds:datastoreItem>
</file>

<file path=customXml/itemProps3.xml><?xml version="1.0" encoding="utf-8"?>
<ds:datastoreItem xmlns:ds="http://schemas.openxmlformats.org/officeDocument/2006/customXml" ds:itemID="{A935132A-434A-41F2-8AA7-52A4BBC45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C3F3B-EC5A-432F-8C8A-DDFFA961F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730E5-760D-40B5-A0A2-FAA65E21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1946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EXPOSURE DRAFT ACMA (Annual Carrier Licence Charge) Direction 2016.docx</vt:lpstr>
    </vt:vector>
  </TitlesOfParts>
  <Company>DCITA</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ACMA (Annual Carrier Licence Charge) Direction 2016.docx</dc:title>
  <dc:creator>ssilva</dc:creator>
  <cp:lastModifiedBy>Dyer, Siew</cp:lastModifiedBy>
  <cp:revision>2</cp:revision>
  <cp:lastPrinted>2013-03-14T03:26:00Z</cp:lastPrinted>
  <dcterms:created xsi:type="dcterms:W3CDTF">2017-05-16T23:51:00Z</dcterms:created>
  <dcterms:modified xsi:type="dcterms:W3CDTF">2017-05-16T23:51:00Z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0x010100266966F133664895A6EE3632470D45F50100ED9C3E2DBC646D4DA1AE02D35DE6993D</vt:lpwstr>
  </property>
  <property fmtid="{D5CDD505-2E9C-101B-9397-08002B2CF9AE}" pid="3" name="TrimRevisionNumber">
    <vt:i4>5</vt:i4>
  </property>
</Properties>
</file>