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41D" w:rsidRPr="00D7041D" w:rsidRDefault="00D7041D" w:rsidP="00D7041D">
      <w:pPr>
        <w:jc w:val="center"/>
        <w:rPr>
          <w:rFonts w:asciiTheme="minorHAnsi" w:hAnsiTheme="minorHAnsi" w:cstheme="minorHAnsi"/>
          <w:b/>
          <w:lang w:val="en-GB"/>
        </w:rPr>
      </w:pPr>
      <w:bookmarkStart w:id="0" w:name="_GoBack"/>
      <w:bookmarkEnd w:id="0"/>
      <w:r w:rsidRPr="00D7041D">
        <w:rPr>
          <w:rFonts w:asciiTheme="minorHAnsi" w:hAnsiTheme="minorHAnsi" w:cstheme="minorHAnsi"/>
          <w:b/>
          <w:lang w:val="en-GB"/>
        </w:rPr>
        <w:t>EXPLANATORY STATEMENT</w:t>
      </w:r>
    </w:p>
    <w:p w:rsidR="00D7041D" w:rsidRPr="00D7041D" w:rsidRDefault="00D7041D" w:rsidP="00D7041D">
      <w:pPr>
        <w:jc w:val="center"/>
        <w:rPr>
          <w:rFonts w:asciiTheme="minorHAnsi" w:hAnsiTheme="minorHAnsi" w:cstheme="minorHAnsi"/>
          <w:lang w:val="en-GB"/>
        </w:rPr>
      </w:pPr>
      <w:r w:rsidRPr="00D7041D">
        <w:rPr>
          <w:rFonts w:asciiTheme="minorHAnsi" w:hAnsiTheme="minorHAnsi" w:cstheme="minorHAnsi"/>
          <w:lang w:val="en-GB"/>
        </w:rPr>
        <w:t xml:space="preserve">Issued by the Authority of the Minister for Small Business </w:t>
      </w:r>
    </w:p>
    <w:p w:rsidR="00D7041D" w:rsidRPr="00D7041D" w:rsidRDefault="00D7041D" w:rsidP="00D7041D">
      <w:pPr>
        <w:jc w:val="center"/>
        <w:rPr>
          <w:rFonts w:asciiTheme="minorHAnsi" w:hAnsiTheme="minorHAnsi" w:cstheme="minorHAnsi"/>
          <w:i/>
          <w:lang w:val="en-GB"/>
        </w:rPr>
      </w:pPr>
      <w:r w:rsidRPr="00D7041D">
        <w:rPr>
          <w:rFonts w:asciiTheme="minorHAnsi" w:hAnsiTheme="minorHAnsi" w:cstheme="minorHAnsi"/>
          <w:i/>
          <w:lang w:val="en-GB"/>
        </w:rPr>
        <w:t>Competition and Consumer Act 2010</w:t>
      </w:r>
    </w:p>
    <w:p w:rsidR="00D51AE4" w:rsidRPr="00D7041D" w:rsidRDefault="00D51AE4" w:rsidP="00D51AE4">
      <w:pPr>
        <w:autoSpaceDE w:val="0"/>
        <w:autoSpaceDN w:val="0"/>
        <w:adjustRightInd w:val="0"/>
        <w:spacing w:before="0"/>
        <w:jc w:val="center"/>
        <w:rPr>
          <w:rFonts w:asciiTheme="minorHAnsi" w:hAnsiTheme="minorHAnsi" w:cstheme="minorHAnsi"/>
          <w:i/>
          <w:iCs/>
        </w:rPr>
      </w:pPr>
    </w:p>
    <w:p w:rsidR="005654D7" w:rsidRDefault="005654D7" w:rsidP="005654D7">
      <w:pPr>
        <w:jc w:val="center"/>
        <w:rPr>
          <w:i/>
        </w:rPr>
      </w:pPr>
      <w:r>
        <w:rPr>
          <w:i/>
        </w:rPr>
        <w:t xml:space="preserve">Consumer </w:t>
      </w:r>
      <w:r w:rsidR="00AC07B5">
        <w:rPr>
          <w:i/>
        </w:rPr>
        <w:t>G</w:t>
      </w:r>
      <w:r>
        <w:rPr>
          <w:i/>
        </w:rPr>
        <w:t>oods (Children’s Nightwear and limited daywear and Paper Patterns for Children’s Nightwear</w:t>
      </w:r>
      <w:r w:rsidRPr="00A504B7">
        <w:rPr>
          <w:i/>
        </w:rPr>
        <w:t>) Safety Standard 201</w:t>
      </w:r>
      <w:r>
        <w:rPr>
          <w:i/>
        </w:rPr>
        <w:t>7</w:t>
      </w:r>
    </w:p>
    <w:p w:rsidR="00D51AE4" w:rsidRPr="00D7041D" w:rsidRDefault="00D51AE4" w:rsidP="00D7041D">
      <w:pPr>
        <w:autoSpaceDE w:val="0"/>
        <w:autoSpaceDN w:val="0"/>
        <w:adjustRightInd w:val="0"/>
        <w:spacing w:before="0"/>
        <w:jc w:val="center"/>
        <w:rPr>
          <w:rFonts w:asciiTheme="minorHAnsi" w:hAnsiTheme="minorHAnsi" w:cstheme="minorHAnsi"/>
        </w:rPr>
      </w:pPr>
    </w:p>
    <w:p w:rsidR="00D51AE4" w:rsidRPr="00D7041D" w:rsidRDefault="00D51AE4" w:rsidP="00D51AE4">
      <w:pPr>
        <w:autoSpaceDE w:val="0"/>
        <w:autoSpaceDN w:val="0"/>
        <w:adjustRightInd w:val="0"/>
        <w:spacing w:before="0"/>
        <w:rPr>
          <w:rFonts w:asciiTheme="minorHAnsi" w:hAnsiTheme="minorHAnsi" w:cstheme="minorHAnsi"/>
        </w:rPr>
      </w:pPr>
    </w:p>
    <w:p w:rsidR="009913F5" w:rsidRDefault="009913F5" w:rsidP="00D51AE4">
      <w:pPr>
        <w:autoSpaceDE w:val="0"/>
        <w:autoSpaceDN w:val="0"/>
        <w:adjustRightInd w:val="0"/>
        <w:spacing w:before="0"/>
        <w:rPr>
          <w:rFonts w:asciiTheme="minorHAnsi" w:hAnsiTheme="minorHAnsi" w:cstheme="minorHAnsi"/>
          <w:b/>
        </w:rPr>
      </w:pPr>
    </w:p>
    <w:p w:rsidR="00D7041D" w:rsidRPr="00D7041D" w:rsidRDefault="00D7041D" w:rsidP="00D51AE4">
      <w:pPr>
        <w:autoSpaceDE w:val="0"/>
        <w:autoSpaceDN w:val="0"/>
        <w:adjustRightInd w:val="0"/>
        <w:spacing w:before="0"/>
        <w:rPr>
          <w:rFonts w:asciiTheme="minorHAnsi" w:hAnsiTheme="minorHAnsi" w:cstheme="minorHAnsi"/>
          <w:b/>
        </w:rPr>
      </w:pPr>
      <w:r w:rsidRPr="00D7041D">
        <w:rPr>
          <w:rFonts w:asciiTheme="minorHAnsi" w:hAnsiTheme="minorHAnsi" w:cstheme="minorHAnsi"/>
          <w:b/>
        </w:rPr>
        <w:t>Overview</w:t>
      </w:r>
    </w:p>
    <w:p w:rsidR="00D7041D" w:rsidRDefault="00D7041D" w:rsidP="00D51AE4">
      <w:pPr>
        <w:autoSpaceDE w:val="0"/>
        <w:autoSpaceDN w:val="0"/>
        <w:adjustRightInd w:val="0"/>
        <w:spacing w:before="0"/>
        <w:rPr>
          <w:rFonts w:asciiTheme="minorHAnsi" w:hAnsiTheme="minorHAnsi" w:cstheme="minorHAnsi"/>
        </w:rPr>
      </w:pPr>
    </w:p>
    <w:p w:rsidR="00D925BF" w:rsidRDefault="00CC7A91" w:rsidP="00CC7A91">
      <w:pPr>
        <w:rPr>
          <w:lang w:val="en-GB"/>
        </w:rPr>
      </w:pPr>
      <w:r w:rsidRPr="00CC7A91">
        <w:rPr>
          <w:lang w:val="en-GB"/>
        </w:rPr>
        <w:t>The Commonwealth Minister for Small Business (the Minis</w:t>
      </w:r>
      <w:r w:rsidR="009C59D3" w:rsidRPr="00904495">
        <w:rPr>
          <w:lang w:val="en-GB"/>
        </w:rPr>
        <w:t xml:space="preserve">ter) has </w:t>
      </w:r>
      <w:r w:rsidR="006C09B2" w:rsidRPr="00904495">
        <w:rPr>
          <w:lang w:val="en-GB"/>
        </w:rPr>
        <w:t>updated t</w:t>
      </w:r>
      <w:r w:rsidRPr="00CC7A91">
        <w:rPr>
          <w:lang w:val="en-GB"/>
        </w:rPr>
        <w:t xml:space="preserve">he safety standard for </w:t>
      </w:r>
      <w:r w:rsidRPr="00904495">
        <w:rPr>
          <w:lang w:val="en-GB"/>
        </w:rPr>
        <w:t>children’s nightwear, including limited daywear and paper patterns</w:t>
      </w:r>
      <w:r w:rsidR="00295DF6">
        <w:rPr>
          <w:lang w:val="en-GB"/>
        </w:rPr>
        <w:t xml:space="preserve"> for children’s nightwear</w:t>
      </w:r>
      <w:r w:rsidR="004464EC" w:rsidRPr="00904495">
        <w:rPr>
          <w:lang w:val="en-GB"/>
        </w:rPr>
        <w:t xml:space="preserve">. </w:t>
      </w:r>
    </w:p>
    <w:p w:rsidR="00D925BF" w:rsidRPr="00904495" w:rsidRDefault="00D925BF" w:rsidP="00D925BF">
      <w:pPr>
        <w:rPr>
          <w:lang w:val="en-GB"/>
        </w:rPr>
      </w:pPr>
      <w:r w:rsidRPr="00CC7A91">
        <w:rPr>
          <w:lang w:val="en-GB"/>
        </w:rPr>
        <w:t xml:space="preserve">The safety standard </w:t>
      </w:r>
      <w:r w:rsidRPr="00904495">
        <w:rPr>
          <w:lang w:val="en-GB"/>
        </w:rPr>
        <w:t xml:space="preserve">reduces </w:t>
      </w:r>
      <w:r w:rsidRPr="00CC7A91">
        <w:rPr>
          <w:lang w:val="en-GB"/>
        </w:rPr>
        <w:t xml:space="preserve">the risk of </w:t>
      </w:r>
      <w:r w:rsidRPr="00904495">
        <w:rPr>
          <w:lang w:val="en-GB"/>
        </w:rPr>
        <w:t xml:space="preserve">child </w:t>
      </w:r>
      <w:r w:rsidRPr="00CC7A91">
        <w:rPr>
          <w:lang w:val="en-GB"/>
        </w:rPr>
        <w:t>death</w:t>
      </w:r>
      <w:r w:rsidRPr="00904495">
        <w:rPr>
          <w:lang w:val="en-GB"/>
        </w:rPr>
        <w:t xml:space="preserve"> and injury</w:t>
      </w:r>
      <w:r w:rsidRPr="00CC7A91">
        <w:rPr>
          <w:lang w:val="en-GB"/>
        </w:rPr>
        <w:t xml:space="preserve"> a</w:t>
      </w:r>
      <w:r w:rsidRPr="00904495">
        <w:rPr>
          <w:lang w:val="en-GB"/>
        </w:rPr>
        <w:t>ssociated with nightwear catching fire</w:t>
      </w:r>
      <w:r w:rsidR="008812E2">
        <w:rPr>
          <w:lang w:val="en-GB"/>
        </w:rPr>
        <w:t xml:space="preserve"> in two ways. Firstly, h</w:t>
      </w:r>
      <w:r w:rsidRPr="00904495">
        <w:rPr>
          <w:lang w:val="en-GB"/>
        </w:rPr>
        <w:t xml:space="preserve">ighly flammable garments </w:t>
      </w:r>
      <w:r w:rsidR="008812E2">
        <w:rPr>
          <w:lang w:val="en-GB"/>
        </w:rPr>
        <w:t>cannot comply with the safety standard and so must not be supplied under s.106 of the Australian Consumer Law. Secondly, the safety standard requires that</w:t>
      </w:r>
      <w:r>
        <w:rPr>
          <w:lang w:val="en-GB"/>
        </w:rPr>
        <w:t xml:space="preserve"> consumers</w:t>
      </w:r>
      <w:r w:rsidR="008812E2">
        <w:rPr>
          <w:lang w:val="en-GB"/>
        </w:rPr>
        <w:t xml:space="preserve"> be informed</w:t>
      </w:r>
      <w:r>
        <w:rPr>
          <w:lang w:val="en-GB"/>
        </w:rPr>
        <w:t xml:space="preserve"> </w:t>
      </w:r>
      <w:r w:rsidRPr="00904495">
        <w:rPr>
          <w:lang w:val="en-GB"/>
        </w:rPr>
        <w:t xml:space="preserve">whether </w:t>
      </w:r>
      <w:r w:rsidR="008812E2">
        <w:rPr>
          <w:lang w:val="en-GB"/>
        </w:rPr>
        <w:t>children’s nightwear</w:t>
      </w:r>
      <w:r w:rsidRPr="00904495">
        <w:rPr>
          <w:lang w:val="en-GB"/>
        </w:rPr>
        <w:t xml:space="preserve"> </w:t>
      </w:r>
      <w:r w:rsidR="008812E2">
        <w:rPr>
          <w:lang w:val="en-GB"/>
        </w:rPr>
        <w:t>has</w:t>
      </w:r>
      <w:r w:rsidRPr="00904495">
        <w:rPr>
          <w:lang w:val="en-GB"/>
        </w:rPr>
        <w:t xml:space="preserve"> a h</w:t>
      </w:r>
      <w:r>
        <w:rPr>
          <w:lang w:val="en-GB"/>
        </w:rPr>
        <w:t xml:space="preserve">igh or low risk of flammability by </w:t>
      </w:r>
      <w:r w:rsidRPr="00904495">
        <w:rPr>
          <w:lang w:val="en-GB"/>
        </w:rPr>
        <w:t xml:space="preserve">requiring </w:t>
      </w:r>
      <w:r w:rsidR="008812E2">
        <w:rPr>
          <w:lang w:val="en-GB"/>
        </w:rPr>
        <w:t>that garments</w:t>
      </w:r>
      <w:r w:rsidRPr="00904495">
        <w:rPr>
          <w:lang w:val="en-GB"/>
        </w:rPr>
        <w:t xml:space="preserve"> carry a warning label a</w:t>
      </w:r>
      <w:r>
        <w:rPr>
          <w:lang w:val="en-GB"/>
        </w:rPr>
        <w:t>ppropriate to the</w:t>
      </w:r>
      <w:r w:rsidR="008812E2">
        <w:rPr>
          <w:lang w:val="en-GB"/>
        </w:rPr>
        <w:t>ir</w:t>
      </w:r>
      <w:r>
        <w:rPr>
          <w:lang w:val="en-GB"/>
        </w:rPr>
        <w:t xml:space="preserve"> category of risk.</w:t>
      </w:r>
      <w:r w:rsidRPr="00904495">
        <w:rPr>
          <w:lang w:val="en-GB"/>
        </w:rPr>
        <w:t xml:space="preserve"> </w:t>
      </w:r>
    </w:p>
    <w:p w:rsidR="00D925BF" w:rsidRPr="00904495" w:rsidRDefault="00597B61" w:rsidP="00D925BF">
      <w:pPr>
        <w:rPr>
          <w:lang w:val="en-GB"/>
        </w:rPr>
      </w:pPr>
      <w:r w:rsidRPr="00904495">
        <w:rPr>
          <w:lang w:val="en-GB"/>
        </w:rPr>
        <w:t xml:space="preserve">The safety standard is </w:t>
      </w:r>
      <w:r w:rsidR="004464EC" w:rsidRPr="00904495">
        <w:rPr>
          <w:lang w:val="en-GB"/>
        </w:rPr>
        <w:t>made under</w:t>
      </w:r>
      <w:r w:rsidRPr="00904495">
        <w:rPr>
          <w:lang w:val="en-GB"/>
        </w:rPr>
        <w:t xml:space="preserve"> </w:t>
      </w:r>
      <w:r w:rsidRPr="00CC7A91">
        <w:rPr>
          <w:lang w:val="en-GB"/>
        </w:rPr>
        <w:t>section 10</w:t>
      </w:r>
      <w:r w:rsidRPr="00904495">
        <w:rPr>
          <w:lang w:val="en-GB"/>
        </w:rPr>
        <w:t>5</w:t>
      </w:r>
      <w:r w:rsidRPr="00CC7A91">
        <w:rPr>
          <w:lang w:val="en-GB"/>
        </w:rPr>
        <w:t xml:space="preserve"> of the Australian Consumer Law (ACL), </w:t>
      </w:r>
      <w:r w:rsidRPr="00904495">
        <w:rPr>
          <w:lang w:val="en-GB"/>
        </w:rPr>
        <w:t xml:space="preserve">and </w:t>
      </w:r>
      <w:r w:rsidR="00CC7A91" w:rsidRPr="00CC7A91">
        <w:rPr>
          <w:lang w:val="en-GB"/>
        </w:rPr>
        <w:t xml:space="preserve">comes into effect on the day after it is registered on the Federal Register of Legislation. </w:t>
      </w:r>
      <w:r w:rsidR="00D925BF" w:rsidRPr="00904495">
        <w:rPr>
          <w:lang w:val="en-GB"/>
        </w:rPr>
        <w:t xml:space="preserve">The </w:t>
      </w:r>
      <w:r w:rsidR="00486E75">
        <w:rPr>
          <w:lang w:val="en-GB"/>
        </w:rPr>
        <w:t>previous safety</w:t>
      </w:r>
      <w:r w:rsidR="00486E75" w:rsidRPr="00904495">
        <w:rPr>
          <w:lang w:val="en-GB"/>
        </w:rPr>
        <w:t xml:space="preserve"> </w:t>
      </w:r>
      <w:r w:rsidR="00D925BF" w:rsidRPr="00904495">
        <w:rPr>
          <w:lang w:val="en-GB"/>
        </w:rPr>
        <w:t xml:space="preserve">standard, </w:t>
      </w:r>
      <w:r w:rsidR="000F6E8D">
        <w:rPr>
          <w:lang w:val="en-GB"/>
        </w:rPr>
        <w:t xml:space="preserve">the </w:t>
      </w:r>
      <w:r w:rsidR="00D925BF" w:rsidRPr="00904495">
        <w:rPr>
          <w:i/>
        </w:rPr>
        <w:t>Trade Practices (Consumer Product Safety Standards) (Children's Nightwear and Paper Patterns for Children's Nightwear) Regulations 2007 (Federal Register of Regulation No.</w:t>
      </w:r>
      <w:r w:rsidR="00D925BF" w:rsidRPr="00D925BF">
        <w:rPr>
          <w:i/>
        </w:rPr>
        <w:t xml:space="preserve"> </w:t>
      </w:r>
      <w:r w:rsidR="00D925BF" w:rsidRPr="00904495">
        <w:rPr>
          <w:i/>
        </w:rPr>
        <w:t>F2007L00215)</w:t>
      </w:r>
      <w:r w:rsidR="002A4ED1">
        <w:rPr>
          <w:i/>
        </w:rPr>
        <w:t>,</w:t>
      </w:r>
      <w:r w:rsidR="00D925BF" w:rsidRPr="00904495">
        <w:t xml:space="preserve"> </w:t>
      </w:r>
      <w:r w:rsidR="00F54111">
        <w:t>is</w:t>
      </w:r>
      <w:r w:rsidR="00D925BF" w:rsidRPr="00904495">
        <w:t xml:space="preserve"> repealed</w:t>
      </w:r>
      <w:r w:rsidR="00B350FB">
        <w:t xml:space="preserve"> under section 104 of the ACL</w:t>
      </w:r>
      <w:r w:rsidR="00D925BF" w:rsidRPr="00CC7A91">
        <w:rPr>
          <w:lang w:val="en-GB"/>
        </w:rPr>
        <w:t>.</w:t>
      </w:r>
      <w:r w:rsidR="00D925BF" w:rsidRPr="00904495">
        <w:rPr>
          <w:lang w:val="en-GB"/>
        </w:rPr>
        <w:t xml:space="preserve"> </w:t>
      </w:r>
    </w:p>
    <w:p w:rsidR="004464EC" w:rsidRPr="00904495" w:rsidRDefault="00CC7A91" w:rsidP="004464EC">
      <w:pPr>
        <w:rPr>
          <w:lang w:val="en-GB"/>
        </w:rPr>
      </w:pPr>
      <w:r w:rsidRPr="00CC7A91">
        <w:rPr>
          <w:lang w:val="en-GB"/>
        </w:rPr>
        <w:t xml:space="preserve">Suppliers </w:t>
      </w:r>
      <w:r w:rsidR="003C4E5E">
        <w:rPr>
          <w:lang w:val="en-GB"/>
        </w:rPr>
        <w:t>may</w:t>
      </w:r>
      <w:r w:rsidRPr="00CC7A91">
        <w:rPr>
          <w:lang w:val="en-GB"/>
        </w:rPr>
        <w:t xml:space="preserve"> supply </w:t>
      </w:r>
      <w:r w:rsidRPr="00904495">
        <w:rPr>
          <w:lang w:val="en-GB"/>
        </w:rPr>
        <w:t>children’s nightwear</w:t>
      </w:r>
      <w:r w:rsidRPr="00CC7A91">
        <w:rPr>
          <w:lang w:val="en-GB"/>
        </w:rPr>
        <w:t xml:space="preserve"> which meet either the previous safety standard or </w:t>
      </w:r>
      <w:r w:rsidR="00097038">
        <w:rPr>
          <w:lang w:val="en-GB"/>
        </w:rPr>
        <w:t xml:space="preserve">the </w:t>
      </w:r>
      <w:r w:rsidR="00D925BF">
        <w:rPr>
          <w:lang w:val="en-GB"/>
        </w:rPr>
        <w:t>updated</w:t>
      </w:r>
      <w:r w:rsidRPr="00CC7A91">
        <w:rPr>
          <w:lang w:val="en-GB"/>
        </w:rPr>
        <w:t xml:space="preserve"> safety standard until 1 </w:t>
      </w:r>
      <w:r w:rsidRPr="00904495">
        <w:rPr>
          <w:lang w:val="en-GB"/>
        </w:rPr>
        <w:t>J</w:t>
      </w:r>
      <w:r w:rsidR="00B350FB">
        <w:rPr>
          <w:lang w:val="en-GB"/>
        </w:rPr>
        <w:t>anuary 2020</w:t>
      </w:r>
      <w:r w:rsidRPr="00CC7A91">
        <w:rPr>
          <w:lang w:val="en-GB"/>
        </w:rPr>
        <w:t xml:space="preserve">. After this date, suppliers </w:t>
      </w:r>
      <w:r w:rsidR="003C4E5E">
        <w:rPr>
          <w:lang w:val="en-GB"/>
        </w:rPr>
        <w:t xml:space="preserve">must </w:t>
      </w:r>
      <w:r w:rsidRPr="00CC7A91">
        <w:rPr>
          <w:lang w:val="en-GB"/>
        </w:rPr>
        <w:t xml:space="preserve">comply with the </w:t>
      </w:r>
      <w:r w:rsidR="00D925BF">
        <w:rPr>
          <w:lang w:val="en-GB"/>
        </w:rPr>
        <w:t xml:space="preserve">updated safety </w:t>
      </w:r>
      <w:r w:rsidRPr="00CC7A91">
        <w:rPr>
          <w:lang w:val="en-GB"/>
        </w:rPr>
        <w:t xml:space="preserve">standard. </w:t>
      </w:r>
    </w:p>
    <w:p w:rsidR="009C59D3" w:rsidRDefault="009C59D3" w:rsidP="00CC7A91">
      <w:pPr>
        <w:rPr>
          <w:lang w:val="en-GB"/>
        </w:rPr>
      </w:pPr>
      <w:r w:rsidRPr="00904495">
        <w:rPr>
          <w:lang w:val="en-GB"/>
        </w:rPr>
        <w:t xml:space="preserve">The </w:t>
      </w:r>
      <w:r w:rsidR="00993E1C">
        <w:rPr>
          <w:lang w:val="en-GB"/>
        </w:rPr>
        <w:t>safety standard</w:t>
      </w:r>
      <w:r w:rsidR="00993E1C" w:rsidRPr="00904495">
        <w:rPr>
          <w:lang w:val="en-GB"/>
        </w:rPr>
        <w:t xml:space="preserve"> </w:t>
      </w:r>
      <w:r w:rsidR="004464EC" w:rsidRPr="00904495">
        <w:rPr>
          <w:lang w:val="en-GB"/>
        </w:rPr>
        <w:t xml:space="preserve">incorporates results of a </w:t>
      </w:r>
      <w:r w:rsidR="00597B61" w:rsidRPr="00904495">
        <w:rPr>
          <w:lang w:val="en-GB"/>
        </w:rPr>
        <w:t xml:space="preserve">substantial </w:t>
      </w:r>
      <w:r w:rsidR="004464EC" w:rsidRPr="00904495">
        <w:rPr>
          <w:lang w:val="en-GB"/>
        </w:rPr>
        <w:t>re</w:t>
      </w:r>
      <w:r w:rsidR="00597B61" w:rsidRPr="00904495">
        <w:rPr>
          <w:lang w:val="en-GB"/>
        </w:rPr>
        <w:t>vi</w:t>
      </w:r>
      <w:r w:rsidR="00B97732" w:rsidRPr="00904495">
        <w:rPr>
          <w:lang w:val="en-GB"/>
        </w:rPr>
        <w:t>ew</w:t>
      </w:r>
      <w:r w:rsidR="00597B61" w:rsidRPr="00904495">
        <w:rPr>
          <w:lang w:val="en-GB"/>
        </w:rPr>
        <w:t xml:space="preserve"> of the voluntary </w:t>
      </w:r>
      <w:r w:rsidR="00597B61" w:rsidRPr="00904495">
        <w:rPr>
          <w:rFonts w:asciiTheme="minorHAnsi" w:hAnsiTheme="minorHAnsi" w:cstheme="minorHAnsi"/>
        </w:rPr>
        <w:t>Australian/New Zealand Standard</w:t>
      </w:r>
      <w:r w:rsidR="00B97732" w:rsidRPr="00904495">
        <w:rPr>
          <w:rFonts w:asciiTheme="minorHAnsi" w:hAnsiTheme="minorHAnsi" w:cstheme="minorHAnsi"/>
        </w:rPr>
        <w:t>,</w:t>
      </w:r>
      <w:r w:rsidR="00597B61" w:rsidRPr="00904495">
        <w:rPr>
          <w:rFonts w:asciiTheme="minorHAnsi" w:hAnsiTheme="minorHAnsi" w:cstheme="minorHAnsi"/>
        </w:rPr>
        <w:t xml:space="preserve"> </w:t>
      </w:r>
      <w:r w:rsidR="00B97732" w:rsidRPr="00904495">
        <w:rPr>
          <w:rFonts w:asciiTheme="minorHAnsi" w:hAnsiTheme="minorHAnsi" w:cstheme="minorHAnsi"/>
        </w:rPr>
        <w:t xml:space="preserve">AS/NZS 1249 </w:t>
      </w:r>
      <w:r w:rsidR="00B97732" w:rsidRPr="003C4E5E">
        <w:rPr>
          <w:rFonts w:asciiTheme="minorHAnsi" w:hAnsiTheme="minorHAnsi" w:cstheme="minorHAnsi"/>
          <w:i/>
        </w:rPr>
        <w:t>Children’s nightwear and limited daywear having reduced fire hazard</w:t>
      </w:r>
      <w:r w:rsidR="00B97732" w:rsidRPr="00904495">
        <w:rPr>
          <w:rFonts w:asciiTheme="minorHAnsi" w:hAnsiTheme="minorHAnsi" w:cstheme="minorHAnsi"/>
        </w:rPr>
        <w:t xml:space="preserve"> </w:t>
      </w:r>
      <w:r w:rsidR="000F6E8D">
        <w:rPr>
          <w:rFonts w:asciiTheme="minorHAnsi" w:hAnsiTheme="minorHAnsi" w:cstheme="minorHAnsi"/>
        </w:rPr>
        <w:t>(AS/NZS 1249</w:t>
      </w:r>
      <w:r w:rsidR="00097038">
        <w:rPr>
          <w:rFonts w:asciiTheme="minorHAnsi" w:hAnsiTheme="minorHAnsi" w:cstheme="minorHAnsi"/>
        </w:rPr>
        <w:t>: 2003 as varied</w:t>
      </w:r>
      <w:r w:rsidR="000F6E8D">
        <w:rPr>
          <w:rFonts w:asciiTheme="minorHAnsi" w:hAnsiTheme="minorHAnsi" w:cstheme="minorHAnsi"/>
        </w:rPr>
        <w:t xml:space="preserve">) </w:t>
      </w:r>
      <w:r w:rsidR="00597B61" w:rsidRPr="00904495">
        <w:rPr>
          <w:rFonts w:asciiTheme="minorHAnsi" w:hAnsiTheme="minorHAnsi" w:cstheme="minorHAnsi"/>
        </w:rPr>
        <w:t>on which the</w:t>
      </w:r>
      <w:r w:rsidR="000F6E8D">
        <w:rPr>
          <w:rFonts w:asciiTheme="minorHAnsi" w:hAnsiTheme="minorHAnsi" w:cstheme="minorHAnsi"/>
        </w:rPr>
        <w:t xml:space="preserve"> previous</w:t>
      </w:r>
      <w:r w:rsidR="00597B61" w:rsidRPr="00904495">
        <w:rPr>
          <w:rFonts w:asciiTheme="minorHAnsi" w:hAnsiTheme="minorHAnsi" w:cstheme="minorHAnsi"/>
        </w:rPr>
        <w:t xml:space="preserve"> safety standard is based</w:t>
      </w:r>
      <w:r w:rsidR="003C4E5E">
        <w:rPr>
          <w:rFonts w:asciiTheme="minorHAnsi" w:hAnsiTheme="minorHAnsi" w:cstheme="minorHAnsi"/>
        </w:rPr>
        <w:t>.</w:t>
      </w:r>
      <w:r w:rsidR="00597B61" w:rsidRPr="00904495">
        <w:rPr>
          <w:lang w:val="en-GB"/>
        </w:rPr>
        <w:t xml:space="preserve"> </w:t>
      </w:r>
      <w:r w:rsidR="004464EC" w:rsidRPr="00904495">
        <w:rPr>
          <w:lang w:val="en-GB"/>
        </w:rPr>
        <w:t xml:space="preserve">The review was undertaken </w:t>
      </w:r>
      <w:r w:rsidRPr="00904495">
        <w:rPr>
          <w:lang w:val="en-GB"/>
        </w:rPr>
        <w:t xml:space="preserve">by Standards Australia at the request of the Australian Competition and Consumer Commission to consider issues </w:t>
      </w:r>
      <w:r w:rsidR="003C4E5E">
        <w:rPr>
          <w:lang w:val="en-GB"/>
        </w:rPr>
        <w:t xml:space="preserve">that had been identified </w:t>
      </w:r>
      <w:r w:rsidR="004464EC" w:rsidRPr="00904495">
        <w:rPr>
          <w:lang w:val="en-GB"/>
        </w:rPr>
        <w:t xml:space="preserve">with </w:t>
      </w:r>
      <w:r w:rsidRPr="00904495">
        <w:rPr>
          <w:lang w:val="en-GB"/>
        </w:rPr>
        <w:t xml:space="preserve">definitions, technical requirements and </w:t>
      </w:r>
      <w:r w:rsidR="004464EC" w:rsidRPr="00904495">
        <w:rPr>
          <w:lang w:val="en-GB"/>
        </w:rPr>
        <w:t xml:space="preserve">interpretation </w:t>
      </w:r>
      <w:r w:rsidR="003C4E5E">
        <w:rPr>
          <w:lang w:val="en-GB"/>
        </w:rPr>
        <w:t xml:space="preserve">that were causing </w:t>
      </w:r>
      <w:r w:rsidRPr="00904495">
        <w:rPr>
          <w:lang w:val="en-GB"/>
        </w:rPr>
        <w:t xml:space="preserve">compliance problems and to consider whether consumers were confused over the meaning of the existing warning labels. </w:t>
      </w:r>
      <w:r w:rsidR="003C4E5E">
        <w:rPr>
          <w:lang w:val="en-GB"/>
        </w:rPr>
        <w:t>The conduct of su</w:t>
      </w:r>
      <w:r w:rsidRPr="00904495">
        <w:rPr>
          <w:lang w:val="en-GB"/>
        </w:rPr>
        <w:t>bstantial research enable</w:t>
      </w:r>
      <w:r w:rsidR="00B97732" w:rsidRPr="00904495">
        <w:rPr>
          <w:lang w:val="en-GB"/>
        </w:rPr>
        <w:t>d</w:t>
      </w:r>
      <w:r w:rsidRPr="00904495">
        <w:rPr>
          <w:lang w:val="en-GB"/>
        </w:rPr>
        <w:t xml:space="preserve"> </w:t>
      </w:r>
      <w:r w:rsidR="00097038">
        <w:rPr>
          <w:rFonts w:asciiTheme="minorHAnsi" w:hAnsiTheme="minorHAnsi" w:cstheme="minorHAnsi"/>
        </w:rPr>
        <w:t>AS/NZS 1249: 2003</w:t>
      </w:r>
      <w:r w:rsidR="000F6E8D">
        <w:rPr>
          <w:rFonts w:asciiTheme="minorHAnsi" w:hAnsiTheme="minorHAnsi" w:cstheme="minorHAnsi"/>
        </w:rPr>
        <w:t xml:space="preserve"> </w:t>
      </w:r>
      <w:r w:rsidR="006C09B2" w:rsidRPr="00904495">
        <w:rPr>
          <w:lang w:val="en-GB"/>
        </w:rPr>
        <w:t>to be simplified and the warning labels revised on the basis of significant testing of consumer comprehension</w:t>
      </w:r>
      <w:r w:rsidR="007B027E">
        <w:rPr>
          <w:lang w:val="en-GB"/>
        </w:rPr>
        <w:t xml:space="preserve">. </w:t>
      </w:r>
      <w:r w:rsidR="000F6E8D">
        <w:rPr>
          <w:lang w:val="en-GB"/>
        </w:rPr>
        <w:t>The updated voluntary Australian/New Zealand Standard</w:t>
      </w:r>
      <w:r w:rsidR="007B027E">
        <w:rPr>
          <w:lang w:val="en-GB"/>
        </w:rPr>
        <w:t xml:space="preserve"> was published </w:t>
      </w:r>
      <w:r w:rsidR="00097038">
        <w:rPr>
          <w:lang w:val="en-GB"/>
        </w:rPr>
        <w:t xml:space="preserve">on 30 June 2014 </w:t>
      </w:r>
      <w:r w:rsidR="007B027E">
        <w:rPr>
          <w:lang w:val="en-GB"/>
        </w:rPr>
        <w:t xml:space="preserve">as </w:t>
      </w:r>
      <w:r w:rsidR="007B027E" w:rsidRPr="00904495">
        <w:rPr>
          <w:lang w:val="en-GB"/>
        </w:rPr>
        <w:t>AS/NZS 1249: 2014</w:t>
      </w:r>
      <w:r w:rsidR="006C09B2" w:rsidRPr="00904495">
        <w:rPr>
          <w:lang w:val="en-GB"/>
        </w:rPr>
        <w:t>.</w:t>
      </w:r>
    </w:p>
    <w:p w:rsidR="005654D7" w:rsidRPr="00904495" w:rsidRDefault="00993E1C" w:rsidP="00CC7A91">
      <w:pPr>
        <w:rPr>
          <w:lang w:val="en-GB"/>
        </w:rPr>
      </w:pPr>
      <w:r>
        <w:rPr>
          <w:lang w:val="en-GB"/>
        </w:rPr>
        <w:t>The requirement that paper patterns carry a warning to consumers has been retained o</w:t>
      </w:r>
      <w:r w:rsidR="005654D7">
        <w:rPr>
          <w:lang w:val="en-GB"/>
        </w:rPr>
        <w:t xml:space="preserve">n the basis </w:t>
      </w:r>
      <w:r w:rsidR="003F5224">
        <w:rPr>
          <w:lang w:val="en-GB"/>
        </w:rPr>
        <w:t xml:space="preserve">of the continuing risk associated with nightwear made from paper patterns and </w:t>
      </w:r>
      <w:r w:rsidR="005654D7">
        <w:rPr>
          <w:lang w:val="en-GB"/>
        </w:rPr>
        <w:t>feedback from stakeholders</w:t>
      </w:r>
      <w:r w:rsidR="003F5224">
        <w:rPr>
          <w:lang w:val="en-GB"/>
        </w:rPr>
        <w:t>.</w:t>
      </w:r>
    </w:p>
    <w:p w:rsidR="00B97732" w:rsidRPr="00CC7A91" w:rsidRDefault="00B97732" w:rsidP="00B97732">
      <w:pPr>
        <w:rPr>
          <w:b/>
          <w:lang w:val="en-GB"/>
        </w:rPr>
      </w:pPr>
      <w:r w:rsidRPr="00904495">
        <w:rPr>
          <w:b/>
          <w:lang w:val="en-GB"/>
        </w:rPr>
        <w:t>R</w:t>
      </w:r>
      <w:r w:rsidRPr="00CC7A91">
        <w:rPr>
          <w:b/>
          <w:lang w:val="en-GB"/>
        </w:rPr>
        <w:t>equirements of the safety standard</w:t>
      </w:r>
    </w:p>
    <w:p w:rsidR="002A4ED1" w:rsidRDefault="002A4ED1" w:rsidP="002A4ED1">
      <w:pPr>
        <w:pStyle w:val="zdefinition"/>
        <w:shd w:val="clear" w:color="auto" w:fill="FFFFFF"/>
        <w:rPr>
          <w:rFonts w:ascii="Arial" w:hAnsi="Arial" w:cs="Arial"/>
          <w:sz w:val="22"/>
          <w:szCs w:val="22"/>
        </w:rPr>
      </w:pPr>
      <w:r>
        <w:rPr>
          <w:rFonts w:ascii="Arial" w:hAnsi="Arial" w:cs="Arial"/>
          <w:sz w:val="22"/>
          <w:szCs w:val="22"/>
        </w:rPr>
        <w:t>Th</w:t>
      </w:r>
      <w:r w:rsidR="00486E75">
        <w:rPr>
          <w:rFonts w:ascii="Arial" w:hAnsi="Arial" w:cs="Arial"/>
          <w:sz w:val="22"/>
          <w:szCs w:val="22"/>
        </w:rPr>
        <w:t>e</w:t>
      </w:r>
      <w:r>
        <w:rPr>
          <w:rFonts w:ascii="Arial" w:hAnsi="Arial" w:cs="Arial"/>
          <w:sz w:val="22"/>
          <w:szCs w:val="22"/>
        </w:rPr>
        <w:t xml:space="preserve"> safety standard </w:t>
      </w:r>
      <w:r w:rsidR="00993E1C">
        <w:rPr>
          <w:rFonts w:ascii="Arial" w:hAnsi="Arial" w:cs="Arial"/>
          <w:sz w:val="22"/>
          <w:szCs w:val="22"/>
        </w:rPr>
        <w:t xml:space="preserve">applies to </w:t>
      </w:r>
      <w:r>
        <w:rPr>
          <w:rFonts w:ascii="Arial" w:hAnsi="Arial" w:cs="Arial"/>
          <w:sz w:val="22"/>
          <w:szCs w:val="22"/>
        </w:rPr>
        <w:t xml:space="preserve">children’s nightwear and limited daywear and </w:t>
      </w:r>
      <w:r w:rsidR="00993E1C">
        <w:rPr>
          <w:rFonts w:ascii="Arial" w:hAnsi="Arial" w:cs="Arial"/>
          <w:sz w:val="22"/>
          <w:szCs w:val="22"/>
        </w:rPr>
        <w:t>to</w:t>
      </w:r>
      <w:r>
        <w:rPr>
          <w:rFonts w:ascii="Arial" w:hAnsi="Arial" w:cs="Arial"/>
          <w:sz w:val="22"/>
          <w:szCs w:val="22"/>
        </w:rPr>
        <w:t xml:space="preserve"> paper patterns for children’s nightwear.</w:t>
      </w:r>
    </w:p>
    <w:p w:rsidR="002A4ED1" w:rsidRPr="002A4ED1" w:rsidRDefault="00514B98" w:rsidP="002A4ED1">
      <w:pPr>
        <w:pStyle w:val="zdefinition"/>
        <w:shd w:val="clear" w:color="auto" w:fill="FFFFFF"/>
        <w:rPr>
          <w:rFonts w:ascii="Arial" w:hAnsi="Arial" w:cs="Arial"/>
          <w:sz w:val="22"/>
          <w:szCs w:val="22"/>
        </w:rPr>
      </w:pPr>
      <w:r>
        <w:rPr>
          <w:rFonts w:ascii="Arial" w:hAnsi="Arial" w:cs="Arial"/>
          <w:sz w:val="22"/>
          <w:szCs w:val="22"/>
        </w:rPr>
        <w:t>C</w:t>
      </w:r>
      <w:r w:rsidR="002A4ED1">
        <w:rPr>
          <w:rFonts w:ascii="Arial" w:hAnsi="Arial" w:cs="Arial"/>
          <w:sz w:val="22"/>
          <w:szCs w:val="22"/>
        </w:rPr>
        <w:t>hildren’s nightwear</w:t>
      </w:r>
      <w:r w:rsidR="002A4ED1" w:rsidRPr="002A4ED1">
        <w:rPr>
          <w:rFonts w:ascii="Arial" w:hAnsi="Arial" w:cs="Arial"/>
          <w:sz w:val="22"/>
          <w:szCs w:val="22"/>
        </w:rPr>
        <w:t>:</w:t>
      </w:r>
    </w:p>
    <w:p w:rsidR="002A4ED1" w:rsidRPr="002A4ED1" w:rsidRDefault="002A4ED1" w:rsidP="002A4ED1">
      <w:pPr>
        <w:pStyle w:val="zp1"/>
        <w:shd w:val="clear" w:color="auto" w:fill="FFFFFF"/>
        <w:rPr>
          <w:rFonts w:ascii="Arial" w:hAnsi="Arial" w:cs="Arial"/>
          <w:sz w:val="22"/>
          <w:szCs w:val="22"/>
        </w:rPr>
      </w:pPr>
      <w:r w:rsidRPr="002A4ED1">
        <w:rPr>
          <w:rFonts w:ascii="Arial" w:hAnsi="Arial" w:cs="Arial"/>
          <w:sz w:val="22"/>
          <w:szCs w:val="22"/>
        </w:rPr>
        <w:lastRenderedPageBreak/>
        <w:t>                (a)    means a garment that:</w:t>
      </w:r>
    </w:p>
    <w:p w:rsidR="002A4ED1" w:rsidRPr="002A4ED1" w:rsidRDefault="002A4ED1" w:rsidP="002A4ED1">
      <w:pPr>
        <w:pStyle w:val="p2"/>
        <w:shd w:val="clear" w:color="auto" w:fill="FFFFFF"/>
        <w:ind w:left="1985" w:hanging="425"/>
        <w:rPr>
          <w:rFonts w:ascii="Arial" w:hAnsi="Arial" w:cs="Arial"/>
          <w:sz w:val="22"/>
          <w:szCs w:val="22"/>
        </w:rPr>
      </w:pPr>
      <w:r w:rsidRPr="002A4ED1">
        <w:rPr>
          <w:rFonts w:ascii="Arial" w:hAnsi="Arial" w:cs="Arial"/>
          <w:sz w:val="22"/>
          <w:szCs w:val="22"/>
        </w:rPr>
        <w:t xml:space="preserve">(i)    is of a size in the range 00 to 14 (the number scheme used in AS 1182:1997 — </w:t>
      </w:r>
      <w:r w:rsidRPr="002A4ED1">
        <w:rPr>
          <w:rFonts w:ascii="Arial" w:hAnsi="Arial" w:cs="Arial"/>
          <w:i/>
          <w:iCs/>
          <w:sz w:val="22"/>
          <w:szCs w:val="22"/>
        </w:rPr>
        <w:t>Size coding scheme for infants’ and children’s clothing — Underwear and outerwear</w:t>
      </w:r>
      <w:r w:rsidRPr="002A4ED1">
        <w:rPr>
          <w:rFonts w:ascii="Arial" w:hAnsi="Arial" w:cs="Arial"/>
          <w:sz w:val="22"/>
          <w:szCs w:val="22"/>
        </w:rPr>
        <w:t>, published by Standards Australia on 5 March 1997); and</w:t>
      </w:r>
    </w:p>
    <w:p w:rsidR="002A4ED1" w:rsidRPr="002A4ED1" w:rsidRDefault="002A4ED1" w:rsidP="002A4ED1">
      <w:pPr>
        <w:pStyle w:val="p2"/>
        <w:shd w:val="clear" w:color="auto" w:fill="FFFFFF"/>
        <w:rPr>
          <w:rFonts w:ascii="Arial" w:hAnsi="Arial" w:cs="Arial"/>
          <w:sz w:val="22"/>
          <w:szCs w:val="22"/>
        </w:rPr>
      </w:pPr>
      <w:r w:rsidRPr="002A4ED1">
        <w:rPr>
          <w:rFonts w:ascii="Arial" w:hAnsi="Arial" w:cs="Arial"/>
          <w:sz w:val="22"/>
          <w:szCs w:val="22"/>
        </w:rPr>
        <w:t>                         (ii)    is of a type that is suitable for nightwear; and</w:t>
      </w:r>
    </w:p>
    <w:p w:rsidR="002A4ED1" w:rsidRPr="002A4ED1" w:rsidRDefault="002A4ED1" w:rsidP="002A4ED1">
      <w:pPr>
        <w:pStyle w:val="p2"/>
        <w:shd w:val="clear" w:color="auto" w:fill="FFFFFF"/>
        <w:rPr>
          <w:rFonts w:ascii="Arial" w:hAnsi="Arial" w:cs="Arial"/>
          <w:sz w:val="22"/>
          <w:szCs w:val="22"/>
        </w:rPr>
      </w:pPr>
      <w:r w:rsidRPr="002A4ED1">
        <w:rPr>
          <w:rFonts w:ascii="Arial" w:hAnsi="Arial" w:cs="Arial"/>
          <w:sz w:val="22"/>
          <w:szCs w:val="22"/>
        </w:rPr>
        <w:t>                         (iii)    is not a second</w:t>
      </w:r>
      <w:r w:rsidRPr="002A4ED1">
        <w:rPr>
          <w:rFonts w:ascii="Arial" w:hAnsi="Arial" w:cs="Arial"/>
          <w:sz w:val="22"/>
          <w:szCs w:val="22"/>
        </w:rPr>
        <w:noBreakHyphen/>
        <w:t>hand garment; and</w:t>
      </w:r>
    </w:p>
    <w:p w:rsidR="002A4ED1" w:rsidRPr="002A4ED1" w:rsidRDefault="002A4ED1" w:rsidP="002A4ED1">
      <w:pPr>
        <w:pStyle w:val="zp1"/>
        <w:shd w:val="clear" w:color="auto" w:fill="FFFFFF"/>
        <w:rPr>
          <w:rFonts w:ascii="Arial" w:hAnsi="Arial" w:cs="Arial"/>
          <w:sz w:val="22"/>
          <w:szCs w:val="22"/>
        </w:rPr>
      </w:pPr>
      <w:r w:rsidRPr="002A4ED1">
        <w:rPr>
          <w:rFonts w:ascii="Arial" w:hAnsi="Arial" w:cs="Arial"/>
          <w:sz w:val="22"/>
          <w:szCs w:val="22"/>
        </w:rPr>
        <w:t>               (b)    includes a garment that is mentioned in:</w:t>
      </w:r>
    </w:p>
    <w:p w:rsidR="002A4ED1" w:rsidRDefault="002A4ED1" w:rsidP="002A4ED1">
      <w:pPr>
        <w:pStyle w:val="p2"/>
        <w:numPr>
          <w:ilvl w:val="0"/>
          <w:numId w:val="35"/>
        </w:numPr>
        <w:shd w:val="clear" w:color="auto" w:fill="FFFFFF"/>
        <w:ind w:left="1985" w:hanging="425"/>
        <w:rPr>
          <w:rFonts w:ascii="Arial" w:hAnsi="Arial" w:cs="Arial"/>
          <w:sz w:val="22"/>
          <w:szCs w:val="22"/>
        </w:rPr>
      </w:pPr>
      <w:r w:rsidRPr="002A4ED1">
        <w:rPr>
          <w:rFonts w:ascii="Arial" w:hAnsi="Arial" w:cs="Arial"/>
          <w:sz w:val="22"/>
          <w:szCs w:val="22"/>
        </w:rPr>
        <w:t xml:space="preserve">paragraphs (a) to (e) of clause 0.2 of Australian/New Zealand Standard </w:t>
      </w:r>
      <w:r w:rsidRPr="002A4ED1">
        <w:rPr>
          <w:rFonts w:ascii="Arial" w:hAnsi="Arial" w:cs="Arial"/>
          <w:i/>
          <w:iCs/>
          <w:sz w:val="22"/>
          <w:szCs w:val="22"/>
        </w:rPr>
        <w:t>Children’s nightwear and limited daywear having reduced fire hazard</w:t>
      </w:r>
      <w:r w:rsidRPr="002A4ED1">
        <w:rPr>
          <w:rFonts w:ascii="Arial" w:hAnsi="Arial" w:cs="Arial"/>
          <w:sz w:val="22"/>
          <w:szCs w:val="22"/>
        </w:rPr>
        <w:t>, published by Standards Australia on 29 December 2003;</w:t>
      </w:r>
      <w:r>
        <w:rPr>
          <w:rFonts w:ascii="Arial" w:hAnsi="Arial" w:cs="Arial"/>
          <w:sz w:val="22"/>
          <w:szCs w:val="22"/>
        </w:rPr>
        <w:t xml:space="preserve"> or</w:t>
      </w:r>
    </w:p>
    <w:p w:rsidR="002A4ED1" w:rsidRDefault="002A4ED1" w:rsidP="002A4ED1">
      <w:pPr>
        <w:pStyle w:val="p2"/>
        <w:numPr>
          <w:ilvl w:val="0"/>
          <w:numId w:val="35"/>
        </w:numPr>
        <w:shd w:val="clear" w:color="auto" w:fill="FFFFFF"/>
        <w:ind w:left="1985" w:hanging="401"/>
        <w:rPr>
          <w:rFonts w:ascii="Arial" w:hAnsi="Arial" w:cs="Arial"/>
          <w:sz w:val="22"/>
          <w:szCs w:val="22"/>
        </w:rPr>
      </w:pPr>
      <w:r>
        <w:rPr>
          <w:rFonts w:ascii="Arial" w:hAnsi="Arial" w:cs="Arial"/>
          <w:sz w:val="22"/>
          <w:szCs w:val="22"/>
        </w:rPr>
        <w:t xml:space="preserve">paragraphs (a) to (k) of clause 0.2.2 of </w:t>
      </w:r>
      <w:r w:rsidRPr="002A4ED1">
        <w:rPr>
          <w:rFonts w:ascii="Arial" w:hAnsi="Arial" w:cs="Arial"/>
          <w:sz w:val="22"/>
          <w:szCs w:val="22"/>
        </w:rPr>
        <w:t xml:space="preserve">Australian/New Zealand Standard </w:t>
      </w:r>
      <w:r w:rsidRPr="002A4ED1">
        <w:rPr>
          <w:rFonts w:ascii="Arial" w:hAnsi="Arial" w:cs="Arial"/>
          <w:i/>
          <w:iCs/>
          <w:sz w:val="22"/>
          <w:szCs w:val="22"/>
        </w:rPr>
        <w:t>Children’s nightwear and limited daywear having reduced fire hazard</w:t>
      </w:r>
      <w:r w:rsidRPr="002A4ED1">
        <w:rPr>
          <w:rFonts w:ascii="Arial" w:hAnsi="Arial" w:cs="Arial"/>
          <w:sz w:val="22"/>
          <w:szCs w:val="22"/>
        </w:rPr>
        <w:t xml:space="preserve">, published by Standards Australia on </w:t>
      </w:r>
      <w:r>
        <w:rPr>
          <w:rFonts w:ascii="Arial" w:hAnsi="Arial" w:cs="Arial"/>
          <w:sz w:val="22"/>
          <w:szCs w:val="22"/>
        </w:rPr>
        <w:t xml:space="preserve">30 June 2014; </w:t>
      </w:r>
    </w:p>
    <w:p w:rsidR="002A4ED1" w:rsidRPr="002A4ED1" w:rsidRDefault="002A4ED1" w:rsidP="002A4ED1">
      <w:pPr>
        <w:pStyle w:val="rc"/>
        <w:shd w:val="clear" w:color="auto" w:fill="FFFFFF"/>
        <w:rPr>
          <w:rFonts w:ascii="Arial" w:hAnsi="Arial" w:cs="Arial"/>
          <w:sz w:val="22"/>
          <w:szCs w:val="22"/>
        </w:rPr>
      </w:pPr>
      <w:r w:rsidRPr="002A4ED1">
        <w:rPr>
          <w:rFonts w:ascii="Arial" w:hAnsi="Arial" w:cs="Arial"/>
          <w:sz w:val="22"/>
          <w:szCs w:val="22"/>
        </w:rPr>
        <w:t>as applicable.</w:t>
      </w:r>
    </w:p>
    <w:p w:rsidR="001E3B5B" w:rsidRDefault="00240F18" w:rsidP="00240F18">
      <w:r>
        <w:t>The safety standard requires that children’s nightwear meet the provisions of</w:t>
      </w:r>
      <w:r w:rsidR="001E3B5B">
        <w:t xml:space="preserve"> </w:t>
      </w:r>
      <w:r>
        <w:t>AS/NZS 1249:</w:t>
      </w:r>
      <w:r w:rsidR="00097038">
        <w:t xml:space="preserve"> </w:t>
      </w:r>
      <w:r>
        <w:t>2003</w:t>
      </w:r>
      <w:r w:rsidR="00097038">
        <w:t xml:space="preserve"> </w:t>
      </w:r>
      <w:r>
        <w:t>as varied</w:t>
      </w:r>
      <w:r w:rsidR="00486E75">
        <w:t>, with some minor changes,</w:t>
      </w:r>
      <w:r>
        <w:t xml:space="preserve"> </w:t>
      </w:r>
      <w:r w:rsidR="00097038">
        <w:t xml:space="preserve">or </w:t>
      </w:r>
      <w:r>
        <w:t>AS/NZS 1249: 2014.</w:t>
      </w:r>
      <w:r w:rsidR="00990D26">
        <w:t xml:space="preserve"> </w:t>
      </w:r>
    </w:p>
    <w:p w:rsidR="00647F0F" w:rsidRPr="003205D7" w:rsidRDefault="00647F0F" w:rsidP="00647F0F">
      <w:r w:rsidRPr="003205D7">
        <w:t>Australian standard</w:t>
      </w:r>
      <w:r>
        <w:t>s</w:t>
      </w:r>
      <w:r w:rsidRPr="003205D7">
        <w:t xml:space="preserve"> c</w:t>
      </w:r>
      <w:r w:rsidR="00B356F3">
        <w:t>an</w:t>
      </w:r>
      <w:r w:rsidRPr="003205D7">
        <w:t>, in 2017, be purchased on SAI Global’s website (www.saiglobal.com). The Australian Competition and Consumer Commission can make a copy of the standards available for viewing in an ACCC office, subject to licensing conditions.</w:t>
      </w:r>
    </w:p>
    <w:p w:rsidR="001E3B5B" w:rsidRPr="00AC07B5" w:rsidRDefault="001E3B5B" w:rsidP="00240F18">
      <w:pPr>
        <w:rPr>
          <w:i/>
        </w:rPr>
      </w:pPr>
      <w:r w:rsidRPr="00AC07B5">
        <w:rPr>
          <w:i/>
        </w:rPr>
        <w:t>Paper Patterns</w:t>
      </w:r>
    </w:p>
    <w:p w:rsidR="001E3B5B" w:rsidRDefault="00097038" w:rsidP="00240F18">
      <w:r>
        <w:t>The external packaging of a</w:t>
      </w:r>
      <w:r w:rsidR="001E3B5B">
        <w:t xml:space="preserve">ny paper pattern for children’s nightwear within the scope of this standard shall bear a clearly legible warning </w:t>
      </w:r>
      <w:r w:rsidR="00DB7560">
        <w:t>paragraph</w:t>
      </w:r>
      <w:r w:rsidR="008B3817">
        <w:t>:</w:t>
      </w:r>
    </w:p>
    <w:p w:rsidR="001E3B5B" w:rsidRPr="00AC07B5" w:rsidRDefault="001E3B5B" w:rsidP="008B3817">
      <w:pPr>
        <w:ind w:left="1020"/>
        <w:rPr>
          <w:b/>
        </w:rPr>
      </w:pPr>
      <w:r w:rsidRPr="00AC07B5">
        <w:rPr>
          <w:b/>
        </w:rPr>
        <w:t>FIRE WARNING</w:t>
      </w:r>
    </w:p>
    <w:p w:rsidR="001E3B5B" w:rsidRPr="008B3817" w:rsidRDefault="008B3817" w:rsidP="008B3817">
      <w:pPr>
        <w:ind w:left="1020"/>
      </w:pPr>
      <w:r w:rsidRPr="008B3817">
        <w:t>Regardless of the fabrics recommended on this package as suitable for this garment, for the safety of your children, do not make loose-fitting or nightdress styles from fabrics which burn readily. Avoid chenille, molleton and flannelette fabrics made from 100% cotton</w:t>
      </w:r>
    </w:p>
    <w:p w:rsidR="00CC7A91" w:rsidRPr="00CC7A91" w:rsidRDefault="00CC7A91" w:rsidP="00CC7A91">
      <w:pPr>
        <w:rPr>
          <w:b/>
          <w:lang w:val="en-GB"/>
        </w:rPr>
      </w:pPr>
      <w:r w:rsidRPr="00CC7A91">
        <w:rPr>
          <w:b/>
          <w:lang w:val="en-GB"/>
        </w:rPr>
        <w:t>Transitional arrangements</w:t>
      </w:r>
    </w:p>
    <w:p w:rsidR="00B97732" w:rsidRDefault="00B97732" w:rsidP="00FA43AF">
      <w:pPr>
        <w:rPr>
          <w:rFonts w:asciiTheme="minorHAnsi" w:hAnsiTheme="minorHAnsi" w:cstheme="minorHAnsi"/>
          <w:i/>
          <w:iCs/>
        </w:rPr>
      </w:pPr>
      <w:r w:rsidRPr="00904495">
        <w:rPr>
          <w:lang w:val="en-GB"/>
        </w:rPr>
        <w:t>Until 1</w:t>
      </w:r>
      <w:r w:rsidR="00CC7A91" w:rsidRPr="00CC7A91">
        <w:rPr>
          <w:lang w:val="en-GB"/>
        </w:rPr>
        <w:t xml:space="preserve"> </w:t>
      </w:r>
      <w:r w:rsidRPr="00904495">
        <w:rPr>
          <w:lang w:val="en-GB"/>
        </w:rPr>
        <w:t>J</w:t>
      </w:r>
      <w:r w:rsidR="00B350FB">
        <w:rPr>
          <w:lang w:val="en-GB"/>
        </w:rPr>
        <w:t>anuary 2020</w:t>
      </w:r>
      <w:r w:rsidR="00CC7A91" w:rsidRPr="00CC7A91">
        <w:rPr>
          <w:lang w:val="en-GB"/>
        </w:rPr>
        <w:t xml:space="preserve">, </w:t>
      </w:r>
      <w:r w:rsidRPr="00904495">
        <w:rPr>
          <w:lang w:val="en-GB"/>
        </w:rPr>
        <w:t>suppliers may meet the conditions specified in</w:t>
      </w:r>
      <w:r w:rsidR="00097038">
        <w:rPr>
          <w:lang w:val="en-GB"/>
        </w:rPr>
        <w:t xml:space="preserve"> the</w:t>
      </w:r>
      <w:r w:rsidRPr="00904495">
        <w:rPr>
          <w:lang w:val="en-GB"/>
        </w:rPr>
        <w:t xml:space="preserve"> </w:t>
      </w:r>
      <w:r w:rsidR="00486E75" w:rsidRPr="00FA43AF">
        <w:rPr>
          <w:lang w:val="en-GB"/>
        </w:rPr>
        <w:t>previous safety standard or the updated safety standard</w:t>
      </w:r>
      <w:r w:rsidRPr="00FA43AF">
        <w:rPr>
          <w:lang w:val="en-GB"/>
        </w:rPr>
        <w:t>.</w:t>
      </w:r>
    </w:p>
    <w:p w:rsidR="00B97732" w:rsidRPr="00FA43AF" w:rsidRDefault="00B97732" w:rsidP="00FA43AF">
      <w:pPr>
        <w:rPr>
          <w:lang w:val="en-GB"/>
        </w:rPr>
      </w:pPr>
      <w:r w:rsidRPr="00FA43AF">
        <w:rPr>
          <w:lang w:val="en-GB"/>
        </w:rPr>
        <w:t xml:space="preserve">The former is based on AS/NZS 1249: 2003 </w:t>
      </w:r>
      <w:r w:rsidR="00097038" w:rsidRPr="00FA43AF">
        <w:rPr>
          <w:lang w:val="en-GB"/>
        </w:rPr>
        <w:t>as varied,</w:t>
      </w:r>
      <w:r w:rsidRPr="00FA43AF">
        <w:rPr>
          <w:lang w:val="en-GB"/>
        </w:rPr>
        <w:t xml:space="preserve"> with some</w:t>
      </w:r>
      <w:r w:rsidR="00097038" w:rsidRPr="00FA43AF">
        <w:rPr>
          <w:lang w:val="en-GB"/>
        </w:rPr>
        <w:t xml:space="preserve"> minor changes</w:t>
      </w:r>
      <w:r w:rsidRPr="00FA43AF">
        <w:rPr>
          <w:lang w:val="en-GB"/>
        </w:rPr>
        <w:t>. The latter is based on AS/NZS 1249: 2014.</w:t>
      </w:r>
    </w:p>
    <w:p w:rsidR="00B97732" w:rsidRPr="00B97732" w:rsidRDefault="00904495" w:rsidP="003C4E5E">
      <w:pPr>
        <w:rPr>
          <w:rFonts w:asciiTheme="minorHAnsi" w:hAnsiTheme="minorHAnsi" w:cstheme="minorHAnsi"/>
        </w:rPr>
      </w:pPr>
      <w:r>
        <w:rPr>
          <w:rFonts w:asciiTheme="minorHAnsi" w:hAnsiTheme="minorHAnsi" w:cstheme="minorHAnsi"/>
        </w:rPr>
        <w:t>On and after 1 J</w:t>
      </w:r>
      <w:r w:rsidR="00B350FB">
        <w:rPr>
          <w:rFonts w:asciiTheme="minorHAnsi" w:hAnsiTheme="minorHAnsi" w:cstheme="minorHAnsi"/>
        </w:rPr>
        <w:t>anuary 2020</w:t>
      </w:r>
      <w:r w:rsidR="00486E75">
        <w:rPr>
          <w:rFonts w:asciiTheme="minorHAnsi" w:hAnsiTheme="minorHAnsi" w:cstheme="minorHAnsi"/>
        </w:rPr>
        <w:t>,</w:t>
      </w:r>
      <w:r>
        <w:rPr>
          <w:rFonts w:asciiTheme="minorHAnsi" w:hAnsiTheme="minorHAnsi" w:cstheme="minorHAnsi"/>
        </w:rPr>
        <w:t xml:space="preserve"> suppliers must meet</w:t>
      </w:r>
      <w:r w:rsidRPr="00904495">
        <w:t xml:space="preserve"> </w:t>
      </w:r>
      <w:r>
        <w:t xml:space="preserve">the </w:t>
      </w:r>
      <w:r w:rsidR="00486E75">
        <w:t>updated safety standard</w:t>
      </w:r>
      <w:r>
        <w:rPr>
          <w:rFonts w:asciiTheme="minorHAnsi" w:hAnsiTheme="minorHAnsi" w:cstheme="minorHAnsi"/>
          <w:i/>
          <w:iCs/>
        </w:rPr>
        <w:t>.</w:t>
      </w:r>
    </w:p>
    <w:p w:rsidR="00CC7A91" w:rsidRPr="00CC7A91" w:rsidRDefault="00CC7A91" w:rsidP="00CC7A91">
      <w:pPr>
        <w:rPr>
          <w:lang w:val="en-GB"/>
        </w:rPr>
      </w:pPr>
      <w:r w:rsidRPr="00CC7A91">
        <w:rPr>
          <w:b/>
          <w:lang w:val="en-GB"/>
        </w:rPr>
        <w:t>Consultation</w:t>
      </w:r>
    </w:p>
    <w:p w:rsidR="00904495" w:rsidRPr="00904495" w:rsidRDefault="00CC7A91" w:rsidP="00CC7A91">
      <w:pPr>
        <w:rPr>
          <w:lang w:val="en-GB"/>
        </w:rPr>
      </w:pPr>
      <w:r w:rsidRPr="00CC7A91">
        <w:rPr>
          <w:lang w:val="en-GB"/>
        </w:rPr>
        <w:t xml:space="preserve">The Australian Competition and Consumer Commission (ACCC) conducted a review of the safety standard for </w:t>
      </w:r>
      <w:r w:rsidR="00904495" w:rsidRPr="00904495">
        <w:rPr>
          <w:lang w:val="en-GB"/>
        </w:rPr>
        <w:t xml:space="preserve">children’s nightwear </w:t>
      </w:r>
      <w:r w:rsidRPr="00CC7A91">
        <w:rPr>
          <w:lang w:val="en-GB"/>
        </w:rPr>
        <w:t xml:space="preserve">and recommended to the Australian Government Minister for Small Business that the </w:t>
      </w:r>
      <w:r w:rsidR="00904495" w:rsidRPr="00904495">
        <w:rPr>
          <w:lang w:val="en-GB"/>
        </w:rPr>
        <w:t xml:space="preserve">standard be updated to </w:t>
      </w:r>
      <w:r w:rsidR="007B027E">
        <w:rPr>
          <w:lang w:val="en-GB"/>
        </w:rPr>
        <w:t xml:space="preserve">incorporate the changes </w:t>
      </w:r>
      <w:r w:rsidR="007A22A9">
        <w:rPr>
          <w:lang w:val="en-GB"/>
        </w:rPr>
        <w:t xml:space="preserve">reflected </w:t>
      </w:r>
      <w:r w:rsidR="007B027E">
        <w:rPr>
          <w:lang w:val="en-GB"/>
        </w:rPr>
        <w:t xml:space="preserve">in </w:t>
      </w:r>
      <w:r w:rsidR="007A22A9">
        <w:rPr>
          <w:lang w:val="en-GB"/>
        </w:rPr>
        <w:t>AS/NZS 1249: 2014</w:t>
      </w:r>
      <w:r w:rsidR="00904495" w:rsidRPr="00904495">
        <w:rPr>
          <w:lang w:val="en-GB"/>
        </w:rPr>
        <w:t xml:space="preserve"> and, additionally, continue to require that paper patterns be required to carry an alert on flammability of children’s nightwear.</w:t>
      </w:r>
    </w:p>
    <w:p w:rsidR="00CC7A91" w:rsidRDefault="00CC7A91" w:rsidP="00CC7A91">
      <w:pPr>
        <w:rPr>
          <w:lang w:val="en-GB"/>
        </w:rPr>
      </w:pPr>
      <w:r w:rsidRPr="00CC7A91">
        <w:rPr>
          <w:lang w:val="en-GB"/>
        </w:rPr>
        <w:lastRenderedPageBreak/>
        <w:t xml:space="preserve">Following </w:t>
      </w:r>
      <w:r w:rsidR="00A870A3">
        <w:rPr>
          <w:lang w:val="en-GB"/>
        </w:rPr>
        <w:t>extensive</w:t>
      </w:r>
      <w:r w:rsidR="00A870A3" w:rsidRPr="00904495">
        <w:rPr>
          <w:lang w:val="en-GB"/>
        </w:rPr>
        <w:t xml:space="preserve"> </w:t>
      </w:r>
      <w:r w:rsidR="00904495" w:rsidRPr="00904495">
        <w:rPr>
          <w:lang w:val="en-GB"/>
        </w:rPr>
        <w:t xml:space="preserve">consultation with stakeholders in the process of the review of the Australian Standard and initial </w:t>
      </w:r>
      <w:r w:rsidRPr="00CC7A91">
        <w:rPr>
          <w:lang w:val="en-GB"/>
        </w:rPr>
        <w:t>discussion</w:t>
      </w:r>
      <w:r w:rsidR="007A22A9">
        <w:rPr>
          <w:lang w:val="en-GB"/>
        </w:rPr>
        <w:t>s</w:t>
      </w:r>
      <w:r w:rsidRPr="00CC7A91">
        <w:rPr>
          <w:lang w:val="en-GB"/>
        </w:rPr>
        <w:t xml:space="preserve"> with industry, the ACCC released a consultation paper </w:t>
      </w:r>
      <w:r w:rsidR="00904495" w:rsidRPr="00904495">
        <w:rPr>
          <w:lang w:val="en-GB"/>
        </w:rPr>
        <w:t xml:space="preserve">on reviewing the safety standard, </w:t>
      </w:r>
      <w:r w:rsidRPr="00CC7A91">
        <w:rPr>
          <w:lang w:val="en-GB"/>
        </w:rPr>
        <w:t>circulated it to manufacturers, suppliers and consumer groups</w:t>
      </w:r>
      <w:r w:rsidR="00904495" w:rsidRPr="00904495">
        <w:rPr>
          <w:lang w:val="en-GB"/>
        </w:rPr>
        <w:t xml:space="preserve"> </w:t>
      </w:r>
      <w:r w:rsidR="00295DF6">
        <w:rPr>
          <w:lang w:val="en-GB"/>
        </w:rPr>
        <w:t>seeking comment on the options and, specifically on the new ‘melt and drip’ test and on transition arrangements.</w:t>
      </w:r>
      <w:r w:rsidRPr="00CC7A91">
        <w:rPr>
          <w:lang w:val="en-GB"/>
        </w:rPr>
        <w:t xml:space="preserve"> </w:t>
      </w:r>
    </w:p>
    <w:p w:rsidR="00990D26" w:rsidRPr="00990D26" w:rsidRDefault="00990D26" w:rsidP="00990D26">
      <w:pPr>
        <w:tabs>
          <w:tab w:val="left" w:pos="1021"/>
        </w:tabs>
        <w:spacing w:line="240" w:lineRule="atLeast"/>
        <w:rPr>
          <w:rFonts w:eastAsiaTheme="majorEastAsia" w:cs="Arial"/>
          <w:szCs w:val="26"/>
        </w:rPr>
      </w:pPr>
      <w:r w:rsidRPr="00990D26">
        <w:rPr>
          <w:rFonts w:eastAsiaTheme="majorEastAsia" w:cs="Arial"/>
          <w:szCs w:val="26"/>
        </w:rPr>
        <w:t xml:space="preserve">A consultation paper was released on 28 September 2016 and consultation ran until </w:t>
      </w:r>
      <w:r w:rsidR="00295DF6">
        <w:rPr>
          <w:rFonts w:eastAsiaTheme="majorEastAsia" w:cs="Arial"/>
          <w:szCs w:val="26"/>
        </w:rPr>
        <w:t>1</w:t>
      </w:r>
      <w:r w:rsidRPr="00990D26">
        <w:rPr>
          <w:rFonts w:eastAsiaTheme="majorEastAsia" w:cs="Arial"/>
          <w:szCs w:val="26"/>
        </w:rPr>
        <w:t>4 November 2016. The paper outlined four policy options:</w:t>
      </w:r>
    </w:p>
    <w:p w:rsidR="00990D26" w:rsidRPr="00990D26" w:rsidRDefault="00990D26" w:rsidP="00990D26">
      <w:pPr>
        <w:tabs>
          <w:tab w:val="left" w:pos="1021"/>
        </w:tabs>
        <w:spacing w:line="240" w:lineRule="atLeast"/>
        <w:ind w:left="574"/>
        <w:rPr>
          <w:rFonts w:eastAsiaTheme="majorEastAsia" w:cs="Arial"/>
          <w:szCs w:val="26"/>
        </w:rPr>
      </w:pPr>
      <w:r w:rsidRPr="00990D26">
        <w:rPr>
          <w:rFonts w:eastAsiaTheme="majorEastAsia" w:cs="Arial"/>
          <w:szCs w:val="26"/>
        </w:rPr>
        <w:t>Option 1</w:t>
      </w:r>
      <w:r w:rsidRPr="00990D26">
        <w:rPr>
          <w:rFonts w:eastAsiaTheme="majorEastAsia" w:cs="Arial"/>
          <w:szCs w:val="26"/>
        </w:rPr>
        <w:tab/>
        <w:t>Retain the current safety standard (status quo)</w:t>
      </w:r>
    </w:p>
    <w:p w:rsidR="00990D26" w:rsidRPr="00990D26" w:rsidRDefault="00990D26" w:rsidP="00990D26">
      <w:pPr>
        <w:tabs>
          <w:tab w:val="left" w:pos="1021"/>
        </w:tabs>
        <w:spacing w:line="240" w:lineRule="atLeast"/>
        <w:ind w:left="574"/>
        <w:rPr>
          <w:rFonts w:eastAsiaTheme="majorEastAsia" w:cs="Arial"/>
          <w:szCs w:val="26"/>
        </w:rPr>
      </w:pPr>
      <w:r w:rsidRPr="00990D26">
        <w:rPr>
          <w:rFonts w:eastAsiaTheme="majorEastAsia" w:cs="Arial"/>
          <w:szCs w:val="26"/>
        </w:rPr>
        <w:t>Option 2</w:t>
      </w:r>
      <w:r w:rsidRPr="00990D26">
        <w:rPr>
          <w:rFonts w:eastAsiaTheme="majorEastAsia" w:cs="Arial"/>
          <w:szCs w:val="26"/>
        </w:rPr>
        <w:tab/>
        <w:t xml:space="preserve">Adopt the updated voluntary Australian standard </w:t>
      </w:r>
    </w:p>
    <w:p w:rsidR="00990D26" w:rsidRPr="00990D26" w:rsidRDefault="00990D26" w:rsidP="00990D26">
      <w:pPr>
        <w:tabs>
          <w:tab w:val="left" w:pos="1021"/>
        </w:tabs>
        <w:spacing w:line="240" w:lineRule="atLeast"/>
        <w:ind w:left="574"/>
        <w:rPr>
          <w:rFonts w:eastAsiaTheme="majorEastAsia" w:cs="Arial"/>
          <w:szCs w:val="26"/>
        </w:rPr>
      </w:pPr>
      <w:r w:rsidRPr="00990D26">
        <w:rPr>
          <w:rFonts w:eastAsiaTheme="majorEastAsia" w:cs="Arial"/>
          <w:szCs w:val="26"/>
        </w:rPr>
        <w:t>Option 3</w:t>
      </w:r>
      <w:r w:rsidRPr="00990D26">
        <w:rPr>
          <w:rFonts w:eastAsiaTheme="majorEastAsia" w:cs="Arial"/>
          <w:szCs w:val="26"/>
        </w:rPr>
        <w:tab/>
        <w:t>Adopt international standards</w:t>
      </w:r>
    </w:p>
    <w:p w:rsidR="00990D26" w:rsidRPr="00990D26" w:rsidRDefault="00990D26" w:rsidP="00990D26">
      <w:pPr>
        <w:tabs>
          <w:tab w:val="left" w:pos="1021"/>
        </w:tabs>
        <w:spacing w:line="240" w:lineRule="atLeast"/>
        <w:ind w:left="574"/>
        <w:rPr>
          <w:rFonts w:eastAsiaTheme="majorEastAsia" w:cs="Arial"/>
          <w:szCs w:val="26"/>
        </w:rPr>
      </w:pPr>
      <w:r w:rsidRPr="00990D26">
        <w:rPr>
          <w:rFonts w:eastAsiaTheme="majorEastAsia" w:cs="Arial"/>
          <w:szCs w:val="26"/>
        </w:rPr>
        <w:t>Option 4</w:t>
      </w:r>
      <w:r w:rsidRPr="00990D26">
        <w:rPr>
          <w:rFonts w:eastAsiaTheme="majorEastAsia" w:cs="Arial"/>
          <w:szCs w:val="26"/>
        </w:rPr>
        <w:tab/>
        <w:t>Revoke the safety standard.</w:t>
      </w:r>
    </w:p>
    <w:p w:rsidR="00990D26" w:rsidRPr="00990D26" w:rsidRDefault="00990D26" w:rsidP="00990D26">
      <w:pPr>
        <w:tabs>
          <w:tab w:val="left" w:pos="1021"/>
        </w:tabs>
        <w:spacing w:line="240" w:lineRule="atLeast"/>
        <w:rPr>
          <w:rFonts w:eastAsiaTheme="majorEastAsia" w:cs="Arial"/>
          <w:szCs w:val="26"/>
        </w:rPr>
      </w:pPr>
      <w:r>
        <w:rPr>
          <w:rFonts w:eastAsiaTheme="majorEastAsia" w:cs="Arial"/>
          <w:szCs w:val="26"/>
        </w:rPr>
        <w:t xml:space="preserve">The ACCC’s preliminary position, expressed in the consultation paper, was that </w:t>
      </w:r>
      <w:r w:rsidRPr="00990D26">
        <w:rPr>
          <w:rFonts w:eastAsiaTheme="majorEastAsia" w:cs="Arial"/>
          <w:szCs w:val="26"/>
        </w:rPr>
        <w:t xml:space="preserve">Option 2 was the most effective option on the basis it would improve safety, simplify the requirements and reduce costs for suppliers. </w:t>
      </w:r>
      <w:r>
        <w:rPr>
          <w:rFonts w:eastAsiaTheme="majorEastAsia" w:cs="Arial"/>
          <w:szCs w:val="26"/>
        </w:rPr>
        <w:t xml:space="preserve">The </w:t>
      </w:r>
      <w:r w:rsidRPr="00990D26">
        <w:rPr>
          <w:rFonts w:eastAsiaTheme="majorEastAsia" w:cs="Arial"/>
          <w:szCs w:val="26"/>
        </w:rPr>
        <w:t xml:space="preserve">ACCC concluded that available international standards (Option 3) are not suitable for Australia on the basis of an expert review of the relevant international standards for children’s nightwear. </w:t>
      </w:r>
    </w:p>
    <w:p w:rsidR="00990D26" w:rsidRPr="00990D26" w:rsidRDefault="00990D26" w:rsidP="00990D26">
      <w:pPr>
        <w:tabs>
          <w:tab w:val="left" w:pos="1021"/>
        </w:tabs>
        <w:spacing w:line="240" w:lineRule="atLeast"/>
        <w:rPr>
          <w:rFonts w:eastAsiaTheme="majorEastAsia" w:cs="Arial"/>
          <w:szCs w:val="26"/>
        </w:rPr>
      </w:pPr>
      <w:r w:rsidRPr="00990D26">
        <w:rPr>
          <w:rFonts w:eastAsiaTheme="majorEastAsia" w:cs="Arial"/>
          <w:szCs w:val="26"/>
        </w:rPr>
        <w:t>Twenty-f</w:t>
      </w:r>
      <w:r w:rsidR="00295DF6">
        <w:rPr>
          <w:rFonts w:eastAsiaTheme="majorEastAsia" w:cs="Arial"/>
          <w:szCs w:val="26"/>
        </w:rPr>
        <w:t>ive</w:t>
      </w:r>
      <w:r w:rsidRPr="00990D26">
        <w:rPr>
          <w:rFonts w:eastAsiaTheme="majorEastAsia" w:cs="Arial"/>
          <w:szCs w:val="26"/>
        </w:rPr>
        <w:t xml:space="preserve"> submissions were received </w:t>
      </w:r>
      <w:r w:rsidR="00324675" w:rsidRPr="00324675">
        <w:rPr>
          <w:rFonts w:eastAsiaTheme="majorEastAsia" w:cs="Arial"/>
          <w:szCs w:val="26"/>
        </w:rPr>
        <w:t>from retailers, consumer groups, child safety agencies, manufacturers, test laboratories, ACL co</w:t>
      </w:r>
      <w:r w:rsidR="007A22A9">
        <w:rPr>
          <w:rFonts w:eastAsiaTheme="majorEastAsia" w:cs="Arial"/>
          <w:szCs w:val="26"/>
        </w:rPr>
        <w:t>-</w:t>
      </w:r>
      <w:r w:rsidR="00324675" w:rsidRPr="00324675">
        <w:rPr>
          <w:rFonts w:eastAsiaTheme="majorEastAsia" w:cs="Arial"/>
          <w:szCs w:val="26"/>
        </w:rPr>
        <w:t>regulators, one wholesaler and one individual.</w:t>
      </w:r>
      <w:r w:rsidRPr="00990D26">
        <w:rPr>
          <w:rFonts w:eastAsiaTheme="majorEastAsia" w:cs="Arial"/>
          <w:szCs w:val="26"/>
        </w:rPr>
        <w:t xml:space="preserve"> Twenty-two responses supported the change</w:t>
      </w:r>
      <w:r w:rsidR="00AC07B5">
        <w:rPr>
          <w:rFonts w:eastAsiaTheme="majorEastAsia" w:cs="Arial"/>
          <w:szCs w:val="26"/>
        </w:rPr>
        <w:t xml:space="preserve">. There was comment on eight submissions concerning the new ‘melt and drip’ test and this occasioned additional discussion with stakeholders. </w:t>
      </w:r>
      <w:r w:rsidR="00B350FB">
        <w:rPr>
          <w:rFonts w:eastAsiaTheme="majorEastAsia" w:cs="Arial"/>
          <w:szCs w:val="26"/>
        </w:rPr>
        <w:t xml:space="preserve">Six of seven stakeholders contacted for additional comment strongly supported updating the standard and aligning requirements with those of New Zealand. </w:t>
      </w:r>
      <w:r w:rsidR="00AC07B5">
        <w:rPr>
          <w:rFonts w:eastAsiaTheme="majorEastAsia" w:cs="Arial"/>
          <w:szCs w:val="26"/>
        </w:rPr>
        <w:t>The test is included in this revision on the grounds that it will improve safety. It is likely to cause some garments to move from a ‘low’ to a ‘high’</w:t>
      </w:r>
      <w:r w:rsidRPr="00990D26">
        <w:rPr>
          <w:rFonts w:eastAsiaTheme="majorEastAsia" w:cs="Arial"/>
          <w:szCs w:val="26"/>
        </w:rPr>
        <w:t xml:space="preserve"> </w:t>
      </w:r>
      <w:r w:rsidR="00AC07B5">
        <w:rPr>
          <w:rFonts w:eastAsiaTheme="majorEastAsia" w:cs="Arial"/>
          <w:szCs w:val="26"/>
        </w:rPr>
        <w:t>fire warning label.</w:t>
      </w:r>
      <w:r w:rsidRPr="00990D26">
        <w:rPr>
          <w:rFonts w:eastAsiaTheme="majorEastAsia" w:cs="Arial"/>
          <w:szCs w:val="26"/>
        </w:rPr>
        <w:t xml:space="preserve"> Two consumer organisations were concerned that paper patterns </w:t>
      </w:r>
      <w:r w:rsidR="001E3B5B">
        <w:rPr>
          <w:rFonts w:eastAsiaTheme="majorEastAsia" w:cs="Arial"/>
          <w:szCs w:val="26"/>
        </w:rPr>
        <w:t xml:space="preserve">might no longer be </w:t>
      </w:r>
      <w:r w:rsidRPr="00990D26">
        <w:rPr>
          <w:rFonts w:eastAsiaTheme="majorEastAsia" w:cs="Arial"/>
          <w:szCs w:val="26"/>
        </w:rPr>
        <w:t>required to carry a warning text.</w:t>
      </w:r>
      <w:r w:rsidR="00AC07B5">
        <w:rPr>
          <w:rFonts w:eastAsiaTheme="majorEastAsia" w:cs="Arial"/>
          <w:szCs w:val="26"/>
        </w:rPr>
        <w:t xml:space="preserve"> </w:t>
      </w:r>
      <w:r w:rsidR="007A22A9">
        <w:rPr>
          <w:rFonts w:eastAsiaTheme="majorEastAsia" w:cs="Arial"/>
          <w:szCs w:val="26"/>
        </w:rPr>
        <w:t>This warning will continue in relation to p</w:t>
      </w:r>
      <w:r w:rsidR="00AC07B5">
        <w:rPr>
          <w:rFonts w:eastAsiaTheme="majorEastAsia" w:cs="Arial"/>
          <w:szCs w:val="26"/>
        </w:rPr>
        <w:t xml:space="preserve">aper patterns. </w:t>
      </w:r>
    </w:p>
    <w:p w:rsidR="00CC7A91" w:rsidRPr="001E3B5B" w:rsidRDefault="00CC7A91" w:rsidP="00CC7A91">
      <w:pPr>
        <w:rPr>
          <w:lang w:val="en-GB"/>
        </w:rPr>
      </w:pPr>
      <w:r w:rsidRPr="001E3B5B">
        <w:rPr>
          <w:lang w:val="en-GB"/>
        </w:rPr>
        <w:t xml:space="preserve">There was agreement that there would be little or no cost to suppliers associated with the change. </w:t>
      </w:r>
    </w:p>
    <w:p w:rsidR="00CC7A91" w:rsidRPr="00CC7A91" w:rsidRDefault="00CC7A91" w:rsidP="00CC7A91">
      <w:pPr>
        <w:rPr>
          <w:b/>
        </w:rPr>
      </w:pPr>
      <w:r w:rsidRPr="00CC7A91">
        <w:rPr>
          <w:b/>
        </w:rPr>
        <w:t>Disallowance</w:t>
      </w:r>
    </w:p>
    <w:p w:rsidR="00CC7A91" w:rsidRPr="00CC7A91" w:rsidRDefault="00CC7A91" w:rsidP="00CC7A91">
      <w:r w:rsidRPr="00CC7A91">
        <w:t xml:space="preserve">This legislative instrument is subject to disallowance under Chapter 3, Part 2 of the </w:t>
      </w:r>
      <w:r w:rsidRPr="00CC7A91">
        <w:rPr>
          <w:i/>
          <w:iCs/>
        </w:rPr>
        <w:t>Legislation Act 2003</w:t>
      </w:r>
      <w:r w:rsidRPr="00CC7A91">
        <w:t>.</w:t>
      </w:r>
    </w:p>
    <w:p w:rsidR="00CC7A91" w:rsidRPr="00CC7A91" w:rsidRDefault="00CC7A91" w:rsidP="00CC7A91">
      <w:pPr>
        <w:keepNext/>
        <w:rPr>
          <w:b/>
        </w:rPr>
      </w:pPr>
      <w:r w:rsidRPr="00CC7A91">
        <w:rPr>
          <w:b/>
        </w:rPr>
        <w:t>Sunsetting</w:t>
      </w:r>
    </w:p>
    <w:p w:rsidR="00CC7A91" w:rsidRPr="00CC7A91" w:rsidRDefault="00CC7A91" w:rsidP="00CC7A91">
      <w:pPr>
        <w:keepNext/>
        <w:rPr>
          <w:i/>
        </w:rPr>
      </w:pPr>
      <w:r w:rsidRPr="00CC7A91">
        <w:t xml:space="preserve">This legislative instrument is exempt from sunsetting. Schedule 12 of the </w:t>
      </w:r>
      <w:r w:rsidRPr="00CC7A91">
        <w:rPr>
          <w:i/>
        </w:rPr>
        <w:t xml:space="preserve">Legislation (Exemptions and Other Matters) Regulation 2015 </w:t>
      </w:r>
      <w:r w:rsidRPr="00CC7A91">
        <w:t xml:space="preserve">(No. 158, 2015) lists as exempt, instruments made under section 104 or 105 (safety standards) of Schedule 2 (the Australian Consumer Law) to the </w:t>
      </w:r>
      <w:r w:rsidRPr="00CC7A91">
        <w:rPr>
          <w:i/>
        </w:rPr>
        <w:t xml:space="preserve">Competition and Consumer Act 2010. </w:t>
      </w:r>
    </w:p>
    <w:p w:rsidR="00CC7A91" w:rsidRPr="00CC7A91" w:rsidRDefault="00CC7A91" w:rsidP="00CC7A91">
      <w:pPr>
        <w:rPr>
          <w:b/>
        </w:rPr>
      </w:pPr>
      <w:r w:rsidRPr="00CC7A91">
        <w:rPr>
          <w:b/>
        </w:rPr>
        <w:t xml:space="preserve">Statement of Compatibility with Human Rights </w:t>
      </w:r>
    </w:p>
    <w:p w:rsidR="00CC7A91" w:rsidRPr="00CC7A91" w:rsidRDefault="00CC7A91" w:rsidP="00CC7A91">
      <w:pPr>
        <w:rPr>
          <w:i/>
          <w:iCs/>
          <w:lang w:val="en-GB"/>
        </w:rPr>
      </w:pPr>
      <w:r w:rsidRPr="00CC7A91">
        <w:rPr>
          <w:i/>
          <w:iCs/>
          <w:lang w:val="en-GB"/>
        </w:rPr>
        <w:t>Prepared in accordance with subsection 9(1) of the Human Rights (Parliamentary Scrutiny) Act 2011.</w:t>
      </w:r>
    </w:p>
    <w:p w:rsidR="00CC7A91" w:rsidRPr="00CC7A91" w:rsidRDefault="00CC7A91" w:rsidP="00CC7A91">
      <w:pPr>
        <w:rPr>
          <w:i/>
        </w:rPr>
      </w:pPr>
      <w:r w:rsidRPr="00CC7A91">
        <w:rPr>
          <w:i/>
        </w:rPr>
        <w:t xml:space="preserve">Overview </w:t>
      </w:r>
    </w:p>
    <w:p w:rsidR="00CC7A91" w:rsidRPr="00CC7A91" w:rsidRDefault="00CC7A91" w:rsidP="00CC7A91">
      <w:r w:rsidRPr="00CC7A91">
        <w:t xml:space="preserve">The legislative instrument is compatible with the human rights and freedoms recognised or declared in the international instruments listed in section 3 of the </w:t>
      </w:r>
      <w:r w:rsidRPr="00CC7A91">
        <w:rPr>
          <w:i/>
        </w:rPr>
        <w:t>Human Rights (Parliamentary Scrutiny) Act 2011</w:t>
      </w:r>
      <w:r w:rsidRPr="00CC7A91">
        <w:t>.</w:t>
      </w:r>
    </w:p>
    <w:p w:rsidR="00CC7A91" w:rsidRPr="00CC7A91" w:rsidRDefault="00CC7A91" w:rsidP="00CC7A91">
      <w:pPr>
        <w:rPr>
          <w:i/>
        </w:rPr>
      </w:pPr>
      <w:r w:rsidRPr="00CC7A91">
        <w:rPr>
          <w:lang w:val="en-GB"/>
        </w:rPr>
        <w:lastRenderedPageBreak/>
        <w:t xml:space="preserve">This legislative instrument is a safety standard that specifies requirements for </w:t>
      </w:r>
      <w:r w:rsidR="00904495" w:rsidRPr="00904495">
        <w:rPr>
          <w:lang w:val="en-GB"/>
        </w:rPr>
        <w:t>children’s nightwear and limited day wear and for paper patterns relating to children’s nightwear.</w:t>
      </w:r>
      <w:r w:rsidRPr="00CC7A91">
        <w:rPr>
          <w:i/>
        </w:rPr>
        <w:t xml:space="preserve"> </w:t>
      </w:r>
    </w:p>
    <w:p w:rsidR="00CC7A91" w:rsidRPr="00CC7A91" w:rsidRDefault="00CC7A91" w:rsidP="00CC7A91">
      <w:pPr>
        <w:rPr>
          <w:i/>
        </w:rPr>
      </w:pPr>
      <w:r w:rsidRPr="00CC7A91">
        <w:rPr>
          <w:i/>
        </w:rPr>
        <w:t>Human Rights Implications</w:t>
      </w:r>
    </w:p>
    <w:p w:rsidR="00CC7A91" w:rsidRPr="00CC7A91" w:rsidRDefault="00CC7A91" w:rsidP="00CC7A91">
      <w:pPr>
        <w:rPr>
          <w:lang w:val="en-GB"/>
        </w:rPr>
      </w:pPr>
      <w:r w:rsidRPr="00CC7A91">
        <w:rPr>
          <w:lang w:val="en-GB"/>
        </w:rPr>
        <w:t>The legislative instrument engages the right to health contained in Article 12 of the International Covenant on Economic, Social and Cultural Rights (ICESCR)</w:t>
      </w:r>
    </w:p>
    <w:p w:rsidR="00CC7A91" w:rsidRPr="00CC7A91" w:rsidRDefault="00CC7A91" w:rsidP="00CC7A91">
      <w:r w:rsidRPr="00CC7A91">
        <w:rPr>
          <w:lang w:val="en-GB"/>
        </w:rPr>
        <w:t>Article 12 of the ICESCR</w:t>
      </w:r>
      <w:r w:rsidRPr="00CC7A91">
        <w:t xml:space="preserve"> </w:t>
      </w:r>
      <w:r w:rsidRPr="00CC7A91">
        <w:rPr>
          <w:lang w:val="en-GB"/>
        </w:rPr>
        <w:t xml:space="preserve">recognises the right of everyone to the enjoyment of the highest attainable standard of physical and mental health. </w:t>
      </w:r>
    </w:p>
    <w:p w:rsidR="00CC7A91" w:rsidRPr="00CC7A91" w:rsidRDefault="00CC7A91" w:rsidP="00CC7A91">
      <w:r w:rsidRPr="00CC7A91">
        <w:t xml:space="preserve">The legislative instrument will promote these rights by </w:t>
      </w:r>
      <w:r w:rsidR="00904495" w:rsidRPr="00F03FBA">
        <w:t>setting conditions for supply of children’s nightwear</w:t>
      </w:r>
      <w:r w:rsidR="00F03FBA" w:rsidRPr="00F03FBA">
        <w:t xml:space="preserve"> that </w:t>
      </w:r>
      <w:r w:rsidRPr="00CC7A91">
        <w:t xml:space="preserve">minimise </w:t>
      </w:r>
      <w:r w:rsidRPr="00CC7A91">
        <w:rPr>
          <w:lang w:val="en-GB"/>
        </w:rPr>
        <w:t xml:space="preserve">the risk of </w:t>
      </w:r>
      <w:r w:rsidR="00F03FBA" w:rsidRPr="00F03FBA">
        <w:rPr>
          <w:lang w:val="en-GB"/>
        </w:rPr>
        <w:t xml:space="preserve">child </w:t>
      </w:r>
      <w:r w:rsidRPr="00CC7A91">
        <w:rPr>
          <w:lang w:val="en-GB"/>
        </w:rPr>
        <w:t>death</w:t>
      </w:r>
      <w:r w:rsidR="00F03FBA" w:rsidRPr="00F03FBA">
        <w:rPr>
          <w:lang w:val="en-GB"/>
        </w:rPr>
        <w:t xml:space="preserve"> and injury associated with ignition of child nightwear.</w:t>
      </w:r>
    </w:p>
    <w:p w:rsidR="00CC7A91" w:rsidRPr="00CC7A91" w:rsidRDefault="00CC7A91" w:rsidP="00CC7A91">
      <w:pPr>
        <w:rPr>
          <w:i/>
        </w:rPr>
      </w:pPr>
      <w:r w:rsidRPr="00CC7A91">
        <w:rPr>
          <w:i/>
        </w:rPr>
        <w:t>Conclusion</w:t>
      </w:r>
    </w:p>
    <w:p w:rsidR="00CC7A91" w:rsidRPr="00CC7A91" w:rsidRDefault="00CC7A91" w:rsidP="00CC7A91">
      <w:pPr>
        <w:rPr>
          <w:lang w:val="en-GB"/>
        </w:rPr>
      </w:pPr>
      <w:r w:rsidRPr="00CC7A91">
        <w:t xml:space="preserve">The legislative instrument does not limit human rights and is compatible with human rights. It advances the protection of human rights by requiring suppliers to ensure the goods they supply comply with safety standards, minimising the risk of injury or death to users. </w:t>
      </w:r>
    </w:p>
    <w:p w:rsidR="00303C4A" w:rsidRPr="00D7041D" w:rsidRDefault="00303C4A" w:rsidP="00500594">
      <w:pPr>
        <w:autoSpaceDE w:val="0"/>
        <w:autoSpaceDN w:val="0"/>
        <w:adjustRightInd w:val="0"/>
        <w:spacing w:before="0"/>
        <w:rPr>
          <w:rFonts w:asciiTheme="minorHAnsi" w:hAnsiTheme="minorHAnsi" w:cstheme="minorHAnsi"/>
        </w:rPr>
      </w:pPr>
    </w:p>
    <w:sectPr w:rsidR="00303C4A" w:rsidRPr="00D7041D" w:rsidSect="00500594">
      <w:footerReference w:type="first" r:id="rId10"/>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A48" w:rsidRDefault="00DF6A48" w:rsidP="004B4412">
      <w:pPr>
        <w:spacing w:before="0"/>
      </w:pPr>
      <w:r>
        <w:separator/>
      </w:r>
    </w:p>
  </w:endnote>
  <w:endnote w:type="continuationSeparator" w:id="0">
    <w:p w:rsidR="00DF6A48" w:rsidRDefault="00DF6A48"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934326"/>
      <w:docPartObj>
        <w:docPartGallery w:val="Page Numbers (Bottom of Page)"/>
        <w:docPartUnique/>
      </w:docPartObj>
    </w:sdtPr>
    <w:sdtEndPr>
      <w:rPr>
        <w:noProof/>
      </w:rPr>
    </w:sdtEndPr>
    <w:sdtContent>
      <w:p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rsidR="00691616" w:rsidRDefault="00691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A48" w:rsidRDefault="00DF6A48" w:rsidP="004B4412">
      <w:pPr>
        <w:spacing w:before="0"/>
      </w:pPr>
      <w:r>
        <w:separator/>
      </w:r>
    </w:p>
  </w:footnote>
  <w:footnote w:type="continuationSeparator" w:id="0">
    <w:p w:rsidR="00DF6A48" w:rsidRDefault="00DF6A48" w:rsidP="004B441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nsid w:val="08542609"/>
    <w:multiLevelType w:val="hybridMultilevel"/>
    <w:tmpl w:val="EB909D64"/>
    <w:lvl w:ilvl="0" w:tplc="5470C13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0B476259"/>
    <w:multiLevelType w:val="hybridMultilevel"/>
    <w:tmpl w:val="F2AC3DA0"/>
    <w:lvl w:ilvl="0" w:tplc="C3E480EA">
      <w:start w:val="1"/>
      <w:numFmt w:val="lowerRoman"/>
      <w:lvlText w:val="(%1)"/>
      <w:lvlJc w:val="left"/>
      <w:pPr>
        <w:ind w:left="2214" w:hanging="72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3">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5">
    <w:nsid w:val="246A2B22"/>
    <w:multiLevelType w:val="hybridMultilevel"/>
    <w:tmpl w:val="DF94EF3C"/>
    <w:lvl w:ilvl="0" w:tplc="B8065F5C">
      <w:start w:val="1"/>
      <w:numFmt w:val="lowerRoman"/>
      <w:lvlText w:val="(%1)"/>
      <w:lvlJc w:val="left"/>
      <w:pPr>
        <w:ind w:left="2304" w:hanging="720"/>
      </w:pPr>
      <w:rPr>
        <w:rFonts w:hint="default"/>
      </w:r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6">
    <w:nsid w:val="2BEB045B"/>
    <w:multiLevelType w:val="hybridMultilevel"/>
    <w:tmpl w:val="79D66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B534B1"/>
    <w:multiLevelType w:val="hybridMultilevel"/>
    <w:tmpl w:val="46F80162"/>
    <w:lvl w:ilvl="0" w:tplc="647AF29C">
      <w:start w:val="1"/>
      <w:numFmt w:val="lowerLetter"/>
      <w:lvlText w:val="(%1)"/>
      <w:lvlJc w:val="left"/>
      <w:pPr>
        <w:ind w:left="2422" w:hanging="360"/>
      </w:pPr>
      <w:rPr>
        <w:rFonts w:ascii="Arial" w:eastAsia="Times New Roman" w:hAnsi="Arial" w:cs="Arial"/>
      </w:rPr>
    </w:lvl>
    <w:lvl w:ilvl="1" w:tplc="0C090019" w:tentative="1">
      <w:start w:val="1"/>
      <w:numFmt w:val="lowerLetter"/>
      <w:lvlText w:val="%2."/>
      <w:lvlJc w:val="left"/>
      <w:pPr>
        <w:ind w:left="3142" w:hanging="360"/>
      </w:pPr>
    </w:lvl>
    <w:lvl w:ilvl="2" w:tplc="0C09001B" w:tentative="1">
      <w:start w:val="1"/>
      <w:numFmt w:val="lowerRoman"/>
      <w:lvlText w:val="%3."/>
      <w:lvlJc w:val="right"/>
      <w:pPr>
        <w:ind w:left="3862" w:hanging="180"/>
      </w:pPr>
    </w:lvl>
    <w:lvl w:ilvl="3" w:tplc="0C09000F" w:tentative="1">
      <w:start w:val="1"/>
      <w:numFmt w:val="decimal"/>
      <w:lvlText w:val="%4."/>
      <w:lvlJc w:val="left"/>
      <w:pPr>
        <w:ind w:left="4582" w:hanging="360"/>
      </w:pPr>
    </w:lvl>
    <w:lvl w:ilvl="4" w:tplc="0C090019" w:tentative="1">
      <w:start w:val="1"/>
      <w:numFmt w:val="lowerLetter"/>
      <w:lvlText w:val="%5."/>
      <w:lvlJc w:val="left"/>
      <w:pPr>
        <w:ind w:left="5302" w:hanging="360"/>
      </w:pPr>
    </w:lvl>
    <w:lvl w:ilvl="5" w:tplc="0C09001B" w:tentative="1">
      <w:start w:val="1"/>
      <w:numFmt w:val="lowerRoman"/>
      <w:lvlText w:val="%6."/>
      <w:lvlJc w:val="right"/>
      <w:pPr>
        <w:ind w:left="6022" w:hanging="180"/>
      </w:pPr>
    </w:lvl>
    <w:lvl w:ilvl="6" w:tplc="0C09000F" w:tentative="1">
      <w:start w:val="1"/>
      <w:numFmt w:val="decimal"/>
      <w:lvlText w:val="%7."/>
      <w:lvlJc w:val="left"/>
      <w:pPr>
        <w:ind w:left="6742" w:hanging="360"/>
      </w:pPr>
    </w:lvl>
    <w:lvl w:ilvl="7" w:tplc="0C090019" w:tentative="1">
      <w:start w:val="1"/>
      <w:numFmt w:val="lowerLetter"/>
      <w:lvlText w:val="%8."/>
      <w:lvlJc w:val="left"/>
      <w:pPr>
        <w:ind w:left="7462" w:hanging="360"/>
      </w:pPr>
    </w:lvl>
    <w:lvl w:ilvl="8" w:tplc="0C09001B" w:tentative="1">
      <w:start w:val="1"/>
      <w:numFmt w:val="lowerRoman"/>
      <w:lvlText w:val="%9."/>
      <w:lvlJc w:val="right"/>
      <w:pPr>
        <w:ind w:left="8182" w:hanging="180"/>
      </w:pPr>
    </w:lvl>
  </w:abstractNum>
  <w:abstractNum w:abstractNumId="18">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9">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nsid w:val="3EC54E7D"/>
    <w:multiLevelType w:val="hybridMultilevel"/>
    <w:tmpl w:val="5D863D40"/>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19F783D"/>
    <w:multiLevelType w:val="hybridMultilevel"/>
    <w:tmpl w:val="27CC1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6">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4DD324A"/>
    <w:multiLevelType w:val="hybridMultilevel"/>
    <w:tmpl w:val="E45C3A08"/>
    <w:lvl w:ilvl="0" w:tplc="E494BF7E">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1">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2">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3">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4">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4"/>
  </w:num>
  <w:num w:numId="3">
    <w:abstractNumId w:val="7"/>
  </w:num>
  <w:num w:numId="4">
    <w:abstractNumId w:val="6"/>
  </w:num>
  <w:num w:numId="5">
    <w:abstractNumId w:val="5"/>
  </w:num>
  <w:num w:numId="6">
    <w:abstractNumId w:val="4"/>
  </w:num>
  <w:num w:numId="7">
    <w:abstractNumId w:val="1"/>
  </w:num>
  <w:num w:numId="8">
    <w:abstractNumId w:val="0"/>
  </w:num>
  <w:num w:numId="9">
    <w:abstractNumId w:val="29"/>
  </w:num>
  <w:num w:numId="10">
    <w:abstractNumId w:val="20"/>
  </w:num>
  <w:num w:numId="11">
    <w:abstractNumId w:val="11"/>
  </w:num>
  <w:num w:numId="12">
    <w:abstractNumId w:val="14"/>
  </w:num>
  <w:num w:numId="13">
    <w:abstractNumId w:val="19"/>
  </w:num>
  <w:num w:numId="14">
    <w:abstractNumId w:val="2"/>
  </w:num>
  <w:num w:numId="15">
    <w:abstractNumId w:val="30"/>
  </w:num>
  <w:num w:numId="16">
    <w:abstractNumId w:val="33"/>
  </w:num>
  <w:num w:numId="17">
    <w:abstractNumId w:val="32"/>
  </w:num>
  <w:num w:numId="18">
    <w:abstractNumId w:val="25"/>
  </w:num>
  <w:num w:numId="19">
    <w:abstractNumId w:val="18"/>
  </w:num>
  <w:num w:numId="20">
    <w:abstractNumId w:val="21"/>
  </w:num>
  <w:num w:numId="21">
    <w:abstractNumId w:val="31"/>
  </w:num>
  <w:num w:numId="22">
    <w:abstractNumId w:val="26"/>
  </w:num>
  <w:num w:numId="23">
    <w:abstractNumId w:val="8"/>
  </w:num>
  <w:num w:numId="24">
    <w:abstractNumId w:val="3"/>
  </w:num>
  <w:num w:numId="25">
    <w:abstractNumId w:val="23"/>
  </w:num>
  <w:num w:numId="26">
    <w:abstractNumId w:val="13"/>
  </w:num>
  <w:num w:numId="27">
    <w:abstractNumId w:val="28"/>
  </w:num>
  <w:num w:numId="28">
    <w:abstractNumId w:val="16"/>
  </w:num>
  <w:num w:numId="29">
    <w:abstractNumId w:val="24"/>
  </w:num>
  <w:num w:numId="30">
    <w:abstractNumId w:val="27"/>
  </w:num>
  <w:num w:numId="31">
    <w:abstractNumId w:val="9"/>
  </w:num>
  <w:num w:numId="32">
    <w:abstractNumId w:val="10"/>
  </w:num>
  <w:num w:numId="33">
    <w:abstractNumId w:val="22"/>
  </w:num>
  <w:num w:numId="34">
    <w:abstractNumId w:val="17"/>
  </w:num>
  <w:num w:numId="3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dchnas-evs02\home$\gmiln\Desktop\D17 1748  CPS - SP - Childrens Nightwear - Explanatory Statement - EM Attachment B.docx"/>
  </w:docVars>
  <w:rsids>
    <w:rsidRoot w:val="00D51AE4"/>
    <w:rsid w:val="00007743"/>
    <w:rsid w:val="00012A38"/>
    <w:rsid w:val="0002115F"/>
    <w:rsid w:val="00021202"/>
    <w:rsid w:val="000225C4"/>
    <w:rsid w:val="0003578C"/>
    <w:rsid w:val="00063247"/>
    <w:rsid w:val="00070F9F"/>
    <w:rsid w:val="0007137B"/>
    <w:rsid w:val="00085663"/>
    <w:rsid w:val="00085EBF"/>
    <w:rsid w:val="00097038"/>
    <w:rsid w:val="000D122C"/>
    <w:rsid w:val="000E17D4"/>
    <w:rsid w:val="000E1819"/>
    <w:rsid w:val="000E6C72"/>
    <w:rsid w:val="000F2368"/>
    <w:rsid w:val="000F6E8D"/>
    <w:rsid w:val="00116EB2"/>
    <w:rsid w:val="00124609"/>
    <w:rsid w:val="00125CF8"/>
    <w:rsid w:val="001573E4"/>
    <w:rsid w:val="00160756"/>
    <w:rsid w:val="0017232E"/>
    <w:rsid w:val="00174102"/>
    <w:rsid w:val="00180157"/>
    <w:rsid w:val="00181223"/>
    <w:rsid w:val="00186F77"/>
    <w:rsid w:val="001926A4"/>
    <w:rsid w:val="001A3A19"/>
    <w:rsid w:val="001B246B"/>
    <w:rsid w:val="001B45A0"/>
    <w:rsid w:val="001C18EE"/>
    <w:rsid w:val="001D055E"/>
    <w:rsid w:val="001E3B5B"/>
    <w:rsid w:val="001F492E"/>
    <w:rsid w:val="001F6DA3"/>
    <w:rsid w:val="00212737"/>
    <w:rsid w:val="00224DB9"/>
    <w:rsid w:val="00240F18"/>
    <w:rsid w:val="00251745"/>
    <w:rsid w:val="00263AC0"/>
    <w:rsid w:val="0026772D"/>
    <w:rsid w:val="00275C10"/>
    <w:rsid w:val="00286874"/>
    <w:rsid w:val="00295DF6"/>
    <w:rsid w:val="00296B65"/>
    <w:rsid w:val="002A4ED1"/>
    <w:rsid w:val="002A7DEF"/>
    <w:rsid w:val="002F7986"/>
    <w:rsid w:val="00303C4A"/>
    <w:rsid w:val="00307F6D"/>
    <w:rsid w:val="00313EAA"/>
    <w:rsid w:val="003177A2"/>
    <w:rsid w:val="00324675"/>
    <w:rsid w:val="003271B5"/>
    <w:rsid w:val="003301BA"/>
    <w:rsid w:val="00330CA0"/>
    <w:rsid w:val="00331264"/>
    <w:rsid w:val="00334C8D"/>
    <w:rsid w:val="00340655"/>
    <w:rsid w:val="003459E6"/>
    <w:rsid w:val="003518B3"/>
    <w:rsid w:val="00371641"/>
    <w:rsid w:val="00381F01"/>
    <w:rsid w:val="003829D4"/>
    <w:rsid w:val="003846F1"/>
    <w:rsid w:val="003A673F"/>
    <w:rsid w:val="003B5A70"/>
    <w:rsid w:val="003C4E5E"/>
    <w:rsid w:val="003F5224"/>
    <w:rsid w:val="004059F1"/>
    <w:rsid w:val="004464EC"/>
    <w:rsid w:val="00475DDE"/>
    <w:rsid w:val="00480B4B"/>
    <w:rsid w:val="00485DC4"/>
    <w:rsid w:val="00486E75"/>
    <w:rsid w:val="004A2323"/>
    <w:rsid w:val="004B4412"/>
    <w:rsid w:val="004C348C"/>
    <w:rsid w:val="004D55BA"/>
    <w:rsid w:val="00500594"/>
    <w:rsid w:val="005038DB"/>
    <w:rsid w:val="005073BC"/>
    <w:rsid w:val="00514B98"/>
    <w:rsid w:val="0052379B"/>
    <w:rsid w:val="00530128"/>
    <w:rsid w:val="00532467"/>
    <w:rsid w:val="00547BA2"/>
    <w:rsid w:val="00547CCF"/>
    <w:rsid w:val="00564A4D"/>
    <w:rsid w:val="005654D7"/>
    <w:rsid w:val="00571B35"/>
    <w:rsid w:val="00571C9F"/>
    <w:rsid w:val="00577A09"/>
    <w:rsid w:val="00580B78"/>
    <w:rsid w:val="00584D8F"/>
    <w:rsid w:val="00596D42"/>
    <w:rsid w:val="00597B61"/>
    <w:rsid w:val="005A404D"/>
    <w:rsid w:val="005B1E3C"/>
    <w:rsid w:val="005C24AC"/>
    <w:rsid w:val="005C26CC"/>
    <w:rsid w:val="005E6C0E"/>
    <w:rsid w:val="00615C6B"/>
    <w:rsid w:val="00632D6D"/>
    <w:rsid w:val="00642C3E"/>
    <w:rsid w:val="00646025"/>
    <w:rsid w:val="00647F0F"/>
    <w:rsid w:val="00663DAD"/>
    <w:rsid w:val="00671601"/>
    <w:rsid w:val="00676679"/>
    <w:rsid w:val="00691616"/>
    <w:rsid w:val="006B4CF9"/>
    <w:rsid w:val="006B7AC8"/>
    <w:rsid w:val="006C09B2"/>
    <w:rsid w:val="006D550F"/>
    <w:rsid w:val="006D77F3"/>
    <w:rsid w:val="00701CAB"/>
    <w:rsid w:val="0070288E"/>
    <w:rsid w:val="00707563"/>
    <w:rsid w:val="0072348C"/>
    <w:rsid w:val="00724A37"/>
    <w:rsid w:val="007303C3"/>
    <w:rsid w:val="00743223"/>
    <w:rsid w:val="00746E01"/>
    <w:rsid w:val="00763E5D"/>
    <w:rsid w:val="00767740"/>
    <w:rsid w:val="00777EE6"/>
    <w:rsid w:val="00782EEA"/>
    <w:rsid w:val="007A22A9"/>
    <w:rsid w:val="007B027E"/>
    <w:rsid w:val="007B2C72"/>
    <w:rsid w:val="007C1C53"/>
    <w:rsid w:val="007E26A9"/>
    <w:rsid w:val="007E4904"/>
    <w:rsid w:val="007E4CB5"/>
    <w:rsid w:val="007F066B"/>
    <w:rsid w:val="008033C4"/>
    <w:rsid w:val="00806C88"/>
    <w:rsid w:val="0081034E"/>
    <w:rsid w:val="008344F6"/>
    <w:rsid w:val="0083510F"/>
    <w:rsid w:val="00851209"/>
    <w:rsid w:val="0088007E"/>
    <w:rsid w:val="008812E2"/>
    <w:rsid w:val="008824B7"/>
    <w:rsid w:val="008837AC"/>
    <w:rsid w:val="008945B4"/>
    <w:rsid w:val="008A587D"/>
    <w:rsid w:val="008B3817"/>
    <w:rsid w:val="008C5486"/>
    <w:rsid w:val="008E7031"/>
    <w:rsid w:val="00904495"/>
    <w:rsid w:val="00922C95"/>
    <w:rsid w:val="009233EE"/>
    <w:rsid w:val="009269CA"/>
    <w:rsid w:val="009661DE"/>
    <w:rsid w:val="009856B7"/>
    <w:rsid w:val="0098602B"/>
    <w:rsid w:val="00990D26"/>
    <w:rsid w:val="009913F5"/>
    <w:rsid w:val="00991B3B"/>
    <w:rsid w:val="00993E1C"/>
    <w:rsid w:val="009962BA"/>
    <w:rsid w:val="009B74B0"/>
    <w:rsid w:val="009C59D3"/>
    <w:rsid w:val="009D4414"/>
    <w:rsid w:val="009D6B46"/>
    <w:rsid w:val="009F4940"/>
    <w:rsid w:val="00A1665B"/>
    <w:rsid w:val="00A4478A"/>
    <w:rsid w:val="00A44852"/>
    <w:rsid w:val="00A4732F"/>
    <w:rsid w:val="00A57D04"/>
    <w:rsid w:val="00A60A26"/>
    <w:rsid w:val="00A61598"/>
    <w:rsid w:val="00A84F46"/>
    <w:rsid w:val="00A870A3"/>
    <w:rsid w:val="00A871F4"/>
    <w:rsid w:val="00AC07B5"/>
    <w:rsid w:val="00AC1B2C"/>
    <w:rsid w:val="00AC3264"/>
    <w:rsid w:val="00AC6F01"/>
    <w:rsid w:val="00AE0FE2"/>
    <w:rsid w:val="00AE1BF1"/>
    <w:rsid w:val="00AF0DD2"/>
    <w:rsid w:val="00B10314"/>
    <w:rsid w:val="00B13048"/>
    <w:rsid w:val="00B15744"/>
    <w:rsid w:val="00B15998"/>
    <w:rsid w:val="00B1716D"/>
    <w:rsid w:val="00B17A1D"/>
    <w:rsid w:val="00B207A0"/>
    <w:rsid w:val="00B350FB"/>
    <w:rsid w:val="00B356F3"/>
    <w:rsid w:val="00B525AE"/>
    <w:rsid w:val="00B56E03"/>
    <w:rsid w:val="00B60F5D"/>
    <w:rsid w:val="00B67E91"/>
    <w:rsid w:val="00B8080B"/>
    <w:rsid w:val="00B87C39"/>
    <w:rsid w:val="00B914B4"/>
    <w:rsid w:val="00B97732"/>
    <w:rsid w:val="00BA4665"/>
    <w:rsid w:val="00BB2FB2"/>
    <w:rsid w:val="00BB3304"/>
    <w:rsid w:val="00BD3446"/>
    <w:rsid w:val="00BE1F1B"/>
    <w:rsid w:val="00BE47B5"/>
    <w:rsid w:val="00BE4C99"/>
    <w:rsid w:val="00C058AB"/>
    <w:rsid w:val="00C06739"/>
    <w:rsid w:val="00C30448"/>
    <w:rsid w:val="00C538A9"/>
    <w:rsid w:val="00C53B5A"/>
    <w:rsid w:val="00C54F5A"/>
    <w:rsid w:val="00C755AD"/>
    <w:rsid w:val="00C86679"/>
    <w:rsid w:val="00CB666B"/>
    <w:rsid w:val="00CC7A91"/>
    <w:rsid w:val="00CF799E"/>
    <w:rsid w:val="00D01CF0"/>
    <w:rsid w:val="00D0442A"/>
    <w:rsid w:val="00D203E1"/>
    <w:rsid w:val="00D26584"/>
    <w:rsid w:val="00D51AE4"/>
    <w:rsid w:val="00D53B26"/>
    <w:rsid w:val="00D544B8"/>
    <w:rsid w:val="00D61388"/>
    <w:rsid w:val="00D61A54"/>
    <w:rsid w:val="00D64DEA"/>
    <w:rsid w:val="00D7041D"/>
    <w:rsid w:val="00D80893"/>
    <w:rsid w:val="00D925BF"/>
    <w:rsid w:val="00D92CF1"/>
    <w:rsid w:val="00D92D38"/>
    <w:rsid w:val="00D950F5"/>
    <w:rsid w:val="00DB0F93"/>
    <w:rsid w:val="00DB7560"/>
    <w:rsid w:val="00DC542F"/>
    <w:rsid w:val="00DC7981"/>
    <w:rsid w:val="00DE4EFA"/>
    <w:rsid w:val="00DE5520"/>
    <w:rsid w:val="00DF6A48"/>
    <w:rsid w:val="00E04818"/>
    <w:rsid w:val="00E06442"/>
    <w:rsid w:val="00E23993"/>
    <w:rsid w:val="00E25B8C"/>
    <w:rsid w:val="00E4674F"/>
    <w:rsid w:val="00E65C85"/>
    <w:rsid w:val="00E66199"/>
    <w:rsid w:val="00E755EC"/>
    <w:rsid w:val="00E7624D"/>
    <w:rsid w:val="00EA3D42"/>
    <w:rsid w:val="00EA6B1B"/>
    <w:rsid w:val="00EE28F3"/>
    <w:rsid w:val="00EF5110"/>
    <w:rsid w:val="00F03FBA"/>
    <w:rsid w:val="00F15882"/>
    <w:rsid w:val="00F20BD3"/>
    <w:rsid w:val="00F373A5"/>
    <w:rsid w:val="00F47559"/>
    <w:rsid w:val="00F54111"/>
    <w:rsid w:val="00F60BE4"/>
    <w:rsid w:val="00F61B84"/>
    <w:rsid w:val="00F64C7B"/>
    <w:rsid w:val="00F676DD"/>
    <w:rsid w:val="00F75A26"/>
    <w:rsid w:val="00F83FAD"/>
    <w:rsid w:val="00F91DC6"/>
    <w:rsid w:val="00F952A0"/>
    <w:rsid w:val="00FA3C7F"/>
    <w:rsid w:val="00FA43AF"/>
    <w:rsid w:val="00FB52D7"/>
    <w:rsid w:val="00FB74E2"/>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customStyle="1" w:styleId="Definition">
    <w:name w:val="Definition"/>
    <w:aliases w:val="dd"/>
    <w:basedOn w:val="Normal"/>
    <w:rsid w:val="000E17D4"/>
    <w:pPr>
      <w:spacing w:before="180"/>
      <w:ind w:left="1134"/>
    </w:pPr>
    <w:rPr>
      <w:rFonts w:ascii="Times New Roman" w:eastAsia="Times New Roman" w:hAnsi="Times New Roman" w:cs="Times New Roman"/>
      <w:szCs w:val="20"/>
      <w:lang w:eastAsia="en-AU"/>
    </w:rPr>
  </w:style>
  <w:style w:type="paragraph" w:customStyle="1" w:styleId="zdefinition">
    <w:name w:val="zdefinition"/>
    <w:basedOn w:val="Normal"/>
    <w:rsid w:val="002A4ED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zp1">
    <w:name w:val="zp1"/>
    <w:basedOn w:val="Normal"/>
    <w:rsid w:val="002A4ED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2">
    <w:name w:val="p2"/>
    <w:basedOn w:val="Normal"/>
    <w:rsid w:val="002A4ED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rc">
    <w:name w:val="rc"/>
    <w:basedOn w:val="Normal"/>
    <w:rsid w:val="002A4ED1"/>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54111"/>
    <w:rPr>
      <w:sz w:val="16"/>
      <w:szCs w:val="16"/>
    </w:rPr>
  </w:style>
  <w:style w:type="paragraph" w:styleId="CommentText">
    <w:name w:val="annotation text"/>
    <w:basedOn w:val="Normal"/>
    <w:link w:val="CommentTextChar"/>
    <w:uiPriority w:val="99"/>
    <w:semiHidden/>
    <w:unhideWhenUsed/>
    <w:rsid w:val="00F54111"/>
    <w:rPr>
      <w:sz w:val="20"/>
      <w:szCs w:val="20"/>
    </w:rPr>
  </w:style>
  <w:style w:type="character" w:customStyle="1" w:styleId="CommentTextChar">
    <w:name w:val="Comment Text Char"/>
    <w:basedOn w:val="DefaultParagraphFont"/>
    <w:link w:val="CommentText"/>
    <w:uiPriority w:val="99"/>
    <w:semiHidden/>
    <w:rsid w:val="00F541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4111"/>
    <w:rPr>
      <w:b/>
      <w:bCs/>
    </w:rPr>
  </w:style>
  <w:style w:type="character" w:customStyle="1" w:styleId="CommentSubjectChar">
    <w:name w:val="Comment Subject Char"/>
    <w:basedOn w:val="CommentTextChar"/>
    <w:link w:val="CommentSubject"/>
    <w:uiPriority w:val="99"/>
    <w:semiHidden/>
    <w:rsid w:val="00F54111"/>
    <w:rPr>
      <w:rFonts w:ascii="Arial" w:hAnsi="Arial"/>
      <w:b/>
      <w:bCs/>
      <w:sz w:val="20"/>
      <w:szCs w:val="20"/>
    </w:rPr>
  </w:style>
  <w:style w:type="paragraph" w:styleId="Revision">
    <w:name w:val="Revision"/>
    <w:hidden/>
    <w:uiPriority w:val="99"/>
    <w:semiHidden/>
    <w:rsid w:val="00486E75"/>
    <w:pPr>
      <w:spacing w:before="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customStyle="1" w:styleId="Definition">
    <w:name w:val="Definition"/>
    <w:aliases w:val="dd"/>
    <w:basedOn w:val="Normal"/>
    <w:rsid w:val="000E17D4"/>
    <w:pPr>
      <w:spacing w:before="180"/>
      <w:ind w:left="1134"/>
    </w:pPr>
    <w:rPr>
      <w:rFonts w:ascii="Times New Roman" w:eastAsia="Times New Roman" w:hAnsi="Times New Roman" w:cs="Times New Roman"/>
      <w:szCs w:val="20"/>
      <w:lang w:eastAsia="en-AU"/>
    </w:rPr>
  </w:style>
  <w:style w:type="paragraph" w:customStyle="1" w:styleId="zdefinition">
    <w:name w:val="zdefinition"/>
    <w:basedOn w:val="Normal"/>
    <w:rsid w:val="002A4ED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zp1">
    <w:name w:val="zp1"/>
    <w:basedOn w:val="Normal"/>
    <w:rsid w:val="002A4ED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2">
    <w:name w:val="p2"/>
    <w:basedOn w:val="Normal"/>
    <w:rsid w:val="002A4ED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rc">
    <w:name w:val="rc"/>
    <w:basedOn w:val="Normal"/>
    <w:rsid w:val="002A4ED1"/>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54111"/>
    <w:rPr>
      <w:sz w:val="16"/>
      <w:szCs w:val="16"/>
    </w:rPr>
  </w:style>
  <w:style w:type="paragraph" w:styleId="CommentText">
    <w:name w:val="annotation text"/>
    <w:basedOn w:val="Normal"/>
    <w:link w:val="CommentTextChar"/>
    <w:uiPriority w:val="99"/>
    <w:semiHidden/>
    <w:unhideWhenUsed/>
    <w:rsid w:val="00F54111"/>
    <w:rPr>
      <w:sz w:val="20"/>
      <w:szCs w:val="20"/>
    </w:rPr>
  </w:style>
  <w:style w:type="character" w:customStyle="1" w:styleId="CommentTextChar">
    <w:name w:val="Comment Text Char"/>
    <w:basedOn w:val="DefaultParagraphFont"/>
    <w:link w:val="CommentText"/>
    <w:uiPriority w:val="99"/>
    <w:semiHidden/>
    <w:rsid w:val="00F541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4111"/>
    <w:rPr>
      <w:b/>
      <w:bCs/>
    </w:rPr>
  </w:style>
  <w:style w:type="character" w:customStyle="1" w:styleId="CommentSubjectChar">
    <w:name w:val="Comment Subject Char"/>
    <w:basedOn w:val="CommentTextChar"/>
    <w:link w:val="CommentSubject"/>
    <w:uiPriority w:val="99"/>
    <w:semiHidden/>
    <w:rsid w:val="00F54111"/>
    <w:rPr>
      <w:rFonts w:ascii="Arial" w:hAnsi="Arial"/>
      <w:b/>
      <w:bCs/>
      <w:sz w:val="20"/>
      <w:szCs w:val="20"/>
    </w:rPr>
  </w:style>
  <w:style w:type="paragraph" w:styleId="Revision">
    <w:name w:val="Revision"/>
    <w:hidden/>
    <w:uiPriority w:val="99"/>
    <w:semiHidden/>
    <w:rsid w:val="00486E75"/>
    <w:pPr>
      <w:spacing w:before="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4003">
      <w:bodyDiv w:val="1"/>
      <w:marLeft w:val="0"/>
      <w:marRight w:val="0"/>
      <w:marTop w:val="0"/>
      <w:marBottom w:val="0"/>
      <w:divBdr>
        <w:top w:val="none" w:sz="0" w:space="0" w:color="auto"/>
        <w:left w:val="none" w:sz="0" w:space="0" w:color="auto"/>
        <w:bottom w:val="none" w:sz="0" w:space="0" w:color="auto"/>
        <w:right w:val="none" w:sz="0" w:space="0" w:color="auto"/>
      </w:divBdr>
      <w:divsChild>
        <w:div w:id="1607693884">
          <w:marLeft w:val="0"/>
          <w:marRight w:val="0"/>
          <w:marTop w:val="0"/>
          <w:marBottom w:val="0"/>
          <w:divBdr>
            <w:top w:val="none" w:sz="0" w:space="0" w:color="auto"/>
            <w:left w:val="none" w:sz="0" w:space="0" w:color="auto"/>
            <w:bottom w:val="none" w:sz="0" w:space="0" w:color="auto"/>
            <w:right w:val="none" w:sz="0" w:space="0" w:color="auto"/>
          </w:divBdr>
          <w:divsChild>
            <w:div w:id="451284809">
              <w:marLeft w:val="0"/>
              <w:marRight w:val="0"/>
              <w:marTop w:val="0"/>
              <w:marBottom w:val="0"/>
              <w:divBdr>
                <w:top w:val="none" w:sz="0" w:space="0" w:color="auto"/>
                <w:left w:val="none" w:sz="0" w:space="0" w:color="auto"/>
                <w:bottom w:val="none" w:sz="0" w:space="0" w:color="auto"/>
                <w:right w:val="none" w:sz="0" w:space="0" w:color="auto"/>
              </w:divBdr>
              <w:divsChild>
                <w:div w:id="1949849223">
                  <w:marLeft w:val="0"/>
                  <w:marRight w:val="0"/>
                  <w:marTop w:val="0"/>
                  <w:marBottom w:val="0"/>
                  <w:divBdr>
                    <w:top w:val="none" w:sz="0" w:space="0" w:color="auto"/>
                    <w:left w:val="none" w:sz="0" w:space="0" w:color="auto"/>
                    <w:bottom w:val="none" w:sz="0" w:space="0" w:color="auto"/>
                    <w:right w:val="none" w:sz="0" w:space="0" w:color="auto"/>
                  </w:divBdr>
                  <w:divsChild>
                    <w:div w:id="1701589842">
                      <w:marLeft w:val="0"/>
                      <w:marRight w:val="0"/>
                      <w:marTop w:val="0"/>
                      <w:marBottom w:val="0"/>
                      <w:divBdr>
                        <w:top w:val="none" w:sz="0" w:space="0" w:color="auto"/>
                        <w:left w:val="none" w:sz="0" w:space="0" w:color="auto"/>
                        <w:bottom w:val="none" w:sz="0" w:space="0" w:color="auto"/>
                        <w:right w:val="none" w:sz="0" w:space="0" w:color="auto"/>
                      </w:divBdr>
                      <w:divsChild>
                        <w:div w:id="1689873118">
                          <w:marLeft w:val="0"/>
                          <w:marRight w:val="0"/>
                          <w:marTop w:val="0"/>
                          <w:marBottom w:val="0"/>
                          <w:divBdr>
                            <w:top w:val="none" w:sz="0" w:space="0" w:color="auto"/>
                            <w:left w:val="none" w:sz="0" w:space="0" w:color="auto"/>
                            <w:bottom w:val="none" w:sz="0" w:space="0" w:color="auto"/>
                            <w:right w:val="none" w:sz="0" w:space="0" w:color="auto"/>
                          </w:divBdr>
                          <w:divsChild>
                            <w:div w:id="16123477">
                              <w:marLeft w:val="0"/>
                              <w:marRight w:val="0"/>
                              <w:marTop w:val="0"/>
                              <w:marBottom w:val="0"/>
                              <w:divBdr>
                                <w:top w:val="none" w:sz="0" w:space="0" w:color="auto"/>
                                <w:left w:val="none" w:sz="0" w:space="0" w:color="auto"/>
                                <w:bottom w:val="none" w:sz="0" w:space="0" w:color="auto"/>
                                <w:right w:val="none" w:sz="0" w:space="0" w:color="auto"/>
                              </w:divBdr>
                              <w:divsChild>
                                <w:div w:id="540869475">
                                  <w:marLeft w:val="0"/>
                                  <w:marRight w:val="0"/>
                                  <w:marTop w:val="0"/>
                                  <w:marBottom w:val="0"/>
                                  <w:divBdr>
                                    <w:top w:val="none" w:sz="0" w:space="0" w:color="auto"/>
                                    <w:left w:val="none" w:sz="0" w:space="0" w:color="auto"/>
                                    <w:bottom w:val="none" w:sz="0" w:space="0" w:color="auto"/>
                                    <w:right w:val="none" w:sz="0" w:space="0" w:color="auto"/>
                                  </w:divBdr>
                                  <w:divsChild>
                                    <w:div w:id="425344999">
                                      <w:marLeft w:val="0"/>
                                      <w:marRight w:val="0"/>
                                      <w:marTop w:val="0"/>
                                      <w:marBottom w:val="0"/>
                                      <w:divBdr>
                                        <w:top w:val="none" w:sz="0" w:space="0" w:color="auto"/>
                                        <w:left w:val="none" w:sz="0" w:space="0" w:color="auto"/>
                                        <w:bottom w:val="none" w:sz="0" w:space="0" w:color="auto"/>
                                        <w:right w:val="none" w:sz="0" w:space="0" w:color="auto"/>
                                      </w:divBdr>
                                      <w:divsChild>
                                        <w:div w:id="1239482385">
                                          <w:marLeft w:val="0"/>
                                          <w:marRight w:val="0"/>
                                          <w:marTop w:val="0"/>
                                          <w:marBottom w:val="0"/>
                                          <w:divBdr>
                                            <w:top w:val="none" w:sz="0" w:space="0" w:color="auto"/>
                                            <w:left w:val="none" w:sz="0" w:space="0" w:color="auto"/>
                                            <w:bottom w:val="none" w:sz="0" w:space="0" w:color="auto"/>
                                            <w:right w:val="none" w:sz="0" w:space="0" w:color="auto"/>
                                          </w:divBdr>
                                          <w:divsChild>
                                            <w:div w:id="341856413">
                                              <w:marLeft w:val="0"/>
                                              <w:marRight w:val="0"/>
                                              <w:marTop w:val="0"/>
                                              <w:marBottom w:val="0"/>
                                              <w:divBdr>
                                                <w:top w:val="none" w:sz="0" w:space="0" w:color="auto"/>
                                                <w:left w:val="none" w:sz="0" w:space="0" w:color="auto"/>
                                                <w:bottom w:val="none" w:sz="0" w:space="0" w:color="auto"/>
                                                <w:right w:val="none" w:sz="0" w:space="0" w:color="auto"/>
                                              </w:divBdr>
                                              <w:divsChild>
                                                <w:div w:id="1639266579">
                                                  <w:marLeft w:val="0"/>
                                                  <w:marRight w:val="0"/>
                                                  <w:marTop w:val="0"/>
                                                  <w:marBottom w:val="0"/>
                                                  <w:divBdr>
                                                    <w:top w:val="none" w:sz="0" w:space="0" w:color="auto"/>
                                                    <w:left w:val="none" w:sz="0" w:space="0" w:color="auto"/>
                                                    <w:bottom w:val="none" w:sz="0" w:space="0" w:color="auto"/>
                                                    <w:right w:val="none" w:sz="0" w:space="0" w:color="auto"/>
                                                  </w:divBdr>
                                                  <w:divsChild>
                                                    <w:div w:id="2058384748">
                                                      <w:marLeft w:val="0"/>
                                                      <w:marRight w:val="0"/>
                                                      <w:marTop w:val="0"/>
                                                      <w:marBottom w:val="0"/>
                                                      <w:divBdr>
                                                        <w:top w:val="none" w:sz="0" w:space="0" w:color="auto"/>
                                                        <w:left w:val="none" w:sz="0" w:space="0" w:color="auto"/>
                                                        <w:bottom w:val="none" w:sz="0" w:space="0" w:color="auto"/>
                                                        <w:right w:val="none" w:sz="0" w:space="0" w:color="auto"/>
                                                      </w:divBdr>
                                                      <w:divsChild>
                                                        <w:div w:id="14256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201117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C668FE-5996-405B-B036-401C39FF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83B1A844</Template>
  <TotalTime>1</TotalTime>
  <Pages>4</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Charlotte Marshall</dc:creator>
  <cp:lastModifiedBy>Milne, Gary</cp:lastModifiedBy>
  <cp:revision>2</cp:revision>
  <cp:lastPrinted>2017-02-24T03:18:00Z</cp:lastPrinted>
  <dcterms:created xsi:type="dcterms:W3CDTF">2017-04-19T04:00:00Z</dcterms:created>
  <dcterms:modified xsi:type="dcterms:W3CDTF">2017-04-19T04:00:00Z</dcterms:modified>
</cp:coreProperties>
</file>