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4B824" w14:textId="77777777" w:rsidR="005C3B05" w:rsidRDefault="0051249A">
      <w:pPr>
        <w:jc w:val="center"/>
        <w:rPr>
          <w:b/>
          <w:u w:val="single"/>
        </w:rPr>
      </w:pPr>
      <w:bookmarkStart w:id="0" w:name="_GoBack"/>
      <w:bookmarkEnd w:id="0"/>
      <w:r>
        <w:rPr>
          <w:b/>
          <w:u w:val="single"/>
        </w:rPr>
        <w:t>EXPLANATORY STATEMENT</w:t>
      </w:r>
    </w:p>
    <w:p w14:paraId="7B04B825" w14:textId="77777777" w:rsidR="005C3B05" w:rsidRDefault="0051249A">
      <w:pPr>
        <w:jc w:val="both"/>
        <w:rPr>
          <w:u w:val="single"/>
        </w:rPr>
      </w:pPr>
    </w:p>
    <w:p w14:paraId="7B04B826" w14:textId="77777777" w:rsidR="009C62D6" w:rsidRDefault="0051249A">
      <w:pPr>
        <w:jc w:val="center"/>
        <w:rPr>
          <w:u w:val="single"/>
        </w:rPr>
      </w:pPr>
      <w:sdt>
        <w:sdtPr>
          <w:rPr>
            <w:u w:val="single"/>
          </w:rPr>
          <w:id w:val="962787087"/>
          <w:lock w:val="contentLocked"/>
          <w:placeholder>
            <w:docPart w:val="D8C9830FADB6468EBB5F177BE9711968"/>
          </w:placeholder>
          <w:group/>
        </w:sdtPr>
        <w:sdtEndPr/>
        <w:sdtContent>
          <w:r>
            <w:rPr>
              <w:u w:val="single"/>
            </w:rPr>
            <w:t>Issued by Authority of the</w:t>
          </w:r>
        </w:sdtContent>
      </w:sdt>
      <w:r>
        <w:rPr>
          <w:u w:val="single"/>
        </w:rPr>
        <w:t xml:space="preserve"> Deputy Prime Minister and </w:t>
      </w:r>
    </w:p>
    <w:p w14:paraId="7B04B827" w14:textId="77777777" w:rsidR="005C3B05" w:rsidRDefault="0051249A">
      <w:pPr>
        <w:jc w:val="center"/>
        <w:rPr>
          <w:u w:val="single"/>
        </w:rPr>
      </w:pPr>
      <w:r>
        <w:rPr>
          <w:u w:val="single"/>
        </w:rPr>
        <w:t>Minister for Agriculture and Water Resources</w:t>
      </w:r>
    </w:p>
    <w:p w14:paraId="7B04B828" w14:textId="77777777" w:rsidR="005C3B05" w:rsidRDefault="0051249A">
      <w:pPr>
        <w:jc w:val="both"/>
        <w:rPr>
          <w:u w:val="single"/>
        </w:rPr>
      </w:pPr>
    </w:p>
    <w:p w14:paraId="7B04B829" w14:textId="77777777" w:rsidR="005C3B05" w:rsidRDefault="0051249A">
      <w:pPr>
        <w:tabs>
          <w:tab w:val="center" w:pos="4649"/>
          <w:tab w:val="left" w:pos="6630"/>
        </w:tabs>
        <w:jc w:val="center"/>
        <w:rPr>
          <w:i/>
          <w:iCs/>
        </w:rPr>
      </w:pPr>
      <w:r>
        <w:rPr>
          <w:i/>
          <w:iCs/>
        </w:rPr>
        <w:t>Imported Food Control Act 1992</w:t>
      </w:r>
    </w:p>
    <w:p w14:paraId="7B04B82A" w14:textId="77777777" w:rsidR="0037564D" w:rsidRDefault="0051249A" w:rsidP="0037564D">
      <w:pPr>
        <w:rPr>
          <w:i/>
          <w:lang w:val="en-GB"/>
        </w:rPr>
      </w:pPr>
    </w:p>
    <w:p w14:paraId="7B04B82B" w14:textId="77777777" w:rsidR="005C3B05" w:rsidRDefault="0051249A" w:rsidP="0037564D">
      <w:pPr>
        <w:jc w:val="center"/>
        <w:rPr>
          <w:lang w:val="en-GB"/>
        </w:rPr>
      </w:pPr>
      <w:r>
        <w:rPr>
          <w:i/>
          <w:lang w:eastAsia="en-AU"/>
        </w:rPr>
        <w:t>Imported Food Control Amendment (Food Inspection) Regulations</w:t>
      </w:r>
      <w:r>
        <w:rPr>
          <w:i/>
        </w:rPr>
        <w:t> </w:t>
      </w:r>
      <w:r>
        <w:rPr>
          <w:i/>
          <w:lang w:eastAsia="en-AU"/>
        </w:rPr>
        <w:t>2017</w:t>
      </w:r>
    </w:p>
    <w:p w14:paraId="7B04B82C" w14:textId="77777777" w:rsidR="005C3B05" w:rsidRDefault="0051249A">
      <w:pPr>
        <w:rPr>
          <w:lang w:val="en-GB"/>
        </w:rPr>
      </w:pPr>
    </w:p>
    <w:p w14:paraId="7B04B82D" w14:textId="77777777" w:rsidR="005C3B05" w:rsidRDefault="0051249A">
      <w:pPr>
        <w:tabs>
          <w:tab w:val="left" w:pos="1701"/>
          <w:tab w:val="right" w:pos="9072"/>
        </w:tabs>
      </w:pPr>
      <w:r>
        <w:rPr>
          <w:b/>
        </w:rPr>
        <w:t>Legislative Authority</w:t>
      </w:r>
    </w:p>
    <w:p w14:paraId="7B04B82E" w14:textId="77777777" w:rsidR="005C3B05" w:rsidRDefault="0051249A" w:rsidP="00BE4E3F">
      <w:pPr>
        <w:keepLines/>
      </w:pPr>
      <w:r>
        <w:t xml:space="preserve">Subsection 43(1) of the </w:t>
      </w:r>
      <w:r>
        <w:rPr>
          <w:i/>
        </w:rPr>
        <w:t xml:space="preserve">Imported Food Control Act 1992 </w:t>
      </w:r>
      <w:r>
        <w:t>(the Act) provides that the Governor</w:t>
      </w:r>
      <w:r>
        <w:noBreakHyphen/>
        <w:t xml:space="preserve">General may make regulations prescribing matters required or permitted to be prescribed by the Act, or necessary or convenient to be prescribed for carrying out or </w:t>
      </w:r>
      <w:r>
        <w:t>giving effect to the Act.</w:t>
      </w:r>
    </w:p>
    <w:p w14:paraId="7B04B82F" w14:textId="77777777" w:rsidR="00451721" w:rsidRDefault="0051249A" w:rsidP="00DC38C7"/>
    <w:p w14:paraId="7B04B830" w14:textId="77777777" w:rsidR="005C3B05" w:rsidRDefault="0051249A" w:rsidP="00DC38C7">
      <w:pPr>
        <w:rPr>
          <w:b/>
        </w:rPr>
      </w:pPr>
      <w:r>
        <w:rPr>
          <w:b/>
        </w:rPr>
        <w:t>Purpose</w:t>
      </w:r>
    </w:p>
    <w:p w14:paraId="7B04B831" w14:textId="77777777" w:rsidR="002B6AFD" w:rsidRPr="006D4871" w:rsidRDefault="0051249A" w:rsidP="00DC38C7">
      <w:pPr>
        <w:rPr>
          <w:lang w:val="en-GB"/>
        </w:rPr>
      </w:pPr>
      <w:r>
        <w:rPr>
          <w:lang w:eastAsia="en-AU"/>
        </w:rPr>
        <w:t xml:space="preserve">The purpose of the </w:t>
      </w:r>
      <w:r>
        <w:rPr>
          <w:i/>
          <w:lang w:eastAsia="en-AU"/>
        </w:rPr>
        <w:t>Imported Food Control Amendment (Food Inspection) Regulations</w:t>
      </w:r>
      <w:r>
        <w:rPr>
          <w:i/>
        </w:rPr>
        <w:t> </w:t>
      </w:r>
      <w:r>
        <w:rPr>
          <w:i/>
          <w:lang w:eastAsia="en-AU"/>
        </w:rPr>
        <w:t xml:space="preserve">2017 </w:t>
      </w:r>
      <w:r>
        <w:rPr>
          <w:lang w:eastAsia="en-AU"/>
        </w:rPr>
        <w:t xml:space="preserve">(the proposed Regulations) is to </w:t>
      </w:r>
      <w:r>
        <w:rPr>
          <w:lang w:val="en-GB"/>
        </w:rPr>
        <w:t>allow for the lowering of the rate of inspection and analysis of a risk food where there are reasonabl</w:t>
      </w:r>
      <w:r>
        <w:rPr>
          <w:lang w:val="en-GB"/>
        </w:rPr>
        <w:t>e grounds to believe the food complies with Australia’s food standards and does not pose a risk to human health. The proposed Regulations also correct an outdated reference and some typographical errors.</w:t>
      </w:r>
      <w:r w:rsidRPr="006D4871">
        <w:rPr>
          <w:lang w:val="en-GB"/>
        </w:rPr>
        <w:t xml:space="preserve"> </w:t>
      </w:r>
    </w:p>
    <w:p w14:paraId="7B04B832" w14:textId="77777777" w:rsidR="006D4871" w:rsidRPr="006D4871" w:rsidRDefault="0051249A" w:rsidP="00DC38C7">
      <w:pPr>
        <w:rPr>
          <w:lang w:eastAsia="en-AU"/>
        </w:rPr>
      </w:pPr>
    </w:p>
    <w:p w14:paraId="7B04B833" w14:textId="77777777" w:rsidR="005C3B05" w:rsidRDefault="0051249A" w:rsidP="00DC38C7">
      <w:pPr>
        <w:rPr>
          <w:b/>
        </w:rPr>
      </w:pPr>
      <w:r w:rsidRPr="006D4871">
        <w:rPr>
          <w:b/>
        </w:rPr>
        <w:t>Background</w:t>
      </w:r>
    </w:p>
    <w:p w14:paraId="7B04B834" w14:textId="77777777" w:rsidR="001D2A90" w:rsidRDefault="0051249A" w:rsidP="00E0277C">
      <w:r w:rsidRPr="00E0277C">
        <w:t xml:space="preserve">The </w:t>
      </w:r>
      <w:r>
        <w:t xml:space="preserve">Act </w:t>
      </w:r>
      <w:r w:rsidRPr="00E0277C">
        <w:t xml:space="preserve">requires </w:t>
      </w:r>
      <w:r>
        <w:t xml:space="preserve">Australian businesses </w:t>
      </w:r>
      <w:r>
        <w:t xml:space="preserve">to ensure that the food they import </w:t>
      </w:r>
      <w:r w:rsidRPr="00E0277C">
        <w:t>compl</w:t>
      </w:r>
      <w:r>
        <w:t xml:space="preserve">ies with Australia’s food standards and does not pose a risk to human health. Australia’s food standards are detailed in the Australia New Zealand Food Standards Code (the Code) which is maintained by </w:t>
      </w:r>
      <w:r w:rsidRPr="007C3D24">
        <w:rPr>
          <w:rFonts w:eastAsiaTheme="minorHAnsi"/>
        </w:rPr>
        <w:t>Food Standards</w:t>
      </w:r>
      <w:r w:rsidRPr="007C3D24">
        <w:rPr>
          <w:rFonts w:eastAsiaTheme="minorHAnsi"/>
        </w:rPr>
        <w:t xml:space="preserve"> Australia New Zealand</w:t>
      </w:r>
      <w:r>
        <w:rPr>
          <w:rFonts w:eastAsiaTheme="minorHAnsi"/>
        </w:rPr>
        <w:t xml:space="preserve"> (FSANZ)</w:t>
      </w:r>
      <w:r>
        <w:t>.</w:t>
      </w:r>
    </w:p>
    <w:p w14:paraId="7B04B835" w14:textId="77777777" w:rsidR="00BC1BAE" w:rsidRDefault="0051249A" w:rsidP="00E0277C">
      <w:pPr>
        <w:rPr>
          <w:rFonts w:eastAsiaTheme="minorHAnsi"/>
        </w:rPr>
      </w:pPr>
    </w:p>
    <w:p w14:paraId="7B04B836" w14:textId="77777777" w:rsidR="00FB640E" w:rsidRDefault="0051249A" w:rsidP="00E0277C">
      <w:pPr>
        <w:rPr>
          <w:rFonts w:eastAsiaTheme="minorHAnsi"/>
        </w:rPr>
      </w:pPr>
      <w:r w:rsidRPr="00E0277C">
        <w:rPr>
          <w:rFonts w:eastAsiaTheme="minorHAnsi"/>
        </w:rPr>
        <w:t xml:space="preserve">Under the Scheme, foods are classified as either ‘risk foods’ or ‘surveillance foods’, based on advice provided by </w:t>
      </w:r>
      <w:r>
        <w:rPr>
          <w:rFonts w:eastAsiaTheme="minorHAnsi"/>
        </w:rPr>
        <w:t>FSANZ</w:t>
      </w:r>
      <w:r w:rsidRPr="00E0277C">
        <w:rPr>
          <w:rFonts w:eastAsiaTheme="minorHAnsi"/>
        </w:rPr>
        <w:t xml:space="preserve">. Risk food is initially inspected and tested at a rate of 100 per cent of consignments </w:t>
      </w:r>
      <w:r>
        <w:rPr>
          <w:rFonts w:eastAsiaTheme="minorHAnsi"/>
        </w:rPr>
        <w:t xml:space="preserve">(tightened rate) </w:t>
      </w:r>
      <w:r w:rsidRPr="00E0277C">
        <w:rPr>
          <w:rFonts w:eastAsiaTheme="minorHAnsi"/>
        </w:rPr>
        <w:t xml:space="preserve">against a published list of potential hazards, including microorganisms and contaminants. Once </w:t>
      </w:r>
      <w:r>
        <w:rPr>
          <w:rFonts w:eastAsiaTheme="minorHAnsi"/>
        </w:rPr>
        <w:t>five</w:t>
      </w:r>
      <w:r w:rsidRPr="00E0277C">
        <w:rPr>
          <w:rFonts w:eastAsiaTheme="minorHAnsi"/>
        </w:rPr>
        <w:t xml:space="preserve"> consecutive </w:t>
      </w:r>
      <w:r w:rsidRPr="00E0277C">
        <w:rPr>
          <w:rFonts w:eastAsiaTheme="minorHAnsi"/>
        </w:rPr>
        <w:lastRenderedPageBreak/>
        <w:t>consignments have passed inspection, the inspection rate may be reduced to 25 per cent</w:t>
      </w:r>
      <w:r>
        <w:rPr>
          <w:rFonts w:eastAsiaTheme="minorHAnsi"/>
        </w:rPr>
        <w:t xml:space="preserve"> (normal rate). A</w:t>
      </w:r>
      <w:r w:rsidRPr="00E0277C">
        <w:rPr>
          <w:rFonts w:eastAsiaTheme="minorHAnsi"/>
        </w:rPr>
        <w:t>fter a further 20 consec</w:t>
      </w:r>
      <w:r w:rsidRPr="00E0277C">
        <w:rPr>
          <w:rFonts w:eastAsiaTheme="minorHAnsi"/>
        </w:rPr>
        <w:t xml:space="preserve">utive passes, the inspection rate may be reduced to </w:t>
      </w:r>
      <w:r>
        <w:rPr>
          <w:rFonts w:eastAsiaTheme="minorHAnsi"/>
        </w:rPr>
        <w:t>five</w:t>
      </w:r>
      <w:r w:rsidRPr="00E0277C">
        <w:rPr>
          <w:rFonts w:eastAsiaTheme="minorHAnsi"/>
        </w:rPr>
        <w:t xml:space="preserve"> per cent</w:t>
      </w:r>
      <w:r>
        <w:rPr>
          <w:rFonts w:eastAsiaTheme="minorHAnsi"/>
        </w:rPr>
        <w:t xml:space="preserve"> (reduced rate)</w:t>
      </w:r>
      <w:r w:rsidRPr="00E0277C">
        <w:rPr>
          <w:rFonts w:eastAsiaTheme="minorHAnsi"/>
        </w:rPr>
        <w:t xml:space="preserve">. </w:t>
      </w:r>
      <w:r>
        <w:rPr>
          <w:rFonts w:eastAsiaTheme="minorHAnsi"/>
        </w:rPr>
        <w:t>If a</w:t>
      </w:r>
      <w:r w:rsidRPr="00E0277C">
        <w:rPr>
          <w:rFonts w:eastAsiaTheme="minorHAnsi"/>
        </w:rPr>
        <w:t xml:space="preserve">ny consignments </w:t>
      </w:r>
      <w:r>
        <w:rPr>
          <w:rFonts w:eastAsiaTheme="minorHAnsi"/>
        </w:rPr>
        <w:t xml:space="preserve">are found to be non-compliant, future consignments </w:t>
      </w:r>
      <w:r w:rsidRPr="00E0277C">
        <w:rPr>
          <w:rFonts w:eastAsiaTheme="minorHAnsi"/>
        </w:rPr>
        <w:t xml:space="preserve">of that product </w:t>
      </w:r>
      <w:r>
        <w:rPr>
          <w:rFonts w:eastAsiaTheme="minorHAnsi"/>
        </w:rPr>
        <w:t>are r</w:t>
      </w:r>
      <w:r w:rsidRPr="00E0277C">
        <w:rPr>
          <w:rFonts w:eastAsiaTheme="minorHAnsi"/>
        </w:rPr>
        <w:t>eturn</w:t>
      </w:r>
      <w:r>
        <w:rPr>
          <w:rFonts w:eastAsiaTheme="minorHAnsi"/>
        </w:rPr>
        <w:t>ed</w:t>
      </w:r>
      <w:r w:rsidRPr="00E0277C">
        <w:rPr>
          <w:rFonts w:eastAsiaTheme="minorHAnsi"/>
        </w:rPr>
        <w:t xml:space="preserve"> to </w:t>
      </w:r>
      <w:r>
        <w:rPr>
          <w:rFonts w:eastAsiaTheme="minorHAnsi"/>
        </w:rPr>
        <w:t xml:space="preserve">the </w:t>
      </w:r>
      <w:r w:rsidRPr="00E0277C">
        <w:rPr>
          <w:rFonts w:eastAsiaTheme="minorHAnsi"/>
        </w:rPr>
        <w:t>100 per cent </w:t>
      </w:r>
      <w:r>
        <w:rPr>
          <w:rFonts w:eastAsiaTheme="minorHAnsi"/>
        </w:rPr>
        <w:t xml:space="preserve">rate of inspection </w:t>
      </w:r>
      <w:r w:rsidRPr="00E0277C">
        <w:rPr>
          <w:rFonts w:eastAsiaTheme="minorHAnsi"/>
        </w:rPr>
        <w:t>until a history of compliance is re</w:t>
      </w:r>
      <w:r w:rsidRPr="00E0277C">
        <w:rPr>
          <w:rFonts w:eastAsiaTheme="minorHAnsi"/>
        </w:rPr>
        <w:t>-established.</w:t>
      </w:r>
      <w:r>
        <w:rPr>
          <w:rFonts w:eastAsiaTheme="minorHAnsi"/>
        </w:rPr>
        <w:t xml:space="preserve"> </w:t>
      </w:r>
    </w:p>
    <w:p w14:paraId="7B04B837" w14:textId="77777777" w:rsidR="00FB640E" w:rsidRDefault="0051249A" w:rsidP="00E0277C">
      <w:pPr>
        <w:rPr>
          <w:rFonts w:eastAsiaTheme="minorHAnsi"/>
        </w:rPr>
      </w:pPr>
    </w:p>
    <w:p w14:paraId="7B04B838" w14:textId="77777777" w:rsidR="00855F28" w:rsidRDefault="0051249A" w:rsidP="00E0277C">
      <w:pPr>
        <w:rPr>
          <w:rFonts w:eastAsiaTheme="minorHAnsi"/>
        </w:rPr>
      </w:pPr>
      <w:r>
        <w:rPr>
          <w:rFonts w:eastAsiaTheme="minorHAnsi"/>
        </w:rPr>
        <w:t xml:space="preserve">Surveillance foods are subject to inspection at a rate of five per cent of inspections. If a consignment is determined to be non-compliant, inspection is raised to 100 per cent until five </w:t>
      </w:r>
      <w:r w:rsidRPr="009C5119">
        <w:rPr>
          <w:rFonts w:eastAsiaTheme="minorHAnsi"/>
        </w:rPr>
        <w:t xml:space="preserve">consecutive consignments pass inspection, following </w:t>
      </w:r>
      <w:r w:rsidRPr="009C5119">
        <w:rPr>
          <w:rFonts w:eastAsiaTheme="minorHAnsi"/>
        </w:rPr>
        <w:t>which the inspection rate reverts to five per cent.</w:t>
      </w:r>
    </w:p>
    <w:p w14:paraId="7B04B839" w14:textId="77777777" w:rsidR="00956134" w:rsidRDefault="0051249A" w:rsidP="00E0277C">
      <w:pPr>
        <w:rPr>
          <w:rFonts w:eastAsiaTheme="minorHAnsi"/>
        </w:rPr>
      </w:pPr>
    </w:p>
    <w:p w14:paraId="7B04B83A" w14:textId="77777777" w:rsidR="00956134" w:rsidRDefault="0051249A" w:rsidP="00956134">
      <w:r>
        <w:t>The D</w:t>
      </w:r>
      <w:r w:rsidRPr="00496466">
        <w:t>epartment</w:t>
      </w:r>
      <w:r>
        <w:t xml:space="preserve"> of Agriculture and Water Resources (the department)</w:t>
      </w:r>
      <w:r w:rsidRPr="00496466">
        <w:t xml:space="preserve"> uses </w:t>
      </w:r>
      <w:r>
        <w:t xml:space="preserve">the </w:t>
      </w:r>
      <w:r w:rsidRPr="00496466">
        <w:t>Scheme to monitor compliance</w:t>
      </w:r>
      <w:r>
        <w:t xml:space="preserve"> with </w:t>
      </w:r>
      <w:r w:rsidRPr="00496466">
        <w:t>requirements</w:t>
      </w:r>
      <w:r>
        <w:t xml:space="preserve"> of the Act</w:t>
      </w:r>
      <w:r w:rsidRPr="00CD7EAA">
        <w:rPr>
          <w:rFonts w:eastAsiaTheme="minorHAnsi"/>
        </w:rPr>
        <w:t>.</w:t>
      </w:r>
      <w:r>
        <w:rPr>
          <w:rFonts w:eastAsiaTheme="minorHAnsi"/>
        </w:rPr>
        <w:t xml:space="preserve"> </w:t>
      </w:r>
      <w:r w:rsidRPr="00BC1BAE">
        <w:t xml:space="preserve">In addition to the department's </w:t>
      </w:r>
      <w:r>
        <w:t>monitoring, s</w:t>
      </w:r>
      <w:r w:rsidRPr="00BC1BAE">
        <w:t xml:space="preserve">tate and territory jurisdictions have responsibility for ensuring that all food, including imported food, meets requirements </w:t>
      </w:r>
      <w:r>
        <w:t>in</w:t>
      </w:r>
      <w:r w:rsidRPr="00BC1BAE">
        <w:t xml:space="preserve"> the Code.</w:t>
      </w:r>
    </w:p>
    <w:p w14:paraId="7B04B83B" w14:textId="77777777" w:rsidR="008A0438" w:rsidRDefault="0051249A" w:rsidP="00956134"/>
    <w:p w14:paraId="7B04B83C" w14:textId="77777777" w:rsidR="00416575" w:rsidRPr="00A06458" w:rsidRDefault="0051249A" w:rsidP="00416575">
      <w:pPr>
        <w:keepLines/>
      </w:pPr>
      <w:r>
        <w:t xml:space="preserve">Section 16 of the Act provides that the regulations may set out particulars of a food inspection scheme. The </w:t>
      </w:r>
      <w:r w:rsidRPr="00E0277C">
        <w:rPr>
          <w:i/>
        </w:rPr>
        <w:t>Imported</w:t>
      </w:r>
      <w:r w:rsidRPr="00E0277C">
        <w:rPr>
          <w:i/>
        </w:rPr>
        <w:t xml:space="preserve"> Food Control Regulations 1993</w:t>
      </w:r>
      <w:r>
        <w:t xml:space="preserve"> (the Principal Regulations) set out </w:t>
      </w:r>
      <w:r w:rsidRPr="00FE1D2D">
        <w:t xml:space="preserve">the Imported Food Inspection Scheme </w:t>
      </w:r>
      <w:r>
        <w:t xml:space="preserve">(the Scheme), </w:t>
      </w:r>
      <w:r w:rsidRPr="00FE1D2D">
        <w:t xml:space="preserve">which is a risk-based end-product inspection </w:t>
      </w:r>
      <w:r w:rsidRPr="00653305">
        <w:t>and analysis scheme for imported foods with provisions for industry risk management arrangemen</w:t>
      </w:r>
      <w:r w:rsidRPr="00653305">
        <w:t>ts and foreign government certification arrangements. Section 16 also provides that the regulations setting out partic</w:t>
      </w:r>
      <w:r w:rsidRPr="00A06458">
        <w:t>ulars of the Scheme may specify the manner and incidence of inspection, or inspection and analysis, of particular food that is imported in</w:t>
      </w:r>
      <w:r w:rsidRPr="00A06458">
        <w:t>to Australia.</w:t>
      </w:r>
    </w:p>
    <w:p w14:paraId="7B04B83D" w14:textId="77777777" w:rsidR="00416575" w:rsidRPr="00A06458" w:rsidRDefault="0051249A" w:rsidP="008A0438">
      <w:pPr>
        <w:rPr>
          <w:rFonts w:eastAsiaTheme="minorHAnsi"/>
        </w:rPr>
      </w:pPr>
    </w:p>
    <w:p w14:paraId="7B04B83E" w14:textId="77777777" w:rsidR="008A0438" w:rsidRPr="00A06458" w:rsidRDefault="0051249A" w:rsidP="008A0438">
      <w:r w:rsidRPr="00A06458">
        <w:rPr>
          <w:rFonts w:eastAsiaTheme="minorHAnsi"/>
        </w:rPr>
        <w:t xml:space="preserve">Regulations 15, 16 and 17 of the Principal Regulations </w:t>
      </w:r>
      <w:r w:rsidRPr="00A06458">
        <w:t xml:space="preserve">set out rates of inspection for risk foods. However, these regulations use a ‘one size fits all approach’, and do not provide flexibility to take into account the particular source of a </w:t>
      </w:r>
      <w:r w:rsidRPr="00A06458">
        <w:t>food, an exporting country’s food safety system, or assessment of the equivalence of an exporting country’s food safety system in relation to Australia’s. Assessment of the equivalence of food safety systems is becoming more common internationally and Aust</w:t>
      </w:r>
      <w:r w:rsidRPr="00A06458">
        <w:t xml:space="preserve">ralia’s trading partners are developing these assessments as a means of facilitating trade in food between countries with equivalent systems. </w:t>
      </w:r>
    </w:p>
    <w:p w14:paraId="7B04B83F" w14:textId="77777777" w:rsidR="008A0438" w:rsidRPr="00A06458" w:rsidRDefault="0051249A" w:rsidP="00956134">
      <w:pPr>
        <w:rPr>
          <w:rFonts w:eastAsiaTheme="minorHAnsi"/>
        </w:rPr>
      </w:pPr>
    </w:p>
    <w:p w14:paraId="7B04B840" w14:textId="77777777" w:rsidR="00653305" w:rsidRPr="00653305" w:rsidRDefault="0051249A" w:rsidP="00E5590C">
      <w:r w:rsidRPr="00A06458">
        <w:lastRenderedPageBreak/>
        <w:t xml:space="preserve">The </w:t>
      </w:r>
      <w:r>
        <w:t>proposed</w:t>
      </w:r>
      <w:r w:rsidRPr="00A06458">
        <w:t xml:space="preserve"> Regulations allow a more flexible inspection regime for specified imported risk foods within the fr</w:t>
      </w:r>
      <w:r w:rsidRPr="00A06458">
        <w:t xml:space="preserve">amework of the Act while ensuring public health and safety remain protected. This includes where the </w:t>
      </w:r>
      <w:r w:rsidRPr="00A06458">
        <w:rPr>
          <w:lang w:val="en-GB"/>
        </w:rPr>
        <w:t xml:space="preserve">the department and </w:t>
      </w:r>
      <w:r w:rsidRPr="00A06458">
        <w:t>the instrumentality of a foreign government (for example, an overseas government food authority) agree that the food safety systems in b</w:t>
      </w:r>
      <w:r w:rsidRPr="00A06458">
        <w:t xml:space="preserve">oth countries are equivalent, which </w:t>
      </w:r>
      <w:r w:rsidRPr="00653305">
        <w:t xml:space="preserve">will allow the department to reduce the rate of inspection and analysis of those foods. </w:t>
      </w:r>
    </w:p>
    <w:p w14:paraId="7B04B841" w14:textId="77777777" w:rsidR="00653305" w:rsidRPr="00653305" w:rsidRDefault="0051249A" w:rsidP="00E5590C"/>
    <w:p w14:paraId="7B04B842" w14:textId="77777777" w:rsidR="00751452" w:rsidRDefault="0051249A" w:rsidP="00751452">
      <w:pPr>
        <w:pStyle w:val="TableTextform"/>
        <w:spacing w:before="0" w:after="0"/>
        <w:rPr>
          <w:rFonts w:ascii="Times New Roman" w:hAnsi="Times New Roman" w:cs="Times New Roman"/>
          <w:sz w:val="24"/>
          <w:szCs w:val="24"/>
        </w:rPr>
      </w:pPr>
      <w:r>
        <w:rPr>
          <w:rFonts w:ascii="Times New Roman" w:hAnsi="Times New Roman" w:cs="Times New Roman"/>
          <w:sz w:val="24"/>
          <w:szCs w:val="24"/>
        </w:rPr>
        <w:t>Conversely, t</w:t>
      </w:r>
      <w:r w:rsidRPr="00653305">
        <w:rPr>
          <w:rFonts w:ascii="Times New Roman" w:hAnsi="Times New Roman" w:cs="Times New Roman"/>
          <w:sz w:val="24"/>
          <w:szCs w:val="24"/>
        </w:rPr>
        <w:t xml:space="preserve">he </w:t>
      </w:r>
      <w:r>
        <w:rPr>
          <w:rFonts w:ascii="Times New Roman" w:hAnsi="Times New Roman" w:cs="Times New Roman"/>
          <w:sz w:val="24"/>
          <w:szCs w:val="24"/>
        </w:rPr>
        <w:t>proposed</w:t>
      </w:r>
      <w:r w:rsidRPr="00653305">
        <w:rPr>
          <w:rFonts w:ascii="Times New Roman" w:hAnsi="Times New Roman" w:cs="Times New Roman"/>
          <w:sz w:val="24"/>
          <w:szCs w:val="24"/>
        </w:rPr>
        <w:t xml:space="preserve"> Regulations</w:t>
      </w:r>
      <w:r>
        <w:rPr>
          <w:rFonts w:ascii="Times New Roman" w:hAnsi="Times New Roman" w:cs="Times New Roman"/>
          <w:sz w:val="24"/>
          <w:szCs w:val="24"/>
        </w:rPr>
        <w:t xml:space="preserve"> </w:t>
      </w:r>
      <w:r w:rsidRPr="00653305">
        <w:rPr>
          <w:rFonts w:ascii="Times New Roman" w:hAnsi="Times New Roman" w:cs="Times New Roman"/>
          <w:sz w:val="24"/>
          <w:szCs w:val="24"/>
        </w:rPr>
        <w:t>provide benefits for Australian food businesses exporting to other countries through reciproc</w:t>
      </w:r>
      <w:r w:rsidRPr="00653305">
        <w:rPr>
          <w:rFonts w:ascii="Times New Roman" w:hAnsi="Times New Roman" w:cs="Times New Roman"/>
          <w:sz w:val="24"/>
          <w:szCs w:val="24"/>
        </w:rPr>
        <w:t xml:space="preserve">ated reduced border intervention and reduced or no </w:t>
      </w:r>
    </w:p>
    <w:p w14:paraId="7B04B843" w14:textId="77777777" w:rsidR="00653305" w:rsidRPr="00653305" w:rsidRDefault="0051249A" w:rsidP="00751452">
      <w:pPr>
        <w:pStyle w:val="TableTextform"/>
        <w:spacing w:before="0" w:after="0"/>
        <w:rPr>
          <w:rFonts w:ascii="Times New Roman" w:hAnsi="Times New Roman" w:cs="Times New Roman"/>
          <w:vanish/>
          <w:sz w:val="24"/>
          <w:szCs w:val="24"/>
          <w:specVanish/>
        </w:rPr>
      </w:pPr>
      <w:r w:rsidRPr="00653305">
        <w:rPr>
          <w:rFonts w:ascii="Times New Roman" w:hAnsi="Times New Roman" w:cs="Times New Roman"/>
          <w:sz w:val="24"/>
          <w:szCs w:val="24"/>
        </w:rPr>
        <w:t xml:space="preserve">in-country audits of Australian food manufacturers by the </w:t>
      </w:r>
      <w:r>
        <w:rPr>
          <w:rFonts w:ascii="Times New Roman" w:hAnsi="Times New Roman" w:cs="Times New Roman"/>
          <w:sz w:val="24"/>
          <w:szCs w:val="24"/>
        </w:rPr>
        <w:t>other country</w:t>
      </w:r>
      <w:r w:rsidRPr="00653305">
        <w:rPr>
          <w:rFonts w:ascii="Times New Roman" w:hAnsi="Times New Roman" w:cs="Times New Roman"/>
          <w:sz w:val="24"/>
          <w:szCs w:val="24"/>
        </w:rPr>
        <w:t>.</w:t>
      </w:r>
      <w:r>
        <w:rPr>
          <w:rFonts w:ascii="Times New Roman" w:hAnsi="Times New Roman" w:cs="Times New Roman"/>
          <w:sz w:val="24"/>
          <w:szCs w:val="24"/>
        </w:rPr>
        <w:t xml:space="preserve"> Formal</w:t>
      </w:r>
    </w:p>
    <w:p w14:paraId="7B04B844" w14:textId="77777777" w:rsidR="008A3B3D" w:rsidRPr="00653305" w:rsidRDefault="0051249A" w:rsidP="00653305">
      <w:r>
        <w:t xml:space="preserve"> r</w:t>
      </w:r>
      <w:r w:rsidRPr="00653305">
        <w:t>ecognition of foreign government regulatory controls to manage food safety</w:t>
      </w:r>
      <w:r>
        <w:t xml:space="preserve"> will</w:t>
      </w:r>
      <w:r w:rsidRPr="00653305">
        <w:t xml:space="preserve"> enable</w:t>
      </w:r>
      <w:r>
        <w:t xml:space="preserve"> </w:t>
      </w:r>
      <w:r w:rsidRPr="00653305">
        <w:t>the department to better utilise bo</w:t>
      </w:r>
      <w:r w:rsidRPr="00653305">
        <w:t xml:space="preserve">rder monitoring resources, achieve greater assurances of the safety of foods being imported from </w:t>
      </w:r>
      <w:r>
        <w:t xml:space="preserve">those </w:t>
      </w:r>
      <w:r w:rsidRPr="00653305">
        <w:t>countr</w:t>
      </w:r>
      <w:r>
        <w:t xml:space="preserve">ies </w:t>
      </w:r>
      <w:r w:rsidRPr="00653305">
        <w:t>and provide deregulatory opportunities for industry.</w:t>
      </w:r>
    </w:p>
    <w:p w14:paraId="7B04B845" w14:textId="77777777" w:rsidR="008A3B3D" w:rsidRPr="00653305" w:rsidRDefault="0051249A" w:rsidP="00E5590C">
      <w:pPr>
        <w:rPr>
          <w:b/>
        </w:rPr>
      </w:pPr>
    </w:p>
    <w:p w14:paraId="7B04B846" w14:textId="77777777" w:rsidR="005F03B7" w:rsidRPr="00653305" w:rsidRDefault="0051249A" w:rsidP="00E5590C">
      <w:pPr>
        <w:rPr>
          <w:rFonts w:eastAsia="Calibri"/>
        </w:rPr>
      </w:pPr>
      <w:r w:rsidRPr="00653305">
        <w:rPr>
          <w:b/>
        </w:rPr>
        <w:t>Impact and Effect</w:t>
      </w:r>
      <w:r w:rsidRPr="00653305">
        <w:t xml:space="preserve"> </w:t>
      </w:r>
    </w:p>
    <w:p w14:paraId="7B04B847" w14:textId="77777777" w:rsidR="008F329F" w:rsidRDefault="0051249A" w:rsidP="00E5590C">
      <w:r>
        <w:t>With increased globalisation of the food supply chain and associated i</w:t>
      </w:r>
      <w:r>
        <w:t>ncrease in the volume of food traded between countries, measures which reduce regulatory burden and costs on Australia’s food trade, while ensuring that imported food is safe for human consumption, may be achieved through assessment and recognition of othe</w:t>
      </w:r>
      <w:r>
        <w:t>r countries’ regulatory controls.</w:t>
      </w:r>
    </w:p>
    <w:p w14:paraId="7B04B848" w14:textId="77777777" w:rsidR="00554880" w:rsidRDefault="0051249A" w:rsidP="00E5590C"/>
    <w:p w14:paraId="7B04B849" w14:textId="77777777" w:rsidR="00416575" w:rsidRPr="00700B9D" w:rsidRDefault="0051249A" w:rsidP="00E5590C">
      <w:r w:rsidRPr="00700B9D">
        <w:t xml:space="preserve">A circumstance where a more flexible inspection regime for specified imported risk foods </w:t>
      </w:r>
    </w:p>
    <w:p w14:paraId="7B04B84A" w14:textId="77777777" w:rsidR="00700B9D" w:rsidRPr="00700B9D" w:rsidRDefault="0051249A" w:rsidP="00700B9D">
      <w:pPr>
        <w:pStyle w:val="CommentText"/>
        <w:rPr>
          <w:sz w:val="24"/>
          <w:szCs w:val="24"/>
        </w:rPr>
      </w:pPr>
      <w:r w:rsidRPr="00672456">
        <w:rPr>
          <w:sz w:val="24"/>
          <w:szCs w:val="24"/>
        </w:rPr>
        <w:t xml:space="preserve">applies is where the </w:t>
      </w:r>
      <w:r w:rsidRPr="00672456">
        <w:rPr>
          <w:sz w:val="24"/>
          <w:szCs w:val="24"/>
          <w:lang w:val="en-GB"/>
        </w:rPr>
        <w:t xml:space="preserve">department and the foreign government instrumentality have </w:t>
      </w:r>
      <w:r w:rsidRPr="00672456">
        <w:rPr>
          <w:sz w:val="24"/>
          <w:szCs w:val="24"/>
        </w:rPr>
        <w:t xml:space="preserve">assessed each other’s food safety systems </w:t>
      </w:r>
      <w:r w:rsidRPr="00672456">
        <w:rPr>
          <w:sz w:val="24"/>
          <w:szCs w:val="24"/>
        </w:rPr>
        <w:t xml:space="preserve">and concluded that they provide equivalent food safety protection. In this circumstance, there are reasonable grounds to allow Australia to reduce the rate of inspection of those foods to a minimum of five per cent of consignments. This provides a similar </w:t>
      </w:r>
      <w:r w:rsidRPr="00672456">
        <w:rPr>
          <w:sz w:val="24"/>
          <w:szCs w:val="24"/>
        </w:rPr>
        <w:t xml:space="preserve">arrangement as the foreign </w:t>
      </w:r>
      <w:r w:rsidRPr="00700B9D">
        <w:rPr>
          <w:sz w:val="24"/>
          <w:szCs w:val="24"/>
        </w:rPr>
        <w:t>government certification arrangement, without the need for government certification to accompany each consignment.</w:t>
      </w:r>
    </w:p>
    <w:p w14:paraId="7B04B84B" w14:textId="77777777" w:rsidR="00CF3FE2" w:rsidRPr="00700B9D" w:rsidRDefault="0051249A" w:rsidP="00E5590C"/>
    <w:p w14:paraId="7B04B84C" w14:textId="77777777" w:rsidR="00646A13" w:rsidRDefault="0051249A" w:rsidP="00E5590C">
      <w:r>
        <w:lastRenderedPageBreak/>
        <w:t xml:space="preserve">This inspection regime provides similar </w:t>
      </w:r>
      <w:r w:rsidRPr="00A124D9">
        <w:t xml:space="preserve">benefits for Australian food businesses exporting </w:t>
      </w:r>
      <w:r>
        <w:t>to those countries thro</w:t>
      </w:r>
      <w:r>
        <w:t xml:space="preserve">ugh </w:t>
      </w:r>
      <w:r w:rsidRPr="00A124D9">
        <w:t>reduced or no in-country audits of Australian food manufacturers</w:t>
      </w:r>
      <w:r>
        <w:t>,</w:t>
      </w:r>
      <w:r w:rsidRPr="00A124D9">
        <w:t xml:space="preserve"> and reduced border intervention on </w:t>
      </w:r>
      <w:r>
        <w:t xml:space="preserve">Australian </w:t>
      </w:r>
      <w:r w:rsidRPr="00A124D9">
        <w:t>import</w:t>
      </w:r>
      <w:r>
        <w:t>s</w:t>
      </w:r>
      <w:r w:rsidRPr="00A124D9">
        <w:t xml:space="preserve"> to </w:t>
      </w:r>
      <w:r>
        <w:t>that country.</w:t>
      </w:r>
    </w:p>
    <w:p w14:paraId="7B04B84D" w14:textId="77777777" w:rsidR="00B30EF7" w:rsidRDefault="0051249A" w:rsidP="00E5590C"/>
    <w:p w14:paraId="7B04B84E" w14:textId="77777777" w:rsidR="00E47410" w:rsidRDefault="0051249A" w:rsidP="00E5590C">
      <w:pPr>
        <w:rPr>
          <w:lang w:val="en-GB"/>
        </w:rPr>
      </w:pPr>
      <w:r>
        <w:rPr>
          <w:lang w:val="en-GB"/>
        </w:rPr>
        <w:t>The proposed Regulations also correct an outdated reference and typographical errors.</w:t>
      </w:r>
    </w:p>
    <w:p w14:paraId="7B04B84F" w14:textId="77777777" w:rsidR="00EC25DD" w:rsidRDefault="0051249A" w:rsidP="00E5590C"/>
    <w:p w14:paraId="7B04B850" w14:textId="77777777" w:rsidR="005C3B05" w:rsidRPr="00AE34F4" w:rsidRDefault="0051249A" w:rsidP="003A7F40">
      <w:pPr>
        <w:rPr>
          <w:b/>
        </w:rPr>
      </w:pPr>
      <w:r w:rsidRPr="00AE34F4">
        <w:rPr>
          <w:b/>
        </w:rPr>
        <w:t>Consultation</w:t>
      </w:r>
    </w:p>
    <w:p w14:paraId="7B04B851" w14:textId="77777777" w:rsidR="008C1142" w:rsidRDefault="0051249A" w:rsidP="0074339C">
      <w:r>
        <w:t>T</w:t>
      </w:r>
      <w:r w:rsidRPr="001710A9">
        <w:t xml:space="preserve">he </w:t>
      </w:r>
      <w:r w:rsidRPr="00FB640E">
        <w:t>department consulted with state and territory government food authorities,</w:t>
      </w:r>
      <w:r>
        <w:t xml:space="preserve"> </w:t>
      </w:r>
      <w:r w:rsidRPr="00FB640E">
        <w:t>the Australian Government Department of Health and the</w:t>
      </w:r>
      <w:r>
        <w:t xml:space="preserve"> department’s</w:t>
      </w:r>
      <w:r w:rsidRPr="00FB640E">
        <w:t xml:space="preserve"> Imported Food Consultative Committee (IFCC) on the proposed systems recognition proposals. The IFCC contains repr</w:t>
      </w:r>
      <w:r w:rsidRPr="00FB640E">
        <w:t>esentatives of the Food and Beverage Importers’ Association, Australian Food and Grocery Council, Seafood Importers’ Association of Australia and Food Standards Australia New Zealand (FSANZ).</w:t>
      </w:r>
      <w:r>
        <w:t xml:space="preserve"> </w:t>
      </w:r>
    </w:p>
    <w:p w14:paraId="7B04B852" w14:textId="77777777" w:rsidR="008C1142" w:rsidRDefault="0051249A" w:rsidP="0074339C"/>
    <w:p w14:paraId="7B04B853" w14:textId="77777777" w:rsidR="008F329F" w:rsidRPr="00FB640E" w:rsidRDefault="0051249A" w:rsidP="0074339C">
      <w:r>
        <w:t>All agencies and organisations which were consulted are suppor</w:t>
      </w:r>
      <w:r>
        <w:t>tive of the policy underlying the proposed changes.</w:t>
      </w:r>
    </w:p>
    <w:p w14:paraId="7B04B854" w14:textId="77777777" w:rsidR="00550437" w:rsidRPr="007C0F7B" w:rsidRDefault="0051249A" w:rsidP="003A7F40"/>
    <w:p w14:paraId="7B04B855" w14:textId="77777777" w:rsidR="005C3B05" w:rsidRDefault="0051249A" w:rsidP="003A7F40">
      <w:r w:rsidRPr="007C0F7B">
        <w:t xml:space="preserve">The </w:t>
      </w:r>
      <w:r>
        <w:t xml:space="preserve">department consulted with the </w:t>
      </w:r>
      <w:r w:rsidRPr="007C0F7B">
        <w:t>Office of Parliamentary Counsel</w:t>
      </w:r>
      <w:r>
        <w:t xml:space="preserve"> in drafting of the amendments, </w:t>
      </w:r>
      <w:r w:rsidRPr="007C0F7B">
        <w:t>and the Office of Best Practice Regulation advised that a regulation impact statement is not required (ID </w:t>
      </w:r>
      <w:r w:rsidRPr="007C0F7B">
        <w:t>17861).</w:t>
      </w:r>
    </w:p>
    <w:p w14:paraId="7B04B856" w14:textId="77777777" w:rsidR="005C3B05" w:rsidRDefault="0051249A" w:rsidP="003A7F40"/>
    <w:p w14:paraId="7B04B857" w14:textId="77777777" w:rsidR="00600125" w:rsidRDefault="0051249A" w:rsidP="003A7F40">
      <w:pPr>
        <w:rPr>
          <w:rFonts w:eastAsia="Calibri"/>
        </w:rPr>
      </w:pPr>
      <w:r>
        <w:rPr>
          <w:rFonts w:eastAsia="Calibri"/>
        </w:rPr>
        <w:t xml:space="preserve">The Amendment Regulations are a legislative instrument for the purposes of the </w:t>
      </w:r>
    </w:p>
    <w:p w14:paraId="7B04B858" w14:textId="77777777" w:rsidR="005C3B05" w:rsidRDefault="0051249A" w:rsidP="003A7F40">
      <w:pPr>
        <w:rPr>
          <w:rFonts w:eastAsia="Calibri"/>
        </w:rPr>
      </w:pPr>
      <w:r>
        <w:rPr>
          <w:rFonts w:eastAsia="Calibri"/>
          <w:i/>
        </w:rPr>
        <w:t>Legislation Act 2003</w:t>
      </w:r>
      <w:r>
        <w:rPr>
          <w:rFonts w:eastAsia="Calibri"/>
        </w:rPr>
        <w:t>.</w:t>
      </w:r>
    </w:p>
    <w:p w14:paraId="7B04B859" w14:textId="77777777" w:rsidR="005C3B05" w:rsidRDefault="0051249A" w:rsidP="003A7F40"/>
    <w:p w14:paraId="7B04B85A" w14:textId="77777777" w:rsidR="004A0CBF" w:rsidRDefault="0051249A" w:rsidP="00BD6A35">
      <w:pPr>
        <w:rPr>
          <w:rFonts w:eastAsia="Calibri"/>
        </w:rPr>
      </w:pPr>
      <w:r>
        <w:rPr>
          <w:rFonts w:eastAsia="Calibri"/>
        </w:rPr>
        <w:t xml:space="preserve">The proposed Regulations are compatible with the human rights and freedoms recognised or declared under section 3 of the </w:t>
      </w:r>
      <w:r>
        <w:rPr>
          <w:rFonts w:eastAsia="Calibri"/>
          <w:i/>
        </w:rPr>
        <w:t xml:space="preserve">Human Rights </w:t>
      </w:r>
      <w:r>
        <w:rPr>
          <w:rFonts w:eastAsia="Calibri"/>
          <w:i/>
        </w:rPr>
        <w:t>(Parliamentary Scrutiny) Act 2011</w:t>
      </w:r>
      <w:r w:rsidRPr="00C659D2">
        <w:rPr>
          <w:rFonts w:eastAsia="Calibri"/>
          <w:i/>
        </w:rPr>
        <w:t xml:space="preserve">. </w:t>
      </w:r>
      <w:r>
        <w:rPr>
          <w:rFonts w:eastAsia="Calibri"/>
        </w:rPr>
        <w:t xml:space="preserve">A full statement of compatibility is set out in the </w:t>
      </w:r>
      <w:r>
        <w:rPr>
          <w:rFonts w:eastAsia="Calibri"/>
          <w:u w:val="single"/>
        </w:rPr>
        <w:t>Attachment</w:t>
      </w:r>
      <w:r>
        <w:rPr>
          <w:rFonts w:eastAsia="Calibri"/>
        </w:rPr>
        <w:t>.</w:t>
      </w:r>
    </w:p>
    <w:p w14:paraId="7B04B85B" w14:textId="77777777" w:rsidR="005C3B05" w:rsidRDefault="0051249A">
      <w:pPr>
        <w:tabs>
          <w:tab w:val="left" w:pos="1701"/>
          <w:tab w:val="right" w:pos="9072"/>
        </w:tabs>
      </w:pPr>
    </w:p>
    <w:p w14:paraId="7B04B85C" w14:textId="77777777" w:rsidR="005C3B05" w:rsidRDefault="0051249A">
      <w:pPr>
        <w:rPr>
          <w:b/>
          <w:u w:val="single"/>
          <w:lang w:val="en-GB"/>
        </w:rPr>
      </w:pPr>
      <w:r>
        <w:rPr>
          <w:rFonts w:eastAsia="Calibri"/>
          <w:b/>
          <w:u w:val="single"/>
        </w:rPr>
        <w:t xml:space="preserve">Details of the </w:t>
      </w:r>
      <w:r>
        <w:rPr>
          <w:b/>
          <w:i/>
          <w:u w:val="single"/>
          <w:lang w:eastAsia="en-AU"/>
        </w:rPr>
        <w:t>Imported Food Control Amendment (Food Inspection) Regulations</w:t>
      </w:r>
      <w:r>
        <w:rPr>
          <w:b/>
          <w:i/>
          <w:u w:val="single"/>
        </w:rPr>
        <w:t> </w:t>
      </w:r>
      <w:r>
        <w:rPr>
          <w:b/>
          <w:i/>
          <w:u w:val="single"/>
          <w:lang w:eastAsia="en-AU"/>
        </w:rPr>
        <w:t>2017</w:t>
      </w:r>
    </w:p>
    <w:p w14:paraId="7B04B85D" w14:textId="77777777" w:rsidR="005C3B05" w:rsidRDefault="0051249A">
      <w:pPr>
        <w:shd w:val="clear" w:color="auto" w:fill="FFFFFF" w:themeFill="background1"/>
        <w:tabs>
          <w:tab w:val="left" w:pos="1701"/>
          <w:tab w:val="right" w:pos="9072"/>
        </w:tabs>
        <w:rPr>
          <w:b/>
          <w:u w:val="single"/>
        </w:rPr>
      </w:pPr>
    </w:p>
    <w:p w14:paraId="7B04B85E" w14:textId="77777777" w:rsidR="005C3B05" w:rsidRDefault="0051249A">
      <w:pPr>
        <w:pStyle w:val="Normal-em"/>
        <w:shd w:val="clear" w:color="auto" w:fill="FFFFFF" w:themeFill="background1"/>
        <w:ind w:left="1440" w:hanging="1440"/>
        <w:rPr>
          <w:color w:val="auto"/>
          <w:szCs w:val="24"/>
          <w:u w:val="single"/>
        </w:rPr>
      </w:pPr>
      <w:r>
        <w:rPr>
          <w:color w:val="auto"/>
          <w:szCs w:val="24"/>
          <w:u w:val="single"/>
        </w:rPr>
        <w:t xml:space="preserve">Section 1 – Name </w:t>
      </w:r>
    </w:p>
    <w:p w14:paraId="7B04B85F" w14:textId="77777777" w:rsidR="005C3B05" w:rsidRDefault="0051249A">
      <w:pPr>
        <w:rPr>
          <w:lang w:val="en-GB"/>
        </w:rPr>
      </w:pPr>
      <w:r>
        <w:lastRenderedPageBreak/>
        <w:t>This section provides that the name of the proposed Reg</w:t>
      </w:r>
      <w:r>
        <w:t xml:space="preserve">ulations is the </w:t>
      </w:r>
      <w:r>
        <w:rPr>
          <w:i/>
          <w:lang w:eastAsia="en-AU"/>
        </w:rPr>
        <w:t>Imported Food Control Amendment (Food Inspection) Regulations</w:t>
      </w:r>
      <w:r>
        <w:rPr>
          <w:i/>
        </w:rPr>
        <w:t> </w:t>
      </w:r>
      <w:r>
        <w:rPr>
          <w:i/>
          <w:lang w:eastAsia="en-AU"/>
        </w:rPr>
        <w:t>2017.</w:t>
      </w:r>
    </w:p>
    <w:p w14:paraId="7B04B860" w14:textId="77777777" w:rsidR="005C3B05" w:rsidRDefault="0051249A">
      <w:pPr>
        <w:pStyle w:val="Normal-em"/>
        <w:shd w:val="clear" w:color="auto" w:fill="FFFFFF" w:themeFill="background1"/>
        <w:rPr>
          <w:color w:val="auto"/>
          <w:szCs w:val="24"/>
        </w:rPr>
      </w:pPr>
    </w:p>
    <w:p w14:paraId="7B04B861" w14:textId="77777777" w:rsidR="005C3B05" w:rsidRDefault="0051249A">
      <w:pPr>
        <w:pStyle w:val="Normal-em"/>
        <w:shd w:val="clear" w:color="auto" w:fill="FFFFFF" w:themeFill="background1"/>
        <w:rPr>
          <w:color w:val="auto"/>
          <w:szCs w:val="24"/>
          <w:u w:val="single"/>
        </w:rPr>
      </w:pPr>
      <w:r>
        <w:rPr>
          <w:color w:val="auto"/>
          <w:szCs w:val="24"/>
          <w:u w:val="single"/>
        </w:rPr>
        <w:t>Section 2 – Commencement</w:t>
      </w:r>
    </w:p>
    <w:p w14:paraId="7B04B862" w14:textId="77777777" w:rsidR="005C3B05" w:rsidRDefault="0051249A">
      <w:pPr>
        <w:pStyle w:val="Normal-em"/>
        <w:shd w:val="clear" w:color="auto" w:fill="FFFFFF" w:themeFill="background1"/>
        <w:rPr>
          <w:rFonts w:eastAsia="Calibri"/>
          <w:szCs w:val="24"/>
        </w:rPr>
      </w:pPr>
      <w:r>
        <w:rPr>
          <w:color w:val="auto"/>
          <w:szCs w:val="24"/>
        </w:rPr>
        <w:t xml:space="preserve">This section provides for </w:t>
      </w:r>
      <w:r>
        <w:rPr>
          <w:rFonts w:eastAsia="Calibri"/>
          <w:szCs w:val="24"/>
        </w:rPr>
        <w:t>proposed Regulations to commence the day after the instrument is registered.</w:t>
      </w:r>
    </w:p>
    <w:p w14:paraId="7B04B863" w14:textId="77777777" w:rsidR="00CD3989" w:rsidRDefault="0051249A">
      <w:pPr>
        <w:pStyle w:val="Normal-em"/>
        <w:shd w:val="clear" w:color="auto" w:fill="FFFFFF" w:themeFill="background1"/>
        <w:rPr>
          <w:rFonts w:eastAsia="Calibri"/>
          <w:szCs w:val="24"/>
        </w:rPr>
      </w:pPr>
    </w:p>
    <w:p w14:paraId="7B04B864" w14:textId="77777777" w:rsidR="005C3B05" w:rsidRDefault="0051249A">
      <w:pPr>
        <w:pStyle w:val="Normal-em"/>
        <w:shd w:val="clear" w:color="auto" w:fill="FFFFFF" w:themeFill="background1"/>
        <w:ind w:left="1440" w:hanging="1440"/>
        <w:rPr>
          <w:color w:val="auto"/>
          <w:szCs w:val="24"/>
          <w:u w:val="single"/>
        </w:rPr>
      </w:pPr>
      <w:r>
        <w:rPr>
          <w:color w:val="auto"/>
          <w:szCs w:val="24"/>
          <w:u w:val="single"/>
        </w:rPr>
        <w:t>Section 3 – Authority</w:t>
      </w:r>
    </w:p>
    <w:p w14:paraId="7B04B865" w14:textId="77777777" w:rsidR="005C3B05" w:rsidRDefault="0051249A">
      <w:pPr>
        <w:pStyle w:val="Normal-em"/>
        <w:shd w:val="clear" w:color="auto" w:fill="FFFFFF" w:themeFill="background1"/>
        <w:rPr>
          <w:iCs/>
          <w:szCs w:val="24"/>
        </w:rPr>
      </w:pPr>
      <w:r>
        <w:rPr>
          <w:color w:val="auto"/>
          <w:szCs w:val="24"/>
        </w:rPr>
        <w:t>This section provide</w:t>
      </w:r>
      <w:r>
        <w:rPr>
          <w:color w:val="auto"/>
          <w:szCs w:val="24"/>
        </w:rPr>
        <w:t xml:space="preserve">s that the proposed Regulations is made under the </w:t>
      </w:r>
      <w:r w:rsidRPr="0048698B">
        <w:rPr>
          <w:i/>
          <w:color w:val="auto"/>
          <w:szCs w:val="24"/>
        </w:rPr>
        <w:t>Imported</w:t>
      </w:r>
      <w:r w:rsidRPr="0048698B">
        <w:rPr>
          <w:i/>
          <w:iCs/>
          <w:szCs w:val="24"/>
        </w:rPr>
        <w:t xml:space="preserve"> </w:t>
      </w:r>
      <w:r>
        <w:rPr>
          <w:i/>
          <w:iCs/>
          <w:szCs w:val="24"/>
        </w:rPr>
        <w:t>Food Control Act 1992</w:t>
      </w:r>
      <w:r>
        <w:rPr>
          <w:iCs/>
          <w:szCs w:val="24"/>
        </w:rPr>
        <w:t>.</w:t>
      </w:r>
    </w:p>
    <w:p w14:paraId="7B04B866" w14:textId="77777777" w:rsidR="005C3B05" w:rsidRDefault="0051249A">
      <w:pPr>
        <w:pStyle w:val="Normal-em"/>
        <w:shd w:val="clear" w:color="auto" w:fill="FFFFFF" w:themeFill="background1"/>
        <w:rPr>
          <w:b/>
          <w:caps/>
          <w:szCs w:val="24"/>
          <w:u w:val="single"/>
        </w:rPr>
      </w:pPr>
    </w:p>
    <w:p w14:paraId="7B04B867" w14:textId="77777777" w:rsidR="005C3B05" w:rsidRPr="0073192A" w:rsidRDefault="0051249A">
      <w:pPr>
        <w:pStyle w:val="Normal-em"/>
        <w:shd w:val="clear" w:color="auto" w:fill="FFFFFF" w:themeFill="background1"/>
        <w:ind w:left="1440" w:hanging="1440"/>
        <w:rPr>
          <w:color w:val="auto"/>
          <w:szCs w:val="24"/>
          <w:u w:val="single"/>
        </w:rPr>
      </w:pPr>
      <w:r>
        <w:rPr>
          <w:color w:val="auto"/>
          <w:szCs w:val="24"/>
          <w:u w:val="single"/>
        </w:rPr>
        <w:t>Section 4 – Schedules</w:t>
      </w:r>
    </w:p>
    <w:p w14:paraId="7B04B868" w14:textId="77777777" w:rsidR="005C3B05" w:rsidRPr="0073192A" w:rsidRDefault="0051249A">
      <w:pPr>
        <w:rPr>
          <w:lang w:eastAsia="en-AU"/>
        </w:rPr>
      </w:pPr>
      <w:r w:rsidRPr="0073192A">
        <w:t>This section provides that</w:t>
      </w:r>
      <w:r>
        <w:t xml:space="preserve"> the </w:t>
      </w:r>
      <w:r w:rsidRPr="00554880">
        <w:rPr>
          <w:i/>
        </w:rPr>
        <w:t>Imported Food Control Regulations 1993</w:t>
      </w:r>
      <w:r>
        <w:t xml:space="preserve"> to </w:t>
      </w:r>
      <w:r>
        <w:rPr>
          <w:lang w:eastAsia="en-AU"/>
        </w:rPr>
        <w:t xml:space="preserve">be amended or repealed as set out in the applicable items in the Schedule 1. </w:t>
      </w:r>
    </w:p>
    <w:p w14:paraId="7B04B869" w14:textId="77777777" w:rsidR="005C3B05" w:rsidRDefault="0051249A">
      <w:pPr>
        <w:pStyle w:val="Normal-em"/>
        <w:shd w:val="clear" w:color="auto" w:fill="FFFFFF" w:themeFill="background1"/>
        <w:rPr>
          <w:iCs/>
          <w:color w:val="auto"/>
          <w:szCs w:val="24"/>
        </w:rPr>
      </w:pPr>
    </w:p>
    <w:p w14:paraId="7B04B86A" w14:textId="77777777" w:rsidR="005C3B05" w:rsidRDefault="0051249A">
      <w:pPr>
        <w:pStyle w:val="Normal-em"/>
        <w:rPr>
          <w:color w:val="auto"/>
          <w:szCs w:val="24"/>
        </w:rPr>
      </w:pPr>
      <w:r>
        <w:rPr>
          <w:color w:val="auto"/>
          <w:szCs w:val="24"/>
          <w:u w:val="single"/>
        </w:rPr>
        <w:t>Schedule 1 – Amendments</w:t>
      </w:r>
    </w:p>
    <w:p w14:paraId="7B04B86B" w14:textId="77777777" w:rsidR="005C3B05" w:rsidRDefault="0051249A" w:rsidP="003A0789">
      <w:r>
        <w:rPr>
          <w:b/>
        </w:rPr>
        <w:t>Item 1</w:t>
      </w:r>
      <w:r>
        <w:t xml:space="preserve"> corrects a spelling error in the definition of ‘particular source’ in regulation 3 by inserting the correct spelling of the word ‘manufacturer’. This amendment does not result in any substantive change to the operation of th</w:t>
      </w:r>
      <w:r>
        <w:t>e Principal Regulations.</w:t>
      </w:r>
    </w:p>
    <w:p w14:paraId="7B04B86C" w14:textId="77777777" w:rsidR="00FC27F7" w:rsidRDefault="0051249A"/>
    <w:p w14:paraId="7B04B86D" w14:textId="77777777" w:rsidR="007C361E" w:rsidRDefault="0051249A">
      <w:r>
        <w:rPr>
          <w:b/>
        </w:rPr>
        <w:t>Item 2</w:t>
      </w:r>
      <w:r>
        <w:t xml:space="preserve"> substitutes regulation 9 of the with a new regulation 9 to provide that food of a particular kind may be classified as risk food if, on being consulted as required under section 17 of the Act, FSANZ advises the Minister tha</w:t>
      </w:r>
      <w:r>
        <w:t>t the food has the potential to pose a high or medium risk to public health.</w:t>
      </w:r>
    </w:p>
    <w:p w14:paraId="7B04B86E" w14:textId="77777777" w:rsidR="00D05346" w:rsidRDefault="0051249A"/>
    <w:p w14:paraId="7B04B86F" w14:textId="77777777" w:rsidR="00D05346" w:rsidRDefault="0051249A">
      <w:r>
        <w:t xml:space="preserve">The amendment replaces the reference to the ‘Australia New Zealand Food Authority’ with ‘Food Standards Australia New Zealand’ to reflect the contemporary name of this agency.  </w:t>
      </w:r>
    </w:p>
    <w:p w14:paraId="7B04B870" w14:textId="77777777" w:rsidR="002E0B48" w:rsidRDefault="0051249A">
      <w:r>
        <w:t>The amendment also replaces the reference ‘section 17(1)</w:t>
      </w:r>
      <w:r w:rsidRPr="003B16B3">
        <w:t xml:space="preserve"> </w:t>
      </w:r>
      <w:r>
        <w:t xml:space="preserve">of the Act’ with the reference ‘section 17 of the Act’ as section 17 no longer has a subsection (1). </w:t>
      </w:r>
    </w:p>
    <w:p w14:paraId="7B04B871" w14:textId="77777777" w:rsidR="00D05346" w:rsidRDefault="0051249A"/>
    <w:p w14:paraId="7B04B872" w14:textId="77777777" w:rsidR="00075AE0" w:rsidRDefault="0051249A">
      <w:r>
        <w:t>The reference to ‘public health’ in regulation 9 has been retained and has not been replaced wit</w:t>
      </w:r>
      <w:r>
        <w:t xml:space="preserve">h the words ‘human health’ as described in items 3 and 6. This is because regulation 9 relates to the public health advice provided by FSANZ, rather </w:t>
      </w:r>
      <w:r>
        <w:lastRenderedPageBreak/>
        <w:t>than the ‘risks to human health’ that are managed by the Act and referred to in other provisions of the Pri</w:t>
      </w:r>
      <w:r>
        <w:t>ncipal Regulations</w:t>
      </w:r>
      <w:r w:rsidRPr="00E47410">
        <w:t>.</w:t>
      </w:r>
    </w:p>
    <w:p w14:paraId="7B04B873" w14:textId="77777777" w:rsidR="00086DCB" w:rsidRDefault="0051249A"/>
    <w:p w14:paraId="7B04B874" w14:textId="77777777" w:rsidR="00D112B8" w:rsidRDefault="0051249A" w:rsidP="00D112B8">
      <w:r>
        <w:t>The amendment</w:t>
      </w:r>
      <w:r w:rsidRPr="00E47410">
        <w:t xml:space="preserve"> rephrase</w:t>
      </w:r>
      <w:r>
        <w:t>s</w:t>
      </w:r>
      <w:r w:rsidRPr="00E47410">
        <w:t xml:space="preserve"> the regulation to comply with current legislation practice</w:t>
      </w:r>
      <w:r>
        <w:t xml:space="preserve"> and does not result in any substantive change to the operation of the Principal Regulations.</w:t>
      </w:r>
    </w:p>
    <w:p w14:paraId="7B04B875" w14:textId="77777777" w:rsidR="005C3B05" w:rsidRDefault="0051249A"/>
    <w:p w14:paraId="7B04B876" w14:textId="77777777" w:rsidR="00CF11FD" w:rsidRDefault="0051249A">
      <w:r>
        <w:rPr>
          <w:b/>
        </w:rPr>
        <w:t>Item 3</w:t>
      </w:r>
      <w:r>
        <w:t xml:space="preserve"> substitutes the words ‘public health’ </w:t>
      </w:r>
      <w:r>
        <w:t>in paragraph 17(3)(b) with the words ‘human health’.</w:t>
      </w:r>
    </w:p>
    <w:p w14:paraId="7B04B877" w14:textId="77777777" w:rsidR="005C3B05" w:rsidRDefault="0051249A"/>
    <w:p w14:paraId="7B04B878" w14:textId="77777777" w:rsidR="008A2FAB" w:rsidRDefault="0051249A" w:rsidP="008A2FAB">
      <w:r>
        <w:t xml:space="preserve">The purpose of the amendment is to provide consistency with the </w:t>
      </w:r>
      <w:r w:rsidRPr="00EB1931">
        <w:t xml:space="preserve">Act </w:t>
      </w:r>
      <w:r>
        <w:t xml:space="preserve">and other parts of regulation 17 which </w:t>
      </w:r>
      <w:r w:rsidRPr="00EB1931">
        <w:t xml:space="preserve">refer to </w:t>
      </w:r>
      <w:r>
        <w:t>‘human health’; the amendment does not result in any substantive change to the Princip</w:t>
      </w:r>
      <w:r>
        <w:t>al Regulations.</w:t>
      </w:r>
    </w:p>
    <w:p w14:paraId="7B04B879" w14:textId="77777777" w:rsidR="00DD0077" w:rsidRDefault="0051249A"/>
    <w:p w14:paraId="7B04B87A" w14:textId="77777777" w:rsidR="00736176" w:rsidRDefault="0051249A" w:rsidP="00DC38C7">
      <w:r>
        <w:rPr>
          <w:b/>
        </w:rPr>
        <w:t>Item 4</w:t>
      </w:r>
      <w:r>
        <w:t xml:space="preserve"> inserts new subregulation 17(3A) to </w:t>
      </w:r>
      <w:r w:rsidRPr="0076774A">
        <w:t xml:space="preserve">provide </w:t>
      </w:r>
      <w:r>
        <w:t xml:space="preserve">that </w:t>
      </w:r>
      <w:r w:rsidRPr="0076774A">
        <w:t xml:space="preserve">the rate of inspection </w:t>
      </w:r>
      <w:r>
        <w:t>of</w:t>
      </w:r>
      <w:r w:rsidRPr="0076774A">
        <w:t xml:space="preserve"> a particular food from a particular source </w:t>
      </w:r>
      <w:r>
        <w:t xml:space="preserve">may be lowered to the reduced rate from either the normal rate (25%) or the tightened rate (100%), when there are </w:t>
      </w:r>
      <w:r>
        <w:t xml:space="preserve">reasonable grounds for believing that the food from a particular source complies with the applicable standards, does not pose a risk to human health, and the rate of inspection had previously been raised under subregulations 17(4), 17(5) or 17(6). </w:t>
      </w:r>
    </w:p>
    <w:p w14:paraId="7B04B87B" w14:textId="77777777" w:rsidR="00736176" w:rsidRDefault="0051249A" w:rsidP="00DC38C7"/>
    <w:p w14:paraId="7B04B87C" w14:textId="77777777" w:rsidR="002A472A" w:rsidRDefault="0051249A" w:rsidP="00DC38C7">
      <w:r>
        <w:t xml:space="preserve">Under </w:t>
      </w:r>
      <w:r>
        <w:t xml:space="preserve">subregulations 17(4), 17(5) and 17(6), the rate of inspection of a food may be raised to the normal rate or tightened rate if the food is rejected on inspection, that is, it is found to be </w:t>
      </w:r>
    </w:p>
    <w:p w14:paraId="7B04B87D" w14:textId="77777777" w:rsidR="004749AE" w:rsidRDefault="0051249A" w:rsidP="00DC38C7">
      <w:r>
        <w:t xml:space="preserve">non-compliant. The new subregulation provides that </w:t>
      </w:r>
      <w:r>
        <w:t>the rate may only be lowered in these circumstances if five consecutive batches are found to comply.</w:t>
      </w:r>
    </w:p>
    <w:p w14:paraId="7B04B87E" w14:textId="77777777" w:rsidR="00DC38C7" w:rsidRDefault="0051249A" w:rsidP="00DC38C7">
      <w:pPr>
        <w:rPr>
          <w:i/>
        </w:rPr>
      </w:pPr>
    </w:p>
    <w:p w14:paraId="7B04B87F" w14:textId="77777777" w:rsidR="00223CBC" w:rsidRDefault="0051249A" w:rsidP="00DC38C7">
      <w:r w:rsidRPr="002F7F86">
        <w:t xml:space="preserve">The </w:t>
      </w:r>
      <w:r>
        <w:t>new subregulation</w:t>
      </w:r>
      <w:r w:rsidRPr="002F7F86">
        <w:t xml:space="preserve"> provide</w:t>
      </w:r>
      <w:r>
        <w:t>s</w:t>
      </w:r>
      <w:r w:rsidRPr="002F7F86">
        <w:t xml:space="preserve"> a</w:t>
      </w:r>
      <w:r>
        <w:t xml:space="preserve">n additional means of reducing rates of inspection and analysis of specified risk foods </w:t>
      </w:r>
      <w:r w:rsidRPr="002F7F86">
        <w:t>within the existing inspection fra</w:t>
      </w:r>
      <w:r w:rsidRPr="002F7F86">
        <w:t xml:space="preserve">mework of the Act, </w:t>
      </w:r>
      <w:r>
        <w:t xml:space="preserve">but only </w:t>
      </w:r>
      <w:r w:rsidRPr="002F7F86">
        <w:t>where there are reasonable grounds to believe the food is safe and compliant when imported from a particular source</w:t>
      </w:r>
      <w:r>
        <w:t>.</w:t>
      </w:r>
      <w:r w:rsidRPr="00223CBC">
        <w:t xml:space="preserve"> </w:t>
      </w:r>
      <w:r>
        <w:t>The effect of the new subregulation is consistent with the other means of reducing the rate of inspection curre</w:t>
      </w:r>
      <w:r>
        <w:t>ntly provided in the Principal Regulations, for example, for foods covered by foreign government certification, quality assurance arrangements or compliance agreements</w:t>
      </w:r>
      <w:r w:rsidRPr="002F7F86">
        <w:t xml:space="preserve">. </w:t>
      </w:r>
    </w:p>
    <w:p w14:paraId="7B04B880" w14:textId="77777777" w:rsidR="00704278" w:rsidRDefault="0051249A" w:rsidP="00DC38C7"/>
    <w:p w14:paraId="7B04B881" w14:textId="77777777" w:rsidR="00704278" w:rsidRDefault="0051249A" w:rsidP="00DC38C7">
      <w:r>
        <w:t>The new regulation allows the department to assess the likely compliance of food from</w:t>
      </w:r>
      <w:r>
        <w:t xml:space="preserve"> particular sources with equivalent food safety systems, and reduce inspection of those foods when they meet applicable standards and do not pose a risk </w:t>
      </w:r>
      <w:r w:rsidRPr="00C266DB">
        <w:t>to human health. This allows</w:t>
      </w:r>
      <w:r>
        <w:t xml:space="preserve"> the department to focus its resources on those foods that are more likely </w:t>
      </w:r>
      <w:r>
        <w:t>to be from non-compliant sources.</w:t>
      </w:r>
    </w:p>
    <w:p w14:paraId="7B04B882" w14:textId="77777777" w:rsidR="00223CBC" w:rsidRDefault="0051249A" w:rsidP="00DC38C7"/>
    <w:p w14:paraId="7B04B883" w14:textId="77777777" w:rsidR="005C3B05" w:rsidRDefault="0051249A">
      <w:r>
        <w:rPr>
          <w:b/>
        </w:rPr>
        <w:t>Item 5</w:t>
      </w:r>
      <w:r>
        <w:t xml:space="preserve"> inserts the word ‘when’ in subregulation 17(5) after the words ‘the normal rate’. </w:t>
      </w:r>
    </w:p>
    <w:p w14:paraId="7B04B884" w14:textId="77777777" w:rsidR="00401DE4" w:rsidRDefault="0051249A"/>
    <w:p w14:paraId="7B04B885" w14:textId="77777777" w:rsidR="0066718F" w:rsidRDefault="0051249A" w:rsidP="0066718F">
      <w:r>
        <w:t>The purpose of the amendment is to correct omission of the qualifying word ‘when’, and does not result in any substantive change t</w:t>
      </w:r>
      <w:r>
        <w:t>o the operation of the Principal Regulations.</w:t>
      </w:r>
    </w:p>
    <w:p w14:paraId="7B04B886" w14:textId="77777777" w:rsidR="005C3B05" w:rsidRDefault="0051249A"/>
    <w:p w14:paraId="7B04B887" w14:textId="77777777" w:rsidR="00401DE4" w:rsidRDefault="0051249A" w:rsidP="00401DE4">
      <w:r>
        <w:rPr>
          <w:b/>
        </w:rPr>
        <w:t>Item 6</w:t>
      </w:r>
      <w:r>
        <w:t xml:space="preserve"> substitutes the words ‘public health’ in subparagraph </w:t>
      </w:r>
      <w:r w:rsidRPr="00097047">
        <w:t>17(6)(b)(ii)</w:t>
      </w:r>
      <w:r>
        <w:t xml:space="preserve"> with the words ‘human health’.</w:t>
      </w:r>
    </w:p>
    <w:p w14:paraId="7B04B888" w14:textId="77777777" w:rsidR="002E5C1A" w:rsidRDefault="0051249A" w:rsidP="00401DE4"/>
    <w:p w14:paraId="7B04B889" w14:textId="77777777" w:rsidR="00976930" w:rsidRDefault="0051249A" w:rsidP="00976930">
      <w:r>
        <w:t xml:space="preserve">The purpose of the amendment is to provide consistency with the </w:t>
      </w:r>
      <w:r w:rsidRPr="00EB1931">
        <w:t xml:space="preserve">Act </w:t>
      </w:r>
      <w:r>
        <w:t>and other parts of regulation 17 wh</w:t>
      </w:r>
      <w:r>
        <w:t xml:space="preserve">ich more appropriately should </w:t>
      </w:r>
      <w:r w:rsidRPr="00EB1931">
        <w:t xml:space="preserve">refer to </w:t>
      </w:r>
      <w:r>
        <w:t>‘human health’. This amendment does not result in any substantive change to the operation of the Principal Regulations.</w:t>
      </w:r>
      <w:r w:rsidRPr="00902CD3">
        <w:t xml:space="preserve"> </w:t>
      </w:r>
    </w:p>
    <w:p w14:paraId="7B04B88A" w14:textId="77777777" w:rsidR="00401DE4" w:rsidRDefault="0051249A" w:rsidP="00401DE4"/>
    <w:p w14:paraId="7B04B88B" w14:textId="77777777" w:rsidR="008D6426" w:rsidRDefault="0051249A" w:rsidP="008D6426">
      <w:r w:rsidRPr="00097047">
        <w:rPr>
          <w:b/>
        </w:rPr>
        <w:t xml:space="preserve">Item 7 </w:t>
      </w:r>
      <w:r>
        <w:t xml:space="preserve">inserts new regulation </w:t>
      </w:r>
      <w:r w:rsidRPr="00863C51">
        <w:t>17A</w:t>
      </w:r>
      <w:r>
        <w:t xml:space="preserve"> </w:t>
      </w:r>
      <w:r w:rsidRPr="00DB7781">
        <w:rPr>
          <w:i/>
        </w:rPr>
        <w:t>Systems recognition arrangements</w:t>
      </w:r>
      <w:r>
        <w:t xml:space="preserve"> after regulation 17. The new</w:t>
      </w:r>
      <w:r>
        <w:t xml:space="preserve"> regulation describes a particular circumstance in which there are reasonable grounds for believing that a risk food complies with the applicable standards, does not pose a risk to human health, and meets the requirements of new paragraph 17(3A)(a). </w:t>
      </w:r>
    </w:p>
    <w:p w14:paraId="7B04B88C" w14:textId="77777777" w:rsidR="008D6426" w:rsidRPr="00ED4163" w:rsidRDefault="0051249A" w:rsidP="00C12DCB"/>
    <w:p w14:paraId="7B04B88D" w14:textId="77777777" w:rsidR="00ED4163" w:rsidRPr="00ED4163" w:rsidRDefault="0051249A" w:rsidP="00C12DCB">
      <w:r w:rsidRPr="00ED4163">
        <w:t xml:space="preserve">The </w:t>
      </w:r>
      <w:r w:rsidRPr="00ED4163">
        <w:t>circumstance is where:</w:t>
      </w:r>
    </w:p>
    <w:p w14:paraId="7B04B88E" w14:textId="77777777" w:rsidR="00ED4163" w:rsidRPr="00ED4163" w:rsidRDefault="0051249A" w:rsidP="00C12DCB"/>
    <w:p w14:paraId="7B04B88F" w14:textId="77777777" w:rsidR="00ED4163" w:rsidRPr="00ED4163" w:rsidRDefault="0051249A" w:rsidP="00E0277C">
      <w:pPr>
        <w:pStyle w:val="ListParagraph"/>
        <w:numPr>
          <w:ilvl w:val="0"/>
          <w:numId w:val="8"/>
        </w:numPr>
      </w:pPr>
      <w:r w:rsidRPr="00ED4163">
        <w:rPr>
          <w:rFonts w:ascii="Times New Roman" w:hAnsi="Times New Roman"/>
          <w:sz w:val="24"/>
        </w:rPr>
        <w:t>there is a written arrangement between the department and an instrumentality of a foreign government that (among other things) is based on a completed assessment of the food safety systems of Australia and the foreign country; and</w:t>
      </w:r>
    </w:p>
    <w:p w14:paraId="7B04B890" w14:textId="77777777" w:rsidR="00ED4163" w:rsidRPr="00ED4163" w:rsidRDefault="0051249A" w:rsidP="00E0277C">
      <w:pPr>
        <w:pStyle w:val="ListParagraph"/>
        <w:numPr>
          <w:ilvl w:val="0"/>
          <w:numId w:val="8"/>
        </w:numPr>
      </w:pPr>
      <w:r w:rsidRPr="00ED4163">
        <w:rPr>
          <w:rFonts w:ascii="Times New Roman" w:hAnsi="Times New Roman"/>
          <w:sz w:val="24"/>
        </w:rPr>
        <w:lastRenderedPageBreak/>
        <w:t>t</w:t>
      </w:r>
      <w:r w:rsidRPr="00ED4163">
        <w:rPr>
          <w:rFonts w:ascii="Times New Roman" w:hAnsi="Times New Roman"/>
          <w:sz w:val="24"/>
        </w:rPr>
        <w:t xml:space="preserve">he </w:t>
      </w:r>
      <w:r>
        <w:rPr>
          <w:rFonts w:ascii="Times New Roman" w:hAnsi="Times New Roman"/>
          <w:sz w:val="24"/>
        </w:rPr>
        <w:t xml:space="preserve">food safety system </w:t>
      </w:r>
      <w:r w:rsidRPr="00ED4163">
        <w:rPr>
          <w:rFonts w:ascii="Times New Roman" w:hAnsi="Times New Roman"/>
          <w:sz w:val="24"/>
        </w:rPr>
        <w:t>assessment</w:t>
      </w:r>
      <w:r>
        <w:rPr>
          <w:rFonts w:ascii="Times New Roman" w:hAnsi="Times New Roman"/>
          <w:sz w:val="24"/>
        </w:rPr>
        <w:t xml:space="preserve">s conducted by each country conclude </w:t>
      </w:r>
      <w:r w:rsidRPr="00ED4163">
        <w:rPr>
          <w:rFonts w:ascii="Times New Roman" w:hAnsi="Times New Roman"/>
          <w:sz w:val="24"/>
        </w:rPr>
        <w:t>that Australia and the foreign country have equivalent food safety systems; and</w:t>
      </w:r>
    </w:p>
    <w:p w14:paraId="7B04B891" w14:textId="77777777" w:rsidR="00C12DCB" w:rsidRPr="00F272DA" w:rsidRDefault="0051249A" w:rsidP="00E0277C">
      <w:pPr>
        <w:pStyle w:val="ListParagraph"/>
        <w:numPr>
          <w:ilvl w:val="0"/>
          <w:numId w:val="8"/>
        </w:numPr>
      </w:pPr>
      <w:r w:rsidRPr="00ED4163">
        <w:rPr>
          <w:rFonts w:ascii="Times New Roman" w:hAnsi="Times New Roman"/>
          <w:sz w:val="24"/>
        </w:rPr>
        <w:t xml:space="preserve">the department and the instrumentality of the foreign government conduct equivalent monitoring of the food </w:t>
      </w:r>
      <w:r w:rsidRPr="00ED4163">
        <w:rPr>
          <w:rFonts w:ascii="Times New Roman" w:hAnsi="Times New Roman"/>
          <w:sz w:val="24"/>
        </w:rPr>
        <w:t xml:space="preserve">they regulate. </w:t>
      </w:r>
    </w:p>
    <w:p w14:paraId="7B04B892" w14:textId="77777777" w:rsidR="00F272DA" w:rsidRPr="00ED4163" w:rsidRDefault="0051249A" w:rsidP="00F272DA">
      <w:pPr>
        <w:pStyle w:val="ListParagraph"/>
        <w:ind w:left="780"/>
      </w:pPr>
    </w:p>
    <w:p w14:paraId="7B04B893" w14:textId="77777777" w:rsidR="00704278" w:rsidRDefault="0051249A" w:rsidP="00C12DCB">
      <w:r w:rsidRPr="00C12DCB">
        <w:t xml:space="preserve">An example would be where the department </w:t>
      </w:r>
      <w:r>
        <w:t xml:space="preserve">has assessed </w:t>
      </w:r>
      <w:r w:rsidRPr="00C12DCB">
        <w:t>a foreign government’s food regulatory system in whole or in part</w:t>
      </w:r>
      <w:r>
        <w:t xml:space="preserve"> and found that the system is equivalent to the system in Australia. Based on this assessment, </w:t>
      </w:r>
      <w:r w:rsidRPr="00C12DCB">
        <w:t xml:space="preserve">the </w:t>
      </w:r>
      <w:r>
        <w:t>department and the fo</w:t>
      </w:r>
      <w:r>
        <w:t xml:space="preserve">reign government instrumentality would agree to a written </w:t>
      </w:r>
      <w:r w:rsidRPr="00C12DCB">
        <w:t xml:space="preserve">arrangement </w:t>
      </w:r>
      <w:r>
        <w:t>to formalise the equivalence of the food safety systems in the two countries, including foods that are within or excluded from the scope of the arrangement. The assessment and written ar</w:t>
      </w:r>
      <w:r>
        <w:t>rangement would then</w:t>
      </w:r>
      <w:r w:rsidRPr="00C12DCB">
        <w:t xml:space="preserve"> allow </w:t>
      </w:r>
      <w:r>
        <w:t xml:space="preserve">the department to </w:t>
      </w:r>
      <w:r w:rsidRPr="00C12DCB">
        <w:t>reduce</w:t>
      </w:r>
      <w:r>
        <w:t xml:space="preserve"> the</w:t>
      </w:r>
      <w:r w:rsidRPr="00C12DCB">
        <w:t xml:space="preserve"> rate of inspection for all consignments of </w:t>
      </w:r>
      <w:r>
        <w:t xml:space="preserve">the relevant </w:t>
      </w:r>
      <w:r w:rsidRPr="00C12DCB">
        <w:t>risk</w:t>
      </w:r>
      <w:r>
        <w:t xml:space="preserve"> foods from that country to a rate that is no lower than 5 per cent of consignments.</w:t>
      </w:r>
      <w:r w:rsidRPr="00C12DCB">
        <w:t xml:space="preserve"> </w:t>
      </w:r>
    </w:p>
    <w:p w14:paraId="7B04B894" w14:textId="77777777" w:rsidR="00704278" w:rsidRDefault="0051249A" w:rsidP="00C12DCB"/>
    <w:p w14:paraId="7B04B895" w14:textId="77777777" w:rsidR="00655DAE" w:rsidRPr="00C12DCB" w:rsidRDefault="0051249A" w:rsidP="00C12DCB">
      <w:r w:rsidRPr="00C12DCB">
        <w:t xml:space="preserve">The </w:t>
      </w:r>
      <w:r>
        <w:t xml:space="preserve">reduced rate of inspection </w:t>
      </w:r>
      <w:r w:rsidRPr="00C12DCB">
        <w:t xml:space="preserve">would facilitate entry of </w:t>
      </w:r>
      <w:r>
        <w:t>those risk foods which are within the scope of the written arrangement with</w:t>
      </w:r>
      <w:r w:rsidRPr="00C12DCB">
        <w:t xml:space="preserve"> </w:t>
      </w:r>
      <w:r>
        <w:t>that</w:t>
      </w:r>
      <w:r w:rsidRPr="00C12DCB">
        <w:t xml:space="preserve"> country</w:t>
      </w:r>
      <w:r>
        <w:t>,</w:t>
      </w:r>
      <w:r w:rsidRPr="00C12DCB">
        <w:t xml:space="preserve"> </w:t>
      </w:r>
      <w:r>
        <w:t>and could be reciprocated by the foreign government instrumentality for foods exported from Australia to that country</w:t>
      </w:r>
      <w:r w:rsidRPr="00C12DCB">
        <w:t>.</w:t>
      </w:r>
      <w:r>
        <w:t xml:space="preserve"> </w:t>
      </w:r>
    </w:p>
    <w:p w14:paraId="7B04B896" w14:textId="77777777" w:rsidR="005C3B05" w:rsidRPr="0037564D" w:rsidRDefault="0051249A" w:rsidP="0037564D">
      <w:pPr>
        <w:pStyle w:val="Normal-em"/>
        <w:pageBreakBefore/>
        <w:jc w:val="right"/>
        <w:rPr>
          <w:b/>
          <w:caps/>
          <w:u w:val="single"/>
        </w:rPr>
      </w:pPr>
      <w:r>
        <w:rPr>
          <w:b/>
          <w:caps/>
          <w:u w:val="single"/>
        </w:rPr>
        <w:lastRenderedPageBreak/>
        <w:t>Attachment</w:t>
      </w:r>
    </w:p>
    <w:p w14:paraId="7B04B897" w14:textId="77777777" w:rsidR="005C3B05" w:rsidRDefault="0051249A">
      <w:pPr>
        <w:spacing w:before="360" w:after="120"/>
        <w:jc w:val="center"/>
        <w:rPr>
          <w:b/>
        </w:rPr>
      </w:pPr>
      <w:r>
        <w:rPr>
          <w:b/>
        </w:rPr>
        <w:t>Statement</w:t>
      </w:r>
      <w:r>
        <w:rPr>
          <w:b/>
        </w:rPr>
        <w:t xml:space="preserve"> of Compatibility with Human Rights</w:t>
      </w:r>
    </w:p>
    <w:p w14:paraId="7B04B898" w14:textId="77777777" w:rsidR="005C3B05" w:rsidRDefault="0051249A">
      <w:pPr>
        <w:contextualSpacing/>
        <w:jc w:val="center"/>
        <w:rPr>
          <w:i/>
        </w:rPr>
      </w:pPr>
      <w:r>
        <w:t>Prepared in accordance with Part 3 of the</w:t>
      </w:r>
      <w:r>
        <w:rPr>
          <w:i/>
        </w:rPr>
        <w:t xml:space="preserve"> Human Rights (Parliamentary Scrutiny) Act 2011</w:t>
      </w:r>
    </w:p>
    <w:p w14:paraId="7B04B899" w14:textId="77777777" w:rsidR="005C3B05" w:rsidRDefault="0051249A">
      <w:pPr>
        <w:contextualSpacing/>
        <w:jc w:val="center"/>
        <w:rPr>
          <w:i/>
        </w:rPr>
      </w:pPr>
    </w:p>
    <w:p w14:paraId="7B04B89A" w14:textId="77777777" w:rsidR="0037564D" w:rsidRPr="0037564D" w:rsidRDefault="0051249A" w:rsidP="0037564D">
      <w:pPr>
        <w:jc w:val="center"/>
        <w:rPr>
          <w:b/>
          <w:lang w:val="en-GB"/>
        </w:rPr>
      </w:pPr>
      <w:r w:rsidRPr="0037564D">
        <w:rPr>
          <w:b/>
          <w:i/>
          <w:lang w:eastAsia="en-AU"/>
        </w:rPr>
        <w:t>Imported Food Control Amendment (Food Inspection) Regulations</w:t>
      </w:r>
      <w:r w:rsidRPr="0037564D">
        <w:rPr>
          <w:b/>
          <w:i/>
        </w:rPr>
        <w:t> </w:t>
      </w:r>
      <w:r w:rsidRPr="0037564D">
        <w:rPr>
          <w:b/>
          <w:i/>
          <w:lang w:eastAsia="en-AU"/>
        </w:rPr>
        <w:t>2017</w:t>
      </w:r>
    </w:p>
    <w:sdt>
      <w:sdtPr>
        <w:id w:val="962787082"/>
        <w:lock w:val="contentLocked"/>
        <w:placeholder>
          <w:docPart w:val="82579AA69623483C82569C16BF01C384"/>
        </w:placeholder>
        <w:group/>
      </w:sdtPr>
      <w:sdtEndPr>
        <w:rPr>
          <w:b/>
        </w:rPr>
      </w:sdtEndPr>
      <w:sdtContent>
        <w:p w14:paraId="7B04B89B" w14:textId="77777777" w:rsidR="005C3B05" w:rsidRDefault="0051249A">
          <w:pPr>
            <w:jc w:val="center"/>
          </w:pPr>
        </w:p>
        <w:p w14:paraId="7B04B89C" w14:textId="77777777" w:rsidR="005C3B05" w:rsidRDefault="0051249A">
          <w:pPr>
            <w:spacing w:before="120" w:after="120"/>
            <w:jc w:val="center"/>
          </w:pPr>
          <w:r>
            <w:t xml:space="preserve">This Legislative Instrument is compatible with the human rights and freedoms recognised or declared in the international instruments listed in section 3 of the </w:t>
          </w:r>
          <w:r>
            <w:rPr>
              <w:i/>
            </w:rPr>
            <w:t>Human Rights (Parliamentary Scrutiny) Act 2011</w:t>
          </w:r>
          <w:r>
            <w:t>.</w:t>
          </w:r>
        </w:p>
        <w:p w14:paraId="7B04B89D" w14:textId="77777777" w:rsidR="005C3B05" w:rsidRDefault="0051249A"/>
        <w:p w14:paraId="7B04B89E" w14:textId="77777777" w:rsidR="005C3B05" w:rsidRDefault="0051249A">
          <w:pPr>
            <w:spacing w:after="120"/>
            <w:jc w:val="both"/>
            <w:rPr>
              <w:b/>
            </w:rPr>
          </w:pPr>
          <w:r>
            <w:rPr>
              <w:b/>
            </w:rPr>
            <w:t>Overview of the Legislative Instrument</w:t>
          </w:r>
        </w:p>
      </w:sdtContent>
    </w:sdt>
    <w:p w14:paraId="7B04B89F" w14:textId="77777777" w:rsidR="0037564D" w:rsidRPr="00E82A42" w:rsidRDefault="0051249A" w:rsidP="0037564D">
      <w:pPr>
        <w:rPr>
          <w:b/>
        </w:rPr>
      </w:pPr>
      <w:r>
        <w:rPr>
          <w:rFonts w:eastAsia="Calibri"/>
        </w:rPr>
        <w:t>This L</w:t>
      </w:r>
      <w:r>
        <w:rPr>
          <w:rFonts w:eastAsia="Calibri"/>
        </w:rPr>
        <w:t>egislative Instrument amends the</w:t>
      </w:r>
      <w:r>
        <w:rPr>
          <w:i/>
          <w:lang w:val="en-GB"/>
        </w:rPr>
        <w:t xml:space="preserve"> </w:t>
      </w:r>
      <w:r>
        <w:rPr>
          <w:i/>
        </w:rPr>
        <w:t>Imported Food Control Regulations 1993</w:t>
      </w:r>
      <w:r>
        <w:t xml:space="preserve"> </w:t>
      </w:r>
      <w:r>
        <w:rPr>
          <w:lang w:val="en-GB"/>
        </w:rPr>
        <w:t xml:space="preserve">to </w:t>
      </w:r>
      <w:r w:rsidRPr="00E82A42">
        <w:t xml:space="preserve">allow for a reduced rate of inspection of </w:t>
      </w:r>
      <w:r>
        <w:t xml:space="preserve">certain </w:t>
      </w:r>
      <w:r w:rsidRPr="00E82A42">
        <w:t>risk foods</w:t>
      </w:r>
      <w:r>
        <w:t xml:space="preserve"> when there are reasonable grounds for believing that kind of food from identified sources complies with applicable stand</w:t>
      </w:r>
      <w:r>
        <w:t xml:space="preserve">ards and does not pose a risk to human health, and may be covered by a written arrangement with </w:t>
      </w:r>
      <w:r w:rsidRPr="00E82A42">
        <w:t xml:space="preserve">countries which have </w:t>
      </w:r>
      <w:r>
        <w:t xml:space="preserve">been assessed as having </w:t>
      </w:r>
      <w:r w:rsidRPr="00E82A42">
        <w:t>comparable food safety systems.</w:t>
      </w:r>
    </w:p>
    <w:sdt>
      <w:sdtPr>
        <w:id w:val="962787081"/>
        <w:lock w:val="contentLocked"/>
        <w:placeholder>
          <w:docPart w:val="82579AA69623483C82569C16BF01C384"/>
        </w:placeholder>
        <w:group/>
      </w:sdtPr>
      <w:sdtEndPr/>
      <w:sdtContent>
        <w:p w14:paraId="7B04B8A0" w14:textId="77777777" w:rsidR="005C3B05" w:rsidRDefault="0051249A"/>
        <w:p w14:paraId="7B04B8A1" w14:textId="77777777" w:rsidR="005C3B05" w:rsidRDefault="0051249A">
          <w:pPr>
            <w:spacing w:after="120"/>
            <w:jc w:val="both"/>
            <w:rPr>
              <w:b/>
            </w:rPr>
          </w:pPr>
          <w:r>
            <w:rPr>
              <w:b/>
            </w:rPr>
            <w:t>Human rights implications</w:t>
          </w:r>
        </w:p>
        <w:p w14:paraId="7B04B8A2" w14:textId="77777777" w:rsidR="005C3B05" w:rsidRDefault="0051249A">
          <w:r>
            <w:t>This Legislative Instrument does not engage any of the a</w:t>
          </w:r>
          <w:r>
            <w:t>pplicable rights or freedoms.</w:t>
          </w:r>
        </w:p>
        <w:p w14:paraId="7B04B8A3" w14:textId="77777777" w:rsidR="005C3B05" w:rsidRDefault="0051249A"/>
        <w:p w14:paraId="7B04B8A4" w14:textId="77777777" w:rsidR="005C3B05" w:rsidRDefault="0051249A">
          <w:pPr>
            <w:spacing w:after="120"/>
            <w:jc w:val="both"/>
            <w:rPr>
              <w:b/>
            </w:rPr>
          </w:pPr>
          <w:r>
            <w:rPr>
              <w:b/>
            </w:rPr>
            <w:t>Conclusion</w:t>
          </w:r>
        </w:p>
        <w:p w14:paraId="7B04B8A5" w14:textId="77777777" w:rsidR="005C3B05" w:rsidRDefault="0051249A">
          <w:r>
            <w:t>This Legislative Instrument is compatible with human rights as it does not raise any human rights issues.</w:t>
          </w:r>
        </w:p>
        <w:p w14:paraId="7B04B8A6" w14:textId="77777777" w:rsidR="005C3B05" w:rsidRDefault="0051249A"/>
        <w:p w14:paraId="7B04B8A7" w14:textId="77777777" w:rsidR="005C3B05" w:rsidRDefault="0051249A"/>
      </w:sdtContent>
    </w:sdt>
    <w:p w14:paraId="7B04B8A8" w14:textId="77777777" w:rsidR="005C3B05" w:rsidRDefault="0051249A">
      <w:pPr>
        <w:jc w:val="center"/>
        <w:rPr>
          <w:b/>
          <w:bCs/>
        </w:rPr>
      </w:pPr>
      <w:r>
        <w:rPr>
          <w:b/>
          <w:bCs/>
        </w:rPr>
        <w:t>The Hon. Barnaby Joyce MP</w:t>
      </w:r>
    </w:p>
    <w:p w14:paraId="7B04B8A9" w14:textId="77777777" w:rsidR="005C3B05" w:rsidRDefault="0051249A">
      <w:pPr>
        <w:jc w:val="center"/>
        <w:rPr>
          <w:b/>
          <w:bCs/>
        </w:rPr>
      </w:pPr>
      <w:r>
        <w:rPr>
          <w:b/>
          <w:bCs/>
        </w:rPr>
        <w:t>Deputy Prime Minister and Minister for Agriculture and Water Resources</w:t>
      </w:r>
    </w:p>
    <w:p w14:paraId="7B04B8AA" w14:textId="77777777" w:rsidR="005C3B05" w:rsidRDefault="0051249A"/>
    <w:p w14:paraId="7B04B8AB" w14:textId="77777777" w:rsidR="005C3B05" w:rsidRDefault="0051249A"/>
    <w:p w14:paraId="7B04B8AC" w14:textId="77777777" w:rsidR="005C3B05" w:rsidRDefault="0051249A"/>
    <w:p w14:paraId="7B04B8AD" w14:textId="77777777" w:rsidR="005C3B05" w:rsidRDefault="0051249A"/>
    <w:p w14:paraId="7B04B8AE" w14:textId="77777777" w:rsidR="005C3B05" w:rsidRDefault="0051249A"/>
    <w:p w14:paraId="7B04B8AF" w14:textId="77777777" w:rsidR="005C3B05" w:rsidRDefault="0051249A"/>
    <w:sectPr w:rsidR="005C3B05" w:rsidSect="005C3B05">
      <w:footerReference w:type="default" r:id="rId10"/>
      <w:headerReference w:type="first" r:id="rId11"/>
      <w:pgSz w:w="11906" w:h="16838"/>
      <w:pgMar w:top="1440" w:right="1247" w:bottom="1440" w:left="1191" w:header="709" w:footer="709" w:gutter="17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4B8B8" w14:textId="77777777" w:rsidR="00000000" w:rsidRDefault="0051249A">
      <w:r>
        <w:separator/>
      </w:r>
    </w:p>
  </w:endnote>
  <w:endnote w:type="continuationSeparator" w:id="0">
    <w:p w14:paraId="7B04B8BA" w14:textId="77777777" w:rsidR="00000000" w:rsidRDefault="0051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280706"/>
      <w:docPartObj>
        <w:docPartGallery w:val="Page Numbers (Bottom of Page)"/>
        <w:docPartUnique/>
      </w:docPartObj>
    </w:sdtPr>
    <w:sdtEndPr>
      <w:rPr>
        <w:sz w:val="18"/>
        <w:szCs w:val="18"/>
      </w:rPr>
    </w:sdtEndPr>
    <w:sdtContent>
      <w:p w14:paraId="7B04B8B0" w14:textId="77777777" w:rsidR="00325F71" w:rsidRDefault="0051249A">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p>
    </w:sdtContent>
  </w:sdt>
  <w:p w14:paraId="7B04B8B1" w14:textId="77777777" w:rsidR="00325F71" w:rsidRDefault="0051249A">
    <w:pPr>
      <w:pStyle w:val="Footer"/>
      <w:tabs>
        <w:tab w:val="left" w:pos="4388"/>
        <w:tab w:val="center" w:pos="4649"/>
      </w:tabs>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4B8B4" w14:textId="77777777" w:rsidR="00000000" w:rsidRDefault="0051249A">
      <w:r>
        <w:separator/>
      </w:r>
    </w:p>
  </w:footnote>
  <w:footnote w:type="continuationSeparator" w:id="0">
    <w:p w14:paraId="7B04B8B6" w14:textId="77777777" w:rsidR="00000000" w:rsidRDefault="00512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4B8B2" w14:textId="77777777" w:rsidR="00325F71" w:rsidRDefault="0051249A">
    <w:pPr>
      <w:pStyle w:val="Header"/>
      <w:jc w:val="center"/>
    </w:pPr>
  </w:p>
  <w:p w14:paraId="7B04B8B3" w14:textId="77777777" w:rsidR="00325F71" w:rsidRDefault="005124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3F16B8"/>
    <w:multiLevelType w:val="hybridMultilevel"/>
    <w:tmpl w:val="6A14018C"/>
    <w:lvl w:ilvl="0" w:tplc="C2B8A9B0">
      <w:start w:val="1"/>
      <w:numFmt w:val="bullet"/>
      <w:lvlText w:val=""/>
      <w:lvlJc w:val="left"/>
      <w:pPr>
        <w:ind w:left="766" w:hanging="360"/>
      </w:pPr>
      <w:rPr>
        <w:rFonts w:ascii="Symbol" w:hAnsi="Symbol" w:hint="default"/>
      </w:rPr>
    </w:lvl>
    <w:lvl w:ilvl="1" w:tplc="56B60F78" w:tentative="1">
      <w:start w:val="1"/>
      <w:numFmt w:val="bullet"/>
      <w:lvlText w:val="o"/>
      <w:lvlJc w:val="left"/>
      <w:pPr>
        <w:ind w:left="1486" w:hanging="360"/>
      </w:pPr>
      <w:rPr>
        <w:rFonts w:ascii="Courier New" w:hAnsi="Courier New" w:cs="Courier New" w:hint="default"/>
      </w:rPr>
    </w:lvl>
    <w:lvl w:ilvl="2" w:tplc="AD98346E" w:tentative="1">
      <w:start w:val="1"/>
      <w:numFmt w:val="bullet"/>
      <w:lvlText w:val=""/>
      <w:lvlJc w:val="left"/>
      <w:pPr>
        <w:ind w:left="2206" w:hanging="360"/>
      </w:pPr>
      <w:rPr>
        <w:rFonts w:ascii="Wingdings" w:hAnsi="Wingdings" w:hint="default"/>
      </w:rPr>
    </w:lvl>
    <w:lvl w:ilvl="3" w:tplc="C31A3672" w:tentative="1">
      <w:start w:val="1"/>
      <w:numFmt w:val="bullet"/>
      <w:lvlText w:val=""/>
      <w:lvlJc w:val="left"/>
      <w:pPr>
        <w:ind w:left="2926" w:hanging="360"/>
      </w:pPr>
      <w:rPr>
        <w:rFonts w:ascii="Symbol" w:hAnsi="Symbol" w:hint="default"/>
      </w:rPr>
    </w:lvl>
    <w:lvl w:ilvl="4" w:tplc="0DC22B90" w:tentative="1">
      <w:start w:val="1"/>
      <w:numFmt w:val="bullet"/>
      <w:lvlText w:val="o"/>
      <w:lvlJc w:val="left"/>
      <w:pPr>
        <w:ind w:left="3646" w:hanging="360"/>
      </w:pPr>
      <w:rPr>
        <w:rFonts w:ascii="Courier New" w:hAnsi="Courier New" w:cs="Courier New" w:hint="default"/>
      </w:rPr>
    </w:lvl>
    <w:lvl w:ilvl="5" w:tplc="7E98FDD0" w:tentative="1">
      <w:start w:val="1"/>
      <w:numFmt w:val="bullet"/>
      <w:lvlText w:val=""/>
      <w:lvlJc w:val="left"/>
      <w:pPr>
        <w:ind w:left="4366" w:hanging="360"/>
      </w:pPr>
      <w:rPr>
        <w:rFonts w:ascii="Wingdings" w:hAnsi="Wingdings" w:hint="default"/>
      </w:rPr>
    </w:lvl>
    <w:lvl w:ilvl="6" w:tplc="B40A93BE" w:tentative="1">
      <w:start w:val="1"/>
      <w:numFmt w:val="bullet"/>
      <w:lvlText w:val=""/>
      <w:lvlJc w:val="left"/>
      <w:pPr>
        <w:ind w:left="5086" w:hanging="360"/>
      </w:pPr>
      <w:rPr>
        <w:rFonts w:ascii="Symbol" w:hAnsi="Symbol" w:hint="default"/>
      </w:rPr>
    </w:lvl>
    <w:lvl w:ilvl="7" w:tplc="47808688" w:tentative="1">
      <w:start w:val="1"/>
      <w:numFmt w:val="bullet"/>
      <w:lvlText w:val="o"/>
      <w:lvlJc w:val="left"/>
      <w:pPr>
        <w:ind w:left="5806" w:hanging="360"/>
      </w:pPr>
      <w:rPr>
        <w:rFonts w:ascii="Courier New" w:hAnsi="Courier New" w:cs="Courier New" w:hint="default"/>
      </w:rPr>
    </w:lvl>
    <w:lvl w:ilvl="8" w:tplc="B7F49912" w:tentative="1">
      <w:start w:val="1"/>
      <w:numFmt w:val="bullet"/>
      <w:lvlText w:val=""/>
      <w:lvlJc w:val="left"/>
      <w:pPr>
        <w:ind w:left="6526" w:hanging="360"/>
      </w:pPr>
      <w:rPr>
        <w:rFonts w:ascii="Wingdings" w:hAnsi="Wingdings" w:hint="default"/>
      </w:r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D090CA5"/>
    <w:multiLevelType w:val="hybridMultilevel"/>
    <w:tmpl w:val="4BC8BB44"/>
    <w:lvl w:ilvl="0" w:tplc="4E884D0A">
      <w:start w:val="1"/>
      <w:numFmt w:val="bullet"/>
      <w:lvlText w:val=""/>
      <w:lvlJc w:val="left"/>
      <w:pPr>
        <w:ind w:left="770" w:hanging="360"/>
      </w:pPr>
      <w:rPr>
        <w:rFonts w:ascii="Symbol" w:hAnsi="Symbol" w:hint="default"/>
      </w:rPr>
    </w:lvl>
    <w:lvl w:ilvl="1" w:tplc="F050C644" w:tentative="1">
      <w:start w:val="1"/>
      <w:numFmt w:val="bullet"/>
      <w:lvlText w:val="o"/>
      <w:lvlJc w:val="left"/>
      <w:pPr>
        <w:ind w:left="1490" w:hanging="360"/>
      </w:pPr>
      <w:rPr>
        <w:rFonts w:ascii="Courier New" w:hAnsi="Courier New" w:cs="Courier New" w:hint="default"/>
      </w:rPr>
    </w:lvl>
    <w:lvl w:ilvl="2" w:tplc="AB66DAB2" w:tentative="1">
      <w:start w:val="1"/>
      <w:numFmt w:val="bullet"/>
      <w:lvlText w:val=""/>
      <w:lvlJc w:val="left"/>
      <w:pPr>
        <w:ind w:left="2210" w:hanging="360"/>
      </w:pPr>
      <w:rPr>
        <w:rFonts w:ascii="Wingdings" w:hAnsi="Wingdings" w:hint="default"/>
      </w:rPr>
    </w:lvl>
    <w:lvl w:ilvl="3" w:tplc="A04CFBC8" w:tentative="1">
      <w:start w:val="1"/>
      <w:numFmt w:val="bullet"/>
      <w:lvlText w:val=""/>
      <w:lvlJc w:val="left"/>
      <w:pPr>
        <w:ind w:left="2930" w:hanging="360"/>
      </w:pPr>
      <w:rPr>
        <w:rFonts w:ascii="Symbol" w:hAnsi="Symbol" w:hint="default"/>
      </w:rPr>
    </w:lvl>
    <w:lvl w:ilvl="4" w:tplc="B22EFC24" w:tentative="1">
      <w:start w:val="1"/>
      <w:numFmt w:val="bullet"/>
      <w:lvlText w:val="o"/>
      <w:lvlJc w:val="left"/>
      <w:pPr>
        <w:ind w:left="3650" w:hanging="360"/>
      </w:pPr>
      <w:rPr>
        <w:rFonts w:ascii="Courier New" w:hAnsi="Courier New" w:cs="Courier New" w:hint="default"/>
      </w:rPr>
    </w:lvl>
    <w:lvl w:ilvl="5" w:tplc="A4D27ED0" w:tentative="1">
      <w:start w:val="1"/>
      <w:numFmt w:val="bullet"/>
      <w:lvlText w:val=""/>
      <w:lvlJc w:val="left"/>
      <w:pPr>
        <w:ind w:left="4370" w:hanging="360"/>
      </w:pPr>
      <w:rPr>
        <w:rFonts w:ascii="Wingdings" w:hAnsi="Wingdings" w:hint="default"/>
      </w:rPr>
    </w:lvl>
    <w:lvl w:ilvl="6" w:tplc="6E6E0210" w:tentative="1">
      <w:start w:val="1"/>
      <w:numFmt w:val="bullet"/>
      <w:lvlText w:val=""/>
      <w:lvlJc w:val="left"/>
      <w:pPr>
        <w:ind w:left="5090" w:hanging="360"/>
      </w:pPr>
      <w:rPr>
        <w:rFonts w:ascii="Symbol" w:hAnsi="Symbol" w:hint="default"/>
      </w:rPr>
    </w:lvl>
    <w:lvl w:ilvl="7" w:tplc="613EEEDE" w:tentative="1">
      <w:start w:val="1"/>
      <w:numFmt w:val="bullet"/>
      <w:lvlText w:val="o"/>
      <w:lvlJc w:val="left"/>
      <w:pPr>
        <w:ind w:left="5810" w:hanging="360"/>
      </w:pPr>
      <w:rPr>
        <w:rFonts w:ascii="Courier New" w:hAnsi="Courier New" w:cs="Courier New" w:hint="default"/>
      </w:rPr>
    </w:lvl>
    <w:lvl w:ilvl="8" w:tplc="4BCC6048" w:tentative="1">
      <w:start w:val="1"/>
      <w:numFmt w:val="bullet"/>
      <w:lvlText w:val=""/>
      <w:lvlJc w:val="left"/>
      <w:pPr>
        <w:ind w:left="6530" w:hanging="360"/>
      </w:pPr>
      <w:rPr>
        <w:rFonts w:ascii="Wingdings" w:hAnsi="Wingdings" w:hint="default"/>
      </w:rPr>
    </w:lvl>
  </w:abstractNum>
  <w:abstractNum w:abstractNumId="4"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5456429"/>
    <w:multiLevelType w:val="multilevel"/>
    <w:tmpl w:val="CB58864E"/>
    <w:lvl w:ilvl="0">
      <w:start w:val="1"/>
      <w:numFmt w:val="decimal"/>
      <w:pStyle w:val="ListNumber2"/>
      <w:lvlText w:val="%1."/>
      <w:lvlJc w:val="left"/>
      <w:pPr>
        <w:ind w:left="369" w:hanging="369"/>
      </w:pPr>
      <w:rPr>
        <w:rFonts w:ascii="Calibri" w:hAnsi="Calibri" w:cs="Calibri" w:hint="default"/>
        <w:sz w:val="24"/>
        <w:szCs w:val="24"/>
      </w:rPr>
    </w:lvl>
    <w:lvl w:ilvl="1">
      <w:start w:val="1"/>
      <w:numFmt w:val="lowerLetter"/>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6" w15:restartNumberingAfterBreak="0">
    <w:nsid w:val="669B2297"/>
    <w:multiLevelType w:val="hybridMultilevel"/>
    <w:tmpl w:val="89A62D2A"/>
    <w:lvl w:ilvl="0" w:tplc="FEBCF5A4">
      <w:start w:val="1"/>
      <w:numFmt w:val="bullet"/>
      <w:lvlText w:val=""/>
      <w:lvlJc w:val="left"/>
      <w:pPr>
        <w:ind w:left="780" w:hanging="360"/>
      </w:pPr>
      <w:rPr>
        <w:rFonts w:ascii="Symbol" w:hAnsi="Symbol" w:hint="default"/>
      </w:rPr>
    </w:lvl>
    <w:lvl w:ilvl="1" w:tplc="288CDC4A" w:tentative="1">
      <w:start w:val="1"/>
      <w:numFmt w:val="bullet"/>
      <w:lvlText w:val="o"/>
      <w:lvlJc w:val="left"/>
      <w:pPr>
        <w:ind w:left="1500" w:hanging="360"/>
      </w:pPr>
      <w:rPr>
        <w:rFonts w:ascii="Courier New" w:hAnsi="Courier New" w:cs="Courier New" w:hint="default"/>
      </w:rPr>
    </w:lvl>
    <w:lvl w:ilvl="2" w:tplc="84846246" w:tentative="1">
      <w:start w:val="1"/>
      <w:numFmt w:val="bullet"/>
      <w:lvlText w:val=""/>
      <w:lvlJc w:val="left"/>
      <w:pPr>
        <w:ind w:left="2220" w:hanging="360"/>
      </w:pPr>
      <w:rPr>
        <w:rFonts w:ascii="Wingdings" w:hAnsi="Wingdings" w:hint="default"/>
      </w:rPr>
    </w:lvl>
    <w:lvl w:ilvl="3" w:tplc="B096FBB6" w:tentative="1">
      <w:start w:val="1"/>
      <w:numFmt w:val="bullet"/>
      <w:lvlText w:val=""/>
      <w:lvlJc w:val="left"/>
      <w:pPr>
        <w:ind w:left="2940" w:hanging="360"/>
      </w:pPr>
      <w:rPr>
        <w:rFonts w:ascii="Symbol" w:hAnsi="Symbol" w:hint="default"/>
      </w:rPr>
    </w:lvl>
    <w:lvl w:ilvl="4" w:tplc="0E72A284" w:tentative="1">
      <w:start w:val="1"/>
      <w:numFmt w:val="bullet"/>
      <w:lvlText w:val="o"/>
      <w:lvlJc w:val="left"/>
      <w:pPr>
        <w:ind w:left="3660" w:hanging="360"/>
      </w:pPr>
      <w:rPr>
        <w:rFonts w:ascii="Courier New" w:hAnsi="Courier New" w:cs="Courier New" w:hint="default"/>
      </w:rPr>
    </w:lvl>
    <w:lvl w:ilvl="5" w:tplc="0A9EBAC4" w:tentative="1">
      <w:start w:val="1"/>
      <w:numFmt w:val="bullet"/>
      <w:lvlText w:val=""/>
      <w:lvlJc w:val="left"/>
      <w:pPr>
        <w:ind w:left="4380" w:hanging="360"/>
      </w:pPr>
      <w:rPr>
        <w:rFonts w:ascii="Wingdings" w:hAnsi="Wingdings" w:hint="default"/>
      </w:rPr>
    </w:lvl>
    <w:lvl w:ilvl="6" w:tplc="6C30C824" w:tentative="1">
      <w:start w:val="1"/>
      <w:numFmt w:val="bullet"/>
      <w:lvlText w:val=""/>
      <w:lvlJc w:val="left"/>
      <w:pPr>
        <w:ind w:left="5100" w:hanging="360"/>
      </w:pPr>
      <w:rPr>
        <w:rFonts w:ascii="Symbol" w:hAnsi="Symbol" w:hint="default"/>
      </w:rPr>
    </w:lvl>
    <w:lvl w:ilvl="7" w:tplc="BB22BA36" w:tentative="1">
      <w:start w:val="1"/>
      <w:numFmt w:val="bullet"/>
      <w:lvlText w:val="o"/>
      <w:lvlJc w:val="left"/>
      <w:pPr>
        <w:ind w:left="5820" w:hanging="360"/>
      </w:pPr>
      <w:rPr>
        <w:rFonts w:ascii="Courier New" w:hAnsi="Courier New" w:cs="Courier New" w:hint="default"/>
      </w:rPr>
    </w:lvl>
    <w:lvl w:ilvl="8" w:tplc="52BC47BA"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9A"/>
    <w:rsid w:val="00512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4B824"/>
  <w15:docId w15:val="{A1A93FB9-E573-4FAA-882B-8DFA210B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3B0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C3B05"/>
    <w:pPr>
      <w:spacing w:before="100" w:beforeAutospacing="1" w:after="100" w:afterAutospacing="1"/>
    </w:pPr>
    <w:rPr>
      <w:rFonts w:ascii="Arial" w:eastAsia="Arial Unicode MS" w:hAnsi="Arial" w:cs="Arial"/>
      <w:sz w:val="20"/>
      <w:szCs w:val="20"/>
    </w:rPr>
  </w:style>
  <w:style w:type="paragraph" w:customStyle="1" w:styleId="paragraph">
    <w:name w:val="paragraph"/>
    <w:aliases w:val="a"/>
    <w:basedOn w:val="Normal"/>
    <w:rsid w:val="005C3B05"/>
    <w:pPr>
      <w:tabs>
        <w:tab w:val="right" w:pos="1531"/>
      </w:tabs>
      <w:spacing w:before="40"/>
      <w:ind w:left="1644" w:hanging="1644"/>
    </w:pPr>
    <w:rPr>
      <w:sz w:val="22"/>
      <w:szCs w:val="20"/>
      <w:lang w:eastAsia="en-AU"/>
    </w:rPr>
  </w:style>
  <w:style w:type="paragraph" w:customStyle="1" w:styleId="BodyText1">
    <w:name w:val="Body Text1"/>
    <w:basedOn w:val="Normal"/>
    <w:qFormat/>
    <w:rsid w:val="005C3B05"/>
    <w:pPr>
      <w:spacing w:after="200" w:line="260" w:lineRule="exact"/>
    </w:pPr>
    <w:rPr>
      <w:rFonts w:ascii="Arial" w:hAnsi="Arial"/>
      <w:sz w:val="22"/>
    </w:rPr>
  </w:style>
  <w:style w:type="paragraph" w:styleId="ListNumber">
    <w:name w:val="List Number"/>
    <w:basedOn w:val="Normal"/>
    <w:autoRedefine/>
    <w:uiPriority w:val="99"/>
    <w:qFormat/>
    <w:rsid w:val="00AA2E5D"/>
    <w:pPr>
      <w:spacing w:after="200"/>
    </w:pPr>
    <w:rPr>
      <w:rFonts w:eastAsia="Calibri"/>
      <w:lang w:val="en-GB"/>
    </w:rPr>
  </w:style>
  <w:style w:type="paragraph" w:styleId="ListParagraph">
    <w:name w:val="List Paragraph"/>
    <w:basedOn w:val="Normal"/>
    <w:uiPriority w:val="34"/>
    <w:qFormat/>
    <w:rsid w:val="005C3B05"/>
    <w:pPr>
      <w:ind w:left="720"/>
      <w:contextualSpacing/>
    </w:pPr>
    <w:rPr>
      <w:rFonts w:ascii="Calibri" w:hAnsi="Calibri"/>
      <w:sz w:val="22"/>
    </w:rPr>
  </w:style>
  <w:style w:type="paragraph" w:customStyle="1" w:styleId="Normal-em">
    <w:name w:val="Normal-em"/>
    <w:basedOn w:val="Normal"/>
    <w:rsid w:val="005C3B05"/>
    <w:rPr>
      <w:color w:val="000000"/>
      <w:szCs w:val="20"/>
    </w:rPr>
  </w:style>
  <w:style w:type="character" w:styleId="CommentReference">
    <w:name w:val="annotation reference"/>
    <w:basedOn w:val="DefaultParagraphFont"/>
    <w:uiPriority w:val="99"/>
    <w:rsid w:val="005C3B05"/>
    <w:rPr>
      <w:sz w:val="16"/>
      <w:szCs w:val="16"/>
    </w:rPr>
  </w:style>
  <w:style w:type="paragraph" w:styleId="CommentText">
    <w:name w:val="annotation text"/>
    <w:basedOn w:val="Normal"/>
    <w:link w:val="CommentTextChar"/>
    <w:uiPriority w:val="99"/>
    <w:rsid w:val="005C3B05"/>
    <w:rPr>
      <w:sz w:val="20"/>
      <w:szCs w:val="20"/>
    </w:rPr>
  </w:style>
  <w:style w:type="character" w:customStyle="1" w:styleId="CommentTextChar">
    <w:name w:val="Comment Text Char"/>
    <w:basedOn w:val="DefaultParagraphFont"/>
    <w:link w:val="CommentText"/>
    <w:uiPriority w:val="99"/>
    <w:rsid w:val="005C3B05"/>
    <w:rPr>
      <w:sz w:val="20"/>
      <w:szCs w:val="20"/>
      <w:lang w:eastAsia="en-US"/>
    </w:rPr>
  </w:style>
  <w:style w:type="paragraph" w:styleId="CommentSubject">
    <w:name w:val="annotation subject"/>
    <w:basedOn w:val="CommentText"/>
    <w:next w:val="CommentText"/>
    <w:link w:val="CommentSubjectChar"/>
    <w:rsid w:val="005C3B05"/>
    <w:rPr>
      <w:b/>
      <w:bCs/>
    </w:rPr>
  </w:style>
  <w:style w:type="character" w:customStyle="1" w:styleId="CommentSubjectChar">
    <w:name w:val="Comment Subject Char"/>
    <w:basedOn w:val="CommentTextChar"/>
    <w:link w:val="CommentSubject"/>
    <w:rsid w:val="005C3B05"/>
    <w:rPr>
      <w:b/>
      <w:bCs/>
      <w:sz w:val="20"/>
      <w:szCs w:val="20"/>
      <w:lang w:eastAsia="en-US"/>
    </w:rPr>
  </w:style>
  <w:style w:type="paragraph" w:styleId="BalloonText">
    <w:name w:val="Balloon Text"/>
    <w:basedOn w:val="Normal"/>
    <w:link w:val="BalloonTextChar"/>
    <w:uiPriority w:val="99"/>
    <w:rsid w:val="005C3B05"/>
    <w:rPr>
      <w:rFonts w:ascii="Tahoma" w:hAnsi="Tahoma" w:cs="Tahoma"/>
      <w:sz w:val="16"/>
      <w:szCs w:val="16"/>
    </w:rPr>
  </w:style>
  <w:style w:type="character" w:customStyle="1" w:styleId="BalloonTextChar">
    <w:name w:val="Balloon Text Char"/>
    <w:basedOn w:val="DefaultParagraphFont"/>
    <w:link w:val="BalloonText"/>
    <w:uiPriority w:val="99"/>
    <w:rsid w:val="005C3B05"/>
    <w:rPr>
      <w:rFonts w:ascii="Tahoma" w:hAnsi="Tahoma" w:cs="Tahoma"/>
      <w:sz w:val="16"/>
      <w:szCs w:val="16"/>
      <w:lang w:eastAsia="en-US"/>
    </w:rPr>
  </w:style>
  <w:style w:type="paragraph" w:styleId="Header">
    <w:name w:val="header"/>
    <w:basedOn w:val="Normal"/>
    <w:link w:val="HeaderChar"/>
    <w:uiPriority w:val="99"/>
    <w:rsid w:val="005C3B05"/>
    <w:pPr>
      <w:tabs>
        <w:tab w:val="center" w:pos="4513"/>
        <w:tab w:val="right" w:pos="9026"/>
      </w:tabs>
    </w:pPr>
  </w:style>
  <w:style w:type="character" w:customStyle="1" w:styleId="HeaderChar">
    <w:name w:val="Header Char"/>
    <w:basedOn w:val="DefaultParagraphFont"/>
    <w:link w:val="Header"/>
    <w:uiPriority w:val="99"/>
    <w:rsid w:val="005C3B05"/>
    <w:rPr>
      <w:lang w:eastAsia="en-US"/>
    </w:rPr>
  </w:style>
  <w:style w:type="paragraph" w:styleId="Footer">
    <w:name w:val="footer"/>
    <w:basedOn w:val="Normal"/>
    <w:link w:val="FooterChar"/>
    <w:uiPriority w:val="99"/>
    <w:rsid w:val="005C3B05"/>
    <w:pPr>
      <w:tabs>
        <w:tab w:val="center" w:pos="4513"/>
        <w:tab w:val="right" w:pos="9026"/>
      </w:tabs>
    </w:pPr>
  </w:style>
  <w:style w:type="character" w:customStyle="1" w:styleId="FooterChar">
    <w:name w:val="Footer Char"/>
    <w:basedOn w:val="DefaultParagraphFont"/>
    <w:link w:val="Footer"/>
    <w:uiPriority w:val="99"/>
    <w:rsid w:val="005C3B05"/>
    <w:rPr>
      <w:lang w:eastAsia="en-US"/>
    </w:rPr>
  </w:style>
  <w:style w:type="paragraph" w:styleId="ListNumber2">
    <w:name w:val="List Number 2"/>
    <w:basedOn w:val="Normal"/>
    <w:autoRedefine/>
    <w:uiPriority w:val="99"/>
    <w:rsid w:val="005C3B05"/>
    <w:pPr>
      <w:numPr>
        <w:numId w:val="3"/>
      </w:numPr>
      <w:spacing w:after="200"/>
    </w:pPr>
    <w:rPr>
      <w:rFonts w:ascii="Calibri" w:eastAsia="Calibri" w:hAnsi="Calibri"/>
      <w:szCs w:val="22"/>
    </w:rPr>
  </w:style>
  <w:style w:type="paragraph" w:styleId="ListNumber3">
    <w:name w:val="List Number 3"/>
    <w:basedOn w:val="Normal"/>
    <w:uiPriority w:val="99"/>
    <w:rsid w:val="005C3B05"/>
    <w:pPr>
      <w:numPr>
        <w:ilvl w:val="2"/>
        <w:numId w:val="3"/>
      </w:numPr>
      <w:spacing w:after="200"/>
    </w:pPr>
    <w:rPr>
      <w:rFonts w:ascii="Calibri" w:eastAsia="Calibri" w:hAnsi="Calibri"/>
      <w:szCs w:val="22"/>
    </w:rPr>
  </w:style>
  <w:style w:type="paragraph" w:styleId="ListNumber4">
    <w:name w:val="List Number 4"/>
    <w:basedOn w:val="Normal"/>
    <w:uiPriority w:val="99"/>
    <w:rsid w:val="005C3B05"/>
    <w:pPr>
      <w:numPr>
        <w:ilvl w:val="3"/>
        <w:numId w:val="3"/>
      </w:numPr>
      <w:spacing w:after="200"/>
    </w:pPr>
    <w:rPr>
      <w:rFonts w:ascii="Calibri" w:eastAsia="Calibri" w:hAnsi="Calibri"/>
      <w:szCs w:val="22"/>
    </w:rPr>
  </w:style>
  <w:style w:type="paragraph" w:styleId="ListNumber5">
    <w:name w:val="List Number 5"/>
    <w:basedOn w:val="Normal"/>
    <w:uiPriority w:val="99"/>
    <w:rsid w:val="005C3B05"/>
    <w:pPr>
      <w:numPr>
        <w:ilvl w:val="4"/>
        <w:numId w:val="3"/>
      </w:numPr>
      <w:spacing w:after="200"/>
    </w:pPr>
    <w:rPr>
      <w:rFonts w:ascii="Calibri" w:eastAsia="Calibri" w:hAnsi="Calibri"/>
      <w:szCs w:val="22"/>
    </w:rPr>
  </w:style>
  <w:style w:type="paragraph" w:customStyle="1" w:styleId="Bullets1stindent">
    <w:name w:val="Bullets (1st indent)"/>
    <w:basedOn w:val="BodyText1"/>
    <w:qFormat/>
    <w:rsid w:val="005C3B05"/>
    <w:pPr>
      <w:spacing w:after="120"/>
    </w:pPr>
  </w:style>
  <w:style w:type="paragraph" w:customStyle="1" w:styleId="paragraphsub">
    <w:name w:val="paragraph(sub)"/>
    <w:aliases w:val="aa"/>
    <w:basedOn w:val="Normal"/>
    <w:rsid w:val="006D4871"/>
    <w:pPr>
      <w:tabs>
        <w:tab w:val="right" w:pos="1985"/>
      </w:tabs>
      <w:spacing w:before="40"/>
      <w:ind w:left="2098" w:hanging="2098"/>
    </w:pPr>
    <w:rPr>
      <w:sz w:val="22"/>
      <w:szCs w:val="20"/>
      <w:lang w:eastAsia="en-AU"/>
    </w:rPr>
  </w:style>
  <w:style w:type="numbering" w:styleId="111111">
    <w:name w:val="Outline List 2"/>
    <w:basedOn w:val="NoList"/>
    <w:rsid w:val="00FE1D2D"/>
    <w:pPr>
      <w:numPr>
        <w:numId w:val="5"/>
      </w:numPr>
    </w:pPr>
  </w:style>
  <w:style w:type="numbering" w:customStyle="1" w:styleId="Attach">
    <w:name w:val="Attach"/>
    <w:basedOn w:val="NoList"/>
    <w:uiPriority w:val="99"/>
    <w:rsid w:val="00071AB3"/>
    <w:pPr>
      <w:numPr>
        <w:numId w:val="6"/>
      </w:numPr>
    </w:pPr>
  </w:style>
  <w:style w:type="paragraph" w:customStyle="1" w:styleId="notedraft">
    <w:name w:val="note(draft)"/>
    <w:aliases w:val="nd"/>
    <w:basedOn w:val="Normal"/>
    <w:rsid w:val="00FD379B"/>
    <w:pPr>
      <w:spacing w:before="240"/>
      <w:ind w:left="284" w:hanging="284"/>
    </w:pPr>
    <w:rPr>
      <w:i/>
      <w:szCs w:val="20"/>
      <w:lang w:eastAsia="en-AU"/>
    </w:rPr>
  </w:style>
  <w:style w:type="paragraph" w:customStyle="1" w:styleId="BodyNum">
    <w:name w:val="BodyNum"/>
    <w:aliases w:val="b1"/>
    <w:basedOn w:val="Normal"/>
    <w:rsid w:val="002F7F86"/>
    <w:pPr>
      <w:numPr>
        <w:numId w:val="7"/>
      </w:numPr>
      <w:spacing w:before="240"/>
    </w:pPr>
    <w:rPr>
      <w:szCs w:val="20"/>
      <w:lang w:eastAsia="en-AU"/>
    </w:rPr>
  </w:style>
  <w:style w:type="paragraph" w:customStyle="1" w:styleId="BodyPara">
    <w:name w:val="BodyPara"/>
    <w:aliases w:val="ba"/>
    <w:basedOn w:val="Normal"/>
    <w:rsid w:val="002F7F86"/>
    <w:pPr>
      <w:numPr>
        <w:ilvl w:val="1"/>
        <w:numId w:val="7"/>
      </w:numPr>
      <w:spacing w:before="240"/>
    </w:pPr>
    <w:rPr>
      <w:szCs w:val="20"/>
      <w:lang w:eastAsia="en-AU"/>
    </w:rPr>
  </w:style>
  <w:style w:type="paragraph" w:customStyle="1" w:styleId="BodyParaBullet">
    <w:name w:val="BodyParaBullet"/>
    <w:aliases w:val="bpb"/>
    <w:basedOn w:val="Normal"/>
    <w:rsid w:val="002F7F86"/>
    <w:pPr>
      <w:numPr>
        <w:ilvl w:val="2"/>
        <w:numId w:val="7"/>
      </w:numPr>
      <w:tabs>
        <w:tab w:val="left" w:pos="2160"/>
      </w:tabs>
      <w:spacing w:before="240"/>
    </w:pPr>
    <w:rPr>
      <w:szCs w:val="20"/>
      <w:lang w:eastAsia="en-AU"/>
    </w:rPr>
  </w:style>
  <w:style w:type="paragraph" w:customStyle="1" w:styleId="BodySubPara">
    <w:name w:val="BodySubPara"/>
    <w:aliases w:val="bi"/>
    <w:basedOn w:val="Normal"/>
    <w:rsid w:val="002F7F86"/>
    <w:pPr>
      <w:numPr>
        <w:ilvl w:val="3"/>
        <w:numId w:val="7"/>
      </w:numPr>
      <w:spacing w:before="240"/>
    </w:pPr>
    <w:rPr>
      <w:szCs w:val="20"/>
      <w:lang w:eastAsia="en-AU"/>
    </w:rPr>
  </w:style>
  <w:style w:type="numbering" w:customStyle="1" w:styleId="OPCBodyList">
    <w:name w:val="OPCBodyList"/>
    <w:rsid w:val="002F7F86"/>
    <w:pPr>
      <w:numPr>
        <w:numId w:val="7"/>
      </w:numPr>
    </w:pPr>
  </w:style>
  <w:style w:type="paragraph" w:styleId="Revision">
    <w:name w:val="Revision"/>
    <w:hidden/>
    <w:uiPriority w:val="99"/>
    <w:semiHidden/>
    <w:rsid w:val="00E82240"/>
    <w:rPr>
      <w:lang w:eastAsia="en-US"/>
    </w:rPr>
  </w:style>
  <w:style w:type="paragraph" w:customStyle="1" w:styleId="TableTextform">
    <w:name w:val="TableText form"/>
    <w:basedOn w:val="Normal"/>
    <w:qFormat/>
    <w:rsid w:val="00653305"/>
    <w:pPr>
      <w:spacing w:before="40" w:after="240"/>
    </w:pPr>
    <w:rPr>
      <w:rFonts w:ascii="Arial" w:eastAsiaTheme="majorEastAsia" w:hAnsi="Arial" w:cs="Arial"/>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C9830FADB6468EBB5F177BE9711968"/>
        <w:category>
          <w:name w:val="General"/>
          <w:gallery w:val="placeholder"/>
        </w:category>
        <w:types>
          <w:type w:val="bbPlcHdr"/>
        </w:types>
        <w:behaviors>
          <w:behavior w:val="content"/>
        </w:behaviors>
        <w:guid w:val="{1A9C470A-0F50-4773-ADAA-DAE9920A27D0}"/>
      </w:docPartPr>
      <w:docPartBody>
        <w:p w:rsidR="000461A7" w:rsidRDefault="00000000">
          <w:pPr>
            <w:pStyle w:val="D8C9830FADB6468EBB5F177BE9711968"/>
          </w:pPr>
          <w:r>
            <w:rPr>
              <w:rStyle w:val="PlaceholderText"/>
            </w:rPr>
            <w:t>Click here to enter text.</w:t>
          </w:r>
        </w:p>
      </w:docPartBody>
    </w:docPart>
    <w:docPart>
      <w:docPartPr>
        <w:name w:val="82579AA69623483C82569C16BF01C384"/>
        <w:category>
          <w:name w:val="General"/>
          <w:gallery w:val="placeholder"/>
        </w:category>
        <w:types>
          <w:type w:val="bbPlcHdr"/>
        </w:types>
        <w:behaviors>
          <w:behavior w:val="content"/>
        </w:behaviors>
        <w:guid w:val="{15A73D52-9612-42E5-B2F4-CBDB850A0930}"/>
      </w:docPartPr>
      <w:docPartBody>
        <w:p w:rsidR="000461A7" w:rsidRDefault="00000000">
          <w:pPr>
            <w:pStyle w:val="82579AA69623483C82569C16BF01C38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1A7"/>
    <w:rPr>
      <w:color w:val="808080"/>
    </w:rPr>
  </w:style>
  <w:style w:type="paragraph" w:customStyle="1" w:styleId="D8C9830FADB6468EBB5F177BE9711968">
    <w:name w:val="D8C9830FADB6468EBB5F177BE9711968"/>
    <w:rsid w:val="000461A7"/>
  </w:style>
  <w:style w:type="paragraph" w:customStyle="1" w:styleId="82579AA69623483C82569C16BF01C384">
    <w:name w:val="82579AA69623483C82569C16BF01C384"/>
    <w:rsid w:val="00046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C1FA027C123B34AB207A364E364FBAE" ma:contentTypeVersion="" ma:contentTypeDescription="PDMS Document Site Content Type" ma:contentTypeScope="" ma:versionID="89525e5c063a9b7057bd461f181ce2d1">
  <xsd:schema xmlns:xsd="http://www.w3.org/2001/XMLSchema" xmlns:xs="http://www.w3.org/2001/XMLSchema" xmlns:p="http://schemas.microsoft.com/office/2006/metadata/properties" xmlns:ns2="07857F20-7DFC-482B-8FBA-E6FD8E9E19A8" targetNamespace="http://schemas.microsoft.com/office/2006/metadata/properties" ma:root="true" ma:fieldsID="8e329e174eefe95ee740c9a92d8cc552" ns2:_="">
    <xsd:import namespace="07857F20-7DFC-482B-8FBA-E6FD8E9E19A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57F20-7DFC-482B-8FBA-E6FD8E9E19A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DE647-9CF2-4CD7-A042-153875C92E76}">
  <ds:schemaRefs/>
</ds:datastoreItem>
</file>

<file path=customXml/itemProps2.xml><?xml version="1.0" encoding="utf-8"?>
<ds:datastoreItem xmlns:ds="http://schemas.openxmlformats.org/officeDocument/2006/customXml" ds:itemID="{E17480FB-7BE4-418A-9AC7-B56BB25D9734}">
  <ds:schemaRefs/>
</ds:datastoreItem>
</file>

<file path=customXml/itemProps3.xml><?xml version="1.0" encoding="utf-8"?>
<ds:datastoreItem xmlns:ds="http://schemas.openxmlformats.org/officeDocument/2006/customXml" ds:itemID="{84583932-E26E-42E5-98AB-362E8EB8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2344</Words>
  <Characters>13083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Greathead Sherryl</dc:creator>
  <cp:lastModifiedBy>Greathead, Sherryl</cp:lastModifiedBy>
  <cp:revision>2</cp:revision>
  <cp:lastPrinted>2017-03-06T04:49:00Z</cp:lastPrinted>
  <dcterms:created xsi:type="dcterms:W3CDTF">2017-04-06T23:55:00Z</dcterms:created>
  <dcterms:modified xsi:type="dcterms:W3CDTF">2017-04-06T23:55:00Z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29 March 2017</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Compliance</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InitiatorAddressLine1">
    <vt:lpwstr/>
  </property>
  <property fmtid="{D5CDD505-2E9C-101B-9397-08002B2CF9AE}" pid="10" name="InitiatorAddressLine1And2">
    <vt:lpwstr/>
  </property>
  <property fmtid="{D5CDD505-2E9C-101B-9397-08002B2CF9AE}" pid="11" name="InitiatorAddressLine2">
    <vt:lpwstr/>
  </property>
  <property fmtid="{D5CDD505-2E9C-101B-9397-08002B2CF9AE}" pid="12" name="InitiatorContactName">
    <vt:lpwstr/>
  </property>
  <property fmtid="{D5CDD505-2E9C-101B-9397-08002B2CF9AE}" pid="13" name="InitiatorContactPosition">
    <vt:lpwstr/>
  </property>
  <property fmtid="{D5CDD505-2E9C-101B-9397-08002B2CF9AE}" pid="14" name="InitiatorCountry">
    <vt:lpwstr/>
  </property>
  <property fmtid="{D5CDD505-2E9C-101B-9397-08002B2CF9AE}" pid="15" name="InitiatorEmail">
    <vt:lpwstr/>
  </property>
  <property fmtid="{D5CDD505-2E9C-101B-9397-08002B2CF9AE}" pid="16" name="InitiatorFax">
    <vt:lpwstr/>
  </property>
  <property fmtid="{D5CDD505-2E9C-101B-9397-08002B2CF9AE}" pid="17" name="InitiatorFirstName">
    <vt:lpwstr/>
  </property>
  <property fmtid="{D5CDD505-2E9C-101B-9397-08002B2CF9AE}" pid="18" name="InitiatorFormalTitle">
    <vt:lpwstr/>
  </property>
  <property fmtid="{D5CDD505-2E9C-101B-9397-08002B2CF9AE}" pid="19" name="InitiatorFullName">
    <vt:lpwstr/>
  </property>
  <property fmtid="{D5CDD505-2E9C-101B-9397-08002B2CF9AE}" pid="20" name="InitiatorLastName">
    <vt:lpwstr/>
  </property>
  <property fmtid="{D5CDD505-2E9C-101B-9397-08002B2CF9AE}" pid="21" name="InitiatorMobile">
    <vt:lpwstr/>
  </property>
  <property fmtid="{D5CDD505-2E9C-101B-9397-08002B2CF9AE}" pid="22" name="InitiatorMPElectorate">
    <vt:lpwstr/>
  </property>
  <property fmtid="{D5CDD505-2E9C-101B-9397-08002B2CF9AE}" pid="23" name="InitiatorMPState">
    <vt:lpwstr/>
  </property>
  <property fmtid="{D5CDD505-2E9C-101B-9397-08002B2CF9AE}" pid="24" name="InitiatorName">
    <vt:lpwstr/>
  </property>
  <property fmtid="{D5CDD505-2E9C-101B-9397-08002B2CF9AE}" pid="25" name="InitiatorOnBehalfVia">
    <vt:lpwstr/>
  </property>
  <property fmtid="{D5CDD505-2E9C-101B-9397-08002B2CF9AE}" pid="26" name="InitiatorOrganisation">
    <vt:lpwstr/>
  </property>
  <property fmtid="{D5CDD505-2E9C-101B-9397-08002B2CF9AE}" pid="27" name="InitiatorOrganisationContactInformation">
    <vt:lpwstr/>
  </property>
  <property fmtid="{D5CDD505-2E9C-101B-9397-08002B2CF9AE}" pid="28" name="InitiatorOrganisationType">
    <vt:lpwstr/>
  </property>
  <property fmtid="{D5CDD505-2E9C-101B-9397-08002B2CF9AE}" pid="29" name="InitiatorOrganisationWebsite">
    <vt:lpwstr/>
  </property>
  <property fmtid="{D5CDD505-2E9C-101B-9397-08002B2CF9AE}" pid="30" name="InitiatorParliamentaryTitle">
    <vt:lpwstr/>
  </property>
  <property fmtid="{D5CDD505-2E9C-101B-9397-08002B2CF9AE}" pid="31" name="InitiatorPhone">
    <vt:lpwstr/>
  </property>
  <property fmtid="{D5CDD505-2E9C-101B-9397-08002B2CF9AE}" pid="32" name="InitiatorPostCode">
    <vt:lpwstr/>
  </property>
  <property fmtid="{D5CDD505-2E9C-101B-9397-08002B2CF9AE}" pid="33" name="InitiatorPostNominal">
    <vt:lpwstr/>
  </property>
  <property fmtid="{D5CDD505-2E9C-101B-9397-08002B2CF9AE}" pid="34" name="InitiatorState">
    <vt:lpwstr/>
  </property>
  <property fmtid="{D5CDD505-2E9C-101B-9397-08002B2CF9AE}" pid="35" name="InitiatorSuburbOrCity">
    <vt:lpwstr/>
  </property>
  <property fmtid="{D5CDD505-2E9C-101B-9397-08002B2CF9AE}" pid="36" name="InitiatorSuburbStatePostcode">
    <vt:lpwstr/>
  </property>
  <property fmtid="{D5CDD505-2E9C-101B-9397-08002B2CF9AE}" pid="37" name="InitiatorTitle">
    <vt:lpwstr/>
  </property>
  <property fmtid="{D5CDD505-2E9C-101B-9397-08002B2CF9AE}" pid="38" name="InitiatorTitledFullName">
    <vt:lpwstr/>
  </property>
  <property fmtid="{D5CDD505-2E9C-101B-9397-08002B2CF9AE}" pid="39" name="LastClearingOfficer">
    <vt:lpwstr>Aaron COLES</vt:lpwstr>
  </property>
  <property fmtid="{D5CDD505-2E9C-101B-9397-08002B2CF9AE}" pid="40" name="Ministers">
    <vt:lpwstr>Barnaby Joyce</vt:lpwstr>
  </property>
  <property fmtid="{D5CDD505-2E9C-101B-9397-08002B2CF9AE}" pid="41" name="PdrId">
    <vt:lpwstr>MS17-000258</vt:lpwstr>
  </property>
  <property fmtid="{D5CDD505-2E9C-101B-9397-08002B2CF9AE}" pid="42" name="Principal">
    <vt:lpwstr>For Decision</vt:lpwstr>
  </property>
  <property fmtid="{D5CDD505-2E9C-101B-9397-08002B2CF9AE}" pid="43" name="ReasonForSensitivity">
    <vt:lpwstr/>
  </property>
  <property fmtid="{D5CDD505-2E9C-101B-9397-08002B2CF9AE}" pid="44" name="RegisteredDate">
    <vt:lpwstr>14 February 2017</vt:lpwstr>
  </property>
  <property fmtid="{D5CDD505-2E9C-101B-9397-08002B2CF9AE}" pid="45" name="RequestedAction">
    <vt:lpwstr>For Signature</vt:lpwstr>
  </property>
  <property fmtid="{D5CDD505-2E9C-101B-9397-08002B2CF9AE}" pid="46" name="ResponsibleMinister">
    <vt:lpwstr>Barnaby Joyce</vt:lpwstr>
  </property>
  <property fmtid="{D5CDD505-2E9C-101B-9397-08002B2CF9AE}" pid="47" name="SecurityClassification">
    <vt:lpwstr>UNCLASSIFIED  </vt:lpwstr>
  </property>
  <property fmtid="{D5CDD505-2E9C-101B-9397-08002B2CF9AE}" pid="48" name="Subject">
    <vt:lpwstr>Amendments to imported food control regulations</vt:lpwstr>
  </property>
  <property fmtid="{D5CDD505-2E9C-101B-9397-08002B2CF9AE}" pid="49" name="TaskSeqNo">
    <vt:lpwstr>2</vt:lpwstr>
  </property>
  <property fmtid="{D5CDD505-2E9C-101B-9397-08002B2CF9AE}" pid="50" name="TemplateSubType">
    <vt:lpwstr>Standard</vt:lpwstr>
  </property>
  <property fmtid="{D5CDD505-2E9C-101B-9397-08002B2CF9AE}" pid="51" name="TemplateType">
    <vt:lpwstr>Minister</vt:lpwstr>
  </property>
  <property fmtid="{D5CDD505-2E9C-101B-9397-08002B2CF9AE}" pid="52" name="TrustedGroups">
    <vt:lpwstr>Parliamentary Coordinator MS, DLO, Ministerial Staff - Coalition 2013, Business Administrator, Limited Distribution MS</vt:lpwstr>
  </property>
</Properties>
</file>