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1A" w:rsidRDefault="0027001A" w:rsidP="008A658D">
      <w:pPr>
        <w:pStyle w:val="Header"/>
        <w:pBdr>
          <w:top w:val="double" w:sz="4" w:space="1" w:color="auto"/>
        </w:pBdr>
        <w:tabs>
          <w:tab w:val="clear" w:pos="4153"/>
          <w:tab w:val="clear" w:pos="8306"/>
        </w:tabs>
        <w:spacing w:line="240" w:lineRule="auto"/>
        <w:jc w:val="center"/>
        <w:rPr>
          <w:sz w:val="34"/>
          <w:szCs w:val="34"/>
        </w:rPr>
      </w:pPr>
      <w:bookmarkStart w:id="0" w:name="FDocName"/>
      <w:r w:rsidRPr="001F2A16">
        <w:rPr>
          <w:sz w:val="34"/>
          <w:szCs w:val="34"/>
        </w:rPr>
        <w:t>Explanatory Statement</w:t>
      </w:r>
    </w:p>
    <w:p w:rsidR="00966F63" w:rsidRDefault="00D844F6" w:rsidP="008A658D">
      <w:pPr>
        <w:spacing w:line="240" w:lineRule="auto"/>
        <w:jc w:val="center"/>
        <w:rPr>
          <w:rFonts w:eastAsiaTheme="minorHAnsi"/>
          <w:sz w:val="34"/>
          <w:szCs w:val="34"/>
        </w:rPr>
      </w:pPr>
      <w:r>
        <w:rPr>
          <w:sz w:val="34"/>
          <w:szCs w:val="34"/>
        </w:rPr>
        <w:br/>
      </w:r>
      <w:r w:rsidR="0027001A">
        <w:rPr>
          <w:sz w:val="34"/>
          <w:szCs w:val="34"/>
        </w:rPr>
        <w:t>G</w:t>
      </w:r>
      <w:r w:rsidR="0027001A" w:rsidRPr="00C921BC">
        <w:rPr>
          <w:sz w:val="34"/>
          <w:szCs w:val="34"/>
        </w:rPr>
        <w:t>oods and Services Tax</w:t>
      </w:r>
      <w:r w:rsidR="0027001A" w:rsidRPr="00C921BC">
        <w:rPr>
          <w:i/>
          <w:sz w:val="34"/>
          <w:szCs w:val="34"/>
        </w:rPr>
        <w:t>:</w:t>
      </w:r>
      <w:r w:rsidR="0027001A" w:rsidRPr="00C921BC">
        <w:rPr>
          <w:sz w:val="34"/>
          <w:szCs w:val="34"/>
        </w:rPr>
        <w:t xml:space="preserve"> Classes of Recipient Created Tax Invoices Determination 2017 </w:t>
      </w:r>
      <w:r w:rsidR="0027001A" w:rsidRPr="002B15D8">
        <w:rPr>
          <w:sz w:val="34"/>
          <w:szCs w:val="34"/>
        </w:rPr>
        <w:t>for Demand Side Response Aggregators</w:t>
      </w:r>
    </w:p>
    <w:p w:rsidR="00761199" w:rsidRDefault="00761199" w:rsidP="008A658D">
      <w:pPr>
        <w:pStyle w:val="Header"/>
        <w:pBdr>
          <w:top w:val="double" w:sz="4" w:space="0" w:color="auto"/>
        </w:pBdr>
        <w:spacing w:before="240" w:line="240" w:lineRule="auto"/>
        <w:rPr>
          <w:sz w:val="34"/>
          <w:szCs w:val="34"/>
        </w:rPr>
      </w:pPr>
    </w:p>
    <w:p w:rsidR="00486653" w:rsidRPr="00D8408C" w:rsidRDefault="0027001A" w:rsidP="008A658D">
      <w:pPr>
        <w:pStyle w:val="Header"/>
        <w:pBdr>
          <w:top w:val="double" w:sz="4" w:space="0" w:color="auto"/>
        </w:pBdr>
        <w:spacing w:before="240" w:line="240" w:lineRule="auto"/>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Pr>
          <w:b/>
          <w:sz w:val="24"/>
        </w:rPr>
        <w:t>G</w:t>
      </w:r>
      <w:r w:rsidR="00486653" w:rsidRPr="003277ED">
        <w:rPr>
          <w:b/>
          <w:sz w:val="24"/>
        </w:rPr>
        <w:t xml:space="preserve">eneral </w:t>
      </w:r>
      <w:r w:rsidR="00C4765E" w:rsidRPr="003277ED">
        <w:rPr>
          <w:b/>
          <w:sz w:val="24"/>
        </w:rPr>
        <w:t>o</w:t>
      </w:r>
      <w:r w:rsidR="00486653" w:rsidRPr="003277ED">
        <w:rPr>
          <w:b/>
          <w:sz w:val="24"/>
        </w:rPr>
        <w:t xml:space="preserve">utline of </w:t>
      </w:r>
      <w:r w:rsidR="00E82948" w:rsidRPr="003277ED">
        <w:rPr>
          <w:b/>
          <w:sz w:val="24"/>
        </w:rPr>
        <w:t>determination</w:t>
      </w:r>
    </w:p>
    <w:p w:rsidR="00653A00" w:rsidRDefault="00653A00" w:rsidP="008A658D">
      <w:pPr>
        <w:pStyle w:val="ListParagraph"/>
        <w:tabs>
          <w:tab w:val="clear" w:pos="720"/>
          <w:tab w:val="num" w:pos="426"/>
        </w:tabs>
        <w:spacing w:before="240" w:line="240" w:lineRule="auto"/>
        <w:ind w:left="426" w:hanging="426"/>
      </w:pPr>
      <w:bookmarkStart w:id="11" w:name="IComments"/>
      <w:r w:rsidRPr="008D048A">
        <w:t xml:space="preserve">This </w:t>
      </w:r>
      <w:r w:rsidR="008A3940" w:rsidRPr="008D048A">
        <w:t xml:space="preserve">determination </w:t>
      </w:r>
      <w:r w:rsidRPr="008D048A">
        <w:t xml:space="preserve">is made under </w:t>
      </w:r>
      <w:r w:rsidR="0002763C" w:rsidRPr="008D048A">
        <w:t>s</w:t>
      </w:r>
      <w:r w:rsidRPr="008D048A">
        <w:t xml:space="preserve">ubsection 29-70(3) of the </w:t>
      </w:r>
      <w:r w:rsidRPr="00C921BC">
        <w:rPr>
          <w:i/>
        </w:rPr>
        <w:t>A New Tax System (Goods and Services Tax) Act 1999</w:t>
      </w:r>
      <w:r w:rsidR="006462ED">
        <w:rPr>
          <w:i/>
        </w:rPr>
        <w:t xml:space="preserve"> </w:t>
      </w:r>
      <w:r w:rsidR="006462ED" w:rsidRPr="00C921BC">
        <w:t>(GST Act)</w:t>
      </w:r>
      <w:r w:rsidRPr="008D048A">
        <w:t>.</w:t>
      </w:r>
    </w:p>
    <w:p w:rsidR="003F6DFD" w:rsidRPr="008D048A" w:rsidRDefault="003F6DFD" w:rsidP="008A658D">
      <w:pPr>
        <w:pStyle w:val="ListParagraph"/>
        <w:tabs>
          <w:tab w:val="clear" w:pos="720"/>
          <w:tab w:val="num" w:pos="426"/>
        </w:tabs>
        <w:spacing w:line="240" w:lineRule="auto"/>
        <w:ind w:left="425" w:hanging="425"/>
      </w:pPr>
      <w:r w:rsidRPr="008D048A">
        <w:t xml:space="preserve">Under subsection 33(3) of the </w:t>
      </w:r>
      <w:r w:rsidRPr="00C921BC">
        <w:rPr>
          <w:i/>
        </w:rPr>
        <w:t>Acts Interpretation Act 1901</w:t>
      </w:r>
      <w:r w:rsidRPr="008D048A">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653A00" w:rsidRPr="008D048A" w:rsidRDefault="00653A00" w:rsidP="008A658D">
      <w:pPr>
        <w:pStyle w:val="ListParagraph"/>
        <w:tabs>
          <w:tab w:val="clear" w:pos="720"/>
          <w:tab w:val="num" w:pos="426"/>
        </w:tabs>
        <w:spacing w:line="240" w:lineRule="auto"/>
        <w:ind w:left="426" w:hanging="426"/>
      </w:pPr>
      <w:r w:rsidRPr="008D048A">
        <w:t>Th</w:t>
      </w:r>
      <w:r w:rsidR="009C5340">
        <w:t>is</w:t>
      </w:r>
      <w:r w:rsidRPr="008D048A">
        <w:t xml:space="preserve"> </w:t>
      </w:r>
      <w:r w:rsidR="008A3940" w:rsidRPr="008D048A">
        <w:t xml:space="preserve">determination </w:t>
      </w:r>
      <w:r w:rsidRPr="008D048A">
        <w:t xml:space="preserve">allows </w:t>
      </w:r>
      <w:r w:rsidRPr="00621ED8">
        <w:rPr>
          <w:b/>
        </w:rPr>
        <w:t>Demand Side Response (DSR) aggregators</w:t>
      </w:r>
      <w:r w:rsidRPr="008D048A">
        <w:t xml:space="preserve"> to issue Recipient Created Tax Invoices (RCTIs) to their suppliers. </w:t>
      </w:r>
    </w:p>
    <w:p w:rsidR="00653A00" w:rsidRPr="008D048A" w:rsidRDefault="00653A00" w:rsidP="008A658D">
      <w:pPr>
        <w:pStyle w:val="ListParagraph"/>
        <w:tabs>
          <w:tab w:val="clear" w:pos="720"/>
          <w:tab w:val="num" w:pos="426"/>
        </w:tabs>
        <w:spacing w:before="240" w:line="240" w:lineRule="auto"/>
        <w:ind w:left="426" w:hanging="426"/>
      </w:pPr>
      <w:r w:rsidRPr="008D048A">
        <w:t>Th</w:t>
      </w:r>
      <w:r w:rsidR="00D8408C">
        <w:t>is</w:t>
      </w:r>
      <w:r w:rsidRPr="008D048A">
        <w:t xml:space="preserve"> </w:t>
      </w:r>
      <w:r w:rsidR="008A3940" w:rsidRPr="008D048A">
        <w:t xml:space="preserve">determination </w:t>
      </w:r>
      <w:r w:rsidRPr="008D048A">
        <w:t xml:space="preserve">is a legislative instrument for the purposes of the </w:t>
      </w:r>
      <w:r w:rsidR="00CF4F5B" w:rsidRPr="00C921BC">
        <w:rPr>
          <w:i/>
        </w:rPr>
        <w:t xml:space="preserve">Legislation </w:t>
      </w:r>
      <w:r w:rsidRPr="00C921BC">
        <w:rPr>
          <w:i/>
        </w:rPr>
        <w:t>Act 2003.</w:t>
      </w:r>
    </w:p>
    <w:bookmarkEnd w:id="11"/>
    <w:p w:rsidR="00591CF4" w:rsidRPr="00591CF4" w:rsidRDefault="00486653" w:rsidP="008A658D">
      <w:pPr>
        <w:pStyle w:val="Heading2"/>
        <w:spacing w:before="240" w:line="240" w:lineRule="auto"/>
      </w:pPr>
      <w:r w:rsidRPr="005E6CCE">
        <w:t xml:space="preserve">Date </w:t>
      </w:r>
      <w:r w:rsidRPr="00DC656D">
        <w:t>of effect</w:t>
      </w:r>
    </w:p>
    <w:p w:rsidR="00621ED8" w:rsidRPr="008A658D" w:rsidRDefault="00DB2716" w:rsidP="008A658D">
      <w:pPr>
        <w:pStyle w:val="ListParagraph"/>
        <w:tabs>
          <w:tab w:val="clear" w:pos="720"/>
          <w:tab w:val="num" w:pos="567"/>
        </w:tabs>
        <w:spacing w:before="240" w:line="240" w:lineRule="auto"/>
        <w:ind w:left="426" w:hanging="426"/>
      </w:pPr>
      <w:r w:rsidRPr="00DF3F29">
        <w:t xml:space="preserve">This determination </w:t>
      </w:r>
      <w:r w:rsidR="00621ED8" w:rsidRPr="008A658D">
        <w:t>will commence retrospectively on 1 April 2017. This is to allow for reasonable and appropriate consultation to be completed.</w:t>
      </w:r>
    </w:p>
    <w:p w:rsidR="002C3D66" w:rsidRPr="009C7771" w:rsidRDefault="00621ED8" w:rsidP="008A658D">
      <w:pPr>
        <w:pStyle w:val="ListParagraph"/>
        <w:tabs>
          <w:tab w:val="clear" w:pos="720"/>
          <w:tab w:val="num" w:pos="567"/>
        </w:tabs>
        <w:spacing w:line="240" w:lineRule="auto"/>
        <w:ind w:left="426" w:hanging="426"/>
      </w:pPr>
      <w:r w:rsidRPr="008A658D">
        <w:t xml:space="preserve">Subsection 12(2) of the </w:t>
      </w:r>
      <w:r w:rsidRPr="008A658D">
        <w:rPr>
          <w:i/>
          <w:iCs/>
        </w:rPr>
        <w:t>Legislation Act 2003</w:t>
      </w:r>
      <w:r w:rsidRPr="008A658D">
        <w:t xml:space="preserve"> allows a retrospective application date for a </w:t>
      </w:r>
      <w:r w:rsidR="00A472E5">
        <w:t>l</w:t>
      </w:r>
      <w:r w:rsidR="00A472E5" w:rsidRPr="008A658D">
        <w:t xml:space="preserve">egislative </w:t>
      </w:r>
      <w:r w:rsidR="00A472E5">
        <w:t>i</w:t>
      </w:r>
      <w:r w:rsidRPr="008A658D">
        <w:t>nstrument. This determination aims to reduce compliance costs.  A commencement date after 1 April 2017 would create unexpected compliance obligations for the intervening period.  To provide certainty to taxpayers who have relied upon the previous determination and continue to rely on this determination and protect the rights of all affected taxpayers the retrospective application date is reasonable and appropriate. The retrospective application date will not adversely affect the rights of any person and will not impose a liability on any person for any act or omission before this instrument’s registration date</w:t>
      </w:r>
      <w:r w:rsidR="00DB2716" w:rsidRPr="009C7771">
        <w:t>.</w:t>
      </w:r>
      <w:r w:rsidR="00A07646">
        <w:br/>
      </w:r>
    </w:p>
    <w:p w:rsidR="00486653" w:rsidRPr="005E6CCE" w:rsidRDefault="00486653" w:rsidP="008A658D">
      <w:pPr>
        <w:pStyle w:val="Heading2"/>
        <w:spacing w:before="240" w:line="240" w:lineRule="auto"/>
      </w:pPr>
      <w:r w:rsidRPr="007533B3">
        <w:t>What is th</w:t>
      </w:r>
      <w:r w:rsidR="0058216B">
        <w:t>e</w:t>
      </w:r>
      <w:r w:rsidRPr="007533B3">
        <w:t xml:space="preserve"> </w:t>
      </w:r>
      <w:r w:rsidR="00CA5AA4">
        <w:t>determination</w:t>
      </w:r>
      <w:r w:rsidR="00CA5AA4" w:rsidRPr="007533B3">
        <w:t xml:space="preserve"> </w:t>
      </w:r>
      <w:r w:rsidRPr="007533B3">
        <w:t>abou</w:t>
      </w:r>
      <w:r w:rsidR="00FA68B8">
        <w:t>t</w:t>
      </w:r>
      <w:r w:rsidR="007048F5">
        <w:t>?</w:t>
      </w:r>
    </w:p>
    <w:p w:rsidR="002C3D66" w:rsidRPr="002C3D66" w:rsidRDefault="00101473" w:rsidP="008A658D">
      <w:pPr>
        <w:pStyle w:val="ListParagraph"/>
        <w:tabs>
          <w:tab w:val="clear" w:pos="720"/>
          <w:tab w:val="num" w:pos="284"/>
        </w:tabs>
        <w:spacing w:before="240" w:line="240" w:lineRule="auto"/>
        <w:ind w:left="426" w:hanging="426"/>
      </w:pPr>
      <w:r>
        <w:t xml:space="preserve">  </w:t>
      </w:r>
      <w:r w:rsidR="002C3D66" w:rsidRPr="002C3D66">
        <w:t>Generally, under the GST Act tax invoices are issued by the entity that makes the taxable supply.</w:t>
      </w:r>
    </w:p>
    <w:p w:rsidR="002C3D66" w:rsidRPr="002C3D66" w:rsidRDefault="00101473" w:rsidP="008A658D">
      <w:pPr>
        <w:pStyle w:val="ListParagraph"/>
        <w:tabs>
          <w:tab w:val="clear" w:pos="720"/>
          <w:tab w:val="num" w:pos="284"/>
        </w:tabs>
        <w:spacing w:line="240" w:lineRule="auto"/>
        <w:ind w:left="426" w:hanging="426"/>
      </w:pPr>
      <w:r>
        <w:t xml:space="preserve">  </w:t>
      </w:r>
      <w:r w:rsidR="002C3D66" w:rsidRPr="002C3D66">
        <w:t>The purpose of this determination is to outline the class of tax invoice</w:t>
      </w:r>
      <w:r w:rsidR="00A42554">
        <w:t xml:space="preserve"> (called RCTIs)</w:t>
      </w:r>
      <w:r w:rsidR="002C3D66" w:rsidRPr="002C3D66">
        <w:t xml:space="preserve"> that may be issued by the</w:t>
      </w:r>
      <w:r w:rsidR="00621ED8">
        <w:t xml:space="preserve"> GST registered</w:t>
      </w:r>
      <w:r w:rsidR="002C3D66" w:rsidRPr="002C3D66">
        <w:t xml:space="preserve"> recipients of a taxable supply</w:t>
      </w:r>
      <w:r w:rsidR="00A42554">
        <w:t>. The Commissioner makes the determination by taking into account a number of factors including the type of industry, the taxable supply, GST turnover of the recipient and certain requirements for issuing RCTIs. The factors reflect a balance between facilitating the practical use of RCTIs by businesses and maintaining the integrity of the GST system</w:t>
      </w:r>
      <w:r w:rsidR="002C3D66" w:rsidRPr="002C3D66">
        <w:t>.</w:t>
      </w:r>
      <w:r w:rsidR="000F1FFF">
        <w:t xml:space="preserve"> </w:t>
      </w:r>
    </w:p>
    <w:p w:rsidR="0011280F" w:rsidRDefault="00101473" w:rsidP="008A658D">
      <w:pPr>
        <w:pStyle w:val="ListParagraph"/>
        <w:keepNext/>
        <w:tabs>
          <w:tab w:val="clear" w:pos="720"/>
          <w:tab w:val="num" w:pos="284"/>
        </w:tabs>
        <w:spacing w:line="240" w:lineRule="auto"/>
        <w:ind w:left="426" w:hanging="426"/>
      </w:pPr>
      <w:r>
        <w:t xml:space="preserve">  </w:t>
      </w:r>
      <w:r w:rsidR="0011280F">
        <w:t>In accordance with th</w:t>
      </w:r>
      <w:r w:rsidR="009C5340">
        <w:t>is</w:t>
      </w:r>
      <w:r w:rsidR="0011280F">
        <w:t xml:space="preserve"> determination, a </w:t>
      </w:r>
      <w:r w:rsidR="0011280F" w:rsidRPr="008A658D">
        <w:rPr>
          <w:b/>
        </w:rPr>
        <w:t>DSR aggregator</w:t>
      </w:r>
      <w:r w:rsidR="0011280F">
        <w:t xml:space="preserve"> that is a rec</w:t>
      </w:r>
      <w:r w:rsidR="00FA724F">
        <w:t>i</w:t>
      </w:r>
      <w:r w:rsidR="0011280F">
        <w:t>pient of a taxable supply of DSR may issue an RCTI for the supply if the</w:t>
      </w:r>
      <w:r w:rsidR="00A11BFC">
        <w:t>y:</w:t>
      </w:r>
    </w:p>
    <w:p w:rsidR="008528B6" w:rsidRDefault="006462ED" w:rsidP="008A658D">
      <w:pPr>
        <w:keepLines/>
        <w:tabs>
          <w:tab w:val="num" w:pos="284"/>
        </w:tabs>
        <w:spacing w:line="240" w:lineRule="auto"/>
        <w:ind w:left="851"/>
      </w:pPr>
      <w:r>
        <w:t xml:space="preserve">(a) </w:t>
      </w:r>
      <w:r w:rsidR="00567F5B">
        <w:t>e</w:t>
      </w:r>
      <w:r w:rsidR="008528B6">
        <w:t>stablish the value of the DSR acquired from the DSR supplier</w:t>
      </w:r>
      <w:r w:rsidR="00A472E5">
        <w:t>, and</w:t>
      </w:r>
      <w:r w:rsidR="008528B6">
        <w:t xml:space="preserve"> </w:t>
      </w:r>
    </w:p>
    <w:p w:rsidR="00A07646" w:rsidRPr="0010524D" w:rsidRDefault="006462ED" w:rsidP="008A658D">
      <w:pPr>
        <w:keepLines/>
        <w:tabs>
          <w:tab w:val="num" w:pos="284"/>
        </w:tabs>
        <w:spacing w:line="240" w:lineRule="auto"/>
        <w:ind w:left="851"/>
      </w:pPr>
      <w:r>
        <w:t xml:space="preserve">(b) </w:t>
      </w:r>
      <w:r w:rsidR="00567F5B">
        <w:t>satisf</w:t>
      </w:r>
      <w:r w:rsidR="00A11BFC">
        <w:t>y</w:t>
      </w:r>
      <w:r w:rsidR="00567F5B">
        <w:t xml:space="preserve"> the requirements set out in</w:t>
      </w:r>
      <w:r w:rsidR="00900D39">
        <w:t xml:space="preserve"> paragraph </w:t>
      </w:r>
      <w:r w:rsidR="00FA724F">
        <w:t xml:space="preserve">6 </w:t>
      </w:r>
      <w:r w:rsidR="00567F5B">
        <w:t>of</w:t>
      </w:r>
      <w:r w:rsidR="00CE1A80">
        <w:t xml:space="preserve"> </w:t>
      </w:r>
      <w:r w:rsidR="00567F5B">
        <w:t>the determination.</w:t>
      </w:r>
    </w:p>
    <w:p w:rsidR="00486653" w:rsidRPr="005E6CCE" w:rsidRDefault="00486653" w:rsidP="008A658D">
      <w:pPr>
        <w:pStyle w:val="Heading2"/>
        <w:spacing w:before="240" w:line="240" w:lineRule="auto"/>
      </w:pPr>
      <w:r>
        <w:t>What is the e</w:t>
      </w:r>
      <w:r w:rsidRPr="005E6CCE">
        <w:t>ffect of th</w:t>
      </w:r>
      <w:r w:rsidR="009C5340">
        <w:t>is</w:t>
      </w:r>
      <w:r w:rsidRPr="005E6CCE">
        <w:t xml:space="preserve"> </w:t>
      </w:r>
      <w:r w:rsidR="008A3940">
        <w:t>determination</w:t>
      </w:r>
      <w:r w:rsidR="00B41413">
        <w:t>?</w:t>
      </w:r>
    </w:p>
    <w:p w:rsidR="002A4B12" w:rsidRDefault="007F4B2E" w:rsidP="008A658D">
      <w:pPr>
        <w:pStyle w:val="ListParagraph"/>
        <w:tabs>
          <w:tab w:val="clear" w:pos="720"/>
          <w:tab w:val="num" w:pos="426"/>
        </w:tabs>
        <w:spacing w:before="240" w:line="240" w:lineRule="auto"/>
        <w:ind w:left="426" w:hanging="426"/>
      </w:pPr>
      <w:r w:rsidRPr="00952650">
        <w:t>Th</w:t>
      </w:r>
      <w:r w:rsidR="00A42554">
        <w:t xml:space="preserve">e effect of this determination is to streamline payment and invoicing processes by allowing the recipient that has the information to establish the value of the taxable </w:t>
      </w:r>
      <w:r w:rsidR="00FE1BAE">
        <w:t>supply to issue the tax invoice</w:t>
      </w:r>
      <w:r w:rsidR="0011280F">
        <w:t>.</w:t>
      </w:r>
    </w:p>
    <w:p w:rsidR="00952650" w:rsidRPr="00952650" w:rsidRDefault="00952650" w:rsidP="008A658D">
      <w:pPr>
        <w:pStyle w:val="ListParagraph"/>
        <w:tabs>
          <w:tab w:val="clear" w:pos="720"/>
          <w:tab w:val="num" w:pos="426"/>
        </w:tabs>
        <w:spacing w:line="240" w:lineRule="auto"/>
        <w:ind w:left="426" w:hanging="426"/>
      </w:pPr>
      <w:r w:rsidRPr="00952650">
        <w:t>Th</w:t>
      </w:r>
      <w:r w:rsidR="009C5340">
        <w:t>is</w:t>
      </w:r>
      <w:r w:rsidRPr="00952650">
        <w:t xml:space="preserve"> determination is substantially the same as the previous determination that it replaces. </w:t>
      </w:r>
      <w:r w:rsidR="00231D50">
        <w:t xml:space="preserve">An entity that satisfied the requirements of the previous determination </w:t>
      </w:r>
      <w:r w:rsidR="00FA724F">
        <w:t xml:space="preserve">and is an aggregator of DSR </w:t>
      </w:r>
      <w:r w:rsidR="00231D50">
        <w:t>will satisfy the require</w:t>
      </w:r>
      <w:r w:rsidR="00A42554">
        <w:t>m</w:t>
      </w:r>
      <w:r w:rsidR="00231D50">
        <w:t>ents of this determination.</w:t>
      </w:r>
    </w:p>
    <w:p w:rsidR="00486653" w:rsidRPr="009F31A4" w:rsidRDefault="00EC586A" w:rsidP="008A658D">
      <w:pPr>
        <w:pStyle w:val="ListParagraph"/>
        <w:tabs>
          <w:tab w:val="clear" w:pos="720"/>
          <w:tab w:val="num" w:pos="426"/>
        </w:tabs>
        <w:spacing w:line="240" w:lineRule="auto"/>
        <w:ind w:left="426" w:hanging="426"/>
      </w:pPr>
      <w:r>
        <w:t>Compliance cost impact: Minor – there will be no or minimal impact for both implementation a</w:t>
      </w:r>
      <w:r w:rsidR="009C5340">
        <w:t>nd ongoing compliance costs. This</w:t>
      </w:r>
      <w:r>
        <w:t xml:space="preserve"> determination is minor or machinery in nature.</w:t>
      </w:r>
      <w:r w:rsidR="00A07646">
        <w:br/>
      </w:r>
    </w:p>
    <w:p w:rsidR="004123BC" w:rsidRDefault="00486653" w:rsidP="00D844F6">
      <w:pPr>
        <w:pStyle w:val="Heading2"/>
        <w:spacing w:before="240" w:line="240" w:lineRule="auto"/>
      </w:pPr>
      <w:r w:rsidRPr="005E6CCE">
        <w:t>Background</w:t>
      </w:r>
      <w:r w:rsidR="00D844F6">
        <w:br/>
      </w:r>
    </w:p>
    <w:p w:rsidR="00AC63C0" w:rsidRDefault="00900D39" w:rsidP="008A658D">
      <w:pPr>
        <w:pStyle w:val="ListParagraph"/>
        <w:tabs>
          <w:tab w:val="clear" w:pos="720"/>
          <w:tab w:val="num" w:pos="567"/>
        </w:tabs>
        <w:spacing w:line="240" w:lineRule="auto"/>
        <w:ind w:left="426" w:hanging="426"/>
      </w:pPr>
      <w:r w:rsidRPr="00C921BC">
        <w:t xml:space="preserve">This </w:t>
      </w:r>
      <w:r w:rsidR="00A42554">
        <w:t>determination</w:t>
      </w:r>
      <w:r w:rsidRPr="004123BC">
        <w:rPr>
          <w:i/>
        </w:rPr>
        <w:t xml:space="preserve"> </w:t>
      </w:r>
      <w:r w:rsidRPr="00C921BC">
        <w:t xml:space="preserve">replaces </w:t>
      </w:r>
      <w:r w:rsidR="005408C3" w:rsidRPr="004123BC">
        <w:rPr>
          <w:i/>
        </w:rPr>
        <w:t>A New Tax System (</w:t>
      </w:r>
      <w:r w:rsidR="00A502F6" w:rsidRPr="004123BC">
        <w:rPr>
          <w:i/>
        </w:rPr>
        <w:t>Goods and Services Tax</w:t>
      </w:r>
      <w:r w:rsidR="005408C3" w:rsidRPr="004123BC">
        <w:rPr>
          <w:i/>
        </w:rPr>
        <w:t>) Act 1999</w:t>
      </w:r>
      <w:r w:rsidR="00A502F6" w:rsidRPr="004123BC">
        <w:rPr>
          <w:i/>
        </w:rPr>
        <w:t>:</w:t>
      </w:r>
      <w:r w:rsidR="00A502F6" w:rsidRPr="007E0D68">
        <w:t xml:space="preserve"> Classes of Recipient Created Tax Invoices Determination (No 1</w:t>
      </w:r>
      <w:r w:rsidR="00A472E5" w:rsidRPr="007E0D68">
        <w:t>)</w:t>
      </w:r>
      <w:r w:rsidR="00A472E5">
        <w:t xml:space="preserve"> </w:t>
      </w:r>
      <w:r w:rsidR="00A472E5" w:rsidRPr="007E0D68">
        <w:t>2001</w:t>
      </w:r>
      <w:r w:rsidR="00A502F6" w:rsidRPr="007E0D68">
        <w:t>,</w:t>
      </w:r>
      <w:r w:rsidR="00700E69">
        <w:t xml:space="preserve"> </w:t>
      </w:r>
      <w:r w:rsidR="00A502F6" w:rsidRPr="007E0D68">
        <w:t>F2006L03480</w:t>
      </w:r>
      <w:r w:rsidR="00E9403F">
        <w:t xml:space="preserve"> (previous determination)</w:t>
      </w:r>
      <w:r w:rsidR="00A502F6" w:rsidRPr="007E0D68">
        <w:t>,</w:t>
      </w:r>
      <w:r>
        <w:t xml:space="preserve"> registered on </w:t>
      </w:r>
      <w:r w:rsidR="00FE1BAE">
        <w:t xml:space="preserve">17 October </w:t>
      </w:r>
      <w:r w:rsidR="00CE1A80">
        <w:t>2006</w:t>
      </w:r>
      <w:r>
        <w:t>. The previous determination</w:t>
      </w:r>
      <w:r w:rsidR="00A502F6" w:rsidRPr="007E0D68">
        <w:t xml:space="preserve"> </w:t>
      </w:r>
      <w:r w:rsidR="005408C3">
        <w:t xml:space="preserve">is repealed </w:t>
      </w:r>
      <w:r w:rsidR="00E9403F">
        <w:t>from 1 April 2017</w:t>
      </w:r>
      <w:r w:rsidR="005408C3">
        <w:t>.</w:t>
      </w:r>
      <w:r w:rsidR="00AC63C0">
        <w:t xml:space="preserve"> </w:t>
      </w:r>
    </w:p>
    <w:p w:rsidR="000748D1" w:rsidRPr="00154D35" w:rsidRDefault="000748D1" w:rsidP="008A658D">
      <w:pPr>
        <w:pStyle w:val="Heading2"/>
        <w:spacing w:before="240" w:line="240" w:lineRule="auto"/>
      </w:pPr>
      <w:r w:rsidRPr="00154D35">
        <w:t>Consultation</w:t>
      </w:r>
    </w:p>
    <w:p w:rsidR="00F76669" w:rsidRDefault="00F76669" w:rsidP="008A658D">
      <w:pPr>
        <w:pStyle w:val="ListParagraph"/>
        <w:tabs>
          <w:tab w:val="clear" w:pos="720"/>
          <w:tab w:val="num" w:pos="426"/>
        </w:tabs>
        <w:spacing w:before="240" w:line="240" w:lineRule="auto"/>
        <w:ind w:left="426" w:hanging="426"/>
      </w:pPr>
      <w:r>
        <w:t xml:space="preserve">Subsection 17(1) of the </w:t>
      </w:r>
      <w:r w:rsidRPr="003277ED">
        <w:rPr>
          <w:i/>
        </w:rPr>
        <w:t>Legislation Act 2003</w:t>
      </w:r>
      <w:r>
        <w:t xml:space="preserve"> requires, before the making of a determination, that the rule-maker is satisfied that appropriate and reasonably practicable consultation has been undertaken. </w:t>
      </w:r>
    </w:p>
    <w:p w:rsidR="00F76669" w:rsidRDefault="00F76669" w:rsidP="008A658D">
      <w:pPr>
        <w:pStyle w:val="ListParagraph"/>
        <w:tabs>
          <w:tab w:val="clear" w:pos="720"/>
          <w:tab w:val="num" w:pos="426"/>
        </w:tabs>
        <w:spacing w:line="240" w:lineRule="auto"/>
        <w:ind w:left="426" w:hanging="426"/>
      </w:pPr>
      <w:r>
        <w:t xml:space="preserve">Broad consultation has been undertaken. The draft determination and draft explanatory statement were published on the ATO Legal database </w:t>
      </w:r>
      <w:r w:rsidR="00FE1BAE">
        <w:t xml:space="preserve">at ato.gov.au seeking feedback and comments for a period of </w:t>
      </w:r>
      <w:r>
        <w:t xml:space="preserve">two weeks. Notice of the draft determination was also published to ato.gov.au and subscription alerts </w:t>
      </w:r>
      <w:r w:rsidR="00A472E5">
        <w:t>issued. Tax</w:t>
      </w:r>
      <w:r>
        <w:t xml:space="preserve"> professionals and tax associations regularly review both the Legal database and ato.gov.au and further promulgate advice of new drafts issued in their internal news bulletins. The major legal publishers also publish news of the drafts in their key tax alerting services - such as the Weekly Tax Bulletin (published by Thomson Reuters Australia) and Tax Tracker and Tax Week (published by CCH Australia).  Additionally, draft determinations and draft explanatory statements have been published on the ATO Consultation Hub.  Links to these drafts were published </w:t>
      </w:r>
      <w:r w:rsidR="009C5340">
        <w:t>in</w:t>
      </w:r>
      <w:r>
        <w:t xml:space="preserve"> newsletters such as the Taxation News (Chartered Accountants Australia and New Zealand) weekly bulletin. No comments have been received to date.</w:t>
      </w:r>
      <w:r w:rsidR="000A1A55">
        <w:br/>
      </w:r>
    </w:p>
    <w:p w:rsidR="007557ED" w:rsidRPr="00C921BC" w:rsidRDefault="007557ED" w:rsidP="008A658D">
      <w:pPr>
        <w:spacing w:line="240" w:lineRule="auto"/>
        <w:rPr>
          <w:i/>
        </w:rPr>
      </w:pPr>
      <w:r w:rsidRPr="008A658D">
        <w:rPr>
          <w:b/>
          <w:sz w:val="24"/>
        </w:rPr>
        <w:t>Legislative References</w:t>
      </w:r>
      <w:r w:rsidR="00990D3A">
        <w:rPr>
          <w:b/>
          <w:sz w:val="24"/>
        </w:rPr>
        <w:t>:</w:t>
      </w:r>
      <w:r w:rsidR="00A07646">
        <w:rPr>
          <w:b/>
        </w:rPr>
        <w:br/>
      </w:r>
      <w:r>
        <w:br/>
      </w:r>
      <w:r w:rsidRPr="00C921BC">
        <w:rPr>
          <w:i/>
        </w:rPr>
        <w:t>A New Tax System (Goods and Services Tax) Act 1999</w:t>
      </w:r>
      <w:r w:rsidRPr="00C921BC">
        <w:rPr>
          <w:i/>
        </w:rPr>
        <w:br/>
        <w:t>Acts Interpretation Act 1901</w:t>
      </w:r>
      <w:r w:rsidRPr="00C921BC">
        <w:rPr>
          <w:i/>
        </w:rPr>
        <w:br/>
        <w:t>Legislation Act 2003</w:t>
      </w:r>
      <w:r w:rsidRPr="00C921BC">
        <w:rPr>
          <w:i/>
        </w:rPr>
        <w:br/>
      </w:r>
      <w:r w:rsidRPr="007557ED">
        <w:rPr>
          <w:rFonts w:eastAsia="Calibri"/>
          <w:i/>
          <w:lang w:eastAsia="en-US"/>
        </w:rPr>
        <w:t>Human Rights (Parliamentary Scrutiny) Act 2011.</w:t>
      </w:r>
    </w:p>
    <w:p w:rsidR="00E53399" w:rsidRDefault="000748D1" w:rsidP="008A658D">
      <w:pPr>
        <w:pStyle w:val="ListParagraph"/>
        <w:spacing w:line="240" w:lineRule="auto"/>
        <w:rPr>
          <w:color w:val="0000FF"/>
        </w:rPr>
      </w:pPr>
      <w:r w:rsidRPr="000B6425">
        <w:br w:type="page"/>
      </w:r>
    </w:p>
    <w:p w:rsidR="008D048A" w:rsidRDefault="00E53399" w:rsidP="008A658D">
      <w:pPr>
        <w:pStyle w:val="Heading3"/>
        <w:spacing w:before="0" w:after="0" w:line="240" w:lineRule="auto"/>
        <w:jc w:val="center"/>
      </w:pPr>
      <w:r>
        <w:t xml:space="preserve">Statement of compatibility </w:t>
      </w:r>
      <w:r w:rsidR="008D048A">
        <w:t>with Human Rights</w:t>
      </w:r>
    </w:p>
    <w:p w:rsidR="0084614F" w:rsidRPr="0084614F" w:rsidRDefault="0084614F" w:rsidP="008A658D">
      <w:pPr>
        <w:spacing w:line="240" w:lineRule="auto"/>
      </w:pPr>
    </w:p>
    <w:p w:rsidR="00D77015" w:rsidRDefault="00DF7021" w:rsidP="008A658D">
      <w:pPr>
        <w:pStyle w:val="Heading3"/>
        <w:spacing w:before="0" w:after="0" w:line="240" w:lineRule="auto"/>
      </w:pPr>
      <w:r>
        <w:rPr>
          <w:b w:val="0"/>
          <w:sz w:val="22"/>
        </w:rPr>
        <w:t>This statement is p</w:t>
      </w:r>
      <w:r w:rsidR="00E53399" w:rsidRPr="008D048A">
        <w:rPr>
          <w:b w:val="0"/>
          <w:sz w:val="22"/>
        </w:rPr>
        <w:t xml:space="preserve">repared in accordance with Part 3 of the </w:t>
      </w:r>
      <w:r w:rsidR="00E53399" w:rsidRPr="008D048A">
        <w:rPr>
          <w:b w:val="0"/>
          <w:i/>
          <w:sz w:val="22"/>
        </w:rPr>
        <w:t>Human Rights (Parliamentary Scrutiny) Act 2011</w:t>
      </w:r>
    </w:p>
    <w:p w:rsidR="00075B58" w:rsidRPr="008D048A" w:rsidRDefault="00F76669" w:rsidP="008A658D">
      <w:pPr>
        <w:spacing w:after="0" w:line="240" w:lineRule="auto"/>
        <w:jc w:val="center"/>
        <w:rPr>
          <w:b/>
          <w:sz w:val="24"/>
        </w:rPr>
      </w:pPr>
      <w:r>
        <w:rPr>
          <w:b/>
          <w:i/>
          <w:sz w:val="24"/>
        </w:rPr>
        <w:br/>
      </w:r>
      <w:r w:rsidR="003B2112" w:rsidRPr="00C921BC">
        <w:rPr>
          <w:b/>
          <w:sz w:val="24"/>
        </w:rPr>
        <w:t>Good</w:t>
      </w:r>
      <w:r w:rsidR="00F15E35">
        <w:rPr>
          <w:b/>
          <w:sz w:val="24"/>
        </w:rPr>
        <w:t>s</w:t>
      </w:r>
      <w:r w:rsidR="003B2112" w:rsidRPr="00C921BC">
        <w:rPr>
          <w:b/>
          <w:sz w:val="24"/>
        </w:rPr>
        <w:t xml:space="preserve"> and Services Tax</w:t>
      </w:r>
      <w:r w:rsidR="003B2112" w:rsidRPr="008D048A">
        <w:rPr>
          <w:b/>
          <w:sz w:val="24"/>
        </w:rPr>
        <w:t xml:space="preserve">: Classes of Recipient Created Tax Invoices Determination </w:t>
      </w:r>
      <w:r w:rsidR="006462ED">
        <w:rPr>
          <w:b/>
          <w:sz w:val="24"/>
        </w:rPr>
        <w:t>2017 for Demand Side Response Aggregators</w:t>
      </w:r>
    </w:p>
    <w:p w:rsidR="00075B58" w:rsidRPr="00C921BC" w:rsidRDefault="00F76669" w:rsidP="008A658D">
      <w:pPr>
        <w:spacing w:after="0" w:line="240" w:lineRule="auto"/>
        <w:rPr>
          <w:rFonts w:eastAsia="Calibri"/>
          <w:b/>
          <w:i/>
          <w:lang w:eastAsia="en-US"/>
        </w:rPr>
      </w:pPr>
      <w:r>
        <w:rPr>
          <w:rFonts w:eastAsia="Calibri"/>
          <w:lang w:eastAsia="en-US"/>
        </w:rPr>
        <w:br/>
      </w:r>
      <w:r w:rsidR="00075B58" w:rsidRPr="004D24EA">
        <w:rPr>
          <w:rFonts w:eastAsia="Calibri"/>
          <w:lang w:eastAsia="en-US"/>
        </w:rPr>
        <w:t xml:space="preserve">This </w:t>
      </w:r>
      <w:r w:rsidR="002F0D8F">
        <w:rPr>
          <w:rFonts w:eastAsia="Calibri"/>
          <w:lang w:eastAsia="en-US"/>
        </w:rPr>
        <w:t>l</w:t>
      </w:r>
      <w:r w:rsidR="00075B58" w:rsidRPr="004D24EA">
        <w:rPr>
          <w:rFonts w:eastAsia="Calibri"/>
          <w:lang w:eastAsia="en-US"/>
        </w:rPr>
        <w:t xml:space="preserve">egislative </w:t>
      </w:r>
      <w:r w:rsidR="002F0D8F">
        <w:rPr>
          <w:rFonts w:eastAsia="Calibri"/>
          <w:lang w:eastAsia="en-US"/>
        </w:rPr>
        <w:t>i</w:t>
      </w:r>
      <w:r w:rsidR="00075B58" w:rsidRPr="004D24EA">
        <w:rPr>
          <w:rFonts w:eastAsia="Calibri"/>
          <w:lang w:eastAsia="en-US"/>
        </w:rPr>
        <w:t xml:space="preserve">nstrument is compatible with the human rights and freedoms recognised or declared in the international instruments listed in section 3 of the </w:t>
      </w:r>
      <w:r w:rsidR="00075B58" w:rsidRPr="00E63E0F">
        <w:rPr>
          <w:rFonts w:eastAsia="Calibri"/>
          <w:i/>
          <w:lang w:eastAsia="en-US"/>
        </w:rPr>
        <w:t xml:space="preserve">Human Rights (Parliamentary Scrutiny) Act 2011. </w:t>
      </w:r>
      <w:r>
        <w:rPr>
          <w:rFonts w:eastAsia="Calibri"/>
          <w:i/>
          <w:lang w:eastAsia="en-US"/>
        </w:rPr>
        <w:br/>
      </w:r>
    </w:p>
    <w:p w:rsidR="00900D39" w:rsidRPr="003277ED" w:rsidRDefault="00075B58" w:rsidP="008A658D">
      <w:pPr>
        <w:spacing w:after="0" w:line="240" w:lineRule="auto"/>
        <w:rPr>
          <w:b/>
          <w:sz w:val="24"/>
        </w:rPr>
      </w:pPr>
      <w:r w:rsidRPr="003277ED">
        <w:rPr>
          <w:b/>
          <w:sz w:val="24"/>
        </w:rPr>
        <w:t>Overview of the Legislative Instrument</w:t>
      </w:r>
    </w:p>
    <w:p w:rsidR="0058216B" w:rsidRDefault="0058216B" w:rsidP="008A658D">
      <w:pPr>
        <w:spacing w:after="0" w:line="240" w:lineRule="auto"/>
      </w:pPr>
    </w:p>
    <w:p w:rsidR="0084614F" w:rsidRPr="00CB307F" w:rsidRDefault="00A42554" w:rsidP="008A658D">
      <w:pPr>
        <w:spacing w:after="0" w:line="240" w:lineRule="auto"/>
      </w:pPr>
      <w:r>
        <w:t xml:space="preserve">Generally, tax invoices are issued by a supplier under the basic rules for GST. </w:t>
      </w:r>
      <w:r w:rsidR="00F60DBC" w:rsidRPr="007557ED">
        <w:t xml:space="preserve">The </w:t>
      </w:r>
      <w:r w:rsidR="00D213ED">
        <w:t>legislative instrument</w:t>
      </w:r>
      <w:r w:rsidR="00D213ED" w:rsidRPr="007557ED">
        <w:t xml:space="preserve"> </w:t>
      </w:r>
      <w:r>
        <w:t>allows</w:t>
      </w:r>
      <w:r w:rsidR="00F60DBC" w:rsidRPr="007557ED">
        <w:t xml:space="preserve"> an </w:t>
      </w:r>
      <w:r w:rsidR="00F60DBC" w:rsidRPr="008A658D">
        <w:rPr>
          <w:b/>
        </w:rPr>
        <w:t xml:space="preserve">aggregator of </w:t>
      </w:r>
      <w:r w:rsidR="007557ED" w:rsidRPr="008A658D">
        <w:rPr>
          <w:b/>
        </w:rPr>
        <w:t>Demand Side Response (</w:t>
      </w:r>
      <w:r w:rsidR="00F60DBC" w:rsidRPr="008A658D">
        <w:rPr>
          <w:b/>
        </w:rPr>
        <w:t>DSR</w:t>
      </w:r>
      <w:r w:rsidR="007557ED" w:rsidRPr="008A658D">
        <w:rPr>
          <w:b/>
        </w:rPr>
        <w:t>)</w:t>
      </w:r>
      <w:r w:rsidR="00F60DBC" w:rsidRPr="007557ED">
        <w:t xml:space="preserve"> who is the recipient of a</w:t>
      </w:r>
      <w:r w:rsidR="00780E29" w:rsidRPr="007557ED">
        <w:t xml:space="preserve"> </w:t>
      </w:r>
      <w:r w:rsidR="00F60DBC" w:rsidRPr="007557ED">
        <w:t xml:space="preserve">taxable supply of DSR, </w:t>
      </w:r>
      <w:r>
        <w:t>to</w:t>
      </w:r>
      <w:r w:rsidR="00F60DBC" w:rsidRPr="007557ED">
        <w:t xml:space="preserve"> </w:t>
      </w:r>
      <w:r w:rsidR="00FE1BAE">
        <w:t xml:space="preserve">issue the </w:t>
      </w:r>
      <w:r w:rsidR="00F60DBC" w:rsidRPr="007557ED">
        <w:t xml:space="preserve">tax invoice </w:t>
      </w:r>
      <w:r>
        <w:t>(called a recipient created tax invoice)</w:t>
      </w:r>
      <w:r w:rsidR="00F60DBC" w:rsidRPr="007557ED">
        <w:t xml:space="preserve"> </w:t>
      </w:r>
      <w:r>
        <w:t>subject to a num</w:t>
      </w:r>
      <w:r w:rsidR="00FE1BAE">
        <w:t>b</w:t>
      </w:r>
      <w:r>
        <w:t>er of provisos</w:t>
      </w:r>
      <w:r w:rsidR="00BA57F5" w:rsidRPr="007557ED">
        <w:t xml:space="preserve">. </w:t>
      </w:r>
      <w:r w:rsidR="00F76669">
        <w:rPr>
          <w:b/>
        </w:rPr>
        <w:br/>
      </w:r>
      <w:r w:rsidR="00231D50">
        <w:rPr>
          <w:b/>
        </w:rPr>
        <w:br/>
      </w:r>
      <w:r w:rsidR="00075B58" w:rsidRPr="003277ED">
        <w:rPr>
          <w:b/>
          <w:sz w:val="24"/>
        </w:rPr>
        <w:t>Human rights implications</w:t>
      </w:r>
    </w:p>
    <w:p w:rsidR="0058216B" w:rsidRDefault="0058216B" w:rsidP="008A658D">
      <w:pPr>
        <w:spacing w:after="0" w:line="240" w:lineRule="auto"/>
      </w:pPr>
    </w:p>
    <w:p w:rsidR="004E70BB" w:rsidRDefault="00075B58" w:rsidP="008A658D">
      <w:pPr>
        <w:spacing w:after="0" w:line="240" w:lineRule="auto"/>
      </w:pPr>
      <w:r w:rsidRPr="004E29D9">
        <w:t>Th</w:t>
      </w:r>
      <w:r w:rsidR="002F0D8F">
        <w:t>is</w:t>
      </w:r>
      <w:r w:rsidRPr="004E29D9">
        <w:t xml:space="preserve"> </w:t>
      </w:r>
      <w:r w:rsidR="002F0D8F">
        <w:t>legislative instrument</w:t>
      </w:r>
      <w:r w:rsidR="002F0D8F" w:rsidRPr="004E29D9">
        <w:t xml:space="preserve"> </w:t>
      </w:r>
      <w:r w:rsidRPr="004E29D9">
        <w:t xml:space="preserve">does not engage any of the applicable rights or freedoms. </w:t>
      </w:r>
      <w:r w:rsidR="004E70BB" w:rsidRPr="004E70BB">
        <w:t>It allows for the streamlining of invoicing and payment practices.</w:t>
      </w:r>
      <w:r w:rsidR="00C10C63">
        <w:t xml:space="preserve"> </w:t>
      </w:r>
    </w:p>
    <w:p w:rsidR="0084614F" w:rsidRPr="004E70BB" w:rsidRDefault="0084614F" w:rsidP="008A658D">
      <w:pPr>
        <w:spacing w:after="0" w:line="240" w:lineRule="auto"/>
      </w:pPr>
    </w:p>
    <w:p w:rsidR="00075B58" w:rsidRPr="00231D50" w:rsidRDefault="00075B58" w:rsidP="008A658D">
      <w:pPr>
        <w:pStyle w:val="Heading2"/>
        <w:spacing w:line="240" w:lineRule="auto"/>
      </w:pPr>
      <w:r w:rsidRPr="00231D50">
        <w:t>Conclusion</w:t>
      </w:r>
    </w:p>
    <w:p w:rsidR="0058216B" w:rsidRDefault="0058216B" w:rsidP="008A658D">
      <w:pPr>
        <w:spacing w:after="0" w:line="240" w:lineRule="auto"/>
      </w:pPr>
    </w:p>
    <w:p w:rsidR="00075B58" w:rsidRPr="004E29D9" w:rsidRDefault="00075B58" w:rsidP="008A658D">
      <w:pPr>
        <w:spacing w:after="0" w:line="240" w:lineRule="auto"/>
      </w:pPr>
      <w:r w:rsidRPr="004E29D9">
        <w:t xml:space="preserve">This </w:t>
      </w:r>
      <w:r w:rsidR="002F0D8F">
        <w:t>l</w:t>
      </w:r>
      <w:r w:rsidRPr="004E29D9">
        <w:t xml:space="preserve">egislative </w:t>
      </w:r>
      <w:r w:rsidR="002F0D8F">
        <w:t>i</w:t>
      </w:r>
      <w:r w:rsidRPr="004E29D9">
        <w:t>nstrument is compatible with human rights as it does not raise any human rights issues.</w:t>
      </w:r>
    </w:p>
    <w:p w:rsidR="00075B58" w:rsidRDefault="00075B58" w:rsidP="008A658D">
      <w:pPr>
        <w:spacing w:line="240" w:lineRule="auto"/>
      </w:pPr>
    </w:p>
    <w:p w:rsidR="008540EA" w:rsidRPr="001F28A6" w:rsidRDefault="008540EA" w:rsidP="008A658D">
      <w:pPr>
        <w:pStyle w:val="Heading2"/>
        <w:spacing w:line="240" w:lineRule="auto"/>
      </w:pPr>
    </w:p>
    <w:sectPr w:rsidR="008540EA" w:rsidRPr="001F28A6" w:rsidSect="00E9403F">
      <w:headerReference w:type="even" r:id="rId14"/>
      <w:headerReference w:type="first" r:id="rId15"/>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3C" w:rsidRDefault="00B2053C" w:rsidP="008D048A">
      <w:r>
        <w:separator/>
      </w:r>
    </w:p>
  </w:endnote>
  <w:endnote w:type="continuationSeparator" w:id="0">
    <w:p w:rsidR="00B2053C" w:rsidRDefault="00B2053C" w:rsidP="008D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3C" w:rsidRDefault="00B2053C" w:rsidP="008D048A">
      <w:r>
        <w:separator/>
      </w:r>
    </w:p>
  </w:footnote>
  <w:footnote w:type="continuationSeparator" w:id="0">
    <w:p w:rsidR="00B2053C" w:rsidRDefault="00B2053C" w:rsidP="008D0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rsidP="008D048A">
    <w:pPr>
      <w:pStyle w:val="Header"/>
      <w:rPr>
        <w:sz w:val="52"/>
      </w:rPr>
    </w:pPr>
    <w:r w:rsidRPr="0067541C">
      <w:t>Taxation Determination</w:t>
    </w:r>
  </w:p>
  <w:p w:rsidR="00587C50" w:rsidRPr="0067541C" w:rsidRDefault="00587C50" w:rsidP="008D048A">
    <w:pPr>
      <w:pStyle w:val="Header"/>
    </w:pPr>
    <w:r w:rsidRPr="0067541C">
      <w:rPr>
        <w:b/>
      </w:rPr>
      <w:t xml:space="preserve">TD </w:t>
    </w:r>
  </w:p>
  <w:p w:rsidR="00587C50" w:rsidRPr="0067541C" w:rsidRDefault="00587C50" w:rsidP="008D048A">
    <w:pPr>
      <w:pStyle w:val="Header"/>
    </w:pPr>
    <w:r w:rsidRPr="0067541C">
      <w:rPr>
        <w:snapToGrid w:val="0"/>
        <w:lang w:eastAsia="en-US"/>
      </w:rPr>
      <w:t xml:space="preserve">Page </w:t>
    </w:r>
    <w:r w:rsidRPr="0067541C">
      <w:rPr>
        <w:snapToGrid w:val="0"/>
        <w:lang w:eastAsia="en-US"/>
      </w:rPr>
      <w:fldChar w:fldCharType="begin"/>
    </w:r>
    <w:r w:rsidRPr="0067541C">
      <w:rPr>
        <w:snapToGrid w:val="0"/>
        <w:lang w:eastAsia="en-US"/>
      </w:rPr>
      <w:instrText xml:space="preserve"> PAGE </w:instrText>
    </w:r>
    <w:r w:rsidRPr="0067541C">
      <w:rPr>
        <w:snapToGrid w:val="0"/>
        <w:lang w:eastAsia="en-US"/>
      </w:rPr>
      <w:fldChar w:fldCharType="separate"/>
    </w:r>
    <w:r>
      <w:rPr>
        <w:noProof/>
        <w:snapToGrid w:val="0"/>
        <w:lang w:eastAsia="en-US"/>
      </w:rPr>
      <w:t>2</w:t>
    </w:r>
    <w:r w:rsidRPr="0067541C">
      <w:rPr>
        <w:snapToGrid w:val="0"/>
        <w:lang w:eastAsia="en-US"/>
      </w:rPr>
      <w:fldChar w:fldCharType="end"/>
    </w:r>
    <w:r w:rsidRPr="0067541C">
      <w:rPr>
        <w:snapToGrid w:val="0"/>
        <w:lang w:eastAsia="en-US"/>
      </w:rPr>
      <w:t xml:space="preserve"> of </w:t>
    </w:r>
    <w:r w:rsidRPr="0067541C">
      <w:rPr>
        <w:snapToGrid w:val="0"/>
        <w:lang w:eastAsia="en-US"/>
      </w:rPr>
      <w:fldChar w:fldCharType="begin"/>
    </w:r>
    <w:r w:rsidRPr="0067541C">
      <w:rPr>
        <w:snapToGrid w:val="0"/>
        <w:lang w:eastAsia="en-US"/>
      </w:rPr>
      <w:instrText xml:space="preserve"> NUMPAGES </w:instrText>
    </w:r>
    <w:r w:rsidRPr="0067541C">
      <w:rPr>
        <w:snapToGrid w:val="0"/>
        <w:lang w:eastAsia="en-US"/>
      </w:rPr>
      <w:fldChar w:fldCharType="separate"/>
    </w:r>
    <w:r w:rsidR="00D213ED">
      <w:rPr>
        <w:noProof/>
        <w:snapToGrid w:val="0"/>
        <w:lang w:eastAsia="en-US"/>
      </w:rPr>
      <w:t>4</w:t>
    </w:r>
    <w:r w:rsidRPr="0067541C">
      <w:rPr>
        <w:snapToGrid w:val="0"/>
        <w:lang w:eastAsia="en-US"/>
      </w:rPr>
      <w:fldChar w:fldCharType="end"/>
    </w:r>
    <w:r w:rsidRPr="0067541C">
      <w:tab/>
      <w:t xml:space="preserve">FOI status:  </w:t>
    </w:r>
    <w:r w:rsidRPr="0067541C">
      <w:rPr>
        <w:b/>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4123BC" w:rsidP="008A658D">
    <w:pPr>
      <w:tabs>
        <w:tab w:val="center" w:pos="5233"/>
        <w:tab w:val="right" w:pos="10466"/>
      </w:tabs>
      <w:rPr>
        <w:sz w:val="20"/>
      </w:rPr>
    </w:pPr>
    <w:bookmarkStart w:id="12" w:name="AType"/>
    <w:r>
      <w:rPr>
        <w:sz w:val="20"/>
      </w:rPr>
      <w:tab/>
    </w:r>
    <w:r w:rsidR="00231D50">
      <w:rPr>
        <w:noProof/>
        <w:sz w:val="21"/>
      </w:rPr>
      <mc:AlternateContent>
        <mc:Choice Requires="wps">
          <w:drawing>
            <wp:anchor distT="0" distB="0" distL="114300" distR="114300" simplePos="0" relativeHeight="251659264" behindDoc="0" locked="0" layoutInCell="1" allowOverlap="1" wp14:anchorId="1E005531" wp14:editId="3809A7B6">
              <wp:simplePos x="0" y="0"/>
              <wp:positionH relativeFrom="column">
                <wp:posOffset>3096895</wp:posOffset>
              </wp:positionH>
              <wp:positionV relativeFrom="paragraph">
                <wp:posOffset>-219075</wp:posOffset>
              </wp:positionV>
              <wp:extent cx="310515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1051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1D50" w:rsidRPr="008D048A" w:rsidRDefault="00231D50" w:rsidP="003277ED">
                          <w:pPr>
                            <w:jc w:val="center"/>
                            <w:rPr>
                              <w:sz w:val="20"/>
                            </w:rPr>
                          </w:pPr>
                          <w:r>
                            <w:rPr>
                              <w:sz w:val="20"/>
                            </w:rPr>
                            <w:t>A</w:t>
                          </w:r>
                          <w:r w:rsidRPr="008D048A">
                            <w:rPr>
                              <w:sz w:val="20"/>
                            </w:rPr>
                            <w:t>ustralian Taxation Office Legislative Instrument</w:t>
                          </w:r>
                        </w:p>
                        <w:p w:rsidR="00231D50" w:rsidRPr="008D048A" w:rsidRDefault="00231D50" w:rsidP="003277ED">
                          <w:pPr>
                            <w:jc w:val="center"/>
                            <w:rPr>
                              <w:b/>
                              <w:sz w:val="28"/>
                            </w:rPr>
                          </w:pPr>
                          <w:r w:rsidRPr="008D048A">
                            <w:rPr>
                              <w:b/>
                              <w:sz w:val="28"/>
                            </w:rPr>
                            <w:t>Instrument ID: 2017/ITX/0026</w:t>
                          </w:r>
                        </w:p>
                        <w:p w:rsidR="00231D50" w:rsidRDefault="00231D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3.85pt;margin-top:-17.25pt;width:244.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" fillcolor="white [3201]" strokeweight=".5pt">
              <v:textbox>
                <w:txbxContent>
                  <w:p w:rsidR="00231D50" w:rsidRPr="008D048A" w:rsidRDefault="00231D50" w:rsidP="003277ED">
                    <w:pPr>
                      <w:jc w:val="center"/>
                      <w:rPr>
                        <w:sz w:val="20"/>
                      </w:rPr>
                    </w:pPr>
                    <w:r>
                      <w:rPr>
                        <w:sz w:val="20"/>
                      </w:rPr>
                      <w:t>A</w:t>
                    </w:r>
                    <w:r w:rsidRPr="008D048A">
                      <w:rPr>
                        <w:sz w:val="20"/>
                      </w:rPr>
                      <w:t>ustralian Taxation Office Legislative Instrument</w:t>
                    </w:r>
                  </w:p>
                  <w:p w:rsidR="00231D50" w:rsidRPr="008D048A" w:rsidRDefault="00231D50" w:rsidP="003277ED">
                    <w:pPr>
                      <w:jc w:val="center"/>
                      <w:rPr>
                        <w:b/>
                        <w:sz w:val="28"/>
                      </w:rPr>
                    </w:pPr>
                    <w:r w:rsidRPr="008D048A">
                      <w:rPr>
                        <w:b/>
                        <w:sz w:val="28"/>
                      </w:rPr>
                      <w:t>Instrument ID: 2017/ITX/0026</w:t>
                    </w:r>
                  </w:p>
                  <w:p w:rsidR="00231D50" w:rsidRDefault="00231D50"/>
                </w:txbxContent>
              </v:textbox>
            </v:shape>
          </w:pict>
        </mc:Fallback>
      </mc:AlternateContent>
    </w:r>
    <w:r w:rsidR="008D048A" w:rsidRPr="008D048A">
      <w:rPr>
        <w:noProof/>
        <w:sz w:val="21"/>
      </w:rPr>
      <w:drawing>
        <wp:anchor distT="0" distB="0" distL="114300" distR="114300" simplePos="0" relativeHeight="251658240" behindDoc="1" locked="0" layoutInCell="1" allowOverlap="1" wp14:anchorId="6637A929" wp14:editId="3B14A310">
          <wp:simplePos x="0" y="0"/>
          <wp:positionH relativeFrom="column">
            <wp:posOffset>-351155</wp:posOffset>
          </wp:positionH>
          <wp:positionV relativeFrom="paragraph">
            <wp:posOffset>-200025</wp:posOffset>
          </wp:positionV>
          <wp:extent cx="2413635" cy="701675"/>
          <wp:effectExtent l="0" t="0" r="5715" b="3175"/>
          <wp:wrapThrough wrapText="bothSides">
            <wp:wrapPolygon edited="0">
              <wp:start x="0" y="0"/>
              <wp:lineTo x="0" y="21111"/>
              <wp:lineTo x="21481" y="21111"/>
              <wp:lineTo x="21481" y="0"/>
              <wp:lineTo x="0" y="0"/>
            </wp:wrapPolygon>
          </wp:wrapThrough>
          <wp:docPr id="2"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ED8" w:rsidRPr="008D048A">
      <w:rPr>
        <w:sz w:val="20"/>
      </w:rPr>
      <w:t>A</w:t>
    </w:r>
    <w:bookmarkEnd w:id="12"/>
    <w:r>
      <w:rPr>
        <w:sz w:val="20"/>
      </w:rPr>
      <w:tab/>
    </w:r>
  </w:p>
  <w:p w:rsidR="004123BC" w:rsidRDefault="004123BC" w:rsidP="008A658D">
    <w:pPr>
      <w:tabs>
        <w:tab w:val="center" w:pos="5233"/>
        <w:tab w:val="right" w:pos="10466"/>
      </w:tabs>
      <w:rPr>
        <w:sz w:val="20"/>
      </w:rPr>
    </w:pPr>
  </w:p>
  <w:p w:rsidR="004123BC" w:rsidRDefault="004123BC" w:rsidP="008A658D">
    <w:pPr>
      <w:tabs>
        <w:tab w:val="center" w:pos="5233"/>
        <w:tab w:val="right" w:pos="10466"/>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nsid w:val="068B2575"/>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7">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8">
    <w:nsid w:val="14B50836"/>
    <w:multiLevelType w:val="hybridMultilevel"/>
    <w:tmpl w:val="402C5142"/>
    <w:lvl w:ilvl="0" w:tplc="D4B26DB6">
      <w:start w:val="4"/>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091838"/>
    <w:multiLevelType w:val="hybridMultilevel"/>
    <w:tmpl w:val="B3426F72"/>
    <w:lvl w:ilvl="0" w:tplc="2DEAF340">
      <w:start w:val="1"/>
      <w:numFmt w:val="decimal"/>
      <w:lvlText w:val="%1."/>
      <w:lvlJc w:val="left"/>
      <w:pPr>
        <w:ind w:left="786" w:hanging="360"/>
      </w:pPr>
      <w:rPr>
        <w:rFonts w:hint="default"/>
        <w:b w:val="0"/>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1A0D1213"/>
    <w:multiLevelType w:val="hybridMultilevel"/>
    <w:tmpl w:val="2D9E5F80"/>
    <w:lvl w:ilvl="0" w:tplc="0BCE31D6">
      <w:start w:val="9"/>
      <w:numFmt w:val="decimal"/>
      <w:lvlText w:val="%1."/>
      <w:lvlJc w:val="left"/>
      <w:pPr>
        <w:tabs>
          <w:tab w:val="num" w:pos="622"/>
        </w:tabs>
        <w:ind w:left="622" w:hanging="454"/>
      </w:pPr>
      <w:rPr>
        <w:rFonts w:hint="default"/>
      </w:rPr>
    </w:lvl>
    <w:lvl w:ilvl="1" w:tplc="0C090019">
      <w:start w:val="1"/>
      <w:numFmt w:val="lowerLetter"/>
      <w:lvlText w:val="%2."/>
      <w:lvlJc w:val="left"/>
      <w:pPr>
        <w:tabs>
          <w:tab w:val="num" w:pos="1608"/>
        </w:tabs>
        <w:ind w:left="1608" w:hanging="360"/>
      </w:pPr>
    </w:lvl>
    <w:lvl w:ilvl="2" w:tplc="0C09001B" w:tentative="1">
      <w:start w:val="1"/>
      <w:numFmt w:val="lowerRoman"/>
      <w:lvlText w:val="%3."/>
      <w:lvlJc w:val="right"/>
      <w:pPr>
        <w:tabs>
          <w:tab w:val="num" w:pos="2328"/>
        </w:tabs>
        <w:ind w:left="2328" w:hanging="180"/>
      </w:pPr>
    </w:lvl>
    <w:lvl w:ilvl="3" w:tplc="0C09000F" w:tentative="1">
      <w:start w:val="1"/>
      <w:numFmt w:val="decimal"/>
      <w:lvlText w:val="%4."/>
      <w:lvlJc w:val="left"/>
      <w:pPr>
        <w:tabs>
          <w:tab w:val="num" w:pos="3048"/>
        </w:tabs>
        <w:ind w:left="3048" w:hanging="360"/>
      </w:pPr>
    </w:lvl>
    <w:lvl w:ilvl="4" w:tplc="0C090019" w:tentative="1">
      <w:start w:val="1"/>
      <w:numFmt w:val="lowerLetter"/>
      <w:lvlText w:val="%5."/>
      <w:lvlJc w:val="left"/>
      <w:pPr>
        <w:tabs>
          <w:tab w:val="num" w:pos="3768"/>
        </w:tabs>
        <w:ind w:left="3768" w:hanging="360"/>
      </w:pPr>
    </w:lvl>
    <w:lvl w:ilvl="5" w:tplc="0C09001B" w:tentative="1">
      <w:start w:val="1"/>
      <w:numFmt w:val="lowerRoman"/>
      <w:lvlText w:val="%6."/>
      <w:lvlJc w:val="right"/>
      <w:pPr>
        <w:tabs>
          <w:tab w:val="num" w:pos="4488"/>
        </w:tabs>
        <w:ind w:left="4488" w:hanging="180"/>
      </w:pPr>
    </w:lvl>
    <w:lvl w:ilvl="6" w:tplc="0C09000F" w:tentative="1">
      <w:start w:val="1"/>
      <w:numFmt w:val="decimal"/>
      <w:lvlText w:val="%7."/>
      <w:lvlJc w:val="left"/>
      <w:pPr>
        <w:tabs>
          <w:tab w:val="num" w:pos="5208"/>
        </w:tabs>
        <w:ind w:left="5208" w:hanging="360"/>
      </w:pPr>
    </w:lvl>
    <w:lvl w:ilvl="7" w:tplc="0C090019" w:tentative="1">
      <w:start w:val="1"/>
      <w:numFmt w:val="lowerLetter"/>
      <w:lvlText w:val="%8."/>
      <w:lvlJc w:val="left"/>
      <w:pPr>
        <w:tabs>
          <w:tab w:val="num" w:pos="5928"/>
        </w:tabs>
        <w:ind w:left="5928" w:hanging="360"/>
      </w:pPr>
    </w:lvl>
    <w:lvl w:ilvl="8" w:tplc="0C09001B" w:tentative="1">
      <w:start w:val="1"/>
      <w:numFmt w:val="lowerRoman"/>
      <w:lvlText w:val="%9."/>
      <w:lvlJc w:val="right"/>
      <w:pPr>
        <w:tabs>
          <w:tab w:val="num" w:pos="6648"/>
        </w:tabs>
        <w:ind w:left="6648" w:hanging="180"/>
      </w:pPr>
    </w:lvl>
  </w:abstractNum>
  <w:abstractNum w:abstractNumId="13">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nsid w:val="200476A1"/>
    <w:multiLevelType w:val="hybridMultilevel"/>
    <w:tmpl w:val="7FFC7DEC"/>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7">
    <w:nsid w:val="23E96C87"/>
    <w:multiLevelType w:val="hybridMultilevel"/>
    <w:tmpl w:val="94005CAC"/>
    <w:lvl w:ilvl="0" w:tplc="CAD6F400">
      <w:start w:val="6"/>
      <w:numFmt w:val="decimal"/>
      <w:lvlText w:val="%1."/>
      <w:lvlJc w:val="left"/>
      <w:pPr>
        <w:tabs>
          <w:tab w:val="num" w:pos="720"/>
        </w:tabs>
        <w:ind w:left="720" w:hanging="340"/>
      </w:pPr>
      <w:rPr>
        <w:rFonts w:hint="default"/>
      </w:rPr>
    </w:lvl>
    <w:lvl w:ilvl="1" w:tplc="0C090019">
      <w:start w:val="1"/>
      <w:numFmt w:val="lowerLetter"/>
      <w:lvlText w:val="%2."/>
      <w:lvlJc w:val="left"/>
      <w:pPr>
        <w:tabs>
          <w:tab w:val="num" w:pos="1820"/>
        </w:tabs>
        <w:ind w:left="1820" w:hanging="360"/>
      </w:pPr>
    </w:lvl>
    <w:lvl w:ilvl="2" w:tplc="0C09001B" w:tentative="1">
      <w:start w:val="1"/>
      <w:numFmt w:val="lowerRoman"/>
      <w:lvlText w:val="%3."/>
      <w:lvlJc w:val="right"/>
      <w:pPr>
        <w:tabs>
          <w:tab w:val="num" w:pos="2540"/>
        </w:tabs>
        <w:ind w:left="2540" w:hanging="180"/>
      </w:pPr>
    </w:lvl>
    <w:lvl w:ilvl="3" w:tplc="0C09000F" w:tentative="1">
      <w:start w:val="1"/>
      <w:numFmt w:val="decimal"/>
      <w:lvlText w:val="%4."/>
      <w:lvlJc w:val="left"/>
      <w:pPr>
        <w:tabs>
          <w:tab w:val="num" w:pos="3260"/>
        </w:tabs>
        <w:ind w:left="3260" w:hanging="360"/>
      </w:pPr>
    </w:lvl>
    <w:lvl w:ilvl="4" w:tplc="0C090019" w:tentative="1">
      <w:start w:val="1"/>
      <w:numFmt w:val="lowerLetter"/>
      <w:lvlText w:val="%5."/>
      <w:lvlJc w:val="left"/>
      <w:pPr>
        <w:tabs>
          <w:tab w:val="num" w:pos="3980"/>
        </w:tabs>
        <w:ind w:left="3980" w:hanging="360"/>
      </w:pPr>
    </w:lvl>
    <w:lvl w:ilvl="5" w:tplc="0C09001B" w:tentative="1">
      <w:start w:val="1"/>
      <w:numFmt w:val="lowerRoman"/>
      <w:lvlText w:val="%6."/>
      <w:lvlJc w:val="right"/>
      <w:pPr>
        <w:tabs>
          <w:tab w:val="num" w:pos="4700"/>
        </w:tabs>
        <w:ind w:left="4700" w:hanging="180"/>
      </w:pPr>
    </w:lvl>
    <w:lvl w:ilvl="6" w:tplc="0C09000F" w:tentative="1">
      <w:start w:val="1"/>
      <w:numFmt w:val="decimal"/>
      <w:lvlText w:val="%7."/>
      <w:lvlJc w:val="left"/>
      <w:pPr>
        <w:tabs>
          <w:tab w:val="num" w:pos="5420"/>
        </w:tabs>
        <w:ind w:left="5420" w:hanging="360"/>
      </w:pPr>
    </w:lvl>
    <w:lvl w:ilvl="7" w:tplc="0C090019" w:tentative="1">
      <w:start w:val="1"/>
      <w:numFmt w:val="lowerLetter"/>
      <w:lvlText w:val="%8."/>
      <w:lvlJc w:val="left"/>
      <w:pPr>
        <w:tabs>
          <w:tab w:val="num" w:pos="6140"/>
        </w:tabs>
        <w:ind w:left="6140" w:hanging="360"/>
      </w:pPr>
    </w:lvl>
    <w:lvl w:ilvl="8" w:tplc="0C09001B" w:tentative="1">
      <w:start w:val="1"/>
      <w:numFmt w:val="lowerRoman"/>
      <w:lvlText w:val="%9."/>
      <w:lvlJc w:val="right"/>
      <w:pPr>
        <w:tabs>
          <w:tab w:val="num" w:pos="6860"/>
        </w:tabs>
        <w:ind w:left="6860" w:hanging="180"/>
      </w:pPr>
    </w:lvl>
  </w:abstractNum>
  <w:abstractNum w:abstractNumId="18">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9">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3">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4">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1570E97"/>
    <w:multiLevelType w:val="hybridMultilevel"/>
    <w:tmpl w:val="CA780A4A"/>
    <w:lvl w:ilvl="0" w:tplc="A7584B0C">
      <w:start w:val="8"/>
      <w:numFmt w:val="decimal"/>
      <w:lvlText w:val="%1."/>
      <w:lvlJc w:val="left"/>
      <w:pPr>
        <w:tabs>
          <w:tab w:val="num" w:pos="720"/>
        </w:tabs>
        <w:ind w:left="720" w:hanging="340"/>
      </w:pPr>
      <w:rPr>
        <w:rFonts w:hint="default"/>
      </w:rPr>
    </w:lvl>
    <w:lvl w:ilvl="1" w:tplc="0C090019" w:tentative="1">
      <w:start w:val="1"/>
      <w:numFmt w:val="lowerLetter"/>
      <w:lvlText w:val="%2."/>
      <w:lvlJc w:val="left"/>
      <w:pPr>
        <w:tabs>
          <w:tab w:val="num" w:pos="1820"/>
        </w:tabs>
        <w:ind w:left="1820" w:hanging="360"/>
      </w:pPr>
    </w:lvl>
    <w:lvl w:ilvl="2" w:tplc="0C09001B" w:tentative="1">
      <w:start w:val="1"/>
      <w:numFmt w:val="lowerRoman"/>
      <w:lvlText w:val="%3."/>
      <w:lvlJc w:val="right"/>
      <w:pPr>
        <w:tabs>
          <w:tab w:val="num" w:pos="2540"/>
        </w:tabs>
        <w:ind w:left="2540" w:hanging="180"/>
      </w:pPr>
    </w:lvl>
    <w:lvl w:ilvl="3" w:tplc="0C09000F" w:tentative="1">
      <w:start w:val="1"/>
      <w:numFmt w:val="decimal"/>
      <w:lvlText w:val="%4."/>
      <w:lvlJc w:val="left"/>
      <w:pPr>
        <w:tabs>
          <w:tab w:val="num" w:pos="3260"/>
        </w:tabs>
        <w:ind w:left="3260" w:hanging="360"/>
      </w:pPr>
    </w:lvl>
    <w:lvl w:ilvl="4" w:tplc="0C090019" w:tentative="1">
      <w:start w:val="1"/>
      <w:numFmt w:val="lowerLetter"/>
      <w:lvlText w:val="%5."/>
      <w:lvlJc w:val="left"/>
      <w:pPr>
        <w:tabs>
          <w:tab w:val="num" w:pos="3980"/>
        </w:tabs>
        <w:ind w:left="3980" w:hanging="360"/>
      </w:pPr>
    </w:lvl>
    <w:lvl w:ilvl="5" w:tplc="0C09001B" w:tentative="1">
      <w:start w:val="1"/>
      <w:numFmt w:val="lowerRoman"/>
      <w:lvlText w:val="%6."/>
      <w:lvlJc w:val="right"/>
      <w:pPr>
        <w:tabs>
          <w:tab w:val="num" w:pos="4700"/>
        </w:tabs>
        <w:ind w:left="4700" w:hanging="180"/>
      </w:pPr>
    </w:lvl>
    <w:lvl w:ilvl="6" w:tplc="0C09000F" w:tentative="1">
      <w:start w:val="1"/>
      <w:numFmt w:val="decimal"/>
      <w:lvlText w:val="%7."/>
      <w:lvlJc w:val="left"/>
      <w:pPr>
        <w:tabs>
          <w:tab w:val="num" w:pos="5420"/>
        </w:tabs>
        <w:ind w:left="5420" w:hanging="360"/>
      </w:pPr>
    </w:lvl>
    <w:lvl w:ilvl="7" w:tplc="0C090019" w:tentative="1">
      <w:start w:val="1"/>
      <w:numFmt w:val="lowerLetter"/>
      <w:lvlText w:val="%8."/>
      <w:lvlJc w:val="left"/>
      <w:pPr>
        <w:tabs>
          <w:tab w:val="num" w:pos="6140"/>
        </w:tabs>
        <w:ind w:left="6140" w:hanging="360"/>
      </w:pPr>
    </w:lvl>
    <w:lvl w:ilvl="8" w:tplc="0C09001B" w:tentative="1">
      <w:start w:val="1"/>
      <w:numFmt w:val="lowerRoman"/>
      <w:lvlText w:val="%9."/>
      <w:lvlJc w:val="right"/>
      <w:pPr>
        <w:tabs>
          <w:tab w:val="num" w:pos="6860"/>
        </w:tabs>
        <w:ind w:left="6860" w:hanging="180"/>
      </w:pPr>
    </w:lvl>
  </w:abstractNum>
  <w:abstractNum w:abstractNumId="27">
    <w:nsid w:val="36DD77DB"/>
    <w:multiLevelType w:val="hybridMultilevel"/>
    <w:tmpl w:val="9962B6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3D855F91"/>
    <w:multiLevelType w:val="hybridMultilevel"/>
    <w:tmpl w:val="2D9E5F80"/>
    <w:lvl w:ilvl="0" w:tplc="0BCE31D6">
      <w:start w:val="9"/>
      <w:numFmt w:val="decimal"/>
      <w:lvlText w:val="%1."/>
      <w:lvlJc w:val="left"/>
      <w:pPr>
        <w:tabs>
          <w:tab w:val="num" w:pos="1022"/>
        </w:tabs>
        <w:ind w:left="1022" w:hanging="454"/>
      </w:pPr>
      <w:rPr>
        <w:rFonts w:hint="default"/>
      </w:rPr>
    </w:lvl>
    <w:lvl w:ilvl="1" w:tplc="0C090019">
      <w:start w:val="1"/>
      <w:numFmt w:val="lowerLetter"/>
      <w:lvlText w:val="%2."/>
      <w:lvlJc w:val="left"/>
      <w:pPr>
        <w:tabs>
          <w:tab w:val="num" w:pos="1891"/>
        </w:tabs>
        <w:ind w:left="1891" w:hanging="360"/>
      </w:pPr>
    </w:lvl>
    <w:lvl w:ilvl="2" w:tplc="0C09001B" w:tentative="1">
      <w:start w:val="1"/>
      <w:numFmt w:val="lowerRoman"/>
      <w:lvlText w:val="%3."/>
      <w:lvlJc w:val="right"/>
      <w:pPr>
        <w:tabs>
          <w:tab w:val="num" w:pos="2611"/>
        </w:tabs>
        <w:ind w:left="2611" w:hanging="180"/>
      </w:pPr>
    </w:lvl>
    <w:lvl w:ilvl="3" w:tplc="0C09000F" w:tentative="1">
      <w:start w:val="1"/>
      <w:numFmt w:val="decimal"/>
      <w:lvlText w:val="%4."/>
      <w:lvlJc w:val="left"/>
      <w:pPr>
        <w:tabs>
          <w:tab w:val="num" w:pos="3331"/>
        </w:tabs>
        <w:ind w:left="3331" w:hanging="360"/>
      </w:pPr>
    </w:lvl>
    <w:lvl w:ilvl="4" w:tplc="0C090019" w:tentative="1">
      <w:start w:val="1"/>
      <w:numFmt w:val="lowerLetter"/>
      <w:lvlText w:val="%5."/>
      <w:lvlJc w:val="left"/>
      <w:pPr>
        <w:tabs>
          <w:tab w:val="num" w:pos="4051"/>
        </w:tabs>
        <w:ind w:left="4051" w:hanging="360"/>
      </w:pPr>
    </w:lvl>
    <w:lvl w:ilvl="5" w:tplc="0C09001B" w:tentative="1">
      <w:start w:val="1"/>
      <w:numFmt w:val="lowerRoman"/>
      <w:lvlText w:val="%6."/>
      <w:lvlJc w:val="right"/>
      <w:pPr>
        <w:tabs>
          <w:tab w:val="num" w:pos="4771"/>
        </w:tabs>
        <w:ind w:left="4771" w:hanging="180"/>
      </w:pPr>
    </w:lvl>
    <w:lvl w:ilvl="6" w:tplc="0C09000F" w:tentative="1">
      <w:start w:val="1"/>
      <w:numFmt w:val="decimal"/>
      <w:lvlText w:val="%7."/>
      <w:lvlJc w:val="left"/>
      <w:pPr>
        <w:tabs>
          <w:tab w:val="num" w:pos="5491"/>
        </w:tabs>
        <w:ind w:left="5491" w:hanging="360"/>
      </w:pPr>
    </w:lvl>
    <w:lvl w:ilvl="7" w:tplc="0C090019" w:tentative="1">
      <w:start w:val="1"/>
      <w:numFmt w:val="lowerLetter"/>
      <w:lvlText w:val="%8."/>
      <w:lvlJc w:val="left"/>
      <w:pPr>
        <w:tabs>
          <w:tab w:val="num" w:pos="6211"/>
        </w:tabs>
        <w:ind w:left="6211" w:hanging="360"/>
      </w:pPr>
    </w:lvl>
    <w:lvl w:ilvl="8" w:tplc="0C09001B" w:tentative="1">
      <w:start w:val="1"/>
      <w:numFmt w:val="lowerRoman"/>
      <w:lvlText w:val="%9."/>
      <w:lvlJc w:val="right"/>
      <w:pPr>
        <w:tabs>
          <w:tab w:val="num" w:pos="6931"/>
        </w:tabs>
        <w:ind w:left="6931" w:hanging="180"/>
      </w:pPr>
    </w:lvl>
  </w:abstractNum>
  <w:abstractNum w:abstractNumId="29">
    <w:nsid w:val="3FCC3903"/>
    <w:multiLevelType w:val="hybridMultilevel"/>
    <w:tmpl w:val="126E6DE0"/>
    <w:lvl w:ilvl="0" w:tplc="BD4CC566">
      <w:start w:val="1"/>
      <w:numFmt w:val="decimal"/>
      <w:pStyle w:val="ListParagraph"/>
      <w:lvlText w:val="%1."/>
      <w:lvlJc w:val="left"/>
      <w:pPr>
        <w:tabs>
          <w:tab w:val="num" w:pos="644"/>
        </w:tabs>
        <w:ind w:left="644"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2">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7AE2E4D"/>
    <w:multiLevelType w:val="hybridMultilevel"/>
    <w:tmpl w:val="3C7E0BC2"/>
    <w:lvl w:ilvl="0" w:tplc="ED1E333A">
      <w:start w:val="12"/>
      <w:numFmt w:val="decimal"/>
      <w:lvlText w:val="%1."/>
      <w:lvlJc w:val="left"/>
      <w:pPr>
        <w:tabs>
          <w:tab w:val="num" w:pos="454"/>
        </w:tabs>
        <w:ind w:left="454" w:hanging="454"/>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nsid w:val="48650581"/>
    <w:multiLevelType w:val="hybridMultilevel"/>
    <w:tmpl w:val="F2ECDD98"/>
    <w:lvl w:ilvl="0" w:tplc="C4381570">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7">
    <w:nsid w:val="55DF10A7"/>
    <w:multiLevelType w:val="hybridMultilevel"/>
    <w:tmpl w:val="FC0E58C2"/>
    <w:lvl w:ilvl="0" w:tplc="0C090001">
      <w:start w:val="1"/>
      <w:numFmt w:val="bullet"/>
      <w:lvlText w:val=""/>
      <w:lvlJc w:val="left"/>
      <w:pPr>
        <w:tabs>
          <w:tab w:val="num" w:pos="1066"/>
        </w:tabs>
        <w:ind w:left="1066" w:hanging="357"/>
      </w:pPr>
      <w:rPr>
        <w:rFonts w:ascii="Symbol" w:hAnsi="Symbol" w:hint="default"/>
        <w:sz w:val="20"/>
        <w:szCs w:val="20"/>
      </w:rPr>
    </w:lvl>
    <w:lvl w:ilvl="1" w:tplc="0C090003">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8">
    <w:nsid w:val="598D2E10"/>
    <w:multiLevelType w:val="hybridMultilevel"/>
    <w:tmpl w:val="8EF27404"/>
    <w:lvl w:ilvl="0" w:tplc="C2E09E0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99A1F70"/>
    <w:multiLevelType w:val="hybridMultilevel"/>
    <w:tmpl w:val="BDC25622"/>
    <w:lvl w:ilvl="0" w:tplc="CAF495C2">
      <w:start w:val="1"/>
      <w:numFmt w:val="lowerLetter"/>
      <w:lvlText w:val="(%1)"/>
      <w:lvlJc w:val="left"/>
      <w:pPr>
        <w:tabs>
          <w:tab w:val="num" w:pos="1066"/>
        </w:tabs>
        <w:ind w:left="1066" w:hanging="357"/>
      </w:pPr>
      <w:rPr>
        <w:rFonts w:ascii="Arial" w:eastAsia="Times New Roman" w:hAnsi="Arial" w:cs="Arial"/>
        <w:sz w:val="20"/>
        <w:szCs w:val="20"/>
      </w:rPr>
    </w:lvl>
    <w:lvl w:ilvl="1" w:tplc="0C090003">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4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1">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61A00463"/>
    <w:multiLevelType w:val="hybridMultilevel"/>
    <w:tmpl w:val="F2ECDD98"/>
    <w:lvl w:ilvl="0" w:tplc="C4381570">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1D44493"/>
    <w:multiLevelType w:val="hybridMultilevel"/>
    <w:tmpl w:val="BC8028BA"/>
    <w:lvl w:ilvl="0" w:tplc="929AB85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8">
    <w:nsid w:val="67EC13F8"/>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nsid w:val="7C9E0681"/>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30"/>
  </w:num>
  <w:num w:numId="4">
    <w:abstractNumId w:val="51"/>
  </w:num>
  <w:num w:numId="5">
    <w:abstractNumId w:val="5"/>
  </w:num>
  <w:num w:numId="6">
    <w:abstractNumId w:val="16"/>
  </w:num>
  <w:num w:numId="7">
    <w:abstractNumId w:val="45"/>
  </w:num>
  <w:num w:numId="8">
    <w:abstractNumId w:val="44"/>
  </w:num>
  <w:num w:numId="9">
    <w:abstractNumId w:val="32"/>
  </w:num>
  <w:num w:numId="10">
    <w:abstractNumId w:val="25"/>
  </w:num>
  <w:num w:numId="11">
    <w:abstractNumId w:val="53"/>
  </w:num>
  <w:num w:numId="12">
    <w:abstractNumId w:val="46"/>
  </w:num>
  <w:num w:numId="13">
    <w:abstractNumId w:val="50"/>
  </w:num>
  <w:num w:numId="14">
    <w:abstractNumId w:val="49"/>
  </w:num>
  <w:num w:numId="15">
    <w:abstractNumId w:val="24"/>
  </w:num>
  <w:num w:numId="16">
    <w:abstractNumId w:val="29"/>
  </w:num>
  <w:num w:numId="17">
    <w:abstractNumId w:val="13"/>
  </w:num>
  <w:num w:numId="18">
    <w:abstractNumId w:val="20"/>
  </w:num>
  <w:num w:numId="19">
    <w:abstractNumId w:val="3"/>
  </w:num>
  <w:num w:numId="20">
    <w:abstractNumId w:val="1"/>
  </w:num>
  <w:num w:numId="21">
    <w:abstractNumId w:val="15"/>
  </w:num>
  <w:num w:numId="22">
    <w:abstractNumId w:val="40"/>
  </w:num>
  <w:num w:numId="23">
    <w:abstractNumId w:val="11"/>
  </w:num>
  <w:num w:numId="24">
    <w:abstractNumId w:val="23"/>
  </w:num>
  <w:num w:numId="25">
    <w:abstractNumId w:val="36"/>
  </w:num>
  <w:num w:numId="26">
    <w:abstractNumId w:val="35"/>
  </w:num>
  <w:num w:numId="27">
    <w:abstractNumId w:val="10"/>
  </w:num>
  <w:num w:numId="28">
    <w:abstractNumId w:val="41"/>
  </w:num>
  <w:num w:numId="29">
    <w:abstractNumId w:val="22"/>
  </w:num>
  <w:num w:numId="30">
    <w:abstractNumId w:val="18"/>
  </w:num>
  <w:num w:numId="31">
    <w:abstractNumId w:val="6"/>
  </w:num>
  <w:num w:numId="32">
    <w:abstractNumId w:val="0"/>
  </w:num>
  <w:num w:numId="33">
    <w:abstractNumId w:val="7"/>
  </w:num>
  <w:num w:numId="34">
    <w:abstractNumId w:val="31"/>
  </w:num>
  <w:num w:numId="35">
    <w:abstractNumId w:val="47"/>
  </w:num>
  <w:num w:numId="36">
    <w:abstractNumId w:val="21"/>
  </w:num>
  <w:num w:numId="37">
    <w:abstractNumId w:val="48"/>
  </w:num>
  <w:num w:numId="38">
    <w:abstractNumId w:val="38"/>
  </w:num>
  <w:num w:numId="39">
    <w:abstractNumId w:val="43"/>
  </w:num>
  <w:num w:numId="40">
    <w:abstractNumId w:val="17"/>
  </w:num>
  <w:num w:numId="41">
    <w:abstractNumId w:val="39"/>
  </w:num>
  <w:num w:numId="42">
    <w:abstractNumId w:val="26"/>
  </w:num>
  <w:num w:numId="43">
    <w:abstractNumId w:val="28"/>
  </w:num>
  <w:num w:numId="44">
    <w:abstractNumId w:val="8"/>
  </w:num>
  <w:num w:numId="45">
    <w:abstractNumId w:val="42"/>
  </w:num>
  <w:num w:numId="46">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52"/>
  </w:num>
  <w:num w:numId="49">
    <w:abstractNumId w:val="34"/>
  </w:num>
  <w:num w:numId="50">
    <w:abstractNumId w:val="12"/>
  </w:num>
  <w:num w:numId="51">
    <w:abstractNumId w:val="9"/>
  </w:num>
  <w:num w:numId="52">
    <w:abstractNumId w:val="2"/>
  </w:num>
  <w:num w:numId="53">
    <w:abstractNumId w:val="14"/>
  </w:num>
  <w:num w:numId="54">
    <w:abstractNumId w:val="37"/>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117B2"/>
    <w:rsid w:val="0001796D"/>
    <w:rsid w:val="00017BF0"/>
    <w:rsid w:val="0002568B"/>
    <w:rsid w:val="0002763C"/>
    <w:rsid w:val="00043FA7"/>
    <w:rsid w:val="00047701"/>
    <w:rsid w:val="000552E8"/>
    <w:rsid w:val="00056585"/>
    <w:rsid w:val="0005674F"/>
    <w:rsid w:val="00065C6E"/>
    <w:rsid w:val="00073F1B"/>
    <w:rsid w:val="000748D1"/>
    <w:rsid w:val="00075B58"/>
    <w:rsid w:val="00080757"/>
    <w:rsid w:val="00082B45"/>
    <w:rsid w:val="000A1A55"/>
    <w:rsid w:val="000B11DD"/>
    <w:rsid w:val="000C0EFF"/>
    <w:rsid w:val="000C390A"/>
    <w:rsid w:val="000C77DD"/>
    <w:rsid w:val="000C78AD"/>
    <w:rsid w:val="000E295B"/>
    <w:rsid w:val="000E45A0"/>
    <w:rsid w:val="000F1FFF"/>
    <w:rsid w:val="00101473"/>
    <w:rsid w:val="0010524D"/>
    <w:rsid w:val="00107460"/>
    <w:rsid w:val="00112415"/>
    <w:rsid w:val="0011280F"/>
    <w:rsid w:val="001271AD"/>
    <w:rsid w:val="0013678D"/>
    <w:rsid w:val="00140A34"/>
    <w:rsid w:val="00146ED8"/>
    <w:rsid w:val="00154D35"/>
    <w:rsid w:val="00167202"/>
    <w:rsid w:val="001828A4"/>
    <w:rsid w:val="001A171E"/>
    <w:rsid w:val="001A3BE2"/>
    <w:rsid w:val="001A7EA7"/>
    <w:rsid w:val="001C35E7"/>
    <w:rsid w:val="001C4578"/>
    <w:rsid w:val="001D4C8A"/>
    <w:rsid w:val="001F28A6"/>
    <w:rsid w:val="001F28FF"/>
    <w:rsid w:val="001F2A16"/>
    <w:rsid w:val="001F6921"/>
    <w:rsid w:val="001F7C3E"/>
    <w:rsid w:val="00201969"/>
    <w:rsid w:val="00213FA5"/>
    <w:rsid w:val="00231D50"/>
    <w:rsid w:val="0023733A"/>
    <w:rsid w:val="0024044F"/>
    <w:rsid w:val="00245D00"/>
    <w:rsid w:val="00255FA0"/>
    <w:rsid w:val="00257F2D"/>
    <w:rsid w:val="00262F9F"/>
    <w:rsid w:val="00264D3E"/>
    <w:rsid w:val="00266D2D"/>
    <w:rsid w:val="0027001A"/>
    <w:rsid w:val="0027331F"/>
    <w:rsid w:val="00285E76"/>
    <w:rsid w:val="002949C3"/>
    <w:rsid w:val="002A10A4"/>
    <w:rsid w:val="002A26FE"/>
    <w:rsid w:val="002A4B12"/>
    <w:rsid w:val="002B1423"/>
    <w:rsid w:val="002B15D8"/>
    <w:rsid w:val="002C3D66"/>
    <w:rsid w:val="002F0D8F"/>
    <w:rsid w:val="002F1257"/>
    <w:rsid w:val="002F2B12"/>
    <w:rsid w:val="00310C61"/>
    <w:rsid w:val="0031306C"/>
    <w:rsid w:val="003171B3"/>
    <w:rsid w:val="0032559D"/>
    <w:rsid w:val="003277ED"/>
    <w:rsid w:val="00332C4D"/>
    <w:rsid w:val="00342A18"/>
    <w:rsid w:val="00344575"/>
    <w:rsid w:val="0035113C"/>
    <w:rsid w:val="00354525"/>
    <w:rsid w:val="00357C99"/>
    <w:rsid w:val="00364442"/>
    <w:rsid w:val="00370113"/>
    <w:rsid w:val="00380CC4"/>
    <w:rsid w:val="003A5000"/>
    <w:rsid w:val="003B2112"/>
    <w:rsid w:val="003B593F"/>
    <w:rsid w:val="003C0686"/>
    <w:rsid w:val="003D08CF"/>
    <w:rsid w:val="003D0CBA"/>
    <w:rsid w:val="003D0F6A"/>
    <w:rsid w:val="003D272F"/>
    <w:rsid w:val="003D4BA8"/>
    <w:rsid w:val="003E5269"/>
    <w:rsid w:val="003E614E"/>
    <w:rsid w:val="003F6DFD"/>
    <w:rsid w:val="00405394"/>
    <w:rsid w:val="004066E4"/>
    <w:rsid w:val="0040680B"/>
    <w:rsid w:val="00407361"/>
    <w:rsid w:val="004123BC"/>
    <w:rsid w:val="00413D8B"/>
    <w:rsid w:val="00417C55"/>
    <w:rsid w:val="00424A7B"/>
    <w:rsid w:val="004378BC"/>
    <w:rsid w:val="004447C1"/>
    <w:rsid w:val="0045777A"/>
    <w:rsid w:val="0046211F"/>
    <w:rsid w:val="0046787B"/>
    <w:rsid w:val="004727D3"/>
    <w:rsid w:val="00483CB4"/>
    <w:rsid w:val="004864FC"/>
    <w:rsid w:val="00486653"/>
    <w:rsid w:val="004878DF"/>
    <w:rsid w:val="004A5FDA"/>
    <w:rsid w:val="004A7BC7"/>
    <w:rsid w:val="004B021C"/>
    <w:rsid w:val="004D098C"/>
    <w:rsid w:val="004D24A9"/>
    <w:rsid w:val="004D24EA"/>
    <w:rsid w:val="004D5CB4"/>
    <w:rsid w:val="004E29D9"/>
    <w:rsid w:val="004E5357"/>
    <w:rsid w:val="004E70BB"/>
    <w:rsid w:val="004E7820"/>
    <w:rsid w:val="004F4A07"/>
    <w:rsid w:val="004F5EB1"/>
    <w:rsid w:val="004F6887"/>
    <w:rsid w:val="005030AD"/>
    <w:rsid w:val="0051249C"/>
    <w:rsid w:val="005176E7"/>
    <w:rsid w:val="00520330"/>
    <w:rsid w:val="00524B6B"/>
    <w:rsid w:val="005401E0"/>
    <w:rsid w:val="005408C3"/>
    <w:rsid w:val="005413EE"/>
    <w:rsid w:val="00566927"/>
    <w:rsid w:val="00567F5B"/>
    <w:rsid w:val="00572A37"/>
    <w:rsid w:val="0057309A"/>
    <w:rsid w:val="00574C2C"/>
    <w:rsid w:val="0058216B"/>
    <w:rsid w:val="00587443"/>
    <w:rsid w:val="00587C50"/>
    <w:rsid w:val="005917F3"/>
    <w:rsid w:val="00591CF4"/>
    <w:rsid w:val="00597917"/>
    <w:rsid w:val="005A1888"/>
    <w:rsid w:val="005A6677"/>
    <w:rsid w:val="005B0ACD"/>
    <w:rsid w:val="005B50A2"/>
    <w:rsid w:val="005C3408"/>
    <w:rsid w:val="005D611B"/>
    <w:rsid w:val="005D67CD"/>
    <w:rsid w:val="005D7A0D"/>
    <w:rsid w:val="005E399F"/>
    <w:rsid w:val="005F1ACE"/>
    <w:rsid w:val="005F256D"/>
    <w:rsid w:val="0060183A"/>
    <w:rsid w:val="00601FCA"/>
    <w:rsid w:val="00603110"/>
    <w:rsid w:val="006066F1"/>
    <w:rsid w:val="00611C8E"/>
    <w:rsid w:val="00621ED8"/>
    <w:rsid w:val="00631F30"/>
    <w:rsid w:val="00642420"/>
    <w:rsid w:val="00644F1A"/>
    <w:rsid w:val="00646158"/>
    <w:rsid w:val="006462ED"/>
    <w:rsid w:val="00653A00"/>
    <w:rsid w:val="00665373"/>
    <w:rsid w:val="0066622C"/>
    <w:rsid w:val="00666487"/>
    <w:rsid w:val="00673B37"/>
    <w:rsid w:val="006945EA"/>
    <w:rsid w:val="006B5470"/>
    <w:rsid w:val="006C0F28"/>
    <w:rsid w:val="006D0138"/>
    <w:rsid w:val="006D6F52"/>
    <w:rsid w:val="006E4C54"/>
    <w:rsid w:val="006F155D"/>
    <w:rsid w:val="006F37EE"/>
    <w:rsid w:val="00700E69"/>
    <w:rsid w:val="00701718"/>
    <w:rsid w:val="007048F5"/>
    <w:rsid w:val="00710359"/>
    <w:rsid w:val="00712FFF"/>
    <w:rsid w:val="00720F69"/>
    <w:rsid w:val="00722DBF"/>
    <w:rsid w:val="00723155"/>
    <w:rsid w:val="00727A6A"/>
    <w:rsid w:val="00735157"/>
    <w:rsid w:val="007557ED"/>
    <w:rsid w:val="00761199"/>
    <w:rsid w:val="007707F5"/>
    <w:rsid w:val="00774112"/>
    <w:rsid w:val="00775490"/>
    <w:rsid w:val="00780E29"/>
    <w:rsid w:val="00795D0C"/>
    <w:rsid w:val="007A2478"/>
    <w:rsid w:val="007A2FDF"/>
    <w:rsid w:val="007A3996"/>
    <w:rsid w:val="007A4613"/>
    <w:rsid w:val="007A55BA"/>
    <w:rsid w:val="007B39B3"/>
    <w:rsid w:val="007C1FBD"/>
    <w:rsid w:val="007E0D68"/>
    <w:rsid w:val="007E22F5"/>
    <w:rsid w:val="007F25F3"/>
    <w:rsid w:val="007F4901"/>
    <w:rsid w:val="007F4B2E"/>
    <w:rsid w:val="00831EE1"/>
    <w:rsid w:val="00836B02"/>
    <w:rsid w:val="00836F4A"/>
    <w:rsid w:val="008370A9"/>
    <w:rsid w:val="00843CCD"/>
    <w:rsid w:val="0084614F"/>
    <w:rsid w:val="008467D4"/>
    <w:rsid w:val="00850FB0"/>
    <w:rsid w:val="0085238E"/>
    <w:rsid w:val="008528B6"/>
    <w:rsid w:val="008540EA"/>
    <w:rsid w:val="00855F24"/>
    <w:rsid w:val="00860F73"/>
    <w:rsid w:val="00866A00"/>
    <w:rsid w:val="008702A6"/>
    <w:rsid w:val="008757CE"/>
    <w:rsid w:val="0088392C"/>
    <w:rsid w:val="00884C13"/>
    <w:rsid w:val="00885B51"/>
    <w:rsid w:val="00897C0E"/>
    <w:rsid w:val="00897E31"/>
    <w:rsid w:val="008A046F"/>
    <w:rsid w:val="008A3940"/>
    <w:rsid w:val="008A405A"/>
    <w:rsid w:val="008A658D"/>
    <w:rsid w:val="008A6A6A"/>
    <w:rsid w:val="008B0094"/>
    <w:rsid w:val="008B650A"/>
    <w:rsid w:val="008B787C"/>
    <w:rsid w:val="008C3898"/>
    <w:rsid w:val="008C66CC"/>
    <w:rsid w:val="008C71D1"/>
    <w:rsid w:val="008D048A"/>
    <w:rsid w:val="008D5270"/>
    <w:rsid w:val="008F483C"/>
    <w:rsid w:val="00900D39"/>
    <w:rsid w:val="00911E13"/>
    <w:rsid w:val="0091248D"/>
    <w:rsid w:val="00912D61"/>
    <w:rsid w:val="009162E8"/>
    <w:rsid w:val="00932060"/>
    <w:rsid w:val="009322D7"/>
    <w:rsid w:val="00932BDE"/>
    <w:rsid w:val="00952650"/>
    <w:rsid w:val="00966F63"/>
    <w:rsid w:val="00967725"/>
    <w:rsid w:val="00971615"/>
    <w:rsid w:val="009902F8"/>
    <w:rsid w:val="00990D3A"/>
    <w:rsid w:val="00993BB8"/>
    <w:rsid w:val="0099555F"/>
    <w:rsid w:val="009A22A1"/>
    <w:rsid w:val="009B3A1B"/>
    <w:rsid w:val="009B6332"/>
    <w:rsid w:val="009C0912"/>
    <w:rsid w:val="009C5340"/>
    <w:rsid w:val="009C7771"/>
    <w:rsid w:val="009D6694"/>
    <w:rsid w:val="009F0300"/>
    <w:rsid w:val="00A0466E"/>
    <w:rsid w:val="00A07646"/>
    <w:rsid w:val="00A11BFC"/>
    <w:rsid w:val="00A167A8"/>
    <w:rsid w:val="00A21F0A"/>
    <w:rsid w:val="00A26011"/>
    <w:rsid w:val="00A314D6"/>
    <w:rsid w:val="00A42554"/>
    <w:rsid w:val="00A472E5"/>
    <w:rsid w:val="00A502F6"/>
    <w:rsid w:val="00A506C2"/>
    <w:rsid w:val="00A5429D"/>
    <w:rsid w:val="00A62886"/>
    <w:rsid w:val="00A74253"/>
    <w:rsid w:val="00A74C38"/>
    <w:rsid w:val="00A77D24"/>
    <w:rsid w:val="00A84516"/>
    <w:rsid w:val="00A8572F"/>
    <w:rsid w:val="00A93E07"/>
    <w:rsid w:val="00A979CF"/>
    <w:rsid w:val="00AA2413"/>
    <w:rsid w:val="00AA4DF8"/>
    <w:rsid w:val="00AB780C"/>
    <w:rsid w:val="00AC63C0"/>
    <w:rsid w:val="00AD5ADE"/>
    <w:rsid w:val="00AE7138"/>
    <w:rsid w:val="00AF4CAF"/>
    <w:rsid w:val="00B03CF3"/>
    <w:rsid w:val="00B117BA"/>
    <w:rsid w:val="00B2053C"/>
    <w:rsid w:val="00B20D87"/>
    <w:rsid w:val="00B213DA"/>
    <w:rsid w:val="00B41413"/>
    <w:rsid w:val="00B578AC"/>
    <w:rsid w:val="00B6433F"/>
    <w:rsid w:val="00B64CF5"/>
    <w:rsid w:val="00B76C9B"/>
    <w:rsid w:val="00B823A1"/>
    <w:rsid w:val="00B8428B"/>
    <w:rsid w:val="00B959B9"/>
    <w:rsid w:val="00BA41F5"/>
    <w:rsid w:val="00BA57F5"/>
    <w:rsid w:val="00BB3C9C"/>
    <w:rsid w:val="00BB43C7"/>
    <w:rsid w:val="00BB7806"/>
    <w:rsid w:val="00BF4822"/>
    <w:rsid w:val="00C01D22"/>
    <w:rsid w:val="00C104B6"/>
    <w:rsid w:val="00C10C63"/>
    <w:rsid w:val="00C10F02"/>
    <w:rsid w:val="00C114F4"/>
    <w:rsid w:val="00C11D03"/>
    <w:rsid w:val="00C31967"/>
    <w:rsid w:val="00C371DE"/>
    <w:rsid w:val="00C409AE"/>
    <w:rsid w:val="00C42D50"/>
    <w:rsid w:val="00C4765E"/>
    <w:rsid w:val="00C53CEB"/>
    <w:rsid w:val="00C54DF8"/>
    <w:rsid w:val="00C60B49"/>
    <w:rsid w:val="00C662BD"/>
    <w:rsid w:val="00C7440A"/>
    <w:rsid w:val="00C865ED"/>
    <w:rsid w:val="00C8775A"/>
    <w:rsid w:val="00C921BC"/>
    <w:rsid w:val="00CA0877"/>
    <w:rsid w:val="00CA5AA4"/>
    <w:rsid w:val="00CA6B59"/>
    <w:rsid w:val="00CB307F"/>
    <w:rsid w:val="00CB3B6C"/>
    <w:rsid w:val="00CC1833"/>
    <w:rsid w:val="00CC189F"/>
    <w:rsid w:val="00CC3368"/>
    <w:rsid w:val="00CE1A80"/>
    <w:rsid w:val="00CE79C3"/>
    <w:rsid w:val="00CF19C4"/>
    <w:rsid w:val="00CF4F5B"/>
    <w:rsid w:val="00D063F5"/>
    <w:rsid w:val="00D13C04"/>
    <w:rsid w:val="00D16D20"/>
    <w:rsid w:val="00D20A78"/>
    <w:rsid w:val="00D213ED"/>
    <w:rsid w:val="00D2365D"/>
    <w:rsid w:val="00D278BA"/>
    <w:rsid w:val="00D40454"/>
    <w:rsid w:val="00D4059C"/>
    <w:rsid w:val="00D459BF"/>
    <w:rsid w:val="00D51284"/>
    <w:rsid w:val="00D53D8F"/>
    <w:rsid w:val="00D61C76"/>
    <w:rsid w:val="00D77015"/>
    <w:rsid w:val="00D8408C"/>
    <w:rsid w:val="00D844F6"/>
    <w:rsid w:val="00D92B48"/>
    <w:rsid w:val="00DB1693"/>
    <w:rsid w:val="00DB2716"/>
    <w:rsid w:val="00DD5B07"/>
    <w:rsid w:val="00DE6821"/>
    <w:rsid w:val="00DF2022"/>
    <w:rsid w:val="00DF34BE"/>
    <w:rsid w:val="00DF3F29"/>
    <w:rsid w:val="00DF5D59"/>
    <w:rsid w:val="00DF7021"/>
    <w:rsid w:val="00E054BB"/>
    <w:rsid w:val="00E239E4"/>
    <w:rsid w:val="00E3601F"/>
    <w:rsid w:val="00E36A38"/>
    <w:rsid w:val="00E460A6"/>
    <w:rsid w:val="00E53399"/>
    <w:rsid w:val="00E63E0F"/>
    <w:rsid w:val="00E77995"/>
    <w:rsid w:val="00E8293D"/>
    <w:rsid w:val="00E82948"/>
    <w:rsid w:val="00E87099"/>
    <w:rsid w:val="00E9403F"/>
    <w:rsid w:val="00EA28E6"/>
    <w:rsid w:val="00EC3ADD"/>
    <w:rsid w:val="00EC4C35"/>
    <w:rsid w:val="00EC586A"/>
    <w:rsid w:val="00ED0016"/>
    <w:rsid w:val="00EE1457"/>
    <w:rsid w:val="00EE6DF0"/>
    <w:rsid w:val="00EF002E"/>
    <w:rsid w:val="00EF78C4"/>
    <w:rsid w:val="00F04CD7"/>
    <w:rsid w:val="00F15E35"/>
    <w:rsid w:val="00F205D9"/>
    <w:rsid w:val="00F23E15"/>
    <w:rsid w:val="00F244A2"/>
    <w:rsid w:val="00F26F79"/>
    <w:rsid w:val="00F35064"/>
    <w:rsid w:val="00F374D8"/>
    <w:rsid w:val="00F54EE0"/>
    <w:rsid w:val="00F5684D"/>
    <w:rsid w:val="00F57AB6"/>
    <w:rsid w:val="00F60DBC"/>
    <w:rsid w:val="00F6480F"/>
    <w:rsid w:val="00F71810"/>
    <w:rsid w:val="00F76669"/>
    <w:rsid w:val="00F84606"/>
    <w:rsid w:val="00F86713"/>
    <w:rsid w:val="00F932E0"/>
    <w:rsid w:val="00F97557"/>
    <w:rsid w:val="00FA1888"/>
    <w:rsid w:val="00FA68B8"/>
    <w:rsid w:val="00FA724F"/>
    <w:rsid w:val="00FB5E4D"/>
    <w:rsid w:val="00FB7701"/>
    <w:rsid w:val="00FC40F0"/>
    <w:rsid w:val="00FC6D3B"/>
    <w:rsid w:val="00FD0129"/>
    <w:rsid w:val="00FE17ED"/>
    <w:rsid w:val="00FE1BAE"/>
    <w:rsid w:val="00FE7900"/>
    <w:rsid w:val="00FF3E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48A"/>
    <w:pPr>
      <w:spacing w:after="120" w:line="276" w:lineRule="auto"/>
    </w:pPr>
    <w:rPr>
      <w:rFonts w:ascii="Arial" w:hAnsi="Arial" w:cs="Arial"/>
      <w:sz w:val="22"/>
      <w:szCs w:val="22"/>
    </w:rPr>
  </w:style>
  <w:style w:type="paragraph" w:styleId="Heading2">
    <w:name w:val="heading 2"/>
    <w:basedOn w:val="Normal"/>
    <w:next w:val="Normal"/>
    <w:autoRedefine/>
    <w:qFormat/>
    <w:rsid w:val="00231D50"/>
    <w:pPr>
      <w:keepNext/>
      <w:spacing w:after="0"/>
      <w:outlineLvl w:val="1"/>
    </w:pPr>
    <w:rPr>
      <w:b/>
      <w:sz w:val="24"/>
      <w:szCs w:val="24"/>
    </w:rPr>
  </w:style>
  <w:style w:type="paragraph" w:styleId="Heading3">
    <w:name w:val="heading 3"/>
    <w:basedOn w:val="Normal"/>
    <w:next w:val="Normal"/>
    <w:qFormat/>
    <w:rsid w:val="00E5339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8D048A"/>
    <w:pPr>
      <w:numPr>
        <w:numId w:val="16"/>
      </w:numPr>
      <w:tabs>
        <w:tab w:val="clear" w:pos="644"/>
        <w:tab w:val="num" w:pos="720"/>
      </w:tabs>
      <w:spacing w:line="23" w:lineRule="atLeast"/>
      <w:ind w:left="782" w:right="561" w:hanging="357"/>
    </w:pPr>
  </w:style>
  <w:style w:type="paragraph" w:styleId="Revision">
    <w:name w:val="Revision"/>
    <w:hidden/>
    <w:uiPriority w:val="99"/>
    <w:semiHidden/>
    <w:rsid w:val="00591C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48A"/>
    <w:pPr>
      <w:spacing w:after="120" w:line="276" w:lineRule="auto"/>
    </w:pPr>
    <w:rPr>
      <w:rFonts w:ascii="Arial" w:hAnsi="Arial" w:cs="Arial"/>
      <w:sz w:val="22"/>
      <w:szCs w:val="22"/>
    </w:rPr>
  </w:style>
  <w:style w:type="paragraph" w:styleId="Heading2">
    <w:name w:val="heading 2"/>
    <w:basedOn w:val="Normal"/>
    <w:next w:val="Normal"/>
    <w:autoRedefine/>
    <w:qFormat/>
    <w:rsid w:val="00231D50"/>
    <w:pPr>
      <w:keepNext/>
      <w:spacing w:after="0"/>
      <w:outlineLvl w:val="1"/>
    </w:pPr>
    <w:rPr>
      <w:b/>
      <w:sz w:val="24"/>
      <w:szCs w:val="24"/>
    </w:rPr>
  </w:style>
  <w:style w:type="paragraph" w:styleId="Heading3">
    <w:name w:val="heading 3"/>
    <w:basedOn w:val="Normal"/>
    <w:next w:val="Normal"/>
    <w:qFormat/>
    <w:rsid w:val="00E5339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8D048A"/>
    <w:pPr>
      <w:numPr>
        <w:numId w:val="16"/>
      </w:numPr>
      <w:tabs>
        <w:tab w:val="clear" w:pos="644"/>
        <w:tab w:val="num" w:pos="720"/>
      </w:tabs>
      <w:spacing w:line="23" w:lineRule="atLeast"/>
      <w:ind w:left="782" w:right="561" w:hanging="357"/>
    </w:pPr>
  </w:style>
  <w:style w:type="paragraph" w:styleId="Revision">
    <w:name w:val="Revision"/>
    <w:hidden/>
    <w:uiPriority w:val="99"/>
    <w:semiHidden/>
    <w:rsid w:val="00591C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60024">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438603550">
      <w:bodyDiv w:val="1"/>
      <w:marLeft w:val="0"/>
      <w:marRight w:val="0"/>
      <w:marTop w:val="0"/>
      <w:marBottom w:val="0"/>
      <w:divBdr>
        <w:top w:val="none" w:sz="0" w:space="0" w:color="auto"/>
        <w:left w:val="none" w:sz="0" w:space="0" w:color="auto"/>
        <w:bottom w:val="none" w:sz="0" w:space="0" w:color="auto"/>
        <w:right w:val="none" w:sz="0" w:space="0" w:color="auto"/>
      </w:divBdr>
    </w:div>
    <w:div w:id="1489319466">
      <w:bodyDiv w:val="1"/>
      <w:marLeft w:val="0"/>
      <w:marRight w:val="0"/>
      <w:marTop w:val="0"/>
      <w:marBottom w:val="0"/>
      <w:divBdr>
        <w:top w:val="none" w:sz="0" w:space="0" w:color="auto"/>
        <w:left w:val="none" w:sz="0" w:space="0" w:color="auto"/>
        <w:bottom w:val="none" w:sz="0" w:space="0" w:color="auto"/>
        <w:right w:val="none" w:sz="0" w:space="0" w:color="auto"/>
      </w:divBdr>
    </w:div>
    <w:div w:id="1600330234">
      <w:bodyDiv w:val="1"/>
      <w:marLeft w:val="30"/>
      <w:marRight w:val="30"/>
      <w:marTop w:val="0"/>
      <w:marBottom w:val="0"/>
      <w:divBdr>
        <w:top w:val="none" w:sz="0" w:space="0" w:color="auto"/>
        <w:left w:val="none" w:sz="0" w:space="0" w:color="auto"/>
        <w:bottom w:val="none" w:sz="0" w:space="0" w:color="auto"/>
        <w:right w:val="none" w:sz="0" w:space="0" w:color="auto"/>
      </w:divBdr>
      <w:divsChild>
        <w:div w:id="1555660284">
          <w:marLeft w:val="0"/>
          <w:marRight w:val="0"/>
          <w:marTop w:val="0"/>
          <w:marBottom w:val="0"/>
          <w:divBdr>
            <w:top w:val="none" w:sz="0" w:space="0" w:color="auto"/>
            <w:left w:val="none" w:sz="0" w:space="0" w:color="auto"/>
            <w:bottom w:val="none" w:sz="0" w:space="0" w:color="auto"/>
            <w:right w:val="none" w:sz="0" w:space="0" w:color="auto"/>
          </w:divBdr>
          <w:divsChild>
            <w:div w:id="1035277843">
              <w:marLeft w:val="0"/>
              <w:marRight w:val="0"/>
              <w:marTop w:val="0"/>
              <w:marBottom w:val="0"/>
              <w:divBdr>
                <w:top w:val="none" w:sz="0" w:space="0" w:color="auto"/>
                <w:left w:val="none" w:sz="0" w:space="0" w:color="auto"/>
                <w:bottom w:val="none" w:sz="0" w:space="0" w:color="auto"/>
                <w:right w:val="none" w:sz="0" w:space="0" w:color="auto"/>
              </w:divBdr>
              <w:divsChild>
                <w:div w:id="1571768346">
                  <w:marLeft w:val="180"/>
                  <w:marRight w:val="0"/>
                  <w:marTop w:val="0"/>
                  <w:marBottom w:val="0"/>
                  <w:divBdr>
                    <w:top w:val="none" w:sz="0" w:space="0" w:color="auto"/>
                    <w:left w:val="none" w:sz="0" w:space="0" w:color="auto"/>
                    <w:bottom w:val="none" w:sz="0" w:space="0" w:color="auto"/>
                    <w:right w:val="none" w:sz="0" w:space="0" w:color="auto"/>
                  </w:divBdr>
                  <w:divsChild>
                    <w:div w:id="20020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0037">
      <w:bodyDiv w:val="1"/>
      <w:marLeft w:val="0"/>
      <w:marRight w:val="0"/>
      <w:marTop w:val="0"/>
      <w:marBottom w:val="0"/>
      <w:divBdr>
        <w:top w:val="none" w:sz="0" w:space="0" w:color="auto"/>
        <w:left w:val="none" w:sz="0" w:space="0" w:color="auto"/>
        <w:bottom w:val="none" w:sz="0" w:space="0" w:color="auto"/>
        <w:right w:val="none" w:sz="0" w:space="0" w:color="auto"/>
      </w:divBdr>
    </w:div>
    <w:div w:id="1924798591">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40" ma:contentTypeDescription="" ma:contentTypeScope="" ma:versionID="4f155f794d28294918f962e997099557">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71f3e12437f46ccb92bb16dc3fde3e2e"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nillable="true"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ma:readOnly="false">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adOnly="fals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6DA5-6BB4-4B8D-8383-5FD26C182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3.xml><?xml version="1.0" encoding="utf-8"?>
<ds:datastoreItem xmlns:ds="http://schemas.openxmlformats.org/officeDocument/2006/customXml" ds:itemID="{9BBF1B00-FC19-4B1C-9D8B-7145DEC969EB}">
  <ds:schemaRefs>
    <ds:schemaRef ds:uri="http://schemas.microsoft.com/sharepoint/events"/>
  </ds:schemaRefs>
</ds:datastoreItem>
</file>

<file path=customXml/itemProps4.xml><?xml version="1.0" encoding="utf-8"?>
<ds:datastoreItem xmlns:ds="http://schemas.openxmlformats.org/officeDocument/2006/customXml" ds:itemID="{9092B523-521B-4F01-8DAB-0EC284B7888D}">
  <ds:schemaRefs>
    <ds:schemaRef ds:uri="office.server.policy"/>
  </ds:schemaRefs>
</ds:datastoreItem>
</file>

<file path=customXml/itemProps5.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6.xml><?xml version="1.0" encoding="utf-8"?>
<ds:datastoreItem xmlns:ds="http://schemas.openxmlformats.org/officeDocument/2006/customXml" ds:itemID="{43AB705F-B4F9-498E-8E8D-C6A3DF9D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6251</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Economou, Renee</cp:lastModifiedBy>
  <cp:revision>1</cp:revision>
  <cp:lastPrinted>2017-04-06T00:45:00Z</cp:lastPrinted>
  <dcterms:created xsi:type="dcterms:W3CDTF">2017-04-11T06:15:00Z</dcterms:created>
  <dcterms:modified xsi:type="dcterms:W3CDTF">2017-04-11T06:15:00Z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b7595fec-83a9-468b-b75f-c1145ef2e88e</vt:lpwstr>
  </property>
  <property fmtid="{D5CDD505-2E9C-101B-9397-08002B2CF9AE}" pid="6" name="TaxKeyword">
    <vt:lpwstr/>
  </property>
  <property fmtid="{D5CDD505-2E9C-101B-9397-08002B2CF9AE}" pid="7" name="Security Classification">
    <vt:lpwstr>1;#UNCLASSIFIED|1bbb598d-ed8e-4faa-b9b5-c952cc7313f8</vt:lpwstr>
  </property>
</Properties>
</file>