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Pr="001F2A16" w:rsidRDefault="00DA4BA5" w:rsidP="00D44193">
      <w:pPr>
        <w:pStyle w:val="Header"/>
        <w:pBdr>
          <w:top w:val="double" w:sz="4" w:space="1" w:color="auto"/>
          <w:bottom w:val="double" w:sz="4" w:space="1" w:color="auto"/>
        </w:pBdr>
        <w:tabs>
          <w:tab w:val="clear" w:pos="4153"/>
          <w:tab w:val="clear" w:pos="8306"/>
        </w:tabs>
        <w:ind w:firstLine="720"/>
        <w:jc w:val="center"/>
        <w:rPr>
          <w:rFonts w:ascii="Arial" w:hAnsi="Arial" w:cs="Arial"/>
          <w:sz w:val="34"/>
          <w:szCs w:val="34"/>
        </w:rPr>
      </w:pPr>
      <w:bookmarkStart w:id="0" w:name="FDocName"/>
      <w:r>
        <w:rPr>
          <w:rFonts w:ascii="Arial" w:hAnsi="Arial" w:cs="Arial"/>
          <w:sz w:val="34"/>
          <w:szCs w:val="34"/>
        </w:rPr>
        <w:br/>
      </w:r>
      <w:r w:rsidR="001F2A16" w:rsidRPr="001F2A16">
        <w:rPr>
          <w:rFonts w:ascii="Arial" w:hAnsi="Arial" w:cs="Arial"/>
          <w:sz w:val="34"/>
          <w:szCs w:val="34"/>
        </w:rPr>
        <w:t>Explanatory Statement</w:t>
      </w:r>
    </w:p>
    <w:p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99555F" w:rsidRPr="00027E13" w:rsidRDefault="00923DC5"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DD752C">
        <w:rPr>
          <w:rFonts w:ascii="Arial" w:hAnsi="Arial" w:cs="Arial"/>
          <w:sz w:val="34"/>
          <w:szCs w:val="34"/>
        </w:rPr>
        <w:t>Goods and Services Tax</w:t>
      </w:r>
      <w:r w:rsidR="00027E13" w:rsidRPr="00DD752C">
        <w:rPr>
          <w:rFonts w:ascii="Arial" w:hAnsi="Arial" w:cs="Arial"/>
          <w:sz w:val="34"/>
          <w:szCs w:val="34"/>
        </w:rPr>
        <w:t>:</w:t>
      </w:r>
      <w:r w:rsidR="006F2129" w:rsidRPr="00027E13">
        <w:rPr>
          <w:rFonts w:ascii="Arial" w:hAnsi="Arial" w:cs="Arial"/>
          <w:sz w:val="34"/>
          <w:szCs w:val="34"/>
        </w:rPr>
        <w:t xml:space="preserve"> Particular Attrib</w:t>
      </w:r>
      <w:bookmarkStart w:id="1" w:name="_GoBack"/>
      <w:bookmarkEnd w:id="1"/>
      <w:r w:rsidR="006F2129" w:rsidRPr="00027E13">
        <w:rPr>
          <w:rFonts w:ascii="Arial" w:hAnsi="Arial" w:cs="Arial"/>
          <w:sz w:val="34"/>
          <w:szCs w:val="34"/>
        </w:rPr>
        <w:t>ution Rules for Banknote and Coin-operated Machines and Similar Devices</w:t>
      </w:r>
      <w:r w:rsidR="00B87EBE">
        <w:rPr>
          <w:rFonts w:ascii="Arial" w:hAnsi="Arial" w:cs="Arial"/>
          <w:sz w:val="34"/>
          <w:szCs w:val="34"/>
        </w:rPr>
        <w:t xml:space="preserve"> </w:t>
      </w:r>
      <w:r w:rsidR="006F2129" w:rsidRPr="00027E13">
        <w:rPr>
          <w:rFonts w:ascii="Arial" w:hAnsi="Arial" w:cs="Arial"/>
          <w:sz w:val="34"/>
          <w:szCs w:val="34"/>
        </w:rPr>
        <w:t xml:space="preserve">Determination </w:t>
      </w:r>
      <w:r w:rsidR="00027E13" w:rsidRPr="00027E13">
        <w:rPr>
          <w:rFonts w:ascii="Arial" w:hAnsi="Arial" w:cs="Arial"/>
          <w:sz w:val="34"/>
          <w:szCs w:val="34"/>
        </w:rPr>
        <w:t>2017</w:t>
      </w:r>
      <w:r w:rsidR="00027E13" w:rsidRPr="00027E13">
        <w:rPr>
          <w:rFonts w:ascii="Arial" w:hAnsi="Arial" w:cs="Arial"/>
          <w:sz w:val="34"/>
          <w:szCs w:val="34"/>
        </w:rPr>
        <w:br/>
      </w:r>
    </w:p>
    <w:p w:rsidR="001F2A16" w:rsidRPr="001F2A16" w:rsidRDefault="001F2A16" w:rsidP="0099555F">
      <w:pPr>
        <w:pStyle w:val="Header"/>
        <w:tabs>
          <w:tab w:val="clear" w:pos="4153"/>
          <w:tab w:val="clear" w:pos="8306"/>
        </w:tabs>
        <w:jc w:val="center"/>
        <w:rPr>
          <w:rFonts w:ascii="Arial" w:hAnsi="Arial" w:cs="Arial"/>
          <w:szCs w:val="24"/>
        </w:rPr>
      </w:pPr>
    </w:p>
    <w:p w:rsidR="00F24287" w:rsidRDefault="00486653" w:rsidP="00F24287">
      <w:pPr>
        <w:pStyle w:val="Heading2"/>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 xml:space="preserve">General </w:t>
      </w:r>
      <w:r w:rsidR="006F2129">
        <w:rPr>
          <w:sz w:val="24"/>
          <w:szCs w:val="24"/>
        </w:rPr>
        <w:t>o</w:t>
      </w:r>
      <w:r w:rsidRPr="005E6CCE">
        <w:rPr>
          <w:sz w:val="24"/>
          <w:szCs w:val="24"/>
        </w:rPr>
        <w:t xml:space="preserve">utline of </w:t>
      </w:r>
      <w:r w:rsidR="00D13E64">
        <w:rPr>
          <w:sz w:val="24"/>
          <w:szCs w:val="24"/>
        </w:rPr>
        <w:t>d</w:t>
      </w:r>
      <w:r w:rsidR="006F2129">
        <w:rPr>
          <w:sz w:val="24"/>
          <w:szCs w:val="24"/>
        </w:rPr>
        <w:t xml:space="preserve">etermination </w:t>
      </w:r>
      <w:bookmarkStart w:id="12" w:name="IComments"/>
    </w:p>
    <w:p w:rsidR="00F24287" w:rsidRPr="00F24287" w:rsidRDefault="00486653" w:rsidP="00F24287">
      <w:pPr>
        <w:pStyle w:val="Heading2"/>
        <w:numPr>
          <w:ilvl w:val="1"/>
          <w:numId w:val="1"/>
        </w:numPr>
        <w:ind w:left="426"/>
        <w:rPr>
          <w:b w:val="0"/>
          <w:sz w:val="24"/>
          <w:szCs w:val="24"/>
        </w:rPr>
      </w:pPr>
      <w:r w:rsidRPr="00F24287">
        <w:rPr>
          <w:rFonts w:cs="Arial"/>
          <w:b w:val="0"/>
          <w:szCs w:val="22"/>
        </w:rPr>
        <w:t>T</w:t>
      </w:r>
      <w:r w:rsidR="00590D88" w:rsidRPr="00F24287">
        <w:rPr>
          <w:rFonts w:cs="Arial"/>
          <w:b w:val="0"/>
          <w:szCs w:val="22"/>
        </w:rPr>
        <w:t>his</w:t>
      </w:r>
      <w:r w:rsidRPr="00F24287">
        <w:rPr>
          <w:rFonts w:cs="Arial"/>
          <w:b w:val="0"/>
          <w:szCs w:val="22"/>
        </w:rPr>
        <w:t xml:space="preserve"> </w:t>
      </w:r>
      <w:r w:rsidR="006F2129" w:rsidRPr="00F24287">
        <w:rPr>
          <w:rFonts w:cs="Arial"/>
          <w:b w:val="0"/>
          <w:szCs w:val="22"/>
        </w:rPr>
        <w:t xml:space="preserve">determination is made under </w:t>
      </w:r>
      <w:r w:rsidR="00264380" w:rsidRPr="00F24287">
        <w:rPr>
          <w:rFonts w:cs="Arial"/>
          <w:b w:val="0"/>
          <w:szCs w:val="22"/>
        </w:rPr>
        <w:t>subsection 29-25(1) of</w:t>
      </w:r>
      <w:r w:rsidR="006F2129" w:rsidRPr="00F24287">
        <w:rPr>
          <w:rFonts w:cs="Arial"/>
          <w:b w:val="0"/>
          <w:szCs w:val="22"/>
        </w:rPr>
        <w:t xml:space="preserve"> the </w:t>
      </w:r>
      <w:r w:rsidR="006F2129" w:rsidRPr="00F24287">
        <w:rPr>
          <w:rFonts w:cs="Arial"/>
          <w:b w:val="0"/>
          <w:i/>
          <w:szCs w:val="22"/>
        </w:rPr>
        <w:t>A New Tax System (Goods and Services Tax) Act 1999</w:t>
      </w:r>
      <w:r w:rsidR="006F2129" w:rsidRPr="00F24287">
        <w:rPr>
          <w:rFonts w:cs="Arial"/>
          <w:b w:val="0"/>
          <w:szCs w:val="22"/>
        </w:rPr>
        <w:t xml:space="preserve"> (GST Act</w:t>
      </w:r>
      <w:r w:rsidR="008A7D72" w:rsidRPr="00F24287">
        <w:rPr>
          <w:rFonts w:cs="Arial"/>
          <w:b w:val="0"/>
          <w:szCs w:val="22"/>
        </w:rPr>
        <w:t>)</w:t>
      </w:r>
      <w:r w:rsidR="00FE29D9" w:rsidRPr="00F24287">
        <w:rPr>
          <w:rFonts w:cs="Arial"/>
          <w:b w:val="0"/>
          <w:szCs w:val="22"/>
        </w:rPr>
        <w:t>.</w:t>
      </w:r>
    </w:p>
    <w:p w:rsidR="00F24287" w:rsidRPr="00F24287" w:rsidRDefault="006F19AD" w:rsidP="00F24287">
      <w:pPr>
        <w:pStyle w:val="Heading2"/>
        <w:numPr>
          <w:ilvl w:val="1"/>
          <w:numId w:val="1"/>
        </w:numPr>
        <w:ind w:left="426"/>
        <w:rPr>
          <w:b w:val="0"/>
          <w:sz w:val="24"/>
          <w:szCs w:val="24"/>
        </w:rPr>
      </w:pPr>
      <w:r w:rsidRPr="00F24287">
        <w:rPr>
          <w:rFonts w:cs="Arial"/>
          <w:b w:val="0"/>
        </w:rPr>
        <w:t>Under subsection 33(3) of the</w:t>
      </w:r>
      <w:r w:rsidRPr="00F24287">
        <w:rPr>
          <w:b w:val="0"/>
          <w:spacing w:val="23"/>
          <w:szCs w:val="24"/>
        </w:rPr>
        <w:t xml:space="preserve"> </w:t>
      </w:r>
      <w:r w:rsidRPr="00F24287">
        <w:rPr>
          <w:rFonts w:cs="Arial"/>
          <w:b w:val="0"/>
          <w:i/>
          <w:iCs/>
          <w:spacing w:val="-1"/>
          <w:szCs w:val="24"/>
        </w:rPr>
        <w:t>Ac</w:t>
      </w:r>
      <w:r w:rsidRPr="00F24287">
        <w:rPr>
          <w:rFonts w:cs="Arial"/>
          <w:b w:val="0"/>
          <w:i/>
          <w:iCs/>
          <w:szCs w:val="24"/>
        </w:rPr>
        <w:t>ts</w:t>
      </w:r>
      <w:r w:rsidRPr="00F24287">
        <w:rPr>
          <w:rFonts w:cs="Arial"/>
          <w:b w:val="0"/>
          <w:i/>
          <w:iCs/>
          <w:spacing w:val="24"/>
          <w:szCs w:val="24"/>
        </w:rPr>
        <w:t xml:space="preserve"> </w:t>
      </w:r>
      <w:r w:rsidRPr="00F24287">
        <w:rPr>
          <w:rFonts w:cs="Arial"/>
          <w:b w:val="0"/>
          <w:i/>
          <w:iCs/>
          <w:spacing w:val="-1"/>
          <w:szCs w:val="24"/>
        </w:rPr>
        <w:t>I</w:t>
      </w:r>
      <w:r w:rsidRPr="00F24287">
        <w:rPr>
          <w:rFonts w:cs="Arial"/>
          <w:b w:val="0"/>
          <w:i/>
          <w:iCs/>
          <w:szCs w:val="24"/>
        </w:rPr>
        <w:t>nt</w:t>
      </w:r>
      <w:r w:rsidRPr="00F24287">
        <w:rPr>
          <w:rFonts w:cs="Arial"/>
          <w:b w:val="0"/>
          <w:i/>
          <w:iCs/>
          <w:spacing w:val="-1"/>
          <w:szCs w:val="24"/>
        </w:rPr>
        <w:t>e</w:t>
      </w:r>
      <w:r w:rsidRPr="00F24287">
        <w:rPr>
          <w:rFonts w:cs="Arial"/>
          <w:b w:val="0"/>
          <w:i/>
          <w:iCs/>
          <w:szCs w:val="24"/>
        </w:rPr>
        <w:t>rpr</w:t>
      </w:r>
      <w:r w:rsidRPr="00F24287">
        <w:rPr>
          <w:rFonts w:cs="Arial"/>
          <w:b w:val="0"/>
          <w:i/>
          <w:iCs/>
          <w:spacing w:val="-1"/>
          <w:szCs w:val="24"/>
        </w:rPr>
        <w:t>e</w:t>
      </w:r>
      <w:r w:rsidRPr="00F24287">
        <w:rPr>
          <w:rFonts w:cs="Arial"/>
          <w:b w:val="0"/>
          <w:i/>
          <w:iCs/>
          <w:szCs w:val="24"/>
        </w:rPr>
        <w:t>tation</w:t>
      </w:r>
      <w:r w:rsidRPr="00F24287">
        <w:rPr>
          <w:rFonts w:cs="Arial"/>
          <w:b w:val="0"/>
          <w:i/>
          <w:iCs/>
          <w:spacing w:val="24"/>
          <w:szCs w:val="24"/>
        </w:rPr>
        <w:t xml:space="preserve"> </w:t>
      </w:r>
      <w:r w:rsidRPr="00F24287">
        <w:rPr>
          <w:rFonts w:cs="Arial"/>
          <w:b w:val="0"/>
          <w:i/>
          <w:iCs/>
          <w:spacing w:val="-1"/>
          <w:szCs w:val="24"/>
        </w:rPr>
        <w:t>Ac</w:t>
      </w:r>
      <w:r w:rsidRPr="00F24287">
        <w:rPr>
          <w:rFonts w:cs="Arial"/>
          <w:b w:val="0"/>
          <w:i/>
          <w:iCs/>
          <w:szCs w:val="24"/>
        </w:rPr>
        <w:t>t</w:t>
      </w:r>
      <w:r w:rsidRPr="00F24287">
        <w:rPr>
          <w:rFonts w:cs="Arial"/>
          <w:b w:val="0"/>
          <w:i/>
          <w:iCs/>
          <w:spacing w:val="24"/>
          <w:szCs w:val="24"/>
        </w:rPr>
        <w:t xml:space="preserve"> </w:t>
      </w:r>
      <w:r w:rsidRPr="00F24287">
        <w:rPr>
          <w:rFonts w:cs="Arial"/>
          <w:b w:val="0"/>
          <w:i/>
          <w:iCs/>
          <w:szCs w:val="24"/>
        </w:rPr>
        <w:t>1901</w:t>
      </w:r>
      <w:r w:rsidRPr="00F24287">
        <w:rPr>
          <w:rFonts w:cs="Arial"/>
          <w:b w:val="0"/>
          <w:szCs w:val="24"/>
        </w:rPr>
        <w:t>,</w:t>
      </w:r>
      <w:r w:rsidRPr="00F24287">
        <w:rPr>
          <w:b w:val="0"/>
          <w:spacing w:val="23"/>
          <w:szCs w:val="24"/>
        </w:rPr>
        <w:t xml:space="preserve"> </w:t>
      </w:r>
      <w:r w:rsidRPr="00F24287">
        <w:rPr>
          <w:rFonts w:cs="Arial"/>
          <w:b w:val="0"/>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F24287" w:rsidRPr="00F24287" w:rsidRDefault="00590D88" w:rsidP="00F24287">
      <w:pPr>
        <w:pStyle w:val="Heading2"/>
        <w:numPr>
          <w:ilvl w:val="1"/>
          <w:numId w:val="1"/>
        </w:numPr>
        <w:ind w:left="426"/>
        <w:rPr>
          <w:b w:val="0"/>
          <w:sz w:val="24"/>
          <w:szCs w:val="24"/>
        </w:rPr>
      </w:pPr>
      <w:r w:rsidRPr="00F24287">
        <w:rPr>
          <w:rFonts w:cs="Arial"/>
          <w:b w:val="0"/>
        </w:rPr>
        <w:t>This</w:t>
      </w:r>
      <w:r w:rsidR="00EC770F" w:rsidRPr="00F24287">
        <w:rPr>
          <w:rFonts w:cs="Arial"/>
          <w:b w:val="0"/>
        </w:rPr>
        <w:t xml:space="preserve"> determination </w:t>
      </w:r>
      <w:r w:rsidR="00875A62" w:rsidRPr="00F24287">
        <w:rPr>
          <w:rFonts w:cs="Arial"/>
          <w:b w:val="0"/>
        </w:rPr>
        <w:t xml:space="preserve">specifies </w:t>
      </w:r>
      <w:r w:rsidR="007738BD" w:rsidRPr="00F24287">
        <w:rPr>
          <w:rFonts w:cs="Arial"/>
          <w:b w:val="0"/>
        </w:rPr>
        <w:t xml:space="preserve">the </w:t>
      </w:r>
      <w:r w:rsidR="00BD31D8" w:rsidRPr="00F24287">
        <w:rPr>
          <w:rFonts w:cs="Arial"/>
          <w:b w:val="0"/>
        </w:rPr>
        <w:t xml:space="preserve">particular </w:t>
      </w:r>
      <w:r w:rsidR="007738BD" w:rsidRPr="00F24287">
        <w:rPr>
          <w:rFonts w:cs="Arial"/>
          <w:b w:val="0"/>
        </w:rPr>
        <w:t xml:space="preserve">attribution rule for GST payable on a taxable supply made through a banknote or coin-operated machine or similar device before the supplier </w:t>
      </w:r>
      <w:r w:rsidR="00436B7C" w:rsidRPr="00F24287">
        <w:rPr>
          <w:rFonts w:cs="Arial"/>
          <w:b w:val="0"/>
        </w:rPr>
        <w:t>becomes aware of the supply</w:t>
      </w:r>
      <w:r w:rsidR="007738BD" w:rsidRPr="00F24287">
        <w:rPr>
          <w:rFonts w:cs="Arial"/>
          <w:b w:val="0"/>
        </w:rPr>
        <w:t>.</w:t>
      </w:r>
    </w:p>
    <w:p w:rsidR="00A04CA0" w:rsidRDefault="00486653" w:rsidP="00F24287">
      <w:pPr>
        <w:pStyle w:val="Heading2"/>
        <w:numPr>
          <w:ilvl w:val="1"/>
          <w:numId w:val="1"/>
        </w:numPr>
        <w:ind w:left="426"/>
        <w:rPr>
          <w:rFonts w:cs="Arial"/>
          <w:b w:val="0"/>
          <w:i/>
        </w:rPr>
      </w:pPr>
      <w:r w:rsidRPr="00F24287">
        <w:rPr>
          <w:rFonts w:cs="Arial"/>
          <w:b w:val="0"/>
        </w:rPr>
        <w:t>Th</w:t>
      </w:r>
      <w:r w:rsidR="00590D88" w:rsidRPr="00F24287">
        <w:rPr>
          <w:rFonts w:cs="Arial"/>
          <w:b w:val="0"/>
        </w:rPr>
        <w:t>is</w:t>
      </w:r>
      <w:r w:rsidRPr="00F24287">
        <w:rPr>
          <w:rFonts w:cs="Arial"/>
          <w:b w:val="0"/>
        </w:rPr>
        <w:t xml:space="preserve"> </w:t>
      </w:r>
      <w:r w:rsidR="00436B7C" w:rsidRPr="00F24287">
        <w:rPr>
          <w:rFonts w:cs="Arial"/>
          <w:b w:val="0"/>
        </w:rPr>
        <w:t xml:space="preserve">determination </w:t>
      </w:r>
      <w:r w:rsidRPr="00F24287">
        <w:rPr>
          <w:rFonts w:cs="Arial"/>
          <w:b w:val="0"/>
        </w:rPr>
        <w:t xml:space="preserve">is a legislative instrument for the purposes of the </w:t>
      </w:r>
      <w:r w:rsidRPr="00F24287">
        <w:rPr>
          <w:rFonts w:cs="Arial"/>
          <w:b w:val="0"/>
          <w:i/>
        </w:rPr>
        <w:t>Legisla</w:t>
      </w:r>
      <w:r w:rsidR="00A04CA0" w:rsidRPr="00F24287">
        <w:rPr>
          <w:rFonts w:cs="Arial"/>
          <w:b w:val="0"/>
          <w:i/>
        </w:rPr>
        <w:t>tion</w:t>
      </w:r>
      <w:r w:rsidR="00436B7C" w:rsidRPr="00F24287">
        <w:rPr>
          <w:rFonts w:cs="Arial"/>
          <w:b w:val="0"/>
          <w:i/>
        </w:rPr>
        <w:t xml:space="preserve"> </w:t>
      </w:r>
      <w:r w:rsidR="00A04CA0" w:rsidRPr="00F24287">
        <w:rPr>
          <w:rFonts w:cs="Arial"/>
          <w:b w:val="0"/>
          <w:i/>
        </w:rPr>
        <w:t>Act 2003.</w:t>
      </w:r>
    </w:p>
    <w:p w:rsidR="00011406" w:rsidRPr="006D1010" w:rsidRDefault="00011406" w:rsidP="006D1010">
      <w:pPr>
        <w:rPr>
          <w:b/>
        </w:rPr>
      </w:pPr>
    </w:p>
    <w:bookmarkEnd w:id="12"/>
    <w:p w:rsidR="00486653" w:rsidRDefault="00486653" w:rsidP="00486653">
      <w:pPr>
        <w:pStyle w:val="Heading2"/>
        <w:rPr>
          <w:sz w:val="24"/>
          <w:szCs w:val="24"/>
        </w:rPr>
      </w:pPr>
      <w:r w:rsidRPr="00AA7B9E">
        <w:rPr>
          <w:sz w:val="24"/>
          <w:szCs w:val="24"/>
        </w:rPr>
        <w:t>Date of effect</w:t>
      </w:r>
    </w:p>
    <w:p w:rsidR="00EB25E7" w:rsidRPr="00AA7B9E" w:rsidRDefault="00EB25E7" w:rsidP="006D1010">
      <w:pPr>
        <w:pStyle w:val="ListParagraph"/>
        <w:numPr>
          <w:ilvl w:val="1"/>
          <w:numId w:val="1"/>
        </w:numPr>
        <w:spacing w:before="240" w:after="120" w:line="240" w:lineRule="auto"/>
        <w:ind w:left="425" w:right="561" w:hanging="425"/>
        <w:rPr>
          <w:rFonts w:ascii="Arial" w:hAnsi="Arial" w:cs="Arial"/>
        </w:rPr>
      </w:pPr>
      <w:r w:rsidRPr="00AA7B9E">
        <w:rPr>
          <w:rFonts w:ascii="Arial" w:hAnsi="Arial" w:cs="Arial"/>
        </w:rPr>
        <w:t>This determination will commence retrospectively on 1 April 2017. This is to allow for reasonable and appropriate consultation to be completed.</w:t>
      </w:r>
    </w:p>
    <w:p w:rsidR="00EB25E7" w:rsidRDefault="00EB25E7" w:rsidP="006D1010">
      <w:pPr>
        <w:pStyle w:val="ListParagraph"/>
        <w:numPr>
          <w:ilvl w:val="1"/>
          <w:numId w:val="1"/>
        </w:numPr>
        <w:spacing w:after="120" w:line="240" w:lineRule="auto"/>
        <w:ind w:left="425" w:right="561" w:hanging="425"/>
        <w:rPr>
          <w:rFonts w:ascii="Arial" w:hAnsi="Arial" w:cs="Arial"/>
        </w:rPr>
      </w:pPr>
      <w:r w:rsidRPr="00AA7B9E">
        <w:rPr>
          <w:rFonts w:ascii="Arial" w:hAnsi="Arial" w:cs="Arial"/>
        </w:rPr>
        <w:t xml:space="preserve">Subsection 12(2) of the </w:t>
      </w:r>
      <w:r w:rsidRPr="00AA7B9E">
        <w:rPr>
          <w:rFonts w:ascii="Arial" w:hAnsi="Arial" w:cs="Arial"/>
          <w:i/>
          <w:iCs/>
        </w:rPr>
        <w:t>Legislation Act 2003</w:t>
      </w:r>
      <w:r w:rsidRPr="00AA7B9E">
        <w:rPr>
          <w:rFonts w:ascii="Arial" w:hAnsi="Arial" w:cs="Arial"/>
        </w:rPr>
        <w:t xml:space="preserve"> allows a retrospective application date for a </w:t>
      </w:r>
      <w:r w:rsidR="004E71A7">
        <w:rPr>
          <w:rFonts w:ascii="Arial" w:hAnsi="Arial" w:cs="Arial"/>
        </w:rPr>
        <w:t>l</w:t>
      </w:r>
      <w:r w:rsidR="004E71A7" w:rsidRPr="00AA7B9E">
        <w:rPr>
          <w:rFonts w:ascii="Arial" w:hAnsi="Arial" w:cs="Arial"/>
        </w:rPr>
        <w:t xml:space="preserve">egislative </w:t>
      </w:r>
      <w:r w:rsidR="004E71A7">
        <w:rPr>
          <w:rFonts w:ascii="Arial" w:hAnsi="Arial" w:cs="Arial"/>
        </w:rPr>
        <w:t>i</w:t>
      </w:r>
      <w:r w:rsidRPr="00AA7B9E">
        <w:rPr>
          <w:rFonts w:ascii="Arial" w:hAnsi="Arial" w:cs="Arial"/>
        </w:rPr>
        <w:t>nstrument. This determination aims to reduce compliance costs.  A commencement date after 1 April 2017 would create unexpected compliance obligations for the intervening period. To provide certainty to taxpayers who have relied upon the previous determination and continue to rely on this determination and protect the rights of all affected taxpayers the retrospective application date is reasonable and appropriate. The retrospective application date will not adversely affect the rights of any person and will not impose a liability on any person for any act or omission before this instrument’s registration date.</w:t>
      </w:r>
    </w:p>
    <w:p w:rsidR="00011406" w:rsidRPr="00AA7B9E" w:rsidRDefault="00011406" w:rsidP="006D1010">
      <w:pPr>
        <w:pStyle w:val="ListParagraph"/>
        <w:spacing w:after="120" w:line="240" w:lineRule="auto"/>
        <w:ind w:left="425" w:right="561"/>
        <w:rPr>
          <w:rFonts w:ascii="Arial" w:hAnsi="Arial" w:cs="Arial"/>
        </w:rPr>
      </w:pPr>
    </w:p>
    <w:p w:rsidR="00486653" w:rsidRPr="009F31A4" w:rsidRDefault="00486653" w:rsidP="00344B2C">
      <w:pPr>
        <w:pStyle w:val="Heading2"/>
        <w:rPr>
          <w:rFonts w:cs="Arial"/>
        </w:rPr>
      </w:pPr>
      <w:r w:rsidRPr="007533B3">
        <w:rPr>
          <w:sz w:val="24"/>
          <w:szCs w:val="24"/>
        </w:rPr>
        <w:t xml:space="preserve">What is </w:t>
      </w:r>
      <w:r w:rsidR="009F5C1A">
        <w:rPr>
          <w:sz w:val="24"/>
          <w:szCs w:val="24"/>
        </w:rPr>
        <w:t>the determination</w:t>
      </w:r>
      <w:r w:rsidRPr="007533B3">
        <w:rPr>
          <w:sz w:val="24"/>
          <w:szCs w:val="24"/>
        </w:rPr>
        <w:t xml:space="preserve"> about</w:t>
      </w:r>
      <w:r w:rsidR="00D201F8">
        <w:rPr>
          <w:sz w:val="24"/>
          <w:szCs w:val="24"/>
        </w:rPr>
        <w:t>?</w:t>
      </w:r>
    </w:p>
    <w:p w:rsidR="00F24287" w:rsidRDefault="003975D4" w:rsidP="00446D80">
      <w:pPr>
        <w:pStyle w:val="ListParagraph"/>
        <w:numPr>
          <w:ilvl w:val="1"/>
          <w:numId w:val="1"/>
        </w:numPr>
        <w:spacing w:after="120" w:line="240" w:lineRule="auto"/>
        <w:ind w:left="425" w:hanging="357"/>
        <w:rPr>
          <w:rFonts w:ascii="Arial" w:hAnsi="Arial" w:cs="Arial"/>
        </w:rPr>
      </w:pPr>
      <w:r w:rsidRPr="00F24287">
        <w:rPr>
          <w:rFonts w:ascii="Arial" w:hAnsi="Arial" w:cs="Arial"/>
        </w:rPr>
        <w:t xml:space="preserve">Section 29-5 of the GST Act </w:t>
      </w:r>
      <w:r w:rsidR="00770604" w:rsidRPr="00F24287">
        <w:rPr>
          <w:rFonts w:ascii="Arial" w:hAnsi="Arial" w:cs="Arial"/>
        </w:rPr>
        <w:t>provides</w:t>
      </w:r>
      <w:r w:rsidR="00875A62" w:rsidRPr="00F24287">
        <w:rPr>
          <w:rFonts w:ascii="Arial" w:hAnsi="Arial" w:cs="Arial"/>
        </w:rPr>
        <w:t xml:space="preserve"> for</w:t>
      </w:r>
      <w:r w:rsidR="00770604" w:rsidRPr="00F24287">
        <w:rPr>
          <w:rFonts w:ascii="Arial" w:hAnsi="Arial" w:cs="Arial"/>
        </w:rPr>
        <w:t xml:space="preserve"> </w:t>
      </w:r>
      <w:r w:rsidRPr="00F24287">
        <w:rPr>
          <w:rFonts w:ascii="Arial" w:hAnsi="Arial" w:cs="Arial"/>
        </w:rPr>
        <w:t xml:space="preserve">when </w:t>
      </w:r>
      <w:r w:rsidR="00F919D0" w:rsidRPr="00F24287">
        <w:rPr>
          <w:rFonts w:ascii="Arial" w:hAnsi="Arial" w:cs="Arial"/>
        </w:rPr>
        <w:t xml:space="preserve">a supplier must attribute </w:t>
      </w:r>
      <w:r w:rsidR="00770604" w:rsidRPr="00F24287">
        <w:rPr>
          <w:rFonts w:ascii="Arial" w:hAnsi="Arial" w:cs="Arial"/>
        </w:rPr>
        <w:t>the GST payable on a</w:t>
      </w:r>
      <w:r w:rsidR="00F919D0" w:rsidRPr="00F24287">
        <w:rPr>
          <w:rFonts w:ascii="Arial" w:hAnsi="Arial" w:cs="Arial"/>
        </w:rPr>
        <w:t xml:space="preserve"> taxable suppl</w:t>
      </w:r>
      <w:r w:rsidR="00770604" w:rsidRPr="00F24287">
        <w:rPr>
          <w:rFonts w:ascii="Arial" w:hAnsi="Arial" w:cs="Arial"/>
        </w:rPr>
        <w:t>y</w:t>
      </w:r>
      <w:r w:rsidR="00F919D0" w:rsidRPr="00F24287">
        <w:rPr>
          <w:rFonts w:ascii="Arial" w:hAnsi="Arial" w:cs="Arial"/>
        </w:rPr>
        <w:t>.</w:t>
      </w:r>
    </w:p>
    <w:p w:rsidR="00F24287" w:rsidRDefault="00E626AE" w:rsidP="00446D80">
      <w:pPr>
        <w:pStyle w:val="ListParagraph"/>
        <w:numPr>
          <w:ilvl w:val="1"/>
          <w:numId w:val="1"/>
        </w:numPr>
        <w:spacing w:after="120" w:line="240" w:lineRule="auto"/>
        <w:ind w:left="425" w:hanging="357"/>
        <w:rPr>
          <w:rFonts w:ascii="Arial" w:hAnsi="Arial" w:cs="Arial"/>
        </w:rPr>
      </w:pPr>
      <w:r w:rsidRPr="00F24287">
        <w:rPr>
          <w:rFonts w:ascii="Arial" w:hAnsi="Arial" w:cs="Arial"/>
        </w:rPr>
        <w:t>The purpose of th</w:t>
      </w:r>
      <w:r w:rsidR="00590D88" w:rsidRPr="00F24287">
        <w:rPr>
          <w:rFonts w:ascii="Arial" w:hAnsi="Arial" w:cs="Arial"/>
        </w:rPr>
        <w:t>is</w:t>
      </w:r>
      <w:r w:rsidRPr="00F24287">
        <w:rPr>
          <w:rFonts w:ascii="Arial" w:hAnsi="Arial" w:cs="Arial"/>
        </w:rPr>
        <w:t xml:space="preserve"> </w:t>
      </w:r>
      <w:r w:rsidR="00E473FE" w:rsidRPr="00F24287">
        <w:rPr>
          <w:rFonts w:ascii="Arial" w:hAnsi="Arial" w:cs="Arial"/>
        </w:rPr>
        <w:t>determination is</w:t>
      </w:r>
      <w:r w:rsidRPr="00F24287">
        <w:rPr>
          <w:rFonts w:ascii="Arial" w:hAnsi="Arial" w:cs="Arial"/>
        </w:rPr>
        <w:t xml:space="preserve"> to </w:t>
      </w:r>
      <w:r w:rsidR="006271E8" w:rsidRPr="00F24287">
        <w:rPr>
          <w:rFonts w:ascii="Arial" w:hAnsi="Arial" w:cs="Arial"/>
        </w:rPr>
        <w:t xml:space="preserve">specify </w:t>
      </w:r>
      <w:r w:rsidRPr="00F24287">
        <w:rPr>
          <w:rFonts w:ascii="Arial" w:hAnsi="Arial" w:cs="Arial"/>
        </w:rPr>
        <w:t xml:space="preserve">the particular attribution rule </w:t>
      </w:r>
      <w:r w:rsidR="00436B7C" w:rsidRPr="00F24287">
        <w:rPr>
          <w:rFonts w:ascii="Arial" w:hAnsi="Arial" w:cs="Arial"/>
        </w:rPr>
        <w:t xml:space="preserve">for GST payable on a taxable supply that is made </w:t>
      </w:r>
      <w:r w:rsidRPr="00F24287">
        <w:rPr>
          <w:rFonts w:ascii="Arial" w:hAnsi="Arial" w:cs="Arial"/>
        </w:rPr>
        <w:t xml:space="preserve">before the supplier </w:t>
      </w:r>
      <w:r w:rsidR="00436B7C" w:rsidRPr="00F24287">
        <w:rPr>
          <w:rFonts w:ascii="Arial" w:hAnsi="Arial" w:cs="Arial"/>
        </w:rPr>
        <w:t>becomes aware of the supply</w:t>
      </w:r>
      <w:r w:rsidRPr="00F24287">
        <w:rPr>
          <w:rFonts w:ascii="Arial" w:hAnsi="Arial" w:cs="Arial"/>
        </w:rPr>
        <w:t>.</w:t>
      </w:r>
    </w:p>
    <w:p w:rsidR="00AA5ACC" w:rsidRPr="00F24287" w:rsidRDefault="000D75ED" w:rsidP="00446D80">
      <w:pPr>
        <w:pStyle w:val="ListParagraph"/>
        <w:numPr>
          <w:ilvl w:val="1"/>
          <w:numId w:val="1"/>
        </w:numPr>
        <w:spacing w:after="120" w:line="240" w:lineRule="auto"/>
        <w:ind w:left="426"/>
        <w:rPr>
          <w:rFonts w:ascii="Arial" w:hAnsi="Arial" w:cs="Arial"/>
        </w:rPr>
      </w:pPr>
      <w:r w:rsidRPr="00F24287">
        <w:rPr>
          <w:rFonts w:ascii="Arial" w:hAnsi="Arial" w:cs="Arial"/>
        </w:rPr>
        <w:lastRenderedPageBreak/>
        <w:t>In accordance with th</w:t>
      </w:r>
      <w:r w:rsidR="00590D88" w:rsidRPr="00F24287">
        <w:rPr>
          <w:rFonts w:ascii="Arial" w:hAnsi="Arial" w:cs="Arial"/>
        </w:rPr>
        <w:t>is</w:t>
      </w:r>
      <w:r w:rsidRPr="00F24287">
        <w:rPr>
          <w:rFonts w:ascii="Arial" w:hAnsi="Arial" w:cs="Arial"/>
        </w:rPr>
        <w:t xml:space="preserve"> determination:</w:t>
      </w:r>
    </w:p>
    <w:p w:rsidR="00AA5ACC" w:rsidRPr="00B41B01" w:rsidRDefault="00193919" w:rsidP="00446D80">
      <w:pPr>
        <w:pStyle w:val="ListParagraph"/>
        <w:keepNext/>
        <w:keepLines/>
        <w:numPr>
          <w:ilvl w:val="0"/>
          <w:numId w:val="2"/>
        </w:numPr>
        <w:spacing w:line="240" w:lineRule="auto"/>
        <w:ind w:left="1210"/>
        <w:rPr>
          <w:rFonts w:ascii="Arial" w:hAnsi="Arial" w:cs="Arial"/>
        </w:rPr>
      </w:pPr>
      <w:r w:rsidRPr="00344B2C">
        <w:rPr>
          <w:rFonts w:ascii="Arial" w:hAnsi="Arial" w:cs="Arial"/>
        </w:rPr>
        <w:t xml:space="preserve">The GST payable by </w:t>
      </w:r>
      <w:r w:rsidR="008A7D72">
        <w:rPr>
          <w:rFonts w:ascii="Arial" w:hAnsi="Arial" w:cs="Arial"/>
        </w:rPr>
        <w:t>a</w:t>
      </w:r>
      <w:r w:rsidR="00436B7C">
        <w:rPr>
          <w:rFonts w:ascii="Arial" w:hAnsi="Arial" w:cs="Arial"/>
        </w:rPr>
        <w:t>n entity that makes</w:t>
      </w:r>
      <w:r w:rsidR="008A7D72">
        <w:rPr>
          <w:rFonts w:ascii="Arial" w:hAnsi="Arial" w:cs="Arial"/>
        </w:rPr>
        <w:t xml:space="preserve"> </w:t>
      </w:r>
      <w:r w:rsidRPr="00344B2C">
        <w:rPr>
          <w:rFonts w:ascii="Arial" w:hAnsi="Arial" w:cs="Arial"/>
        </w:rPr>
        <w:t>a taxable supply where:</w:t>
      </w:r>
    </w:p>
    <w:p w:rsidR="00B41B01" w:rsidRPr="00B41B01" w:rsidRDefault="00193919" w:rsidP="00446D80">
      <w:pPr>
        <w:pStyle w:val="ListParagraph"/>
        <w:numPr>
          <w:ilvl w:val="0"/>
          <w:numId w:val="3"/>
        </w:numPr>
        <w:tabs>
          <w:tab w:val="left" w:pos="426"/>
        </w:tabs>
        <w:spacing w:line="240" w:lineRule="auto"/>
        <w:ind w:left="1842" w:hanging="425"/>
        <w:rPr>
          <w:rFonts w:ascii="Arial" w:hAnsi="Arial" w:cs="Arial"/>
        </w:rPr>
      </w:pPr>
      <w:r w:rsidRPr="00344B2C">
        <w:rPr>
          <w:rFonts w:ascii="Arial" w:hAnsi="Arial" w:cs="Arial"/>
        </w:rPr>
        <w:t>the consideration</w:t>
      </w:r>
      <w:r w:rsidR="00436B7C">
        <w:rPr>
          <w:rFonts w:ascii="Arial" w:hAnsi="Arial" w:cs="Arial"/>
        </w:rPr>
        <w:t xml:space="preserve"> is received</w:t>
      </w:r>
      <w:r w:rsidRPr="00344B2C">
        <w:rPr>
          <w:rFonts w:ascii="Arial" w:hAnsi="Arial" w:cs="Arial"/>
        </w:rPr>
        <w:t xml:space="preserve"> through a banknote-operated machine, a coin</w:t>
      </w:r>
      <w:r w:rsidR="008A7D72">
        <w:rPr>
          <w:rFonts w:ascii="Arial" w:hAnsi="Arial" w:cs="Arial"/>
        </w:rPr>
        <w:noBreakHyphen/>
      </w:r>
      <w:r w:rsidRPr="00344B2C">
        <w:rPr>
          <w:rFonts w:ascii="Arial" w:hAnsi="Arial" w:cs="Arial"/>
        </w:rPr>
        <w:t>operated machine or similar device</w:t>
      </w:r>
      <w:r w:rsidR="00590D88">
        <w:rPr>
          <w:rFonts w:ascii="Arial" w:hAnsi="Arial" w:cs="Arial"/>
        </w:rPr>
        <w:t>,</w:t>
      </w:r>
      <w:r w:rsidR="00B41B01">
        <w:rPr>
          <w:rFonts w:ascii="Arial" w:hAnsi="Arial" w:cs="Arial"/>
        </w:rPr>
        <w:t xml:space="preserve"> </w:t>
      </w:r>
      <w:r w:rsidRPr="00344B2C">
        <w:rPr>
          <w:rFonts w:ascii="Arial" w:hAnsi="Arial" w:cs="Arial"/>
        </w:rPr>
        <w:t>and</w:t>
      </w:r>
    </w:p>
    <w:p w:rsidR="00AA0CA8" w:rsidRPr="006F19AD" w:rsidRDefault="00193919" w:rsidP="00446D80">
      <w:pPr>
        <w:pStyle w:val="ListParagraph"/>
        <w:numPr>
          <w:ilvl w:val="0"/>
          <w:numId w:val="3"/>
        </w:numPr>
        <w:tabs>
          <w:tab w:val="left" w:pos="426"/>
        </w:tabs>
        <w:spacing w:line="240" w:lineRule="auto"/>
        <w:ind w:left="1842" w:hanging="425"/>
        <w:rPr>
          <w:rFonts w:ascii="Arial" w:hAnsi="Arial" w:cs="Arial"/>
        </w:rPr>
      </w:pPr>
      <w:r w:rsidRPr="00B41B01">
        <w:rPr>
          <w:rFonts w:ascii="Arial" w:hAnsi="Arial" w:cs="Arial"/>
        </w:rPr>
        <w:t>r</w:t>
      </w:r>
      <w:r w:rsidR="00C31665" w:rsidRPr="00B41B01">
        <w:rPr>
          <w:rFonts w:ascii="Arial" w:hAnsi="Arial" w:cs="Arial"/>
        </w:rPr>
        <w:t>emoval</w:t>
      </w:r>
      <w:r w:rsidRPr="00B41B01">
        <w:rPr>
          <w:rFonts w:ascii="Arial" w:hAnsi="Arial" w:cs="Arial"/>
        </w:rPr>
        <w:t xml:space="preserve"> of the notes and coins from the machine is the </w:t>
      </w:r>
      <w:r w:rsidR="00E26F2D" w:rsidRPr="00B41B01">
        <w:rPr>
          <w:rFonts w:ascii="Arial" w:hAnsi="Arial" w:cs="Arial"/>
        </w:rPr>
        <w:br/>
      </w:r>
      <w:r w:rsidRPr="00B41B01">
        <w:rPr>
          <w:rFonts w:ascii="Arial" w:hAnsi="Arial" w:cs="Arial"/>
        </w:rPr>
        <w:t>only way of knowing when the consideration is received</w:t>
      </w:r>
      <w:r w:rsidR="006F19AD">
        <w:rPr>
          <w:rFonts w:ascii="Arial" w:hAnsi="Arial" w:cs="Arial"/>
        </w:rPr>
        <w:br/>
      </w:r>
      <w:r w:rsidR="00C31665" w:rsidRPr="006F19AD">
        <w:rPr>
          <w:rFonts w:ascii="Arial" w:hAnsi="Arial" w:cs="Arial"/>
        </w:rPr>
        <w:br/>
        <w:t>is attributable to the tax period in which the consideration is removed from the machine or similar device.</w:t>
      </w:r>
    </w:p>
    <w:p w:rsidR="00C31665" w:rsidRPr="00B41B01" w:rsidRDefault="00C31665">
      <w:pPr>
        <w:pStyle w:val="ListParagraph"/>
        <w:keepNext/>
        <w:keepLines/>
        <w:numPr>
          <w:ilvl w:val="0"/>
          <w:numId w:val="2"/>
        </w:numPr>
        <w:spacing w:line="240" w:lineRule="auto"/>
        <w:ind w:left="1210"/>
        <w:rPr>
          <w:rFonts w:ascii="Arial" w:hAnsi="Arial" w:cs="Arial"/>
        </w:rPr>
      </w:pPr>
      <w:r w:rsidRPr="00B41B01">
        <w:rPr>
          <w:rFonts w:ascii="Arial" w:hAnsi="Arial" w:cs="Arial"/>
        </w:rPr>
        <w:t xml:space="preserve">This rule applies </w:t>
      </w:r>
      <w:r w:rsidR="00F6701B" w:rsidRPr="00B41B01">
        <w:rPr>
          <w:rFonts w:ascii="Arial" w:hAnsi="Arial" w:cs="Arial"/>
        </w:rPr>
        <w:t xml:space="preserve">regardless of </w:t>
      </w:r>
      <w:r w:rsidRPr="00B41B01">
        <w:rPr>
          <w:rFonts w:ascii="Arial" w:hAnsi="Arial" w:cs="Arial"/>
        </w:rPr>
        <w:t xml:space="preserve">whether </w:t>
      </w:r>
      <w:r w:rsidR="00770604" w:rsidRPr="00B41B01">
        <w:rPr>
          <w:rFonts w:ascii="Arial" w:hAnsi="Arial" w:cs="Arial"/>
        </w:rPr>
        <w:t xml:space="preserve">the supplier </w:t>
      </w:r>
      <w:r w:rsidRPr="00B41B01">
        <w:rPr>
          <w:rFonts w:ascii="Arial" w:hAnsi="Arial" w:cs="Arial"/>
        </w:rPr>
        <w:t>account</w:t>
      </w:r>
      <w:r w:rsidR="00770604" w:rsidRPr="00B41B01">
        <w:rPr>
          <w:rFonts w:ascii="Arial" w:hAnsi="Arial" w:cs="Arial"/>
        </w:rPr>
        <w:t>s</w:t>
      </w:r>
      <w:r w:rsidRPr="00B41B01">
        <w:rPr>
          <w:rFonts w:ascii="Arial" w:hAnsi="Arial" w:cs="Arial"/>
        </w:rPr>
        <w:t xml:space="preserve"> for GST on</w:t>
      </w:r>
      <w:r w:rsidR="00590D88">
        <w:rPr>
          <w:rFonts w:ascii="Arial" w:hAnsi="Arial" w:cs="Arial"/>
        </w:rPr>
        <w:t xml:space="preserve"> a</w:t>
      </w:r>
      <w:r w:rsidRPr="00B41B01">
        <w:rPr>
          <w:rFonts w:ascii="Arial" w:hAnsi="Arial" w:cs="Arial"/>
        </w:rPr>
        <w:t xml:space="preserve"> cash basis. </w:t>
      </w:r>
    </w:p>
    <w:p w:rsidR="00011406" w:rsidRPr="006D1010" w:rsidRDefault="00011406">
      <w:pPr>
        <w:pStyle w:val="Heading2"/>
        <w:rPr>
          <w:b w:val="0"/>
          <w:sz w:val="24"/>
          <w:szCs w:val="24"/>
        </w:rPr>
      </w:pPr>
    </w:p>
    <w:p w:rsidR="00486653" w:rsidRPr="005E6CCE" w:rsidRDefault="00486653">
      <w:pPr>
        <w:pStyle w:val="Heading2"/>
        <w:rPr>
          <w:sz w:val="24"/>
          <w:szCs w:val="24"/>
        </w:rPr>
      </w:pPr>
      <w:r>
        <w:rPr>
          <w:sz w:val="24"/>
          <w:szCs w:val="24"/>
        </w:rPr>
        <w:t>What is the e</w:t>
      </w:r>
      <w:r w:rsidRPr="005E6CCE">
        <w:rPr>
          <w:sz w:val="24"/>
          <w:szCs w:val="24"/>
        </w:rPr>
        <w:t xml:space="preserve">ffect of </w:t>
      </w:r>
      <w:r w:rsidR="003B494A">
        <w:rPr>
          <w:sz w:val="24"/>
          <w:szCs w:val="24"/>
        </w:rPr>
        <w:t>th</w:t>
      </w:r>
      <w:r w:rsidR="00590D88">
        <w:rPr>
          <w:sz w:val="24"/>
          <w:szCs w:val="24"/>
        </w:rPr>
        <w:t>is</w:t>
      </w:r>
      <w:r w:rsidR="003B494A">
        <w:rPr>
          <w:sz w:val="24"/>
          <w:szCs w:val="24"/>
        </w:rPr>
        <w:t xml:space="preserve"> determination?</w:t>
      </w:r>
    </w:p>
    <w:p w:rsidR="00F24287" w:rsidRDefault="006235B3" w:rsidP="006D1010">
      <w:pPr>
        <w:pStyle w:val="ListParagraph"/>
        <w:keepNext/>
        <w:keepLines/>
        <w:numPr>
          <w:ilvl w:val="1"/>
          <w:numId w:val="1"/>
        </w:numPr>
        <w:spacing w:line="240" w:lineRule="auto"/>
        <w:ind w:left="425" w:hanging="357"/>
        <w:rPr>
          <w:rFonts w:ascii="Arial" w:hAnsi="Arial" w:cs="Arial"/>
        </w:rPr>
      </w:pPr>
      <w:r w:rsidRPr="00F24287">
        <w:rPr>
          <w:rFonts w:ascii="Arial" w:hAnsi="Arial" w:cs="Arial"/>
        </w:rPr>
        <w:t>Th</w:t>
      </w:r>
      <w:r w:rsidR="00590D88" w:rsidRPr="00F24287">
        <w:rPr>
          <w:rFonts w:ascii="Arial" w:hAnsi="Arial" w:cs="Arial"/>
        </w:rPr>
        <w:t>is</w:t>
      </w:r>
      <w:r w:rsidRPr="00F24287">
        <w:rPr>
          <w:rFonts w:ascii="Arial" w:hAnsi="Arial" w:cs="Arial"/>
        </w:rPr>
        <w:t xml:space="preserve"> determination </w:t>
      </w:r>
      <w:r w:rsidR="00923362" w:rsidRPr="00F24287">
        <w:rPr>
          <w:rFonts w:ascii="Arial" w:hAnsi="Arial" w:cs="Arial"/>
        </w:rPr>
        <w:t xml:space="preserve">applies where a supplier does not know when a taxable supply made through a banknote-operated machine, coin-operated machine or similar device has actually occurred. In such instances, the </w:t>
      </w:r>
      <w:r w:rsidR="008A7D72" w:rsidRPr="00F24287">
        <w:rPr>
          <w:rFonts w:ascii="Arial" w:hAnsi="Arial" w:cs="Arial"/>
        </w:rPr>
        <w:t>supplier</w:t>
      </w:r>
      <w:r w:rsidR="00923362" w:rsidRPr="00F24287">
        <w:rPr>
          <w:rFonts w:ascii="Arial" w:hAnsi="Arial" w:cs="Arial"/>
        </w:rPr>
        <w:t xml:space="preserve"> is required</w:t>
      </w:r>
      <w:r w:rsidR="008A7D72" w:rsidRPr="00F24287">
        <w:rPr>
          <w:rFonts w:ascii="Arial" w:hAnsi="Arial" w:cs="Arial"/>
        </w:rPr>
        <w:t xml:space="preserve"> </w:t>
      </w:r>
      <w:r w:rsidRPr="00F24287">
        <w:rPr>
          <w:rFonts w:ascii="Arial" w:hAnsi="Arial" w:cs="Arial"/>
        </w:rPr>
        <w:t xml:space="preserve">to attribute the GST payable on </w:t>
      </w:r>
      <w:r w:rsidR="00923362" w:rsidRPr="00F24287">
        <w:rPr>
          <w:rFonts w:ascii="Arial" w:hAnsi="Arial" w:cs="Arial"/>
        </w:rPr>
        <w:t>the</w:t>
      </w:r>
      <w:r w:rsidR="00770604" w:rsidRPr="00F24287">
        <w:rPr>
          <w:rFonts w:ascii="Arial" w:hAnsi="Arial" w:cs="Arial"/>
        </w:rPr>
        <w:t xml:space="preserve"> </w:t>
      </w:r>
      <w:r w:rsidRPr="00F24287">
        <w:rPr>
          <w:rFonts w:ascii="Arial" w:hAnsi="Arial" w:cs="Arial"/>
        </w:rPr>
        <w:t xml:space="preserve">taxable supply to the tax period in which the consideration is removed </w:t>
      </w:r>
      <w:r w:rsidR="00770604" w:rsidRPr="00F24287">
        <w:rPr>
          <w:rFonts w:ascii="Arial" w:hAnsi="Arial" w:cs="Arial"/>
        </w:rPr>
        <w:t>from</w:t>
      </w:r>
      <w:r w:rsidR="00923362" w:rsidRPr="00F24287">
        <w:rPr>
          <w:rFonts w:ascii="Arial" w:hAnsi="Arial" w:cs="Arial"/>
        </w:rPr>
        <w:t xml:space="preserve"> the machine or device</w:t>
      </w:r>
      <w:r w:rsidRPr="00F24287">
        <w:rPr>
          <w:rFonts w:ascii="Arial" w:hAnsi="Arial" w:cs="Arial"/>
        </w:rPr>
        <w:t>.</w:t>
      </w:r>
    </w:p>
    <w:p w:rsidR="00F24287" w:rsidRPr="00F24287" w:rsidRDefault="006235B3" w:rsidP="00446D80">
      <w:pPr>
        <w:pStyle w:val="ListParagraph"/>
        <w:keepNext/>
        <w:keepLines/>
        <w:numPr>
          <w:ilvl w:val="1"/>
          <w:numId w:val="1"/>
        </w:numPr>
        <w:spacing w:line="240" w:lineRule="auto"/>
        <w:ind w:left="425" w:hanging="357"/>
        <w:rPr>
          <w:rFonts w:ascii="Arial" w:hAnsi="Arial" w:cs="Arial"/>
        </w:rPr>
      </w:pPr>
      <w:r w:rsidRPr="00F24287">
        <w:rPr>
          <w:rFonts w:ascii="Arial" w:eastAsia="Times New Roman" w:hAnsi="Arial" w:cs="Arial"/>
          <w:lang w:eastAsia="en-AU"/>
        </w:rPr>
        <w:t>Th</w:t>
      </w:r>
      <w:r w:rsidR="00590D88" w:rsidRPr="00F24287">
        <w:rPr>
          <w:rFonts w:ascii="Arial" w:eastAsia="Times New Roman" w:hAnsi="Arial" w:cs="Arial"/>
          <w:lang w:eastAsia="en-AU"/>
        </w:rPr>
        <w:t>is</w:t>
      </w:r>
      <w:r w:rsidRPr="00F24287">
        <w:rPr>
          <w:rFonts w:ascii="Arial" w:eastAsia="Times New Roman" w:hAnsi="Arial" w:cs="Arial"/>
          <w:lang w:eastAsia="en-AU"/>
        </w:rPr>
        <w:t xml:space="preserve"> determination </w:t>
      </w:r>
      <w:r w:rsidR="005470E1" w:rsidRPr="00F24287">
        <w:rPr>
          <w:rFonts w:ascii="Arial" w:eastAsia="Times New Roman" w:hAnsi="Arial" w:cs="Arial"/>
          <w:lang w:eastAsia="en-AU"/>
        </w:rPr>
        <w:t xml:space="preserve">overcomes practical difficulties of </w:t>
      </w:r>
      <w:r w:rsidR="008A7D72" w:rsidRPr="00F24287">
        <w:rPr>
          <w:rFonts w:ascii="Arial" w:eastAsia="Times New Roman" w:hAnsi="Arial" w:cs="Arial"/>
          <w:lang w:eastAsia="en-AU"/>
        </w:rPr>
        <w:t xml:space="preserve">determining when </w:t>
      </w:r>
      <w:r w:rsidR="00F43C78" w:rsidRPr="00F24287">
        <w:rPr>
          <w:rFonts w:ascii="Arial" w:eastAsia="Times New Roman" w:hAnsi="Arial" w:cs="Arial"/>
          <w:lang w:eastAsia="en-AU"/>
        </w:rPr>
        <w:t>the GS</w:t>
      </w:r>
      <w:r w:rsidR="00770604" w:rsidRPr="00F24287">
        <w:rPr>
          <w:rFonts w:ascii="Arial" w:eastAsia="Times New Roman" w:hAnsi="Arial" w:cs="Arial"/>
          <w:lang w:eastAsia="en-AU"/>
        </w:rPr>
        <w:t>T</w:t>
      </w:r>
      <w:r w:rsidR="00F43C78" w:rsidRPr="00F24287">
        <w:rPr>
          <w:rFonts w:ascii="Arial" w:eastAsia="Times New Roman" w:hAnsi="Arial" w:cs="Arial"/>
          <w:lang w:eastAsia="en-AU"/>
        </w:rPr>
        <w:t xml:space="preserve"> payable </w:t>
      </w:r>
      <w:r w:rsidR="008A7D72" w:rsidRPr="00F24287">
        <w:rPr>
          <w:rFonts w:ascii="Arial" w:eastAsia="Times New Roman" w:hAnsi="Arial" w:cs="Arial"/>
          <w:lang w:eastAsia="en-AU"/>
        </w:rPr>
        <w:t xml:space="preserve">is attributable </w:t>
      </w:r>
      <w:r w:rsidR="007042DE" w:rsidRPr="00F24287">
        <w:rPr>
          <w:rFonts w:ascii="Arial" w:eastAsia="Times New Roman" w:hAnsi="Arial" w:cs="Arial"/>
          <w:lang w:eastAsia="en-AU"/>
        </w:rPr>
        <w:t>whe</w:t>
      </w:r>
      <w:r w:rsidR="00590D88" w:rsidRPr="00F24287">
        <w:rPr>
          <w:rFonts w:ascii="Arial" w:eastAsia="Times New Roman" w:hAnsi="Arial" w:cs="Arial"/>
          <w:lang w:eastAsia="en-AU"/>
        </w:rPr>
        <w:t>re</w:t>
      </w:r>
      <w:r w:rsidR="007042DE" w:rsidRPr="00F24287">
        <w:rPr>
          <w:rFonts w:ascii="Arial" w:eastAsia="Times New Roman" w:hAnsi="Arial" w:cs="Arial"/>
          <w:lang w:eastAsia="en-AU"/>
        </w:rPr>
        <w:t xml:space="preserve"> a taxable supply is made through a banknote</w:t>
      </w:r>
      <w:r w:rsidR="008A7D72" w:rsidRPr="00F24287">
        <w:rPr>
          <w:rFonts w:ascii="Arial" w:eastAsia="Times New Roman" w:hAnsi="Arial" w:cs="Arial"/>
          <w:lang w:eastAsia="en-AU"/>
        </w:rPr>
        <w:t>-operated m</w:t>
      </w:r>
      <w:r w:rsidR="00F246AF" w:rsidRPr="00F24287">
        <w:rPr>
          <w:rFonts w:ascii="Arial" w:eastAsia="Times New Roman" w:hAnsi="Arial" w:cs="Arial"/>
          <w:lang w:eastAsia="en-AU"/>
        </w:rPr>
        <w:t>a</w:t>
      </w:r>
      <w:r w:rsidR="008A7D72" w:rsidRPr="00F24287">
        <w:rPr>
          <w:rFonts w:ascii="Arial" w:eastAsia="Times New Roman" w:hAnsi="Arial" w:cs="Arial"/>
          <w:lang w:eastAsia="en-AU"/>
        </w:rPr>
        <w:t>c</w:t>
      </w:r>
      <w:r w:rsidR="00F246AF" w:rsidRPr="00F24287">
        <w:rPr>
          <w:rFonts w:ascii="Arial" w:eastAsia="Times New Roman" w:hAnsi="Arial" w:cs="Arial"/>
          <w:lang w:eastAsia="en-AU"/>
        </w:rPr>
        <w:t>h</w:t>
      </w:r>
      <w:r w:rsidR="008A7D72" w:rsidRPr="00F24287">
        <w:rPr>
          <w:rFonts w:ascii="Arial" w:eastAsia="Times New Roman" w:hAnsi="Arial" w:cs="Arial"/>
          <w:lang w:eastAsia="en-AU"/>
        </w:rPr>
        <w:t>ine,</w:t>
      </w:r>
      <w:r w:rsidR="003A0B6A" w:rsidRPr="00F24287">
        <w:rPr>
          <w:rFonts w:ascii="Arial" w:eastAsia="Times New Roman" w:hAnsi="Arial" w:cs="Arial"/>
          <w:lang w:eastAsia="en-AU"/>
        </w:rPr>
        <w:t xml:space="preserve"> a </w:t>
      </w:r>
      <w:r w:rsidR="007042DE" w:rsidRPr="00F24287">
        <w:rPr>
          <w:rFonts w:ascii="Arial" w:eastAsia="Times New Roman" w:hAnsi="Arial" w:cs="Arial"/>
          <w:lang w:eastAsia="en-AU"/>
        </w:rPr>
        <w:t>coin</w:t>
      </w:r>
      <w:r w:rsidR="002A64B9" w:rsidRPr="00F24287">
        <w:rPr>
          <w:rFonts w:ascii="Arial" w:eastAsia="Times New Roman" w:hAnsi="Arial" w:cs="Arial"/>
          <w:lang w:eastAsia="en-AU"/>
        </w:rPr>
        <w:t>-</w:t>
      </w:r>
      <w:r w:rsidR="007042DE" w:rsidRPr="00F24287">
        <w:rPr>
          <w:rFonts w:ascii="Arial" w:eastAsia="Times New Roman" w:hAnsi="Arial" w:cs="Arial"/>
          <w:lang w:eastAsia="en-AU"/>
        </w:rPr>
        <w:t>operated machine</w:t>
      </w:r>
      <w:r w:rsidR="008A7D72" w:rsidRPr="00F24287">
        <w:rPr>
          <w:rFonts w:ascii="Arial" w:eastAsia="Times New Roman" w:hAnsi="Arial" w:cs="Arial"/>
          <w:lang w:eastAsia="en-AU"/>
        </w:rPr>
        <w:t xml:space="preserve"> or similar device</w:t>
      </w:r>
      <w:r w:rsidR="00CA4925" w:rsidRPr="00F24287">
        <w:rPr>
          <w:rFonts w:ascii="Arial" w:eastAsia="Times New Roman" w:hAnsi="Arial" w:cs="Arial"/>
          <w:lang w:eastAsia="en-AU"/>
        </w:rPr>
        <w:t xml:space="preserve">. </w:t>
      </w:r>
      <w:r w:rsidR="007042DE" w:rsidRPr="00F24287">
        <w:rPr>
          <w:rFonts w:ascii="Arial" w:eastAsia="Times New Roman" w:hAnsi="Arial" w:cs="Arial"/>
          <w:lang w:eastAsia="en-AU"/>
        </w:rPr>
        <w:t xml:space="preserve"> </w:t>
      </w:r>
    </w:p>
    <w:p w:rsidR="00F24287" w:rsidRDefault="00F24287" w:rsidP="00446D80">
      <w:pPr>
        <w:pStyle w:val="ListParagraph"/>
        <w:keepNext/>
        <w:keepLines/>
        <w:numPr>
          <w:ilvl w:val="1"/>
          <w:numId w:val="1"/>
        </w:numPr>
        <w:spacing w:line="240" w:lineRule="auto"/>
        <w:ind w:left="425" w:hanging="357"/>
        <w:rPr>
          <w:rFonts w:ascii="Arial" w:hAnsi="Arial" w:cs="Arial"/>
        </w:rPr>
      </w:pPr>
      <w:r w:rsidRPr="00F24287">
        <w:rPr>
          <w:rFonts w:ascii="Arial" w:hAnsi="Arial" w:cs="Arial"/>
        </w:rPr>
        <w:t xml:space="preserve">This determination is substantially the same as the previous determination that it replaces. An entity that satisfied the requirements of the previous determination </w:t>
      </w:r>
      <w:r w:rsidR="004E71A7" w:rsidRPr="00F24287">
        <w:rPr>
          <w:rFonts w:ascii="Arial" w:hAnsi="Arial" w:cs="Arial"/>
        </w:rPr>
        <w:t>will satisfy</w:t>
      </w:r>
      <w:r w:rsidRPr="00F24287">
        <w:rPr>
          <w:rFonts w:ascii="Arial" w:hAnsi="Arial" w:cs="Arial"/>
        </w:rPr>
        <w:t xml:space="preserve"> the requirements of this determination.</w:t>
      </w:r>
    </w:p>
    <w:p w:rsidR="005E0AB9" w:rsidRPr="00F24287" w:rsidRDefault="005E0AB9" w:rsidP="006D1010">
      <w:pPr>
        <w:pStyle w:val="ListParagraph"/>
        <w:keepNext/>
        <w:keepLines/>
        <w:numPr>
          <w:ilvl w:val="1"/>
          <w:numId w:val="1"/>
        </w:numPr>
        <w:spacing w:line="240" w:lineRule="auto"/>
        <w:ind w:left="425" w:hanging="357"/>
        <w:rPr>
          <w:rFonts w:ascii="Arial" w:hAnsi="Arial" w:cs="Arial"/>
        </w:rPr>
      </w:pPr>
      <w:r w:rsidRPr="00F24287">
        <w:rPr>
          <w:rFonts w:ascii="Arial" w:hAnsi="Arial" w:cs="Arial"/>
        </w:rPr>
        <w:t>Compliance cost impact:  Minor – there will be no or minimal impact for both implementation a</w:t>
      </w:r>
      <w:r w:rsidR="00590D88" w:rsidRPr="00F24287">
        <w:rPr>
          <w:rFonts w:ascii="Arial" w:hAnsi="Arial" w:cs="Arial"/>
        </w:rPr>
        <w:t>nd ongoing compliance costs. This</w:t>
      </w:r>
      <w:r w:rsidRPr="00F24287">
        <w:rPr>
          <w:rFonts w:ascii="Arial" w:hAnsi="Arial" w:cs="Arial"/>
        </w:rPr>
        <w:t xml:space="preserve"> determination is minor or machinery in nature</w:t>
      </w:r>
      <w:r w:rsidR="000D4056" w:rsidRPr="00F24287">
        <w:rPr>
          <w:rFonts w:ascii="Arial" w:hAnsi="Arial" w:cs="Arial"/>
        </w:rPr>
        <w:t>.</w:t>
      </w:r>
    </w:p>
    <w:p w:rsidR="00011406" w:rsidRDefault="00011406">
      <w:pPr>
        <w:pStyle w:val="Heading2"/>
        <w:rPr>
          <w:sz w:val="24"/>
          <w:szCs w:val="24"/>
        </w:rPr>
      </w:pPr>
    </w:p>
    <w:p w:rsidR="00486653" w:rsidRPr="009F31A4" w:rsidRDefault="00486653">
      <w:pPr>
        <w:pStyle w:val="Heading2"/>
        <w:rPr>
          <w:rFonts w:cs="Arial"/>
        </w:rPr>
      </w:pPr>
      <w:r w:rsidRPr="005E6CCE">
        <w:rPr>
          <w:sz w:val="24"/>
          <w:szCs w:val="24"/>
        </w:rPr>
        <w:t>Background</w:t>
      </w:r>
    </w:p>
    <w:p w:rsidR="007E7D6E" w:rsidRPr="00F24287" w:rsidRDefault="00486653" w:rsidP="006D1010">
      <w:pPr>
        <w:pStyle w:val="ListParagraph"/>
        <w:numPr>
          <w:ilvl w:val="1"/>
          <w:numId w:val="1"/>
        </w:numPr>
        <w:spacing w:line="240" w:lineRule="auto"/>
        <w:ind w:left="425" w:hanging="357"/>
        <w:rPr>
          <w:rFonts w:ascii="Arial" w:hAnsi="Arial" w:cs="Arial"/>
        </w:rPr>
      </w:pPr>
      <w:r w:rsidRPr="00F24287">
        <w:rPr>
          <w:rFonts w:ascii="Arial" w:hAnsi="Arial" w:cs="Arial"/>
        </w:rPr>
        <w:t xml:space="preserve">This </w:t>
      </w:r>
      <w:r w:rsidR="007E7D6E" w:rsidRPr="00F24287">
        <w:rPr>
          <w:rFonts w:ascii="Arial" w:hAnsi="Arial" w:cs="Arial"/>
        </w:rPr>
        <w:t xml:space="preserve">determination replaces </w:t>
      </w:r>
      <w:r w:rsidR="007E7D6E" w:rsidRPr="00F24287">
        <w:rPr>
          <w:rFonts w:ascii="Arial" w:hAnsi="Arial" w:cs="Arial"/>
          <w:i/>
        </w:rPr>
        <w:t>A New Tax System (Goods and Services Tax) Act 1999</w:t>
      </w:r>
      <w:r w:rsidR="00F40FA3" w:rsidRPr="00F24287">
        <w:rPr>
          <w:rFonts w:ascii="Arial" w:hAnsi="Arial" w:cs="Arial"/>
          <w:i/>
        </w:rPr>
        <w:t>:</w:t>
      </w:r>
      <w:r w:rsidR="007E7D6E" w:rsidRPr="00F24287">
        <w:rPr>
          <w:i/>
        </w:rPr>
        <w:t xml:space="preserve"> </w:t>
      </w:r>
      <w:r w:rsidR="007E7D6E" w:rsidRPr="00F40FA3">
        <w:t>(</w:t>
      </w:r>
      <w:r w:rsidR="007E7D6E" w:rsidRPr="00F24287">
        <w:rPr>
          <w:rFonts w:ascii="Arial" w:hAnsi="Arial" w:cs="Arial"/>
        </w:rPr>
        <w:t>Particular Attribution Rules for Banknote and Coin-operated Machines and Similar Devices) Determination (No 1) 2000</w:t>
      </w:r>
      <w:r w:rsidR="002D3758">
        <w:rPr>
          <w:rFonts w:ascii="Arial" w:hAnsi="Arial" w:cs="Arial"/>
        </w:rPr>
        <w:t xml:space="preserve"> –F2006B11603,</w:t>
      </w:r>
      <w:r w:rsidR="006F19AD" w:rsidRPr="00F24287">
        <w:rPr>
          <w:rFonts w:ascii="Arial" w:hAnsi="Arial" w:cs="Arial"/>
        </w:rPr>
        <w:t xml:space="preserve"> (previous determination)</w:t>
      </w:r>
      <w:r w:rsidR="002D3758">
        <w:rPr>
          <w:rFonts w:ascii="Arial" w:hAnsi="Arial" w:cs="Arial"/>
        </w:rPr>
        <w:t xml:space="preserve"> registered on 20 November 2006. The previous determination is repealed from 1 April 2017</w:t>
      </w:r>
      <w:r w:rsidR="006F19AD" w:rsidRPr="00F24287">
        <w:rPr>
          <w:rFonts w:ascii="Arial" w:hAnsi="Arial" w:cs="Arial"/>
        </w:rPr>
        <w:t xml:space="preserve">. </w:t>
      </w:r>
    </w:p>
    <w:p w:rsidR="00011406" w:rsidRDefault="00011406" w:rsidP="00F24287">
      <w:pPr>
        <w:pStyle w:val="Heading2"/>
        <w:rPr>
          <w:sz w:val="24"/>
          <w:szCs w:val="24"/>
        </w:rPr>
      </w:pPr>
    </w:p>
    <w:p w:rsidR="00F24287" w:rsidRDefault="00486653" w:rsidP="00F24287">
      <w:pPr>
        <w:pStyle w:val="Heading2"/>
        <w:rPr>
          <w:sz w:val="24"/>
          <w:szCs w:val="24"/>
        </w:rPr>
      </w:pPr>
      <w:r w:rsidRPr="005E6CCE">
        <w:rPr>
          <w:sz w:val="24"/>
          <w:szCs w:val="24"/>
        </w:rPr>
        <w:t>Consultation</w:t>
      </w:r>
    </w:p>
    <w:p w:rsidR="00F24287" w:rsidRPr="00F24287" w:rsidRDefault="00027E13" w:rsidP="00F24287">
      <w:pPr>
        <w:pStyle w:val="Heading2"/>
        <w:numPr>
          <w:ilvl w:val="1"/>
          <w:numId w:val="1"/>
        </w:numPr>
        <w:ind w:left="426"/>
        <w:rPr>
          <w:b w:val="0"/>
          <w:sz w:val="24"/>
          <w:szCs w:val="24"/>
        </w:rPr>
      </w:pPr>
      <w:r w:rsidRPr="00F24287">
        <w:rPr>
          <w:rFonts w:cs="Arial"/>
          <w:b w:val="0"/>
          <w:szCs w:val="22"/>
        </w:rPr>
        <w:t xml:space="preserve">Subsection 17(1) of the </w:t>
      </w:r>
      <w:r w:rsidRPr="006D1010">
        <w:rPr>
          <w:rFonts w:cs="Arial"/>
          <w:b w:val="0"/>
          <w:i/>
          <w:szCs w:val="22"/>
        </w:rPr>
        <w:t>Legislation Act</w:t>
      </w:r>
      <w:r w:rsidRPr="00F24287">
        <w:rPr>
          <w:rFonts w:cs="Arial"/>
          <w:b w:val="0"/>
          <w:szCs w:val="22"/>
        </w:rPr>
        <w:t xml:space="preserve"> </w:t>
      </w:r>
      <w:r w:rsidRPr="006D1010">
        <w:rPr>
          <w:rFonts w:cs="Arial"/>
          <w:b w:val="0"/>
          <w:i/>
          <w:szCs w:val="22"/>
        </w:rPr>
        <w:t>2003</w:t>
      </w:r>
      <w:r w:rsidRPr="00F24287">
        <w:rPr>
          <w:rFonts w:cs="Arial"/>
          <w:b w:val="0"/>
          <w:szCs w:val="22"/>
        </w:rPr>
        <w:t xml:space="preserve"> requires, before the making of a determination, that the rule-maker is satisfied that appropriate and reasonably practicable consultation has been undertaken.</w:t>
      </w:r>
    </w:p>
    <w:p w:rsidR="00027E13" w:rsidRDefault="00027E13" w:rsidP="00F24287">
      <w:pPr>
        <w:pStyle w:val="Heading2"/>
        <w:numPr>
          <w:ilvl w:val="1"/>
          <w:numId w:val="1"/>
        </w:numPr>
        <w:ind w:left="426"/>
        <w:rPr>
          <w:rFonts w:cs="Arial"/>
          <w:b w:val="0"/>
          <w:szCs w:val="22"/>
        </w:rPr>
      </w:pPr>
      <w:r w:rsidRPr="00F24287">
        <w:rPr>
          <w:rFonts w:cs="Arial"/>
          <w:b w:val="0"/>
          <w:szCs w:val="22"/>
        </w:rPr>
        <w:t xml:space="preserve">Broad consultation has been undertaken. The draft determination and draft explanatory statement were published on the ATO Legal database at ato.gov.au seeking feedback and comments for a period of two weeks. Notice of the draft determination was also published to ato.gov.au and subscription alerts issued. Tax professionals and tax </w:t>
      </w:r>
      <w:r w:rsidRPr="00F24287">
        <w:rPr>
          <w:rFonts w:cs="Arial"/>
          <w:b w:val="0"/>
          <w:szCs w:val="22"/>
        </w:rPr>
        <w:lastRenderedPageBreak/>
        <w:t xml:space="preserve">associations regularly review both the Legal database and 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have been published on the ATO Consultation Hub.  Links to these drafts were published </w:t>
      </w:r>
      <w:r w:rsidR="00590D88" w:rsidRPr="00F24287">
        <w:rPr>
          <w:rFonts w:cs="Arial"/>
          <w:b w:val="0"/>
          <w:szCs w:val="22"/>
        </w:rPr>
        <w:t>in</w:t>
      </w:r>
      <w:r w:rsidRPr="00F24287">
        <w:rPr>
          <w:rFonts w:cs="Arial"/>
          <w:b w:val="0"/>
          <w:szCs w:val="22"/>
        </w:rPr>
        <w:t xml:space="preserve"> newsletters such as the Taxation News (Chartered Accountants Australia and New Zealand) weekly bulletin. No comments have been received to date.</w:t>
      </w:r>
    </w:p>
    <w:p w:rsidR="00AA7B9E" w:rsidRPr="00AA7B9E" w:rsidRDefault="00AA7B9E" w:rsidP="00AA7B9E"/>
    <w:p w:rsidR="00221775" w:rsidRDefault="00221775" w:rsidP="00221775">
      <w:pPr>
        <w:spacing w:after="60"/>
        <w:rPr>
          <w:rFonts w:ascii="Arial" w:hAnsi="Arial" w:cs="Arial"/>
          <w:b/>
        </w:rPr>
      </w:pPr>
      <w:r w:rsidRPr="00DD752C">
        <w:rPr>
          <w:rFonts w:ascii="Arial" w:hAnsi="Arial" w:cs="Arial"/>
          <w:b/>
        </w:rPr>
        <w:t>Legislative references:</w:t>
      </w:r>
    </w:p>
    <w:p w:rsidR="00F24287" w:rsidRPr="0075614A" w:rsidRDefault="00F24287" w:rsidP="00F24287">
      <w:pPr>
        <w:spacing w:before="120" w:after="120"/>
        <w:contextualSpacing/>
        <w:rPr>
          <w:rFonts w:ascii="Arial" w:hAnsi="Arial" w:cs="Arial"/>
          <w:i/>
          <w:iCs/>
          <w:sz w:val="22"/>
          <w:szCs w:val="22"/>
          <w:lang w:val="en-US"/>
        </w:rPr>
      </w:pPr>
      <w:r w:rsidRPr="0075614A">
        <w:rPr>
          <w:rFonts w:ascii="Arial" w:hAnsi="Arial" w:cs="Arial"/>
          <w:i/>
          <w:iCs/>
          <w:sz w:val="22"/>
          <w:szCs w:val="22"/>
          <w:lang w:val="en-US"/>
        </w:rPr>
        <w:t>A New Tax System (Goods and Services Tax) Act 1999</w:t>
      </w:r>
    </w:p>
    <w:p w:rsidR="00F24287" w:rsidRDefault="00F24287" w:rsidP="00F24287">
      <w:pPr>
        <w:spacing w:before="120" w:after="120"/>
        <w:contextualSpacing/>
        <w:rPr>
          <w:rFonts w:ascii="Arial" w:hAnsi="Arial" w:cs="Arial"/>
          <w:i/>
          <w:sz w:val="22"/>
          <w:szCs w:val="22"/>
        </w:rPr>
      </w:pPr>
      <w:r w:rsidRPr="0075614A">
        <w:rPr>
          <w:rFonts w:ascii="Arial" w:hAnsi="Arial" w:cs="Arial"/>
          <w:i/>
          <w:sz w:val="22"/>
          <w:szCs w:val="22"/>
        </w:rPr>
        <w:t>Acts Interpretation Act 1901</w:t>
      </w:r>
    </w:p>
    <w:p w:rsidR="00F24287" w:rsidRDefault="00F24287" w:rsidP="00F24287">
      <w:pPr>
        <w:spacing w:before="120" w:after="120"/>
        <w:contextualSpacing/>
        <w:rPr>
          <w:rFonts w:ascii="Arial" w:hAnsi="Arial" w:cs="Arial"/>
          <w:i/>
          <w:sz w:val="22"/>
          <w:szCs w:val="22"/>
        </w:rPr>
      </w:pPr>
      <w:r w:rsidRPr="0075614A">
        <w:rPr>
          <w:rFonts w:ascii="Arial" w:hAnsi="Arial" w:cs="Arial"/>
          <w:i/>
          <w:sz w:val="22"/>
          <w:szCs w:val="22"/>
        </w:rPr>
        <w:t>Legislation Act 2003</w:t>
      </w:r>
    </w:p>
    <w:p w:rsidR="00F24287" w:rsidRDefault="00F24287" w:rsidP="00F24287">
      <w:r w:rsidRPr="006A22CA">
        <w:rPr>
          <w:rFonts w:ascii="Arial" w:hAnsi="Arial" w:cs="Arial"/>
          <w:i/>
          <w:iCs/>
          <w:sz w:val="22"/>
          <w:szCs w:val="22"/>
        </w:rPr>
        <w:t>Human Rights (Parliamentary Scrutiny) Act 2011</w:t>
      </w:r>
    </w:p>
    <w:p w:rsidR="00F24287" w:rsidRDefault="00F24287" w:rsidP="00221775">
      <w:pPr>
        <w:spacing w:after="60"/>
        <w:rPr>
          <w:rFonts w:ascii="Arial" w:hAnsi="Arial" w:cs="Arial"/>
          <w:b/>
        </w:rPr>
      </w:pPr>
    </w:p>
    <w:p w:rsidR="00F24287" w:rsidRDefault="00F24287" w:rsidP="00221775">
      <w:pPr>
        <w:spacing w:after="60"/>
        <w:rPr>
          <w:rFonts w:ascii="Arial" w:hAnsi="Arial" w:cs="Arial"/>
          <w:b/>
        </w:rPr>
      </w:pPr>
    </w:p>
    <w:p w:rsidR="00F24287" w:rsidRDefault="00F24287" w:rsidP="00221775">
      <w:pPr>
        <w:spacing w:after="60"/>
        <w:rPr>
          <w:rFonts w:ascii="Arial" w:hAnsi="Arial" w:cs="Arial"/>
          <w:b/>
        </w:rPr>
      </w:pPr>
    </w:p>
    <w:p w:rsidR="00F24287" w:rsidRDefault="00F24287" w:rsidP="00221775">
      <w:pPr>
        <w:spacing w:after="60"/>
        <w:rPr>
          <w:rFonts w:ascii="Arial" w:hAnsi="Arial" w:cs="Arial"/>
          <w:b/>
        </w:rPr>
      </w:pPr>
    </w:p>
    <w:p w:rsidR="00F24287" w:rsidRDefault="00F24287" w:rsidP="00221775">
      <w:pPr>
        <w:spacing w:after="60"/>
        <w:rPr>
          <w:rFonts w:ascii="Arial" w:hAnsi="Arial" w:cs="Arial"/>
          <w:b/>
        </w:rPr>
      </w:pPr>
    </w:p>
    <w:p w:rsidR="00F24287" w:rsidRDefault="00F24287"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Default="00AA7B9E" w:rsidP="00221775">
      <w:pPr>
        <w:spacing w:after="60"/>
        <w:rPr>
          <w:rFonts w:ascii="Arial" w:hAnsi="Arial" w:cs="Arial"/>
          <w:b/>
        </w:rPr>
      </w:pPr>
    </w:p>
    <w:p w:rsidR="00AA7B9E" w:rsidRPr="00DD752C" w:rsidRDefault="00AA7B9E" w:rsidP="00221775">
      <w:pPr>
        <w:spacing w:after="60"/>
        <w:rPr>
          <w:rFonts w:ascii="Arial" w:hAnsi="Arial" w:cs="Arial"/>
          <w:b/>
        </w:rPr>
      </w:pPr>
    </w:p>
    <w:p w:rsidR="00E53399" w:rsidRPr="00D13E64" w:rsidRDefault="00E53399" w:rsidP="006F19AD">
      <w:pPr>
        <w:pStyle w:val="Heading3"/>
        <w:ind w:firstLine="1418"/>
        <w:rPr>
          <w:rFonts w:eastAsia="Calibri"/>
          <w:b w:val="0"/>
          <w:bCs w:val="0"/>
          <w:i/>
          <w:sz w:val="22"/>
          <w:szCs w:val="22"/>
          <w:lang w:eastAsia="en-US"/>
        </w:rPr>
      </w:pPr>
      <w:r w:rsidRPr="00DD752C">
        <w:rPr>
          <w:sz w:val="24"/>
        </w:rPr>
        <w:lastRenderedPageBreak/>
        <w:t xml:space="preserve">Statement of compatibility </w:t>
      </w:r>
      <w:r w:rsidR="00C11D03" w:rsidRPr="00DD752C">
        <w:rPr>
          <w:sz w:val="24"/>
        </w:rPr>
        <w:t xml:space="preserve">with Human Rights                                 </w:t>
      </w:r>
      <w:r w:rsidR="00027E13">
        <w:rPr>
          <w:sz w:val="24"/>
        </w:rPr>
        <w:br/>
      </w:r>
      <w:r w:rsidR="00027E13">
        <w:rPr>
          <w:rFonts w:eastAsia="Calibri"/>
          <w:b w:val="0"/>
          <w:bCs w:val="0"/>
          <w:sz w:val="22"/>
          <w:szCs w:val="22"/>
          <w:lang w:eastAsia="en-US"/>
        </w:rPr>
        <w:br/>
      </w:r>
      <w:r w:rsidR="002D3758">
        <w:rPr>
          <w:rFonts w:eastAsia="Calibri"/>
          <w:b w:val="0"/>
          <w:bCs w:val="0"/>
          <w:sz w:val="22"/>
          <w:szCs w:val="22"/>
          <w:lang w:eastAsia="en-US"/>
        </w:rPr>
        <w:t>This statement is p</w:t>
      </w:r>
      <w:r w:rsidRPr="00D13E64">
        <w:rPr>
          <w:rFonts w:eastAsia="Calibri"/>
          <w:b w:val="0"/>
          <w:bCs w:val="0"/>
          <w:sz w:val="22"/>
          <w:szCs w:val="22"/>
          <w:lang w:eastAsia="en-US"/>
        </w:rPr>
        <w:t xml:space="preserve">repared in accordance with </w:t>
      </w:r>
      <w:r w:rsidRPr="00D13E64">
        <w:rPr>
          <w:rFonts w:eastAsia="Calibri"/>
          <w:b w:val="0"/>
          <w:bCs w:val="0"/>
          <w:i/>
          <w:sz w:val="22"/>
          <w:szCs w:val="22"/>
          <w:lang w:eastAsia="en-US"/>
        </w:rPr>
        <w:t>Part 3 of the Human Rights (Parliamentary Scrutiny) Act 2011</w:t>
      </w:r>
    </w:p>
    <w:p w:rsidR="0041638F" w:rsidRPr="00D13E64" w:rsidRDefault="0041638F">
      <w:pPr>
        <w:rPr>
          <w:rFonts w:ascii="Arial" w:eastAsia="Calibri" w:hAnsi="Arial" w:cs="Arial"/>
          <w:sz w:val="22"/>
          <w:szCs w:val="22"/>
          <w:lang w:eastAsia="en-US"/>
        </w:rPr>
      </w:pPr>
    </w:p>
    <w:p w:rsidR="0041638F" w:rsidRPr="00DD752C" w:rsidRDefault="0041638F" w:rsidP="006F19AD">
      <w:pPr>
        <w:jc w:val="center"/>
        <w:rPr>
          <w:rFonts w:ascii="Arial" w:eastAsia="Calibri" w:hAnsi="Arial" w:cs="Arial"/>
          <w:b/>
          <w:szCs w:val="22"/>
          <w:lang w:eastAsia="en-US"/>
        </w:rPr>
      </w:pPr>
      <w:r w:rsidRPr="00DD752C">
        <w:rPr>
          <w:rFonts w:ascii="Arial" w:eastAsia="Calibri" w:hAnsi="Arial" w:cs="Arial"/>
          <w:b/>
          <w:szCs w:val="22"/>
          <w:lang w:eastAsia="en-US"/>
        </w:rPr>
        <w:t xml:space="preserve">Goods and Services Tax: </w:t>
      </w:r>
      <w:r w:rsidR="00FD212F" w:rsidRPr="00DD752C">
        <w:rPr>
          <w:rFonts w:ascii="Arial" w:eastAsia="Calibri" w:hAnsi="Arial" w:cs="Arial"/>
          <w:b/>
          <w:szCs w:val="22"/>
          <w:lang w:eastAsia="en-US"/>
        </w:rPr>
        <w:t xml:space="preserve">Particular Attribution Rules for Banknote and Coin-operated Machines and Similar Devices Determination </w:t>
      </w:r>
      <w:r w:rsidR="00027E13">
        <w:rPr>
          <w:rFonts w:ascii="Arial" w:eastAsia="Calibri" w:hAnsi="Arial" w:cs="Arial"/>
          <w:b/>
          <w:szCs w:val="22"/>
          <w:lang w:eastAsia="en-US"/>
        </w:rPr>
        <w:t>2017</w:t>
      </w:r>
    </w:p>
    <w:p w:rsidR="0041638F" w:rsidRPr="00221775" w:rsidRDefault="0041638F">
      <w:pPr>
        <w:rPr>
          <w:rFonts w:ascii="Arial" w:eastAsia="Calibri" w:hAnsi="Arial" w:cs="Arial"/>
          <w:sz w:val="22"/>
          <w:szCs w:val="22"/>
          <w:lang w:eastAsia="en-US"/>
        </w:rPr>
      </w:pPr>
    </w:p>
    <w:p w:rsidR="00075B58" w:rsidRPr="00D13E64" w:rsidRDefault="00075B58">
      <w:pPr>
        <w:rPr>
          <w:rFonts w:ascii="Arial" w:eastAsia="Calibri" w:hAnsi="Arial" w:cs="Arial"/>
          <w:i/>
          <w:sz w:val="22"/>
          <w:szCs w:val="22"/>
          <w:lang w:eastAsia="en-US"/>
        </w:rPr>
      </w:pPr>
      <w:r w:rsidRPr="00221775">
        <w:rPr>
          <w:rFonts w:ascii="Arial" w:eastAsia="Calibri" w:hAnsi="Arial" w:cs="Arial"/>
          <w:sz w:val="22"/>
          <w:szCs w:val="22"/>
          <w:lang w:eastAsia="en-US"/>
        </w:rPr>
        <w:t xml:space="preserve">This </w:t>
      </w:r>
      <w:r w:rsidR="00CE2630">
        <w:rPr>
          <w:rFonts w:ascii="Arial" w:eastAsia="Calibri" w:hAnsi="Arial" w:cs="Arial"/>
          <w:sz w:val="22"/>
          <w:szCs w:val="22"/>
          <w:lang w:eastAsia="en-US"/>
        </w:rPr>
        <w:t>l</w:t>
      </w:r>
      <w:r w:rsidRPr="00221775">
        <w:rPr>
          <w:rFonts w:ascii="Arial" w:eastAsia="Calibri" w:hAnsi="Arial" w:cs="Arial"/>
          <w:sz w:val="22"/>
          <w:szCs w:val="22"/>
          <w:lang w:eastAsia="en-US"/>
        </w:rPr>
        <w:t>egislative</w:t>
      </w:r>
      <w:r w:rsidR="00CE2630">
        <w:rPr>
          <w:rFonts w:ascii="Arial" w:eastAsia="Calibri" w:hAnsi="Arial" w:cs="Arial"/>
          <w:sz w:val="22"/>
          <w:szCs w:val="22"/>
          <w:lang w:eastAsia="en-US"/>
        </w:rPr>
        <w:t xml:space="preserve"> i</w:t>
      </w:r>
      <w:r w:rsidRPr="00221775">
        <w:rPr>
          <w:rFonts w:ascii="Arial" w:eastAsia="Calibri" w:hAnsi="Arial" w:cs="Arial"/>
          <w:sz w:val="22"/>
          <w:szCs w:val="22"/>
          <w:lang w:eastAsia="en-US"/>
        </w:rPr>
        <w:t xml:space="preserve">nstrument is compatible with the human rights and freedoms recognised or declared in the international instruments listed in section 3 of the </w:t>
      </w:r>
      <w:r w:rsidRPr="00D13E64">
        <w:rPr>
          <w:rFonts w:ascii="Arial" w:eastAsia="Calibri" w:hAnsi="Arial" w:cs="Arial"/>
          <w:i/>
          <w:sz w:val="22"/>
          <w:szCs w:val="22"/>
          <w:lang w:eastAsia="en-US"/>
        </w:rPr>
        <w:t xml:space="preserve">Human Rights (Parliamentary Scrutiny) Act 2011. </w:t>
      </w:r>
    </w:p>
    <w:p w:rsidR="00075B58" w:rsidRDefault="00075B58">
      <w:pPr>
        <w:autoSpaceDE w:val="0"/>
        <w:autoSpaceDN w:val="0"/>
        <w:adjustRightInd w:val="0"/>
        <w:rPr>
          <w:rFonts w:ascii="Arial" w:hAnsi="Arial" w:cs="Arial"/>
          <w:color w:val="000000"/>
          <w:sz w:val="20"/>
        </w:rPr>
      </w:pPr>
    </w:p>
    <w:p w:rsidR="00075B58" w:rsidRPr="00DD752C" w:rsidRDefault="00075B58">
      <w:pPr>
        <w:spacing w:before="120" w:after="120"/>
        <w:ind w:left="720" w:hanging="720"/>
        <w:jc w:val="both"/>
        <w:rPr>
          <w:rFonts w:ascii="Arial" w:hAnsi="Arial" w:cs="Arial"/>
          <w:b/>
        </w:rPr>
      </w:pPr>
      <w:r w:rsidRPr="00DD752C">
        <w:rPr>
          <w:rFonts w:ascii="Arial" w:hAnsi="Arial" w:cs="Arial"/>
          <w:b/>
        </w:rPr>
        <w:t>Overview of the /Legislative Instrument</w:t>
      </w:r>
    </w:p>
    <w:p w:rsidR="003975D4" w:rsidRPr="00344B2C" w:rsidRDefault="003975D4">
      <w:pPr>
        <w:spacing w:after="120"/>
        <w:rPr>
          <w:rFonts w:ascii="Arial" w:eastAsia="Calibri" w:hAnsi="Arial" w:cs="Arial"/>
          <w:sz w:val="22"/>
          <w:szCs w:val="22"/>
          <w:lang w:eastAsia="en-US"/>
        </w:rPr>
      </w:pPr>
      <w:r w:rsidRPr="00344B2C">
        <w:rPr>
          <w:rFonts w:ascii="Arial" w:eastAsia="Calibri" w:hAnsi="Arial" w:cs="Arial"/>
          <w:sz w:val="22"/>
          <w:szCs w:val="22"/>
          <w:lang w:eastAsia="en-US"/>
        </w:rPr>
        <w:t>Section 29-5</w:t>
      </w:r>
      <w:r w:rsidR="00CE2630">
        <w:rPr>
          <w:rFonts w:ascii="Arial" w:eastAsia="Calibri" w:hAnsi="Arial" w:cs="Arial"/>
          <w:sz w:val="22"/>
          <w:szCs w:val="22"/>
          <w:lang w:eastAsia="en-US"/>
        </w:rPr>
        <w:t xml:space="preserve"> of the</w:t>
      </w:r>
      <w:r w:rsidRPr="00344B2C">
        <w:rPr>
          <w:rFonts w:ascii="Arial" w:eastAsia="Calibri" w:hAnsi="Arial" w:cs="Arial"/>
          <w:sz w:val="22"/>
          <w:szCs w:val="22"/>
          <w:lang w:eastAsia="en-US"/>
        </w:rPr>
        <w:t xml:space="preserve"> </w:t>
      </w:r>
      <w:r w:rsidR="00CE2630" w:rsidRPr="00CE2630">
        <w:rPr>
          <w:rFonts w:ascii="Arial" w:eastAsia="Calibri" w:hAnsi="Arial" w:cs="Arial"/>
          <w:i/>
          <w:sz w:val="22"/>
          <w:szCs w:val="22"/>
          <w:lang w:eastAsia="en-US"/>
        </w:rPr>
        <w:t>A New Tax System (Goods and Services Tax) Act 1999</w:t>
      </w:r>
      <w:r w:rsidR="00CE2630" w:rsidRPr="00CE2630">
        <w:rPr>
          <w:rFonts w:ascii="Arial" w:eastAsia="Calibri" w:hAnsi="Arial" w:cs="Arial"/>
          <w:sz w:val="22"/>
          <w:szCs w:val="22"/>
          <w:lang w:eastAsia="en-US"/>
        </w:rPr>
        <w:t xml:space="preserve"> </w:t>
      </w:r>
      <w:r w:rsidR="003A0B6A">
        <w:rPr>
          <w:rFonts w:ascii="Arial" w:eastAsia="Calibri" w:hAnsi="Arial" w:cs="Arial"/>
          <w:sz w:val="22"/>
          <w:szCs w:val="22"/>
          <w:lang w:eastAsia="en-US"/>
        </w:rPr>
        <w:t>provides</w:t>
      </w:r>
      <w:r w:rsidR="00875A62">
        <w:rPr>
          <w:rFonts w:ascii="Arial" w:eastAsia="Calibri" w:hAnsi="Arial" w:cs="Arial"/>
          <w:sz w:val="22"/>
          <w:szCs w:val="22"/>
          <w:lang w:eastAsia="en-US"/>
        </w:rPr>
        <w:t xml:space="preserve"> for</w:t>
      </w:r>
      <w:r w:rsidR="003A0B6A">
        <w:rPr>
          <w:rFonts w:ascii="Arial" w:eastAsia="Calibri" w:hAnsi="Arial" w:cs="Arial"/>
          <w:sz w:val="22"/>
          <w:szCs w:val="22"/>
          <w:lang w:eastAsia="en-US"/>
        </w:rPr>
        <w:t xml:space="preserve"> when a supplier must attribute the GST payable on a taxable supply. </w:t>
      </w:r>
      <w:r w:rsidRPr="00344B2C">
        <w:rPr>
          <w:rFonts w:ascii="Arial" w:eastAsia="Calibri" w:hAnsi="Arial" w:cs="Arial"/>
          <w:sz w:val="22"/>
          <w:szCs w:val="22"/>
          <w:lang w:eastAsia="en-US"/>
        </w:rPr>
        <w:t xml:space="preserve">This </w:t>
      </w:r>
      <w:r w:rsidR="0078137B">
        <w:rPr>
          <w:rFonts w:ascii="Arial" w:eastAsia="Calibri" w:hAnsi="Arial" w:cs="Arial"/>
          <w:sz w:val="22"/>
          <w:szCs w:val="22"/>
          <w:lang w:eastAsia="en-US"/>
        </w:rPr>
        <w:t>legislative instrument</w:t>
      </w:r>
      <w:r w:rsidRPr="00344B2C">
        <w:rPr>
          <w:rFonts w:ascii="Arial" w:eastAsia="Calibri" w:hAnsi="Arial" w:cs="Arial"/>
          <w:sz w:val="22"/>
          <w:szCs w:val="22"/>
          <w:lang w:eastAsia="en-US"/>
        </w:rPr>
        <w:t xml:space="preserve"> allows you to attribute the GST payable on a supply </w:t>
      </w:r>
      <w:r w:rsidRPr="00F40FA3">
        <w:rPr>
          <w:rFonts w:ascii="Arial" w:eastAsia="Calibri" w:hAnsi="Arial" w:cs="Arial"/>
          <w:sz w:val="22"/>
          <w:szCs w:val="22"/>
          <w:lang w:eastAsia="en-US"/>
        </w:rPr>
        <w:t>where</w:t>
      </w:r>
      <w:r>
        <w:rPr>
          <w:rFonts w:ascii="Arial" w:eastAsia="Calibri" w:hAnsi="Arial" w:cs="Arial"/>
          <w:sz w:val="22"/>
          <w:szCs w:val="22"/>
          <w:lang w:eastAsia="en-US"/>
        </w:rPr>
        <w:t xml:space="preserve"> </w:t>
      </w:r>
      <w:r w:rsidRPr="00F40FA3">
        <w:rPr>
          <w:rFonts w:ascii="Arial" w:eastAsia="Calibri" w:hAnsi="Arial" w:cs="Arial"/>
          <w:sz w:val="22"/>
          <w:szCs w:val="22"/>
          <w:lang w:eastAsia="en-US"/>
        </w:rPr>
        <w:t>you receive the consideration through a banknote-</w:t>
      </w:r>
      <w:r w:rsidR="00E473FE" w:rsidRPr="00F40FA3">
        <w:rPr>
          <w:rFonts w:ascii="Arial" w:eastAsia="Calibri" w:hAnsi="Arial" w:cs="Arial"/>
          <w:sz w:val="22"/>
          <w:szCs w:val="22"/>
          <w:lang w:eastAsia="en-US"/>
        </w:rPr>
        <w:t xml:space="preserve">operated </w:t>
      </w:r>
      <w:r w:rsidR="00E473FE" w:rsidRPr="00045F22">
        <w:rPr>
          <w:rFonts w:ascii="Arial" w:eastAsia="Calibri" w:hAnsi="Arial" w:cs="Arial"/>
          <w:sz w:val="22"/>
          <w:szCs w:val="22"/>
          <w:lang w:eastAsia="en-US"/>
        </w:rPr>
        <w:t>machine</w:t>
      </w:r>
      <w:r w:rsidRPr="00F40FA3">
        <w:rPr>
          <w:rFonts w:ascii="Arial" w:eastAsia="Calibri" w:hAnsi="Arial" w:cs="Arial"/>
          <w:sz w:val="22"/>
          <w:szCs w:val="22"/>
          <w:lang w:eastAsia="en-US"/>
        </w:rPr>
        <w:t>, a coin-operated machine or similar device</w:t>
      </w:r>
      <w:r>
        <w:rPr>
          <w:rFonts w:ascii="Arial" w:eastAsia="Calibri" w:hAnsi="Arial" w:cs="Arial"/>
          <w:sz w:val="22"/>
          <w:szCs w:val="22"/>
          <w:lang w:eastAsia="en-US"/>
        </w:rPr>
        <w:t xml:space="preserve"> a</w:t>
      </w:r>
      <w:r w:rsidRPr="00F40FA3">
        <w:rPr>
          <w:rFonts w:ascii="Arial" w:eastAsia="Calibri" w:hAnsi="Arial" w:cs="Arial"/>
          <w:sz w:val="22"/>
          <w:szCs w:val="22"/>
          <w:lang w:eastAsia="en-US"/>
        </w:rPr>
        <w:t>nd</w:t>
      </w:r>
      <w:r>
        <w:rPr>
          <w:rFonts w:ascii="Arial" w:eastAsia="Calibri" w:hAnsi="Arial" w:cs="Arial"/>
          <w:sz w:val="22"/>
          <w:szCs w:val="22"/>
          <w:lang w:eastAsia="en-US"/>
        </w:rPr>
        <w:t xml:space="preserve"> </w:t>
      </w:r>
      <w:r w:rsidRPr="00F40FA3">
        <w:rPr>
          <w:rFonts w:ascii="Arial" w:eastAsia="Calibri" w:hAnsi="Arial" w:cs="Arial"/>
          <w:sz w:val="22"/>
          <w:szCs w:val="22"/>
          <w:lang w:eastAsia="en-US"/>
        </w:rPr>
        <w:t xml:space="preserve">removal of the notes and coins from the machine is the only way you </w:t>
      </w:r>
      <w:r w:rsidR="00784196">
        <w:rPr>
          <w:rFonts w:ascii="Arial" w:eastAsia="Calibri" w:hAnsi="Arial" w:cs="Arial"/>
          <w:sz w:val="22"/>
          <w:szCs w:val="22"/>
          <w:lang w:eastAsia="en-US"/>
        </w:rPr>
        <w:t>h</w:t>
      </w:r>
      <w:r w:rsidRPr="00F40FA3">
        <w:rPr>
          <w:rFonts w:ascii="Arial" w:eastAsia="Calibri" w:hAnsi="Arial" w:cs="Arial"/>
          <w:sz w:val="22"/>
          <w:szCs w:val="22"/>
          <w:lang w:eastAsia="en-US"/>
        </w:rPr>
        <w:t>ave of knowing when the consideration is received</w:t>
      </w:r>
      <w:r w:rsidR="003A0B6A">
        <w:rPr>
          <w:rFonts w:ascii="Arial" w:eastAsia="Calibri" w:hAnsi="Arial" w:cs="Arial"/>
          <w:sz w:val="22"/>
          <w:szCs w:val="22"/>
          <w:lang w:eastAsia="en-US"/>
        </w:rPr>
        <w:t>.</w:t>
      </w:r>
      <w:r w:rsidR="00120DA7">
        <w:rPr>
          <w:rFonts w:ascii="Arial" w:eastAsia="Calibri" w:hAnsi="Arial" w:cs="Arial"/>
          <w:sz w:val="22"/>
          <w:szCs w:val="22"/>
          <w:lang w:eastAsia="en-US"/>
        </w:rPr>
        <w:t xml:space="preserve"> </w:t>
      </w:r>
      <w:r w:rsidRPr="00344B2C">
        <w:rPr>
          <w:rFonts w:ascii="Arial" w:eastAsia="Calibri" w:hAnsi="Arial" w:cs="Arial"/>
          <w:sz w:val="22"/>
          <w:szCs w:val="22"/>
          <w:lang w:eastAsia="en-US"/>
        </w:rPr>
        <w:t xml:space="preserve">This </w:t>
      </w:r>
      <w:r w:rsidRPr="003975D4">
        <w:rPr>
          <w:rFonts w:ascii="Arial" w:eastAsia="Calibri" w:hAnsi="Arial" w:cs="Arial"/>
          <w:sz w:val="22"/>
          <w:szCs w:val="22"/>
          <w:lang w:eastAsia="en-US"/>
        </w:rPr>
        <w:t>will simplify the attribution rules involving a supply or acquisition occurring before the supplier or recipient knows it has occurred.</w:t>
      </w:r>
    </w:p>
    <w:p w:rsidR="00075B58" w:rsidRPr="00DD752C" w:rsidRDefault="00C96197">
      <w:pPr>
        <w:spacing w:before="120" w:after="120"/>
        <w:rPr>
          <w:rFonts w:ascii="Arial" w:hAnsi="Arial" w:cs="Arial"/>
          <w:b/>
        </w:rPr>
      </w:pPr>
      <w:r>
        <w:rPr>
          <w:rFonts w:ascii="Arial" w:eastAsia="Calibri" w:hAnsi="Arial" w:cs="Arial"/>
          <w:sz w:val="22"/>
          <w:szCs w:val="22"/>
          <w:lang w:eastAsia="en-US"/>
        </w:rPr>
        <w:br/>
      </w:r>
      <w:r w:rsidR="00075B58" w:rsidRPr="00DD752C">
        <w:rPr>
          <w:rFonts w:ascii="Arial" w:hAnsi="Arial" w:cs="Arial"/>
          <w:b/>
        </w:rPr>
        <w:t>Human rights implications</w:t>
      </w:r>
    </w:p>
    <w:p w:rsidR="008105AE" w:rsidRDefault="00075B58">
      <w:pPr>
        <w:spacing w:after="120"/>
        <w:rPr>
          <w:rFonts w:ascii="Arial" w:eastAsia="Calibri" w:hAnsi="Arial" w:cs="Arial"/>
          <w:sz w:val="22"/>
          <w:szCs w:val="22"/>
          <w:lang w:eastAsia="en-US"/>
        </w:rPr>
      </w:pPr>
      <w:r w:rsidRPr="00221775">
        <w:rPr>
          <w:rFonts w:ascii="Arial" w:eastAsia="Calibri" w:hAnsi="Arial" w:cs="Arial"/>
          <w:sz w:val="22"/>
          <w:szCs w:val="22"/>
          <w:lang w:eastAsia="en-US"/>
        </w:rPr>
        <w:t xml:space="preserve">This </w:t>
      </w:r>
      <w:r w:rsidR="00CE2630">
        <w:rPr>
          <w:rFonts w:ascii="Arial" w:eastAsia="Calibri" w:hAnsi="Arial" w:cs="Arial"/>
          <w:sz w:val="22"/>
          <w:szCs w:val="22"/>
          <w:lang w:eastAsia="en-US"/>
        </w:rPr>
        <w:t>legislative instrument</w:t>
      </w:r>
      <w:r w:rsidR="00CE2630" w:rsidRPr="00221775">
        <w:rPr>
          <w:rFonts w:ascii="Arial" w:eastAsia="Calibri" w:hAnsi="Arial" w:cs="Arial"/>
          <w:sz w:val="22"/>
          <w:szCs w:val="22"/>
          <w:lang w:eastAsia="en-US"/>
        </w:rPr>
        <w:t xml:space="preserve"> </w:t>
      </w:r>
      <w:r w:rsidRPr="00221775">
        <w:rPr>
          <w:rFonts w:ascii="Arial" w:eastAsia="Calibri" w:hAnsi="Arial" w:cs="Arial"/>
          <w:sz w:val="22"/>
          <w:szCs w:val="22"/>
          <w:lang w:eastAsia="en-US"/>
        </w:rPr>
        <w:t xml:space="preserve">does not engage any of the applicable rights or freedoms. </w:t>
      </w:r>
      <w:r w:rsidR="00CE2630">
        <w:rPr>
          <w:rFonts w:ascii="Arial" w:eastAsia="Calibri" w:hAnsi="Arial" w:cs="Arial"/>
          <w:sz w:val="22"/>
          <w:szCs w:val="22"/>
          <w:lang w:eastAsia="en-US"/>
        </w:rPr>
        <w:t>It</w:t>
      </w:r>
      <w:r w:rsidR="005C3199">
        <w:rPr>
          <w:rFonts w:ascii="Arial" w:eastAsia="Calibri" w:hAnsi="Arial" w:cs="Arial"/>
          <w:sz w:val="22"/>
          <w:szCs w:val="22"/>
          <w:lang w:eastAsia="en-US"/>
        </w:rPr>
        <w:t xml:space="preserve"> </w:t>
      </w:r>
      <w:r w:rsidR="008D02C6">
        <w:rPr>
          <w:rFonts w:ascii="Arial" w:eastAsia="Calibri" w:hAnsi="Arial" w:cs="Arial"/>
          <w:sz w:val="22"/>
          <w:szCs w:val="22"/>
          <w:lang w:eastAsia="en-US"/>
        </w:rPr>
        <w:t>provides</w:t>
      </w:r>
      <w:r w:rsidR="00CE2630">
        <w:rPr>
          <w:rFonts w:ascii="Arial" w:eastAsia="Calibri" w:hAnsi="Arial" w:cs="Arial"/>
          <w:sz w:val="22"/>
          <w:szCs w:val="22"/>
          <w:lang w:eastAsia="en-US"/>
        </w:rPr>
        <w:t xml:space="preserve"> rules for</w:t>
      </w:r>
      <w:r w:rsidR="008105AE">
        <w:rPr>
          <w:rFonts w:ascii="Arial" w:eastAsia="Calibri" w:hAnsi="Arial" w:cs="Arial"/>
          <w:sz w:val="22"/>
          <w:szCs w:val="22"/>
          <w:lang w:eastAsia="en-US"/>
        </w:rPr>
        <w:t xml:space="preserve"> </w:t>
      </w:r>
      <w:r w:rsidR="008D02C6">
        <w:rPr>
          <w:rFonts w:ascii="Arial" w:hAnsi="Arial" w:cs="Arial"/>
          <w:sz w:val="22"/>
          <w:szCs w:val="22"/>
        </w:rPr>
        <w:t>when a supplier must attribute the GST payable on a taxable supply.</w:t>
      </w:r>
      <w:r w:rsidR="008D02C6">
        <w:rPr>
          <w:rFonts w:ascii="Arial" w:hAnsi="Arial" w:cs="Arial"/>
          <w:sz w:val="22"/>
          <w:szCs w:val="22"/>
        </w:rPr>
        <w:br/>
      </w:r>
    </w:p>
    <w:p w:rsidR="00075B58" w:rsidRPr="00DD752C" w:rsidRDefault="00075B58">
      <w:pPr>
        <w:spacing w:before="120" w:after="120"/>
        <w:ind w:left="720" w:hanging="720"/>
        <w:rPr>
          <w:rFonts w:ascii="Arial" w:hAnsi="Arial" w:cs="Arial"/>
          <w:b/>
        </w:rPr>
      </w:pPr>
      <w:r w:rsidRPr="00DD752C">
        <w:rPr>
          <w:rFonts w:ascii="Arial" w:hAnsi="Arial" w:cs="Arial"/>
          <w:b/>
        </w:rPr>
        <w:t>Conclusion</w:t>
      </w:r>
    </w:p>
    <w:p w:rsidR="00075B58" w:rsidRPr="00221775" w:rsidRDefault="00075B58">
      <w:pPr>
        <w:spacing w:before="120" w:after="120"/>
        <w:rPr>
          <w:rFonts w:ascii="Arial" w:eastAsia="Calibri" w:hAnsi="Arial" w:cs="Arial"/>
          <w:sz w:val="22"/>
          <w:szCs w:val="22"/>
          <w:lang w:eastAsia="en-US"/>
        </w:rPr>
      </w:pPr>
      <w:r w:rsidRPr="00221775">
        <w:rPr>
          <w:rFonts w:ascii="Arial" w:eastAsia="Calibri" w:hAnsi="Arial" w:cs="Arial"/>
          <w:sz w:val="22"/>
          <w:szCs w:val="22"/>
          <w:lang w:eastAsia="en-US"/>
        </w:rPr>
        <w:t xml:space="preserve">This </w:t>
      </w:r>
      <w:r w:rsidR="00CE2630">
        <w:rPr>
          <w:rFonts w:ascii="Arial" w:eastAsia="Calibri" w:hAnsi="Arial" w:cs="Arial"/>
          <w:sz w:val="22"/>
          <w:szCs w:val="22"/>
          <w:lang w:eastAsia="en-US"/>
        </w:rPr>
        <w:t>l</w:t>
      </w:r>
      <w:r w:rsidRPr="00221775">
        <w:rPr>
          <w:rFonts w:ascii="Arial" w:eastAsia="Calibri" w:hAnsi="Arial" w:cs="Arial"/>
          <w:sz w:val="22"/>
          <w:szCs w:val="22"/>
          <w:lang w:eastAsia="en-US"/>
        </w:rPr>
        <w:t xml:space="preserve">egislative </w:t>
      </w:r>
      <w:r w:rsidR="00CE2630">
        <w:rPr>
          <w:rFonts w:ascii="Arial" w:eastAsia="Calibri" w:hAnsi="Arial" w:cs="Arial"/>
          <w:sz w:val="22"/>
          <w:szCs w:val="22"/>
          <w:lang w:eastAsia="en-US"/>
        </w:rPr>
        <w:t>i</w:t>
      </w:r>
      <w:r w:rsidRPr="00221775">
        <w:rPr>
          <w:rFonts w:ascii="Arial" w:eastAsia="Calibri" w:hAnsi="Arial" w:cs="Arial"/>
          <w:sz w:val="22"/>
          <w:szCs w:val="22"/>
          <w:lang w:eastAsia="en-US"/>
        </w:rPr>
        <w:t>nstrument is compatible with human rights as it does not raise any human rights issues.</w:t>
      </w:r>
    </w:p>
    <w:p w:rsidR="00075B58" w:rsidRDefault="00075B58" w:rsidP="00075B58">
      <w:pPr>
        <w:autoSpaceDE w:val="0"/>
        <w:autoSpaceDN w:val="0"/>
        <w:adjustRightInd w:val="0"/>
        <w:ind w:left="720"/>
        <w:rPr>
          <w:rFonts w:ascii="Arial" w:hAnsi="Arial" w:cs="Arial"/>
          <w:color w:val="000000"/>
          <w:sz w:val="20"/>
        </w:rPr>
      </w:pPr>
    </w:p>
    <w:p w:rsidR="00075B58" w:rsidRDefault="00075B58" w:rsidP="00075B58">
      <w:pPr>
        <w:autoSpaceDE w:val="0"/>
        <w:autoSpaceDN w:val="0"/>
        <w:adjustRightInd w:val="0"/>
        <w:rPr>
          <w:rFonts w:ascii="Arial" w:hAnsi="Arial" w:cs="Arial"/>
          <w:color w:val="000000"/>
          <w:sz w:val="20"/>
        </w:rPr>
      </w:pPr>
    </w:p>
    <w:p w:rsidR="00075B58" w:rsidRDefault="00075B58" w:rsidP="00075B58">
      <w:pPr>
        <w:autoSpaceDE w:val="0"/>
        <w:autoSpaceDN w:val="0"/>
        <w:adjustRightInd w:val="0"/>
        <w:rPr>
          <w:rFonts w:ascii="Arial" w:hAnsi="Arial" w:cs="Arial"/>
          <w:b/>
          <w:i/>
          <w:iCs/>
          <w:color w:val="000000"/>
          <w:sz w:val="22"/>
          <w:szCs w:val="22"/>
        </w:rPr>
      </w:pPr>
    </w:p>
    <w:p w:rsidR="008540EA" w:rsidRPr="001F28A6" w:rsidRDefault="008540EA" w:rsidP="00FE17ED">
      <w:pPr>
        <w:pStyle w:val="Heading2"/>
        <w:rPr>
          <w:rFonts w:cs="Arial"/>
        </w:rPr>
      </w:pPr>
    </w:p>
    <w:sectPr w:rsidR="008540EA" w:rsidRPr="001F28A6" w:rsidSect="00EB25E7">
      <w:headerReference w:type="even" r:id="rId15"/>
      <w:headerReference w:type="default" r:id="rId16"/>
      <w:headerReference w:type="first" r:id="rId17"/>
      <w:pgSz w:w="11906" w:h="16838" w:code="9"/>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6D" w:rsidRDefault="00934B6D">
      <w:r>
        <w:separator/>
      </w:r>
    </w:p>
  </w:endnote>
  <w:endnote w:type="continuationSeparator" w:id="0">
    <w:p w:rsidR="00934B6D" w:rsidRDefault="0093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6D" w:rsidRDefault="00934B6D">
      <w:r>
        <w:separator/>
      </w:r>
    </w:p>
  </w:footnote>
  <w:footnote w:type="continuationSeparator" w:id="0">
    <w:p w:rsidR="00934B6D" w:rsidRDefault="0093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396293">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3"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4" w:name="BPrefix"/>
    <w:bookmarkEnd w:id="13"/>
    <w:r>
      <w:rPr>
        <w:rFonts w:ascii="Arial" w:hAnsi="Arial" w:cs="Arial"/>
        <w:b/>
        <w:sz w:val="32"/>
        <w:szCs w:val="32"/>
      </w:rPr>
      <w:t xml:space="preserve">  </w:t>
    </w:r>
    <w:r w:rsidRPr="00146ED8">
      <w:rPr>
        <w:rFonts w:ascii="Arial" w:hAnsi="Arial" w:cs="Arial"/>
        <w:b/>
        <w:sz w:val="28"/>
        <w:szCs w:val="28"/>
      </w:rPr>
      <w:t>Inst</w:t>
    </w:r>
    <w:bookmarkStart w:id="15" w:name="CDocnum"/>
    <w:bookmarkEnd w:id="14"/>
    <w:bookmarkEnd w:id="15"/>
    <w:r w:rsidRPr="00146ED8">
      <w:rPr>
        <w:rFonts w:ascii="Arial" w:hAnsi="Arial" w:cs="Arial"/>
        <w:b/>
        <w:sz w:val="28"/>
        <w:szCs w:val="28"/>
      </w:rPr>
      <w:t xml:space="preserve">rument ID: </w:t>
    </w:r>
    <w:r w:rsidR="00344B2C">
      <w:rPr>
        <w:rFonts w:ascii="Arial" w:hAnsi="Arial" w:cs="Arial"/>
        <w:b/>
        <w:sz w:val="28"/>
        <w:szCs w:val="28"/>
      </w:rPr>
      <w:t>2017</w:t>
    </w:r>
    <w:r w:rsidRPr="00146ED8">
      <w:rPr>
        <w:rFonts w:ascii="Arial" w:hAnsi="Arial" w:cs="Arial"/>
        <w:b/>
        <w:sz w:val="28"/>
        <w:szCs w:val="28"/>
      </w:rPr>
      <w:t>/</w:t>
    </w:r>
    <w:r w:rsidR="00344B2C">
      <w:rPr>
        <w:rFonts w:ascii="Arial" w:hAnsi="Arial" w:cs="Arial"/>
        <w:b/>
        <w:sz w:val="28"/>
        <w:szCs w:val="28"/>
      </w:rPr>
      <w:t>ITX</w:t>
    </w:r>
    <w:r w:rsidRPr="00146ED8">
      <w:rPr>
        <w:rFonts w:ascii="Arial" w:hAnsi="Arial" w:cs="Arial"/>
        <w:b/>
        <w:sz w:val="28"/>
        <w:szCs w:val="28"/>
      </w:rPr>
      <w:t>/</w:t>
    </w:r>
    <w:r w:rsidR="00344B2C">
      <w:rPr>
        <w:rFonts w:ascii="Arial" w:hAnsi="Arial" w:cs="Arial"/>
        <w:b/>
        <w:sz w:val="28"/>
        <w:szCs w:val="28"/>
      </w:rPr>
      <w:t>0004</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0A83"/>
    <w:multiLevelType w:val="hybridMultilevel"/>
    <w:tmpl w:val="4F70D7EE"/>
    <w:lvl w:ilvl="0" w:tplc="597ED39A">
      <w:start w:val="1"/>
      <w:numFmt w:val="lowerLetter"/>
      <w:lvlText w:val="(%1)"/>
      <w:lvlJc w:val="left"/>
      <w:pPr>
        <w:ind w:left="1572" w:hanging="720"/>
      </w:pPr>
      <w:rPr>
        <w:rFonts w:hint="default"/>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26EF5128"/>
    <w:multiLevelType w:val="hybridMultilevel"/>
    <w:tmpl w:val="DF8480FC"/>
    <w:lvl w:ilvl="0" w:tplc="DE5E6068">
      <w:start w:val="10"/>
      <w:numFmt w:val="decimal"/>
      <w:lvlText w:val="%1"/>
      <w:lvlJc w:val="left"/>
      <w:pPr>
        <w:ind w:left="644"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33657A29"/>
    <w:multiLevelType w:val="multilevel"/>
    <w:tmpl w:val="91969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216163"/>
    <w:multiLevelType w:val="hybridMultilevel"/>
    <w:tmpl w:val="615A26D2"/>
    <w:lvl w:ilvl="0" w:tplc="756AC54E">
      <w:start w:val="1"/>
      <w:numFmt w:val="decimal"/>
      <w:lvlText w:val="(%1)"/>
      <w:lvlJc w:val="left"/>
      <w:pPr>
        <w:ind w:left="786" w:hanging="360"/>
      </w:pPr>
      <w:rPr>
        <w:rFonts w:hint="default"/>
        <w:sz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3FCC3903"/>
    <w:multiLevelType w:val="hybridMultilevel"/>
    <w:tmpl w:val="126E6DE0"/>
    <w:lvl w:ilvl="0" w:tplc="BD4CC56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B6A7064"/>
    <w:multiLevelType w:val="hybridMultilevel"/>
    <w:tmpl w:val="F8E888BC"/>
    <w:lvl w:ilvl="0" w:tplc="5546BC22">
      <w:start w:val="12"/>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nsid w:val="544947D9"/>
    <w:multiLevelType w:val="hybridMultilevel"/>
    <w:tmpl w:val="8B2468CA"/>
    <w:lvl w:ilvl="0" w:tplc="1EAC23FA">
      <w:start w:val="13"/>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72DC3FB2"/>
    <w:multiLevelType w:val="hybridMultilevel"/>
    <w:tmpl w:val="F0187FE0"/>
    <w:lvl w:ilvl="0" w:tplc="312CBDA2">
      <w:start w:val="2"/>
      <w:numFmt w:val="decimal"/>
      <w:lvlText w:val="%1"/>
      <w:lvlJc w:val="left"/>
      <w:pPr>
        <w:ind w:left="786" w:hanging="360"/>
      </w:pPr>
      <w:rPr>
        <w:rFonts w:hint="default"/>
      </w:rPr>
    </w:lvl>
    <w:lvl w:ilvl="1" w:tplc="0C09000F">
      <w:start w:val="1"/>
      <w:numFmt w:val="decimal"/>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7"/>
  </w:num>
  <w:num w:numId="2">
    <w:abstractNumId w:val="3"/>
  </w:num>
  <w:num w:numId="3">
    <w:abstractNumId w:val="0"/>
  </w:num>
  <w:num w:numId="4">
    <w:abstractNumId w:val="1"/>
  </w:num>
  <w:num w:numId="5">
    <w:abstractNumId w:val="5"/>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406"/>
    <w:rsid w:val="000117B2"/>
    <w:rsid w:val="00012182"/>
    <w:rsid w:val="0001796D"/>
    <w:rsid w:val="00017BF0"/>
    <w:rsid w:val="0002568B"/>
    <w:rsid w:val="00027E13"/>
    <w:rsid w:val="000407C2"/>
    <w:rsid w:val="00043E7D"/>
    <w:rsid w:val="00043FA7"/>
    <w:rsid w:val="00045F22"/>
    <w:rsid w:val="000552E8"/>
    <w:rsid w:val="00056585"/>
    <w:rsid w:val="0005674F"/>
    <w:rsid w:val="00065C6E"/>
    <w:rsid w:val="00073F1B"/>
    <w:rsid w:val="00075B58"/>
    <w:rsid w:val="00092316"/>
    <w:rsid w:val="0009789B"/>
    <w:rsid w:val="000A04CE"/>
    <w:rsid w:val="000B11DD"/>
    <w:rsid w:val="000B5F91"/>
    <w:rsid w:val="000C1B77"/>
    <w:rsid w:val="000C390A"/>
    <w:rsid w:val="000C4AA8"/>
    <w:rsid w:val="000C77DD"/>
    <w:rsid w:val="000D4056"/>
    <w:rsid w:val="000D563F"/>
    <w:rsid w:val="000D75ED"/>
    <w:rsid w:val="000E295B"/>
    <w:rsid w:val="000E45A0"/>
    <w:rsid w:val="00107460"/>
    <w:rsid w:val="00112415"/>
    <w:rsid w:val="00120DA7"/>
    <w:rsid w:val="00121B37"/>
    <w:rsid w:val="0013678D"/>
    <w:rsid w:val="00140A34"/>
    <w:rsid w:val="00146ED8"/>
    <w:rsid w:val="00167202"/>
    <w:rsid w:val="00172227"/>
    <w:rsid w:val="001828A4"/>
    <w:rsid w:val="00193919"/>
    <w:rsid w:val="001A3BE2"/>
    <w:rsid w:val="001C065D"/>
    <w:rsid w:val="001C35E7"/>
    <w:rsid w:val="001C4578"/>
    <w:rsid w:val="001F28A6"/>
    <w:rsid w:val="001F2A16"/>
    <w:rsid w:val="001F6921"/>
    <w:rsid w:val="001F7C3E"/>
    <w:rsid w:val="00201969"/>
    <w:rsid w:val="00204BCD"/>
    <w:rsid w:val="00213FA5"/>
    <w:rsid w:val="00221775"/>
    <w:rsid w:val="00221D19"/>
    <w:rsid w:val="002242DD"/>
    <w:rsid w:val="0023418C"/>
    <w:rsid w:val="0023733A"/>
    <w:rsid w:val="0024044F"/>
    <w:rsid w:val="00245D00"/>
    <w:rsid w:val="002465E7"/>
    <w:rsid w:val="00257F2D"/>
    <w:rsid w:val="00262F9F"/>
    <w:rsid w:val="00264380"/>
    <w:rsid w:val="00266D2D"/>
    <w:rsid w:val="0027331F"/>
    <w:rsid w:val="002833F1"/>
    <w:rsid w:val="00285E76"/>
    <w:rsid w:val="002949C3"/>
    <w:rsid w:val="002A10A4"/>
    <w:rsid w:val="002A26FE"/>
    <w:rsid w:val="002A3842"/>
    <w:rsid w:val="002A609E"/>
    <w:rsid w:val="002A64B9"/>
    <w:rsid w:val="002A745B"/>
    <w:rsid w:val="002B1423"/>
    <w:rsid w:val="002C48BB"/>
    <w:rsid w:val="002D3758"/>
    <w:rsid w:val="002F1257"/>
    <w:rsid w:val="00301373"/>
    <w:rsid w:val="00310C61"/>
    <w:rsid w:val="0031279F"/>
    <w:rsid w:val="003171B3"/>
    <w:rsid w:val="00325415"/>
    <w:rsid w:val="0032559D"/>
    <w:rsid w:val="00344575"/>
    <w:rsid w:val="00344B2C"/>
    <w:rsid w:val="0035113C"/>
    <w:rsid w:val="00354525"/>
    <w:rsid w:val="00362CA2"/>
    <w:rsid w:val="00380CC4"/>
    <w:rsid w:val="00386BFA"/>
    <w:rsid w:val="00387284"/>
    <w:rsid w:val="003927BC"/>
    <w:rsid w:val="00396293"/>
    <w:rsid w:val="003975D4"/>
    <w:rsid w:val="003A0B6A"/>
    <w:rsid w:val="003A420D"/>
    <w:rsid w:val="003B494A"/>
    <w:rsid w:val="003C0686"/>
    <w:rsid w:val="003D08CF"/>
    <w:rsid w:val="003D0CBA"/>
    <w:rsid w:val="003D0F6A"/>
    <w:rsid w:val="003D4BA8"/>
    <w:rsid w:val="003E204C"/>
    <w:rsid w:val="003E5269"/>
    <w:rsid w:val="003F67F8"/>
    <w:rsid w:val="00405394"/>
    <w:rsid w:val="004066E4"/>
    <w:rsid w:val="0040680B"/>
    <w:rsid w:val="00407361"/>
    <w:rsid w:val="00415E04"/>
    <w:rsid w:val="0041638F"/>
    <w:rsid w:val="00417C55"/>
    <w:rsid w:val="00424A7B"/>
    <w:rsid w:val="00431D8C"/>
    <w:rsid w:val="00436B7C"/>
    <w:rsid w:val="00441E58"/>
    <w:rsid w:val="004447C1"/>
    <w:rsid w:val="00446D80"/>
    <w:rsid w:val="004514D1"/>
    <w:rsid w:val="0046211F"/>
    <w:rsid w:val="0046787B"/>
    <w:rsid w:val="00486653"/>
    <w:rsid w:val="004A5FDA"/>
    <w:rsid w:val="004D098C"/>
    <w:rsid w:val="004D1535"/>
    <w:rsid w:val="004D24A9"/>
    <w:rsid w:val="004E1D1D"/>
    <w:rsid w:val="004E5357"/>
    <w:rsid w:val="004E71A7"/>
    <w:rsid w:val="004F4A07"/>
    <w:rsid w:val="004F5EB1"/>
    <w:rsid w:val="004F6887"/>
    <w:rsid w:val="005030AD"/>
    <w:rsid w:val="0051249C"/>
    <w:rsid w:val="005176E7"/>
    <w:rsid w:val="00520330"/>
    <w:rsid w:val="00524B6B"/>
    <w:rsid w:val="005413EE"/>
    <w:rsid w:val="005470E1"/>
    <w:rsid w:val="00553EB0"/>
    <w:rsid w:val="00571227"/>
    <w:rsid w:val="0058058B"/>
    <w:rsid w:val="00587443"/>
    <w:rsid w:val="00587C50"/>
    <w:rsid w:val="00590D88"/>
    <w:rsid w:val="005917F3"/>
    <w:rsid w:val="005B0ACD"/>
    <w:rsid w:val="005B50A2"/>
    <w:rsid w:val="005B5B08"/>
    <w:rsid w:val="005C3199"/>
    <w:rsid w:val="005C3408"/>
    <w:rsid w:val="005D10A3"/>
    <w:rsid w:val="005D611B"/>
    <w:rsid w:val="005E0AB9"/>
    <w:rsid w:val="005E5435"/>
    <w:rsid w:val="005F1ACE"/>
    <w:rsid w:val="005F256D"/>
    <w:rsid w:val="005F7B51"/>
    <w:rsid w:val="0060183A"/>
    <w:rsid w:val="00603110"/>
    <w:rsid w:val="0060331D"/>
    <w:rsid w:val="00611C8E"/>
    <w:rsid w:val="006175F9"/>
    <w:rsid w:val="006235B3"/>
    <w:rsid w:val="00624D43"/>
    <w:rsid w:val="006271E8"/>
    <w:rsid w:val="00631F30"/>
    <w:rsid w:val="00634E2B"/>
    <w:rsid w:val="00642420"/>
    <w:rsid w:val="00646158"/>
    <w:rsid w:val="006570CE"/>
    <w:rsid w:val="0066035F"/>
    <w:rsid w:val="0066622C"/>
    <w:rsid w:val="00666487"/>
    <w:rsid w:val="00673B37"/>
    <w:rsid w:val="0068529A"/>
    <w:rsid w:val="006945EA"/>
    <w:rsid w:val="006A6379"/>
    <w:rsid w:val="006B5470"/>
    <w:rsid w:val="006C7205"/>
    <w:rsid w:val="006D0138"/>
    <w:rsid w:val="006D1010"/>
    <w:rsid w:val="006D6F52"/>
    <w:rsid w:val="006E69C5"/>
    <w:rsid w:val="006F19AD"/>
    <w:rsid w:val="006F2129"/>
    <w:rsid w:val="00701718"/>
    <w:rsid w:val="007042DE"/>
    <w:rsid w:val="00710359"/>
    <w:rsid w:val="00712FFF"/>
    <w:rsid w:val="00717F55"/>
    <w:rsid w:val="00722DBF"/>
    <w:rsid w:val="00735157"/>
    <w:rsid w:val="007373E3"/>
    <w:rsid w:val="00743DAC"/>
    <w:rsid w:val="00750251"/>
    <w:rsid w:val="007515E8"/>
    <w:rsid w:val="00770604"/>
    <w:rsid w:val="00772C4F"/>
    <w:rsid w:val="007738BD"/>
    <w:rsid w:val="00775490"/>
    <w:rsid w:val="0078137B"/>
    <w:rsid w:val="00784196"/>
    <w:rsid w:val="007873E7"/>
    <w:rsid w:val="00795674"/>
    <w:rsid w:val="00795D0C"/>
    <w:rsid w:val="007A5255"/>
    <w:rsid w:val="007A55BA"/>
    <w:rsid w:val="007A6FB2"/>
    <w:rsid w:val="007C1FBD"/>
    <w:rsid w:val="007C7766"/>
    <w:rsid w:val="007D3C00"/>
    <w:rsid w:val="007E22F5"/>
    <w:rsid w:val="007E7D6E"/>
    <w:rsid w:val="007F25F3"/>
    <w:rsid w:val="007F4901"/>
    <w:rsid w:val="008105AE"/>
    <w:rsid w:val="00830561"/>
    <w:rsid w:val="00836B02"/>
    <w:rsid w:val="0084042F"/>
    <w:rsid w:val="00844535"/>
    <w:rsid w:val="008467D4"/>
    <w:rsid w:val="00850FB0"/>
    <w:rsid w:val="0085238E"/>
    <w:rsid w:val="008540EA"/>
    <w:rsid w:val="00862A7E"/>
    <w:rsid w:val="00866A00"/>
    <w:rsid w:val="008702A6"/>
    <w:rsid w:val="008757CE"/>
    <w:rsid w:val="00875A62"/>
    <w:rsid w:val="0088392C"/>
    <w:rsid w:val="00885B51"/>
    <w:rsid w:val="00897C0E"/>
    <w:rsid w:val="00897E31"/>
    <w:rsid w:val="008A046F"/>
    <w:rsid w:val="008A1C27"/>
    <w:rsid w:val="008A3325"/>
    <w:rsid w:val="008A405A"/>
    <w:rsid w:val="008A6A6A"/>
    <w:rsid w:val="008A7D72"/>
    <w:rsid w:val="008B0433"/>
    <w:rsid w:val="008B650A"/>
    <w:rsid w:val="008B787C"/>
    <w:rsid w:val="008C3898"/>
    <w:rsid w:val="008C66CC"/>
    <w:rsid w:val="008D02C6"/>
    <w:rsid w:val="008D32AA"/>
    <w:rsid w:val="008F483C"/>
    <w:rsid w:val="00903720"/>
    <w:rsid w:val="00912A0E"/>
    <w:rsid w:val="00912D61"/>
    <w:rsid w:val="00923362"/>
    <w:rsid w:val="00923DC5"/>
    <w:rsid w:val="009322D7"/>
    <w:rsid w:val="00932BDE"/>
    <w:rsid w:val="00932BFB"/>
    <w:rsid w:val="00934B6D"/>
    <w:rsid w:val="00934E26"/>
    <w:rsid w:val="0093534D"/>
    <w:rsid w:val="0095161C"/>
    <w:rsid w:val="00967725"/>
    <w:rsid w:val="00973EDD"/>
    <w:rsid w:val="00977B93"/>
    <w:rsid w:val="00980F56"/>
    <w:rsid w:val="009902F8"/>
    <w:rsid w:val="00991828"/>
    <w:rsid w:val="00993BB8"/>
    <w:rsid w:val="0099555F"/>
    <w:rsid w:val="00997D23"/>
    <w:rsid w:val="009A00E7"/>
    <w:rsid w:val="009A22A1"/>
    <w:rsid w:val="009B022F"/>
    <w:rsid w:val="009B3A1B"/>
    <w:rsid w:val="009B6332"/>
    <w:rsid w:val="009C0912"/>
    <w:rsid w:val="009D6694"/>
    <w:rsid w:val="009F0300"/>
    <w:rsid w:val="009F0B2A"/>
    <w:rsid w:val="009F5C1A"/>
    <w:rsid w:val="00A03F18"/>
    <w:rsid w:val="00A04CA0"/>
    <w:rsid w:val="00A15E14"/>
    <w:rsid w:val="00A167A8"/>
    <w:rsid w:val="00A21F0A"/>
    <w:rsid w:val="00A26011"/>
    <w:rsid w:val="00A4385D"/>
    <w:rsid w:val="00A469B4"/>
    <w:rsid w:val="00A506C2"/>
    <w:rsid w:val="00A52A4A"/>
    <w:rsid w:val="00A62886"/>
    <w:rsid w:val="00A716D1"/>
    <w:rsid w:val="00A7371A"/>
    <w:rsid w:val="00A74C38"/>
    <w:rsid w:val="00A77D24"/>
    <w:rsid w:val="00A8572F"/>
    <w:rsid w:val="00A90565"/>
    <w:rsid w:val="00A93E07"/>
    <w:rsid w:val="00A979CF"/>
    <w:rsid w:val="00AA0CA8"/>
    <w:rsid w:val="00AA4DF8"/>
    <w:rsid w:val="00AA5ACC"/>
    <w:rsid w:val="00AA7B9E"/>
    <w:rsid w:val="00AB780C"/>
    <w:rsid w:val="00AD2286"/>
    <w:rsid w:val="00AD5ADE"/>
    <w:rsid w:val="00AD7194"/>
    <w:rsid w:val="00AE0284"/>
    <w:rsid w:val="00AE15E0"/>
    <w:rsid w:val="00AE7138"/>
    <w:rsid w:val="00AF4CAF"/>
    <w:rsid w:val="00AF5F49"/>
    <w:rsid w:val="00B117BA"/>
    <w:rsid w:val="00B20D87"/>
    <w:rsid w:val="00B413DC"/>
    <w:rsid w:val="00B41B01"/>
    <w:rsid w:val="00B5074B"/>
    <w:rsid w:val="00B51F15"/>
    <w:rsid w:val="00B5775B"/>
    <w:rsid w:val="00B578AC"/>
    <w:rsid w:val="00B579F1"/>
    <w:rsid w:val="00B6433F"/>
    <w:rsid w:val="00B64CF5"/>
    <w:rsid w:val="00B7654C"/>
    <w:rsid w:val="00B76C9B"/>
    <w:rsid w:val="00B823A1"/>
    <w:rsid w:val="00B8428B"/>
    <w:rsid w:val="00B87EBE"/>
    <w:rsid w:val="00B943AB"/>
    <w:rsid w:val="00BA41F5"/>
    <w:rsid w:val="00BA713B"/>
    <w:rsid w:val="00BB1CCF"/>
    <w:rsid w:val="00BB3C9C"/>
    <w:rsid w:val="00BD31D8"/>
    <w:rsid w:val="00BE2DE1"/>
    <w:rsid w:val="00BF4822"/>
    <w:rsid w:val="00BF4CF3"/>
    <w:rsid w:val="00C01D22"/>
    <w:rsid w:val="00C01E4F"/>
    <w:rsid w:val="00C04979"/>
    <w:rsid w:val="00C104B6"/>
    <w:rsid w:val="00C10F02"/>
    <w:rsid w:val="00C114F4"/>
    <w:rsid w:val="00C11D03"/>
    <w:rsid w:val="00C14C49"/>
    <w:rsid w:val="00C30D54"/>
    <w:rsid w:val="00C31665"/>
    <w:rsid w:val="00C31967"/>
    <w:rsid w:val="00C31BB1"/>
    <w:rsid w:val="00C346AD"/>
    <w:rsid w:val="00C371DE"/>
    <w:rsid w:val="00C409AE"/>
    <w:rsid w:val="00C42D50"/>
    <w:rsid w:val="00C54DF8"/>
    <w:rsid w:val="00C60B49"/>
    <w:rsid w:val="00C7440A"/>
    <w:rsid w:val="00C764A7"/>
    <w:rsid w:val="00C865ED"/>
    <w:rsid w:val="00C8775A"/>
    <w:rsid w:val="00C96197"/>
    <w:rsid w:val="00CA0877"/>
    <w:rsid w:val="00CA4925"/>
    <w:rsid w:val="00CA6B59"/>
    <w:rsid w:val="00CA7D31"/>
    <w:rsid w:val="00CB3B6C"/>
    <w:rsid w:val="00CC1833"/>
    <w:rsid w:val="00CC189F"/>
    <w:rsid w:val="00CC3368"/>
    <w:rsid w:val="00CC5A40"/>
    <w:rsid w:val="00CC7606"/>
    <w:rsid w:val="00CE2630"/>
    <w:rsid w:val="00CF19C4"/>
    <w:rsid w:val="00D13C04"/>
    <w:rsid w:val="00D13E64"/>
    <w:rsid w:val="00D201F8"/>
    <w:rsid w:val="00D20A78"/>
    <w:rsid w:val="00D278BA"/>
    <w:rsid w:val="00D31C10"/>
    <w:rsid w:val="00D40454"/>
    <w:rsid w:val="00D4059C"/>
    <w:rsid w:val="00D428B9"/>
    <w:rsid w:val="00D44193"/>
    <w:rsid w:val="00D447B5"/>
    <w:rsid w:val="00D5073A"/>
    <w:rsid w:val="00D53D8F"/>
    <w:rsid w:val="00D61C76"/>
    <w:rsid w:val="00D7508E"/>
    <w:rsid w:val="00D77015"/>
    <w:rsid w:val="00D80548"/>
    <w:rsid w:val="00D839D3"/>
    <w:rsid w:val="00D92B48"/>
    <w:rsid w:val="00D97204"/>
    <w:rsid w:val="00DA4BA5"/>
    <w:rsid w:val="00DB07C5"/>
    <w:rsid w:val="00DB1693"/>
    <w:rsid w:val="00DB596A"/>
    <w:rsid w:val="00DB6DAF"/>
    <w:rsid w:val="00DC2F18"/>
    <w:rsid w:val="00DD5B07"/>
    <w:rsid w:val="00DD752C"/>
    <w:rsid w:val="00DE6821"/>
    <w:rsid w:val="00DF1828"/>
    <w:rsid w:val="00DF2022"/>
    <w:rsid w:val="00DF34BE"/>
    <w:rsid w:val="00DF4FED"/>
    <w:rsid w:val="00DF5D59"/>
    <w:rsid w:val="00E01CA5"/>
    <w:rsid w:val="00E05A75"/>
    <w:rsid w:val="00E239E4"/>
    <w:rsid w:val="00E2415F"/>
    <w:rsid w:val="00E253B7"/>
    <w:rsid w:val="00E26F2D"/>
    <w:rsid w:val="00E333A8"/>
    <w:rsid w:val="00E36A38"/>
    <w:rsid w:val="00E473FE"/>
    <w:rsid w:val="00E53399"/>
    <w:rsid w:val="00E626AE"/>
    <w:rsid w:val="00E67565"/>
    <w:rsid w:val="00E71179"/>
    <w:rsid w:val="00E77995"/>
    <w:rsid w:val="00E8039F"/>
    <w:rsid w:val="00E87099"/>
    <w:rsid w:val="00EA28E6"/>
    <w:rsid w:val="00EB25E7"/>
    <w:rsid w:val="00EB489C"/>
    <w:rsid w:val="00EC770F"/>
    <w:rsid w:val="00EE1CF4"/>
    <w:rsid w:val="00EF4D82"/>
    <w:rsid w:val="00EF78C4"/>
    <w:rsid w:val="00F04CD7"/>
    <w:rsid w:val="00F11375"/>
    <w:rsid w:val="00F16DFF"/>
    <w:rsid w:val="00F221AA"/>
    <w:rsid w:val="00F23C3F"/>
    <w:rsid w:val="00F23E15"/>
    <w:rsid w:val="00F24287"/>
    <w:rsid w:val="00F244A2"/>
    <w:rsid w:val="00F246AF"/>
    <w:rsid w:val="00F35064"/>
    <w:rsid w:val="00F374D8"/>
    <w:rsid w:val="00F40FA3"/>
    <w:rsid w:val="00F42F6E"/>
    <w:rsid w:val="00F43C78"/>
    <w:rsid w:val="00F566D4"/>
    <w:rsid w:val="00F5684D"/>
    <w:rsid w:val="00F57AB6"/>
    <w:rsid w:val="00F6480F"/>
    <w:rsid w:val="00F6701B"/>
    <w:rsid w:val="00F86713"/>
    <w:rsid w:val="00F919D0"/>
    <w:rsid w:val="00F932E0"/>
    <w:rsid w:val="00FB7701"/>
    <w:rsid w:val="00FC24F9"/>
    <w:rsid w:val="00FC40F0"/>
    <w:rsid w:val="00FC6467"/>
    <w:rsid w:val="00FC6D3B"/>
    <w:rsid w:val="00FD0129"/>
    <w:rsid w:val="00FD212F"/>
    <w:rsid w:val="00FE17ED"/>
    <w:rsid w:val="00FE238E"/>
    <w:rsid w:val="00FE2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BB1CCF"/>
    <w:rPr>
      <w:sz w:val="24"/>
    </w:rPr>
  </w:style>
  <w:style w:type="character" w:styleId="Strong">
    <w:name w:val="Strong"/>
    <w:uiPriority w:val="22"/>
    <w:qFormat/>
    <w:rsid w:val="00EB25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BB1CCF"/>
    <w:rPr>
      <w:sz w:val="24"/>
    </w:rPr>
  </w:style>
  <w:style w:type="character" w:styleId="Strong">
    <w:name w:val="Strong"/>
    <w:uiPriority w:val="22"/>
    <w:qFormat/>
    <w:rsid w:val="00EB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423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364819095">
      <w:bodyDiv w:val="1"/>
      <w:marLeft w:val="0"/>
      <w:marRight w:val="0"/>
      <w:marTop w:val="0"/>
      <w:marBottom w:val="0"/>
      <w:divBdr>
        <w:top w:val="none" w:sz="0" w:space="0" w:color="auto"/>
        <w:left w:val="none" w:sz="0" w:space="0" w:color="auto"/>
        <w:bottom w:val="none" w:sz="0" w:space="0" w:color="auto"/>
        <w:right w:val="none" w:sz="0" w:space="0" w:color="auto"/>
      </w:divBdr>
    </w:div>
    <w:div w:id="204579279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1ACA0D-5F6A-45DF-84E1-B7024AFB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7039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Economou, Renee</cp:lastModifiedBy>
  <cp:revision>2</cp:revision>
  <cp:lastPrinted>2017-04-06T00:01:00Z</cp:lastPrinted>
  <dcterms:created xsi:type="dcterms:W3CDTF">2017-04-11T06:30:00Z</dcterms:created>
  <dcterms:modified xsi:type="dcterms:W3CDTF">2017-04-11T06:30:00Z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-670825773</vt:i4>
  </property>
</Properties>
</file>