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3BF" w:rsidRDefault="007D63BF" w:rsidP="007D63BF">
      <w:pPr>
        <w:pStyle w:val="Title"/>
      </w:pPr>
      <w:r>
        <w:t>EXPLANATORY STATEMENT</w:t>
      </w:r>
    </w:p>
    <w:p w:rsidR="007D63BF" w:rsidRDefault="007D63BF" w:rsidP="007D63BF">
      <w:pPr>
        <w:pStyle w:val="Title"/>
      </w:pPr>
    </w:p>
    <w:p w:rsidR="007D63BF" w:rsidRPr="007D7046" w:rsidRDefault="007D63BF" w:rsidP="007D63BF">
      <w:pPr>
        <w:jc w:val="center"/>
        <w:rPr>
          <w:b/>
          <w:bCs/>
          <w:highlight w:val="yellow"/>
        </w:rPr>
      </w:pPr>
    </w:p>
    <w:p w:rsidR="007D63BF" w:rsidRDefault="007D63BF" w:rsidP="007D63BF">
      <w:pPr>
        <w:jc w:val="center"/>
      </w:pPr>
      <w:r w:rsidRPr="00AC4A83">
        <w:t>Issued by the Autho</w:t>
      </w:r>
      <w:r w:rsidR="00723CA7">
        <w:t>rity of the Minister for Health</w:t>
      </w:r>
    </w:p>
    <w:p w:rsidR="00A8461C" w:rsidRDefault="00A8461C" w:rsidP="007D63BF">
      <w:pPr>
        <w:jc w:val="center"/>
      </w:pPr>
    </w:p>
    <w:p w:rsidR="007D63BF" w:rsidRPr="00A8461C" w:rsidRDefault="00A8461C" w:rsidP="007D63BF">
      <w:pPr>
        <w:jc w:val="center"/>
        <w:rPr>
          <w:i/>
        </w:rPr>
      </w:pPr>
      <w:r w:rsidRPr="00A8461C">
        <w:rPr>
          <w:i/>
        </w:rPr>
        <w:t>Private Health Insurance Act 2007</w:t>
      </w:r>
    </w:p>
    <w:p w:rsidR="00336B84" w:rsidRDefault="00336B84" w:rsidP="007D63BF">
      <w:pPr>
        <w:jc w:val="center"/>
        <w:rPr>
          <w:i/>
        </w:rPr>
      </w:pPr>
    </w:p>
    <w:p w:rsidR="00336B84" w:rsidRPr="00A8461C" w:rsidRDefault="007D63BF" w:rsidP="00C113D6">
      <w:pPr>
        <w:jc w:val="center"/>
        <w:rPr>
          <w:i/>
        </w:rPr>
      </w:pPr>
      <w:r w:rsidRPr="00A8461C">
        <w:rPr>
          <w:i/>
        </w:rPr>
        <w:t>P</w:t>
      </w:r>
      <w:r w:rsidR="008E707F" w:rsidRPr="00A8461C">
        <w:rPr>
          <w:i/>
        </w:rPr>
        <w:t>rivate Health Insurance</w:t>
      </w:r>
      <w:r w:rsidR="007C0A8F" w:rsidRPr="00A8461C">
        <w:rPr>
          <w:i/>
        </w:rPr>
        <w:t xml:space="preserve"> </w:t>
      </w:r>
      <w:r w:rsidR="00336B84" w:rsidRPr="00A8461C">
        <w:rPr>
          <w:i/>
        </w:rPr>
        <w:t>(Lifetime Health Cover) Rules 20</w:t>
      </w:r>
      <w:r w:rsidR="00723CA7">
        <w:rPr>
          <w:i/>
        </w:rPr>
        <w:t>1</w:t>
      </w:r>
      <w:r w:rsidR="00336B84" w:rsidRPr="00A8461C">
        <w:rPr>
          <w:i/>
        </w:rPr>
        <w:t>7</w:t>
      </w:r>
    </w:p>
    <w:p w:rsidR="00336B84" w:rsidRPr="003B1AD2" w:rsidRDefault="00336B84" w:rsidP="0058159B"/>
    <w:p w:rsidR="00195A72" w:rsidRPr="00195A72" w:rsidRDefault="00195A72" w:rsidP="0097227D">
      <w:pPr>
        <w:pStyle w:val="Subtitle"/>
      </w:pPr>
      <w:r w:rsidRPr="00195A72">
        <w:t>Authority</w:t>
      </w:r>
    </w:p>
    <w:p w:rsidR="0097227D" w:rsidRDefault="00655FFE" w:rsidP="0097227D">
      <w:pPr>
        <w:pStyle w:val="Subtitle"/>
        <w:rPr>
          <w:u w:val="none"/>
        </w:rPr>
      </w:pPr>
      <w:r w:rsidRPr="003B1AD2">
        <w:rPr>
          <w:u w:val="none"/>
        </w:rPr>
        <w:t xml:space="preserve">Section </w:t>
      </w:r>
      <w:r w:rsidR="00F57AE8" w:rsidRPr="003B1AD2">
        <w:rPr>
          <w:u w:val="none"/>
        </w:rPr>
        <w:t>333-20</w:t>
      </w:r>
      <w:r w:rsidRPr="003B1AD2">
        <w:rPr>
          <w:u w:val="none"/>
        </w:rPr>
        <w:t xml:space="preserve"> of the </w:t>
      </w:r>
      <w:r w:rsidRPr="003B1AD2">
        <w:rPr>
          <w:i/>
          <w:u w:val="none"/>
        </w:rPr>
        <w:t>P</w:t>
      </w:r>
      <w:r w:rsidR="00F57AE8" w:rsidRPr="003B1AD2">
        <w:rPr>
          <w:i/>
          <w:u w:val="none"/>
        </w:rPr>
        <w:t>rivate Health Insurance Act 2007</w:t>
      </w:r>
      <w:r w:rsidRPr="003B1AD2">
        <w:rPr>
          <w:i/>
          <w:u w:val="none"/>
        </w:rPr>
        <w:t xml:space="preserve"> </w:t>
      </w:r>
      <w:r w:rsidRPr="00953B39">
        <w:rPr>
          <w:u w:val="none"/>
        </w:rPr>
        <w:t>(the Act)</w:t>
      </w:r>
      <w:r w:rsidR="002529D9" w:rsidRPr="003B1AD2">
        <w:rPr>
          <w:i/>
          <w:u w:val="none"/>
        </w:rPr>
        <w:t xml:space="preserve"> </w:t>
      </w:r>
      <w:r w:rsidR="002529D9" w:rsidRPr="003B1AD2">
        <w:rPr>
          <w:u w:val="none"/>
        </w:rPr>
        <w:t>pr</w:t>
      </w:r>
      <w:r w:rsidRPr="003B1AD2">
        <w:rPr>
          <w:u w:val="none"/>
        </w:rPr>
        <w:t>ovides that the Ministe</w:t>
      </w:r>
      <w:r w:rsidR="002201CE" w:rsidRPr="003B1AD2">
        <w:rPr>
          <w:u w:val="none"/>
        </w:rPr>
        <w:t xml:space="preserve">r may make </w:t>
      </w:r>
      <w:r w:rsidR="009D1487" w:rsidRPr="00953B39">
        <w:rPr>
          <w:i/>
          <w:u w:val="none"/>
        </w:rPr>
        <w:t>Private Health Insurance (Lifetime Health Cover) Rules</w:t>
      </w:r>
      <w:r w:rsidR="009D1487">
        <w:rPr>
          <w:u w:val="none"/>
        </w:rPr>
        <w:t xml:space="preserve"> (the R</w:t>
      </w:r>
      <w:r w:rsidR="002201CE" w:rsidRPr="003B1AD2">
        <w:rPr>
          <w:u w:val="none"/>
        </w:rPr>
        <w:t>ules</w:t>
      </w:r>
      <w:r w:rsidR="009D1487">
        <w:rPr>
          <w:u w:val="none"/>
        </w:rPr>
        <w:t>)</w:t>
      </w:r>
      <w:r w:rsidR="002201CE" w:rsidRPr="003B1AD2">
        <w:rPr>
          <w:u w:val="none"/>
        </w:rPr>
        <w:t xml:space="preserve"> providing for </w:t>
      </w:r>
      <w:r w:rsidRPr="003B1AD2">
        <w:rPr>
          <w:u w:val="none"/>
        </w:rPr>
        <w:t xml:space="preserve">matters required or permitted by </w:t>
      </w:r>
      <w:r w:rsidR="009D1487">
        <w:rPr>
          <w:u w:val="none"/>
        </w:rPr>
        <w:t>Part 2-3</w:t>
      </w:r>
      <w:r w:rsidRPr="003B1AD2">
        <w:rPr>
          <w:u w:val="none"/>
        </w:rPr>
        <w:t xml:space="preserve"> of the Act</w:t>
      </w:r>
      <w:r w:rsidR="009D1487">
        <w:rPr>
          <w:u w:val="none"/>
        </w:rPr>
        <w:t>,</w:t>
      </w:r>
      <w:r w:rsidRPr="003B1AD2">
        <w:rPr>
          <w:u w:val="none"/>
        </w:rPr>
        <w:t xml:space="preserve"> or necessary or convenient in order to carry out or give effect to </w:t>
      </w:r>
      <w:r w:rsidR="009D1487">
        <w:rPr>
          <w:u w:val="none"/>
        </w:rPr>
        <w:t>Part 2-3 of the Act</w:t>
      </w:r>
      <w:r w:rsidRPr="003B1AD2">
        <w:rPr>
          <w:u w:val="none"/>
        </w:rPr>
        <w:t>.</w:t>
      </w:r>
    </w:p>
    <w:p w:rsidR="00D25076" w:rsidRDefault="00D25076" w:rsidP="0097227D">
      <w:pPr>
        <w:pStyle w:val="Subtitle"/>
        <w:rPr>
          <w:u w:val="none"/>
        </w:rPr>
      </w:pPr>
    </w:p>
    <w:p w:rsidR="00195A72" w:rsidRPr="00195A72" w:rsidRDefault="00195A72" w:rsidP="0097227D">
      <w:pPr>
        <w:pStyle w:val="Subtitle"/>
      </w:pPr>
      <w:r>
        <w:t>Purpose</w:t>
      </w:r>
    </w:p>
    <w:p w:rsidR="00806DBC" w:rsidRDefault="00806DBC" w:rsidP="00806DBC">
      <w:r>
        <w:rPr>
          <w:szCs w:val="24"/>
        </w:rPr>
        <w:t xml:space="preserve">Part </w:t>
      </w:r>
      <w:r w:rsidRPr="00D33535">
        <w:rPr>
          <w:szCs w:val="24"/>
        </w:rPr>
        <w:t>2</w:t>
      </w:r>
      <w:r>
        <w:rPr>
          <w:szCs w:val="24"/>
        </w:rPr>
        <w:t xml:space="preserve">-3 of the Act relates to </w:t>
      </w:r>
      <w:r w:rsidRPr="00D33535">
        <w:rPr>
          <w:szCs w:val="24"/>
        </w:rPr>
        <w:t>Lifetime Health Cover. Under Lifetime Health C</w:t>
      </w:r>
      <w:r>
        <w:rPr>
          <w:szCs w:val="24"/>
        </w:rPr>
        <w:t xml:space="preserve">over, private health insurers </w:t>
      </w:r>
      <w:r w:rsidRPr="00D33535">
        <w:rPr>
          <w:szCs w:val="24"/>
        </w:rPr>
        <w:t>are able to set different premiums depending on the age when a</w:t>
      </w:r>
      <w:r>
        <w:rPr>
          <w:szCs w:val="24"/>
        </w:rPr>
        <w:t>n insured person</w:t>
      </w:r>
      <w:r w:rsidRPr="00D33535">
        <w:rPr>
          <w:szCs w:val="24"/>
        </w:rPr>
        <w:t xml:space="preserve"> first takes ou</w:t>
      </w:r>
      <w:r>
        <w:rPr>
          <w:szCs w:val="24"/>
        </w:rPr>
        <w:t xml:space="preserve">t hospital cover with a private health insurer.  </w:t>
      </w:r>
      <w:r>
        <w:t xml:space="preserve">People are encouraged to take out hospital cover </w:t>
      </w:r>
      <w:bookmarkStart w:id="0" w:name="OLE_LINK1"/>
      <w:r>
        <w:t>by the 1 July following their 31</w:t>
      </w:r>
      <w:r w:rsidRPr="00FA77B0">
        <w:rPr>
          <w:vertAlign w:val="superscript"/>
        </w:rPr>
        <w:t>st</w:t>
      </w:r>
      <w:r>
        <w:t xml:space="preserve"> birthday.  </w:t>
      </w:r>
      <w:bookmarkEnd w:id="0"/>
      <w:r>
        <w:t>The Act sets out the rate for increases in premiums for people who do not take out private health cover before that time.  These Rules do not introduce new requirements.</w:t>
      </w:r>
    </w:p>
    <w:p w:rsidR="00806DBC" w:rsidRPr="00953B39" w:rsidRDefault="00806DBC" w:rsidP="00806DBC">
      <w:pPr>
        <w:rPr>
          <w:szCs w:val="24"/>
        </w:rPr>
      </w:pPr>
    </w:p>
    <w:p w:rsidR="007D05A8" w:rsidRDefault="007D05A8" w:rsidP="0097227D">
      <w:pPr>
        <w:pStyle w:val="Subtitle"/>
        <w:rPr>
          <w:u w:val="none"/>
        </w:rPr>
      </w:pPr>
      <w:r w:rsidRPr="007D05A8">
        <w:rPr>
          <w:u w:val="none"/>
        </w:rPr>
        <w:t>The Rules set out administrative matters relating to lifetime health cover, such as the categories of people who are taken to have hospital cover and the provision for suspension of hospital cover.  The Rules set out the notification of information requirements for adult insured persons, adults who apply for hospital cover, and information given by one private health insurer to another.  The Rules also provide for the kinds of conclusive evidence of hospital cover or age. </w:t>
      </w:r>
    </w:p>
    <w:p w:rsidR="007D05A8" w:rsidRPr="007D05A8" w:rsidRDefault="007D05A8" w:rsidP="0097227D">
      <w:pPr>
        <w:pStyle w:val="Subtitle"/>
        <w:rPr>
          <w:u w:val="none"/>
        </w:rPr>
      </w:pPr>
    </w:p>
    <w:p w:rsidR="007D05A8" w:rsidRDefault="007D05A8" w:rsidP="007D05A8">
      <w:pPr>
        <w:pStyle w:val="Subtitle"/>
        <w:rPr>
          <w:u w:val="none"/>
        </w:rPr>
      </w:pPr>
      <w:r w:rsidRPr="00EC0D9D">
        <w:rPr>
          <w:u w:val="none"/>
        </w:rPr>
        <w:t xml:space="preserve">The creation of the </w:t>
      </w:r>
      <w:r w:rsidRPr="00EC0D9D">
        <w:rPr>
          <w:i/>
          <w:u w:val="none"/>
        </w:rPr>
        <w:t xml:space="preserve">Private Health Insurance (Lifetime Health Cover) Rules 2017 </w:t>
      </w:r>
      <w:r w:rsidRPr="00EC0D9D">
        <w:rPr>
          <w:u w:val="none"/>
        </w:rPr>
        <w:t xml:space="preserve">repeals and remakes the </w:t>
      </w:r>
      <w:r w:rsidRPr="00EC0D9D">
        <w:rPr>
          <w:i/>
          <w:u w:val="none"/>
        </w:rPr>
        <w:t xml:space="preserve">Private Health Insurance (Lifetime Health Cover) Rules 2007 </w:t>
      </w:r>
      <w:r w:rsidRPr="00EC0D9D">
        <w:rPr>
          <w:u w:val="none"/>
        </w:rPr>
        <w:t xml:space="preserve">which is due to sunset on 1 April 2017. </w:t>
      </w:r>
    </w:p>
    <w:p w:rsidR="00F844FE" w:rsidRDefault="00F844FE" w:rsidP="0097227D">
      <w:pPr>
        <w:rPr>
          <w:szCs w:val="24"/>
        </w:rPr>
      </w:pPr>
    </w:p>
    <w:p w:rsidR="005911D7" w:rsidRDefault="00B9515D" w:rsidP="0097227D">
      <w:pPr>
        <w:rPr>
          <w:bCs/>
        </w:rPr>
      </w:pPr>
      <w:r>
        <w:rPr>
          <w:bCs/>
        </w:rPr>
        <w:t>The Act does not specify an</w:t>
      </w:r>
      <w:r w:rsidR="005911D7">
        <w:rPr>
          <w:bCs/>
        </w:rPr>
        <w:t>y conditions</w:t>
      </w:r>
      <w:r>
        <w:rPr>
          <w:bCs/>
        </w:rPr>
        <w:t xml:space="preserve"> that need to be met before the power to make the Rules may be exercised.</w:t>
      </w:r>
    </w:p>
    <w:p w:rsidR="00436CF6" w:rsidRDefault="00436CF6" w:rsidP="0097227D">
      <w:pPr>
        <w:rPr>
          <w:bCs/>
        </w:rPr>
      </w:pPr>
    </w:p>
    <w:p w:rsidR="005A03EE" w:rsidRDefault="005A03EE" w:rsidP="005A03EE">
      <w:pPr>
        <w:rPr>
          <w:u w:val="single"/>
        </w:rPr>
      </w:pPr>
      <w:r w:rsidRPr="001A053F">
        <w:rPr>
          <w:u w:val="single"/>
        </w:rPr>
        <w:t>Details</w:t>
      </w:r>
    </w:p>
    <w:p w:rsidR="00912875" w:rsidRDefault="00912875" w:rsidP="00912875">
      <w:r>
        <w:rPr>
          <w:bCs/>
        </w:rPr>
        <w:t xml:space="preserve">Details of the Rules are set out in the </w:t>
      </w:r>
      <w:r w:rsidRPr="005A03EE">
        <w:rPr>
          <w:b/>
          <w:bCs/>
        </w:rPr>
        <w:t>Attachment</w:t>
      </w:r>
      <w:r w:rsidRPr="005A03EE">
        <w:rPr>
          <w:bCs/>
        </w:rPr>
        <w:t>.</w:t>
      </w:r>
    </w:p>
    <w:p w:rsidR="00436CF6" w:rsidRDefault="00436CF6" w:rsidP="0097227D">
      <w:pPr>
        <w:rPr>
          <w:bCs/>
        </w:rPr>
      </w:pPr>
    </w:p>
    <w:p w:rsidR="00436CF6" w:rsidRPr="00436CF6" w:rsidRDefault="00436CF6" w:rsidP="0097227D">
      <w:pPr>
        <w:rPr>
          <w:u w:val="single"/>
        </w:rPr>
      </w:pPr>
      <w:r w:rsidRPr="00436CF6">
        <w:rPr>
          <w:u w:val="single"/>
        </w:rPr>
        <w:t>Consultation</w:t>
      </w:r>
    </w:p>
    <w:p w:rsidR="00F8675C" w:rsidRDefault="00F8675C" w:rsidP="00F8675C">
      <w:r>
        <w:t xml:space="preserve">These Rules are made as a result of the sunsetting of the previous Rules </w:t>
      </w:r>
      <w:r w:rsidR="000B4EC1">
        <w:t>on 1 April 2017.  The assessment that the regulation is operating effectively and efficiently was been informed by a consultation process which involved subject matter experts in the Private Health Insurance Branch, Department of Health over the period of 2 March 2017 to 15 March 2017. The assessment supported the remaking of the previous Rules</w:t>
      </w:r>
      <w:r>
        <w:t xml:space="preserve"> in </w:t>
      </w:r>
      <w:r w:rsidR="000B4EC1">
        <w:t xml:space="preserve">the same form. </w:t>
      </w:r>
    </w:p>
    <w:p w:rsidR="00F8675C" w:rsidRDefault="00F8675C" w:rsidP="0097227D"/>
    <w:p w:rsidR="0097227D" w:rsidRDefault="003B1AD2" w:rsidP="0097227D">
      <w:r>
        <w:t xml:space="preserve">The Office of Best Practice Regulation has advised that no </w:t>
      </w:r>
      <w:r w:rsidR="000B4EC1">
        <w:t>Regulation Impact Statement</w:t>
      </w:r>
      <w:r>
        <w:t xml:space="preserve"> is required.  </w:t>
      </w:r>
    </w:p>
    <w:p w:rsidR="005911D7" w:rsidRDefault="005911D7" w:rsidP="0097227D">
      <w:pPr>
        <w:rPr>
          <w:bCs/>
        </w:rPr>
      </w:pPr>
    </w:p>
    <w:p w:rsidR="00C113D6" w:rsidRDefault="00D25076" w:rsidP="0097227D">
      <w:pPr>
        <w:rPr>
          <w:bCs/>
        </w:rPr>
      </w:pPr>
      <w:r>
        <w:rPr>
          <w:bCs/>
        </w:rPr>
        <w:t>T</w:t>
      </w:r>
      <w:r w:rsidR="00C113D6">
        <w:rPr>
          <w:bCs/>
        </w:rPr>
        <w:t xml:space="preserve">hese </w:t>
      </w:r>
      <w:r w:rsidR="00D27672">
        <w:rPr>
          <w:bCs/>
        </w:rPr>
        <w:t>R</w:t>
      </w:r>
      <w:r w:rsidR="00C113D6">
        <w:rPr>
          <w:bCs/>
        </w:rPr>
        <w:t>ules rep</w:t>
      </w:r>
      <w:bookmarkStart w:id="1" w:name="_GoBack"/>
      <w:bookmarkEnd w:id="1"/>
      <w:r w:rsidR="00C113D6">
        <w:rPr>
          <w:bCs/>
        </w:rPr>
        <w:t>lac</w:t>
      </w:r>
      <w:r w:rsidR="00D27672">
        <w:rPr>
          <w:bCs/>
        </w:rPr>
        <w:t>e</w:t>
      </w:r>
      <w:r w:rsidR="00C113D6">
        <w:rPr>
          <w:bCs/>
        </w:rPr>
        <w:t xml:space="preserve"> the </w:t>
      </w:r>
      <w:r w:rsidR="00436CF6">
        <w:rPr>
          <w:bCs/>
          <w:i/>
        </w:rPr>
        <w:t>Private Health Insurance</w:t>
      </w:r>
      <w:r w:rsidR="00C113D6" w:rsidRPr="00F844FE">
        <w:rPr>
          <w:bCs/>
          <w:i/>
        </w:rPr>
        <w:t xml:space="preserve"> (Lifetime Health Cover) R</w:t>
      </w:r>
      <w:r w:rsidR="00436CF6">
        <w:rPr>
          <w:bCs/>
          <w:i/>
        </w:rPr>
        <w:t>ules 2007</w:t>
      </w:r>
      <w:r w:rsidR="00C113D6">
        <w:rPr>
          <w:bCs/>
        </w:rPr>
        <w:t>.</w:t>
      </w:r>
    </w:p>
    <w:p w:rsidR="00C113D6" w:rsidRDefault="00C113D6" w:rsidP="0097227D">
      <w:pPr>
        <w:rPr>
          <w:bCs/>
        </w:rPr>
      </w:pPr>
    </w:p>
    <w:p w:rsidR="00912875" w:rsidRPr="009570D0" w:rsidRDefault="00912875" w:rsidP="00912875">
      <w:r>
        <w:t>These Rules commence</w:t>
      </w:r>
      <w:r w:rsidRPr="009570D0">
        <w:t xml:space="preserve"> on 1 April 2017.</w:t>
      </w:r>
    </w:p>
    <w:p w:rsidR="0097227D" w:rsidRDefault="0097227D" w:rsidP="0097227D"/>
    <w:p w:rsidR="004257D6" w:rsidRDefault="00336B84" w:rsidP="0058159B">
      <w:pPr>
        <w:rPr>
          <w:b/>
        </w:rPr>
      </w:pPr>
      <w:r>
        <w:t>The</w:t>
      </w:r>
      <w:r w:rsidR="00946395">
        <w:t>se</w:t>
      </w:r>
      <w:r>
        <w:t xml:space="preserve"> Rules are a legislative instrument for the purposes of the </w:t>
      </w:r>
      <w:r>
        <w:rPr>
          <w:i/>
          <w:iCs/>
        </w:rPr>
        <w:t>Legisl</w:t>
      </w:r>
      <w:r w:rsidR="00723CA7">
        <w:rPr>
          <w:i/>
          <w:iCs/>
        </w:rPr>
        <w:t>ation Act</w:t>
      </w:r>
      <w:r>
        <w:rPr>
          <w:i/>
          <w:iCs/>
        </w:rPr>
        <w:t xml:space="preserve"> 2003</w:t>
      </w:r>
      <w:r>
        <w:t xml:space="preserve">.  </w:t>
      </w:r>
    </w:p>
    <w:p w:rsidR="00C113D6" w:rsidRPr="006E333D" w:rsidRDefault="005911D7" w:rsidP="00C113D6">
      <w:pPr>
        <w:jc w:val="right"/>
        <w:rPr>
          <w:b/>
          <w:bCs/>
        </w:rPr>
      </w:pPr>
      <w:r>
        <w:rPr>
          <w:b/>
          <w:bCs/>
        </w:rPr>
        <w:br w:type="page"/>
      </w:r>
      <w:r w:rsidR="00C113D6">
        <w:rPr>
          <w:b/>
          <w:bCs/>
        </w:rPr>
        <w:lastRenderedPageBreak/>
        <w:t>A</w:t>
      </w:r>
      <w:r w:rsidR="00C113D6" w:rsidRPr="006E333D">
        <w:rPr>
          <w:b/>
          <w:bCs/>
        </w:rPr>
        <w:t xml:space="preserve">TTACHMENT </w:t>
      </w:r>
    </w:p>
    <w:p w:rsidR="00C113D6" w:rsidRDefault="00C113D6" w:rsidP="00C113D6">
      <w:pPr>
        <w:pStyle w:val="Header"/>
        <w:tabs>
          <w:tab w:val="clear" w:pos="4153"/>
          <w:tab w:val="clear" w:pos="8306"/>
        </w:tabs>
      </w:pPr>
    </w:p>
    <w:p w:rsidR="00C113D6" w:rsidRDefault="00C113D6" w:rsidP="00EC35CA">
      <w:pPr>
        <w:pStyle w:val="Heading6"/>
        <w:tabs>
          <w:tab w:val="left" w:pos="1418"/>
        </w:tabs>
        <w:jc w:val="left"/>
        <w:rPr>
          <w:caps/>
        </w:rPr>
      </w:pPr>
      <w:r>
        <w:rPr>
          <w:i w:val="0"/>
          <w:iCs/>
        </w:rPr>
        <w:t>D</w:t>
      </w:r>
      <w:r w:rsidR="00FC7989">
        <w:rPr>
          <w:i w:val="0"/>
          <w:iCs/>
        </w:rPr>
        <w:t xml:space="preserve">etails of the </w:t>
      </w:r>
      <w:r w:rsidR="00FC7989" w:rsidRPr="00FC7989">
        <w:rPr>
          <w:iCs/>
        </w:rPr>
        <w:t>Private Health Insurance (Lifetime Health Cover) Rules 2017</w:t>
      </w:r>
    </w:p>
    <w:p w:rsidR="00C113D6" w:rsidRDefault="00C113D6" w:rsidP="00C113D6">
      <w:pPr>
        <w:pStyle w:val="Header"/>
        <w:tabs>
          <w:tab w:val="clear" w:pos="4153"/>
          <w:tab w:val="clear" w:pos="8306"/>
        </w:tabs>
      </w:pPr>
    </w:p>
    <w:p w:rsidR="00723CA7" w:rsidRPr="003D3098" w:rsidRDefault="00723CA7" w:rsidP="00723CA7">
      <w:pPr>
        <w:rPr>
          <w:b/>
        </w:rPr>
      </w:pPr>
      <w:r w:rsidRPr="003D3098">
        <w:rPr>
          <w:b/>
        </w:rPr>
        <w:t xml:space="preserve">Section 1 – Name of </w:t>
      </w:r>
      <w:r>
        <w:rPr>
          <w:b/>
        </w:rPr>
        <w:t>Rules</w:t>
      </w:r>
    </w:p>
    <w:p w:rsidR="00723CA7" w:rsidRDefault="00723CA7" w:rsidP="00723CA7">
      <w:r>
        <w:t xml:space="preserve">Section 1 of the Rules provides that it is the </w:t>
      </w:r>
      <w:r w:rsidRPr="00971AF8">
        <w:rPr>
          <w:i/>
        </w:rPr>
        <w:t>Private Health Insurance (</w:t>
      </w:r>
      <w:r>
        <w:rPr>
          <w:i/>
        </w:rPr>
        <w:t>Lifetime Health Cover) Rules 201</w:t>
      </w:r>
      <w:r w:rsidRPr="00971AF8">
        <w:rPr>
          <w:i/>
        </w:rPr>
        <w:t>7</w:t>
      </w:r>
      <w:r>
        <w:rPr>
          <w:i/>
          <w:iCs/>
        </w:rPr>
        <w:t>.</w:t>
      </w:r>
      <w:r>
        <w:t xml:space="preserve"> </w:t>
      </w:r>
    </w:p>
    <w:p w:rsidR="00723CA7" w:rsidRDefault="00723CA7" w:rsidP="00723CA7"/>
    <w:p w:rsidR="00723CA7" w:rsidRPr="003D3098" w:rsidRDefault="00723CA7" w:rsidP="00723CA7">
      <w:pPr>
        <w:rPr>
          <w:b/>
        </w:rPr>
      </w:pPr>
      <w:r w:rsidRPr="003D3098">
        <w:rPr>
          <w:b/>
        </w:rPr>
        <w:t>Section 2 - Commencement</w:t>
      </w:r>
    </w:p>
    <w:p w:rsidR="00723CA7" w:rsidRDefault="00723CA7" w:rsidP="00723CA7">
      <w:r>
        <w:t xml:space="preserve">Section 2 of the Rules provides that it commences on 1 April 2017.  </w:t>
      </w:r>
    </w:p>
    <w:p w:rsidR="00723CA7" w:rsidRPr="007B1DC9" w:rsidRDefault="002621D9" w:rsidP="00723CA7">
      <w:r>
        <w:t xml:space="preserve">  </w:t>
      </w:r>
    </w:p>
    <w:p w:rsidR="00723CA7" w:rsidRPr="003D3098" w:rsidRDefault="00723CA7" w:rsidP="00723CA7">
      <w:pPr>
        <w:rPr>
          <w:b/>
        </w:rPr>
      </w:pPr>
      <w:r w:rsidRPr="003D3098">
        <w:rPr>
          <w:b/>
        </w:rPr>
        <w:t xml:space="preserve">Section </w:t>
      </w:r>
      <w:r w:rsidR="002621D9">
        <w:rPr>
          <w:b/>
        </w:rPr>
        <w:t>3</w:t>
      </w:r>
      <w:r w:rsidRPr="003D3098">
        <w:rPr>
          <w:b/>
        </w:rPr>
        <w:t xml:space="preserve"> - Authority</w:t>
      </w:r>
    </w:p>
    <w:p w:rsidR="003869BF" w:rsidRDefault="00723CA7" w:rsidP="00723CA7">
      <w:r>
        <w:t xml:space="preserve">Section </w:t>
      </w:r>
      <w:r w:rsidR="002621D9">
        <w:t>3</w:t>
      </w:r>
      <w:r>
        <w:t xml:space="preserve"> of the </w:t>
      </w:r>
      <w:r w:rsidR="00FC7989">
        <w:t>Rules</w:t>
      </w:r>
      <w:r>
        <w:t xml:space="preserve"> provides that it is made under </w:t>
      </w:r>
      <w:r w:rsidR="003869BF">
        <w:t xml:space="preserve">item 2 of the table in section 333-20 of the </w:t>
      </w:r>
      <w:r w:rsidR="003869BF" w:rsidRPr="003869BF">
        <w:rPr>
          <w:i/>
        </w:rPr>
        <w:t>Private Health Insurance Act 2007.</w:t>
      </w:r>
    </w:p>
    <w:p w:rsidR="00723CA7" w:rsidRDefault="00723CA7" w:rsidP="00723CA7"/>
    <w:p w:rsidR="00723CA7" w:rsidRPr="003D3098" w:rsidRDefault="00723CA7" w:rsidP="00723CA7">
      <w:pPr>
        <w:rPr>
          <w:b/>
        </w:rPr>
      </w:pPr>
      <w:r w:rsidRPr="003D3098">
        <w:rPr>
          <w:b/>
        </w:rPr>
        <w:t xml:space="preserve">Section </w:t>
      </w:r>
      <w:r w:rsidR="002621D9">
        <w:rPr>
          <w:b/>
        </w:rPr>
        <w:t>4</w:t>
      </w:r>
      <w:r w:rsidR="003869BF">
        <w:rPr>
          <w:b/>
        </w:rPr>
        <w:t xml:space="preserve"> - Schedule</w:t>
      </w:r>
    </w:p>
    <w:p w:rsidR="00723CA7" w:rsidRDefault="00723CA7" w:rsidP="00723CA7">
      <w:r>
        <w:t xml:space="preserve">Section </w:t>
      </w:r>
      <w:r w:rsidR="002621D9">
        <w:t>4</w:t>
      </w:r>
      <w:r>
        <w:t xml:space="preserve"> of the </w:t>
      </w:r>
      <w:r w:rsidR="003869BF">
        <w:t>Rules</w:t>
      </w:r>
      <w:r>
        <w:t xml:space="preserve"> provides that any </w:t>
      </w:r>
      <w:r w:rsidRPr="00605F4D">
        <w:t>instrument specified in a Schedule to th</w:t>
      </w:r>
      <w:r>
        <w:t xml:space="preserve">e </w:t>
      </w:r>
      <w:r w:rsidR="003869BF">
        <w:t>Rules</w:t>
      </w:r>
      <w:r w:rsidRPr="00605F4D">
        <w:t xml:space="preserve"> is amended or repealed as set out in the applicable items in the Schedule concerned, and any other item in a Schedule has effect according to its terms</w:t>
      </w:r>
      <w:r>
        <w:t xml:space="preserve">. </w:t>
      </w:r>
    </w:p>
    <w:p w:rsidR="00723CA7" w:rsidRDefault="00723CA7" w:rsidP="00723CA7"/>
    <w:p w:rsidR="00723CA7" w:rsidRPr="003D3098" w:rsidRDefault="00723CA7" w:rsidP="00723CA7">
      <w:pPr>
        <w:rPr>
          <w:b/>
        </w:rPr>
      </w:pPr>
      <w:r w:rsidRPr="003D3098">
        <w:rPr>
          <w:b/>
        </w:rPr>
        <w:t xml:space="preserve">Section </w:t>
      </w:r>
      <w:r w:rsidR="002621D9">
        <w:rPr>
          <w:b/>
        </w:rPr>
        <w:t>5</w:t>
      </w:r>
      <w:r w:rsidRPr="003D3098">
        <w:rPr>
          <w:b/>
        </w:rPr>
        <w:t xml:space="preserve"> - Definitions</w:t>
      </w:r>
    </w:p>
    <w:p w:rsidR="00D11126" w:rsidRDefault="00723CA7" w:rsidP="00723CA7">
      <w:pPr>
        <w:rPr>
          <w:szCs w:val="24"/>
        </w:rPr>
      </w:pPr>
      <w:r>
        <w:t xml:space="preserve">Section </w:t>
      </w:r>
      <w:r w:rsidR="002621D9">
        <w:t>5</w:t>
      </w:r>
      <w:r>
        <w:t xml:space="preserve"> of the </w:t>
      </w:r>
      <w:r w:rsidR="003869BF">
        <w:t>Rules</w:t>
      </w:r>
      <w:r>
        <w:t xml:space="preserve"> </w:t>
      </w:r>
      <w:r w:rsidR="00D11126">
        <w:rPr>
          <w:szCs w:val="24"/>
        </w:rPr>
        <w:t>notes</w:t>
      </w:r>
      <w:r w:rsidR="00D11126" w:rsidRPr="00953B39">
        <w:rPr>
          <w:szCs w:val="24"/>
        </w:rPr>
        <w:t xml:space="preserve"> that the terms used such as </w:t>
      </w:r>
      <w:r w:rsidR="00D11126" w:rsidRPr="00953B39">
        <w:rPr>
          <w:i/>
          <w:szCs w:val="24"/>
        </w:rPr>
        <w:t>lifetime health cover base day</w:t>
      </w:r>
      <w:r w:rsidR="00D11126" w:rsidRPr="00953B39">
        <w:rPr>
          <w:szCs w:val="24"/>
        </w:rPr>
        <w:t xml:space="preserve"> have the same meaning as in the Act.  </w:t>
      </w:r>
      <w:r w:rsidR="00D11126" w:rsidRPr="00953B39">
        <w:rPr>
          <w:i/>
          <w:szCs w:val="24"/>
        </w:rPr>
        <w:t xml:space="preserve">Act </w:t>
      </w:r>
      <w:r w:rsidR="00D11126" w:rsidRPr="00953B39">
        <w:rPr>
          <w:szCs w:val="24"/>
        </w:rPr>
        <w:t xml:space="preserve">means the </w:t>
      </w:r>
      <w:r w:rsidR="00D11126" w:rsidRPr="00953B39">
        <w:rPr>
          <w:i/>
          <w:szCs w:val="24"/>
        </w:rPr>
        <w:t>Private Health Insurance Act 2007</w:t>
      </w:r>
      <w:r w:rsidR="00D11126" w:rsidRPr="00953B39">
        <w:rPr>
          <w:szCs w:val="24"/>
        </w:rPr>
        <w:t>.</w:t>
      </w:r>
    </w:p>
    <w:p w:rsidR="00723CA7" w:rsidRDefault="00723CA7" w:rsidP="00C113D6">
      <w:pPr>
        <w:pStyle w:val="Header"/>
        <w:tabs>
          <w:tab w:val="clear" w:pos="4153"/>
          <w:tab w:val="clear" w:pos="8306"/>
        </w:tabs>
      </w:pPr>
    </w:p>
    <w:p w:rsidR="006B1E79" w:rsidRDefault="006B1E79" w:rsidP="006B1E79">
      <w:pPr>
        <w:rPr>
          <w:b/>
        </w:rPr>
      </w:pPr>
      <w:r w:rsidRPr="003D3098">
        <w:rPr>
          <w:b/>
        </w:rPr>
        <w:t xml:space="preserve">Section </w:t>
      </w:r>
      <w:r w:rsidR="002621D9">
        <w:rPr>
          <w:b/>
        </w:rPr>
        <w:t>6</w:t>
      </w:r>
      <w:r w:rsidRPr="003D3098">
        <w:rPr>
          <w:b/>
        </w:rPr>
        <w:t xml:space="preserve"> - </w:t>
      </w:r>
      <w:r w:rsidRPr="0069485E">
        <w:rPr>
          <w:b/>
        </w:rPr>
        <w:t>Adults taken to have hospital cover</w:t>
      </w:r>
    </w:p>
    <w:p w:rsidR="00C52C29" w:rsidRDefault="006B1E79" w:rsidP="00A7273A">
      <w:pPr>
        <w:spacing w:before="100" w:beforeAutospacing="1" w:after="100" w:afterAutospacing="1"/>
        <w:rPr>
          <w:szCs w:val="24"/>
        </w:rPr>
      </w:pPr>
      <w:r>
        <w:rPr>
          <w:szCs w:val="24"/>
        </w:rPr>
        <w:t>Section</w:t>
      </w:r>
      <w:r w:rsidR="00F844FE">
        <w:rPr>
          <w:szCs w:val="24"/>
        </w:rPr>
        <w:t xml:space="preserve"> </w:t>
      </w:r>
      <w:r w:rsidR="002621D9">
        <w:rPr>
          <w:szCs w:val="24"/>
        </w:rPr>
        <w:t>6</w:t>
      </w:r>
      <w:r w:rsidR="00F844FE">
        <w:rPr>
          <w:szCs w:val="24"/>
        </w:rPr>
        <w:t xml:space="preserve"> provides </w:t>
      </w:r>
      <w:r w:rsidR="00DB2661">
        <w:rPr>
          <w:szCs w:val="24"/>
        </w:rPr>
        <w:t xml:space="preserve">for categories of </w:t>
      </w:r>
      <w:r w:rsidR="00F844FE">
        <w:rPr>
          <w:szCs w:val="24"/>
        </w:rPr>
        <w:t>person</w:t>
      </w:r>
      <w:r w:rsidR="00D93F0B">
        <w:rPr>
          <w:szCs w:val="24"/>
        </w:rPr>
        <w:t>s</w:t>
      </w:r>
      <w:r w:rsidR="00CA6D47">
        <w:rPr>
          <w:szCs w:val="24"/>
        </w:rPr>
        <w:t xml:space="preserve"> taken to have hospital cover for the purposes</w:t>
      </w:r>
      <w:r w:rsidR="00FC5DC0">
        <w:rPr>
          <w:szCs w:val="24"/>
        </w:rPr>
        <w:t xml:space="preserve"> of </w:t>
      </w:r>
      <w:r w:rsidR="00057406">
        <w:rPr>
          <w:szCs w:val="24"/>
        </w:rPr>
        <w:t xml:space="preserve">lifetime health cover.  These </w:t>
      </w:r>
      <w:r w:rsidR="00C52C29">
        <w:rPr>
          <w:szCs w:val="24"/>
        </w:rPr>
        <w:t xml:space="preserve">are </w:t>
      </w:r>
      <w:r w:rsidR="00057406">
        <w:rPr>
          <w:szCs w:val="24"/>
        </w:rPr>
        <w:t>adults whose health services are provided by</w:t>
      </w:r>
      <w:r w:rsidR="00C52C29">
        <w:rPr>
          <w:szCs w:val="24"/>
        </w:rPr>
        <w:t xml:space="preserve"> or through</w:t>
      </w:r>
      <w:r w:rsidR="00953B39">
        <w:rPr>
          <w:szCs w:val="24"/>
        </w:rPr>
        <w:t>:</w:t>
      </w:r>
      <w:r w:rsidR="00057406">
        <w:rPr>
          <w:szCs w:val="24"/>
        </w:rPr>
        <w:t xml:space="preserve"> </w:t>
      </w:r>
    </w:p>
    <w:p w:rsidR="00C52C29" w:rsidRDefault="00057406" w:rsidP="00C52C29">
      <w:pPr>
        <w:numPr>
          <w:ilvl w:val="1"/>
          <w:numId w:val="9"/>
        </w:numPr>
        <w:spacing w:before="100" w:beforeAutospacing="1" w:after="100" w:afterAutospacing="1"/>
        <w:rPr>
          <w:szCs w:val="24"/>
        </w:rPr>
      </w:pPr>
      <w:r>
        <w:rPr>
          <w:szCs w:val="24"/>
        </w:rPr>
        <w:t xml:space="preserve">the Australian Antarctic Division of the Department of the </w:t>
      </w:r>
      <w:r w:rsidR="003224D7">
        <w:rPr>
          <w:szCs w:val="24"/>
        </w:rPr>
        <w:t>Environment and Energy</w:t>
      </w:r>
      <w:r>
        <w:rPr>
          <w:szCs w:val="24"/>
        </w:rPr>
        <w:t xml:space="preserve">; </w:t>
      </w:r>
      <w:r w:rsidR="00C52C29">
        <w:rPr>
          <w:szCs w:val="24"/>
        </w:rPr>
        <w:t xml:space="preserve">or </w:t>
      </w:r>
    </w:p>
    <w:p w:rsidR="00CA6D47" w:rsidRDefault="00057406" w:rsidP="00C52C29">
      <w:pPr>
        <w:numPr>
          <w:ilvl w:val="1"/>
          <w:numId w:val="9"/>
        </w:numPr>
        <w:spacing w:before="100" w:beforeAutospacing="1" w:after="100" w:afterAutospacing="1"/>
        <w:rPr>
          <w:szCs w:val="24"/>
        </w:rPr>
      </w:pPr>
      <w:r>
        <w:rPr>
          <w:szCs w:val="24"/>
        </w:rPr>
        <w:t>the Australian Defence Force</w:t>
      </w:r>
      <w:r w:rsidR="00C52C29">
        <w:rPr>
          <w:szCs w:val="24"/>
        </w:rPr>
        <w:t xml:space="preserve"> (for members</w:t>
      </w:r>
      <w:r>
        <w:rPr>
          <w:szCs w:val="24"/>
        </w:rPr>
        <w:t xml:space="preserve"> on continuous full-time service</w:t>
      </w:r>
      <w:r w:rsidR="00C52C29">
        <w:rPr>
          <w:szCs w:val="24"/>
        </w:rPr>
        <w:t xml:space="preserve"> or their adult dependants)</w:t>
      </w:r>
      <w:r>
        <w:rPr>
          <w:szCs w:val="24"/>
        </w:rPr>
        <w:t>.</w:t>
      </w:r>
      <w:r w:rsidR="00CA6D47">
        <w:rPr>
          <w:szCs w:val="24"/>
        </w:rPr>
        <w:t xml:space="preserve"> </w:t>
      </w:r>
    </w:p>
    <w:p w:rsidR="00A7273A" w:rsidRPr="00A7273A" w:rsidRDefault="002761C7" w:rsidP="00A7273A">
      <w:pPr>
        <w:spacing w:before="100" w:beforeAutospacing="1" w:after="100" w:afterAutospacing="1"/>
        <w:rPr>
          <w:b/>
          <w:szCs w:val="24"/>
        </w:rPr>
      </w:pPr>
      <w:r>
        <w:rPr>
          <w:b/>
        </w:rPr>
        <w:t xml:space="preserve">Section </w:t>
      </w:r>
      <w:r w:rsidR="002621D9">
        <w:rPr>
          <w:b/>
        </w:rPr>
        <w:t>7</w:t>
      </w:r>
      <w:r>
        <w:rPr>
          <w:b/>
        </w:rPr>
        <w:t xml:space="preserve"> - </w:t>
      </w:r>
      <w:r w:rsidR="004E2D78">
        <w:rPr>
          <w:b/>
        </w:rPr>
        <w:tab/>
      </w:r>
      <w:r w:rsidR="00A7273A" w:rsidRPr="00A7273A">
        <w:rPr>
          <w:b/>
        </w:rPr>
        <w:t xml:space="preserve">Permitted days-suspended hospital cover </w:t>
      </w:r>
    </w:p>
    <w:p w:rsidR="00A7273A" w:rsidRPr="00A7273A" w:rsidRDefault="002761C7" w:rsidP="00A7273A">
      <w:pPr>
        <w:spacing w:before="100" w:beforeAutospacing="1" w:after="100" w:afterAutospacing="1"/>
        <w:rPr>
          <w:szCs w:val="24"/>
        </w:rPr>
      </w:pPr>
      <w:r>
        <w:rPr>
          <w:szCs w:val="24"/>
        </w:rPr>
        <w:t xml:space="preserve">Section </w:t>
      </w:r>
      <w:r w:rsidR="002621D9">
        <w:rPr>
          <w:szCs w:val="24"/>
        </w:rPr>
        <w:t>7</w:t>
      </w:r>
      <w:r w:rsidR="00A7273A" w:rsidRPr="00A7273A">
        <w:rPr>
          <w:szCs w:val="24"/>
        </w:rPr>
        <w:t xml:space="preserve"> provide</w:t>
      </w:r>
      <w:r w:rsidR="00E06071">
        <w:rPr>
          <w:szCs w:val="24"/>
        </w:rPr>
        <w:t>s</w:t>
      </w:r>
      <w:r w:rsidR="00A7273A" w:rsidRPr="00A7273A">
        <w:rPr>
          <w:szCs w:val="24"/>
        </w:rPr>
        <w:t xml:space="preserve"> that a </w:t>
      </w:r>
      <w:r w:rsidR="00057406">
        <w:rPr>
          <w:szCs w:val="24"/>
        </w:rPr>
        <w:t xml:space="preserve">private </w:t>
      </w:r>
      <w:r w:rsidR="00A7273A" w:rsidRPr="00A7273A">
        <w:rPr>
          <w:szCs w:val="24"/>
        </w:rPr>
        <w:t xml:space="preserve">health </w:t>
      </w:r>
      <w:r w:rsidR="00057406">
        <w:rPr>
          <w:szCs w:val="24"/>
        </w:rPr>
        <w:t>insurer</w:t>
      </w:r>
      <w:r w:rsidR="00A7273A" w:rsidRPr="00A7273A">
        <w:rPr>
          <w:szCs w:val="24"/>
        </w:rPr>
        <w:t xml:space="preserve"> must recognise the suspension of me</w:t>
      </w:r>
      <w:r w:rsidR="00C70AAD">
        <w:rPr>
          <w:szCs w:val="24"/>
        </w:rPr>
        <w:t xml:space="preserve">mbership of a person who transfers to </w:t>
      </w:r>
      <w:r w:rsidR="00057406">
        <w:rPr>
          <w:szCs w:val="24"/>
        </w:rPr>
        <w:t>a new</w:t>
      </w:r>
      <w:r w:rsidR="00C70AAD">
        <w:rPr>
          <w:szCs w:val="24"/>
        </w:rPr>
        <w:t xml:space="preserve"> </w:t>
      </w:r>
      <w:r w:rsidR="00057406">
        <w:rPr>
          <w:szCs w:val="24"/>
        </w:rPr>
        <w:t xml:space="preserve">private </w:t>
      </w:r>
      <w:r w:rsidR="00A7273A" w:rsidRPr="00A7273A">
        <w:rPr>
          <w:szCs w:val="24"/>
        </w:rPr>
        <w:t xml:space="preserve">health </w:t>
      </w:r>
      <w:r w:rsidR="00057406">
        <w:rPr>
          <w:szCs w:val="24"/>
        </w:rPr>
        <w:t>insurer</w:t>
      </w:r>
      <w:r w:rsidR="00A7273A" w:rsidRPr="00A7273A">
        <w:rPr>
          <w:szCs w:val="24"/>
        </w:rPr>
        <w:t xml:space="preserve"> during a period of suspension from another </w:t>
      </w:r>
      <w:r w:rsidR="006B5ACB">
        <w:rPr>
          <w:szCs w:val="24"/>
        </w:rPr>
        <w:t>private health insurer</w:t>
      </w:r>
      <w:r w:rsidR="00A7273A" w:rsidRPr="00A7273A">
        <w:rPr>
          <w:szCs w:val="24"/>
        </w:rPr>
        <w:t xml:space="preserve">. </w:t>
      </w:r>
      <w:r w:rsidR="004E2D78">
        <w:rPr>
          <w:szCs w:val="24"/>
        </w:rPr>
        <w:t xml:space="preserve"> </w:t>
      </w:r>
      <w:r w:rsidR="00E94AAD">
        <w:rPr>
          <w:szCs w:val="24"/>
        </w:rPr>
        <w:t>Sub</w:t>
      </w:r>
      <w:r w:rsidR="007F1767">
        <w:rPr>
          <w:szCs w:val="24"/>
        </w:rPr>
        <w:t>section</w:t>
      </w:r>
      <w:r>
        <w:rPr>
          <w:szCs w:val="24"/>
        </w:rPr>
        <w:t xml:space="preserve"> </w:t>
      </w:r>
      <w:r w:rsidR="002621D9">
        <w:rPr>
          <w:szCs w:val="24"/>
        </w:rPr>
        <w:t>7</w:t>
      </w:r>
      <w:r w:rsidR="00E834AC">
        <w:rPr>
          <w:szCs w:val="24"/>
        </w:rPr>
        <w:t xml:space="preserve"> (2) provides that t</w:t>
      </w:r>
      <w:r w:rsidR="00953B39">
        <w:rPr>
          <w:szCs w:val="24"/>
        </w:rPr>
        <w:t>he private health insurer</w:t>
      </w:r>
      <w:r w:rsidR="00A7273A" w:rsidRPr="00A7273A">
        <w:rPr>
          <w:szCs w:val="24"/>
        </w:rPr>
        <w:t xml:space="preserve"> must recognise the</w:t>
      </w:r>
      <w:r w:rsidR="00C70AAD">
        <w:rPr>
          <w:szCs w:val="24"/>
        </w:rPr>
        <w:t xml:space="preserve"> period of the person</w:t>
      </w:r>
      <w:r w:rsidR="00A7273A" w:rsidRPr="00A7273A">
        <w:rPr>
          <w:szCs w:val="24"/>
        </w:rPr>
        <w:t xml:space="preserve">s suspension </w:t>
      </w:r>
      <w:r w:rsidR="002F2DB6">
        <w:rPr>
          <w:szCs w:val="24"/>
        </w:rPr>
        <w:t>a</w:t>
      </w:r>
      <w:r w:rsidR="00A7273A" w:rsidRPr="00A7273A">
        <w:rPr>
          <w:szCs w:val="24"/>
        </w:rPr>
        <w:t>s permitted days without hospital cover and must not apply any additional l</w:t>
      </w:r>
      <w:r w:rsidR="00C70AAD">
        <w:rPr>
          <w:szCs w:val="24"/>
        </w:rPr>
        <w:t>oadings to the person</w:t>
      </w:r>
      <w:r w:rsidR="00A7273A" w:rsidRPr="00A7273A">
        <w:rPr>
          <w:szCs w:val="24"/>
        </w:rPr>
        <w:t xml:space="preserve">s premium. </w:t>
      </w:r>
    </w:p>
    <w:p w:rsidR="00A7273A" w:rsidRPr="00A7273A" w:rsidRDefault="00E94AAD" w:rsidP="00A7273A">
      <w:pPr>
        <w:spacing w:before="100" w:beforeAutospacing="1" w:after="100" w:afterAutospacing="1"/>
        <w:rPr>
          <w:szCs w:val="24"/>
        </w:rPr>
      </w:pPr>
      <w:r>
        <w:rPr>
          <w:szCs w:val="24"/>
        </w:rPr>
        <w:t>Sub</w:t>
      </w:r>
      <w:r w:rsidR="007F1767">
        <w:rPr>
          <w:szCs w:val="24"/>
        </w:rPr>
        <w:t>section</w:t>
      </w:r>
      <w:r w:rsidR="00E834AC">
        <w:rPr>
          <w:szCs w:val="24"/>
        </w:rPr>
        <w:t xml:space="preserve"> </w:t>
      </w:r>
      <w:r w:rsidR="002621D9">
        <w:rPr>
          <w:szCs w:val="24"/>
        </w:rPr>
        <w:t>7</w:t>
      </w:r>
      <w:r w:rsidR="00E834AC">
        <w:rPr>
          <w:szCs w:val="24"/>
        </w:rPr>
        <w:t xml:space="preserve"> (3) provides that </w:t>
      </w:r>
      <w:r w:rsidR="006B5ACB">
        <w:rPr>
          <w:szCs w:val="24"/>
        </w:rPr>
        <w:t>private health insurers</w:t>
      </w:r>
      <w:r w:rsidR="00A7273A" w:rsidRPr="00A7273A">
        <w:rPr>
          <w:szCs w:val="24"/>
        </w:rPr>
        <w:t xml:space="preserve"> are only required to recognise a maximum of two years suspended mem</w:t>
      </w:r>
      <w:r w:rsidR="00C70AAD">
        <w:rPr>
          <w:szCs w:val="24"/>
        </w:rPr>
        <w:t xml:space="preserve">bership for a person </w:t>
      </w:r>
      <w:r w:rsidR="00A7273A" w:rsidRPr="00A7273A">
        <w:rPr>
          <w:szCs w:val="24"/>
        </w:rPr>
        <w:t>wishing to transfer while on susp</w:t>
      </w:r>
      <w:r w:rsidR="00C70AAD">
        <w:rPr>
          <w:szCs w:val="24"/>
        </w:rPr>
        <w:t xml:space="preserve">ension from another </w:t>
      </w:r>
      <w:r w:rsidR="006B5ACB">
        <w:rPr>
          <w:szCs w:val="24"/>
        </w:rPr>
        <w:t>insurer</w:t>
      </w:r>
      <w:r w:rsidR="00C70AAD">
        <w:rPr>
          <w:szCs w:val="24"/>
        </w:rPr>
        <w:t xml:space="preserve">. </w:t>
      </w:r>
      <w:r w:rsidR="004E2D78">
        <w:rPr>
          <w:szCs w:val="24"/>
        </w:rPr>
        <w:t xml:space="preserve"> </w:t>
      </w:r>
    </w:p>
    <w:p w:rsidR="007436CB" w:rsidRDefault="009D5B6E" w:rsidP="009D5B6E">
      <w:pPr>
        <w:spacing w:before="100" w:beforeAutospacing="1" w:after="100" w:afterAutospacing="1"/>
        <w:ind w:left="60"/>
        <w:rPr>
          <w:b/>
          <w:szCs w:val="24"/>
        </w:rPr>
      </w:pPr>
      <w:r>
        <w:rPr>
          <w:b/>
          <w:szCs w:val="24"/>
        </w:rPr>
        <w:br w:type="page"/>
      </w:r>
      <w:r w:rsidR="002761C7">
        <w:rPr>
          <w:b/>
          <w:szCs w:val="24"/>
        </w:rPr>
        <w:lastRenderedPageBreak/>
        <w:t xml:space="preserve">Section </w:t>
      </w:r>
      <w:r w:rsidR="002621D9">
        <w:rPr>
          <w:b/>
          <w:szCs w:val="24"/>
        </w:rPr>
        <w:t>8</w:t>
      </w:r>
      <w:r w:rsidR="002761C7">
        <w:rPr>
          <w:b/>
          <w:szCs w:val="24"/>
        </w:rPr>
        <w:t xml:space="preserve"> - </w:t>
      </w:r>
      <w:r w:rsidR="007436CB" w:rsidRPr="007436CB">
        <w:rPr>
          <w:b/>
          <w:szCs w:val="24"/>
        </w:rPr>
        <w:t xml:space="preserve">Providing information to </w:t>
      </w:r>
      <w:r>
        <w:rPr>
          <w:b/>
          <w:szCs w:val="24"/>
        </w:rPr>
        <w:t>policy holders</w:t>
      </w:r>
    </w:p>
    <w:p w:rsidR="00E834AC" w:rsidRDefault="0006516A" w:rsidP="001C649F">
      <w:pPr>
        <w:spacing w:before="100" w:beforeAutospacing="1" w:after="100" w:afterAutospacing="1"/>
        <w:rPr>
          <w:szCs w:val="24"/>
        </w:rPr>
      </w:pPr>
      <w:r>
        <w:rPr>
          <w:szCs w:val="24"/>
        </w:rPr>
        <w:t>Sub</w:t>
      </w:r>
      <w:r w:rsidR="007F1767">
        <w:rPr>
          <w:szCs w:val="24"/>
        </w:rPr>
        <w:t>section</w:t>
      </w:r>
      <w:r w:rsidR="00743807">
        <w:rPr>
          <w:szCs w:val="24"/>
        </w:rPr>
        <w:t xml:space="preserve"> </w:t>
      </w:r>
      <w:r w:rsidR="002621D9">
        <w:rPr>
          <w:szCs w:val="24"/>
        </w:rPr>
        <w:t>8</w:t>
      </w:r>
      <w:r w:rsidR="00E834AC">
        <w:rPr>
          <w:szCs w:val="24"/>
        </w:rPr>
        <w:t xml:space="preserve"> (1) (a)</w:t>
      </w:r>
      <w:r w:rsidR="00B06826" w:rsidRPr="00B06826">
        <w:rPr>
          <w:szCs w:val="24"/>
        </w:rPr>
        <w:t xml:space="preserve"> provides that a</w:t>
      </w:r>
      <w:r w:rsidR="004E2D78">
        <w:rPr>
          <w:szCs w:val="24"/>
        </w:rPr>
        <w:t xml:space="preserve"> policy holder</w:t>
      </w:r>
      <w:r w:rsidR="00B06826" w:rsidRPr="00B06826">
        <w:rPr>
          <w:szCs w:val="24"/>
        </w:rPr>
        <w:t xml:space="preserve"> requesting information from his or her </w:t>
      </w:r>
      <w:r w:rsidR="00A90DBA">
        <w:rPr>
          <w:szCs w:val="24"/>
        </w:rPr>
        <w:t>private health insurer</w:t>
      </w:r>
      <w:r w:rsidR="00A90DBA" w:rsidRPr="00B06826">
        <w:rPr>
          <w:szCs w:val="24"/>
        </w:rPr>
        <w:t xml:space="preserve"> </w:t>
      </w:r>
      <w:r w:rsidR="00B06826" w:rsidRPr="00B06826">
        <w:rPr>
          <w:szCs w:val="24"/>
        </w:rPr>
        <w:t xml:space="preserve">about </w:t>
      </w:r>
      <w:r w:rsidR="004E2D78">
        <w:rPr>
          <w:szCs w:val="24"/>
        </w:rPr>
        <w:t>increase</w:t>
      </w:r>
      <w:r w:rsidR="00C249E3">
        <w:rPr>
          <w:szCs w:val="24"/>
        </w:rPr>
        <w:t>s under Part 2-3</w:t>
      </w:r>
      <w:r w:rsidR="004E2D78">
        <w:rPr>
          <w:szCs w:val="24"/>
        </w:rPr>
        <w:t xml:space="preserve"> in the amounts of premiums payable for </w:t>
      </w:r>
      <w:r w:rsidR="00B06826" w:rsidRPr="00B06826">
        <w:rPr>
          <w:szCs w:val="24"/>
        </w:rPr>
        <w:t xml:space="preserve">hospital cover must be given the information within 14 days of the </w:t>
      </w:r>
      <w:r w:rsidR="00A90DBA">
        <w:rPr>
          <w:szCs w:val="24"/>
        </w:rPr>
        <w:t>insurer</w:t>
      </w:r>
      <w:r w:rsidR="00B06826" w:rsidRPr="00B06826">
        <w:rPr>
          <w:szCs w:val="24"/>
        </w:rPr>
        <w:t xml:space="preserve"> receiving the request. </w:t>
      </w:r>
      <w:r w:rsidR="001965AA">
        <w:rPr>
          <w:szCs w:val="24"/>
        </w:rPr>
        <w:t xml:space="preserve"> </w:t>
      </w:r>
      <w:r w:rsidR="00A90DBA">
        <w:rPr>
          <w:szCs w:val="24"/>
        </w:rPr>
        <w:t>The information must include the information specified in sub</w:t>
      </w:r>
      <w:r w:rsidR="007F1767">
        <w:rPr>
          <w:szCs w:val="24"/>
        </w:rPr>
        <w:t>section</w:t>
      </w:r>
      <w:r w:rsidR="00A90DBA">
        <w:rPr>
          <w:szCs w:val="24"/>
        </w:rPr>
        <w:t xml:space="preserve"> </w:t>
      </w:r>
      <w:r w:rsidR="002621D9">
        <w:rPr>
          <w:szCs w:val="24"/>
        </w:rPr>
        <w:t>8</w:t>
      </w:r>
      <w:r w:rsidR="00586C86">
        <w:rPr>
          <w:szCs w:val="24"/>
        </w:rPr>
        <w:t xml:space="preserve"> </w:t>
      </w:r>
      <w:r w:rsidR="00A90DBA">
        <w:rPr>
          <w:szCs w:val="24"/>
        </w:rPr>
        <w:t>(1)</w:t>
      </w:r>
      <w:r w:rsidR="00586C86">
        <w:rPr>
          <w:szCs w:val="24"/>
        </w:rPr>
        <w:t xml:space="preserve"> </w:t>
      </w:r>
      <w:r w:rsidR="00A90DBA">
        <w:rPr>
          <w:szCs w:val="24"/>
        </w:rPr>
        <w:t>(b).</w:t>
      </w:r>
      <w:r w:rsidR="004E2D78">
        <w:rPr>
          <w:szCs w:val="24"/>
        </w:rPr>
        <w:t xml:space="preserve"> </w:t>
      </w:r>
    </w:p>
    <w:p w:rsidR="00B06826" w:rsidRDefault="0006516A" w:rsidP="001C649F">
      <w:pPr>
        <w:spacing w:before="100" w:beforeAutospacing="1" w:after="100" w:afterAutospacing="1"/>
        <w:rPr>
          <w:szCs w:val="24"/>
        </w:rPr>
      </w:pPr>
      <w:r>
        <w:rPr>
          <w:szCs w:val="24"/>
        </w:rPr>
        <w:t>Sub</w:t>
      </w:r>
      <w:r w:rsidR="007F1767">
        <w:rPr>
          <w:szCs w:val="24"/>
        </w:rPr>
        <w:t>section</w:t>
      </w:r>
      <w:r w:rsidR="00E834AC">
        <w:rPr>
          <w:szCs w:val="24"/>
        </w:rPr>
        <w:t xml:space="preserve"> </w:t>
      </w:r>
      <w:r w:rsidR="002621D9">
        <w:rPr>
          <w:szCs w:val="24"/>
        </w:rPr>
        <w:t>8</w:t>
      </w:r>
      <w:r w:rsidR="00E834AC">
        <w:rPr>
          <w:szCs w:val="24"/>
        </w:rPr>
        <w:t xml:space="preserve"> (1) (b) provides that </w:t>
      </w:r>
      <w:r w:rsidR="00C249E3">
        <w:rPr>
          <w:szCs w:val="24"/>
        </w:rPr>
        <w:t>for ea</w:t>
      </w:r>
      <w:r w:rsidR="00A90DBA">
        <w:rPr>
          <w:szCs w:val="24"/>
        </w:rPr>
        <w:t>ch policy holder affected by a lifetime health c</w:t>
      </w:r>
      <w:r w:rsidR="00C249E3">
        <w:rPr>
          <w:szCs w:val="24"/>
        </w:rPr>
        <w:t xml:space="preserve">over increase in premium, the private health insurer must provide each year a written statement detailing </w:t>
      </w:r>
      <w:r w:rsidR="004E2D78">
        <w:rPr>
          <w:szCs w:val="24"/>
        </w:rPr>
        <w:t>the amount the policy holder’s premiums payable for hospital cover are increased</w:t>
      </w:r>
      <w:r w:rsidR="00E17610">
        <w:rPr>
          <w:szCs w:val="24"/>
        </w:rPr>
        <w:t>,</w:t>
      </w:r>
      <w:r w:rsidR="004E2D78">
        <w:rPr>
          <w:szCs w:val="24"/>
        </w:rPr>
        <w:t xml:space="preserve"> and </w:t>
      </w:r>
      <w:r w:rsidR="00953B39">
        <w:rPr>
          <w:szCs w:val="24"/>
        </w:rPr>
        <w:t xml:space="preserve">providing </w:t>
      </w:r>
      <w:r w:rsidR="004E2D78">
        <w:rPr>
          <w:szCs w:val="24"/>
        </w:rPr>
        <w:t>the private health insurer’s record of the number of days the policy holder has not had hospital cover since his or her lifetime health cover base day.</w:t>
      </w:r>
    </w:p>
    <w:p w:rsidR="00B06826" w:rsidRPr="00B06826" w:rsidRDefault="0006516A" w:rsidP="00B06826">
      <w:pPr>
        <w:spacing w:before="100" w:beforeAutospacing="1" w:after="100" w:afterAutospacing="1"/>
        <w:rPr>
          <w:szCs w:val="24"/>
        </w:rPr>
      </w:pPr>
      <w:r>
        <w:rPr>
          <w:szCs w:val="24"/>
        </w:rPr>
        <w:t>Sub</w:t>
      </w:r>
      <w:r w:rsidR="007F1767">
        <w:rPr>
          <w:szCs w:val="24"/>
        </w:rPr>
        <w:t>section</w:t>
      </w:r>
      <w:r w:rsidR="00E834AC">
        <w:rPr>
          <w:szCs w:val="24"/>
        </w:rPr>
        <w:t xml:space="preserve"> </w:t>
      </w:r>
      <w:r w:rsidR="002621D9">
        <w:rPr>
          <w:szCs w:val="24"/>
        </w:rPr>
        <w:t>8</w:t>
      </w:r>
      <w:r w:rsidR="00E834AC">
        <w:rPr>
          <w:szCs w:val="24"/>
        </w:rPr>
        <w:t xml:space="preserve"> (2) provides that t</w:t>
      </w:r>
      <w:r w:rsidR="00B06826" w:rsidRPr="00B06826">
        <w:rPr>
          <w:szCs w:val="24"/>
        </w:rPr>
        <w:t xml:space="preserve">his information </w:t>
      </w:r>
      <w:r w:rsidR="00A90DBA">
        <w:rPr>
          <w:szCs w:val="24"/>
        </w:rPr>
        <w:t>may</w:t>
      </w:r>
      <w:r w:rsidR="00A90DBA" w:rsidRPr="00B06826">
        <w:rPr>
          <w:szCs w:val="24"/>
        </w:rPr>
        <w:t xml:space="preserve"> </w:t>
      </w:r>
      <w:r w:rsidR="00B06826" w:rsidRPr="00B06826">
        <w:rPr>
          <w:szCs w:val="24"/>
        </w:rPr>
        <w:t>b</w:t>
      </w:r>
      <w:r w:rsidR="00E363F0">
        <w:rPr>
          <w:szCs w:val="24"/>
        </w:rPr>
        <w:t xml:space="preserve">e </w:t>
      </w:r>
      <w:r w:rsidR="00555646">
        <w:rPr>
          <w:szCs w:val="24"/>
        </w:rPr>
        <w:t xml:space="preserve">provided in the form of a record based on an age notionally attributed to the policy holder, </w:t>
      </w:r>
      <w:r w:rsidR="00A90DBA">
        <w:rPr>
          <w:szCs w:val="24"/>
        </w:rPr>
        <w:t xml:space="preserve">as the age from </w:t>
      </w:r>
      <w:r w:rsidR="00555646">
        <w:rPr>
          <w:szCs w:val="24"/>
        </w:rPr>
        <w:t>which the policy holder is treated as having continuous hospital cover</w:t>
      </w:r>
      <w:r w:rsidR="00B06826" w:rsidRPr="007E47E9">
        <w:rPr>
          <w:i/>
          <w:szCs w:val="24"/>
        </w:rPr>
        <w:t>.</w:t>
      </w:r>
      <w:r w:rsidR="00B06826" w:rsidRPr="00B06826">
        <w:rPr>
          <w:szCs w:val="24"/>
        </w:rPr>
        <w:t xml:space="preserve"> </w:t>
      </w:r>
    </w:p>
    <w:p w:rsidR="00B06826" w:rsidRPr="00B06826" w:rsidRDefault="0006516A" w:rsidP="00B06826">
      <w:pPr>
        <w:spacing w:before="100" w:beforeAutospacing="1" w:after="100" w:afterAutospacing="1"/>
        <w:rPr>
          <w:szCs w:val="24"/>
        </w:rPr>
      </w:pPr>
      <w:r>
        <w:rPr>
          <w:szCs w:val="24"/>
        </w:rPr>
        <w:t>Sub</w:t>
      </w:r>
      <w:r w:rsidR="007F1767">
        <w:rPr>
          <w:szCs w:val="24"/>
        </w:rPr>
        <w:t>section</w:t>
      </w:r>
      <w:r w:rsidR="00E834AC">
        <w:rPr>
          <w:szCs w:val="24"/>
        </w:rPr>
        <w:t xml:space="preserve"> </w:t>
      </w:r>
      <w:r w:rsidR="002621D9">
        <w:rPr>
          <w:szCs w:val="24"/>
        </w:rPr>
        <w:t>8</w:t>
      </w:r>
      <w:r w:rsidR="00E834AC">
        <w:rPr>
          <w:szCs w:val="24"/>
        </w:rPr>
        <w:t xml:space="preserve"> (3) provides that i</w:t>
      </w:r>
      <w:r w:rsidR="00B06826" w:rsidRPr="00B06826">
        <w:rPr>
          <w:szCs w:val="24"/>
        </w:rPr>
        <w:t xml:space="preserve">n the case of joint hospital </w:t>
      </w:r>
      <w:r w:rsidR="00A90DBA">
        <w:rPr>
          <w:szCs w:val="24"/>
        </w:rPr>
        <w:t>holders</w:t>
      </w:r>
      <w:r w:rsidR="00A90DBA" w:rsidRPr="00B06826">
        <w:rPr>
          <w:szCs w:val="24"/>
        </w:rPr>
        <w:t xml:space="preserve"> </w:t>
      </w:r>
      <w:r w:rsidR="00B06826" w:rsidRPr="00B06826">
        <w:rPr>
          <w:szCs w:val="24"/>
        </w:rPr>
        <w:t>the information must set out the details of the hospital cover as it a</w:t>
      </w:r>
      <w:r w:rsidR="007E47E9">
        <w:rPr>
          <w:szCs w:val="24"/>
        </w:rPr>
        <w:t>pplies to each adult</w:t>
      </w:r>
      <w:r w:rsidR="00DC3B1A">
        <w:rPr>
          <w:szCs w:val="24"/>
        </w:rPr>
        <w:t xml:space="preserve"> covered under the policy,</w:t>
      </w:r>
      <w:r w:rsidR="0042482A">
        <w:rPr>
          <w:szCs w:val="24"/>
        </w:rPr>
        <w:t xml:space="preserve"> </w:t>
      </w:r>
      <w:r w:rsidR="00A90DBA">
        <w:rPr>
          <w:szCs w:val="24"/>
        </w:rPr>
        <w:t xml:space="preserve">and must be provided to each joint policy holder. </w:t>
      </w:r>
      <w:r w:rsidR="001965AA">
        <w:rPr>
          <w:szCs w:val="24"/>
        </w:rPr>
        <w:t xml:space="preserve"> </w:t>
      </w:r>
      <w:r w:rsidR="00A90DBA">
        <w:rPr>
          <w:szCs w:val="24"/>
        </w:rPr>
        <w:t xml:space="preserve">If </w:t>
      </w:r>
      <w:r w:rsidR="0042482A">
        <w:rPr>
          <w:szCs w:val="24"/>
        </w:rPr>
        <w:t>the</w:t>
      </w:r>
      <w:r w:rsidR="00B06826" w:rsidRPr="00B06826">
        <w:rPr>
          <w:szCs w:val="24"/>
        </w:rPr>
        <w:t xml:space="preserve"> adult</w:t>
      </w:r>
      <w:r w:rsidR="007E47E9">
        <w:rPr>
          <w:szCs w:val="24"/>
        </w:rPr>
        <w:t xml:space="preserve">s </w:t>
      </w:r>
      <w:r w:rsidR="00953B39">
        <w:rPr>
          <w:szCs w:val="24"/>
        </w:rPr>
        <w:t xml:space="preserve">share an address </w:t>
      </w:r>
      <w:r w:rsidR="00B06826" w:rsidRPr="00B06826">
        <w:rPr>
          <w:szCs w:val="24"/>
        </w:rPr>
        <w:t xml:space="preserve">the information may be sent </w:t>
      </w:r>
      <w:r w:rsidR="00A90DBA">
        <w:rPr>
          <w:szCs w:val="24"/>
        </w:rPr>
        <w:t>in</w:t>
      </w:r>
      <w:r w:rsidR="00A90DBA" w:rsidRPr="00B06826">
        <w:rPr>
          <w:szCs w:val="24"/>
        </w:rPr>
        <w:t xml:space="preserve"> </w:t>
      </w:r>
      <w:r w:rsidR="00B06826" w:rsidRPr="00B06826">
        <w:rPr>
          <w:szCs w:val="24"/>
        </w:rPr>
        <w:t>a si</w:t>
      </w:r>
      <w:r w:rsidR="007E47E9">
        <w:rPr>
          <w:szCs w:val="24"/>
        </w:rPr>
        <w:t>ngle notice to the adults</w:t>
      </w:r>
      <w:r w:rsidR="00B06826" w:rsidRPr="00B06826">
        <w:rPr>
          <w:szCs w:val="24"/>
        </w:rPr>
        <w:t xml:space="preserve"> at that address.</w:t>
      </w:r>
    </w:p>
    <w:p w:rsidR="00B06826" w:rsidRDefault="007F1767" w:rsidP="007F1767">
      <w:pPr>
        <w:spacing w:before="100" w:beforeAutospacing="1" w:after="100" w:afterAutospacing="1"/>
        <w:rPr>
          <w:b/>
          <w:szCs w:val="24"/>
        </w:rPr>
      </w:pPr>
      <w:r>
        <w:rPr>
          <w:b/>
          <w:szCs w:val="24"/>
        </w:rPr>
        <w:t xml:space="preserve">Section </w:t>
      </w:r>
      <w:r w:rsidR="002621D9">
        <w:rPr>
          <w:b/>
          <w:szCs w:val="24"/>
        </w:rPr>
        <w:t>9</w:t>
      </w:r>
      <w:r>
        <w:rPr>
          <w:b/>
          <w:szCs w:val="24"/>
        </w:rPr>
        <w:t xml:space="preserve"> - </w:t>
      </w:r>
      <w:r w:rsidR="00B06826">
        <w:rPr>
          <w:b/>
          <w:szCs w:val="24"/>
        </w:rPr>
        <w:t>Providing information to adults inquiring about cover</w:t>
      </w:r>
    </w:p>
    <w:p w:rsidR="00953B39" w:rsidRDefault="007F1767" w:rsidP="007436CB">
      <w:pPr>
        <w:spacing w:before="100" w:beforeAutospacing="1" w:after="100" w:afterAutospacing="1"/>
      </w:pPr>
      <w:r>
        <w:t>Section</w:t>
      </w:r>
      <w:r w:rsidR="00D175AC">
        <w:t xml:space="preserve"> </w:t>
      </w:r>
      <w:r w:rsidR="002621D9">
        <w:t>9</w:t>
      </w:r>
      <w:r w:rsidR="00CC4457">
        <w:t xml:space="preserve"> provides that </w:t>
      </w:r>
      <w:r w:rsidR="009C4A9E">
        <w:t>a private health insurer</w:t>
      </w:r>
      <w:r w:rsidR="00CC4457">
        <w:t xml:space="preserve"> must inform a person who applies to become, or inquires abou</w:t>
      </w:r>
      <w:r w:rsidR="0042482A">
        <w:t>t taking out hospital cover,</w:t>
      </w:r>
      <w:r w:rsidR="00CC4457">
        <w:t xml:space="preserve"> about </w:t>
      </w:r>
      <w:r w:rsidR="008F414D">
        <w:t xml:space="preserve">the effect on premiums of any adult covered by a policy being late in taking out hospital cover, or any adult ceasing for a period to have hospital cover after his or her lifetime health cover base day. </w:t>
      </w:r>
    </w:p>
    <w:p w:rsidR="0020788F" w:rsidRPr="0020788F" w:rsidRDefault="0006516A" w:rsidP="007436CB">
      <w:pPr>
        <w:spacing w:before="100" w:beforeAutospacing="1" w:after="100" w:afterAutospacing="1"/>
        <w:rPr>
          <w:szCs w:val="24"/>
        </w:rPr>
      </w:pPr>
      <w:r>
        <w:t>Sub</w:t>
      </w:r>
      <w:r w:rsidR="007F1767">
        <w:rPr>
          <w:szCs w:val="24"/>
        </w:rPr>
        <w:t xml:space="preserve">section </w:t>
      </w:r>
      <w:r w:rsidR="002621D9">
        <w:t>9</w:t>
      </w:r>
      <w:r w:rsidR="0020788F">
        <w:t xml:space="preserve"> (2) provides that the term </w:t>
      </w:r>
      <w:r w:rsidR="0020788F">
        <w:rPr>
          <w:b/>
          <w:i/>
        </w:rPr>
        <w:t xml:space="preserve">late in taking out hospital cover </w:t>
      </w:r>
      <w:r w:rsidR="0020788F">
        <w:t>means where an adult did not have hospital cover by the 1 July following their 31</w:t>
      </w:r>
      <w:r w:rsidR="0020788F" w:rsidRPr="00FA77B0">
        <w:rPr>
          <w:vertAlign w:val="superscript"/>
        </w:rPr>
        <w:t>st</w:t>
      </w:r>
      <w:r w:rsidR="0020788F">
        <w:t xml:space="preserve"> birthday.  This is referred to as the </w:t>
      </w:r>
      <w:r w:rsidR="003B1AD2">
        <w:t>persons</w:t>
      </w:r>
      <w:r w:rsidR="0020788F">
        <w:t xml:space="preserve"> lifetime health cover base day.</w:t>
      </w:r>
    </w:p>
    <w:p w:rsidR="007436CB" w:rsidRDefault="002621D9" w:rsidP="007436CB">
      <w:pPr>
        <w:spacing w:before="100" w:beforeAutospacing="1" w:after="100" w:afterAutospacing="1"/>
        <w:rPr>
          <w:b/>
          <w:szCs w:val="24"/>
        </w:rPr>
      </w:pPr>
      <w:r>
        <w:rPr>
          <w:b/>
          <w:szCs w:val="24"/>
        </w:rPr>
        <w:t>Section 10</w:t>
      </w:r>
      <w:r w:rsidR="00877078">
        <w:rPr>
          <w:b/>
          <w:szCs w:val="24"/>
        </w:rPr>
        <w:t xml:space="preserve"> - </w:t>
      </w:r>
      <w:r w:rsidR="00CC4457">
        <w:rPr>
          <w:b/>
          <w:szCs w:val="24"/>
        </w:rPr>
        <w:t>Information being provided by one private health insurer to another</w:t>
      </w:r>
    </w:p>
    <w:p w:rsidR="00D175AC" w:rsidRDefault="00877078" w:rsidP="00D175AC">
      <w:pPr>
        <w:spacing w:before="100" w:beforeAutospacing="1" w:after="100" w:afterAutospacing="1"/>
        <w:rPr>
          <w:szCs w:val="24"/>
        </w:rPr>
      </w:pPr>
      <w:r>
        <w:rPr>
          <w:szCs w:val="24"/>
        </w:rPr>
        <w:t>Section 1</w:t>
      </w:r>
      <w:r w:rsidR="002621D9">
        <w:rPr>
          <w:szCs w:val="24"/>
        </w:rPr>
        <w:t>0</w:t>
      </w:r>
      <w:r w:rsidR="00D175AC" w:rsidRPr="00D175AC">
        <w:rPr>
          <w:szCs w:val="24"/>
        </w:rPr>
        <w:t xml:space="preserve"> provides that a </w:t>
      </w:r>
      <w:r w:rsidR="00D30DDB">
        <w:rPr>
          <w:szCs w:val="24"/>
        </w:rPr>
        <w:t>private health insurer</w:t>
      </w:r>
      <w:r w:rsidR="00D175AC" w:rsidRPr="00D175AC">
        <w:rPr>
          <w:szCs w:val="24"/>
        </w:rPr>
        <w:t xml:space="preserve"> can only give information to another </w:t>
      </w:r>
      <w:r w:rsidR="00D30DDB">
        <w:rPr>
          <w:szCs w:val="24"/>
        </w:rPr>
        <w:t>private health insurer</w:t>
      </w:r>
      <w:r w:rsidR="00D175AC" w:rsidRPr="00D175AC">
        <w:rPr>
          <w:szCs w:val="24"/>
        </w:rPr>
        <w:t xml:space="preserve"> </w:t>
      </w:r>
      <w:r w:rsidR="00E17610">
        <w:rPr>
          <w:szCs w:val="24"/>
        </w:rPr>
        <w:t xml:space="preserve">about increases to premiums </w:t>
      </w:r>
      <w:r w:rsidR="00D30DDB">
        <w:rPr>
          <w:szCs w:val="24"/>
        </w:rPr>
        <w:t>for a person</w:t>
      </w:r>
      <w:r w:rsidR="00953B39">
        <w:rPr>
          <w:szCs w:val="24"/>
        </w:rPr>
        <w:t xml:space="preserve"> </w:t>
      </w:r>
      <w:r w:rsidR="00D30DDB">
        <w:rPr>
          <w:szCs w:val="24"/>
        </w:rPr>
        <w:t>under Part 2-3</w:t>
      </w:r>
      <w:r w:rsidR="00B409EC">
        <w:rPr>
          <w:szCs w:val="24"/>
        </w:rPr>
        <w:t xml:space="preserve"> </w:t>
      </w:r>
      <w:r w:rsidR="00D175AC" w:rsidRPr="00D175AC">
        <w:rPr>
          <w:szCs w:val="24"/>
        </w:rPr>
        <w:t>with the per</w:t>
      </w:r>
      <w:r w:rsidR="00FB484A">
        <w:rPr>
          <w:szCs w:val="24"/>
        </w:rPr>
        <w:t>mission of the person</w:t>
      </w:r>
      <w:r w:rsidR="00D175AC" w:rsidRPr="00D175AC">
        <w:rPr>
          <w:szCs w:val="24"/>
        </w:rPr>
        <w:t>.</w:t>
      </w:r>
    </w:p>
    <w:p w:rsidR="0020788F" w:rsidRPr="00D175AC" w:rsidRDefault="0006516A" w:rsidP="00D175AC">
      <w:pPr>
        <w:spacing w:before="100" w:beforeAutospacing="1" w:after="100" w:afterAutospacing="1"/>
        <w:rPr>
          <w:szCs w:val="24"/>
        </w:rPr>
      </w:pPr>
      <w:r>
        <w:rPr>
          <w:szCs w:val="24"/>
        </w:rPr>
        <w:t>Sub</w:t>
      </w:r>
      <w:r w:rsidR="00877078">
        <w:rPr>
          <w:szCs w:val="24"/>
        </w:rPr>
        <w:t>section 1</w:t>
      </w:r>
      <w:r w:rsidR="002621D9">
        <w:rPr>
          <w:szCs w:val="24"/>
        </w:rPr>
        <w:t>0</w:t>
      </w:r>
      <w:r w:rsidR="0020788F">
        <w:rPr>
          <w:szCs w:val="24"/>
        </w:rPr>
        <w:t xml:space="preserve"> (2) provides that the information may be provided in the form of a record based on an age notionally attributed to the policy holder, as the age </w:t>
      </w:r>
      <w:r w:rsidR="00D30DDB">
        <w:rPr>
          <w:szCs w:val="24"/>
        </w:rPr>
        <w:t xml:space="preserve">from which </w:t>
      </w:r>
      <w:r w:rsidR="0020788F">
        <w:rPr>
          <w:szCs w:val="24"/>
        </w:rPr>
        <w:t>the policy holder will be treated as having had continuous hospital cover.</w:t>
      </w:r>
    </w:p>
    <w:p w:rsidR="00D175AC" w:rsidRPr="00D175AC" w:rsidRDefault="00877078" w:rsidP="00D175AC">
      <w:pPr>
        <w:pStyle w:val="NormalWeb"/>
        <w:rPr>
          <w:rFonts w:ascii="Times New Roman" w:hAnsi="Times New Roman"/>
        </w:rPr>
      </w:pPr>
      <w:r>
        <w:rPr>
          <w:rFonts w:ascii="Times New Roman" w:hAnsi="Times New Roman"/>
          <w:b/>
        </w:rPr>
        <w:t>Section 1</w:t>
      </w:r>
      <w:r w:rsidR="002621D9">
        <w:rPr>
          <w:rFonts w:ascii="Times New Roman" w:hAnsi="Times New Roman"/>
          <w:b/>
        </w:rPr>
        <w:t>1</w:t>
      </w:r>
      <w:r>
        <w:rPr>
          <w:rFonts w:ascii="Times New Roman" w:hAnsi="Times New Roman"/>
          <w:b/>
        </w:rPr>
        <w:t xml:space="preserve"> - </w:t>
      </w:r>
      <w:r w:rsidR="00D175AC" w:rsidRPr="004005F3">
        <w:rPr>
          <w:rFonts w:ascii="Times New Roman" w:hAnsi="Times New Roman"/>
          <w:b/>
        </w:rPr>
        <w:t>Evidence of having hospital cover, or of a person</w:t>
      </w:r>
      <w:r>
        <w:rPr>
          <w:rFonts w:ascii="Times New Roman" w:hAnsi="Times New Roman"/>
          <w:b/>
        </w:rPr>
        <w:t>’</w:t>
      </w:r>
      <w:r w:rsidR="00D175AC" w:rsidRPr="004005F3">
        <w:rPr>
          <w:rFonts w:ascii="Times New Roman" w:hAnsi="Times New Roman"/>
          <w:b/>
        </w:rPr>
        <w:t>s age</w:t>
      </w:r>
      <w:r w:rsidR="00D175AC" w:rsidRPr="00D175AC">
        <w:rPr>
          <w:rFonts w:ascii="Times New Roman" w:hAnsi="Times New Roman"/>
        </w:rPr>
        <w:t xml:space="preserve"> </w:t>
      </w:r>
    </w:p>
    <w:p w:rsidR="003B1AD2" w:rsidRDefault="00877078" w:rsidP="00877078">
      <w:pPr>
        <w:spacing w:before="100" w:beforeAutospacing="1" w:after="100" w:afterAutospacing="1"/>
        <w:rPr>
          <w:szCs w:val="24"/>
        </w:rPr>
      </w:pPr>
      <w:r>
        <w:rPr>
          <w:szCs w:val="24"/>
        </w:rPr>
        <w:t>Subsection 1</w:t>
      </w:r>
      <w:r w:rsidR="002621D9">
        <w:rPr>
          <w:szCs w:val="24"/>
        </w:rPr>
        <w:t>1</w:t>
      </w:r>
      <w:r w:rsidR="00586C86">
        <w:rPr>
          <w:szCs w:val="24"/>
        </w:rPr>
        <w:t xml:space="preserve"> </w:t>
      </w:r>
      <w:r w:rsidR="006B75D2">
        <w:rPr>
          <w:szCs w:val="24"/>
        </w:rPr>
        <w:t>(1)</w:t>
      </w:r>
      <w:r w:rsidR="00FB484A">
        <w:rPr>
          <w:szCs w:val="24"/>
        </w:rPr>
        <w:t xml:space="preserve"> </w:t>
      </w:r>
      <w:r w:rsidR="00B409EC">
        <w:rPr>
          <w:szCs w:val="24"/>
        </w:rPr>
        <w:t>sets out the kind</w:t>
      </w:r>
      <w:r w:rsidR="003B1AD2">
        <w:rPr>
          <w:szCs w:val="24"/>
        </w:rPr>
        <w:t>s</w:t>
      </w:r>
      <w:r w:rsidR="00B409EC">
        <w:rPr>
          <w:szCs w:val="24"/>
        </w:rPr>
        <w:t xml:space="preserve"> of evidence</w:t>
      </w:r>
      <w:r w:rsidR="003B1AD2">
        <w:rPr>
          <w:szCs w:val="24"/>
        </w:rPr>
        <w:t xml:space="preserve"> that can be accepted</w:t>
      </w:r>
      <w:r w:rsidR="006B75D2">
        <w:rPr>
          <w:szCs w:val="24"/>
        </w:rPr>
        <w:t xml:space="preserve"> as conclusive evidence</w:t>
      </w:r>
      <w:r w:rsidR="003B1AD2">
        <w:rPr>
          <w:szCs w:val="24"/>
        </w:rPr>
        <w:t xml:space="preserve"> </w:t>
      </w:r>
      <w:r w:rsidR="00B409EC">
        <w:rPr>
          <w:szCs w:val="24"/>
        </w:rPr>
        <w:t>of a person hav</w:t>
      </w:r>
      <w:r w:rsidR="003B1AD2">
        <w:rPr>
          <w:szCs w:val="24"/>
        </w:rPr>
        <w:t>ing</w:t>
      </w:r>
      <w:r w:rsidR="00B409EC">
        <w:rPr>
          <w:szCs w:val="24"/>
        </w:rPr>
        <w:t xml:space="preserve"> hospital cover at a particular time or during a particular period</w:t>
      </w:r>
      <w:r w:rsidR="0053549C">
        <w:rPr>
          <w:szCs w:val="24"/>
        </w:rPr>
        <w:t>.</w:t>
      </w:r>
      <w:r w:rsidR="00B409EC">
        <w:rPr>
          <w:szCs w:val="24"/>
        </w:rPr>
        <w:t xml:space="preserve">  </w:t>
      </w:r>
    </w:p>
    <w:p w:rsidR="006B75D2" w:rsidRDefault="00B409EC" w:rsidP="00877078">
      <w:pPr>
        <w:spacing w:before="100" w:beforeAutospacing="1" w:after="100" w:afterAutospacing="1"/>
        <w:rPr>
          <w:szCs w:val="24"/>
        </w:rPr>
      </w:pPr>
      <w:r>
        <w:rPr>
          <w:szCs w:val="24"/>
        </w:rPr>
        <w:t xml:space="preserve">These </w:t>
      </w:r>
      <w:r w:rsidR="006B75D2">
        <w:rPr>
          <w:szCs w:val="24"/>
        </w:rPr>
        <w:t>are</w:t>
      </w:r>
      <w:r>
        <w:rPr>
          <w:szCs w:val="24"/>
        </w:rPr>
        <w:t>:</w:t>
      </w:r>
      <w:r w:rsidR="00D175AC" w:rsidRPr="00D175AC">
        <w:rPr>
          <w:szCs w:val="24"/>
        </w:rPr>
        <w:t xml:space="preserve"> </w:t>
      </w:r>
    </w:p>
    <w:p w:rsidR="006B75D2" w:rsidRDefault="00D175AC" w:rsidP="006B75D2">
      <w:pPr>
        <w:numPr>
          <w:ilvl w:val="0"/>
          <w:numId w:val="10"/>
        </w:numPr>
        <w:ind w:right="57"/>
        <w:rPr>
          <w:szCs w:val="24"/>
        </w:rPr>
      </w:pPr>
      <w:r w:rsidRPr="00D175AC">
        <w:rPr>
          <w:szCs w:val="24"/>
        </w:rPr>
        <w:t>the annual statement</w:t>
      </w:r>
      <w:r w:rsidR="005C6D02">
        <w:rPr>
          <w:szCs w:val="24"/>
        </w:rPr>
        <w:t xml:space="preserve"> issued to</w:t>
      </w:r>
      <w:r w:rsidR="006B75D2">
        <w:rPr>
          <w:szCs w:val="24"/>
        </w:rPr>
        <w:t>, or on behalf of,</w:t>
      </w:r>
      <w:r w:rsidR="005C6D02">
        <w:rPr>
          <w:szCs w:val="24"/>
        </w:rPr>
        <w:t xml:space="preserve"> a person</w:t>
      </w:r>
      <w:r w:rsidRPr="00D175AC">
        <w:rPr>
          <w:szCs w:val="24"/>
        </w:rPr>
        <w:t xml:space="preserve"> by his or her </w:t>
      </w:r>
      <w:r w:rsidR="006B75D2">
        <w:rPr>
          <w:szCs w:val="24"/>
        </w:rPr>
        <w:t>insurer providing cover at the particular period</w:t>
      </w:r>
      <w:r w:rsidRPr="00D175AC">
        <w:rPr>
          <w:szCs w:val="24"/>
        </w:rPr>
        <w:t xml:space="preserve"> </w:t>
      </w:r>
      <w:r w:rsidR="006B75D2">
        <w:rPr>
          <w:szCs w:val="24"/>
        </w:rPr>
        <w:t>in accordance with</w:t>
      </w:r>
      <w:r w:rsidR="00A15D1C">
        <w:rPr>
          <w:szCs w:val="24"/>
        </w:rPr>
        <w:t xml:space="preserve"> </w:t>
      </w:r>
      <w:r w:rsidR="006B75D2">
        <w:rPr>
          <w:szCs w:val="24"/>
        </w:rPr>
        <w:t>sub</w:t>
      </w:r>
      <w:r w:rsidR="00877078">
        <w:rPr>
          <w:szCs w:val="24"/>
        </w:rPr>
        <w:t>section</w:t>
      </w:r>
      <w:r w:rsidR="005C6D02">
        <w:rPr>
          <w:szCs w:val="24"/>
        </w:rPr>
        <w:t xml:space="preserve"> </w:t>
      </w:r>
      <w:r w:rsidR="00877078">
        <w:rPr>
          <w:szCs w:val="24"/>
        </w:rPr>
        <w:t>12</w:t>
      </w:r>
      <w:r w:rsidR="006B75D2">
        <w:rPr>
          <w:szCs w:val="24"/>
        </w:rPr>
        <w:t>(1)(</w:t>
      </w:r>
      <w:r w:rsidR="00877078">
        <w:rPr>
          <w:szCs w:val="24"/>
        </w:rPr>
        <w:t>a</w:t>
      </w:r>
      <w:r w:rsidR="006B75D2">
        <w:rPr>
          <w:szCs w:val="24"/>
        </w:rPr>
        <w:t>)</w:t>
      </w:r>
      <w:r w:rsidRPr="00D175AC">
        <w:rPr>
          <w:szCs w:val="24"/>
        </w:rPr>
        <w:t xml:space="preserve">; </w:t>
      </w:r>
    </w:p>
    <w:p w:rsidR="006B75D2" w:rsidRDefault="00D175AC" w:rsidP="006B75D2">
      <w:pPr>
        <w:numPr>
          <w:ilvl w:val="0"/>
          <w:numId w:val="10"/>
        </w:numPr>
        <w:ind w:right="57"/>
        <w:rPr>
          <w:szCs w:val="24"/>
        </w:rPr>
      </w:pPr>
      <w:r w:rsidRPr="00D175AC">
        <w:rPr>
          <w:szCs w:val="24"/>
        </w:rPr>
        <w:t>a determination that a person is to be treated as having had hospita</w:t>
      </w:r>
      <w:r w:rsidR="0042482A">
        <w:rPr>
          <w:szCs w:val="24"/>
        </w:rPr>
        <w:t xml:space="preserve">l cover on </w:t>
      </w:r>
      <w:r w:rsidR="00877078">
        <w:rPr>
          <w:szCs w:val="24"/>
        </w:rPr>
        <w:br/>
      </w:r>
      <w:r w:rsidR="0042482A">
        <w:rPr>
          <w:szCs w:val="24"/>
        </w:rPr>
        <w:t>1 July 2000 and/or 3</w:t>
      </w:r>
      <w:r w:rsidRPr="00D175AC">
        <w:rPr>
          <w:szCs w:val="24"/>
        </w:rPr>
        <w:t xml:space="preserve">0 June 1999 </w:t>
      </w:r>
      <w:r w:rsidR="0041324B">
        <w:rPr>
          <w:szCs w:val="24"/>
        </w:rPr>
        <w:t>under section 37-10 of</w:t>
      </w:r>
      <w:r w:rsidRPr="00D175AC">
        <w:rPr>
          <w:szCs w:val="24"/>
        </w:rPr>
        <w:t xml:space="preserve"> the Act; </w:t>
      </w:r>
    </w:p>
    <w:p w:rsidR="006B75D2" w:rsidRDefault="00D175AC" w:rsidP="006B75D2">
      <w:pPr>
        <w:numPr>
          <w:ilvl w:val="0"/>
          <w:numId w:val="10"/>
        </w:numPr>
        <w:ind w:right="57"/>
        <w:rPr>
          <w:szCs w:val="24"/>
        </w:rPr>
      </w:pPr>
      <w:r w:rsidRPr="00D175AC">
        <w:rPr>
          <w:szCs w:val="24"/>
        </w:rPr>
        <w:lastRenderedPageBreak/>
        <w:t>a written statement issued by the Australian Antarctic</w:t>
      </w:r>
      <w:r w:rsidR="00E45163">
        <w:rPr>
          <w:szCs w:val="24"/>
        </w:rPr>
        <w:t xml:space="preserve"> Division of the Department of Environment and Energy</w:t>
      </w:r>
      <w:r w:rsidRPr="00D175AC">
        <w:rPr>
          <w:szCs w:val="24"/>
        </w:rPr>
        <w:t>, that the person had health services provided by</w:t>
      </w:r>
      <w:r w:rsidR="00F23B47">
        <w:rPr>
          <w:szCs w:val="24"/>
        </w:rPr>
        <w:t xml:space="preserve"> or through</w:t>
      </w:r>
      <w:r w:rsidRPr="00D175AC">
        <w:rPr>
          <w:szCs w:val="24"/>
        </w:rPr>
        <w:t xml:space="preserve"> the Australian Antarctic Division at the particular time or during the particular period; or </w:t>
      </w:r>
    </w:p>
    <w:p w:rsidR="0042482A" w:rsidRDefault="00D175AC" w:rsidP="006B75D2">
      <w:pPr>
        <w:numPr>
          <w:ilvl w:val="0"/>
          <w:numId w:val="10"/>
        </w:numPr>
        <w:ind w:right="57"/>
        <w:rPr>
          <w:szCs w:val="24"/>
        </w:rPr>
      </w:pPr>
      <w:r w:rsidRPr="00D175AC">
        <w:rPr>
          <w:szCs w:val="24"/>
        </w:rPr>
        <w:t>a written statement issued by the Australian Defence Force that the person had health services provided by</w:t>
      </w:r>
      <w:r w:rsidR="00F23B47">
        <w:rPr>
          <w:szCs w:val="24"/>
        </w:rPr>
        <w:t xml:space="preserve"> or through</w:t>
      </w:r>
      <w:r w:rsidRPr="00D175AC">
        <w:rPr>
          <w:szCs w:val="24"/>
        </w:rPr>
        <w:t xml:space="preserve"> the Australian Defence Force at the particular time or </w:t>
      </w:r>
      <w:r w:rsidR="0042482A">
        <w:rPr>
          <w:szCs w:val="24"/>
        </w:rPr>
        <w:t>during the particular period.</w:t>
      </w:r>
    </w:p>
    <w:p w:rsidR="003B1AD2" w:rsidRDefault="003B1AD2" w:rsidP="003D23FD">
      <w:pPr>
        <w:ind w:right="57"/>
        <w:rPr>
          <w:szCs w:val="24"/>
        </w:rPr>
      </w:pPr>
    </w:p>
    <w:p w:rsidR="006B75D2" w:rsidRDefault="00706439" w:rsidP="009C1ECC">
      <w:pPr>
        <w:spacing w:before="100" w:beforeAutospacing="1" w:after="100" w:afterAutospacing="1"/>
        <w:rPr>
          <w:szCs w:val="24"/>
        </w:rPr>
      </w:pPr>
      <w:r>
        <w:rPr>
          <w:szCs w:val="24"/>
        </w:rPr>
        <w:t>Sub</w:t>
      </w:r>
      <w:r w:rsidR="00E45163">
        <w:rPr>
          <w:szCs w:val="24"/>
        </w:rPr>
        <w:t>section</w:t>
      </w:r>
      <w:r>
        <w:rPr>
          <w:szCs w:val="24"/>
        </w:rPr>
        <w:t xml:space="preserve"> </w:t>
      </w:r>
      <w:r w:rsidR="00E45163">
        <w:rPr>
          <w:szCs w:val="24"/>
        </w:rPr>
        <w:t>1</w:t>
      </w:r>
      <w:r w:rsidR="002621D9">
        <w:rPr>
          <w:szCs w:val="24"/>
        </w:rPr>
        <w:t>1</w:t>
      </w:r>
      <w:r>
        <w:rPr>
          <w:szCs w:val="24"/>
        </w:rPr>
        <w:t xml:space="preserve"> (2) </w:t>
      </w:r>
      <w:r w:rsidR="00B409EC">
        <w:rPr>
          <w:szCs w:val="24"/>
        </w:rPr>
        <w:t xml:space="preserve">set out the kinds of evidence that </w:t>
      </w:r>
      <w:r w:rsidR="006B75D2">
        <w:rPr>
          <w:szCs w:val="24"/>
        </w:rPr>
        <w:t xml:space="preserve">a private health insurer </w:t>
      </w:r>
      <w:r w:rsidR="00B409EC">
        <w:rPr>
          <w:szCs w:val="24"/>
        </w:rPr>
        <w:t>must accept</w:t>
      </w:r>
      <w:r w:rsidR="006B75D2">
        <w:rPr>
          <w:szCs w:val="24"/>
        </w:rPr>
        <w:t xml:space="preserve"> as conclusive evidence of a person</w:t>
      </w:r>
      <w:r w:rsidR="00686392">
        <w:rPr>
          <w:szCs w:val="24"/>
        </w:rPr>
        <w:t>’</w:t>
      </w:r>
      <w:r w:rsidR="006B75D2">
        <w:rPr>
          <w:szCs w:val="24"/>
        </w:rPr>
        <w:t xml:space="preserve">s </w:t>
      </w:r>
      <w:r w:rsidR="00B409EC">
        <w:rPr>
          <w:szCs w:val="24"/>
        </w:rPr>
        <w:t>age</w:t>
      </w:r>
      <w:r w:rsidR="006B75D2">
        <w:rPr>
          <w:szCs w:val="24"/>
        </w:rPr>
        <w:t xml:space="preserve"> for the purposes of Part 2-3 of the Act</w:t>
      </w:r>
      <w:r w:rsidR="007B4438">
        <w:rPr>
          <w:szCs w:val="24"/>
        </w:rPr>
        <w:t xml:space="preserve">.  </w:t>
      </w:r>
    </w:p>
    <w:p w:rsidR="00D175AC" w:rsidRDefault="007B4438" w:rsidP="009C1ECC">
      <w:pPr>
        <w:spacing w:before="100" w:beforeAutospacing="1" w:after="100" w:afterAutospacing="1"/>
        <w:rPr>
          <w:szCs w:val="24"/>
        </w:rPr>
      </w:pPr>
      <w:r>
        <w:rPr>
          <w:szCs w:val="24"/>
        </w:rPr>
        <w:t xml:space="preserve">These </w:t>
      </w:r>
      <w:r w:rsidR="006B75D2">
        <w:rPr>
          <w:szCs w:val="24"/>
        </w:rPr>
        <w:t>are:</w:t>
      </w:r>
      <w:r w:rsidR="006B75D2" w:rsidRPr="00D175AC">
        <w:rPr>
          <w:szCs w:val="24"/>
        </w:rPr>
        <w:t xml:space="preserve"> </w:t>
      </w:r>
      <w:r w:rsidR="00D175AC" w:rsidRPr="00D175AC">
        <w:rPr>
          <w:szCs w:val="24"/>
        </w:rPr>
        <w:t>the person</w:t>
      </w:r>
      <w:r w:rsidR="00686392">
        <w:rPr>
          <w:szCs w:val="24"/>
        </w:rPr>
        <w:t>’</w:t>
      </w:r>
      <w:r w:rsidR="00D175AC" w:rsidRPr="00D175AC">
        <w:rPr>
          <w:szCs w:val="24"/>
        </w:rPr>
        <w:t>s original birth certificate; the person</w:t>
      </w:r>
      <w:r w:rsidR="00686392">
        <w:rPr>
          <w:szCs w:val="24"/>
        </w:rPr>
        <w:t>’</w:t>
      </w:r>
      <w:r w:rsidR="00D175AC" w:rsidRPr="00D175AC">
        <w:rPr>
          <w:szCs w:val="24"/>
        </w:rPr>
        <w:t xml:space="preserve">s current </w:t>
      </w:r>
      <w:r w:rsidR="00FB1931" w:rsidRPr="00D175AC">
        <w:rPr>
          <w:szCs w:val="24"/>
        </w:rPr>
        <w:t>driver’s</w:t>
      </w:r>
      <w:r w:rsidR="00D175AC" w:rsidRPr="00D175AC">
        <w:rPr>
          <w:szCs w:val="24"/>
        </w:rPr>
        <w:t xml:space="preserve"> license; or </w:t>
      </w:r>
      <w:r w:rsidR="00FB484A">
        <w:rPr>
          <w:szCs w:val="24"/>
        </w:rPr>
        <w:t>the person</w:t>
      </w:r>
      <w:r w:rsidR="00686392">
        <w:rPr>
          <w:szCs w:val="24"/>
        </w:rPr>
        <w:t>’</w:t>
      </w:r>
      <w:r w:rsidR="00FB484A">
        <w:rPr>
          <w:szCs w:val="24"/>
        </w:rPr>
        <w:t xml:space="preserve">s current passport. </w:t>
      </w:r>
      <w:r>
        <w:rPr>
          <w:szCs w:val="24"/>
        </w:rPr>
        <w:t xml:space="preserve"> </w:t>
      </w:r>
    </w:p>
    <w:p w:rsidR="00023828" w:rsidRDefault="00706439" w:rsidP="009C1ECC">
      <w:pPr>
        <w:spacing w:before="100" w:beforeAutospacing="1" w:after="100" w:afterAutospacing="1"/>
        <w:rPr>
          <w:szCs w:val="24"/>
        </w:rPr>
      </w:pPr>
      <w:r>
        <w:rPr>
          <w:szCs w:val="24"/>
        </w:rPr>
        <w:t>Sub</w:t>
      </w:r>
      <w:r w:rsidR="00E45163">
        <w:rPr>
          <w:szCs w:val="24"/>
        </w:rPr>
        <w:t>section</w:t>
      </w:r>
      <w:r>
        <w:rPr>
          <w:szCs w:val="24"/>
        </w:rPr>
        <w:t xml:space="preserve"> </w:t>
      </w:r>
      <w:r w:rsidR="00E45163">
        <w:rPr>
          <w:szCs w:val="24"/>
        </w:rPr>
        <w:t>1</w:t>
      </w:r>
      <w:r w:rsidR="002621D9">
        <w:rPr>
          <w:szCs w:val="24"/>
        </w:rPr>
        <w:t>1</w:t>
      </w:r>
      <w:r>
        <w:rPr>
          <w:szCs w:val="24"/>
        </w:rPr>
        <w:t xml:space="preserve"> (3) provides that a private health insurer may accept other evidence if a document of a kind mentioned in sub</w:t>
      </w:r>
      <w:r w:rsidR="00E45163">
        <w:rPr>
          <w:szCs w:val="24"/>
        </w:rPr>
        <w:t>section</w:t>
      </w:r>
      <w:r>
        <w:rPr>
          <w:szCs w:val="24"/>
        </w:rPr>
        <w:t xml:space="preserve"> </w:t>
      </w:r>
      <w:r w:rsidR="00E45163">
        <w:rPr>
          <w:szCs w:val="24"/>
        </w:rPr>
        <w:t>1</w:t>
      </w:r>
      <w:r w:rsidR="002621D9">
        <w:rPr>
          <w:szCs w:val="24"/>
        </w:rPr>
        <w:t>1</w:t>
      </w:r>
      <w:r w:rsidR="006B75D2">
        <w:rPr>
          <w:szCs w:val="24"/>
        </w:rPr>
        <w:t xml:space="preserve"> </w:t>
      </w:r>
      <w:r>
        <w:rPr>
          <w:szCs w:val="24"/>
        </w:rPr>
        <w:t>(1) or (2) is not available to be given as evidence.</w:t>
      </w:r>
    </w:p>
    <w:p w:rsidR="004F6E1E" w:rsidRDefault="004F6E1E" w:rsidP="004F6E1E">
      <w:pPr>
        <w:ind w:left="-57" w:right="57"/>
        <w:rPr>
          <w:szCs w:val="24"/>
        </w:rPr>
      </w:pPr>
    </w:p>
    <w:p w:rsidR="004F6E1E" w:rsidRPr="00FE2E31" w:rsidRDefault="004F6E1E" w:rsidP="004F6E1E">
      <w:pPr>
        <w:rPr>
          <w:b/>
        </w:rPr>
      </w:pPr>
      <w:r w:rsidRPr="00FE2E31">
        <w:rPr>
          <w:b/>
        </w:rPr>
        <w:t xml:space="preserve">Schedule 1 – Repeals </w:t>
      </w:r>
    </w:p>
    <w:p w:rsidR="004F6E1E" w:rsidRPr="009C1ECC" w:rsidRDefault="004F6E1E" w:rsidP="009C1ECC">
      <w:pPr>
        <w:spacing w:before="100" w:beforeAutospacing="1" w:after="100" w:afterAutospacing="1"/>
        <w:rPr>
          <w:szCs w:val="24"/>
        </w:rPr>
      </w:pPr>
      <w:r w:rsidRPr="009C1ECC">
        <w:rPr>
          <w:szCs w:val="24"/>
        </w:rPr>
        <w:t>Schedule 1 repeals the previous</w:t>
      </w:r>
      <w:r w:rsidR="009C1ECC" w:rsidRPr="009C1ECC">
        <w:rPr>
          <w:szCs w:val="24"/>
        </w:rPr>
        <w:t xml:space="preserve"> instrument</w:t>
      </w:r>
      <w:r w:rsidRPr="009C1ECC">
        <w:rPr>
          <w:szCs w:val="24"/>
        </w:rPr>
        <w:t xml:space="preserve">. </w:t>
      </w:r>
    </w:p>
    <w:p w:rsidR="004F6E1E" w:rsidRPr="004F6E1E" w:rsidRDefault="004F6E1E" w:rsidP="004F6E1E">
      <w:pPr>
        <w:ind w:left="-57" w:right="57"/>
        <w:rPr>
          <w:szCs w:val="24"/>
        </w:rPr>
      </w:pPr>
    </w:p>
    <w:p w:rsidR="00023828" w:rsidRDefault="00023828" w:rsidP="005C6D02">
      <w:pPr>
        <w:spacing w:before="100" w:beforeAutospacing="1" w:after="100" w:afterAutospacing="1"/>
        <w:ind w:left="-57" w:right="57"/>
        <w:jc w:val="right"/>
        <w:rPr>
          <w:b/>
          <w:bCs/>
        </w:rPr>
      </w:pPr>
    </w:p>
    <w:p w:rsidR="00023828" w:rsidRDefault="00743807" w:rsidP="007B4438">
      <w:pPr>
        <w:jc w:val="right"/>
      </w:pPr>
      <w:r>
        <w:br w:type="page"/>
      </w:r>
      <w:r w:rsidR="00B800F9">
        <w:rPr>
          <w:noProof/>
        </w:rPr>
        <w:lastRenderedPageBreak/>
        <w:pict>
          <v:rect id="_x0000_s1026" style="position:absolute;left:0;text-align:left;margin-left:-40.95pt;margin-top:-30.05pt;width:532.45pt;height:742.4pt;z-index:251658240" strokeweight="6pt">
            <v:stroke linestyle="thickBetweenThin"/>
            <v:textbox style="mso-next-textbox:#_x0000_s1026" inset="5mm,,5mm">
              <w:txbxContent>
                <w:p w:rsidR="00743807" w:rsidRPr="00E4135E" w:rsidRDefault="00743807" w:rsidP="00743807">
                  <w:pPr>
                    <w:spacing w:before="360" w:after="120"/>
                    <w:jc w:val="center"/>
                    <w:rPr>
                      <w:b/>
                      <w:sz w:val="28"/>
                      <w:szCs w:val="28"/>
                    </w:rPr>
                  </w:pPr>
                  <w:r w:rsidRPr="00E4135E">
                    <w:rPr>
                      <w:b/>
                      <w:sz w:val="28"/>
                      <w:szCs w:val="28"/>
                    </w:rPr>
                    <w:t>Statement of Compatibility with Human Rights</w:t>
                  </w:r>
                </w:p>
                <w:p w:rsidR="00743807" w:rsidRPr="00E4135E" w:rsidRDefault="00743807" w:rsidP="00743807">
                  <w:pPr>
                    <w:spacing w:before="120" w:after="120"/>
                    <w:jc w:val="center"/>
                    <w:rPr>
                      <w:szCs w:val="24"/>
                    </w:rPr>
                  </w:pPr>
                  <w:r w:rsidRPr="00E4135E">
                    <w:rPr>
                      <w:i/>
                      <w:szCs w:val="24"/>
                    </w:rPr>
                    <w:t>Prepared in accordance with Part 3 of the Human Rights (Parliamentary Scrutiny) Act 2011</w:t>
                  </w:r>
                </w:p>
                <w:p w:rsidR="00743807" w:rsidRPr="00E4135E" w:rsidRDefault="00743807" w:rsidP="00743807">
                  <w:pPr>
                    <w:jc w:val="center"/>
                    <w:rPr>
                      <w:szCs w:val="24"/>
                    </w:rPr>
                  </w:pPr>
                </w:p>
                <w:p w:rsidR="00743807" w:rsidRPr="00E4135E" w:rsidRDefault="00743807" w:rsidP="00743807">
                  <w:pPr>
                    <w:spacing w:before="120" w:after="120"/>
                    <w:jc w:val="center"/>
                    <w:rPr>
                      <w:b/>
                      <w:szCs w:val="24"/>
                    </w:rPr>
                  </w:pPr>
                  <w:r>
                    <w:rPr>
                      <w:b/>
                      <w:szCs w:val="24"/>
                    </w:rPr>
                    <w:t>Private Health Insurance (Lifetime Health Cover) Rules 2017</w:t>
                  </w:r>
                  <w:r w:rsidRPr="00E4135E">
                    <w:rPr>
                      <w:b/>
                      <w:szCs w:val="24"/>
                    </w:rPr>
                    <w:t xml:space="preserve"> </w:t>
                  </w:r>
                </w:p>
                <w:p w:rsidR="00743807" w:rsidRPr="00E4135E" w:rsidRDefault="00743807" w:rsidP="00743807">
                  <w:pPr>
                    <w:spacing w:before="120" w:after="120"/>
                    <w:rPr>
                      <w:szCs w:val="24"/>
                    </w:rPr>
                  </w:pPr>
                  <w:r w:rsidRPr="00E4135E">
                    <w:rPr>
                      <w:szCs w:val="24"/>
                    </w:rPr>
                    <w:t>Thi</w:t>
                  </w:r>
                  <w:r>
                    <w:rPr>
                      <w:szCs w:val="24"/>
                    </w:rPr>
                    <w:t xml:space="preserve">s </w:t>
                  </w:r>
                  <w:r w:rsidRPr="00E4135E">
                    <w:rPr>
                      <w:szCs w:val="24"/>
                    </w:rPr>
                    <w:t xml:space="preserve">Legislative Instrument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rsidR="00743807" w:rsidRPr="009C5303" w:rsidRDefault="00743807" w:rsidP="009C5303">
                  <w:pPr>
                    <w:spacing w:before="120" w:after="120"/>
                    <w:jc w:val="both"/>
                    <w:rPr>
                      <w:b/>
                      <w:szCs w:val="24"/>
                    </w:rPr>
                  </w:pPr>
                  <w:r w:rsidRPr="00466784">
                    <w:rPr>
                      <w:b/>
                      <w:szCs w:val="24"/>
                    </w:rPr>
                    <w:t>Overview of the Legislative Instrument</w:t>
                  </w:r>
                </w:p>
                <w:p w:rsidR="001E485A" w:rsidRDefault="001E485A" w:rsidP="001E485A">
                  <w:pPr>
                    <w:pStyle w:val="Subtitle"/>
                    <w:rPr>
                      <w:u w:val="none"/>
                    </w:rPr>
                  </w:pPr>
                  <w:r w:rsidRPr="007D05A8">
                    <w:rPr>
                      <w:u w:val="none"/>
                    </w:rPr>
                    <w:t>The Rules set out administrative matters relating to lifetime health cover, such as the categories of people who are taken to have hospital cover and the provision for suspension of hospital cover.  The Rules set out the notification of information requirements for adult insured persons, adults who apply for hospital cover, and information given by one private health insurer to another.  The Rules also provide for the kinds of conclusive evidence of hospital cover or age. </w:t>
                  </w:r>
                </w:p>
                <w:p w:rsidR="001E485A" w:rsidRPr="007D05A8" w:rsidRDefault="001E485A" w:rsidP="001E485A">
                  <w:pPr>
                    <w:pStyle w:val="Subtitle"/>
                    <w:rPr>
                      <w:u w:val="none"/>
                    </w:rPr>
                  </w:pPr>
                </w:p>
                <w:p w:rsidR="001E485A" w:rsidRDefault="001E485A" w:rsidP="001E485A">
                  <w:pPr>
                    <w:pStyle w:val="Subtitle"/>
                    <w:rPr>
                      <w:u w:val="none"/>
                    </w:rPr>
                  </w:pPr>
                  <w:r w:rsidRPr="00EC0D9D">
                    <w:rPr>
                      <w:u w:val="none"/>
                    </w:rPr>
                    <w:t xml:space="preserve">The creation of the </w:t>
                  </w:r>
                  <w:r w:rsidRPr="00EC0D9D">
                    <w:rPr>
                      <w:i/>
                      <w:u w:val="none"/>
                    </w:rPr>
                    <w:t xml:space="preserve">Private Health Insurance (Lifetime Health Cover) Rules 2017 </w:t>
                  </w:r>
                  <w:r w:rsidRPr="00EC0D9D">
                    <w:rPr>
                      <w:u w:val="none"/>
                    </w:rPr>
                    <w:t xml:space="preserve">repeals and remakes the </w:t>
                  </w:r>
                  <w:r w:rsidRPr="00EC0D9D">
                    <w:rPr>
                      <w:i/>
                      <w:u w:val="none"/>
                    </w:rPr>
                    <w:t xml:space="preserve">Private Health Insurance (Lifetime Health Cover) Rules 2007 </w:t>
                  </w:r>
                  <w:r w:rsidRPr="00EC0D9D">
                    <w:rPr>
                      <w:u w:val="none"/>
                    </w:rPr>
                    <w:t xml:space="preserve">which is due to sunset on 1 April 2017. </w:t>
                  </w:r>
                </w:p>
                <w:p w:rsidR="00743807" w:rsidRPr="00A163C5" w:rsidRDefault="00743807" w:rsidP="00743807">
                  <w:pPr>
                    <w:spacing w:before="120" w:after="120"/>
                    <w:rPr>
                      <w:b/>
                      <w:szCs w:val="24"/>
                    </w:rPr>
                  </w:pPr>
                  <w:r w:rsidRPr="00A163C5">
                    <w:rPr>
                      <w:b/>
                      <w:szCs w:val="24"/>
                    </w:rPr>
                    <w:t>Human rights implications</w:t>
                  </w:r>
                </w:p>
                <w:p w:rsidR="00743807" w:rsidRDefault="00743807" w:rsidP="00743807">
                  <w:pPr>
                    <w:autoSpaceDE w:val="0"/>
                    <w:autoSpaceDN w:val="0"/>
                    <w:adjustRightInd w:val="0"/>
                    <w:spacing w:before="120" w:after="120"/>
                    <w:rPr>
                      <w:color w:val="000000"/>
                      <w:szCs w:val="24"/>
                    </w:rPr>
                  </w:pPr>
                  <w:r>
                    <w:rPr>
                      <w:color w:val="000000"/>
                      <w:szCs w:val="24"/>
                    </w:rPr>
                    <w:t xml:space="preserve">This legislative instrument engages Articles 2 and 12 of the International Covenant on Economic, Social and Cultural Rights by assisting with the progressive realisation by all appropriate means of the right of everyone to the enjoyment of the highest attainable standard of physical and mental health. </w:t>
                  </w:r>
                </w:p>
                <w:p w:rsidR="00743807" w:rsidRDefault="00743807" w:rsidP="00743807">
                  <w:pPr>
                    <w:autoSpaceDE w:val="0"/>
                    <w:autoSpaceDN w:val="0"/>
                    <w:adjustRightInd w:val="0"/>
                    <w:rPr>
                      <w:color w:val="000000"/>
                      <w:szCs w:val="24"/>
                    </w:rPr>
                  </w:pPr>
                </w:p>
                <w:p w:rsidR="00743807" w:rsidRDefault="00743807" w:rsidP="00743807">
                  <w:pPr>
                    <w:rPr>
                      <w:color w:val="000000"/>
                      <w:szCs w:val="24"/>
                    </w:rPr>
                  </w:pPr>
                  <w:r>
                    <w:rPr>
                      <w:color w:val="000000"/>
                      <w:szCs w:val="24"/>
                    </w:rPr>
                    <w:t xml:space="preserve">Private health insurance regulation assists with the advancement of these human rights by improving the governing framework for private health insurance in the interests of consumers.  Private health insurance regulation aims to encourage insurers and providers of private health goods and services to provide better value for money to consumers, to improve information provided to consumers of private health services to allow consumers to make more informed choices when purchasing services and requires insurers not to differentiate the premiums they charge according to individual health characteristics such as poor health.  </w:t>
                  </w:r>
                </w:p>
                <w:p w:rsidR="00743807" w:rsidRDefault="00743807" w:rsidP="00743807">
                  <w:pPr>
                    <w:rPr>
                      <w:szCs w:val="24"/>
                    </w:rPr>
                  </w:pPr>
                </w:p>
                <w:p w:rsidR="00743807" w:rsidRDefault="00743807" w:rsidP="00743807">
                  <w:pPr>
                    <w:rPr>
                      <w:b/>
                      <w:szCs w:val="24"/>
                    </w:rPr>
                  </w:pPr>
                  <w:r>
                    <w:rPr>
                      <w:b/>
                      <w:szCs w:val="24"/>
                    </w:rPr>
                    <w:t>Conclusion</w:t>
                  </w:r>
                </w:p>
                <w:p w:rsidR="00743807" w:rsidRDefault="00743807" w:rsidP="00743807">
                  <w:pPr>
                    <w:spacing w:before="120" w:after="120"/>
                    <w:rPr>
                      <w:b/>
                      <w:szCs w:val="24"/>
                    </w:rPr>
                  </w:pPr>
                  <w:r>
                    <w:rPr>
                      <w:szCs w:val="24"/>
                    </w:rPr>
                    <w:t>This legislative instrument is compatible with human rights because it advances the protection of human rights.</w:t>
                  </w:r>
                </w:p>
                <w:p w:rsidR="00743807" w:rsidRDefault="00743807" w:rsidP="00743807">
                  <w:pPr>
                    <w:jc w:val="center"/>
                    <w:rPr>
                      <w:b/>
                      <w:szCs w:val="24"/>
                    </w:rPr>
                  </w:pPr>
                </w:p>
                <w:p w:rsidR="00743807" w:rsidRDefault="00743807" w:rsidP="00743807">
                  <w:pPr>
                    <w:spacing w:after="240"/>
                    <w:jc w:val="center"/>
                    <w:rPr>
                      <w:b/>
                      <w:szCs w:val="24"/>
                    </w:rPr>
                  </w:pPr>
                  <w:r>
                    <w:rPr>
                      <w:b/>
                      <w:szCs w:val="24"/>
                    </w:rPr>
                    <w:t>Tracey Duffy</w:t>
                  </w:r>
                </w:p>
                <w:p w:rsidR="00743807" w:rsidRDefault="00743807" w:rsidP="00743807">
                  <w:pPr>
                    <w:spacing w:after="240"/>
                    <w:jc w:val="center"/>
                    <w:rPr>
                      <w:b/>
                      <w:szCs w:val="24"/>
                    </w:rPr>
                  </w:pPr>
                  <w:r>
                    <w:rPr>
                      <w:b/>
                      <w:szCs w:val="24"/>
                    </w:rPr>
                    <w:t>Assistant Secretary</w:t>
                  </w:r>
                </w:p>
                <w:p w:rsidR="00743807" w:rsidRDefault="00743807" w:rsidP="00743807">
                  <w:pPr>
                    <w:spacing w:after="240"/>
                    <w:jc w:val="center"/>
                    <w:rPr>
                      <w:b/>
                      <w:szCs w:val="24"/>
                    </w:rPr>
                  </w:pPr>
                  <w:r>
                    <w:rPr>
                      <w:b/>
                      <w:szCs w:val="24"/>
                    </w:rPr>
                    <w:t>Private Health Insurance Branch</w:t>
                  </w:r>
                </w:p>
                <w:p w:rsidR="00743807" w:rsidRDefault="00743807" w:rsidP="00743807">
                  <w:pPr>
                    <w:spacing w:after="240"/>
                    <w:jc w:val="center"/>
                    <w:rPr>
                      <w:b/>
                      <w:szCs w:val="24"/>
                    </w:rPr>
                  </w:pPr>
                  <w:r>
                    <w:rPr>
                      <w:b/>
                      <w:szCs w:val="24"/>
                    </w:rPr>
                    <w:t>Medical Benefits Division</w:t>
                  </w:r>
                </w:p>
                <w:p w:rsidR="00743807" w:rsidRDefault="00743807" w:rsidP="00743807">
                  <w:pPr>
                    <w:spacing w:after="240"/>
                    <w:jc w:val="center"/>
                    <w:rPr>
                      <w:b/>
                      <w:szCs w:val="24"/>
                    </w:rPr>
                  </w:pPr>
                  <w:r>
                    <w:rPr>
                      <w:b/>
                      <w:szCs w:val="24"/>
                    </w:rPr>
                    <w:t>Department of Health</w:t>
                  </w:r>
                </w:p>
                <w:p w:rsidR="00743807" w:rsidRPr="00E4135E" w:rsidRDefault="00743807" w:rsidP="00743807">
                  <w:pPr>
                    <w:spacing w:before="120" w:after="120"/>
                    <w:rPr>
                      <w:szCs w:val="24"/>
                    </w:rPr>
                  </w:pPr>
                </w:p>
              </w:txbxContent>
            </v:textbox>
          </v:rect>
        </w:pict>
      </w:r>
    </w:p>
    <w:sectPr w:rsidR="00023828">
      <w:headerReference w:type="even" r:id="rId8"/>
      <w:headerReference w:type="default" r:id="rId9"/>
      <w:headerReference w:type="first" r:id="rId10"/>
      <w:pgSz w:w="11906" w:h="16838"/>
      <w:pgMar w:top="1304" w:right="1440" w:bottom="1304" w:left="1440" w:header="720" w:footer="720"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B87" w:rsidRDefault="00E31B87">
      <w:r>
        <w:separator/>
      </w:r>
    </w:p>
  </w:endnote>
  <w:endnote w:type="continuationSeparator" w:id="0">
    <w:p w:rsidR="00E31B87" w:rsidRDefault="00E31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B87" w:rsidRDefault="00E31B87">
      <w:r>
        <w:separator/>
      </w:r>
    </w:p>
  </w:footnote>
  <w:footnote w:type="continuationSeparator" w:id="0">
    <w:p w:rsidR="00E31B87" w:rsidRDefault="00E31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B87" w:rsidRDefault="00E31B8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31B87" w:rsidRDefault="00E31B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B87" w:rsidRDefault="00E31B8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00F9">
      <w:rPr>
        <w:rStyle w:val="PageNumber"/>
        <w:noProof/>
      </w:rPr>
      <w:t>5</w:t>
    </w:r>
    <w:r>
      <w:rPr>
        <w:rStyle w:val="PageNumber"/>
      </w:rPr>
      <w:fldChar w:fldCharType="end"/>
    </w:r>
  </w:p>
  <w:p w:rsidR="00E31B87" w:rsidRDefault="00E31B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B87" w:rsidRPr="0072447C" w:rsidRDefault="00E31B87" w:rsidP="0072447C">
    <w:pPr>
      <w:pStyle w:val="Header"/>
      <w:jc w:val="center"/>
      <w:rPr>
        <w:b/>
        <w:lang w:val="en-A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D5311"/>
    <w:multiLevelType w:val="hybridMultilevel"/>
    <w:tmpl w:val="E20A46BE"/>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17AB2196"/>
    <w:multiLevelType w:val="hybridMultilevel"/>
    <w:tmpl w:val="FADA3618"/>
    <w:lvl w:ilvl="0" w:tplc="0C09000F">
      <w:start w:val="6"/>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1AD46913"/>
    <w:multiLevelType w:val="hybridMultilevel"/>
    <w:tmpl w:val="E62E0EDC"/>
    <w:lvl w:ilvl="0" w:tplc="A06E0340">
      <w:start w:val="1"/>
      <w:numFmt w:val="decimal"/>
      <w:lvlText w:val="%1."/>
      <w:lvlJc w:val="left"/>
      <w:pPr>
        <w:tabs>
          <w:tab w:val="num" w:pos="420"/>
        </w:tabs>
        <w:ind w:left="420" w:hanging="360"/>
      </w:pPr>
      <w:rPr>
        <w:rFonts w:hint="default"/>
      </w:rPr>
    </w:lvl>
    <w:lvl w:ilvl="1" w:tplc="0C090019" w:tentative="1">
      <w:start w:val="1"/>
      <w:numFmt w:val="lowerLetter"/>
      <w:lvlText w:val="%2."/>
      <w:lvlJc w:val="left"/>
      <w:pPr>
        <w:tabs>
          <w:tab w:val="num" w:pos="1140"/>
        </w:tabs>
        <w:ind w:left="1140" w:hanging="360"/>
      </w:pPr>
    </w:lvl>
    <w:lvl w:ilvl="2" w:tplc="0C09001B" w:tentative="1">
      <w:start w:val="1"/>
      <w:numFmt w:val="lowerRoman"/>
      <w:lvlText w:val="%3."/>
      <w:lvlJc w:val="right"/>
      <w:pPr>
        <w:tabs>
          <w:tab w:val="num" w:pos="1860"/>
        </w:tabs>
        <w:ind w:left="1860" w:hanging="180"/>
      </w:pPr>
    </w:lvl>
    <w:lvl w:ilvl="3" w:tplc="0C09000F" w:tentative="1">
      <w:start w:val="1"/>
      <w:numFmt w:val="decimal"/>
      <w:lvlText w:val="%4."/>
      <w:lvlJc w:val="left"/>
      <w:pPr>
        <w:tabs>
          <w:tab w:val="num" w:pos="2580"/>
        </w:tabs>
        <w:ind w:left="2580" w:hanging="360"/>
      </w:pPr>
    </w:lvl>
    <w:lvl w:ilvl="4" w:tplc="0C090019" w:tentative="1">
      <w:start w:val="1"/>
      <w:numFmt w:val="lowerLetter"/>
      <w:lvlText w:val="%5."/>
      <w:lvlJc w:val="left"/>
      <w:pPr>
        <w:tabs>
          <w:tab w:val="num" w:pos="3300"/>
        </w:tabs>
        <w:ind w:left="3300" w:hanging="360"/>
      </w:pPr>
    </w:lvl>
    <w:lvl w:ilvl="5" w:tplc="0C09001B" w:tentative="1">
      <w:start w:val="1"/>
      <w:numFmt w:val="lowerRoman"/>
      <w:lvlText w:val="%6."/>
      <w:lvlJc w:val="right"/>
      <w:pPr>
        <w:tabs>
          <w:tab w:val="num" w:pos="4020"/>
        </w:tabs>
        <w:ind w:left="4020" w:hanging="180"/>
      </w:pPr>
    </w:lvl>
    <w:lvl w:ilvl="6" w:tplc="0C09000F" w:tentative="1">
      <w:start w:val="1"/>
      <w:numFmt w:val="decimal"/>
      <w:lvlText w:val="%7."/>
      <w:lvlJc w:val="left"/>
      <w:pPr>
        <w:tabs>
          <w:tab w:val="num" w:pos="4740"/>
        </w:tabs>
        <w:ind w:left="4740" w:hanging="360"/>
      </w:pPr>
    </w:lvl>
    <w:lvl w:ilvl="7" w:tplc="0C090019" w:tentative="1">
      <w:start w:val="1"/>
      <w:numFmt w:val="lowerLetter"/>
      <w:lvlText w:val="%8."/>
      <w:lvlJc w:val="left"/>
      <w:pPr>
        <w:tabs>
          <w:tab w:val="num" w:pos="5460"/>
        </w:tabs>
        <w:ind w:left="5460" w:hanging="360"/>
      </w:pPr>
    </w:lvl>
    <w:lvl w:ilvl="8" w:tplc="0C09001B" w:tentative="1">
      <w:start w:val="1"/>
      <w:numFmt w:val="lowerRoman"/>
      <w:lvlText w:val="%9."/>
      <w:lvlJc w:val="right"/>
      <w:pPr>
        <w:tabs>
          <w:tab w:val="num" w:pos="6180"/>
        </w:tabs>
        <w:ind w:left="6180" w:hanging="180"/>
      </w:pPr>
    </w:lvl>
  </w:abstractNum>
  <w:abstractNum w:abstractNumId="3">
    <w:nsid w:val="2527120D"/>
    <w:multiLevelType w:val="hybridMultilevel"/>
    <w:tmpl w:val="28C8EDFE"/>
    <w:lvl w:ilvl="0" w:tplc="AA0CF784">
      <w:start w:val="1"/>
      <w:numFmt w:val="lowerLetter"/>
      <w:lvlText w:val="(%1)"/>
      <w:lvlJc w:val="left"/>
      <w:pPr>
        <w:tabs>
          <w:tab w:val="num" w:pos="420"/>
        </w:tabs>
        <w:ind w:left="420" w:hanging="360"/>
      </w:pPr>
      <w:rPr>
        <w:rFonts w:hint="default"/>
      </w:rPr>
    </w:lvl>
    <w:lvl w:ilvl="1" w:tplc="0C090019" w:tentative="1">
      <w:start w:val="1"/>
      <w:numFmt w:val="lowerLetter"/>
      <w:lvlText w:val="%2."/>
      <w:lvlJc w:val="left"/>
      <w:pPr>
        <w:tabs>
          <w:tab w:val="num" w:pos="1140"/>
        </w:tabs>
        <w:ind w:left="1140" w:hanging="360"/>
      </w:pPr>
    </w:lvl>
    <w:lvl w:ilvl="2" w:tplc="0C09001B" w:tentative="1">
      <w:start w:val="1"/>
      <w:numFmt w:val="lowerRoman"/>
      <w:lvlText w:val="%3."/>
      <w:lvlJc w:val="right"/>
      <w:pPr>
        <w:tabs>
          <w:tab w:val="num" w:pos="1860"/>
        </w:tabs>
        <w:ind w:left="1860" w:hanging="180"/>
      </w:pPr>
    </w:lvl>
    <w:lvl w:ilvl="3" w:tplc="0C09000F" w:tentative="1">
      <w:start w:val="1"/>
      <w:numFmt w:val="decimal"/>
      <w:lvlText w:val="%4."/>
      <w:lvlJc w:val="left"/>
      <w:pPr>
        <w:tabs>
          <w:tab w:val="num" w:pos="2580"/>
        </w:tabs>
        <w:ind w:left="2580" w:hanging="360"/>
      </w:pPr>
    </w:lvl>
    <w:lvl w:ilvl="4" w:tplc="0C090019" w:tentative="1">
      <w:start w:val="1"/>
      <w:numFmt w:val="lowerLetter"/>
      <w:lvlText w:val="%5."/>
      <w:lvlJc w:val="left"/>
      <w:pPr>
        <w:tabs>
          <w:tab w:val="num" w:pos="3300"/>
        </w:tabs>
        <w:ind w:left="3300" w:hanging="360"/>
      </w:pPr>
    </w:lvl>
    <w:lvl w:ilvl="5" w:tplc="0C09001B" w:tentative="1">
      <w:start w:val="1"/>
      <w:numFmt w:val="lowerRoman"/>
      <w:lvlText w:val="%6."/>
      <w:lvlJc w:val="right"/>
      <w:pPr>
        <w:tabs>
          <w:tab w:val="num" w:pos="4020"/>
        </w:tabs>
        <w:ind w:left="4020" w:hanging="180"/>
      </w:pPr>
    </w:lvl>
    <w:lvl w:ilvl="6" w:tplc="0C09000F" w:tentative="1">
      <w:start w:val="1"/>
      <w:numFmt w:val="decimal"/>
      <w:lvlText w:val="%7."/>
      <w:lvlJc w:val="left"/>
      <w:pPr>
        <w:tabs>
          <w:tab w:val="num" w:pos="4740"/>
        </w:tabs>
        <w:ind w:left="4740" w:hanging="360"/>
      </w:pPr>
    </w:lvl>
    <w:lvl w:ilvl="7" w:tplc="0C090019" w:tentative="1">
      <w:start w:val="1"/>
      <w:numFmt w:val="lowerLetter"/>
      <w:lvlText w:val="%8."/>
      <w:lvlJc w:val="left"/>
      <w:pPr>
        <w:tabs>
          <w:tab w:val="num" w:pos="5460"/>
        </w:tabs>
        <w:ind w:left="5460" w:hanging="360"/>
      </w:pPr>
    </w:lvl>
    <w:lvl w:ilvl="8" w:tplc="0C09001B" w:tentative="1">
      <w:start w:val="1"/>
      <w:numFmt w:val="lowerRoman"/>
      <w:lvlText w:val="%9."/>
      <w:lvlJc w:val="right"/>
      <w:pPr>
        <w:tabs>
          <w:tab w:val="num" w:pos="6180"/>
        </w:tabs>
        <w:ind w:left="6180" w:hanging="180"/>
      </w:pPr>
    </w:lvl>
  </w:abstractNum>
  <w:abstractNum w:abstractNumId="4">
    <w:nsid w:val="2BFA4A5D"/>
    <w:multiLevelType w:val="hybridMultilevel"/>
    <w:tmpl w:val="3B98BDFC"/>
    <w:lvl w:ilvl="0" w:tplc="0C090001">
      <w:start w:val="1"/>
      <w:numFmt w:val="bullet"/>
      <w:lvlText w:val=""/>
      <w:lvlJc w:val="left"/>
      <w:pPr>
        <w:tabs>
          <w:tab w:val="num" w:pos="663"/>
        </w:tabs>
        <w:ind w:left="663" w:hanging="360"/>
      </w:pPr>
      <w:rPr>
        <w:rFonts w:ascii="Symbol" w:hAnsi="Symbol" w:hint="default"/>
      </w:rPr>
    </w:lvl>
    <w:lvl w:ilvl="1" w:tplc="0C090003" w:tentative="1">
      <w:start w:val="1"/>
      <w:numFmt w:val="bullet"/>
      <w:lvlText w:val="o"/>
      <w:lvlJc w:val="left"/>
      <w:pPr>
        <w:tabs>
          <w:tab w:val="num" w:pos="1383"/>
        </w:tabs>
        <w:ind w:left="1383" w:hanging="360"/>
      </w:pPr>
      <w:rPr>
        <w:rFonts w:ascii="Courier New" w:hAnsi="Courier New" w:cs="Courier New" w:hint="default"/>
      </w:rPr>
    </w:lvl>
    <w:lvl w:ilvl="2" w:tplc="0C090005" w:tentative="1">
      <w:start w:val="1"/>
      <w:numFmt w:val="bullet"/>
      <w:lvlText w:val=""/>
      <w:lvlJc w:val="left"/>
      <w:pPr>
        <w:tabs>
          <w:tab w:val="num" w:pos="2103"/>
        </w:tabs>
        <w:ind w:left="2103" w:hanging="360"/>
      </w:pPr>
      <w:rPr>
        <w:rFonts w:ascii="Wingdings" w:hAnsi="Wingdings" w:hint="default"/>
      </w:rPr>
    </w:lvl>
    <w:lvl w:ilvl="3" w:tplc="0C090001" w:tentative="1">
      <w:start w:val="1"/>
      <w:numFmt w:val="bullet"/>
      <w:lvlText w:val=""/>
      <w:lvlJc w:val="left"/>
      <w:pPr>
        <w:tabs>
          <w:tab w:val="num" w:pos="2823"/>
        </w:tabs>
        <w:ind w:left="2823" w:hanging="360"/>
      </w:pPr>
      <w:rPr>
        <w:rFonts w:ascii="Symbol" w:hAnsi="Symbol" w:hint="default"/>
      </w:rPr>
    </w:lvl>
    <w:lvl w:ilvl="4" w:tplc="0C090003" w:tentative="1">
      <w:start w:val="1"/>
      <w:numFmt w:val="bullet"/>
      <w:lvlText w:val="o"/>
      <w:lvlJc w:val="left"/>
      <w:pPr>
        <w:tabs>
          <w:tab w:val="num" w:pos="3543"/>
        </w:tabs>
        <w:ind w:left="3543" w:hanging="360"/>
      </w:pPr>
      <w:rPr>
        <w:rFonts w:ascii="Courier New" w:hAnsi="Courier New" w:cs="Courier New" w:hint="default"/>
      </w:rPr>
    </w:lvl>
    <w:lvl w:ilvl="5" w:tplc="0C090005" w:tentative="1">
      <w:start w:val="1"/>
      <w:numFmt w:val="bullet"/>
      <w:lvlText w:val=""/>
      <w:lvlJc w:val="left"/>
      <w:pPr>
        <w:tabs>
          <w:tab w:val="num" w:pos="4263"/>
        </w:tabs>
        <w:ind w:left="4263" w:hanging="360"/>
      </w:pPr>
      <w:rPr>
        <w:rFonts w:ascii="Wingdings" w:hAnsi="Wingdings" w:hint="default"/>
      </w:rPr>
    </w:lvl>
    <w:lvl w:ilvl="6" w:tplc="0C090001" w:tentative="1">
      <w:start w:val="1"/>
      <w:numFmt w:val="bullet"/>
      <w:lvlText w:val=""/>
      <w:lvlJc w:val="left"/>
      <w:pPr>
        <w:tabs>
          <w:tab w:val="num" w:pos="4983"/>
        </w:tabs>
        <w:ind w:left="4983" w:hanging="360"/>
      </w:pPr>
      <w:rPr>
        <w:rFonts w:ascii="Symbol" w:hAnsi="Symbol" w:hint="default"/>
      </w:rPr>
    </w:lvl>
    <w:lvl w:ilvl="7" w:tplc="0C090003" w:tentative="1">
      <w:start w:val="1"/>
      <w:numFmt w:val="bullet"/>
      <w:lvlText w:val="o"/>
      <w:lvlJc w:val="left"/>
      <w:pPr>
        <w:tabs>
          <w:tab w:val="num" w:pos="5703"/>
        </w:tabs>
        <w:ind w:left="5703" w:hanging="360"/>
      </w:pPr>
      <w:rPr>
        <w:rFonts w:ascii="Courier New" w:hAnsi="Courier New" w:cs="Courier New" w:hint="default"/>
      </w:rPr>
    </w:lvl>
    <w:lvl w:ilvl="8" w:tplc="0C090005" w:tentative="1">
      <w:start w:val="1"/>
      <w:numFmt w:val="bullet"/>
      <w:lvlText w:val=""/>
      <w:lvlJc w:val="left"/>
      <w:pPr>
        <w:tabs>
          <w:tab w:val="num" w:pos="6423"/>
        </w:tabs>
        <w:ind w:left="6423" w:hanging="360"/>
      </w:pPr>
      <w:rPr>
        <w:rFonts w:ascii="Wingdings" w:hAnsi="Wingdings" w:hint="default"/>
      </w:rPr>
    </w:lvl>
  </w:abstractNum>
  <w:abstractNum w:abstractNumId="5">
    <w:nsid w:val="37463A66"/>
    <w:multiLevelType w:val="hybridMultilevel"/>
    <w:tmpl w:val="69B47AEA"/>
    <w:lvl w:ilvl="0" w:tplc="4FD623CC">
      <w:start w:val="3"/>
      <w:numFmt w:val="decimal"/>
      <w:lvlText w:val="%1."/>
      <w:lvlJc w:val="left"/>
      <w:pPr>
        <w:tabs>
          <w:tab w:val="num" w:pos="420"/>
        </w:tabs>
        <w:ind w:left="420" w:hanging="360"/>
      </w:pPr>
      <w:rPr>
        <w:rFonts w:hint="default"/>
      </w:rPr>
    </w:lvl>
    <w:lvl w:ilvl="1" w:tplc="0C090001">
      <w:start w:val="1"/>
      <w:numFmt w:val="bullet"/>
      <w:lvlText w:val=""/>
      <w:lvlJc w:val="left"/>
      <w:pPr>
        <w:tabs>
          <w:tab w:val="num" w:pos="1140"/>
        </w:tabs>
        <w:ind w:left="1140" w:hanging="360"/>
      </w:pPr>
      <w:rPr>
        <w:rFonts w:ascii="Symbol" w:hAnsi="Symbol" w:hint="default"/>
      </w:rPr>
    </w:lvl>
    <w:lvl w:ilvl="2" w:tplc="0C09001B" w:tentative="1">
      <w:start w:val="1"/>
      <w:numFmt w:val="lowerRoman"/>
      <w:lvlText w:val="%3."/>
      <w:lvlJc w:val="right"/>
      <w:pPr>
        <w:tabs>
          <w:tab w:val="num" w:pos="1860"/>
        </w:tabs>
        <w:ind w:left="1860" w:hanging="180"/>
      </w:pPr>
    </w:lvl>
    <w:lvl w:ilvl="3" w:tplc="0C09000F" w:tentative="1">
      <w:start w:val="1"/>
      <w:numFmt w:val="decimal"/>
      <w:lvlText w:val="%4."/>
      <w:lvlJc w:val="left"/>
      <w:pPr>
        <w:tabs>
          <w:tab w:val="num" w:pos="2580"/>
        </w:tabs>
        <w:ind w:left="2580" w:hanging="360"/>
      </w:pPr>
    </w:lvl>
    <w:lvl w:ilvl="4" w:tplc="0C090019" w:tentative="1">
      <w:start w:val="1"/>
      <w:numFmt w:val="lowerLetter"/>
      <w:lvlText w:val="%5."/>
      <w:lvlJc w:val="left"/>
      <w:pPr>
        <w:tabs>
          <w:tab w:val="num" w:pos="3300"/>
        </w:tabs>
        <w:ind w:left="3300" w:hanging="360"/>
      </w:pPr>
    </w:lvl>
    <w:lvl w:ilvl="5" w:tplc="0C09001B" w:tentative="1">
      <w:start w:val="1"/>
      <w:numFmt w:val="lowerRoman"/>
      <w:lvlText w:val="%6."/>
      <w:lvlJc w:val="right"/>
      <w:pPr>
        <w:tabs>
          <w:tab w:val="num" w:pos="4020"/>
        </w:tabs>
        <w:ind w:left="4020" w:hanging="180"/>
      </w:pPr>
    </w:lvl>
    <w:lvl w:ilvl="6" w:tplc="0C09000F" w:tentative="1">
      <w:start w:val="1"/>
      <w:numFmt w:val="decimal"/>
      <w:lvlText w:val="%7."/>
      <w:lvlJc w:val="left"/>
      <w:pPr>
        <w:tabs>
          <w:tab w:val="num" w:pos="4740"/>
        </w:tabs>
        <w:ind w:left="4740" w:hanging="360"/>
      </w:pPr>
    </w:lvl>
    <w:lvl w:ilvl="7" w:tplc="0C090019" w:tentative="1">
      <w:start w:val="1"/>
      <w:numFmt w:val="lowerLetter"/>
      <w:lvlText w:val="%8."/>
      <w:lvlJc w:val="left"/>
      <w:pPr>
        <w:tabs>
          <w:tab w:val="num" w:pos="5460"/>
        </w:tabs>
        <w:ind w:left="5460" w:hanging="360"/>
      </w:pPr>
    </w:lvl>
    <w:lvl w:ilvl="8" w:tplc="0C09001B" w:tentative="1">
      <w:start w:val="1"/>
      <w:numFmt w:val="lowerRoman"/>
      <w:lvlText w:val="%9."/>
      <w:lvlJc w:val="right"/>
      <w:pPr>
        <w:tabs>
          <w:tab w:val="num" w:pos="6180"/>
        </w:tabs>
        <w:ind w:left="6180" w:hanging="180"/>
      </w:pPr>
    </w:lvl>
  </w:abstractNum>
  <w:abstractNum w:abstractNumId="6">
    <w:nsid w:val="39164B76"/>
    <w:multiLevelType w:val="hybridMultilevel"/>
    <w:tmpl w:val="9B882360"/>
    <w:lvl w:ilvl="0" w:tplc="0C09000F">
      <w:start w:val="6"/>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5A250280"/>
    <w:multiLevelType w:val="hybridMultilevel"/>
    <w:tmpl w:val="EA4292EE"/>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703023F3"/>
    <w:multiLevelType w:val="hybridMultilevel"/>
    <w:tmpl w:val="127A1FF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77357255"/>
    <w:multiLevelType w:val="multilevel"/>
    <w:tmpl w:val="112E5034"/>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9"/>
  </w:num>
  <w:num w:numId="2">
    <w:abstractNumId w:val="8"/>
  </w:num>
  <w:num w:numId="3">
    <w:abstractNumId w:val="7"/>
  </w:num>
  <w:num w:numId="4">
    <w:abstractNumId w:val="0"/>
  </w:num>
  <w:num w:numId="5">
    <w:abstractNumId w:val="2"/>
  </w:num>
  <w:num w:numId="6">
    <w:abstractNumId w:val="3"/>
  </w:num>
  <w:num w:numId="7">
    <w:abstractNumId w:val="6"/>
  </w:num>
  <w:num w:numId="8">
    <w:abstractNumId w:val="1"/>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207C"/>
    <w:rsid w:val="00011F07"/>
    <w:rsid w:val="00014282"/>
    <w:rsid w:val="0001486F"/>
    <w:rsid w:val="00020C71"/>
    <w:rsid w:val="00023828"/>
    <w:rsid w:val="00025876"/>
    <w:rsid w:val="00052DBD"/>
    <w:rsid w:val="0005319F"/>
    <w:rsid w:val="00057406"/>
    <w:rsid w:val="0006516A"/>
    <w:rsid w:val="0007705C"/>
    <w:rsid w:val="000B1A63"/>
    <w:rsid w:val="000B4EC1"/>
    <w:rsid w:val="000C5555"/>
    <w:rsid w:val="000E7AC5"/>
    <w:rsid w:val="001033D8"/>
    <w:rsid w:val="00106B5C"/>
    <w:rsid w:val="00116908"/>
    <w:rsid w:val="0012182E"/>
    <w:rsid w:val="00136EF4"/>
    <w:rsid w:val="00162415"/>
    <w:rsid w:val="001652AC"/>
    <w:rsid w:val="00171489"/>
    <w:rsid w:val="001739CF"/>
    <w:rsid w:val="00195A72"/>
    <w:rsid w:val="001965AA"/>
    <w:rsid w:val="001B57A2"/>
    <w:rsid w:val="001C649F"/>
    <w:rsid w:val="001D0D1B"/>
    <w:rsid w:val="001E485A"/>
    <w:rsid w:val="001E5811"/>
    <w:rsid w:val="0020788F"/>
    <w:rsid w:val="002167CC"/>
    <w:rsid w:val="002201CE"/>
    <w:rsid w:val="002251EA"/>
    <w:rsid w:val="0024225B"/>
    <w:rsid w:val="002529D9"/>
    <w:rsid w:val="00254B08"/>
    <w:rsid w:val="00256C3D"/>
    <w:rsid w:val="002621D9"/>
    <w:rsid w:val="002761C7"/>
    <w:rsid w:val="00282DDC"/>
    <w:rsid w:val="002920A2"/>
    <w:rsid w:val="002F25D7"/>
    <w:rsid w:val="002F2DB6"/>
    <w:rsid w:val="002F4262"/>
    <w:rsid w:val="002F4988"/>
    <w:rsid w:val="00310C13"/>
    <w:rsid w:val="003224D7"/>
    <w:rsid w:val="00336B84"/>
    <w:rsid w:val="0033751D"/>
    <w:rsid w:val="00350756"/>
    <w:rsid w:val="003612B5"/>
    <w:rsid w:val="00365BB7"/>
    <w:rsid w:val="00380294"/>
    <w:rsid w:val="00386463"/>
    <w:rsid w:val="003869BF"/>
    <w:rsid w:val="003B1AD2"/>
    <w:rsid w:val="003D23FD"/>
    <w:rsid w:val="003E7B8D"/>
    <w:rsid w:val="003F222E"/>
    <w:rsid w:val="004005F3"/>
    <w:rsid w:val="00412788"/>
    <w:rsid w:val="0041324B"/>
    <w:rsid w:val="0042482A"/>
    <w:rsid w:val="0042566A"/>
    <w:rsid w:val="004257D6"/>
    <w:rsid w:val="00425811"/>
    <w:rsid w:val="00427ECC"/>
    <w:rsid w:val="00436CF6"/>
    <w:rsid w:val="00456CD1"/>
    <w:rsid w:val="004726DA"/>
    <w:rsid w:val="00475BF7"/>
    <w:rsid w:val="004805E9"/>
    <w:rsid w:val="004B5010"/>
    <w:rsid w:val="004C5166"/>
    <w:rsid w:val="004E2D78"/>
    <w:rsid w:val="004F6E1E"/>
    <w:rsid w:val="00506C2D"/>
    <w:rsid w:val="005272F0"/>
    <w:rsid w:val="00527DB2"/>
    <w:rsid w:val="0053024E"/>
    <w:rsid w:val="0053207C"/>
    <w:rsid w:val="0053549C"/>
    <w:rsid w:val="00555646"/>
    <w:rsid w:val="005571AB"/>
    <w:rsid w:val="00575A24"/>
    <w:rsid w:val="005775B1"/>
    <w:rsid w:val="0058159B"/>
    <w:rsid w:val="00582F1D"/>
    <w:rsid w:val="00586C86"/>
    <w:rsid w:val="005911D7"/>
    <w:rsid w:val="00592334"/>
    <w:rsid w:val="00593727"/>
    <w:rsid w:val="005A03EE"/>
    <w:rsid w:val="005A4FBE"/>
    <w:rsid w:val="005C11C6"/>
    <w:rsid w:val="005C4CD9"/>
    <w:rsid w:val="005C6D02"/>
    <w:rsid w:val="005E0C84"/>
    <w:rsid w:val="00655FFE"/>
    <w:rsid w:val="006817B0"/>
    <w:rsid w:val="00686392"/>
    <w:rsid w:val="006933C0"/>
    <w:rsid w:val="0069485E"/>
    <w:rsid w:val="006B1E79"/>
    <w:rsid w:val="006B4C23"/>
    <w:rsid w:val="006B5ACB"/>
    <w:rsid w:val="006B7463"/>
    <w:rsid w:val="006B75D2"/>
    <w:rsid w:val="006C1DA3"/>
    <w:rsid w:val="006D6AAC"/>
    <w:rsid w:val="006D7A8C"/>
    <w:rsid w:val="006E333D"/>
    <w:rsid w:val="006F277C"/>
    <w:rsid w:val="00706439"/>
    <w:rsid w:val="00713703"/>
    <w:rsid w:val="00714E1B"/>
    <w:rsid w:val="00723CA7"/>
    <w:rsid w:val="0072447C"/>
    <w:rsid w:val="007436CB"/>
    <w:rsid w:val="00743807"/>
    <w:rsid w:val="00775D3A"/>
    <w:rsid w:val="00783D81"/>
    <w:rsid w:val="007A4D4C"/>
    <w:rsid w:val="007A5213"/>
    <w:rsid w:val="007B4438"/>
    <w:rsid w:val="007B534D"/>
    <w:rsid w:val="007B6468"/>
    <w:rsid w:val="007B6BF4"/>
    <w:rsid w:val="007B7B72"/>
    <w:rsid w:val="007C0A8F"/>
    <w:rsid w:val="007C396F"/>
    <w:rsid w:val="007D05A8"/>
    <w:rsid w:val="007D63BF"/>
    <w:rsid w:val="007E47E9"/>
    <w:rsid w:val="007F1767"/>
    <w:rsid w:val="008040A7"/>
    <w:rsid w:val="0080575D"/>
    <w:rsid w:val="00806DBC"/>
    <w:rsid w:val="008407B3"/>
    <w:rsid w:val="00853AA1"/>
    <w:rsid w:val="00877078"/>
    <w:rsid w:val="00882B8F"/>
    <w:rsid w:val="008A564F"/>
    <w:rsid w:val="008E707F"/>
    <w:rsid w:val="008F09D1"/>
    <w:rsid w:val="008F414D"/>
    <w:rsid w:val="009124B3"/>
    <w:rsid w:val="00912875"/>
    <w:rsid w:val="009201F0"/>
    <w:rsid w:val="00931965"/>
    <w:rsid w:val="00936049"/>
    <w:rsid w:val="009456CF"/>
    <w:rsid w:val="00946395"/>
    <w:rsid w:val="00953B39"/>
    <w:rsid w:val="00966559"/>
    <w:rsid w:val="00971AF8"/>
    <w:rsid w:val="0097227D"/>
    <w:rsid w:val="00981066"/>
    <w:rsid w:val="009C1ECC"/>
    <w:rsid w:val="009C4A9E"/>
    <w:rsid w:val="009C5303"/>
    <w:rsid w:val="009C6618"/>
    <w:rsid w:val="009D1487"/>
    <w:rsid w:val="009D3BCF"/>
    <w:rsid w:val="009D5B6E"/>
    <w:rsid w:val="00A02FBC"/>
    <w:rsid w:val="00A11DB6"/>
    <w:rsid w:val="00A1321C"/>
    <w:rsid w:val="00A1345E"/>
    <w:rsid w:val="00A15D1C"/>
    <w:rsid w:val="00A210A6"/>
    <w:rsid w:val="00A30AD0"/>
    <w:rsid w:val="00A6130B"/>
    <w:rsid w:val="00A7273A"/>
    <w:rsid w:val="00A8012A"/>
    <w:rsid w:val="00A8461C"/>
    <w:rsid w:val="00A90DBA"/>
    <w:rsid w:val="00AB2EC7"/>
    <w:rsid w:val="00B06826"/>
    <w:rsid w:val="00B174EC"/>
    <w:rsid w:val="00B175A3"/>
    <w:rsid w:val="00B24631"/>
    <w:rsid w:val="00B409EC"/>
    <w:rsid w:val="00B41824"/>
    <w:rsid w:val="00B4257C"/>
    <w:rsid w:val="00B54F5B"/>
    <w:rsid w:val="00B70745"/>
    <w:rsid w:val="00B71AB8"/>
    <w:rsid w:val="00B73180"/>
    <w:rsid w:val="00B800F9"/>
    <w:rsid w:val="00B84E23"/>
    <w:rsid w:val="00B9515D"/>
    <w:rsid w:val="00BA1E43"/>
    <w:rsid w:val="00BA62B6"/>
    <w:rsid w:val="00BA6A62"/>
    <w:rsid w:val="00BA7243"/>
    <w:rsid w:val="00BE23EA"/>
    <w:rsid w:val="00BF08E8"/>
    <w:rsid w:val="00C00E73"/>
    <w:rsid w:val="00C011E7"/>
    <w:rsid w:val="00C113D6"/>
    <w:rsid w:val="00C249E3"/>
    <w:rsid w:val="00C52C29"/>
    <w:rsid w:val="00C54C8E"/>
    <w:rsid w:val="00C66A3B"/>
    <w:rsid w:val="00C70AAD"/>
    <w:rsid w:val="00C726B0"/>
    <w:rsid w:val="00C87978"/>
    <w:rsid w:val="00C91612"/>
    <w:rsid w:val="00C96DD3"/>
    <w:rsid w:val="00CA6033"/>
    <w:rsid w:val="00CA6D47"/>
    <w:rsid w:val="00CB41F3"/>
    <w:rsid w:val="00CC4457"/>
    <w:rsid w:val="00CC6A59"/>
    <w:rsid w:val="00CD06F9"/>
    <w:rsid w:val="00CD4AE1"/>
    <w:rsid w:val="00D11126"/>
    <w:rsid w:val="00D11265"/>
    <w:rsid w:val="00D15E9A"/>
    <w:rsid w:val="00D175AC"/>
    <w:rsid w:val="00D20FE6"/>
    <w:rsid w:val="00D21E57"/>
    <w:rsid w:val="00D25076"/>
    <w:rsid w:val="00D27672"/>
    <w:rsid w:val="00D30DDB"/>
    <w:rsid w:val="00D33535"/>
    <w:rsid w:val="00D376AF"/>
    <w:rsid w:val="00D754D0"/>
    <w:rsid w:val="00D80BA1"/>
    <w:rsid w:val="00D93F0B"/>
    <w:rsid w:val="00DB0BD6"/>
    <w:rsid w:val="00DB2661"/>
    <w:rsid w:val="00DC3B1A"/>
    <w:rsid w:val="00DC437B"/>
    <w:rsid w:val="00DE7BB7"/>
    <w:rsid w:val="00E06071"/>
    <w:rsid w:val="00E17610"/>
    <w:rsid w:val="00E17ED6"/>
    <w:rsid w:val="00E31233"/>
    <w:rsid w:val="00E31B87"/>
    <w:rsid w:val="00E363F0"/>
    <w:rsid w:val="00E45163"/>
    <w:rsid w:val="00E80BD2"/>
    <w:rsid w:val="00E834AC"/>
    <w:rsid w:val="00E94AAD"/>
    <w:rsid w:val="00EB4585"/>
    <w:rsid w:val="00EB5AF0"/>
    <w:rsid w:val="00EC0D9D"/>
    <w:rsid w:val="00EC35CA"/>
    <w:rsid w:val="00ED6085"/>
    <w:rsid w:val="00EE4018"/>
    <w:rsid w:val="00EE65DE"/>
    <w:rsid w:val="00EE6DF5"/>
    <w:rsid w:val="00F0272B"/>
    <w:rsid w:val="00F0508D"/>
    <w:rsid w:val="00F21F2E"/>
    <w:rsid w:val="00F23B47"/>
    <w:rsid w:val="00F24508"/>
    <w:rsid w:val="00F50139"/>
    <w:rsid w:val="00F57AE8"/>
    <w:rsid w:val="00F7389F"/>
    <w:rsid w:val="00F772C3"/>
    <w:rsid w:val="00F80F59"/>
    <w:rsid w:val="00F844FE"/>
    <w:rsid w:val="00F84B77"/>
    <w:rsid w:val="00F8649F"/>
    <w:rsid w:val="00F8675C"/>
    <w:rsid w:val="00FB0AC7"/>
    <w:rsid w:val="00FB1931"/>
    <w:rsid w:val="00FB465C"/>
    <w:rsid w:val="00FB484A"/>
    <w:rsid w:val="00FC5DC0"/>
    <w:rsid w:val="00FC7989"/>
    <w:rsid w:val="00FD7BC1"/>
    <w:rsid w:val="00FE0793"/>
    <w:rsid w:val="00FE19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paragraph" w:styleId="Heading6">
    <w:name w:val="heading 6"/>
    <w:basedOn w:val="Normal"/>
    <w:next w:val="Normal"/>
    <w:qFormat/>
    <w:pPr>
      <w:keepNext/>
      <w:widowControl w:val="0"/>
      <w:jc w:val="center"/>
      <w:outlineLvl w:val="5"/>
    </w:pPr>
    <w:rPr>
      <w:b/>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u w:val="single"/>
    </w:rPr>
  </w:style>
  <w:style w:type="paragraph" w:styleId="BodyText">
    <w:name w:val="Body Text"/>
    <w:basedOn w:val="Normal"/>
    <w:rPr>
      <w:b/>
    </w:rPr>
  </w:style>
  <w:style w:type="paragraph" w:styleId="BodyText2">
    <w:name w:val="Body Text 2"/>
    <w:basedOn w:val="Normal"/>
    <w:rPr>
      <w:snapToGrid w:val="0"/>
      <w:color w:val="000000"/>
      <w:lang w:eastAsia="en-US"/>
    </w:rPr>
  </w:style>
  <w:style w:type="paragraph" w:styleId="Header">
    <w:name w:val="header"/>
    <w:basedOn w:val="Normal"/>
    <w:pPr>
      <w:widowControl w:val="0"/>
      <w:tabs>
        <w:tab w:val="center" w:pos="4153"/>
        <w:tab w:val="right" w:pos="8306"/>
      </w:tabs>
    </w:pPr>
    <w:rPr>
      <w:snapToGrid w:val="0"/>
      <w:lang w:val="en-US" w:eastAsia="en-US"/>
    </w:rPr>
  </w:style>
  <w:style w:type="character" w:styleId="PageNumber">
    <w:name w:val="page number"/>
    <w:basedOn w:val="DefaultParagraphFont"/>
  </w:style>
  <w:style w:type="paragraph" w:styleId="Footer">
    <w:name w:val="footer"/>
    <w:basedOn w:val="Normal"/>
    <w:rsid w:val="00775D3A"/>
    <w:pPr>
      <w:tabs>
        <w:tab w:val="center" w:pos="4153"/>
        <w:tab w:val="right" w:pos="8306"/>
      </w:tabs>
    </w:pPr>
  </w:style>
  <w:style w:type="paragraph" w:styleId="NormalWeb">
    <w:name w:val="Normal (Web)"/>
    <w:basedOn w:val="Normal"/>
    <w:rsid w:val="00BF08E8"/>
    <w:pPr>
      <w:spacing w:before="100" w:beforeAutospacing="1" w:after="100" w:afterAutospacing="1"/>
    </w:pPr>
    <w:rPr>
      <w:rFonts w:ascii="Verdana" w:hAnsi="Verdana"/>
      <w:szCs w:val="24"/>
    </w:rPr>
  </w:style>
  <w:style w:type="character" w:styleId="Emphasis">
    <w:name w:val="Emphasis"/>
    <w:basedOn w:val="DefaultParagraphFont"/>
    <w:qFormat/>
    <w:rsid w:val="00BF08E8"/>
    <w:rPr>
      <w:i/>
      <w:iCs/>
    </w:rPr>
  </w:style>
  <w:style w:type="paragraph" w:styleId="BalloonText">
    <w:name w:val="Balloon Text"/>
    <w:basedOn w:val="Normal"/>
    <w:semiHidden/>
    <w:rsid w:val="0001486F"/>
    <w:rPr>
      <w:rFonts w:ascii="Tahoma" w:hAnsi="Tahoma" w:cs="Tahoma"/>
      <w:sz w:val="16"/>
      <w:szCs w:val="16"/>
    </w:rPr>
  </w:style>
  <w:style w:type="character" w:styleId="CommentReference">
    <w:name w:val="annotation reference"/>
    <w:basedOn w:val="DefaultParagraphFont"/>
    <w:semiHidden/>
    <w:rsid w:val="003612B5"/>
    <w:rPr>
      <w:sz w:val="16"/>
      <w:szCs w:val="16"/>
    </w:rPr>
  </w:style>
  <w:style w:type="paragraph" w:styleId="CommentText">
    <w:name w:val="annotation text"/>
    <w:basedOn w:val="Normal"/>
    <w:semiHidden/>
    <w:rsid w:val="003612B5"/>
    <w:rPr>
      <w:sz w:val="20"/>
    </w:rPr>
  </w:style>
  <w:style w:type="paragraph" w:styleId="CommentSubject">
    <w:name w:val="annotation subject"/>
    <w:basedOn w:val="CommentText"/>
    <w:next w:val="CommentText"/>
    <w:semiHidden/>
    <w:rsid w:val="003612B5"/>
    <w:rPr>
      <w:b/>
      <w:bCs/>
    </w:rPr>
  </w:style>
  <w:style w:type="paragraph" w:customStyle="1" w:styleId="a">
    <w:basedOn w:val="Normal"/>
    <w:rsid w:val="007D63BF"/>
    <w:rPr>
      <w:rFonts w:ascii="Arial" w:hAnsi="Arial" w:cs="Arial"/>
      <w:sz w:val="22"/>
      <w:szCs w:val="22"/>
      <w:lang w:eastAsia="en-US"/>
    </w:rPr>
  </w:style>
  <w:style w:type="paragraph" w:customStyle="1" w:styleId="definition">
    <w:name w:val="definition"/>
    <w:basedOn w:val="Normal"/>
    <w:rsid w:val="0080575D"/>
    <w:pPr>
      <w:spacing w:before="180"/>
      <w:ind w:left="1134"/>
    </w:pPr>
    <w:rPr>
      <w:sz w:val="22"/>
      <w:szCs w:val="22"/>
    </w:rPr>
  </w:style>
  <w:style w:type="character" w:styleId="Hyperlink">
    <w:name w:val="Hyperlink"/>
    <w:basedOn w:val="DefaultParagraphFont"/>
    <w:rsid w:val="00A727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2436">
      <w:bodyDiv w:val="1"/>
      <w:marLeft w:val="0"/>
      <w:marRight w:val="0"/>
      <w:marTop w:val="0"/>
      <w:marBottom w:val="0"/>
      <w:divBdr>
        <w:top w:val="none" w:sz="0" w:space="0" w:color="auto"/>
        <w:left w:val="none" w:sz="0" w:space="0" w:color="auto"/>
        <w:bottom w:val="none" w:sz="0" w:space="0" w:color="auto"/>
        <w:right w:val="none" w:sz="0" w:space="0" w:color="auto"/>
      </w:divBdr>
    </w:div>
    <w:div w:id="200749267">
      <w:bodyDiv w:val="1"/>
      <w:marLeft w:val="0"/>
      <w:marRight w:val="0"/>
      <w:marTop w:val="0"/>
      <w:marBottom w:val="0"/>
      <w:divBdr>
        <w:top w:val="none" w:sz="0" w:space="0" w:color="auto"/>
        <w:left w:val="none" w:sz="0" w:space="0" w:color="auto"/>
        <w:bottom w:val="none" w:sz="0" w:space="0" w:color="auto"/>
        <w:right w:val="none" w:sz="0" w:space="0" w:color="auto"/>
      </w:divBdr>
    </w:div>
    <w:div w:id="299892778">
      <w:bodyDiv w:val="1"/>
      <w:marLeft w:val="0"/>
      <w:marRight w:val="0"/>
      <w:marTop w:val="0"/>
      <w:marBottom w:val="0"/>
      <w:divBdr>
        <w:top w:val="none" w:sz="0" w:space="0" w:color="auto"/>
        <w:left w:val="none" w:sz="0" w:space="0" w:color="auto"/>
        <w:bottom w:val="none" w:sz="0" w:space="0" w:color="auto"/>
        <w:right w:val="none" w:sz="0" w:space="0" w:color="auto"/>
      </w:divBdr>
    </w:div>
    <w:div w:id="494759362">
      <w:bodyDiv w:val="1"/>
      <w:marLeft w:val="0"/>
      <w:marRight w:val="0"/>
      <w:marTop w:val="0"/>
      <w:marBottom w:val="0"/>
      <w:divBdr>
        <w:top w:val="none" w:sz="0" w:space="0" w:color="auto"/>
        <w:left w:val="none" w:sz="0" w:space="0" w:color="auto"/>
        <w:bottom w:val="none" w:sz="0" w:space="0" w:color="auto"/>
        <w:right w:val="none" w:sz="0" w:space="0" w:color="auto"/>
      </w:divBdr>
    </w:div>
    <w:div w:id="528639756">
      <w:bodyDiv w:val="1"/>
      <w:marLeft w:val="0"/>
      <w:marRight w:val="0"/>
      <w:marTop w:val="0"/>
      <w:marBottom w:val="0"/>
      <w:divBdr>
        <w:top w:val="none" w:sz="0" w:space="0" w:color="auto"/>
        <w:left w:val="none" w:sz="0" w:space="0" w:color="auto"/>
        <w:bottom w:val="none" w:sz="0" w:space="0" w:color="auto"/>
        <w:right w:val="none" w:sz="0" w:space="0" w:color="auto"/>
      </w:divBdr>
    </w:div>
    <w:div w:id="1945261761">
      <w:bodyDiv w:val="1"/>
      <w:marLeft w:val="0"/>
      <w:marRight w:val="0"/>
      <w:marTop w:val="0"/>
      <w:marBottom w:val="0"/>
      <w:divBdr>
        <w:top w:val="none" w:sz="0" w:space="0" w:color="auto"/>
        <w:left w:val="none" w:sz="0" w:space="0" w:color="auto"/>
        <w:bottom w:val="none" w:sz="0" w:space="0" w:color="auto"/>
        <w:right w:val="none" w:sz="0" w:space="0" w:color="auto"/>
      </w:divBdr>
    </w:div>
    <w:div w:id="214592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ECB88330.dotm</Template>
  <TotalTime>0</TotalTime>
  <Pages>6</Pages>
  <Words>1484</Words>
  <Characters>7461</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Explanatory Statement</vt:lpstr>
    </vt:vector>
  </TitlesOfParts>
  <LinksUpToDate>false</LinksUpToDate>
  <CharactersWithSpaces>8928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
  <cp:lastModifiedBy/>
  <cp:revision>1</cp:revision>
  <cp:lastPrinted>2007-03-14T05:03:00Z</cp:lastPrinted>
  <dcterms:created xsi:type="dcterms:W3CDTF">2017-03-28T23:21:00Z</dcterms:created>
  <dcterms:modified xsi:type="dcterms:W3CDTF">2017-03-28T23:21:00Z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ies>
</file>