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3D" w:rsidRDefault="00420E3D" w:rsidP="00420E3D">
      <w:pPr>
        <w:jc w:val="center"/>
        <w:rPr>
          <w:rFonts w:cs="Arial"/>
          <w:b/>
          <w:sz w:val="24"/>
          <w:szCs w:val="24"/>
          <w:u w:val="single"/>
        </w:rPr>
      </w:pPr>
      <w:r w:rsidRPr="00BF61F1">
        <w:rPr>
          <w:rFonts w:cs="Arial"/>
          <w:b/>
          <w:sz w:val="24"/>
          <w:szCs w:val="24"/>
          <w:u w:val="single"/>
        </w:rPr>
        <w:t>EXPLANATORY STATEMENT</w:t>
      </w:r>
    </w:p>
    <w:p w:rsidR="00C40FEF" w:rsidRPr="00BF61F1" w:rsidRDefault="00C40FEF" w:rsidP="00420E3D">
      <w:pPr>
        <w:jc w:val="center"/>
        <w:rPr>
          <w:rFonts w:cs="Arial"/>
          <w:b/>
          <w:sz w:val="24"/>
          <w:szCs w:val="24"/>
          <w:u w:val="single"/>
        </w:rPr>
      </w:pPr>
    </w:p>
    <w:p w:rsidR="00C40FEF" w:rsidRPr="008C5AFA" w:rsidRDefault="00C40FEF" w:rsidP="00C40FEF">
      <w:pPr>
        <w:jc w:val="center"/>
        <w:rPr>
          <w:rFonts w:cs="Arial"/>
          <w:sz w:val="24"/>
          <w:szCs w:val="24"/>
        </w:rPr>
      </w:pPr>
      <w:r w:rsidRPr="008C5AFA">
        <w:rPr>
          <w:rFonts w:cs="Arial"/>
          <w:sz w:val="24"/>
          <w:szCs w:val="24"/>
        </w:rPr>
        <w:t>Issued by the authority of the Minister for Social Services</w:t>
      </w:r>
    </w:p>
    <w:p w:rsidR="001937FA" w:rsidRPr="00BF61F1" w:rsidRDefault="001937FA" w:rsidP="00E65DE5">
      <w:pPr>
        <w:rPr>
          <w:rFonts w:cs="Arial"/>
          <w:sz w:val="24"/>
          <w:szCs w:val="24"/>
        </w:rPr>
      </w:pPr>
    </w:p>
    <w:p w:rsidR="00420E3D" w:rsidRPr="00BF61F1" w:rsidRDefault="00420E3D" w:rsidP="00AB239F">
      <w:pPr>
        <w:ind w:left="1134" w:firstLine="567"/>
        <w:rPr>
          <w:rFonts w:cs="Arial"/>
          <w:i/>
          <w:sz w:val="24"/>
          <w:szCs w:val="24"/>
        </w:rPr>
      </w:pPr>
      <w:r w:rsidRPr="00BF61F1">
        <w:rPr>
          <w:rFonts w:cs="Arial"/>
          <w:sz w:val="24"/>
          <w:szCs w:val="24"/>
        </w:rPr>
        <w:t xml:space="preserve">A </w:t>
      </w:r>
      <w:r w:rsidRPr="00BF61F1">
        <w:rPr>
          <w:rFonts w:cs="Arial"/>
          <w:i/>
          <w:sz w:val="24"/>
          <w:szCs w:val="24"/>
        </w:rPr>
        <w:t xml:space="preserve">New </w:t>
      </w:r>
      <w:r w:rsidR="00AB239F" w:rsidRPr="00BF61F1">
        <w:rPr>
          <w:rFonts w:cs="Arial"/>
          <w:i/>
          <w:sz w:val="24"/>
          <w:szCs w:val="24"/>
        </w:rPr>
        <w:t>Tax S</w:t>
      </w:r>
      <w:r w:rsidRPr="00BF61F1">
        <w:rPr>
          <w:rFonts w:cs="Arial"/>
          <w:i/>
          <w:sz w:val="24"/>
          <w:szCs w:val="24"/>
        </w:rPr>
        <w:t>ystem (Goods and Services Tax) Act 1999</w:t>
      </w:r>
    </w:p>
    <w:p w:rsidR="00420E3D" w:rsidRPr="00BF61F1" w:rsidRDefault="00420E3D" w:rsidP="00E65DE5">
      <w:pPr>
        <w:rPr>
          <w:rFonts w:cs="Arial"/>
          <w:sz w:val="24"/>
          <w:szCs w:val="24"/>
        </w:rPr>
      </w:pPr>
    </w:p>
    <w:p w:rsidR="00420E3D" w:rsidRPr="00BF61F1" w:rsidRDefault="004D3CB1" w:rsidP="00420E3D">
      <w:pPr>
        <w:jc w:val="center"/>
        <w:rPr>
          <w:rFonts w:cs="Arial"/>
          <w:sz w:val="24"/>
          <w:szCs w:val="24"/>
        </w:rPr>
      </w:pPr>
      <w:r w:rsidRPr="004D3CB1">
        <w:rPr>
          <w:i/>
          <w:sz w:val="24"/>
          <w:szCs w:val="24"/>
        </w:rPr>
        <w:t xml:space="preserve">A New Tax System (Goods and Services Tax) (Language Other Than English - LOTE - courses offered by ethnic schools) Determination </w:t>
      </w:r>
      <w:r w:rsidR="006F55A8">
        <w:rPr>
          <w:i/>
          <w:sz w:val="24"/>
          <w:szCs w:val="24"/>
        </w:rPr>
        <w:t>2017</w:t>
      </w:r>
    </w:p>
    <w:p w:rsidR="00420E3D" w:rsidRPr="00BF61F1" w:rsidRDefault="00420E3D" w:rsidP="00E65DE5">
      <w:pPr>
        <w:rPr>
          <w:rFonts w:cs="Arial"/>
          <w:sz w:val="24"/>
          <w:szCs w:val="24"/>
        </w:rPr>
      </w:pPr>
    </w:p>
    <w:p w:rsidR="00420E3D" w:rsidRPr="00BF61F1" w:rsidRDefault="00C40FEF" w:rsidP="00E65DE5">
      <w:pPr>
        <w:rPr>
          <w:rFonts w:cs="Arial"/>
          <w:b/>
          <w:sz w:val="24"/>
          <w:szCs w:val="24"/>
        </w:rPr>
      </w:pPr>
      <w:r>
        <w:rPr>
          <w:rFonts w:cs="Arial"/>
          <w:b/>
          <w:sz w:val="24"/>
          <w:szCs w:val="24"/>
        </w:rPr>
        <w:t>Purpose</w:t>
      </w:r>
    </w:p>
    <w:p w:rsidR="00420E3D" w:rsidRPr="00BF61F1" w:rsidRDefault="00420E3D" w:rsidP="00E65DE5">
      <w:pPr>
        <w:rPr>
          <w:rFonts w:cs="Arial"/>
          <w:sz w:val="24"/>
          <w:szCs w:val="24"/>
        </w:rPr>
      </w:pPr>
    </w:p>
    <w:p w:rsidR="00420E3D" w:rsidRDefault="00420E3D" w:rsidP="00E65DE5">
      <w:pPr>
        <w:rPr>
          <w:rFonts w:cs="Arial"/>
          <w:sz w:val="24"/>
          <w:szCs w:val="24"/>
        </w:rPr>
      </w:pPr>
      <w:r w:rsidRPr="00BF61F1">
        <w:rPr>
          <w:rFonts w:cs="Arial"/>
          <w:sz w:val="24"/>
          <w:szCs w:val="24"/>
        </w:rPr>
        <w:t xml:space="preserve">Paragraph </w:t>
      </w:r>
      <w:r w:rsidR="001937FA" w:rsidRPr="00BF61F1">
        <w:rPr>
          <w:rFonts w:cs="Arial"/>
          <w:sz w:val="24"/>
          <w:szCs w:val="24"/>
        </w:rPr>
        <w:t>195-1</w:t>
      </w:r>
      <w:r w:rsidR="004D3CB1">
        <w:rPr>
          <w:rFonts w:cs="Arial"/>
          <w:sz w:val="24"/>
          <w:szCs w:val="24"/>
        </w:rPr>
        <w:t>(b)</w:t>
      </w:r>
      <w:r w:rsidR="001937FA" w:rsidRPr="00BF61F1">
        <w:rPr>
          <w:rFonts w:cs="Arial"/>
          <w:sz w:val="24"/>
          <w:szCs w:val="24"/>
        </w:rPr>
        <w:t xml:space="preserve"> of the</w:t>
      </w:r>
      <w:r w:rsidR="00182839">
        <w:rPr>
          <w:rFonts w:cs="Arial"/>
          <w:sz w:val="24"/>
          <w:szCs w:val="24"/>
        </w:rPr>
        <w:t xml:space="preserve"> definitions of </w:t>
      </w:r>
      <w:r w:rsidR="00182839" w:rsidRPr="00917163">
        <w:rPr>
          <w:rFonts w:cs="Arial"/>
          <w:sz w:val="24"/>
          <w:szCs w:val="24"/>
        </w:rPr>
        <w:t>primary course and secondary course</w:t>
      </w:r>
      <w:r w:rsidR="00182839">
        <w:rPr>
          <w:rFonts w:cs="Arial"/>
          <w:sz w:val="24"/>
          <w:szCs w:val="24"/>
        </w:rPr>
        <w:t xml:space="preserve"> in the</w:t>
      </w:r>
      <w:r w:rsidR="00182839" w:rsidRPr="00917163">
        <w:rPr>
          <w:rFonts w:cs="Arial"/>
          <w:sz w:val="24"/>
          <w:szCs w:val="24"/>
        </w:rPr>
        <w:t xml:space="preserve"> </w:t>
      </w:r>
      <w:r w:rsidR="001937FA" w:rsidRPr="00BF61F1">
        <w:rPr>
          <w:rFonts w:cs="Arial"/>
          <w:i/>
          <w:sz w:val="24"/>
          <w:szCs w:val="24"/>
        </w:rPr>
        <w:t>A New T</w:t>
      </w:r>
      <w:r w:rsidRPr="00BF61F1">
        <w:rPr>
          <w:rFonts w:cs="Arial"/>
          <w:i/>
          <w:sz w:val="24"/>
          <w:szCs w:val="24"/>
        </w:rPr>
        <w:t>ax System (Goods and Services Tax)</w:t>
      </w:r>
      <w:r w:rsidRPr="00BF61F1">
        <w:rPr>
          <w:rFonts w:cs="Arial"/>
          <w:sz w:val="24"/>
          <w:szCs w:val="24"/>
        </w:rPr>
        <w:t xml:space="preserve"> </w:t>
      </w:r>
      <w:r w:rsidRPr="00BF61F1">
        <w:rPr>
          <w:rFonts w:cs="Arial"/>
          <w:i/>
          <w:sz w:val="24"/>
          <w:szCs w:val="24"/>
        </w:rPr>
        <w:t>Act 1999</w:t>
      </w:r>
      <w:r w:rsidRPr="00BF61F1">
        <w:rPr>
          <w:rFonts w:cs="Arial"/>
          <w:sz w:val="24"/>
          <w:szCs w:val="24"/>
        </w:rPr>
        <w:t xml:space="preserve"> (the Act) </w:t>
      </w:r>
      <w:r w:rsidR="00182839">
        <w:rPr>
          <w:rFonts w:cs="Arial"/>
          <w:sz w:val="24"/>
          <w:szCs w:val="24"/>
        </w:rPr>
        <w:t>provide</w:t>
      </w:r>
      <w:r w:rsidR="00485170">
        <w:rPr>
          <w:rFonts w:cs="Arial"/>
          <w:sz w:val="24"/>
          <w:szCs w:val="24"/>
        </w:rPr>
        <w:t>s</w:t>
      </w:r>
      <w:r w:rsidRPr="00BF61F1">
        <w:rPr>
          <w:rFonts w:cs="Arial"/>
          <w:sz w:val="24"/>
          <w:szCs w:val="24"/>
        </w:rPr>
        <w:t xml:space="preserve"> that the </w:t>
      </w:r>
      <w:r w:rsidR="00AB239F" w:rsidRPr="00BF61F1">
        <w:rPr>
          <w:rFonts w:cs="Arial"/>
          <w:sz w:val="24"/>
          <w:szCs w:val="24"/>
        </w:rPr>
        <w:t>Minister may</w:t>
      </w:r>
      <w:r w:rsidRPr="00BF61F1">
        <w:rPr>
          <w:rFonts w:cs="Arial"/>
          <w:sz w:val="24"/>
          <w:szCs w:val="24"/>
        </w:rPr>
        <w:t xml:space="preserve"> determine what </w:t>
      </w:r>
      <w:r w:rsidR="004D3CB1">
        <w:rPr>
          <w:rFonts w:cs="Arial"/>
          <w:sz w:val="24"/>
          <w:szCs w:val="24"/>
        </w:rPr>
        <w:t>a</w:t>
      </w:r>
      <w:r w:rsidR="004D3CB1" w:rsidRPr="0075469D">
        <w:rPr>
          <w:rFonts w:cs="Arial"/>
          <w:sz w:val="24"/>
          <w:szCs w:val="24"/>
        </w:rPr>
        <w:t xml:space="preserve"> primary course </w:t>
      </w:r>
      <w:r w:rsidR="00182839">
        <w:rPr>
          <w:rFonts w:cs="Arial"/>
          <w:sz w:val="24"/>
          <w:szCs w:val="24"/>
        </w:rPr>
        <w:t>or a</w:t>
      </w:r>
      <w:r w:rsidR="004D3CB1" w:rsidRPr="0075469D">
        <w:rPr>
          <w:rFonts w:cs="Arial"/>
          <w:sz w:val="24"/>
          <w:szCs w:val="24"/>
        </w:rPr>
        <w:t xml:space="preserve"> secondary course</w:t>
      </w:r>
      <w:r w:rsidR="00485170">
        <w:rPr>
          <w:rFonts w:cs="Arial"/>
          <w:sz w:val="24"/>
          <w:szCs w:val="24"/>
        </w:rPr>
        <w:t xml:space="preserve"> is</w:t>
      </w:r>
      <w:r w:rsidR="004D3CB1" w:rsidRPr="0075469D">
        <w:rPr>
          <w:rFonts w:cs="Arial"/>
          <w:sz w:val="24"/>
          <w:szCs w:val="24"/>
        </w:rPr>
        <w:t xml:space="preserve"> for the purposes of the Act</w:t>
      </w:r>
      <w:r w:rsidRPr="00BF61F1">
        <w:rPr>
          <w:rFonts w:cs="Arial"/>
          <w:sz w:val="24"/>
          <w:szCs w:val="24"/>
        </w:rPr>
        <w:t>.</w:t>
      </w:r>
    </w:p>
    <w:p w:rsidR="00182839" w:rsidRDefault="00182839" w:rsidP="00E65DE5">
      <w:pPr>
        <w:rPr>
          <w:rFonts w:cs="Arial"/>
          <w:sz w:val="24"/>
          <w:szCs w:val="24"/>
        </w:rPr>
      </w:pPr>
    </w:p>
    <w:p w:rsidR="00182839" w:rsidRDefault="00182839" w:rsidP="00E65DE5">
      <w:pPr>
        <w:rPr>
          <w:rFonts w:cs="Arial"/>
          <w:sz w:val="24"/>
          <w:szCs w:val="24"/>
        </w:rPr>
      </w:pPr>
      <w:r>
        <w:rPr>
          <w:rFonts w:cs="Arial"/>
          <w:sz w:val="24"/>
          <w:szCs w:val="24"/>
        </w:rPr>
        <w:t xml:space="preserve">Once </w:t>
      </w:r>
      <w:r w:rsidR="00710EB9">
        <w:rPr>
          <w:rFonts w:cs="Arial"/>
          <w:sz w:val="24"/>
          <w:szCs w:val="24"/>
        </w:rPr>
        <w:t xml:space="preserve">a </w:t>
      </w:r>
      <w:r>
        <w:rPr>
          <w:rFonts w:cs="Arial"/>
          <w:sz w:val="24"/>
          <w:szCs w:val="24"/>
        </w:rPr>
        <w:t xml:space="preserve">determination has been made that a course is a </w:t>
      </w:r>
      <w:r w:rsidRPr="00917163">
        <w:rPr>
          <w:rFonts w:cs="Arial"/>
          <w:sz w:val="24"/>
          <w:szCs w:val="24"/>
        </w:rPr>
        <w:t xml:space="preserve">primary course </w:t>
      </w:r>
      <w:r>
        <w:rPr>
          <w:rFonts w:cs="Arial"/>
          <w:sz w:val="24"/>
          <w:szCs w:val="24"/>
        </w:rPr>
        <w:t>or a</w:t>
      </w:r>
      <w:r w:rsidRPr="00917163">
        <w:rPr>
          <w:rFonts w:cs="Arial"/>
          <w:sz w:val="24"/>
          <w:szCs w:val="24"/>
        </w:rPr>
        <w:t xml:space="preserve"> secondary course</w:t>
      </w:r>
      <w:r>
        <w:rPr>
          <w:rFonts w:cs="Arial"/>
          <w:sz w:val="24"/>
          <w:szCs w:val="24"/>
        </w:rPr>
        <w:t>, the course will be an ‘education course’ for the purposes of the definition of education course in section</w:t>
      </w:r>
      <w:r w:rsidRPr="00BF61F1">
        <w:rPr>
          <w:rFonts w:cs="Arial"/>
          <w:sz w:val="24"/>
          <w:szCs w:val="24"/>
        </w:rPr>
        <w:t xml:space="preserve"> 195-1</w:t>
      </w:r>
      <w:r>
        <w:rPr>
          <w:rFonts w:cs="Arial"/>
          <w:sz w:val="24"/>
          <w:szCs w:val="24"/>
        </w:rPr>
        <w:t xml:space="preserve"> of the Act.</w:t>
      </w:r>
    </w:p>
    <w:p w:rsidR="004D3CB1" w:rsidRDefault="004D3CB1" w:rsidP="00E65DE5">
      <w:pPr>
        <w:rPr>
          <w:rFonts w:cs="Arial"/>
          <w:sz w:val="24"/>
          <w:szCs w:val="24"/>
        </w:rPr>
      </w:pPr>
    </w:p>
    <w:p w:rsidR="00413057" w:rsidRDefault="00413057" w:rsidP="00E65DE5">
      <w:pPr>
        <w:rPr>
          <w:rFonts w:cs="Arial"/>
          <w:sz w:val="24"/>
          <w:szCs w:val="24"/>
        </w:rPr>
      </w:pPr>
      <w:r w:rsidRPr="004D3CB1">
        <w:rPr>
          <w:rFonts w:cs="Arial"/>
          <w:sz w:val="24"/>
          <w:szCs w:val="24"/>
        </w:rPr>
        <w:t>Under section 38-85 of the Act, the supply of an education course is GST-free.</w:t>
      </w:r>
    </w:p>
    <w:p w:rsidR="00413057" w:rsidRDefault="00413057" w:rsidP="00E65DE5">
      <w:pPr>
        <w:rPr>
          <w:rFonts w:cs="Arial"/>
          <w:sz w:val="24"/>
          <w:szCs w:val="24"/>
        </w:rPr>
      </w:pPr>
    </w:p>
    <w:p w:rsidR="004D3CB1" w:rsidRPr="00BF61F1" w:rsidRDefault="004D3CB1" w:rsidP="00E65DE5">
      <w:pPr>
        <w:rPr>
          <w:rFonts w:cs="Arial"/>
          <w:sz w:val="24"/>
          <w:szCs w:val="24"/>
        </w:rPr>
      </w:pPr>
      <w:r w:rsidRPr="004D3CB1">
        <w:rPr>
          <w:rFonts w:cs="Arial"/>
          <w:sz w:val="24"/>
          <w:szCs w:val="24"/>
        </w:rPr>
        <w:t>The purpose of this Determination is to determine that Language Other than English (LOTE) courses provided in accordance with this Determination are courses of study or instruction that are primary courses or secondary courses for the purposes of the Act.</w:t>
      </w:r>
    </w:p>
    <w:p w:rsidR="008C5AFA" w:rsidRPr="008C5AFA" w:rsidRDefault="008C5AFA" w:rsidP="00E65DE5">
      <w:pPr>
        <w:rPr>
          <w:rFonts w:cs="Arial"/>
          <w:sz w:val="24"/>
          <w:szCs w:val="24"/>
        </w:rPr>
      </w:pPr>
    </w:p>
    <w:p w:rsidR="008C5AFA" w:rsidRDefault="008C5AFA" w:rsidP="008C5AFA">
      <w:pPr>
        <w:rPr>
          <w:rFonts w:cs="Arial"/>
          <w:sz w:val="24"/>
          <w:szCs w:val="24"/>
        </w:rPr>
      </w:pPr>
      <w:r w:rsidRPr="008C5AFA">
        <w:rPr>
          <w:rFonts w:cs="Arial"/>
          <w:sz w:val="24"/>
          <w:szCs w:val="24"/>
        </w:rPr>
        <w:t xml:space="preserve">This Determination </w:t>
      </w:r>
      <w:r w:rsidR="00CF297A">
        <w:rPr>
          <w:rFonts w:cs="Arial"/>
          <w:sz w:val="24"/>
          <w:szCs w:val="24"/>
        </w:rPr>
        <w:t xml:space="preserve">will commence on 1 </w:t>
      </w:r>
      <w:r w:rsidR="00413057">
        <w:rPr>
          <w:rFonts w:cs="Arial"/>
          <w:sz w:val="24"/>
          <w:szCs w:val="24"/>
        </w:rPr>
        <w:t xml:space="preserve">April </w:t>
      </w:r>
      <w:r w:rsidR="00CF297A">
        <w:rPr>
          <w:rFonts w:cs="Arial"/>
          <w:sz w:val="24"/>
          <w:szCs w:val="24"/>
        </w:rPr>
        <w:t>201</w:t>
      </w:r>
      <w:r w:rsidR="00413057">
        <w:rPr>
          <w:rFonts w:cs="Arial"/>
          <w:sz w:val="24"/>
          <w:szCs w:val="24"/>
        </w:rPr>
        <w:t>7</w:t>
      </w:r>
      <w:r w:rsidR="00CF297A">
        <w:rPr>
          <w:rFonts w:cs="Arial"/>
          <w:sz w:val="24"/>
          <w:szCs w:val="24"/>
        </w:rPr>
        <w:t xml:space="preserve"> </w:t>
      </w:r>
      <w:r w:rsidR="00D07271">
        <w:rPr>
          <w:rFonts w:cs="Arial"/>
          <w:sz w:val="24"/>
          <w:szCs w:val="24"/>
        </w:rPr>
        <w:t>following</w:t>
      </w:r>
      <w:r w:rsidR="00C85D26">
        <w:rPr>
          <w:rFonts w:cs="Arial"/>
          <w:sz w:val="24"/>
          <w:szCs w:val="24"/>
        </w:rPr>
        <w:t xml:space="preserve"> the cessation of the</w:t>
      </w:r>
      <w:r w:rsidRPr="008C5AFA">
        <w:rPr>
          <w:rFonts w:cs="Arial"/>
          <w:sz w:val="24"/>
          <w:szCs w:val="24"/>
        </w:rPr>
        <w:t xml:space="preserve"> </w:t>
      </w:r>
      <w:r w:rsidR="004D3CB1" w:rsidRPr="004D3CB1">
        <w:rPr>
          <w:i/>
          <w:sz w:val="24"/>
          <w:szCs w:val="24"/>
        </w:rPr>
        <w:t xml:space="preserve">A New Tax System (Goods and Services Tax) (Language Other Than English - LOTE - courses offered by ethnic schools) Determination </w:t>
      </w:r>
      <w:r w:rsidR="00413057">
        <w:rPr>
          <w:i/>
          <w:sz w:val="24"/>
          <w:szCs w:val="24"/>
        </w:rPr>
        <w:t>2004</w:t>
      </w:r>
      <w:r w:rsidR="004D3CB1" w:rsidRPr="004D3CB1" w:rsidDel="004D3CB1">
        <w:rPr>
          <w:i/>
          <w:sz w:val="24"/>
          <w:szCs w:val="24"/>
        </w:rPr>
        <w:t xml:space="preserve"> </w:t>
      </w:r>
      <w:r w:rsidR="00C70FC3">
        <w:rPr>
          <w:sz w:val="24"/>
          <w:szCs w:val="24"/>
        </w:rPr>
        <w:t>(</w:t>
      </w:r>
      <w:r w:rsidR="004B2A5E">
        <w:rPr>
          <w:sz w:val="24"/>
          <w:szCs w:val="24"/>
        </w:rPr>
        <w:t xml:space="preserve">the </w:t>
      </w:r>
      <w:r w:rsidR="004D3CB1">
        <w:rPr>
          <w:sz w:val="24"/>
          <w:szCs w:val="24"/>
        </w:rPr>
        <w:t xml:space="preserve">2004 </w:t>
      </w:r>
      <w:r w:rsidR="00C70FC3">
        <w:rPr>
          <w:sz w:val="24"/>
          <w:szCs w:val="24"/>
        </w:rPr>
        <w:t xml:space="preserve">Determination) </w:t>
      </w:r>
      <w:r w:rsidRPr="00BF61F1">
        <w:rPr>
          <w:rFonts w:cs="Arial"/>
          <w:sz w:val="24"/>
          <w:szCs w:val="24"/>
        </w:rPr>
        <w:t xml:space="preserve">on </w:t>
      </w:r>
      <w:r w:rsidR="00CF297A">
        <w:rPr>
          <w:rFonts w:cs="Arial"/>
          <w:sz w:val="24"/>
          <w:szCs w:val="24"/>
        </w:rPr>
        <w:t>that date</w:t>
      </w:r>
      <w:r w:rsidR="00C85D26">
        <w:rPr>
          <w:rFonts w:cs="Arial"/>
          <w:sz w:val="24"/>
          <w:szCs w:val="24"/>
        </w:rPr>
        <w:t xml:space="preserve">. The </w:t>
      </w:r>
      <w:r w:rsidR="004D3CB1">
        <w:rPr>
          <w:rFonts w:cs="Arial"/>
          <w:sz w:val="24"/>
          <w:szCs w:val="24"/>
        </w:rPr>
        <w:t xml:space="preserve">2004 </w:t>
      </w:r>
      <w:r w:rsidR="00C85D26">
        <w:rPr>
          <w:rFonts w:cs="Arial"/>
          <w:sz w:val="24"/>
          <w:szCs w:val="24"/>
        </w:rPr>
        <w:t xml:space="preserve">Determination </w:t>
      </w:r>
      <w:r w:rsidR="00F26EE5">
        <w:rPr>
          <w:rFonts w:cs="Arial"/>
          <w:sz w:val="24"/>
          <w:szCs w:val="24"/>
        </w:rPr>
        <w:t>cease</w:t>
      </w:r>
      <w:r w:rsidR="00CF297A">
        <w:rPr>
          <w:rFonts w:cs="Arial"/>
          <w:sz w:val="24"/>
          <w:szCs w:val="24"/>
        </w:rPr>
        <w:t xml:space="preserve">s </w:t>
      </w:r>
      <w:r w:rsidR="00C85D26">
        <w:rPr>
          <w:rFonts w:cs="Arial"/>
          <w:sz w:val="24"/>
          <w:szCs w:val="24"/>
        </w:rPr>
        <w:t>operation on</w:t>
      </w:r>
      <w:r w:rsidR="00CF297A">
        <w:rPr>
          <w:rFonts w:cs="Arial"/>
          <w:sz w:val="24"/>
          <w:szCs w:val="24"/>
        </w:rPr>
        <w:t xml:space="preserve"> 1 </w:t>
      </w:r>
      <w:r w:rsidR="004D3CB1">
        <w:rPr>
          <w:rFonts w:cs="Arial"/>
          <w:sz w:val="24"/>
          <w:szCs w:val="24"/>
        </w:rPr>
        <w:t xml:space="preserve">April </w:t>
      </w:r>
      <w:r w:rsidR="00413057">
        <w:rPr>
          <w:rFonts w:cs="Arial"/>
          <w:sz w:val="24"/>
          <w:szCs w:val="24"/>
        </w:rPr>
        <w:t xml:space="preserve">2017 </w:t>
      </w:r>
      <w:r w:rsidRPr="00BF61F1">
        <w:rPr>
          <w:rFonts w:cs="Arial"/>
          <w:sz w:val="24"/>
          <w:szCs w:val="24"/>
        </w:rPr>
        <w:t xml:space="preserve">due to the </w:t>
      </w:r>
      <w:proofErr w:type="spellStart"/>
      <w:r w:rsidRPr="00BF61F1">
        <w:rPr>
          <w:rFonts w:cs="Arial"/>
          <w:sz w:val="24"/>
          <w:szCs w:val="24"/>
        </w:rPr>
        <w:t>sunsetting</w:t>
      </w:r>
      <w:proofErr w:type="spellEnd"/>
      <w:r w:rsidRPr="00BF61F1">
        <w:rPr>
          <w:rFonts w:cs="Arial"/>
          <w:sz w:val="24"/>
          <w:szCs w:val="24"/>
        </w:rPr>
        <w:t xml:space="preserve"> provisions in the </w:t>
      </w:r>
      <w:r w:rsidRPr="00BF61F1">
        <w:rPr>
          <w:rFonts w:cs="Arial"/>
          <w:i/>
          <w:sz w:val="24"/>
          <w:szCs w:val="24"/>
        </w:rPr>
        <w:t>Legislation Act 2003</w:t>
      </w:r>
      <w:r w:rsidRPr="00BF61F1">
        <w:rPr>
          <w:rFonts w:cs="Arial"/>
          <w:sz w:val="24"/>
          <w:szCs w:val="24"/>
        </w:rPr>
        <w:t>.</w:t>
      </w:r>
    </w:p>
    <w:p w:rsidR="00E5616F" w:rsidRDefault="00E5616F" w:rsidP="008C5AFA">
      <w:pPr>
        <w:rPr>
          <w:rFonts w:cs="Arial"/>
          <w:sz w:val="24"/>
          <w:szCs w:val="24"/>
        </w:rPr>
      </w:pPr>
    </w:p>
    <w:p w:rsidR="00E5616F" w:rsidRDefault="00E5616F" w:rsidP="008C5AFA">
      <w:pPr>
        <w:rPr>
          <w:rFonts w:cs="Arial"/>
          <w:sz w:val="24"/>
          <w:szCs w:val="24"/>
        </w:rPr>
      </w:pPr>
      <w:r>
        <w:rPr>
          <w:rFonts w:cs="Arial"/>
          <w:sz w:val="24"/>
          <w:szCs w:val="24"/>
        </w:rPr>
        <w:t>This Determination is</w:t>
      </w:r>
      <w:r w:rsidR="00082000">
        <w:rPr>
          <w:rFonts w:cs="Arial"/>
          <w:sz w:val="24"/>
          <w:szCs w:val="24"/>
        </w:rPr>
        <w:t xml:space="preserve"> in</w:t>
      </w:r>
      <w:r>
        <w:rPr>
          <w:rFonts w:cs="Arial"/>
          <w:sz w:val="24"/>
          <w:szCs w:val="24"/>
        </w:rPr>
        <w:t xml:space="preserve"> substantially the same</w:t>
      </w:r>
      <w:r w:rsidR="00082000">
        <w:rPr>
          <w:rFonts w:cs="Arial"/>
          <w:sz w:val="24"/>
          <w:szCs w:val="24"/>
        </w:rPr>
        <w:t xml:space="preserve"> terms as the </w:t>
      </w:r>
      <w:r w:rsidR="004D3CB1">
        <w:rPr>
          <w:rFonts w:cs="Arial"/>
          <w:sz w:val="24"/>
          <w:szCs w:val="24"/>
        </w:rPr>
        <w:t xml:space="preserve">2004 </w:t>
      </w:r>
      <w:r w:rsidR="00082000">
        <w:rPr>
          <w:rFonts w:cs="Arial"/>
          <w:sz w:val="24"/>
          <w:szCs w:val="24"/>
        </w:rPr>
        <w:t>Determination</w:t>
      </w:r>
      <w:r>
        <w:rPr>
          <w:rFonts w:cs="Arial"/>
          <w:sz w:val="24"/>
          <w:szCs w:val="24"/>
        </w:rPr>
        <w:t>.</w:t>
      </w:r>
    </w:p>
    <w:p w:rsidR="007D3941" w:rsidRDefault="007D3941" w:rsidP="008C5AFA">
      <w:pPr>
        <w:rPr>
          <w:rFonts w:cs="Arial"/>
          <w:sz w:val="24"/>
          <w:szCs w:val="24"/>
        </w:rPr>
      </w:pPr>
    </w:p>
    <w:p w:rsidR="007D3941" w:rsidRDefault="007D3941" w:rsidP="008C5AFA">
      <w:pPr>
        <w:rPr>
          <w:rFonts w:cs="Arial"/>
          <w:sz w:val="24"/>
          <w:szCs w:val="24"/>
        </w:rPr>
      </w:pPr>
      <w:r>
        <w:rPr>
          <w:rFonts w:cs="Arial"/>
          <w:sz w:val="24"/>
          <w:szCs w:val="24"/>
        </w:rPr>
        <w:t xml:space="preserve">The </w:t>
      </w:r>
      <w:r w:rsidR="004D3CB1">
        <w:rPr>
          <w:rFonts w:cs="Arial"/>
          <w:sz w:val="24"/>
          <w:szCs w:val="24"/>
        </w:rPr>
        <w:t xml:space="preserve">Determination </w:t>
      </w:r>
      <w:r>
        <w:rPr>
          <w:rFonts w:cs="Arial"/>
          <w:sz w:val="24"/>
          <w:szCs w:val="24"/>
        </w:rPr>
        <w:t xml:space="preserve">is a legislative instrument for the purposes of the </w:t>
      </w:r>
      <w:r w:rsidRPr="007D3941">
        <w:rPr>
          <w:rFonts w:cs="Arial"/>
          <w:i/>
          <w:sz w:val="24"/>
          <w:szCs w:val="24"/>
        </w:rPr>
        <w:t>Legislation Act 2003</w:t>
      </w:r>
      <w:r>
        <w:rPr>
          <w:rFonts w:cs="Arial"/>
          <w:sz w:val="24"/>
          <w:szCs w:val="24"/>
        </w:rPr>
        <w:t>.</w:t>
      </w:r>
    </w:p>
    <w:p w:rsidR="008C5AFA" w:rsidRPr="008C5AFA" w:rsidRDefault="008C5AFA" w:rsidP="008C5AFA">
      <w:pPr>
        <w:rPr>
          <w:rFonts w:cs="Arial"/>
          <w:sz w:val="24"/>
          <w:szCs w:val="24"/>
        </w:rPr>
      </w:pPr>
    </w:p>
    <w:p w:rsidR="008C5AFA" w:rsidRPr="00BF61F1" w:rsidRDefault="008C5AFA" w:rsidP="00BF61F1">
      <w:pPr>
        <w:rPr>
          <w:rFonts w:cs="Arial"/>
          <w:b/>
          <w:sz w:val="24"/>
          <w:szCs w:val="24"/>
        </w:rPr>
      </w:pPr>
      <w:r w:rsidRPr="00BF61F1">
        <w:rPr>
          <w:rFonts w:cs="Arial"/>
          <w:b/>
          <w:sz w:val="24"/>
          <w:szCs w:val="24"/>
        </w:rPr>
        <w:t>Commencement</w:t>
      </w:r>
    </w:p>
    <w:p w:rsidR="008C5AFA" w:rsidRPr="00BF61F1" w:rsidRDefault="008C5AFA" w:rsidP="00BF61F1">
      <w:pPr>
        <w:rPr>
          <w:sz w:val="24"/>
          <w:szCs w:val="24"/>
        </w:rPr>
      </w:pPr>
    </w:p>
    <w:p w:rsidR="008C5AFA" w:rsidRPr="00BF61F1" w:rsidRDefault="008C5AFA" w:rsidP="00BF61F1">
      <w:pPr>
        <w:rPr>
          <w:sz w:val="24"/>
          <w:szCs w:val="24"/>
        </w:rPr>
      </w:pPr>
      <w:r w:rsidRPr="00BF61F1">
        <w:rPr>
          <w:sz w:val="24"/>
          <w:szCs w:val="24"/>
        </w:rPr>
        <w:t xml:space="preserve">This Determination commences on 1 </w:t>
      </w:r>
      <w:r w:rsidR="00413057">
        <w:rPr>
          <w:sz w:val="24"/>
          <w:szCs w:val="24"/>
        </w:rPr>
        <w:t>April</w:t>
      </w:r>
      <w:r w:rsidR="00413057" w:rsidRPr="00BF61F1">
        <w:rPr>
          <w:sz w:val="24"/>
          <w:szCs w:val="24"/>
        </w:rPr>
        <w:t xml:space="preserve"> </w:t>
      </w:r>
      <w:r w:rsidRPr="00BF61F1">
        <w:rPr>
          <w:sz w:val="24"/>
          <w:szCs w:val="24"/>
        </w:rPr>
        <w:t>201</w:t>
      </w:r>
      <w:r w:rsidR="00413057">
        <w:rPr>
          <w:sz w:val="24"/>
          <w:szCs w:val="24"/>
        </w:rPr>
        <w:t>7</w:t>
      </w:r>
      <w:r w:rsidRPr="00BF61F1">
        <w:rPr>
          <w:sz w:val="24"/>
          <w:szCs w:val="24"/>
        </w:rPr>
        <w:t>.</w:t>
      </w:r>
    </w:p>
    <w:p w:rsidR="008C5AFA" w:rsidRPr="00BF61F1" w:rsidRDefault="008C5AFA" w:rsidP="00BF61F1">
      <w:pPr>
        <w:rPr>
          <w:rFonts w:cs="Arial"/>
          <w:sz w:val="24"/>
          <w:szCs w:val="24"/>
        </w:rPr>
      </w:pPr>
    </w:p>
    <w:p w:rsidR="008C5AFA" w:rsidRPr="008C5AFA" w:rsidRDefault="008C5AFA" w:rsidP="00BF61F1">
      <w:pPr>
        <w:rPr>
          <w:rFonts w:cs="Arial"/>
          <w:b/>
          <w:sz w:val="24"/>
          <w:szCs w:val="24"/>
        </w:rPr>
      </w:pPr>
      <w:r w:rsidRPr="00BF61F1">
        <w:rPr>
          <w:rFonts w:cs="Arial"/>
          <w:b/>
          <w:sz w:val="24"/>
          <w:szCs w:val="24"/>
        </w:rPr>
        <w:t>Consultation</w:t>
      </w:r>
    </w:p>
    <w:p w:rsidR="008C5AFA" w:rsidRPr="00BF61F1" w:rsidRDefault="008C5AFA" w:rsidP="00BF61F1">
      <w:pPr>
        <w:rPr>
          <w:rFonts w:cs="Arial"/>
          <w:b/>
          <w:sz w:val="24"/>
          <w:szCs w:val="24"/>
        </w:rPr>
      </w:pPr>
    </w:p>
    <w:p w:rsidR="000A0C07" w:rsidRDefault="008C5AFA" w:rsidP="00BF61F1">
      <w:pPr>
        <w:rPr>
          <w:rFonts w:cs="Arial"/>
          <w:sz w:val="24"/>
          <w:szCs w:val="24"/>
        </w:rPr>
      </w:pPr>
      <w:r w:rsidRPr="00BF61F1">
        <w:rPr>
          <w:rFonts w:cs="Arial"/>
          <w:sz w:val="24"/>
          <w:szCs w:val="24"/>
        </w:rPr>
        <w:t>Treasury has been consulted in the preparation of this Determination.</w:t>
      </w:r>
      <w:r w:rsidR="00F501DD">
        <w:rPr>
          <w:rFonts w:cs="Arial"/>
          <w:sz w:val="24"/>
          <w:szCs w:val="24"/>
        </w:rPr>
        <w:t xml:space="preserve"> </w:t>
      </w:r>
    </w:p>
    <w:p w:rsidR="000A0C07" w:rsidRDefault="000A0C07" w:rsidP="00BF61F1">
      <w:pPr>
        <w:rPr>
          <w:rFonts w:cs="Arial"/>
          <w:sz w:val="24"/>
          <w:szCs w:val="24"/>
        </w:rPr>
      </w:pPr>
    </w:p>
    <w:p w:rsidR="008C5AFA" w:rsidRPr="00BF61F1" w:rsidRDefault="00F501DD" w:rsidP="00BF61F1">
      <w:pPr>
        <w:rPr>
          <w:rFonts w:cs="Arial"/>
          <w:sz w:val="24"/>
          <w:szCs w:val="24"/>
        </w:rPr>
      </w:pPr>
      <w:r>
        <w:rPr>
          <w:rFonts w:cs="Arial"/>
          <w:sz w:val="24"/>
          <w:szCs w:val="24"/>
        </w:rPr>
        <w:t>Given the beneficial nature of the Determination</w:t>
      </w:r>
      <w:r w:rsidR="00485170">
        <w:rPr>
          <w:rFonts w:cs="Arial"/>
          <w:sz w:val="24"/>
          <w:szCs w:val="24"/>
        </w:rPr>
        <w:t>,</w:t>
      </w:r>
      <w:r>
        <w:rPr>
          <w:rFonts w:cs="Arial"/>
          <w:sz w:val="24"/>
          <w:szCs w:val="24"/>
        </w:rPr>
        <w:t xml:space="preserve"> and the fact that it continues arrangements that have been in place since the 2004 Determination was made</w:t>
      </w:r>
      <w:r w:rsidR="00485170">
        <w:rPr>
          <w:rFonts w:cs="Arial"/>
          <w:sz w:val="24"/>
          <w:szCs w:val="24"/>
        </w:rPr>
        <w:t>,</w:t>
      </w:r>
      <w:r>
        <w:rPr>
          <w:rFonts w:cs="Arial"/>
          <w:sz w:val="24"/>
          <w:szCs w:val="24"/>
        </w:rPr>
        <w:t xml:space="preserve"> further public consultation was considered unnecessary.</w:t>
      </w:r>
    </w:p>
    <w:p w:rsidR="008C5AFA" w:rsidRPr="00BF61F1" w:rsidRDefault="008C5AFA" w:rsidP="00BF61F1">
      <w:pPr>
        <w:keepNext/>
        <w:keepLines/>
        <w:jc w:val="both"/>
        <w:rPr>
          <w:rFonts w:cs="Arial"/>
          <w:sz w:val="24"/>
          <w:szCs w:val="24"/>
        </w:rPr>
      </w:pPr>
    </w:p>
    <w:p w:rsidR="008C5AFA" w:rsidRPr="00BF61F1" w:rsidRDefault="008C5AFA" w:rsidP="00BF61F1">
      <w:pPr>
        <w:keepNext/>
        <w:keepLines/>
        <w:jc w:val="both"/>
        <w:rPr>
          <w:rFonts w:cs="Arial"/>
          <w:b/>
          <w:sz w:val="24"/>
          <w:szCs w:val="24"/>
        </w:rPr>
      </w:pPr>
      <w:r w:rsidRPr="00BF61F1">
        <w:rPr>
          <w:rFonts w:cs="Arial"/>
          <w:b/>
          <w:sz w:val="24"/>
          <w:szCs w:val="24"/>
        </w:rPr>
        <w:t>Regulation Impact Statement (RIS)</w:t>
      </w:r>
    </w:p>
    <w:p w:rsidR="008C5AFA" w:rsidRPr="00BF61F1" w:rsidRDefault="008C5AFA" w:rsidP="00BF61F1">
      <w:pPr>
        <w:keepNext/>
        <w:keepLines/>
        <w:jc w:val="both"/>
        <w:rPr>
          <w:rFonts w:cs="Arial"/>
          <w:b/>
          <w:sz w:val="24"/>
          <w:szCs w:val="24"/>
        </w:rPr>
      </w:pPr>
    </w:p>
    <w:p w:rsidR="008C5AFA" w:rsidRPr="008C5AFA" w:rsidRDefault="008C5AFA" w:rsidP="008C5AFA">
      <w:pPr>
        <w:rPr>
          <w:rFonts w:cs="Arial"/>
          <w:sz w:val="24"/>
          <w:szCs w:val="24"/>
        </w:rPr>
      </w:pPr>
      <w:r w:rsidRPr="00BF61F1">
        <w:rPr>
          <w:rFonts w:cs="Arial"/>
          <w:sz w:val="24"/>
          <w:szCs w:val="24"/>
        </w:rPr>
        <w:t>This Determination is not regulatory in nature and will have no regulatory impact on individuals, business, activity or competition.</w:t>
      </w:r>
    </w:p>
    <w:p w:rsidR="008C5AFA" w:rsidRPr="008C5AFA" w:rsidRDefault="008C5AFA" w:rsidP="008C5AFA">
      <w:pPr>
        <w:rPr>
          <w:rFonts w:cs="Arial"/>
          <w:sz w:val="24"/>
          <w:szCs w:val="24"/>
        </w:rPr>
      </w:pPr>
    </w:p>
    <w:p w:rsidR="008C5AFA" w:rsidRDefault="008C5AFA" w:rsidP="00BF61F1">
      <w:pPr>
        <w:keepNext/>
        <w:keepLines/>
        <w:jc w:val="both"/>
        <w:rPr>
          <w:rFonts w:cs="Arial"/>
          <w:b/>
          <w:sz w:val="24"/>
          <w:szCs w:val="24"/>
        </w:rPr>
      </w:pPr>
      <w:r w:rsidRPr="00BF61F1">
        <w:rPr>
          <w:rFonts w:cs="Arial"/>
          <w:b/>
          <w:sz w:val="24"/>
          <w:szCs w:val="24"/>
        </w:rPr>
        <w:t>Explanation of the provisions</w:t>
      </w:r>
    </w:p>
    <w:p w:rsidR="00F75873" w:rsidRPr="00BF61F1" w:rsidRDefault="00F75873" w:rsidP="00BF61F1">
      <w:pPr>
        <w:keepNext/>
        <w:keepLines/>
        <w:jc w:val="both"/>
        <w:rPr>
          <w:rFonts w:cs="Arial"/>
          <w:b/>
          <w:sz w:val="24"/>
          <w:szCs w:val="24"/>
        </w:rPr>
      </w:pPr>
    </w:p>
    <w:p w:rsidR="008C5AFA" w:rsidRPr="00485170" w:rsidRDefault="008C5AFA" w:rsidP="008C5AFA">
      <w:pPr>
        <w:pStyle w:val="BodyText2"/>
        <w:keepNext/>
        <w:keepLines/>
        <w:rPr>
          <w:rFonts w:ascii="Arial" w:hAnsi="Arial" w:cs="Arial"/>
          <w:szCs w:val="24"/>
        </w:rPr>
      </w:pPr>
      <w:r w:rsidRPr="00485170">
        <w:rPr>
          <w:rFonts w:ascii="Arial" w:hAnsi="Arial" w:cs="Arial"/>
          <w:b/>
          <w:szCs w:val="24"/>
        </w:rPr>
        <w:t>Section 1</w:t>
      </w:r>
      <w:r w:rsidRPr="00485170">
        <w:rPr>
          <w:rFonts w:ascii="Arial" w:hAnsi="Arial" w:cs="Arial"/>
          <w:szCs w:val="24"/>
        </w:rPr>
        <w:t xml:space="preserve"> of the Determination states the name of the Determination. </w:t>
      </w:r>
    </w:p>
    <w:p w:rsidR="008C5AFA" w:rsidRPr="009428F3" w:rsidRDefault="008C5AFA" w:rsidP="008C5AFA">
      <w:pPr>
        <w:pStyle w:val="BodyText2"/>
        <w:keepNext/>
        <w:keepLines/>
        <w:rPr>
          <w:rFonts w:ascii="Arial" w:hAnsi="Arial" w:cs="Arial"/>
          <w:szCs w:val="24"/>
        </w:rPr>
      </w:pPr>
      <w:r w:rsidRPr="009428F3">
        <w:rPr>
          <w:rFonts w:ascii="Arial" w:hAnsi="Arial" w:cs="Arial"/>
          <w:b/>
          <w:szCs w:val="24"/>
        </w:rPr>
        <w:t>Section 2</w:t>
      </w:r>
      <w:r w:rsidRPr="009428F3">
        <w:rPr>
          <w:rFonts w:ascii="Arial" w:hAnsi="Arial" w:cs="Arial"/>
          <w:szCs w:val="24"/>
        </w:rPr>
        <w:t xml:space="preserve"> states that the Determination commences on 1 </w:t>
      </w:r>
      <w:r w:rsidR="009E7062" w:rsidRPr="009428F3">
        <w:rPr>
          <w:rFonts w:ascii="Arial" w:hAnsi="Arial" w:cs="Arial"/>
          <w:szCs w:val="24"/>
        </w:rPr>
        <w:t>April 2017</w:t>
      </w:r>
      <w:r w:rsidRPr="009428F3">
        <w:rPr>
          <w:rFonts w:ascii="Arial" w:hAnsi="Arial" w:cs="Arial"/>
          <w:szCs w:val="24"/>
        </w:rPr>
        <w:t xml:space="preserve">. </w:t>
      </w:r>
    </w:p>
    <w:p w:rsidR="008C5AFA" w:rsidRPr="00485170" w:rsidRDefault="008C5AFA" w:rsidP="008C5AFA">
      <w:pPr>
        <w:pStyle w:val="BodyText2"/>
        <w:keepNext/>
        <w:keepLines/>
        <w:rPr>
          <w:rFonts w:ascii="Arial" w:hAnsi="Arial" w:cs="Arial"/>
          <w:szCs w:val="24"/>
        </w:rPr>
      </w:pPr>
      <w:r w:rsidRPr="006F55A8">
        <w:rPr>
          <w:rFonts w:ascii="Arial" w:hAnsi="Arial" w:cs="Arial"/>
          <w:b/>
          <w:szCs w:val="24"/>
        </w:rPr>
        <w:t xml:space="preserve">Section </w:t>
      </w:r>
      <w:r w:rsidR="00BB39F0" w:rsidRPr="00994476">
        <w:rPr>
          <w:rFonts w:ascii="Arial" w:hAnsi="Arial" w:cs="Arial"/>
          <w:b/>
          <w:szCs w:val="24"/>
        </w:rPr>
        <w:t>3</w:t>
      </w:r>
      <w:r w:rsidR="00D07271" w:rsidRPr="00994476">
        <w:rPr>
          <w:rFonts w:ascii="Arial" w:hAnsi="Arial" w:cs="Arial"/>
          <w:b/>
          <w:szCs w:val="24"/>
        </w:rPr>
        <w:t xml:space="preserve"> </w:t>
      </w:r>
      <w:r w:rsidRPr="00994476">
        <w:rPr>
          <w:rFonts w:ascii="Arial" w:hAnsi="Arial" w:cs="Arial"/>
          <w:szCs w:val="24"/>
        </w:rPr>
        <w:t xml:space="preserve">contains </w:t>
      </w:r>
      <w:r w:rsidR="008F4A5D" w:rsidRPr="00994476">
        <w:rPr>
          <w:rFonts w:ascii="Arial" w:hAnsi="Arial" w:cs="Arial"/>
          <w:szCs w:val="24"/>
        </w:rPr>
        <w:t>an interpretation provision</w:t>
      </w:r>
      <w:r w:rsidRPr="00BD69BA">
        <w:rPr>
          <w:rFonts w:ascii="Arial" w:hAnsi="Arial" w:cs="Arial"/>
          <w:szCs w:val="24"/>
        </w:rPr>
        <w:t xml:space="preserve"> for the Determination</w:t>
      </w:r>
      <w:r w:rsidR="00BB39F0" w:rsidRPr="00485170">
        <w:rPr>
          <w:rFonts w:ascii="Arial" w:hAnsi="Arial" w:cs="Arial"/>
          <w:szCs w:val="24"/>
        </w:rPr>
        <w:t xml:space="preserve"> which makes clear that a reference in the Determination to the </w:t>
      </w:r>
      <w:r w:rsidR="008F4A5D" w:rsidRPr="00485170">
        <w:rPr>
          <w:rFonts w:ascii="Arial" w:hAnsi="Arial" w:cs="Arial"/>
          <w:szCs w:val="24"/>
        </w:rPr>
        <w:t xml:space="preserve">word </w:t>
      </w:r>
      <w:r w:rsidR="00BB39F0" w:rsidRPr="00485170">
        <w:rPr>
          <w:rFonts w:ascii="Arial" w:hAnsi="Arial" w:cs="Arial"/>
          <w:b/>
          <w:i/>
          <w:szCs w:val="24"/>
        </w:rPr>
        <w:t>Act</w:t>
      </w:r>
      <w:r w:rsidR="00BB39F0" w:rsidRPr="00485170">
        <w:rPr>
          <w:rFonts w:ascii="Arial" w:hAnsi="Arial" w:cs="Arial"/>
          <w:szCs w:val="24"/>
        </w:rPr>
        <w:t xml:space="preserve"> is a reference to the </w:t>
      </w:r>
      <w:r w:rsidR="00BB39F0" w:rsidRPr="00485170">
        <w:rPr>
          <w:rFonts w:ascii="Arial" w:hAnsi="Arial" w:cs="Arial"/>
          <w:i/>
          <w:szCs w:val="24"/>
        </w:rPr>
        <w:t>A New Tax System (Goods and Services Tax) Act 1999</w:t>
      </w:r>
      <w:r w:rsidRPr="00485170">
        <w:rPr>
          <w:rFonts w:ascii="Arial" w:hAnsi="Arial" w:cs="Arial"/>
          <w:szCs w:val="24"/>
        </w:rPr>
        <w:t>.</w:t>
      </w:r>
    </w:p>
    <w:p w:rsidR="008C5AFA" w:rsidRPr="00485170" w:rsidRDefault="00BB39F0" w:rsidP="00E65DE5">
      <w:pPr>
        <w:rPr>
          <w:sz w:val="24"/>
          <w:szCs w:val="24"/>
        </w:rPr>
      </w:pPr>
      <w:r w:rsidRPr="00485170">
        <w:rPr>
          <w:rFonts w:cs="Arial"/>
          <w:b/>
          <w:sz w:val="24"/>
          <w:szCs w:val="24"/>
        </w:rPr>
        <w:t>Section 4</w:t>
      </w:r>
      <w:r w:rsidRPr="00485170">
        <w:rPr>
          <w:rFonts w:cs="Arial"/>
          <w:sz w:val="24"/>
          <w:szCs w:val="24"/>
        </w:rPr>
        <w:t xml:space="preserve"> </w:t>
      </w:r>
      <w:r w:rsidR="008507F3" w:rsidRPr="00485170">
        <w:rPr>
          <w:rFonts w:cs="Arial"/>
          <w:sz w:val="24"/>
          <w:szCs w:val="24"/>
        </w:rPr>
        <w:t>provides</w:t>
      </w:r>
      <w:r w:rsidR="001A4EA6" w:rsidRPr="00485170">
        <w:rPr>
          <w:rFonts w:cs="Arial"/>
          <w:sz w:val="24"/>
          <w:szCs w:val="24"/>
        </w:rPr>
        <w:t xml:space="preserve"> that</w:t>
      </w:r>
      <w:r w:rsidRPr="00485170">
        <w:rPr>
          <w:rFonts w:cs="Arial"/>
          <w:sz w:val="24"/>
          <w:szCs w:val="24"/>
        </w:rPr>
        <w:t xml:space="preserve"> the purpose of the Determination</w:t>
      </w:r>
      <w:r w:rsidR="00485170" w:rsidRPr="00485170">
        <w:rPr>
          <w:rFonts w:cs="Arial"/>
          <w:sz w:val="24"/>
          <w:szCs w:val="24"/>
        </w:rPr>
        <w:t xml:space="preserve"> is to determine that Language Other Than English (LOTE) courses provided in accordance with this Determination are courses of study or instruction that are primary courses or secondary courses for the purposes of the Act.</w:t>
      </w:r>
    </w:p>
    <w:p w:rsidR="00BB39F0" w:rsidRPr="00485170" w:rsidRDefault="00BB39F0" w:rsidP="00E65DE5">
      <w:pPr>
        <w:rPr>
          <w:sz w:val="24"/>
          <w:szCs w:val="24"/>
        </w:rPr>
      </w:pPr>
    </w:p>
    <w:p w:rsidR="00BB39F0" w:rsidRPr="0075469D" w:rsidRDefault="00BB39F0" w:rsidP="00E65DE5">
      <w:pPr>
        <w:rPr>
          <w:sz w:val="24"/>
          <w:szCs w:val="24"/>
          <w:highlight w:val="yellow"/>
        </w:rPr>
      </w:pPr>
      <w:r w:rsidRPr="00485170">
        <w:rPr>
          <w:sz w:val="24"/>
          <w:szCs w:val="24"/>
        </w:rPr>
        <w:t>A note to section</w:t>
      </w:r>
      <w:r w:rsidR="008507F3" w:rsidRPr="00485170">
        <w:rPr>
          <w:sz w:val="24"/>
          <w:szCs w:val="24"/>
        </w:rPr>
        <w:t xml:space="preserve"> 4</w:t>
      </w:r>
      <w:r w:rsidRPr="00485170">
        <w:rPr>
          <w:sz w:val="24"/>
          <w:szCs w:val="24"/>
        </w:rPr>
        <w:t xml:space="preserve"> provides that </w:t>
      </w:r>
      <w:r w:rsidR="006807CD" w:rsidRPr="00485170">
        <w:rPr>
          <w:sz w:val="24"/>
          <w:szCs w:val="24"/>
        </w:rPr>
        <w:t xml:space="preserve">under section 38-85 of the Act, </w:t>
      </w:r>
      <w:r w:rsidR="00485170" w:rsidRPr="00485170">
        <w:rPr>
          <w:sz w:val="24"/>
          <w:szCs w:val="24"/>
        </w:rPr>
        <w:t>the supply of an education course, which includes a primary course and a secondary course, is GST-free.</w:t>
      </w:r>
    </w:p>
    <w:p w:rsidR="006807CD" w:rsidRPr="0075469D" w:rsidRDefault="006807CD" w:rsidP="00E65DE5">
      <w:pPr>
        <w:rPr>
          <w:sz w:val="24"/>
          <w:szCs w:val="24"/>
          <w:highlight w:val="yellow"/>
        </w:rPr>
      </w:pPr>
    </w:p>
    <w:p w:rsidR="006807CD" w:rsidRPr="0075469D" w:rsidRDefault="006807CD" w:rsidP="00BF61F1">
      <w:pPr>
        <w:pStyle w:val="BodyText2"/>
        <w:keepNext/>
        <w:keepLines/>
        <w:rPr>
          <w:rFonts w:ascii="Arial" w:hAnsi="Arial" w:cs="Arial"/>
          <w:szCs w:val="24"/>
        </w:rPr>
      </w:pPr>
      <w:r w:rsidRPr="006F55A8">
        <w:rPr>
          <w:rFonts w:ascii="Arial" w:hAnsi="Arial" w:cs="Arial"/>
          <w:b/>
          <w:szCs w:val="24"/>
        </w:rPr>
        <w:t>Section 5</w:t>
      </w:r>
      <w:r w:rsidRPr="00994476">
        <w:rPr>
          <w:rFonts w:ascii="Arial" w:hAnsi="Arial" w:cs="Arial"/>
          <w:szCs w:val="24"/>
        </w:rPr>
        <w:t xml:space="preserve"> of the Determination sets out the kinds of courses determined </w:t>
      </w:r>
      <w:r w:rsidR="007D3A56" w:rsidRPr="00994476">
        <w:rPr>
          <w:rFonts w:ascii="Arial" w:hAnsi="Arial" w:cs="Arial"/>
          <w:szCs w:val="24"/>
        </w:rPr>
        <w:t xml:space="preserve">by the Minister </w:t>
      </w:r>
      <w:r w:rsidRPr="00994476">
        <w:rPr>
          <w:rFonts w:ascii="Arial" w:hAnsi="Arial" w:cs="Arial"/>
          <w:szCs w:val="24"/>
        </w:rPr>
        <w:t xml:space="preserve">to be </w:t>
      </w:r>
      <w:r w:rsidR="009428F3" w:rsidRPr="0075469D">
        <w:rPr>
          <w:rFonts w:ascii="Arial" w:hAnsi="Arial" w:cs="Arial"/>
          <w:szCs w:val="24"/>
        </w:rPr>
        <w:t>primary</w:t>
      </w:r>
      <w:r w:rsidRPr="006F55A8">
        <w:rPr>
          <w:rFonts w:ascii="Arial" w:hAnsi="Arial" w:cs="Arial"/>
          <w:szCs w:val="24"/>
        </w:rPr>
        <w:t xml:space="preserve"> courses </w:t>
      </w:r>
      <w:r w:rsidR="009428F3" w:rsidRPr="0075469D">
        <w:rPr>
          <w:rFonts w:ascii="Arial" w:hAnsi="Arial" w:cs="Arial"/>
          <w:szCs w:val="24"/>
        </w:rPr>
        <w:t>for the purposes of the definition of primary course in</w:t>
      </w:r>
      <w:r w:rsidR="009428F3" w:rsidRPr="006F55A8">
        <w:rPr>
          <w:rFonts w:ascii="Arial" w:hAnsi="Arial" w:cs="Arial"/>
          <w:szCs w:val="24"/>
        </w:rPr>
        <w:t xml:space="preserve"> </w:t>
      </w:r>
      <w:r w:rsidRPr="00994476">
        <w:rPr>
          <w:rFonts w:ascii="Arial" w:hAnsi="Arial" w:cs="Arial"/>
          <w:szCs w:val="24"/>
        </w:rPr>
        <w:t>paragraph 195-1(</w:t>
      </w:r>
      <w:r w:rsidR="009428F3" w:rsidRPr="0075469D">
        <w:rPr>
          <w:rFonts w:ascii="Arial" w:hAnsi="Arial" w:cs="Arial"/>
          <w:szCs w:val="24"/>
        </w:rPr>
        <w:t>b</w:t>
      </w:r>
      <w:r w:rsidRPr="006F55A8">
        <w:rPr>
          <w:rFonts w:ascii="Arial" w:hAnsi="Arial" w:cs="Arial"/>
          <w:szCs w:val="24"/>
        </w:rPr>
        <w:t>) of the Act.</w:t>
      </w:r>
    </w:p>
    <w:p w:rsidR="009428F3" w:rsidRDefault="009428F3" w:rsidP="0075469D">
      <w:r w:rsidRPr="0075469D">
        <w:rPr>
          <w:sz w:val="24"/>
          <w:szCs w:val="24"/>
        </w:rPr>
        <w:t>Subsection 5(1) provides that a LOTE course that is provided to primary school students by an ethnic school is determined to be a primary course for the purposes of the Act.</w:t>
      </w:r>
    </w:p>
    <w:p w:rsidR="009428F3" w:rsidRDefault="009428F3" w:rsidP="0075469D"/>
    <w:p w:rsidR="009428F3" w:rsidRDefault="009428F3" w:rsidP="0075469D">
      <w:r>
        <w:rPr>
          <w:sz w:val="24"/>
          <w:szCs w:val="24"/>
        </w:rPr>
        <w:t>Subsection 5(2) then provides that</w:t>
      </w:r>
      <w:r w:rsidRPr="0075469D">
        <w:rPr>
          <w:sz w:val="24"/>
          <w:szCs w:val="24"/>
        </w:rPr>
        <w:t xml:space="preserve"> a LOTE course is provided by an ethnic school if it is provided by, or on behalf of, a school that:</w:t>
      </w:r>
    </w:p>
    <w:p w:rsidR="009428F3" w:rsidRPr="0075469D" w:rsidRDefault="009428F3" w:rsidP="0075469D"/>
    <w:p w:rsidR="009428F3" w:rsidRPr="0075469D" w:rsidRDefault="009428F3" w:rsidP="009428F3">
      <w:pPr>
        <w:pStyle w:val="P2"/>
        <w:numPr>
          <w:ilvl w:val="0"/>
          <w:numId w:val="1"/>
        </w:numPr>
        <w:tabs>
          <w:tab w:val="clear" w:pos="1758"/>
          <w:tab w:val="clear" w:pos="2155"/>
        </w:tabs>
        <w:rPr>
          <w:rFonts w:ascii="Arial" w:hAnsi="Arial" w:cs="Arial"/>
        </w:rPr>
      </w:pPr>
      <w:r w:rsidRPr="0075469D">
        <w:rPr>
          <w:rFonts w:ascii="Arial" w:hAnsi="Arial" w:cs="Arial"/>
        </w:rPr>
        <w:t xml:space="preserve">is a body corporate that operates on a not-for-profit basis; </w:t>
      </w:r>
    </w:p>
    <w:p w:rsidR="009428F3" w:rsidRPr="0075469D" w:rsidRDefault="009428F3" w:rsidP="009428F3">
      <w:pPr>
        <w:pStyle w:val="P2"/>
        <w:numPr>
          <w:ilvl w:val="0"/>
          <w:numId w:val="1"/>
        </w:numPr>
        <w:tabs>
          <w:tab w:val="clear" w:pos="1758"/>
          <w:tab w:val="clear" w:pos="2155"/>
        </w:tabs>
        <w:rPr>
          <w:rFonts w:ascii="Arial" w:hAnsi="Arial" w:cs="Arial"/>
        </w:rPr>
      </w:pPr>
      <w:r w:rsidRPr="0075469D">
        <w:rPr>
          <w:rFonts w:ascii="Arial" w:hAnsi="Arial" w:cs="Arial"/>
        </w:rPr>
        <w:t>has as its principal aim the teaching of languages other than English;</w:t>
      </w:r>
    </w:p>
    <w:p w:rsidR="009428F3" w:rsidRPr="0075469D" w:rsidRDefault="009428F3" w:rsidP="009428F3">
      <w:pPr>
        <w:pStyle w:val="P2"/>
        <w:numPr>
          <w:ilvl w:val="0"/>
          <w:numId w:val="1"/>
        </w:numPr>
        <w:tabs>
          <w:tab w:val="clear" w:pos="1758"/>
          <w:tab w:val="clear" w:pos="2155"/>
        </w:tabs>
        <w:rPr>
          <w:rFonts w:ascii="Arial" w:hAnsi="Arial" w:cs="Arial"/>
        </w:rPr>
      </w:pPr>
      <w:r w:rsidRPr="0075469D">
        <w:rPr>
          <w:rFonts w:ascii="Arial" w:hAnsi="Arial" w:cs="Arial"/>
        </w:rPr>
        <w:t>has close links with a community whose first/heritage language is not English; and</w:t>
      </w:r>
    </w:p>
    <w:p w:rsidR="009428F3" w:rsidRPr="0075469D" w:rsidRDefault="009428F3" w:rsidP="009428F3">
      <w:pPr>
        <w:pStyle w:val="P2"/>
        <w:numPr>
          <w:ilvl w:val="0"/>
          <w:numId w:val="1"/>
        </w:numPr>
        <w:tabs>
          <w:tab w:val="clear" w:pos="1758"/>
          <w:tab w:val="clear" w:pos="2155"/>
        </w:tabs>
        <w:rPr>
          <w:rFonts w:ascii="Arial" w:hAnsi="Arial" w:cs="Arial"/>
        </w:rPr>
      </w:pPr>
      <w:proofErr w:type="gramStart"/>
      <w:r w:rsidRPr="0075469D">
        <w:rPr>
          <w:rFonts w:ascii="Arial" w:hAnsi="Arial" w:cs="Arial"/>
        </w:rPr>
        <w:t>is</w:t>
      </w:r>
      <w:proofErr w:type="gramEnd"/>
      <w:r w:rsidRPr="0075469D">
        <w:rPr>
          <w:rFonts w:ascii="Arial" w:hAnsi="Arial" w:cs="Arial"/>
        </w:rPr>
        <w:t xml:space="preserve"> licensed, recognised, accredited, or in any way approved to provide such courses by a State or Territory authority responsible for that approval, in the manner applicable within the relevant State or Territory.</w:t>
      </w:r>
    </w:p>
    <w:p w:rsidR="009428F3" w:rsidRPr="00710EB9" w:rsidRDefault="006807CD" w:rsidP="00BF61F1">
      <w:pPr>
        <w:pStyle w:val="BodyText2"/>
        <w:keepNext/>
        <w:keepLines/>
        <w:jc w:val="left"/>
        <w:rPr>
          <w:rFonts w:ascii="Arial" w:hAnsi="Arial" w:cs="Arial"/>
          <w:szCs w:val="24"/>
        </w:rPr>
      </w:pPr>
      <w:r w:rsidRPr="00710EB9">
        <w:rPr>
          <w:rFonts w:ascii="Arial" w:hAnsi="Arial" w:cs="Arial"/>
          <w:b/>
          <w:szCs w:val="24"/>
        </w:rPr>
        <w:lastRenderedPageBreak/>
        <w:t>Section 6</w:t>
      </w:r>
      <w:r w:rsidRPr="00710EB9">
        <w:rPr>
          <w:rFonts w:ascii="Arial" w:hAnsi="Arial" w:cs="Arial"/>
          <w:szCs w:val="24"/>
        </w:rPr>
        <w:t xml:space="preserve"> </w:t>
      </w:r>
      <w:r w:rsidR="009428F3" w:rsidRPr="00710EB9">
        <w:rPr>
          <w:rFonts w:ascii="Arial" w:hAnsi="Arial" w:cs="Arial"/>
          <w:szCs w:val="24"/>
        </w:rPr>
        <w:t>of the Determination sets out the kinds of courses determined by the Minister to be secondary courses for the purposes of the definition of secondary course in paragraph 195-1(b) of the Act.</w:t>
      </w:r>
    </w:p>
    <w:p w:rsidR="009428F3" w:rsidRPr="003D12FF" w:rsidRDefault="009428F3" w:rsidP="009428F3">
      <w:pPr>
        <w:rPr>
          <w:sz w:val="24"/>
          <w:szCs w:val="24"/>
        </w:rPr>
      </w:pPr>
      <w:r w:rsidRPr="003D12FF">
        <w:rPr>
          <w:sz w:val="24"/>
          <w:szCs w:val="24"/>
        </w:rPr>
        <w:t xml:space="preserve">Subsection 6(1) provides that a LOTE course that is provided to </w:t>
      </w:r>
      <w:r w:rsidRPr="003D12FF">
        <w:rPr>
          <w:rFonts w:cs="Arial"/>
          <w:sz w:val="24"/>
          <w:szCs w:val="24"/>
        </w:rPr>
        <w:t xml:space="preserve">secondary </w:t>
      </w:r>
      <w:r w:rsidRPr="003D12FF">
        <w:rPr>
          <w:sz w:val="24"/>
          <w:szCs w:val="24"/>
        </w:rPr>
        <w:t xml:space="preserve">school students by an ethnic school is determined to be a </w:t>
      </w:r>
      <w:r w:rsidRPr="003D12FF">
        <w:rPr>
          <w:rFonts w:cs="Arial"/>
          <w:sz w:val="24"/>
          <w:szCs w:val="24"/>
        </w:rPr>
        <w:t xml:space="preserve">secondary </w:t>
      </w:r>
      <w:r w:rsidRPr="003D12FF">
        <w:rPr>
          <w:sz w:val="24"/>
          <w:szCs w:val="24"/>
        </w:rPr>
        <w:t>course for the purposes of the Act.</w:t>
      </w:r>
    </w:p>
    <w:p w:rsidR="00710EB9" w:rsidRPr="00710EB9" w:rsidRDefault="00710EB9" w:rsidP="009428F3">
      <w:pPr>
        <w:rPr>
          <w:sz w:val="24"/>
          <w:szCs w:val="24"/>
        </w:rPr>
      </w:pPr>
    </w:p>
    <w:p w:rsidR="00710EB9" w:rsidRPr="00710EB9" w:rsidRDefault="00710EB9" w:rsidP="009428F3">
      <w:pPr>
        <w:rPr>
          <w:sz w:val="24"/>
          <w:szCs w:val="24"/>
        </w:rPr>
      </w:pPr>
      <w:r w:rsidRPr="00710EB9">
        <w:rPr>
          <w:sz w:val="24"/>
          <w:szCs w:val="24"/>
        </w:rPr>
        <w:t>Subsection 6(2) then provides that a LOTE course is provided by an ethnic school if it is provided by, or on behalf of, a school that:</w:t>
      </w:r>
    </w:p>
    <w:p w:rsidR="009428F3" w:rsidRPr="0075469D" w:rsidRDefault="009428F3" w:rsidP="0075469D">
      <w:pPr>
        <w:pStyle w:val="P2"/>
        <w:numPr>
          <w:ilvl w:val="0"/>
          <w:numId w:val="3"/>
        </w:numPr>
        <w:tabs>
          <w:tab w:val="clear" w:pos="1758"/>
          <w:tab w:val="clear" w:pos="2155"/>
        </w:tabs>
        <w:rPr>
          <w:rFonts w:ascii="Arial" w:hAnsi="Arial" w:cs="Arial"/>
        </w:rPr>
      </w:pPr>
      <w:r w:rsidRPr="0075469D">
        <w:rPr>
          <w:rFonts w:ascii="Arial" w:hAnsi="Arial" w:cs="Arial"/>
        </w:rPr>
        <w:t xml:space="preserve">is a body corporate that operates on a not-for-profit basis; </w:t>
      </w:r>
    </w:p>
    <w:p w:rsidR="009428F3" w:rsidRPr="0075469D" w:rsidRDefault="009428F3" w:rsidP="0075469D">
      <w:pPr>
        <w:pStyle w:val="P2"/>
        <w:numPr>
          <w:ilvl w:val="0"/>
          <w:numId w:val="3"/>
        </w:numPr>
        <w:tabs>
          <w:tab w:val="clear" w:pos="1758"/>
          <w:tab w:val="clear" w:pos="2155"/>
        </w:tabs>
        <w:rPr>
          <w:rFonts w:ascii="Arial" w:hAnsi="Arial" w:cs="Arial"/>
        </w:rPr>
      </w:pPr>
      <w:r w:rsidRPr="0075469D">
        <w:rPr>
          <w:rFonts w:ascii="Arial" w:hAnsi="Arial" w:cs="Arial"/>
        </w:rPr>
        <w:t>has as its principal aim the teaching of languages other than English;</w:t>
      </w:r>
    </w:p>
    <w:p w:rsidR="009428F3" w:rsidRPr="0075469D" w:rsidRDefault="009428F3" w:rsidP="0075469D">
      <w:pPr>
        <w:pStyle w:val="P2"/>
        <w:numPr>
          <w:ilvl w:val="0"/>
          <w:numId w:val="3"/>
        </w:numPr>
        <w:tabs>
          <w:tab w:val="clear" w:pos="1758"/>
          <w:tab w:val="clear" w:pos="2155"/>
        </w:tabs>
        <w:rPr>
          <w:rFonts w:ascii="Arial" w:hAnsi="Arial" w:cs="Arial"/>
        </w:rPr>
      </w:pPr>
      <w:r w:rsidRPr="0075469D">
        <w:rPr>
          <w:rFonts w:ascii="Arial" w:hAnsi="Arial" w:cs="Arial"/>
        </w:rPr>
        <w:t xml:space="preserve">has close links with a community whose first/heritage language is not English; </w:t>
      </w:r>
    </w:p>
    <w:p w:rsidR="009428F3" w:rsidRPr="0075469D" w:rsidRDefault="00994476" w:rsidP="0075469D">
      <w:pPr>
        <w:pStyle w:val="P2"/>
        <w:numPr>
          <w:ilvl w:val="0"/>
          <w:numId w:val="3"/>
        </w:numPr>
        <w:tabs>
          <w:tab w:val="clear" w:pos="1758"/>
          <w:tab w:val="clear" w:pos="2155"/>
        </w:tabs>
        <w:rPr>
          <w:rFonts w:ascii="Arial" w:hAnsi="Arial" w:cs="Arial"/>
        </w:rPr>
      </w:pPr>
      <w:proofErr w:type="gramStart"/>
      <w:r>
        <w:rPr>
          <w:rFonts w:ascii="Arial" w:hAnsi="Arial" w:cs="Arial"/>
        </w:rPr>
        <w:t>i</w:t>
      </w:r>
      <w:r w:rsidR="009428F3" w:rsidRPr="0075469D">
        <w:rPr>
          <w:rFonts w:ascii="Arial" w:hAnsi="Arial" w:cs="Arial"/>
        </w:rPr>
        <w:t>s</w:t>
      </w:r>
      <w:proofErr w:type="gramEnd"/>
      <w:r w:rsidR="009428F3" w:rsidRPr="0075469D">
        <w:rPr>
          <w:rFonts w:ascii="Arial" w:hAnsi="Arial" w:cs="Arial"/>
        </w:rPr>
        <w:t xml:space="preserve"> licensed, recognised, accredited, or in any way approved to provide such courses by a State or Territory authority responsible for that approval, in the manner applicable within the relevant State or Territory.</w:t>
      </w:r>
    </w:p>
    <w:p w:rsidR="00EE2827" w:rsidRPr="00710EB9" w:rsidRDefault="00710EB9" w:rsidP="00BF61F1">
      <w:pPr>
        <w:spacing w:after="120"/>
        <w:jc w:val="center"/>
        <w:rPr>
          <w:rFonts w:cs="Arial"/>
          <w:b/>
          <w:sz w:val="24"/>
          <w:szCs w:val="24"/>
          <w:lang w:eastAsia="en-AU"/>
        </w:rPr>
      </w:pPr>
      <w:r>
        <w:rPr>
          <w:rFonts w:cs="Arial"/>
          <w:szCs w:val="24"/>
          <w:highlight w:val="yellow"/>
        </w:rPr>
        <w:br w:type="page"/>
      </w:r>
      <w:r w:rsidR="00EE2827" w:rsidRPr="00710EB9">
        <w:rPr>
          <w:rFonts w:cs="Arial"/>
          <w:b/>
          <w:sz w:val="24"/>
          <w:szCs w:val="24"/>
          <w:lang w:eastAsia="en-AU"/>
        </w:rPr>
        <w:lastRenderedPageBreak/>
        <w:t>Statement of Compatibility with Human Rights</w:t>
      </w:r>
    </w:p>
    <w:p w:rsidR="006716D5" w:rsidRPr="00710EB9" w:rsidRDefault="00EE2827" w:rsidP="00485170">
      <w:pPr>
        <w:spacing w:before="120" w:after="120"/>
        <w:jc w:val="center"/>
        <w:rPr>
          <w:rFonts w:cs="Arial"/>
          <w:i/>
          <w:sz w:val="24"/>
          <w:szCs w:val="24"/>
          <w:lang w:eastAsia="en-AU"/>
        </w:rPr>
      </w:pPr>
      <w:r w:rsidRPr="00710EB9">
        <w:rPr>
          <w:rFonts w:cs="Arial"/>
          <w:i/>
          <w:sz w:val="24"/>
          <w:szCs w:val="24"/>
          <w:lang w:eastAsia="en-AU"/>
        </w:rPr>
        <w:t>Prepared in accordance with Part 3 of the Human Rights (Parliamentary Scrutiny) Act 2011</w:t>
      </w:r>
    </w:p>
    <w:p w:rsidR="006716D5" w:rsidRPr="00994476" w:rsidRDefault="006716D5" w:rsidP="0075469D">
      <w:pPr>
        <w:spacing w:before="120" w:after="120"/>
        <w:jc w:val="center"/>
        <w:rPr>
          <w:rFonts w:cs="Arial"/>
          <w:i/>
          <w:sz w:val="24"/>
          <w:szCs w:val="24"/>
          <w:lang w:eastAsia="en-AU"/>
        </w:rPr>
      </w:pPr>
      <w:r w:rsidRPr="00710EB9">
        <w:rPr>
          <w:rFonts w:cs="Arial"/>
          <w:i/>
          <w:sz w:val="24"/>
          <w:szCs w:val="24"/>
          <w:lang w:eastAsia="en-AU"/>
        </w:rPr>
        <w:t>A New Tax System (Goods and Services Tax) (Language Other Than English - LOTE - courses offered by ethnic schools) Determination 201</w:t>
      </w:r>
      <w:r w:rsidR="006F55A8">
        <w:rPr>
          <w:rFonts w:cs="Arial"/>
          <w:i/>
          <w:sz w:val="24"/>
          <w:szCs w:val="24"/>
          <w:lang w:eastAsia="en-AU"/>
        </w:rPr>
        <w:t>7</w:t>
      </w:r>
    </w:p>
    <w:p w:rsidR="00EE2827" w:rsidRPr="0075469D" w:rsidRDefault="00EE2827" w:rsidP="006716D5">
      <w:pPr>
        <w:spacing w:before="120" w:after="120"/>
        <w:jc w:val="both"/>
        <w:rPr>
          <w:rFonts w:cs="Arial"/>
          <w:i/>
          <w:sz w:val="24"/>
          <w:szCs w:val="24"/>
          <w:lang w:eastAsia="en-AU"/>
        </w:rPr>
      </w:pPr>
      <w:r w:rsidRPr="00710EB9">
        <w:rPr>
          <w:rFonts w:cs="Arial"/>
          <w:sz w:val="24"/>
          <w:szCs w:val="24"/>
          <w:lang w:eastAsia="en-AU"/>
        </w:rPr>
        <w:t xml:space="preserve">The </w:t>
      </w:r>
      <w:r w:rsidR="006716D5" w:rsidRPr="00710EB9">
        <w:rPr>
          <w:rFonts w:cs="Arial"/>
          <w:i/>
          <w:sz w:val="24"/>
          <w:szCs w:val="24"/>
          <w:lang w:eastAsia="en-AU"/>
        </w:rPr>
        <w:t>A New Tax System (Goods and Services Tax) (Language Other Than English - LOTE - courses offered by ethnic schools) Determination 201</w:t>
      </w:r>
      <w:r w:rsidR="006F55A8">
        <w:rPr>
          <w:rFonts w:cs="Arial"/>
          <w:i/>
          <w:sz w:val="24"/>
          <w:szCs w:val="24"/>
          <w:lang w:eastAsia="en-AU"/>
        </w:rPr>
        <w:t>7</w:t>
      </w:r>
      <w:r w:rsidR="006716D5" w:rsidRPr="0075469D" w:rsidDel="006716D5">
        <w:rPr>
          <w:rFonts w:cs="Arial"/>
          <w:i/>
          <w:sz w:val="24"/>
          <w:szCs w:val="24"/>
          <w:lang w:eastAsia="en-AU"/>
        </w:rPr>
        <w:t xml:space="preserve"> </w:t>
      </w:r>
      <w:r w:rsidRPr="00BD69BA">
        <w:rPr>
          <w:rFonts w:cs="Arial"/>
          <w:sz w:val="24"/>
          <w:szCs w:val="24"/>
          <w:lang w:eastAsia="en-AU"/>
        </w:rPr>
        <w:t>(the Determination)</w:t>
      </w:r>
      <w:r w:rsidRPr="00710EB9">
        <w:rPr>
          <w:rFonts w:cs="Arial"/>
          <w:i/>
          <w:sz w:val="24"/>
          <w:szCs w:val="24"/>
          <w:lang w:eastAsia="en-AU"/>
        </w:rPr>
        <w:t xml:space="preserve"> </w:t>
      </w:r>
      <w:r w:rsidRPr="00710EB9">
        <w:rPr>
          <w:rFonts w:cs="Arial"/>
          <w:sz w:val="24"/>
          <w:szCs w:val="24"/>
          <w:lang w:eastAsia="en-AU"/>
        </w:rPr>
        <w:t xml:space="preserve">is compatible with the human rights and freedoms recognised or declared in the international instruments listed in section 3 of the </w:t>
      </w:r>
      <w:r w:rsidRPr="00710EB9">
        <w:rPr>
          <w:rFonts w:cs="Arial"/>
          <w:i/>
          <w:sz w:val="24"/>
          <w:szCs w:val="24"/>
          <w:lang w:eastAsia="en-AU"/>
        </w:rPr>
        <w:t>Human Rights (Parliamentary Scrutiny) Act 2011</w:t>
      </w:r>
      <w:r w:rsidRPr="00710EB9">
        <w:rPr>
          <w:rFonts w:cs="Arial"/>
          <w:sz w:val="24"/>
          <w:szCs w:val="24"/>
          <w:lang w:eastAsia="en-AU"/>
        </w:rPr>
        <w:t>.</w:t>
      </w:r>
    </w:p>
    <w:p w:rsidR="00EE2827" w:rsidRPr="006F55A8" w:rsidRDefault="00EE2827" w:rsidP="00EE2827">
      <w:pPr>
        <w:spacing w:before="120" w:after="120"/>
        <w:jc w:val="both"/>
        <w:rPr>
          <w:rFonts w:cs="Arial"/>
          <w:b/>
          <w:sz w:val="24"/>
          <w:szCs w:val="24"/>
          <w:lang w:eastAsia="en-AU"/>
        </w:rPr>
      </w:pPr>
      <w:r w:rsidRPr="006F55A8">
        <w:rPr>
          <w:rFonts w:cs="Arial"/>
          <w:b/>
          <w:sz w:val="24"/>
          <w:szCs w:val="24"/>
          <w:lang w:eastAsia="en-AU"/>
        </w:rPr>
        <w:t>Overview of the Legislative Instrument</w:t>
      </w:r>
    </w:p>
    <w:p w:rsidR="00710EB9" w:rsidRPr="00710EB9" w:rsidRDefault="00EE2827" w:rsidP="00EE2827">
      <w:pPr>
        <w:spacing w:before="240"/>
        <w:jc w:val="both"/>
        <w:rPr>
          <w:rFonts w:cs="Arial"/>
          <w:sz w:val="24"/>
          <w:szCs w:val="24"/>
        </w:rPr>
      </w:pPr>
      <w:r w:rsidRPr="00994476">
        <w:rPr>
          <w:rFonts w:cs="Arial"/>
          <w:sz w:val="24"/>
          <w:szCs w:val="24"/>
          <w:lang w:eastAsia="en-AU"/>
        </w:rPr>
        <w:t xml:space="preserve">The Determination is made under </w:t>
      </w:r>
      <w:r w:rsidR="00710EB9" w:rsidRPr="00BD69BA">
        <w:rPr>
          <w:rFonts w:cs="Arial"/>
          <w:sz w:val="24"/>
          <w:szCs w:val="24"/>
          <w:lang w:eastAsia="en-AU"/>
        </w:rPr>
        <w:t>paragraph</w:t>
      </w:r>
      <w:r w:rsidR="00710EB9" w:rsidRPr="00710EB9">
        <w:rPr>
          <w:rFonts w:cs="Arial"/>
          <w:sz w:val="24"/>
          <w:szCs w:val="24"/>
        </w:rPr>
        <w:t xml:space="preserve"> 195-1(b) of the definitions of primary course and secondary course in the </w:t>
      </w:r>
      <w:r w:rsidR="00710EB9" w:rsidRPr="00710EB9">
        <w:rPr>
          <w:rFonts w:cs="Arial"/>
          <w:i/>
          <w:sz w:val="24"/>
          <w:szCs w:val="24"/>
        </w:rPr>
        <w:t>A New Tax System (Goods and Services Tax)</w:t>
      </w:r>
      <w:r w:rsidR="00710EB9" w:rsidRPr="00710EB9">
        <w:rPr>
          <w:rFonts w:cs="Arial"/>
          <w:sz w:val="24"/>
          <w:szCs w:val="24"/>
        </w:rPr>
        <w:t xml:space="preserve"> </w:t>
      </w:r>
      <w:r w:rsidR="00710EB9" w:rsidRPr="00710EB9">
        <w:rPr>
          <w:rFonts w:cs="Arial"/>
          <w:i/>
          <w:sz w:val="24"/>
          <w:szCs w:val="24"/>
        </w:rPr>
        <w:t>Act 1999</w:t>
      </w:r>
      <w:r w:rsidR="00710EB9" w:rsidRPr="00710EB9">
        <w:rPr>
          <w:rFonts w:cs="Arial"/>
          <w:sz w:val="24"/>
          <w:szCs w:val="24"/>
        </w:rPr>
        <w:t xml:space="preserve"> (the Act).</w:t>
      </w:r>
    </w:p>
    <w:p w:rsidR="00710EB9" w:rsidRPr="00710EB9" w:rsidRDefault="00710EB9" w:rsidP="00710EB9">
      <w:pPr>
        <w:rPr>
          <w:rFonts w:cs="Arial"/>
          <w:sz w:val="24"/>
          <w:szCs w:val="24"/>
        </w:rPr>
      </w:pPr>
    </w:p>
    <w:p w:rsidR="00710EB9" w:rsidRPr="00710EB9" w:rsidRDefault="00710EB9" w:rsidP="00710EB9">
      <w:pPr>
        <w:rPr>
          <w:rFonts w:cs="Arial"/>
          <w:sz w:val="24"/>
          <w:szCs w:val="24"/>
        </w:rPr>
      </w:pPr>
      <w:r w:rsidRPr="00710EB9">
        <w:rPr>
          <w:rFonts w:cs="Arial"/>
          <w:sz w:val="24"/>
          <w:szCs w:val="24"/>
        </w:rPr>
        <w:t>Once a determination has been made that a course is a primary course or a secondary course, the course will be an ‘education course’ for the purposes of the definition of education course in section 195-1 of the Act.</w:t>
      </w:r>
    </w:p>
    <w:p w:rsidR="00710EB9" w:rsidRPr="0075469D" w:rsidRDefault="00710EB9" w:rsidP="00710EB9">
      <w:pPr>
        <w:spacing w:before="240"/>
        <w:jc w:val="both"/>
        <w:rPr>
          <w:rFonts w:cs="Arial"/>
          <w:sz w:val="24"/>
          <w:szCs w:val="24"/>
          <w:lang w:eastAsia="en-AU"/>
        </w:rPr>
      </w:pPr>
      <w:r w:rsidRPr="0075469D">
        <w:rPr>
          <w:rFonts w:cs="Arial"/>
          <w:sz w:val="24"/>
          <w:szCs w:val="24"/>
          <w:lang w:eastAsia="en-AU"/>
        </w:rPr>
        <w:t>Under section 38-85 of the Act, the supply of an education course is GST-free.</w:t>
      </w:r>
    </w:p>
    <w:p w:rsidR="00710EB9" w:rsidRPr="00994476" w:rsidRDefault="00710EB9" w:rsidP="0075469D">
      <w:pPr>
        <w:spacing w:before="240"/>
        <w:jc w:val="both"/>
        <w:rPr>
          <w:rFonts w:cs="Arial"/>
          <w:sz w:val="24"/>
          <w:szCs w:val="24"/>
          <w:lang w:eastAsia="en-AU"/>
        </w:rPr>
      </w:pPr>
      <w:r w:rsidRPr="006F55A8">
        <w:rPr>
          <w:rFonts w:cs="Arial"/>
          <w:sz w:val="24"/>
          <w:szCs w:val="24"/>
          <w:lang w:eastAsia="en-AU"/>
        </w:rPr>
        <w:t>The purpose of this Determination is to determine that Language Other than English (LOTE) courses provided in accordance with this Determination are courses of study or instruction that are primary cour</w:t>
      </w:r>
      <w:r w:rsidRPr="00994476">
        <w:rPr>
          <w:rFonts w:cs="Arial"/>
          <w:sz w:val="24"/>
          <w:szCs w:val="24"/>
          <w:lang w:eastAsia="en-AU"/>
        </w:rPr>
        <w:t>ses or secondary courses for the purposes of the Act.</w:t>
      </w:r>
    </w:p>
    <w:p w:rsidR="00710EB9" w:rsidRDefault="00710EB9" w:rsidP="0075469D">
      <w:pPr>
        <w:jc w:val="both"/>
        <w:rPr>
          <w:rFonts w:cs="Arial"/>
          <w:sz w:val="24"/>
          <w:szCs w:val="24"/>
          <w:lang w:eastAsia="en-AU"/>
        </w:rPr>
      </w:pPr>
    </w:p>
    <w:p w:rsidR="004370D7" w:rsidRPr="00BD69BA" w:rsidRDefault="004370D7" w:rsidP="0075469D">
      <w:pPr>
        <w:jc w:val="both"/>
        <w:rPr>
          <w:rFonts w:cs="Arial"/>
          <w:sz w:val="24"/>
          <w:szCs w:val="24"/>
          <w:lang w:eastAsia="en-AU"/>
        </w:rPr>
      </w:pPr>
      <w:r w:rsidRPr="006F55A8">
        <w:rPr>
          <w:rFonts w:cs="Arial"/>
          <w:sz w:val="24"/>
          <w:szCs w:val="24"/>
          <w:lang w:eastAsia="en-AU"/>
        </w:rPr>
        <w:t xml:space="preserve">This Determination will commence on 1 </w:t>
      </w:r>
      <w:r w:rsidR="00710EB9" w:rsidRPr="0075469D">
        <w:rPr>
          <w:rFonts w:cs="Arial"/>
          <w:sz w:val="24"/>
          <w:szCs w:val="24"/>
          <w:lang w:eastAsia="en-AU"/>
        </w:rPr>
        <w:t>April</w:t>
      </w:r>
      <w:r w:rsidR="00710EB9" w:rsidRPr="006F55A8">
        <w:rPr>
          <w:rFonts w:cs="Arial"/>
          <w:sz w:val="24"/>
          <w:szCs w:val="24"/>
          <w:lang w:eastAsia="en-AU"/>
        </w:rPr>
        <w:t xml:space="preserve"> </w:t>
      </w:r>
      <w:r w:rsidRPr="00994476">
        <w:rPr>
          <w:rFonts w:cs="Arial"/>
          <w:sz w:val="24"/>
          <w:szCs w:val="24"/>
          <w:lang w:eastAsia="en-AU"/>
        </w:rPr>
        <w:t>201</w:t>
      </w:r>
      <w:r w:rsidR="00710EB9" w:rsidRPr="0075469D">
        <w:rPr>
          <w:rFonts w:cs="Arial"/>
          <w:sz w:val="24"/>
          <w:szCs w:val="24"/>
          <w:lang w:eastAsia="en-AU"/>
        </w:rPr>
        <w:t>7</w:t>
      </w:r>
      <w:r w:rsidRPr="00994476">
        <w:rPr>
          <w:rFonts w:cs="Arial"/>
          <w:sz w:val="24"/>
          <w:szCs w:val="24"/>
          <w:lang w:eastAsia="en-AU"/>
        </w:rPr>
        <w:t xml:space="preserve"> following the cessation of the </w:t>
      </w:r>
      <w:r w:rsidR="00710EB9" w:rsidRPr="0075469D">
        <w:rPr>
          <w:rFonts w:cs="Arial"/>
          <w:sz w:val="24"/>
          <w:szCs w:val="24"/>
          <w:lang w:eastAsia="en-AU"/>
        </w:rPr>
        <w:t>A New</w:t>
      </w:r>
      <w:r w:rsidR="00710EB9" w:rsidRPr="0075469D">
        <w:rPr>
          <w:rFonts w:cs="Arial"/>
          <w:i/>
          <w:sz w:val="24"/>
          <w:szCs w:val="24"/>
          <w:lang w:eastAsia="en-AU"/>
        </w:rPr>
        <w:t xml:space="preserve"> Tax System (Goods and Services Tax) (Language Other Than English - LOTE - courses offered by ethnic schools) Determination 2004</w:t>
      </w:r>
      <w:r w:rsidRPr="006F55A8">
        <w:rPr>
          <w:rFonts w:cs="Arial"/>
          <w:sz w:val="24"/>
          <w:szCs w:val="24"/>
          <w:lang w:eastAsia="en-AU"/>
        </w:rPr>
        <w:t xml:space="preserve"> on that date. The </w:t>
      </w:r>
      <w:r w:rsidR="00710EB9" w:rsidRPr="0075469D">
        <w:rPr>
          <w:rFonts w:cs="Arial"/>
          <w:sz w:val="24"/>
          <w:szCs w:val="24"/>
          <w:lang w:eastAsia="en-AU"/>
        </w:rPr>
        <w:t>2004</w:t>
      </w:r>
      <w:r w:rsidR="00710EB9" w:rsidRPr="006F55A8">
        <w:rPr>
          <w:rFonts w:cs="Arial"/>
          <w:sz w:val="24"/>
          <w:szCs w:val="24"/>
          <w:lang w:eastAsia="en-AU"/>
        </w:rPr>
        <w:t xml:space="preserve"> </w:t>
      </w:r>
      <w:r w:rsidRPr="00994476">
        <w:rPr>
          <w:rFonts w:cs="Arial"/>
          <w:sz w:val="24"/>
          <w:szCs w:val="24"/>
          <w:lang w:eastAsia="en-AU"/>
        </w:rPr>
        <w:t xml:space="preserve">Determination ceases operation on </w:t>
      </w:r>
      <w:r w:rsidR="00710EB9" w:rsidRPr="0075469D">
        <w:rPr>
          <w:rFonts w:cs="Arial"/>
          <w:sz w:val="24"/>
          <w:szCs w:val="24"/>
          <w:lang w:eastAsia="en-AU"/>
        </w:rPr>
        <w:t xml:space="preserve">1 April 2017 </w:t>
      </w:r>
      <w:r w:rsidRPr="00994476">
        <w:rPr>
          <w:rFonts w:cs="Arial"/>
          <w:sz w:val="24"/>
          <w:szCs w:val="24"/>
          <w:lang w:eastAsia="en-AU"/>
        </w:rPr>
        <w:t xml:space="preserve">due to the </w:t>
      </w:r>
      <w:proofErr w:type="spellStart"/>
      <w:r w:rsidRPr="00994476">
        <w:rPr>
          <w:rFonts w:cs="Arial"/>
          <w:sz w:val="24"/>
          <w:szCs w:val="24"/>
          <w:lang w:eastAsia="en-AU"/>
        </w:rPr>
        <w:t>sunsetting</w:t>
      </w:r>
      <w:proofErr w:type="spellEnd"/>
      <w:r w:rsidRPr="00994476">
        <w:rPr>
          <w:rFonts w:cs="Arial"/>
          <w:sz w:val="24"/>
          <w:szCs w:val="24"/>
          <w:lang w:eastAsia="en-AU"/>
        </w:rPr>
        <w:t xml:space="preserve"> provisions in the </w:t>
      </w:r>
      <w:r w:rsidRPr="00994476">
        <w:rPr>
          <w:rFonts w:cs="Arial"/>
          <w:i/>
          <w:sz w:val="24"/>
          <w:szCs w:val="24"/>
          <w:lang w:eastAsia="en-AU"/>
        </w:rPr>
        <w:t>Legislation Act 2003.</w:t>
      </w:r>
    </w:p>
    <w:p w:rsidR="00710EB9" w:rsidRDefault="00710EB9" w:rsidP="0075469D">
      <w:pPr>
        <w:jc w:val="both"/>
        <w:rPr>
          <w:rFonts w:cs="Arial"/>
          <w:sz w:val="24"/>
          <w:szCs w:val="24"/>
          <w:highlight w:val="yellow"/>
          <w:lang w:eastAsia="en-AU"/>
        </w:rPr>
      </w:pPr>
    </w:p>
    <w:p w:rsidR="00EE2827" w:rsidRPr="00710EB9" w:rsidRDefault="00EE2827" w:rsidP="0075469D">
      <w:pPr>
        <w:jc w:val="both"/>
        <w:rPr>
          <w:rFonts w:cs="Arial"/>
          <w:b/>
          <w:sz w:val="24"/>
          <w:szCs w:val="24"/>
          <w:lang w:eastAsia="en-AU"/>
        </w:rPr>
      </w:pPr>
      <w:r w:rsidRPr="00710EB9">
        <w:rPr>
          <w:rFonts w:cs="Arial"/>
          <w:b/>
          <w:sz w:val="24"/>
          <w:szCs w:val="24"/>
          <w:lang w:eastAsia="en-AU"/>
        </w:rPr>
        <w:t>Human rights implications</w:t>
      </w:r>
    </w:p>
    <w:p w:rsidR="00EE2827" w:rsidRPr="00710EB9" w:rsidRDefault="00EE2827" w:rsidP="00EE2827">
      <w:pPr>
        <w:spacing w:before="240"/>
        <w:jc w:val="both"/>
        <w:rPr>
          <w:rFonts w:cs="Arial"/>
          <w:sz w:val="24"/>
          <w:szCs w:val="24"/>
          <w:lang w:eastAsia="en-AU"/>
        </w:rPr>
      </w:pPr>
      <w:r w:rsidRPr="00710EB9">
        <w:rPr>
          <w:rFonts w:cs="Arial"/>
          <w:sz w:val="24"/>
          <w:szCs w:val="24"/>
          <w:lang w:eastAsia="en-AU"/>
        </w:rPr>
        <w:t>The Determination engages the following human rights:</w:t>
      </w:r>
    </w:p>
    <w:p w:rsidR="00EE2827" w:rsidRPr="00710EB9" w:rsidRDefault="00EE2827" w:rsidP="00EE2827">
      <w:pPr>
        <w:keepNext/>
        <w:spacing w:before="240"/>
        <w:jc w:val="both"/>
        <w:rPr>
          <w:rFonts w:cs="Arial"/>
          <w:i/>
          <w:sz w:val="24"/>
          <w:szCs w:val="24"/>
          <w:lang w:eastAsia="en-AU"/>
        </w:rPr>
      </w:pPr>
      <w:r w:rsidRPr="00710EB9">
        <w:rPr>
          <w:rFonts w:cs="Arial"/>
          <w:i/>
          <w:sz w:val="24"/>
          <w:szCs w:val="24"/>
          <w:lang w:eastAsia="en-AU"/>
        </w:rPr>
        <w:t>Right to Education</w:t>
      </w:r>
    </w:p>
    <w:p w:rsidR="00EE2827" w:rsidRPr="00710EB9" w:rsidRDefault="00EE2827" w:rsidP="00EE2827">
      <w:pPr>
        <w:spacing w:before="240"/>
        <w:jc w:val="both"/>
        <w:rPr>
          <w:rFonts w:cs="Arial"/>
          <w:sz w:val="24"/>
          <w:szCs w:val="24"/>
          <w:lang w:eastAsia="en-AU"/>
        </w:rPr>
      </w:pPr>
      <w:r w:rsidRPr="00710EB9">
        <w:rPr>
          <w:rFonts w:cs="Arial"/>
          <w:sz w:val="24"/>
          <w:szCs w:val="24"/>
          <w:lang w:eastAsia="en-AU"/>
        </w:rPr>
        <w:t>The Determination engages the right to education contained in Article 13 of the International Covenant on Economic, Social and Cultural Rights (ICESCR).</w:t>
      </w:r>
    </w:p>
    <w:p w:rsidR="00EE2827" w:rsidRPr="00710EB9" w:rsidRDefault="00EE2827" w:rsidP="00BF61F1">
      <w:pPr>
        <w:spacing w:before="240" w:after="240"/>
        <w:jc w:val="both"/>
        <w:rPr>
          <w:rFonts w:cs="Arial"/>
          <w:sz w:val="24"/>
          <w:szCs w:val="24"/>
          <w:lang w:eastAsia="en-AU"/>
        </w:rPr>
      </w:pPr>
      <w:r w:rsidRPr="00710EB9">
        <w:rPr>
          <w:rFonts w:cs="Arial"/>
          <w:sz w:val="24"/>
          <w:szCs w:val="24"/>
          <w:lang w:eastAsia="en-AU"/>
        </w:rPr>
        <w:t>By determining that courses are GST-free, the Determination may enable students to access education and therefore will be compatible with human rights.</w:t>
      </w:r>
    </w:p>
    <w:p w:rsidR="0075469D" w:rsidRDefault="0075469D" w:rsidP="00EE2827">
      <w:pPr>
        <w:spacing w:before="120" w:after="120"/>
        <w:jc w:val="both"/>
        <w:rPr>
          <w:rFonts w:cs="Arial"/>
          <w:b/>
          <w:sz w:val="24"/>
          <w:szCs w:val="24"/>
          <w:lang w:eastAsia="en-AU"/>
        </w:rPr>
      </w:pPr>
    </w:p>
    <w:p w:rsidR="0075469D" w:rsidRDefault="0075469D" w:rsidP="00EE2827">
      <w:pPr>
        <w:spacing w:before="120" w:after="120"/>
        <w:jc w:val="both"/>
        <w:rPr>
          <w:rFonts w:cs="Arial"/>
          <w:b/>
          <w:sz w:val="24"/>
          <w:szCs w:val="24"/>
          <w:lang w:eastAsia="en-AU"/>
        </w:rPr>
      </w:pPr>
    </w:p>
    <w:p w:rsidR="003D12FF" w:rsidRDefault="003D12FF" w:rsidP="00EE2827">
      <w:pPr>
        <w:spacing w:before="120" w:after="120"/>
        <w:jc w:val="both"/>
        <w:rPr>
          <w:rFonts w:cs="Arial"/>
          <w:b/>
          <w:sz w:val="24"/>
          <w:szCs w:val="24"/>
          <w:lang w:eastAsia="en-AU"/>
        </w:rPr>
      </w:pPr>
    </w:p>
    <w:p w:rsidR="003D12FF" w:rsidRDefault="003D12FF" w:rsidP="00EE2827">
      <w:pPr>
        <w:spacing w:before="120" w:after="120"/>
        <w:jc w:val="both"/>
        <w:rPr>
          <w:rFonts w:cs="Arial"/>
          <w:b/>
          <w:sz w:val="24"/>
          <w:szCs w:val="24"/>
          <w:lang w:eastAsia="en-AU"/>
        </w:rPr>
      </w:pPr>
      <w:bookmarkStart w:id="0" w:name="_GoBack"/>
      <w:bookmarkEnd w:id="0"/>
    </w:p>
    <w:p w:rsidR="00EE2827" w:rsidRPr="00710EB9" w:rsidRDefault="00EE2827" w:rsidP="00EE2827">
      <w:pPr>
        <w:spacing w:before="120" w:after="120"/>
        <w:jc w:val="both"/>
        <w:rPr>
          <w:rFonts w:cs="Arial"/>
          <w:b/>
          <w:sz w:val="24"/>
          <w:szCs w:val="24"/>
          <w:lang w:eastAsia="en-AU"/>
        </w:rPr>
      </w:pPr>
      <w:r w:rsidRPr="00710EB9">
        <w:rPr>
          <w:rFonts w:cs="Arial"/>
          <w:b/>
          <w:sz w:val="24"/>
          <w:szCs w:val="24"/>
          <w:lang w:eastAsia="en-AU"/>
        </w:rPr>
        <w:lastRenderedPageBreak/>
        <w:t xml:space="preserve">Conclusion </w:t>
      </w:r>
    </w:p>
    <w:p w:rsidR="00EE2827" w:rsidRPr="00710EB9" w:rsidRDefault="00EE2827" w:rsidP="00EE2827">
      <w:pPr>
        <w:spacing w:before="120" w:after="120"/>
        <w:jc w:val="both"/>
        <w:rPr>
          <w:rFonts w:cs="Arial"/>
          <w:sz w:val="24"/>
          <w:szCs w:val="24"/>
          <w:lang w:eastAsia="en-AU"/>
        </w:rPr>
      </w:pPr>
      <w:r w:rsidRPr="00710EB9">
        <w:rPr>
          <w:rFonts w:cs="Arial"/>
          <w:sz w:val="24"/>
          <w:szCs w:val="24"/>
          <w:lang w:eastAsia="en-AU"/>
        </w:rPr>
        <w:t>The Determination is compatible with human rights as it enables students to access education.</w:t>
      </w:r>
    </w:p>
    <w:p w:rsidR="00AB239F" w:rsidRPr="00BF61F1" w:rsidRDefault="00EE2827" w:rsidP="00BF61F1">
      <w:pPr>
        <w:spacing w:before="120" w:after="120"/>
        <w:jc w:val="center"/>
        <w:rPr>
          <w:rFonts w:cs="Arial"/>
          <w:sz w:val="24"/>
          <w:szCs w:val="24"/>
        </w:rPr>
      </w:pPr>
      <w:r w:rsidRPr="00710EB9">
        <w:rPr>
          <w:rFonts w:cs="Arial"/>
          <w:b/>
          <w:sz w:val="24"/>
          <w:szCs w:val="24"/>
          <w:lang w:eastAsia="en-AU"/>
        </w:rPr>
        <w:t>Minister for Social Services, the Hon Christian Porter MP</w:t>
      </w:r>
    </w:p>
    <w:sectPr w:rsidR="00AB239F" w:rsidRPr="00BF61F1" w:rsidSect="00B4410E">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754A"/>
    <w:multiLevelType w:val="hybridMultilevel"/>
    <w:tmpl w:val="8D683306"/>
    <w:lvl w:ilvl="0" w:tplc="071AC61A">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nsid w:val="39052BE0"/>
    <w:multiLevelType w:val="hybridMultilevel"/>
    <w:tmpl w:val="8D683306"/>
    <w:lvl w:ilvl="0" w:tplc="071AC61A">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nsid w:val="7EE200C7"/>
    <w:multiLevelType w:val="hybridMultilevel"/>
    <w:tmpl w:val="E50CA918"/>
    <w:lvl w:ilvl="0" w:tplc="071AC61A">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0E"/>
    <w:rsid w:val="000053EA"/>
    <w:rsid w:val="00082000"/>
    <w:rsid w:val="000A0C07"/>
    <w:rsid w:val="000A3ED1"/>
    <w:rsid w:val="000B23C4"/>
    <w:rsid w:val="000C1DD9"/>
    <w:rsid w:val="00182839"/>
    <w:rsid w:val="001937FA"/>
    <w:rsid w:val="001A4EA6"/>
    <w:rsid w:val="001B5A66"/>
    <w:rsid w:val="00222CFB"/>
    <w:rsid w:val="002A3EB5"/>
    <w:rsid w:val="002D0A36"/>
    <w:rsid w:val="00302466"/>
    <w:rsid w:val="0032781E"/>
    <w:rsid w:val="003507D1"/>
    <w:rsid w:val="003D12FF"/>
    <w:rsid w:val="00400E53"/>
    <w:rsid w:val="00413057"/>
    <w:rsid w:val="00420E3D"/>
    <w:rsid w:val="004370D7"/>
    <w:rsid w:val="00452515"/>
    <w:rsid w:val="00485170"/>
    <w:rsid w:val="004B2A5E"/>
    <w:rsid w:val="004D3CB1"/>
    <w:rsid w:val="005645F4"/>
    <w:rsid w:val="005A3C97"/>
    <w:rsid w:val="005C49C0"/>
    <w:rsid w:val="005D236C"/>
    <w:rsid w:val="005D611E"/>
    <w:rsid w:val="005F7A00"/>
    <w:rsid w:val="006716D5"/>
    <w:rsid w:val="006807CD"/>
    <w:rsid w:val="006F55A8"/>
    <w:rsid w:val="00710EB9"/>
    <w:rsid w:val="00737AB0"/>
    <w:rsid w:val="0075469D"/>
    <w:rsid w:val="007D3941"/>
    <w:rsid w:val="007D3A56"/>
    <w:rsid w:val="008507F3"/>
    <w:rsid w:val="008C5AFA"/>
    <w:rsid w:val="008E72C2"/>
    <w:rsid w:val="008F4A5D"/>
    <w:rsid w:val="009428F3"/>
    <w:rsid w:val="00944E0B"/>
    <w:rsid w:val="00994476"/>
    <w:rsid w:val="009E6262"/>
    <w:rsid w:val="009E7062"/>
    <w:rsid w:val="00A35BAC"/>
    <w:rsid w:val="00A6610B"/>
    <w:rsid w:val="00A732DC"/>
    <w:rsid w:val="00AA63D9"/>
    <w:rsid w:val="00AB239F"/>
    <w:rsid w:val="00AF32A7"/>
    <w:rsid w:val="00B4410E"/>
    <w:rsid w:val="00BA27EE"/>
    <w:rsid w:val="00BA7816"/>
    <w:rsid w:val="00BB39F0"/>
    <w:rsid w:val="00BD69BA"/>
    <w:rsid w:val="00BF61F1"/>
    <w:rsid w:val="00C40FEF"/>
    <w:rsid w:val="00C5341D"/>
    <w:rsid w:val="00C55246"/>
    <w:rsid w:val="00C70FC3"/>
    <w:rsid w:val="00C85D26"/>
    <w:rsid w:val="00CF297A"/>
    <w:rsid w:val="00D033A9"/>
    <w:rsid w:val="00D04F16"/>
    <w:rsid w:val="00D07271"/>
    <w:rsid w:val="00D17DFD"/>
    <w:rsid w:val="00D91D00"/>
    <w:rsid w:val="00E26EDE"/>
    <w:rsid w:val="00E45314"/>
    <w:rsid w:val="00E52A8A"/>
    <w:rsid w:val="00E5616F"/>
    <w:rsid w:val="00E65DE5"/>
    <w:rsid w:val="00E97D12"/>
    <w:rsid w:val="00EC7A9E"/>
    <w:rsid w:val="00EE2827"/>
    <w:rsid w:val="00F1075C"/>
    <w:rsid w:val="00F16A90"/>
    <w:rsid w:val="00F25FDA"/>
    <w:rsid w:val="00F26EE5"/>
    <w:rsid w:val="00F501DD"/>
    <w:rsid w:val="00F75873"/>
    <w:rsid w:val="00FD16BC"/>
    <w:rsid w:val="00FD6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FEF"/>
    <w:rPr>
      <w:rFonts w:ascii="Tahoma" w:hAnsi="Tahoma" w:cs="Tahoma"/>
      <w:sz w:val="16"/>
      <w:szCs w:val="16"/>
    </w:rPr>
  </w:style>
  <w:style w:type="character" w:customStyle="1" w:styleId="BalloonTextChar">
    <w:name w:val="Balloon Text Char"/>
    <w:link w:val="BalloonText"/>
    <w:uiPriority w:val="99"/>
    <w:semiHidden/>
    <w:rsid w:val="00C40FEF"/>
    <w:rPr>
      <w:rFonts w:ascii="Tahoma" w:hAnsi="Tahoma" w:cs="Tahoma"/>
      <w:sz w:val="16"/>
      <w:szCs w:val="16"/>
      <w:lang w:eastAsia="en-US"/>
    </w:rPr>
  </w:style>
  <w:style w:type="character" w:styleId="CommentReference">
    <w:name w:val="annotation reference"/>
    <w:uiPriority w:val="99"/>
    <w:semiHidden/>
    <w:unhideWhenUsed/>
    <w:rsid w:val="008C5AFA"/>
    <w:rPr>
      <w:sz w:val="16"/>
      <w:szCs w:val="16"/>
    </w:rPr>
  </w:style>
  <w:style w:type="paragraph" w:styleId="CommentText">
    <w:name w:val="annotation text"/>
    <w:basedOn w:val="Normal"/>
    <w:link w:val="CommentTextChar"/>
    <w:uiPriority w:val="99"/>
    <w:semiHidden/>
    <w:unhideWhenUsed/>
    <w:rsid w:val="008C5AFA"/>
    <w:pPr>
      <w:spacing w:before="60" w:after="60"/>
    </w:pPr>
    <w:rPr>
      <w:rFonts w:ascii="Times New Roman" w:hAnsi="Times New Roman"/>
      <w:sz w:val="20"/>
    </w:rPr>
  </w:style>
  <w:style w:type="character" w:customStyle="1" w:styleId="CommentTextChar">
    <w:name w:val="Comment Text Char"/>
    <w:link w:val="CommentText"/>
    <w:uiPriority w:val="99"/>
    <w:semiHidden/>
    <w:rsid w:val="008C5AFA"/>
    <w:rPr>
      <w:lang w:eastAsia="en-US"/>
    </w:rPr>
  </w:style>
  <w:style w:type="paragraph" w:styleId="BodyText2">
    <w:name w:val="Body Text 2"/>
    <w:basedOn w:val="Normal"/>
    <w:link w:val="BodyText2Char"/>
    <w:semiHidden/>
    <w:rsid w:val="008C5AFA"/>
    <w:pPr>
      <w:spacing w:after="240"/>
      <w:jc w:val="both"/>
    </w:pPr>
    <w:rPr>
      <w:rFonts w:ascii="Times New Roman" w:hAnsi="Times New Roman"/>
      <w:sz w:val="24"/>
    </w:rPr>
  </w:style>
  <w:style w:type="character" w:customStyle="1" w:styleId="BodyText2Char">
    <w:name w:val="Body Text 2 Char"/>
    <w:link w:val="BodyText2"/>
    <w:semiHidden/>
    <w:rsid w:val="008C5AFA"/>
    <w:rPr>
      <w:sz w:val="24"/>
      <w:lang w:eastAsia="en-US"/>
    </w:rPr>
  </w:style>
  <w:style w:type="paragraph" w:styleId="CommentSubject">
    <w:name w:val="annotation subject"/>
    <w:basedOn w:val="CommentText"/>
    <w:next w:val="CommentText"/>
    <w:link w:val="CommentSubjectChar"/>
    <w:uiPriority w:val="99"/>
    <w:semiHidden/>
    <w:unhideWhenUsed/>
    <w:rsid w:val="008C5AFA"/>
    <w:pPr>
      <w:spacing w:before="0" w:after="0"/>
    </w:pPr>
    <w:rPr>
      <w:rFonts w:ascii="Arial" w:hAnsi="Arial"/>
      <w:b/>
      <w:bCs/>
    </w:rPr>
  </w:style>
  <w:style w:type="character" w:customStyle="1" w:styleId="CommentSubjectChar">
    <w:name w:val="Comment Subject Char"/>
    <w:link w:val="CommentSubject"/>
    <w:uiPriority w:val="99"/>
    <w:semiHidden/>
    <w:rsid w:val="008C5AFA"/>
    <w:rPr>
      <w:rFonts w:ascii="Arial" w:hAnsi="Arial"/>
      <w:b/>
      <w:bCs/>
      <w:lang w:eastAsia="en-US"/>
    </w:rPr>
  </w:style>
  <w:style w:type="paragraph" w:styleId="Revision">
    <w:name w:val="Revision"/>
    <w:hidden/>
    <w:uiPriority w:val="99"/>
    <w:semiHidden/>
    <w:rsid w:val="008C5AFA"/>
    <w:rPr>
      <w:rFonts w:ascii="Arial" w:hAnsi="Arial"/>
      <w:sz w:val="22"/>
      <w:lang w:eastAsia="en-US"/>
    </w:rPr>
  </w:style>
  <w:style w:type="character" w:styleId="BookTitle">
    <w:name w:val="Book Title"/>
    <w:uiPriority w:val="33"/>
    <w:qFormat/>
    <w:rsid w:val="00EE2827"/>
    <w:rPr>
      <w:i/>
      <w:iCs/>
      <w:smallCaps/>
      <w:spacing w:val="5"/>
    </w:rPr>
  </w:style>
  <w:style w:type="paragraph" w:customStyle="1" w:styleId="R1">
    <w:name w:val="R1"/>
    <w:aliases w:val="1. or 1.(1)"/>
    <w:basedOn w:val="Normal"/>
    <w:next w:val="R2"/>
    <w:rsid w:val="009428F3"/>
    <w:pPr>
      <w:tabs>
        <w:tab w:val="right" w:pos="794"/>
        <w:tab w:val="left" w:pos="964"/>
      </w:tabs>
      <w:spacing w:before="120" w:line="260" w:lineRule="exact"/>
      <w:ind w:left="964" w:hanging="964"/>
      <w:jc w:val="both"/>
    </w:pPr>
    <w:rPr>
      <w:rFonts w:ascii="Times New Roman" w:hAnsi="Times New Roman"/>
      <w:sz w:val="24"/>
      <w:szCs w:val="24"/>
    </w:rPr>
  </w:style>
  <w:style w:type="paragraph" w:customStyle="1" w:styleId="R2">
    <w:name w:val="R2"/>
    <w:aliases w:val="(2)"/>
    <w:basedOn w:val="R1"/>
    <w:rsid w:val="009428F3"/>
    <w:pPr>
      <w:spacing w:before="180"/>
    </w:pPr>
  </w:style>
  <w:style w:type="paragraph" w:customStyle="1" w:styleId="P2">
    <w:name w:val="P2"/>
    <w:aliases w:val="(i)"/>
    <w:basedOn w:val="Normal"/>
    <w:rsid w:val="009428F3"/>
    <w:pPr>
      <w:tabs>
        <w:tab w:val="right" w:pos="1758"/>
        <w:tab w:val="left" w:pos="2155"/>
      </w:tabs>
      <w:spacing w:before="60" w:line="260" w:lineRule="exact"/>
      <w:ind w:left="1985" w:hanging="1985"/>
      <w:jc w:val="both"/>
    </w:pPr>
    <w:rPr>
      <w:rFonts w:ascii="Times New Roman" w:hAnsi="Times New Roman"/>
      <w:sz w:val="24"/>
      <w:szCs w:val="24"/>
    </w:rPr>
  </w:style>
  <w:style w:type="character" w:customStyle="1" w:styleId="CharSectno">
    <w:name w:val="CharSectno"/>
    <w:rsid w:val="009428F3"/>
    <w:rPr>
      <w:rFonts w:ascii="Arial" w:hAnsi="Arial" w:cs="Arial"/>
    </w:rPr>
  </w:style>
  <w:style w:type="paragraph" w:customStyle="1" w:styleId="HR">
    <w:name w:val="HR"/>
    <w:aliases w:val="Regulation Heading"/>
    <w:basedOn w:val="Normal"/>
    <w:next w:val="R1"/>
    <w:rsid w:val="009428F3"/>
    <w:pPr>
      <w:keepNext/>
      <w:spacing w:before="360"/>
      <w:ind w:left="964" w:hanging="964"/>
    </w:pPr>
    <w:rPr>
      <w:rFonts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FEF"/>
    <w:rPr>
      <w:rFonts w:ascii="Tahoma" w:hAnsi="Tahoma" w:cs="Tahoma"/>
      <w:sz w:val="16"/>
      <w:szCs w:val="16"/>
    </w:rPr>
  </w:style>
  <w:style w:type="character" w:customStyle="1" w:styleId="BalloonTextChar">
    <w:name w:val="Balloon Text Char"/>
    <w:link w:val="BalloonText"/>
    <w:uiPriority w:val="99"/>
    <w:semiHidden/>
    <w:rsid w:val="00C40FEF"/>
    <w:rPr>
      <w:rFonts w:ascii="Tahoma" w:hAnsi="Tahoma" w:cs="Tahoma"/>
      <w:sz w:val="16"/>
      <w:szCs w:val="16"/>
      <w:lang w:eastAsia="en-US"/>
    </w:rPr>
  </w:style>
  <w:style w:type="character" w:styleId="CommentReference">
    <w:name w:val="annotation reference"/>
    <w:uiPriority w:val="99"/>
    <w:semiHidden/>
    <w:unhideWhenUsed/>
    <w:rsid w:val="008C5AFA"/>
    <w:rPr>
      <w:sz w:val="16"/>
      <w:szCs w:val="16"/>
    </w:rPr>
  </w:style>
  <w:style w:type="paragraph" w:styleId="CommentText">
    <w:name w:val="annotation text"/>
    <w:basedOn w:val="Normal"/>
    <w:link w:val="CommentTextChar"/>
    <w:uiPriority w:val="99"/>
    <w:semiHidden/>
    <w:unhideWhenUsed/>
    <w:rsid w:val="008C5AFA"/>
    <w:pPr>
      <w:spacing w:before="60" w:after="60"/>
    </w:pPr>
    <w:rPr>
      <w:rFonts w:ascii="Times New Roman" w:hAnsi="Times New Roman"/>
      <w:sz w:val="20"/>
    </w:rPr>
  </w:style>
  <w:style w:type="character" w:customStyle="1" w:styleId="CommentTextChar">
    <w:name w:val="Comment Text Char"/>
    <w:link w:val="CommentText"/>
    <w:uiPriority w:val="99"/>
    <w:semiHidden/>
    <w:rsid w:val="008C5AFA"/>
    <w:rPr>
      <w:lang w:eastAsia="en-US"/>
    </w:rPr>
  </w:style>
  <w:style w:type="paragraph" w:styleId="BodyText2">
    <w:name w:val="Body Text 2"/>
    <w:basedOn w:val="Normal"/>
    <w:link w:val="BodyText2Char"/>
    <w:semiHidden/>
    <w:rsid w:val="008C5AFA"/>
    <w:pPr>
      <w:spacing w:after="240"/>
      <w:jc w:val="both"/>
    </w:pPr>
    <w:rPr>
      <w:rFonts w:ascii="Times New Roman" w:hAnsi="Times New Roman"/>
      <w:sz w:val="24"/>
    </w:rPr>
  </w:style>
  <w:style w:type="character" w:customStyle="1" w:styleId="BodyText2Char">
    <w:name w:val="Body Text 2 Char"/>
    <w:link w:val="BodyText2"/>
    <w:semiHidden/>
    <w:rsid w:val="008C5AFA"/>
    <w:rPr>
      <w:sz w:val="24"/>
      <w:lang w:eastAsia="en-US"/>
    </w:rPr>
  </w:style>
  <w:style w:type="paragraph" w:styleId="CommentSubject">
    <w:name w:val="annotation subject"/>
    <w:basedOn w:val="CommentText"/>
    <w:next w:val="CommentText"/>
    <w:link w:val="CommentSubjectChar"/>
    <w:uiPriority w:val="99"/>
    <w:semiHidden/>
    <w:unhideWhenUsed/>
    <w:rsid w:val="008C5AFA"/>
    <w:pPr>
      <w:spacing w:before="0" w:after="0"/>
    </w:pPr>
    <w:rPr>
      <w:rFonts w:ascii="Arial" w:hAnsi="Arial"/>
      <w:b/>
      <w:bCs/>
    </w:rPr>
  </w:style>
  <w:style w:type="character" w:customStyle="1" w:styleId="CommentSubjectChar">
    <w:name w:val="Comment Subject Char"/>
    <w:link w:val="CommentSubject"/>
    <w:uiPriority w:val="99"/>
    <w:semiHidden/>
    <w:rsid w:val="008C5AFA"/>
    <w:rPr>
      <w:rFonts w:ascii="Arial" w:hAnsi="Arial"/>
      <w:b/>
      <w:bCs/>
      <w:lang w:eastAsia="en-US"/>
    </w:rPr>
  </w:style>
  <w:style w:type="paragraph" w:styleId="Revision">
    <w:name w:val="Revision"/>
    <w:hidden/>
    <w:uiPriority w:val="99"/>
    <w:semiHidden/>
    <w:rsid w:val="008C5AFA"/>
    <w:rPr>
      <w:rFonts w:ascii="Arial" w:hAnsi="Arial"/>
      <w:sz w:val="22"/>
      <w:lang w:eastAsia="en-US"/>
    </w:rPr>
  </w:style>
  <w:style w:type="character" w:styleId="BookTitle">
    <w:name w:val="Book Title"/>
    <w:uiPriority w:val="33"/>
    <w:qFormat/>
    <w:rsid w:val="00EE2827"/>
    <w:rPr>
      <w:i/>
      <w:iCs/>
      <w:smallCaps/>
      <w:spacing w:val="5"/>
    </w:rPr>
  </w:style>
  <w:style w:type="paragraph" w:customStyle="1" w:styleId="R1">
    <w:name w:val="R1"/>
    <w:aliases w:val="1. or 1.(1)"/>
    <w:basedOn w:val="Normal"/>
    <w:next w:val="R2"/>
    <w:rsid w:val="009428F3"/>
    <w:pPr>
      <w:tabs>
        <w:tab w:val="right" w:pos="794"/>
        <w:tab w:val="left" w:pos="964"/>
      </w:tabs>
      <w:spacing w:before="120" w:line="260" w:lineRule="exact"/>
      <w:ind w:left="964" w:hanging="964"/>
      <w:jc w:val="both"/>
    </w:pPr>
    <w:rPr>
      <w:rFonts w:ascii="Times New Roman" w:hAnsi="Times New Roman"/>
      <w:sz w:val="24"/>
      <w:szCs w:val="24"/>
    </w:rPr>
  </w:style>
  <w:style w:type="paragraph" w:customStyle="1" w:styleId="R2">
    <w:name w:val="R2"/>
    <w:aliases w:val="(2)"/>
    <w:basedOn w:val="R1"/>
    <w:rsid w:val="009428F3"/>
    <w:pPr>
      <w:spacing w:before="180"/>
    </w:pPr>
  </w:style>
  <w:style w:type="paragraph" w:customStyle="1" w:styleId="P2">
    <w:name w:val="P2"/>
    <w:aliases w:val="(i)"/>
    <w:basedOn w:val="Normal"/>
    <w:rsid w:val="009428F3"/>
    <w:pPr>
      <w:tabs>
        <w:tab w:val="right" w:pos="1758"/>
        <w:tab w:val="left" w:pos="2155"/>
      </w:tabs>
      <w:spacing w:before="60" w:line="260" w:lineRule="exact"/>
      <w:ind w:left="1985" w:hanging="1985"/>
      <w:jc w:val="both"/>
    </w:pPr>
    <w:rPr>
      <w:rFonts w:ascii="Times New Roman" w:hAnsi="Times New Roman"/>
      <w:sz w:val="24"/>
      <w:szCs w:val="24"/>
    </w:rPr>
  </w:style>
  <w:style w:type="character" w:customStyle="1" w:styleId="CharSectno">
    <w:name w:val="CharSectno"/>
    <w:rsid w:val="009428F3"/>
    <w:rPr>
      <w:rFonts w:ascii="Arial" w:hAnsi="Arial" w:cs="Arial"/>
    </w:rPr>
  </w:style>
  <w:style w:type="paragraph" w:customStyle="1" w:styleId="HR">
    <w:name w:val="HR"/>
    <w:aliases w:val="Regulation Heading"/>
    <w:basedOn w:val="Normal"/>
    <w:next w:val="R1"/>
    <w:rsid w:val="009428F3"/>
    <w:pPr>
      <w:keepNext/>
      <w:spacing w:before="360"/>
      <w:ind w:left="964" w:hanging="964"/>
    </w:pPr>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B866136AFF1E4E4499DA2879B52E4B16" ma:contentTypeVersion="18" ma:contentTypeDescription="Create a new document." ma:contentTypeScope="" ma:versionID="5451a88ed33c9cccb8a00fdfd83f0eeb">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4fd504bbc4ef574c66956c46b3795efe"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AE-20260-Destroy 7 years after action completed|623f5ec9-ec5d-4824-8e13-9c9bfc51fe7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9f7bc583-7cbe-45b9-a2bd-8bbb6543b37e">
      <Value>1</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5976-9C6E-4E73-BCF1-9DB1BFEC5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35C9B-8DEC-4F73-8272-7F37ABB1F85E}">
  <ds:schemaRefs>
    <ds:schemaRef ds:uri="http://schemas.microsoft.com/office/2006/metadata/longProperties"/>
  </ds:schemaRefs>
</ds:datastoreItem>
</file>

<file path=customXml/itemProps3.xml><?xml version="1.0" encoding="utf-8"?>
<ds:datastoreItem xmlns:ds="http://schemas.openxmlformats.org/officeDocument/2006/customXml" ds:itemID="{D16E79AF-4B0D-473B-A7FF-A862EA26F346}">
  <ds:schemaRefs>
    <ds:schemaRef ds:uri="office.server.policy"/>
  </ds:schemaRefs>
</ds:datastoreItem>
</file>

<file path=customXml/itemProps4.xml><?xml version="1.0" encoding="utf-8"?>
<ds:datastoreItem xmlns:ds="http://schemas.openxmlformats.org/officeDocument/2006/customXml" ds:itemID="{21816DB8-9DDF-4799-9D6B-37DCE5E7143A}">
  <ds:schemaRefs>
    <ds:schemaRef ds:uri="http://schemas.microsoft.com/sharepoint/v3/contenttype/forms"/>
  </ds:schemaRefs>
</ds:datastoreItem>
</file>

<file path=customXml/itemProps5.xml><?xml version="1.0" encoding="utf-8"?>
<ds:datastoreItem xmlns:ds="http://schemas.openxmlformats.org/officeDocument/2006/customXml" ds:itemID="{50C1FCFF-1178-41A8-8D6A-0480A16B7A90}">
  <ds:schemaRefs>
    <ds:schemaRef ds:uri="http://schemas.microsoft.com/sharepoint/events"/>
  </ds:schemaRefs>
</ds:datastoreItem>
</file>

<file path=customXml/itemProps6.xml><?xml version="1.0" encoding="utf-8"?>
<ds:datastoreItem xmlns:ds="http://schemas.openxmlformats.org/officeDocument/2006/customXml" ds:itemID="{DCE440A0-100A-46DD-84B7-81B8ED32550E}">
  <ds:schemaRefs>
    <ds:schemaRef ds:uri="http://schemas.openxmlformats.org/package/2006/metadata/core-properties"/>
    <ds:schemaRef ds:uri="http://schemas.microsoft.com/sharepoint/v3"/>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microsoft.com/sharepoint/v4"/>
    <ds:schemaRef ds:uri="9f7bc583-7cbe-45b9-a2bd-8bbb6543b37e"/>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1A5C8313-952C-46D8-8744-4D39DE94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1165</Words>
  <Characters>6022</Characters>
  <Application>Microsoft Office Word</Application>
  <DocSecurity>0</DocSecurity>
  <Lines>154</Lines>
  <Paragraphs>67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DEST</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kr1513</dc:creator>
  <cp:lastModifiedBy>MCNAMARA, Silvia</cp:lastModifiedBy>
  <cp:revision>4</cp:revision>
  <cp:lastPrinted>2017-03-06T23:47:00Z</cp:lastPrinted>
  <dcterms:created xsi:type="dcterms:W3CDTF">2017-03-28T01:34:00Z</dcterms:created>
  <dcterms:modified xsi:type="dcterms:W3CDTF">2017-03-28T01:38:00Z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