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D83CD" w14:textId="46BCEBC8" w:rsidR="005B0E3A" w:rsidRDefault="005B0E3A" w:rsidP="005B0E3A">
      <w:pPr>
        <w:spacing w:before="63" w:line="479" w:lineRule="auto"/>
        <w:jc w:val="center"/>
        <w:rPr>
          <w:sz w:val="28"/>
          <w:szCs w:val="28"/>
        </w:rPr>
      </w:pPr>
      <w:r>
        <w:rPr>
          <w:b/>
          <w:color w:val="000000"/>
          <w:sz w:val="28"/>
        </w:rPr>
        <w:t>EXPLANATORY</w:t>
      </w:r>
      <w:r>
        <w:rPr>
          <w:b/>
          <w:color w:val="000000"/>
          <w:spacing w:val="-39"/>
          <w:sz w:val="28"/>
        </w:rPr>
        <w:t xml:space="preserve"> </w:t>
      </w:r>
      <w:r>
        <w:rPr>
          <w:b/>
          <w:color w:val="000000"/>
          <w:spacing w:val="-1"/>
          <w:sz w:val="28"/>
        </w:rPr>
        <w:t xml:space="preserve">STATEMENT for </w:t>
      </w:r>
      <w:r>
        <w:rPr>
          <w:b/>
          <w:color w:val="000000"/>
          <w:spacing w:val="-1"/>
          <w:sz w:val="28"/>
        </w:rPr>
        <w:br/>
      </w:r>
      <w:r w:rsidR="006521E5" w:rsidRPr="006521E5">
        <w:rPr>
          <w:b/>
          <w:i/>
          <w:color w:val="000000"/>
          <w:spacing w:val="-1"/>
          <w:sz w:val="28"/>
        </w:rPr>
        <w:t>ASIC Corporations (Repeal and Transitional) Instrument</w:t>
      </w:r>
      <w:r w:rsidR="00255E69" w:rsidRPr="00B56A56">
        <w:rPr>
          <w:b/>
          <w:i/>
          <w:color w:val="000000"/>
          <w:spacing w:val="-1"/>
          <w:sz w:val="28"/>
        </w:rPr>
        <w:t xml:space="preserve"> 2017/</w:t>
      </w:r>
      <w:r w:rsidR="006521E5">
        <w:rPr>
          <w:b/>
          <w:i/>
          <w:color w:val="000000"/>
          <w:spacing w:val="-1"/>
          <w:sz w:val="28"/>
        </w:rPr>
        <w:t>271</w:t>
      </w:r>
    </w:p>
    <w:p w14:paraId="12560221" w14:textId="77777777" w:rsidR="005B0E3A" w:rsidRDefault="005B0E3A" w:rsidP="005B0E3A">
      <w:pPr>
        <w:pStyle w:val="BodyText"/>
        <w:jc w:val="center"/>
      </w:pPr>
      <w:r>
        <w:t>Prepared by the Australian Securities and Investments Commission</w:t>
      </w:r>
    </w:p>
    <w:p w14:paraId="089C5760" w14:textId="77777777" w:rsidR="005B0E3A" w:rsidRDefault="005B0E3A" w:rsidP="005B0E3A">
      <w:pPr>
        <w:spacing w:before="4" w:line="220" w:lineRule="exact"/>
        <w:jc w:val="center"/>
      </w:pPr>
    </w:p>
    <w:p w14:paraId="70D0B7DE" w14:textId="77777777" w:rsidR="005B0E3A" w:rsidRDefault="005B0E3A" w:rsidP="005B0E3A">
      <w:pPr>
        <w:jc w:val="center"/>
        <w:rPr>
          <w:sz w:val="24"/>
          <w:szCs w:val="24"/>
        </w:rPr>
      </w:pPr>
      <w:r>
        <w:rPr>
          <w:i/>
          <w:sz w:val="24"/>
        </w:rPr>
        <w:t>Corporations Act 2001</w:t>
      </w:r>
    </w:p>
    <w:p w14:paraId="122AB01E" w14:textId="77777777" w:rsidR="005B0E3A" w:rsidRDefault="005B0E3A" w:rsidP="005B0E3A">
      <w:pPr>
        <w:spacing w:before="3" w:line="220" w:lineRule="exact"/>
      </w:pPr>
    </w:p>
    <w:p w14:paraId="5AC81EB4" w14:textId="26C3B164" w:rsidR="007A589D" w:rsidRDefault="005B0E3A" w:rsidP="005B0E3A">
      <w:pPr>
        <w:pStyle w:val="BodyText"/>
        <w:spacing w:line="261" w:lineRule="auto"/>
        <w:rPr>
          <w:color w:val="000000"/>
          <w:spacing w:val="-1"/>
        </w:rPr>
      </w:pPr>
      <w:r>
        <w:t xml:space="preserve">The Australian Securities and </w:t>
      </w:r>
      <w:r>
        <w:rPr>
          <w:spacing w:val="-1"/>
        </w:rPr>
        <w:t>Investments</w:t>
      </w:r>
      <w:r>
        <w:t xml:space="preserve"> </w:t>
      </w:r>
      <w:r>
        <w:rPr>
          <w:spacing w:val="-1"/>
        </w:rPr>
        <w:t>Commission</w:t>
      </w:r>
      <w:r>
        <w:t xml:space="preserve"> (ASIC) </w:t>
      </w:r>
      <w:r>
        <w:rPr>
          <w:spacing w:val="-1"/>
        </w:rPr>
        <w:t>makes</w:t>
      </w:r>
      <w:r>
        <w:t xml:space="preserve"> </w:t>
      </w:r>
      <w:r w:rsidR="006521E5" w:rsidRPr="006521E5">
        <w:rPr>
          <w:i/>
        </w:rPr>
        <w:t>ASIC Corporations (Repeal and Transitional) Instrument 2017/271</w:t>
      </w:r>
      <w:r w:rsidR="00255E69">
        <w:t xml:space="preserve"> </w:t>
      </w:r>
      <w:r w:rsidR="006521E5">
        <w:rPr>
          <w:spacing w:val="-1"/>
        </w:rPr>
        <w:t>(the</w:t>
      </w:r>
      <w:r w:rsidR="006521E5" w:rsidRPr="00644765">
        <w:rPr>
          <w:i/>
          <w:spacing w:val="-1"/>
        </w:rPr>
        <w:t xml:space="preserve"> </w:t>
      </w:r>
      <w:r w:rsidR="006521E5" w:rsidRPr="00CD1A9E">
        <w:rPr>
          <w:i/>
          <w:spacing w:val="-1"/>
        </w:rPr>
        <w:t>Instrument</w:t>
      </w:r>
      <w:r w:rsidR="006521E5">
        <w:rPr>
          <w:spacing w:val="-1"/>
        </w:rPr>
        <w:t xml:space="preserve">) </w:t>
      </w:r>
      <w:r>
        <w:rPr>
          <w:color w:val="000000"/>
          <w:spacing w:val="-1"/>
        </w:rPr>
        <w:t xml:space="preserve">under </w:t>
      </w:r>
      <w:r w:rsidR="00255E69" w:rsidRPr="00F37858">
        <w:rPr>
          <w:szCs w:val="24"/>
        </w:rPr>
        <w:t xml:space="preserve">s601QA(1)(a) and 911A(2)(l) </w:t>
      </w:r>
      <w:r w:rsidR="00255E69" w:rsidRPr="005D3D41">
        <w:rPr>
          <w:szCs w:val="24"/>
        </w:rPr>
        <w:t xml:space="preserve"> of </w:t>
      </w:r>
      <w:r w:rsidR="00255E69">
        <w:rPr>
          <w:szCs w:val="24"/>
        </w:rPr>
        <w:t xml:space="preserve">the </w:t>
      </w:r>
      <w:r w:rsidR="00255E69" w:rsidRPr="00F37858">
        <w:rPr>
          <w:i/>
          <w:szCs w:val="24"/>
        </w:rPr>
        <w:t>Corporations Act 20</w:t>
      </w:r>
      <w:r w:rsidR="00255E69">
        <w:rPr>
          <w:i/>
          <w:szCs w:val="24"/>
        </w:rPr>
        <w:t>0</w:t>
      </w:r>
      <w:r w:rsidR="00255E69" w:rsidRPr="00F37858">
        <w:rPr>
          <w:i/>
          <w:szCs w:val="24"/>
        </w:rPr>
        <w:t>1</w:t>
      </w:r>
      <w:r>
        <w:rPr>
          <w:color w:val="000000"/>
          <w:spacing w:val="-1"/>
        </w:rPr>
        <w:t xml:space="preserve">. </w:t>
      </w:r>
    </w:p>
    <w:p w14:paraId="1D5F079E" w14:textId="29B483D4" w:rsidR="002963F3" w:rsidRDefault="002963F3" w:rsidP="005B0E3A">
      <w:pPr>
        <w:pStyle w:val="BodyText"/>
        <w:spacing w:line="261" w:lineRule="auto"/>
      </w:pPr>
      <w:r w:rsidRPr="002963F3">
        <w:t>Subsection 601QA(1)</w:t>
      </w:r>
      <w:r>
        <w:t>(a)</w:t>
      </w:r>
      <w:r w:rsidRPr="002963F3">
        <w:t xml:space="preserve"> provides that ASIC may exempt a person from a provision o</w:t>
      </w:r>
      <w:r>
        <w:t>f Chapter 5C of the Act</w:t>
      </w:r>
      <w:r w:rsidRPr="002963F3">
        <w:t>.</w:t>
      </w:r>
    </w:p>
    <w:p w14:paraId="4A311859" w14:textId="147CD964" w:rsidR="002963F3" w:rsidRDefault="006521E5" w:rsidP="002963F3">
      <w:pPr>
        <w:pStyle w:val="BodyText"/>
        <w:spacing w:line="261" w:lineRule="auto"/>
        <w:rPr>
          <w:i/>
          <w:color w:val="000000" w:themeColor="text1"/>
        </w:rPr>
      </w:pPr>
      <w:r>
        <w:t xml:space="preserve">Paragraph </w:t>
      </w:r>
      <w:r w:rsidR="002963F3">
        <w:t>911A(2)(l) provides that ASIC may exempt a person from the requirement to hold an Australian financial services licence</w:t>
      </w:r>
      <w:r>
        <w:rPr>
          <w:color w:val="000000" w:themeColor="text1"/>
        </w:rPr>
        <w:t xml:space="preserve"> for a financial service they provide. This is done by granting an exemption in writing and publishing it in the </w:t>
      </w:r>
      <w:r>
        <w:rPr>
          <w:i/>
          <w:color w:val="000000" w:themeColor="text1"/>
        </w:rPr>
        <w:t>Gazette.</w:t>
      </w:r>
    </w:p>
    <w:p w14:paraId="50800B42" w14:textId="3BF4C86E" w:rsidR="00476194" w:rsidRDefault="00476194" w:rsidP="002963F3">
      <w:pPr>
        <w:pStyle w:val="BodyText"/>
        <w:spacing w:line="261" w:lineRule="auto"/>
        <w:rPr>
          <w:color w:val="000000" w:themeColor="text1"/>
        </w:rPr>
      </w:pPr>
      <w:r>
        <w:rPr>
          <w:color w:val="000000" w:themeColor="text1"/>
        </w:rPr>
        <w:t>Paragraph 926A(2)(a) provides that ASIC may exempt a person from Part 7.6 of the Act.</w:t>
      </w:r>
    </w:p>
    <w:p w14:paraId="3607D4B2" w14:textId="64002350" w:rsidR="006521E5" w:rsidRDefault="006521E5" w:rsidP="002963F3">
      <w:pPr>
        <w:pStyle w:val="BodyText"/>
        <w:spacing w:line="261" w:lineRule="auto"/>
      </w:pPr>
      <w:r>
        <w:rPr>
          <w:szCs w:val="24"/>
          <w:lang w:val="en-US"/>
        </w:rPr>
        <w:t xml:space="preserve">The </w:t>
      </w:r>
      <w:r w:rsidRPr="00644765">
        <w:rPr>
          <w:i/>
          <w:szCs w:val="24"/>
          <w:lang w:val="en-US"/>
        </w:rPr>
        <w:t>Instrument</w:t>
      </w:r>
      <w:r>
        <w:rPr>
          <w:szCs w:val="24"/>
          <w:lang w:val="en-US"/>
        </w:rPr>
        <w:t xml:space="preserve"> repeals one class order</w:t>
      </w:r>
      <w:r w:rsidRPr="00B56599">
        <w:rPr>
          <w:szCs w:val="24"/>
          <w:lang w:val="en-US"/>
        </w:rPr>
        <w:t xml:space="preserve">. Under subsection 33(3) of </w:t>
      </w:r>
      <w:r w:rsidRPr="00644765">
        <w:rPr>
          <w:szCs w:val="24"/>
          <w:lang w:val="en-US"/>
        </w:rPr>
        <w:t xml:space="preserve">the </w:t>
      </w:r>
      <w:r w:rsidRPr="00644765">
        <w:rPr>
          <w:i/>
          <w:szCs w:val="24"/>
          <w:lang w:val="en-US"/>
        </w:rPr>
        <w:t>Acts Interpretation Act 1901</w:t>
      </w:r>
      <w:r w:rsidRPr="00B56599">
        <w:rPr>
          <w:szCs w:val="24"/>
          <w:lang w:val="en-US"/>
        </w:rPr>
        <w:t xml:space="preserve"> (as in force as at 1 January 2005 and as applicable to the relevant powers because of section 5C of the </w:t>
      </w:r>
      <w:r w:rsidRPr="00644765">
        <w:rPr>
          <w:i/>
          <w:szCs w:val="24"/>
          <w:lang w:val="en-US"/>
        </w:rPr>
        <w:t>Act</w:t>
      </w:r>
      <w:r w:rsidRPr="00B56599">
        <w:rPr>
          <w:szCs w:val="24"/>
          <w:lang w:val="en-US"/>
        </w:rPr>
        <w:t>),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w:t>
      </w:r>
    </w:p>
    <w:p w14:paraId="59AE0C58" w14:textId="77777777" w:rsidR="009363CD" w:rsidRDefault="009363CD" w:rsidP="002963F3">
      <w:pPr>
        <w:pStyle w:val="BodyText"/>
        <w:spacing w:line="261" w:lineRule="auto"/>
      </w:pPr>
    </w:p>
    <w:p w14:paraId="76BD9ED7" w14:textId="77777777" w:rsidR="005B0E3A" w:rsidRDefault="005B0E3A" w:rsidP="005B0E3A">
      <w:pPr>
        <w:widowControl w:val="0"/>
        <w:numPr>
          <w:ilvl w:val="0"/>
          <w:numId w:val="7"/>
        </w:numPr>
        <w:tabs>
          <w:tab w:val="left" w:pos="1592"/>
        </w:tabs>
        <w:spacing w:before="145" w:after="0"/>
        <w:ind w:left="0" w:firstLine="0"/>
        <w:rPr>
          <w:rFonts w:ascii="Arial" w:eastAsia="Arial" w:hAnsi="Arial" w:cs="Arial"/>
          <w:sz w:val="24"/>
          <w:szCs w:val="24"/>
        </w:rPr>
      </w:pPr>
      <w:bookmarkStart w:id="0" w:name="1._Background"/>
      <w:bookmarkEnd w:id="0"/>
      <w:r>
        <w:rPr>
          <w:rFonts w:ascii="Arial"/>
          <w:b/>
          <w:spacing w:val="-1"/>
          <w:sz w:val="24"/>
        </w:rPr>
        <w:t>Background</w:t>
      </w:r>
    </w:p>
    <w:p w14:paraId="7F0BAEF6" w14:textId="7DD914D8" w:rsidR="006F5AD9" w:rsidRDefault="006F5AD9" w:rsidP="006F5AD9">
      <w:pPr>
        <w:pStyle w:val="BodyText"/>
        <w:spacing w:before="199"/>
      </w:pPr>
      <w:r>
        <w:t>Under the Legislation Act 2003, legislative instruments cease automatically, or ʻsunsetʼ, after 10 years, unless action is taken to exempt or preserve them.</w:t>
      </w:r>
    </w:p>
    <w:p w14:paraId="63509044" w14:textId="7E441C7C" w:rsidR="006F5AD9" w:rsidRDefault="006F5AD9" w:rsidP="006F5AD9">
      <w:pPr>
        <w:pStyle w:val="BodyText"/>
        <w:spacing w:before="199"/>
        <w:rPr>
          <w:i/>
        </w:rPr>
      </w:pPr>
      <w:r>
        <w:t>To preserve its effect, a legislative instrument, such as a class order, must be remade before the sunset date. The purpose of sunsetting is to ensure that instruments are kept up to date and only remain in force while they are fit for purpose, necessary and relevant.</w:t>
      </w:r>
    </w:p>
    <w:p w14:paraId="547287E7" w14:textId="2E3188C7" w:rsidR="005B0E3A" w:rsidRDefault="00B56A56" w:rsidP="005B0E3A">
      <w:pPr>
        <w:pStyle w:val="BodyText"/>
        <w:spacing w:before="199"/>
      </w:pPr>
      <w:r w:rsidRPr="00CD1A9E">
        <w:rPr>
          <w:i/>
        </w:rPr>
        <w:t>ASIC Class Order [CO 04/526]</w:t>
      </w:r>
      <w:r>
        <w:t xml:space="preserve"> Foreign collective investment schemes</w:t>
      </w:r>
      <w:r w:rsidR="006521E5">
        <w:t xml:space="preserve"> (</w:t>
      </w:r>
      <w:r w:rsidR="006521E5" w:rsidRPr="00CD1A9E">
        <w:rPr>
          <w:i/>
        </w:rPr>
        <w:t>[CO 04/526]</w:t>
      </w:r>
      <w:r w:rsidR="006521E5">
        <w:t>)</w:t>
      </w:r>
      <w:r>
        <w:t xml:space="preserve"> provides relief for collective investment schemes from the requirement to register as a managed investment scheme or obtain an Australian financial services licence where </w:t>
      </w:r>
      <w:r w:rsidRPr="00813618">
        <w:t>the relevant overseas regulatory regime delivers regulatory outcomes sufficiently equivalent to our own regulatory regime</w:t>
      </w:r>
      <w:r>
        <w:t xml:space="preserve">. </w:t>
      </w:r>
    </w:p>
    <w:p w14:paraId="3ED959F9" w14:textId="5217D183" w:rsidR="00B56A56" w:rsidRDefault="006F5AD9" w:rsidP="00B56A56">
      <w:pPr>
        <w:pStyle w:val="BodyText"/>
        <w:spacing w:before="199"/>
      </w:pPr>
      <w:r w:rsidDel="006F5AD9">
        <w:t xml:space="preserve"> </w:t>
      </w:r>
      <w:r w:rsidR="00B56A56" w:rsidRPr="00CD1A9E">
        <w:rPr>
          <w:i/>
        </w:rPr>
        <w:t>[CO 04/526]</w:t>
      </w:r>
      <w:r w:rsidR="00B56A56">
        <w:t xml:space="preserve"> is to sunset on 1 April 2017. </w:t>
      </w:r>
    </w:p>
    <w:p w14:paraId="6B770D24" w14:textId="6585EAA0" w:rsidR="00D7082E" w:rsidRDefault="00A57C79" w:rsidP="00A57C79">
      <w:pPr>
        <w:pStyle w:val="BodyText"/>
        <w:spacing w:before="199"/>
      </w:pPr>
      <w:r>
        <w:lastRenderedPageBreak/>
        <w:t>In order to provide certainty while the policy settings for recognition of foreign investment schemes are reviewed, ASIC has decided to extend the operation of [CO 04/526] for two years. This will allow sufficient time to review t</w:t>
      </w:r>
      <w:r w:rsidR="000566E3">
        <w:t xml:space="preserve">he existing </w:t>
      </w:r>
      <w:r>
        <w:t>policy settings</w:t>
      </w:r>
      <w:r w:rsidR="000566E3">
        <w:t xml:space="preserve"> </w:t>
      </w:r>
      <w:r w:rsidR="00F95DDF" w:rsidRPr="00001986">
        <w:t>including</w:t>
      </w:r>
      <w:r w:rsidR="00F95DDF">
        <w:t xml:space="preserve"> </w:t>
      </w:r>
      <w:r w:rsidR="000566E3">
        <w:t>in light of</w:t>
      </w:r>
      <w:r>
        <w:t xml:space="preserve"> other regulatory developments, such as</w:t>
      </w:r>
      <w:r w:rsidR="000566E3">
        <w:t xml:space="preserve"> t</w:t>
      </w:r>
      <w:r w:rsidR="00D7082E">
        <w:t>he Government</w:t>
      </w:r>
      <w:r w:rsidR="000566E3">
        <w:t>’s</w:t>
      </w:r>
      <w:r w:rsidR="00D7082E">
        <w:t xml:space="preserve"> </w:t>
      </w:r>
      <w:r w:rsidR="00FC3F1D">
        <w:t>announce</w:t>
      </w:r>
      <w:r w:rsidR="000566E3">
        <w:t>ment of</w:t>
      </w:r>
      <w:r w:rsidR="00FC3F1D">
        <w:t xml:space="preserve"> the introduction of</w:t>
      </w:r>
      <w:r w:rsidR="00D7082E">
        <w:t xml:space="preserve"> new collective investment vehicles, including a corporate collective investment vehicle (CCIV) and partnership collective investment vehicle (PCIV)</w:t>
      </w:r>
      <w:r>
        <w:t xml:space="preserve">, and </w:t>
      </w:r>
      <w:r w:rsidR="00740B50">
        <w:t xml:space="preserve">implementation of </w:t>
      </w:r>
      <w:r w:rsidR="00B67C88">
        <w:t>t</w:t>
      </w:r>
      <w:r w:rsidR="00D7082E">
        <w:t xml:space="preserve">he </w:t>
      </w:r>
      <w:r w:rsidR="00B67C88">
        <w:t>Asia Region Funds Passport (ARFP)</w:t>
      </w:r>
      <w:r w:rsidR="000566E3">
        <w:t xml:space="preserve"> regime</w:t>
      </w:r>
      <w:r w:rsidR="00D7082E">
        <w:t xml:space="preserve">. </w:t>
      </w:r>
    </w:p>
    <w:p w14:paraId="1F74B270" w14:textId="77777777" w:rsidR="005B0E3A" w:rsidRDefault="005B0E3A" w:rsidP="005B0E3A">
      <w:pPr>
        <w:spacing w:line="240" w:lineRule="exact"/>
        <w:rPr>
          <w:sz w:val="24"/>
          <w:szCs w:val="24"/>
        </w:rPr>
      </w:pPr>
    </w:p>
    <w:p w14:paraId="5AEE403D" w14:textId="77777777" w:rsidR="005B0E3A" w:rsidRPr="00626D54" w:rsidRDefault="005B0E3A" w:rsidP="00B56A56">
      <w:pPr>
        <w:keepNext/>
        <w:widowControl w:val="0"/>
        <w:numPr>
          <w:ilvl w:val="0"/>
          <w:numId w:val="7"/>
        </w:numPr>
        <w:tabs>
          <w:tab w:val="left" w:pos="1592"/>
        </w:tabs>
        <w:spacing w:before="145" w:after="0"/>
        <w:ind w:left="0" w:firstLine="0"/>
        <w:rPr>
          <w:rFonts w:ascii="Arial"/>
          <w:b/>
          <w:spacing w:val="-1"/>
          <w:sz w:val="24"/>
        </w:rPr>
      </w:pPr>
      <w:bookmarkStart w:id="1" w:name="2._Purpose_of_the_class_order_"/>
      <w:bookmarkEnd w:id="1"/>
      <w:r w:rsidRPr="00626D54">
        <w:rPr>
          <w:rFonts w:ascii="Arial"/>
          <w:b/>
          <w:spacing w:val="-1"/>
          <w:sz w:val="24"/>
        </w:rPr>
        <w:t>Purpose of the instrument</w:t>
      </w:r>
    </w:p>
    <w:p w14:paraId="01233DEE" w14:textId="77777777" w:rsidR="005B0E3A" w:rsidRDefault="005B0E3A" w:rsidP="005B0E3A">
      <w:pPr>
        <w:spacing w:before="4" w:line="220" w:lineRule="exact"/>
      </w:pPr>
    </w:p>
    <w:p w14:paraId="7AC1C91C" w14:textId="576919DA" w:rsidR="00450F99" w:rsidRDefault="00E064CE" w:rsidP="00E064CE">
      <w:pPr>
        <w:pStyle w:val="BodyText"/>
        <w:spacing w:before="198"/>
      </w:pPr>
      <w:bookmarkStart w:id="2" w:name="Insert_a_level_3_heading_"/>
      <w:bookmarkEnd w:id="2"/>
      <w:r>
        <w:t xml:space="preserve">The purpose of </w:t>
      </w:r>
      <w:r w:rsidR="006F5AD9" w:rsidRPr="006521E5">
        <w:rPr>
          <w:i/>
        </w:rPr>
        <w:t>ASIC Corporations (Repeal and Transitional) Instrument 2017/271</w:t>
      </w:r>
      <w:r>
        <w:t xml:space="preserve"> is to </w:t>
      </w:r>
      <w:r w:rsidR="00740B50">
        <w:t>preserve the effect of</w:t>
      </w:r>
      <w:r w:rsidR="006F6CB2">
        <w:t xml:space="preserve"> </w:t>
      </w:r>
      <w:r w:rsidR="006F6CB2" w:rsidRPr="00842FE5">
        <w:rPr>
          <w:i/>
        </w:rPr>
        <w:t>[CO 04/526]</w:t>
      </w:r>
      <w:r w:rsidR="006F6CB2">
        <w:t xml:space="preserve"> </w:t>
      </w:r>
      <w:r w:rsidR="00740B50">
        <w:t>for two</w:t>
      </w:r>
      <w:r w:rsidR="006F6CB2">
        <w:t xml:space="preserve"> years</w:t>
      </w:r>
      <w:r w:rsidR="00740B50">
        <w:t xml:space="preserve">. The two year period will allow an opportunity to review whether the policy settings </w:t>
      </w:r>
      <w:r w:rsidR="00A57C79">
        <w:t>for recognition of foreign collective investment schemes remain appropriate</w:t>
      </w:r>
      <w:r w:rsidR="00813618">
        <w:t>.</w:t>
      </w:r>
      <w:r w:rsidR="00450F99">
        <w:t xml:space="preserve"> </w:t>
      </w:r>
    </w:p>
    <w:p w14:paraId="0DD89369" w14:textId="77777777" w:rsidR="005B0E3A" w:rsidRDefault="005B0E3A" w:rsidP="005B0E3A">
      <w:pPr>
        <w:spacing w:line="240" w:lineRule="exact"/>
        <w:rPr>
          <w:sz w:val="24"/>
          <w:szCs w:val="24"/>
        </w:rPr>
      </w:pPr>
    </w:p>
    <w:p w14:paraId="489BCD7B" w14:textId="77777777" w:rsidR="005B0E3A" w:rsidRPr="00626D54" w:rsidRDefault="005B0E3A" w:rsidP="00626D54">
      <w:pPr>
        <w:widowControl w:val="0"/>
        <w:numPr>
          <w:ilvl w:val="0"/>
          <w:numId w:val="7"/>
        </w:numPr>
        <w:tabs>
          <w:tab w:val="left" w:pos="1592"/>
        </w:tabs>
        <w:spacing w:before="145" w:after="0"/>
        <w:ind w:left="0" w:firstLine="0"/>
        <w:rPr>
          <w:rFonts w:ascii="Arial"/>
          <w:b/>
          <w:spacing w:val="-1"/>
          <w:sz w:val="24"/>
        </w:rPr>
      </w:pPr>
      <w:bookmarkStart w:id="3" w:name="3._Operation_of_the_class_order_"/>
      <w:bookmarkEnd w:id="3"/>
      <w:r w:rsidRPr="00626D54">
        <w:rPr>
          <w:rFonts w:ascii="Arial"/>
          <w:b/>
          <w:spacing w:val="-1"/>
          <w:sz w:val="24"/>
        </w:rPr>
        <w:t>Operation of the instrument</w:t>
      </w:r>
    </w:p>
    <w:p w14:paraId="1C26B337" w14:textId="77777777" w:rsidR="005B0E3A" w:rsidRDefault="005B0E3A" w:rsidP="005B0E3A">
      <w:pPr>
        <w:spacing w:before="4" w:line="220" w:lineRule="exact"/>
      </w:pPr>
    </w:p>
    <w:p w14:paraId="7E9ECF1F" w14:textId="408C7CC7" w:rsidR="00740B50" w:rsidRDefault="00740B50" w:rsidP="00A57C79">
      <w:pPr>
        <w:pStyle w:val="BodyText"/>
        <w:spacing w:before="198"/>
      </w:pPr>
      <w:r>
        <w:t>The Instrument</w:t>
      </w:r>
      <w:r w:rsidRPr="00A57C79">
        <w:t xml:space="preserve"> </w:t>
      </w:r>
      <w:r w:rsidRPr="00B37652">
        <w:t>operates</w:t>
      </w:r>
      <w:r>
        <w:t xml:space="preserve"> to repeal </w:t>
      </w:r>
      <w:r w:rsidRPr="00842FE5">
        <w:rPr>
          <w:i/>
        </w:rPr>
        <w:t>[CO 04/5</w:t>
      </w:r>
      <w:r w:rsidR="000959B8">
        <w:rPr>
          <w:i/>
        </w:rPr>
        <w:t>2</w:t>
      </w:r>
      <w:r w:rsidRPr="00842FE5">
        <w:rPr>
          <w:i/>
        </w:rPr>
        <w:t>6]</w:t>
      </w:r>
      <w:r>
        <w:t xml:space="preserve"> while providing transitional relief to extend its effect for two years.</w:t>
      </w:r>
    </w:p>
    <w:p w14:paraId="2D7CDC10" w14:textId="77777777" w:rsidR="00740B50" w:rsidRPr="00A57C79" w:rsidRDefault="00740B50" w:rsidP="00A57C79">
      <w:pPr>
        <w:pStyle w:val="BodyText"/>
        <w:spacing w:before="198"/>
        <w:rPr>
          <w:b/>
        </w:rPr>
      </w:pPr>
      <w:r w:rsidRPr="00A57C79">
        <w:rPr>
          <w:b/>
        </w:rPr>
        <w:t>Schedule 1 – Repeal of sunsetting legislative instrument</w:t>
      </w:r>
    </w:p>
    <w:p w14:paraId="2A1318C5" w14:textId="4AE293AB" w:rsidR="00740B50" w:rsidRDefault="00740B50" w:rsidP="00A57C79">
      <w:pPr>
        <w:pStyle w:val="BodyText"/>
        <w:spacing w:before="198"/>
      </w:pPr>
      <w:r>
        <w:t xml:space="preserve">Schedule 1 provides that </w:t>
      </w:r>
      <w:r w:rsidRPr="00842FE5">
        <w:rPr>
          <w:i/>
        </w:rPr>
        <w:t>[CO 04/526]</w:t>
      </w:r>
      <w:r>
        <w:t xml:space="preserve"> is repealed in full.</w:t>
      </w:r>
    </w:p>
    <w:p w14:paraId="39AA17EE" w14:textId="77777777" w:rsidR="00740B50" w:rsidRDefault="00740B50" w:rsidP="00A57C79">
      <w:pPr>
        <w:pStyle w:val="BodyText"/>
        <w:spacing w:before="198"/>
      </w:pPr>
      <w:r w:rsidRPr="00A57C79">
        <w:rPr>
          <w:b/>
        </w:rPr>
        <w:t>Schedule 2 – Transitional continuation of</w:t>
      </w:r>
      <w:r w:rsidRPr="00A57C79">
        <w:t xml:space="preserve"> </w:t>
      </w:r>
      <w:r w:rsidRPr="00A57C79">
        <w:rPr>
          <w:b/>
        </w:rPr>
        <w:t>relief</w:t>
      </w:r>
    </w:p>
    <w:p w14:paraId="4D64E18C" w14:textId="632E9632" w:rsidR="00740B50" w:rsidRDefault="00740B50" w:rsidP="00A57C79">
      <w:pPr>
        <w:pStyle w:val="BodyText"/>
        <w:spacing w:before="198"/>
      </w:pPr>
      <w:r>
        <w:t xml:space="preserve">Subitem (1) of Schedule 2 provides that the exemptions specified in </w:t>
      </w:r>
      <w:r w:rsidRPr="00842FE5">
        <w:rPr>
          <w:i/>
        </w:rPr>
        <w:t>[CO 04/526]</w:t>
      </w:r>
      <w:r>
        <w:t xml:space="preserve"> continue to apply by force of this instrument, in the circumstances and on the conditions specified in relation to the exemption.</w:t>
      </w:r>
      <w:r w:rsidR="00476194">
        <w:t xml:space="preserve">  The exemption from the requirement to hold a financial services licence is continued under paragraph 926A(2)(a) in accordance with ASIC’s current practices for giving such relief.</w:t>
      </w:r>
    </w:p>
    <w:p w14:paraId="322D9AC4" w14:textId="77777777" w:rsidR="00740B50" w:rsidRDefault="00740B50" w:rsidP="00A57C79">
      <w:pPr>
        <w:pStyle w:val="BodyText"/>
        <w:spacing w:before="198"/>
      </w:pPr>
      <w:r>
        <w:t xml:space="preserve">Subitem (2) provides that subitem (1) has effect for a period of 2 years from the date of the commencement of the instrument. </w:t>
      </w:r>
    </w:p>
    <w:p w14:paraId="4594879E" w14:textId="77777777" w:rsidR="005B0E3A" w:rsidRDefault="005B0E3A" w:rsidP="005B0E3A">
      <w:pPr>
        <w:spacing w:line="240" w:lineRule="exact"/>
        <w:rPr>
          <w:sz w:val="24"/>
          <w:szCs w:val="24"/>
        </w:rPr>
      </w:pPr>
    </w:p>
    <w:p w14:paraId="2F35F21F" w14:textId="77777777" w:rsidR="005B0E3A" w:rsidRPr="00626D54" w:rsidRDefault="005B0E3A" w:rsidP="00626D54">
      <w:pPr>
        <w:widowControl w:val="0"/>
        <w:numPr>
          <w:ilvl w:val="0"/>
          <w:numId w:val="7"/>
        </w:numPr>
        <w:tabs>
          <w:tab w:val="left" w:pos="1592"/>
        </w:tabs>
        <w:spacing w:before="145" w:after="0"/>
        <w:ind w:left="0" w:firstLine="0"/>
        <w:rPr>
          <w:rFonts w:ascii="Arial"/>
          <w:b/>
          <w:spacing w:val="-1"/>
          <w:sz w:val="24"/>
        </w:rPr>
      </w:pPr>
      <w:bookmarkStart w:id="4" w:name="4._Documents_incorporated_by_reference"/>
      <w:bookmarkStart w:id="5" w:name="5._Consultation"/>
      <w:bookmarkEnd w:id="4"/>
      <w:bookmarkEnd w:id="5"/>
      <w:r w:rsidRPr="00626D54">
        <w:rPr>
          <w:rFonts w:ascii="Arial"/>
          <w:b/>
          <w:spacing w:val="-1"/>
          <w:sz w:val="24"/>
        </w:rPr>
        <w:t>Consultation</w:t>
      </w:r>
    </w:p>
    <w:p w14:paraId="43965A7D" w14:textId="77777777" w:rsidR="005B0E3A" w:rsidRDefault="005B0E3A" w:rsidP="005B0E3A">
      <w:pPr>
        <w:spacing w:before="4" w:line="220" w:lineRule="exact"/>
      </w:pPr>
    </w:p>
    <w:p w14:paraId="49BAE2EA" w14:textId="01F0926C" w:rsidR="00FC3F1D" w:rsidRDefault="00FC3F1D" w:rsidP="00A363FF">
      <w:pPr>
        <w:pStyle w:val="BodyText"/>
        <w:spacing w:before="199"/>
      </w:pPr>
      <w:r>
        <w:t xml:space="preserve">ASIC consulted stakeholders on its proposal to continue the effect of the instrument for a period of two years. We received no adverse comments from stakeholders. </w:t>
      </w:r>
    </w:p>
    <w:p w14:paraId="63A2902B" w14:textId="4B6810F4" w:rsidR="00FC3F1D" w:rsidRDefault="00FC3F1D" w:rsidP="00A363FF">
      <w:pPr>
        <w:pStyle w:val="BodyText"/>
        <w:spacing w:before="199"/>
      </w:pPr>
      <w:r>
        <w:t xml:space="preserve">Once there is more certainty around </w:t>
      </w:r>
      <w:r w:rsidR="000566E3">
        <w:t>policy settings in light of</w:t>
      </w:r>
      <w:r>
        <w:t xml:space="preserve"> </w:t>
      </w:r>
      <w:r w:rsidR="00A57C79">
        <w:t>other regulatory developments</w:t>
      </w:r>
      <w:r>
        <w:t xml:space="preserve">, we will revisit the Instrument. </w:t>
      </w:r>
    </w:p>
    <w:p w14:paraId="074E81B7" w14:textId="345A83E6" w:rsidR="00A363FF" w:rsidRDefault="00FC3F1D" w:rsidP="00A363FF">
      <w:pPr>
        <w:pStyle w:val="BodyText"/>
        <w:spacing w:before="199"/>
        <w:sectPr w:rsidR="00A363FF" w:rsidSect="00255E69">
          <w:headerReference w:type="even" r:id="rId13"/>
          <w:footerReference w:type="even" r:id="rId14"/>
          <w:headerReference w:type="first" r:id="rId15"/>
          <w:pgSz w:w="11906" w:h="16838" w:code="9"/>
          <w:pgMar w:top="1644" w:right="1418" w:bottom="1418" w:left="1418" w:header="567" w:footer="567" w:gutter="0"/>
          <w:cols w:space="720"/>
          <w:docGrid w:linePitch="299"/>
        </w:sectPr>
      </w:pPr>
      <w:r>
        <w:t>Following the review, ASIC will publically consult on any proposed changes to the underlying exemptions and their associated conditions</w:t>
      </w:r>
      <w:r w:rsidR="00A363FF">
        <w:t xml:space="preserve">. </w:t>
      </w:r>
    </w:p>
    <w:p w14:paraId="59C51A88" w14:textId="77777777" w:rsidR="000076D6" w:rsidRDefault="000076D6">
      <w:r>
        <w:rPr>
          <w:noProof/>
        </w:rPr>
        <w:lastRenderedPageBreak/>
        <mc:AlternateContent>
          <mc:Choice Requires="wps">
            <w:drawing>
              <wp:anchor distT="0" distB="0" distL="114300" distR="114300" simplePos="0" relativeHeight="251658240" behindDoc="0" locked="0" layoutInCell="1" allowOverlap="1" wp14:anchorId="7997C332" wp14:editId="4E2855AA">
                <wp:simplePos x="0" y="0"/>
                <wp:positionH relativeFrom="column">
                  <wp:posOffset>19050</wp:posOffset>
                </wp:positionH>
                <wp:positionV relativeFrom="paragraph">
                  <wp:posOffset>492760</wp:posOffset>
                </wp:positionV>
                <wp:extent cx="5311140" cy="6791325"/>
                <wp:effectExtent l="38100" t="38100" r="41910" b="476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140" cy="6791325"/>
                        </a:xfrm>
                        <a:prstGeom prst="rect">
                          <a:avLst/>
                        </a:prstGeom>
                        <a:solidFill>
                          <a:srgbClr val="FFFFFF"/>
                        </a:solidFill>
                        <a:ln w="76200" cmpd="tri">
                          <a:solidFill>
                            <a:srgbClr val="000000"/>
                          </a:solidFill>
                          <a:miter lim="800000"/>
                          <a:headEnd/>
                          <a:tailEnd/>
                        </a:ln>
                      </wps:spPr>
                      <wps:txbx>
                        <w:txbxContent>
                          <w:p w14:paraId="72CEDA33" w14:textId="77777777" w:rsidR="00255E69" w:rsidRPr="00834797" w:rsidRDefault="00255E69" w:rsidP="000076D6">
                            <w:pPr>
                              <w:spacing w:before="360" w:after="120"/>
                              <w:jc w:val="center"/>
                              <w:rPr>
                                <w:b/>
                              </w:rPr>
                            </w:pPr>
                            <w:r w:rsidRPr="00834797">
                              <w:rPr>
                                <w:b/>
                              </w:rPr>
                              <w:t>Statement of Compatibility with Human Rights</w:t>
                            </w:r>
                          </w:p>
                          <w:p w14:paraId="0495CECB" w14:textId="77777777" w:rsidR="00255E69" w:rsidRPr="00247F54" w:rsidRDefault="00255E69" w:rsidP="000076D6">
                            <w:pPr>
                              <w:spacing w:before="120" w:after="120"/>
                              <w:jc w:val="center"/>
                            </w:pPr>
                            <w:r w:rsidRPr="00247F54">
                              <w:rPr>
                                <w:i/>
                              </w:rPr>
                              <w:t>Prepared in accordance with Part 3 of the Human Rights (Parliamentary Scrutiny) Act 2011</w:t>
                            </w:r>
                          </w:p>
                          <w:p w14:paraId="022AE365" w14:textId="77777777" w:rsidR="00255E69" w:rsidRPr="00247F54" w:rsidRDefault="00255E69" w:rsidP="000076D6">
                            <w:pPr>
                              <w:spacing w:before="120" w:after="120"/>
                              <w:jc w:val="center"/>
                            </w:pPr>
                          </w:p>
                          <w:p w14:paraId="255D1CB0" w14:textId="77777777" w:rsidR="00DE3EA5" w:rsidRDefault="006F5AD9" w:rsidP="000076D6">
                            <w:pPr>
                              <w:spacing w:before="120" w:after="120"/>
                              <w:jc w:val="center"/>
                              <w:rPr>
                                <w:b/>
                                <w:i/>
                              </w:rPr>
                            </w:pPr>
                            <w:r w:rsidRPr="006F5AD9">
                              <w:rPr>
                                <w:b/>
                                <w:i/>
                              </w:rPr>
                              <w:t>ASIC Corporations (Repeal and Transitional) Instrument 2017/271</w:t>
                            </w:r>
                          </w:p>
                          <w:p w14:paraId="29A11476" w14:textId="7C269A30" w:rsidR="00255E69" w:rsidRPr="00247F54" w:rsidRDefault="006F5AD9" w:rsidP="000076D6">
                            <w:pPr>
                              <w:spacing w:before="120" w:after="120"/>
                              <w:jc w:val="center"/>
                            </w:pPr>
                            <w:r w:rsidRPr="006F5AD9">
                              <w:rPr>
                                <w:i/>
                              </w:rPr>
                              <w:t>ASIC Corporations (Repeal and Transitional) Instrument 2017/271</w:t>
                            </w:r>
                            <w:r w:rsidR="00DE3EA5">
                              <w:rPr>
                                <w:i/>
                              </w:rPr>
                              <w:t xml:space="preserve"> </w:t>
                            </w:r>
                            <w:r w:rsidR="00255E69" w:rsidRPr="00247F54">
                              <w:t xml:space="preserve">is compatible with the human rights and freedoms recognised or declared in the international instruments listed in section 3 of the </w:t>
                            </w:r>
                            <w:r w:rsidR="00255E69" w:rsidRPr="00247F54">
                              <w:rPr>
                                <w:i/>
                              </w:rPr>
                              <w:t>Human Rights (Parliamentary Scrutiny) Act 2011</w:t>
                            </w:r>
                            <w:r w:rsidR="00255E69" w:rsidRPr="00247F54">
                              <w:t>.</w:t>
                            </w:r>
                          </w:p>
                          <w:p w14:paraId="239AAFB6" w14:textId="77777777" w:rsidR="00255E69" w:rsidRPr="00247F54" w:rsidRDefault="00255E69" w:rsidP="000076D6">
                            <w:pPr>
                              <w:spacing w:before="120" w:after="120"/>
                              <w:jc w:val="center"/>
                            </w:pPr>
                          </w:p>
                          <w:p w14:paraId="00539F7B" w14:textId="77777777" w:rsidR="00255E69" w:rsidRPr="00247F54" w:rsidRDefault="00255E69" w:rsidP="000076D6">
                            <w:pPr>
                              <w:spacing w:before="120" w:after="120"/>
                              <w:jc w:val="center"/>
                            </w:pPr>
                          </w:p>
                          <w:p w14:paraId="2319D44D" w14:textId="77777777" w:rsidR="00255E69" w:rsidRPr="00247F54" w:rsidRDefault="00255E69" w:rsidP="000076D6">
                            <w:pPr>
                              <w:spacing w:before="120" w:after="120"/>
                              <w:jc w:val="both"/>
                              <w:rPr>
                                <w:b/>
                              </w:rPr>
                            </w:pPr>
                            <w:r w:rsidRPr="00247F54">
                              <w:rPr>
                                <w:b/>
                              </w:rPr>
                              <w:t>Overview</w:t>
                            </w:r>
                          </w:p>
                          <w:p w14:paraId="30F264AB" w14:textId="65FD8F3D" w:rsidR="00255E69" w:rsidRPr="00F640B8" w:rsidRDefault="00F349B3" w:rsidP="000076D6">
                            <w:pPr>
                              <w:spacing w:before="120" w:after="120"/>
                            </w:pPr>
                            <w:r>
                              <w:t xml:space="preserve">This instrument </w:t>
                            </w:r>
                            <w:r w:rsidRPr="00F349B3">
                              <w:t>facilitate</w:t>
                            </w:r>
                            <w:r>
                              <w:t>s</w:t>
                            </w:r>
                            <w:r w:rsidRPr="00F349B3">
                              <w:t xml:space="preserve"> recognition of collective investment schemes where the</w:t>
                            </w:r>
                            <w:bookmarkStart w:id="6" w:name="_GoBack"/>
                            <w:bookmarkEnd w:id="6"/>
                            <w:r w:rsidRPr="00F349B3">
                              <w:t xml:space="preserve"> relevant overseas regulatory regime delivers regulatory outcomes sufficiently equivalent to our own regulatory regime</w:t>
                            </w:r>
                            <w:r>
                              <w:t>.</w:t>
                            </w:r>
                            <w:r w:rsidR="006F5AD9">
                              <w:t xml:space="preserve"> </w:t>
                            </w:r>
                            <w:r w:rsidR="00D7082E">
                              <w:t xml:space="preserve">It continues relief previously available under </w:t>
                            </w:r>
                            <w:r w:rsidR="00D7082E" w:rsidRPr="00CD1A9E">
                              <w:rPr>
                                <w:i/>
                              </w:rPr>
                              <w:t>ASIC Class Order [CO 04/526]</w:t>
                            </w:r>
                            <w:r w:rsidR="00D7082E">
                              <w:t xml:space="preserve"> </w:t>
                            </w:r>
                            <w:r w:rsidR="00D7082E" w:rsidRPr="006F6CB2">
                              <w:rPr>
                                <w:i/>
                              </w:rPr>
                              <w:t>Foreign collective investment scheme</w:t>
                            </w:r>
                            <w:r w:rsidR="00B67C88" w:rsidRPr="006F6CB2">
                              <w:rPr>
                                <w:i/>
                              </w:rPr>
                              <w:t>s</w:t>
                            </w:r>
                            <w:r w:rsidR="00B67C88">
                              <w:t xml:space="preserve"> for a period of 2 years to allow </w:t>
                            </w:r>
                            <w:r w:rsidR="00A57C79">
                              <w:t>review of the policy settings in light of other regulatory developments</w:t>
                            </w:r>
                            <w:r w:rsidR="00B67C88">
                              <w:t xml:space="preserve">. </w:t>
                            </w:r>
                            <w:r>
                              <w:t xml:space="preserve"> </w:t>
                            </w:r>
                          </w:p>
                          <w:p w14:paraId="5E0CBC0D" w14:textId="77777777" w:rsidR="00255E69" w:rsidRPr="00883DB6" w:rsidRDefault="00255E69" w:rsidP="000076D6">
                            <w:pPr>
                              <w:spacing w:before="120" w:after="120"/>
                            </w:pPr>
                          </w:p>
                          <w:p w14:paraId="299726F3" w14:textId="77777777" w:rsidR="00255E69" w:rsidRPr="00247F54" w:rsidRDefault="00255E69" w:rsidP="000076D6">
                            <w:pPr>
                              <w:spacing w:before="120" w:after="120"/>
                              <w:rPr>
                                <w:b/>
                              </w:rPr>
                            </w:pPr>
                            <w:r w:rsidRPr="00247F54">
                              <w:rPr>
                                <w:b/>
                              </w:rPr>
                              <w:t>Human rights implications</w:t>
                            </w:r>
                          </w:p>
                          <w:p w14:paraId="62D890F1" w14:textId="183CBAB7" w:rsidR="00255E69" w:rsidRPr="00247F54" w:rsidRDefault="00255E69" w:rsidP="000076D6">
                            <w:pPr>
                              <w:spacing w:before="120" w:after="120"/>
                            </w:pPr>
                            <w:r w:rsidRPr="00247F54">
                              <w:t xml:space="preserve">This </w:t>
                            </w:r>
                            <w:r>
                              <w:t>l</w:t>
                            </w:r>
                            <w:r w:rsidRPr="00247F54">
                              <w:t xml:space="preserve">egislative </w:t>
                            </w:r>
                            <w:r>
                              <w:t>i</w:t>
                            </w:r>
                            <w:r w:rsidRPr="00247F54">
                              <w:t>nstrument does not engage any of the applicable rights or freedoms.</w:t>
                            </w:r>
                          </w:p>
                          <w:p w14:paraId="293D5D58" w14:textId="77777777" w:rsidR="00255E69" w:rsidRPr="00247F54" w:rsidRDefault="00255E69" w:rsidP="000076D6">
                            <w:pPr>
                              <w:spacing w:before="120" w:after="120"/>
                            </w:pPr>
                          </w:p>
                          <w:p w14:paraId="3232D31C" w14:textId="77777777" w:rsidR="00255E69" w:rsidRPr="00247F54" w:rsidRDefault="00255E69" w:rsidP="000076D6">
                            <w:pPr>
                              <w:spacing w:before="120" w:after="120"/>
                              <w:rPr>
                                <w:b/>
                              </w:rPr>
                            </w:pPr>
                            <w:r w:rsidRPr="00247F54">
                              <w:rPr>
                                <w:b/>
                              </w:rPr>
                              <w:t>Conclusion</w:t>
                            </w:r>
                          </w:p>
                          <w:p w14:paraId="62D9A05A" w14:textId="77777777" w:rsidR="00255E69" w:rsidRPr="00247F54" w:rsidRDefault="00255E69" w:rsidP="000076D6">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14:paraId="51E98BF7" w14:textId="77777777" w:rsidR="00255E69" w:rsidRPr="00E4135E" w:rsidRDefault="00255E69" w:rsidP="000076D6">
                            <w:pPr>
                              <w:spacing w:before="120" w:after="120"/>
                              <w:jc w:val="center"/>
                            </w:pPr>
                          </w:p>
                          <w:p w14:paraId="07AB5275" w14:textId="05978C16" w:rsidR="00255E69" w:rsidRPr="00E4135E" w:rsidRDefault="00F349B3" w:rsidP="000076D6">
                            <w:pPr>
                              <w:spacing w:before="120" w:after="120"/>
                              <w:jc w:val="center"/>
                            </w:pPr>
                            <w:r>
                              <w:rPr>
                                <w:b/>
                                <w:bCs/>
                              </w:rPr>
                              <w:t>Australian Securities and Investments Commission</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pt;margin-top:38.8pt;width:418.2pt;height:53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" strokeweight="6pt">
                <v:stroke linestyle="thickBetweenThin"/>
                <v:textbox inset="5mm,,5mm">
                  <w:txbxContent>
                    <w:p w14:paraId="72CEDA33" w14:textId="77777777" w:rsidR="00255E69" w:rsidRPr="00834797" w:rsidRDefault="00255E69" w:rsidP="000076D6">
                      <w:pPr>
                        <w:spacing w:before="360" w:after="120"/>
                        <w:jc w:val="center"/>
                        <w:rPr>
                          <w:b/>
                        </w:rPr>
                      </w:pPr>
                      <w:r w:rsidRPr="00834797">
                        <w:rPr>
                          <w:b/>
                        </w:rPr>
                        <w:t>Statement of Compatibility with Human Rights</w:t>
                      </w:r>
                    </w:p>
                    <w:p w14:paraId="0495CECB" w14:textId="77777777" w:rsidR="00255E69" w:rsidRPr="00247F54" w:rsidRDefault="00255E69" w:rsidP="000076D6">
                      <w:pPr>
                        <w:spacing w:before="120" w:after="120"/>
                        <w:jc w:val="center"/>
                      </w:pPr>
                      <w:r w:rsidRPr="00247F54">
                        <w:rPr>
                          <w:i/>
                        </w:rPr>
                        <w:t>Prepared in accordance with Part 3 of the Human Rights (Parliamentary Scrutiny) Act 2011</w:t>
                      </w:r>
                    </w:p>
                    <w:p w14:paraId="022AE365" w14:textId="77777777" w:rsidR="00255E69" w:rsidRPr="00247F54" w:rsidRDefault="00255E69" w:rsidP="000076D6">
                      <w:pPr>
                        <w:spacing w:before="120" w:after="120"/>
                        <w:jc w:val="center"/>
                      </w:pPr>
                    </w:p>
                    <w:p w14:paraId="255D1CB0" w14:textId="77777777" w:rsidR="00DE3EA5" w:rsidRDefault="006F5AD9" w:rsidP="000076D6">
                      <w:pPr>
                        <w:spacing w:before="120" w:after="120"/>
                        <w:jc w:val="center"/>
                        <w:rPr>
                          <w:b/>
                          <w:i/>
                        </w:rPr>
                      </w:pPr>
                      <w:r w:rsidRPr="006F5AD9">
                        <w:rPr>
                          <w:b/>
                          <w:i/>
                        </w:rPr>
                        <w:t>ASIC Corporations (Repeal and Transitional) Instrument 2017/271</w:t>
                      </w:r>
                    </w:p>
                    <w:p w14:paraId="29A11476" w14:textId="7C269A30" w:rsidR="00255E69" w:rsidRPr="00247F54" w:rsidRDefault="006F5AD9" w:rsidP="000076D6">
                      <w:pPr>
                        <w:spacing w:before="120" w:after="120"/>
                        <w:jc w:val="center"/>
                      </w:pPr>
                      <w:r w:rsidRPr="006F5AD9">
                        <w:rPr>
                          <w:i/>
                        </w:rPr>
                        <w:t>ASIC Corporations (Repeal and Transitional) Instrument 2017/271</w:t>
                      </w:r>
                      <w:r w:rsidR="00DE3EA5">
                        <w:rPr>
                          <w:i/>
                        </w:rPr>
                        <w:t xml:space="preserve"> </w:t>
                      </w:r>
                      <w:r w:rsidR="00255E69" w:rsidRPr="00247F54">
                        <w:t xml:space="preserve">is compatible with the human rights and freedoms recognised or declared in the international instruments listed in section 3 of the </w:t>
                      </w:r>
                      <w:r w:rsidR="00255E69" w:rsidRPr="00247F54">
                        <w:rPr>
                          <w:i/>
                        </w:rPr>
                        <w:t>Human Rights (Parliamentary Scrutiny) Act 2011</w:t>
                      </w:r>
                      <w:r w:rsidR="00255E69" w:rsidRPr="00247F54">
                        <w:t>.</w:t>
                      </w:r>
                    </w:p>
                    <w:p w14:paraId="239AAFB6" w14:textId="77777777" w:rsidR="00255E69" w:rsidRPr="00247F54" w:rsidRDefault="00255E69" w:rsidP="000076D6">
                      <w:pPr>
                        <w:spacing w:before="120" w:after="120"/>
                        <w:jc w:val="center"/>
                      </w:pPr>
                    </w:p>
                    <w:p w14:paraId="00539F7B" w14:textId="77777777" w:rsidR="00255E69" w:rsidRPr="00247F54" w:rsidRDefault="00255E69" w:rsidP="000076D6">
                      <w:pPr>
                        <w:spacing w:before="120" w:after="120"/>
                        <w:jc w:val="center"/>
                      </w:pPr>
                    </w:p>
                    <w:p w14:paraId="2319D44D" w14:textId="77777777" w:rsidR="00255E69" w:rsidRPr="00247F54" w:rsidRDefault="00255E69" w:rsidP="000076D6">
                      <w:pPr>
                        <w:spacing w:before="120" w:after="120"/>
                        <w:jc w:val="both"/>
                        <w:rPr>
                          <w:b/>
                        </w:rPr>
                      </w:pPr>
                      <w:r w:rsidRPr="00247F54">
                        <w:rPr>
                          <w:b/>
                        </w:rPr>
                        <w:t>Overview</w:t>
                      </w:r>
                    </w:p>
                    <w:p w14:paraId="30F264AB" w14:textId="65FD8F3D" w:rsidR="00255E69" w:rsidRPr="00F640B8" w:rsidRDefault="00F349B3" w:rsidP="000076D6">
                      <w:pPr>
                        <w:spacing w:before="120" w:after="120"/>
                      </w:pPr>
                      <w:r>
                        <w:t xml:space="preserve">This instrument </w:t>
                      </w:r>
                      <w:r w:rsidRPr="00F349B3">
                        <w:t>facilitate</w:t>
                      </w:r>
                      <w:r>
                        <w:t>s</w:t>
                      </w:r>
                      <w:r w:rsidRPr="00F349B3">
                        <w:t xml:space="preserve"> recognition of collective investment schemes where the</w:t>
                      </w:r>
                      <w:bookmarkStart w:id="7" w:name="_GoBack"/>
                      <w:bookmarkEnd w:id="7"/>
                      <w:r w:rsidRPr="00F349B3">
                        <w:t xml:space="preserve"> relevant overseas regulatory regime delivers regulatory outcomes sufficiently equivalent to our own regulatory regime</w:t>
                      </w:r>
                      <w:r>
                        <w:t>.</w:t>
                      </w:r>
                      <w:r w:rsidR="006F5AD9">
                        <w:t xml:space="preserve"> </w:t>
                      </w:r>
                      <w:r w:rsidR="00D7082E">
                        <w:t xml:space="preserve">It continues relief previously available under </w:t>
                      </w:r>
                      <w:r w:rsidR="00D7082E" w:rsidRPr="00CD1A9E">
                        <w:rPr>
                          <w:i/>
                        </w:rPr>
                        <w:t>ASIC Class Order [CO 04/526]</w:t>
                      </w:r>
                      <w:r w:rsidR="00D7082E">
                        <w:t xml:space="preserve"> </w:t>
                      </w:r>
                      <w:r w:rsidR="00D7082E" w:rsidRPr="006F6CB2">
                        <w:rPr>
                          <w:i/>
                        </w:rPr>
                        <w:t>Foreign collective investment scheme</w:t>
                      </w:r>
                      <w:r w:rsidR="00B67C88" w:rsidRPr="006F6CB2">
                        <w:rPr>
                          <w:i/>
                        </w:rPr>
                        <w:t>s</w:t>
                      </w:r>
                      <w:r w:rsidR="00B67C88">
                        <w:t xml:space="preserve"> for a period of 2 years to allow </w:t>
                      </w:r>
                      <w:r w:rsidR="00A57C79">
                        <w:t>review of the policy settings in light of other regulatory developments</w:t>
                      </w:r>
                      <w:r w:rsidR="00B67C88">
                        <w:t xml:space="preserve">. </w:t>
                      </w:r>
                      <w:r>
                        <w:t xml:space="preserve"> </w:t>
                      </w:r>
                    </w:p>
                    <w:p w14:paraId="5E0CBC0D" w14:textId="77777777" w:rsidR="00255E69" w:rsidRPr="00883DB6" w:rsidRDefault="00255E69" w:rsidP="000076D6">
                      <w:pPr>
                        <w:spacing w:before="120" w:after="120"/>
                      </w:pPr>
                    </w:p>
                    <w:p w14:paraId="299726F3" w14:textId="77777777" w:rsidR="00255E69" w:rsidRPr="00247F54" w:rsidRDefault="00255E69" w:rsidP="000076D6">
                      <w:pPr>
                        <w:spacing w:before="120" w:after="120"/>
                        <w:rPr>
                          <w:b/>
                        </w:rPr>
                      </w:pPr>
                      <w:r w:rsidRPr="00247F54">
                        <w:rPr>
                          <w:b/>
                        </w:rPr>
                        <w:t>Human rights implications</w:t>
                      </w:r>
                    </w:p>
                    <w:p w14:paraId="62D890F1" w14:textId="183CBAB7" w:rsidR="00255E69" w:rsidRPr="00247F54" w:rsidRDefault="00255E69" w:rsidP="000076D6">
                      <w:pPr>
                        <w:spacing w:before="120" w:after="120"/>
                      </w:pPr>
                      <w:r w:rsidRPr="00247F54">
                        <w:t xml:space="preserve">This </w:t>
                      </w:r>
                      <w:r>
                        <w:t>l</w:t>
                      </w:r>
                      <w:r w:rsidRPr="00247F54">
                        <w:t xml:space="preserve">egislative </w:t>
                      </w:r>
                      <w:r>
                        <w:t>i</w:t>
                      </w:r>
                      <w:r w:rsidRPr="00247F54">
                        <w:t>nstrument does not engage any of the applicable rights or freedoms.</w:t>
                      </w:r>
                    </w:p>
                    <w:p w14:paraId="293D5D58" w14:textId="77777777" w:rsidR="00255E69" w:rsidRPr="00247F54" w:rsidRDefault="00255E69" w:rsidP="000076D6">
                      <w:pPr>
                        <w:spacing w:before="120" w:after="120"/>
                      </w:pPr>
                    </w:p>
                    <w:p w14:paraId="3232D31C" w14:textId="77777777" w:rsidR="00255E69" w:rsidRPr="00247F54" w:rsidRDefault="00255E69" w:rsidP="000076D6">
                      <w:pPr>
                        <w:spacing w:before="120" w:after="120"/>
                        <w:rPr>
                          <w:b/>
                        </w:rPr>
                      </w:pPr>
                      <w:r w:rsidRPr="00247F54">
                        <w:rPr>
                          <w:b/>
                        </w:rPr>
                        <w:t>Conclusion</w:t>
                      </w:r>
                    </w:p>
                    <w:p w14:paraId="62D9A05A" w14:textId="77777777" w:rsidR="00255E69" w:rsidRPr="00247F54" w:rsidRDefault="00255E69" w:rsidP="000076D6">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14:paraId="51E98BF7" w14:textId="77777777" w:rsidR="00255E69" w:rsidRPr="00E4135E" w:rsidRDefault="00255E69" w:rsidP="000076D6">
                      <w:pPr>
                        <w:spacing w:before="120" w:after="120"/>
                        <w:jc w:val="center"/>
                      </w:pPr>
                    </w:p>
                    <w:p w14:paraId="07AB5275" w14:textId="05978C16" w:rsidR="00255E69" w:rsidRPr="00E4135E" w:rsidRDefault="00F349B3" w:rsidP="000076D6">
                      <w:pPr>
                        <w:spacing w:before="120" w:after="120"/>
                        <w:jc w:val="center"/>
                      </w:pPr>
                      <w:r>
                        <w:rPr>
                          <w:b/>
                          <w:bCs/>
                        </w:rPr>
                        <w:t>Australian Securities and Investments Commission</w:t>
                      </w:r>
                    </w:p>
                  </w:txbxContent>
                </v:textbox>
              </v:rect>
            </w:pict>
          </mc:Fallback>
        </mc:AlternateContent>
      </w:r>
    </w:p>
    <w:sectPr w:rsidR="000076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7C33E" w14:textId="77777777" w:rsidR="00255E69" w:rsidRDefault="00255E69">
      <w:pPr>
        <w:spacing w:after="0"/>
      </w:pPr>
      <w:r>
        <w:separator/>
      </w:r>
    </w:p>
  </w:endnote>
  <w:endnote w:type="continuationSeparator" w:id="0">
    <w:p w14:paraId="5096AE2F" w14:textId="77777777" w:rsidR="00255E69" w:rsidRDefault="00255E69">
      <w:pPr>
        <w:spacing w:after="0"/>
      </w:pPr>
      <w:r>
        <w:continuationSeparator/>
      </w:r>
    </w:p>
  </w:endnote>
  <w:endnote w:type="continuationNotice" w:id="1">
    <w:p w14:paraId="6CE14410" w14:textId="77777777" w:rsidR="00E22FF3" w:rsidRDefault="00E22F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5BAFB" w14:textId="77777777" w:rsidR="00255E69" w:rsidRDefault="00255E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1342D3AD" w14:textId="77777777" w:rsidR="00255E69" w:rsidRDefault="00255E69">
    <w:pPr>
      <w:pStyle w:val="Footer"/>
      <w:ind w:right="360"/>
    </w:pPr>
  </w:p>
  <w:p w14:paraId="05BF58EF" w14:textId="77777777" w:rsidR="00255E69" w:rsidRDefault="00255E69"/>
  <w:p w14:paraId="18C38E6F" w14:textId="77777777" w:rsidR="00255E69" w:rsidRDefault="00255E69"/>
  <w:p w14:paraId="213C085A" w14:textId="77777777" w:rsidR="00255E69" w:rsidRDefault="00255E69"/>
  <w:p w14:paraId="171917E0" w14:textId="77777777" w:rsidR="00255E69" w:rsidRDefault="00255E69"/>
  <w:p w14:paraId="38B5A22D" w14:textId="77777777" w:rsidR="00255E69" w:rsidRDefault="00255E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4E33F6" w14:textId="77777777" w:rsidR="00255E69" w:rsidRDefault="00255E69">
      <w:pPr>
        <w:spacing w:after="0"/>
      </w:pPr>
      <w:r>
        <w:separator/>
      </w:r>
    </w:p>
  </w:footnote>
  <w:footnote w:type="continuationSeparator" w:id="0">
    <w:p w14:paraId="6A437068" w14:textId="77777777" w:rsidR="00255E69" w:rsidRDefault="00255E69">
      <w:pPr>
        <w:spacing w:after="0"/>
      </w:pPr>
      <w:r>
        <w:continuationSeparator/>
      </w:r>
    </w:p>
  </w:footnote>
  <w:footnote w:type="continuationNotice" w:id="1">
    <w:p w14:paraId="4FDDC229" w14:textId="77777777" w:rsidR="00E22FF3" w:rsidRDefault="00E22FF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23B7B" w14:textId="77777777" w:rsidR="00255E69" w:rsidRDefault="00255E69"/>
  <w:p w14:paraId="5D509042" w14:textId="77777777" w:rsidR="00255E69" w:rsidRDefault="00255E6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69A1D" w14:textId="77777777" w:rsidR="00255E69" w:rsidRDefault="00255E69">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0C6808"/>
    <w:multiLevelType w:val="multilevel"/>
    <w:tmpl w:val="A044F19C"/>
    <w:lvl w:ilvl="0">
      <w:start w:val="1"/>
      <w:numFmt w:val="decimal"/>
      <w:lvlText w:val="%1"/>
      <w:lvlJc w:val="left"/>
      <w:pPr>
        <w:tabs>
          <w:tab w:val="num" w:pos="1134"/>
        </w:tabs>
        <w:ind w:left="1134"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6">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7">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9">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13">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3"/>
  </w:num>
  <w:num w:numId="3">
    <w:abstractNumId w:val="9"/>
  </w:num>
  <w:num w:numId="4">
    <w:abstractNumId w:val="12"/>
  </w:num>
  <w:num w:numId="5">
    <w:abstractNumId w:val="5"/>
  </w:num>
  <w:num w:numId="6">
    <w:abstractNumId w:val="4"/>
  </w:num>
  <w:num w:numId="7">
    <w:abstractNumId w:val="8"/>
  </w:num>
  <w:num w:numId="8">
    <w:abstractNumId w:val="2"/>
  </w:num>
  <w:num w:numId="9">
    <w:abstractNumId w:val="1"/>
  </w:num>
  <w:num w:numId="10">
    <w:abstractNumId w:val="0"/>
  </w:num>
  <w:num w:numId="11">
    <w:abstractNumId w:val="7"/>
  </w:num>
  <w:num w:numId="12">
    <w:abstractNumId w:val="11"/>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visionView w:markup="0"/>
  <w:trackRevisions/>
  <w:defaultTabStop w:val="720"/>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E3A"/>
    <w:rsid w:val="00001986"/>
    <w:rsid w:val="000076D6"/>
    <w:rsid w:val="000566E3"/>
    <w:rsid w:val="00071C2B"/>
    <w:rsid w:val="000959B8"/>
    <w:rsid w:val="00255E69"/>
    <w:rsid w:val="002963F3"/>
    <w:rsid w:val="00312DCD"/>
    <w:rsid w:val="00337B22"/>
    <w:rsid w:val="00450F99"/>
    <w:rsid w:val="00476194"/>
    <w:rsid w:val="004C716A"/>
    <w:rsid w:val="004E19FC"/>
    <w:rsid w:val="005822F9"/>
    <w:rsid w:val="005B0E3A"/>
    <w:rsid w:val="00626D54"/>
    <w:rsid w:val="006521E5"/>
    <w:rsid w:val="006F5AD9"/>
    <w:rsid w:val="006F6CB2"/>
    <w:rsid w:val="00740B50"/>
    <w:rsid w:val="00791E1F"/>
    <w:rsid w:val="007A589D"/>
    <w:rsid w:val="007B59B0"/>
    <w:rsid w:val="00813618"/>
    <w:rsid w:val="00842FE5"/>
    <w:rsid w:val="0087170E"/>
    <w:rsid w:val="008C17DF"/>
    <w:rsid w:val="008F487F"/>
    <w:rsid w:val="009363CD"/>
    <w:rsid w:val="00A363FF"/>
    <w:rsid w:val="00A57C79"/>
    <w:rsid w:val="00A869E2"/>
    <w:rsid w:val="00AC02C2"/>
    <w:rsid w:val="00B46E99"/>
    <w:rsid w:val="00B56A56"/>
    <w:rsid w:val="00B67C88"/>
    <w:rsid w:val="00B80914"/>
    <w:rsid w:val="00B93B36"/>
    <w:rsid w:val="00BF3808"/>
    <w:rsid w:val="00C00EE0"/>
    <w:rsid w:val="00C24272"/>
    <w:rsid w:val="00C4323A"/>
    <w:rsid w:val="00CD1A9E"/>
    <w:rsid w:val="00D02E0A"/>
    <w:rsid w:val="00D41E12"/>
    <w:rsid w:val="00D705EE"/>
    <w:rsid w:val="00D7082E"/>
    <w:rsid w:val="00DE3EA5"/>
    <w:rsid w:val="00E064CE"/>
    <w:rsid w:val="00E22FF3"/>
    <w:rsid w:val="00F349B3"/>
    <w:rsid w:val="00F95DDF"/>
    <w:rsid w:val="00FC3F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24BA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character" w:styleId="CommentReference">
    <w:name w:val="annotation reference"/>
    <w:basedOn w:val="DefaultParagraphFont"/>
    <w:uiPriority w:val="99"/>
    <w:semiHidden/>
    <w:unhideWhenUsed/>
    <w:rsid w:val="006521E5"/>
    <w:rPr>
      <w:sz w:val="16"/>
      <w:szCs w:val="16"/>
    </w:rPr>
  </w:style>
  <w:style w:type="paragraph" w:styleId="CommentSubject">
    <w:name w:val="annotation subject"/>
    <w:basedOn w:val="CommentText"/>
    <w:next w:val="CommentText"/>
    <w:link w:val="CommentSubjectChar"/>
    <w:uiPriority w:val="99"/>
    <w:semiHidden/>
    <w:unhideWhenUsed/>
    <w:rsid w:val="006521E5"/>
    <w:rPr>
      <w:b/>
      <w:bCs/>
    </w:rPr>
  </w:style>
  <w:style w:type="character" w:customStyle="1" w:styleId="CommentTextChar">
    <w:name w:val="Comment Text Char"/>
    <w:basedOn w:val="DefaultParagraphFont"/>
    <w:link w:val="CommentText"/>
    <w:semiHidden/>
    <w:rsid w:val="006521E5"/>
  </w:style>
  <w:style w:type="character" w:customStyle="1" w:styleId="CommentSubjectChar">
    <w:name w:val="Comment Subject Char"/>
    <w:basedOn w:val="CommentTextChar"/>
    <w:link w:val="CommentSubject"/>
    <w:uiPriority w:val="99"/>
    <w:semiHidden/>
    <w:rsid w:val="006521E5"/>
    <w:rPr>
      <w:b/>
      <w:bCs/>
    </w:rPr>
  </w:style>
  <w:style w:type="paragraph" w:styleId="BalloonText">
    <w:name w:val="Balloon Text"/>
    <w:basedOn w:val="Normal"/>
    <w:link w:val="BalloonTextChar"/>
    <w:uiPriority w:val="99"/>
    <w:semiHidden/>
    <w:unhideWhenUsed/>
    <w:rsid w:val="006521E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1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character" w:styleId="CommentReference">
    <w:name w:val="annotation reference"/>
    <w:basedOn w:val="DefaultParagraphFont"/>
    <w:uiPriority w:val="99"/>
    <w:semiHidden/>
    <w:unhideWhenUsed/>
    <w:rsid w:val="006521E5"/>
    <w:rPr>
      <w:sz w:val="16"/>
      <w:szCs w:val="16"/>
    </w:rPr>
  </w:style>
  <w:style w:type="paragraph" w:styleId="CommentSubject">
    <w:name w:val="annotation subject"/>
    <w:basedOn w:val="CommentText"/>
    <w:next w:val="CommentText"/>
    <w:link w:val="CommentSubjectChar"/>
    <w:uiPriority w:val="99"/>
    <w:semiHidden/>
    <w:unhideWhenUsed/>
    <w:rsid w:val="006521E5"/>
    <w:rPr>
      <w:b/>
      <w:bCs/>
    </w:rPr>
  </w:style>
  <w:style w:type="character" w:customStyle="1" w:styleId="CommentTextChar">
    <w:name w:val="Comment Text Char"/>
    <w:basedOn w:val="DefaultParagraphFont"/>
    <w:link w:val="CommentText"/>
    <w:semiHidden/>
    <w:rsid w:val="006521E5"/>
  </w:style>
  <w:style w:type="character" w:customStyle="1" w:styleId="CommentSubjectChar">
    <w:name w:val="Comment Subject Char"/>
    <w:basedOn w:val="CommentTextChar"/>
    <w:link w:val="CommentSubject"/>
    <w:uiPriority w:val="99"/>
    <w:semiHidden/>
    <w:rsid w:val="006521E5"/>
    <w:rPr>
      <w:b/>
      <w:bCs/>
    </w:rPr>
  </w:style>
  <w:style w:type="paragraph" w:styleId="BalloonText">
    <w:name w:val="Balloon Text"/>
    <w:basedOn w:val="Normal"/>
    <w:link w:val="BalloonTextChar"/>
    <w:uiPriority w:val="99"/>
    <w:semiHidden/>
    <w:unhideWhenUsed/>
    <w:rsid w:val="006521E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1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359293">
      <w:bodyDiv w:val="1"/>
      <w:marLeft w:val="0"/>
      <w:marRight w:val="0"/>
      <w:marTop w:val="0"/>
      <w:marBottom w:val="0"/>
      <w:divBdr>
        <w:top w:val="none" w:sz="0" w:space="0" w:color="auto"/>
        <w:left w:val="none" w:sz="0" w:space="0" w:color="auto"/>
        <w:bottom w:val="none" w:sz="0" w:space="0" w:color="auto"/>
        <w:right w:val="none" w:sz="0" w:space="0" w:color="auto"/>
      </w:divBdr>
      <w:divsChild>
        <w:div w:id="1252156136">
          <w:marLeft w:val="0"/>
          <w:marRight w:val="0"/>
          <w:marTop w:val="0"/>
          <w:marBottom w:val="0"/>
          <w:divBdr>
            <w:top w:val="none" w:sz="0" w:space="0" w:color="auto"/>
            <w:left w:val="none" w:sz="0" w:space="0" w:color="auto"/>
            <w:bottom w:val="none" w:sz="0" w:space="0" w:color="auto"/>
            <w:right w:val="none" w:sz="0" w:space="0" w:color="auto"/>
          </w:divBdr>
          <w:divsChild>
            <w:div w:id="679890151">
              <w:marLeft w:val="0"/>
              <w:marRight w:val="0"/>
              <w:marTop w:val="0"/>
              <w:marBottom w:val="0"/>
              <w:divBdr>
                <w:top w:val="none" w:sz="0" w:space="0" w:color="auto"/>
                <w:left w:val="none" w:sz="0" w:space="0" w:color="auto"/>
                <w:bottom w:val="none" w:sz="0" w:space="0" w:color="auto"/>
                <w:right w:val="none" w:sz="0" w:space="0" w:color="auto"/>
              </w:divBdr>
              <w:divsChild>
                <w:div w:id="758058583">
                  <w:marLeft w:val="0"/>
                  <w:marRight w:val="0"/>
                  <w:marTop w:val="0"/>
                  <w:marBottom w:val="0"/>
                  <w:divBdr>
                    <w:top w:val="none" w:sz="0" w:space="0" w:color="auto"/>
                    <w:left w:val="none" w:sz="0" w:space="0" w:color="auto"/>
                    <w:bottom w:val="none" w:sz="0" w:space="0" w:color="auto"/>
                    <w:right w:val="none" w:sz="0" w:space="0" w:color="auto"/>
                  </w:divBdr>
                  <w:divsChild>
                    <w:div w:id="832650686">
                      <w:marLeft w:val="0"/>
                      <w:marRight w:val="0"/>
                      <w:marTop w:val="0"/>
                      <w:marBottom w:val="0"/>
                      <w:divBdr>
                        <w:top w:val="none" w:sz="0" w:space="0" w:color="auto"/>
                        <w:left w:val="none" w:sz="0" w:space="0" w:color="auto"/>
                        <w:bottom w:val="none" w:sz="0" w:space="0" w:color="auto"/>
                        <w:right w:val="none" w:sz="0" w:space="0" w:color="auto"/>
                      </w:divBdr>
                      <w:divsChild>
                        <w:div w:id="811100532">
                          <w:marLeft w:val="0"/>
                          <w:marRight w:val="0"/>
                          <w:marTop w:val="0"/>
                          <w:marBottom w:val="0"/>
                          <w:divBdr>
                            <w:top w:val="none" w:sz="0" w:space="0" w:color="auto"/>
                            <w:left w:val="none" w:sz="0" w:space="0" w:color="auto"/>
                            <w:bottom w:val="none" w:sz="0" w:space="0" w:color="auto"/>
                            <w:right w:val="none" w:sz="0" w:space="0" w:color="auto"/>
                          </w:divBdr>
                          <w:divsChild>
                            <w:div w:id="332877077">
                              <w:marLeft w:val="0"/>
                              <w:marRight w:val="0"/>
                              <w:marTop w:val="0"/>
                              <w:marBottom w:val="0"/>
                              <w:divBdr>
                                <w:top w:val="none" w:sz="0" w:space="0" w:color="auto"/>
                                <w:left w:val="none" w:sz="0" w:space="0" w:color="auto"/>
                                <w:bottom w:val="none" w:sz="0" w:space="0" w:color="auto"/>
                                <w:right w:val="none" w:sz="0" w:space="0" w:color="auto"/>
                              </w:divBdr>
                              <w:divsChild>
                                <w:div w:id="1875969515">
                                  <w:marLeft w:val="0"/>
                                  <w:marRight w:val="0"/>
                                  <w:marTop w:val="0"/>
                                  <w:marBottom w:val="0"/>
                                  <w:divBdr>
                                    <w:top w:val="none" w:sz="0" w:space="0" w:color="auto"/>
                                    <w:left w:val="none" w:sz="0" w:space="0" w:color="auto"/>
                                    <w:bottom w:val="none" w:sz="0" w:space="0" w:color="auto"/>
                                    <w:right w:val="none" w:sz="0" w:space="0" w:color="auto"/>
                                  </w:divBdr>
                                  <w:divsChild>
                                    <w:div w:id="2126120173">
                                      <w:marLeft w:val="0"/>
                                      <w:marRight w:val="0"/>
                                      <w:marTop w:val="0"/>
                                      <w:marBottom w:val="0"/>
                                      <w:divBdr>
                                        <w:top w:val="none" w:sz="0" w:space="0" w:color="auto"/>
                                        <w:left w:val="none" w:sz="0" w:space="0" w:color="auto"/>
                                        <w:bottom w:val="none" w:sz="0" w:space="0" w:color="auto"/>
                                        <w:right w:val="none" w:sz="0" w:space="0" w:color="auto"/>
                                      </w:divBdr>
                                      <w:divsChild>
                                        <w:div w:id="1603879257">
                                          <w:marLeft w:val="0"/>
                                          <w:marRight w:val="0"/>
                                          <w:marTop w:val="0"/>
                                          <w:marBottom w:val="0"/>
                                          <w:divBdr>
                                            <w:top w:val="none" w:sz="0" w:space="0" w:color="auto"/>
                                            <w:left w:val="none" w:sz="0" w:space="0" w:color="auto"/>
                                            <w:bottom w:val="none" w:sz="0" w:space="0" w:color="auto"/>
                                            <w:right w:val="none" w:sz="0" w:space="0" w:color="auto"/>
                                          </w:divBdr>
                                          <w:divsChild>
                                            <w:div w:id="377239198">
                                              <w:marLeft w:val="0"/>
                                              <w:marRight w:val="0"/>
                                              <w:marTop w:val="0"/>
                                              <w:marBottom w:val="0"/>
                                              <w:divBdr>
                                                <w:top w:val="none" w:sz="0" w:space="0" w:color="auto"/>
                                                <w:left w:val="none" w:sz="0" w:space="0" w:color="auto"/>
                                                <w:bottom w:val="none" w:sz="0" w:space="0" w:color="auto"/>
                                                <w:right w:val="none" w:sz="0" w:space="0" w:color="auto"/>
                                              </w:divBdr>
                                              <w:divsChild>
                                                <w:div w:id="332993965">
                                                  <w:marLeft w:val="0"/>
                                                  <w:marRight w:val="0"/>
                                                  <w:marTop w:val="0"/>
                                                  <w:marBottom w:val="0"/>
                                                  <w:divBdr>
                                                    <w:top w:val="none" w:sz="0" w:space="0" w:color="auto"/>
                                                    <w:left w:val="none" w:sz="0" w:space="0" w:color="auto"/>
                                                    <w:bottom w:val="none" w:sz="0" w:space="0" w:color="auto"/>
                                                    <w:right w:val="none" w:sz="0" w:space="0" w:color="auto"/>
                                                  </w:divBdr>
                                                  <w:divsChild>
                                                    <w:div w:id="1900243265">
                                                      <w:marLeft w:val="0"/>
                                                      <w:marRight w:val="0"/>
                                                      <w:marTop w:val="0"/>
                                                      <w:marBottom w:val="0"/>
                                                      <w:divBdr>
                                                        <w:top w:val="none" w:sz="0" w:space="0" w:color="auto"/>
                                                        <w:left w:val="none" w:sz="0" w:space="0" w:color="auto"/>
                                                        <w:bottom w:val="none" w:sz="0" w:space="0" w:color="auto"/>
                                                        <w:right w:val="none" w:sz="0" w:space="0" w:color="auto"/>
                                                      </w:divBdr>
                                                      <w:divsChild>
                                                        <w:div w:id="185626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C Document" ma:contentTypeID="0x010100B5F685A1365F544391EF8C813B164F3A00B51948D52B815E4F87AE454C75D7BFDD" ma:contentTypeVersion="26" ma:contentTypeDescription="" ma:contentTypeScope="" ma:versionID="ca4bb1866b0f19e95f9a5c2790b48aeb">
  <xsd:schema xmlns:xsd="http://www.w3.org/2001/XMLSchema" xmlns:xs="http://www.w3.org/2001/XMLSchema" xmlns:p="http://schemas.microsoft.com/office/2006/metadata/properties" xmlns:ns2="da7a9ac0-bc47-4684-84e6-3a8e9ac80c12" xmlns:ns3="a6fd680d-2161-48eb-a9ee-9070ec61f910" xmlns:ns4="17f478ab-373e-4295-9ff0-9b833ad01319" targetNamespace="http://schemas.microsoft.com/office/2006/metadata/properties" ma:root="true" ma:fieldsID="56a5a2b97377908f4a4b2913191b755f" ns2:_="" ns3:_="" ns4:_="">
    <xsd:import namespace="da7a9ac0-bc47-4684-84e6-3a8e9ac80c12"/>
    <xsd:import namespace="a6fd680d-2161-48eb-a9ee-9070ec61f910"/>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cf8e12e123484f339606504ca2e41be1" minOccurs="0"/>
                <xsd:element ref="ns2:NotesLinks" minOccurs="0"/>
                <xsd:element ref="ns4:Reviewers" minOccurs="0"/>
                <xsd:element ref="ns4: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ma:readOnly="false">
      <xsd:simpleType>
        <xsd:restriction base="dms:Text">
          <xsd:maxLength value="255"/>
        </xsd:restriction>
      </xsd:simpleType>
    </xsd:element>
    <xsd:element name="ObjectiveID" ma:index="3" nillable="true" ma:displayName="Objective ID" ma:hidden="true" ma:internalName="ObjectiveID" ma:readOnly="false">
      <xsd:simpleType>
        <xsd:restriction base="dms:Text">
          <xsd:maxLength value="255"/>
        </xsd:restriction>
      </xsd:simpleType>
    </xsd:element>
    <xsd:element name="SenateOrder12" ma:index="4" nillable="true" ma:displayName="Senate Order #12" ma:default="0" ma:hidden="true" ma:internalName="SenateOrder12" ma:readOnly="false">
      <xsd:simpleType>
        <xsd:restriction base="dms:Boolean"/>
      </xsd:simpleType>
    </xsd:element>
    <xsd:element name="SignificantFlag" ma:index="5" nillable="true" ma:displayName="Significant Flag" ma:default="0" ma:hidden="true" ma:internalName="SignificantFlag" ma:readOnly="false">
      <xsd:simpleType>
        <xsd:restriction base="dms:Boolean"/>
      </xsd:simpleType>
    </xsd:element>
    <xsd:element name="SignificantReason" ma:index="6" nillable="true" ma:displayName="Significant Reason" ma:hidden="true" ma:internalName="SignificantReason" ma:readOnly="false">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18"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fd680d-2161-48eb-a9ee-9070ec61f910"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d89e29b1-8219-4ad0-b1f4-d5bc74b0e20b}" ma:internalName="TaxCatchAll" ma:showField="CatchAllData" ma:web="a6fd680d-2161-48eb-a9ee-9070ec61f910">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d89e29b1-8219-4ad0-b1f4-d5bc74b0e20b}" ma:internalName="TaxCatchAllLabel" ma:readOnly="true" ma:showField="CatchAllDataLabel" ma:web="a6fd680d-2161-48eb-a9ee-9070ec61f910">
      <xsd:complexType>
        <xsd:complexContent>
          <xsd:extension base="dms:MultiChoiceLookup">
            <xsd:sequence>
              <xsd:element name="Value" type="dms:Lookup" maxOccurs="unbounded" minOccurs="0" nillable="true"/>
            </xsd:sequence>
          </xsd:extension>
        </xsd:complexContent>
      </xsd:complexType>
    </xsd:element>
    <xsd:element name="cf8e12e123484f339606504ca2e41be1" ma:index="17" ma:taxonomy="true" ma:internalName="cf8e12e123484f339606504ca2e41be1" ma:taxonomyFieldName="SecurityClassification" ma:displayName="Security Classification" ma:readOnly="false" ma:default="1;#Sensitive|19fd2cb8-3e97-4464-ae71-8c2c2095d028" ma:fieldId="{cf8e12e1-2348-4f33-9606-504ca2e41be1}"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19"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0"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ordNumber xmlns="da7a9ac0-bc47-4684-84e6-3a8e9ac80c12">R20170000108474</RecordNumber>
    <ObjectiveID xmlns="da7a9ac0-bc47-4684-84e6-3a8e9ac80c12" xsi:nil="true"/>
    <cf8e12e123484f339606504ca2e41be1 xmlns="a6fd680d-2161-48eb-a9ee-9070ec61f910">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cf8e12e123484f339606504ca2e41be1>
    <SignificantFlag xmlns="da7a9ac0-bc47-4684-84e6-3a8e9ac80c12">false</SignificantFlag>
    <TaxCatchAll xmlns="a6fd680d-2161-48eb-a9ee-9070ec61f910">
      <Value>1</Value>
    </TaxCatchAll>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NotesLinks xmlns="da7a9ac0-bc47-4684-84e6-3a8e9ac80c1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50240-20B3-43D2-8EC6-DCD2F80CB4EB}"/>
</file>

<file path=customXml/itemProps2.xml><?xml version="1.0" encoding="utf-8"?>
<ds:datastoreItem xmlns:ds="http://schemas.openxmlformats.org/officeDocument/2006/customXml" ds:itemID="{B1A070CA-AFF2-48EA-B81B-2644BC8DDA04}"/>
</file>

<file path=customXml/itemProps3.xml><?xml version="1.0" encoding="utf-8"?>
<ds:datastoreItem xmlns:ds="http://schemas.openxmlformats.org/officeDocument/2006/customXml" ds:itemID="{F76C196E-418A-4954-908E-7B04CE4C5824}"/>
</file>

<file path=customXml/itemProps4.xml><?xml version="1.0" encoding="utf-8"?>
<ds:datastoreItem xmlns:ds="http://schemas.openxmlformats.org/officeDocument/2006/customXml" ds:itemID="{4F760FD7-BAC1-4039-89DC-5ABCD060B4DE}"/>
</file>

<file path=customXml/itemProps5.xml><?xml version="1.0" encoding="utf-8"?>
<ds:datastoreItem xmlns:ds="http://schemas.openxmlformats.org/officeDocument/2006/customXml" ds:itemID="{28A8CCDE-90A5-41C4-9E4F-BD5D502095EF}"/>
</file>

<file path=docProps/app.xml><?xml version="1.0" encoding="utf-8"?>
<Properties xmlns="http://schemas.openxmlformats.org/officeDocument/2006/extended-properties" xmlns:vt="http://schemas.openxmlformats.org/officeDocument/2006/docPropsVTypes">
  <Template>Normal.dotm</Template>
  <TotalTime>1199</TotalTime>
  <Pages>3</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gillian.kreuiter</dc:creator>
  <cp:lastModifiedBy>geoffrey.leveritt</cp:lastModifiedBy>
  <cp:revision>29</cp:revision>
  <dcterms:created xsi:type="dcterms:W3CDTF">2017-02-21T00:00:00Z</dcterms:created>
  <dcterms:modified xsi:type="dcterms:W3CDTF">2017-03-28T04:01:00Z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A4331450</vt:lpwstr>
  </property>
  <property fmtid="{D5CDD505-2E9C-101B-9397-08002B2CF9AE}" pid="4" name="Objective-Title">
    <vt:lpwstr>ASIC CLASS ORDER EXPLANATORY STATEMENT TEMPLATE</vt:lpwstr>
  </property>
  <property fmtid="{D5CDD505-2E9C-101B-9397-08002B2CF9AE}" pid="5" name="Objective-Comment">
    <vt:lpwstr>
    </vt:lpwstr>
  </property>
  <property fmtid="{D5CDD505-2E9C-101B-9397-08002B2CF9AE}" pid="6" name="Objective-CreationStamp">
    <vt:filetime>2014-11-20T00:23:54Z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2014-11-20T00:54:25Z</vt:filetime>
  </property>
  <property fmtid="{D5CDD505-2E9C-101B-9397-08002B2CF9AE}" pid="11" name="Objective-Owner">
    <vt:lpwstr>Gillian Kreuiter</vt:lpwstr>
  </property>
  <property fmtid="{D5CDD505-2E9C-101B-9397-08002B2CF9AE}" pid="12" name="Objective-Path">
    <vt:lpwstr>ASIC BCS:POLICY &amp; REGULATORY FRAMEWORK:Policy Development:Technical Updates &amp; Other:Sunsetting Class Orders Project:Sunsetting of legislative instruments:Project Management:Training:</vt:lpwstr>
  </property>
  <property fmtid="{D5CDD505-2E9C-101B-9397-08002B2CF9AE}" pid="13" name="Objective-Parent">
    <vt:lpwstr>Training</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2012 - 002402</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y fmtid="{D5CDD505-2E9C-101B-9397-08002B2CF9AE}" pid="22" name="ContentTypeId">
    <vt:lpwstr>0x010100B5F685A1365F544391EF8C813B164F3A00B51948D52B815E4F87AE454C75D7BFDD</vt:lpwstr>
  </property>
  <property fmtid="{D5CDD505-2E9C-101B-9397-08002B2CF9AE}" pid="23" name="SecurityClassification">
    <vt:lpwstr>1;#Sensitive|19fd2cb8-3e97-4464-ae71-8c2c2095d028</vt:lpwstr>
  </property>
  <property fmtid="{D5CDD505-2E9C-101B-9397-08002B2CF9AE}" pid="24" name="RecordPoint_WorkflowType">
    <vt:lpwstr>ActiveSubmitStub</vt:lpwstr>
  </property>
  <property fmtid="{D5CDD505-2E9C-101B-9397-08002B2CF9AE}" pid="25" name="RecordPoint_SubmissionCompleted">
    <vt:lpwstr>2017-03-28T14:55:54.5392873+11:00</vt:lpwstr>
  </property>
  <property fmtid="{D5CDD505-2E9C-101B-9397-08002B2CF9AE}" pid="26" name="RecordPoint_ActiveItemUniqueId">
    <vt:lpwstr>{88180394-2aa8-42f9-981d-657e5efa9298}</vt:lpwstr>
  </property>
  <property fmtid="{D5CDD505-2E9C-101B-9397-08002B2CF9AE}" pid="27" name="RecordPoint_ActiveItemWebId">
    <vt:lpwstr>{a6fd680d-2161-48eb-a9ee-9070ec61f910}</vt:lpwstr>
  </property>
  <property fmtid="{D5CDD505-2E9C-101B-9397-08002B2CF9AE}" pid="28" name="RecordPoint_ActiveItemSiteId">
    <vt:lpwstr>{3e50770f-3e10-45f6-ae8f-e7aff96f3084}</vt:lpwstr>
  </property>
  <property fmtid="{D5CDD505-2E9C-101B-9397-08002B2CF9AE}" pid="29" name="RecordPoint_ActiveItemListId">
    <vt:lpwstr>{d4fcf75b-8bef-40a8-9af6-4dd828aa23ef}</vt:lpwstr>
  </property>
  <property fmtid="{D5CDD505-2E9C-101B-9397-08002B2CF9AE}" pid="30" name="RecordPoint_RecordNumberSubmitted">
    <vt:lpwstr>R20170000108474</vt:lpwstr>
  </property>
</Properties>
</file>