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14305" w14:textId="77777777" w:rsidR="00282332" w:rsidRPr="00641906" w:rsidRDefault="004D2843" w:rsidP="004D2843">
      <w:pPr>
        <w:jc w:val="center"/>
        <w:rPr>
          <w:rFonts w:ascii="Times New Roman" w:hAnsi="Times New Roman" w:cs="Times New Roman"/>
          <w:b/>
          <w:sz w:val="28"/>
          <w:szCs w:val="28"/>
        </w:rPr>
      </w:pPr>
      <w:bookmarkStart w:id="0" w:name="_GoBack"/>
      <w:bookmarkEnd w:id="0"/>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788393B0" w:rsidR="004D2843" w:rsidRDefault="00496AAC" w:rsidP="004D2843">
      <w:pPr>
        <w:jc w:val="center"/>
        <w:rPr>
          <w:rFonts w:ascii="Times New Roman" w:hAnsi="Times New Roman" w:cs="Times New Roman"/>
          <w:i/>
        </w:rPr>
      </w:pPr>
      <w:r w:rsidRPr="00496AAC">
        <w:rPr>
          <w:rFonts w:ascii="Times New Roman" w:hAnsi="Times New Roman" w:cs="Times New Roman"/>
          <w:i/>
        </w:rPr>
        <w:t>Radiocommunications Act 1992</w:t>
      </w:r>
    </w:p>
    <w:p w14:paraId="3E70F89F" w14:textId="7C65A6DC" w:rsidR="004D2843" w:rsidRPr="00641906" w:rsidRDefault="00496AAC" w:rsidP="004D2843">
      <w:pPr>
        <w:jc w:val="center"/>
        <w:rPr>
          <w:rFonts w:ascii="Times New Roman" w:hAnsi="Times New Roman" w:cs="Times New Roman"/>
          <w:b/>
          <w:i/>
        </w:rPr>
      </w:pPr>
      <w:r w:rsidRPr="00496AAC">
        <w:rPr>
          <w:rFonts w:ascii="Times New Roman" w:hAnsi="Times New Roman" w:cs="Times New Roman"/>
          <w:b/>
          <w:i/>
        </w:rPr>
        <w:t>Radiocommunications (Digital Radio Multiplex Transmitter Licences – Application Fee) Amendment Determination 2017 (No. 1)</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5DCD23AD" w14:textId="7D1EDCD1" w:rsidR="000B4B6C" w:rsidRDefault="00B727F3" w:rsidP="0091080B">
      <w:pPr>
        <w:rPr>
          <w:rFonts w:ascii="Times New Roman" w:hAnsi="Times New Roman" w:cs="Times New Roman"/>
        </w:rPr>
      </w:pPr>
      <w:r>
        <w:rPr>
          <w:rFonts w:ascii="Times New Roman" w:hAnsi="Times New Roman" w:cs="Times New Roman"/>
        </w:rPr>
        <w:t>T</w:t>
      </w:r>
      <w:r w:rsidR="000B4B6C" w:rsidRPr="000B4B6C">
        <w:rPr>
          <w:rFonts w:ascii="Times New Roman" w:hAnsi="Times New Roman" w:cs="Times New Roman"/>
        </w:rPr>
        <w:t>he</w:t>
      </w:r>
      <w:r w:rsidR="0091080B">
        <w:rPr>
          <w:rFonts w:ascii="Times New Roman" w:hAnsi="Times New Roman" w:cs="Times New Roman"/>
        </w:rPr>
        <w:t xml:space="preserve"> Australian Communications and Media Authority (</w:t>
      </w:r>
      <w:r w:rsidR="0091080B" w:rsidRPr="0091080B">
        <w:rPr>
          <w:rFonts w:ascii="Times New Roman" w:hAnsi="Times New Roman" w:cs="Times New Roman"/>
          <w:b/>
        </w:rPr>
        <w:t>the ACMA</w:t>
      </w:r>
      <w:r w:rsidR="0091080B">
        <w:rPr>
          <w:rFonts w:ascii="Times New Roman" w:hAnsi="Times New Roman" w:cs="Times New Roman"/>
        </w:rPr>
        <w:t xml:space="preserve">) </w:t>
      </w:r>
      <w:r w:rsidR="009F6F54">
        <w:rPr>
          <w:rFonts w:ascii="Times New Roman" w:hAnsi="Times New Roman" w:cs="Times New Roman"/>
        </w:rPr>
        <w:t xml:space="preserve">has </w:t>
      </w:r>
      <w:r w:rsidR="0091080B">
        <w:rPr>
          <w:rFonts w:ascii="Times New Roman" w:hAnsi="Times New Roman" w:cs="Times New Roman"/>
        </w:rPr>
        <w:t>ma</w:t>
      </w:r>
      <w:r w:rsidR="009F6F54">
        <w:rPr>
          <w:rFonts w:ascii="Times New Roman" w:hAnsi="Times New Roman" w:cs="Times New Roman"/>
        </w:rPr>
        <w:t xml:space="preserve">de </w:t>
      </w:r>
      <w:r w:rsidR="0091080B">
        <w:rPr>
          <w:rFonts w:ascii="Times New Roman" w:hAnsi="Times New Roman" w:cs="Times New Roman"/>
        </w:rPr>
        <w:t xml:space="preserve">the </w:t>
      </w:r>
      <w:r w:rsidR="00496AAC" w:rsidRPr="00496AAC">
        <w:rPr>
          <w:rFonts w:ascii="Times New Roman" w:hAnsi="Times New Roman" w:cs="Times New Roman"/>
          <w:i/>
        </w:rPr>
        <w:t>Radiocommunications (Digital Radio Multiplex Transmitter Licences – Application Fee) Amendment Determination 2017 (No. 1)</w:t>
      </w:r>
      <w:r w:rsidR="00496AAC">
        <w:rPr>
          <w:rFonts w:ascii="Times New Roman" w:hAnsi="Times New Roman" w:cs="Times New Roman"/>
          <w:i/>
        </w:rPr>
        <w:t xml:space="preserve"> </w:t>
      </w:r>
      <w:r w:rsidR="0091080B" w:rsidRPr="00C57E29">
        <w:rPr>
          <w:rFonts w:ascii="Times New Roman" w:hAnsi="Times New Roman" w:cs="Times New Roman"/>
        </w:rPr>
        <w:t>(</w:t>
      </w:r>
      <w:r w:rsidR="0091080B" w:rsidRPr="0091080B">
        <w:rPr>
          <w:rFonts w:ascii="Times New Roman" w:hAnsi="Times New Roman" w:cs="Times New Roman"/>
          <w:b/>
        </w:rPr>
        <w:t>the instrument</w:t>
      </w:r>
      <w:r w:rsidR="0091080B" w:rsidRPr="00C57E29">
        <w:rPr>
          <w:rFonts w:ascii="Times New Roman" w:hAnsi="Times New Roman" w:cs="Times New Roman"/>
        </w:rPr>
        <w:t>)</w:t>
      </w:r>
      <w:r w:rsidR="0091080B">
        <w:rPr>
          <w:rFonts w:ascii="Times New Roman" w:hAnsi="Times New Roman" w:cs="Times New Roman"/>
        </w:rPr>
        <w:t xml:space="preserve"> </w:t>
      </w:r>
      <w:r w:rsidR="0091080B" w:rsidRPr="0091080B">
        <w:rPr>
          <w:rFonts w:ascii="Times New Roman" w:hAnsi="Times New Roman" w:cs="Times New Roman"/>
        </w:rPr>
        <w:t xml:space="preserve">under </w:t>
      </w:r>
      <w:r w:rsidR="00496AAC" w:rsidRPr="00496AAC">
        <w:rPr>
          <w:rFonts w:ascii="Times New Roman" w:hAnsi="Times New Roman" w:cs="Times New Roman"/>
        </w:rPr>
        <w:t xml:space="preserve">paragraphs 102C(2)(b) and 102D(2)(b) </w:t>
      </w:r>
      <w:r w:rsidR="00496AAC">
        <w:rPr>
          <w:rFonts w:ascii="Times New Roman" w:hAnsi="Times New Roman" w:cs="Times New Roman"/>
        </w:rPr>
        <w:t xml:space="preserve">of the </w:t>
      </w:r>
      <w:r w:rsidR="00496AAC" w:rsidRPr="00496AAC">
        <w:rPr>
          <w:rFonts w:ascii="Times New Roman" w:hAnsi="Times New Roman" w:cs="Times New Roman"/>
          <w:i/>
        </w:rPr>
        <w:t>Radiocommunications Act 1992</w:t>
      </w:r>
      <w:r w:rsidR="00496AAC">
        <w:rPr>
          <w:rFonts w:ascii="Times New Roman" w:hAnsi="Times New Roman" w:cs="Times New Roman"/>
          <w:i/>
        </w:rPr>
        <w:t xml:space="preserve"> </w:t>
      </w:r>
      <w:r w:rsidR="0091080B">
        <w:rPr>
          <w:rFonts w:ascii="Times New Roman" w:hAnsi="Times New Roman" w:cs="Times New Roman"/>
        </w:rPr>
        <w:t>(</w:t>
      </w:r>
      <w:r w:rsidR="0091080B" w:rsidRPr="0091080B">
        <w:rPr>
          <w:rFonts w:ascii="Times New Roman" w:hAnsi="Times New Roman" w:cs="Times New Roman"/>
          <w:b/>
        </w:rPr>
        <w:t>the Act</w:t>
      </w:r>
      <w:r w:rsidR="0091080B">
        <w:rPr>
          <w:rFonts w:ascii="Times New Roman" w:hAnsi="Times New Roman" w:cs="Times New Roman"/>
        </w:rPr>
        <w:t>)</w:t>
      </w:r>
      <w:r w:rsidR="0091080B" w:rsidRPr="0091080B">
        <w:rPr>
          <w:rFonts w:ascii="Times New Roman" w:hAnsi="Times New Roman" w:cs="Times New Roman"/>
        </w:rPr>
        <w:t>.</w:t>
      </w:r>
    </w:p>
    <w:p w14:paraId="772C83DA" w14:textId="1769B561" w:rsidR="00522B0A" w:rsidRPr="00522B0A" w:rsidRDefault="00522B0A" w:rsidP="00522B0A">
      <w:pPr>
        <w:rPr>
          <w:rFonts w:ascii="Times New Roman" w:hAnsi="Times New Roman" w:cs="Times New Roman"/>
        </w:rPr>
      </w:pPr>
      <w:r w:rsidRPr="00522B0A">
        <w:rPr>
          <w:rFonts w:ascii="Times New Roman" w:hAnsi="Times New Roman" w:cs="Times New Roman"/>
        </w:rPr>
        <w:t>Section 102C of the Act sets out the requirements to be met before a category 1 digital radio multiplex transmitter licence can be issued. Paragraph 102C(2)(b) provides that the ACMA must not issue a foundation category 1 digital radio multiplex transmitter licence unless the application is accompanied by a fee to be determined by the ACMA by legislative instrument.</w:t>
      </w:r>
    </w:p>
    <w:p w14:paraId="6EFB4693" w14:textId="4D5FF8EB" w:rsidR="00522B0A" w:rsidRPr="00522B0A" w:rsidRDefault="00522B0A" w:rsidP="00522B0A">
      <w:pPr>
        <w:rPr>
          <w:rFonts w:ascii="Times New Roman" w:hAnsi="Times New Roman" w:cs="Times New Roman"/>
        </w:rPr>
      </w:pPr>
      <w:r w:rsidRPr="00522B0A">
        <w:rPr>
          <w:rFonts w:ascii="Times New Roman" w:hAnsi="Times New Roman" w:cs="Times New Roman"/>
        </w:rPr>
        <w:t>Section 102D of the Act sets out the requirements to be met before a category 2 digital radio multiplex transmitter licence can be issued. Paragraph 102D(2)(b) provides that the ACMA must not issue a foundation category 2 digital radio multiplex transmitter licence unless the application is accompanied by a fee to be determined by the ACMA by legislative instrument.</w:t>
      </w:r>
    </w:p>
    <w:p w14:paraId="5F77CBD1" w14:textId="06282EDE" w:rsidR="00522B0A" w:rsidRDefault="00522B0A" w:rsidP="00522B0A">
      <w:pPr>
        <w:rPr>
          <w:rFonts w:ascii="Times New Roman" w:hAnsi="Times New Roman" w:cs="Times New Roman"/>
        </w:rPr>
      </w:pPr>
      <w:r w:rsidRPr="00522B0A">
        <w:rPr>
          <w:rFonts w:ascii="Times New Roman" w:hAnsi="Times New Roman" w:cs="Times New Roman"/>
        </w:rPr>
        <w:lastRenderedPageBreak/>
        <w:t>The Act, at subsections 102C(8) and 102D(9), provides that fees determined under paragraphs 102C(2)(b) and 102D(2)(b) must not be such as to amount to taxation.</w:t>
      </w:r>
    </w:p>
    <w:p w14:paraId="0166F246" w14:textId="1A86C583" w:rsidR="00332B30" w:rsidRDefault="00F2169C" w:rsidP="00B00FC3">
      <w:pPr>
        <w:rPr>
          <w:rFonts w:ascii="Times New Roman" w:hAnsi="Times New Roman" w:cs="Times New Roman"/>
        </w:rPr>
      </w:pPr>
      <w:r w:rsidRPr="00F2169C">
        <w:rPr>
          <w:rFonts w:ascii="Times New Roman" w:hAnsi="Times New Roman" w:cs="Times New Roman"/>
        </w:rPr>
        <w:t xml:space="preserve">Section 33 of the </w:t>
      </w:r>
      <w:r w:rsidRPr="00F2169C">
        <w:rPr>
          <w:rFonts w:ascii="Times New Roman" w:hAnsi="Times New Roman" w:cs="Times New Roman"/>
          <w:i/>
        </w:rPr>
        <w:t xml:space="preserve">Acts Interpretation Act 1901 </w:t>
      </w:r>
      <w:r w:rsidRPr="00F2169C">
        <w:rPr>
          <w:rFonts w:ascii="Times New Roman" w:hAnsi="Times New Roman" w:cs="Times New Roman"/>
        </w:rPr>
        <w:t xml:space="preserve">relevantly provides that, where an Act confers a power to make a legislative instrument, the power shall be construed as including a power exercisable in the like manner, and subject to the like conditions (if any), to repeal, rescind, revoke, amend or vary any such instrument.  The instrument amends the </w:t>
      </w:r>
      <w:r w:rsidRPr="00E163B2">
        <w:rPr>
          <w:rFonts w:ascii="Times New Roman" w:hAnsi="Times New Roman" w:cs="Times New Roman"/>
          <w:i/>
        </w:rPr>
        <w:t>Radiocommunications (Digital Radio Multiplex Transmitter Licences – Application Fee) Determination 2012</w:t>
      </w:r>
      <w:r w:rsidR="00F33BA3">
        <w:rPr>
          <w:rFonts w:ascii="Times New Roman" w:hAnsi="Times New Roman" w:cs="Times New Roman"/>
          <w:i/>
        </w:rPr>
        <w:t>.</w:t>
      </w:r>
    </w:p>
    <w:p w14:paraId="329F9F28" w14:textId="57039C5A"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3C019C5C" w14:textId="08174046" w:rsidR="004A1064" w:rsidRDefault="00E163B2" w:rsidP="004A1064">
      <w:pPr>
        <w:rPr>
          <w:rFonts w:ascii="Times New Roman" w:hAnsi="Times New Roman" w:cs="Times New Roman"/>
        </w:rPr>
      </w:pPr>
      <w:r>
        <w:rPr>
          <w:rFonts w:ascii="Times New Roman" w:hAnsi="Times New Roman" w:cs="Times New Roman"/>
        </w:rPr>
        <w:t xml:space="preserve">The instrument amends the </w:t>
      </w:r>
      <w:r w:rsidRPr="00E163B2">
        <w:rPr>
          <w:rFonts w:ascii="Times New Roman" w:hAnsi="Times New Roman" w:cs="Times New Roman"/>
          <w:i/>
        </w:rPr>
        <w:t>Radiocommunications (Digital Radio Multiplex Transmitter Licences – Application Fee) Determination 2012</w:t>
      </w:r>
      <w:r w:rsidRPr="00E163B2">
        <w:rPr>
          <w:rFonts w:ascii="Times New Roman" w:hAnsi="Times New Roman" w:cs="Times New Roman"/>
        </w:rPr>
        <w:t xml:space="preserve"> </w:t>
      </w:r>
      <w:r>
        <w:rPr>
          <w:rFonts w:ascii="Times New Roman" w:hAnsi="Times New Roman" w:cs="Times New Roman"/>
        </w:rPr>
        <w:t>to increase the amount of the application fee for a foundation category 1 digital radio multiplex transmitter licence and a foundation category 2 digital radio multiplex transmitter licence from $460 to $472</w:t>
      </w:r>
      <w:r w:rsidR="00F2169C">
        <w:rPr>
          <w:rFonts w:ascii="Times New Roman" w:hAnsi="Times New Roman" w:cs="Times New Roman"/>
        </w:rPr>
        <w:t xml:space="preserve"> for each application</w:t>
      </w:r>
      <w:r>
        <w:rPr>
          <w:rFonts w:ascii="Times New Roman" w:hAnsi="Times New Roman" w:cs="Times New Roman"/>
        </w:rPr>
        <w:t xml:space="preserve">.  </w:t>
      </w:r>
    </w:p>
    <w:p w14:paraId="2BEA4273" w14:textId="7165FC4D" w:rsidR="007806E5" w:rsidRDefault="007806E5" w:rsidP="004A1064">
      <w:pPr>
        <w:rPr>
          <w:rFonts w:ascii="Times New Roman" w:hAnsi="Times New Roman" w:cs="Times New Roman"/>
        </w:rPr>
      </w:pPr>
      <w:r w:rsidRPr="007806E5">
        <w:rPr>
          <w:rFonts w:ascii="Times New Roman" w:hAnsi="Times New Roman" w:cs="Times New Roman"/>
        </w:rPr>
        <w:t xml:space="preserve">The </w:t>
      </w:r>
      <w:r w:rsidR="00FA0DB0">
        <w:rPr>
          <w:rFonts w:ascii="Times New Roman" w:hAnsi="Times New Roman" w:cs="Times New Roman"/>
        </w:rPr>
        <w:t xml:space="preserve">fee represents a 2.5% increase to the existing fee and was calculated </w:t>
      </w:r>
      <w:r w:rsidRPr="007806E5">
        <w:rPr>
          <w:rFonts w:ascii="Times New Roman" w:hAnsi="Times New Roman" w:cs="Times New Roman"/>
        </w:rPr>
        <w:t xml:space="preserve">based on the ACMA’s hourly rate multiplied by the estimated time taken to </w:t>
      </w:r>
      <w:r>
        <w:rPr>
          <w:rFonts w:ascii="Times New Roman" w:hAnsi="Times New Roman" w:cs="Times New Roman"/>
        </w:rPr>
        <w:t>assess an application for a foundation category 1 digital radio multiplex transmitter licence or a foundation category 2 digital radio multiplex transmitter licence.  T</w:t>
      </w:r>
      <w:r w:rsidRPr="007806E5">
        <w:rPr>
          <w:rFonts w:ascii="Times New Roman" w:hAnsi="Times New Roman" w:cs="Times New Roman"/>
        </w:rPr>
        <w:t xml:space="preserve">he calculation methodology </w:t>
      </w:r>
      <w:r>
        <w:rPr>
          <w:rFonts w:ascii="Times New Roman" w:hAnsi="Times New Roman" w:cs="Times New Roman"/>
        </w:rPr>
        <w:t xml:space="preserve">is consistent with the </w:t>
      </w:r>
      <w:r w:rsidRPr="007806E5">
        <w:rPr>
          <w:rFonts w:ascii="Times New Roman" w:hAnsi="Times New Roman" w:cs="Times New Roman"/>
        </w:rPr>
        <w:t>methodology adopted in an earlier re</w:t>
      </w:r>
      <w:r w:rsidRPr="007806E5">
        <w:rPr>
          <w:rFonts w:ascii="Times New Roman" w:hAnsi="Times New Roman" w:cs="Times New Roman"/>
        </w:rPr>
        <w:lastRenderedPageBreak/>
        <w:t xml:space="preserve">view </w:t>
      </w:r>
      <w:r w:rsidR="002B7D44">
        <w:rPr>
          <w:rFonts w:ascii="Times New Roman" w:hAnsi="Times New Roman" w:cs="Times New Roman"/>
        </w:rPr>
        <w:t xml:space="preserve">that the ACMA conducted in relation to its cost recovery arrangements for various radiocommunications services </w:t>
      </w:r>
      <w:r w:rsidRPr="007806E5">
        <w:rPr>
          <w:rFonts w:ascii="Times New Roman" w:hAnsi="Times New Roman" w:cs="Times New Roman"/>
        </w:rPr>
        <w:t>in 2014</w:t>
      </w:r>
      <w:r w:rsidR="00F33BA3">
        <w:rPr>
          <w:rFonts w:ascii="Times New Roman" w:hAnsi="Times New Roman" w:cs="Times New Roman"/>
        </w:rPr>
        <w:t>.</w:t>
      </w:r>
      <w:r w:rsidR="009F6F54">
        <w:rPr>
          <w:rStyle w:val="FootnoteReference"/>
          <w:rFonts w:ascii="Times New Roman" w:hAnsi="Times New Roman" w:cs="Times New Roman"/>
        </w:rPr>
        <w:footnoteReference w:id="1"/>
      </w:r>
      <w:r w:rsidR="00F33BA3">
        <w:rPr>
          <w:rFonts w:ascii="Times New Roman" w:hAnsi="Times New Roman" w:cs="Times New Roman"/>
        </w:rPr>
        <w:t xml:space="preserve">  </w:t>
      </w:r>
      <w:r w:rsidR="001530B3" w:rsidRPr="001530B3">
        <w:rPr>
          <w:rFonts w:ascii="Times New Roman" w:hAnsi="Times New Roman" w:cs="Times New Roman"/>
        </w:rPr>
        <w:t xml:space="preserve">The proposed new standard hourly rate is $202 (excluding GST), which has increased by 2.5 per cent.  </w:t>
      </w:r>
      <w:r w:rsidR="00277538" w:rsidRPr="002D1A0A">
        <w:rPr>
          <w:rFonts w:ascii="Times New Roman" w:hAnsi="Times New Roman" w:cs="Times New Roman"/>
        </w:rPr>
        <w:t>Th</w:t>
      </w:r>
      <w:r w:rsidR="00277538">
        <w:rPr>
          <w:rFonts w:ascii="Times New Roman" w:hAnsi="Times New Roman" w:cs="Times New Roman"/>
        </w:rPr>
        <w:t xml:space="preserve">e </w:t>
      </w:r>
      <w:r w:rsidR="00277538" w:rsidRPr="002D1A0A">
        <w:rPr>
          <w:rFonts w:ascii="Times New Roman" w:hAnsi="Times New Roman" w:cs="Times New Roman"/>
        </w:rPr>
        <w:t xml:space="preserve">rate was established by taking the net cost of services of the ACMA’s business units for 2015–16, including an attribution of all corporate and support costs, and dividing this cost by the average staff hours spent by the business units during the financial year 2015–16. </w:t>
      </w:r>
    </w:p>
    <w:p w14:paraId="01173E68" w14:textId="074CB2F2" w:rsidR="00805358" w:rsidRDefault="00025ACE" w:rsidP="004D2843">
      <w:pPr>
        <w:rPr>
          <w:rFonts w:ascii="Times New Roman" w:hAnsi="Times New Roman" w:cs="Times New Roman"/>
        </w:rPr>
      </w:pPr>
      <w:r>
        <w:rPr>
          <w:rFonts w:ascii="Times New Roman" w:hAnsi="Times New Roman" w:cs="Times New Roman"/>
        </w:rPr>
        <w:t xml:space="preserve">A provision-by-provision </w:t>
      </w:r>
      <w:r w:rsidR="00805358">
        <w:rPr>
          <w:rFonts w:ascii="Times New Roman" w:hAnsi="Times New Roman" w:cs="Times New Roman"/>
        </w:rPr>
        <w:t>description</w:t>
      </w:r>
      <w:r>
        <w:rPr>
          <w:rFonts w:ascii="Times New Roman" w:hAnsi="Times New Roman" w:cs="Times New Roman"/>
        </w:rPr>
        <w:t xml:space="preserve"> of the instrument is </w:t>
      </w:r>
      <w:r w:rsidR="00AD3414">
        <w:rPr>
          <w:rFonts w:ascii="Times New Roman" w:hAnsi="Times New Roman" w:cs="Times New Roman"/>
        </w:rPr>
        <w:t>set out</w:t>
      </w:r>
      <w:r w:rsidR="001C4BF8">
        <w:rPr>
          <w:rFonts w:ascii="Times New Roman" w:hAnsi="Times New Roman" w:cs="Times New Roman"/>
        </w:rPr>
        <w:t xml:space="preserve"> in the n</w:t>
      </w:r>
      <w:r>
        <w:rPr>
          <w:rFonts w:ascii="Times New Roman" w:hAnsi="Times New Roman" w:cs="Times New Roman"/>
        </w:rPr>
        <w:t>otes</w:t>
      </w:r>
      <w:r w:rsidR="001C4BF8">
        <w:rPr>
          <w:rFonts w:ascii="Times New Roman" w:hAnsi="Times New Roman" w:cs="Times New Roman"/>
        </w:rPr>
        <w:t xml:space="preserve"> </w:t>
      </w:r>
      <w:r>
        <w:rPr>
          <w:rFonts w:ascii="Times New Roman" w:hAnsi="Times New Roman" w:cs="Times New Roman"/>
        </w:rPr>
        <w:t xml:space="preserve">at </w:t>
      </w:r>
      <w:r w:rsidRPr="00025ACE">
        <w:rPr>
          <w:rFonts w:ascii="Times New Roman" w:hAnsi="Times New Roman" w:cs="Times New Roman"/>
          <w:b/>
        </w:rPr>
        <w:t>Attachment A</w:t>
      </w:r>
      <w:r>
        <w:rPr>
          <w:rFonts w:ascii="Times New Roman" w:hAnsi="Times New Roman" w:cs="Times New Roman"/>
        </w:rPr>
        <w:t>.</w:t>
      </w:r>
    </w:p>
    <w:p w14:paraId="6D026E2B" w14:textId="4B22A9E0" w:rsidR="00025ACE" w:rsidRDefault="00805358" w:rsidP="004D2843">
      <w:pPr>
        <w:rPr>
          <w:rFonts w:ascii="Times New Roman" w:hAnsi="Times New Roman" w:cs="Times New Roman"/>
        </w:rPr>
      </w:pPr>
      <w:r>
        <w:rPr>
          <w:rFonts w:ascii="Times New Roman" w:hAnsi="Times New Roman" w:cs="Times New Roman"/>
        </w:rPr>
        <w:t xml:space="preserve">The instrument is a legislative instrument for the purposes of the </w:t>
      </w:r>
      <w:r w:rsidRPr="00450F48">
        <w:rPr>
          <w:rFonts w:ascii="Times New Roman" w:hAnsi="Times New Roman" w:cs="Times New Roman"/>
          <w:i/>
        </w:rPr>
        <w:t>Legislation Act 2003</w:t>
      </w:r>
      <w:r w:rsidR="00696659">
        <w:rPr>
          <w:rFonts w:ascii="Times New Roman" w:hAnsi="Times New Roman" w:cs="Times New Roman"/>
          <w:i/>
        </w:rPr>
        <w:t xml:space="preserve"> </w:t>
      </w:r>
      <w:r w:rsidR="00696659" w:rsidRPr="00696659">
        <w:rPr>
          <w:rFonts w:ascii="Times New Roman" w:hAnsi="Times New Roman" w:cs="Times New Roman"/>
        </w:rPr>
        <w:t>(</w:t>
      </w:r>
      <w:r w:rsidR="00696659" w:rsidRPr="00696659">
        <w:rPr>
          <w:rFonts w:ascii="Times New Roman" w:hAnsi="Times New Roman" w:cs="Times New Roman"/>
          <w:b/>
        </w:rPr>
        <w:t>the LA</w:t>
      </w:r>
      <w:r w:rsidR="00696659" w:rsidRPr="00696659">
        <w:rPr>
          <w:rFonts w:ascii="Times New Roman" w:hAnsi="Times New Roman" w:cs="Times New Roman"/>
        </w:rPr>
        <w:t>)</w:t>
      </w:r>
      <w:r>
        <w:rPr>
          <w:rFonts w:ascii="Times New Roman" w:hAnsi="Times New Roman" w:cs="Times New Roman"/>
        </w:rPr>
        <w:t xml:space="preserve">. </w:t>
      </w:r>
    </w:p>
    <w:p w14:paraId="0E484260" w14:textId="592450D8" w:rsidR="008038E3" w:rsidRPr="008038E3" w:rsidRDefault="008038E3" w:rsidP="004D2843">
      <w:pPr>
        <w:rPr>
          <w:rFonts w:ascii="Times New Roman" w:hAnsi="Times New Roman" w:cs="Times New Roman"/>
          <w:b/>
        </w:rPr>
      </w:pPr>
      <w:r w:rsidRPr="008038E3">
        <w:rPr>
          <w:rFonts w:ascii="Times New Roman" w:hAnsi="Times New Roman" w:cs="Times New Roman"/>
          <w:b/>
        </w:rPr>
        <w:t xml:space="preserve">Attachment B </w:t>
      </w:r>
      <w:r w:rsidRPr="008038E3">
        <w:rPr>
          <w:rFonts w:ascii="Times New Roman" w:hAnsi="Times New Roman" w:cs="Times New Roman"/>
        </w:rPr>
        <w:t xml:space="preserve">sets out each charge item being amended by the instrument and the variance in comparison with the pre-existing amount of charge.  Attachment B also describes the reason for the differentiation in the amount of charge payable from </w:t>
      </w:r>
      <w:r>
        <w:rPr>
          <w:rFonts w:ascii="Times New Roman" w:hAnsi="Times New Roman" w:cs="Times New Roman"/>
        </w:rPr>
        <w:t>the commencement of the instrument</w:t>
      </w:r>
      <w:r w:rsidRPr="008038E3">
        <w:rPr>
          <w:rFonts w:ascii="Times New Roman" w:hAnsi="Times New Roman" w:cs="Times New Roman"/>
        </w:rPr>
        <w:t>.</w:t>
      </w:r>
      <w:r w:rsidRPr="008038E3">
        <w:rPr>
          <w:rFonts w:ascii="Times New Roman" w:hAnsi="Times New Roman" w:cs="Times New Roman"/>
          <w:b/>
        </w:rPr>
        <w:t xml:space="preserve">   </w:t>
      </w:r>
    </w:p>
    <w:p w14:paraId="6A2E8396" w14:textId="77777777" w:rsidR="00BB076E" w:rsidRDefault="00BB076E" w:rsidP="004914F6">
      <w:pPr>
        <w:keepNext/>
        <w:rPr>
          <w:rFonts w:ascii="Times New Roman" w:hAnsi="Times New Roman" w:cs="Times New Roman"/>
          <w:b/>
        </w:rPr>
      </w:pPr>
      <w:r>
        <w:rPr>
          <w:rFonts w:ascii="Times New Roman" w:hAnsi="Times New Roman" w:cs="Times New Roman"/>
          <w:b/>
        </w:rPr>
        <w:lastRenderedPageBreak/>
        <w:t>Documents incorporated by reference</w:t>
      </w:r>
    </w:p>
    <w:p w14:paraId="157AF12E" w14:textId="2CEFE79B" w:rsidR="00BB076E" w:rsidRPr="0052687A" w:rsidRDefault="00E163B2" w:rsidP="0052687A">
      <w:pPr>
        <w:rPr>
          <w:rFonts w:ascii="Times New Roman" w:hAnsi="Times New Roman" w:cs="Times New Roman"/>
        </w:rPr>
      </w:pPr>
      <w:r>
        <w:rPr>
          <w:rFonts w:ascii="Times New Roman" w:hAnsi="Times New Roman" w:cs="Times New Roman"/>
        </w:rPr>
        <w:t>T</w:t>
      </w:r>
      <w:r w:rsidR="0052687A">
        <w:rPr>
          <w:rFonts w:ascii="Times New Roman" w:hAnsi="Times New Roman" w:cs="Times New Roman"/>
        </w:rPr>
        <w:t>he instrument does not incorporate a</w:t>
      </w:r>
      <w:r>
        <w:rPr>
          <w:rFonts w:ascii="Times New Roman" w:hAnsi="Times New Roman" w:cs="Times New Roman"/>
        </w:rPr>
        <w:t xml:space="preserve">ny </w:t>
      </w:r>
      <w:r w:rsidR="0052687A">
        <w:rPr>
          <w:rFonts w:ascii="Times New Roman" w:hAnsi="Times New Roman" w:cs="Times New Roman"/>
        </w:rPr>
        <w:t>document</w:t>
      </w:r>
      <w:r>
        <w:rPr>
          <w:rFonts w:ascii="Times New Roman" w:hAnsi="Times New Roman" w:cs="Times New Roman"/>
        </w:rPr>
        <w:t>s</w:t>
      </w:r>
      <w:r w:rsidR="0052687A">
        <w:rPr>
          <w:rFonts w:ascii="Times New Roman" w:hAnsi="Times New Roman" w:cs="Times New Roman"/>
        </w:rPr>
        <w:t xml:space="preserve"> by reference.</w:t>
      </w:r>
    </w:p>
    <w:p w14:paraId="28832377" w14:textId="77777777"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209311EC" w14:textId="6D449CB9" w:rsidR="0087369C" w:rsidRDefault="00332B30" w:rsidP="00810499">
      <w:pPr>
        <w:rPr>
          <w:rFonts w:ascii="Times New Roman" w:hAnsi="Times New Roman" w:cs="Times New Roman"/>
        </w:rPr>
      </w:pPr>
      <w:r>
        <w:rPr>
          <w:rFonts w:ascii="Times New Roman" w:hAnsi="Times New Roman" w:cs="Times New Roman"/>
        </w:rPr>
        <w:t xml:space="preserve">The ACMA has consulted with industry stakeholders and the general public on the making of the instrument.  Between </w:t>
      </w:r>
      <w:r w:rsidR="00884956">
        <w:rPr>
          <w:rFonts w:ascii="Times New Roman" w:hAnsi="Times New Roman" w:cs="Times New Roman"/>
        </w:rPr>
        <w:t>28</w:t>
      </w:r>
      <w:r>
        <w:rPr>
          <w:rFonts w:ascii="Times New Roman" w:hAnsi="Times New Roman" w:cs="Times New Roman"/>
        </w:rPr>
        <w:t xml:space="preserve"> November 2016 and 6 January 2017, the ACMA conducted a public consultation process inviting submissions on a number of proposed changes to fees for services determined under cost recovery arrangements.  The consultation </w:t>
      </w:r>
      <w:r w:rsidR="0087369C">
        <w:rPr>
          <w:rFonts w:ascii="Times New Roman" w:hAnsi="Times New Roman" w:cs="Times New Roman"/>
        </w:rPr>
        <w:t xml:space="preserve">was facilitated through the release of a consultation paper and a draft cost recovery implementation statement on the ACMA’s website.  </w:t>
      </w:r>
    </w:p>
    <w:p w14:paraId="49F84DD1" w14:textId="6CA9AD40" w:rsidR="00332B30" w:rsidRDefault="0087369C" w:rsidP="00810499">
      <w:pPr>
        <w:rPr>
          <w:rFonts w:ascii="Times New Roman" w:hAnsi="Times New Roman" w:cs="Times New Roman"/>
        </w:rPr>
      </w:pPr>
      <w:r>
        <w:rPr>
          <w:rFonts w:ascii="Times New Roman" w:hAnsi="Times New Roman" w:cs="Times New Roman"/>
        </w:rPr>
        <w:t xml:space="preserve">The consultation paper </w:t>
      </w:r>
      <w:r w:rsidR="00332B30">
        <w:rPr>
          <w:rFonts w:ascii="Times New Roman" w:hAnsi="Times New Roman" w:cs="Times New Roman"/>
        </w:rPr>
        <w:t xml:space="preserve">outlined a number of changes </w:t>
      </w:r>
      <w:r w:rsidR="009F6F54">
        <w:rPr>
          <w:rFonts w:ascii="Times New Roman" w:hAnsi="Times New Roman" w:cs="Times New Roman"/>
        </w:rPr>
        <w:t xml:space="preserve">proposed to be made by </w:t>
      </w:r>
      <w:r w:rsidR="00332B30">
        <w:rPr>
          <w:rFonts w:ascii="Times New Roman" w:hAnsi="Times New Roman" w:cs="Times New Roman"/>
        </w:rPr>
        <w:t xml:space="preserve">the instrument as well as </w:t>
      </w:r>
      <w:r w:rsidR="009F6F54">
        <w:rPr>
          <w:rFonts w:ascii="Times New Roman" w:hAnsi="Times New Roman" w:cs="Times New Roman"/>
        </w:rPr>
        <w:t xml:space="preserve">proposed changes to </w:t>
      </w:r>
      <w:r w:rsidR="00332B30">
        <w:rPr>
          <w:rFonts w:ascii="Times New Roman" w:hAnsi="Times New Roman" w:cs="Times New Roman"/>
        </w:rPr>
        <w:t xml:space="preserve">the following determinations: </w:t>
      </w:r>
    </w:p>
    <w:p w14:paraId="6B2CD0F6" w14:textId="77777777" w:rsidR="00F33BA3" w:rsidRPr="00332B30" w:rsidRDefault="00F33BA3" w:rsidP="00F33BA3">
      <w:pPr>
        <w:pStyle w:val="ListParagraph"/>
        <w:numPr>
          <w:ilvl w:val="0"/>
          <w:numId w:val="7"/>
        </w:numPr>
        <w:rPr>
          <w:rFonts w:ascii="Times New Roman" w:hAnsi="Times New Roman" w:cs="Times New Roman"/>
          <w:i/>
        </w:rPr>
      </w:pPr>
      <w:r>
        <w:rPr>
          <w:rFonts w:ascii="Times New Roman" w:hAnsi="Times New Roman" w:cs="Times New Roman"/>
        </w:rPr>
        <w:t xml:space="preserve">the </w:t>
      </w:r>
      <w:r w:rsidRPr="00332B30">
        <w:rPr>
          <w:rFonts w:ascii="Times New Roman" w:hAnsi="Times New Roman" w:cs="Times New Roman"/>
          <w:i/>
        </w:rPr>
        <w:t>Broadcasting (Charges) Determination 2007</w:t>
      </w:r>
      <w:r w:rsidRPr="00332B30">
        <w:rPr>
          <w:rFonts w:ascii="Times New Roman" w:hAnsi="Times New Roman" w:cs="Times New Roman"/>
        </w:rPr>
        <w:t xml:space="preserve">; </w:t>
      </w:r>
    </w:p>
    <w:p w14:paraId="4CAE1E33" w14:textId="48A8475C" w:rsidR="00332B30" w:rsidRPr="00332B30" w:rsidRDefault="00332B30" w:rsidP="00332B30">
      <w:pPr>
        <w:pStyle w:val="ListParagraph"/>
        <w:numPr>
          <w:ilvl w:val="0"/>
          <w:numId w:val="7"/>
        </w:numPr>
        <w:rPr>
          <w:rFonts w:ascii="Times New Roman" w:hAnsi="Times New Roman" w:cs="Times New Roman"/>
          <w:i/>
        </w:rPr>
      </w:pPr>
      <w:r>
        <w:rPr>
          <w:rFonts w:ascii="Times New Roman" w:hAnsi="Times New Roman" w:cs="Times New Roman"/>
        </w:rPr>
        <w:t xml:space="preserve">the </w:t>
      </w:r>
      <w:r w:rsidRPr="00332B30">
        <w:rPr>
          <w:rFonts w:ascii="Times New Roman" w:hAnsi="Times New Roman" w:cs="Times New Roman"/>
          <w:i/>
        </w:rPr>
        <w:t>Radiocommunications (Charges) Determination 2007</w:t>
      </w:r>
      <w:r w:rsidRPr="00332B30">
        <w:rPr>
          <w:rFonts w:ascii="Times New Roman" w:hAnsi="Times New Roman" w:cs="Times New Roman"/>
        </w:rPr>
        <w:t>;</w:t>
      </w:r>
    </w:p>
    <w:p w14:paraId="4C257198" w14:textId="6BBBD72D" w:rsidR="00332B30" w:rsidRPr="00332B30" w:rsidRDefault="00332B30" w:rsidP="00332B30">
      <w:pPr>
        <w:pStyle w:val="ListParagraph"/>
        <w:numPr>
          <w:ilvl w:val="0"/>
          <w:numId w:val="7"/>
        </w:numPr>
        <w:rPr>
          <w:rFonts w:ascii="Times New Roman" w:hAnsi="Times New Roman" w:cs="Times New Roman"/>
          <w:i/>
        </w:rPr>
      </w:pPr>
      <w:r>
        <w:rPr>
          <w:rFonts w:ascii="Times New Roman" w:hAnsi="Times New Roman" w:cs="Times New Roman"/>
        </w:rPr>
        <w:t xml:space="preserve">the </w:t>
      </w:r>
      <w:r w:rsidRPr="00332B30">
        <w:rPr>
          <w:rFonts w:ascii="Times New Roman" w:hAnsi="Times New Roman" w:cs="Times New Roman"/>
          <w:i/>
        </w:rPr>
        <w:t>Telecommunications (Carrier Licence Application Charge) Determination 2012</w:t>
      </w:r>
      <w:r w:rsidRPr="00332B30">
        <w:rPr>
          <w:rFonts w:ascii="Times New Roman" w:hAnsi="Times New Roman" w:cs="Times New Roman"/>
        </w:rPr>
        <w:t xml:space="preserve">; and </w:t>
      </w:r>
    </w:p>
    <w:p w14:paraId="2B600E32" w14:textId="5292FB34" w:rsidR="00332B30" w:rsidRPr="00332B30" w:rsidRDefault="00332B30" w:rsidP="00332B30">
      <w:pPr>
        <w:pStyle w:val="ListParagraph"/>
        <w:numPr>
          <w:ilvl w:val="0"/>
          <w:numId w:val="7"/>
        </w:numPr>
        <w:rPr>
          <w:rFonts w:ascii="Times New Roman" w:hAnsi="Times New Roman" w:cs="Times New Roman"/>
        </w:rPr>
      </w:pPr>
      <w:r>
        <w:rPr>
          <w:rFonts w:ascii="Times New Roman" w:hAnsi="Times New Roman" w:cs="Times New Roman"/>
        </w:rPr>
        <w:t xml:space="preserve">the </w:t>
      </w:r>
      <w:r w:rsidRPr="00332B30">
        <w:rPr>
          <w:rFonts w:ascii="Times New Roman" w:hAnsi="Times New Roman" w:cs="Times New Roman"/>
          <w:i/>
        </w:rPr>
        <w:t>Telecommunications (Charges) Determination 2012</w:t>
      </w:r>
      <w:r w:rsidRPr="00332B30">
        <w:rPr>
          <w:rFonts w:ascii="Times New Roman" w:hAnsi="Times New Roman" w:cs="Times New Roman"/>
        </w:rPr>
        <w:t>.</w:t>
      </w:r>
    </w:p>
    <w:p w14:paraId="1EB4A0D6" w14:textId="7D91E82F" w:rsidR="00681986" w:rsidRDefault="003A07CA" w:rsidP="00810499">
      <w:pPr>
        <w:rPr>
          <w:rFonts w:ascii="Times New Roman" w:hAnsi="Times New Roman" w:cs="Times New Roman"/>
        </w:rPr>
      </w:pPr>
      <w:r>
        <w:rPr>
          <w:rFonts w:ascii="Times New Roman" w:hAnsi="Times New Roman" w:cs="Times New Roman"/>
        </w:rPr>
        <w:t xml:space="preserve">The ACMA </w:t>
      </w:r>
      <w:r w:rsidR="0084340D">
        <w:rPr>
          <w:rFonts w:ascii="Times New Roman" w:hAnsi="Times New Roman" w:cs="Times New Roman"/>
        </w:rPr>
        <w:t xml:space="preserve">did </w:t>
      </w:r>
      <w:r w:rsidR="005638F1">
        <w:rPr>
          <w:rFonts w:ascii="Times New Roman" w:hAnsi="Times New Roman" w:cs="Times New Roman"/>
        </w:rPr>
        <w:t xml:space="preserve">not </w:t>
      </w:r>
      <w:r w:rsidR="0087369C">
        <w:rPr>
          <w:rFonts w:ascii="Times New Roman" w:hAnsi="Times New Roman" w:cs="Times New Roman"/>
        </w:rPr>
        <w:t xml:space="preserve">receive </w:t>
      </w:r>
      <w:r w:rsidR="005638F1">
        <w:rPr>
          <w:rFonts w:ascii="Times New Roman" w:hAnsi="Times New Roman" w:cs="Times New Roman"/>
        </w:rPr>
        <w:t>any</w:t>
      </w:r>
      <w:r w:rsidR="0087369C">
        <w:rPr>
          <w:rFonts w:ascii="Times New Roman" w:hAnsi="Times New Roman" w:cs="Times New Roman"/>
        </w:rPr>
        <w:t xml:space="preserve"> submissions in response to the consultation paper.  </w:t>
      </w:r>
      <w:r w:rsidR="00681986">
        <w:rPr>
          <w:rFonts w:ascii="Times New Roman" w:hAnsi="Times New Roman" w:cs="Times New Roman"/>
        </w:rPr>
        <w:t>B</w:t>
      </w:r>
      <w:r w:rsidR="00CA40FA">
        <w:rPr>
          <w:rFonts w:ascii="Times New Roman" w:hAnsi="Times New Roman" w:cs="Times New Roman"/>
        </w:rPr>
        <w:t>efore</w:t>
      </w:r>
      <w:r w:rsidR="00681986">
        <w:rPr>
          <w:rFonts w:ascii="Times New Roman" w:hAnsi="Times New Roman" w:cs="Times New Roman"/>
        </w:rPr>
        <w:t xml:space="preserve"> the instrument</w:t>
      </w:r>
      <w:r w:rsidR="00CA40FA">
        <w:rPr>
          <w:rFonts w:ascii="Times New Roman" w:hAnsi="Times New Roman" w:cs="Times New Roman"/>
        </w:rPr>
        <w:t xml:space="preserve"> was made</w:t>
      </w:r>
      <w:r w:rsidR="00681986">
        <w:rPr>
          <w:rFonts w:ascii="Times New Roman" w:hAnsi="Times New Roman" w:cs="Times New Roman"/>
        </w:rPr>
        <w:t xml:space="preserve">, the ACMA was satisfied that consultation </w:t>
      </w:r>
      <w:r w:rsidR="00696659">
        <w:rPr>
          <w:rFonts w:ascii="Times New Roman" w:hAnsi="Times New Roman" w:cs="Times New Roman"/>
        </w:rPr>
        <w:t>was</w:t>
      </w:r>
      <w:r w:rsidR="00681986">
        <w:rPr>
          <w:rFonts w:ascii="Times New Roman" w:hAnsi="Times New Roman" w:cs="Times New Roman"/>
        </w:rPr>
        <w:t xml:space="preserve"> undertaken to the extent appropriate and reasonably practicable, in accordance with section 17 of the</w:t>
      </w:r>
      <w:r w:rsidR="00384DC8">
        <w:rPr>
          <w:rFonts w:ascii="Times New Roman" w:hAnsi="Times New Roman" w:cs="Times New Roman"/>
        </w:rPr>
        <w:t xml:space="preserve"> LA</w:t>
      </w:r>
      <w:r w:rsidR="00681986">
        <w:rPr>
          <w:rFonts w:ascii="Times New Roman" w:hAnsi="Times New Roman" w:cs="Times New Roman"/>
        </w:rPr>
        <w:t>.</w:t>
      </w:r>
      <w:r w:rsidR="000C6436">
        <w:rPr>
          <w:rFonts w:ascii="Times New Roman" w:hAnsi="Times New Roman" w:cs="Times New Roman"/>
        </w:rPr>
        <w:t xml:space="preserve">  </w:t>
      </w:r>
    </w:p>
    <w:p w14:paraId="3DBDAC14" w14:textId="2D5984CE" w:rsidR="0091080B" w:rsidRDefault="00FB4437" w:rsidP="004D2843">
      <w:pPr>
        <w:rPr>
          <w:rFonts w:ascii="Times New Roman" w:hAnsi="Times New Roman" w:cs="Times New Roman"/>
          <w:b/>
        </w:rPr>
      </w:pPr>
      <w:r>
        <w:rPr>
          <w:rFonts w:ascii="Times New Roman" w:hAnsi="Times New Roman" w:cs="Times New Roman"/>
          <w:b/>
        </w:rPr>
        <w:t>Regulatory impact assessment</w:t>
      </w:r>
    </w:p>
    <w:p w14:paraId="664E8B26" w14:textId="0A821866" w:rsidR="00EC62DD" w:rsidRPr="0052687A" w:rsidRDefault="00EC62DD" w:rsidP="00FC0BF3">
      <w:pPr>
        <w:rPr>
          <w:rFonts w:ascii="Times New Roman" w:hAnsi="Times New Roman" w:cs="Times New Roman"/>
        </w:rPr>
      </w:pPr>
      <w:r w:rsidRPr="00EC62DD">
        <w:rPr>
          <w:rFonts w:ascii="Times New Roman" w:hAnsi="Times New Roman" w:cs="Times New Roman"/>
        </w:rPr>
        <w:lastRenderedPageBreak/>
        <w:t>A preliminary assessment of the proposal to make the instrument was conducted by the Office of Best Practice Regulation (</w:t>
      </w:r>
      <w:r w:rsidRPr="00295A1C">
        <w:rPr>
          <w:rFonts w:ascii="Times New Roman" w:hAnsi="Times New Roman" w:cs="Times New Roman"/>
          <w:b/>
        </w:rPr>
        <w:t>OBPR</w:t>
      </w:r>
      <w:r w:rsidRPr="00EC62DD">
        <w:rPr>
          <w:rFonts w:ascii="Times New Roman" w:hAnsi="Times New Roman" w:cs="Times New Roman"/>
        </w:rPr>
        <w:t>), based on information provided by the ACMA, for the purposes of determining whether a Regulation Impact Statement (</w:t>
      </w:r>
      <w:r w:rsidRPr="00295A1C">
        <w:rPr>
          <w:rFonts w:ascii="Times New Roman" w:hAnsi="Times New Roman" w:cs="Times New Roman"/>
          <w:b/>
        </w:rPr>
        <w:t>RIS</w:t>
      </w:r>
      <w:r w:rsidRPr="00EC62DD">
        <w:rPr>
          <w:rFonts w:ascii="Times New Roman" w:hAnsi="Times New Roman" w:cs="Times New Roman"/>
        </w:rPr>
        <w:t>) would be required.  OBPR advised that a RIS would not be required because the instrument was not expected to have a regulatory impact on</w:t>
      </w:r>
      <w:r>
        <w:rPr>
          <w:rFonts w:ascii="Times New Roman" w:hAnsi="Times New Roman" w:cs="Times New Roman"/>
        </w:rPr>
        <w:t xml:space="preserve"> </w:t>
      </w:r>
      <w:r w:rsidRPr="00EC62DD">
        <w:rPr>
          <w:rFonts w:ascii="Times New Roman" w:hAnsi="Times New Roman" w:cs="Times New Roman"/>
        </w:rPr>
        <w:t xml:space="preserve">businesses, community organisations or individuals (OBPR reference number </w:t>
      </w:r>
      <w:r>
        <w:rPr>
          <w:rFonts w:ascii="Times New Roman" w:hAnsi="Times New Roman" w:cs="Times New Roman"/>
        </w:rPr>
        <w:t>21266</w:t>
      </w:r>
      <w:r w:rsidRPr="00EC62DD">
        <w:rPr>
          <w:rFonts w:ascii="Times New Roman" w:hAnsi="Times New Roman" w:cs="Times New Roman"/>
        </w:rPr>
        <w:t>).</w:t>
      </w:r>
    </w:p>
    <w:p w14:paraId="307F40E0" w14:textId="26261325" w:rsidR="004D2843" w:rsidRDefault="00FB4437" w:rsidP="00EC2F85">
      <w:pPr>
        <w:keepNext/>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3926E081"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9F6F54">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r w:rsidR="005F5BE6">
        <w:rPr>
          <w:rFonts w:ascii="Times New Roman" w:hAnsi="Times New Roman" w:cs="Times New Roman"/>
        </w:rPr>
        <w:t xml:space="preserve">  </w:t>
      </w:r>
    </w:p>
    <w:p w14:paraId="245A3CAD" w14:textId="7B312B7B" w:rsidR="00134705" w:rsidRDefault="00134705" w:rsidP="00134705">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29DF75CB" w14:textId="77777777" w:rsidR="00134705" w:rsidRDefault="00134705" w:rsidP="00134705">
      <w:pPr>
        <w:rPr>
          <w:rFonts w:ascii="Times New Roman" w:hAnsi="Times New Roman" w:cs="Times New Roman"/>
          <w:b/>
          <w:i/>
        </w:rPr>
      </w:pPr>
      <w:r>
        <w:rPr>
          <w:rFonts w:ascii="Times New Roman" w:hAnsi="Times New Roman" w:cs="Times New Roman"/>
          <w:b/>
          <w:i/>
        </w:rPr>
        <w:t>Overview of the instrument</w:t>
      </w:r>
    </w:p>
    <w:p w14:paraId="2CF37420" w14:textId="396BAE23" w:rsidR="00EC62DD" w:rsidRDefault="00EC62DD" w:rsidP="00AB65E7">
      <w:pPr>
        <w:pStyle w:val="Default"/>
        <w:spacing w:after="160" w:line="259" w:lineRule="auto"/>
        <w:rPr>
          <w:sz w:val="22"/>
          <w:szCs w:val="22"/>
        </w:rPr>
      </w:pPr>
      <w:r w:rsidRPr="00EC62DD">
        <w:rPr>
          <w:sz w:val="22"/>
          <w:szCs w:val="22"/>
        </w:rPr>
        <w:t xml:space="preserve">The instrument amends the </w:t>
      </w:r>
      <w:r w:rsidRPr="00EC62DD">
        <w:rPr>
          <w:i/>
          <w:sz w:val="22"/>
          <w:szCs w:val="22"/>
        </w:rPr>
        <w:t>Radiocommunications (Digital Radio Multiplex Transmitter Licences – Application Fee) Determination 2012</w:t>
      </w:r>
      <w:r w:rsidRPr="00EC62DD">
        <w:rPr>
          <w:sz w:val="22"/>
          <w:szCs w:val="22"/>
        </w:rPr>
        <w:t xml:space="preserve"> to increase the amount of the application fee for a foundation category 1 digital radio multiplex transmitter licence and a foundation category 2 digital radio multiplex transmitter licence</w:t>
      </w:r>
      <w:r>
        <w:rPr>
          <w:sz w:val="22"/>
          <w:szCs w:val="22"/>
        </w:rPr>
        <w:t>.</w:t>
      </w:r>
      <w:r w:rsidRPr="00EC62DD">
        <w:rPr>
          <w:sz w:val="22"/>
          <w:szCs w:val="22"/>
        </w:rPr>
        <w:t xml:space="preserve"> </w:t>
      </w:r>
    </w:p>
    <w:p w14:paraId="06CB69C3" w14:textId="77777777" w:rsidR="00134705" w:rsidRPr="00A213A8" w:rsidRDefault="00134705" w:rsidP="004914F6">
      <w:pPr>
        <w:keepNext/>
        <w:rPr>
          <w:rFonts w:ascii="Times New Roman" w:hAnsi="Times New Roman" w:cs="Times New Roman"/>
          <w:b/>
          <w:i/>
        </w:rPr>
      </w:pPr>
      <w:r>
        <w:rPr>
          <w:rFonts w:ascii="Times New Roman" w:hAnsi="Times New Roman" w:cs="Times New Roman"/>
          <w:b/>
          <w:i/>
        </w:rPr>
        <w:t>Human rights implications</w:t>
      </w:r>
    </w:p>
    <w:p w14:paraId="44A4FF08" w14:textId="0A9433C9" w:rsidR="00134705" w:rsidRDefault="00134705" w:rsidP="00134705">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 xml:space="preserve">instrument is compatible with human rights, being the rights and freedoms recognised or declared </w:t>
      </w:r>
      <w:r>
        <w:rPr>
          <w:rFonts w:ascii="Times New Roman" w:hAnsi="Times New Roman" w:cs="Times New Roman"/>
        </w:rPr>
        <w:lastRenderedPageBreak/>
        <w:t>by the international instruments listed in subsection 3(1) of th</w:t>
      </w:r>
      <w:r w:rsidR="000124F9">
        <w:rPr>
          <w:rFonts w:ascii="Times New Roman" w:hAnsi="Times New Roman" w:cs="Times New Roman"/>
        </w:rPr>
        <w:t>e</w:t>
      </w:r>
      <w:r w:rsidR="000124F9" w:rsidRPr="000124F9">
        <w:rPr>
          <w:rFonts w:ascii="Times New Roman" w:hAnsi="Times New Roman" w:cs="Times New Roman"/>
          <w:i/>
        </w:rPr>
        <w:t xml:space="preserve"> </w:t>
      </w:r>
      <w:r w:rsidR="000124F9" w:rsidRPr="00FB4437">
        <w:rPr>
          <w:rFonts w:ascii="Times New Roman" w:hAnsi="Times New Roman" w:cs="Times New Roman"/>
          <w:i/>
        </w:rPr>
        <w:t>Human Rights (</w:t>
      </w:r>
      <w:r w:rsidR="000124F9">
        <w:rPr>
          <w:rFonts w:ascii="Times New Roman" w:hAnsi="Times New Roman" w:cs="Times New Roman"/>
          <w:i/>
        </w:rPr>
        <w:t xml:space="preserve">Parliamentary Scrutiny) Act 2011 </w:t>
      </w:r>
      <w:r>
        <w:rPr>
          <w:rFonts w:ascii="Times New Roman" w:hAnsi="Times New Roman" w:cs="Times New Roman"/>
        </w:rPr>
        <w:t xml:space="preserve">as they apply to Australia. </w:t>
      </w:r>
    </w:p>
    <w:p w14:paraId="08D8C1A8" w14:textId="77777777" w:rsidR="00134705" w:rsidRDefault="00134705" w:rsidP="00134705">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r>
        <w:rPr>
          <w:rFonts w:ascii="Times New Roman" w:hAnsi="Times New Roman" w:cs="Times New Roman"/>
        </w:rPr>
        <w:t xml:space="preserve">  </w:t>
      </w:r>
    </w:p>
    <w:p w14:paraId="7E8A0525" w14:textId="77777777" w:rsidR="00134705" w:rsidRPr="00671216" w:rsidRDefault="00134705" w:rsidP="00134705">
      <w:pPr>
        <w:rPr>
          <w:rFonts w:ascii="Times New Roman" w:hAnsi="Times New Roman" w:cs="Times New Roman"/>
          <w:b/>
          <w:i/>
        </w:rPr>
      </w:pPr>
      <w:r w:rsidRPr="00671216">
        <w:rPr>
          <w:rFonts w:ascii="Times New Roman" w:hAnsi="Times New Roman" w:cs="Times New Roman"/>
          <w:b/>
          <w:i/>
        </w:rPr>
        <w:t>Conclusion</w:t>
      </w:r>
    </w:p>
    <w:p w14:paraId="0FF468B6" w14:textId="3B8E87C0" w:rsidR="00134705" w:rsidRDefault="00134705" w:rsidP="00134705">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7DBF78BA" w14:textId="77777777" w:rsidR="00641906" w:rsidRDefault="00641906">
      <w:pPr>
        <w:rPr>
          <w:rFonts w:ascii="Times New Roman" w:hAnsi="Times New Roman" w:cs="Times New Roman"/>
          <w:b/>
        </w:rPr>
      </w:pPr>
      <w:r>
        <w:rPr>
          <w:rFonts w:ascii="Times New Roman" w:hAnsi="Times New Roman" w:cs="Times New Roman"/>
          <w:b/>
        </w:rPr>
        <w:br w:type="page"/>
      </w:r>
    </w:p>
    <w:p w14:paraId="0A465983" w14:textId="74445D62"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7D7F1F63"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641BC7" w:rsidRPr="00641BC7">
        <w:rPr>
          <w:rFonts w:ascii="Times New Roman" w:hAnsi="Times New Roman" w:cs="Times New Roman"/>
          <w:b/>
          <w:i/>
          <w:sz w:val="28"/>
          <w:szCs w:val="28"/>
        </w:rPr>
        <w:t xml:space="preserve">Radiocommunications (Digital Radio Multiplex Transmitter Licences – Application Fee) Amendment Determination 2017 (No. 1) </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202DA10F"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641BC7" w:rsidRPr="00641BC7">
        <w:rPr>
          <w:rFonts w:ascii="Times New Roman" w:hAnsi="Times New Roman" w:cs="Times New Roman"/>
          <w:i/>
        </w:rPr>
        <w:t>Radiocommunications (Digital Radio Multiplex Transmitter Licences – Application Fee) Amendment Determination 2017 (No. 1)</w:t>
      </w:r>
      <w:r>
        <w:rPr>
          <w:rFonts w:ascii="Times New Roman" w:hAnsi="Times New Roman" w:cs="Times New Roman"/>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7974FC62" w:rsidR="006940DB" w:rsidRDefault="006940DB" w:rsidP="004D2843">
      <w:pPr>
        <w:rPr>
          <w:rFonts w:ascii="Times New Roman" w:hAnsi="Times New Roman" w:cs="Times New Roman"/>
        </w:rPr>
      </w:pPr>
      <w:r>
        <w:rPr>
          <w:rFonts w:ascii="Times New Roman" w:hAnsi="Times New Roman" w:cs="Times New Roman"/>
        </w:rPr>
        <w:t>This section provides for the instrument to commence at the start of the day after it is registered</w:t>
      </w:r>
      <w:r w:rsidR="00603B3F">
        <w:rPr>
          <w:rFonts w:ascii="Times New Roman" w:hAnsi="Times New Roman" w:cs="Times New Roman"/>
        </w:rPr>
        <w:t xml:space="preserve"> on the Federal Register of Legislation</w:t>
      </w:r>
      <w:r>
        <w:rPr>
          <w:rFonts w:ascii="Times New Roman" w:hAnsi="Times New Roman" w:cs="Times New Roman"/>
        </w:rPr>
        <w:t xml:space="preserve">.  </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4CC31F8C"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373DB">
        <w:rPr>
          <w:rFonts w:ascii="Times New Roman" w:hAnsi="Times New Roman" w:cs="Times New Roman"/>
        </w:rPr>
        <w:t xml:space="preserve">provisions </w:t>
      </w:r>
      <w:r>
        <w:rPr>
          <w:rFonts w:ascii="Times New Roman" w:hAnsi="Times New Roman" w:cs="Times New Roman"/>
        </w:rPr>
        <w:t>that authorise the making of the instrument, namely</w:t>
      </w:r>
      <w:r w:rsidR="00C373DB">
        <w:rPr>
          <w:rFonts w:ascii="Times New Roman" w:hAnsi="Times New Roman" w:cs="Times New Roman"/>
        </w:rPr>
        <w:t xml:space="preserve"> paragraphs 102C(2)(b) and 102D(2)(b) of</w:t>
      </w:r>
      <w:r>
        <w:rPr>
          <w:rFonts w:ascii="Times New Roman" w:hAnsi="Times New Roman" w:cs="Times New Roman"/>
        </w:rPr>
        <w:t xml:space="preserve"> the </w:t>
      </w:r>
      <w:r w:rsidR="00641BC7" w:rsidRPr="00641BC7">
        <w:rPr>
          <w:rFonts w:ascii="Times New Roman" w:hAnsi="Times New Roman" w:cs="Times New Roman"/>
          <w:i/>
        </w:rPr>
        <w:t>Radiocommunications Act 1992</w:t>
      </w:r>
      <w:r>
        <w:rPr>
          <w:rFonts w:ascii="Times New Roman" w:hAnsi="Times New Roman" w:cs="Times New Roman"/>
        </w:rPr>
        <w:t>.</w:t>
      </w:r>
    </w:p>
    <w:p w14:paraId="7B50D725" w14:textId="16A20A07" w:rsidR="005958D6" w:rsidRDefault="0084470A" w:rsidP="006940D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641BC7">
        <w:rPr>
          <w:rFonts w:ascii="Times New Roman" w:hAnsi="Times New Roman" w:cs="Times New Roman"/>
          <w:b/>
        </w:rPr>
        <w:t>Amendments</w:t>
      </w:r>
    </w:p>
    <w:p w14:paraId="675A93FC" w14:textId="299DE23C" w:rsidR="005958D6" w:rsidRDefault="0084470A" w:rsidP="006940DB">
      <w:pPr>
        <w:rPr>
          <w:rFonts w:ascii="Times New Roman" w:hAnsi="Times New Roman" w:cs="Times New Roman"/>
        </w:rPr>
      </w:pPr>
      <w:r>
        <w:rPr>
          <w:rFonts w:ascii="Times New Roman" w:hAnsi="Times New Roman" w:cs="Times New Roman"/>
        </w:rPr>
        <w:t xml:space="preserve">This section provides that </w:t>
      </w:r>
      <w:r w:rsidR="005958D6">
        <w:rPr>
          <w:rFonts w:ascii="Times New Roman" w:hAnsi="Times New Roman" w:cs="Times New Roman"/>
        </w:rPr>
        <w:t>the</w:t>
      </w:r>
      <w:r w:rsidR="009F6F54" w:rsidRPr="009F6F54">
        <w:t xml:space="preserve"> </w:t>
      </w:r>
      <w:r w:rsidR="009F6F54" w:rsidRPr="0063377B">
        <w:rPr>
          <w:rFonts w:ascii="Times New Roman" w:hAnsi="Times New Roman" w:cs="Times New Roman"/>
          <w:i/>
        </w:rPr>
        <w:t xml:space="preserve">Radiocommunications (Digital Radio Multiplex Transmitter Licences – Application Fee) Determination </w:t>
      </w:r>
      <w:r w:rsidR="009F6F54">
        <w:rPr>
          <w:rFonts w:ascii="Times New Roman" w:hAnsi="Times New Roman" w:cs="Times New Roman"/>
          <w:i/>
        </w:rPr>
        <w:t xml:space="preserve">2012 </w:t>
      </w:r>
      <w:r w:rsidR="00641BC7">
        <w:rPr>
          <w:rFonts w:ascii="Times New Roman" w:hAnsi="Times New Roman" w:cs="Times New Roman"/>
        </w:rPr>
        <w:t>is amended as set out in Schedule</w:t>
      </w:r>
      <w:r w:rsidR="009F6F54">
        <w:rPr>
          <w:rFonts w:ascii="Times New Roman" w:hAnsi="Times New Roman" w:cs="Times New Roman"/>
        </w:rPr>
        <w:t xml:space="preserve"> 1 to the instrument</w:t>
      </w:r>
      <w:r w:rsidR="005958D6">
        <w:rPr>
          <w:rFonts w:ascii="Times New Roman" w:hAnsi="Times New Roman" w:cs="Times New Roman"/>
        </w:rPr>
        <w:t>.</w:t>
      </w:r>
    </w:p>
    <w:p w14:paraId="4931A8AA" w14:textId="179AE258" w:rsidR="005958D6" w:rsidRDefault="00641BC7" w:rsidP="005958D6">
      <w:pPr>
        <w:rPr>
          <w:rFonts w:ascii="Times New Roman" w:hAnsi="Times New Roman" w:cs="Times New Roman"/>
          <w:b/>
        </w:rPr>
      </w:pPr>
      <w:r>
        <w:rPr>
          <w:rFonts w:ascii="Times New Roman" w:hAnsi="Times New Roman" w:cs="Times New Roman"/>
          <w:b/>
        </w:rPr>
        <w:t>Schedule 1 - Amendments</w:t>
      </w:r>
    </w:p>
    <w:p w14:paraId="35BC0BF9" w14:textId="77777777" w:rsidR="0083449B" w:rsidRPr="0083449B" w:rsidRDefault="0083449B" w:rsidP="004D2843">
      <w:pPr>
        <w:rPr>
          <w:rFonts w:ascii="Times New Roman" w:hAnsi="Times New Roman" w:cs="Times New Roman"/>
          <w:b/>
        </w:rPr>
      </w:pPr>
      <w:r w:rsidRPr="0083449B">
        <w:rPr>
          <w:rFonts w:ascii="Times New Roman" w:hAnsi="Times New Roman" w:cs="Times New Roman"/>
          <w:b/>
        </w:rPr>
        <w:t xml:space="preserve">Item [1] </w:t>
      </w:r>
    </w:p>
    <w:p w14:paraId="2706E835" w14:textId="5090C14C" w:rsidR="00025ACE" w:rsidRPr="005958D6" w:rsidRDefault="0083449B" w:rsidP="004D2843">
      <w:pPr>
        <w:rPr>
          <w:rFonts w:ascii="Times New Roman" w:hAnsi="Times New Roman" w:cs="Times New Roman"/>
        </w:rPr>
      </w:pPr>
      <w:r>
        <w:rPr>
          <w:rFonts w:ascii="Times New Roman" w:hAnsi="Times New Roman" w:cs="Times New Roman"/>
        </w:rPr>
        <w:lastRenderedPageBreak/>
        <w:t>Item [1] amends the amount of the application fee for a foundation category 1 digital radio multiplex transmitter licence to $472.</w:t>
      </w:r>
    </w:p>
    <w:p w14:paraId="3DBB16DD" w14:textId="6EB4CEF1" w:rsidR="005958D6" w:rsidRDefault="0083449B" w:rsidP="005958D6">
      <w:pPr>
        <w:rPr>
          <w:rFonts w:ascii="Times New Roman" w:hAnsi="Times New Roman" w:cs="Times New Roman"/>
          <w:b/>
        </w:rPr>
      </w:pPr>
      <w:r>
        <w:rPr>
          <w:rFonts w:ascii="Times New Roman" w:hAnsi="Times New Roman" w:cs="Times New Roman"/>
          <w:b/>
        </w:rPr>
        <w:t xml:space="preserve">Item [2] </w:t>
      </w:r>
    </w:p>
    <w:p w14:paraId="5D054B58" w14:textId="23313E09" w:rsidR="0083449B" w:rsidRPr="005958D6" w:rsidRDefault="0083449B" w:rsidP="0083449B">
      <w:pPr>
        <w:rPr>
          <w:rFonts w:ascii="Times New Roman" w:hAnsi="Times New Roman" w:cs="Times New Roman"/>
        </w:rPr>
      </w:pPr>
      <w:r>
        <w:rPr>
          <w:rFonts w:ascii="Times New Roman" w:hAnsi="Times New Roman" w:cs="Times New Roman"/>
        </w:rPr>
        <w:t>Item [2] amends the amount of the application fee for a foundation category 2 digital radio multiplex transmitter licence to $472.</w:t>
      </w:r>
    </w:p>
    <w:p w14:paraId="2270BCFE" w14:textId="4513A8B2" w:rsidR="00CB3AD5" w:rsidRDefault="00EC62DD" w:rsidP="00EC62DD">
      <w:pPr>
        <w:jc w:val="right"/>
        <w:rPr>
          <w:rFonts w:ascii="Times New Roman" w:hAnsi="Times New Roman" w:cs="Times New Roman"/>
          <w:b/>
        </w:rPr>
      </w:pPr>
      <w:r>
        <w:rPr>
          <w:rFonts w:ascii="Times New Roman" w:hAnsi="Times New Roman" w:cs="Times New Roman"/>
          <w:b/>
        </w:rPr>
        <w:t xml:space="preserve"> </w:t>
      </w:r>
    </w:p>
    <w:p w14:paraId="027F3950" w14:textId="77777777" w:rsidR="008038E3" w:rsidRDefault="008038E3" w:rsidP="004D2843">
      <w:pPr>
        <w:rPr>
          <w:rFonts w:ascii="Times New Roman" w:hAnsi="Times New Roman" w:cs="Times New Roman"/>
          <w:b/>
        </w:rPr>
        <w:sectPr w:rsidR="008038E3" w:rsidSect="00082354">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p>
    <w:p w14:paraId="458AF617" w14:textId="35761674" w:rsidR="00025ACE" w:rsidRPr="00295A1C" w:rsidRDefault="008038E3" w:rsidP="008038E3">
      <w:pPr>
        <w:jc w:val="right"/>
        <w:rPr>
          <w:rFonts w:ascii="Times New Roman" w:hAnsi="Times New Roman" w:cs="Times New Roman"/>
          <w:b/>
          <w:sz w:val="28"/>
          <w:szCs w:val="28"/>
        </w:rPr>
      </w:pPr>
      <w:r w:rsidRPr="00295A1C">
        <w:rPr>
          <w:rFonts w:ascii="Times New Roman" w:hAnsi="Times New Roman" w:cs="Times New Roman"/>
          <w:b/>
          <w:sz w:val="28"/>
          <w:szCs w:val="28"/>
        </w:rPr>
        <w:lastRenderedPageBreak/>
        <w:t>Attachment B</w:t>
      </w:r>
    </w:p>
    <w:p w14:paraId="7958AD7D" w14:textId="77777777" w:rsidR="008038E3" w:rsidRPr="008038E3" w:rsidRDefault="008038E3" w:rsidP="008038E3">
      <w:pPr>
        <w:jc w:val="center"/>
        <w:rPr>
          <w:rFonts w:ascii="Times New Roman" w:hAnsi="Times New Roman" w:cs="Times New Roman"/>
          <w:b/>
        </w:rPr>
      </w:pPr>
      <w:r w:rsidRPr="008038E3">
        <w:rPr>
          <w:rFonts w:ascii="Times New Roman" w:hAnsi="Times New Roman" w:cs="Times New Roman"/>
          <w:b/>
        </w:rPr>
        <w:t>Fees – Detailed explanation</w:t>
      </w:r>
    </w:p>
    <w:tbl>
      <w:tblPr>
        <w:tblW w:w="13608"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92"/>
        <w:gridCol w:w="1803"/>
        <w:gridCol w:w="1701"/>
        <w:gridCol w:w="1560"/>
        <w:gridCol w:w="1134"/>
        <w:gridCol w:w="3118"/>
      </w:tblGrid>
      <w:tr w:rsidR="008038E3" w:rsidRPr="008038E3" w14:paraId="7D9233AC" w14:textId="77777777" w:rsidTr="00023207">
        <w:trPr>
          <w:trHeight w:val="525"/>
          <w:tblHeader/>
        </w:trPr>
        <w:tc>
          <w:tcPr>
            <w:tcW w:w="13608"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Mar>
              <w:top w:w="57" w:type="dxa"/>
              <w:left w:w="108" w:type="dxa"/>
              <w:bottom w:w="0" w:type="dxa"/>
              <w:right w:w="108" w:type="dxa"/>
            </w:tcMar>
            <w:vAlign w:val="center"/>
          </w:tcPr>
          <w:p w14:paraId="5A0499EE" w14:textId="77777777" w:rsidR="008038E3" w:rsidRPr="008038E3" w:rsidRDefault="008038E3" w:rsidP="00023207">
            <w:pPr>
              <w:pStyle w:val="TableHeading"/>
              <w:jc w:val="center"/>
              <w:rPr>
                <w:rFonts w:ascii="Times New Roman" w:hAnsi="Times New Roman"/>
                <w:i/>
                <w:color w:val="FFFFFF" w:themeColor="background1"/>
              </w:rPr>
            </w:pPr>
            <w:r w:rsidRPr="008038E3">
              <w:rPr>
                <w:rFonts w:ascii="Times New Roman" w:hAnsi="Times New Roman"/>
                <w:i/>
              </w:rPr>
              <w:t>Radiocommunications</w:t>
            </w:r>
            <w:r w:rsidRPr="008038E3">
              <w:rPr>
                <w:rFonts w:ascii="Times New Roman" w:hAnsi="Times New Roman"/>
              </w:rPr>
              <w:t xml:space="preserve"> </w:t>
            </w:r>
            <w:r w:rsidRPr="008038E3">
              <w:rPr>
                <w:rFonts w:ascii="Times New Roman" w:hAnsi="Times New Roman"/>
                <w:i/>
              </w:rPr>
              <w:t>(Digital Radio Multiplex Transmitter Licences – Application Fee) Amendment Determination 2017 (No. 1)</w:t>
            </w:r>
          </w:p>
        </w:tc>
      </w:tr>
      <w:tr w:rsidR="008038E3" w:rsidRPr="008038E3" w14:paraId="61C5D97D" w14:textId="77777777" w:rsidTr="00295A1C">
        <w:trPr>
          <w:trHeight w:val="525"/>
          <w:tblHeader/>
        </w:trPr>
        <w:tc>
          <w:tcPr>
            <w:tcW w:w="4292"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57" w:type="dxa"/>
              <w:left w:w="108" w:type="dxa"/>
              <w:bottom w:w="0" w:type="dxa"/>
              <w:right w:w="108" w:type="dxa"/>
            </w:tcMar>
            <w:vAlign w:val="center"/>
            <w:hideMark/>
          </w:tcPr>
          <w:p w14:paraId="6CD5431F" w14:textId="77777777" w:rsidR="008038E3" w:rsidRPr="008038E3" w:rsidRDefault="008038E3" w:rsidP="00023207">
            <w:pPr>
              <w:pStyle w:val="TableHeading"/>
              <w:rPr>
                <w:rFonts w:ascii="Times New Roman" w:hAnsi="Times New Roman"/>
                <w:b w:val="0"/>
                <w:color w:val="FFFFFF" w:themeColor="background1"/>
              </w:rPr>
            </w:pPr>
            <w:r w:rsidRPr="008038E3">
              <w:rPr>
                <w:rFonts w:ascii="Times New Roman" w:hAnsi="Times New Roman"/>
                <w:b w:val="0"/>
                <w:color w:val="FFFFFF" w:themeColor="background1"/>
              </w:rPr>
              <w:t>Item being charged</w:t>
            </w:r>
          </w:p>
        </w:tc>
        <w:tc>
          <w:tcPr>
            <w:tcW w:w="1803" w:type="dxa"/>
            <w:tcBorders>
              <w:top w:val="single" w:sz="2" w:space="0" w:color="auto"/>
              <w:left w:val="single" w:sz="2" w:space="0" w:color="auto"/>
              <w:bottom w:val="single" w:sz="2" w:space="0" w:color="auto"/>
              <w:right w:val="single" w:sz="2" w:space="0" w:color="auto"/>
            </w:tcBorders>
            <w:shd w:val="clear" w:color="auto" w:fill="404040" w:themeFill="text1" w:themeFillTint="BF"/>
            <w:vAlign w:val="center"/>
          </w:tcPr>
          <w:p w14:paraId="4C7CDCFE" w14:textId="68AB2B88" w:rsidR="008038E3" w:rsidRPr="008038E3" w:rsidRDefault="008038E3" w:rsidP="008038E3">
            <w:pPr>
              <w:pStyle w:val="TableHeading"/>
              <w:rPr>
                <w:rFonts w:ascii="Times New Roman" w:hAnsi="Times New Roman"/>
                <w:b w:val="0"/>
                <w:color w:val="FFFFFF" w:themeColor="background1"/>
              </w:rPr>
            </w:pPr>
            <w:r w:rsidRPr="008038E3">
              <w:rPr>
                <w:rFonts w:ascii="Times New Roman" w:hAnsi="Times New Roman"/>
                <w:b w:val="0"/>
                <w:color w:val="FFFFFF" w:themeColor="background1"/>
              </w:rPr>
              <w:t>Relevant provision of</w:t>
            </w:r>
            <w:r w:rsidRPr="008038E3">
              <w:rPr>
                <w:rFonts w:ascii="Times New Roman" w:hAnsi="Times New Roman"/>
              </w:rPr>
              <w:t xml:space="preserve"> </w:t>
            </w:r>
            <w:r w:rsidRPr="00295A1C">
              <w:rPr>
                <w:rFonts w:ascii="Times New Roman" w:hAnsi="Times New Roman"/>
                <w:b w:val="0"/>
                <w:color w:val="FFFFFF" w:themeColor="background1"/>
              </w:rPr>
              <w:t>the instrument</w:t>
            </w:r>
          </w:p>
        </w:tc>
        <w:tc>
          <w:tcPr>
            <w:tcW w:w="1701"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57" w:type="dxa"/>
              <w:left w:w="108" w:type="dxa"/>
              <w:bottom w:w="0" w:type="dxa"/>
              <w:right w:w="108" w:type="dxa"/>
            </w:tcMar>
            <w:vAlign w:val="center"/>
            <w:hideMark/>
          </w:tcPr>
          <w:p w14:paraId="6D36E94B" w14:textId="110C22D0" w:rsidR="008038E3" w:rsidRPr="008038E3" w:rsidRDefault="008038E3">
            <w:pPr>
              <w:pStyle w:val="TableHeading"/>
              <w:rPr>
                <w:rFonts w:ascii="Times New Roman" w:hAnsi="Times New Roman"/>
                <w:b w:val="0"/>
                <w:color w:val="FFFFFF" w:themeColor="background1"/>
              </w:rPr>
            </w:pPr>
            <w:r w:rsidRPr="008038E3">
              <w:rPr>
                <w:rFonts w:ascii="Times New Roman" w:hAnsi="Times New Roman"/>
                <w:b w:val="0"/>
                <w:color w:val="FFFFFF" w:themeColor="background1"/>
              </w:rPr>
              <w:t xml:space="preserve">Fees </w:t>
            </w:r>
            <w:r w:rsidR="00F63110">
              <w:rPr>
                <w:rFonts w:ascii="Times New Roman" w:hAnsi="Times New Roman"/>
                <w:b w:val="0"/>
                <w:color w:val="FFFFFF" w:themeColor="background1"/>
              </w:rPr>
              <w:t>pre-commencement</w:t>
            </w:r>
          </w:p>
        </w:tc>
        <w:tc>
          <w:tcPr>
            <w:tcW w:w="1560" w:type="dxa"/>
            <w:tcBorders>
              <w:top w:val="single" w:sz="2" w:space="0" w:color="auto"/>
              <w:left w:val="single" w:sz="2" w:space="0" w:color="auto"/>
              <w:bottom w:val="single" w:sz="2" w:space="0" w:color="auto"/>
              <w:right w:val="single" w:sz="2" w:space="0" w:color="auto"/>
            </w:tcBorders>
            <w:shd w:val="clear" w:color="auto" w:fill="404040" w:themeFill="text1" w:themeFillTint="BF"/>
            <w:vAlign w:val="center"/>
          </w:tcPr>
          <w:p w14:paraId="6EA0C719" w14:textId="19A03A8A" w:rsidR="008038E3" w:rsidRPr="008038E3" w:rsidRDefault="008038E3">
            <w:pPr>
              <w:pStyle w:val="TableHeading"/>
              <w:rPr>
                <w:rFonts w:ascii="Times New Roman" w:hAnsi="Times New Roman"/>
                <w:b w:val="0"/>
                <w:color w:val="FFFFFF" w:themeColor="background1"/>
              </w:rPr>
            </w:pPr>
            <w:r w:rsidRPr="008038E3">
              <w:rPr>
                <w:rFonts w:ascii="Times New Roman" w:hAnsi="Times New Roman"/>
                <w:b w:val="0"/>
                <w:color w:val="FFFFFF" w:themeColor="background1"/>
              </w:rPr>
              <w:t xml:space="preserve">Fees </w:t>
            </w:r>
            <w:r w:rsidR="00F63110">
              <w:rPr>
                <w:rFonts w:ascii="Times New Roman" w:hAnsi="Times New Roman"/>
                <w:b w:val="0"/>
                <w:color w:val="FFFFFF" w:themeColor="background1"/>
              </w:rPr>
              <w:t>post commencement</w:t>
            </w:r>
          </w:p>
        </w:tc>
        <w:tc>
          <w:tcPr>
            <w:tcW w:w="1134" w:type="dxa"/>
            <w:tcBorders>
              <w:top w:val="single" w:sz="2" w:space="0" w:color="auto"/>
              <w:left w:val="single" w:sz="2" w:space="0" w:color="auto"/>
              <w:bottom w:val="single" w:sz="2" w:space="0" w:color="auto"/>
              <w:right w:val="single" w:sz="2" w:space="0" w:color="auto"/>
            </w:tcBorders>
            <w:shd w:val="clear" w:color="auto" w:fill="404040" w:themeFill="text1" w:themeFillTint="BF"/>
            <w:vAlign w:val="center"/>
          </w:tcPr>
          <w:p w14:paraId="2902F6CE" w14:textId="77777777" w:rsidR="008038E3" w:rsidRPr="008038E3" w:rsidRDefault="008038E3" w:rsidP="00023207">
            <w:pPr>
              <w:pStyle w:val="TableHeading"/>
              <w:rPr>
                <w:rFonts w:ascii="Times New Roman" w:hAnsi="Times New Roman"/>
                <w:b w:val="0"/>
                <w:color w:val="FFFFFF" w:themeColor="background1"/>
              </w:rPr>
            </w:pPr>
            <w:r w:rsidRPr="008038E3">
              <w:rPr>
                <w:rFonts w:ascii="Times New Roman" w:hAnsi="Times New Roman"/>
                <w:b w:val="0"/>
                <w:color w:val="FFFFFF" w:themeColor="background1"/>
              </w:rPr>
              <w:t>Variance increase/ (decrease)</w:t>
            </w:r>
          </w:p>
        </w:tc>
        <w:tc>
          <w:tcPr>
            <w:tcW w:w="3118" w:type="dxa"/>
            <w:tcBorders>
              <w:top w:val="single" w:sz="2" w:space="0" w:color="auto"/>
              <w:left w:val="single" w:sz="2" w:space="0" w:color="auto"/>
              <w:bottom w:val="single" w:sz="2" w:space="0" w:color="auto"/>
              <w:right w:val="single" w:sz="2" w:space="0" w:color="auto"/>
            </w:tcBorders>
            <w:shd w:val="clear" w:color="auto" w:fill="404040" w:themeFill="text1" w:themeFillTint="BF"/>
            <w:vAlign w:val="center"/>
          </w:tcPr>
          <w:p w14:paraId="71C305E3" w14:textId="77777777" w:rsidR="008038E3" w:rsidRPr="008038E3" w:rsidRDefault="008038E3" w:rsidP="00023207">
            <w:pPr>
              <w:pStyle w:val="TableHeading"/>
              <w:rPr>
                <w:rFonts w:ascii="Times New Roman" w:hAnsi="Times New Roman"/>
                <w:b w:val="0"/>
                <w:color w:val="FFFFFF" w:themeColor="background1"/>
              </w:rPr>
            </w:pPr>
            <w:r w:rsidRPr="008038E3">
              <w:rPr>
                <w:rFonts w:ascii="Times New Roman" w:hAnsi="Times New Roman"/>
                <w:b w:val="0"/>
                <w:color w:val="FFFFFF" w:themeColor="background1"/>
              </w:rPr>
              <w:t>Reason for increase/decrease</w:t>
            </w:r>
          </w:p>
        </w:tc>
      </w:tr>
      <w:tr w:rsidR="008038E3" w:rsidRPr="008038E3" w14:paraId="78B4CF35" w14:textId="77777777" w:rsidTr="00295A1C">
        <w:trPr>
          <w:cantSplit/>
          <w:trHeight w:val="496"/>
        </w:trPr>
        <w:tc>
          <w:tcPr>
            <w:tcW w:w="4292"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7E356C58" w14:textId="77777777" w:rsidR="008038E3" w:rsidRPr="008038E3" w:rsidRDefault="008038E3" w:rsidP="00023207">
            <w:pPr>
              <w:rPr>
                <w:rFonts w:ascii="Times New Roman" w:hAnsi="Times New Roman" w:cs="Times New Roman"/>
                <w:sz w:val="20"/>
                <w:szCs w:val="20"/>
              </w:rPr>
            </w:pPr>
            <w:r w:rsidRPr="008038E3">
              <w:rPr>
                <w:rFonts w:ascii="Times New Roman" w:hAnsi="Times New Roman" w:cs="Times New Roman"/>
                <w:sz w:val="20"/>
                <w:szCs w:val="20"/>
              </w:rPr>
              <w:t>Processing an application for a foundation category 1 digital radio multiplex transmitter licence</w:t>
            </w:r>
          </w:p>
        </w:tc>
        <w:tc>
          <w:tcPr>
            <w:tcW w:w="1803" w:type="dxa"/>
            <w:tcBorders>
              <w:top w:val="single" w:sz="2" w:space="0" w:color="auto"/>
              <w:left w:val="single" w:sz="2" w:space="0" w:color="auto"/>
              <w:bottom w:val="single" w:sz="2" w:space="0" w:color="auto"/>
              <w:right w:val="single" w:sz="2" w:space="0" w:color="auto"/>
            </w:tcBorders>
          </w:tcPr>
          <w:p w14:paraId="628A674D" w14:textId="3C7D7CBD" w:rsidR="008038E3" w:rsidRPr="008038E3" w:rsidRDefault="008038E3" w:rsidP="00C37551">
            <w:pPr>
              <w:rPr>
                <w:rFonts w:ascii="Times New Roman" w:hAnsi="Times New Roman" w:cs="Times New Roman"/>
                <w:sz w:val="20"/>
                <w:szCs w:val="20"/>
              </w:rPr>
            </w:pPr>
            <w:r w:rsidRPr="008038E3">
              <w:rPr>
                <w:rFonts w:ascii="Times New Roman" w:hAnsi="Times New Roman" w:cs="Times New Roman"/>
                <w:sz w:val="20"/>
                <w:szCs w:val="20"/>
              </w:rPr>
              <w:t xml:space="preserve">Item 1, Schedule 1 </w:t>
            </w:r>
          </w:p>
        </w:tc>
        <w:tc>
          <w:tcPr>
            <w:tcW w:w="1701"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72A9CE36" w14:textId="77777777" w:rsidR="008038E3" w:rsidRPr="008038E3" w:rsidRDefault="008038E3" w:rsidP="00023207">
            <w:pPr>
              <w:rPr>
                <w:rFonts w:ascii="Times New Roman" w:hAnsi="Times New Roman" w:cs="Times New Roman"/>
                <w:sz w:val="20"/>
                <w:szCs w:val="20"/>
              </w:rPr>
            </w:pPr>
            <w:r w:rsidRPr="008038E3">
              <w:rPr>
                <w:rFonts w:ascii="Times New Roman" w:hAnsi="Times New Roman" w:cs="Times New Roman"/>
                <w:sz w:val="20"/>
                <w:szCs w:val="20"/>
              </w:rPr>
              <w:t>$460.00</w:t>
            </w:r>
          </w:p>
        </w:tc>
        <w:tc>
          <w:tcPr>
            <w:tcW w:w="1560" w:type="dxa"/>
            <w:tcBorders>
              <w:top w:val="single" w:sz="2" w:space="0" w:color="auto"/>
              <w:left w:val="single" w:sz="2" w:space="0" w:color="auto"/>
              <w:bottom w:val="single" w:sz="2" w:space="0" w:color="auto"/>
              <w:right w:val="single" w:sz="2" w:space="0" w:color="auto"/>
            </w:tcBorders>
          </w:tcPr>
          <w:p w14:paraId="7758D444" w14:textId="77777777" w:rsidR="008038E3" w:rsidRPr="008038E3" w:rsidRDefault="008038E3" w:rsidP="00023207">
            <w:pPr>
              <w:rPr>
                <w:rFonts w:ascii="Times New Roman" w:hAnsi="Times New Roman" w:cs="Times New Roman"/>
                <w:sz w:val="20"/>
                <w:szCs w:val="20"/>
              </w:rPr>
            </w:pPr>
            <w:r w:rsidRPr="008038E3">
              <w:rPr>
                <w:rFonts w:ascii="Times New Roman" w:hAnsi="Times New Roman" w:cs="Times New Roman"/>
                <w:sz w:val="20"/>
                <w:szCs w:val="20"/>
              </w:rPr>
              <w:t>$472.00</w:t>
            </w:r>
          </w:p>
        </w:tc>
        <w:tc>
          <w:tcPr>
            <w:tcW w:w="1134" w:type="dxa"/>
            <w:tcBorders>
              <w:top w:val="single" w:sz="2" w:space="0" w:color="auto"/>
              <w:left w:val="single" w:sz="2" w:space="0" w:color="auto"/>
              <w:bottom w:val="single" w:sz="2" w:space="0" w:color="auto"/>
              <w:right w:val="single" w:sz="2" w:space="0" w:color="auto"/>
            </w:tcBorders>
          </w:tcPr>
          <w:p w14:paraId="25D42F36" w14:textId="77777777" w:rsidR="008038E3" w:rsidRPr="008038E3" w:rsidRDefault="008038E3" w:rsidP="00023207">
            <w:pPr>
              <w:rPr>
                <w:rFonts w:ascii="Times New Roman" w:hAnsi="Times New Roman" w:cs="Times New Roman"/>
                <w:sz w:val="20"/>
                <w:szCs w:val="20"/>
              </w:rPr>
            </w:pPr>
            <w:r w:rsidRPr="008038E3">
              <w:rPr>
                <w:rFonts w:ascii="Times New Roman" w:hAnsi="Times New Roman" w:cs="Times New Roman"/>
                <w:sz w:val="20"/>
                <w:szCs w:val="20"/>
              </w:rPr>
              <w:t>2.5%</w:t>
            </w:r>
          </w:p>
        </w:tc>
        <w:tc>
          <w:tcPr>
            <w:tcW w:w="3118" w:type="dxa"/>
            <w:tcBorders>
              <w:top w:val="single" w:sz="2" w:space="0" w:color="auto"/>
              <w:left w:val="single" w:sz="2" w:space="0" w:color="auto"/>
              <w:bottom w:val="single" w:sz="2" w:space="0" w:color="auto"/>
              <w:right w:val="single" w:sz="2" w:space="0" w:color="auto"/>
            </w:tcBorders>
          </w:tcPr>
          <w:p w14:paraId="582403DB" w14:textId="77777777" w:rsidR="008038E3" w:rsidRPr="008038E3" w:rsidRDefault="008038E3" w:rsidP="00023207">
            <w:pPr>
              <w:spacing w:after="0"/>
              <w:rPr>
                <w:rFonts w:ascii="Times New Roman" w:hAnsi="Times New Roman" w:cs="Times New Roman"/>
                <w:sz w:val="20"/>
                <w:szCs w:val="20"/>
              </w:rPr>
            </w:pPr>
            <w:r w:rsidRPr="008038E3">
              <w:rPr>
                <w:rFonts w:ascii="Times New Roman" w:hAnsi="Times New Roman" w:cs="Times New Roman"/>
                <w:sz w:val="20"/>
                <w:szCs w:val="20"/>
              </w:rPr>
              <w:t>This is due to the increase in the ACMA’s standard hourly rate. Refer to Note 1 for further details.</w:t>
            </w:r>
          </w:p>
        </w:tc>
      </w:tr>
      <w:tr w:rsidR="008038E3" w:rsidRPr="008038E3" w14:paraId="7DA05E87" w14:textId="77777777" w:rsidTr="00295A1C">
        <w:trPr>
          <w:cantSplit/>
          <w:trHeight w:val="496"/>
        </w:trPr>
        <w:tc>
          <w:tcPr>
            <w:tcW w:w="4292"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4B7E1E9D" w14:textId="77777777" w:rsidR="008038E3" w:rsidRPr="008038E3" w:rsidRDefault="008038E3" w:rsidP="00023207">
            <w:pPr>
              <w:rPr>
                <w:rFonts w:ascii="Times New Roman" w:hAnsi="Times New Roman" w:cs="Times New Roman"/>
                <w:sz w:val="20"/>
                <w:szCs w:val="20"/>
              </w:rPr>
            </w:pPr>
            <w:r w:rsidRPr="008038E3">
              <w:rPr>
                <w:rFonts w:ascii="Times New Roman" w:hAnsi="Times New Roman" w:cs="Times New Roman"/>
                <w:sz w:val="20"/>
                <w:szCs w:val="20"/>
              </w:rPr>
              <w:t>Processing an application for a foundation category 2 digital radio multiplex transmitter licence</w:t>
            </w:r>
          </w:p>
        </w:tc>
        <w:tc>
          <w:tcPr>
            <w:tcW w:w="1803" w:type="dxa"/>
            <w:tcBorders>
              <w:top w:val="single" w:sz="2" w:space="0" w:color="auto"/>
              <w:left w:val="single" w:sz="2" w:space="0" w:color="auto"/>
              <w:bottom w:val="single" w:sz="2" w:space="0" w:color="auto"/>
              <w:right w:val="single" w:sz="2" w:space="0" w:color="auto"/>
            </w:tcBorders>
          </w:tcPr>
          <w:p w14:paraId="40693857" w14:textId="3C141F28" w:rsidR="008038E3" w:rsidRPr="008038E3" w:rsidRDefault="008038E3" w:rsidP="00C37551">
            <w:pPr>
              <w:rPr>
                <w:rFonts w:ascii="Times New Roman" w:hAnsi="Times New Roman" w:cs="Times New Roman"/>
                <w:sz w:val="20"/>
                <w:szCs w:val="20"/>
              </w:rPr>
            </w:pPr>
            <w:r w:rsidRPr="008038E3">
              <w:rPr>
                <w:rFonts w:ascii="Times New Roman" w:hAnsi="Times New Roman" w:cs="Times New Roman"/>
                <w:sz w:val="20"/>
                <w:szCs w:val="20"/>
              </w:rPr>
              <w:t xml:space="preserve">Item 2, Schedule 1 </w:t>
            </w:r>
          </w:p>
        </w:tc>
        <w:tc>
          <w:tcPr>
            <w:tcW w:w="1701"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14:paraId="1FA32A23" w14:textId="77777777" w:rsidR="008038E3" w:rsidRPr="008038E3" w:rsidRDefault="008038E3" w:rsidP="00023207">
            <w:pPr>
              <w:rPr>
                <w:rFonts w:ascii="Times New Roman" w:hAnsi="Times New Roman" w:cs="Times New Roman"/>
                <w:sz w:val="20"/>
                <w:szCs w:val="20"/>
              </w:rPr>
            </w:pPr>
            <w:r w:rsidRPr="008038E3">
              <w:rPr>
                <w:rFonts w:ascii="Times New Roman" w:hAnsi="Times New Roman" w:cs="Times New Roman"/>
                <w:sz w:val="20"/>
                <w:szCs w:val="20"/>
              </w:rPr>
              <w:t>$460.00</w:t>
            </w:r>
          </w:p>
        </w:tc>
        <w:tc>
          <w:tcPr>
            <w:tcW w:w="1560" w:type="dxa"/>
            <w:tcBorders>
              <w:top w:val="single" w:sz="2" w:space="0" w:color="auto"/>
              <w:left w:val="single" w:sz="2" w:space="0" w:color="auto"/>
              <w:bottom w:val="single" w:sz="2" w:space="0" w:color="auto"/>
              <w:right w:val="single" w:sz="2" w:space="0" w:color="auto"/>
            </w:tcBorders>
          </w:tcPr>
          <w:p w14:paraId="519453F6" w14:textId="77777777" w:rsidR="008038E3" w:rsidRPr="008038E3" w:rsidRDefault="008038E3" w:rsidP="00023207">
            <w:pPr>
              <w:rPr>
                <w:rFonts w:ascii="Times New Roman" w:hAnsi="Times New Roman" w:cs="Times New Roman"/>
                <w:sz w:val="20"/>
                <w:szCs w:val="20"/>
              </w:rPr>
            </w:pPr>
            <w:r w:rsidRPr="008038E3">
              <w:rPr>
                <w:rFonts w:ascii="Times New Roman" w:hAnsi="Times New Roman" w:cs="Times New Roman"/>
                <w:sz w:val="20"/>
                <w:szCs w:val="20"/>
              </w:rPr>
              <w:t>$472.00</w:t>
            </w:r>
          </w:p>
        </w:tc>
        <w:tc>
          <w:tcPr>
            <w:tcW w:w="1134" w:type="dxa"/>
            <w:tcBorders>
              <w:top w:val="single" w:sz="2" w:space="0" w:color="auto"/>
              <w:left w:val="single" w:sz="2" w:space="0" w:color="auto"/>
              <w:bottom w:val="single" w:sz="2" w:space="0" w:color="auto"/>
              <w:right w:val="single" w:sz="2" w:space="0" w:color="auto"/>
            </w:tcBorders>
          </w:tcPr>
          <w:p w14:paraId="4265D6A3" w14:textId="77777777" w:rsidR="008038E3" w:rsidRPr="008038E3" w:rsidRDefault="008038E3" w:rsidP="00023207">
            <w:pPr>
              <w:rPr>
                <w:rFonts w:ascii="Times New Roman" w:hAnsi="Times New Roman" w:cs="Times New Roman"/>
                <w:sz w:val="20"/>
                <w:szCs w:val="20"/>
              </w:rPr>
            </w:pPr>
            <w:r w:rsidRPr="008038E3">
              <w:rPr>
                <w:rFonts w:ascii="Times New Roman" w:hAnsi="Times New Roman" w:cs="Times New Roman"/>
                <w:sz w:val="20"/>
                <w:szCs w:val="20"/>
              </w:rPr>
              <w:t>2.5%</w:t>
            </w:r>
          </w:p>
        </w:tc>
        <w:tc>
          <w:tcPr>
            <w:tcW w:w="3118" w:type="dxa"/>
            <w:tcBorders>
              <w:top w:val="single" w:sz="2" w:space="0" w:color="auto"/>
              <w:left w:val="single" w:sz="2" w:space="0" w:color="auto"/>
              <w:bottom w:val="single" w:sz="2" w:space="0" w:color="auto"/>
              <w:right w:val="single" w:sz="2" w:space="0" w:color="auto"/>
            </w:tcBorders>
          </w:tcPr>
          <w:p w14:paraId="57E815FD" w14:textId="77777777" w:rsidR="008038E3" w:rsidRPr="008038E3" w:rsidRDefault="008038E3" w:rsidP="00023207">
            <w:pPr>
              <w:spacing w:after="0"/>
              <w:rPr>
                <w:rFonts w:ascii="Times New Roman" w:hAnsi="Times New Roman" w:cs="Times New Roman"/>
                <w:sz w:val="20"/>
                <w:szCs w:val="20"/>
              </w:rPr>
            </w:pPr>
            <w:r w:rsidRPr="008038E3">
              <w:rPr>
                <w:rFonts w:ascii="Times New Roman" w:hAnsi="Times New Roman" w:cs="Times New Roman"/>
                <w:sz w:val="20"/>
                <w:szCs w:val="20"/>
              </w:rPr>
              <w:t>This is due to the increase in the ACMA’s standard hourly rate. Refer to Note 1 for further details.</w:t>
            </w:r>
          </w:p>
        </w:tc>
      </w:tr>
    </w:tbl>
    <w:p w14:paraId="0C575629" w14:textId="77777777" w:rsidR="008038E3" w:rsidRPr="008038E3" w:rsidRDefault="008038E3" w:rsidP="008038E3">
      <w:pPr>
        <w:rPr>
          <w:rFonts w:ascii="Times New Roman" w:hAnsi="Times New Roman" w:cs="Times New Roman"/>
        </w:rPr>
      </w:pPr>
    </w:p>
    <w:p w14:paraId="0D9112C7" w14:textId="77777777" w:rsidR="008038E3" w:rsidRPr="008038E3" w:rsidRDefault="008038E3" w:rsidP="008038E3">
      <w:pPr>
        <w:rPr>
          <w:rFonts w:ascii="Times New Roman" w:hAnsi="Times New Roman" w:cs="Times New Roman"/>
          <w:b/>
          <w:u w:val="single"/>
        </w:rPr>
      </w:pPr>
      <w:r w:rsidRPr="008038E3">
        <w:rPr>
          <w:rFonts w:ascii="Times New Roman" w:hAnsi="Times New Roman" w:cs="Times New Roman"/>
          <w:b/>
          <w:u w:val="single"/>
        </w:rPr>
        <w:t>Notes:</w:t>
      </w:r>
    </w:p>
    <w:p w14:paraId="188D21DC" w14:textId="6D8A85AF" w:rsidR="008038E3" w:rsidRPr="008038E3" w:rsidRDefault="008038E3" w:rsidP="00295A1C">
      <w:pPr>
        <w:rPr>
          <w:rFonts w:ascii="Times New Roman" w:hAnsi="Times New Roman" w:cs="Times New Roman"/>
          <w:b/>
        </w:rPr>
      </w:pPr>
      <w:r w:rsidRPr="00C37551">
        <w:rPr>
          <w:b/>
        </w:rPr>
        <w:t>Methodology</w:t>
      </w:r>
      <w:r w:rsidRPr="00C37551">
        <w:t xml:space="preserve"> – For the calculation </w:t>
      </w:r>
      <w:r w:rsidRPr="00C37551">
        <w:rPr>
          <w:rFonts w:ascii="Times New Roman" w:eastAsia="Times New Roman" w:hAnsi="Times New Roman" w:cs="Times New Roman"/>
          <w:snapToGrid w:val="0"/>
        </w:rPr>
        <w:t xml:space="preserve">of fees, the ACMA applied its standard hourly rate and survey information obtained in 2016 on the average time taken by a proficient officer to perform the activity. The ACMA’s standard hourly rate has been updated to reflect its current costs and as a result it has increased from $197 to $202 (that is, a 2.5 percent increase). The figure is based on the cost of services incurred by the ACMA in executing its functions for the financial year 2015–16. This rate was established by taking the net cost of services of the ACMA’s business units for 2015–16, including an attribution of all corporate and support costs, and dividing this cost by the average staff hours spent by the business units during the financial year 2015–16. The increase in the hourly rate is in line with </w:t>
      </w:r>
      <w:r w:rsidRPr="00C37551">
        <w:rPr>
          <w:rFonts w:ascii="Times New Roman" w:eastAsia="Times New Roman" w:hAnsi="Times New Roman" w:cs="Times New Roman"/>
          <w:snapToGrid w:val="0"/>
        </w:rPr>
        <w:lastRenderedPageBreak/>
        <w:t>the increase in the Consumer Price Index for all groups. The calculation methodology has not changed from the one adopted</w:t>
      </w:r>
      <w:r w:rsidR="006460EA">
        <w:rPr>
          <w:rFonts w:ascii="Times New Roman" w:eastAsia="Times New Roman" w:hAnsi="Times New Roman" w:cs="Times New Roman"/>
          <w:snapToGrid w:val="0"/>
        </w:rPr>
        <w:t xml:space="preserve"> </w:t>
      </w:r>
      <w:r w:rsidR="006460EA" w:rsidRPr="00EC6FD0">
        <w:rPr>
          <w:rFonts w:ascii="Times New Roman" w:eastAsia="Times New Roman" w:hAnsi="Times New Roman" w:cs="Times New Roman"/>
          <w:snapToGrid w:val="0"/>
        </w:rPr>
        <w:t>when the fees were last reviewed by the ACMA in 201</w:t>
      </w:r>
      <w:r w:rsidR="006460EA" w:rsidRPr="005642BF">
        <w:rPr>
          <w:rFonts w:ascii="Times New Roman" w:eastAsia="Times New Roman" w:hAnsi="Times New Roman" w:cs="Times New Roman"/>
          <w:snapToGrid w:val="0"/>
        </w:rPr>
        <w:t>4</w:t>
      </w:r>
      <w:r w:rsidRPr="005642BF">
        <w:rPr>
          <w:rFonts w:ascii="Times New Roman" w:eastAsia="Times New Roman" w:hAnsi="Times New Roman" w:cs="Times New Roman"/>
          <w:snapToGrid w:val="0"/>
        </w:rPr>
        <w:t>.</w:t>
      </w:r>
      <w:r w:rsidR="006460EA" w:rsidRPr="005642BF">
        <w:rPr>
          <w:rStyle w:val="FootnoteReference"/>
          <w:rFonts w:ascii="Times New Roman" w:eastAsia="Times New Roman" w:hAnsi="Times New Roman" w:cs="Times New Roman"/>
          <w:snapToGrid w:val="0"/>
        </w:rPr>
        <w:footnoteReference w:id="2"/>
      </w:r>
    </w:p>
    <w:sectPr w:rsidR="008038E3" w:rsidRPr="008038E3" w:rsidSect="008038E3">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72A47" w14:textId="77777777" w:rsidR="00EC62DD" w:rsidRDefault="00EC62DD" w:rsidP="00025ACE">
      <w:pPr>
        <w:spacing w:after="0" w:line="240" w:lineRule="auto"/>
      </w:pPr>
      <w:r>
        <w:separator/>
      </w:r>
    </w:p>
  </w:endnote>
  <w:endnote w:type="continuationSeparator" w:id="0">
    <w:p w14:paraId="6C617854" w14:textId="77777777" w:rsidR="00EC62DD" w:rsidRDefault="00EC62DD"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409963"/>
      <w:docPartObj>
        <w:docPartGallery w:val="Page Numbers (Bottom of Page)"/>
        <w:docPartUnique/>
      </w:docPartObj>
    </w:sdtPr>
    <w:sdtEndPr>
      <w:rPr>
        <w:i/>
        <w:noProof/>
      </w:rPr>
    </w:sdtEndPr>
    <w:sdtContent>
      <w:p w14:paraId="1E27C0A2" w14:textId="77777777" w:rsidR="00EC62DD" w:rsidRDefault="00EC62DD" w:rsidP="00AD3414">
        <w:pPr>
          <w:pStyle w:val="Footer"/>
          <w:pBdr>
            <w:top w:val="single" w:sz="4" w:space="1" w:color="auto"/>
          </w:pBdr>
          <w:jc w:val="center"/>
        </w:pPr>
      </w:p>
      <w:p w14:paraId="7A9CDA51" w14:textId="2BC1864A" w:rsidR="00EC62DD" w:rsidRPr="00AD3414" w:rsidRDefault="00EC62DD"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F33BA3" w:rsidRPr="00F33BA3">
          <w:rPr>
            <w:rFonts w:ascii="Times New Roman" w:hAnsi="Times New Roman" w:cs="Times New Roman"/>
            <w:i/>
          </w:rPr>
          <w:t>Radiocommunications (Digital Radio Multiplex Transmitter Licences – Application Fee) Amendment Determination 2017 (No. 1)</w:t>
        </w:r>
      </w:p>
      <w:p w14:paraId="556B0C98" w14:textId="77777777" w:rsidR="00EC62DD" w:rsidRDefault="00EC62DD">
        <w:pPr>
          <w:pStyle w:val="Footer"/>
          <w:jc w:val="right"/>
        </w:pPr>
      </w:p>
      <w:p w14:paraId="4E36910F" w14:textId="06CF02C2" w:rsidR="00EC62DD" w:rsidRPr="00AD3414" w:rsidRDefault="00EC62DD">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3D658A">
          <w:rPr>
            <w:rFonts w:ascii="Times New Roman" w:hAnsi="Times New Roman" w:cs="Times New Roman"/>
            <w:i/>
            <w:noProof/>
          </w:rPr>
          <w:t>2</w:t>
        </w:r>
        <w:r w:rsidRPr="00A07A2F">
          <w:rPr>
            <w:rFonts w:ascii="Times New Roman" w:hAnsi="Times New Roman" w:cs="Times New Roman"/>
            <w:i/>
            <w:noProof/>
          </w:rPr>
          <w:fldChar w:fldCharType="end"/>
        </w:r>
      </w:p>
    </w:sdtContent>
  </w:sdt>
  <w:p w14:paraId="180626A1" w14:textId="72B67B1A" w:rsidR="00EC62DD" w:rsidRPr="00AD3414" w:rsidRDefault="00EC62DD" w:rsidP="00AD3414">
    <w:pPr>
      <w:pStyle w:val="Footer"/>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411810"/>
      <w:docPartObj>
        <w:docPartGallery w:val="Page Numbers (Bottom of Page)"/>
        <w:docPartUnique/>
      </w:docPartObj>
    </w:sdtPr>
    <w:sdtEndPr>
      <w:rPr>
        <w:i/>
        <w:noProof/>
      </w:rPr>
    </w:sdtEndPr>
    <w:sdtContent>
      <w:p w14:paraId="45432314" w14:textId="77777777" w:rsidR="008038E3" w:rsidRDefault="008038E3" w:rsidP="008038E3">
        <w:pPr>
          <w:pStyle w:val="Footer"/>
          <w:pBdr>
            <w:top w:val="single" w:sz="4" w:space="1" w:color="auto"/>
          </w:pBdr>
          <w:jc w:val="center"/>
        </w:pPr>
      </w:p>
      <w:p w14:paraId="3BA57F9F" w14:textId="77777777" w:rsidR="008038E3" w:rsidRPr="00AD3414" w:rsidRDefault="008038E3" w:rsidP="008038E3">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Pr="00F33BA3">
          <w:rPr>
            <w:rFonts w:ascii="Times New Roman" w:hAnsi="Times New Roman" w:cs="Times New Roman"/>
            <w:i/>
          </w:rPr>
          <w:t>Radiocommunications (Digital Radio Multiplex Transmitter Licences – Application Fee) Amendment Determination 2017 (No. 1)</w:t>
        </w:r>
      </w:p>
      <w:p w14:paraId="2CD8A121" w14:textId="77777777" w:rsidR="008038E3" w:rsidRPr="00AD3414" w:rsidRDefault="008038E3" w:rsidP="008038E3">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3D658A">
          <w:rPr>
            <w:rFonts w:ascii="Times New Roman" w:hAnsi="Times New Roman" w:cs="Times New Roman"/>
            <w:i/>
            <w:noProof/>
          </w:rPr>
          <w:t>1</w:t>
        </w:r>
        <w:r w:rsidRPr="00A07A2F">
          <w:rPr>
            <w:rFonts w:ascii="Times New Roman" w:hAnsi="Times New Roman" w:cs="Times New Roman"/>
            <w:i/>
            <w:noProof/>
          </w:rPr>
          <w:fldChar w:fldCharType="end"/>
        </w:r>
      </w:p>
    </w:sdtContent>
  </w:sdt>
  <w:p w14:paraId="12309099" w14:textId="77777777" w:rsidR="008038E3" w:rsidRDefault="00803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E46AB" w14:textId="77777777" w:rsidR="00EC62DD" w:rsidRDefault="00EC62DD" w:rsidP="00025ACE">
      <w:pPr>
        <w:spacing w:after="0" w:line="240" w:lineRule="auto"/>
      </w:pPr>
      <w:r>
        <w:separator/>
      </w:r>
    </w:p>
  </w:footnote>
  <w:footnote w:type="continuationSeparator" w:id="0">
    <w:p w14:paraId="4E1A6C20" w14:textId="77777777" w:rsidR="00EC62DD" w:rsidRDefault="00EC62DD" w:rsidP="00025ACE">
      <w:pPr>
        <w:spacing w:after="0" w:line="240" w:lineRule="auto"/>
      </w:pPr>
      <w:r>
        <w:continuationSeparator/>
      </w:r>
    </w:p>
  </w:footnote>
  <w:footnote w:id="1">
    <w:p w14:paraId="7511FFEE" w14:textId="295DF7D7" w:rsidR="009F6F54" w:rsidRDefault="009F6F54">
      <w:pPr>
        <w:pStyle w:val="FootnoteText"/>
      </w:pPr>
      <w:r w:rsidRPr="005642BF">
        <w:rPr>
          <w:rStyle w:val="FootnoteReference"/>
        </w:rPr>
        <w:footnoteRef/>
      </w:r>
      <w:r w:rsidRPr="005642BF">
        <w:t xml:space="preserve"> </w:t>
      </w:r>
      <w:r w:rsidR="002B7D44" w:rsidRPr="005642BF">
        <w:rPr>
          <w:rFonts w:ascii="Times New Roman" w:hAnsi="Times New Roman" w:cs="Times New Roman"/>
        </w:rPr>
        <w:t xml:space="preserve"> The ACMA last reviewed its cost recovery arrangements for various radiocommunications, telecommunications and broadcasting services in 2014.  A copy of the Cost Recovery Implementation Statement which provides information on those cost recovery charges as well as the cost recovery model adopted by the ACMA can be found at:</w:t>
      </w:r>
      <w:r w:rsidR="002B7D44" w:rsidRPr="009E282F">
        <w:rPr>
          <w:rFonts w:ascii="Times New Roman" w:hAnsi="Times New Roman" w:cs="Times New Roman"/>
        </w:rPr>
        <w:t xml:space="preserve">  </w:t>
      </w:r>
      <w:hyperlink r:id="rId1" w:history="1">
        <w:r w:rsidR="002B7D44" w:rsidRPr="009E282F">
          <w:rPr>
            <w:rStyle w:val="Hyperlink"/>
            <w:rFonts w:ascii="Times New Roman" w:hAnsi="Times New Roman" w:cs="Times New Roman"/>
          </w:rPr>
          <w:t>http://www.acma.gov.au/~/media/Finance%20Budgets%20and%20Revenue%20Assurance/Report/Word%20Document/Cost%20recovery%20implementation%20statement%2020141017%20docx.docx</w:t>
        </w:r>
      </w:hyperlink>
      <w:r w:rsidR="002B7D44" w:rsidRPr="009E282F">
        <w:rPr>
          <w:rFonts w:ascii="Times New Roman" w:hAnsi="Times New Roman" w:cs="Times New Roman"/>
        </w:rPr>
        <w:t xml:space="preserve">.  </w:t>
      </w:r>
    </w:p>
  </w:footnote>
  <w:footnote w:id="2">
    <w:p w14:paraId="425CBFB8" w14:textId="61F4B7A4" w:rsidR="006460EA" w:rsidRDefault="006460EA">
      <w:pPr>
        <w:pStyle w:val="FootnoteText"/>
      </w:pPr>
      <w:r>
        <w:rPr>
          <w:rStyle w:val="FootnoteReference"/>
        </w:rPr>
        <w:footnoteRef/>
      </w:r>
      <w:r>
        <w:t xml:space="preserve"> </w:t>
      </w:r>
      <w:r w:rsidRPr="00EC6FD0">
        <w:rPr>
          <w:rFonts w:ascii="Times New Roman" w:hAnsi="Times New Roman" w:cs="Times New Roman"/>
        </w:rPr>
        <w:t xml:space="preserve">See </w:t>
      </w:r>
      <w:hyperlink r:id="rId2" w:history="1">
        <w:r w:rsidRPr="00CE1E2B">
          <w:rPr>
            <w:rStyle w:val="Hyperlink"/>
            <w:rFonts w:ascii="Times New Roman" w:hAnsi="Times New Roman" w:cs="Times New Roman"/>
          </w:rPr>
          <w:t>http://www.acma.gov.au/~/media/Finance%20Budgets%20and%20Revenue%20Assurance/Report/Word%20Document/Cost%20recovery%20implementation%20statement%2020141017%20docx.docx</w:t>
        </w:r>
      </w:hyperlink>
      <w:r w:rsidRPr="00CE1E2B">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4CED" w14:textId="77777777" w:rsidR="00EC62DD" w:rsidRDefault="00EC62DD">
    <w:pPr>
      <w:pStyle w:val="Header"/>
    </w:pPr>
  </w:p>
  <w:p w14:paraId="1FE48E17" w14:textId="77777777" w:rsidR="00EC62DD" w:rsidRPr="00AD3414" w:rsidRDefault="00EC62DD">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E57A89"/>
    <w:multiLevelType w:val="hybridMultilevel"/>
    <w:tmpl w:val="3A68F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954D83"/>
    <w:multiLevelType w:val="hybridMultilevel"/>
    <w:tmpl w:val="FA681688"/>
    <w:lvl w:ilvl="0" w:tplc="0C09000F">
      <w:start w:val="1"/>
      <w:numFmt w:val="decimal"/>
      <w:lvlText w:val="%1."/>
      <w:lvlJc w:val="left"/>
      <w:pPr>
        <w:ind w:left="436" w:hanging="360"/>
      </w:pPr>
    </w:lvl>
    <w:lvl w:ilvl="1" w:tplc="0C090019">
      <w:start w:val="1"/>
      <w:numFmt w:val="lowerLetter"/>
      <w:lvlText w:val="%2."/>
      <w:lvlJc w:val="left"/>
      <w:pPr>
        <w:ind w:left="1156" w:hanging="360"/>
      </w:pPr>
    </w:lvl>
    <w:lvl w:ilvl="2" w:tplc="0C09001B">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6">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4"/>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2640"/>
    <w:rsid w:val="00003720"/>
    <w:rsid w:val="000124F9"/>
    <w:rsid w:val="00013079"/>
    <w:rsid w:val="00025ACE"/>
    <w:rsid w:val="00037F0E"/>
    <w:rsid w:val="00070D91"/>
    <w:rsid w:val="000726C7"/>
    <w:rsid w:val="00074A8D"/>
    <w:rsid w:val="00082354"/>
    <w:rsid w:val="00095AB3"/>
    <w:rsid w:val="000A3A94"/>
    <w:rsid w:val="000B0BA7"/>
    <w:rsid w:val="000B33B6"/>
    <w:rsid w:val="000B4B6C"/>
    <w:rsid w:val="000C6436"/>
    <w:rsid w:val="000C68DA"/>
    <w:rsid w:val="000D4C0F"/>
    <w:rsid w:val="000D4ECE"/>
    <w:rsid w:val="000E38C9"/>
    <w:rsid w:val="000F6255"/>
    <w:rsid w:val="00112987"/>
    <w:rsid w:val="00117351"/>
    <w:rsid w:val="00121B9E"/>
    <w:rsid w:val="00122072"/>
    <w:rsid w:val="00134705"/>
    <w:rsid w:val="001451D2"/>
    <w:rsid w:val="00145EF4"/>
    <w:rsid w:val="00146A0C"/>
    <w:rsid w:val="001530B3"/>
    <w:rsid w:val="00161C73"/>
    <w:rsid w:val="00185BDC"/>
    <w:rsid w:val="00190F93"/>
    <w:rsid w:val="001C4BF8"/>
    <w:rsid w:val="001C5421"/>
    <w:rsid w:val="001D5C25"/>
    <w:rsid w:val="00212847"/>
    <w:rsid w:val="00236D81"/>
    <w:rsid w:val="002508F7"/>
    <w:rsid w:val="00277538"/>
    <w:rsid w:val="00282332"/>
    <w:rsid w:val="00295A1C"/>
    <w:rsid w:val="002B6699"/>
    <w:rsid w:val="002B7D44"/>
    <w:rsid w:val="002C2256"/>
    <w:rsid w:val="002E3B2A"/>
    <w:rsid w:val="002F36E0"/>
    <w:rsid w:val="00332B30"/>
    <w:rsid w:val="003434D4"/>
    <w:rsid w:val="00366B46"/>
    <w:rsid w:val="00370620"/>
    <w:rsid w:val="00375FA7"/>
    <w:rsid w:val="00384DC8"/>
    <w:rsid w:val="00385EF1"/>
    <w:rsid w:val="003A07CA"/>
    <w:rsid w:val="003A3635"/>
    <w:rsid w:val="003A7407"/>
    <w:rsid w:val="003B3D92"/>
    <w:rsid w:val="003C2F82"/>
    <w:rsid w:val="003C44B4"/>
    <w:rsid w:val="003D658A"/>
    <w:rsid w:val="003D74BE"/>
    <w:rsid w:val="0041003E"/>
    <w:rsid w:val="004362E3"/>
    <w:rsid w:val="0044241E"/>
    <w:rsid w:val="00450F48"/>
    <w:rsid w:val="0045489F"/>
    <w:rsid w:val="00470078"/>
    <w:rsid w:val="00474889"/>
    <w:rsid w:val="004826DD"/>
    <w:rsid w:val="004914F6"/>
    <w:rsid w:val="00496AAC"/>
    <w:rsid w:val="004971D6"/>
    <w:rsid w:val="004A1064"/>
    <w:rsid w:val="004D2843"/>
    <w:rsid w:val="004E790E"/>
    <w:rsid w:val="0050389F"/>
    <w:rsid w:val="00522B0A"/>
    <w:rsid w:val="0052687A"/>
    <w:rsid w:val="005638F1"/>
    <w:rsid w:val="005642BF"/>
    <w:rsid w:val="00570974"/>
    <w:rsid w:val="0057216A"/>
    <w:rsid w:val="005958D6"/>
    <w:rsid w:val="005964CF"/>
    <w:rsid w:val="005C45C1"/>
    <w:rsid w:val="005C65EB"/>
    <w:rsid w:val="005F2DF5"/>
    <w:rsid w:val="005F5BE6"/>
    <w:rsid w:val="00603B3F"/>
    <w:rsid w:val="0063377B"/>
    <w:rsid w:val="00641906"/>
    <w:rsid w:val="00641BC7"/>
    <w:rsid w:val="006460EA"/>
    <w:rsid w:val="00663AF2"/>
    <w:rsid w:val="00671216"/>
    <w:rsid w:val="00681986"/>
    <w:rsid w:val="00686F06"/>
    <w:rsid w:val="00687290"/>
    <w:rsid w:val="006940DB"/>
    <w:rsid w:val="00696659"/>
    <w:rsid w:val="006A0B2C"/>
    <w:rsid w:val="006A0BDF"/>
    <w:rsid w:val="006A53BB"/>
    <w:rsid w:val="006C59D5"/>
    <w:rsid w:val="006F32BF"/>
    <w:rsid w:val="00706F43"/>
    <w:rsid w:val="007274D6"/>
    <w:rsid w:val="0074661C"/>
    <w:rsid w:val="00750397"/>
    <w:rsid w:val="00766475"/>
    <w:rsid w:val="0077364D"/>
    <w:rsid w:val="007806E5"/>
    <w:rsid w:val="00794C5F"/>
    <w:rsid w:val="007A0103"/>
    <w:rsid w:val="007A2277"/>
    <w:rsid w:val="008038E3"/>
    <w:rsid w:val="00805358"/>
    <w:rsid w:val="008070A8"/>
    <w:rsid w:val="00810499"/>
    <w:rsid w:val="0081166D"/>
    <w:rsid w:val="0081203C"/>
    <w:rsid w:val="00821F3F"/>
    <w:rsid w:val="0083449B"/>
    <w:rsid w:val="0084340D"/>
    <w:rsid w:val="008441CF"/>
    <w:rsid w:val="0084470A"/>
    <w:rsid w:val="008510A4"/>
    <w:rsid w:val="0087369C"/>
    <w:rsid w:val="0087707C"/>
    <w:rsid w:val="00884956"/>
    <w:rsid w:val="008C584E"/>
    <w:rsid w:val="008E3483"/>
    <w:rsid w:val="008F4C58"/>
    <w:rsid w:val="0090572C"/>
    <w:rsid w:val="0091080B"/>
    <w:rsid w:val="00926833"/>
    <w:rsid w:val="009670B7"/>
    <w:rsid w:val="009723D1"/>
    <w:rsid w:val="009732C1"/>
    <w:rsid w:val="00977705"/>
    <w:rsid w:val="009D5783"/>
    <w:rsid w:val="009D67A8"/>
    <w:rsid w:val="009F6F54"/>
    <w:rsid w:val="009F7219"/>
    <w:rsid w:val="00A07A2F"/>
    <w:rsid w:val="00A213A8"/>
    <w:rsid w:val="00A21F3E"/>
    <w:rsid w:val="00A64EC4"/>
    <w:rsid w:val="00A7023B"/>
    <w:rsid w:val="00AA6088"/>
    <w:rsid w:val="00AB65E7"/>
    <w:rsid w:val="00AD3414"/>
    <w:rsid w:val="00AD500F"/>
    <w:rsid w:val="00AD62A2"/>
    <w:rsid w:val="00AE2CB4"/>
    <w:rsid w:val="00AE6898"/>
    <w:rsid w:val="00AF080D"/>
    <w:rsid w:val="00AF6545"/>
    <w:rsid w:val="00B00FC3"/>
    <w:rsid w:val="00B52584"/>
    <w:rsid w:val="00B665E6"/>
    <w:rsid w:val="00B727F3"/>
    <w:rsid w:val="00B90F17"/>
    <w:rsid w:val="00B94B30"/>
    <w:rsid w:val="00BA7D17"/>
    <w:rsid w:val="00BB076E"/>
    <w:rsid w:val="00BB1CF2"/>
    <w:rsid w:val="00BB7A25"/>
    <w:rsid w:val="00BC0A3C"/>
    <w:rsid w:val="00BC5916"/>
    <w:rsid w:val="00BC621F"/>
    <w:rsid w:val="00BE458A"/>
    <w:rsid w:val="00C032F0"/>
    <w:rsid w:val="00C03503"/>
    <w:rsid w:val="00C10E3A"/>
    <w:rsid w:val="00C145AD"/>
    <w:rsid w:val="00C20621"/>
    <w:rsid w:val="00C21933"/>
    <w:rsid w:val="00C303B6"/>
    <w:rsid w:val="00C373DB"/>
    <w:rsid w:val="00C37551"/>
    <w:rsid w:val="00C52681"/>
    <w:rsid w:val="00C57E29"/>
    <w:rsid w:val="00C63E8C"/>
    <w:rsid w:val="00C659A7"/>
    <w:rsid w:val="00C76FFC"/>
    <w:rsid w:val="00C9259F"/>
    <w:rsid w:val="00C9393D"/>
    <w:rsid w:val="00CA3398"/>
    <w:rsid w:val="00CA40FA"/>
    <w:rsid w:val="00CA6926"/>
    <w:rsid w:val="00CA735C"/>
    <w:rsid w:val="00CB3AD5"/>
    <w:rsid w:val="00CD71EB"/>
    <w:rsid w:val="00D13D39"/>
    <w:rsid w:val="00D2518B"/>
    <w:rsid w:val="00D30456"/>
    <w:rsid w:val="00D32E4E"/>
    <w:rsid w:val="00D35790"/>
    <w:rsid w:val="00D5385A"/>
    <w:rsid w:val="00D57387"/>
    <w:rsid w:val="00D9105B"/>
    <w:rsid w:val="00DA0D39"/>
    <w:rsid w:val="00DB4A50"/>
    <w:rsid w:val="00DF2758"/>
    <w:rsid w:val="00E163B2"/>
    <w:rsid w:val="00E833DA"/>
    <w:rsid w:val="00EB0C79"/>
    <w:rsid w:val="00EC2F85"/>
    <w:rsid w:val="00EC54C3"/>
    <w:rsid w:val="00EC62DD"/>
    <w:rsid w:val="00EC76A0"/>
    <w:rsid w:val="00EE5E7F"/>
    <w:rsid w:val="00F2169C"/>
    <w:rsid w:val="00F33BA3"/>
    <w:rsid w:val="00F33BD8"/>
    <w:rsid w:val="00F406BB"/>
    <w:rsid w:val="00F4414D"/>
    <w:rsid w:val="00F63110"/>
    <w:rsid w:val="00F675AA"/>
    <w:rsid w:val="00F76815"/>
    <w:rsid w:val="00FA0DB0"/>
    <w:rsid w:val="00FB4437"/>
    <w:rsid w:val="00FC0BF3"/>
    <w:rsid w:val="00FC67DA"/>
    <w:rsid w:val="00FE08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C62DD"/>
    <w:rPr>
      <w:color w:val="954F72" w:themeColor="followedHyperlink"/>
      <w:u w:val="single"/>
    </w:rPr>
  </w:style>
  <w:style w:type="paragraph" w:styleId="FootnoteText">
    <w:name w:val="footnote text"/>
    <w:basedOn w:val="Normal"/>
    <w:link w:val="FootnoteTextChar"/>
    <w:uiPriority w:val="99"/>
    <w:semiHidden/>
    <w:unhideWhenUsed/>
    <w:rsid w:val="007806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6E5"/>
    <w:rPr>
      <w:sz w:val="20"/>
      <w:szCs w:val="20"/>
    </w:rPr>
  </w:style>
  <w:style w:type="character" w:styleId="FootnoteReference">
    <w:name w:val="footnote reference"/>
    <w:basedOn w:val="DefaultParagraphFont"/>
    <w:uiPriority w:val="99"/>
    <w:semiHidden/>
    <w:unhideWhenUsed/>
    <w:rsid w:val="007806E5"/>
    <w:rPr>
      <w:vertAlign w:val="superscript"/>
    </w:rPr>
  </w:style>
  <w:style w:type="paragraph" w:customStyle="1" w:styleId="TableHeading">
    <w:name w:val="Table Heading"/>
    <w:basedOn w:val="Normal"/>
    <w:qFormat/>
    <w:rsid w:val="008038E3"/>
    <w:pPr>
      <w:spacing w:after="0" w:line="240" w:lineRule="atLeast"/>
    </w:pPr>
    <w:rPr>
      <w:rFonts w:ascii="Arial" w:eastAsia="Times New Roman" w:hAnsi="Arial" w:cs="Times New Roman"/>
      <w:b/>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acma.gov.au/~/media/Finance%20Budgets%20and%20Revenue%20Assurance/Report/Word%20Document/Cost%20recovery%20implementation%20statement%2020141017%20docx.docx" TargetMode="External"/><Relationship Id="rId1" Type="http://schemas.openxmlformats.org/officeDocument/2006/relationships/hyperlink" Target="http://www.acma.gov.au/~/media/Finance%20Budgets%20and%20Revenue%20Assurance/Report/Word%20Document/Cost%20recovery%20implementation%20statement%2020141017%20docx.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C66C28D13806348A738AA1EFA6953D4" ma:contentTypeVersion="8" ma:contentTypeDescription="Create a new document." ma:contentTypeScope="" ma:versionID="e470e83615ac1925cf7a424517e0fdb1">
  <xsd:schema xmlns:xsd="http://www.w3.org/2001/XMLSchema" xmlns:xs="http://www.w3.org/2001/XMLSchema" xmlns:p="http://schemas.microsoft.com/office/2006/metadata/properties" xmlns:ns2="45cfd421-f814-4301-8451-1747e30ecc9d" xmlns:ns3="7bdb6d3f-7ccf-43fd-8d9a-052a0d1885a5" xmlns:ns4="f3645f92-38f9-45ad-8697-1de850906024" xmlns:ns5="4166a108-cb27-416c-894b-624a6237d659" targetNamespace="http://schemas.microsoft.com/office/2006/metadata/properties" ma:root="true" ma:fieldsID="00f087525c5ff90a3b2f487d65cbd8b4" ns2:_="" ns3:_="" ns4:_="" ns5:_="">
    <xsd:import namespace="45cfd421-f814-4301-8451-1747e30ecc9d"/>
    <xsd:import namespace="7bdb6d3f-7ccf-43fd-8d9a-052a0d1885a5"/>
    <xsd:import namespace="f3645f92-38f9-45ad-8697-1de850906024"/>
    <xsd:import namespace="4166a108-cb27-416c-894b-624a6237d65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opular" minOccurs="0"/>
                <xsd:element ref="ns4:Description0" minOccurs="0"/>
                <xsd:element ref="ns5:Relevant_x0020_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fd421-f814-4301-8451-1747e30ecc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db6d3f-7ccf-43fd-8d9a-052a0d1885a5" elementFormDefault="qualified">
    <xsd:import namespace="http://schemas.microsoft.com/office/2006/documentManagement/types"/>
    <xsd:import namespace="http://schemas.microsoft.com/office/infopath/2007/PartnerControls"/>
    <xsd:element name="Category" ma:index="11" nillable="true" ma:displayName="Category" ma:default="(none)" ma:description="This field will group documents published to the Intranet." ma:format="Dropdown" ma:internalName="Category">
      <xsd:simpleType>
        <xsd:restriction base="dms:Choice">
          <xsd:enumeration value="(none)"/>
          <xsd:enumeration value="Appointments"/>
          <xsd:enumeration value="Authorisations"/>
          <xsd:enumeration value="Delegations"/>
          <xsd:enumeration value="Freedom of Information (FOI)"/>
          <xsd:enumeration value="Guidance"/>
          <xsd:enumeration value="Instruments"/>
          <xsd:enumeration value="Legal advice and assistance"/>
          <xsd:enumeration value="Using the legal panel"/>
          <xsd:enumeration value="List of Cases"/>
          <xsd:enumeration value="Resources"/>
        </xsd:restriction>
      </xsd:simpleType>
    </xsd:element>
    <xsd:element name="Popular" ma:index="12" nillable="true" ma:displayName="Popular" ma:default="0" ma:description="When a document has this column ticked, it will show under a “Popular” tab when published to the intranet." ma:internalName="Popula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45f92-38f9-45ad-8697-1de850906024"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6a108-cb27-416c-894b-624a6237d659" elementFormDefault="qualified">
    <xsd:import namespace="http://schemas.microsoft.com/office/2006/documentManagement/types"/>
    <xsd:import namespace="http://schemas.microsoft.com/office/infopath/2007/PartnerControls"/>
    <xsd:element name="Relevant_x0020_Act" ma:index="14" nillable="true" ma:displayName="Relevant Act" ma:format="Dropdown" ma:internalName="Relevant_x0020_Act">
      <xsd:simpleType>
        <xsd:restriction base="dms:Choice">
          <xsd:enumeration value="Australian Communications and Media Authority Act 2005"/>
          <xsd:enumeration value="Broadcasting Services Act 1992"/>
          <xsd:enumeration value="Do Not Call Register Act 2006"/>
          <xsd:enumeration value="Interactive Gambling Act 2001"/>
          <xsd:enumeration value="Radiocommunications Act 1992"/>
          <xsd:enumeration value="Radio Licence Fees Act 1964"/>
          <xsd:enumeration value="Television Licence Fees Act 1964"/>
          <xsd:enumeration value="Radiocommunications (Receiver Licence Tax) Act 1983"/>
          <xsd:enumeration value="Radiocommunications (Transmitter Licence Tax) Act 1983"/>
          <xsd:enumeration value="Radiocommunications Taxes Collection Act 1983"/>
          <xsd:enumeration value="Spam Act 2003"/>
          <xsd:enumeration value="Telecommunications Act 1997"/>
          <xsd:enumeration value="Telecommunications (carrier Licence Charges) Act 1997"/>
          <xsd:enumeration value="Telecommunications (Consumer Protection and Services Standards) Act 1999"/>
          <xsd:enumeration value="Telecommunications (Numbering Charges) Act 1997"/>
          <xsd:enumeration value="Telecommunications (Universal Service Levy) Act 1997"/>
          <xsd:enumeration value="NRS Levy Imposition Act 1998"/>
          <xsd:enumeration value="Telecommunications (Carrier Licence Fees) Terminations Act 1997"/>
          <xsd:enumeration value="Telecommunications Universal Services Management Agency Act 2012"/>
          <xsd:enumeration value="Telecommunications Legislation"/>
          <xsd:enumeration value="Various"/>
          <xsd:enumeration value="Freedom of Information Act 198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evant_x0020_Act xmlns="4166a108-cb27-416c-894b-624a6237d659" xsi:nil="true"/>
    <Description0 xmlns="f3645f92-38f9-45ad-8697-1de850906024">Legislative Instrument Template</Description0>
    <Category xmlns="7bdb6d3f-7ccf-43fd-8d9a-052a0d1885a5">(none)</Category>
    <Popular xmlns="7bdb6d3f-7ccf-43fd-8d9a-052a0d1885a5">false</Popular>
    <_dlc_DocId xmlns="45cfd421-f814-4301-8451-1747e30ecc9d">TRDAFY4MXPUQ-13-286</_dlc_DocId>
    <_dlc_DocIdUrl xmlns="45cfd421-f814-4301-8451-1747e30ecc9d">
      <Url>http://collaboration/organisation/lsd/_layouts/15/DocIdRedir.aspx?ID=TRDAFY4MXPUQ-13-286</Url>
      <Description>TRDAFY4MXPUQ-13-286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CA82A-29EA-414B-8B91-1154E2E3FAAD}">
  <ds:schemaRefs>
    <ds:schemaRef ds:uri="http://schemas.microsoft.com/sharepoint/events"/>
  </ds:schemaRefs>
</ds:datastoreItem>
</file>

<file path=customXml/itemProps2.xml><?xml version="1.0" encoding="utf-8"?>
<ds:datastoreItem xmlns:ds="http://schemas.openxmlformats.org/officeDocument/2006/customXml" ds:itemID="{F097D6FA-0567-452B-849F-B3256AAD9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fd421-f814-4301-8451-1747e30ecc9d"/>
    <ds:schemaRef ds:uri="7bdb6d3f-7ccf-43fd-8d9a-052a0d1885a5"/>
    <ds:schemaRef ds:uri="f3645f92-38f9-45ad-8697-1de850906024"/>
    <ds:schemaRef ds:uri="4166a108-cb27-416c-894b-624a6237d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C0BB2-8B8E-4D7F-A1EB-011078CFB03B}">
  <ds:schemaRefs>
    <ds:schemaRef ds:uri="45cfd421-f814-4301-8451-1747e30ecc9d"/>
    <ds:schemaRef ds:uri="http://purl.org/dc/terms/"/>
    <ds:schemaRef ds:uri="http://schemas.microsoft.com/office/2006/metadata/properties"/>
    <ds:schemaRef ds:uri="7bdb6d3f-7ccf-43fd-8d9a-052a0d1885a5"/>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4166a108-cb27-416c-894b-624a6237d659"/>
    <ds:schemaRef ds:uri="f3645f92-38f9-45ad-8697-1de850906024"/>
    <ds:schemaRef ds:uri="http://www.w3.org/XML/1998/namespace"/>
  </ds:schemaRefs>
</ds:datastoreItem>
</file>

<file path=customXml/itemProps4.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5.xml><?xml version="1.0" encoding="utf-8"?>
<ds:datastoreItem xmlns:ds="http://schemas.openxmlformats.org/officeDocument/2006/customXml" ds:itemID="{96158B69-5913-4560-B585-E303344B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1470</Words>
  <Characters>8382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Jay Jeyalingam</cp:lastModifiedBy>
  <cp:revision>2</cp:revision>
  <cp:lastPrinted>2017-03-15T21:09:00Z</cp:lastPrinted>
  <dcterms:created xsi:type="dcterms:W3CDTF">2017-03-22T04:18:00Z</dcterms:created>
  <dcterms:modified xsi:type="dcterms:W3CDTF">2017-03-22T04:18:00Z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0x0101008C66C28D13806348A738AA1EFA6953D4</vt:lpwstr>
  </property>
  <property fmtid="{D5CDD505-2E9C-101B-9397-08002B2CF9AE}" pid="3" name="_dlc_DocIdItemGuid">
    <vt:lpwstr>e97d7d38-85c9-4ad0-86d5-75718610b655</vt:lpwstr>
  </property>
</Properties>
</file>