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21980" w:rsidRDefault="00193461" w:rsidP="00C63713">
      <w:pPr>
        <w:rPr>
          <w:sz w:val="28"/>
        </w:rPr>
      </w:pPr>
      <w:r w:rsidRPr="00F21980">
        <w:rPr>
          <w:noProof/>
          <w:lang w:eastAsia="en-AU"/>
        </w:rPr>
        <w:drawing>
          <wp:inline distT="0" distB="0" distL="0" distR="0" wp14:anchorId="0C833F6E" wp14:editId="222520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21980" w:rsidRDefault="0048364F" w:rsidP="0048364F">
      <w:pPr>
        <w:rPr>
          <w:sz w:val="19"/>
        </w:rPr>
      </w:pPr>
    </w:p>
    <w:p w:rsidR="0048364F" w:rsidRPr="00F21980" w:rsidRDefault="0076496A" w:rsidP="0048364F">
      <w:pPr>
        <w:pStyle w:val="ShortT"/>
      </w:pPr>
      <w:r w:rsidRPr="00F21980">
        <w:t>Health Insurance Legislation Amendment (2017 Measures No.</w:t>
      </w:r>
      <w:r w:rsidR="00F21980" w:rsidRPr="00F21980">
        <w:t> </w:t>
      </w:r>
      <w:r w:rsidRPr="00F21980">
        <w:t>1) Regulations</w:t>
      </w:r>
      <w:r w:rsidR="00F21980" w:rsidRPr="00F21980">
        <w:t> </w:t>
      </w:r>
      <w:r w:rsidRPr="00F21980">
        <w:t>2017</w:t>
      </w:r>
    </w:p>
    <w:p w:rsidR="0076496A" w:rsidRPr="00F21980" w:rsidRDefault="0076496A" w:rsidP="00466E75">
      <w:pPr>
        <w:pStyle w:val="SignCoverPageStart"/>
        <w:spacing w:before="240"/>
        <w:rPr>
          <w:szCs w:val="22"/>
        </w:rPr>
      </w:pPr>
      <w:r w:rsidRPr="00F21980">
        <w:rPr>
          <w:szCs w:val="22"/>
        </w:rPr>
        <w:t xml:space="preserve">I, General the Honourable Sir Peter Cosgrove AK MC (Ret’d), </w:t>
      </w:r>
      <w:r w:rsidR="00F21980" w:rsidRPr="00F21980">
        <w:rPr>
          <w:szCs w:val="22"/>
        </w:rPr>
        <w:t>Governor</w:t>
      </w:r>
      <w:r w:rsidR="00F21980">
        <w:rPr>
          <w:szCs w:val="22"/>
        </w:rPr>
        <w:noBreakHyphen/>
      </w:r>
      <w:r w:rsidR="00F21980" w:rsidRPr="00F21980">
        <w:rPr>
          <w:szCs w:val="22"/>
        </w:rPr>
        <w:t>General</w:t>
      </w:r>
      <w:r w:rsidRPr="00F21980">
        <w:rPr>
          <w:szCs w:val="22"/>
        </w:rPr>
        <w:t xml:space="preserve"> of the Commonwealth of Australia, acting with the advice of the Federal Executive Council, make the following regulations.</w:t>
      </w:r>
    </w:p>
    <w:p w:rsidR="0076496A" w:rsidRPr="00F21980" w:rsidRDefault="0076496A" w:rsidP="00466E75">
      <w:pPr>
        <w:keepNext/>
        <w:spacing w:before="720" w:line="240" w:lineRule="atLeast"/>
        <w:ind w:right="397"/>
        <w:jc w:val="both"/>
        <w:rPr>
          <w:szCs w:val="22"/>
        </w:rPr>
      </w:pPr>
      <w:r w:rsidRPr="00F21980">
        <w:rPr>
          <w:szCs w:val="22"/>
        </w:rPr>
        <w:t xml:space="preserve">Dated </w:t>
      </w:r>
      <w:bookmarkStart w:id="0" w:name="BKCheck15B_1"/>
      <w:bookmarkEnd w:id="0"/>
      <w:r w:rsidRPr="00F21980">
        <w:rPr>
          <w:szCs w:val="22"/>
        </w:rPr>
        <w:fldChar w:fldCharType="begin"/>
      </w:r>
      <w:r w:rsidRPr="00F21980">
        <w:rPr>
          <w:szCs w:val="22"/>
        </w:rPr>
        <w:instrText xml:space="preserve"> DOCPROPERTY  DateMade </w:instrText>
      </w:r>
      <w:r w:rsidRPr="00F21980">
        <w:rPr>
          <w:szCs w:val="22"/>
        </w:rPr>
        <w:fldChar w:fldCharType="separate"/>
      </w:r>
      <w:r w:rsidR="00C80F4C">
        <w:rPr>
          <w:szCs w:val="22"/>
        </w:rPr>
        <w:t>23 March 2017</w:t>
      </w:r>
      <w:r w:rsidRPr="00F21980">
        <w:rPr>
          <w:szCs w:val="22"/>
        </w:rPr>
        <w:fldChar w:fldCharType="end"/>
      </w:r>
    </w:p>
    <w:p w:rsidR="0076496A" w:rsidRPr="00F21980" w:rsidRDefault="0076496A" w:rsidP="00466E7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21980">
        <w:rPr>
          <w:szCs w:val="22"/>
        </w:rPr>
        <w:t>Peter Cosgrove</w:t>
      </w:r>
    </w:p>
    <w:p w:rsidR="0076496A" w:rsidRPr="00F21980" w:rsidRDefault="00F21980" w:rsidP="00466E7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21980">
        <w:rPr>
          <w:szCs w:val="22"/>
        </w:rPr>
        <w:t>Governor</w:t>
      </w:r>
      <w:r>
        <w:rPr>
          <w:szCs w:val="22"/>
        </w:rPr>
        <w:noBreakHyphen/>
      </w:r>
      <w:r w:rsidRPr="00F21980">
        <w:rPr>
          <w:szCs w:val="22"/>
        </w:rPr>
        <w:t>General</w:t>
      </w:r>
    </w:p>
    <w:p w:rsidR="0076496A" w:rsidRPr="00F21980" w:rsidRDefault="0076496A" w:rsidP="00466E7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21980">
        <w:rPr>
          <w:szCs w:val="22"/>
        </w:rPr>
        <w:t>By His Excellency’s Command</w:t>
      </w:r>
    </w:p>
    <w:p w:rsidR="0076496A" w:rsidRPr="00F21980" w:rsidRDefault="0076496A" w:rsidP="00466E7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21980">
        <w:rPr>
          <w:szCs w:val="22"/>
        </w:rPr>
        <w:t>Greg Hunt</w:t>
      </w:r>
    </w:p>
    <w:p w:rsidR="0076496A" w:rsidRPr="00F21980" w:rsidRDefault="0076496A" w:rsidP="00466E75">
      <w:pPr>
        <w:pStyle w:val="SignCoverPageEnd"/>
        <w:rPr>
          <w:szCs w:val="22"/>
        </w:rPr>
      </w:pPr>
      <w:r w:rsidRPr="00F21980">
        <w:rPr>
          <w:szCs w:val="22"/>
        </w:rPr>
        <w:t>Minister for Health</w:t>
      </w:r>
    </w:p>
    <w:p w:rsidR="0076496A" w:rsidRPr="00F21980" w:rsidRDefault="0076496A" w:rsidP="00466E75"/>
    <w:p w:rsidR="0048364F" w:rsidRPr="00F21980" w:rsidRDefault="0048364F" w:rsidP="0048364F">
      <w:pPr>
        <w:pStyle w:val="Header"/>
        <w:tabs>
          <w:tab w:val="clear" w:pos="4150"/>
          <w:tab w:val="clear" w:pos="8307"/>
        </w:tabs>
      </w:pPr>
      <w:r w:rsidRPr="00F21980">
        <w:rPr>
          <w:rStyle w:val="CharAmSchNo"/>
        </w:rPr>
        <w:t xml:space="preserve"> </w:t>
      </w:r>
      <w:r w:rsidRPr="00F21980">
        <w:rPr>
          <w:rStyle w:val="CharAmSchText"/>
        </w:rPr>
        <w:t xml:space="preserve"> </w:t>
      </w:r>
    </w:p>
    <w:p w:rsidR="0048364F" w:rsidRPr="00F21980" w:rsidRDefault="0048364F" w:rsidP="0048364F">
      <w:pPr>
        <w:pStyle w:val="Header"/>
        <w:tabs>
          <w:tab w:val="clear" w:pos="4150"/>
          <w:tab w:val="clear" w:pos="8307"/>
        </w:tabs>
      </w:pPr>
      <w:r w:rsidRPr="00F21980">
        <w:rPr>
          <w:rStyle w:val="CharAmPartNo"/>
        </w:rPr>
        <w:t xml:space="preserve"> </w:t>
      </w:r>
      <w:r w:rsidRPr="00F21980">
        <w:rPr>
          <w:rStyle w:val="CharAmPartText"/>
        </w:rPr>
        <w:t xml:space="preserve"> </w:t>
      </w:r>
    </w:p>
    <w:p w:rsidR="0048364F" w:rsidRPr="00F21980" w:rsidRDefault="0048364F" w:rsidP="0048364F">
      <w:pPr>
        <w:sectPr w:rsidR="0048364F" w:rsidRPr="00F21980" w:rsidSect="00F462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F21980" w:rsidRDefault="0048364F" w:rsidP="00C50DA5">
      <w:pPr>
        <w:rPr>
          <w:sz w:val="36"/>
        </w:rPr>
      </w:pPr>
      <w:r w:rsidRPr="00F21980">
        <w:rPr>
          <w:sz w:val="36"/>
        </w:rPr>
        <w:lastRenderedPageBreak/>
        <w:t>Contents</w:t>
      </w:r>
    </w:p>
    <w:bookmarkStart w:id="1" w:name="BKCheck15B_2"/>
    <w:bookmarkEnd w:id="1"/>
    <w:p w:rsidR="000F32B6" w:rsidRPr="00F21980" w:rsidRDefault="000F32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1980">
        <w:fldChar w:fldCharType="begin"/>
      </w:r>
      <w:r w:rsidRPr="00F21980">
        <w:instrText xml:space="preserve"> TOC \o "1-9" </w:instrText>
      </w:r>
      <w:r w:rsidRPr="00F21980">
        <w:fldChar w:fldCharType="separate"/>
      </w:r>
      <w:r w:rsidRPr="00F21980">
        <w:rPr>
          <w:noProof/>
        </w:rPr>
        <w:t>1</w:t>
      </w:r>
      <w:r w:rsidRPr="00F21980">
        <w:rPr>
          <w:noProof/>
        </w:rPr>
        <w:tab/>
        <w:t>Name</w:t>
      </w:r>
      <w:r w:rsidRPr="00F21980">
        <w:rPr>
          <w:noProof/>
        </w:rPr>
        <w:tab/>
      </w:r>
      <w:r w:rsidRPr="00F21980">
        <w:rPr>
          <w:noProof/>
        </w:rPr>
        <w:fldChar w:fldCharType="begin"/>
      </w:r>
      <w:r w:rsidRPr="00F21980">
        <w:rPr>
          <w:noProof/>
        </w:rPr>
        <w:instrText xml:space="preserve"> PAGEREF _Toc475526994 \h </w:instrText>
      </w:r>
      <w:r w:rsidRPr="00F21980">
        <w:rPr>
          <w:noProof/>
        </w:rPr>
      </w:r>
      <w:r w:rsidRPr="00F21980">
        <w:rPr>
          <w:noProof/>
        </w:rPr>
        <w:fldChar w:fldCharType="separate"/>
      </w:r>
      <w:r w:rsidR="00C80F4C">
        <w:rPr>
          <w:noProof/>
        </w:rPr>
        <w:t>1</w:t>
      </w:r>
      <w:r w:rsidRPr="00F21980">
        <w:rPr>
          <w:noProof/>
        </w:rPr>
        <w:fldChar w:fldCharType="end"/>
      </w:r>
    </w:p>
    <w:p w:rsidR="000F32B6" w:rsidRPr="00F21980" w:rsidRDefault="000F32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1980">
        <w:rPr>
          <w:noProof/>
        </w:rPr>
        <w:t>2</w:t>
      </w:r>
      <w:r w:rsidRPr="00F21980">
        <w:rPr>
          <w:noProof/>
        </w:rPr>
        <w:tab/>
        <w:t>Commencement</w:t>
      </w:r>
      <w:r w:rsidRPr="00F21980">
        <w:rPr>
          <w:noProof/>
        </w:rPr>
        <w:tab/>
      </w:r>
      <w:r w:rsidRPr="00F21980">
        <w:rPr>
          <w:noProof/>
        </w:rPr>
        <w:fldChar w:fldCharType="begin"/>
      </w:r>
      <w:r w:rsidRPr="00F21980">
        <w:rPr>
          <w:noProof/>
        </w:rPr>
        <w:instrText xml:space="preserve"> PAGEREF _Toc475526995 \h </w:instrText>
      </w:r>
      <w:r w:rsidRPr="00F21980">
        <w:rPr>
          <w:noProof/>
        </w:rPr>
      </w:r>
      <w:r w:rsidRPr="00F21980">
        <w:rPr>
          <w:noProof/>
        </w:rPr>
        <w:fldChar w:fldCharType="separate"/>
      </w:r>
      <w:r w:rsidR="00C80F4C">
        <w:rPr>
          <w:noProof/>
        </w:rPr>
        <w:t>1</w:t>
      </w:r>
      <w:r w:rsidRPr="00F21980">
        <w:rPr>
          <w:noProof/>
        </w:rPr>
        <w:fldChar w:fldCharType="end"/>
      </w:r>
    </w:p>
    <w:p w:rsidR="000F32B6" w:rsidRPr="00F21980" w:rsidRDefault="000F32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1980">
        <w:rPr>
          <w:noProof/>
        </w:rPr>
        <w:t>3</w:t>
      </w:r>
      <w:r w:rsidRPr="00F21980">
        <w:rPr>
          <w:noProof/>
        </w:rPr>
        <w:tab/>
        <w:t>Authority</w:t>
      </w:r>
      <w:r w:rsidRPr="00F21980">
        <w:rPr>
          <w:noProof/>
        </w:rPr>
        <w:tab/>
      </w:r>
      <w:r w:rsidRPr="00F21980">
        <w:rPr>
          <w:noProof/>
        </w:rPr>
        <w:fldChar w:fldCharType="begin"/>
      </w:r>
      <w:r w:rsidRPr="00F21980">
        <w:rPr>
          <w:noProof/>
        </w:rPr>
        <w:instrText xml:space="preserve"> PAGEREF _Toc475526996 \h </w:instrText>
      </w:r>
      <w:r w:rsidRPr="00F21980">
        <w:rPr>
          <w:noProof/>
        </w:rPr>
      </w:r>
      <w:r w:rsidRPr="00F21980">
        <w:rPr>
          <w:noProof/>
        </w:rPr>
        <w:fldChar w:fldCharType="separate"/>
      </w:r>
      <w:r w:rsidR="00C80F4C">
        <w:rPr>
          <w:noProof/>
        </w:rPr>
        <w:t>1</w:t>
      </w:r>
      <w:r w:rsidRPr="00F21980">
        <w:rPr>
          <w:noProof/>
        </w:rPr>
        <w:fldChar w:fldCharType="end"/>
      </w:r>
    </w:p>
    <w:p w:rsidR="000F32B6" w:rsidRPr="00F21980" w:rsidRDefault="000F32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21980">
        <w:rPr>
          <w:noProof/>
        </w:rPr>
        <w:t>4</w:t>
      </w:r>
      <w:r w:rsidRPr="00F21980">
        <w:rPr>
          <w:noProof/>
        </w:rPr>
        <w:tab/>
        <w:t>Schedules</w:t>
      </w:r>
      <w:r w:rsidRPr="00F21980">
        <w:rPr>
          <w:noProof/>
        </w:rPr>
        <w:tab/>
      </w:r>
      <w:r w:rsidRPr="00F21980">
        <w:rPr>
          <w:noProof/>
        </w:rPr>
        <w:fldChar w:fldCharType="begin"/>
      </w:r>
      <w:r w:rsidRPr="00F21980">
        <w:rPr>
          <w:noProof/>
        </w:rPr>
        <w:instrText xml:space="preserve"> PAGEREF _Toc475526997 \h </w:instrText>
      </w:r>
      <w:r w:rsidRPr="00F21980">
        <w:rPr>
          <w:noProof/>
        </w:rPr>
      </w:r>
      <w:r w:rsidRPr="00F21980">
        <w:rPr>
          <w:noProof/>
        </w:rPr>
        <w:fldChar w:fldCharType="separate"/>
      </w:r>
      <w:r w:rsidR="00C80F4C">
        <w:rPr>
          <w:noProof/>
        </w:rPr>
        <w:t>1</w:t>
      </w:r>
      <w:r w:rsidRPr="00F21980">
        <w:rPr>
          <w:noProof/>
        </w:rPr>
        <w:fldChar w:fldCharType="end"/>
      </w:r>
    </w:p>
    <w:p w:rsidR="000F32B6" w:rsidRPr="00F21980" w:rsidRDefault="000F32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21980">
        <w:rPr>
          <w:noProof/>
        </w:rPr>
        <w:t>Schedule</w:t>
      </w:r>
      <w:r w:rsidR="00F21980" w:rsidRPr="00F21980">
        <w:rPr>
          <w:noProof/>
        </w:rPr>
        <w:t> </w:t>
      </w:r>
      <w:r w:rsidRPr="00F21980">
        <w:rPr>
          <w:noProof/>
        </w:rPr>
        <w:t>1—Amendments</w:t>
      </w:r>
      <w:r w:rsidRPr="00F21980">
        <w:rPr>
          <w:b w:val="0"/>
          <w:noProof/>
          <w:sz w:val="18"/>
        </w:rPr>
        <w:tab/>
      </w:r>
      <w:r w:rsidRPr="00F21980">
        <w:rPr>
          <w:b w:val="0"/>
          <w:noProof/>
          <w:sz w:val="18"/>
        </w:rPr>
        <w:fldChar w:fldCharType="begin"/>
      </w:r>
      <w:r w:rsidRPr="00F21980">
        <w:rPr>
          <w:b w:val="0"/>
          <w:noProof/>
          <w:sz w:val="18"/>
        </w:rPr>
        <w:instrText xml:space="preserve"> PAGEREF _Toc475526998 \h </w:instrText>
      </w:r>
      <w:r w:rsidRPr="00F21980">
        <w:rPr>
          <w:b w:val="0"/>
          <w:noProof/>
          <w:sz w:val="18"/>
        </w:rPr>
      </w:r>
      <w:r w:rsidRPr="00F21980">
        <w:rPr>
          <w:b w:val="0"/>
          <w:noProof/>
          <w:sz w:val="18"/>
        </w:rPr>
        <w:fldChar w:fldCharType="separate"/>
      </w:r>
      <w:r w:rsidR="00C80F4C">
        <w:rPr>
          <w:b w:val="0"/>
          <w:noProof/>
          <w:sz w:val="18"/>
        </w:rPr>
        <w:t>2</w:t>
      </w:r>
      <w:r w:rsidRPr="00F21980">
        <w:rPr>
          <w:b w:val="0"/>
          <w:noProof/>
          <w:sz w:val="18"/>
        </w:rPr>
        <w:fldChar w:fldCharType="end"/>
      </w:r>
    </w:p>
    <w:p w:rsidR="000F32B6" w:rsidRPr="00F21980" w:rsidRDefault="000F32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1980">
        <w:rPr>
          <w:noProof/>
        </w:rPr>
        <w:t>Health Insurance (General Medical Services Table) Regulation</w:t>
      </w:r>
      <w:r w:rsidR="00F21980" w:rsidRPr="00F21980">
        <w:rPr>
          <w:noProof/>
        </w:rPr>
        <w:t> </w:t>
      </w:r>
      <w:r w:rsidRPr="00F21980">
        <w:rPr>
          <w:noProof/>
        </w:rPr>
        <w:t>2016</w:t>
      </w:r>
      <w:r w:rsidRPr="00F21980">
        <w:rPr>
          <w:i w:val="0"/>
          <w:noProof/>
          <w:sz w:val="18"/>
        </w:rPr>
        <w:tab/>
      </w:r>
      <w:r w:rsidRPr="00F21980">
        <w:rPr>
          <w:i w:val="0"/>
          <w:noProof/>
          <w:sz w:val="18"/>
        </w:rPr>
        <w:fldChar w:fldCharType="begin"/>
      </w:r>
      <w:r w:rsidRPr="00F21980">
        <w:rPr>
          <w:i w:val="0"/>
          <w:noProof/>
          <w:sz w:val="18"/>
        </w:rPr>
        <w:instrText xml:space="preserve"> PAGEREF _Toc475526999 \h </w:instrText>
      </w:r>
      <w:r w:rsidRPr="00F21980">
        <w:rPr>
          <w:i w:val="0"/>
          <w:noProof/>
          <w:sz w:val="18"/>
        </w:rPr>
      </w:r>
      <w:r w:rsidRPr="00F21980">
        <w:rPr>
          <w:i w:val="0"/>
          <w:noProof/>
          <w:sz w:val="18"/>
        </w:rPr>
        <w:fldChar w:fldCharType="separate"/>
      </w:r>
      <w:r w:rsidR="00C80F4C">
        <w:rPr>
          <w:i w:val="0"/>
          <w:noProof/>
          <w:sz w:val="18"/>
        </w:rPr>
        <w:t>2</w:t>
      </w:r>
      <w:r w:rsidRPr="00F21980">
        <w:rPr>
          <w:i w:val="0"/>
          <w:noProof/>
          <w:sz w:val="18"/>
        </w:rPr>
        <w:fldChar w:fldCharType="end"/>
      </w:r>
    </w:p>
    <w:p w:rsidR="000F32B6" w:rsidRPr="00F21980" w:rsidRDefault="000F32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21980">
        <w:rPr>
          <w:noProof/>
        </w:rPr>
        <w:t>Health Insurance (Pathology Services Table) Regulation</w:t>
      </w:r>
      <w:r w:rsidR="00F21980" w:rsidRPr="00F21980">
        <w:rPr>
          <w:noProof/>
        </w:rPr>
        <w:t> </w:t>
      </w:r>
      <w:r w:rsidRPr="00F21980">
        <w:rPr>
          <w:noProof/>
        </w:rPr>
        <w:t>2016</w:t>
      </w:r>
      <w:r w:rsidRPr="00F21980">
        <w:rPr>
          <w:i w:val="0"/>
          <w:noProof/>
          <w:sz w:val="18"/>
        </w:rPr>
        <w:tab/>
      </w:r>
      <w:r w:rsidRPr="00F21980">
        <w:rPr>
          <w:i w:val="0"/>
          <w:noProof/>
          <w:sz w:val="18"/>
        </w:rPr>
        <w:fldChar w:fldCharType="begin"/>
      </w:r>
      <w:r w:rsidRPr="00F21980">
        <w:rPr>
          <w:i w:val="0"/>
          <w:noProof/>
          <w:sz w:val="18"/>
        </w:rPr>
        <w:instrText xml:space="preserve"> PAGEREF _Toc475527000 \h </w:instrText>
      </w:r>
      <w:r w:rsidRPr="00F21980">
        <w:rPr>
          <w:i w:val="0"/>
          <w:noProof/>
          <w:sz w:val="18"/>
        </w:rPr>
      </w:r>
      <w:r w:rsidRPr="00F21980">
        <w:rPr>
          <w:i w:val="0"/>
          <w:noProof/>
          <w:sz w:val="18"/>
        </w:rPr>
        <w:fldChar w:fldCharType="separate"/>
      </w:r>
      <w:r w:rsidR="00C80F4C">
        <w:rPr>
          <w:i w:val="0"/>
          <w:noProof/>
          <w:sz w:val="18"/>
        </w:rPr>
        <w:t>6</w:t>
      </w:r>
      <w:r w:rsidRPr="00F21980">
        <w:rPr>
          <w:i w:val="0"/>
          <w:noProof/>
          <w:sz w:val="18"/>
        </w:rPr>
        <w:fldChar w:fldCharType="end"/>
      </w:r>
    </w:p>
    <w:p w:rsidR="00833416" w:rsidRPr="00F21980" w:rsidRDefault="000F32B6" w:rsidP="0048364F">
      <w:r w:rsidRPr="00F21980">
        <w:fldChar w:fldCharType="end"/>
      </w:r>
    </w:p>
    <w:p w:rsidR="00722023" w:rsidRPr="00F21980" w:rsidRDefault="00722023" w:rsidP="0048364F">
      <w:pPr>
        <w:sectPr w:rsidR="00722023" w:rsidRPr="00F21980" w:rsidSect="00F4621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21980" w:rsidRDefault="0048364F" w:rsidP="0048364F">
      <w:pPr>
        <w:pStyle w:val="ActHead5"/>
      </w:pPr>
      <w:bookmarkStart w:id="2" w:name="_Toc475526994"/>
      <w:r w:rsidRPr="00F21980">
        <w:rPr>
          <w:rStyle w:val="CharSectno"/>
        </w:rPr>
        <w:lastRenderedPageBreak/>
        <w:t>1</w:t>
      </w:r>
      <w:r w:rsidRPr="00F21980">
        <w:t xml:space="preserve">  </w:t>
      </w:r>
      <w:r w:rsidR="004F676E" w:rsidRPr="00F21980">
        <w:t>Name</w:t>
      </w:r>
      <w:bookmarkEnd w:id="2"/>
    </w:p>
    <w:p w:rsidR="0048364F" w:rsidRPr="00F21980" w:rsidRDefault="0048364F" w:rsidP="0048364F">
      <w:pPr>
        <w:pStyle w:val="subsection"/>
      </w:pPr>
      <w:r w:rsidRPr="00F21980">
        <w:tab/>
      </w:r>
      <w:r w:rsidRPr="00F21980">
        <w:tab/>
        <w:t>Th</w:t>
      </w:r>
      <w:r w:rsidR="00F24C35" w:rsidRPr="00F21980">
        <w:t>is</w:t>
      </w:r>
      <w:r w:rsidRPr="00F21980">
        <w:t xml:space="preserve"> </w:t>
      </w:r>
      <w:r w:rsidR="00311B18" w:rsidRPr="00F21980">
        <w:t xml:space="preserve">instrument </w:t>
      </w:r>
      <w:r w:rsidR="00F24C35" w:rsidRPr="00F21980">
        <w:t>is</w:t>
      </w:r>
      <w:r w:rsidR="003801D0" w:rsidRPr="00F21980">
        <w:t xml:space="preserve"> the</w:t>
      </w:r>
      <w:r w:rsidRPr="00F21980">
        <w:t xml:space="preserve"> </w:t>
      </w:r>
      <w:bookmarkStart w:id="3" w:name="BKCheck15B_3"/>
      <w:bookmarkEnd w:id="3"/>
      <w:r w:rsidR="00CB0180" w:rsidRPr="00F21980">
        <w:rPr>
          <w:i/>
        </w:rPr>
        <w:fldChar w:fldCharType="begin"/>
      </w:r>
      <w:r w:rsidR="00CB0180" w:rsidRPr="00F21980">
        <w:rPr>
          <w:i/>
        </w:rPr>
        <w:instrText xml:space="preserve"> STYLEREF  ShortT </w:instrText>
      </w:r>
      <w:r w:rsidR="00CB0180" w:rsidRPr="00F21980">
        <w:rPr>
          <w:i/>
        </w:rPr>
        <w:fldChar w:fldCharType="separate"/>
      </w:r>
      <w:r w:rsidR="00C80F4C">
        <w:rPr>
          <w:i/>
          <w:noProof/>
        </w:rPr>
        <w:t>Health Insurance Legislation Amendment (2017 Measures No. 1) Regulations 2017</w:t>
      </w:r>
      <w:r w:rsidR="00CB0180" w:rsidRPr="00F21980">
        <w:rPr>
          <w:i/>
        </w:rPr>
        <w:fldChar w:fldCharType="end"/>
      </w:r>
      <w:r w:rsidRPr="00F21980">
        <w:t>.</w:t>
      </w:r>
    </w:p>
    <w:p w:rsidR="0048364F" w:rsidRPr="00F21980" w:rsidRDefault="0048364F" w:rsidP="0048364F">
      <w:pPr>
        <w:pStyle w:val="ActHead5"/>
      </w:pPr>
      <w:bookmarkStart w:id="4" w:name="_Toc475526995"/>
      <w:r w:rsidRPr="00F21980">
        <w:rPr>
          <w:rStyle w:val="CharSectno"/>
        </w:rPr>
        <w:t>2</w:t>
      </w:r>
      <w:r w:rsidRPr="00F21980">
        <w:t xml:space="preserve">  Commencement</w:t>
      </w:r>
      <w:bookmarkEnd w:id="4"/>
    </w:p>
    <w:p w:rsidR="0076496A" w:rsidRPr="00F21980" w:rsidRDefault="0076496A" w:rsidP="00466E75">
      <w:pPr>
        <w:pStyle w:val="subsection"/>
      </w:pPr>
      <w:bookmarkStart w:id="5" w:name="_GoBack"/>
      <w:r w:rsidRPr="00F21980">
        <w:tab/>
        <w:t>(1)</w:t>
      </w:r>
      <w:r w:rsidRPr="00F21980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76496A" w:rsidRPr="00F21980" w:rsidRDefault="0076496A" w:rsidP="00466E7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6496A" w:rsidRPr="00F21980" w:rsidTr="0076496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Commencement information</w:t>
            </w:r>
          </w:p>
        </w:tc>
      </w:tr>
      <w:tr w:rsidR="0076496A" w:rsidRPr="00F21980" w:rsidTr="0076496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Column 3</w:t>
            </w:r>
          </w:p>
        </w:tc>
      </w:tr>
      <w:tr w:rsidR="0076496A" w:rsidRPr="00F21980" w:rsidTr="0076496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Heading"/>
            </w:pPr>
            <w:r w:rsidRPr="00F21980">
              <w:t>Date/Details</w:t>
            </w:r>
          </w:p>
        </w:tc>
      </w:tr>
      <w:tr w:rsidR="0076496A" w:rsidRPr="00F21980" w:rsidTr="0076496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6496A" w:rsidRPr="00F21980" w:rsidRDefault="0076496A" w:rsidP="00466E75">
            <w:pPr>
              <w:pStyle w:val="Tabletext"/>
            </w:pPr>
            <w:r w:rsidRPr="00F21980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6496A" w:rsidRPr="00F21980" w:rsidRDefault="003A1825" w:rsidP="00466E75">
            <w:pPr>
              <w:pStyle w:val="Tabletext"/>
            </w:pPr>
            <w:r w:rsidRPr="00F21980">
              <w:t>1</w:t>
            </w:r>
            <w:r w:rsidR="00F21980" w:rsidRPr="00F21980">
              <w:t> </w:t>
            </w:r>
            <w:r w:rsidRPr="00F21980">
              <w:t>May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6496A" w:rsidRPr="00F21980" w:rsidRDefault="003A1825" w:rsidP="00466E75">
            <w:pPr>
              <w:pStyle w:val="Tabletext"/>
            </w:pPr>
            <w:r w:rsidRPr="00F21980">
              <w:t>1</w:t>
            </w:r>
            <w:r w:rsidR="00F21980" w:rsidRPr="00F21980">
              <w:t> </w:t>
            </w:r>
            <w:r w:rsidRPr="00F21980">
              <w:t>May 2017</w:t>
            </w:r>
          </w:p>
        </w:tc>
      </w:tr>
    </w:tbl>
    <w:p w:rsidR="0076496A" w:rsidRPr="00F21980" w:rsidRDefault="0076496A" w:rsidP="00466E75">
      <w:pPr>
        <w:pStyle w:val="notetext"/>
      </w:pPr>
      <w:r w:rsidRPr="00F21980">
        <w:rPr>
          <w:snapToGrid w:val="0"/>
          <w:lang w:eastAsia="en-US"/>
        </w:rPr>
        <w:t>Note:</w:t>
      </w:r>
      <w:r w:rsidRPr="00F21980">
        <w:rPr>
          <w:snapToGrid w:val="0"/>
          <w:lang w:eastAsia="en-US"/>
        </w:rPr>
        <w:tab/>
        <w:t xml:space="preserve">This table relates only to the provisions of this </w:t>
      </w:r>
      <w:r w:rsidRPr="00F21980">
        <w:t xml:space="preserve">instrument </w:t>
      </w:r>
      <w:r w:rsidRPr="00F21980">
        <w:rPr>
          <w:snapToGrid w:val="0"/>
          <w:lang w:eastAsia="en-US"/>
        </w:rPr>
        <w:t xml:space="preserve">as originally made. It will not be amended to deal with any later amendments of this </w:t>
      </w:r>
      <w:r w:rsidRPr="00F21980">
        <w:t>instrument</w:t>
      </w:r>
      <w:r w:rsidRPr="00F21980">
        <w:rPr>
          <w:snapToGrid w:val="0"/>
          <w:lang w:eastAsia="en-US"/>
        </w:rPr>
        <w:t>.</w:t>
      </w:r>
    </w:p>
    <w:p w:rsidR="0076496A" w:rsidRPr="00F21980" w:rsidRDefault="0076496A" w:rsidP="00466E75">
      <w:pPr>
        <w:pStyle w:val="subsection"/>
      </w:pPr>
      <w:r w:rsidRPr="00F21980">
        <w:tab/>
        <w:t>(2)</w:t>
      </w:r>
      <w:r w:rsidRPr="00F2198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F21980" w:rsidRDefault="007769D4" w:rsidP="007769D4">
      <w:pPr>
        <w:pStyle w:val="ActHead5"/>
      </w:pPr>
      <w:bookmarkStart w:id="6" w:name="_Toc475526996"/>
      <w:r w:rsidRPr="00F21980">
        <w:rPr>
          <w:rStyle w:val="CharSectno"/>
        </w:rPr>
        <w:t>3</w:t>
      </w:r>
      <w:r w:rsidRPr="00F21980">
        <w:t xml:space="preserve">  Authority</w:t>
      </w:r>
      <w:bookmarkEnd w:id="6"/>
    </w:p>
    <w:p w:rsidR="007769D4" w:rsidRPr="00F21980" w:rsidRDefault="007769D4" w:rsidP="007769D4">
      <w:pPr>
        <w:pStyle w:val="subsection"/>
      </w:pPr>
      <w:r w:rsidRPr="00F21980">
        <w:tab/>
      </w:r>
      <w:r w:rsidRPr="00F21980">
        <w:tab/>
      </w:r>
      <w:r w:rsidR="00AF0336" w:rsidRPr="00F21980">
        <w:t xml:space="preserve">This </w:t>
      </w:r>
      <w:r w:rsidR="0076496A" w:rsidRPr="00F21980">
        <w:t>instrument</w:t>
      </w:r>
      <w:r w:rsidR="00AF0336" w:rsidRPr="00F21980">
        <w:t xml:space="preserve"> is made under the </w:t>
      </w:r>
      <w:r w:rsidR="0076496A" w:rsidRPr="00F21980">
        <w:rPr>
          <w:i/>
        </w:rPr>
        <w:t>Health Insurance Act 1973</w:t>
      </w:r>
      <w:r w:rsidR="00D83D21" w:rsidRPr="00F21980">
        <w:rPr>
          <w:i/>
        </w:rPr>
        <w:t>.</w:t>
      </w:r>
    </w:p>
    <w:p w:rsidR="00557C7A" w:rsidRPr="00F21980" w:rsidRDefault="007769D4" w:rsidP="00557C7A">
      <w:pPr>
        <w:pStyle w:val="ActHead5"/>
      </w:pPr>
      <w:bookmarkStart w:id="7" w:name="_Toc475526997"/>
      <w:r w:rsidRPr="00F21980">
        <w:rPr>
          <w:rStyle w:val="CharSectno"/>
        </w:rPr>
        <w:t>4</w:t>
      </w:r>
      <w:r w:rsidR="00557C7A" w:rsidRPr="00F21980">
        <w:t xml:space="preserve">  </w:t>
      </w:r>
      <w:r w:rsidR="00B332B8" w:rsidRPr="00F21980">
        <w:t>Schedules</w:t>
      </w:r>
      <w:bookmarkEnd w:id="7"/>
    </w:p>
    <w:p w:rsidR="000F6B02" w:rsidRPr="00F21980" w:rsidRDefault="00557C7A" w:rsidP="000F6B02">
      <w:pPr>
        <w:pStyle w:val="subsection"/>
      </w:pPr>
      <w:r w:rsidRPr="00F21980">
        <w:tab/>
      </w:r>
      <w:r w:rsidRPr="00F21980">
        <w:tab/>
      </w:r>
      <w:r w:rsidR="000F6B02" w:rsidRPr="00F21980">
        <w:t xml:space="preserve">Each instrument that is specified in a Schedule to </w:t>
      </w:r>
      <w:r w:rsidR="0076496A" w:rsidRPr="00F21980">
        <w:t>this instrument</w:t>
      </w:r>
      <w:r w:rsidR="000F6B02" w:rsidRPr="00F21980">
        <w:t xml:space="preserve"> is amended or repealed as set out in the applicable items in the Schedule concerned, and any other item in a Schedule to </w:t>
      </w:r>
      <w:r w:rsidR="0076496A" w:rsidRPr="00F21980">
        <w:t>this instrument</w:t>
      </w:r>
      <w:r w:rsidR="000F6B02" w:rsidRPr="00F21980">
        <w:t xml:space="preserve"> has effect according to its terms.</w:t>
      </w:r>
    </w:p>
    <w:p w:rsidR="0048364F" w:rsidRPr="00F21980" w:rsidRDefault="0048364F" w:rsidP="00FF3089">
      <w:pPr>
        <w:pStyle w:val="ActHead6"/>
        <w:pageBreakBefore/>
      </w:pPr>
      <w:bookmarkStart w:id="8" w:name="_Toc475526998"/>
      <w:bookmarkStart w:id="9" w:name="opcAmSched"/>
      <w:bookmarkStart w:id="10" w:name="opcCurrentFind"/>
      <w:r w:rsidRPr="00F21980">
        <w:rPr>
          <w:rStyle w:val="CharAmSchNo"/>
        </w:rPr>
        <w:lastRenderedPageBreak/>
        <w:t>Schedule</w:t>
      </w:r>
      <w:r w:rsidR="00F21980" w:rsidRPr="00F21980">
        <w:rPr>
          <w:rStyle w:val="CharAmSchNo"/>
        </w:rPr>
        <w:t> </w:t>
      </w:r>
      <w:r w:rsidRPr="00F21980">
        <w:rPr>
          <w:rStyle w:val="CharAmSchNo"/>
        </w:rPr>
        <w:t>1</w:t>
      </w:r>
      <w:r w:rsidRPr="00F21980">
        <w:t>—</w:t>
      </w:r>
      <w:r w:rsidR="00460499" w:rsidRPr="00F21980">
        <w:rPr>
          <w:rStyle w:val="CharAmSchText"/>
        </w:rPr>
        <w:t>Amendments</w:t>
      </w:r>
      <w:bookmarkEnd w:id="8"/>
    </w:p>
    <w:bookmarkEnd w:id="9"/>
    <w:bookmarkEnd w:id="10"/>
    <w:p w:rsidR="0004044E" w:rsidRPr="00F21980" w:rsidRDefault="0004044E" w:rsidP="0004044E">
      <w:pPr>
        <w:pStyle w:val="Header"/>
      </w:pPr>
      <w:r w:rsidRPr="00F21980">
        <w:rPr>
          <w:rStyle w:val="CharAmPartNo"/>
        </w:rPr>
        <w:t xml:space="preserve"> </w:t>
      </w:r>
      <w:r w:rsidRPr="00F21980">
        <w:rPr>
          <w:rStyle w:val="CharAmPartText"/>
        </w:rPr>
        <w:t xml:space="preserve"> </w:t>
      </w:r>
    </w:p>
    <w:p w:rsidR="0022370A" w:rsidRPr="00F21980" w:rsidRDefault="0022370A" w:rsidP="0022370A">
      <w:pPr>
        <w:pStyle w:val="ActHead9"/>
      </w:pPr>
      <w:bookmarkStart w:id="11" w:name="_Toc475526999"/>
      <w:r w:rsidRPr="00F21980">
        <w:t>Health Insurance (General Medical Services Table) Regulation</w:t>
      </w:r>
      <w:r w:rsidR="00F21980" w:rsidRPr="00F21980">
        <w:t> </w:t>
      </w:r>
      <w:r w:rsidRPr="00F21980">
        <w:t>2016</w:t>
      </w:r>
      <w:bookmarkEnd w:id="11"/>
    </w:p>
    <w:p w:rsidR="00A46BCD" w:rsidRPr="00F21980" w:rsidRDefault="00320A35" w:rsidP="00A46BCD">
      <w:pPr>
        <w:pStyle w:val="ItemHead"/>
      </w:pPr>
      <w:r w:rsidRPr="00F21980">
        <w:t>1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>6024, column headed “Description”)</w:t>
      </w:r>
    </w:p>
    <w:p w:rsidR="00A46BCD" w:rsidRPr="00F21980" w:rsidRDefault="00A46BCD" w:rsidP="00A46BCD">
      <w:pPr>
        <w:pStyle w:val="Item"/>
      </w:pPr>
      <w:r w:rsidRPr="00F21980">
        <w:t>After “20 minutes”, insert “,”.</w:t>
      </w:r>
    </w:p>
    <w:p w:rsidR="00A46BCD" w:rsidRPr="00F21980" w:rsidRDefault="00320A35" w:rsidP="00A46BCD">
      <w:pPr>
        <w:pStyle w:val="ItemHead"/>
      </w:pPr>
      <w:r w:rsidRPr="00F21980">
        <w:t>2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>6058, column headed “Description”)</w:t>
      </w:r>
    </w:p>
    <w:p w:rsidR="00A46BCD" w:rsidRPr="00F21980" w:rsidRDefault="00A46BCD" w:rsidP="00A46BCD">
      <w:pPr>
        <w:pStyle w:val="Item"/>
      </w:pPr>
      <w:r w:rsidRPr="00F21980">
        <w:t>Omit “by sexual health medicine specialist in the practice of his or her specialty of at least 20 minutes”, substitute “by a sexual health medicine specialist in the practice of his or her specialty of at least 20 minutes,”.</w:t>
      </w:r>
    </w:p>
    <w:p w:rsidR="00A46BCD" w:rsidRPr="00F21980" w:rsidRDefault="00320A35" w:rsidP="00A46BCD">
      <w:pPr>
        <w:pStyle w:val="ItemHead"/>
      </w:pPr>
      <w:r w:rsidRPr="00F21980">
        <w:t>3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(items</w:t>
      </w:r>
      <w:r w:rsidR="00F21980" w:rsidRPr="00F21980">
        <w:t> </w:t>
      </w:r>
      <w:r w:rsidR="00A46BCD" w:rsidRPr="00F21980">
        <w:t>12021, 12022 and 12024, column headed “Description”)</w:t>
      </w:r>
    </w:p>
    <w:p w:rsidR="00A46BCD" w:rsidRPr="00F21980" w:rsidRDefault="00A46BCD" w:rsidP="00A46BCD">
      <w:pPr>
        <w:pStyle w:val="Item"/>
      </w:pPr>
      <w:r w:rsidRPr="00F21980">
        <w:t>After “specialist”, insert “, or consultant physician,”.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4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(items</w:t>
      </w:r>
      <w:r w:rsidR="00F21980" w:rsidRPr="00F21980">
        <w:t> </w:t>
      </w:r>
      <w:r w:rsidR="00A46BCD" w:rsidRPr="00F21980">
        <w:t>30631, 30634 and 30635, column headed “Description”)</w:t>
      </w:r>
    </w:p>
    <w:p w:rsidR="00A46BCD" w:rsidRPr="00F21980" w:rsidRDefault="00A46BCD" w:rsidP="00A46BCD">
      <w:pPr>
        <w:pStyle w:val="Item"/>
      </w:pPr>
      <w:r w:rsidRPr="00F21980">
        <w:t>Omit “items</w:t>
      </w:r>
      <w:r w:rsidR="00F21980" w:rsidRPr="00F21980">
        <w:t> </w:t>
      </w:r>
      <w:r w:rsidRPr="00F21980">
        <w:t>30638, 30641 and 30644 apply”, substitute “item</w:t>
      </w:r>
      <w:r w:rsidR="00F21980" w:rsidRPr="00F21980">
        <w:t> </w:t>
      </w:r>
      <w:r w:rsidRPr="00F21980">
        <w:t>30638, 30641, 30642 or 30644 applies”.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5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(after item</w:t>
      </w:r>
      <w:r w:rsidR="00F21980" w:rsidRPr="00F21980">
        <w:t> </w:t>
      </w:r>
      <w:r w:rsidR="00A46BCD" w:rsidRPr="00F21980">
        <w:t>30641)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2363"/>
      </w:tblGrid>
      <w:tr w:rsidR="00A46BCD" w:rsidRPr="00F21980" w:rsidTr="00D84213">
        <w:tc>
          <w:tcPr>
            <w:tcW w:w="846" w:type="dxa"/>
            <w:shd w:val="clear" w:color="auto" w:fill="auto"/>
          </w:tcPr>
          <w:p w:rsidR="00A46BCD" w:rsidRPr="00F21980" w:rsidRDefault="00A46BCD" w:rsidP="00D84213">
            <w:pPr>
              <w:pStyle w:val="Tabletext"/>
            </w:pPr>
            <w:r w:rsidRPr="00F21980">
              <w:t>30642</w:t>
            </w:r>
          </w:p>
        </w:tc>
        <w:tc>
          <w:tcPr>
            <w:tcW w:w="5103" w:type="dxa"/>
            <w:shd w:val="clear" w:color="auto" w:fill="auto"/>
          </w:tcPr>
          <w:p w:rsidR="00A46BCD" w:rsidRPr="00F21980" w:rsidRDefault="00A46BCD" w:rsidP="00D84213">
            <w:pPr>
              <w:pStyle w:val="Tabletext"/>
            </w:pPr>
            <w:r w:rsidRPr="00F21980">
              <w:t>Orchidectomy, radical, unilateral, with or without insertion of testicular prosthesis, other than a service associated with a service to which item</w:t>
            </w:r>
            <w:r w:rsidR="00F21980" w:rsidRPr="00F21980">
              <w:t> </w:t>
            </w:r>
            <w:r w:rsidRPr="00F21980">
              <w:t xml:space="preserve">30631, 30634, 30635, 30638, 30641, 30643 or 30644 applies </w:t>
            </w:r>
            <w:r w:rsidRPr="00F21980">
              <w:rPr>
                <w:snapToGrid w:val="0"/>
              </w:rPr>
              <w:t>(H) (Anaes.) (Assist.)</w:t>
            </w:r>
          </w:p>
        </w:tc>
        <w:tc>
          <w:tcPr>
            <w:tcW w:w="2363" w:type="dxa"/>
            <w:shd w:val="clear" w:color="auto" w:fill="auto"/>
          </w:tcPr>
          <w:p w:rsidR="00A46BCD" w:rsidRPr="00F21980" w:rsidRDefault="00A46BCD" w:rsidP="00D84213">
            <w:pPr>
              <w:pStyle w:val="Tabletext"/>
              <w:jc w:val="right"/>
            </w:pPr>
            <w:r w:rsidRPr="00F21980">
              <w:t>521.25</w:t>
            </w:r>
          </w:p>
        </w:tc>
      </w:tr>
    </w:tbl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6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31340, column headed “Description”,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After “item”, insert “31000, 31001, 31002,”.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7</w:t>
      </w:r>
      <w:r w:rsidR="00A46BCD" w:rsidRPr="00F21980">
        <w:t xml:space="preserve">  Clause</w:t>
      </w:r>
      <w:r w:rsidR="00F21980" w:rsidRPr="00F21980">
        <w:t> </w:t>
      </w:r>
      <w:r w:rsidR="00A46BCD" w:rsidRPr="00F21980">
        <w:t>2.44.15A of Schedule</w:t>
      </w:r>
      <w:r w:rsidR="00F21980" w:rsidRPr="00F21980">
        <w:t> </w:t>
      </w:r>
      <w:r w:rsidR="00A46BCD" w:rsidRPr="00F21980">
        <w:t>1</w:t>
      </w:r>
    </w:p>
    <w:p w:rsidR="00A46BCD" w:rsidRPr="00F21980" w:rsidRDefault="00A46BCD" w:rsidP="00A46BCD">
      <w:pPr>
        <w:pStyle w:val="Item"/>
      </w:pPr>
      <w:r w:rsidRPr="00F21980">
        <w:t>Repeal the clause.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8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32213, column headed “Description”,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Omit “12 months”, substitute “12 months;”.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9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32213, column headed “Description”, after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  <w:r w:rsidRPr="00F21980">
        <w:t>other than a patient who:</w:t>
      </w:r>
    </w:p>
    <w:p w:rsidR="00A46BCD" w:rsidRPr="00F21980" w:rsidRDefault="00A46BCD" w:rsidP="00A46BCD">
      <w:pPr>
        <w:pStyle w:val="Tablea"/>
      </w:pPr>
      <w:r w:rsidRPr="00F21980">
        <w:t>(c) is medically unfit for surgery; or</w:t>
      </w:r>
    </w:p>
    <w:p w:rsidR="00A46BCD" w:rsidRPr="00F21980" w:rsidRDefault="00A46BCD" w:rsidP="00A46BCD">
      <w:pPr>
        <w:pStyle w:val="Tablea"/>
      </w:pPr>
      <w:r w:rsidRPr="00F21980">
        <w:t>(d) is pregnant or planning pregnancy; or</w:t>
      </w:r>
    </w:p>
    <w:p w:rsidR="00A46BCD" w:rsidRPr="00F21980" w:rsidRDefault="00A46BCD" w:rsidP="00A46BCD">
      <w:pPr>
        <w:pStyle w:val="Tablea"/>
      </w:pPr>
      <w:r w:rsidRPr="00F21980">
        <w:t>(e) has irritable bowel syndrome; or</w:t>
      </w:r>
    </w:p>
    <w:p w:rsidR="00A46BCD" w:rsidRPr="00F21980" w:rsidRDefault="00A46BCD" w:rsidP="00A46BCD">
      <w:pPr>
        <w:pStyle w:val="Tablea"/>
      </w:pPr>
      <w:r w:rsidRPr="00F21980">
        <w:t>(f)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(g)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(h)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lastRenderedPageBreak/>
        <w:t>(i)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t>(j)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(k) has had rectal or anal surgery within the previous 12 months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10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32214, column headed “Description”,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Omit “12 months”, substitute “12 months;”.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11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32214, column headed “Description”, after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  <w:r w:rsidRPr="00F21980">
        <w:t>other than a patient who:</w:t>
      </w:r>
    </w:p>
    <w:p w:rsidR="00A46BCD" w:rsidRPr="00F21980" w:rsidRDefault="00A46BCD" w:rsidP="00A46BCD">
      <w:pPr>
        <w:pStyle w:val="Tablea"/>
      </w:pPr>
      <w:r w:rsidRPr="00F21980">
        <w:t>(c) is medically unfit for surgery; or</w:t>
      </w:r>
    </w:p>
    <w:p w:rsidR="00A46BCD" w:rsidRPr="00F21980" w:rsidRDefault="00A46BCD" w:rsidP="00A46BCD">
      <w:pPr>
        <w:pStyle w:val="Tablea"/>
      </w:pPr>
      <w:r w:rsidRPr="00F21980">
        <w:t>(d) is pregnant or planning pregnancy; or</w:t>
      </w:r>
    </w:p>
    <w:p w:rsidR="00A46BCD" w:rsidRPr="00F21980" w:rsidRDefault="00A46BCD" w:rsidP="00A46BCD">
      <w:pPr>
        <w:pStyle w:val="Tablea"/>
      </w:pPr>
      <w:r w:rsidRPr="00F21980">
        <w:t>(e) has irritable bowel syndrome; or</w:t>
      </w:r>
    </w:p>
    <w:p w:rsidR="00A46BCD" w:rsidRPr="00F21980" w:rsidRDefault="00A46BCD" w:rsidP="00A46BCD">
      <w:pPr>
        <w:pStyle w:val="Tablea"/>
      </w:pPr>
      <w:r w:rsidRPr="00F21980">
        <w:t>(f)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(g)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(h)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t>(i)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t>(j)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(k) has had rectal or anal surgery within the previous 12 months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12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>32215, column headed “Description”)</w:t>
      </w:r>
    </w:p>
    <w:p w:rsidR="00A46BCD" w:rsidRPr="00F21980" w:rsidRDefault="00A46BCD" w:rsidP="00A46BCD">
      <w:pPr>
        <w:pStyle w:val="Item"/>
      </w:pPr>
      <w:r w:rsidRPr="00F21980">
        <w:t>Omit all the words after “by a medical practitioner,”, substitute:</w:t>
      </w:r>
    </w:p>
    <w:p w:rsidR="00A46BCD" w:rsidRPr="00F21980" w:rsidRDefault="00A46BCD" w:rsidP="00A46BCD">
      <w:pPr>
        <w:pStyle w:val="Tabletext"/>
      </w:pPr>
      <w:r w:rsidRPr="00F21980">
        <w:t>to manage faecal incontinence, other than in a patient who:</w:t>
      </w:r>
    </w:p>
    <w:p w:rsidR="00A46BCD" w:rsidRPr="00F21980" w:rsidRDefault="00A46BCD" w:rsidP="00A46BCD">
      <w:pPr>
        <w:pStyle w:val="Tablea"/>
      </w:pPr>
      <w:r w:rsidRPr="00F21980">
        <w:t>(a) is medically unfit for surgery; or</w:t>
      </w:r>
    </w:p>
    <w:p w:rsidR="00A46BCD" w:rsidRPr="00F21980" w:rsidRDefault="00A46BCD" w:rsidP="00A46BCD">
      <w:pPr>
        <w:pStyle w:val="Tablea"/>
      </w:pPr>
      <w:r w:rsidRPr="00F21980">
        <w:t>(b) is pregnant or planning pregnancy; or</w:t>
      </w:r>
    </w:p>
    <w:p w:rsidR="00A46BCD" w:rsidRPr="00F21980" w:rsidRDefault="00A46BCD" w:rsidP="00A46BCD">
      <w:pPr>
        <w:pStyle w:val="Tablea"/>
      </w:pPr>
      <w:r w:rsidRPr="00F21980">
        <w:t>(c) has irritable bowel syndrome; or</w:t>
      </w:r>
    </w:p>
    <w:p w:rsidR="00A46BCD" w:rsidRPr="00F21980" w:rsidRDefault="00A46BCD" w:rsidP="00A46BCD">
      <w:pPr>
        <w:pStyle w:val="Tablea"/>
      </w:pPr>
      <w:r w:rsidRPr="00F21980">
        <w:t>(d)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(e)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(f)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t>(g)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t>(h)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(i) has had rectal or anal surgery within the previous 12 months;</w:t>
      </w:r>
    </w:p>
    <w:p w:rsidR="00A46BCD" w:rsidRPr="00F21980" w:rsidRDefault="00A46BCD" w:rsidP="00A46BCD">
      <w:pPr>
        <w:pStyle w:val="Tabletext"/>
      </w:pPr>
      <w:r w:rsidRPr="00F21980">
        <w:t>—each day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13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32216, column headed “Description”, after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  <w:r w:rsidRPr="00F21980">
        <w:t>other than a patient who:</w:t>
      </w:r>
    </w:p>
    <w:p w:rsidR="00A46BCD" w:rsidRPr="00F21980" w:rsidRDefault="00A46BCD" w:rsidP="00A46BCD">
      <w:pPr>
        <w:pStyle w:val="Tablea"/>
      </w:pPr>
      <w:r w:rsidRPr="00F21980">
        <w:t>(c) is medically unfit for surgery; or</w:t>
      </w:r>
    </w:p>
    <w:p w:rsidR="00A46BCD" w:rsidRPr="00F21980" w:rsidRDefault="00A46BCD" w:rsidP="00A46BCD">
      <w:pPr>
        <w:pStyle w:val="Tablea"/>
      </w:pPr>
      <w:r w:rsidRPr="00F21980">
        <w:t>(d) is pregnant or planning pregnancy; or</w:t>
      </w:r>
    </w:p>
    <w:p w:rsidR="00A46BCD" w:rsidRPr="00F21980" w:rsidRDefault="00A46BCD" w:rsidP="00A46BCD">
      <w:pPr>
        <w:pStyle w:val="Tablea"/>
      </w:pPr>
      <w:r w:rsidRPr="00F21980">
        <w:t>(e) has irritable bowel syndrome; or</w:t>
      </w:r>
    </w:p>
    <w:p w:rsidR="00A46BCD" w:rsidRPr="00F21980" w:rsidRDefault="00A46BCD" w:rsidP="00A46BCD">
      <w:pPr>
        <w:pStyle w:val="Tablea"/>
      </w:pPr>
      <w:r w:rsidRPr="00F21980">
        <w:t>(f)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(g)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(h)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t>(i)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lastRenderedPageBreak/>
        <w:t>(j)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(k) has had rectal or anal surgery within the previous 12 months;</w:t>
      </w:r>
    </w:p>
    <w:p w:rsidR="00A46BCD" w:rsidRPr="00F21980" w:rsidRDefault="00320A35" w:rsidP="00A46BCD">
      <w:pPr>
        <w:pStyle w:val="ItemHead"/>
      </w:pPr>
      <w:r w:rsidRPr="00F21980">
        <w:t>14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32217, column headed “Description”,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Omit “12 months”, substitute “12 months;”.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15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32217, column headed “Description”, after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  <w:r w:rsidRPr="00F21980">
        <w:t>other than a patient who:</w:t>
      </w:r>
    </w:p>
    <w:p w:rsidR="00A46BCD" w:rsidRPr="00F21980" w:rsidRDefault="00A46BCD" w:rsidP="00A46BCD">
      <w:pPr>
        <w:pStyle w:val="Tablea"/>
      </w:pPr>
      <w:r w:rsidRPr="00F21980">
        <w:t>(c) is medically unfit for surgery; or</w:t>
      </w:r>
    </w:p>
    <w:p w:rsidR="00A46BCD" w:rsidRPr="00F21980" w:rsidRDefault="00A46BCD" w:rsidP="00A46BCD">
      <w:pPr>
        <w:pStyle w:val="Tablea"/>
      </w:pPr>
      <w:r w:rsidRPr="00F21980">
        <w:t>(d) is pregnant or planning pregnancy; or</w:t>
      </w:r>
    </w:p>
    <w:p w:rsidR="00A46BCD" w:rsidRPr="00F21980" w:rsidRDefault="00A46BCD" w:rsidP="00A46BCD">
      <w:pPr>
        <w:pStyle w:val="Tablea"/>
      </w:pPr>
      <w:r w:rsidRPr="00F21980">
        <w:t>(e) has irritable bowel syndrome; or</w:t>
      </w:r>
    </w:p>
    <w:p w:rsidR="00A46BCD" w:rsidRPr="00F21980" w:rsidRDefault="00A46BCD" w:rsidP="00A46BCD">
      <w:pPr>
        <w:pStyle w:val="Tablea"/>
      </w:pPr>
      <w:r w:rsidRPr="00F21980">
        <w:t>(f)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(g)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(h)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t>(i)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t>(j)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(k) has had rectal or anal surgery within the previous 12 months</w:t>
      </w:r>
    </w:p>
    <w:p w:rsidR="00A46BCD" w:rsidRPr="00F21980" w:rsidRDefault="00320A35" w:rsidP="00A46BCD">
      <w:pPr>
        <w:pStyle w:val="ItemHead"/>
      </w:pPr>
      <w:r w:rsidRPr="00F21980">
        <w:t>16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32218, column headed “Description”,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Omit “12 months”, substitute “12 months;”.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17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t xml:space="preserve">32218, column headed “Description”, after </w:t>
      </w:r>
      <w:r w:rsidR="00F21980" w:rsidRPr="00F21980">
        <w:t>paragraph (</w:t>
      </w:r>
      <w:r w:rsidR="00A46BCD" w:rsidRPr="00F21980">
        <w:t>b))</w:t>
      </w:r>
    </w:p>
    <w:p w:rsidR="00A46BCD" w:rsidRPr="00F21980" w:rsidRDefault="00A46BCD" w:rsidP="00A46BCD">
      <w:pPr>
        <w:pStyle w:val="Item"/>
      </w:pPr>
      <w:r w:rsidRPr="00F21980">
        <w:t>Insert:</w:t>
      </w:r>
    </w:p>
    <w:p w:rsidR="00A46BCD" w:rsidRPr="00F21980" w:rsidRDefault="00A46BCD" w:rsidP="00A46BCD">
      <w:pPr>
        <w:pStyle w:val="Tabletext"/>
      </w:pPr>
      <w:r w:rsidRPr="00F21980">
        <w:t>other than a patient who:</w:t>
      </w:r>
    </w:p>
    <w:p w:rsidR="00A46BCD" w:rsidRPr="00F21980" w:rsidRDefault="00A46BCD" w:rsidP="00A46BCD">
      <w:pPr>
        <w:pStyle w:val="Tablea"/>
      </w:pPr>
      <w:r w:rsidRPr="00F21980">
        <w:t>(c) is medically unfit for surgery; or</w:t>
      </w:r>
    </w:p>
    <w:p w:rsidR="00A46BCD" w:rsidRPr="00F21980" w:rsidRDefault="00A46BCD" w:rsidP="00A46BCD">
      <w:pPr>
        <w:pStyle w:val="Tablea"/>
      </w:pPr>
      <w:r w:rsidRPr="00F21980">
        <w:t>(d) is pregnant or planning pregnancy; or</w:t>
      </w:r>
    </w:p>
    <w:p w:rsidR="00A46BCD" w:rsidRPr="00F21980" w:rsidRDefault="00A46BCD" w:rsidP="00A46BCD">
      <w:pPr>
        <w:pStyle w:val="Tablea"/>
      </w:pPr>
      <w:r w:rsidRPr="00F21980">
        <w:t>(e) has irritable bowel syndrome; or</w:t>
      </w:r>
    </w:p>
    <w:p w:rsidR="00A46BCD" w:rsidRPr="00F21980" w:rsidRDefault="00A46BCD" w:rsidP="00A46BCD">
      <w:pPr>
        <w:pStyle w:val="Tablea"/>
      </w:pPr>
      <w:r w:rsidRPr="00F21980">
        <w:t>(f) has congenital anorectal malformations; or</w:t>
      </w:r>
    </w:p>
    <w:p w:rsidR="00A46BCD" w:rsidRPr="00F21980" w:rsidRDefault="00A46BCD" w:rsidP="00A46BCD">
      <w:pPr>
        <w:pStyle w:val="Tablea"/>
      </w:pPr>
      <w:r w:rsidRPr="00F21980">
        <w:t>(g) has active anal abscesses or fistulas; or</w:t>
      </w:r>
    </w:p>
    <w:p w:rsidR="00A46BCD" w:rsidRPr="00F21980" w:rsidRDefault="00A46BCD" w:rsidP="00A46BCD">
      <w:pPr>
        <w:pStyle w:val="Tablea"/>
      </w:pPr>
      <w:r w:rsidRPr="00F21980">
        <w:t>(h) has anorectal organic bowel disease, including cancer; or</w:t>
      </w:r>
    </w:p>
    <w:p w:rsidR="00A46BCD" w:rsidRPr="00F21980" w:rsidRDefault="00A46BCD" w:rsidP="00A46BCD">
      <w:pPr>
        <w:pStyle w:val="Tablea"/>
      </w:pPr>
      <w:r w:rsidRPr="00F21980">
        <w:t>(i) has functional effects of previous pelvic irradiation; or</w:t>
      </w:r>
    </w:p>
    <w:p w:rsidR="00A46BCD" w:rsidRPr="00F21980" w:rsidRDefault="00A46BCD" w:rsidP="00A46BCD">
      <w:pPr>
        <w:pStyle w:val="Tablea"/>
      </w:pPr>
      <w:r w:rsidRPr="00F21980">
        <w:t>(j) has congenital or acquired malformations of the sacrum; or</w:t>
      </w:r>
    </w:p>
    <w:p w:rsidR="00A46BCD" w:rsidRPr="00F21980" w:rsidRDefault="00A46BCD" w:rsidP="00A46BCD">
      <w:pPr>
        <w:pStyle w:val="Tablea"/>
      </w:pPr>
      <w:r w:rsidRPr="00F21980">
        <w:t>(k) has had rectal or anal surgery within the previous 12 months</w:t>
      </w:r>
    </w:p>
    <w:p w:rsidR="006D3667" w:rsidRPr="00F21980" w:rsidRDefault="00320A35" w:rsidP="006C2C12">
      <w:pPr>
        <w:pStyle w:val="ItemHead"/>
        <w:tabs>
          <w:tab w:val="left" w:pos="6663"/>
        </w:tabs>
      </w:pPr>
      <w:r w:rsidRPr="00F21980">
        <w:t>18</w:t>
      </w:r>
      <w:r w:rsidR="00BB6E79" w:rsidRPr="00F21980">
        <w:t xml:space="preserve">  </w:t>
      </w:r>
      <w:r w:rsidR="0022370A" w:rsidRPr="00F21980">
        <w:t>Schedule</w:t>
      </w:r>
      <w:r w:rsidR="00F21980" w:rsidRPr="00F21980">
        <w:t> </w:t>
      </w:r>
      <w:r w:rsidR="0022370A" w:rsidRPr="00F21980">
        <w:t>1 (after item</w:t>
      </w:r>
      <w:r w:rsidR="00F21980" w:rsidRPr="00F21980">
        <w:t> </w:t>
      </w:r>
      <w:r w:rsidR="0022370A" w:rsidRPr="00F21980">
        <w:t>35729)</w:t>
      </w:r>
    </w:p>
    <w:p w:rsidR="0022370A" w:rsidRPr="00F21980" w:rsidRDefault="0022370A" w:rsidP="0022370A">
      <w:pPr>
        <w:pStyle w:val="Item"/>
      </w:pPr>
      <w:r w:rsidRPr="00F21980">
        <w:t>Insert:</w:t>
      </w:r>
    </w:p>
    <w:p w:rsidR="0022370A" w:rsidRPr="00F21980" w:rsidRDefault="0022370A" w:rsidP="0022370A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2363"/>
      </w:tblGrid>
      <w:tr w:rsidR="0022370A" w:rsidRPr="00F21980" w:rsidTr="0022370A">
        <w:tc>
          <w:tcPr>
            <w:tcW w:w="846" w:type="dxa"/>
            <w:shd w:val="clear" w:color="auto" w:fill="auto"/>
          </w:tcPr>
          <w:p w:rsidR="0022370A" w:rsidRPr="00F21980" w:rsidRDefault="0022370A" w:rsidP="0022370A">
            <w:pPr>
              <w:pStyle w:val="Tabletext"/>
            </w:pPr>
            <w:r w:rsidRPr="00F21980">
              <w:t>35730</w:t>
            </w:r>
          </w:p>
        </w:tc>
        <w:tc>
          <w:tcPr>
            <w:tcW w:w="5103" w:type="dxa"/>
            <w:shd w:val="clear" w:color="auto" w:fill="auto"/>
          </w:tcPr>
          <w:p w:rsidR="0022370A" w:rsidRPr="00F21980" w:rsidRDefault="0022370A" w:rsidP="0022370A">
            <w:pPr>
              <w:pStyle w:val="Tabletext"/>
            </w:pPr>
            <w:r w:rsidRPr="00F21980">
              <w:t xml:space="preserve">Ovarian repositioning for one or both ovaries to preserve ovarian function, prior to gonadotoxic radiotherapy when the treatment volume and dose of radiation have a high probability of causing infertility </w:t>
            </w:r>
            <w:r w:rsidRPr="00F21980">
              <w:rPr>
                <w:snapToGrid w:val="0"/>
              </w:rPr>
              <w:t>(H) (Anaes.)</w:t>
            </w:r>
          </w:p>
        </w:tc>
        <w:tc>
          <w:tcPr>
            <w:tcW w:w="2363" w:type="dxa"/>
            <w:shd w:val="clear" w:color="auto" w:fill="auto"/>
          </w:tcPr>
          <w:p w:rsidR="0022370A" w:rsidRPr="00F21980" w:rsidRDefault="0022370A" w:rsidP="0022370A">
            <w:pPr>
              <w:pStyle w:val="Tabletext"/>
              <w:jc w:val="right"/>
            </w:pPr>
            <w:r w:rsidRPr="00F21980">
              <w:t>217.80</w:t>
            </w:r>
          </w:p>
        </w:tc>
      </w:tr>
    </w:tbl>
    <w:p w:rsidR="0022370A" w:rsidRPr="00F21980" w:rsidRDefault="0022370A" w:rsidP="0022370A">
      <w:pPr>
        <w:pStyle w:val="Tabletext"/>
      </w:pP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lastRenderedPageBreak/>
        <w:t>19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 xml:space="preserve">36663, column headed “Description”, </w:t>
      </w:r>
      <w:r w:rsidR="00F21980" w:rsidRPr="00F21980">
        <w:rPr>
          <w:snapToGrid w:val="0"/>
        </w:rPr>
        <w:t>subparagraph (</w:t>
      </w:r>
      <w:r w:rsidR="00A46BCD" w:rsidRPr="00F21980">
        <w:rPr>
          <w:snapToGrid w:val="0"/>
        </w:rPr>
        <w:t>b</w:t>
      </w:r>
      <w:r w:rsidR="00A46BCD" w:rsidRPr="00F21980">
        <w:t>)(ii))</w:t>
      </w:r>
    </w:p>
    <w:p w:rsidR="00A46BCD" w:rsidRPr="00F21980" w:rsidRDefault="00A46BCD" w:rsidP="00A46BCD">
      <w:pPr>
        <w:pStyle w:val="Item"/>
      </w:pPr>
      <w:r w:rsidRPr="00F21980">
        <w:t>Omit “treatment;”, substitute “treatment”.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20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>36663, column headed “Description”</w:t>
      </w:r>
      <w:r w:rsidR="00A46BCD" w:rsidRPr="00F21980">
        <w:t>)</w:t>
      </w:r>
    </w:p>
    <w:p w:rsidR="00A46BCD" w:rsidRPr="00F21980" w:rsidRDefault="00A46BCD" w:rsidP="00A46BCD">
      <w:pPr>
        <w:pStyle w:val="Item"/>
      </w:pPr>
      <w:r w:rsidRPr="00F21980">
        <w:t>Omit “</w:t>
      </w:r>
      <w:r w:rsidRPr="00F21980">
        <w:rPr>
          <w:snapToGrid w:val="0"/>
        </w:rPr>
        <w:t>in a patient who is at least 18 years old</w:t>
      </w:r>
      <w:r w:rsidRPr="00F21980">
        <w:t>”.</w:t>
      </w:r>
    </w:p>
    <w:p w:rsidR="00A46BCD" w:rsidRPr="00F21980" w:rsidRDefault="00320A35" w:rsidP="00A46BCD">
      <w:pPr>
        <w:pStyle w:val="ItemHead"/>
      </w:pPr>
      <w:r w:rsidRPr="00F21980">
        <w:t>21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>36664, column headed “Description”</w:t>
      </w:r>
      <w:r w:rsidR="00A46BCD" w:rsidRPr="00F21980">
        <w:t>)</w:t>
      </w:r>
    </w:p>
    <w:p w:rsidR="00A46BCD" w:rsidRPr="00F21980" w:rsidRDefault="00A46BCD" w:rsidP="00A46BCD">
      <w:pPr>
        <w:pStyle w:val="Item"/>
        <w:rPr>
          <w:snapToGrid w:val="0"/>
        </w:rPr>
      </w:pPr>
      <w:r w:rsidRPr="00F21980">
        <w:t>Omit “</w:t>
      </w:r>
      <w:r w:rsidRPr="00F21980">
        <w:rPr>
          <w:snapToGrid w:val="0"/>
        </w:rPr>
        <w:t>in a patient who is at least 18 years old—”.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22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 xml:space="preserve">36666, column headed “Description”, </w:t>
      </w:r>
      <w:r w:rsidR="00F21980" w:rsidRPr="00F21980">
        <w:rPr>
          <w:snapToGrid w:val="0"/>
        </w:rPr>
        <w:t>paragraph (</w:t>
      </w:r>
      <w:r w:rsidR="00A46BCD" w:rsidRPr="00F21980">
        <w:rPr>
          <w:snapToGrid w:val="0"/>
        </w:rPr>
        <w:t>b</w:t>
      </w:r>
      <w:r w:rsidR="00A46BCD" w:rsidRPr="00F21980">
        <w:t>))</w:t>
      </w:r>
    </w:p>
    <w:p w:rsidR="00A46BCD" w:rsidRPr="00F21980" w:rsidRDefault="00A46BCD" w:rsidP="00A46BCD">
      <w:pPr>
        <w:pStyle w:val="Item"/>
      </w:pPr>
      <w:r w:rsidRPr="00F21980">
        <w:t>Omit “treatment;”, substitute “treatment”.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23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>36666, column headed “Description”</w:t>
      </w:r>
      <w:r w:rsidR="00A46BCD" w:rsidRPr="00F21980">
        <w:t>)</w:t>
      </w:r>
    </w:p>
    <w:p w:rsidR="00A46BCD" w:rsidRPr="00F21980" w:rsidRDefault="00A46BCD" w:rsidP="00A46BCD">
      <w:pPr>
        <w:pStyle w:val="Item"/>
      </w:pPr>
      <w:r w:rsidRPr="00F21980">
        <w:t>Omit “</w:t>
      </w:r>
      <w:r w:rsidRPr="00F21980">
        <w:rPr>
          <w:snapToGrid w:val="0"/>
        </w:rPr>
        <w:t>in a patient who is at least 18 years old</w:t>
      </w:r>
      <w:r w:rsidRPr="00F21980">
        <w:t>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24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 xml:space="preserve">36667, column headed “Description”, </w:t>
      </w:r>
      <w:r w:rsidR="00F21980" w:rsidRPr="00F21980">
        <w:rPr>
          <w:snapToGrid w:val="0"/>
        </w:rPr>
        <w:t>paragraph (</w:t>
      </w:r>
      <w:r w:rsidR="00A46BCD" w:rsidRPr="00F21980">
        <w:rPr>
          <w:snapToGrid w:val="0"/>
        </w:rPr>
        <w:t>b</w:t>
      </w:r>
      <w:r w:rsidR="00A46BCD" w:rsidRPr="00F21980">
        <w:t>))</w:t>
      </w:r>
    </w:p>
    <w:p w:rsidR="00A46BCD" w:rsidRPr="00F21980" w:rsidRDefault="00A46BCD" w:rsidP="00A46BCD">
      <w:pPr>
        <w:pStyle w:val="Item"/>
      </w:pPr>
      <w:r w:rsidRPr="00F21980">
        <w:t>Omit “treatment;”, substitute “treatment”.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25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>36667, column headed “Description”</w:t>
      </w:r>
      <w:r w:rsidR="00A46BCD" w:rsidRPr="00F21980">
        <w:t>)</w:t>
      </w:r>
    </w:p>
    <w:p w:rsidR="00A46BCD" w:rsidRPr="00F21980" w:rsidRDefault="00A46BCD" w:rsidP="00A46BCD">
      <w:pPr>
        <w:pStyle w:val="Item"/>
      </w:pPr>
      <w:r w:rsidRPr="00F21980">
        <w:t>Omit “</w:t>
      </w:r>
      <w:r w:rsidRPr="00F21980">
        <w:rPr>
          <w:snapToGrid w:val="0"/>
        </w:rPr>
        <w:t>in a patient who is at least 18 years old</w:t>
      </w:r>
      <w:r w:rsidRPr="00F21980">
        <w:t>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26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 xml:space="preserve">36668, column headed “Description”, </w:t>
      </w:r>
      <w:r w:rsidR="00F21980" w:rsidRPr="00F21980">
        <w:rPr>
          <w:snapToGrid w:val="0"/>
        </w:rPr>
        <w:t>paragraph (</w:t>
      </w:r>
      <w:r w:rsidR="00A46BCD" w:rsidRPr="00F21980">
        <w:rPr>
          <w:snapToGrid w:val="0"/>
        </w:rPr>
        <w:t>b</w:t>
      </w:r>
      <w:r w:rsidR="00A46BCD" w:rsidRPr="00F21980">
        <w:t>))</w:t>
      </w:r>
    </w:p>
    <w:p w:rsidR="00A46BCD" w:rsidRPr="00F21980" w:rsidRDefault="00A46BCD" w:rsidP="00A46BCD">
      <w:pPr>
        <w:pStyle w:val="Item"/>
      </w:pPr>
      <w:r w:rsidRPr="00F21980">
        <w:t>Omit “treatment;”, substitute “treatment”.</w:t>
      </w:r>
    </w:p>
    <w:p w:rsidR="00A46BCD" w:rsidRPr="00F21980" w:rsidRDefault="00320A35" w:rsidP="00A46BCD">
      <w:pPr>
        <w:pStyle w:val="ItemHead"/>
        <w:tabs>
          <w:tab w:val="left" w:pos="6663"/>
        </w:tabs>
      </w:pPr>
      <w:r w:rsidRPr="00F21980">
        <w:t>27</w:t>
      </w:r>
      <w:r w:rsidR="00A46BCD" w:rsidRPr="00F21980">
        <w:t xml:space="preserve">  Schedule</w:t>
      </w:r>
      <w:r w:rsidR="00F21980" w:rsidRPr="00F21980">
        <w:t> </w:t>
      </w:r>
      <w:r w:rsidR="00A46BCD" w:rsidRPr="00F21980">
        <w:t>1 (item</w:t>
      </w:r>
      <w:r w:rsidR="00F21980" w:rsidRPr="00F21980">
        <w:t> </w:t>
      </w:r>
      <w:r w:rsidR="00A46BCD" w:rsidRPr="00F21980">
        <w:rPr>
          <w:snapToGrid w:val="0"/>
        </w:rPr>
        <w:t>36668, column headed “Description”</w:t>
      </w:r>
      <w:r w:rsidR="00A46BCD" w:rsidRPr="00F21980">
        <w:t>)</w:t>
      </w:r>
    </w:p>
    <w:p w:rsidR="00A46BCD" w:rsidRPr="00F21980" w:rsidRDefault="00A46BCD" w:rsidP="00A46BCD">
      <w:pPr>
        <w:pStyle w:val="Item"/>
      </w:pPr>
      <w:r w:rsidRPr="00F21980">
        <w:t>Omit “</w:t>
      </w:r>
      <w:r w:rsidRPr="00F21980">
        <w:rPr>
          <w:snapToGrid w:val="0"/>
        </w:rPr>
        <w:t>in a patient who is at least 18 years old</w:t>
      </w:r>
      <w:r w:rsidRPr="00F21980">
        <w:t>”.</w:t>
      </w:r>
    </w:p>
    <w:p w:rsidR="00712704" w:rsidRPr="00F21980" w:rsidRDefault="00320A35" w:rsidP="00712704">
      <w:pPr>
        <w:pStyle w:val="ItemHead"/>
        <w:tabs>
          <w:tab w:val="left" w:pos="6663"/>
        </w:tabs>
      </w:pPr>
      <w:r w:rsidRPr="00F21980">
        <w:t>28</w:t>
      </w:r>
      <w:r w:rsidR="00712704" w:rsidRPr="00F21980">
        <w:t xml:space="preserve">  Schedule</w:t>
      </w:r>
      <w:r w:rsidR="00F21980" w:rsidRPr="00F21980">
        <w:t> </w:t>
      </w:r>
      <w:r w:rsidR="00712704" w:rsidRPr="00F21980">
        <w:t>1 (after item</w:t>
      </w:r>
      <w:r w:rsidR="00F21980" w:rsidRPr="00F21980">
        <w:t> </w:t>
      </w:r>
      <w:r w:rsidR="00712704" w:rsidRPr="00F21980">
        <w:rPr>
          <w:snapToGrid w:val="0"/>
        </w:rPr>
        <w:t>41617</w:t>
      </w:r>
      <w:r w:rsidR="00712704" w:rsidRPr="00F21980">
        <w:t>)</w:t>
      </w:r>
    </w:p>
    <w:p w:rsidR="00712704" w:rsidRPr="00F21980" w:rsidRDefault="00712704" w:rsidP="00712704">
      <w:pPr>
        <w:pStyle w:val="Item"/>
      </w:pPr>
      <w:r w:rsidRPr="00F21980">
        <w:t>Insert:</w:t>
      </w:r>
    </w:p>
    <w:p w:rsidR="00712704" w:rsidRPr="00F21980" w:rsidRDefault="00712704" w:rsidP="0071270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2363"/>
      </w:tblGrid>
      <w:tr w:rsidR="00712704" w:rsidRPr="00F21980" w:rsidTr="002F259C">
        <w:tc>
          <w:tcPr>
            <w:tcW w:w="846" w:type="dxa"/>
            <w:shd w:val="clear" w:color="auto" w:fill="auto"/>
          </w:tcPr>
          <w:p w:rsidR="00712704" w:rsidRPr="00F21980" w:rsidRDefault="00712704" w:rsidP="002F259C">
            <w:pPr>
              <w:pStyle w:val="Tabletext"/>
            </w:pPr>
            <w:r w:rsidRPr="00F21980">
              <w:t>41618</w:t>
            </w:r>
          </w:p>
        </w:tc>
        <w:tc>
          <w:tcPr>
            <w:tcW w:w="5103" w:type="dxa"/>
            <w:shd w:val="clear" w:color="auto" w:fill="auto"/>
          </w:tcPr>
          <w:p w:rsidR="000F3825" w:rsidRPr="00F21980" w:rsidRDefault="00712704" w:rsidP="002F259C">
            <w:pPr>
              <w:pStyle w:val="Tabletext"/>
            </w:pPr>
            <w:r w:rsidRPr="00F21980">
              <w:t>Middle ear implant, partially implantable, insertion of, via mastoidectomy, for patients with</w:t>
            </w:r>
            <w:r w:rsidR="000F3825" w:rsidRPr="00F21980">
              <w:t>:</w:t>
            </w:r>
          </w:p>
          <w:p w:rsidR="000F3825" w:rsidRPr="00F21980" w:rsidRDefault="000F3825" w:rsidP="00937DD4">
            <w:pPr>
              <w:pStyle w:val="Tablea"/>
            </w:pPr>
            <w:r w:rsidRPr="00F21980">
              <w:t>(a)</w:t>
            </w:r>
            <w:r w:rsidR="00712704" w:rsidRPr="00F21980">
              <w:t xml:space="preserve"> stable sensorineural hearing loss</w:t>
            </w:r>
            <w:r w:rsidRPr="00F21980">
              <w:t>; and</w:t>
            </w:r>
          </w:p>
          <w:p w:rsidR="00712704" w:rsidRPr="00F21980" w:rsidRDefault="000F3825" w:rsidP="00937DD4">
            <w:pPr>
              <w:pStyle w:val="Tablea"/>
            </w:pPr>
            <w:r w:rsidRPr="00F21980">
              <w:t>(b)</w:t>
            </w:r>
            <w:r w:rsidR="00712704" w:rsidRPr="00F21980">
              <w:t xml:space="preserve"> outer ear pathology that prevents the use of a conventional hearing aid</w:t>
            </w:r>
            <w:r w:rsidR="00937DD4" w:rsidRPr="00F21980">
              <w:t>;</w:t>
            </w:r>
            <w:r w:rsidR="00712704" w:rsidRPr="00F21980">
              <w:t xml:space="preserve">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c</w:t>
            </w:r>
            <w:r w:rsidRPr="00F21980">
              <w:t>) a PTA4 of less than 80 dBHL;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d</w:t>
            </w:r>
            <w:r w:rsidRPr="00F21980">
              <w:t>) bilateral, symmetrical hearing loss with PTA thresholds in both ears within 20 dBHL</w:t>
            </w:r>
            <w:r w:rsidR="00AB15D7" w:rsidRPr="00F21980">
              <w:t xml:space="preserve"> (</w:t>
            </w:r>
            <w:r w:rsidRPr="00F21980">
              <w:t>0.5</w:t>
            </w:r>
            <w:r w:rsidR="00F21980">
              <w:noBreakHyphen/>
            </w:r>
            <w:r w:rsidRPr="00F21980">
              <w:t>4kHz</w:t>
            </w:r>
            <w:r w:rsidR="00AB15D7" w:rsidRPr="00F21980">
              <w:t>)</w:t>
            </w:r>
            <w:r w:rsidRPr="00F21980">
              <w:t xml:space="preserve"> of each other;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e</w:t>
            </w:r>
            <w:r w:rsidRPr="00F21980">
              <w:t xml:space="preserve">) speech perception discrimination of </w:t>
            </w:r>
            <w:r w:rsidR="002F259C" w:rsidRPr="00F21980">
              <w:t>at least</w:t>
            </w:r>
            <w:r w:rsidRPr="00F21980">
              <w:t xml:space="preserve"> 65% correct for word lists with appropriately amplified sound;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f</w:t>
            </w:r>
            <w:r w:rsidRPr="00F21980">
              <w:t>) a normal middle ear;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g</w:t>
            </w:r>
            <w:r w:rsidRPr="00F21980">
              <w:t>) normal tympanometry; and</w:t>
            </w:r>
          </w:p>
          <w:p w:rsidR="00712704" w:rsidRPr="00F21980" w:rsidRDefault="00712704" w:rsidP="002F259C">
            <w:pPr>
              <w:pStyle w:val="Tablea"/>
            </w:pPr>
            <w:r w:rsidRPr="00F21980">
              <w:t>(</w:t>
            </w:r>
            <w:r w:rsidR="00937DD4" w:rsidRPr="00F21980">
              <w:t>h</w:t>
            </w:r>
            <w:r w:rsidRPr="00F21980">
              <w:t>) on audiometry, an air</w:t>
            </w:r>
            <w:r w:rsidR="00F21980">
              <w:noBreakHyphen/>
            </w:r>
            <w:r w:rsidRPr="00F21980">
              <w:t>bone gap of less than 10 dBHL</w:t>
            </w:r>
            <w:r w:rsidR="00AB15D7" w:rsidRPr="00F21980">
              <w:t xml:space="preserve"> (</w:t>
            </w:r>
            <w:r w:rsidRPr="00F21980">
              <w:t>0.5</w:t>
            </w:r>
            <w:r w:rsidR="00F21980">
              <w:noBreakHyphen/>
            </w:r>
            <w:r w:rsidRPr="00F21980">
              <w:t>4kHz</w:t>
            </w:r>
            <w:r w:rsidR="00AB15D7" w:rsidRPr="00F21980">
              <w:t>)</w:t>
            </w:r>
            <w:r w:rsidRPr="00F21980">
              <w:t xml:space="preserve"> across all frequencies; and</w:t>
            </w:r>
          </w:p>
          <w:p w:rsidR="00712704" w:rsidRPr="00F21980" w:rsidRDefault="00937DD4" w:rsidP="002F259C">
            <w:pPr>
              <w:pStyle w:val="Tablea"/>
            </w:pPr>
            <w:r w:rsidRPr="00F21980">
              <w:lastRenderedPageBreak/>
              <w:t>(i</w:t>
            </w:r>
            <w:r w:rsidR="00712704" w:rsidRPr="00F21980">
              <w:t>) no other inner ear disorders</w:t>
            </w:r>
          </w:p>
          <w:p w:rsidR="00712704" w:rsidRPr="00F21980" w:rsidRDefault="00712704" w:rsidP="00252CF5">
            <w:pPr>
              <w:pStyle w:val="Tablea"/>
            </w:pPr>
            <w:r w:rsidRPr="00F21980">
              <w:t>(H) (Anaes.) (Assist.)</w:t>
            </w:r>
          </w:p>
        </w:tc>
        <w:tc>
          <w:tcPr>
            <w:tcW w:w="2363" w:type="dxa"/>
            <w:shd w:val="clear" w:color="auto" w:fill="auto"/>
          </w:tcPr>
          <w:p w:rsidR="00712704" w:rsidRPr="00F21980" w:rsidRDefault="00712704" w:rsidP="002F259C">
            <w:pPr>
              <w:pStyle w:val="Tabletext"/>
              <w:jc w:val="right"/>
            </w:pPr>
            <w:r w:rsidRPr="00F21980">
              <w:lastRenderedPageBreak/>
              <w:t>1</w:t>
            </w:r>
            <w:r w:rsidR="00F21980" w:rsidRPr="00F21980">
              <w:t> </w:t>
            </w:r>
            <w:r w:rsidRPr="00F21980">
              <w:t>876.95</w:t>
            </w:r>
          </w:p>
        </w:tc>
      </w:tr>
    </w:tbl>
    <w:p w:rsidR="00712704" w:rsidRPr="00F21980" w:rsidRDefault="00712704" w:rsidP="00712704">
      <w:pPr>
        <w:pStyle w:val="Tabletext"/>
      </w:pPr>
    </w:p>
    <w:p w:rsidR="002B7A4E" w:rsidRPr="00F21980" w:rsidRDefault="00320A35" w:rsidP="002B7A4E">
      <w:pPr>
        <w:pStyle w:val="ItemHead"/>
        <w:tabs>
          <w:tab w:val="left" w:pos="6663"/>
        </w:tabs>
      </w:pPr>
      <w:r w:rsidRPr="00F21980">
        <w:t>29</w:t>
      </w:r>
      <w:r w:rsidR="002B7A4E" w:rsidRPr="00F21980">
        <w:t xml:space="preserve">  Schedule</w:t>
      </w:r>
      <w:r w:rsidR="00F21980" w:rsidRPr="00F21980">
        <w:t> </w:t>
      </w:r>
      <w:r w:rsidR="002B7A4E" w:rsidRPr="00F21980">
        <w:t>1 (item</w:t>
      </w:r>
      <w:r w:rsidR="00F21980" w:rsidRPr="00F21980">
        <w:t> </w:t>
      </w:r>
      <w:r w:rsidR="00466E75" w:rsidRPr="00F21980">
        <w:rPr>
          <w:snapToGrid w:val="0"/>
        </w:rPr>
        <w:t>42725</w:t>
      </w:r>
      <w:r w:rsidR="002B7A4E" w:rsidRPr="00F21980">
        <w:rPr>
          <w:snapToGrid w:val="0"/>
        </w:rPr>
        <w:t>, column headed “Description”</w:t>
      </w:r>
      <w:r w:rsidR="00466E75" w:rsidRPr="00F21980">
        <w:rPr>
          <w:snapToGrid w:val="0"/>
        </w:rPr>
        <w:t xml:space="preserve">, </w:t>
      </w:r>
      <w:r w:rsidR="00F21980" w:rsidRPr="00F21980">
        <w:rPr>
          <w:snapToGrid w:val="0"/>
        </w:rPr>
        <w:t>paragraph (</w:t>
      </w:r>
      <w:r w:rsidR="00466E75" w:rsidRPr="00F21980">
        <w:rPr>
          <w:snapToGrid w:val="0"/>
        </w:rPr>
        <w:t>c)</w:t>
      </w:r>
      <w:r w:rsidR="002B7A4E" w:rsidRPr="00F21980">
        <w:t>)</w:t>
      </w:r>
    </w:p>
    <w:p w:rsidR="00466E75" w:rsidRPr="00F21980" w:rsidRDefault="00466E75" w:rsidP="00466E75">
      <w:pPr>
        <w:pStyle w:val="Item"/>
      </w:pPr>
      <w:r w:rsidRPr="00F21980">
        <w:t>Omit “membranes”, substitute “membranes;”.</w:t>
      </w:r>
    </w:p>
    <w:p w:rsidR="00466E75" w:rsidRPr="00F21980" w:rsidRDefault="00320A35" w:rsidP="00466E75">
      <w:pPr>
        <w:pStyle w:val="ItemHead"/>
        <w:tabs>
          <w:tab w:val="left" w:pos="6663"/>
        </w:tabs>
      </w:pPr>
      <w:r w:rsidRPr="00F21980">
        <w:t>30</w:t>
      </w:r>
      <w:r w:rsidR="00466E75" w:rsidRPr="00F21980">
        <w:t xml:space="preserve">  Schedule</w:t>
      </w:r>
      <w:r w:rsidR="00F21980" w:rsidRPr="00F21980">
        <w:t> </w:t>
      </w:r>
      <w:r w:rsidR="00466E75" w:rsidRPr="00F21980">
        <w:t>1 (item</w:t>
      </w:r>
      <w:r w:rsidR="00F21980" w:rsidRPr="00F21980">
        <w:t> </w:t>
      </w:r>
      <w:r w:rsidR="00466E75" w:rsidRPr="00F21980">
        <w:rPr>
          <w:snapToGrid w:val="0"/>
        </w:rPr>
        <w:t xml:space="preserve">42725, column headed “Description”, after </w:t>
      </w:r>
      <w:r w:rsidR="00F21980" w:rsidRPr="00F21980">
        <w:rPr>
          <w:snapToGrid w:val="0"/>
        </w:rPr>
        <w:t>paragraph (</w:t>
      </w:r>
      <w:r w:rsidR="00466E75" w:rsidRPr="00F21980">
        <w:rPr>
          <w:snapToGrid w:val="0"/>
        </w:rPr>
        <w:t>c)</w:t>
      </w:r>
      <w:r w:rsidR="00466E75" w:rsidRPr="00F21980">
        <w:t>)</w:t>
      </w:r>
    </w:p>
    <w:p w:rsidR="00466E75" w:rsidRPr="00F21980" w:rsidRDefault="00466E75" w:rsidP="00466E75">
      <w:pPr>
        <w:pStyle w:val="Item"/>
      </w:pPr>
      <w:r w:rsidRPr="00F21980">
        <w:t>Insert:</w:t>
      </w:r>
    </w:p>
    <w:p w:rsidR="00466E75" w:rsidRPr="00F21980" w:rsidRDefault="00466E75" w:rsidP="00466E75">
      <w:pPr>
        <w:pStyle w:val="Tablea"/>
      </w:pPr>
      <w:r w:rsidRPr="00F21980">
        <w:t>(d) capsulotomy</w:t>
      </w:r>
    </w:p>
    <w:p w:rsidR="00466E75" w:rsidRPr="00F21980" w:rsidRDefault="00320A35" w:rsidP="00466E75">
      <w:pPr>
        <w:pStyle w:val="ItemHead"/>
      </w:pPr>
      <w:r w:rsidRPr="00F21980">
        <w:t>31</w:t>
      </w:r>
      <w:r w:rsidR="00466E75" w:rsidRPr="00F21980">
        <w:t xml:space="preserve">  Schedule</w:t>
      </w:r>
      <w:r w:rsidR="00F21980" w:rsidRPr="00F21980">
        <w:t> </w:t>
      </w:r>
      <w:r w:rsidR="00466E75" w:rsidRPr="00F21980">
        <w:t>1 (item</w:t>
      </w:r>
      <w:r w:rsidR="00F21980" w:rsidRPr="00F21980">
        <w:t> </w:t>
      </w:r>
      <w:r w:rsidR="00466E75" w:rsidRPr="00F21980">
        <w:t>42734, column headed “Description”)</w:t>
      </w:r>
    </w:p>
    <w:p w:rsidR="00466E75" w:rsidRPr="00F21980" w:rsidRDefault="00466E75" w:rsidP="00466E75">
      <w:pPr>
        <w:pStyle w:val="Item"/>
      </w:pPr>
      <w:r w:rsidRPr="00F21980">
        <w:t>After “laser”, insert “, and other than a service associated with a service to which item</w:t>
      </w:r>
      <w:r w:rsidR="00F21980" w:rsidRPr="00F21980">
        <w:t> </w:t>
      </w:r>
      <w:r w:rsidRPr="00F21980">
        <w:t>42725 or 42731 applies”.</w:t>
      </w:r>
    </w:p>
    <w:p w:rsidR="00466E75" w:rsidRPr="00F21980" w:rsidRDefault="00320A35" w:rsidP="00466E75">
      <w:pPr>
        <w:pStyle w:val="ItemHead"/>
      </w:pPr>
      <w:r w:rsidRPr="00F21980">
        <w:t>32</w:t>
      </w:r>
      <w:r w:rsidR="00466E75" w:rsidRPr="00F21980">
        <w:t xml:space="preserve">  Schedule</w:t>
      </w:r>
      <w:r w:rsidR="00F21980" w:rsidRPr="00F21980">
        <w:t> </w:t>
      </w:r>
      <w:r w:rsidR="00466E75" w:rsidRPr="00F21980">
        <w:t>1 (item</w:t>
      </w:r>
      <w:r w:rsidR="00F21980" w:rsidRPr="00F21980">
        <w:t> </w:t>
      </w:r>
      <w:r w:rsidR="00466E75" w:rsidRPr="00F21980">
        <w:t>42758, column headed “Description”)</w:t>
      </w:r>
    </w:p>
    <w:p w:rsidR="00466E75" w:rsidRPr="00F21980" w:rsidRDefault="00466E75" w:rsidP="00466E75">
      <w:pPr>
        <w:pStyle w:val="Item"/>
      </w:pPr>
      <w:r w:rsidRPr="00F21980">
        <w:t>After “Goniotomy”, insert “</w:t>
      </w:r>
      <w:r w:rsidR="004920BB" w:rsidRPr="00F21980">
        <w:t>for the treatment of primary congenital glaucoma, excluding the minimally invasive implantation of glaucoma drainage devices</w:t>
      </w:r>
      <w:r w:rsidRPr="00F21980">
        <w:t>”.</w:t>
      </w:r>
    </w:p>
    <w:p w:rsidR="004920BB" w:rsidRPr="00F21980" w:rsidRDefault="00320A35" w:rsidP="004920BB">
      <w:pPr>
        <w:pStyle w:val="ItemHead"/>
      </w:pPr>
      <w:r w:rsidRPr="00F21980">
        <w:t>33</w:t>
      </w:r>
      <w:r w:rsidR="004920BB" w:rsidRPr="00F21980">
        <w:t xml:space="preserve">  Schedule</w:t>
      </w:r>
      <w:r w:rsidR="00F21980" w:rsidRPr="00F21980">
        <w:t> </w:t>
      </w:r>
      <w:r w:rsidR="004920BB" w:rsidRPr="00F21980">
        <w:t>1 (items</w:t>
      </w:r>
      <w:r w:rsidR="00F21980" w:rsidRPr="00F21980">
        <w:t> </w:t>
      </w:r>
      <w:r w:rsidR="004920BB" w:rsidRPr="00F21980">
        <w:t>42788 and 42789, column headed “Description”)</w:t>
      </w:r>
    </w:p>
    <w:p w:rsidR="004920BB" w:rsidRPr="00F21980" w:rsidRDefault="004920BB" w:rsidP="004920BB">
      <w:pPr>
        <w:pStyle w:val="Item"/>
      </w:pPr>
      <w:r w:rsidRPr="00F21980">
        <w:t>After “</w:t>
      </w:r>
      <w:r w:rsidR="0015336E" w:rsidRPr="00F21980">
        <w:t>2 year period</w:t>
      </w:r>
      <w:r w:rsidRPr="00F21980">
        <w:t>”, insert “</w:t>
      </w:r>
      <w:r w:rsidR="00437E43" w:rsidRPr="00F21980">
        <w:t>—</w:t>
      </w:r>
      <w:r w:rsidRPr="00F21980">
        <w:t xml:space="preserve">other than a </w:t>
      </w:r>
      <w:r w:rsidR="00437E43" w:rsidRPr="00F21980">
        <w:t>service associated with a service to which item</w:t>
      </w:r>
      <w:r w:rsidR="00F21980" w:rsidRPr="00F21980">
        <w:t> </w:t>
      </w:r>
      <w:r w:rsidR="00437E43" w:rsidRPr="00F21980">
        <w:t>42702 applies</w:t>
      </w:r>
      <w:r w:rsidRPr="00F21980">
        <w:t>”.</w:t>
      </w:r>
    </w:p>
    <w:p w:rsidR="004920BB" w:rsidRPr="00F21980" w:rsidRDefault="00320A35" w:rsidP="004920BB">
      <w:pPr>
        <w:pStyle w:val="ItemHead"/>
      </w:pPr>
      <w:r w:rsidRPr="00F21980">
        <w:t>34</w:t>
      </w:r>
      <w:r w:rsidR="004920BB" w:rsidRPr="00F21980">
        <w:t xml:space="preserve">  Schedule</w:t>
      </w:r>
      <w:r w:rsidR="00F21980" w:rsidRPr="00F21980">
        <w:t> </w:t>
      </w:r>
      <w:r w:rsidR="004920BB" w:rsidRPr="00F21980">
        <w:t>1 (item</w:t>
      </w:r>
      <w:r w:rsidR="0024216E" w:rsidRPr="00F21980">
        <w:t>s</w:t>
      </w:r>
      <w:r w:rsidR="00F21980" w:rsidRPr="00F21980">
        <w:t> </w:t>
      </w:r>
      <w:r w:rsidR="004920BB" w:rsidRPr="00F21980">
        <w:t>42791</w:t>
      </w:r>
      <w:r w:rsidR="0024216E" w:rsidRPr="00F21980">
        <w:t xml:space="preserve"> and 42792</w:t>
      </w:r>
      <w:r w:rsidR="004920BB" w:rsidRPr="00F21980">
        <w:t>, column headed “Description”)</w:t>
      </w:r>
    </w:p>
    <w:p w:rsidR="004920BB" w:rsidRPr="00F21980" w:rsidRDefault="004920BB" w:rsidP="004920BB">
      <w:pPr>
        <w:pStyle w:val="Item"/>
      </w:pPr>
      <w:r w:rsidRPr="00F21980">
        <w:t>After “</w:t>
      </w:r>
      <w:r w:rsidR="000828B8" w:rsidRPr="00F21980">
        <w:t>fibrinolysis</w:t>
      </w:r>
      <w:r w:rsidRPr="00F21980">
        <w:t>”, insert “</w:t>
      </w:r>
      <w:r w:rsidR="000828B8" w:rsidRPr="00F21980">
        <w:t>, excluding vitreolyis in the posterior vitreous cavity</w:t>
      </w:r>
      <w:r w:rsidRPr="00F21980">
        <w:t>”.</w:t>
      </w:r>
    </w:p>
    <w:p w:rsidR="006928B7" w:rsidRPr="00F21980" w:rsidRDefault="006928B7" w:rsidP="006928B7">
      <w:pPr>
        <w:pStyle w:val="ActHead9"/>
      </w:pPr>
      <w:bookmarkStart w:id="12" w:name="_Toc475527000"/>
      <w:r w:rsidRPr="00F21980">
        <w:t>Health Insurance (Pathology Services Table) Regulation</w:t>
      </w:r>
      <w:r w:rsidR="00F21980" w:rsidRPr="00F21980">
        <w:t> </w:t>
      </w:r>
      <w:r w:rsidRPr="00F21980">
        <w:t>2016</w:t>
      </w:r>
      <w:bookmarkEnd w:id="12"/>
    </w:p>
    <w:p w:rsidR="00F46FF3" w:rsidRPr="00F21980" w:rsidRDefault="00320A35" w:rsidP="00F46FF3">
      <w:pPr>
        <w:pStyle w:val="ItemHead"/>
      </w:pPr>
      <w:r w:rsidRPr="00F21980">
        <w:t>35</w:t>
      </w:r>
      <w:r w:rsidR="005E0095" w:rsidRPr="00F21980">
        <w:t xml:space="preserve">  </w:t>
      </w:r>
      <w:r w:rsidR="00F46FF3" w:rsidRPr="00F21980">
        <w:t>Schedule</w:t>
      </w:r>
      <w:r w:rsidR="00F21980" w:rsidRPr="00F21980">
        <w:t> </w:t>
      </w:r>
      <w:r w:rsidR="00F46FF3" w:rsidRPr="00F21980">
        <w:t>1 (cell at item</w:t>
      </w:r>
      <w:r w:rsidR="00F21980" w:rsidRPr="00F21980">
        <w:t> </w:t>
      </w:r>
      <w:r w:rsidR="00F46FF3" w:rsidRPr="00F21980">
        <w:t>69471, column headed “Pathology service”)</w:t>
      </w:r>
    </w:p>
    <w:p w:rsidR="00F46FF3" w:rsidRPr="00F21980" w:rsidRDefault="00F46FF3" w:rsidP="00F46FF3">
      <w:pPr>
        <w:pStyle w:val="Item"/>
      </w:pPr>
      <w:r w:rsidRPr="00F21980">
        <w:t>Repeal the cell, substitute:</w:t>
      </w:r>
    </w:p>
    <w:p w:rsidR="00F46FF3" w:rsidRPr="00F21980" w:rsidRDefault="00F46FF3" w:rsidP="00F46FF3">
      <w:pPr>
        <w:pStyle w:val="Tabletext"/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7751"/>
      </w:tblGrid>
      <w:tr w:rsidR="00F46FF3" w:rsidRPr="00F21980" w:rsidTr="00F46FF3">
        <w:tc>
          <w:tcPr>
            <w:tcW w:w="7751" w:type="dxa"/>
            <w:shd w:val="clear" w:color="auto" w:fill="auto"/>
          </w:tcPr>
          <w:p w:rsidR="00F46FF3" w:rsidRPr="00F21980" w:rsidRDefault="00F46FF3" w:rsidP="00F46FF3">
            <w:pPr>
              <w:pStyle w:val="Tabletext"/>
            </w:pPr>
            <w:r w:rsidRPr="00F21980">
              <w:t>Test of cell</w:t>
            </w:r>
            <w:r w:rsidR="00F21980">
              <w:noBreakHyphen/>
            </w:r>
            <w:r w:rsidRPr="00F21980">
              <w:t>mediated immune response</w:t>
            </w:r>
            <w:r w:rsidR="00115A86" w:rsidRPr="00F21980">
              <w:t xml:space="preserve"> in blood</w:t>
            </w:r>
            <w:r w:rsidRPr="00F21980">
              <w:t xml:space="preserve"> for the detection of latent tuberculosis by interferon gamma release assay (IGRA) </w:t>
            </w:r>
            <w:r w:rsidR="00C916F7" w:rsidRPr="00F21980">
              <w:t>in</w:t>
            </w:r>
            <w:r w:rsidRPr="00F21980">
              <w:t xml:space="preserve"> the following people:</w:t>
            </w:r>
          </w:p>
          <w:p w:rsidR="00F46FF3" w:rsidRPr="00F21980" w:rsidRDefault="00F46FF3" w:rsidP="00F46FF3">
            <w:pPr>
              <w:pStyle w:val="Tablea"/>
            </w:pPr>
            <w:r w:rsidRPr="00F21980">
              <w:t xml:space="preserve">(a) a person </w:t>
            </w:r>
            <w:r w:rsidR="004B6FF1" w:rsidRPr="00F21980">
              <w:t xml:space="preserve">who has been </w:t>
            </w:r>
            <w:r w:rsidRPr="00F21980">
              <w:t>exposed to a confirmed case of active tuberculosis;</w:t>
            </w:r>
          </w:p>
          <w:p w:rsidR="00F46FF3" w:rsidRPr="00F21980" w:rsidRDefault="00F46FF3" w:rsidP="00F46FF3">
            <w:pPr>
              <w:pStyle w:val="Tablea"/>
            </w:pPr>
            <w:r w:rsidRPr="00F21980">
              <w:t>(b) a person who is infected with human immunodeficiency virus;</w:t>
            </w:r>
          </w:p>
          <w:p w:rsidR="00F46FF3" w:rsidRPr="00F21980" w:rsidRDefault="00F46FF3" w:rsidP="00F46FF3">
            <w:pPr>
              <w:pStyle w:val="Tablea"/>
            </w:pPr>
            <w:r w:rsidRPr="00F21980">
              <w:t xml:space="preserve">(c) a person </w:t>
            </w:r>
            <w:r w:rsidR="00F87392" w:rsidRPr="00F21980">
              <w:t>who is to commence</w:t>
            </w:r>
            <w:r w:rsidR="006928B7" w:rsidRPr="00F21980">
              <w:t>, or has commenced,</w:t>
            </w:r>
            <w:r w:rsidRPr="00F21980">
              <w:t xml:space="preserve"> tumour necrosis factor (TNF) inhibitor therapy;</w:t>
            </w:r>
          </w:p>
          <w:p w:rsidR="00836A33" w:rsidRPr="00F21980" w:rsidRDefault="00836A33" w:rsidP="00836A33">
            <w:pPr>
              <w:pStyle w:val="Tablea"/>
            </w:pPr>
            <w:r w:rsidRPr="00F21980">
              <w:t>(d) a person who is to commence, or has commenced, renal dialysis;</w:t>
            </w:r>
          </w:p>
          <w:p w:rsidR="00403218" w:rsidRPr="00F21980" w:rsidRDefault="00403218" w:rsidP="00F46FF3">
            <w:pPr>
              <w:pStyle w:val="Tablea"/>
            </w:pPr>
            <w:r w:rsidRPr="00F21980">
              <w:t>(</w:t>
            </w:r>
            <w:r w:rsidR="00836A33" w:rsidRPr="00F21980">
              <w:t>e</w:t>
            </w:r>
            <w:r w:rsidRPr="00F21980">
              <w:t>) a person with silicosis;</w:t>
            </w:r>
          </w:p>
          <w:p w:rsidR="00836A33" w:rsidRPr="00F21980" w:rsidRDefault="00836A33" w:rsidP="00A46BCD">
            <w:pPr>
              <w:pStyle w:val="Tablea"/>
            </w:pPr>
            <w:r w:rsidRPr="00F21980">
              <w:t xml:space="preserve">(f) a person who is, or is about to become, immunosuppressed because of a disease, or </w:t>
            </w:r>
            <w:r w:rsidR="00C916F7" w:rsidRPr="00F21980">
              <w:t xml:space="preserve">a </w:t>
            </w:r>
            <w:r w:rsidRPr="00F21980">
              <w:t xml:space="preserve">medical treatment, not mentioned in </w:t>
            </w:r>
            <w:r w:rsidR="00F21980" w:rsidRPr="00F21980">
              <w:t>paragraphs (</w:t>
            </w:r>
            <w:r w:rsidR="00C916F7" w:rsidRPr="00F21980">
              <w:t>a) to (e)</w:t>
            </w:r>
          </w:p>
        </w:tc>
      </w:tr>
    </w:tbl>
    <w:p w:rsidR="00A46BCD" w:rsidRPr="00F21980" w:rsidRDefault="00A46BCD" w:rsidP="00A46BCD">
      <w:pPr>
        <w:pStyle w:val="Tabletext"/>
      </w:pPr>
    </w:p>
    <w:p w:rsidR="005E0095" w:rsidRPr="00F21980" w:rsidRDefault="00320A35" w:rsidP="005E0095">
      <w:pPr>
        <w:pStyle w:val="ItemHead"/>
      </w:pPr>
      <w:r w:rsidRPr="00F21980">
        <w:t>36</w:t>
      </w:r>
      <w:r w:rsidR="005E0095" w:rsidRPr="00F21980">
        <w:t xml:space="preserve">  Schedule</w:t>
      </w:r>
      <w:r w:rsidR="00F21980" w:rsidRPr="00F21980">
        <w:t> </w:t>
      </w:r>
      <w:r w:rsidR="005E0095" w:rsidRPr="00F21980">
        <w:t>1 (item</w:t>
      </w:r>
      <w:r w:rsidR="00F21980" w:rsidRPr="00F21980">
        <w:t> </w:t>
      </w:r>
      <w:r w:rsidR="005E0095" w:rsidRPr="00F21980">
        <w:t>73336)</w:t>
      </w:r>
    </w:p>
    <w:p w:rsidR="00403218" w:rsidRPr="00F21980" w:rsidRDefault="006928B7" w:rsidP="00A46BCD">
      <w:pPr>
        <w:pStyle w:val="Item"/>
      </w:pPr>
      <w:r w:rsidRPr="00F21980">
        <w:t>Repeal the item.</w:t>
      </w:r>
    </w:p>
    <w:sectPr w:rsidR="00403218" w:rsidRPr="00F21980" w:rsidSect="00F462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71" w:rsidRDefault="00C17871" w:rsidP="0048364F">
      <w:pPr>
        <w:spacing w:line="240" w:lineRule="auto"/>
      </w:pPr>
      <w:r>
        <w:separator/>
      </w:r>
    </w:p>
  </w:endnote>
  <w:endnote w:type="continuationSeparator" w:id="0">
    <w:p w:rsidR="00C17871" w:rsidRDefault="00C178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F4621D" w:rsidRDefault="00C17871" w:rsidP="00F462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4621D">
      <w:rPr>
        <w:i/>
        <w:sz w:val="18"/>
      </w:rPr>
      <w:t xml:space="preserve"> </w:t>
    </w:r>
    <w:r w:rsidR="00F4621D" w:rsidRPr="00F4621D">
      <w:rPr>
        <w:i/>
        <w:sz w:val="18"/>
      </w:rPr>
      <w:t>OPC62362 -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1D" w:rsidRDefault="00F4621D" w:rsidP="00F4621D">
    <w:pPr>
      <w:pStyle w:val="Footer"/>
    </w:pPr>
    <w:r w:rsidRPr="00F4621D">
      <w:rPr>
        <w:i/>
        <w:sz w:val="18"/>
      </w:rPr>
      <w:t>OPC62362 -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F4621D" w:rsidRDefault="00C17871" w:rsidP="00486382">
    <w:pPr>
      <w:pStyle w:val="Footer"/>
      <w:rPr>
        <w:sz w:val="18"/>
      </w:rPr>
    </w:pPr>
  </w:p>
  <w:p w:rsidR="00C17871" w:rsidRPr="00F4621D" w:rsidRDefault="00F4621D" w:rsidP="00F4621D">
    <w:pPr>
      <w:pStyle w:val="Footer"/>
      <w:rPr>
        <w:sz w:val="18"/>
      </w:rPr>
    </w:pPr>
    <w:r w:rsidRPr="00F4621D">
      <w:rPr>
        <w:i/>
        <w:sz w:val="18"/>
      </w:rPr>
      <w:t>OPC62362 -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F4621D" w:rsidRDefault="00C1787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17871" w:rsidRPr="00F4621D" w:rsidTr="0076496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4621D">
            <w:rPr>
              <w:rFonts w:cs="Times New Roman"/>
              <w:i/>
              <w:sz w:val="18"/>
            </w:rPr>
            <w:fldChar w:fldCharType="begin"/>
          </w:r>
          <w:r w:rsidRPr="00F4621D">
            <w:rPr>
              <w:rFonts w:cs="Times New Roman"/>
              <w:i/>
              <w:sz w:val="18"/>
            </w:rPr>
            <w:instrText xml:space="preserve"> PAGE </w:instrText>
          </w:r>
          <w:r w:rsidRPr="00F4621D">
            <w:rPr>
              <w:rFonts w:cs="Times New Roman"/>
              <w:i/>
              <w:sz w:val="18"/>
            </w:rPr>
            <w:fldChar w:fldCharType="separate"/>
          </w:r>
          <w:r w:rsidR="00015FF1">
            <w:rPr>
              <w:rFonts w:cs="Times New Roman"/>
              <w:i/>
              <w:noProof/>
              <w:sz w:val="18"/>
            </w:rPr>
            <w:t>vi</w:t>
          </w:r>
          <w:r w:rsidRPr="00F462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4621D">
            <w:rPr>
              <w:rFonts w:cs="Times New Roman"/>
              <w:i/>
              <w:sz w:val="18"/>
            </w:rPr>
            <w:fldChar w:fldCharType="begin"/>
          </w:r>
          <w:r w:rsidRPr="00F4621D">
            <w:rPr>
              <w:rFonts w:cs="Times New Roman"/>
              <w:i/>
              <w:sz w:val="18"/>
            </w:rPr>
            <w:instrText xml:space="preserve"> DOCPROPERTY ShortT </w:instrText>
          </w:r>
          <w:r w:rsidRPr="00F4621D">
            <w:rPr>
              <w:rFonts w:cs="Times New Roman"/>
              <w:i/>
              <w:sz w:val="18"/>
            </w:rPr>
            <w:fldChar w:fldCharType="separate"/>
          </w:r>
          <w:r w:rsidR="00C80F4C">
            <w:rPr>
              <w:rFonts w:cs="Times New Roman"/>
              <w:i/>
              <w:sz w:val="18"/>
            </w:rPr>
            <w:t>Health Insurance Legislation Amendment (2017 Measures No. 1) Regulations 2017</w:t>
          </w:r>
          <w:r w:rsidRPr="00F462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17871" w:rsidRPr="00F4621D" w:rsidRDefault="00F4621D" w:rsidP="00F4621D">
    <w:pPr>
      <w:rPr>
        <w:rFonts w:cs="Times New Roman"/>
        <w:i/>
        <w:sz w:val="18"/>
      </w:rPr>
    </w:pPr>
    <w:r w:rsidRPr="00F4621D">
      <w:rPr>
        <w:rFonts w:cs="Times New Roman"/>
        <w:i/>
        <w:sz w:val="18"/>
      </w:rPr>
      <w:t>OPC62362 -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33C1C" w:rsidRDefault="00C1787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17871" w:rsidTr="0076496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F4C">
            <w:rPr>
              <w:i/>
              <w:sz w:val="18"/>
            </w:rPr>
            <w:t>Health Insurance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25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871" w:rsidRPr="00ED79B6" w:rsidRDefault="00F4621D" w:rsidP="00F4621D">
    <w:pPr>
      <w:rPr>
        <w:i/>
        <w:sz w:val="18"/>
      </w:rPr>
    </w:pPr>
    <w:r w:rsidRPr="00F4621D">
      <w:rPr>
        <w:rFonts w:cs="Times New Roman"/>
        <w:i/>
        <w:sz w:val="18"/>
      </w:rPr>
      <w:t>OPC62362 -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F4621D" w:rsidRDefault="00C1787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17871" w:rsidRPr="00F4621D" w:rsidTr="0076496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4621D">
            <w:rPr>
              <w:rFonts w:cs="Times New Roman"/>
              <w:i/>
              <w:sz w:val="18"/>
            </w:rPr>
            <w:fldChar w:fldCharType="begin"/>
          </w:r>
          <w:r w:rsidRPr="00F4621D">
            <w:rPr>
              <w:rFonts w:cs="Times New Roman"/>
              <w:i/>
              <w:sz w:val="18"/>
            </w:rPr>
            <w:instrText xml:space="preserve"> PAGE </w:instrText>
          </w:r>
          <w:r w:rsidRPr="00F4621D">
            <w:rPr>
              <w:rFonts w:cs="Times New Roman"/>
              <w:i/>
              <w:sz w:val="18"/>
            </w:rPr>
            <w:fldChar w:fldCharType="separate"/>
          </w:r>
          <w:r w:rsidR="00A825B5">
            <w:rPr>
              <w:rFonts w:cs="Times New Roman"/>
              <w:i/>
              <w:noProof/>
              <w:sz w:val="18"/>
            </w:rPr>
            <w:t>6</w:t>
          </w:r>
          <w:r w:rsidRPr="00F462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4621D">
            <w:rPr>
              <w:rFonts w:cs="Times New Roman"/>
              <w:i/>
              <w:sz w:val="18"/>
            </w:rPr>
            <w:fldChar w:fldCharType="begin"/>
          </w:r>
          <w:r w:rsidRPr="00F4621D">
            <w:rPr>
              <w:rFonts w:cs="Times New Roman"/>
              <w:i/>
              <w:sz w:val="18"/>
            </w:rPr>
            <w:instrText xml:space="preserve"> DOCPROPERTY ShortT </w:instrText>
          </w:r>
          <w:r w:rsidRPr="00F4621D">
            <w:rPr>
              <w:rFonts w:cs="Times New Roman"/>
              <w:i/>
              <w:sz w:val="18"/>
            </w:rPr>
            <w:fldChar w:fldCharType="separate"/>
          </w:r>
          <w:r w:rsidR="00C80F4C">
            <w:rPr>
              <w:rFonts w:cs="Times New Roman"/>
              <w:i/>
              <w:sz w:val="18"/>
            </w:rPr>
            <w:t>Health Insurance Legislation Amendment (2017 Measures No. 1) Regulations 2017</w:t>
          </w:r>
          <w:r w:rsidRPr="00F462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17871" w:rsidRPr="00F4621D" w:rsidRDefault="00C1787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17871" w:rsidRPr="00F4621D" w:rsidRDefault="00F4621D" w:rsidP="00F4621D">
    <w:pPr>
      <w:rPr>
        <w:rFonts w:cs="Times New Roman"/>
        <w:i/>
        <w:sz w:val="18"/>
      </w:rPr>
    </w:pPr>
    <w:r w:rsidRPr="00F4621D">
      <w:rPr>
        <w:rFonts w:cs="Times New Roman"/>
        <w:i/>
        <w:sz w:val="18"/>
      </w:rPr>
      <w:t>OPC62362 -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33C1C" w:rsidRDefault="00C1787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17871" w:rsidTr="0076496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F4C">
            <w:rPr>
              <w:i/>
              <w:sz w:val="18"/>
            </w:rPr>
            <w:t>Health Insurance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25B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871" w:rsidRPr="00ED79B6" w:rsidRDefault="00F4621D" w:rsidP="00F4621D">
    <w:pPr>
      <w:rPr>
        <w:i/>
        <w:sz w:val="18"/>
      </w:rPr>
    </w:pPr>
    <w:r w:rsidRPr="00F4621D">
      <w:rPr>
        <w:rFonts w:cs="Times New Roman"/>
        <w:i/>
        <w:sz w:val="18"/>
      </w:rPr>
      <w:t>OPC62362 -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33C1C" w:rsidRDefault="00C1787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17871" w:rsidTr="0076496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466E7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466E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0F4C">
            <w:rPr>
              <w:i/>
              <w:sz w:val="18"/>
            </w:rPr>
            <w:t>Health Insurance Legislation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C17871" w:rsidRDefault="00C17871" w:rsidP="00466E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15FF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17871" w:rsidRPr="00ED79B6" w:rsidRDefault="00C1787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71" w:rsidRDefault="00C17871" w:rsidP="0048364F">
      <w:pPr>
        <w:spacing w:line="240" w:lineRule="auto"/>
      </w:pPr>
      <w:r>
        <w:separator/>
      </w:r>
    </w:p>
  </w:footnote>
  <w:footnote w:type="continuationSeparator" w:id="0">
    <w:p w:rsidR="00C17871" w:rsidRDefault="00C178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5F1388" w:rsidRDefault="00C1787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5F1388" w:rsidRDefault="00C1787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5F1388" w:rsidRDefault="00C1787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D79B6" w:rsidRDefault="00C1787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D79B6" w:rsidRDefault="00C1787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ED79B6" w:rsidRDefault="00C1787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A961C4" w:rsidRDefault="00C1787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825B5">
      <w:rPr>
        <w:b/>
        <w:sz w:val="20"/>
      </w:rPr>
      <w:fldChar w:fldCharType="separate"/>
    </w:r>
    <w:r w:rsidR="00A825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825B5">
      <w:rPr>
        <w:sz w:val="20"/>
      </w:rPr>
      <w:fldChar w:fldCharType="separate"/>
    </w:r>
    <w:r w:rsidR="00A825B5">
      <w:rPr>
        <w:noProof/>
        <w:sz w:val="20"/>
      </w:rPr>
      <w:t>Amendments</w:t>
    </w:r>
    <w:r>
      <w:rPr>
        <w:sz w:val="20"/>
      </w:rPr>
      <w:fldChar w:fldCharType="end"/>
    </w:r>
  </w:p>
  <w:p w:rsidR="00C17871" w:rsidRPr="00A961C4" w:rsidRDefault="00C1787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17871" w:rsidRPr="00A961C4" w:rsidRDefault="00C1787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A961C4" w:rsidRDefault="00C1787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825B5">
      <w:rPr>
        <w:sz w:val="20"/>
      </w:rPr>
      <w:fldChar w:fldCharType="separate"/>
    </w:r>
    <w:r w:rsidR="00A825B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825B5">
      <w:rPr>
        <w:b/>
        <w:sz w:val="20"/>
      </w:rPr>
      <w:fldChar w:fldCharType="separate"/>
    </w:r>
    <w:r w:rsidR="00A825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17871" w:rsidRPr="00A961C4" w:rsidRDefault="00C1787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17871" w:rsidRPr="00A961C4" w:rsidRDefault="00C1787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71" w:rsidRPr="00A961C4" w:rsidRDefault="00C1787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6A"/>
    <w:rsid w:val="000041C6"/>
    <w:rsid w:val="000063E4"/>
    <w:rsid w:val="00011222"/>
    <w:rsid w:val="000113BC"/>
    <w:rsid w:val="000136AF"/>
    <w:rsid w:val="00015FF1"/>
    <w:rsid w:val="00025060"/>
    <w:rsid w:val="00037346"/>
    <w:rsid w:val="0004044E"/>
    <w:rsid w:val="00052AA1"/>
    <w:rsid w:val="000614BF"/>
    <w:rsid w:val="000828B8"/>
    <w:rsid w:val="000C4E79"/>
    <w:rsid w:val="000D05EF"/>
    <w:rsid w:val="000D7792"/>
    <w:rsid w:val="000F21C1"/>
    <w:rsid w:val="000F32B6"/>
    <w:rsid w:val="000F3825"/>
    <w:rsid w:val="000F6B02"/>
    <w:rsid w:val="000F7427"/>
    <w:rsid w:val="001015E3"/>
    <w:rsid w:val="0010745C"/>
    <w:rsid w:val="00115A86"/>
    <w:rsid w:val="00116975"/>
    <w:rsid w:val="00126F1A"/>
    <w:rsid w:val="0013578E"/>
    <w:rsid w:val="0015336E"/>
    <w:rsid w:val="00154EAC"/>
    <w:rsid w:val="001643C9"/>
    <w:rsid w:val="00165568"/>
    <w:rsid w:val="00166C2F"/>
    <w:rsid w:val="001716C9"/>
    <w:rsid w:val="00171EAE"/>
    <w:rsid w:val="00175805"/>
    <w:rsid w:val="00187A5A"/>
    <w:rsid w:val="00191859"/>
    <w:rsid w:val="00193461"/>
    <w:rsid w:val="001936CD"/>
    <w:rsid w:val="001939E1"/>
    <w:rsid w:val="00195382"/>
    <w:rsid w:val="001B3097"/>
    <w:rsid w:val="001B5944"/>
    <w:rsid w:val="001B7A5D"/>
    <w:rsid w:val="001C585B"/>
    <w:rsid w:val="001C69C4"/>
    <w:rsid w:val="001D35A9"/>
    <w:rsid w:val="001D4229"/>
    <w:rsid w:val="001D7F83"/>
    <w:rsid w:val="001E04A3"/>
    <w:rsid w:val="001E16D0"/>
    <w:rsid w:val="001E3590"/>
    <w:rsid w:val="001E562E"/>
    <w:rsid w:val="001E7407"/>
    <w:rsid w:val="001F6924"/>
    <w:rsid w:val="00200434"/>
    <w:rsid w:val="00201D27"/>
    <w:rsid w:val="0022370A"/>
    <w:rsid w:val="00231427"/>
    <w:rsid w:val="00240749"/>
    <w:rsid w:val="00240A49"/>
    <w:rsid w:val="0024216E"/>
    <w:rsid w:val="00252CF5"/>
    <w:rsid w:val="00265FBC"/>
    <w:rsid w:val="00266D05"/>
    <w:rsid w:val="00280A46"/>
    <w:rsid w:val="00286BB2"/>
    <w:rsid w:val="002932B1"/>
    <w:rsid w:val="00295408"/>
    <w:rsid w:val="00297ECB"/>
    <w:rsid w:val="002A0FFD"/>
    <w:rsid w:val="002B2731"/>
    <w:rsid w:val="002B5B89"/>
    <w:rsid w:val="002B7A4E"/>
    <w:rsid w:val="002B7D96"/>
    <w:rsid w:val="002D043A"/>
    <w:rsid w:val="002D5D8F"/>
    <w:rsid w:val="002F259C"/>
    <w:rsid w:val="00304E75"/>
    <w:rsid w:val="003072FA"/>
    <w:rsid w:val="00311B18"/>
    <w:rsid w:val="0031713F"/>
    <w:rsid w:val="00320A2A"/>
    <w:rsid w:val="00320A35"/>
    <w:rsid w:val="0033063A"/>
    <w:rsid w:val="003415D3"/>
    <w:rsid w:val="00341CFD"/>
    <w:rsid w:val="00352B0F"/>
    <w:rsid w:val="00361BD9"/>
    <w:rsid w:val="00363549"/>
    <w:rsid w:val="00371181"/>
    <w:rsid w:val="003801D0"/>
    <w:rsid w:val="0039228E"/>
    <w:rsid w:val="003926B5"/>
    <w:rsid w:val="003A182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289D"/>
    <w:rsid w:val="00403218"/>
    <w:rsid w:val="004116CD"/>
    <w:rsid w:val="00412B83"/>
    <w:rsid w:val="00421892"/>
    <w:rsid w:val="00424CA9"/>
    <w:rsid w:val="00433910"/>
    <w:rsid w:val="00437E43"/>
    <w:rsid w:val="0044291A"/>
    <w:rsid w:val="00451C60"/>
    <w:rsid w:val="00452DC5"/>
    <w:rsid w:val="004541B9"/>
    <w:rsid w:val="00455D88"/>
    <w:rsid w:val="00456E83"/>
    <w:rsid w:val="00460499"/>
    <w:rsid w:val="00466E75"/>
    <w:rsid w:val="00480FB9"/>
    <w:rsid w:val="0048364F"/>
    <w:rsid w:val="00486382"/>
    <w:rsid w:val="004920BB"/>
    <w:rsid w:val="00496F97"/>
    <w:rsid w:val="004A2484"/>
    <w:rsid w:val="004B19C1"/>
    <w:rsid w:val="004B201A"/>
    <w:rsid w:val="004B6FF1"/>
    <w:rsid w:val="004C0255"/>
    <w:rsid w:val="004C1017"/>
    <w:rsid w:val="004C570F"/>
    <w:rsid w:val="004C5B5A"/>
    <w:rsid w:val="004C6444"/>
    <w:rsid w:val="004C6DE1"/>
    <w:rsid w:val="004F1FAC"/>
    <w:rsid w:val="004F3A90"/>
    <w:rsid w:val="004F4AB0"/>
    <w:rsid w:val="004F676E"/>
    <w:rsid w:val="005047F0"/>
    <w:rsid w:val="00516B8D"/>
    <w:rsid w:val="00520A1E"/>
    <w:rsid w:val="0053197E"/>
    <w:rsid w:val="00537FBC"/>
    <w:rsid w:val="00543469"/>
    <w:rsid w:val="00557C7A"/>
    <w:rsid w:val="005628DB"/>
    <w:rsid w:val="00584811"/>
    <w:rsid w:val="005851A5"/>
    <w:rsid w:val="0058646E"/>
    <w:rsid w:val="00591E07"/>
    <w:rsid w:val="00593AA6"/>
    <w:rsid w:val="00594161"/>
    <w:rsid w:val="00594749"/>
    <w:rsid w:val="005B4067"/>
    <w:rsid w:val="005C04CD"/>
    <w:rsid w:val="005C12DE"/>
    <w:rsid w:val="005C3F41"/>
    <w:rsid w:val="005C4EAA"/>
    <w:rsid w:val="005D216E"/>
    <w:rsid w:val="005E0095"/>
    <w:rsid w:val="005E3546"/>
    <w:rsid w:val="005E552A"/>
    <w:rsid w:val="00600219"/>
    <w:rsid w:val="006249E6"/>
    <w:rsid w:val="00630581"/>
    <w:rsid w:val="00630733"/>
    <w:rsid w:val="0064468A"/>
    <w:rsid w:val="00654CCA"/>
    <w:rsid w:val="00656B41"/>
    <w:rsid w:val="00656DE9"/>
    <w:rsid w:val="00663BDD"/>
    <w:rsid w:val="00677CC2"/>
    <w:rsid w:val="00680F17"/>
    <w:rsid w:val="00685F42"/>
    <w:rsid w:val="0069207B"/>
    <w:rsid w:val="006928B7"/>
    <w:rsid w:val="006937E2"/>
    <w:rsid w:val="0069392E"/>
    <w:rsid w:val="006977FB"/>
    <w:rsid w:val="006A4A77"/>
    <w:rsid w:val="006A52AB"/>
    <w:rsid w:val="006B262A"/>
    <w:rsid w:val="006B32EB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2704"/>
    <w:rsid w:val="00713084"/>
    <w:rsid w:val="00722023"/>
    <w:rsid w:val="007261F3"/>
    <w:rsid w:val="00731E00"/>
    <w:rsid w:val="007440B7"/>
    <w:rsid w:val="007634AD"/>
    <w:rsid w:val="0076496A"/>
    <w:rsid w:val="007715C9"/>
    <w:rsid w:val="00774EDD"/>
    <w:rsid w:val="007757EC"/>
    <w:rsid w:val="007769D4"/>
    <w:rsid w:val="00785AFA"/>
    <w:rsid w:val="007903AC"/>
    <w:rsid w:val="007A7F9F"/>
    <w:rsid w:val="007D3A46"/>
    <w:rsid w:val="007E7D4A"/>
    <w:rsid w:val="007F6BD8"/>
    <w:rsid w:val="00826DA5"/>
    <w:rsid w:val="00833416"/>
    <w:rsid w:val="00834861"/>
    <w:rsid w:val="00836A33"/>
    <w:rsid w:val="00852EF3"/>
    <w:rsid w:val="00856A31"/>
    <w:rsid w:val="00874B69"/>
    <w:rsid w:val="008754D0"/>
    <w:rsid w:val="00877D48"/>
    <w:rsid w:val="00880795"/>
    <w:rsid w:val="008836F7"/>
    <w:rsid w:val="008958EC"/>
    <w:rsid w:val="0089783B"/>
    <w:rsid w:val="008A17E6"/>
    <w:rsid w:val="008A6998"/>
    <w:rsid w:val="008D0EE0"/>
    <w:rsid w:val="008F07E3"/>
    <w:rsid w:val="008F4F1C"/>
    <w:rsid w:val="00905A33"/>
    <w:rsid w:val="00907271"/>
    <w:rsid w:val="009170A6"/>
    <w:rsid w:val="00932377"/>
    <w:rsid w:val="00932A33"/>
    <w:rsid w:val="00937DD4"/>
    <w:rsid w:val="00943868"/>
    <w:rsid w:val="00976FB5"/>
    <w:rsid w:val="009848EC"/>
    <w:rsid w:val="009B3629"/>
    <w:rsid w:val="009B3DE2"/>
    <w:rsid w:val="009C1038"/>
    <w:rsid w:val="009C49D8"/>
    <w:rsid w:val="009E3601"/>
    <w:rsid w:val="009F3533"/>
    <w:rsid w:val="009F727E"/>
    <w:rsid w:val="00A06E59"/>
    <w:rsid w:val="00A1027A"/>
    <w:rsid w:val="00A14E1C"/>
    <w:rsid w:val="00A2057D"/>
    <w:rsid w:val="00A231E2"/>
    <w:rsid w:val="00A2550D"/>
    <w:rsid w:val="00A26DBE"/>
    <w:rsid w:val="00A326A4"/>
    <w:rsid w:val="00A4169B"/>
    <w:rsid w:val="00A4361F"/>
    <w:rsid w:val="00A46BCD"/>
    <w:rsid w:val="00A5197F"/>
    <w:rsid w:val="00A64912"/>
    <w:rsid w:val="00A70A74"/>
    <w:rsid w:val="00A71C4E"/>
    <w:rsid w:val="00A825B5"/>
    <w:rsid w:val="00A83741"/>
    <w:rsid w:val="00A87AB9"/>
    <w:rsid w:val="00A87C1C"/>
    <w:rsid w:val="00AB0C87"/>
    <w:rsid w:val="00AB15D7"/>
    <w:rsid w:val="00AB3315"/>
    <w:rsid w:val="00AB3F57"/>
    <w:rsid w:val="00AB7B41"/>
    <w:rsid w:val="00AC06B3"/>
    <w:rsid w:val="00AD5641"/>
    <w:rsid w:val="00AE1D67"/>
    <w:rsid w:val="00AE50A2"/>
    <w:rsid w:val="00AF0336"/>
    <w:rsid w:val="00AF6613"/>
    <w:rsid w:val="00B00902"/>
    <w:rsid w:val="00B032D8"/>
    <w:rsid w:val="00B2734B"/>
    <w:rsid w:val="00B332B8"/>
    <w:rsid w:val="00B33B3C"/>
    <w:rsid w:val="00B41FCF"/>
    <w:rsid w:val="00B44657"/>
    <w:rsid w:val="00B61D2C"/>
    <w:rsid w:val="00B63BDE"/>
    <w:rsid w:val="00B655DE"/>
    <w:rsid w:val="00B7396A"/>
    <w:rsid w:val="00B86EC3"/>
    <w:rsid w:val="00BA5026"/>
    <w:rsid w:val="00BA5DA4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17871"/>
    <w:rsid w:val="00C21B63"/>
    <w:rsid w:val="00C33374"/>
    <w:rsid w:val="00C42BF8"/>
    <w:rsid w:val="00C460AE"/>
    <w:rsid w:val="00C50043"/>
    <w:rsid w:val="00C50DA5"/>
    <w:rsid w:val="00C5265C"/>
    <w:rsid w:val="00C61BC4"/>
    <w:rsid w:val="00C63713"/>
    <w:rsid w:val="00C64BF9"/>
    <w:rsid w:val="00C7573B"/>
    <w:rsid w:val="00C76CF3"/>
    <w:rsid w:val="00C77E30"/>
    <w:rsid w:val="00C80F4C"/>
    <w:rsid w:val="00C81352"/>
    <w:rsid w:val="00C814F5"/>
    <w:rsid w:val="00C916F7"/>
    <w:rsid w:val="00CB0180"/>
    <w:rsid w:val="00CB3470"/>
    <w:rsid w:val="00CD3BAC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433"/>
    <w:rsid w:val="00D63EF6"/>
    <w:rsid w:val="00D67A61"/>
    <w:rsid w:val="00D70DFB"/>
    <w:rsid w:val="00D766DF"/>
    <w:rsid w:val="00D83D21"/>
    <w:rsid w:val="00D84213"/>
    <w:rsid w:val="00D844D8"/>
    <w:rsid w:val="00D84B58"/>
    <w:rsid w:val="00D925D1"/>
    <w:rsid w:val="00DA551A"/>
    <w:rsid w:val="00DB2E7E"/>
    <w:rsid w:val="00DC3A15"/>
    <w:rsid w:val="00DC73FD"/>
    <w:rsid w:val="00DD4E94"/>
    <w:rsid w:val="00DF0A0A"/>
    <w:rsid w:val="00E05704"/>
    <w:rsid w:val="00E05C46"/>
    <w:rsid w:val="00E30206"/>
    <w:rsid w:val="00E33C1C"/>
    <w:rsid w:val="00E443FC"/>
    <w:rsid w:val="00E45FE7"/>
    <w:rsid w:val="00E476B8"/>
    <w:rsid w:val="00E54292"/>
    <w:rsid w:val="00E542B8"/>
    <w:rsid w:val="00E55BCD"/>
    <w:rsid w:val="00E70DC1"/>
    <w:rsid w:val="00E73EC4"/>
    <w:rsid w:val="00E74DC7"/>
    <w:rsid w:val="00E76FAB"/>
    <w:rsid w:val="00E83E2E"/>
    <w:rsid w:val="00E84B32"/>
    <w:rsid w:val="00E87699"/>
    <w:rsid w:val="00E95C5C"/>
    <w:rsid w:val="00E971CC"/>
    <w:rsid w:val="00EB502C"/>
    <w:rsid w:val="00ED0C39"/>
    <w:rsid w:val="00ED3A7D"/>
    <w:rsid w:val="00ED59BF"/>
    <w:rsid w:val="00EF2E3A"/>
    <w:rsid w:val="00F047E2"/>
    <w:rsid w:val="00F078DC"/>
    <w:rsid w:val="00F13E86"/>
    <w:rsid w:val="00F21980"/>
    <w:rsid w:val="00F24C35"/>
    <w:rsid w:val="00F4621D"/>
    <w:rsid w:val="00F46FF3"/>
    <w:rsid w:val="00F56759"/>
    <w:rsid w:val="00F568AB"/>
    <w:rsid w:val="00F628C5"/>
    <w:rsid w:val="00F677A9"/>
    <w:rsid w:val="00F718EC"/>
    <w:rsid w:val="00F831C6"/>
    <w:rsid w:val="00F83654"/>
    <w:rsid w:val="00F84CF5"/>
    <w:rsid w:val="00F87392"/>
    <w:rsid w:val="00FA420B"/>
    <w:rsid w:val="00FB03B3"/>
    <w:rsid w:val="00FB192C"/>
    <w:rsid w:val="00FC3FDE"/>
    <w:rsid w:val="00FD3B4A"/>
    <w:rsid w:val="00FD7CFE"/>
    <w:rsid w:val="00FE67C2"/>
    <w:rsid w:val="00FE7FAD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19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1980"/>
  </w:style>
  <w:style w:type="paragraph" w:customStyle="1" w:styleId="OPCParaBase">
    <w:name w:val="OPCParaBase"/>
    <w:qFormat/>
    <w:rsid w:val="00F219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19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19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19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19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19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219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19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19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19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19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1980"/>
  </w:style>
  <w:style w:type="paragraph" w:customStyle="1" w:styleId="Blocks">
    <w:name w:val="Blocks"/>
    <w:aliases w:val="bb"/>
    <w:basedOn w:val="OPCParaBase"/>
    <w:qFormat/>
    <w:rsid w:val="00F219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19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1980"/>
    <w:rPr>
      <w:i/>
    </w:rPr>
  </w:style>
  <w:style w:type="paragraph" w:customStyle="1" w:styleId="BoxList">
    <w:name w:val="BoxList"/>
    <w:aliases w:val="bl"/>
    <w:basedOn w:val="BoxText"/>
    <w:qFormat/>
    <w:rsid w:val="00F219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19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19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1980"/>
    <w:pPr>
      <w:ind w:left="1985" w:hanging="851"/>
    </w:pPr>
  </w:style>
  <w:style w:type="character" w:customStyle="1" w:styleId="CharAmPartNo">
    <w:name w:val="CharAmPartNo"/>
    <w:basedOn w:val="OPCCharBase"/>
    <w:qFormat/>
    <w:rsid w:val="00F21980"/>
  </w:style>
  <w:style w:type="character" w:customStyle="1" w:styleId="CharAmPartText">
    <w:name w:val="CharAmPartText"/>
    <w:basedOn w:val="OPCCharBase"/>
    <w:qFormat/>
    <w:rsid w:val="00F21980"/>
  </w:style>
  <w:style w:type="character" w:customStyle="1" w:styleId="CharAmSchNo">
    <w:name w:val="CharAmSchNo"/>
    <w:basedOn w:val="OPCCharBase"/>
    <w:qFormat/>
    <w:rsid w:val="00F21980"/>
  </w:style>
  <w:style w:type="character" w:customStyle="1" w:styleId="CharAmSchText">
    <w:name w:val="CharAmSchText"/>
    <w:basedOn w:val="OPCCharBase"/>
    <w:qFormat/>
    <w:rsid w:val="00F21980"/>
  </w:style>
  <w:style w:type="character" w:customStyle="1" w:styleId="CharBoldItalic">
    <w:name w:val="CharBoldItalic"/>
    <w:basedOn w:val="OPCCharBase"/>
    <w:uiPriority w:val="1"/>
    <w:qFormat/>
    <w:rsid w:val="00F219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1980"/>
  </w:style>
  <w:style w:type="character" w:customStyle="1" w:styleId="CharChapText">
    <w:name w:val="CharChapText"/>
    <w:basedOn w:val="OPCCharBase"/>
    <w:uiPriority w:val="1"/>
    <w:qFormat/>
    <w:rsid w:val="00F21980"/>
  </w:style>
  <w:style w:type="character" w:customStyle="1" w:styleId="CharDivNo">
    <w:name w:val="CharDivNo"/>
    <w:basedOn w:val="OPCCharBase"/>
    <w:uiPriority w:val="1"/>
    <w:qFormat/>
    <w:rsid w:val="00F21980"/>
  </w:style>
  <w:style w:type="character" w:customStyle="1" w:styleId="CharDivText">
    <w:name w:val="CharDivText"/>
    <w:basedOn w:val="OPCCharBase"/>
    <w:uiPriority w:val="1"/>
    <w:qFormat/>
    <w:rsid w:val="00F21980"/>
  </w:style>
  <w:style w:type="character" w:customStyle="1" w:styleId="CharItalic">
    <w:name w:val="CharItalic"/>
    <w:basedOn w:val="OPCCharBase"/>
    <w:uiPriority w:val="1"/>
    <w:qFormat/>
    <w:rsid w:val="00F21980"/>
    <w:rPr>
      <w:i/>
    </w:rPr>
  </w:style>
  <w:style w:type="character" w:customStyle="1" w:styleId="CharPartNo">
    <w:name w:val="CharPartNo"/>
    <w:basedOn w:val="OPCCharBase"/>
    <w:uiPriority w:val="1"/>
    <w:qFormat/>
    <w:rsid w:val="00F21980"/>
  </w:style>
  <w:style w:type="character" w:customStyle="1" w:styleId="CharPartText">
    <w:name w:val="CharPartText"/>
    <w:basedOn w:val="OPCCharBase"/>
    <w:uiPriority w:val="1"/>
    <w:qFormat/>
    <w:rsid w:val="00F21980"/>
  </w:style>
  <w:style w:type="character" w:customStyle="1" w:styleId="CharSectno">
    <w:name w:val="CharSectno"/>
    <w:basedOn w:val="OPCCharBase"/>
    <w:qFormat/>
    <w:rsid w:val="00F21980"/>
  </w:style>
  <w:style w:type="character" w:customStyle="1" w:styleId="CharSubdNo">
    <w:name w:val="CharSubdNo"/>
    <w:basedOn w:val="OPCCharBase"/>
    <w:uiPriority w:val="1"/>
    <w:qFormat/>
    <w:rsid w:val="00F21980"/>
  </w:style>
  <w:style w:type="character" w:customStyle="1" w:styleId="CharSubdText">
    <w:name w:val="CharSubdText"/>
    <w:basedOn w:val="OPCCharBase"/>
    <w:uiPriority w:val="1"/>
    <w:qFormat/>
    <w:rsid w:val="00F21980"/>
  </w:style>
  <w:style w:type="paragraph" w:customStyle="1" w:styleId="CTA--">
    <w:name w:val="CTA --"/>
    <w:basedOn w:val="OPCParaBase"/>
    <w:next w:val="Normal"/>
    <w:rsid w:val="00F219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19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19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19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19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19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19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19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19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19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19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19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19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19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19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19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19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19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19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19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19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19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19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19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19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19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19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19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19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19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19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19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19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19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19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19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19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19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19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19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19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19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19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19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19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19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19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19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19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19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19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19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19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19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19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219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219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19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19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19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19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19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19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19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19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1980"/>
    <w:rPr>
      <w:sz w:val="16"/>
    </w:rPr>
  </w:style>
  <w:style w:type="table" w:customStyle="1" w:styleId="CFlag">
    <w:name w:val="CFlag"/>
    <w:basedOn w:val="TableNormal"/>
    <w:uiPriority w:val="99"/>
    <w:rsid w:val="00F219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1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2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198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219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19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19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19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19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219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19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19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2198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219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19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19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19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219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19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19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19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19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19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219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19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1980"/>
  </w:style>
  <w:style w:type="character" w:customStyle="1" w:styleId="CharSubPartNoCASA">
    <w:name w:val="CharSubPartNo(CASA)"/>
    <w:basedOn w:val="OPCCharBase"/>
    <w:uiPriority w:val="1"/>
    <w:rsid w:val="00F21980"/>
  </w:style>
  <w:style w:type="paragraph" w:customStyle="1" w:styleId="ENoteTTIndentHeadingSub">
    <w:name w:val="ENoteTTIndentHeadingSub"/>
    <w:aliases w:val="enTTHis"/>
    <w:basedOn w:val="OPCParaBase"/>
    <w:rsid w:val="00F219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19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19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19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19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49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1980"/>
    <w:rPr>
      <w:sz w:val="22"/>
    </w:rPr>
  </w:style>
  <w:style w:type="paragraph" w:customStyle="1" w:styleId="SOTextNote">
    <w:name w:val="SO TextNote"/>
    <w:aliases w:val="sont"/>
    <w:basedOn w:val="SOText"/>
    <w:qFormat/>
    <w:rsid w:val="00F219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19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1980"/>
    <w:rPr>
      <w:sz w:val="22"/>
    </w:rPr>
  </w:style>
  <w:style w:type="paragraph" w:customStyle="1" w:styleId="FileName">
    <w:name w:val="FileName"/>
    <w:basedOn w:val="Normal"/>
    <w:rsid w:val="00F21980"/>
  </w:style>
  <w:style w:type="paragraph" w:customStyle="1" w:styleId="TableHeading">
    <w:name w:val="TableHeading"/>
    <w:aliases w:val="th"/>
    <w:basedOn w:val="OPCParaBase"/>
    <w:next w:val="Tabletext"/>
    <w:rsid w:val="00F219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19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19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19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19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19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19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19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19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19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19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496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496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4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6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6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6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6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19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1980"/>
  </w:style>
  <w:style w:type="paragraph" w:customStyle="1" w:styleId="OPCParaBase">
    <w:name w:val="OPCParaBase"/>
    <w:qFormat/>
    <w:rsid w:val="00F219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219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19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19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19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19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219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19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19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19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19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21980"/>
  </w:style>
  <w:style w:type="paragraph" w:customStyle="1" w:styleId="Blocks">
    <w:name w:val="Blocks"/>
    <w:aliases w:val="bb"/>
    <w:basedOn w:val="OPCParaBase"/>
    <w:qFormat/>
    <w:rsid w:val="00F219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19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1980"/>
    <w:rPr>
      <w:i/>
    </w:rPr>
  </w:style>
  <w:style w:type="paragraph" w:customStyle="1" w:styleId="BoxList">
    <w:name w:val="BoxList"/>
    <w:aliases w:val="bl"/>
    <w:basedOn w:val="BoxText"/>
    <w:qFormat/>
    <w:rsid w:val="00F219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19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19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1980"/>
    <w:pPr>
      <w:ind w:left="1985" w:hanging="851"/>
    </w:pPr>
  </w:style>
  <w:style w:type="character" w:customStyle="1" w:styleId="CharAmPartNo">
    <w:name w:val="CharAmPartNo"/>
    <w:basedOn w:val="OPCCharBase"/>
    <w:qFormat/>
    <w:rsid w:val="00F21980"/>
  </w:style>
  <w:style w:type="character" w:customStyle="1" w:styleId="CharAmPartText">
    <w:name w:val="CharAmPartText"/>
    <w:basedOn w:val="OPCCharBase"/>
    <w:qFormat/>
    <w:rsid w:val="00F21980"/>
  </w:style>
  <w:style w:type="character" w:customStyle="1" w:styleId="CharAmSchNo">
    <w:name w:val="CharAmSchNo"/>
    <w:basedOn w:val="OPCCharBase"/>
    <w:qFormat/>
    <w:rsid w:val="00F21980"/>
  </w:style>
  <w:style w:type="character" w:customStyle="1" w:styleId="CharAmSchText">
    <w:name w:val="CharAmSchText"/>
    <w:basedOn w:val="OPCCharBase"/>
    <w:qFormat/>
    <w:rsid w:val="00F21980"/>
  </w:style>
  <w:style w:type="character" w:customStyle="1" w:styleId="CharBoldItalic">
    <w:name w:val="CharBoldItalic"/>
    <w:basedOn w:val="OPCCharBase"/>
    <w:uiPriority w:val="1"/>
    <w:qFormat/>
    <w:rsid w:val="00F219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1980"/>
  </w:style>
  <w:style w:type="character" w:customStyle="1" w:styleId="CharChapText">
    <w:name w:val="CharChapText"/>
    <w:basedOn w:val="OPCCharBase"/>
    <w:uiPriority w:val="1"/>
    <w:qFormat/>
    <w:rsid w:val="00F21980"/>
  </w:style>
  <w:style w:type="character" w:customStyle="1" w:styleId="CharDivNo">
    <w:name w:val="CharDivNo"/>
    <w:basedOn w:val="OPCCharBase"/>
    <w:uiPriority w:val="1"/>
    <w:qFormat/>
    <w:rsid w:val="00F21980"/>
  </w:style>
  <w:style w:type="character" w:customStyle="1" w:styleId="CharDivText">
    <w:name w:val="CharDivText"/>
    <w:basedOn w:val="OPCCharBase"/>
    <w:uiPriority w:val="1"/>
    <w:qFormat/>
    <w:rsid w:val="00F21980"/>
  </w:style>
  <w:style w:type="character" w:customStyle="1" w:styleId="CharItalic">
    <w:name w:val="CharItalic"/>
    <w:basedOn w:val="OPCCharBase"/>
    <w:uiPriority w:val="1"/>
    <w:qFormat/>
    <w:rsid w:val="00F21980"/>
    <w:rPr>
      <w:i/>
    </w:rPr>
  </w:style>
  <w:style w:type="character" w:customStyle="1" w:styleId="CharPartNo">
    <w:name w:val="CharPartNo"/>
    <w:basedOn w:val="OPCCharBase"/>
    <w:uiPriority w:val="1"/>
    <w:qFormat/>
    <w:rsid w:val="00F21980"/>
  </w:style>
  <w:style w:type="character" w:customStyle="1" w:styleId="CharPartText">
    <w:name w:val="CharPartText"/>
    <w:basedOn w:val="OPCCharBase"/>
    <w:uiPriority w:val="1"/>
    <w:qFormat/>
    <w:rsid w:val="00F21980"/>
  </w:style>
  <w:style w:type="character" w:customStyle="1" w:styleId="CharSectno">
    <w:name w:val="CharSectno"/>
    <w:basedOn w:val="OPCCharBase"/>
    <w:qFormat/>
    <w:rsid w:val="00F21980"/>
  </w:style>
  <w:style w:type="character" w:customStyle="1" w:styleId="CharSubdNo">
    <w:name w:val="CharSubdNo"/>
    <w:basedOn w:val="OPCCharBase"/>
    <w:uiPriority w:val="1"/>
    <w:qFormat/>
    <w:rsid w:val="00F21980"/>
  </w:style>
  <w:style w:type="character" w:customStyle="1" w:styleId="CharSubdText">
    <w:name w:val="CharSubdText"/>
    <w:basedOn w:val="OPCCharBase"/>
    <w:uiPriority w:val="1"/>
    <w:qFormat/>
    <w:rsid w:val="00F21980"/>
  </w:style>
  <w:style w:type="paragraph" w:customStyle="1" w:styleId="CTA--">
    <w:name w:val="CTA --"/>
    <w:basedOn w:val="OPCParaBase"/>
    <w:next w:val="Normal"/>
    <w:rsid w:val="00F219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19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19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19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19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19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19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19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19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19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19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19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19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19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19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19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19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19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19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19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19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19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19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19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219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219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19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19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19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19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19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19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19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19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19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219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19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19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19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19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19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19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19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19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19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19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19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19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19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19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19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19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19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19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219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19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219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19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219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19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19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19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19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19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19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19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19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1980"/>
    <w:rPr>
      <w:sz w:val="16"/>
    </w:rPr>
  </w:style>
  <w:style w:type="table" w:customStyle="1" w:styleId="CFlag">
    <w:name w:val="CFlag"/>
    <w:basedOn w:val="TableNormal"/>
    <w:uiPriority w:val="99"/>
    <w:rsid w:val="00F219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1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F2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2198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219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219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19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219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198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219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219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219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2198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219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19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19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19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219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19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19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19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19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19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219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19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21980"/>
  </w:style>
  <w:style w:type="character" w:customStyle="1" w:styleId="CharSubPartNoCASA">
    <w:name w:val="CharSubPartNo(CASA)"/>
    <w:basedOn w:val="OPCCharBase"/>
    <w:uiPriority w:val="1"/>
    <w:rsid w:val="00F21980"/>
  </w:style>
  <w:style w:type="paragraph" w:customStyle="1" w:styleId="ENoteTTIndentHeadingSub">
    <w:name w:val="ENoteTTIndentHeadingSub"/>
    <w:aliases w:val="enTTHis"/>
    <w:basedOn w:val="OPCParaBase"/>
    <w:rsid w:val="00F219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19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19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19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219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49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1980"/>
    <w:rPr>
      <w:sz w:val="22"/>
    </w:rPr>
  </w:style>
  <w:style w:type="paragraph" w:customStyle="1" w:styleId="SOTextNote">
    <w:name w:val="SO TextNote"/>
    <w:aliases w:val="sont"/>
    <w:basedOn w:val="SOText"/>
    <w:qFormat/>
    <w:rsid w:val="00F219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19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1980"/>
    <w:rPr>
      <w:sz w:val="22"/>
    </w:rPr>
  </w:style>
  <w:style w:type="paragraph" w:customStyle="1" w:styleId="FileName">
    <w:name w:val="FileName"/>
    <w:basedOn w:val="Normal"/>
    <w:rsid w:val="00F21980"/>
  </w:style>
  <w:style w:type="paragraph" w:customStyle="1" w:styleId="TableHeading">
    <w:name w:val="TableHeading"/>
    <w:aliases w:val="th"/>
    <w:basedOn w:val="OPCParaBase"/>
    <w:next w:val="Tabletext"/>
    <w:rsid w:val="00F219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19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19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19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19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19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19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19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19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19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19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219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496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496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4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6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6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6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6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1679</Words>
  <Characters>9085</Characters>
  <Application>Microsoft Office Word</Application>
  <DocSecurity>0</DocSecurity>
  <PresentationFormat/>
  <Lines>264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Legislation Amendment (2017 Measures No. 1) Regulations 2017</vt:lpstr>
    </vt:vector>
  </TitlesOfParts>
  <Manager/>
  <Company/>
  <LinksUpToDate>false</LinksUpToDate>
  <CharactersWithSpaces>10614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2017-02-02T06:30:00Z</cp:lastPrinted>
  <dcterms:created xsi:type="dcterms:W3CDTF">2017-03-20T03:27:00Z</dcterms:created>
  <dcterms:modified xsi:type="dcterms:W3CDTF">2017-03-20T03:27:00Z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Health Insurance Legislation Amendment (2017 Measures No. 1)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March 2017</vt:lpwstr>
  </property>
  <property fmtid="{D5CDD505-2E9C-101B-9397-08002B2CF9AE}" pid="10" name="Authority">
    <vt:lpwstr/>
  </property>
  <property fmtid="{D5CDD505-2E9C-101B-9397-08002B2CF9AE}" pid="11" name="ID">
    <vt:lpwstr>OPC62362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Health Insurance Act 1973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March 2017</vt:lpwstr>
  </property>
</Properties>
</file>