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2C2C0" w14:textId="77777777" w:rsidR="004854FF" w:rsidRDefault="00FD4A0C" w:rsidP="00677D50">
      <w:pPr>
        <w:spacing w:before="0"/>
        <w:ind w:right="91"/>
        <w:jc w:val="center"/>
      </w:pPr>
      <w:r>
        <w:rPr>
          <w:b/>
          <w:u w:val="single"/>
        </w:rPr>
        <w:t>EXPLANATORY STATEMENT</w:t>
      </w:r>
    </w:p>
    <w:p w14:paraId="50E2C2C1" w14:textId="77777777" w:rsidR="004854FF" w:rsidRDefault="00F71728">
      <w:pPr>
        <w:spacing w:before="0"/>
        <w:ind w:right="91"/>
        <w:jc w:val="center"/>
      </w:pPr>
    </w:p>
    <w:p w14:paraId="50E2C2C2" w14:textId="77777777" w:rsidR="004854FF" w:rsidRPr="000C27DE" w:rsidRDefault="00FD4A0C">
      <w:pPr>
        <w:pStyle w:val="Heading6"/>
        <w:spacing w:before="0"/>
      </w:pPr>
      <w:r w:rsidRPr="000C27DE">
        <w:t xml:space="preserve">Minute No.  </w:t>
      </w:r>
      <w:r w:rsidRPr="00C63CF5">
        <w:t>03</w:t>
      </w:r>
      <w:r w:rsidRPr="000C27DE">
        <w:t xml:space="preserve"> of 201</w:t>
      </w:r>
      <w:r>
        <w:t>7</w:t>
      </w:r>
      <w:r w:rsidRPr="000C27DE">
        <w:t xml:space="preserve"> – Minister for </w:t>
      </w:r>
      <w:r>
        <w:t>Local Government and Territories</w:t>
      </w:r>
    </w:p>
    <w:p w14:paraId="50E2C2C3" w14:textId="77777777" w:rsidR="004854FF" w:rsidRPr="000C27DE" w:rsidRDefault="00F71728">
      <w:pPr>
        <w:spacing w:before="0"/>
        <w:ind w:right="91"/>
        <w:rPr>
          <w:sz w:val="22"/>
        </w:rPr>
      </w:pPr>
    </w:p>
    <w:p w14:paraId="50E2C2C4" w14:textId="77777777" w:rsidR="001008AD" w:rsidRDefault="00FD4A0C" w:rsidP="00516D80">
      <w:pPr>
        <w:spacing w:before="0"/>
        <w:ind w:right="91"/>
        <w:rPr>
          <w:i/>
        </w:rPr>
      </w:pPr>
      <w:r w:rsidRPr="000C27DE">
        <w:t>Subject -</w:t>
      </w:r>
      <w:r w:rsidRPr="000C27DE">
        <w:tab/>
      </w:r>
      <w:bookmarkStart w:id="0" w:name="Citation"/>
      <w:r w:rsidRPr="004E2C3D">
        <w:rPr>
          <w:i/>
        </w:rPr>
        <w:t>C</w:t>
      </w:r>
      <w:r>
        <w:rPr>
          <w:i/>
        </w:rPr>
        <w:t>ocos (Keeling) Islands Act 1955</w:t>
      </w:r>
      <w:bookmarkEnd w:id="0"/>
    </w:p>
    <w:p w14:paraId="50E2C2C5" w14:textId="77777777" w:rsidR="001D44B9" w:rsidRPr="001D44B9" w:rsidRDefault="00F71728" w:rsidP="00755A86">
      <w:pPr>
        <w:spacing w:before="0"/>
        <w:ind w:right="91"/>
        <w:rPr>
          <w:i/>
        </w:rPr>
      </w:pPr>
    </w:p>
    <w:p w14:paraId="50E2C2C6" w14:textId="49D25810" w:rsidR="001D44B9" w:rsidRDefault="00FD4A0C" w:rsidP="001D44B9">
      <w:pPr>
        <w:spacing w:before="0"/>
        <w:ind w:left="1701" w:right="91" w:firstLine="1"/>
        <w:rPr>
          <w:i/>
        </w:rPr>
      </w:pPr>
      <w:r>
        <w:rPr>
          <w:i/>
        </w:rPr>
        <w:t xml:space="preserve">Cocos (Keeling) Islands Applied Laws </w:t>
      </w:r>
      <w:r w:rsidR="00C83A1B">
        <w:rPr>
          <w:i/>
        </w:rPr>
        <w:t xml:space="preserve">Amendment </w:t>
      </w:r>
      <w:r>
        <w:rPr>
          <w:i/>
        </w:rPr>
        <w:t>(Residential Tenancies) Ordinance 2017</w:t>
      </w:r>
    </w:p>
    <w:p w14:paraId="50E2C2C7" w14:textId="77777777" w:rsidR="001D44B9" w:rsidRDefault="00F71728" w:rsidP="001D44B9">
      <w:pPr>
        <w:spacing w:before="0"/>
        <w:ind w:left="1701" w:right="91" w:firstLine="1"/>
        <w:rPr>
          <w:i/>
        </w:rPr>
      </w:pPr>
    </w:p>
    <w:p w14:paraId="50E2C2C8" w14:textId="77777777" w:rsidR="00755A86" w:rsidRDefault="00FD4A0C" w:rsidP="00755A86">
      <w:pPr>
        <w:spacing w:before="0" w:after="240"/>
        <w:ind w:right="91"/>
      </w:pPr>
      <w:r>
        <w:t xml:space="preserve">The </w:t>
      </w:r>
      <w:r w:rsidRPr="00A27AD3">
        <w:rPr>
          <w:i/>
        </w:rPr>
        <w:t>Cocos (Keeling) Islands Act 1955</w:t>
      </w:r>
      <w:r>
        <w:rPr>
          <w:i/>
        </w:rPr>
        <w:t xml:space="preserve"> </w:t>
      </w:r>
      <w:r>
        <w:t xml:space="preserve">(the Act) provides for the government of the Cocos (Keeling) Islands. </w:t>
      </w:r>
    </w:p>
    <w:p w14:paraId="50E2C2C9" w14:textId="77777777" w:rsidR="00755A86" w:rsidRDefault="00FD4A0C" w:rsidP="00755A86">
      <w:pPr>
        <w:spacing w:before="0" w:after="240"/>
        <w:ind w:right="91"/>
      </w:pPr>
      <w:r>
        <w:t>Subsection 12(1) of the Act states that the Governor-General may make Ordinances for the peace, order and good government of the Territory.</w:t>
      </w:r>
    </w:p>
    <w:p w14:paraId="50E2C2CA" w14:textId="77777777" w:rsidR="00755A86" w:rsidRDefault="00FD4A0C" w:rsidP="00755A86">
      <w:pPr>
        <w:spacing w:before="0" w:after="240"/>
        <w:ind w:right="91"/>
      </w:pPr>
      <w:r w:rsidRPr="002F0377">
        <w:t xml:space="preserve">Section 3 of </w:t>
      </w:r>
      <w:r w:rsidRPr="00861298">
        <w:rPr>
          <w:i/>
        </w:rPr>
        <w:t>Applied Laws (General) Ordinance 1992</w:t>
      </w:r>
      <w:r>
        <w:rPr>
          <w:i/>
        </w:rPr>
        <w:t xml:space="preserve"> </w:t>
      </w:r>
      <w:r>
        <w:t>(CKI) provides that applied laws that are amended are specified in Schedule 1.</w:t>
      </w:r>
    </w:p>
    <w:p w14:paraId="50E2C2CB" w14:textId="77777777" w:rsidR="001D44B9" w:rsidRDefault="00FD4A0C" w:rsidP="001D44B9">
      <w:pPr>
        <w:spacing w:before="0" w:after="240"/>
        <w:ind w:right="91"/>
      </w:pPr>
      <w:r>
        <w:t xml:space="preserve">The Applied </w:t>
      </w:r>
      <w:r>
        <w:rPr>
          <w:i/>
          <w:iCs/>
        </w:rPr>
        <w:t>Residential Tenancies Act 1987</w:t>
      </w:r>
      <w:r>
        <w:t xml:space="preserve"> (WA) (CKI) provides for the making of the above mentioned regulations, sets out the rights and responsibilities of tenants, property owners and agents in the Territory of the Cocos (Keeling) Islands.</w:t>
      </w:r>
    </w:p>
    <w:p w14:paraId="50E2C2CC" w14:textId="77777777" w:rsidR="00323928" w:rsidRDefault="00FD4A0C" w:rsidP="00323928">
      <w:pPr>
        <w:spacing w:before="0" w:after="240"/>
        <w:ind w:right="91"/>
      </w:pPr>
      <w:r>
        <w:t>The proposed Ordinance would ensure that the</w:t>
      </w:r>
      <w:r w:rsidRPr="00861298">
        <w:t xml:space="preserve"> Shire of the Cocos (Keeling) Islands </w:t>
      </w:r>
      <w:r>
        <w:t xml:space="preserve">(the Shire) </w:t>
      </w:r>
      <w:r w:rsidRPr="00861298">
        <w:t>can continue to charge rates and municipal fees</w:t>
      </w:r>
      <w:r>
        <w:t xml:space="preserve"> in respect of leased Cocos (Keeling) Islands Trust properties</w:t>
      </w:r>
      <w:r w:rsidRPr="00861298">
        <w:t xml:space="preserve">. The monies raised from rates </w:t>
      </w:r>
      <w:r>
        <w:t>will support the delivery of services.</w:t>
      </w:r>
    </w:p>
    <w:p w14:paraId="50E2C2CD" w14:textId="77777777" w:rsidR="00755A86" w:rsidRDefault="00FD4A0C" w:rsidP="00AB6F6A">
      <w:pPr>
        <w:spacing w:before="0" w:after="240"/>
        <w:ind w:right="91"/>
      </w:pPr>
      <w:r>
        <w:t>The Ordinance implements agreed policy with the Office of Parliamentary Counsel that Applied Law R</w:t>
      </w:r>
      <w:r w:rsidRPr="003C1126">
        <w:t xml:space="preserve">egulations should not be made directly under </w:t>
      </w:r>
      <w:r>
        <w:t>an Applied Western Australian law. However, the Governor General may amend Applied Law Regulations under Subsection 12(1) of the Act.</w:t>
      </w:r>
    </w:p>
    <w:p w14:paraId="50E2C2CE" w14:textId="77777777" w:rsidR="001D44B9" w:rsidRDefault="00FD4A0C" w:rsidP="001D44B9">
      <w:pPr>
        <w:spacing w:before="0" w:after="240"/>
        <w:ind w:right="91"/>
      </w:pPr>
      <w:r>
        <w:t>In developing this Ordinance, the Department of Infrastructure and Regional Development undertook consultation with the Shire of the Cocos (Keeling) Islands.</w:t>
      </w:r>
    </w:p>
    <w:p w14:paraId="50E2C2CF" w14:textId="77777777" w:rsidR="005F4832" w:rsidRPr="005F4832" w:rsidRDefault="00FD4A0C" w:rsidP="005F4832">
      <w:pPr>
        <w:tabs>
          <w:tab w:val="left" w:pos="3300"/>
        </w:tabs>
        <w:rPr>
          <w:i/>
        </w:rPr>
      </w:pPr>
      <w:r w:rsidRPr="005F4832">
        <w:rPr>
          <w:i/>
        </w:rPr>
        <w:t>Statement of Compatibility with Human Rights</w:t>
      </w:r>
    </w:p>
    <w:p w14:paraId="50E2C2D0" w14:textId="3E7D2E9D" w:rsidR="005F4832" w:rsidRPr="005F4832" w:rsidRDefault="00FD4A0C" w:rsidP="005F48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19"/>
          <w:szCs w:val="19"/>
          <w:lang w:val="en-US"/>
        </w:rPr>
      </w:pPr>
      <w:r>
        <w:rPr>
          <w:szCs w:val="24"/>
        </w:rPr>
        <w:t xml:space="preserve">The </w:t>
      </w:r>
      <w:r w:rsidRPr="005F4832">
        <w:rPr>
          <w:i/>
          <w:szCs w:val="24"/>
        </w:rPr>
        <w:t>Cocos (Keeling) Islands Applied Laws</w:t>
      </w:r>
      <w:r w:rsidR="00C83A1B">
        <w:rPr>
          <w:i/>
          <w:szCs w:val="24"/>
        </w:rPr>
        <w:t xml:space="preserve"> Amendment</w:t>
      </w:r>
      <w:r w:rsidRPr="005F4832">
        <w:rPr>
          <w:i/>
          <w:szCs w:val="24"/>
        </w:rPr>
        <w:t xml:space="preserve"> (Residential Tenancies) Ordinance 2017</w:t>
      </w:r>
      <w:r>
        <w:rPr>
          <w:szCs w:val="24"/>
        </w:rPr>
        <w:t xml:space="preserve"> is p</w:t>
      </w:r>
      <w:r w:rsidRPr="005F4832">
        <w:rPr>
          <w:szCs w:val="24"/>
        </w:rPr>
        <w:t xml:space="preserve">repared in accordance with Part 3 of the </w:t>
      </w:r>
      <w:r w:rsidRPr="005F4832">
        <w:rPr>
          <w:i/>
          <w:iCs/>
          <w:szCs w:val="24"/>
        </w:rPr>
        <w:t>Human Rights (Parliamentary Scrutiny) Act 2011.</w:t>
      </w:r>
    </w:p>
    <w:p w14:paraId="50E2C2D1" w14:textId="77777777" w:rsidR="005F4832" w:rsidRPr="005F4832" w:rsidRDefault="00FD4A0C" w:rsidP="005F48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19"/>
          <w:szCs w:val="19"/>
          <w:lang w:val="en-US"/>
        </w:rPr>
      </w:pPr>
      <w:r w:rsidRPr="005F4832">
        <w:rPr>
          <w:szCs w:val="24"/>
        </w:rPr>
        <w:t xml:space="preserve">The instrument is compatible with the human rights and freedoms recognised or declared in the international instruments listed in section 3 of the </w:t>
      </w:r>
      <w:r w:rsidRPr="005F4832">
        <w:rPr>
          <w:i/>
          <w:iCs/>
          <w:szCs w:val="24"/>
        </w:rPr>
        <w:t>Human Rights (Parliamentary Scrutiny) Act 2011</w:t>
      </w:r>
      <w:r w:rsidRPr="005F4832">
        <w:rPr>
          <w:szCs w:val="24"/>
        </w:rPr>
        <w:t>.</w:t>
      </w:r>
    </w:p>
    <w:p w14:paraId="50E2C2D2" w14:textId="77777777" w:rsidR="005F4832" w:rsidRPr="005F4832" w:rsidRDefault="00FD4A0C" w:rsidP="005F4832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19"/>
          <w:szCs w:val="19"/>
          <w:lang w:val="en-US"/>
        </w:rPr>
      </w:pPr>
      <w:r w:rsidRPr="005F4832">
        <w:rPr>
          <w:szCs w:val="24"/>
        </w:rPr>
        <w:t>The instrument does not engage any of the applicable rights or freedoms. It is compatible with human rights as it does not raise any human rights issues</w:t>
      </w:r>
      <w:r>
        <w:rPr>
          <w:szCs w:val="24"/>
        </w:rPr>
        <w:t>.</w:t>
      </w:r>
    </w:p>
    <w:p w14:paraId="50E2C2D3" w14:textId="77777777" w:rsidR="001D44B9" w:rsidRDefault="00FD4A0C" w:rsidP="001D44B9">
      <w:pPr>
        <w:spacing w:before="0" w:after="240"/>
        <w:ind w:right="91"/>
        <w:rPr>
          <w:szCs w:val="24"/>
        </w:rPr>
      </w:pPr>
      <w:r>
        <w:rPr>
          <w:szCs w:val="24"/>
        </w:rPr>
        <w:t xml:space="preserve">Details of the Ordinance are set out in the </w:t>
      </w:r>
      <w:r>
        <w:rPr>
          <w:szCs w:val="24"/>
          <w:u w:val="single"/>
        </w:rPr>
        <w:t>Attachment</w:t>
      </w:r>
      <w:r>
        <w:rPr>
          <w:szCs w:val="24"/>
        </w:rPr>
        <w:t>.</w:t>
      </w:r>
    </w:p>
    <w:p w14:paraId="50E2C2D4" w14:textId="77777777" w:rsidR="00F26DE2" w:rsidRDefault="00FD4A0C">
      <w:pPr>
        <w:spacing w:before="0"/>
        <w:rPr>
          <w:i/>
        </w:rPr>
      </w:pPr>
      <w:r>
        <w:rPr>
          <w:i/>
        </w:rPr>
        <w:br w:type="page"/>
      </w:r>
    </w:p>
    <w:p w14:paraId="50E2C2D5" w14:textId="77777777" w:rsidR="002B5C6F" w:rsidRPr="00677D50" w:rsidRDefault="00FD4A0C" w:rsidP="00677D50">
      <w:pPr>
        <w:tabs>
          <w:tab w:val="left" w:pos="3300"/>
        </w:tabs>
        <w:jc w:val="right"/>
        <w:rPr>
          <w:b/>
          <w:u w:val="single"/>
        </w:rPr>
      </w:pPr>
      <w:r w:rsidRPr="00677D50">
        <w:rPr>
          <w:b/>
          <w:u w:val="single"/>
        </w:rPr>
        <w:lastRenderedPageBreak/>
        <w:t>ATTACHMENT</w:t>
      </w:r>
    </w:p>
    <w:p w14:paraId="50E2C2D6" w14:textId="5389AA2B" w:rsidR="001B3E53" w:rsidRPr="001B3E53" w:rsidRDefault="00FD4A0C" w:rsidP="001B3E53">
      <w:pPr>
        <w:tabs>
          <w:tab w:val="left" w:pos="3300"/>
        </w:tabs>
        <w:rPr>
          <w:b/>
          <w:i/>
          <w:u w:val="single"/>
        </w:rPr>
      </w:pPr>
      <w:r w:rsidRPr="00C554C3">
        <w:rPr>
          <w:b/>
          <w:u w:val="single"/>
        </w:rPr>
        <w:t xml:space="preserve">Details of the </w:t>
      </w:r>
      <w:r w:rsidRPr="001B3E53">
        <w:rPr>
          <w:b/>
          <w:i/>
          <w:u w:val="single"/>
        </w:rPr>
        <w:t>C</w:t>
      </w:r>
      <w:r>
        <w:rPr>
          <w:b/>
          <w:i/>
          <w:u w:val="single"/>
        </w:rPr>
        <w:t xml:space="preserve">ocos (Keeling) Islands </w:t>
      </w:r>
      <w:r w:rsidRPr="001B3E53">
        <w:rPr>
          <w:b/>
          <w:i/>
          <w:u w:val="single"/>
        </w:rPr>
        <w:t xml:space="preserve">Applied Laws </w:t>
      </w:r>
      <w:r w:rsidR="00492F67">
        <w:rPr>
          <w:b/>
          <w:i/>
          <w:u w:val="single"/>
        </w:rPr>
        <w:t xml:space="preserve">Amendment </w:t>
      </w:r>
      <w:r w:rsidRPr="001B3E53">
        <w:rPr>
          <w:b/>
          <w:i/>
          <w:u w:val="single"/>
        </w:rPr>
        <w:t>(Residential Tenancies) Ordinance 2017</w:t>
      </w:r>
    </w:p>
    <w:p w14:paraId="50E2C2D7" w14:textId="77777777" w:rsidR="00C554C3" w:rsidRPr="00C554C3" w:rsidRDefault="00FD4A0C" w:rsidP="002B5C6F">
      <w:pPr>
        <w:tabs>
          <w:tab w:val="left" w:pos="3300"/>
        </w:tabs>
        <w:rPr>
          <w:u w:val="single"/>
        </w:rPr>
      </w:pPr>
      <w:r w:rsidRPr="00C554C3">
        <w:rPr>
          <w:u w:val="single"/>
        </w:rPr>
        <w:t xml:space="preserve">Section 1 </w:t>
      </w:r>
      <w:r>
        <w:rPr>
          <w:u w:val="single"/>
        </w:rPr>
        <w:t>– Name</w:t>
      </w:r>
    </w:p>
    <w:p w14:paraId="50E2C2D8" w14:textId="14C6A0F3" w:rsidR="001D7968" w:rsidRDefault="00FD4A0C" w:rsidP="002B5C6F">
      <w:pPr>
        <w:tabs>
          <w:tab w:val="left" w:pos="3300"/>
        </w:tabs>
      </w:pPr>
      <w:r>
        <w:t xml:space="preserve">This section provides that the title of the Ordinance is the </w:t>
      </w:r>
      <w:r w:rsidRPr="001436F6">
        <w:rPr>
          <w:i/>
        </w:rPr>
        <w:t xml:space="preserve">Cocos (Keeling) Islands Applied Laws </w:t>
      </w:r>
      <w:r w:rsidR="00084E6F">
        <w:rPr>
          <w:i/>
        </w:rPr>
        <w:t xml:space="preserve">Amendment </w:t>
      </w:r>
      <w:r w:rsidRPr="001436F6">
        <w:rPr>
          <w:i/>
        </w:rPr>
        <w:t>(Residential Tenancies) Ordinance 2017</w:t>
      </w:r>
      <w:r>
        <w:t>.</w:t>
      </w:r>
    </w:p>
    <w:p w14:paraId="50E2C2D9" w14:textId="77777777" w:rsidR="00C554C3" w:rsidRPr="00C554C3" w:rsidRDefault="00FD4A0C" w:rsidP="002B5C6F">
      <w:pPr>
        <w:tabs>
          <w:tab w:val="left" w:pos="3300"/>
        </w:tabs>
        <w:rPr>
          <w:u w:val="single"/>
        </w:rPr>
      </w:pPr>
      <w:r w:rsidRPr="00C554C3">
        <w:rPr>
          <w:u w:val="single"/>
        </w:rPr>
        <w:t>Section 2 - Commencement</w:t>
      </w:r>
    </w:p>
    <w:p w14:paraId="50E2C2DA" w14:textId="77777777" w:rsidR="00EB5D5A" w:rsidRPr="00EB5D5A" w:rsidRDefault="00FD4A0C" w:rsidP="00EB5D5A">
      <w:pPr>
        <w:tabs>
          <w:tab w:val="left" w:pos="3300"/>
        </w:tabs>
      </w:pPr>
      <w:r>
        <w:t xml:space="preserve">This section provides that the Ordinance commences at the </w:t>
      </w:r>
      <w:r w:rsidRPr="001B3E53">
        <w:t>same time</w:t>
      </w:r>
      <w:bookmarkStart w:id="1" w:name="BK_S3P1L12C17"/>
      <w:bookmarkEnd w:id="1"/>
      <w:r w:rsidRPr="001B3E53">
        <w:t xml:space="preserve"> as the </w:t>
      </w:r>
      <w:r w:rsidRPr="00EB5D5A">
        <w:rPr>
          <w:i/>
        </w:rPr>
        <w:t xml:space="preserve">Residential Tenancies Regulations 1989 (WA) (CKI) Amendment Regulations 2003 (No. 1) </w:t>
      </w:r>
      <w:r w:rsidRPr="005F4832">
        <w:t>(CKI)</w:t>
      </w:r>
      <w:r>
        <w:rPr>
          <w:i/>
        </w:rPr>
        <w:t xml:space="preserve"> </w:t>
      </w:r>
      <w:r>
        <w:t>is</w:t>
      </w:r>
      <w:r w:rsidRPr="005F4832">
        <w:t xml:space="preserve"> repealed under Part 4 (Sunsetting) of Chapter 3 of the </w:t>
      </w:r>
      <w:r w:rsidRPr="00EB5D5A">
        <w:rPr>
          <w:i/>
        </w:rPr>
        <w:t>Legislation Act 2003</w:t>
      </w:r>
      <w:r>
        <w:t>.</w:t>
      </w:r>
    </w:p>
    <w:p w14:paraId="50E2C2DB" w14:textId="77777777" w:rsidR="00C554C3" w:rsidRPr="00C554C3" w:rsidRDefault="00FD4A0C" w:rsidP="002B5C6F">
      <w:pPr>
        <w:tabs>
          <w:tab w:val="left" w:pos="3300"/>
        </w:tabs>
        <w:rPr>
          <w:u w:val="single"/>
        </w:rPr>
      </w:pPr>
      <w:r w:rsidRPr="00C554C3">
        <w:rPr>
          <w:u w:val="single"/>
        </w:rPr>
        <w:t>Section 3 - Authority</w:t>
      </w:r>
    </w:p>
    <w:p w14:paraId="50E2C2DC" w14:textId="77777777" w:rsidR="002B5C6F" w:rsidRDefault="00FD4A0C" w:rsidP="002B5C6F">
      <w:pPr>
        <w:tabs>
          <w:tab w:val="left" w:pos="3300"/>
        </w:tabs>
      </w:pPr>
      <w:r>
        <w:t xml:space="preserve">This section provides that the Ordinance is made under the </w:t>
      </w:r>
      <w:r>
        <w:rPr>
          <w:i/>
        </w:rPr>
        <w:t>Cocos (Keeling) Islands Act 1955</w:t>
      </w:r>
      <w:r>
        <w:t>.</w:t>
      </w:r>
    </w:p>
    <w:p w14:paraId="50E2C2DD" w14:textId="77777777" w:rsidR="00C554C3" w:rsidRPr="00C554C3" w:rsidRDefault="00FD4A0C" w:rsidP="002B5C6F">
      <w:pPr>
        <w:tabs>
          <w:tab w:val="left" w:pos="3300"/>
        </w:tabs>
        <w:rPr>
          <w:u w:val="single"/>
        </w:rPr>
      </w:pPr>
      <w:r w:rsidRPr="00C554C3">
        <w:rPr>
          <w:u w:val="single"/>
        </w:rPr>
        <w:t>Section 4 –</w:t>
      </w:r>
      <w:r>
        <w:rPr>
          <w:u w:val="single"/>
        </w:rPr>
        <w:t xml:space="preserve"> Schedules</w:t>
      </w:r>
    </w:p>
    <w:p w14:paraId="50E2C2DE" w14:textId="77777777" w:rsidR="002B5C6F" w:rsidRDefault="00FD4A0C" w:rsidP="002B5C6F">
      <w:pPr>
        <w:tabs>
          <w:tab w:val="left" w:pos="3300"/>
        </w:tabs>
      </w:pPr>
      <w:r>
        <w:t>This section provides that each instrument that is specified in a Schedule to the Ordinance is amended or repealed as set out in the applicable items in the Schedule concerned, and any other item in a Schedule to the Ordinance has effect according to its terms.</w:t>
      </w:r>
    </w:p>
    <w:p w14:paraId="50E2C2DF" w14:textId="77777777" w:rsidR="004629B1" w:rsidRDefault="00FD4A0C">
      <w:pPr>
        <w:spacing w:before="0"/>
        <w:rPr>
          <w:u w:val="single"/>
        </w:rPr>
      </w:pPr>
      <w:bookmarkStart w:id="2" w:name="BK_S3P2L16C60"/>
      <w:bookmarkEnd w:id="2"/>
      <w:r>
        <w:rPr>
          <w:u w:val="single"/>
        </w:rPr>
        <w:br w:type="page"/>
      </w:r>
    </w:p>
    <w:p w14:paraId="50E2C2E0" w14:textId="77777777" w:rsidR="00EC2D37" w:rsidRPr="00EC2D37" w:rsidRDefault="00FD4A0C" w:rsidP="00EC2D37">
      <w:pPr>
        <w:tabs>
          <w:tab w:val="left" w:pos="3300"/>
        </w:tabs>
        <w:rPr>
          <w:b/>
        </w:rPr>
      </w:pPr>
      <w:r w:rsidRPr="00EC2D37">
        <w:rPr>
          <w:b/>
        </w:rPr>
        <w:lastRenderedPageBreak/>
        <w:t xml:space="preserve">Schedule 1 – </w:t>
      </w:r>
      <w:r>
        <w:rPr>
          <w:b/>
        </w:rPr>
        <w:t>Amendments</w:t>
      </w:r>
    </w:p>
    <w:p w14:paraId="50E2C2E1" w14:textId="77777777" w:rsidR="00EC2D37" w:rsidRPr="00EC2D37" w:rsidRDefault="00FD4A0C" w:rsidP="00EC2D37">
      <w:pPr>
        <w:tabs>
          <w:tab w:val="left" w:pos="3300"/>
        </w:tabs>
        <w:rPr>
          <w:b/>
          <w:i/>
        </w:rPr>
      </w:pPr>
      <w:r>
        <w:rPr>
          <w:b/>
          <w:bCs/>
          <w:i/>
          <w:iCs/>
        </w:rPr>
        <w:t>Applied Laws (General) Ordinance 1992</w:t>
      </w:r>
    </w:p>
    <w:p w14:paraId="50E2C2E2" w14:textId="77777777" w:rsidR="00EC2D37" w:rsidRPr="0002583D" w:rsidRDefault="00FD4A0C" w:rsidP="002B5C6F">
      <w:pPr>
        <w:tabs>
          <w:tab w:val="left" w:pos="3300"/>
        </w:tabs>
        <w:rPr>
          <w:u w:val="single"/>
        </w:rPr>
      </w:pPr>
      <w:r w:rsidRPr="0002583D">
        <w:rPr>
          <w:u w:val="single"/>
        </w:rPr>
        <w:t>Item [1] – After Part 32 of Schedule 1</w:t>
      </w:r>
    </w:p>
    <w:p w14:paraId="50E2C2E3" w14:textId="1C208EF1" w:rsidR="001C55A2" w:rsidRDefault="00FD4A0C" w:rsidP="0002583D">
      <w:pPr>
        <w:tabs>
          <w:tab w:val="left" w:pos="3300"/>
        </w:tabs>
      </w:pPr>
      <w:r w:rsidRPr="003832AA">
        <w:t xml:space="preserve">This Item </w:t>
      </w:r>
      <w:r>
        <w:t xml:space="preserve">inserts a new Part (Part 32A – </w:t>
      </w:r>
      <w:r w:rsidRPr="003832AA">
        <w:rPr>
          <w:i/>
        </w:rPr>
        <w:t>Residential Tenancies Regulations 1989</w:t>
      </w:r>
      <w:r>
        <w:t xml:space="preserve"> (WA) (CKI)) after Part 32 (</w:t>
      </w:r>
      <w:bookmarkStart w:id="3" w:name="_Toc414353050"/>
      <w:r w:rsidRPr="003832AA">
        <w:rPr>
          <w:i/>
          <w:iCs/>
        </w:rPr>
        <w:t xml:space="preserve">Residential Tenancies Act 1987 </w:t>
      </w:r>
      <w:r>
        <w:t>(WA</w:t>
      </w:r>
      <w:r w:rsidRPr="003832AA">
        <w:t>)</w:t>
      </w:r>
      <w:r>
        <w:t xml:space="preserve"> </w:t>
      </w:r>
      <w:r w:rsidRPr="003832AA">
        <w:t>(</w:t>
      </w:r>
      <w:r>
        <w:t>CKI</w:t>
      </w:r>
      <w:r w:rsidRPr="003832AA">
        <w:t>)</w:t>
      </w:r>
      <w:bookmarkEnd w:id="3"/>
      <w:r w:rsidR="00C83A1B">
        <w:t>) in Schedule </w:t>
      </w:r>
      <w:bookmarkStart w:id="4" w:name="_GoBack"/>
      <w:bookmarkEnd w:id="4"/>
      <w:r>
        <w:t>1 (Amendments of applied laws).</w:t>
      </w:r>
    </w:p>
    <w:p w14:paraId="50E2C2E4" w14:textId="77777777" w:rsidR="005F4832" w:rsidRDefault="00FD4A0C" w:rsidP="005F4832">
      <w:pPr>
        <w:tabs>
          <w:tab w:val="left" w:pos="3300"/>
        </w:tabs>
      </w:pPr>
      <w:r>
        <w:t xml:space="preserve">New Part 32A provides that the </w:t>
      </w:r>
      <w:r w:rsidRPr="008A3EBD">
        <w:rPr>
          <w:i/>
        </w:rPr>
        <w:t>Residential Tenancies Act 1987</w:t>
      </w:r>
      <w:r>
        <w:t xml:space="preserve"> (WA) (CKI) does not apply to a residential tenancy entered into by the Cocos (Keeling) Islands Shire Council that is in respect of premises on land held by the Shire Council in trust under a Deed of Trust entered into between the Commonwealth, and is for a term of 5 years or more.</w:t>
      </w:r>
    </w:p>
    <w:p w14:paraId="50E2C2E5" w14:textId="77777777" w:rsidR="002B638E" w:rsidRPr="002B638E" w:rsidRDefault="00FD4A0C" w:rsidP="002B638E">
      <w:pPr>
        <w:tabs>
          <w:tab w:val="left" w:pos="3300"/>
        </w:tabs>
        <w:rPr>
          <w:u w:val="single"/>
        </w:rPr>
      </w:pPr>
      <w:r w:rsidRPr="002B638E">
        <w:rPr>
          <w:u w:val="single"/>
        </w:rPr>
        <w:t>Item [</w:t>
      </w:r>
      <w:r>
        <w:rPr>
          <w:u w:val="single"/>
        </w:rPr>
        <w:t>2</w:t>
      </w:r>
      <w:r w:rsidRPr="002B638E">
        <w:rPr>
          <w:u w:val="single"/>
        </w:rPr>
        <w:t xml:space="preserve">] – </w:t>
      </w:r>
      <w:r>
        <w:rPr>
          <w:u w:val="single"/>
        </w:rPr>
        <w:t>Regulation 5D</w:t>
      </w:r>
    </w:p>
    <w:p w14:paraId="50E2C2E6" w14:textId="77777777" w:rsidR="001B3E53" w:rsidRPr="002B638E" w:rsidRDefault="00FD4A0C" w:rsidP="0002583D">
      <w:pPr>
        <w:tabs>
          <w:tab w:val="left" w:pos="3300"/>
        </w:tabs>
      </w:pPr>
      <w:r w:rsidRPr="002B638E">
        <w:t>This Item repeal</w:t>
      </w:r>
      <w:r>
        <w:t>s</w:t>
      </w:r>
      <w:r w:rsidRPr="002B638E">
        <w:t xml:space="preserve"> regulation</w:t>
      </w:r>
      <w:r>
        <w:t xml:space="preserve"> 5D of the </w:t>
      </w:r>
      <w:r w:rsidRPr="00CA57EB">
        <w:rPr>
          <w:i/>
        </w:rPr>
        <w:t>Residential Tenancies Regulations 1989</w:t>
      </w:r>
      <w:r>
        <w:rPr>
          <w:i/>
        </w:rPr>
        <w:t xml:space="preserve"> </w:t>
      </w:r>
      <w:r>
        <w:t xml:space="preserve">(WA) (CKI), to clarify that the residential tenancy arrangement in Item 1 above is exempted from the scope of the </w:t>
      </w:r>
      <w:r w:rsidRPr="00286AD7">
        <w:rPr>
          <w:i/>
        </w:rPr>
        <w:t>Residential Tenancies Act 1987</w:t>
      </w:r>
      <w:r w:rsidRPr="00286AD7">
        <w:t xml:space="preserve"> (WA (CKI)</w:t>
      </w:r>
      <w:r>
        <w:t>.</w:t>
      </w:r>
    </w:p>
    <w:p w14:paraId="50E2C2E7" w14:textId="77777777" w:rsidR="00DB1AC3" w:rsidRPr="005F4832" w:rsidRDefault="00F71728" w:rsidP="005F4832">
      <w:pPr>
        <w:tabs>
          <w:tab w:val="left" w:pos="3300"/>
        </w:tabs>
        <w:jc w:val="center"/>
        <w:rPr>
          <w:b/>
        </w:rPr>
      </w:pPr>
    </w:p>
    <w:sectPr w:rsidR="00DB1AC3" w:rsidRPr="005F4832" w:rsidSect="00D04D6E">
      <w:footerReference w:type="default" r:id="rId11"/>
      <w:pgSz w:w="11907" w:h="16840" w:code="9"/>
      <w:pgMar w:top="1134" w:right="1797" w:bottom="709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20D13" w14:textId="77777777" w:rsidR="00F71728" w:rsidRDefault="00F71728">
      <w:pPr>
        <w:spacing w:before="0"/>
      </w:pPr>
      <w:r>
        <w:separator/>
      </w:r>
    </w:p>
  </w:endnote>
  <w:endnote w:type="continuationSeparator" w:id="0">
    <w:p w14:paraId="4DCBCC5B" w14:textId="77777777" w:rsidR="00F71728" w:rsidRDefault="00F717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514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2C2E8" w14:textId="77777777" w:rsidR="00DA3FB6" w:rsidRDefault="00FD4A0C" w:rsidP="005B2F08">
        <w:pPr>
          <w:pStyle w:val="Footer"/>
          <w:ind w:firstLine="4153"/>
        </w:pPr>
        <w:r>
          <w:t>2</w:t>
        </w:r>
      </w:p>
    </w:sdtContent>
  </w:sdt>
  <w:p w14:paraId="50E2C2E9" w14:textId="77777777" w:rsidR="00DA3FB6" w:rsidRDefault="00F71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2C366" w14:textId="77777777" w:rsidR="00F71728" w:rsidRDefault="00F71728">
      <w:pPr>
        <w:spacing w:before="0"/>
      </w:pPr>
      <w:r>
        <w:separator/>
      </w:r>
    </w:p>
  </w:footnote>
  <w:footnote w:type="continuationSeparator" w:id="0">
    <w:p w14:paraId="0A760FFF" w14:textId="77777777" w:rsidR="00F71728" w:rsidRDefault="00F7172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A3E"/>
    <w:multiLevelType w:val="hybridMultilevel"/>
    <w:tmpl w:val="F5DCBDDA"/>
    <w:lvl w:ilvl="0" w:tplc="48A0B9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644853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E20F25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E2F4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E6E2F4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118773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0D602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D0D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362E03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870B91"/>
    <w:multiLevelType w:val="hybridMultilevel"/>
    <w:tmpl w:val="2974CFC4"/>
    <w:lvl w:ilvl="0" w:tplc="7D70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DA99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20B662">
      <w:start w:val="1"/>
      <w:numFmt w:val="lowerRoman"/>
      <w:lvlText w:val="%3."/>
      <w:lvlJc w:val="right"/>
      <w:pPr>
        <w:ind w:left="2160" w:hanging="180"/>
      </w:pPr>
    </w:lvl>
    <w:lvl w:ilvl="3" w:tplc="7090E8DC" w:tentative="1">
      <w:start w:val="1"/>
      <w:numFmt w:val="decimal"/>
      <w:lvlText w:val="%4."/>
      <w:lvlJc w:val="left"/>
      <w:pPr>
        <w:ind w:left="2880" w:hanging="360"/>
      </w:pPr>
    </w:lvl>
    <w:lvl w:ilvl="4" w:tplc="C18CC26A" w:tentative="1">
      <w:start w:val="1"/>
      <w:numFmt w:val="lowerLetter"/>
      <w:lvlText w:val="%5."/>
      <w:lvlJc w:val="left"/>
      <w:pPr>
        <w:ind w:left="3600" w:hanging="360"/>
      </w:pPr>
    </w:lvl>
    <w:lvl w:ilvl="5" w:tplc="FFB0D062" w:tentative="1">
      <w:start w:val="1"/>
      <w:numFmt w:val="lowerRoman"/>
      <w:lvlText w:val="%6."/>
      <w:lvlJc w:val="right"/>
      <w:pPr>
        <w:ind w:left="4320" w:hanging="180"/>
      </w:pPr>
    </w:lvl>
    <w:lvl w:ilvl="6" w:tplc="C164A9E4" w:tentative="1">
      <w:start w:val="1"/>
      <w:numFmt w:val="decimal"/>
      <w:lvlText w:val="%7."/>
      <w:lvlJc w:val="left"/>
      <w:pPr>
        <w:ind w:left="5040" w:hanging="360"/>
      </w:pPr>
    </w:lvl>
    <w:lvl w:ilvl="7" w:tplc="09D8E5DC" w:tentative="1">
      <w:start w:val="1"/>
      <w:numFmt w:val="lowerLetter"/>
      <w:lvlText w:val="%8."/>
      <w:lvlJc w:val="left"/>
      <w:pPr>
        <w:ind w:left="5760" w:hanging="360"/>
      </w:pPr>
    </w:lvl>
    <w:lvl w:ilvl="8" w:tplc="E5F6C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ECE"/>
    <w:multiLevelType w:val="hybridMultilevel"/>
    <w:tmpl w:val="F252E7CE"/>
    <w:lvl w:ilvl="0" w:tplc="1C5ECCA0">
      <w:start w:val="3"/>
      <w:numFmt w:val="lowerRoman"/>
      <w:lvlText w:val="(%1)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1" w:tplc="92263822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CC0DA4A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C51A1C7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40E4E6CA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6F2C58B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5347E9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986996C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689CB560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319A1C76"/>
    <w:multiLevelType w:val="hybridMultilevel"/>
    <w:tmpl w:val="388CC3A6"/>
    <w:lvl w:ilvl="0" w:tplc="B42C68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40A6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CC4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CE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A96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BE1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CE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E1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5AE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087"/>
    <w:multiLevelType w:val="hybridMultilevel"/>
    <w:tmpl w:val="C2386494"/>
    <w:lvl w:ilvl="0" w:tplc="A68E03C0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A28924A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A7CCC74C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336632A8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E458C0D4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F8268030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478EA774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B6345E8E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C3482A0C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6" w15:restartNumberingAfterBreak="0">
    <w:nsid w:val="3D616230"/>
    <w:multiLevelType w:val="hybridMultilevel"/>
    <w:tmpl w:val="1332AC2A"/>
    <w:lvl w:ilvl="0" w:tplc="4E5C8B0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9B0D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E0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2E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2F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0E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8B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2A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27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845B0"/>
    <w:multiLevelType w:val="hybridMultilevel"/>
    <w:tmpl w:val="102A813A"/>
    <w:lvl w:ilvl="0" w:tplc="505AF084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A9FA45BE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1CEC0C6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18FE2194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8968D350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2B001A9E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A61614A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AB4280D0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321CA2B4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E44393E"/>
    <w:multiLevelType w:val="hybridMultilevel"/>
    <w:tmpl w:val="79F2AAE0"/>
    <w:lvl w:ilvl="0" w:tplc="B3EE52B6">
      <w:start w:val="1"/>
      <w:numFmt w:val="lowerRoman"/>
      <w:lvlText w:val="(%1)"/>
      <w:lvlJc w:val="left"/>
      <w:pPr>
        <w:tabs>
          <w:tab w:val="num" w:pos="1636"/>
        </w:tabs>
        <w:ind w:left="1636" w:hanging="425"/>
      </w:pPr>
      <w:rPr>
        <w:rFonts w:hint="default"/>
      </w:rPr>
    </w:lvl>
    <w:lvl w:ilvl="1" w:tplc="A46A0A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2AD4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02A1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15EDA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4EE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FA65F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EC5B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6C1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F0604C"/>
    <w:multiLevelType w:val="hybridMultilevel"/>
    <w:tmpl w:val="370C11C6"/>
    <w:lvl w:ilvl="0" w:tplc="9FA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65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CE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9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A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6B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EA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44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CA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1" w15:restartNumberingAfterBreak="0">
    <w:nsid w:val="62994F97"/>
    <w:multiLevelType w:val="hybridMultilevel"/>
    <w:tmpl w:val="562073C2"/>
    <w:lvl w:ilvl="0" w:tplc="1E4E1DAE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23A49FFA" w:tentative="1">
      <w:start w:val="1"/>
      <w:numFmt w:val="lowerLetter"/>
      <w:lvlText w:val="%2."/>
      <w:lvlJc w:val="left"/>
      <w:pPr>
        <w:ind w:left="1647" w:hanging="360"/>
      </w:pPr>
    </w:lvl>
    <w:lvl w:ilvl="2" w:tplc="C9DEDFCE" w:tentative="1">
      <w:start w:val="1"/>
      <w:numFmt w:val="lowerRoman"/>
      <w:lvlText w:val="%3."/>
      <w:lvlJc w:val="right"/>
      <w:pPr>
        <w:ind w:left="2367" w:hanging="180"/>
      </w:pPr>
    </w:lvl>
    <w:lvl w:ilvl="3" w:tplc="99CE0FE4" w:tentative="1">
      <w:start w:val="1"/>
      <w:numFmt w:val="decimal"/>
      <w:lvlText w:val="%4."/>
      <w:lvlJc w:val="left"/>
      <w:pPr>
        <w:ind w:left="3087" w:hanging="360"/>
      </w:pPr>
    </w:lvl>
    <w:lvl w:ilvl="4" w:tplc="F84E4F6C" w:tentative="1">
      <w:start w:val="1"/>
      <w:numFmt w:val="lowerLetter"/>
      <w:lvlText w:val="%5."/>
      <w:lvlJc w:val="left"/>
      <w:pPr>
        <w:ind w:left="3807" w:hanging="360"/>
      </w:pPr>
    </w:lvl>
    <w:lvl w:ilvl="5" w:tplc="4CA4B3DA" w:tentative="1">
      <w:start w:val="1"/>
      <w:numFmt w:val="lowerRoman"/>
      <w:lvlText w:val="%6."/>
      <w:lvlJc w:val="right"/>
      <w:pPr>
        <w:ind w:left="4527" w:hanging="180"/>
      </w:pPr>
    </w:lvl>
    <w:lvl w:ilvl="6" w:tplc="3A0C54E0" w:tentative="1">
      <w:start w:val="1"/>
      <w:numFmt w:val="decimal"/>
      <w:lvlText w:val="%7."/>
      <w:lvlJc w:val="left"/>
      <w:pPr>
        <w:ind w:left="5247" w:hanging="360"/>
      </w:pPr>
    </w:lvl>
    <w:lvl w:ilvl="7" w:tplc="8C96FB30" w:tentative="1">
      <w:start w:val="1"/>
      <w:numFmt w:val="lowerLetter"/>
      <w:lvlText w:val="%8."/>
      <w:lvlJc w:val="left"/>
      <w:pPr>
        <w:ind w:left="5967" w:hanging="360"/>
      </w:pPr>
    </w:lvl>
    <w:lvl w:ilvl="8" w:tplc="2A98898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46E7733"/>
    <w:multiLevelType w:val="hybridMultilevel"/>
    <w:tmpl w:val="B0F07FE2"/>
    <w:lvl w:ilvl="0" w:tplc="91920060">
      <w:start w:val="1"/>
      <w:numFmt w:val="lowerRoman"/>
      <w:lvlText w:val="(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9B9E892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21CE00E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6ACB232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9A7E78DC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32D43C30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7920218E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B114FDB6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E84C56B4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77B23544"/>
    <w:multiLevelType w:val="hybridMultilevel"/>
    <w:tmpl w:val="064E2402"/>
    <w:lvl w:ilvl="0" w:tplc="145EA764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31724E32" w:tentative="1">
      <w:start w:val="1"/>
      <w:numFmt w:val="lowerLetter"/>
      <w:lvlText w:val="%2."/>
      <w:lvlJc w:val="left"/>
      <w:pPr>
        <w:ind w:left="1647" w:hanging="360"/>
      </w:pPr>
    </w:lvl>
    <w:lvl w:ilvl="2" w:tplc="3496B8CC" w:tentative="1">
      <w:start w:val="1"/>
      <w:numFmt w:val="lowerRoman"/>
      <w:lvlText w:val="%3."/>
      <w:lvlJc w:val="right"/>
      <w:pPr>
        <w:ind w:left="2367" w:hanging="180"/>
      </w:pPr>
    </w:lvl>
    <w:lvl w:ilvl="3" w:tplc="06600E1E" w:tentative="1">
      <w:start w:val="1"/>
      <w:numFmt w:val="decimal"/>
      <w:lvlText w:val="%4."/>
      <w:lvlJc w:val="left"/>
      <w:pPr>
        <w:ind w:left="3087" w:hanging="360"/>
      </w:pPr>
    </w:lvl>
    <w:lvl w:ilvl="4" w:tplc="D82C94F6" w:tentative="1">
      <w:start w:val="1"/>
      <w:numFmt w:val="lowerLetter"/>
      <w:lvlText w:val="%5."/>
      <w:lvlJc w:val="left"/>
      <w:pPr>
        <w:ind w:left="3807" w:hanging="360"/>
      </w:pPr>
    </w:lvl>
    <w:lvl w:ilvl="5" w:tplc="095A1CD6" w:tentative="1">
      <w:start w:val="1"/>
      <w:numFmt w:val="lowerRoman"/>
      <w:lvlText w:val="%6."/>
      <w:lvlJc w:val="right"/>
      <w:pPr>
        <w:ind w:left="4527" w:hanging="180"/>
      </w:pPr>
    </w:lvl>
    <w:lvl w:ilvl="6" w:tplc="8AD20C02" w:tentative="1">
      <w:start w:val="1"/>
      <w:numFmt w:val="decimal"/>
      <w:lvlText w:val="%7."/>
      <w:lvlJc w:val="left"/>
      <w:pPr>
        <w:ind w:left="5247" w:hanging="360"/>
      </w:pPr>
    </w:lvl>
    <w:lvl w:ilvl="7" w:tplc="2188B480" w:tentative="1">
      <w:start w:val="1"/>
      <w:numFmt w:val="lowerLetter"/>
      <w:lvlText w:val="%8."/>
      <w:lvlJc w:val="left"/>
      <w:pPr>
        <w:ind w:left="5967" w:hanging="360"/>
      </w:pPr>
    </w:lvl>
    <w:lvl w:ilvl="8" w:tplc="09705CF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443018"/>
    <w:multiLevelType w:val="hybridMultilevel"/>
    <w:tmpl w:val="AA286DD6"/>
    <w:lvl w:ilvl="0" w:tplc="EA9C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0C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6C3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E7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60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AF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8C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C0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3C6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EB008FF"/>
    <w:multiLevelType w:val="multilevel"/>
    <w:tmpl w:val="883CC8B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B-Paragraph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17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2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4"/>
  </w:num>
  <w:num w:numId="29">
    <w:abstractNumId w:val="10"/>
  </w:num>
  <w:num w:numId="30">
    <w:abstractNumId w:val="1"/>
  </w:num>
  <w:num w:numId="31">
    <w:abstractNumId w:val="0"/>
  </w:num>
  <w:num w:numId="32">
    <w:abstractNumId w:val="11"/>
  </w:num>
  <w:num w:numId="33">
    <w:abstractNumId w:val="14"/>
  </w:num>
  <w:num w:numId="34">
    <w:abstractNumId w:val="15"/>
  </w:num>
  <w:num w:numId="35">
    <w:abstractNumId w:val="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67"/>
    <w:rsid w:val="00084E6F"/>
    <w:rsid w:val="00492F67"/>
    <w:rsid w:val="00C83A1B"/>
    <w:rsid w:val="00F71728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2C2C0"/>
  <w15:docId w15:val="{5F59D567-63F5-4119-8D80-D3B226D5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38E"/>
    <w:pPr>
      <w:spacing w:before="240"/>
    </w:pPr>
    <w:rPr>
      <w:sz w:val="24"/>
    </w:rPr>
  </w:style>
  <w:style w:type="paragraph" w:styleId="Heading1">
    <w:name w:val="heading 1"/>
    <w:basedOn w:val="Normal"/>
    <w:next w:val="Normal"/>
    <w:qFormat/>
    <w:rsid w:val="00C148BD"/>
    <w:pPr>
      <w:keepNext/>
      <w:numPr>
        <w:numId w:val="8"/>
      </w:numPr>
      <w:spacing w:before="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C148BD"/>
    <w:pPr>
      <w:keepNext/>
      <w:numPr>
        <w:ilvl w:val="1"/>
        <w:numId w:val="8"/>
      </w:numPr>
      <w:spacing w:before="3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148BD"/>
    <w:pPr>
      <w:keepNext/>
      <w:tabs>
        <w:tab w:val="left" w:pos="720"/>
      </w:tabs>
      <w:spacing w:before="360" w:after="120"/>
      <w:ind w:left="720" w:hanging="7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C148BD"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rsid w:val="00C148BD"/>
    <w:pPr>
      <w:keepNext/>
      <w:tabs>
        <w:tab w:val="left" w:pos="2018"/>
      </w:tabs>
      <w:spacing w:line="240" w:lineRule="exact"/>
      <w:ind w:left="742" w:right="91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148BD"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C148BD"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rsid w:val="00C148BD"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rsid w:val="00C148BD"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48BD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rsid w:val="00C148BD"/>
    <w:pPr>
      <w:numPr>
        <w:numId w:val="28"/>
      </w:numPr>
      <w:tabs>
        <w:tab w:val="clear" w:pos="720"/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link w:val="AppendixCharChar"/>
    <w:rsid w:val="00C148BD"/>
    <w:pPr>
      <w:spacing w:before="0"/>
      <w:jc w:val="right"/>
    </w:pPr>
    <w:rPr>
      <w:b/>
    </w:rPr>
  </w:style>
  <w:style w:type="character" w:customStyle="1" w:styleId="AppendixCharChar">
    <w:name w:val="Appendix Char Char"/>
    <w:basedOn w:val="DefaultParagraphFont"/>
    <w:link w:val="Appendix"/>
    <w:rsid w:val="00C148BD"/>
    <w:rPr>
      <w:b/>
      <w:sz w:val="24"/>
      <w:lang w:val="en-AU" w:eastAsia="en-AU" w:bidi="ar-SA"/>
    </w:rPr>
  </w:style>
  <w:style w:type="paragraph" w:styleId="BlockText">
    <w:name w:val="Block Text"/>
    <w:basedOn w:val="Normal"/>
    <w:rsid w:val="00C148BD"/>
    <w:pPr>
      <w:ind w:left="1440" w:right="90" w:hanging="720"/>
    </w:pPr>
  </w:style>
  <w:style w:type="paragraph" w:customStyle="1" w:styleId="AppendixTitle">
    <w:name w:val="Appendix Title"/>
    <w:basedOn w:val="Normal"/>
    <w:rsid w:val="00C148BD"/>
    <w:pPr>
      <w:jc w:val="center"/>
    </w:pPr>
    <w:rPr>
      <w:b/>
    </w:rPr>
  </w:style>
  <w:style w:type="paragraph" w:styleId="DocumentMap">
    <w:name w:val="Document Map"/>
    <w:basedOn w:val="Normal"/>
    <w:semiHidden/>
    <w:rsid w:val="00C148BD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C148BD"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szCs w:val="24"/>
    </w:rPr>
  </w:style>
  <w:style w:type="paragraph" w:styleId="TOC2">
    <w:name w:val="toc 2"/>
    <w:basedOn w:val="Normal"/>
    <w:next w:val="Normal"/>
    <w:semiHidden/>
    <w:rsid w:val="00C148BD"/>
    <w:pPr>
      <w:spacing w:before="120" w:after="120"/>
      <w:ind w:left="240"/>
    </w:pPr>
    <w:rPr>
      <w:szCs w:val="24"/>
    </w:rPr>
  </w:style>
  <w:style w:type="paragraph" w:styleId="TOC3">
    <w:name w:val="toc 3"/>
    <w:basedOn w:val="Normal"/>
    <w:next w:val="Normal"/>
    <w:semiHidden/>
    <w:rsid w:val="00C148BD"/>
    <w:pPr>
      <w:spacing w:before="120" w:after="120"/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C148BD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C148BD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148BD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148BD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148BD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148BD"/>
    <w:pPr>
      <w:ind w:left="1920"/>
    </w:pPr>
    <w:rPr>
      <w:sz w:val="18"/>
    </w:rPr>
  </w:style>
  <w:style w:type="character" w:customStyle="1" w:styleId="HB-Paragraph-unnumberedCharChar">
    <w:name w:val="HB - Paragraph - unnumbered Char Char"/>
    <w:basedOn w:val="DefaultParagraphFont"/>
    <w:link w:val="HB-Paragraph-unnumbered"/>
    <w:rsid w:val="00C148BD"/>
    <w:rPr>
      <w:sz w:val="24"/>
      <w:lang w:val="en-AU" w:eastAsia="en-AU" w:bidi="ar-SA"/>
    </w:rPr>
  </w:style>
  <w:style w:type="paragraph" w:customStyle="1" w:styleId="HB-Paragraph-unnumbered">
    <w:name w:val="HB - Paragraph - unnumbered"/>
    <w:basedOn w:val="Normal"/>
    <w:link w:val="HB-Paragraph-unnumberedCharChar"/>
    <w:rsid w:val="00C148BD"/>
    <w:pPr>
      <w:ind w:left="851"/>
    </w:pPr>
  </w:style>
  <w:style w:type="paragraph" w:customStyle="1" w:styleId="HB-dotpoint">
    <w:name w:val="HB - dotpoint"/>
    <w:basedOn w:val="Normal"/>
    <w:rsid w:val="00C148BD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rsid w:val="00C148BD"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rsid w:val="00C148BD"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rsid w:val="00C148BD"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sid w:val="00C148BD"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link w:val="HB-ParagraphCharChar"/>
    <w:rsid w:val="00C148BD"/>
    <w:pPr>
      <w:numPr>
        <w:ilvl w:val="2"/>
        <w:numId w:val="8"/>
      </w:numPr>
      <w:spacing w:before="120" w:after="120"/>
    </w:pPr>
  </w:style>
  <w:style w:type="character" w:customStyle="1" w:styleId="HB-ParagraphCharChar">
    <w:name w:val="HB - Paragraph Char Char"/>
    <w:basedOn w:val="DefaultParagraphFont"/>
    <w:link w:val="HB-Paragraph"/>
    <w:rsid w:val="00C148BD"/>
    <w:rPr>
      <w:sz w:val="24"/>
      <w:lang w:val="en-AU" w:eastAsia="en-AU" w:bidi="ar-SA"/>
    </w:rPr>
  </w:style>
  <w:style w:type="paragraph" w:customStyle="1" w:styleId="HB-Paragraph-alphpoint">
    <w:name w:val="HB - Paragraph - alph point"/>
    <w:basedOn w:val="Normal"/>
    <w:rsid w:val="00C148BD"/>
    <w:pPr>
      <w:numPr>
        <w:numId w:val="5"/>
      </w:numPr>
      <w:spacing w:before="120"/>
    </w:pPr>
  </w:style>
  <w:style w:type="paragraph" w:customStyle="1" w:styleId="Indentedtext">
    <w:name w:val="Indented text"/>
    <w:basedOn w:val="Normal"/>
    <w:rsid w:val="00C148BD"/>
    <w:pPr>
      <w:tabs>
        <w:tab w:val="left" w:pos="720"/>
      </w:tabs>
      <w:spacing w:before="0"/>
      <w:ind w:left="1440"/>
    </w:pPr>
  </w:style>
  <w:style w:type="character" w:styleId="Hyperlink">
    <w:name w:val="Hyperlink"/>
    <w:basedOn w:val="DefaultParagraphFont"/>
    <w:rsid w:val="00C148BD"/>
    <w:rPr>
      <w:color w:val="0000FF"/>
      <w:u w:val="single"/>
    </w:rPr>
  </w:style>
  <w:style w:type="paragraph" w:styleId="Title">
    <w:name w:val="Title"/>
    <w:basedOn w:val="Normal"/>
    <w:qFormat/>
    <w:rsid w:val="00C148BD"/>
    <w:pPr>
      <w:spacing w:before="0"/>
      <w:jc w:val="center"/>
    </w:pPr>
    <w:rPr>
      <w:b/>
      <w:sz w:val="36"/>
    </w:rPr>
  </w:style>
  <w:style w:type="paragraph" w:customStyle="1" w:styleId="HB-Table-Subpoint">
    <w:name w:val="HB - Table - Subpoint"/>
    <w:basedOn w:val="Normal"/>
    <w:rsid w:val="00C148BD"/>
    <w:pPr>
      <w:numPr>
        <w:numId w:val="3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rsid w:val="00C148B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C148BD"/>
    <w:pPr>
      <w:spacing w:before="100" w:beforeAutospacing="1" w:after="100" w:afterAutospacing="1"/>
      <w:ind w:left="300"/>
    </w:pPr>
    <w:rPr>
      <w:szCs w:val="24"/>
    </w:rPr>
  </w:style>
  <w:style w:type="character" w:styleId="Strong">
    <w:name w:val="Strong"/>
    <w:basedOn w:val="DefaultParagraphFont"/>
    <w:qFormat/>
    <w:rsid w:val="00C148BD"/>
    <w:rPr>
      <w:b/>
      <w:bCs/>
    </w:rPr>
  </w:style>
  <w:style w:type="paragraph" w:customStyle="1" w:styleId="NumberList">
    <w:name w:val="Number List"/>
    <w:basedOn w:val="Normal"/>
    <w:rsid w:val="006A7B5C"/>
    <w:pPr>
      <w:numPr>
        <w:numId w:val="29"/>
      </w:numPr>
      <w:tabs>
        <w:tab w:val="left" w:pos="1985"/>
      </w:tabs>
      <w:spacing w:line="240" w:lineRule="atLeast"/>
    </w:pPr>
    <w:rPr>
      <w:szCs w:val="24"/>
      <w:lang w:eastAsia="en-US"/>
    </w:rPr>
  </w:style>
  <w:style w:type="paragraph" w:customStyle="1" w:styleId="NumberListSub">
    <w:name w:val="Number List Sub"/>
    <w:basedOn w:val="NumberList"/>
    <w:rsid w:val="006A7B5C"/>
    <w:pPr>
      <w:numPr>
        <w:ilvl w:val="1"/>
      </w:numPr>
      <w:tabs>
        <w:tab w:val="left" w:pos="2552"/>
      </w:tabs>
    </w:pPr>
  </w:style>
  <w:style w:type="character" w:styleId="CommentReference">
    <w:name w:val="annotation reference"/>
    <w:basedOn w:val="DefaultParagraphFont"/>
    <w:rsid w:val="00876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8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68F3"/>
  </w:style>
  <w:style w:type="paragraph" w:styleId="CommentSubject">
    <w:name w:val="annotation subject"/>
    <w:basedOn w:val="CommentText"/>
    <w:next w:val="CommentText"/>
    <w:link w:val="CommentSubjectChar"/>
    <w:rsid w:val="00876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68F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A3FB6"/>
    <w:rPr>
      <w:sz w:val="24"/>
    </w:rPr>
  </w:style>
  <w:style w:type="paragraph" w:customStyle="1" w:styleId="subsection">
    <w:name w:val="subsection"/>
    <w:aliases w:val="ss"/>
    <w:basedOn w:val="Normal"/>
    <w:link w:val="subsectionChar"/>
    <w:rsid w:val="00176877"/>
    <w:pPr>
      <w:tabs>
        <w:tab w:val="right" w:pos="1021"/>
      </w:tabs>
      <w:spacing w:before="180"/>
      <w:ind w:left="1134" w:hanging="1134"/>
    </w:pPr>
    <w:rPr>
      <w:sz w:val="22"/>
    </w:rPr>
  </w:style>
  <w:style w:type="paragraph" w:customStyle="1" w:styleId="paragraph">
    <w:name w:val="paragraph"/>
    <w:aliases w:val="a"/>
    <w:basedOn w:val="Normal"/>
    <w:rsid w:val="00176877"/>
    <w:pPr>
      <w:tabs>
        <w:tab w:val="right" w:pos="1531"/>
      </w:tabs>
      <w:spacing w:before="40"/>
      <w:ind w:left="1644" w:hanging="1644"/>
    </w:pPr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176877"/>
    <w:rPr>
      <w:sz w:val="22"/>
    </w:rPr>
  </w:style>
  <w:style w:type="paragraph" w:styleId="ListParagraph">
    <w:name w:val="List Paragraph"/>
    <w:basedOn w:val="Normal"/>
    <w:uiPriority w:val="34"/>
    <w:qFormat/>
    <w:rsid w:val="003E1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Templates\EXCO\EM%20for%20Regula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531F2DB4E6BBD45AD269CFB5570F8D3" ma:contentTypeVersion="" ma:contentTypeDescription="PDMS Document Site Content Type" ma:contentTypeScope="" ma:versionID="9eab1145b067bc4f3aef18185a1d2d19">
  <xsd:schema xmlns:xsd="http://www.w3.org/2001/XMLSchema" xmlns:xs="http://www.w3.org/2001/XMLSchema" xmlns:p="http://schemas.microsoft.com/office/2006/metadata/properties" xmlns:ns2="EA32FBE2-6417-4EFC-9A23-25EB7D20720A" targetNamespace="http://schemas.microsoft.com/office/2006/metadata/properties" ma:root="true" ma:fieldsID="631c637a2bfa9581193a2906c30f6ca2" ns2:_="">
    <xsd:import namespace="EA32FBE2-6417-4EFC-9A23-25EB7D20720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FBE2-6417-4EFC-9A23-25EB7D20720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ecurityClassification xmlns="EA32FBE2-6417-4EFC-9A23-25EB7D2072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99CD-A11F-43DD-9FBC-7BD9ED359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2FBE2-6417-4EFC-9A23-25EB7D207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CD180-F53F-4214-B2BA-C21EE611F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588D7-EB77-477B-B88D-6B264AB896EE}">
  <ds:schemaRefs>
    <ds:schemaRef ds:uri="http://schemas.microsoft.com/office/2006/metadata/properties"/>
    <ds:schemaRef ds:uri="EA32FBE2-6417-4EFC-9A23-25EB7D20720A"/>
  </ds:schemaRefs>
</ds:datastoreItem>
</file>

<file path=customXml/itemProps4.xml><?xml version="1.0" encoding="utf-8"?>
<ds:datastoreItem xmlns:ds="http://schemas.openxmlformats.org/officeDocument/2006/customXml" ds:itemID="{1C64CFFB-CD6E-48D8-9CF2-A85714C5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 for Regulations</Template>
  <TotalTime>5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- Explanatory Memorandum for Regulations - Appendix E3</vt:lpstr>
    </vt:vector>
  </TitlesOfParts>
  <Company>Dept. Prime Minister &amp; Cabinet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- Explanatory Memorandum for Regulations - Appendix E3</dc:title>
  <dc:creator>Belen Lamond</dc:creator>
  <cp:lastModifiedBy>GALVEZ Christian</cp:lastModifiedBy>
  <cp:revision>4</cp:revision>
  <cp:lastPrinted>2017-03-02T03:50:00Z</cp:lastPrinted>
  <dcterms:created xsi:type="dcterms:W3CDTF">2017-03-23T03:56:00Z</dcterms:created>
  <dcterms:modified xsi:type="dcterms:W3CDTF">2017-03-23T04:03:00Z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03 March 2017</vt:lpwstr>
  </property>
  <property fmtid="{D5CDD505-2E9C-101B-9397-08002B2CF9AE}" pid="4" name="ClearanceDueDate">
    <vt:lpwstr>15 February 2017</vt:lpwstr>
  </property>
  <property fmtid="{D5CDD505-2E9C-101B-9397-08002B2CF9AE}" pid="5" name="ContentTypeId">
    <vt:lpwstr>0x0101000D189FC202257B4BAF97C682ACDB1567</vt:lpwstr>
  </property>
  <property fmtid="{D5CDD505-2E9C-101B-9397-08002B2CF9AE}" pid="6" name="DisplayonHomepage">
    <vt:lpwstr>false</vt:lpwstr>
  </property>
  <property fmtid="{D5CDD505-2E9C-101B-9397-08002B2CF9AE}" pid="7" name="DocumentDescription">
    <vt:lpwstr>Example - EM for Regulations - Appendix E3</vt:lpwstr>
  </property>
  <property fmtid="{D5CDD505-2E9C-101B-9397-08002B2CF9AE}" pid="8" name="DocumentVisibility">
    <vt:lpwstr>Public</vt:lpwstr>
  </property>
  <property fmtid="{D5CDD505-2E9C-101B-9397-08002B2CF9AE}" pid="9" name="Electorates">
    <vt:lpwstr> </vt:lpwstr>
  </property>
  <property fmtid="{D5CDD505-2E9C-101B-9397-08002B2CF9AE}" pid="10" name="FormTemplateGroup">
    <vt:lpwstr>Governance - MPS Forms and Templates</vt:lpwstr>
  </property>
  <property fmtid="{D5CDD505-2E9C-101B-9397-08002B2CF9AE}" pid="11" name="FormTemplateType">
    <vt:lpwstr>Explanatory Memorandum for Regulations Template - Federal Executive Council</vt:lpwstr>
  </property>
  <property fmtid="{D5CDD505-2E9C-101B-9397-08002B2CF9AE}" pid="12" name="GroupResponsible">
    <vt:lpwstr>Local Government and Territories</vt:lpwstr>
  </property>
  <property fmtid="{D5CDD505-2E9C-101B-9397-08002B2CF9AE}" pid="13" name="Guideline Group">
    <vt:lpwstr>Governance - MPS Guideline</vt:lpwstr>
  </property>
  <property fmtid="{D5CDD505-2E9C-101B-9397-08002B2CF9AE}" pid="14" name="Guideline Type">
    <vt:lpwstr>Federal Executive Handbook (2005)</vt:lpwstr>
  </property>
  <property fmtid="{D5CDD505-2E9C-101B-9397-08002B2CF9AE}" pid="15" name="HandlingProtocol">
    <vt:lpwstr>Standard</vt:lpwstr>
  </property>
  <property fmtid="{D5CDD505-2E9C-101B-9397-08002B2CF9AE}" pid="16" name="InformationMinister">
    <vt:lpwstr>Darren Chester</vt:lpwstr>
  </property>
  <property fmtid="{D5CDD505-2E9C-101B-9397-08002B2CF9AE}" pid="17" name="InitiatorAddressLine1">
    <vt:lpwstr/>
  </property>
  <property fmtid="{D5CDD505-2E9C-101B-9397-08002B2CF9AE}" pid="18" name="InitiatorAddressLine1And2">
    <vt:lpwstr/>
  </property>
  <property fmtid="{D5CDD505-2E9C-101B-9397-08002B2CF9AE}" pid="19" name="InitiatorAddressLine2">
    <vt:lpwstr/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/>
  </property>
  <property fmtid="{D5CDD505-2E9C-101B-9397-08002B2CF9AE}" pid="24" name="InitiatorFax">
    <vt:lpwstr/>
  </property>
  <property fmtid="{D5CDD505-2E9C-101B-9397-08002B2CF9AE}" pid="25" name="InitiatorFirstName">
    <vt:lpwstr/>
  </property>
  <property fmtid="{D5CDD505-2E9C-101B-9397-08002B2CF9AE}" pid="26" name="InitiatorFormalTitle">
    <vt:lpwstr/>
  </property>
  <property fmtid="{D5CDD505-2E9C-101B-9397-08002B2CF9AE}" pid="27" name="InitiatorFullName">
    <vt:lpwstr/>
  </property>
  <property fmtid="{D5CDD505-2E9C-101B-9397-08002B2CF9AE}" pid="28" name="InitiatorLastName">
    <vt:lpwstr/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/>
  </property>
  <property fmtid="{D5CDD505-2E9C-101B-9397-08002B2CF9AE}" pid="33" name="InitiatorOnBehalfVia">
    <vt:lpwstr/>
  </property>
  <property fmtid="{D5CDD505-2E9C-101B-9397-08002B2CF9AE}" pid="34" name="InitiatorOrganisation">
    <vt:lpwstr/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/>
  </property>
  <property fmtid="{D5CDD505-2E9C-101B-9397-08002B2CF9AE}" pid="39" name="InitiatorPhone">
    <vt:lpwstr/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/>
  </property>
  <property fmtid="{D5CDD505-2E9C-101B-9397-08002B2CF9AE}" pid="46" name="InitiatorTitledFullName">
    <vt:lpwstr/>
  </property>
  <property fmtid="{D5CDD505-2E9C-101B-9397-08002B2CF9AE}" pid="47" name="LastClearingOfficer">
    <vt:lpwstr>Karly Pidgeon</vt:lpwstr>
  </property>
  <property fmtid="{D5CDD505-2E9C-101B-9397-08002B2CF9AE}" pid="48" name="Ministers">
    <vt:lpwstr>Darren Chester, Fiona Nash</vt:lpwstr>
  </property>
  <property fmtid="{D5CDD505-2E9C-101B-9397-08002B2CF9AE}" pid="49" name="Page">
    <vt:lpwstr>4</vt:lpwstr>
  </property>
  <property fmtid="{D5CDD505-2E9C-101B-9397-08002B2CF9AE}" pid="50" name="PdrId">
    <vt:lpwstr>MS17-000228</vt:lpwstr>
  </property>
  <property fmtid="{D5CDD505-2E9C-101B-9397-08002B2CF9AE}" pid="51" name="Principal">
    <vt:lpwstr>Minister Nash</vt:lpwstr>
  </property>
  <property fmtid="{D5CDD505-2E9C-101B-9397-08002B2CF9AE}" pid="52" name="ReasonForSensitivity">
    <vt:lpwstr/>
  </property>
  <property fmtid="{D5CDD505-2E9C-101B-9397-08002B2CF9AE}" pid="53" name="RegisteredDate">
    <vt:lpwstr>06 February 2017</vt:lpwstr>
  </property>
  <property fmtid="{D5CDD505-2E9C-101B-9397-08002B2CF9AE}" pid="54" name="RequestedAction">
    <vt:lpwstr>Agree/sign</vt:lpwstr>
  </property>
  <property fmtid="{D5CDD505-2E9C-101B-9397-08002B2CF9AE}" pid="55" name="ResponsibleMinister">
    <vt:lpwstr>Fiona Nash</vt:lpwstr>
  </property>
  <property fmtid="{D5CDD505-2E9C-101B-9397-08002B2CF9AE}" pid="56" name="SecurityClassification">
    <vt:lpwstr>Sensitive: Legal  </vt:lpwstr>
  </property>
  <property fmtid="{D5CDD505-2E9C-101B-9397-08002B2CF9AE}" pid="57" name="Subject">
    <vt:lpwstr>Policy Approval for Christmas Island and the Cocos (Keeling) Islands Laws and the Cocos (Keeling) Islands Applied Laws Amendment (Residential Tenancies) Ordinance 2017</vt:lpwstr>
  </property>
  <property fmtid="{D5CDD505-2E9C-101B-9397-08002B2CF9AE}" pid="58" name="TaskSeqNo">
    <vt:lpwstr>4</vt:lpwstr>
  </property>
  <property fmtid="{D5CDD505-2E9C-101B-9397-08002B2CF9AE}" pid="59" name="TemplateSubType">
    <vt:lpwstr>Standard</vt:lpwstr>
  </property>
  <property fmtid="{D5CDD505-2E9C-101B-9397-08002B2CF9AE}" pid="60" name="TemplateType">
    <vt:lpwstr>Infrastructure</vt:lpwstr>
  </property>
  <property fmtid="{D5CDD505-2E9C-101B-9397-08002B2CF9AE}" pid="61" name="TrustedGroups">
    <vt:lpwstr>Parliamentary Coordinator MS, DLO, Ministerial Staff - Coalition 2013, Business Administrator, Limited Distribution MS</vt:lpwstr>
  </property>
</Properties>
</file>