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90E" w:rsidRPr="00F30C99" w:rsidRDefault="0044290E" w:rsidP="0044290E">
      <w:r w:rsidRPr="00F30C9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8" o:title=""/>
          </v:shape>
          <o:OLEObject Type="Embed" ProgID="Word.Picture.8" ShapeID="_x0000_i1025" DrawAspect="Content" ObjectID="_1703509488" r:id="rId9"/>
        </w:object>
      </w:r>
    </w:p>
    <w:p w:rsidR="0044290E" w:rsidRPr="00F30C99" w:rsidRDefault="0044290E" w:rsidP="0044290E">
      <w:pPr>
        <w:pStyle w:val="ShortT"/>
        <w:spacing w:before="240"/>
      </w:pPr>
      <w:r w:rsidRPr="00F30C99">
        <w:t xml:space="preserve">Law Enforcement Integrity Commissioner </w:t>
      </w:r>
      <w:r w:rsidR="002B5C75">
        <w:t>Regulations 2</w:t>
      </w:r>
      <w:r w:rsidRPr="00F30C99">
        <w:t>017</w:t>
      </w:r>
    </w:p>
    <w:p w:rsidR="0044290E" w:rsidRPr="00F30C99" w:rsidRDefault="0044290E" w:rsidP="0044290E">
      <w:pPr>
        <w:pStyle w:val="MadeunderText"/>
      </w:pPr>
      <w:r w:rsidRPr="00F30C99">
        <w:t>made under the</w:t>
      </w:r>
    </w:p>
    <w:p w:rsidR="0044290E" w:rsidRPr="00F30C99" w:rsidRDefault="0044290E" w:rsidP="0044290E">
      <w:pPr>
        <w:pStyle w:val="CompiledMadeUnder"/>
        <w:spacing w:before="240"/>
      </w:pPr>
      <w:r w:rsidRPr="00F30C99">
        <w:t>Law Enforcement Integrity Commissioner Act 2006</w:t>
      </w:r>
    </w:p>
    <w:p w:rsidR="0044290E" w:rsidRPr="00F30C99" w:rsidRDefault="0044290E" w:rsidP="0044290E">
      <w:pPr>
        <w:spacing w:before="1000"/>
        <w:rPr>
          <w:rFonts w:cs="Arial"/>
          <w:b/>
          <w:sz w:val="32"/>
          <w:szCs w:val="32"/>
        </w:rPr>
      </w:pPr>
      <w:r w:rsidRPr="00F30C99">
        <w:rPr>
          <w:rFonts w:cs="Arial"/>
          <w:b/>
          <w:sz w:val="32"/>
          <w:szCs w:val="32"/>
        </w:rPr>
        <w:t xml:space="preserve">Compilation No. </w:t>
      </w:r>
      <w:r w:rsidRPr="00F30C99">
        <w:rPr>
          <w:rFonts w:cs="Arial"/>
          <w:b/>
          <w:sz w:val="32"/>
          <w:szCs w:val="32"/>
        </w:rPr>
        <w:fldChar w:fldCharType="begin"/>
      </w:r>
      <w:r w:rsidRPr="00F30C99">
        <w:rPr>
          <w:rFonts w:cs="Arial"/>
          <w:b/>
          <w:sz w:val="32"/>
          <w:szCs w:val="32"/>
        </w:rPr>
        <w:instrText xml:space="preserve"> DOCPROPERTY  CompilationNumber </w:instrText>
      </w:r>
      <w:r w:rsidRPr="00F30C99">
        <w:rPr>
          <w:rFonts w:cs="Arial"/>
          <w:b/>
          <w:sz w:val="32"/>
          <w:szCs w:val="32"/>
        </w:rPr>
        <w:fldChar w:fldCharType="separate"/>
      </w:r>
      <w:r w:rsidR="00DF2089">
        <w:rPr>
          <w:rFonts w:cs="Arial"/>
          <w:b/>
          <w:sz w:val="32"/>
          <w:szCs w:val="32"/>
        </w:rPr>
        <w:t>3</w:t>
      </w:r>
      <w:r w:rsidRPr="00F30C99">
        <w:rPr>
          <w:rFonts w:cs="Arial"/>
          <w:b/>
          <w:sz w:val="32"/>
          <w:szCs w:val="32"/>
        </w:rPr>
        <w:fldChar w:fldCharType="end"/>
      </w:r>
    </w:p>
    <w:p w:rsidR="0044290E" w:rsidRPr="00F30C99" w:rsidRDefault="0044290E" w:rsidP="0044290E">
      <w:pPr>
        <w:tabs>
          <w:tab w:val="left" w:pos="3600"/>
        </w:tabs>
        <w:spacing w:before="480"/>
        <w:rPr>
          <w:rFonts w:cs="Arial"/>
          <w:sz w:val="24"/>
        </w:rPr>
      </w:pPr>
      <w:r w:rsidRPr="00F30C99">
        <w:rPr>
          <w:rFonts w:cs="Arial"/>
          <w:b/>
          <w:sz w:val="24"/>
        </w:rPr>
        <w:t>Compilation date:</w:t>
      </w:r>
      <w:r w:rsidRPr="00F30C99">
        <w:rPr>
          <w:rFonts w:cs="Arial"/>
          <w:b/>
          <w:sz w:val="24"/>
        </w:rPr>
        <w:tab/>
      </w:r>
      <w:r w:rsidRPr="00DF2089">
        <w:rPr>
          <w:rFonts w:cs="Arial"/>
          <w:sz w:val="24"/>
        </w:rPr>
        <w:fldChar w:fldCharType="begin"/>
      </w:r>
      <w:r w:rsidR="004E3418" w:rsidRPr="00DF2089">
        <w:rPr>
          <w:rFonts w:cs="Arial"/>
          <w:sz w:val="24"/>
        </w:rPr>
        <w:instrText>DOCPROPERTY StartDate \@ "d MMMM yyyy" \* MERGEFORMAT</w:instrText>
      </w:r>
      <w:r w:rsidRPr="00DF2089">
        <w:rPr>
          <w:rFonts w:cs="Arial"/>
          <w:sz w:val="24"/>
        </w:rPr>
        <w:fldChar w:fldCharType="separate"/>
      </w:r>
      <w:r w:rsidR="00DF2089" w:rsidRPr="00DF2089">
        <w:rPr>
          <w:rFonts w:cs="Arial"/>
          <w:bCs/>
          <w:sz w:val="24"/>
        </w:rPr>
        <w:t>14 December</w:t>
      </w:r>
      <w:r w:rsidR="00DF2089" w:rsidRPr="00DF2089">
        <w:rPr>
          <w:rFonts w:cs="Arial"/>
          <w:sz w:val="24"/>
        </w:rPr>
        <w:t xml:space="preserve"> 2021</w:t>
      </w:r>
      <w:r w:rsidRPr="00DF2089">
        <w:rPr>
          <w:rFonts w:cs="Arial"/>
          <w:sz w:val="24"/>
        </w:rPr>
        <w:fldChar w:fldCharType="end"/>
      </w:r>
    </w:p>
    <w:p w:rsidR="0044290E" w:rsidRPr="00F30C99" w:rsidRDefault="0044290E" w:rsidP="0044290E">
      <w:pPr>
        <w:spacing w:before="240"/>
        <w:rPr>
          <w:rFonts w:cs="Arial"/>
          <w:sz w:val="24"/>
        </w:rPr>
      </w:pPr>
      <w:r w:rsidRPr="00F30C99">
        <w:rPr>
          <w:rFonts w:cs="Arial"/>
          <w:b/>
          <w:sz w:val="24"/>
        </w:rPr>
        <w:t>Includes amendments up to:</w:t>
      </w:r>
      <w:r w:rsidRPr="00F30C99">
        <w:rPr>
          <w:rFonts w:cs="Arial"/>
          <w:b/>
          <w:sz w:val="24"/>
        </w:rPr>
        <w:tab/>
      </w:r>
      <w:r w:rsidRPr="00DF2089">
        <w:rPr>
          <w:rFonts w:cs="Arial"/>
          <w:sz w:val="24"/>
        </w:rPr>
        <w:fldChar w:fldCharType="begin"/>
      </w:r>
      <w:r w:rsidRPr="00DF2089">
        <w:rPr>
          <w:rFonts w:cs="Arial"/>
          <w:sz w:val="24"/>
        </w:rPr>
        <w:instrText xml:space="preserve"> DOCPROPERTY IncludesUpTo </w:instrText>
      </w:r>
      <w:r w:rsidRPr="00DF2089">
        <w:rPr>
          <w:rFonts w:cs="Arial"/>
          <w:sz w:val="24"/>
        </w:rPr>
        <w:fldChar w:fldCharType="separate"/>
      </w:r>
      <w:r w:rsidR="00DF2089" w:rsidRPr="00DF2089">
        <w:rPr>
          <w:rFonts w:cs="Arial"/>
          <w:sz w:val="24"/>
        </w:rPr>
        <w:t>F2021L01765</w:t>
      </w:r>
      <w:r w:rsidRPr="00DF2089">
        <w:rPr>
          <w:rFonts w:cs="Arial"/>
          <w:sz w:val="24"/>
        </w:rPr>
        <w:fldChar w:fldCharType="end"/>
      </w:r>
    </w:p>
    <w:p w:rsidR="0044290E" w:rsidRPr="00F30C99" w:rsidRDefault="0044290E" w:rsidP="0044290E">
      <w:pPr>
        <w:tabs>
          <w:tab w:val="left" w:pos="3600"/>
        </w:tabs>
        <w:spacing w:before="240" w:after="240"/>
        <w:rPr>
          <w:rFonts w:cs="Arial"/>
          <w:sz w:val="28"/>
          <w:szCs w:val="28"/>
        </w:rPr>
      </w:pPr>
      <w:r w:rsidRPr="00F30C99">
        <w:rPr>
          <w:rFonts w:cs="Arial"/>
          <w:b/>
          <w:sz w:val="24"/>
        </w:rPr>
        <w:t>Registered:</w:t>
      </w:r>
      <w:r w:rsidRPr="00F30C99">
        <w:rPr>
          <w:rFonts w:cs="Arial"/>
          <w:b/>
          <w:sz w:val="24"/>
        </w:rPr>
        <w:tab/>
      </w:r>
      <w:r w:rsidRPr="00DF2089">
        <w:rPr>
          <w:rFonts w:cs="Arial"/>
          <w:sz w:val="24"/>
        </w:rPr>
        <w:fldChar w:fldCharType="begin"/>
      </w:r>
      <w:r w:rsidRPr="00DF2089">
        <w:rPr>
          <w:rFonts w:cs="Arial"/>
          <w:sz w:val="24"/>
        </w:rPr>
        <w:instrText xml:space="preserve"> IF </w:instrText>
      </w:r>
      <w:r w:rsidRPr="00DF2089">
        <w:rPr>
          <w:rFonts w:cs="Arial"/>
          <w:sz w:val="24"/>
        </w:rPr>
        <w:fldChar w:fldCharType="begin"/>
      </w:r>
      <w:r w:rsidRPr="00DF2089">
        <w:rPr>
          <w:rFonts w:cs="Arial"/>
          <w:sz w:val="24"/>
        </w:rPr>
        <w:instrText xml:space="preserve"> DOCPROPERTY RegisteredDate </w:instrText>
      </w:r>
      <w:r w:rsidRPr="00DF2089">
        <w:rPr>
          <w:rFonts w:cs="Arial"/>
          <w:sz w:val="24"/>
        </w:rPr>
        <w:fldChar w:fldCharType="separate"/>
      </w:r>
      <w:r w:rsidR="00DF2089" w:rsidRPr="00DF2089">
        <w:rPr>
          <w:rFonts w:cs="Arial"/>
          <w:sz w:val="24"/>
        </w:rPr>
        <w:instrText>12 January 2022</w:instrText>
      </w:r>
      <w:r w:rsidRPr="00DF2089">
        <w:rPr>
          <w:rFonts w:cs="Arial"/>
          <w:sz w:val="24"/>
        </w:rPr>
        <w:fldChar w:fldCharType="end"/>
      </w:r>
      <w:r w:rsidRPr="00DF2089">
        <w:rPr>
          <w:rFonts w:cs="Arial"/>
          <w:sz w:val="24"/>
        </w:rPr>
        <w:instrText xml:space="preserve"> = #1/1/1901# "Unknown" </w:instrText>
      </w:r>
      <w:r w:rsidRPr="00DF2089">
        <w:rPr>
          <w:rFonts w:cs="Arial"/>
          <w:sz w:val="24"/>
        </w:rPr>
        <w:fldChar w:fldCharType="begin"/>
      </w:r>
      <w:r w:rsidRPr="00DF2089">
        <w:rPr>
          <w:rFonts w:cs="Arial"/>
          <w:sz w:val="24"/>
        </w:rPr>
        <w:instrText xml:space="preserve"> DOCPROPERTY RegisteredDate \@ "d MMMM yyyy" </w:instrText>
      </w:r>
      <w:r w:rsidRPr="00DF2089">
        <w:rPr>
          <w:rFonts w:cs="Arial"/>
          <w:sz w:val="24"/>
        </w:rPr>
        <w:fldChar w:fldCharType="separate"/>
      </w:r>
      <w:r w:rsidR="00DF2089" w:rsidRPr="00DF2089">
        <w:rPr>
          <w:rFonts w:cs="Arial"/>
          <w:sz w:val="24"/>
        </w:rPr>
        <w:instrText>12 January 2022</w:instrText>
      </w:r>
      <w:r w:rsidRPr="00DF2089">
        <w:rPr>
          <w:rFonts w:cs="Arial"/>
          <w:sz w:val="24"/>
        </w:rPr>
        <w:fldChar w:fldCharType="end"/>
      </w:r>
      <w:r w:rsidRPr="00DF2089">
        <w:rPr>
          <w:rFonts w:cs="Arial"/>
          <w:sz w:val="24"/>
        </w:rPr>
        <w:instrText xml:space="preserve"> \*MERGEFORMAT </w:instrText>
      </w:r>
      <w:r w:rsidRPr="00DF2089">
        <w:rPr>
          <w:rFonts w:cs="Arial"/>
          <w:sz w:val="24"/>
        </w:rPr>
        <w:fldChar w:fldCharType="separate"/>
      </w:r>
      <w:r w:rsidR="00DF2089" w:rsidRPr="00DF2089">
        <w:rPr>
          <w:rFonts w:cs="Arial"/>
          <w:noProof/>
          <w:sz w:val="24"/>
        </w:rPr>
        <w:t>12 January 2022</w:t>
      </w:r>
      <w:r w:rsidRPr="00DF2089">
        <w:rPr>
          <w:rFonts w:cs="Arial"/>
          <w:sz w:val="24"/>
        </w:rPr>
        <w:fldChar w:fldCharType="end"/>
      </w:r>
    </w:p>
    <w:p w:rsidR="0044290E" w:rsidRPr="00F30C99" w:rsidRDefault="0044290E" w:rsidP="0044290E">
      <w:pPr>
        <w:pageBreakBefore/>
        <w:rPr>
          <w:rFonts w:cs="Arial"/>
          <w:b/>
          <w:sz w:val="32"/>
          <w:szCs w:val="32"/>
        </w:rPr>
      </w:pPr>
      <w:r w:rsidRPr="00F30C99">
        <w:rPr>
          <w:rFonts w:cs="Arial"/>
          <w:b/>
          <w:sz w:val="32"/>
          <w:szCs w:val="32"/>
        </w:rPr>
        <w:lastRenderedPageBreak/>
        <w:t>About this compilation</w:t>
      </w:r>
    </w:p>
    <w:p w:rsidR="0044290E" w:rsidRPr="00F30C99" w:rsidRDefault="0044290E" w:rsidP="0044290E">
      <w:pPr>
        <w:spacing w:before="240"/>
        <w:rPr>
          <w:rFonts w:cs="Arial"/>
        </w:rPr>
      </w:pPr>
      <w:r w:rsidRPr="00F30C99">
        <w:rPr>
          <w:rFonts w:cs="Arial"/>
          <w:b/>
          <w:szCs w:val="22"/>
        </w:rPr>
        <w:t>This compilation</w:t>
      </w:r>
    </w:p>
    <w:p w:rsidR="0044290E" w:rsidRPr="00F30C99" w:rsidRDefault="0044290E" w:rsidP="0044290E">
      <w:pPr>
        <w:spacing w:before="120" w:after="120"/>
        <w:rPr>
          <w:rFonts w:cs="Arial"/>
          <w:szCs w:val="22"/>
        </w:rPr>
      </w:pPr>
      <w:r w:rsidRPr="00F30C99">
        <w:rPr>
          <w:rFonts w:cs="Arial"/>
          <w:szCs w:val="22"/>
        </w:rPr>
        <w:t xml:space="preserve">This is a compilation of the </w:t>
      </w:r>
      <w:r w:rsidRPr="00F30C99">
        <w:rPr>
          <w:rFonts w:cs="Arial"/>
          <w:i/>
          <w:szCs w:val="22"/>
        </w:rPr>
        <w:fldChar w:fldCharType="begin"/>
      </w:r>
      <w:r w:rsidRPr="00F30C99">
        <w:rPr>
          <w:rFonts w:cs="Arial"/>
          <w:i/>
          <w:szCs w:val="22"/>
        </w:rPr>
        <w:instrText xml:space="preserve"> STYLEREF  ShortT </w:instrText>
      </w:r>
      <w:r w:rsidRPr="00F30C99">
        <w:rPr>
          <w:rFonts w:cs="Arial"/>
          <w:i/>
          <w:szCs w:val="22"/>
        </w:rPr>
        <w:fldChar w:fldCharType="separate"/>
      </w:r>
      <w:r w:rsidR="00DF2089">
        <w:rPr>
          <w:rFonts w:cs="Arial"/>
          <w:i/>
          <w:noProof/>
          <w:szCs w:val="22"/>
        </w:rPr>
        <w:t>Law Enforcement Integrity Commissioner Regulations 2017</w:t>
      </w:r>
      <w:r w:rsidRPr="00F30C99">
        <w:rPr>
          <w:rFonts w:cs="Arial"/>
          <w:i/>
          <w:szCs w:val="22"/>
        </w:rPr>
        <w:fldChar w:fldCharType="end"/>
      </w:r>
      <w:r w:rsidRPr="00F30C99">
        <w:rPr>
          <w:rFonts w:cs="Arial"/>
          <w:szCs w:val="22"/>
        </w:rPr>
        <w:t xml:space="preserve"> that shows the text of the law as amended and in force on </w:t>
      </w:r>
      <w:r w:rsidRPr="00DF2089">
        <w:rPr>
          <w:rFonts w:cs="Arial"/>
          <w:szCs w:val="22"/>
        </w:rPr>
        <w:fldChar w:fldCharType="begin"/>
      </w:r>
      <w:r w:rsidR="004E3418" w:rsidRPr="00DF2089">
        <w:rPr>
          <w:rFonts w:cs="Arial"/>
          <w:szCs w:val="22"/>
        </w:rPr>
        <w:instrText>DOCPROPERTY StartDate \@ "d MMMM yyyy" \* MERGEFORMAT</w:instrText>
      </w:r>
      <w:r w:rsidRPr="00DF2089">
        <w:rPr>
          <w:rFonts w:cs="Arial"/>
          <w:szCs w:val="3276"/>
        </w:rPr>
        <w:fldChar w:fldCharType="separate"/>
      </w:r>
      <w:r w:rsidR="00DF2089" w:rsidRPr="00DF2089">
        <w:rPr>
          <w:rFonts w:cs="Arial"/>
          <w:szCs w:val="22"/>
        </w:rPr>
        <w:t>14 December 2021</w:t>
      </w:r>
      <w:r w:rsidRPr="00DF2089">
        <w:rPr>
          <w:rFonts w:cs="Arial"/>
          <w:szCs w:val="22"/>
        </w:rPr>
        <w:fldChar w:fldCharType="end"/>
      </w:r>
      <w:r w:rsidRPr="00F30C99">
        <w:rPr>
          <w:rFonts w:cs="Arial"/>
          <w:szCs w:val="22"/>
        </w:rPr>
        <w:t xml:space="preserve"> (the </w:t>
      </w:r>
      <w:r w:rsidRPr="00F30C99">
        <w:rPr>
          <w:rFonts w:cs="Arial"/>
          <w:b/>
          <w:i/>
          <w:szCs w:val="22"/>
        </w:rPr>
        <w:t>compilation date</w:t>
      </w:r>
      <w:r w:rsidRPr="00F30C99">
        <w:rPr>
          <w:rFonts w:cs="Arial"/>
          <w:szCs w:val="22"/>
        </w:rPr>
        <w:t>).</w:t>
      </w:r>
    </w:p>
    <w:p w:rsidR="0044290E" w:rsidRPr="00F30C99" w:rsidRDefault="0044290E" w:rsidP="0044290E">
      <w:pPr>
        <w:spacing w:after="120"/>
        <w:rPr>
          <w:rFonts w:cs="Arial"/>
          <w:szCs w:val="22"/>
        </w:rPr>
      </w:pPr>
      <w:r w:rsidRPr="00F30C99">
        <w:rPr>
          <w:rFonts w:cs="Arial"/>
          <w:szCs w:val="22"/>
        </w:rPr>
        <w:t xml:space="preserve">The notes at the end of this compilation (the </w:t>
      </w:r>
      <w:r w:rsidRPr="00F30C99">
        <w:rPr>
          <w:rFonts w:cs="Arial"/>
          <w:b/>
          <w:i/>
          <w:szCs w:val="22"/>
        </w:rPr>
        <w:t>endnotes</w:t>
      </w:r>
      <w:r w:rsidRPr="00F30C99">
        <w:rPr>
          <w:rFonts w:cs="Arial"/>
          <w:szCs w:val="22"/>
        </w:rPr>
        <w:t>) include information about amending laws and the amendment history of provisions of the compiled law.</w:t>
      </w:r>
    </w:p>
    <w:p w:rsidR="0044290E" w:rsidRPr="00F30C99" w:rsidRDefault="0044290E" w:rsidP="0044290E">
      <w:pPr>
        <w:tabs>
          <w:tab w:val="left" w:pos="5640"/>
        </w:tabs>
        <w:spacing w:before="120" w:after="120"/>
        <w:rPr>
          <w:rFonts w:cs="Arial"/>
          <w:b/>
          <w:szCs w:val="22"/>
        </w:rPr>
      </w:pPr>
      <w:r w:rsidRPr="00F30C99">
        <w:rPr>
          <w:rFonts w:cs="Arial"/>
          <w:b/>
          <w:szCs w:val="22"/>
        </w:rPr>
        <w:t>Uncommenced amendments</w:t>
      </w:r>
    </w:p>
    <w:p w:rsidR="0044290E" w:rsidRPr="00F30C99" w:rsidRDefault="0044290E" w:rsidP="0044290E">
      <w:pPr>
        <w:spacing w:after="120"/>
        <w:rPr>
          <w:rFonts w:cs="Arial"/>
          <w:szCs w:val="22"/>
        </w:rPr>
      </w:pPr>
      <w:r w:rsidRPr="00F30C99">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4290E" w:rsidRPr="00F30C99" w:rsidRDefault="0044290E" w:rsidP="0044290E">
      <w:pPr>
        <w:spacing w:before="120" w:after="120"/>
        <w:rPr>
          <w:rFonts w:cs="Arial"/>
          <w:b/>
          <w:szCs w:val="22"/>
        </w:rPr>
      </w:pPr>
      <w:r w:rsidRPr="00F30C99">
        <w:rPr>
          <w:rFonts w:cs="Arial"/>
          <w:b/>
          <w:szCs w:val="22"/>
        </w:rPr>
        <w:t>Application, saving and transitional provisions for provisions and amendments</w:t>
      </w:r>
    </w:p>
    <w:p w:rsidR="0044290E" w:rsidRPr="00F30C99" w:rsidRDefault="0044290E" w:rsidP="0044290E">
      <w:pPr>
        <w:spacing w:after="120"/>
        <w:rPr>
          <w:rFonts w:cs="Arial"/>
          <w:szCs w:val="22"/>
        </w:rPr>
      </w:pPr>
      <w:r w:rsidRPr="00F30C99">
        <w:rPr>
          <w:rFonts w:cs="Arial"/>
          <w:szCs w:val="22"/>
        </w:rPr>
        <w:t>If the operation of a provision or amendment of the compiled law is affected by an application, saving or transitional provision that is not included in this compilation, details are included in the endnotes.</w:t>
      </w:r>
    </w:p>
    <w:p w:rsidR="0044290E" w:rsidRPr="00F30C99" w:rsidRDefault="0044290E" w:rsidP="0044290E">
      <w:pPr>
        <w:spacing w:after="120"/>
        <w:rPr>
          <w:rFonts w:cs="Arial"/>
          <w:b/>
          <w:szCs w:val="22"/>
        </w:rPr>
      </w:pPr>
      <w:r w:rsidRPr="00F30C99">
        <w:rPr>
          <w:rFonts w:cs="Arial"/>
          <w:b/>
          <w:szCs w:val="22"/>
        </w:rPr>
        <w:t>Editorial changes</w:t>
      </w:r>
    </w:p>
    <w:p w:rsidR="0044290E" w:rsidRPr="00F30C99" w:rsidRDefault="0044290E" w:rsidP="0044290E">
      <w:pPr>
        <w:spacing w:after="120"/>
        <w:rPr>
          <w:rFonts w:cs="Arial"/>
          <w:szCs w:val="22"/>
        </w:rPr>
      </w:pPr>
      <w:r w:rsidRPr="00F30C99">
        <w:rPr>
          <w:rFonts w:cs="Arial"/>
          <w:szCs w:val="22"/>
        </w:rPr>
        <w:t>For more information about any editorial changes made in this compilation, see the endnotes.</w:t>
      </w:r>
    </w:p>
    <w:p w:rsidR="0044290E" w:rsidRPr="00F30C99" w:rsidRDefault="0044290E" w:rsidP="0044290E">
      <w:pPr>
        <w:spacing w:before="120" w:after="120"/>
        <w:rPr>
          <w:rFonts w:cs="Arial"/>
          <w:b/>
          <w:szCs w:val="22"/>
        </w:rPr>
      </w:pPr>
      <w:r w:rsidRPr="00F30C99">
        <w:rPr>
          <w:rFonts w:cs="Arial"/>
          <w:b/>
          <w:szCs w:val="22"/>
        </w:rPr>
        <w:t>Modifications</w:t>
      </w:r>
    </w:p>
    <w:p w:rsidR="0044290E" w:rsidRPr="00F30C99" w:rsidRDefault="0044290E" w:rsidP="0044290E">
      <w:pPr>
        <w:spacing w:after="120"/>
        <w:rPr>
          <w:rFonts w:cs="Arial"/>
          <w:szCs w:val="22"/>
        </w:rPr>
      </w:pPr>
      <w:r w:rsidRPr="00F30C9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4290E" w:rsidRPr="00F30C99" w:rsidRDefault="0044290E" w:rsidP="0044290E">
      <w:pPr>
        <w:spacing w:before="80" w:after="120"/>
        <w:rPr>
          <w:rFonts w:cs="Arial"/>
          <w:b/>
          <w:szCs w:val="22"/>
        </w:rPr>
      </w:pPr>
      <w:r w:rsidRPr="00F30C99">
        <w:rPr>
          <w:rFonts w:cs="Arial"/>
          <w:b/>
          <w:szCs w:val="22"/>
        </w:rPr>
        <w:t>Self</w:t>
      </w:r>
      <w:r w:rsidR="002B5C75">
        <w:rPr>
          <w:rFonts w:cs="Arial"/>
          <w:b/>
          <w:szCs w:val="22"/>
        </w:rPr>
        <w:noBreakHyphen/>
      </w:r>
      <w:r w:rsidRPr="00F30C99">
        <w:rPr>
          <w:rFonts w:cs="Arial"/>
          <w:b/>
          <w:szCs w:val="22"/>
        </w:rPr>
        <w:t>repealing provisions</w:t>
      </w:r>
    </w:p>
    <w:p w:rsidR="0044290E" w:rsidRPr="00F30C99" w:rsidRDefault="0044290E" w:rsidP="0044290E">
      <w:pPr>
        <w:spacing w:after="120"/>
        <w:rPr>
          <w:rFonts w:cs="Arial"/>
          <w:szCs w:val="22"/>
        </w:rPr>
      </w:pPr>
      <w:r w:rsidRPr="00F30C99">
        <w:rPr>
          <w:rFonts w:cs="Arial"/>
          <w:szCs w:val="22"/>
        </w:rPr>
        <w:t>If a provision of the compiled law has been repealed in accordance with a provision of the law, details are included in the endnotes.</w:t>
      </w:r>
    </w:p>
    <w:p w:rsidR="0044290E" w:rsidRPr="00F30C99" w:rsidRDefault="0044290E" w:rsidP="0044290E">
      <w:pPr>
        <w:pStyle w:val="Header"/>
        <w:tabs>
          <w:tab w:val="clear" w:pos="4150"/>
          <w:tab w:val="clear" w:pos="8307"/>
        </w:tabs>
      </w:pPr>
      <w:r w:rsidRPr="002B5C75">
        <w:rPr>
          <w:rStyle w:val="CharChapNo"/>
        </w:rPr>
        <w:t xml:space="preserve"> </w:t>
      </w:r>
      <w:r w:rsidRPr="002B5C75">
        <w:rPr>
          <w:rStyle w:val="CharChapText"/>
        </w:rPr>
        <w:t xml:space="preserve"> </w:t>
      </w:r>
    </w:p>
    <w:p w:rsidR="0044290E" w:rsidRPr="00F30C99" w:rsidRDefault="0044290E" w:rsidP="0044290E">
      <w:pPr>
        <w:pStyle w:val="Header"/>
        <w:tabs>
          <w:tab w:val="clear" w:pos="4150"/>
          <w:tab w:val="clear" w:pos="8307"/>
        </w:tabs>
      </w:pPr>
      <w:r w:rsidRPr="002B5C75">
        <w:rPr>
          <w:rStyle w:val="CharPartNo"/>
        </w:rPr>
        <w:t xml:space="preserve"> </w:t>
      </w:r>
      <w:r w:rsidRPr="002B5C75">
        <w:rPr>
          <w:rStyle w:val="CharPartText"/>
        </w:rPr>
        <w:t xml:space="preserve"> </w:t>
      </w:r>
    </w:p>
    <w:p w:rsidR="0044290E" w:rsidRPr="00F30C99" w:rsidRDefault="0044290E" w:rsidP="0044290E">
      <w:pPr>
        <w:pStyle w:val="Header"/>
        <w:tabs>
          <w:tab w:val="clear" w:pos="4150"/>
          <w:tab w:val="clear" w:pos="8307"/>
        </w:tabs>
      </w:pPr>
      <w:r w:rsidRPr="002B5C75">
        <w:rPr>
          <w:rStyle w:val="CharDivNo"/>
        </w:rPr>
        <w:t xml:space="preserve"> </w:t>
      </w:r>
      <w:r w:rsidRPr="002B5C75">
        <w:rPr>
          <w:rStyle w:val="CharDivText"/>
        </w:rPr>
        <w:t xml:space="preserve"> </w:t>
      </w:r>
    </w:p>
    <w:p w:rsidR="0044290E" w:rsidRPr="00F30C99" w:rsidRDefault="0044290E" w:rsidP="0044290E">
      <w:pPr>
        <w:sectPr w:rsidR="0044290E" w:rsidRPr="00F30C99" w:rsidSect="005B6C4C">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715914" w:rsidRPr="00F30C99" w:rsidRDefault="00715914" w:rsidP="00F45576">
      <w:pPr>
        <w:rPr>
          <w:sz w:val="36"/>
        </w:rPr>
      </w:pPr>
      <w:r w:rsidRPr="00F30C99">
        <w:rPr>
          <w:sz w:val="36"/>
        </w:rPr>
        <w:lastRenderedPageBreak/>
        <w:t>Contents</w:t>
      </w:r>
    </w:p>
    <w:p w:rsidR="00DF2089" w:rsidRDefault="00B83A45">
      <w:pPr>
        <w:pStyle w:val="TOC2"/>
        <w:rPr>
          <w:rFonts w:asciiTheme="minorHAnsi" w:eastAsiaTheme="minorEastAsia" w:hAnsiTheme="minorHAnsi" w:cstheme="minorBidi"/>
          <w:b w:val="0"/>
          <w:noProof/>
          <w:kern w:val="0"/>
          <w:sz w:val="22"/>
          <w:szCs w:val="22"/>
        </w:rPr>
      </w:pPr>
      <w:r w:rsidRPr="00F30C99">
        <w:rPr>
          <w:sz w:val="20"/>
        </w:rPr>
        <w:fldChar w:fldCharType="begin"/>
      </w:r>
      <w:r w:rsidRPr="00F30C99">
        <w:rPr>
          <w:sz w:val="20"/>
        </w:rPr>
        <w:instrText xml:space="preserve"> TOC \o "1-9" </w:instrText>
      </w:r>
      <w:r w:rsidRPr="00F30C99">
        <w:rPr>
          <w:sz w:val="20"/>
        </w:rPr>
        <w:fldChar w:fldCharType="separate"/>
      </w:r>
      <w:r w:rsidR="00DF2089">
        <w:rPr>
          <w:noProof/>
        </w:rPr>
        <w:t>Part 1—Preliminary</w:t>
      </w:r>
      <w:r w:rsidR="00DF2089" w:rsidRPr="00DF2089">
        <w:rPr>
          <w:b w:val="0"/>
          <w:noProof/>
          <w:sz w:val="18"/>
        </w:rPr>
        <w:tab/>
      </w:r>
      <w:r w:rsidR="00DF2089" w:rsidRPr="00DF2089">
        <w:rPr>
          <w:b w:val="0"/>
          <w:noProof/>
          <w:sz w:val="18"/>
        </w:rPr>
        <w:fldChar w:fldCharType="begin"/>
      </w:r>
      <w:r w:rsidR="00DF2089" w:rsidRPr="00DF2089">
        <w:rPr>
          <w:b w:val="0"/>
          <w:noProof/>
          <w:sz w:val="18"/>
        </w:rPr>
        <w:instrText xml:space="preserve"> PAGEREF _Toc92895797 \h </w:instrText>
      </w:r>
      <w:r w:rsidR="00DF2089" w:rsidRPr="00DF2089">
        <w:rPr>
          <w:b w:val="0"/>
          <w:noProof/>
          <w:sz w:val="18"/>
        </w:rPr>
      </w:r>
      <w:r w:rsidR="00DF2089" w:rsidRPr="00DF2089">
        <w:rPr>
          <w:b w:val="0"/>
          <w:noProof/>
          <w:sz w:val="18"/>
        </w:rPr>
        <w:fldChar w:fldCharType="separate"/>
      </w:r>
      <w:r w:rsidR="000A26AB">
        <w:rPr>
          <w:b w:val="0"/>
          <w:noProof/>
          <w:sz w:val="18"/>
        </w:rPr>
        <w:t>1</w:t>
      </w:r>
      <w:r w:rsidR="00DF2089" w:rsidRPr="00DF2089">
        <w:rPr>
          <w:b w:val="0"/>
          <w:noProof/>
          <w:sz w:val="18"/>
        </w:rPr>
        <w:fldChar w:fldCharType="end"/>
      </w:r>
      <w:bookmarkStart w:id="0" w:name="_GoBack"/>
      <w:bookmarkEnd w:id="0"/>
    </w:p>
    <w:p w:rsidR="00DF2089" w:rsidRDefault="00DF2089">
      <w:pPr>
        <w:pStyle w:val="TOC5"/>
        <w:rPr>
          <w:rFonts w:asciiTheme="minorHAnsi" w:eastAsiaTheme="minorEastAsia" w:hAnsiTheme="minorHAnsi" w:cstheme="minorBidi"/>
          <w:noProof/>
          <w:kern w:val="0"/>
          <w:sz w:val="22"/>
          <w:szCs w:val="22"/>
        </w:rPr>
      </w:pPr>
      <w:r>
        <w:rPr>
          <w:noProof/>
        </w:rPr>
        <w:t>1</w:t>
      </w:r>
      <w:r>
        <w:rPr>
          <w:noProof/>
        </w:rPr>
        <w:tab/>
        <w:t>Name</w:t>
      </w:r>
      <w:r w:rsidRPr="00DF2089">
        <w:rPr>
          <w:noProof/>
        </w:rPr>
        <w:tab/>
      </w:r>
      <w:r w:rsidRPr="00DF2089">
        <w:rPr>
          <w:noProof/>
        </w:rPr>
        <w:fldChar w:fldCharType="begin"/>
      </w:r>
      <w:r w:rsidRPr="00DF2089">
        <w:rPr>
          <w:noProof/>
        </w:rPr>
        <w:instrText xml:space="preserve"> PAGEREF _Toc92895798 \h </w:instrText>
      </w:r>
      <w:r w:rsidRPr="00DF2089">
        <w:rPr>
          <w:noProof/>
        </w:rPr>
      </w:r>
      <w:r w:rsidRPr="00DF2089">
        <w:rPr>
          <w:noProof/>
        </w:rPr>
        <w:fldChar w:fldCharType="separate"/>
      </w:r>
      <w:r w:rsidR="000A26AB">
        <w:rPr>
          <w:noProof/>
        </w:rPr>
        <w:t>1</w:t>
      </w:r>
      <w:r w:rsidRPr="00DF2089">
        <w:rPr>
          <w:noProof/>
        </w:rPr>
        <w:fldChar w:fldCharType="end"/>
      </w:r>
    </w:p>
    <w:p w:rsidR="00DF2089" w:rsidRDefault="00DF2089">
      <w:pPr>
        <w:pStyle w:val="TOC5"/>
        <w:rPr>
          <w:rFonts w:asciiTheme="minorHAnsi" w:eastAsiaTheme="minorEastAsia" w:hAnsiTheme="minorHAnsi" w:cstheme="minorBidi"/>
          <w:noProof/>
          <w:kern w:val="0"/>
          <w:sz w:val="22"/>
          <w:szCs w:val="22"/>
        </w:rPr>
      </w:pPr>
      <w:r>
        <w:rPr>
          <w:noProof/>
        </w:rPr>
        <w:t>3</w:t>
      </w:r>
      <w:r>
        <w:rPr>
          <w:noProof/>
        </w:rPr>
        <w:tab/>
        <w:t>Authority</w:t>
      </w:r>
      <w:r w:rsidRPr="00DF2089">
        <w:rPr>
          <w:noProof/>
        </w:rPr>
        <w:tab/>
      </w:r>
      <w:r w:rsidRPr="00DF2089">
        <w:rPr>
          <w:noProof/>
        </w:rPr>
        <w:fldChar w:fldCharType="begin"/>
      </w:r>
      <w:r w:rsidRPr="00DF2089">
        <w:rPr>
          <w:noProof/>
        </w:rPr>
        <w:instrText xml:space="preserve"> PAGEREF _Toc92895799 \h </w:instrText>
      </w:r>
      <w:r w:rsidRPr="00DF2089">
        <w:rPr>
          <w:noProof/>
        </w:rPr>
      </w:r>
      <w:r w:rsidRPr="00DF2089">
        <w:rPr>
          <w:noProof/>
        </w:rPr>
        <w:fldChar w:fldCharType="separate"/>
      </w:r>
      <w:r w:rsidR="000A26AB">
        <w:rPr>
          <w:noProof/>
        </w:rPr>
        <w:t>1</w:t>
      </w:r>
      <w:r w:rsidRPr="00DF2089">
        <w:rPr>
          <w:noProof/>
        </w:rPr>
        <w:fldChar w:fldCharType="end"/>
      </w:r>
    </w:p>
    <w:p w:rsidR="00DF2089" w:rsidRDefault="00DF2089">
      <w:pPr>
        <w:pStyle w:val="TOC5"/>
        <w:rPr>
          <w:rFonts w:asciiTheme="minorHAnsi" w:eastAsiaTheme="minorEastAsia" w:hAnsiTheme="minorHAnsi" w:cstheme="minorBidi"/>
          <w:noProof/>
          <w:kern w:val="0"/>
          <w:sz w:val="22"/>
          <w:szCs w:val="22"/>
        </w:rPr>
      </w:pPr>
      <w:r>
        <w:rPr>
          <w:noProof/>
        </w:rPr>
        <w:t>5</w:t>
      </w:r>
      <w:r>
        <w:rPr>
          <w:noProof/>
        </w:rPr>
        <w:tab/>
        <w:t>Definitions</w:t>
      </w:r>
      <w:r w:rsidRPr="00DF2089">
        <w:rPr>
          <w:noProof/>
        </w:rPr>
        <w:tab/>
      </w:r>
      <w:r w:rsidRPr="00DF2089">
        <w:rPr>
          <w:noProof/>
        </w:rPr>
        <w:fldChar w:fldCharType="begin"/>
      </w:r>
      <w:r w:rsidRPr="00DF2089">
        <w:rPr>
          <w:noProof/>
        </w:rPr>
        <w:instrText xml:space="preserve"> PAGEREF _Toc92895800 \h </w:instrText>
      </w:r>
      <w:r w:rsidRPr="00DF2089">
        <w:rPr>
          <w:noProof/>
        </w:rPr>
      </w:r>
      <w:r w:rsidRPr="00DF2089">
        <w:rPr>
          <w:noProof/>
        </w:rPr>
        <w:fldChar w:fldCharType="separate"/>
      </w:r>
      <w:r w:rsidR="000A26AB">
        <w:rPr>
          <w:noProof/>
        </w:rPr>
        <w:t>1</w:t>
      </w:r>
      <w:r w:rsidRPr="00DF2089">
        <w:rPr>
          <w:noProof/>
        </w:rPr>
        <w:fldChar w:fldCharType="end"/>
      </w:r>
    </w:p>
    <w:p w:rsidR="00DF2089" w:rsidRDefault="00DF2089">
      <w:pPr>
        <w:pStyle w:val="TOC2"/>
        <w:rPr>
          <w:rFonts w:asciiTheme="minorHAnsi" w:eastAsiaTheme="minorEastAsia" w:hAnsiTheme="minorHAnsi" w:cstheme="minorBidi"/>
          <w:b w:val="0"/>
          <w:noProof/>
          <w:kern w:val="0"/>
          <w:sz w:val="22"/>
          <w:szCs w:val="22"/>
        </w:rPr>
      </w:pPr>
      <w:r>
        <w:rPr>
          <w:noProof/>
        </w:rPr>
        <w:t>Part 2—Provisions relating to definitions in the Act</w:t>
      </w:r>
      <w:r w:rsidRPr="00DF2089">
        <w:rPr>
          <w:b w:val="0"/>
          <w:noProof/>
          <w:sz w:val="18"/>
        </w:rPr>
        <w:tab/>
      </w:r>
      <w:r w:rsidRPr="00DF2089">
        <w:rPr>
          <w:b w:val="0"/>
          <w:noProof/>
          <w:sz w:val="18"/>
        </w:rPr>
        <w:fldChar w:fldCharType="begin"/>
      </w:r>
      <w:r w:rsidRPr="00DF2089">
        <w:rPr>
          <w:b w:val="0"/>
          <w:noProof/>
          <w:sz w:val="18"/>
        </w:rPr>
        <w:instrText xml:space="preserve"> PAGEREF _Toc92895801 \h </w:instrText>
      </w:r>
      <w:r w:rsidRPr="00DF2089">
        <w:rPr>
          <w:b w:val="0"/>
          <w:noProof/>
          <w:sz w:val="18"/>
        </w:rPr>
      </w:r>
      <w:r w:rsidRPr="00DF2089">
        <w:rPr>
          <w:b w:val="0"/>
          <w:noProof/>
          <w:sz w:val="18"/>
        </w:rPr>
        <w:fldChar w:fldCharType="separate"/>
      </w:r>
      <w:r w:rsidR="000A26AB">
        <w:rPr>
          <w:b w:val="0"/>
          <w:noProof/>
          <w:sz w:val="18"/>
        </w:rPr>
        <w:t>2</w:t>
      </w:r>
      <w:r w:rsidRPr="00DF2089">
        <w:rPr>
          <w:b w:val="0"/>
          <w:noProof/>
          <w:sz w:val="18"/>
        </w:rPr>
        <w:fldChar w:fldCharType="end"/>
      </w:r>
    </w:p>
    <w:p w:rsidR="00DF2089" w:rsidRDefault="00DF2089">
      <w:pPr>
        <w:pStyle w:val="TOC5"/>
        <w:rPr>
          <w:rFonts w:asciiTheme="minorHAnsi" w:eastAsiaTheme="minorEastAsia" w:hAnsiTheme="minorHAnsi" w:cstheme="minorBidi"/>
          <w:noProof/>
          <w:kern w:val="0"/>
          <w:sz w:val="22"/>
          <w:szCs w:val="22"/>
        </w:rPr>
      </w:pPr>
      <w:r>
        <w:rPr>
          <w:noProof/>
        </w:rPr>
        <w:t>5A</w:t>
      </w:r>
      <w:r>
        <w:rPr>
          <w:noProof/>
        </w:rPr>
        <w:tab/>
        <w:t>Heads of prescribed law enforcement agencies</w:t>
      </w:r>
      <w:r w:rsidRPr="00DF2089">
        <w:rPr>
          <w:noProof/>
        </w:rPr>
        <w:tab/>
      </w:r>
      <w:r w:rsidRPr="00DF2089">
        <w:rPr>
          <w:noProof/>
        </w:rPr>
        <w:fldChar w:fldCharType="begin"/>
      </w:r>
      <w:r w:rsidRPr="00DF2089">
        <w:rPr>
          <w:noProof/>
        </w:rPr>
        <w:instrText xml:space="preserve"> PAGEREF _Toc92895802 \h </w:instrText>
      </w:r>
      <w:r w:rsidRPr="00DF2089">
        <w:rPr>
          <w:noProof/>
        </w:rPr>
      </w:r>
      <w:r w:rsidRPr="00DF2089">
        <w:rPr>
          <w:noProof/>
        </w:rPr>
        <w:fldChar w:fldCharType="separate"/>
      </w:r>
      <w:r w:rsidR="000A26AB">
        <w:rPr>
          <w:noProof/>
        </w:rPr>
        <w:t>2</w:t>
      </w:r>
      <w:r w:rsidRPr="00DF2089">
        <w:rPr>
          <w:noProof/>
        </w:rPr>
        <w:fldChar w:fldCharType="end"/>
      </w:r>
    </w:p>
    <w:p w:rsidR="00DF2089" w:rsidRDefault="00DF2089">
      <w:pPr>
        <w:pStyle w:val="TOC5"/>
        <w:rPr>
          <w:rFonts w:asciiTheme="minorHAnsi" w:eastAsiaTheme="minorEastAsia" w:hAnsiTheme="minorHAnsi" w:cstheme="minorBidi"/>
          <w:noProof/>
          <w:kern w:val="0"/>
          <w:sz w:val="22"/>
          <w:szCs w:val="22"/>
        </w:rPr>
      </w:pPr>
      <w:r>
        <w:rPr>
          <w:noProof/>
        </w:rPr>
        <w:t>6</w:t>
      </w:r>
      <w:r>
        <w:rPr>
          <w:noProof/>
        </w:rPr>
        <w:tab/>
        <w:t>Integrity agencies for States and Territories</w:t>
      </w:r>
      <w:r w:rsidRPr="00DF2089">
        <w:rPr>
          <w:noProof/>
        </w:rPr>
        <w:tab/>
      </w:r>
      <w:r w:rsidRPr="00DF2089">
        <w:rPr>
          <w:noProof/>
        </w:rPr>
        <w:fldChar w:fldCharType="begin"/>
      </w:r>
      <w:r w:rsidRPr="00DF2089">
        <w:rPr>
          <w:noProof/>
        </w:rPr>
        <w:instrText xml:space="preserve"> PAGEREF _Toc92895803 \h </w:instrText>
      </w:r>
      <w:r w:rsidRPr="00DF2089">
        <w:rPr>
          <w:noProof/>
        </w:rPr>
      </w:r>
      <w:r w:rsidRPr="00DF2089">
        <w:rPr>
          <w:noProof/>
        </w:rPr>
        <w:fldChar w:fldCharType="separate"/>
      </w:r>
      <w:r w:rsidR="000A26AB">
        <w:rPr>
          <w:noProof/>
        </w:rPr>
        <w:t>2</w:t>
      </w:r>
      <w:r w:rsidRPr="00DF2089">
        <w:rPr>
          <w:noProof/>
        </w:rPr>
        <w:fldChar w:fldCharType="end"/>
      </w:r>
    </w:p>
    <w:p w:rsidR="00DF2089" w:rsidRDefault="00DF2089">
      <w:pPr>
        <w:pStyle w:val="TOC5"/>
        <w:rPr>
          <w:rFonts w:asciiTheme="minorHAnsi" w:eastAsiaTheme="minorEastAsia" w:hAnsiTheme="minorHAnsi" w:cstheme="minorBidi"/>
          <w:noProof/>
          <w:kern w:val="0"/>
          <w:sz w:val="22"/>
          <w:szCs w:val="22"/>
        </w:rPr>
      </w:pPr>
      <w:r>
        <w:rPr>
          <w:noProof/>
        </w:rPr>
        <w:t>6A</w:t>
      </w:r>
      <w:r>
        <w:rPr>
          <w:noProof/>
        </w:rPr>
        <w:tab/>
        <w:t>Law enforcement agencies</w:t>
      </w:r>
      <w:r w:rsidRPr="00DF2089">
        <w:rPr>
          <w:noProof/>
        </w:rPr>
        <w:tab/>
      </w:r>
      <w:r w:rsidRPr="00DF2089">
        <w:rPr>
          <w:noProof/>
        </w:rPr>
        <w:fldChar w:fldCharType="begin"/>
      </w:r>
      <w:r w:rsidRPr="00DF2089">
        <w:rPr>
          <w:noProof/>
        </w:rPr>
        <w:instrText xml:space="preserve"> PAGEREF _Toc92895804 \h </w:instrText>
      </w:r>
      <w:r w:rsidRPr="00DF2089">
        <w:rPr>
          <w:noProof/>
        </w:rPr>
      </w:r>
      <w:r w:rsidRPr="00DF2089">
        <w:rPr>
          <w:noProof/>
        </w:rPr>
        <w:fldChar w:fldCharType="separate"/>
      </w:r>
      <w:r w:rsidR="000A26AB">
        <w:rPr>
          <w:noProof/>
        </w:rPr>
        <w:t>3</w:t>
      </w:r>
      <w:r w:rsidRPr="00DF2089">
        <w:rPr>
          <w:noProof/>
        </w:rPr>
        <w:fldChar w:fldCharType="end"/>
      </w:r>
    </w:p>
    <w:p w:rsidR="00DF2089" w:rsidRDefault="00DF2089">
      <w:pPr>
        <w:pStyle w:val="TOC5"/>
        <w:rPr>
          <w:rFonts w:asciiTheme="minorHAnsi" w:eastAsiaTheme="minorEastAsia" w:hAnsiTheme="minorHAnsi" w:cstheme="minorBidi"/>
          <w:noProof/>
          <w:kern w:val="0"/>
          <w:sz w:val="22"/>
          <w:szCs w:val="22"/>
        </w:rPr>
      </w:pPr>
      <w:r>
        <w:rPr>
          <w:noProof/>
        </w:rPr>
        <w:t>7</w:t>
      </w:r>
      <w:r>
        <w:rPr>
          <w:noProof/>
        </w:rPr>
        <w:tab/>
        <w:t>Staff members of the Agriculture Department</w:t>
      </w:r>
      <w:r w:rsidRPr="00DF2089">
        <w:rPr>
          <w:noProof/>
        </w:rPr>
        <w:tab/>
      </w:r>
      <w:r w:rsidRPr="00DF2089">
        <w:rPr>
          <w:noProof/>
        </w:rPr>
        <w:fldChar w:fldCharType="begin"/>
      </w:r>
      <w:r w:rsidRPr="00DF2089">
        <w:rPr>
          <w:noProof/>
        </w:rPr>
        <w:instrText xml:space="preserve"> PAGEREF _Toc92895805 \h </w:instrText>
      </w:r>
      <w:r w:rsidRPr="00DF2089">
        <w:rPr>
          <w:noProof/>
        </w:rPr>
      </w:r>
      <w:r w:rsidRPr="00DF2089">
        <w:rPr>
          <w:noProof/>
        </w:rPr>
        <w:fldChar w:fldCharType="separate"/>
      </w:r>
      <w:r w:rsidR="000A26AB">
        <w:rPr>
          <w:noProof/>
        </w:rPr>
        <w:t>3</w:t>
      </w:r>
      <w:r w:rsidRPr="00DF2089">
        <w:rPr>
          <w:noProof/>
        </w:rPr>
        <w:fldChar w:fldCharType="end"/>
      </w:r>
    </w:p>
    <w:p w:rsidR="00DF2089" w:rsidRDefault="00DF2089">
      <w:pPr>
        <w:pStyle w:val="TOC5"/>
        <w:rPr>
          <w:rFonts w:asciiTheme="minorHAnsi" w:eastAsiaTheme="minorEastAsia" w:hAnsiTheme="minorHAnsi" w:cstheme="minorBidi"/>
          <w:noProof/>
          <w:kern w:val="0"/>
          <w:sz w:val="22"/>
          <w:szCs w:val="22"/>
        </w:rPr>
      </w:pPr>
      <w:r>
        <w:rPr>
          <w:noProof/>
        </w:rPr>
        <w:t>7A</w:t>
      </w:r>
      <w:r>
        <w:rPr>
          <w:noProof/>
        </w:rPr>
        <w:tab/>
        <w:t>Staff members and secondees of prescribed law enforcement agencies</w:t>
      </w:r>
      <w:r w:rsidRPr="00DF2089">
        <w:rPr>
          <w:noProof/>
        </w:rPr>
        <w:tab/>
      </w:r>
      <w:r w:rsidRPr="00DF2089">
        <w:rPr>
          <w:noProof/>
        </w:rPr>
        <w:fldChar w:fldCharType="begin"/>
      </w:r>
      <w:r w:rsidRPr="00DF2089">
        <w:rPr>
          <w:noProof/>
        </w:rPr>
        <w:instrText xml:space="preserve"> PAGEREF _Toc92895806 \h </w:instrText>
      </w:r>
      <w:r w:rsidRPr="00DF2089">
        <w:rPr>
          <w:noProof/>
        </w:rPr>
      </w:r>
      <w:r w:rsidRPr="00DF2089">
        <w:rPr>
          <w:noProof/>
        </w:rPr>
        <w:fldChar w:fldCharType="separate"/>
      </w:r>
      <w:r w:rsidR="000A26AB">
        <w:rPr>
          <w:noProof/>
        </w:rPr>
        <w:t>4</w:t>
      </w:r>
      <w:r w:rsidRPr="00DF2089">
        <w:rPr>
          <w:noProof/>
        </w:rPr>
        <w:fldChar w:fldCharType="end"/>
      </w:r>
    </w:p>
    <w:p w:rsidR="00DF2089" w:rsidRDefault="00DF2089">
      <w:pPr>
        <w:pStyle w:val="TOC2"/>
        <w:rPr>
          <w:rFonts w:asciiTheme="minorHAnsi" w:eastAsiaTheme="minorEastAsia" w:hAnsiTheme="minorHAnsi" w:cstheme="minorBidi"/>
          <w:b w:val="0"/>
          <w:noProof/>
          <w:kern w:val="0"/>
          <w:sz w:val="22"/>
          <w:szCs w:val="22"/>
        </w:rPr>
      </w:pPr>
      <w:r>
        <w:rPr>
          <w:noProof/>
        </w:rPr>
        <w:t>Part 3—Integrity Commissioner’s powers in conducting investigations and public inquiries</w:t>
      </w:r>
      <w:r w:rsidRPr="00DF2089">
        <w:rPr>
          <w:b w:val="0"/>
          <w:noProof/>
          <w:sz w:val="18"/>
        </w:rPr>
        <w:tab/>
      </w:r>
      <w:r w:rsidRPr="00DF2089">
        <w:rPr>
          <w:b w:val="0"/>
          <w:noProof/>
          <w:sz w:val="18"/>
        </w:rPr>
        <w:fldChar w:fldCharType="begin"/>
      </w:r>
      <w:r w:rsidRPr="00DF2089">
        <w:rPr>
          <w:b w:val="0"/>
          <w:noProof/>
          <w:sz w:val="18"/>
        </w:rPr>
        <w:instrText xml:space="preserve"> PAGEREF _Toc92895807 \h </w:instrText>
      </w:r>
      <w:r w:rsidRPr="00DF2089">
        <w:rPr>
          <w:b w:val="0"/>
          <w:noProof/>
          <w:sz w:val="18"/>
        </w:rPr>
      </w:r>
      <w:r w:rsidRPr="00DF2089">
        <w:rPr>
          <w:b w:val="0"/>
          <w:noProof/>
          <w:sz w:val="18"/>
        </w:rPr>
        <w:fldChar w:fldCharType="separate"/>
      </w:r>
      <w:r w:rsidR="000A26AB">
        <w:rPr>
          <w:b w:val="0"/>
          <w:noProof/>
          <w:sz w:val="18"/>
        </w:rPr>
        <w:t>9</w:t>
      </w:r>
      <w:r w:rsidRPr="00DF2089">
        <w:rPr>
          <w:b w:val="0"/>
          <w:noProof/>
          <w:sz w:val="18"/>
        </w:rPr>
        <w:fldChar w:fldCharType="end"/>
      </w:r>
    </w:p>
    <w:p w:rsidR="00DF2089" w:rsidRDefault="00DF2089">
      <w:pPr>
        <w:pStyle w:val="TOC5"/>
        <w:rPr>
          <w:rFonts w:asciiTheme="minorHAnsi" w:eastAsiaTheme="minorEastAsia" w:hAnsiTheme="minorHAnsi" w:cstheme="minorBidi"/>
          <w:noProof/>
          <w:kern w:val="0"/>
          <w:sz w:val="22"/>
          <w:szCs w:val="22"/>
        </w:rPr>
      </w:pPr>
      <w:r>
        <w:rPr>
          <w:noProof/>
        </w:rPr>
        <w:t>8</w:t>
      </w:r>
      <w:r>
        <w:rPr>
          <w:noProof/>
        </w:rPr>
        <w:tab/>
        <w:t>Allowances for travelling and other expenses to be paid to witnesses</w:t>
      </w:r>
      <w:r w:rsidRPr="00DF2089">
        <w:rPr>
          <w:noProof/>
        </w:rPr>
        <w:tab/>
      </w:r>
      <w:r w:rsidRPr="00DF2089">
        <w:rPr>
          <w:noProof/>
        </w:rPr>
        <w:fldChar w:fldCharType="begin"/>
      </w:r>
      <w:r w:rsidRPr="00DF2089">
        <w:rPr>
          <w:noProof/>
        </w:rPr>
        <w:instrText xml:space="preserve"> PAGEREF _Toc92895808 \h </w:instrText>
      </w:r>
      <w:r w:rsidRPr="00DF2089">
        <w:rPr>
          <w:noProof/>
        </w:rPr>
      </w:r>
      <w:r w:rsidRPr="00DF2089">
        <w:rPr>
          <w:noProof/>
        </w:rPr>
        <w:fldChar w:fldCharType="separate"/>
      </w:r>
      <w:r w:rsidR="000A26AB">
        <w:rPr>
          <w:noProof/>
        </w:rPr>
        <w:t>9</w:t>
      </w:r>
      <w:r w:rsidRPr="00DF2089">
        <w:rPr>
          <w:noProof/>
        </w:rPr>
        <w:fldChar w:fldCharType="end"/>
      </w:r>
    </w:p>
    <w:p w:rsidR="00DF2089" w:rsidRDefault="00DF2089">
      <w:pPr>
        <w:pStyle w:val="TOC5"/>
        <w:rPr>
          <w:rFonts w:asciiTheme="minorHAnsi" w:eastAsiaTheme="minorEastAsia" w:hAnsiTheme="minorHAnsi" w:cstheme="minorBidi"/>
          <w:noProof/>
          <w:kern w:val="0"/>
          <w:sz w:val="22"/>
          <w:szCs w:val="22"/>
        </w:rPr>
      </w:pPr>
      <w:r>
        <w:rPr>
          <w:noProof/>
        </w:rPr>
        <w:t>9</w:t>
      </w:r>
      <w:r>
        <w:rPr>
          <w:noProof/>
        </w:rPr>
        <w:tab/>
        <w:t>Form of identity card for authorised officers</w:t>
      </w:r>
      <w:r w:rsidRPr="00DF2089">
        <w:rPr>
          <w:noProof/>
        </w:rPr>
        <w:tab/>
      </w:r>
      <w:r w:rsidRPr="00DF2089">
        <w:rPr>
          <w:noProof/>
        </w:rPr>
        <w:fldChar w:fldCharType="begin"/>
      </w:r>
      <w:r w:rsidRPr="00DF2089">
        <w:rPr>
          <w:noProof/>
        </w:rPr>
        <w:instrText xml:space="preserve"> PAGEREF _Toc92895809 \h </w:instrText>
      </w:r>
      <w:r w:rsidRPr="00DF2089">
        <w:rPr>
          <w:noProof/>
        </w:rPr>
      </w:r>
      <w:r w:rsidRPr="00DF2089">
        <w:rPr>
          <w:noProof/>
        </w:rPr>
        <w:fldChar w:fldCharType="separate"/>
      </w:r>
      <w:r w:rsidR="000A26AB">
        <w:rPr>
          <w:noProof/>
        </w:rPr>
        <w:t>10</w:t>
      </w:r>
      <w:r w:rsidRPr="00DF2089">
        <w:rPr>
          <w:noProof/>
        </w:rPr>
        <w:fldChar w:fldCharType="end"/>
      </w:r>
    </w:p>
    <w:p w:rsidR="00DF2089" w:rsidRDefault="00DF2089">
      <w:pPr>
        <w:pStyle w:val="TOC2"/>
        <w:rPr>
          <w:rFonts w:asciiTheme="minorHAnsi" w:eastAsiaTheme="minorEastAsia" w:hAnsiTheme="minorHAnsi" w:cstheme="minorBidi"/>
          <w:b w:val="0"/>
          <w:noProof/>
          <w:kern w:val="0"/>
          <w:sz w:val="22"/>
          <w:szCs w:val="22"/>
        </w:rPr>
      </w:pPr>
      <w:r>
        <w:rPr>
          <w:noProof/>
        </w:rPr>
        <w:t>Part 4—Annual reports</w:t>
      </w:r>
      <w:r w:rsidRPr="00DF2089">
        <w:rPr>
          <w:b w:val="0"/>
          <w:noProof/>
          <w:sz w:val="18"/>
        </w:rPr>
        <w:tab/>
      </w:r>
      <w:r w:rsidRPr="00DF2089">
        <w:rPr>
          <w:b w:val="0"/>
          <w:noProof/>
          <w:sz w:val="18"/>
        </w:rPr>
        <w:fldChar w:fldCharType="begin"/>
      </w:r>
      <w:r w:rsidRPr="00DF2089">
        <w:rPr>
          <w:b w:val="0"/>
          <w:noProof/>
          <w:sz w:val="18"/>
        </w:rPr>
        <w:instrText xml:space="preserve"> PAGEREF _Toc92895810 \h </w:instrText>
      </w:r>
      <w:r w:rsidRPr="00DF2089">
        <w:rPr>
          <w:b w:val="0"/>
          <w:noProof/>
          <w:sz w:val="18"/>
        </w:rPr>
      </w:r>
      <w:r w:rsidRPr="00DF2089">
        <w:rPr>
          <w:b w:val="0"/>
          <w:noProof/>
          <w:sz w:val="18"/>
        </w:rPr>
        <w:fldChar w:fldCharType="separate"/>
      </w:r>
      <w:r w:rsidR="000A26AB">
        <w:rPr>
          <w:b w:val="0"/>
          <w:noProof/>
          <w:sz w:val="18"/>
        </w:rPr>
        <w:t>11</w:t>
      </w:r>
      <w:r w:rsidRPr="00DF2089">
        <w:rPr>
          <w:b w:val="0"/>
          <w:noProof/>
          <w:sz w:val="18"/>
        </w:rPr>
        <w:fldChar w:fldCharType="end"/>
      </w:r>
    </w:p>
    <w:p w:rsidR="00DF2089" w:rsidRDefault="00DF2089">
      <w:pPr>
        <w:pStyle w:val="TOC5"/>
        <w:rPr>
          <w:rFonts w:asciiTheme="minorHAnsi" w:eastAsiaTheme="minorEastAsia" w:hAnsiTheme="minorHAnsi" w:cstheme="minorBidi"/>
          <w:noProof/>
          <w:kern w:val="0"/>
          <w:sz w:val="22"/>
          <w:szCs w:val="22"/>
        </w:rPr>
      </w:pPr>
      <w:r>
        <w:rPr>
          <w:noProof/>
        </w:rPr>
        <w:t>10</w:t>
      </w:r>
      <w:r>
        <w:rPr>
          <w:noProof/>
        </w:rPr>
        <w:tab/>
        <w:t>Prescribed particulars for annual report</w:t>
      </w:r>
      <w:r w:rsidRPr="00DF2089">
        <w:rPr>
          <w:noProof/>
        </w:rPr>
        <w:tab/>
      </w:r>
      <w:r w:rsidRPr="00DF2089">
        <w:rPr>
          <w:noProof/>
        </w:rPr>
        <w:fldChar w:fldCharType="begin"/>
      </w:r>
      <w:r w:rsidRPr="00DF2089">
        <w:rPr>
          <w:noProof/>
        </w:rPr>
        <w:instrText xml:space="preserve"> PAGEREF _Toc92895811 \h </w:instrText>
      </w:r>
      <w:r w:rsidRPr="00DF2089">
        <w:rPr>
          <w:noProof/>
        </w:rPr>
      </w:r>
      <w:r w:rsidRPr="00DF2089">
        <w:rPr>
          <w:noProof/>
        </w:rPr>
        <w:fldChar w:fldCharType="separate"/>
      </w:r>
      <w:r w:rsidR="000A26AB">
        <w:rPr>
          <w:noProof/>
        </w:rPr>
        <w:t>11</w:t>
      </w:r>
      <w:r w:rsidRPr="00DF2089">
        <w:rPr>
          <w:noProof/>
        </w:rPr>
        <w:fldChar w:fldCharType="end"/>
      </w:r>
    </w:p>
    <w:p w:rsidR="00DF2089" w:rsidRDefault="00DF2089">
      <w:pPr>
        <w:pStyle w:val="TOC5"/>
        <w:rPr>
          <w:rFonts w:asciiTheme="minorHAnsi" w:eastAsiaTheme="minorEastAsia" w:hAnsiTheme="minorHAnsi" w:cstheme="minorBidi"/>
          <w:noProof/>
          <w:kern w:val="0"/>
          <w:sz w:val="22"/>
          <w:szCs w:val="22"/>
        </w:rPr>
      </w:pPr>
      <w:r>
        <w:rPr>
          <w:noProof/>
        </w:rPr>
        <w:t>11</w:t>
      </w:r>
      <w:r>
        <w:rPr>
          <w:noProof/>
        </w:rPr>
        <w:tab/>
        <w:t>Corruption issues notified to Integrity Commissioner</w:t>
      </w:r>
      <w:r w:rsidRPr="00DF2089">
        <w:rPr>
          <w:noProof/>
        </w:rPr>
        <w:tab/>
      </w:r>
      <w:r w:rsidRPr="00DF2089">
        <w:rPr>
          <w:noProof/>
        </w:rPr>
        <w:fldChar w:fldCharType="begin"/>
      </w:r>
      <w:r w:rsidRPr="00DF2089">
        <w:rPr>
          <w:noProof/>
        </w:rPr>
        <w:instrText xml:space="preserve"> PAGEREF _Toc92895812 \h </w:instrText>
      </w:r>
      <w:r w:rsidRPr="00DF2089">
        <w:rPr>
          <w:noProof/>
        </w:rPr>
      </w:r>
      <w:r w:rsidRPr="00DF2089">
        <w:rPr>
          <w:noProof/>
        </w:rPr>
        <w:fldChar w:fldCharType="separate"/>
      </w:r>
      <w:r w:rsidR="000A26AB">
        <w:rPr>
          <w:noProof/>
        </w:rPr>
        <w:t>11</w:t>
      </w:r>
      <w:r w:rsidRPr="00DF2089">
        <w:rPr>
          <w:noProof/>
        </w:rPr>
        <w:fldChar w:fldCharType="end"/>
      </w:r>
    </w:p>
    <w:p w:rsidR="00DF2089" w:rsidRDefault="00DF2089">
      <w:pPr>
        <w:pStyle w:val="TOC5"/>
        <w:rPr>
          <w:rFonts w:asciiTheme="minorHAnsi" w:eastAsiaTheme="minorEastAsia" w:hAnsiTheme="minorHAnsi" w:cstheme="minorBidi"/>
          <w:noProof/>
          <w:kern w:val="0"/>
          <w:sz w:val="22"/>
          <w:szCs w:val="22"/>
        </w:rPr>
      </w:pPr>
      <w:r>
        <w:rPr>
          <w:noProof/>
        </w:rPr>
        <w:t>12</w:t>
      </w:r>
      <w:r>
        <w:rPr>
          <w:noProof/>
        </w:rPr>
        <w:tab/>
        <w:t>Corruption issues raised by allegations or information referred to Integrity Commissioner</w:t>
      </w:r>
      <w:r w:rsidRPr="00DF2089">
        <w:rPr>
          <w:noProof/>
        </w:rPr>
        <w:tab/>
      </w:r>
      <w:r w:rsidRPr="00DF2089">
        <w:rPr>
          <w:noProof/>
        </w:rPr>
        <w:fldChar w:fldCharType="begin"/>
      </w:r>
      <w:r w:rsidRPr="00DF2089">
        <w:rPr>
          <w:noProof/>
        </w:rPr>
        <w:instrText xml:space="preserve"> PAGEREF _Toc92895813 \h </w:instrText>
      </w:r>
      <w:r w:rsidRPr="00DF2089">
        <w:rPr>
          <w:noProof/>
        </w:rPr>
      </w:r>
      <w:r w:rsidRPr="00DF2089">
        <w:rPr>
          <w:noProof/>
        </w:rPr>
        <w:fldChar w:fldCharType="separate"/>
      </w:r>
      <w:r w:rsidR="000A26AB">
        <w:rPr>
          <w:noProof/>
        </w:rPr>
        <w:t>11</w:t>
      </w:r>
      <w:r w:rsidRPr="00DF2089">
        <w:rPr>
          <w:noProof/>
        </w:rPr>
        <w:fldChar w:fldCharType="end"/>
      </w:r>
    </w:p>
    <w:p w:rsidR="00DF2089" w:rsidRDefault="00DF2089">
      <w:pPr>
        <w:pStyle w:val="TOC5"/>
        <w:rPr>
          <w:rFonts w:asciiTheme="minorHAnsi" w:eastAsiaTheme="minorEastAsia" w:hAnsiTheme="minorHAnsi" w:cstheme="minorBidi"/>
          <w:noProof/>
          <w:kern w:val="0"/>
          <w:sz w:val="22"/>
          <w:szCs w:val="22"/>
        </w:rPr>
      </w:pPr>
      <w:r>
        <w:rPr>
          <w:noProof/>
        </w:rPr>
        <w:t>13</w:t>
      </w:r>
      <w:r>
        <w:rPr>
          <w:noProof/>
        </w:rPr>
        <w:tab/>
        <w:t>Corruption issues dealt with by Integrity Commissioner on own initiative</w:t>
      </w:r>
      <w:r w:rsidRPr="00DF2089">
        <w:rPr>
          <w:noProof/>
        </w:rPr>
        <w:tab/>
      </w:r>
      <w:r w:rsidRPr="00DF2089">
        <w:rPr>
          <w:noProof/>
        </w:rPr>
        <w:fldChar w:fldCharType="begin"/>
      </w:r>
      <w:r w:rsidRPr="00DF2089">
        <w:rPr>
          <w:noProof/>
        </w:rPr>
        <w:instrText xml:space="preserve"> PAGEREF _Toc92895814 \h </w:instrText>
      </w:r>
      <w:r w:rsidRPr="00DF2089">
        <w:rPr>
          <w:noProof/>
        </w:rPr>
      </w:r>
      <w:r w:rsidRPr="00DF2089">
        <w:rPr>
          <w:noProof/>
        </w:rPr>
        <w:fldChar w:fldCharType="separate"/>
      </w:r>
      <w:r w:rsidR="000A26AB">
        <w:rPr>
          <w:noProof/>
        </w:rPr>
        <w:t>12</w:t>
      </w:r>
      <w:r w:rsidRPr="00DF2089">
        <w:rPr>
          <w:noProof/>
        </w:rPr>
        <w:fldChar w:fldCharType="end"/>
      </w:r>
    </w:p>
    <w:p w:rsidR="00DF2089" w:rsidRDefault="00DF2089">
      <w:pPr>
        <w:pStyle w:val="TOC5"/>
        <w:rPr>
          <w:rFonts w:asciiTheme="minorHAnsi" w:eastAsiaTheme="minorEastAsia" w:hAnsiTheme="minorHAnsi" w:cstheme="minorBidi"/>
          <w:noProof/>
          <w:kern w:val="0"/>
          <w:sz w:val="22"/>
          <w:szCs w:val="22"/>
        </w:rPr>
      </w:pPr>
      <w:r>
        <w:rPr>
          <w:noProof/>
        </w:rPr>
        <w:t>14</w:t>
      </w:r>
      <w:r>
        <w:rPr>
          <w:noProof/>
        </w:rPr>
        <w:tab/>
        <w:t>Corruption issues investigated by Integrity Commissioner</w:t>
      </w:r>
      <w:r w:rsidRPr="00DF2089">
        <w:rPr>
          <w:noProof/>
        </w:rPr>
        <w:tab/>
      </w:r>
      <w:r w:rsidRPr="00DF2089">
        <w:rPr>
          <w:noProof/>
        </w:rPr>
        <w:fldChar w:fldCharType="begin"/>
      </w:r>
      <w:r w:rsidRPr="00DF2089">
        <w:rPr>
          <w:noProof/>
        </w:rPr>
        <w:instrText xml:space="preserve"> PAGEREF _Toc92895815 \h </w:instrText>
      </w:r>
      <w:r w:rsidRPr="00DF2089">
        <w:rPr>
          <w:noProof/>
        </w:rPr>
      </w:r>
      <w:r w:rsidRPr="00DF2089">
        <w:rPr>
          <w:noProof/>
        </w:rPr>
        <w:fldChar w:fldCharType="separate"/>
      </w:r>
      <w:r w:rsidR="000A26AB">
        <w:rPr>
          <w:noProof/>
        </w:rPr>
        <w:t>12</w:t>
      </w:r>
      <w:r w:rsidRPr="00DF2089">
        <w:rPr>
          <w:noProof/>
        </w:rPr>
        <w:fldChar w:fldCharType="end"/>
      </w:r>
    </w:p>
    <w:p w:rsidR="00DF2089" w:rsidRDefault="00DF2089">
      <w:pPr>
        <w:pStyle w:val="TOC5"/>
        <w:rPr>
          <w:rFonts w:asciiTheme="minorHAnsi" w:eastAsiaTheme="minorEastAsia" w:hAnsiTheme="minorHAnsi" w:cstheme="minorBidi"/>
          <w:noProof/>
          <w:kern w:val="0"/>
          <w:sz w:val="22"/>
          <w:szCs w:val="22"/>
        </w:rPr>
      </w:pPr>
      <w:r>
        <w:rPr>
          <w:noProof/>
        </w:rPr>
        <w:t>15</w:t>
      </w:r>
      <w:r>
        <w:rPr>
          <w:noProof/>
        </w:rPr>
        <w:tab/>
        <w:t>Corruption issues referred by Integrity Commissioner to government agency for investigation</w:t>
      </w:r>
      <w:r w:rsidRPr="00DF2089">
        <w:rPr>
          <w:noProof/>
        </w:rPr>
        <w:tab/>
      </w:r>
      <w:r w:rsidRPr="00DF2089">
        <w:rPr>
          <w:noProof/>
        </w:rPr>
        <w:fldChar w:fldCharType="begin"/>
      </w:r>
      <w:r w:rsidRPr="00DF2089">
        <w:rPr>
          <w:noProof/>
        </w:rPr>
        <w:instrText xml:space="preserve"> PAGEREF _Toc92895816 \h </w:instrText>
      </w:r>
      <w:r w:rsidRPr="00DF2089">
        <w:rPr>
          <w:noProof/>
        </w:rPr>
      </w:r>
      <w:r w:rsidRPr="00DF2089">
        <w:rPr>
          <w:noProof/>
        </w:rPr>
        <w:fldChar w:fldCharType="separate"/>
      </w:r>
      <w:r w:rsidR="000A26AB">
        <w:rPr>
          <w:noProof/>
        </w:rPr>
        <w:t>13</w:t>
      </w:r>
      <w:r w:rsidRPr="00DF2089">
        <w:rPr>
          <w:noProof/>
        </w:rPr>
        <w:fldChar w:fldCharType="end"/>
      </w:r>
    </w:p>
    <w:p w:rsidR="00DF2089" w:rsidRDefault="00DF2089">
      <w:pPr>
        <w:pStyle w:val="TOC5"/>
        <w:rPr>
          <w:rFonts w:asciiTheme="minorHAnsi" w:eastAsiaTheme="minorEastAsia" w:hAnsiTheme="minorHAnsi" w:cstheme="minorBidi"/>
          <w:noProof/>
          <w:kern w:val="0"/>
          <w:sz w:val="22"/>
          <w:szCs w:val="22"/>
        </w:rPr>
      </w:pPr>
      <w:r>
        <w:rPr>
          <w:noProof/>
        </w:rPr>
        <w:t>16</w:t>
      </w:r>
      <w:r>
        <w:rPr>
          <w:noProof/>
        </w:rPr>
        <w:tab/>
        <w:t>ACLEI corruption issues investigated</w:t>
      </w:r>
      <w:r w:rsidRPr="00DF2089">
        <w:rPr>
          <w:noProof/>
        </w:rPr>
        <w:tab/>
      </w:r>
      <w:r w:rsidRPr="00DF2089">
        <w:rPr>
          <w:noProof/>
        </w:rPr>
        <w:fldChar w:fldCharType="begin"/>
      </w:r>
      <w:r w:rsidRPr="00DF2089">
        <w:rPr>
          <w:noProof/>
        </w:rPr>
        <w:instrText xml:space="preserve"> PAGEREF _Toc92895817 \h </w:instrText>
      </w:r>
      <w:r w:rsidRPr="00DF2089">
        <w:rPr>
          <w:noProof/>
        </w:rPr>
      </w:r>
      <w:r w:rsidRPr="00DF2089">
        <w:rPr>
          <w:noProof/>
        </w:rPr>
        <w:fldChar w:fldCharType="separate"/>
      </w:r>
      <w:r w:rsidR="000A26AB">
        <w:rPr>
          <w:noProof/>
        </w:rPr>
        <w:t>13</w:t>
      </w:r>
      <w:r w:rsidRPr="00DF2089">
        <w:rPr>
          <w:noProof/>
        </w:rPr>
        <w:fldChar w:fldCharType="end"/>
      </w:r>
    </w:p>
    <w:p w:rsidR="00DF2089" w:rsidRDefault="00DF2089">
      <w:pPr>
        <w:pStyle w:val="TOC5"/>
        <w:rPr>
          <w:rFonts w:asciiTheme="minorHAnsi" w:eastAsiaTheme="minorEastAsia" w:hAnsiTheme="minorHAnsi" w:cstheme="minorBidi"/>
          <w:noProof/>
          <w:kern w:val="0"/>
          <w:sz w:val="22"/>
          <w:szCs w:val="22"/>
        </w:rPr>
      </w:pPr>
      <w:r>
        <w:rPr>
          <w:noProof/>
        </w:rPr>
        <w:t>17</w:t>
      </w:r>
      <w:r>
        <w:rPr>
          <w:noProof/>
        </w:rPr>
        <w:tab/>
        <w:t>Certificates issued under section 149 of the Act</w:t>
      </w:r>
      <w:r w:rsidRPr="00DF2089">
        <w:rPr>
          <w:noProof/>
        </w:rPr>
        <w:tab/>
      </w:r>
      <w:r w:rsidRPr="00DF2089">
        <w:rPr>
          <w:noProof/>
        </w:rPr>
        <w:fldChar w:fldCharType="begin"/>
      </w:r>
      <w:r w:rsidRPr="00DF2089">
        <w:rPr>
          <w:noProof/>
        </w:rPr>
        <w:instrText xml:space="preserve"> PAGEREF _Toc92895818 \h </w:instrText>
      </w:r>
      <w:r w:rsidRPr="00DF2089">
        <w:rPr>
          <w:noProof/>
        </w:rPr>
      </w:r>
      <w:r w:rsidRPr="00DF2089">
        <w:rPr>
          <w:noProof/>
        </w:rPr>
        <w:fldChar w:fldCharType="separate"/>
      </w:r>
      <w:r w:rsidR="000A26AB">
        <w:rPr>
          <w:noProof/>
        </w:rPr>
        <w:t>14</w:t>
      </w:r>
      <w:r w:rsidRPr="00DF2089">
        <w:rPr>
          <w:noProof/>
        </w:rPr>
        <w:fldChar w:fldCharType="end"/>
      </w:r>
    </w:p>
    <w:p w:rsidR="00DF2089" w:rsidRDefault="00DF2089">
      <w:pPr>
        <w:pStyle w:val="TOC2"/>
        <w:rPr>
          <w:rFonts w:asciiTheme="minorHAnsi" w:eastAsiaTheme="minorEastAsia" w:hAnsiTheme="minorHAnsi" w:cstheme="minorBidi"/>
          <w:b w:val="0"/>
          <w:noProof/>
          <w:kern w:val="0"/>
          <w:sz w:val="22"/>
          <w:szCs w:val="22"/>
        </w:rPr>
      </w:pPr>
      <w:r>
        <w:rPr>
          <w:noProof/>
        </w:rPr>
        <w:t>Part 5—Giving information or reports</w:t>
      </w:r>
      <w:r w:rsidRPr="00DF2089">
        <w:rPr>
          <w:b w:val="0"/>
          <w:noProof/>
          <w:sz w:val="18"/>
        </w:rPr>
        <w:tab/>
      </w:r>
      <w:r w:rsidRPr="00DF2089">
        <w:rPr>
          <w:b w:val="0"/>
          <w:noProof/>
          <w:sz w:val="18"/>
        </w:rPr>
        <w:fldChar w:fldCharType="begin"/>
      </w:r>
      <w:r w:rsidRPr="00DF2089">
        <w:rPr>
          <w:b w:val="0"/>
          <w:noProof/>
          <w:sz w:val="18"/>
        </w:rPr>
        <w:instrText xml:space="preserve"> PAGEREF _Toc92895819 \h </w:instrText>
      </w:r>
      <w:r w:rsidRPr="00DF2089">
        <w:rPr>
          <w:b w:val="0"/>
          <w:noProof/>
          <w:sz w:val="18"/>
        </w:rPr>
      </w:r>
      <w:r w:rsidRPr="00DF2089">
        <w:rPr>
          <w:b w:val="0"/>
          <w:noProof/>
          <w:sz w:val="18"/>
        </w:rPr>
        <w:fldChar w:fldCharType="separate"/>
      </w:r>
      <w:r w:rsidR="000A26AB">
        <w:rPr>
          <w:b w:val="0"/>
          <w:noProof/>
          <w:sz w:val="18"/>
        </w:rPr>
        <w:t>15</w:t>
      </w:r>
      <w:r w:rsidRPr="00DF2089">
        <w:rPr>
          <w:b w:val="0"/>
          <w:noProof/>
          <w:sz w:val="18"/>
        </w:rPr>
        <w:fldChar w:fldCharType="end"/>
      </w:r>
    </w:p>
    <w:p w:rsidR="00DF2089" w:rsidRDefault="00DF2089">
      <w:pPr>
        <w:pStyle w:val="TOC5"/>
        <w:rPr>
          <w:rFonts w:asciiTheme="minorHAnsi" w:eastAsiaTheme="minorEastAsia" w:hAnsiTheme="minorHAnsi" w:cstheme="minorBidi"/>
          <w:noProof/>
          <w:kern w:val="0"/>
          <w:sz w:val="22"/>
          <w:szCs w:val="22"/>
        </w:rPr>
      </w:pPr>
      <w:r>
        <w:rPr>
          <w:noProof/>
        </w:rPr>
        <w:t>18</w:t>
      </w:r>
      <w:r>
        <w:rPr>
          <w:noProof/>
        </w:rPr>
        <w:tab/>
        <w:t>Requirement to give information or reports</w:t>
      </w:r>
      <w:r w:rsidRPr="00DF2089">
        <w:rPr>
          <w:noProof/>
        </w:rPr>
        <w:tab/>
      </w:r>
      <w:r w:rsidRPr="00DF2089">
        <w:rPr>
          <w:noProof/>
        </w:rPr>
        <w:fldChar w:fldCharType="begin"/>
      </w:r>
      <w:r w:rsidRPr="00DF2089">
        <w:rPr>
          <w:noProof/>
        </w:rPr>
        <w:instrText xml:space="preserve"> PAGEREF _Toc92895820 \h </w:instrText>
      </w:r>
      <w:r w:rsidRPr="00DF2089">
        <w:rPr>
          <w:noProof/>
        </w:rPr>
      </w:r>
      <w:r w:rsidRPr="00DF2089">
        <w:rPr>
          <w:noProof/>
        </w:rPr>
        <w:fldChar w:fldCharType="separate"/>
      </w:r>
      <w:r w:rsidR="000A26AB">
        <w:rPr>
          <w:noProof/>
        </w:rPr>
        <w:t>15</w:t>
      </w:r>
      <w:r w:rsidRPr="00DF2089">
        <w:rPr>
          <w:noProof/>
        </w:rPr>
        <w:fldChar w:fldCharType="end"/>
      </w:r>
    </w:p>
    <w:p w:rsidR="00DF2089" w:rsidRDefault="00DF2089">
      <w:pPr>
        <w:pStyle w:val="TOC2"/>
        <w:rPr>
          <w:rFonts w:asciiTheme="minorHAnsi" w:eastAsiaTheme="minorEastAsia" w:hAnsiTheme="minorHAnsi" w:cstheme="minorBidi"/>
          <w:b w:val="0"/>
          <w:noProof/>
          <w:kern w:val="0"/>
          <w:sz w:val="22"/>
          <w:szCs w:val="22"/>
        </w:rPr>
      </w:pPr>
      <w:r>
        <w:rPr>
          <w:noProof/>
        </w:rPr>
        <w:t>Part 6—Application and transitional matters</w:t>
      </w:r>
      <w:r w:rsidRPr="00DF2089">
        <w:rPr>
          <w:b w:val="0"/>
          <w:noProof/>
          <w:sz w:val="18"/>
        </w:rPr>
        <w:tab/>
      </w:r>
      <w:r w:rsidRPr="00DF2089">
        <w:rPr>
          <w:b w:val="0"/>
          <w:noProof/>
          <w:sz w:val="18"/>
        </w:rPr>
        <w:fldChar w:fldCharType="begin"/>
      </w:r>
      <w:r w:rsidRPr="00DF2089">
        <w:rPr>
          <w:b w:val="0"/>
          <w:noProof/>
          <w:sz w:val="18"/>
        </w:rPr>
        <w:instrText xml:space="preserve"> PAGEREF _Toc92895821 \h </w:instrText>
      </w:r>
      <w:r w:rsidRPr="00DF2089">
        <w:rPr>
          <w:b w:val="0"/>
          <w:noProof/>
          <w:sz w:val="18"/>
        </w:rPr>
      </w:r>
      <w:r w:rsidRPr="00DF2089">
        <w:rPr>
          <w:b w:val="0"/>
          <w:noProof/>
          <w:sz w:val="18"/>
        </w:rPr>
        <w:fldChar w:fldCharType="separate"/>
      </w:r>
      <w:r w:rsidR="000A26AB">
        <w:rPr>
          <w:b w:val="0"/>
          <w:noProof/>
          <w:sz w:val="18"/>
        </w:rPr>
        <w:t>17</w:t>
      </w:r>
      <w:r w:rsidRPr="00DF2089">
        <w:rPr>
          <w:b w:val="0"/>
          <w:noProof/>
          <w:sz w:val="18"/>
        </w:rPr>
        <w:fldChar w:fldCharType="end"/>
      </w:r>
    </w:p>
    <w:p w:rsidR="00DF2089" w:rsidRDefault="00DF2089">
      <w:pPr>
        <w:pStyle w:val="TOC5"/>
        <w:rPr>
          <w:rFonts w:asciiTheme="minorHAnsi" w:eastAsiaTheme="minorEastAsia" w:hAnsiTheme="minorHAnsi" w:cstheme="minorBidi"/>
          <w:noProof/>
          <w:kern w:val="0"/>
          <w:sz w:val="22"/>
          <w:szCs w:val="22"/>
        </w:rPr>
      </w:pPr>
      <w:r>
        <w:rPr>
          <w:noProof/>
        </w:rPr>
        <w:t>19</w:t>
      </w:r>
      <w:r>
        <w:rPr>
          <w:noProof/>
        </w:rPr>
        <w:tab/>
        <w:t>Application of section 8 (Allowances for witnesses)</w:t>
      </w:r>
      <w:r w:rsidRPr="00DF2089">
        <w:rPr>
          <w:noProof/>
        </w:rPr>
        <w:tab/>
      </w:r>
      <w:r w:rsidRPr="00DF2089">
        <w:rPr>
          <w:noProof/>
        </w:rPr>
        <w:fldChar w:fldCharType="begin"/>
      </w:r>
      <w:r w:rsidRPr="00DF2089">
        <w:rPr>
          <w:noProof/>
        </w:rPr>
        <w:instrText xml:space="preserve"> PAGEREF _Toc92895822 \h </w:instrText>
      </w:r>
      <w:r w:rsidRPr="00DF2089">
        <w:rPr>
          <w:noProof/>
        </w:rPr>
      </w:r>
      <w:r w:rsidRPr="00DF2089">
        <w:rPr>
          <w:noProof/>
        </w:rPr>
        <w:fldChar w:fldCharType="separate"/>
      </w:r>
      <w:r w:rsidR="000A26AB">
        <w:rPr>
          <w:noProof/>
        </w:rPr>
        <w:t>17</w:t>
      </w:r>
      <w:r w:rsidRPr="00DF2089">
        <w:rPr>
          <w:noProof/>
        </w:rPr>
        <w:fldChar w:fldCharType="end"/>
      </w:r>
    </w:p>
    <w:p w:rsidR="00DF2089" w:rsidRDefault="00DF2089">
      <w:pPr>
        <w:pStyle w:val="TOC5"/>
        <w:rPr>
          <w:rFonts w:asciiTheme="minorHAnsi" w:eastAsiaTheme="minorEastAsia" w:hAnsiTheme="minorHAnsi" w:cstheme="minorBidi"/>
          <w:noProof/>
          <w:kern w:val="0"/>
          <w:sz w:val="22"/>
          <w:szCs w:val="22"/>
        </w:rPr>
      </w:pPr>
      <w:r>
        <w:rPr>
          <w:noProof/>
        </w:rPr>
        <w:t>20</w:t>
      </w:r>
      <w:r>
        <w:rPr>
          <w:noProof/>
        </w:rPr>
        <w:tab/>
        <w:t>Application of Part 4 (Annual reports)</w:t>
      </w:r>
      <w:r w:rsidRPr="00DF2089">
        <w:rPr>
          <w:noProof/>
        </w:rPr>
        <w:tab/>
      </w:r>
      <w:r w:rsidRPr="00DF2089">
        <w:rPr>
          <w:noProof/>
        </w:rPr>
        <w:fldChar w:fldCharType="begin"/>
      </w:r>
      <w:r w:rsidRPr="00DF2089">
        <w:rPr>
          <w:noProof/>
        </w:rPr>
        <w:instrText xml:space="preserve"> PAGEREF _Toc92895823 \h </w:instrText>
      </w:r>
      <w:r w:rsidRPr="00DF2089">
        <w:rPr>
          <w:noProof/>
        </w:rPr>
      </w:r>
      <w:r w:rsidRPr="00DF2089">
        <w:rPr>
          <w:noProof/>
        </w:rPr>
        <w:fldChar w:fldCharType="separate"/>
      </w:r>
      <w:r w:rsidR="000A26AB">
        <w:rPr>
          <w:noProof/>
        </w:rPr>
        <w:t>17</w:t>
      </w:r>
      <w:r w:rsidRPr="00DF2089">
        <w:rPr>
          <w:noProof/>
        </w:rPr>
        <w:fldChar w:fldCharType="end"/>
      </w:r>
    </w:p>
    <w:p w:rsidR="00DF2089" w:rsidRDefault="00DF2089">
      <w:pPr>
        <w:pStyle w:val="TOC5"/>
        <w:rPr>
          <w:rFonts w:asciiTheme="minorHAnsi" w:eastAsiaTheme="minorEastAsia" w:hAnsiTheme="minorHAnsi" w:cstheme="minorBidi"/>
          <w:noProof/>
          <w:kern w:val="0"/>
          <w:sz w:val="22"/>
          <w:szCs w:val="22"/>
        </w:rPr>
      </w:pPr>
      <w:r>
        <w:rPr>
          <w:noProof/>
        </w:rPr>
        <w:t>21</w:t>
      </w:r>
      <w:r>
        <w:rPr>
          <w:noProof/>
        </w:rPr>
        <w:tab/>
        <w:t>Application of section 18 (Requirement to give information or reports)</w:t>
      </w:r>
      <w:r w:rsidRPr="00DF2089">
        <w:rPr>
          <w:noProof/>
        </w:rPr>
        <w:tab/>
      </w:r>
      <w:r w:rsidRPr="00DF2089">
        <w:rPr>
          <w:noProof/>
        </w:rPr>
        <w:fldChar w:fldCharType="begin"/>
      </w:r>
      <w:r w:rsidRPr="00DF2089">
        <w:rPr>
          <w:noProof/>
        </w:rPr>
        <w:instrText xml:space="preserve"> PAGEREF _Toc92895824 \h </w:instrText>
      </w:r>
      <w:r w:rsidRPr="00DF2089">
        <w:rPr>
          <w:noProof/>
        </w:rPr>
      </w:r>
      <w:r w:rsidRPr="00DF2089">
        <w:rPr>
          <w:noProof/>
        </w:rPr>
        <w:fldChar w:fldCharType="separate"/>
      </w:r>
      <w:r w:rsidR="000A26AB">
        <w:rPr>
          <w:noProof/>
        </w:rPr>
        <w:t>17</w:t>
      </w:r>
      <w:r w:rsidRPr="00DF2089">
        <w:rPr>
          <w:noProof/>
        </w:rPr>
        <w:fldChar w:fldCharType="end"/>
      </w:r>
    </w:p>
    <w:p w:rsidR="00DF2089" w:rsidRDefault="00DF2089">
      <w:pPr>
        <w:pStyle w:val="TOC1"/>
        <w:rPr>
          <w:rFonts w:asciiTheme="minorHAnsi" w:eastAsiaTheme="minorEastAsia" w:hAnsiTheme="minorHAnsi" w:cstheme="minorBidi"/>
          <w:b w:val="0"/>
          <w:noProof/>
          <w:kern w:val="0"/>
          <w:sz w:val="22"/>
          <w:szCs w:val="22"/>
        </w:rPr>
      </w:pPr>
      <w:r>
        <w:rPr>
          <w:noProof/>
        </w:rPr>
        <w:t>Schedule 1—Form of identity card</w:t>
      </w:r>
      <w:r w:rsidRPr="00DF2089">
        <w:rPr>
          <w:b w:val="0"/>
          <w:noProof/>
          <w:sz w:val="18"/>
        </w:rPr>
        <w:tab/>
      </w:r>
      <w:r w:rsidRPr="00DF2089">
        <w:rPr>
          <w:b w:val="0"/>
          <w:noProof/>
          <w:sz w:val="18"/>
        </w:rPr>
        <w:fldChar w:fldCharType="begin"/>
      </w:r>
      <w:r w:rsidRPr="00DF2089">
        <w:rPr>
          <w:b w:val="0"/>
          <w:noProof/>
          <w:sz w:val="18"/>
        </w:rPr>
        <w:instrText xml:space="preserve"> PAGEREF _Toc92895825 \h </w:instrText>
      </w:r>
      <w:r w:rsidRPr="00DF2089">
        <w:rPr>
          <w:b w:val="0"/>
          <w:noProof/>
          <w:sz w:val="18"/>
        </w:rPr>
      </w:r>
      <w:r w:rsidRPr="00DF2089">
        <w:rPr>
          <w:b w:val="0"/>
          <w:noProof/>
          <w:sz w:val="18"/>
        </w:rPr>
        <w:fldChar w:fldCharType="separate"/>
      </w:r>
      <w:r w:rsidR="000A26AB">
        <w:rPr>
          <w:b w:val="0"/>
          <w:noProof/>
          <w:sz w:val="18"/>
        </w:rPr>
        <w:t>18</w:t>
      </w:r>
      <w:r w:rsidRPr="00DF2089">
        <w:rPr>
          <w:b w:val="0"/>
          <w:noProof/>
          <w:sz w:val="18"/>
        </w:rPr>
        <w:fldChar w:fldCharType="end"/>
      </w:r>
    </w:p>
    <w:p w:rsidR="00DF2089" w:rsidRDefault="00DF2089" w:rsidP="00DF2089">
      <w:pPr>
        <w:pStyle w:val="TOC2"/>
        <w:rPr>
          <w:rFonts w:asciiTheme="minorHAnsi" w:eastAsiaTheme="minorEastAsia" w:hAnsiTheme="minorHAnsi" w:cstheme="minorBidi"/>
          <w:b w:val="0"/>
          <w:noProof/>
          <w:kern w:val="0"/>
          <w:sz w:val="22"/>
          <w:szCs w:val="22"/>
        </w:rPr>
      </w:pPr>
      <w:r>
        <w:rPr>
          <w:noProof/>
        </w:rPr>
        <w:t>Endnotes</w:t>
      </w:r>
      <w:r w:rsidRPr="00DF2089">
        <w:rPr>
          <w:b w:val="0"/>
          <w:noProof/>
          <w:sz w:val="18"/>
        </w:rPr>
        <w:tab/>
      </w:r>
      <w:r w:rsidRPr="00DF2089">
        <w:rPr>
          <w:b w:val="0"/>
          <w:noProof/>
          <w:sz w:val="18"/>
        </w:rPr>
        <w:fldChar w:fldCharType="begin"/>
      </w:r>
      <w:r w:rsidRPr="00DF2089">
        <w:rPr>
          <w:b w:val="0"/>
          <w:noProof/>
          <w:sz w:val="18"/>
        </w:rPr>
        <w:instrText xml:space="preserve"> PAGEREF _Toc92895826 \h </w:instrText>
      </w:r>
      <w:r w:rsidRPr="00DF2089">
        <w:rPr>
          <w:b w:val="0"/>
          <w:noProof/>
          <w:sz w:val="18"/>
        </w:rPr>
      </w:r>
      <w:r w:rsidRPr="00DF2089">
        <w:rPr>
          <w:b w:val="0"/>
          <w:noProof/>
          <w:sz w:val="18"/>
        </w:rPr>
        <w:fldChar w:fldCharType="separate"/>
      </w:r>
      <w:r w:rsidR="000A26AB">
        <w:rPr>
          <w:b w:val="0"/>
          <w:noProof/>
          <w:sz w:val="18"/>
        </w:rPr>
        <w:t>19</w:t>
      </w:r>
      <w:r w:rsidRPr="00DF2089">
        <w:rPr>
          <w:b w:val="0"/>
          <w:noProof/>
          <w:sz w:val="18"/>
        </w:rPr>
        <w:fldChar w:fldCharType="end"/>
      </w:r>
    </w:p>
    <w:p w:rsidR="00DF2089" w:rsidRDefault="00DF2089">
      <w:pPr>
        <w:pStyle w:val="TOC3"/>
        <w:rPr>
          <w:rFonts w:asciiTheme="minorHAnsi" w:eastAsiaTheme="minorEastAsia" w:hAnsiTheme="minorHAnsi" w:cstheme="minorBidi"/>
          <w:b w:val="0"/>
          <w:noProof/>
          <w:kern w:val="0"/>
          <w:szCs w:val="22"/>
        </w:rPr>
      </w:pPr>
      <w:r>
        <w:rPr>
          <w:noProof/>
        </w:rPr>
        <w:t>Endnote 1—About the endnotes</w:t>
      </w:r>
      <w:r w:rsidRPr="00DF2089">
        <w:rPr>
          <w:b w:val="0"/>
          <w:noProof/>
          <w:sz w:val="18"/>
        </w:rPr>
        <w:tab/>
      </w:r>
      <w:r w:rsidRPr="00DF2089">
        <w:rPr>
          <w:b w:val="0"/>
          <w:noProof/>
          <w:sz w:val="18"/>
        </w:rPr>
        <w:fldChar w:fldCharType="begin"/>
      </w:r>
      <w:r w:rsidRPr="00DF2089">
        <w:rPr>
          <w:b w:val="0"/>
          <w:noProof/>
          <w:sz w:val="18"/>
        </w:rPr>
        <w:instrText xml:space="preserve"> PAGEREF _Toc92895827 \h </w:instrText>
      </w:r>
      <w:r w:rsidRPr="00DF2089">
        <w:rPr>
          <w:b w:val="0"/>
          <w:noProof/>
          <w:sz w:val="18"/>
        </w:rPr>
      </w:r>
      <w:r w:rsidRPr="00DF2089">
        <w:rPr>
          <w:b w:val="0"/>
          <w:noProof/>
          <w:sz w:val="18"/>
        </w:rPr>
        <w:fldChar w:fldCharType="separate"/>
      </w:r>
      <w:r w:rsidR="000A26AB">
        <w:rPr>
          <w:b w:val="0"/>
          <w:noProof/>
          <w:sz w:val="18"/>
        </w:rPr>
        <w:t>19</w:t>
      </w:r>
      <w:r w:rsidRPr="00DF2089">
        <w:rPr>
          <w:b w:val="0"/>
          <w:noProof/>
          <w:sz w:val="18"/>
        </w:rPr>
        <w:fldChar w:fldCharType="end"/>
      </w:r>
    </w:p>
    <w:p w:rsidR="00DF2089" w:rsidRDefault="00DF2089">
      <w:pPr>
        <w:pStyle w:val="TOC3"/>
        <w:rPr>
          <w:rFonts w:asciiTheme="minorHAnsi" w:eastAsiaTheme="minorEastAsia" w:hAnsiTheme="minorHAnsi" w:cstheme="minorBidi"/>
          <w:b w:val="0"/>
          <w:noProof/>
          <w:kern w:val="0"/>
          <w:szCs w:val="22"/>
        </w:rPr>
      </w:pPr>
      <w:r>
        <w:rPr>
          <w:noProof/>
        </w:rPr>
        <w:t>Endnote 2—Abbreviation key</w:t>
      </w:r>
      <w:r w:rsidRPr="00DF2089">
        <w:rPr>
          <w:b w:val="0"/>
          <w:noProof/>
          <w:sz w:val="18"/>
        </w:rPr>
        <w:tab/>
      </w:r>
      <w:r w:rsidRPr="00DF2089">
        <w:rPr>
          <w:b w:val="0"/>
          <w:noProof/>
          <w:sz w:val="18"/>
        </w:rPr>
        <w:fldChar w:fldCharType="begin"/>
      </w:r>
      <w:r w:rsidRPr="00DF2089">
        <w:rPr>
          <w:b w:val="0"/>
          <w:noProof/>
          <w:sz w:val="18"/>
        </w:rPr>
        <w:instrText xml:space="preserve"> PAGEREF _Toc92895828 \h </w:instrText>
      </w:r>
      <w:r w:rsidRPr="00DF2089">
        <w:rPr>
          <w:b w:val="0"/>
          <w:noProof/>
          <w:sz w:val="18"/>
        </w:rPr>
      </w:r>
      <w:r w:rsidRPr="00DF2089">
        <w:rPr>
          <w:b w:val="0"/>
          <w:noProof/>
          <w:sz w:val="18"/>
        </w:rPr>
        <w:fldChar w:fldCharType="separate"/>
      </w:r>
      <w:r w:rsidR="000A26AB">
        <w:rPr>
          <w:b w:val="0"/>
          <w:noProof/>
          <w:sz w:val="18"/>
        </w:rPr>
        <w:t>20</w:t>
      </w:r>
      <w:r w:rsidRPr="00DF2089">
        <w:rPr>
          <w:b w:val="0"/>
          <w:noProof/>
          <w:sz w:val="18"/>
        </w:rPr>
        <w:fldChar w:fldCharType="end"/>
      </w:r>
    </w:p>
    <w:p w:rsidR="00DF2089" w:rsidRDefault="00DF2089">
      <w:pPr>
        <w:pStyle w:val="TOC3"/>
        <w:rPr>
          <w:rFonts w:asciiTheme="minorHAnsi" w:eastAsiaTheme="minorEastAsia" w:hAnsiTheme="minorHAnsi" w:cstheme="minorBidi"/>
          <w:b w:val="0"/>
          <w:noProof/>
          <w:kern w:val="0"/>
          <w:szCs w:val="22"/>
        </w:rPr>
      </w:pPr>
      <w:r>
        <w:rPr>
          <w:noProof/>
        </w:rPr>
        <w:t>Endnote 3—Legislation history</w:t>
      </w:r>
      <w:r w:rsidRPr="00DF2089">
        <w:rPr>
          <w:b w:val="0"/>
          <w:noProof/>
          <w:sz w:val="18"/>
        </w:rPr>
        <w:tab/>
      </w:r>
      <w:r w:rsidRPr="00DF2089">
        <w:rPr>
          <w:b w:val="0"/>
          <w:noProof/>
          <w:sz w:val="18"/>
        </w:rPr>
        <w:fldChar w:fldCharType="begin"/>
      </w:r>
      <w:r w:rsidRPr="00DF2089">
        <w:rPr>
          <w:b w:val="0"/>
          <w:noProof/>
          <w:sz w:val="18"/>
        </w:rPr>
        <w:instrText xml:space="preserve"> PAGEREF _Toc92895829 \h </w:instrText>
      </w:r>
      <w:r w:rsidRPr="00DF2089">
        <w:rPr>
          <w:b w:val="0"/>
          <w:noProof/>
          <w:sz w:val="18"/>
        </w:rPr>
      </w:r>
      <w:r w:rsidRPr="00DF2089">
        <w:rPr>
          <w:b w:val="0"/>
          <w:noProof/>
          <w:sz w:val="18"/>
        </w:rPr>
        <w:fldChar w:fldCharType="separate"/>
      </w:r>
      <w:r w:rsidR="000A26AB">
        <w:rPr>
          <w:b w:val="0"/>
          <w:noProof/>
          <w:sz w:val="18"/>
        </w:rPr>
        <w:t>21</w:t>
      </w:r>
      <w:r w:rsidRPr="00DF2089">
        <w:rPr>
          <w:b w:val="0"/>
          <w:noProof/>
          <w:sz w:val="18"/>
        </w:rPr>
        <w:fldChar w:fldCharType="end"/>
      </w:r>
    </w:p>
    <w:p w:rsidR="00DF2089" w:rsidRDefault="00DF2089">
      <w:pPr>
        <w:pStyle w:val="TOC3"/>
        <w:rPr>
          <w:rFonts w:asciiTheme="minorHAnsi" w:eastAsiaTheme="minorEastAsia" w:hAnsiTheme="minorHAnsi" w:cstheme="minorBidi"/>
          <w:b w:val="0"/>
          <w:noProof/>
          <w:kern w:val="0"/>
          <w:szCs w:val="22"/>
        </w:rPr>
      </w:pPr>
      <w:r>
        <w:rPr>
          <w:noProof/>
        </w:rPr>
        <w:t>Endnote 4—Amendment history</w:t>
      </w:r>
      <w:r w:rsidRPr="00DF2089">
        <w:rPr>
          <w:b w:val="0"/>
          <w:noProof/>
          <w:sz w:val="18"/>
        </w:rPr>
        <w:tab/>
      </w:r>
      <w:r w:rsidRPr="00DF2089">
        <w:rPr>
          <w:b w:val="0"/>
          <w:noProof/>
          <w:sz w:val="18"/>
        </w:rPr>
        <w:fldChar w:fldCharType="begin"/>
      </w:r>
      <w:r w:rsidRPr="00DF2089">
        <w:rPr>
          <w:b w:val="0"/>
          <w:noProof/>
          <w:sz w:val="18"/>
        </w:rPr>
        <w:instrText xml:space="preserve"> PAGEREF _Toc92895830 \h </w:instrText>
      </w:r>
      <w:r w:rsidRPr="00DF2089">
        <w:rPr>
          <w:b w:val="0"/>
          <w:noProof/>
          <w:sz w:val="18"/>
        </w:rPr>
      </w:r>
      <w:r w:rsidRPr="00DF2089">
        <w:rPr>
          <w:b w:val="0"/>
          <w:noProof/>
          <w:sz w:val="18"/>
        </w:rPr>
        <w:fldChar w:fldCharType="separate"/>
      </w:r>
      <w:r w:rsidR="000A26AB">
        <w:rPr>
          <w:b w:val="0"/>
          <w:noProof/>
          <w:sz w:val="18"/>
        </w:rPr>
        <w:t>22</w:t>
      </w:r>
      <w:r w:rsidRPr="00DF2089">
        <w:rPr>
          <w:b w:val="0"/>
          <w:noProof/>
          <w:sz w:val="18"/>
        </w:rPr>
        <w:fldChar w:fldCharType="end"/>
      </w:r>
    </w:p>
    <w:p w:rsidR="002B0765" w:rsidRPr="00F30C99" w:rsidRDefault="00B83A45" w:rsidP="009D1B3A">
      <w:pPr>
        <w:ind w:right="1792"/>
        <w:sectPr w:rsidR="002B0765" w:rsidRPr="00F30C99" w:rsidSect="005B6C4C">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F30C99">
        <w:rPr>
          <w:rFonts w:cs="Times New Roman"/>
          <w:sz w:val="18"/>
        </w:rPr>
        <w:fldChar w:fldCharType="end"/>
      </w:r>
    </w:p>
    <w:p w:rsidR="00715914" w:rsidRPr="00F30C99" w:rsidRDefault="002B5C75" w:rsidP="00715914">
      <w:pPr>
        <w:pStyle w:val="ActHead2"/>
      </w:pPr>
      <w:bookmarkStart w:id="1" w:name="_Toc92895797"/>
      <w:r w:rsidRPr="002B5C75">
        <w:rPr>
          <w:rStyle w:val="CharPartNo"/>
        </w:rPr>
        <w:lastRenderedPageBreak/>
        <w:t>Part 1</w:t>
      </w:r>
      <w:r w:rsidR="00715914" w:rsidRPr="00F30C99">
        <w:t>—</w:t>
      </w:r>
      <w:r w:rsidR="00715914" w:rsidRPr="002B5C75">
        <w:rPr>
          <w:rStyle w:val="CharPartText"/>
        </w:rPr>
        <w:t>Preliminary</w:t>
      </w:r>
      <w:bookmarkEnd w:id="1"/>
    </w:p>
    <w:p w:rsidR="00715914" w:rsidRPr="00F30C99" w:rsidRDefault="00715914" w:rsidP="00715914">
      <w:pPr>
        <w:pStyle w:val="Header"/>
      </w:pPr>
      <w:r w:rsidRPr="002B5C75">
        <w:rPr>
          <w:rStyle w:val="CharDivNo"/>
        </w:rPr>
        <w:t xml:space="preserve"> </w:t>
      </w:r>
      <w:r w:rsidRPr="002B5C75">
        <w:rPr>
          <w:rStyle w:val="CharDivText"/>
        </w:rPr>
        <w:t xml:space="preserve"> </w:t>
      </w:r>
    </w:p>
    <w:p w:rsidR="00715914" w:rsidRPr="00F30C99" w:rsidRDefault="00D37EB8" w:rsidP="00715914">
      <w:pPr>
        <w:pStyle w:val="ActHead5"/>
      </w:pPr>
      <w:bookmarkStart w:id="2" w:name="_Toc92895798"/>
      <w:r w:rsidRPr="002B5C75">
        <w:rPr>
          <w:rStyle w:val="CharSectno"/>
        </w:rPr>
        <w:t>1</w:t>
      </w:r>
      <w:r w:rsidR="00715914" w:rsidRPr="00F30C99">
        <w:t xml:space="preserve">  </w:t>
      </w:r>
      <w:r w:rsidR="00CE493D" w:rsidRPr="00F30C99">
        <w:t>Name</w:t>
      </w:r>
      <w:bookmarkEnd w:id="2"/>
    </w:p>
    <w:p w:rsidR="00715914" w:rsidRPr="00F30C99" w:rsidRDefault="00715914" w:rsidP="00715914">
      <w:pPr>
        <w:pStyle w:val="subsection"/>
      </w:pPr>
      <w:r w:rsidRPr="00F30C99">
        <w:tab/>
      </w:r>
      <w:r w:rsidRPr="00F30C99">
        <w:tab/>
        <w:t xml:space="preserve">This </w:t>
      </w:r>
      <w:r w:rsidR="00E01F04" w:rsidRPr="00F30C99">
        <w:t xml:space="preserve">instrument </w:t>
      </w:r>
      <w:r w:rsidR="00CE493D" w:rsidRPr="00F30C99">
        <w:t xml:space="preserve">is the </w:t>
      </w:r>
      <w:r w:rsidR="000B685C" w:rsidRPr="00F30C99">
        <w:rPr>
          <w:i/>
          <w:noProof/>
        </w:rPr>
        <w:t xml:space="preserve">Law Enforcement Integrity Commissioner </w:t>
      </w:r>
      <w:r w:rsidR="002B5C75">
        <w:rPr>
          <w:i/>
          <w:noProof/>
        </w:rPr>
        <w:t>Regulations 2</w:t>
      </w:r>
      <w:r w:rsidR="000B685C" w:rsidRPr="00F30C99">
        <w:rPr>
          <w:i/>
          <w:noProof/>
        </w:rPr>
        <w:t>017</w:t>
      </w:r>
      <w:r w:rsidRPr="00F30C99">
        <w:t>.</w:t>
      </w:r>
    </w:p>
    <w:p w:rsidR="00CE493D" w:rsidRPr="00F30C99" w:rsidRDefault="00D37EB8" w:rsidP="00E85C54">
      <w:pPr>
        <w:pStyle w:val="ActHead5"/>
      </w:pPr>
      <w:bookmarkStart w:id="3" w:name="_Toc92895799"/>
      <w:r w:rsidRPr="002B5C75">
        <w:rPr>
          <w:rStyle w:val="CharSectno"/>
        </w:rPr>
        <w:t>3</w:t>
      </w:r>
      <w:r w:rsidR="00E85C54" w:rsidRPr="00F30C99">
        <w:t xml:space="preserve">  Authority</w:t>
      </w:r>
      <w:bookmarkEnd w:id="3"/>
    </w:p>
    <w:p w:rsidR="00E708D8" w:rsidRPr="00F30C99" w:rsidRDefault="00E85C54" w:rsidP="00E85C54">
      <w:pPr>
        <w:pStyle w:val="subsection"/>
      </w:pPr>
      <w:r w:rsidRPr="00F30C99">
        <w:tab/>
      </w:r>
      <w:r w:rsidRPr="00F30C99">
        <w:tab/>
        <w:t xml:space="preserve">This </w:t>
      </w:r>
      <w:r w:rsidR="00C17957" w:rsidRPr="00F30C99">
        <w:t>instrument</w:t>
      </w:r>
      <w:r w:rsidRPr="00F30C99">
        <w:t xml:space="preserve"> is made under </w:t>
      </w:r>
      <w:r w:rsidR="001B39BC" w:rsidRPr="00F30C99">
        <w:t xml:space="preserve">the </w:t>
      </w:r>
      <w:r w:rsidR="00C17957" w:rsidRPr="00F30C99">
        <w:rPr>
          <w:i/>
        </w:rPr>
        <w:t>Law Enforcement Integrity Commissioner Act 2006</w:t>
      </w:r>
      <w:r w:rsidR="00EC01C1" w:rsidRPr="00F30C99">
        <w:t>.</w:t>
      </w:r>
    </w:p>
    <w:p w:rsidR="004E0F3A" w:rsidRPr="00F30C99" w:rsidRDefault="00D37EB8" w:rsidP="004E0F3A">
      <w:pPr>
        <w:pStyle w:val="ActHead5"/>
      </w:pPr>
      <w:bookmarkStart w:id="4" w:name="_Toc92895800"/>
      <w:r w:rsidRPr="002B5C75">
        <w:rPr>
          <w:rStyle w:val="CharSectno"/>
        </w:rPr>
        <w:t>5</w:t>
      </w:r>
      <w:r w:rsidR="004E0F3A" w:rsidRPr="00F30C99">
        <w:t xml:space="preserve">  Definitions</w:t>
      </w:r>
      <w:bookmarkEnd w:id="4"/>
    </w:p>
    <w:p w:rsidR="00CE494E" w:rsidRPr="00F30C99" w:rsidRDefault="00CE494E" w:rsidP="00CE494E">
      <w:pPr>
        <w:pStyle w:val="notetext"/>
      </w:pPr>
      <w:r w:rsidRPr="00F30C99">
        <w:t>Note:</w:t>
      </w:r>
      <w:r w:rsidRPr="00F30C99">
        <w:tab/>
        <w:t>A number of expressions used in this instrument are defined in the Act, including the following:</w:t>
      </w:r>
    </w:p>
    <w:p w:rsidR="00CE494E" w:rsidRPr="00F30C99" w:rsidRDefault="00CE494E" w:rsidP="00CE494E">
      <w:pPr>
        <w:pStyle w:val="notepara"/>
      </w:pPr>
      <w:r w:rsidRPr="00F30C99">
        <w:t>(a)</w:t>
      </w:r>
      <w:r w:rsidRPr="00F30C99">
        <w:tab/>
        <w:t>ACLEI corruption issue;</w:t>
      </w:r>
    </w:p>
    <w:p w:rsidR="00C246FA" w:rsidRPr="00F30C99" w:rsidRDefault="00DA37AD" w:rsidP="00CE494E">
      <w:pPr>
        <w:pStyle w:val="notepara"/>
      </w:pPr>
      <w:r w:rsidRPr="00F30C99">
        <w:t>(b</w:t>
      </w:r>
      <w:r w:rsidR="00C246FA" w:rsidRPr="00F30C99">
        <w:t>)</w:t>
      </w:r>
      <w:r w:rsidR="00C246FA" w:rsidRPr="00F30C99">
        <w:tab/>
        <w:t>corrupt conduct;</w:t>
      </w:r>
    </w:p>
    <w:p w:rsidR="00EB50E9" w:rsidRPr="00F30C99" w:rsidRDefault="00DA37AD" w:rsidP="00CE494E">
      <w:pPr>
        <w:pStyle w:val="notepara"/>
      </w:pPr>
      <w:r w:rsidRPr="00F30C99">
        <w:t>(c</w:t>
      </w:r>
      <w:r w:rsidR="00EB50E9" w:rsidRPr="00F30C99">
        <w:t>)</w:t>
      </w:r>
      <w:r w:rsidR="00EB50E9" w:rsidRPr="00F30C99">
        <w:tab/>
        <w:t>corruption issue;</w:t>
      </w:r>
    </w:p>
    <w:p w:rsidR="008E11DE" w:rsidRPr="00F30C99" w:rsidRDefault="004B22BF" w:rsidP="000622B0">
      <w:pPr>
        <w:pStyle w:val="notepara"/>
      </w:pPr>
      <w:r w:rsidRPr="00F30C99">
        <w:t>(d</w:t>
      </w:r>
      <w:r w:rsidR="00EB50E9" w:rsidRPr="00F30C99">
        <w:t>)</w:t>
      </w:r>
      <w:r w:rsidR="00EB50E9" w:rsidRPr="00F30C99">
        <w:tab/>
        <w:t>law enforcement agency</w:t>
      </w:r>
      <w:r w:rsidR="00D25622" w:rsidRPr="00F30C99">
        <w:t>;</w:t>
      </w:r>
    </w:p>
    <w:p w:rsidR="00EB50E9" w:rsidRPr="00F30C99" w:rsidRDefault="00DA37AD" w:rsidP="000622B0">
      <w:pPr>
        <w:pStyle w:val="notepara"/>
      </w:pPr>
      <w:r w:rsidRPr="00F30C99">
        <w:t>(e</w:t>
      </w:r>
      <w:r w:rsidR="008E11DE" w:rsidRPr="00F30C99">
        <w:t>)</w:t>
      </w:r>
      <w:r w:rsidR="008E11DE" w:rsidRPr="00F30C99">
        <w:tab/>
        <w:t>special investigator</w:t>
      </w:r>
      <w:r w:rsidR="00EB50E9" w:rsidRPr="00F30C99">
        <w:t>.</w:t>
      </w:r>
    </w:p>
    <w:p w:rsidR="004E0F3A" w:rsidRPr="00F30C99" w:rsidRDefault="004E0F3A" w:rsidP="004E0F3A">
      <w:pPr>
        <w:pStyle w:val="subsection"/>
      </w:pPr>
      <w:r w:rsidRPr="00F30C99">
        <w:tab/>
      </w:r>
      <w:r w:rsidRPr="00F30C99">
        <w:tab/>
        <w:t>In th</w:t>
      </w:r>
      <w:r w:rsidR="00A839BF" w:rsidRPr="00F30C99">
        <w:t>is instrument</w:t>
      </w:r>
      <w:r w:rsidRPr="00F30C99">
        <w:t>:</w:t>
      </w:r>
    </w:p>
    <w:p w:rsidR="007F787E" w:rsidRPr="00F30C99" w:rsidRDefault="007F787E" w:rsidP="004E0F3A">
      <w:pPr>
        <w:pStyle w:val="Definition"/>
      </w:pPr>
      <w:r w:rsidRPr="00F30C99">
        <w:rPr>
          <w:b/>
          <w:i/>
        </w:rPr>
        <w:t>ACLEI investigator</w:t>
      </w:r>
      <w:r w:rsidRPr="00F30C99">
        <w:t xml:space="preserve"> means a special investigator or the Integrity Commissioner.</w:t>
      </w:r>
    </w:p>
    <w:p w:rsidR="004E0F3A" w:rsidRPr="00F30C99" w:rsidRDefault="004E0F3A" w:rsidP="004E0F3A">
      <w:pPr>
        <w:pStyle w:val="Definition"/>
      </w:pPr>
      <w:r w:rsidRPr="00F30C99">
        <w:rPr>
          <w:b/>
          <w:i/>
        </w:rPr>
        <w:t>Act</w:t>
      </w:r>
      <w:r w:rsidRPr="00F30C99">
        <w:t xml:space="preserve"> means the </w:t>
      </w:r>
      <w:r w:rsidRPr="00F30C99">
        <w:rPr>
          <w:i/>
        </w:rPr>
        <w:t>Law Enforcement Integrity Commissioner Act</w:t>
      </w:r>
      <w:r w:rsidR="00F45576" w:rsidRPr="00F30C99">
        <w:rPr>
          <w:i/>
        </w:rPr>
        <w:t xml:space="preserve"> </w:t>
      </w:r>
      <w:r w:rsidRPr="00F30C99">
        <w:rPr>
          <w:i/>
        </w:rPr>
        <w:t>2006</w:t>
      </w:r>
      <w:r w:rsidRPr="00F30C99">
        <w:t>.</w:t>
      </w:r>
    </w:p>
    <w:p w:rsidR="001A3492" w:rsidRPr="00F30C99" w:rsidRDefault="001A3492" w:rsidP="004E0F3A">
      <w:pPr>
        <w:pStyle w:val="Definition"/>
      </w:pPr>
      <w:r w:rsidRPr="00F30C99">
        <w:rPr>
          <w:b/>
          <w:i/>
        </w:rPr>
        <w:t>Integrated Cargo System</w:t>
      </w:r>
      <w:r w:rsidRPr="00F30C99">
        <w:t xml:space="preserve"> means the system of that name administered by the Immigration and Border Protection Department.</w:t>
      </w:r>
    </w:p>
    <w:p w:rsidR="00D2190C" w:rsidRPr="00F30C99" w:rsidRDefault="00D2190C" w:rsidP="00D2190C">
      <w:pPr>
        <w:pStyle w:val="Definition"/>
      </w:pPr>
      <w:r w:rsidRPr="00F30C99">
        <w:rPr>
          <w:b/>
          <w:i/>
        </w:rPr>
        <w:t>Office of the Special Investigator</w:t>
      </w:r>
      <w:r w:rsidRPr="00F30C99">
        <w:t xml:space="preserve"> means the Office of the Special Investigator, established as an Executive Agency under section 65 of the </w:t>
      </w:r>
      <w:r w:rsidRPr="00F30C99">
        <w:rPr>
          <w:i/>
        </w:rPr>
        <w:t>Public Service Act 1999</w:t>
      </w:r>
      <w:r w:rsidRPr="00F30C99">
        <w:t>.</w:t>
      </w:r>
    </w:p>
    <w:p w:rsidR="00CD4F53" w:rsidRPr="00F30C99" w:rsidRDefault="00CD4F53" w:rsidP="004E0F3A">
      <w:pPr>
        <w:pStyle w:val="Definition"/>
      </w:pPr>
      <w:r w:rsidRPr="00F30C99">
        <w:rPr>
          <w:b/>
          <w:i/>
        </w:rPr>
        <w:t>relevant corruption issue</w:t>
      </w:r>
      <w:r w:rsidR="00CA2A51" w:rsidRPr="00F30C99">
        <w:t xml:space="preserve">: </w:t>
      </w:r>
      <w:r w:rsidRPr="00F30C99">
        <w:t>see subsection</w:t>
      </w:r>
      <w:r w:rsidR="00173C64" w:rsidRPr="00F30C99">
        <w:t> </w:t>
      </w:r>
      <w:r w:rsidR="00D37EB8" w:rsidRPr="00F30C99">
        <w:t>18</w:t>
      </w:r>
      <w:r w:rsidRPr="00F30C99">
        <w:t>(</w:t>
      </w:r>
      <w:r w:rsidR="00CA2A51" w:rsidRPr="00F30C99">
        <w:t>4</w:t>
      </w:r>
      <w:r w:rsidRPr="00F30C99">
        <w:t>).</w:t>
      </w:r>
    </w:p>
    <w:p w:rsidR="006C1504" w:rsidRPr="00F30C99" w:rsidRDefault="006C1504" w:rsidP="006C1504">
      <w:pPr>
        <w:pStyle w:val="ActHead2"/>
        <w:pageBreakBefore/>
      </w:pPr>
      <w:bookmarkStart w:id="5" w:name="_Toc92895801"/>
      <w:r w:rsidRPr="002B5C75">
        <w:rPr>
          <w:rStyle w:val="CharPartNo"/>
        </w:rPr>
        <w:lastRenderedPageBreak/>
        <w:t>Part</w:t>
      </w:r>
      <w:r w:rsidR="00173C64" w:rsidRPr="002B5C75">
        <w:rPr>
          <w:rStyle w:val="CharPartNo"/>
        </w:rPr>
        <w:t> </w:t>
      </w:r>
      <w:r w:rsidRPr="002B5C75">
        <w:rPr>
          <w:rStyle w:val="CharPartNo"/>
        </w:rPr>
        <w:t>2</w:t>
      </w:r>
      <w:r w:rsidRPr="00F30C99">
        <w:t>—</w:t>
      </w:r>
      <w:r w:rsidRPr="002B5C75">
        <w:rPr>
          <w:rStyle w:val="CharPartText"/>
        </w:rPr>
        <w:t>Provisions relating to definitions in the Act</w:t>
      </w:r>
      <w:bookmarkEnd w:id="5"/>
    </w:p>
    <w:p w:rsidR="00F65961" w:rsidRPr="00F30C99" w:rsidRDefault="00F65961" w:rsidP="00F65961">
      <w:pPr>
        <w:pStyle w:val="Header"/>
      </w:pPr>
      <w:r w:rsidRPr="002B5C75">
        <w:rPr>
          <w:rStyle w:val="CharDivNo"/>
        </w:rPr>
        <w:t xml:space="preserve"> </w:t>
      </w:r>
      <w:r w:rsidRPr="002B5C75">
        <w:rPr>
          <w:rStyle w:val="CharDivText"/>
        </w:rPr>
        <w:t xml:space="preserve"> </w:t>
      </w:r>
    </w:p>
    <w:p w:rsidR="00567A3A" w:rsidRPr="00F30C99" w:rsidRDefault="00567A3A" w:rsidP="00567A3A">
      <w:pPr>
        <w:pStyle w:val="ActHead5"/>
      </w:pPr>
      <w:bookmarkStart w:id="6" w:name="_Toc92895802"/>
      <w:r w:rsidRPr="002B5C75">
        <w:rPr>
          <w:rStyle w:val="CharSectno"/>
        </w:rPr>
        <w:t>5A</w:t>
      </w:r>
      <w:r w:rsidRPr="00F30C99">
        <w:t xml:space="preserve">  Heads of prescribed law enforcement agencies</w:t>
      </w:r>
      <w:bookmarkEnd w:id="6"/>
    </w:p>
    <w:p w:rsidR="00567A3A" w:rsidRPr="00F30C99" w:rsidRDefault="00567A3A" w:rsidP="00567A3A">
      <w:pPr>
        <w:pStyle w:val="subsection"/>
      </w:pPr>
      <w:r w:rsidRPr="00F30C99">
        <w:tab/>
      </w:r>
      <w:r w:rsidR="00D2190C" w:rsidRPr="00F30C99">
        <w:t>(1)</w:t>
      </w:r>
      <w:r w:rsidRPr="00F30C99">
        <w:tab/>
      </w:r>
      <w:r w:rsidR="00D2190C" w:rsidRPr="00F30C99">
        <w:t>For</w:t>
      </w:r>
      <w:r w:rsidRPr="00F30C99">
        <w:t xml:space="preserve"> the purposes of paragraph (c) of the definition of </w:t>
      </w:r>
      <w:r w:rsidRPr="00F30C99">
        <w:rPr>
          <w:b/>
          <w:i/>
        </w:rPr>
        <w:t>head</w:t>
      </w:r>
      <w:r w:rsidRPr="00F30C99">
        <w:t xml:space="preserve"> in subsection 5(1) of the Act, the person holding the office mentioned in column 2 of an item of the following table is the head of the Commonwealth government agency mentioned in column 1 of the item.</w:t>
      </w:r>
    </w:p>
    <w:p w:rsidR="00567A3A" w:rsidRPr="00F30C99" w:rsidRDefault="00567A3A" w:rsidP="00567A3A">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1"/>
        <w:gridCol w:w="3627"/>
        <w:gridCol w:w="4171"/>
      </w:tblGrid>
      <w:tr w:rsidR="00567A3A" w:rsidRPr="00F30C99" w:rsidTr="004E3418">
        <w:trPr>
          <w:tblHeader/>
        </w:trPr>
        <w:tc>
          <w:tcPr>
            <w:tcW w:w="5000" w:type="pct"/>
            <w:gridSpan w:val="3"/>
            <w:tcBorders>
              <w:top w:val="single" w:sz="12" w:space="0" w:color="auto"/>
              <w:bottom w:val="single" w:sz="6" w:space="0" w:color="auto"/>
            </w:tcBorders>
            <w:shd w:val="clear" w:color="auto" w:fill="auto"/>
          </w:tcPr>
          <w:p w:rsidR="00567A3A" w:rsidRPr="00F30C99" w:rsidRDefault="00567A3A" w:rsidP="00567A3A">
            <w:pPr>
              <w:pStyle w:val="TableHeading"/>
            </w:pPr>
            <w:r w:rsidRPr="00F30C99">
              <w:t>Heads of prescribed law enforcement agencies</w:t>
            </w:r>
          </w:p>
        </w:tc>
      </w:tr>
      <w:tr w:rsidR="00567A3A" w:rsidRPr="00F30C99" w:rsidTr="004E3418">
        <w:trPr>
          <w:tblHeader/>
        </w:trPr>
        <w:tc>
          <w:tcPr>
            <w:tcW w:w="429" w:type="pct"/>
            <w:tcBorders>
              <w:top w:val="single" w:sz="6" w:space="0" w:color="auto"/>
              <w:bottom w:val="single" w:sz="12" w:space="0" w:color="auto"/>
            </w:tcBorders>
            <w:shd w:val="clear" w:color="auto" w:fill="auto"/>
          </w:tcPr>
          <w:p w:rsidR="00567A3A" w:rsidRPr="00F30C99" w:rsidRDefault="00567A3A" w:rsidP="00567A3A">
            <w:pPr>
              <w:pStyle w:val="TableHeading"/>
            </w:pPr>
            <w:r w:rsidRPr="00F30C99">
              <w:t>Item</w:t>
            </w:r>
          </w:p>
        </w:tc>
        <w:tc>
          <w:tcPr>
            <w:tcW w:w="2126" w:type="pct"/>
            <w:tcBorders>
              <w:top w:val="single" w:sz="6" w:space="0" w:color="auto"/>
              <w:bottom w:val="single" w:sz="12" w:space="0" w:color="auto"/>
            </w:tcBorders>
            <w:shd w:val="clear" w:color="auto" w:fill="auto"/>
          </w:tcPr>
          <w:p w:rsidR="00567A3A" w:rsidRPr="00F30C99" w:rsidRDefault="00567A3A" w:rsidP="00567A3A">
            <w:pPr>
              <w:pStyle w:val="TableHeading"/>
            </w:pPr>
            <w:r w:rsidRPr="00F30C99">
              <w:t>Column 1</w:t>
            </w:r>
          </w:p>
          <w:p w:rsidR="00567A3A" w:rsidRPr="00F30C99" w:rsidRDefault="00567A3A" w:rsidP="00567A3A">
            <w:pPr>
              <w:pStyle w:val="TableHeading"/>
            </w:pPr>
            <w:r w:rsidRPr="00F30C99">
              <w:t>Commonwealth government agency</w:t>
            </w:r>
          </w:p>
        </w:tc>
        <w:tc>
          <w:tcPr>
            <w:tcW w:w="2445" w:type="pct"/>
            <w:tcBorders>
              <w:top w:val="single" w:sz="6" w:space="0" w:color="auto"/>
              <w:bottom w:val="single" w:sz="12" w:space="0" w:color="auto"/>
            </w:tcBorders>
            <w:shd w:val="clear" w:color="auto" w:fill="auto"/>
          </w:tcPr>
          <w:p w:rsidR="00567A3A" w:rsidRPr="00F30C99" w:rsidRDefault="00567A3A" w:rsidP="00567A3A">
            <w:pPr>
              <w:pStyle w:val="TableHeading"/>
            </w:pPr>
            <w:r w:rsidRPr="00F30C99">
              <w:t>Column 2</w:t>
            </w:r>
          </w:p>
          <w:p w:rsidR="00567A3A" w:rsidRPr="00F30C99" w:rsidRDefault="00567A3A" w:rsidP="00567A3A">
            <w:pPr>
              <w:pStyle w:val="TableHeading"/>
            </w:pPr>
            <w:r w:rsidRPr="00F30C99">
              <w:t>Office</w:t>
            </w:r>
          </w:p>
        </w:tc>
      </w:tr>
      <w:tr w:rsidR="00567A3A" w:rsidRPr="00F30C99" w:rsidTr="004E3418">
        <w:tc>
          <w:tcPr>
            <w:tcW w:w="429" w:type="pct"/>
            <w:tcBorders>
              <w:top w:val="single" w:sz="12" w:space="0" w:color="auto"/>
            </w:tcBorders>
            <w:shd w:val="clear" w:color="auto" w:fill="auto"/>
          </w:tcPr>
          <w:p w:rsidR="00567A3A" w:rsidRPr="00F30C99" w:rsidRDefault="00567A3A" w:rsidP="00567A3A">
            <w:pPr>
              <w:pStyle w:val="Tabletext"/>
            </w:pPr>
            <w:r w:rsidRPr="00F30C99">
              <w:t>1</w:t>
            </w:r>
          </w:p>
        </w:tc>
        <w:tc>
          <w:tcPr>
            <w:tcW w:w="2126" w:type="pct"/>
            <w:tcBorders>
              <w:top w:val="single" w:sz="12" w:space="0" w:color="auto"/>
            </w:tcBorders>
            <w:shd w:val="clear" w:color="auto" w:fill="auto"/>
          </w:tcPr>
          <w:p w:rsidR="00567A3A" w:rsidRPr="00F30C99" w:rsidRDefault="00567A3A" w:rsidP="00567A3A">
            <w:pPr>
              <w:pStyle w:val="Tabletext"/>
            </w:pPr>
            <w:r w:rsidRPr="00F30C99">
              <w:t>Australian Competition and Consumer Commission</w:t>
            </w:r>
          </w:p>
        </w:tc>
        <w:tc>
          <w:tcPr>
            <w:tcW w:w="2445" w:type="pct"/>
            <w:tcBorders>
              <w:top w:val="single" w:sz="12" w:space="0" w:color="auto"/>
            </w:tcBorders>
            <w:shd w:val="clear" w:color="auto" w:fill="auto"/>
          </w:tcPr>
          <w:p w:rsidR="00567A3A" w:rsidRPr="00F30C99" w:rsidRDefault="00567A3A" w:rsidP="00567A3A">
            <w:pPr>
              <w:pStyle w:val="Tabletext"/>
            </w:pPr>
            <w:r w:rsidRPr="00F30C99">
              <w:t xml:space="preserve">The Chairperson appointed under section 7 of the </w:t>
            </w:r>
            <w:r w:rsidRPr="00F30C99">
              <w:rPr>
                <w:i/>
              </w:rPr>
              <w:t>Competition and Consumer Act 2010</w:t>
            </w:r>
          </w:p>
        </w:tc>
      </w:tr>
      <w:tr w:rsidR="00567A3A" w:rsidRPr="00F30C99" w:rsidTr="004E3418">
        <w:tc>
          <w:tcPr>
            <w:tcW w:w="429" w:type="pct"/>
            <w:shd w:val="clear" w:color="auto" w:fill="auto"/>
          </w:tcPr>
          <w:p w:rsidR="00567A3A" w:rsidRPr="00F30C99" w:rsidRDefault="00567A3A" w:rsidP="00567A3A">
            <w:pPr>
              <w:pStyle w:val="Tabletext"/>
            </w:pPr>
            <w:r w:rsidRPr="00F30C99">
              <w:t>2</w:t>
            </w:r>
          </w:p>
        </w:tc>
        <w:tc>
          <w:tcPr>
            <w:tcW w:w="2126" w:type="pct"/>
            <w:shd w:val="clear" w:color="auto" w:fill="auto"/>
          </w:tcPr>
          <w:p w:rsidR="00567A3A" w:rsidRPr="00F30C99" w:rsidRDefault="00567A3A" w:rsidP="00567A3A">
            <w:pPr>
              <w:pStyle w:val="Tabletext"/>
            </w:pPr>
            <w:r w:rsidRPr="00F30C99">
              <w:t>Australian Prudential Regulation Authority</w:t>
            </w:r>
          </w:p>
        </w:tc>
        <w:tc>
          <w:tcPr>
            <w:tcW w:w="2445" w:type="pct"/>
            <w:shd w:val="clear" w:color="auto" w:fill="auto"/>
          </w:tcPr>
          <w:p w:rsidR="00567A3A" w:rsidRPr="00F30C99" w:rsidRDefault="00567A3A" w:rsidP="00567A3A">
            <w:pPr>
              <w:pStyle w:val="Tabletext"/>
            </w:pPr>
            <w:r w:rsidRPr="00F30C99">
              <w:t xml:space="preserve">The Chair of APRA appointed under section 18 of the </w:t>
            </w:r>
            <w:r w:rsidRPr="00F30C99">
              <w:rPr>
                <w:i/>
              </w:rPr>
              <w:t>Australian Prudential Regulation Authority Act 1998</w:t>
            </w:r>
          </w:p>
        </w:tc>
      </w:tr>
      <w:tr w:rsidR="00567A3A" w:rsidRPr="00F30C99" w:rsidTr="004E3418">
        <w:tc>
          <w:tcPr>
            <w:tcW w:w="429" w:type="pct"/>
            <w:tcBorders>
              <w:bottom w:val="single" w:sz="2" w:space="0" w:color="auto"/>
            </w:tcBorders>
            <w:shd w:val="clear" w:color="auto" w:fill="auto"/>
          </w:tcPr>
          <w:p w:rsidR="00567A3A" w:rsidRPr="00F30C99" w:rsidRDefault="00567A3A" w:rsidP="00567A3A">
            <w:pPr>
              <w:pStyle w:val="Tabletext"/>
            </w:pPr>
            <w:r w:rsidRPr="00F30C99">
              <w:t>3</w:t>
            </w:r>
          </w:p>
        </w:tc>
        <w:tc>
          <w:tcPr>
            <w:tcW w:w="2126" w:type="pct"/>
            <w:tcBorders>
              <w:bottom w:val="single" w:sz="2" w:space="0" w:color="auto"/>
            </w:tcBorders>
            <w:shd w:val="clear" w:color="auto" w:fill="auto"/>
          </w:tcPr>
          <w:p w:rsidR="00567A3A" w:rsidRPr="00F30C99" w:rsidRDefault="00567A3A" w:rsidP="00567A3A">
            <w:pPr>
              <w:pStyle w:val="Tabletext"/>
            </w:pPr>
            <w:r w:rsidRPr="00F30C99">
              <w:t>Australian Securities and Investments Commission</w:t>
            </w:r>
          </w:p>
        </w:tc>
        <w:tc>
          <w:tcPr>
            <w:tcW w:w="2445" w:type="pct"/>
            <w:tcBorders>
              <w:bottom w:val="single" w:sz="2" w:space="0" w:color="auto"/>
            </w:tcBorders>
            <w:shd w:val="clear" w:color="auto" w:fill="auto"/>
          </w:tcPr>
          <w:p w:rsidR="00567A3A" w:rsidRPr="00F30C99" w:rsidRDefault="00567A3A" w:rsidP="00567A3A">
            <w:pPr>
              <w:pStyle w:val="Tabletext"/>
            </w:pPr>
            <w:r w:rsidRPr="00F30C99">
              <w:t xml:space="preserve">The Chairperson of ASIC appointed under section 10 of the </w:t>
            </w:r>
            <w:r w:rsidRPr="00F30C99">
              <w:rPr>
                <w:i/>
              </w:rPr>
              <w:t>Australian Securities and Investments Commission Act 2001</w:t>
            </w:r>
          </w:p>
        </w:tc>
      </w:tr>
      <w:tr w:rsidR="00567A3A" w:rsidRPr="00F30C99" w:rsidTr="00F30C99">
        <w:tc>
          <w:tcPr>
            <w:tcW w:w="429" w:type="pct"/>
            <w:tcBorders>
              <w:top w:val="single" w:sz="2" w:space="0" w:color="auto"/>
              <w:bottom w:val="single" w:sz="2" w:space="0" w:color="auto"/>
            </w:tcBorders>
            <w:shd w:val="clear" w:color="auto" w:fill="auto"/>
          </w:tcPr>
          <w:p w:rsidR="00567A3A" w:rsidRPr="00F30C99" w:rsidRDefault="00567A3A" w:rsidP="00567A3A">
            <w:pPr>
              <w:pStyle w:val="Tabletext"/>
            </w:pPr>
            <w:r w:rsidRPr="00F30C99">
              <w:t>4</w:t>
            </w:r>
          </w:p>
        </w:tc>
        <w:tc>
          <w:tcPr>
            <w:tcW w:w="2126" w:type="pct"/>
            <w:tcBorders>
              <w:top w:val="single" w:sz="2" w:space="0" w:color="auto"/>
              <w:bottom w:val="single" w:sz="2" w:space="0" w:color="auto"/>
            </w:tcBorders>
            <w:shd w:val="clear" w:color="auto" w:fill="auto"/>
          </w:tcPr>
          <w:p w:rsidR="00567A3A" w:rsidRPr="00F30C99" w:rsidRDefault="00567A3A" w:rsidP="00567A3A">
            <w:pPr>
              <w:pStyle w:val="Tabletext"/>
            </w:pPr>
            <w:r w:rsidRPr="00F30C99">
              <w:t>Australian Taxation Office</w:t>
            </w:r>
          </w:p>
        </w:tc>
        <w:tc>
          <w:tcPr>
            <w:tcW w:w="2445" w:type="pct"/>
            <w:tcBorders>
              <w:top w:val="single" w:sz="2" w:space="0" w:color="auto"/>
              <w:bottom w:val="single" w:sz="2" w:space="0" w:color="auto"/>
            </w:tcBorders>
            <w:shd w:val="clear" w:color="auto" w:fill="auto"/>
          </w:tcPr>
          <w:p w:rsidR="00567A3A" w:rsidRPr="00F30C99" w:rsidRDefault="00567A3A" w:rsidP="00567A3A">
            <w:pPr>
              <w:pStyle w:val="Tabletext"/>
            </w:pPr>
            <w:r w:rsidRPr="00F30C99">
              <w:t xml:space="preserve">The Commissioner of Taxation mentioned in section 4 of the </w:t>
            </w:r>
            <w:r w:rsidRPr="00F30C99">
              <w:rPr>
                <w:i/>
              </w:rPr>
              <w:t>Taxation Administration Act 1953</w:t>
            </w:r>
          </w:p>
        </w:tc>
      </w:tr>
      <w:tr w:rsidR="00D2190C" w:rsidRPr="00F30C99" w:rsidTr="004E3418">
        <w:tc>
          <w:tcPr>
            <w:tcW w:w="429" w:type="pct"/>
            <w:tcBorders>
              <w:top w:val="single" w:sz="2" w:space="0" w:color="auto"/>
              <w:bottom w:val="single" w:sz="12" w:space="0" w:color="auto"/>
            </w:tcBorders>
            <w:shd w:val="clear" w:color="auto" w:fill="auto"/>
          </w:tcPr>
          <w:p w:rsidR="00D2190C" w:rsidRPr="00F30C99" w:rsidRDefault="00D2190C" w:rsidP="00D2190C">
            <w:pPr>
              <w:pStyle w:val="Tabletext"/>
            </w:pPr>
            <w:r w:rsidRPr="00F30C99">
              <w:t>5</w:t>
            </w:r>
          </w:p>
        </w:tc>
        <w:tc>
          <w:tcPr>
            <w:tcW w:w="2126" w:type="pct"/>
            <w:tcBorders>
              <w:top w:val="single" w:sz="2" w:space="0" w:color="auto"/>
              <w:bottom w:val="single" w:sz="12" w:space="0" w:color="auto"/>
            </w:tcBorders>
            <w:shd w:val="clear" w:color="auto" w:fill="auto"/>
          </w:tcPr>
          <w:p w:rsidR="00D2190C" w:rsidRPr="00F30C99" w:rsidRDefault="00D2190C" w:rsidP="00D2190C">
            <w:pPr>
              <w:pStyle w:val="Tabletext"/>
            </w:pPr>
            <w:r w:rsidRPr="00F30C99">
              <w:t>Office of the Special Investigator</w:t>
            </w:r>
          </w:p>
        </w:tc>
        <w:tc>
          <w:tcPr>
            <w:tcW w:w="2445" w:type="pct"/>
            <w:tcBorders>
              <w:top w:val="single" w:sz="2" w:space="0" w:color="auto"/>
              <w:bottom w:val="single" w:sz="12" w:space="0" w:color="auto"/>
            </w:tcBorders>
            <w:shd w:val="clear" w:color="auto" w:fill="auto"/>
          </w:tcPr>
          <w:p w:rsidR="00D2190C" w:rsidRPr="00F30C99" w:rsidRDefault="00D2190C" w:rsidP="00D2190C">
            <w:pPr>
              <w:pStyle w:val="Tabletext"/>
            </w:pPr>
            <w:r w:rsidRPr="00F30C99">
              <w:t>The Director</w:t>
            </w:r>
            <w:r w:rsidR="002B5C75">
              <w:noBreakHyphen/>
            </w:r>
            <w:r w:rsidRPr="00F30C99">
              <w:t>General of the Office of the Special Investigator</w:t>
            </w:r>
          </w:p>
        </w:tc>
      </w:tr>
    </w:tbl>
    <w:p w:rsidR="00567A3A" w:rsidRPr="00F30C99" w:rsidRDefault="00567A3A" w:rsidP="00567A3A">
      <w:pPr>
        <w:pStyle w:val="Tabletext"/>
      </w:pPr>
    </w:p>
    <w:p w:rsidR="00567A3A" w:rsidRPr="00F30C99" w:rsidRDefault="00567A3A" w:rsidP="00567A3A">
      <w:pPr>
        <w:pStyle w:val="notetext"/>
      </w:pPr>
      <w:r w:rsidRPr="00F30C99">
        <w:t>Note:</w:t>
      </w:r>
      <w:r w:rsidRPr="00F30C99">
        <w:tab/>
        <w:t xml:space="preserve">The Commonwealth government agencies mentioned in column 1 of this table are prescribed for the purposes of paragraph (d) of the definition of </w:t>
      </w:r>
      <w:r w:rsidRPr="00F30C99">
        <w:rPr>
          <w:b/>
          <w:i/>
        </w:rPr>
        <w:t>law enforcement agency</w:t>
      </w:r>
      <w:r w:rsidRPr="00F30C99">
        <w:t xml:space="preserve"> in subsection 5(1) of the Act (see section 6A of this instrument).</w:t>
      </w:r>
    </w:p>
    <w:p w:rsidR="00D2190C" w:rsidRPr="00F30C99" w:rsidRDefault="00D2190C" w:rsidP="00D2190C">
      <w:pPr>
        <w:pStyle w:val="subsection"/>
      </w:pPr>
      <w:r w:rsidRPr="00F30C99">
        <w:tab/>
        <w:t>(2)</w:t>
      </w:r>
      <w:r w:rsidRPr="00F30C99">
        <w:tab/>
        <w:t>This section is repealed at the start of 1 October 2024.</w:t>
      </w:r>
    </w:p>
    <w:p w:rsidR="004E0F3A" w:rsidRPr="00F30C99" w:rsidRDefault="00D37EB8" w:rsidP="004E0F3A">
      <w:pPr>
        <w:pStyle w:val="ActHead5"/>
      </w:pPr>
      <w:bookmarkStart w:id="7" w:name="_Toc92895803"/>
      <w:r w:rsidRPr="002B5C75">
        <w:rPr>
          <w:rStyle w:val="CharSectno"/>
        </w:rPr>
        <w:t>6</w:t>
      </w:r>
      <w:r w:rsidR="004E0F3A" w:rsidRPr="00F30C99">
        <w:t xml:space="preserve">  Integrity agenc</w:t>
      </w:r>
      <w:r w:rsidR="000763D7" w:rsidRPr="00F30C99">
        <w:t>ies</w:t>
      </w:r>
      <w:r w:rsidR="00B931F7" w:rsidRPr="00F30C99">
        <w:t xml:space="preserve"> for States and Territories</w:t>
      </w:r>
      <w:bookmarkEnd w:id="7"/>
    </w:p>
    <w:p w:rsidR="000763D7" w:rsidRPr="00F30C99" w:rsidRDefault="004E0F3A" w:rsidP="004E0F3A">
      <w:pPr>
        <w:pStyle w:val="subsection"/>
      </w:pPr>
      <w:r w:rsidRPr="00F30C99">
        <w:tab/>
      </w:r>
      <w:r w:rsidRPr="00F30C99">
        <w:tab/>
        <w:t xml:space="preserve">For the </w:t>
      </w:r>
      <w:r w:rsidR="000763D7" w:rsidRPr="00F30C99">
        <w:t xml:space="preserve">purposes of the </w:t>
      </w:r>
      <w:r w:rsidRPr="00F30C99">
        <w:t xml:space="preserve">definition of </w:t>
      </w:r>
      <w:r w:rsidRPr="00F30C99">
        <w:rPr>
          <w:b/>
          <w:i/>
        </w:rPr>
        <w:t>integrity agency</w:t>
      </w:r>
      <w:r w:rsidRPr="00F30C99">
        <w:t xml:space="preserve"> in subsection</w:t>
      </w:r>
      <w:r w:rsidR="00173C64" w:rsidRPr="00F30C99">
        <w:t> </w:t>
      </w:r>
      <w:r w:rsidRPr="00F30C99">
        <w:t xml:space="preserve">5(1) of the Act, </w:t>
      </w:r>
      <w:r w:rsidR="00B931F7" w:rsidRPr="00F30C99">
        <w:t>an</w:t>
      </w:r>
      <w:r w:rsidRPr="00F30C99">
        <w:t xml:space="preserve"> agenc</w:t>
      </w:r>
      <w:r w:rsidR="00B931F7" w:rsidRPr="00F30C99">
        <w:t>y</w:t>
      </w:r>
      <w:r w:rsidRPr="00F30C99">
        <w:t xml:space="preserve"> </w:t>
      </w:r>
      <w:r w:rsidR="000763D7" w:rsidRPr="00F30C99">
        <w:t xml:space="preserve">mentioned in </w:t>
      </w:r>
      <w:r w:rsidR="00EC768D" w:rsidRPr="00F30C99">
        <w:t xml:space="preserve">an item of </w:t>
      </w:r>
      <w:r w:rsidR="000763D7" w:rsidRPr="00F30C99">
        <w:t xml:space="preserve">the following table </w:t>
      </w:r>
      <w:r w:rsidR="00B931F7" w:rsidRPr="00F30C99">
        <w:t>is</w:t>
      </w:r>
      <w:r w:rsidRPr="00F30C99">
        <w:t xml:space="preserve"> prescribed</w:t>
      </w:r>
      <w:r w:rsidR="00EC768D" w:rsidRPr="00F30C99">
        <w:t xml:space="preserve"> as an integrity agency for the State or Territory mentioned in the item</w:t>
      </w:r>
      <w:r w:rsidR="000763D7" w:rsidRPr="00F30C99">
        <w:t>.</w:t>
      </w:r>
    </w:p>
    <w:p w:rsidR="000763D7" w:rsidRPr="00F30C99" w:rsidRDefault="000763D7" w:rsidP="000763D7">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171"/>
        <w:gridCol w:w="5626"/>
      </w:tblGrid>
      <w:tr w:rsidR="000763D7" w:rsidRPr="00F30C99" w:rsidTr="004E3418">
        <w:trPr>
          <w:tblHeader/>
        </w:trPr>
        <w:tc>
          <w:tcPr>
            <w:tcW w:w="5000" w:type="pct"/>
            <w:gridSpan w:val="3"/>
            <w:tcBorders>
              <w:top w:val="single" w:sz="12" w:space="0" w:color="auto"/>
              <w:bottom w:val="single" w:sz="6" w:space="0" w:color="auto"/>
            </w:tcBorders>
            <w:shd w:val="clear" w:color="auto" w:fill="auto"/>
          </w:tcPr>
          <w:p w:rsidR="000763D7" w:rsidRPr="00F30C99" w:rsidRDefault="000763D7" w:rsidP="000763D7">
            <w:pPr>
              <w:pStyle w:val="TableHeading"/>
            </w:pPr>
            <w:r w:rsidRPr="00F30C99">
              <w:t>Integrity agencies</w:t>
            </w:r>
          </w:p>
        </w:tc>
      </w:tr>
      <w:tr w:rsidR="000763D7" w:rsidRPr="00F30C99" w:rsidTr="004E3418">
        <w:trPr>
          <w:tblHeader/>
        </w:trPr>
        <w:tc>
          <w:tcPr>
            <w:tcW w:w="429" w:type="pct"/>
            <w:tcBorders>
              <w:top w:val="single" w:sz="6" w:space="0" w:color="auto"/>
              <w:bottom w:val="single" w:sz="12" w:space="0" w:color="auto"/>
            </w:tcBorders>
            <w:shd w:val="clear" w:color="auto" w:fill="auto"/>
          </w:tcPr>
          <w:p w:rsidR="000763D7" w:rsidRPr="00F30C99" w:rsidRDefault="000763D7" w:rsidP="000763D7">
            <w:pPr>
              <w:pStyle w:val="TableHeading"/>
            </w:pPr>
            <w:r w:rsidRPr="00F30C99">
              <w:t>Item</w:t>
            </w:r>
          </w:p>
        </w:tc>
        <w:tc>
          <w:tcPr>
            <w:tcW w:w="1273" w:type="pct"/>
            <w:tcBorders>
              <w:top w:val="single" w:sz="6" w:space="0" w:color="auto"/>
              <w:bottom w:val="single" w:sz="12" w:space="0" w:color="auto"/>
            </w:tcBorders>
            <w:shd w:val="clear" w:color="auto" w:fill="auto"/>
          </w:tcPr>
          <w:p w:rsidR="000763D7" w:rsidRPr="00F30C99" w:rsidRDefault="000763D7" w:rsidP="000763D7">
            <w:pPr>
              <w:pStyle w:val="TableHeading"/>
            </w:pPr>
            <w:r w:rsidRPr="00F30C99">
              <w:t>State or Territory</w:t>
            </w:r>
          </w:p>
        </w:tc>
        <w:tc>
          <w:tcPr>
            <w:tcW w:w="3298" w:type="pct"/>
            <w:tcBorders>
              <w:top w:val="single" w:sz="6" w:space="0" w:color="auto"/>
              <w:bottom w:val="single" w:sz="12" w:space="0" w:color="auto"/>
            </w:tcBorders>
            <w:shd w:val="clear" w:color="auto" w:fill="auto"/>
          </w:tcPr>
          <w:p w:rsidR="000763D7" w:rsidRPr="00F30C99" w:rsidRDefault="000622B0" w:rsidP="000763D7">
            <w:pPr>
              <w:pStyle w:val="TableHeading"/>
            </w:pPr>
            <w:r w:rsidRPr="00F30C99">
              <w:t>Agency</w:t>
            </w:r>
          </w:p>
        </w:tc>
      </w:tr>
      <w:tr w:rsidR="00A9427F" w:rsidRPr="00F30C99" w:rsidTr="004E3418">
        <w:tc>
          <w:tcPr>
            <w:tcW w:w="429" w:type="pct"/>
            <w:tcBorders>
              <w:top w:val="single" w:sz="12" w:space="0" w:color="auto"/>
            </w:tcBorders>
            <w:shd w:val="clear" w:color="auto" w:fill="auto"/>
          </w:tcPr>
          <w:p w:rsidR="00A9427F" w:rsidRPr="00F30C99" w:rsidRDefault="00A9427F" w:rsidP="000763D7">
            <w:pPr>
              <w:pStyle w:val="Tabletext"/>
            </w:pPr>
            <w:r w:rsidRPr="00F30C99">
              <w:t>1</w:t>
            </w:r>
          </w:p>
        </w:tc>
        <w:tc>
          <w:tcPr>
            <w:tcW w:w="1273" w:type="pct"/>
            <w:tcBorders>
              <w:top w:val="single" w:sz="12" w:space="0" w:color="auto"/>
            </w:tcBorders>
            <w:shd w:val="clear" w:color="auto" w:fill="auto"/>
          </w:tcPr>
          <w:p w:rsidR="00A9427F" w:rsidRPr="00F30C99" w:rsidRDefault="00A9427F" w:rsidP="000763D7">
            <w:pPr>
              <w:pStyle w:val="Tabletext"/>
            </w:pPr>
            <w:r w:rsidRPr="00F30C99">
              <w:t>New South Wales</w:t>
            </w:r>
          </w:p>
        </w:tc>
        <w:tc>
          <w:tcPr>
            <w:tcW w:w="3298" w:type="pct"/>
            <w:tcBorders>
              <w:top w:val="single" w:sz="12" w:space="0" w:color="auto"/>
            </w:tcBorders>
            <w:shd w:val="clear" w:color="auto" w:fill="auto"/>
          </w:tcPr>
          <w:p w:rsidR="00A9427F" w:rsidRPr="00F30C99" w:rsidRDefault="00A9427F" w:rsidP="00D6209C">
            <w:pPr>
              <w:pStyle w:val="Tabletext"/>
            </w:pPr>
            <w:r w:rsidRPr="00F30C99">
              <w:t xml:space="preserve">the Law Enforcement Conduct Commission constituted by the </w:t>
            </w:r>
            <w:r w:rsidRPr="00F30C99">
              <w:rPr>
                <w:i/>
              </w:rPr>
              <w:t>Law Enforcement Conduct Commission Act 2016</w:t>
            </w:r>
            <w:r w:rsidRPr="00F30C99">
              <w:t xml:space="preserve"> (NSW)</w:t>
            </w:r>
          </w:p>
        </w:tc>
      </w:tr>
      <w:tr w:rsidR="000763D7" w:rsidRPr="00F30C99" w:rsidTr="004E3418">
        <w:tc>
          <w:tcPr>
            <w:tcW w:w="429" w:type="pct"/>
            <w:shd w:val="clear" w:color="auto" w:fill="auto"/>
          </w:tcPr>
          <w:p w:rsidR="000763D7" w:rsidRPr="00F30C99" w:rsidRDefault="000763D7" w:rsidP="000763D7">
            <w:pPr>
              <w:pStyle w:val="Tabletext"/>
            </w:pPr>
            <w:r w:rsidRPr="00F30C99">
              <w:t>2</w:t>
            </w:r>
          </w:p>
        </w:tc>
        <w:tc>
          <w:tcPr>
            <w:tcW w:w="1273" w:type="pct"/>
            <w:shd w:val="clear" w:color="auto" w:fill="auto"/>
          </w:tcPr>
          <w:p w:rsidR="000763D7" w:rsidRPr="00F30C99" w:rsidRDefault="000763D7" w:rsidP="000763D7">
            <w:pPr>
              <w:pStyle w:val="Tabletext"/>
            </w:pPr>
            <w:r w:rsidRPr="00F30C99">
              <w:t>Victoria</w:t>
            </w:r>
          </w:p>
        </w:tc>
        <w:tc>
          <w:tcPr>
            <w:tcW w:w="3298" w:type="pct"/>
            <w:shd w:val="clear" w:color="auto" w:fill="auto"/>
          </w:tcPr>
          <w:p w:rsidR="00EC768D" w:rsidRPr="00F30C99" w:rsidRDefault="00DA4447" w:rsidP="0082610F">
            <w:pPr>
              <w:pStyle w:val="Tabletext"/>
            </w:pPr>
            <w:r w:rsidRPr="00F30C99">
              <w:t xml:space="preserve">the </w:t>
            </w:r>
            <w:r w:rsidR="000763D7" w:rsidRPr="00F30C99">
              <w:t>Independent Broad</w:t>
            </w:r>
            <w:r w:rsidR="002B5C75">
              <w:noBreakHyphen/>
            </w:r>
            <w:r w:rsidR="000763D7" w:rsidRPr="00F30C99">
              <w:t>based Anti</w:t>
            </w:r>
            <w:r w:rsidR="002B5C75">
              <w:noBreakHyphen/>
            </w:r>
            <w:r w:rsidR="000763D7" w:rsidRPr="00F30C99">
              <w:t xml:space="preserve">corruption Commission established by the </w:t>
            </w:r>
            <w:r w:rsidR="000763D7" w:rsidRPr="00F30C99">
              <w:rPr>
                <w:i/>
              </w:rPr>
              <w:t>Independent Broad</w:t>
            </w:r>
            <w:r w:rsidR="002B5C75">
              <w:rPr>
                <w:i/>
              </w:rPr>
              <w:noBreakHyphen/>
            </w:r>
            <w:r w:rsidR="000763D7" w:rsidRPr="00F30C99">
              <w:rPr>
                <w:i/>
              </w:rPr>
              <w:t>based Anti</w:t>
            </w:r>
            <w:r w:rsidR="002B5C75">
              <w:rPr>
                <w:i/>
              </w:rPr>
              <w:noBreakHyphen/>
            </w:r>
            <w:r w:rsidR="000763D7" w:rsidRPr="00F30C99">
              <w:rPr>
                <w:i/>
              </w:rPr>
              <w:t xml:space="preserve">corruption </w:t>
            </w:r>
            <w:r w:rsidR="000763D7" w:rsidRPr="00F30C99">
              <w:rPr>
                <w:i/>
              </w:rPr>
              <w:lastRenderedPageBreak/>
              <w:t>Commission Act 2011</w:t>
            </w:r>
            <w:r w:rsidR="000763D7" w:rsidRPr="00F30C99">
              <w:t xml:space="preserve"> (Vic)</w:t>
            </w:r>
          </w:p>
        </w:tc>
      </w:tr>
      <w:tr w:rsidR="000763D7" w:rsidRPr="00F30C99" w:rsidTr="004E3418">
        <w:tc>
          <w:tcPr>
            <w:tcW w:w="429" w:type="pct"/>
            <w:shd w:val="clear" w:color="auto" w:fill="auto"/>
          </w:tcPr>
          <w:p w:rsidR="000763D7" w:rsidRPr="00F30C99" w:rsidRDefault="000763D7" w:rsidP="000763D7">
            <w:pPr>
              <w:pStyle w:val="Tabletext"/>
            </w:pPr>
            <w:r w:rsidRPr="00F30C99">
              <w:lastRenderedPageBreak/>
              <w:t>3</w:t>
            </w:r>
          </w:p>
        </w:tc>
        <w:tc>
          <w:tcPr>
            <w:tcW w:w="1273" w:type="pct"/>
            <w:shd w:val="clear" w:color="auto" w:fill="auto"/>
          </w:tcPr>
          <w:p w:rsidR="000763D7" w:rsidRPr="00F30C99" w:rsidRDefault="000763D7" w:rsidP="000763D7">
            <w:pPr>
              <w:pStyle w:val="Tabletext"/>
            </w:pPr>
            <w:r w:rsidRPr="00F30C99">
              <w:t>Queensland</w:t>
            </w:r>
          </w:p>
        </w:tc>
        <w:tc>
          <w:tcPr>
            <w:tcW w:w="3298" w:type="pct"/>
            <w:shd w:val="clear" w:color="auto" w:fill="auto"/>
          </w:tcPr>
          <w:p w:rsidR="000763D7" w:rsidRPr="00F30C99" w:rsidRDefault="00DA4447" w:rsidP="00EC768D">
            <w:pPr>
              <w:pStyle w:val="Tabletext"/>
            </w:pPr>
            <w:r w:rsidRPr="00F30C99">
              <w:t xml:space="preserve">the </w:t>
            </w:r>
            <w:r w:rsidR="000763D7" w:rsidRPr="00F30C99">
              <w:t xml:space="preserve">Crime and Corruption Commission established under the </w:t>
            </w:r>
            <w:r w:rsidR="000763D7" w:rsidRPr="00F30C99">
              <w:rPr>
                <w:i/>
              </w:rPr>
              <w:t>Crime and Corruption Act 2001</w:t>
            </w:r>
            <w:r w:rsidR="000763D7" w:rsidRPr="00F30C99">
              <w:t xml:space="preserve"> (Qld)</w:t>
            </w:r>
          </w:p>
        </w:tc>
      </w:tr>
      <w:tr w:rsidR="000763D7" w:rsidRPr="00F30C99" w:rsidTr="004E3418">
        <w:tc>
          <w:tcPr>
            <w:tcW w:w="429" w:type="pct"/>
            <w:shd w:val="clear" w:color="auto" w:fill="auto"/>
          </w:tcPr>
          <w:p w:rsidR="000763D7" w:rsidRPr="00F30C99" w:rsidRDefault="000763D7" w:rsidP="000763D7">
            <w:pPr>
              <w:pStyle w:val="Tabletext"/>
            </w:pPr>
            <w:r w:rsidRPr="00F30C99">
              <w:t>4</w:t>
            </w:r>
          </w:p>
        </w:tc>
        <w:tc>
          <w:tcPr>
            <w:tcW w:w="1273" w:type="pct"/>
            <w:shd w:val="clear" w:color="auto" w:fill="auto"/>
          </w:tcPr>
          <w:p w:rsidR="000763D7" w:rsidRPr="00F30C99" w:rsidRDefault="000763D7" w:rsidP="000763D7">
            <w:pPr>
              <w:pStyle w:val="Tabletext"/>
            </w:pPr>
            <w:r w:rsidRPr="00F30C99">
              <w:t>Western Australia</w:t>
            </w:r>
          </w:p>
        </w:tc>
        <w:tc>
          <w:tcPr>
            <w:tcW w:w="3298" w:type="pct"/>
            <w:shd w:val="clear" w:color="auto" w:fill="auto"/>
          </w:tcPr>
          <w:p w:rsidR="0082610F" w:rsidRPr="00F30C99" w:rsidRDefault="00DA4447" w:rsidP="008434DF">
            <w:pPr>
              <w:pStyle w:val="Tabletext"/>
            </w:pPr>
            <w:r w:rsidRPr="00F30C99">
              <w:t xml:space="preserve">the </w:t>
            </w:r>
            <w:r w:rsidR="000763D7" w:rsidRPr="00F30C99">
              <w:t xml:space="preserve">Corruption and Crime Commission established by </w:t>
            </w:r>
            <w:r w:rsidR="00223F33" w:rsidRPr="00F30C99">
              <w:t xml:space="preserve">the </w:t>
            </w:r>
            <w:r w:rsidR="00223F33" w:rsidRPr="00F30C99">
              <w:rPr>
                <w:i/>
              </w:rPr>
              <w:t>Corruption,</w:t>
            </w:r>
            <w:r w:rsidR="000763D7" w:rsidRPr="00F30C99">
              <w:rPr>
                <w:i/>
              </w:rPr>
              <w:t xml:space="preserve"> Crime</w:t>
            </w:r>
            <w:r w:rsidR="00223F33" w:rsidRPr="00F30C99">
              <w:rPr>
                <w:i/>
              </w:rPr>
              <w:t xml:space="preserve"> and Misconduct</w:t>
            </w:r>
            <w:r w:rsidR="000763D7" w:rsidRPr="00F30C99">
              <w:rPr>
                <w:i/>
              </w:rPr>
              <w:t xml:space="preserve"> Act 2003</w:t>
            </w:r>
            <w:r w:rsidR="000763D7" w:rsidRPr="00F30C99">
              <w:t xml:space="preserve"> (WA)</w:t>
            </w:r>
          </w:p>
        </w:tc>
      </w:tr>
      <w:tr w:rsidR="000763D7" w:rsidRPr="00F30C99" w:rsidTr="004E3418">
        <w:tc>
          <w:tcPr>
            <w:tcW w:w="429" w:type="pct"/>
            <w:shd w:val="clear" w:color="auto" w:fill="auto"/>
          </w:tcPr>
          <w:p w:rsidR="000763D7" w:rsidRPr="00F30C99" w:rsidRDefault="000763D7" w:rsidP="000763D7">
            <w:pPr>
              <w:pStyle w:val="Tabletext"/>
            </w:pPr>
            <w:r w:rsidRPr="00F30C99">
              <w:t>5</w:t>
            </w:r>
          </w:p>
        </w:tc>
        <w:tc>
          <w:tcPr>
            <w:tcW w:w="1273" w:type="pct"/>
            <w:shd w:val="clear" w:color="auto" w:fill="auto"/>
          </w:tcPr>
          <w:p w:rsidR="000763D7" w:rsidRPr="00F30C99" w:rsidRDefault="000763D7" w:rsidP="000763D7">
            <w:pPr>
              <w:pStyle w:val="Tabletext"/>
            </w:pPr>
            <w:r w:rsidRPr="00F30C99">
              <w:t>South Australia</w:t>
            </w:r>
          </w:p>
        </w:tc>
        <w:tc>
          <w:tcPr>
            <w:tcW w:w="3298" w:type="pct"/>
            <w:shd w:val="clear" w:color="auto" w:fill="auto"/>
          </w:tcPr>
          <w:p w:rsidR="000763D7" w:rsidRPr="00F30C99" w:rsidRDefault="00BC2843" w:rsidP="000763D7">
            <w:pPr>
              <w:pStyle w:val="Tabletext"/>
            </w:pPr>
            <w:r w:rsidRPr="00F30C99">
              <w:t xml:space="preserve">each of </w:t>
            </w:r>
            <w:r w:rsidR="000763D7" w:rsidRPr="00F30C99">
              <w:t>the following:</w:t>
            </w:r>
          </w:p>
          <w:p w:rsidR="000763D7" w:rsidRPr="00F30C99" w:rsidRDefault="000763D7" w:rsidP="000763D7">
            <w:pPr>
              <w:pStyle w:val="Tablea"/>
            </w:pPr>
            <w:r w:rsidRPr="00F30C99">
              <w:t xml:space="preserve">(a) the </w:t>
            </w:r>
            <w:r w:rsidR="00A87A0C" w:rsidRPr="00F30C99">
              <w:t xml:space="preserve">agency made up of the </w:t>
            </w:r>
            <w:r w:rsidRPr="00F30C99">
              <w:t xml:space="preserve">Police Ombudsman </w:t>
            </w:r>
            <w:r w:rsidR="00A87A0C" w:rsidRPr="00F30C99">
              <w:t xml:space="preserve">appointed under the </w:t>
            </w:r>
            <w:r w:rsidR="00A87A0C" w:rsidRPr="00F30C99">
              <w:rPr>
                <w:i/>
              </w:rPr>
              <w:t>Police (Complaints and Disciplinary Proceedings) Act 1985</w:t>
            </w:r>
            <w:r w:rsidR="00A87A0C" w:rsidRPr="00F30C99">
              <w:t xml:space="preserve"> (SA) and </w:t>
            </w:r>
            <w:r w:rsidR="006C502F" w:rsidRPr="00F30C99">
              <w:t>the members of the staff of the Ombudsman</w:t>
            </w:r>
            <w:r w:rsidR="00A87A0C" w:rsidRPr="00F30C99">
              <w:t>;</w:t>
            </w:r>
          </w:p>
          <w:p w:rsidR="008570C8" w:rsidRPr="00F30C99" w:rsidRDefault="000763D7" w:rsidP="00AE1622">
            <w:pPr>
              <w:pStyle w:val="Tablea"/>
            </w:pPr>
            <w:r w:rsidRPr="00F30C99">
              <w:t xml:space="preserve">(b) the </w:t>
            </w:r>
            <w:r w:rsidR="005B7CAF" w:rsidRPr="00F30C99">
              <w:t xml:space="preserve">agency made up of the </w:t>
            </w:r>
            <w:r w:rsidRPr="00F30C99">
              <w:t xml:space="preserve">Independent Commissioner Against Corruption </w:t>
            </w:r>
            <w:r w:rsidR="00CE36EA" w:rsidRPr="00F30C99">
              <w:t>appoint</w:t>
            </w:r>
            <w:r w:rsidR="002B4022" w:rsidRPr="00F30C99">
              <w:t>ed</w:t>
            </w:r>
            <w:r w:rsidR="006C502F" w:rsidRPr="00F30C99">
              <w:t xml:space="preserve"> under</w:t>
            </w:r>
            <w:r w:rsidR="009B2062" w:rsidRPr="00F30C99">
              <w:t xml:space="preserve"> t</w:t>
            </w:r>
            <w:r w:rsidRPr="00F30C99">
              <w:t xml:space="preserve">he </w:t>
            </w:r>
            <w:r w:rsidRPr="00F30C99">
              <w:rPr>
                <w:i/>
              </w:rPr>
              <w:t>Independent Commissioner Against Corruption Act 2012</w:t>
            </w:r>
            <w:r w:rsidRPr="00F30C99">
              <w:t xml:space="preserve"> (SA)</w:t>
            </w:r>
            <w:r w:rsidR="00AE1622" w:rsidRPr="00F30C99">
              <w:t xml:space="preserve"> </w:t>
            </w:r>
            <w:r w:rsidR="006C502F" w:rsidRPr="00F30C99">
              <w:t>and the members of the staff of the Commissioner</w:t>
            </w:r>
          </w:p>
        </w:tc>
      </w:tr>
      <w:tr w:rsidR="000763D7" w:rsidRPr="00F30C99" w:rsidTr="004E3418">
        <w:tc>
          <w:tcPr>
            <w:tcW w:w="429" w:type="pct"/>
            <w:tcBorders>
              <w:bottom w:val="single" w:sz="2" w:space="0" w:color="auto"/>
            </w:tcBorders>
            <w:shd w:val="clear" w:color="auto" w:fill="auto"/>
          </w:tcPr>
          <w:p w:rsidR="000763D7" w:rsidRPr="00F30C99" w:rsidRDefault="000763D7" w:rsidP="000763D7">
            <w:pPr>
              <w:pStyle w:val="Tabletext"/>
            </w:pPr>
            <w:r w:rsidRPr="00F30C99">
              <w:t>6</w:t>
            </w:r>
          </w:p>
        </w:tc>
        <w:tc>
          <w:tcPr>
            <w:tcW w:w="1273" w:type="pct"/>
            <w:tcBorders>
              <w:bottom w:val="single" w:sz="2" w:space="0" w:color="auto"/>
            </w:tcBorders>
            <w:shd w:val="clear" w:color="auto" w:fill="auto"/>
          </w:tcPr>
          <w:p w:rsidR="000763D7" w:rsidRPr="00F30C99" w:rsidRDefault="000763D7" w:rsidP="000763D7">
            <w:pPr>
              <w:pStyle w:val="Tabletext"/>
            </w:pPr>
            <w:r w:rsidRPr="00F30C99">
              <w:t>Tasmania</w:t>
            </w:r>
          </w:p>
        </w:tc>
        <w:tc>
          <w:tcPr>
            <w:tcW w:w="3298" w:type="pct"/>
            <w:tcBorders>
              <w:bottom w:val="single" w:sz="2" w:space="0" w:color="auto"/>
            </w:tcBorders>
            <w:shd w:val="clear" w:color="auto" w:fill="auto"/>
          </w:tcPr>
          <w:p w:rsidR="000763D7" w:rsidRPr="00F30C99" w:rsidRDefault="00BC2843" w:rsidP="000763D7">
            <w:pPr>
              <w:pStyle w:val="Tabletext"/>
            </w:pPr>
            <w:r w:rsidRPr="00F30C99">
              <w:t xml:space="preserve">each of </w:t>
            </w:r>
            <w:r w:rsidR="000763D7" w:rsidRPr="00F30C99">
              <w:t>the following:</w:t>
            </w:r>
          </w:p>
          <w:p w:rsidR="000763D7" w:rsidRPr="00F30C99" w:rsidRDefault="000763D7" w:rsidP="000763D7">
            <w:pPr>
              <w:pStyle w:val="Tablea"/>
            </w:pPr>
            <w:r w:rsidRPr="00F30C99">
              <w:t xml:space="preserve">(a) the </w:t>
            </w:r>
            <w:r w:rsidR="00513D85" w:rsidRPr="00F30C99">
              <w:t xml:space="preserve">agency made up of the </w:t>
            </w:r>
            <w:r w:rsidRPr="00F30C99">
              <w:t xml:space="preserve">Ombudsman </w:t>
            </w:r>
            <w:r w:rsidR="00DA4447" w:rsidRPr="00F30C99">
              <w:t xml:space="preserve">appointed </w:t>
            </w:r>
            <w:r w:rsidRPr="00F30C99">
              <w:t xml:space="preserve">under the </w:t>
            </w:r>
            <w:r w:rsidRPr="00F30C99">
              <w:rPr>
                <w:i/>
              </w:rPr>
              <w:t>Ombudsman Act 1978</w:t>
            </w:r>
            <w:r w:rsidRPr="00F30C99">
              <w:t xml:space="preserve"> (Tas</w:t>
            </w:r>
            <w:r w:rsidR="00ED0D13" w:rsidRPr="00F30C99">
              <w:t>.</w:t>
            </w:r>
            <w:r w:rsidRPr="00F30C99">
              <w:t>)</w:t>
            </w:r>
            <w:r w:rsidR="00513D85" w:rsidRPr="00F30C99">
              <w:t xml:space="preserve"> and the members of the staff of the Ombudsman</w:t>
            </w:r>
            <w:r w:rsidR="00F45576" w:rsidRPr="00F30C99">
              <w:t>;</w:t>
            </w:r>
          </w:p>
          <w:p w:rsidR="000763D7" w:rsidRPr="00F30C99" w:rsidRDefault="000763D7" w:rsidP="009B2062">
            <w:pPr>
              <w:pStyle w:val="Tablea"/>
            </w:pPr>
            <w:r w:rsidRPr="00F30C99">
              <w:t xml:space="preserve">(b) the Integrity Commission established by the </w:t>
            </w:r>
            <w:r w:rsidRPr="00F30C99">
              <w:rPr>
                <w:i/>
              </w:rPr>
              <w:t>Integrity Commission Act 2009</w:t>
            </w:r>
            <w:r w:rsidRPr="00F30C99">
              <w:t xml:space="preserve"> (Tas</w:t>
            </w:r>
            <w:r w:rsidR="00ED0D13" w:rsidRPr="00F30C99">
              <w:t>.</w:t>
            </w:r>
            <w:r w:rsidRPr="00F30C99">
              <w:t>)</w:t>
            </w:r>
          </w:p>
        </w:tc>
      </w:tr>
      <w:tr w:rsidR="000763D7" w:rsidRPr="00F30C99" w:rsidTr="004E3418">
        <w:tc>
          <w:tcPr>
            <w:tcW w:w="429" w:type="pct"/>
            <w:tcBorders>
              <w:top w:val="single" w:sz="2" w:space="0" w:color="auto"/>
              <w:bottom w:val="single" w:sz="12" w:space="0" w:color="auto"/>
            </w:tcBorders>
            <w:shd w:val="clear" w:color="auto" w:fill="auto"/>
          </w:tcPr>
          <w:p w:rsidR="000763D7" w:rsidRPr="00F30C99" w:rsidRDefault="000763D7" w:rsidP="000763D7">
            <w:pPr>
              <w:pStyle w:val="Tabletext"/>
            </w:pPr>
            <w:r w:rsidRPr="00F30C99">
              <w:t>7</w:t>
            </w:r>
          </w:p>
        </w:tc>
        <w:tc>
          <w:tcPr>
            <w:tcW w:w="1273" w:type="pct"/>
            <w:tcBorders>
              <w:top w:val="single" w:sz="2" w:space="0" w:color="auto"/>
              <w:bottom w:val="single" w:sz="12" w:space="0" w:color="auto"/>
            </w:tcBorders>
            <w:shd w:val="clear" w:color="auto" w:fill="auto"/>
          </w:tcPr>
          <w:p w:rsidR="000763D7" w:rsidRPr="00F30C99" w:rsidRDefault="000763D7" w:rsidP="000763D7">
            <w:pPr>
              <w:pStyle w:val="Tabletext"/>
            </w:pPr>
            <w:r w:rsidRPr="00F30C99">
              <w:t>Northern Territory</w:t>
            </w:r>
          </w:p>
        </w:tc>
        <w:tc>
          <w:tcPr>
            <w:tcW w:w="3298" w:type="pct"/>
            <w:tcBorders>
              <w:top w:val="single" w:sz="2" w:space="0" w:color="auto"/>
              <w:bottom w:val="single" w:sz="12" w:space="0" w:color="auto"/>
            </w:tcBorders>
            <w:shd w:val="clear" w:color="auto" w:fill="auto"/>
          </w:tcPr>
          <w:p w:rsidR="000763D7" w:rsidRPr="00F30C99" w:rsidRDefault="000763D7" w:rsidP="00AE1622">
            <w:pPr>
              <w:pStyle w:val="Tabletext"/>
            </w:pPr>
            <w:r w:rsidRPr="00F30C99">
              <w:t xml:space="preserve">the </w:t>
            </w:r>
            <w:r w:rsidR="00CE36EA" w:rsidRPr="00F30C99">
              <w:t xml:space="preserve">agency made up of the </w:t>
            </w:r>
            <w:r w:rsidRPr="00F30C99">
              <w:t xml:space="preserve">Ombudsman </w:t>
            </w:r>
            <w:r w:rsidR="00CE36EA" w:rsidRPr="00F30C99">
              <w:t xml:space="preserve">appointed under </w:t>
            </w:r>
            <w:r w:rsidRPr="00F30C99">
              <w:t xml:space="preserve">the </w:t>
            </w:r>
            <w:r w:rsidRPr="00F30C99">
              <w:rPr>
                <w:i/>
              </w:rPr>
              <w:t>Ombudsman Act</w:t>
            </w:r>
            <w:r w:rsidR="00EE10E9" w:rsidRPr="00F30C99">
              <w:t xml:space="preserve"> </w:t>
            </w:r>
            <w:r w:rsidRPr="00F30C99">
              <w:t>(NT)</w:t>
            </w:r>
            <w:r w:rsidR="00CE36EA" w:rsidRPr="00F30C99">
              <w:t xml:space="preserve"> and the officers of the Ombudsman’s Office</w:t>
            </w:r>
          </w:p>
        </w:tc>
      </w:tr>
    </w:tbl>
    <w:p w:rsidR="00567A3A" w:rsidRPr="00F30C99" w:rsidRDefault="00567A3A" w:rsidP="00567A3A">
      <w:pPr>
        <w:pStyle w:val="ActHead5"/>
      </w:pPr>
      <w:bookmarkStart w:id="8" w:name="_Toc92895804"/>
      <w:r w:rsidRPr="002B5C75">
        <w:rPr>
          <w:rStyle w:val="CharSectno"/>
        </w:rPr>
        <w:t>6A</w:t>
      </w:r>
      <w:r w:rsidRPr="00F30C99">
        <w:t xml:space="preserve">  Law enforcement agencies</w:t>
      </w:r>
      <w:bookmarkEnd w:id="8"/>
    </w:p>
    <w:p w:rsidR="00567A3A" w:rsidRPr="00F30C99" w:rsidRDefault="00567A3A" w:rsidP="00567A3A">
      <w:pPr>
        <w:pStyle w:val="subsection"/>
      </w:pPr>
      <w:r w:rsidRPr="00F30C99">
        <w:tab/>
      </w:r>
      <w:r w:rsidR="00D2190C" w:rsidRPr="00F30C99">
        <w:t>(1)</w:t>
      </w:r>
      <w:r w:rsidRPr="00F30C99">
        <w:tab/>
      </w:r>
      <w:r w:rsidR="00D2190C" w:rsidRPr="00F30C99">
        <w:t>For</w:t>
      </w:r>
      <w:r w:rsidRPr="00F30C99">
        <w:t xml:space="preserve"> the purposes of paragraph (d) of the definition of </w:t>
      </w:r>
      <w:r w:rsidRPr="00F30C99">
        <w:rPr>
          <w:b/>
          <w:i/>
        </w:rPr>
        <w:t>law enforcement agency</w:t>
      </w:r>
      <w:r w:rsidRPr="00F30C99">
        <w:t xml:space="preserve"> in subsection 5(1) of the Act, each of the following Commonwealth government agencies is prescribed:</w:t>
      </w:r>
    </w:p>
    <w:p w:rsidR="00567A3A" w:rsidRPr="00F30C99" w:rsidRDefault="00567A3A" w:rsidP="00567A3A">
      <w:pPr>
        <w:pStyle w:val="paragraph"/>
      </w:pPr>
      <w:r w:rsidRPr="00F30C99">
        <w:tab/>
        <w:t>(a)</w:t>
      </w:r>
      <w:r w:rsidRPr="00F30C99">
        <w:tab/>
        <w:t>the Australian Competition and Consumer Commission;</w:t>
      </w:r>
    </w:p>
    <w:p w:rsidR="00567A3A" w:rsidRPr="00F30C99" w:rsidRDefault="00567A3A" w:rsidP="00567A3A">
      <w:pPr>
        <w:pStyle w:val="paragraph"/>
      </w:pPr>
      <w:r w:rsidRPr="00F30C99">
        <w:tab/>
        <w:t>(b)</w:t>
      </w:r>
      <w:r w:rsidRPr="00F30C99">
        <w:tab/>
        <w:t>the Australian Prudential Regulation Authority;</w:t>
      </w:r>
    </w:p>
    <w:p w:rsidR="00567A3A" w:rsidRPr="00F30C99" w:rsidRDefault="00567A3A" w:rsidP="00567A3A">
      <w:pPr>
        <w:pStyle w:val="paragraph"/>
      </w:pPr>
      <w:r w:rsidRPr="00F30C99">
        <w:tab/>
        <w:t>(c)</w:t>
      </w:r>
      <w:r w:rsidRPr="00F30C99">
        <w:tab/>
        <w:t>the Australian Securities and Investments Commission;</w:t>
      </w:r>
    </w:p>
    <w:p w:rsidR="00567A3A" w:rsidRPr="00F30C99" w:rsidRDefault="00567A3A" w:rsidP="00567A3A">
      <w:pPr>
        <w:pStyle w:val="paragraph"/>
      </w:pPr>
      <w:r w:rsidRPr="00F30C99">
        <w:tab/>
        <w:t>(d)</w:t>
      </w:r>
      <w:r w:rsidRPr="00F30C99">
        <w:tab/>
        <w:t>the Australian Taxation Office</w:t>
      </w:r>
      <w:r w:rsidR="00D2190C" w:rsidRPr="00F30C99">
        <w:t>;</w:t>
      </w:r>
    </w:p>
    <w:p w:rsidR="00D2190C" w:rsidRPr="00F30C99" w:rsidRDefault="00D2190C" w:rsidP="00D2190C">
      <w:pPr>
        <w:pStyle w:val="paragraph"/>
      </w:pPr>
      <w:r w:rsidRPr="00F30C99">
        <w:tab/>
        <w:t>(e)</w:t>
      </w:r>
      <w:r w:rsidRPr="00F30C99">
        <w:tab/>
        <w:t>the Office of the Special Investigator.</w:t>
      </w:r>
    </w:p>
    <w:p w:rsidR="00D2190C" w:rsidRPr="00F30C99" w:rsidRDefault="00D2190C" w:rsidP="00D2190C">
      <w:pPr>
        <w:pStyle w:val="subsection"/>
      </w:pPr>
      <w:r w:rsidRPr="00F30C99">
        <w:tab/>
        <w:t>(2)</w:t>
      </w:r>
      <w:r w:rsidRPr="00F30C99">
        <w:tab/>
        <w:t>This section is repealed at the start of 1 October 2024.</w:t>
      </w:r>
    </w:p>
    <w:p w:rsidR="004E0F3A" w:rsidRPr="00F30C99" w:rsidRDefault="00D37EB8" w:rsidP="004E0F3A">
      <w:pPr>
        <w:pStyle w:val="ActHead5"/>
      </w:pPr>
      <w:bookmarkStart w:id="9" w:name="_Toc92895805"/>
      <w:r w:rsidRPr="002B5C75">
        <w:rPr>
          <w:rStyle w:val="CharSectno"/>
        </w:rPr>
        <w:t>7</w:t>
      </w:r>
      <w:r w:rsidR="004E0F3A" w:rsidRPr="00F30C99">
        <w:t xml:space="preserve">  Staff members</w:t>
      </w:r>
      <w:r w:rsidR="00B931F7" w:rsidRPr="00F30C99">
        <w:t xml:space="preserve"> of the Agriculture Department</w:t>
      </w:r>
      <w:bookmarkEnd w:id="9"/>
    </w:p>
    <w:p w:rsidR="004E0F3A" w:rsidRPr="00F30C99" w:rsidRDefault="004E0F3A" w:rsidP="004E0F3A">
      <w:pPr>
        <w:pStyle w:val="subsection"/>
      </w:pPr>
      <w:r w:rsidRPr="00F30C99">
        <w:tab/>
      </w:r>
      <w:r w:rsidRPr="00F30C99">
        <w:tab/>
        <w:t xml:space="preserve">For </w:t>
      </w:r>
      <w:r w:rsidR="00B931F7" w:rsidRPr="00F30C99">
        <w:t xml:space="preserve">the purposes of </w:t>
      </w:r>
      <w:r w:rsidR="000622B0" w:rsidRPr="00F30C99">
        <w:t>subsection</w:t>
      </w:r>
      <w:r w:rsidR="00173C64" w:rsidRPr="00F30C99">
        <w:t> </w:t>
      </w:r>
      <w:r w:rsidR="000622B0" w:rsidRPr="00F30C99">
        <w:t>10(2E)</w:t>
      </w:r>
      <w:r w:rsidRPr="00F30C99">
        <w:t xml:space="preserve"> of the Act, the following </w:t>
      </w:r>
      <w:r w:rsidR="00A542B5" w:rsidRPr="00F30C99">
        <w:t xml:space="preserve">classes of </w:t>
      </w:r>
      <w:r w:rsidRPr="00F30C99">
        <w:t xml:space="preserve">persons are </w:t>
      </w:r>
      <w:r w:rsidR="00A542B5" w:rsidRPr="00F30C99">
        <w:t>prescribed</w:t>
      </w:r>
      <w:r w:rsidRPr="00F30C99">
        <w:t>:</w:t>
      </w:r>
    </w:p>
    <w:p w:rsidR="004E0F3A" w:rsidRPr="00F30C99" w:rsidRDefault="004E0F3A" w:rsidP="004E0F3A">
      <w:pPr>
        <w:pStyle w:val="paragraph"/>
      </w:pPr>
      <w:r w:rsidRPr="00F30C99">
        <w:tab/>
        <w:t>(a)</w:t>
      </w:r>
      <w:r w:rsidRPr="00F30C99">
        <w:tab/>
        <w:t>persons who hold, or are acting in, the position of Regional Manager of the Agriculture Department;</w:t>
      </w:r>
    </w:p>
    <w:p w:rsidR="004E0F3A" w:rsidRPr="00F30C99" w:rsidRDefault="004E0F3A" w:rsidP="004E0F3A">
      <w:pPr>
        <w:pStyle w:val="paragraph"/>
      </w:pPr>
      <w:r w:rsidRPr="00F30C99">
        <w:tab/>
        <w:t>(b)</w:t>
      </w:r>
      <w:r w:rsidRPr="00F30C99">
        <w:tab/>
        <w:t>members of staff of the Agriculture Department whose duties include undertaking assessment, clearance or control of vessels or cargo imported into Australia;</w:t>
      </w:r>
    </w:p>
    <w:p w:rsidR="004E0F3A" w:rsidRPr="00F30C99" w:rsidRDefault="004E0F3A" w:rsidP="004E0F3A">
      <w:pPr>
        <w:pStyle w:val="paragraph"/>
      </w:pPr>
      <w:r w:rsidRPr="00F30C99">
        <w:lastRenderedPageBreak/>
        <w:tab/>
        <w:t>(c)</w:t>
      </w:r>
      <w:r w:rsidRPr="00F30C99">
        <w:tab/>
        <w:t>members of staff of the Agriculture Department who have access to the Integrated Cargo System.</w:t>
      </w:r>
    </w:p>
    <w:p w:rsidR="00567A3A" w:rsidRPr="00F30C99" w:rsidRDefault="00567A3A" w:rsidP="00567A3A">
      <w:pPr>
        <w:pStyle w:val="ActHead5"/>
      </w:pPr>
      <w:bookmarkStart w:id="10" w:name="_Toc92895806"/>
      <w:r w:rsidRPr="002B5C75">
        <w:rPr>
          <w:rStyle w:val="CharSectno"/>
        </w:rPr>
        <w:t>7A</w:t>
      </w:r>
      <w:r w:rsidRPr="00F30C99">
        <w:t xml:space="preserve">  Staff members and secondees of prescribed law enforcement agencies</w:t>
      </w:r>
      <w:bookmarkEnd w:id="10"/>
    </w:p>
    <w:p w:rsidR="00567A3A" w:rsidRPr="00F30C99" w:rsidRDefault="00567A3A" w:rsidP="00567A3A">
      <w:pPr>
        <w:pStyle w:val="subsection"/>
      </w:pPr>
      <w:r w:rsidRPr="00F30C99">
        <w:tab/>
        <w:t>(1)</w:t>
      </w:r>
      <w:r w:rsidRPr="00F30C99">
        <w:tab/>
        <w:t>For the purposes of subsection 10(4) of the Act, a person in the class of persons mentioned in column 2 of an item of the table in subsection (3) of this section is a staff member of the Commonwealth government agency mentioned in column 1 of the item.</w:t>
      </w:r>
    </w:p>
    <w:p w:rsidR="00567A3A" w:rsidRPr="00F30C99" w:rsidRDefault="00567A3A" w:rsidP="00567A3A">
      <w:pPr>
        <w:pStyle w:val="subsection"/>
      </w:pPr>
      <w:r w:rsidRPr="00F30C99">
        <w:tab/>
        <w:t>(2)</w:t>
      </w:r>
      <w:r w:rsidRPr="00F30C99">
        <w:tab/>
        <w:t>For the purposes of paragraph 10(5)(d) of the Act, a person mentioned in column 3 of an item of the table in subsection (3) of this section is a secondee of the Commonwealth government agency mentioned in column 1 of the item.</w:t>
      </w:r>
    </w:p>
    <w:p w:rsidR="00567A3A" w:rsidRPr="00F30C99" w:rsidRDefault="00567A3A" w:rsidP="00567A3A">
      <w:pPr>
        <w:pStyle w:val="subsection"/>
      </w:pPr>
      <w:r w:rsidRPr="00F30C99">
        <w:tab/>
        <w:t>(3)</w:t>
      </w:r>
      <w:r w:rsidRPr="00F30C99">
        <w:tab/>
        <w:t>The following table has effect for the purposes of subsections (1) and (2).</w:t>
      </w:r>
    </w:p>
    <w:p w:rsidR="00567A3A" w:rsidRPr="00F30C99" w:rsidRDefault="00567A3A" w:rsidP="00567A3A">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1"/>
        <w:gridCol w:w="2600"/>
        <w:gridCol w:w="2600"/>
        <w:gridCol w:w="2598"/>
      </w:tblGrid>
      <w:tr w:rsidR="00567A3A" w:rsidRPr="00F30C99" w:rsidTr="004E3418">
        <w:trPr>
          <w:tblHeader/>
        </w:trPr>
        <w:tc>
          <w:tcPr>
            <w:tcW w:w="5000" w:type="pct"/>
            <w:gridSpan w:val="4"/>
            <w:tcBorders>
              <w:top w:val="single" w:sz="12" w:space="0" w:color="auto"/>
              <w:bottom w:val="single" w:sz="6" w:space="0" w:color="auto"/>
            </w:tcBorders>
            <w:shd w:val="clear" w:color="auto" w:fill="auto"/>
          </w:tcPr>
          <w:p w:rsidR="00567A3A" w:rsidRPr="00F30C99" w:rsidRDefault="00567A3A" w:rsidP="00567A3A">
            <w:pPr>
              <w:pStyle w:val="TableHeading"/>
            </w:pPr>
            <w:r w:rsidRPr="00F30C99">
              <w:t>Staff members and secondees of prescribed law enforcement agencies</w:t>
            </w:r>
          </w:p>
        </w:tc>
      </w:tr>
      <w:tr w:rsidR="00567A3A" w:rsidRPr="00F30C99" w:rsidTr="004E3418">
        <w:trPr>
          <w:tblHeader/>
        </w:trPr>
        <w:tc>
          <w:tcPr>
            <w:tcW w:w="429" w:type="pct"/>
            <w:tcBorders>
              <w:top w:val="single" w:sz="6" w:space="0" w:color="auto"/>
              <w:bottom w:val="single" w:sz="12" w:space="0" w:color="auto"/>
            </w:tcBorders>
            <w:shd w:val="clear" w:color="auto" w:fill="auto"/>
          </w:tcPr>
          <w:p w:rsidR="00567A3A" w:rsidRPr="00F30C99" w:rsidRDefault="00567A3A" w:rsidP="00567A3A">
            <w:pPr>
              <w:pStyle w:val="TableHeading"/>
            </w:pPr>
            <w:r w:rsidRPr="00F30C99">
              <w:t>Item</w:t>
            </w:r>
          </w:p>
        </w:tc>
        <w:tc>
          <w:tcPr>
            <w:tcW w:w="1524" w:type="pct"/>
            <w:tcBorders>
              <w:top w:val="single" w:sz="6" w:space="0" w:color="auto"/>
              <w:bottom w:val="single" w:sz="12" w:space="0" w:color="auto"/>
            </w:tcBorders>
            <w:shd w:val="clear" w:color="auto" w:fill="auto"/>
          </w:tcPr>
          <w:p w:rsidR="00567A3A" w:rsidRPr="00F30C99" w:rsidRDefault="00567A3A" w:rsidP="00567A3A">
            <w:pPr>
              <w:pStyle w:val="TableHeading"/>
            </w:pPr>
            <w:r w:rsidRPr="00F30C99">
              <w:t>Column 1</w:t>
            </w:r>
          </w:p>
          <w:p w:rsidR="00567A3A" w:rsidRPr="00F30C99" w:rsidRDefault="00567A3A" w:rsidP="00567A3A">
            <w:pPr>
              <w:pStyle w:val="TableHeading"/>
            </w:pPr>
            <w:r w:rsidRPr="00F30C99">
              <w:t>Commonwealth government agency</w:t>
            </w:r>
          </w:p>
        </w:tc>
        <w:tc>
          <w:tcPr>
            <w:tcW w:w="1524" w:type="pct"/>
            <w:tcBorders>
              <w:top w:val="single" w:sz="6" w:space="0" w:color="auto"/>
              <w:bottom w:val="single" w:sz="12" w:space="0" w:color="auto"/>
            </w:tcBorders>
            <w:shd w:val="clear" w:color="auto" w:fill="auto"/>
          </w:tcPr>
          <w:p w:rsidR="00567A3A" w:rsidRPr="00F30C99" w:rsidRDefault="00567A3A" w:rsidP="00567A3A">
            <w:pPr>
              <w:pStyle w:val="TableHeading"/>
            </w:pPr>
            <w:r w:rsidRPr="00F30C99">
              <w:t>Column 2</w:t>
            </w:r>
          </w:p>
          <w:p w:rsidR="00567A3A" w:rsidRPr="00F30C99" w:rsidRDefault="00567A3A" w:rsidP="00567A3A">
            <w:pPr>
              <w:pStyle w:val="TableHeading"/>
            </w:pPr>
            <w:r w:rsidRPr="00F30C99">
              <w:t>Class of persons who are staff members</w:t>
            </w:r>
          </w:p>
        </w:tc>
        <w:tc>
          <w:tcPr>
            <w:tcW w:w="1524" w:type="pct"/>
            <w:tcBorders>
              <w:top w:val="single" w:sz="6" w:space="0" w:color="auto"/>
              <w:bottom w:val="single" w:sz="12" w:space="0" w:color="auto"/>
            </w:tcBorders>
            <w:shd w:val="clear" w:color="auto" w:fill="auto"/>
          </w:tcPr>
          <w:p w:rsidR="00567A3A" w:rsidRPr="00F30C99" w:rsidRDefault="00567A3A" w:rsidP="00567A3A">
            <w:pPr>
              <w:pStyle w:val="TableHeading"/>
            </w:pPr>
            <w:r w:rsidRPr="00F30C99">
              <w:t>Column 3</w:t>
            </w:r>
          </w:p>
          <w:p w:rsidR="00567A3A" w:rsidRPr="00F30C99" w:rsidRDefault="00567A3A" w:rsidP="00567A3A">
            <w:pPr>
              <w:pStyle w:val="TableHeading"/>
            </w:pPr>
            <w:r w:rsidRPr="00F30C99">
              <w:t>Persons who are secondees</w:t>
            </w:r>
          </w:p>
        </w:tc>
      </w:tr>
      <w:tr w:rsidR="00567A3A" w:rsidRPr="00F30C99" w:rsidTr="004E3418">
        <w:tc>
          <w:tcPr>
            <w:tcW w:w="429" w:type="pct"/>
            <w:tcBorders>
              <w:top w:val="single" w:sz="12" w:space="0" w:color="auto"/>
            </w:tcBorders>
            <w:shd w:val="clear" w:color="auto" w:fill="auto"/>
          </w:tcPr>
          <w:p w:rsidR="00567A3A" w:rsidRPr="00F30C99" w:rsidRDefault="00567A3A" w:rsidP="00567A3A">
            <w:pPr>
              <w:pStyle w:val="Tabletext"/>
            </w:pPr>
            <w:r w:rsidRPr="00F30C99">
              <w:t>1</w:t>
            </w:r>
          </w:p>
        </w:tc>
        <w:tc>
          <w:tcPr>
            <w:tcW w:w="1524" w:type="pct"/>
            <w:tcBorders>
              <w:top w:val="single" w:sz="12" w:space="0" w:color="auto"/>
            </w:tcBorders>
            <w:shd w:val="clear" w:color="auto" w:fill="auto"/>
          </w:tcPr>
          <w:p w:rsidR="00567A3A" w:rsidRPr="00F30C99" w:rsidRDefault="00567A3A" w:rsidP="00567A3A">
            <w:pPr>
              <w:pStyle w:val="Tabletext"/>
            </w:pPr>
            <w:r w:rsidRPr="00F30C99">
              <w:t>Australian Competition and Consumer Commission</w:t>
            </w:r>
          </w:p>
        </w:tc>
        <w:tc>
          <w:tcPr>
            <w:tcW w:w="1524" w:type="pct"/>
            <w:tcBorders>
              <w:top w:val="single" w:sz="12" w:space="0" w:color="auto"/>
            </w:tcBorders>
            <w:shd w:val="clear" w:color="auto" w:fill="auto"/>
          </w:tcPr>
          <w:p w:rsidR="00567A3A" w:rsidRPr="00F30C99" w:rsidRDefault="00567A3A" w:rsidP="00567A3A">
            <w:pPr>
              <w:pStyle w:val="Tabletext"/>
            </w:pPr>
            <w:r w:rsidRPr="00F30C99">
              <w:t>Persons who are any of the following:</w:t>
            </w:r>
          </w:p>
          <w:p w:rsidR="00567A3A" w:rsidRPr="00F30C99" w:rsidRDefault="00567A3A" w:rsidP="00567A3A">
            <w:pPr>
              <w:pStyle w:val="Tablea"/>
            </w:pPr>
            <w:r w:rsidRPr="00F30C99">
              <w:t xml:space="preserve">(a) the Chairperson, or another member of the Commission, appointed under section 7 of the </w:t>
            </w:r>
            <w:r w:rsidRPr="00F30C99">
              <w:rPr>
                <w:i/>
              </w:rPr>
              <w:t>Competition and Consumer Act 2010</w:t>
            </w:r>
            <w:r w:rsidRPr="00F30C99">
              <w:t>;</w:t>
            </w:r>
          </w:p>
          <w:p w:rsidR="00567A3A" w:rsidRPr="00F30C99" w:rsidRDefault="00567A3A" w:rsidP="00567A3A">
            <w:pPr>
              <w:pStyle w:val="Tablea"/>
            </w:pPr>
            <w:r w:rsidRPr="00F30C99">
              <w:t>(b) an associate member of the Commission appointed under section 8A of that Act;</w:t>
            </w:r>
          </w:p>
          <w:p w:rsidR="00567A3A" w:rsidRPr="00F30C99" w:rsidRDefault="00567A3A" w:rsidP="00567A3A">
            <w:pPr>
              <w:pStyle w:val="Tablea"/>
            </w:pPr>
            <w:r w:rsidRPr="00F30C99">
              <w:t>(c) a Deputy Chairperson of the Commission appointed under section 10 of that Act;</w:t>
            </w:r>
          </w:p>
          <w:p w:rsidR="00567A3A" w:rsidRPr="00F30C99" w:rsidRDefault="00567A3A" w:rsidP="00567A3A">
            <w:pPr>
              <w:pStyle w:val="Tablea"/>
            </w:pPr>
            <w:r w:rsidRPr="00F30C99">
              <w:t>(d) a person referred to in subsection 27(1) of that Act;</w:t>
            </w:r>
          </w:p>
          <w:p w:rsidR="00567A3A" w:rsidRPr="00F30C99" w:rsidRDefault="00567A3A" w:rsidP="00567A3A">
            <w:pPr>
              <w:pStyle w:val="Tablea"/>
            </w:pPr>
            <w:r w:rsidRPr="00F30C99">
              <w:t>(e) a person engaged under section 27A of that Act;</w:t>
            </w:r>
          </w:p>
          <w:p w:rsidR="00567A3A" w:rsidRPr="00F30C99" w:rsidRDefault="00567A3A" w:rsidP="00567A3A">
            <w:pPr>
              <w:pStyle w:val="Tablea"/>
            </w:pPr>
            <w:r w:rsidRPr="00F30C99">
              <w:t xml:space="preserve">(f) an officer or employee of some other body or organisation (whether located within or outside Australia) whose services are made available, by or on behalf of the other body or organisation, to the Commission in </w:t>
            </w:r>
            <w:r w:rsidRPr="00F30C99">
              <w:lastRenderedPageBreak/>
              <w:t>connection with the performance or exercise of any of the Commission’s functions or powers</w:t>
            </w:r>
          </w:p>
        </w:tc>
        <w:tc>
          <w:tcPr>
            <w:tcW w:w="1524" w:type="pct"/>
            <w:tcBorders>
              <w:top w:val="single" w:sz="12" w:space="0" w:color="auto"/>
            </w:tcBorders>
            <w:shd w:val="clear" w:color="auto" w:fill="auto"/>
          </w:tcPr>
          <w:p w:rsidR="00567A3A" w:rsidRPr="00F30C99" w:rsidRDefault="00567A3A" w:rsidP="00567A3A">
            <w:pPr>
              <w:pStyle w:val="Tabletext"/>
            </w:pPr>
            <w:r w:rsidRPr="00F30C99">
              <w:lastRenderedPageBreak/>
              <w:t>A person referred to in paragraph (f) of column 2 of this item</w:t>
            </w:r>
          </w:p>
        </w:tc>
      </w:tr>
      <w:tr w:rsidR="00567A3A" w:rsidRPr="00F30C99" w:rsidTr="004E3418">
        <w:tc>
          <w:tcPr>
            <w:tcW w:w="429" w:type="pct"/>
            <w:shd w:val="clear" w:color="auto" w:fill="auto"/>
          </w:tcPr>
          <w:p w:rsidR="00567A3A" w:rsidRPr="00F30C99" w:rsidRDefault="00567A3A" w:rsidP="00567A3A">
            <w:pPr>
              <w:pStyle w:val="Tabletext"/>
            </w:pPr>
            <w:r w:rsidRPr="00F30C99">
              <w:t>2</w:t>
            </w:r>
          </w:p>
        </w:tc>
        <w:tc>
          <w:tcPr>
            <w:tcW w:w="1524" w:type="pct"/>
            <w:shd w:val="clear" w:color="auto" w:fill="auto"/>
          </w:tcPr>
          <w:p w:rsidR="00567A3A" w:rsidRPr="00F30C99" w:rsidRDefault="00567A3A" w:rsidP="00567A3A">
            <w:pPr>
              <w:pStyle w:val="Tabletext"/>
            </w:pPr>
            <w:r w:rsidRPr="00F30C99">
              <w:t>Australian Prudential Regulation Authority</w:t>
            </w:r>
          </w:p>
        </w:tc>
        <w:tc>
          <w:tcPr>
            <w:tcW w:w="1524" w:type="pct"/>
            <w:shd w:val="clear" w:color="auto" w:fill="auto"/>
          </w:tcPr>
          <w:p w:rsidR="00567A3A" w:rsidRPr="00F30C99" w:rsidRDefault="00567A3A" w:rsidP="00567A3A">
            <w:pPr>
              <w:pStyle w:val="Tabletext"/>
            </w:pPr>
            <w:r w:rsidRPr="00F30C99">
              <w:t>Persons who are any of the following:</w:t>
            </w:r>
          </w:p>
          <w:p w:rsidR="00567A3A" w:rsidRPr="00F30C99" w:rsidRDefault="00567A3A" w:rsidP="00567A3A">
            <w:pPr>
              <w:pStyle w:val="Tablea"/>
            </w:pPr>
            <w:r w:rsidRPr="00F30C99">
              <w:t xml:space="preserve">(a) an APRA member within the meaning of the </w:t>
            </w:r>
            <w:r w:rsidRPr="00F30C99">
              <w:rPr>
                <w:i/>
              </w:rPr>
              <w:t>Australian Prudential Regulation Authority Act 1998</w:t>
            </w:r>
            <w:r w:rsidRPr="00F30C99">
              <w:t>;</w:t>
            </w:r>
          </w:p>
          <w:p w:rsidR="00567A3A" w:rsidRPr="00F30C99" w:rsidRDefault="00567A3A" w:rsidP="00567A3A">
            <w:pPr>
              <w:pStyle w:val="Tablea"/>
            </w:pPr>
            <w:r w:rsidRPr="00F30C99">
              <w:t>(b) an APRA staff member within the meaning of that Act;</w:t>
            </w:r>
          </w:p>
          <w:p w:rsidR="00567A3A" w:rsidRPr="00F30C99" w:rsidRDefault="00567A3A" w:rsidP="00567A3A">
            <w:pPr>
              <w:pStyle w:val="Tablea"/>
            </w:pPr>
            <w:r w:rsidRPr="00F30C99">
              <w:t>(c) an officer or employee (other than an officer or employee covered by paragraph (b)) of some other body or organisation (whether located within or outside Australia) whose services are made available, by or on behalf of the other body or organisation, to the Australian Prudential Regulation Authority in connection with the performance or exercise of any of the Authority’s functions or powers</w:t>
            </w:r>
          </w:p>
        </w:tc>
        <w:tc>
          <w:tcPr>
            <w:tcW w:w="1524" w:type="pct"/>
            <w:shd w:val="clear" w:color="auto" w:fill="auto"/>
          </w:tcPr>
          <w:p w:rsidR="00567A3A" w:rsidRPr="00F30C99" w:rsidRDefault="00567A3A" w:rsidP="00567A3A">
            <w:pPr>
              <w:pStyle w:val="Tabletext"/>
            </w:pPr>
            <w:r w:rsidRPr="00F30C99">
              <w:t>Persons who are any of the following:</w:t>
            </w:r>
          </w:p>
          <w:p w:rsidR="00567A3A" w:rsidRPr="00F30C99" w:rsidRDefault="00567A3A" w:rsidP="00567A3A">
            <w:pPr>
              <w:pStyle w:val="Tablea"/>
            </w:pPr>
            <w:r w:rsidRPr="00F30C99">
              <w:t xml:space="preserve">(a) a person referred to in section 46 of the </w:t>
            </w:r>
            <w:r w:rsidRPr="00F30C99">
              <w:rPr>
                <w:i/>
              </w:rPr>
              <w:t>Australian Prudential Regulation Authority Act 1998</w:t>
            </w:r>
            <w:r w:rsidRPr="00F30C99">
              <w:t xml:space="preserve"> whose services are made available to the Australian Prudential Regulation Authority;</w:t>
            </w:r>
          </w:p>
          <w:p w:rsidR="00567A3A" w:rsidRPr="00F30C99" w:rsidRDefault="00567A3A" w:rsidP="00567A3A">
            <w:pPr>
              <w:pStyle w:val="Tablea"/>
            </w:pPr>
            <w:r w:rsidRPr="00F30C99">
              <w:t>(b) a person referred to in paragraph (c) of column 2 of this item</w:t>
            </w:r>
          </w:p>
        </w:tc>
      </w:tr>
      <w:tr w:rsidR="00567A3A" w:rsidRPr="00F30C99" w:rsidTr="004E3418">
        <w:tc>
          <w:tcPr>
            <w:tcW w:w="429" w:type="pct"/>
            <w:tcBorders>
              <w:bottom w:val="single" w:sz="2" w:space="0" w:color="auto"/>
            </w:tcBorders>
            <w:shd w:val="clear" w:color="auto" w:fill="auto"/>
          </w:tcPr>
          <w:p w:rsidR="00567A3A" w:rsidRPr="00F30C99" w:rsidRDefault="00567A3A" w:rsidP="00567A3A">
            <w:pPr>
              <w:pStyle w:val="Tabletext"/>
            </w:pPr>
            <w:r w:rsidRPr="00F30C99">
              <w:t>3</w:t>
            </w:r>
          </w:p>
        </w:tc>
        <w:tc>
          <w:tcPr>
            <w:tcW w:w="1524" w:type="pct"/>
            <w:tcBorders>
              <w:bottom w:val="single" w:sz="2" w:space="0" w:color="auto"/>
            </w:tcBorders>
            <w:shd w:val="clear" w:color="auto" w:fill="auto"/>
          </w:tcPr>
          <w:p w:rsidR="00567A3A" w:rsidRPr="00F30C99" w:rsidRDefault="00567A3A" w:rsidP="00567A3A">
            <w:pPr>
              <w:pStyle w:val="Tabletext"/>
            </w:pPr>
            <w:r w:rsidRPr="00F30C99">
              <w:t>Australian Securities and Investments Commission</w:t>
            </w:r>
          </w:p>
        </w:tc>
        <w:tc>
          <w:tcPr>
            <w:tcW w:w="1524" w:type="pct"/>
            <w:tcBorders>
              <w:bottom w:val="single" w:sz="2" w:space="0" w:color="auto"/>
            </w:tcBorders>
            <w:shd w:val="clear" w:color="auto" w:fill="auto"/>
          </w:tcPr>
          <w:p w:rsidR="00567A3A" w:rsidRPr="00F30C99" w:rsidRDefault="00567A3A" w:rsidP="00567A3A">
            <w:pPr>
              <w:pStyle w:val="Tabletext"/>
            </w:pPr>
            <w:r w:rsidRPr="00F30C99">
              <w:t>Persons who are any of the following:</w:t>
            </w:r>
          </w:p>
          <w:p w:rsidR="00567A3A" w:rsidRPr="00F30C99" w:rsidRDefault="00567A3A" w:rsidP="00567A3A">
            <w:pPr>
              <w:pStyle w:val="Tablea"/>
            </w:pPr>
            <w:r w:rsidRPr="00F30C99">
              <w:t xml:space="preserve">(a) the Chairperson, or a Deputy Chairperson, of ASIC appointed under section 10 of the </w:t>
            </w:r>
            <w:r w:rsidRPr="00F30C99">
              <w:rPr>
                <w:i/>
              </w:rPr>
              <w:t>Australian Securities and Investments Commission Act 2001</w:t>
            </w:r>
            <w:r w:rsidRPr="00F30C99">
              <w:t>;</w:t>
            </w:r>
          </w:p>
          <w:p w:rsidR="00567A3A" w:rsidRPr="00F30C99" w:rsidRDefault="00567A3A" w:rsidP="00567A3A">
            <w:pPr>
              <w:pStyle w:val="Tablea"/>
            </w:pPr>
            <w:r w:rsidRPr="00F30C99">
              <w:t>(b) a member of ASIC appointed under section 9 of that Act;</w:t>
            </w:r>
          </w:p>
          <w:p w:rsidR="00567A3A" w:rsidRPr="00F30C99" w:rsidRDefault="00567A3A" w:rsidP="00567A3A">
            <w:pPr>
              <w:pStyle w:val="Tablea"/>
            </w:pPr>
            <w:r w:rsidRPr="00F30C99">
              <w:t>(c) a staff member within the meaning of that Act;</w:t>
            </w:r>
          </w:p>
          <w:p w:rsidR="00567A3A" w:rsidRPr="00F30C99" w:rsidRDefault="00567A3A" w:rsidP="00567A3A">
            <w:pPr>
              <w:pStyle w:val="Tablea"/>
            </w:pPr>
            <w:r w:rsidRPr="00F30C99">
              <w:lastRenderedPageBreak/>
              <w:t>(d) an officer or employee (other than an officer or employee covered by paragraph (c)) of some other body or organisation (whether located within or outside Australia) whose services are made available, by or on behalf of the other body or organisation, to the Australian Securities and Investments Commission in connection with the performance or exercise of any of the Commission’s functions or powers</w:t>
            </w:r>
          </w:p>
        </w:tc>
        <w:tc>
          <w:tcPr>
            <w:tcW w:w="1524" w:type="pct"/>
            <w:tcBorders>
              <w:bottom w:val="single" w:sz="2" w:space="0" w:color="auto"/>
            </w:tcBorders>
            <w:shd w:val="clear" w:color="auto" w:fill="auto"/>
          </w:tcPr>
          <w:p w:rsidR="00567A3A" w:rsidRPr="00F30C99" w:rsidRDefault="00567A3A" w:rsidP="00567A3A">
            <w:pPr>
              <w:pStyle w:val="Tabletext"/>
            </w:pPr>
            <w:r w:rsidRPr="00F30C99">
              <w:lastRenderedPageBreak/>
              <w:t>Persons who are any of the following:</w:t>
            </w:r>
          </w:p>
          <w:p w:rsidR="00567A3A" w:rsidRPr="00F30C99" w:rsidRDefault="00567A3A" w:rsidP="00567A3A">
            <w:pPr>
              <w:pStyle w:val="Tablea"/>
            </w:pPr>
            <w:r w:rsidRPr="00F30C99">
              <w:t xml:space="preserve">(a) a person referred to in section 122 of the </w:t>
            </w:r>
            <w:r w:rsidRPr="00F30C99">
              <w:rPr>
                <w:i/>
              </w:rPr>
              <w:t>Australian Securities and Investments Commission Act 2001</w:t>
            </w:r>
            <w:r w:rsidRPr="00F30C99">
              <w:t xml:space="preserve"> whose services are made available to the Australian Securities and Investments Commission;</w:t>
            </w:r>
          </w:p>
          <w:p w:rsidR="00567A3A" w:rsidRPr="00F30C99" w:rsidRDefault="00567A3A" w:rsidP="00567A3A">
            <w:pPr>
              <w:pStyle w:val="Tablea"/>
            </w:pPr>
            <w:r w:rsidRPr="00F30C99">
              <w:t>(b) a person referred to in paragraph (d) of column 2 of this item</w:t>
            </w:r>
          </w:p>
        </w:tc>
      </w:tr>
      <w:tr w:rsidR="00567A3A" w:rsidRPr="00F30C99" w:rsidTr="0061340C">
        <w:tc>
          <w:tcPr>
            <w:tcW w:w="429" w:type="pct"/>
            <w:tcBorders>
              <w:top w:val="single" w:sz="2" w:space="0" w:color="auto"/>
              <w:bottom w:val="single" w:sz="2" w:space="0" w:color="auto"/>
            </w:tcBorders>
            <w:shd w:val="clear" w:color="auto" w:fill="auto"/>
          </w:tcPr>
          <w:p w:rsidR="00567A3A" w:rsidRPr="00F30C99" w:rsidRDefault="00567A3A" w:rsidP="00567A3A">
            <w:pPr>
              <w:pStyle w:val="Tabletext"/>
            </w:pPr>
            <w:r w:rsidRPr="00F30C99">
              <w:t>4</w:t>
            </w:r>
          </w:p>
        </w:tc>
        <w:tc>
          <w:tcPr>
            <w:tcW w:w="1524" w:type="pct"/>
            <w:tcBorders>
              <w:top w:val="single" w:sz="2" w:space="0" w:color="auto"/>
              <w:bottom w:val="single" w:sz="2" w:space="0" w:color="auto"/>
            </w:tcBorders>
            <w:shd w:val="clear" w:color="auto" w:fill="auto"/>
          </w:tcPr>
          <w:p w:rsidR="00567A3A" w:rsidRPr="00F30C99" w:rsidRDefault="00567A3A" w:rsidP="00567A3A">
            <w:pPr>
              <w:pStyle w:val="Tabletext"/>
            </w:pPr>
            <w:r w:rsidRPr="00F30C99">
              <w:t>Australian Taxation Office</w:t>
            </w:r>
          </w:p>
        </w:tc>
        <w:tc>
          <w:tcPr>
            <w:tcW w:w="1524" w:type="pct"/>
            <w:tcBorders>
              <w:top w:val="single" w:sz="2" w:space="0" w:color="auto"/>
              <w:bottom w:val="single" w:sz="2" w:space="0" w:color="auto"/>
            </w:tcBorders>
            <w:shd w:val="clear" w:color="auto" w:fill="auto"/>
          </w:tcPr>
          <w:p w:rsidR="00567A3A" w:rsidRPr="00F30C99" w:rsidRDefault="00567A3A" w:rsidP="00567A3A">
            <w:pPr>
              <w:pStyle w:val="Tabletext"/>
            </w:pPr>
            <w:r w:rsidRPr="00F30C99">
              <w:t>Persons who are any of the following:</w:t>
            </w:r>
          </w:p>
          <w:p w:rsidR="00567A3A" w:rsidRPr="00F30C99" w:rsidRDefault="00567A3A" w:rsidP="00567A3A">
            <w:pPr>
              <w:pStyle w:val="Tablea"/>
            </w:pPr>
            <w:r w:rsidRPr="00F30C99">
              <w:t xml:space="preserve">(a) the Commissioner of Taxation, or a Second Commissioner of Taxation, mentioned in section 4 of the </w:t>
            </w:r>
            <w:r w:rsidRPr="00F30C99">
              <w:rPr>
                <w:i/>
              </w:rPr>
              <w:t>Taxation Administration Act 1953</w:t>
            </w:r>
            <w:r w:rsidRPr="00F30C99">
              <w:t>;</w:t>
            </w:r>
          </w:p>
          <w:p w:rsidR="00567A3A" w:rsidRPr="00F30C99" w:rsidRDefault="00567A3A" w:rsidP="00567A3A">
            <w:pPr>
              <w:pStyle w:val="Tablea"/>
            </w:pPr>
            <w:r w:rsidRPr="00F30C99">
              <w:t>(b) a member of the staff mentioned in subsection 4A(1) of that Act;</w:t>
            </w:r>
          </w:p>
          <w:p w:rsidR="00567A3A" w:rsidRPr="00F30C99" w:rsidRDefault="00567A3A" w:rsidP="00567A3A">
            <w:pPr>
              <w:pStyle w:val="Tablea"/>
            </w:pPr>
            <w:r w:rsidRPr="00F30C99">
              <w:t>(c) an individual who is an entity referred to in section 355</w:t>
            </w:r>
            <w:r w:rsidR="002B5C75">
              <w:noBreakHyphen/>
            </w:r>
            <w:r w:rsidRPr="00F30C99">
              <w:t>15 in Schedule 1 to that Act;</w:t>
            </w:r>
          </w:p>
          <w:p w:rsidR="00567A3A" w:rsidRPr="00F30C99" w:rsidRDefault="00567A3A" w:rsidP="00567A3A">
            <w:pPr>
              <w:pStyle w:val="Tablea"/>
            </w:pPr>
            <w:r w:rsidRPr="00F30C99">
              <w:t xml:space="preserve">(d) an officer or employee of some other body or organisation (whether located within or outside Australia) whose services are made available, by or on behalf of the other body or organisation, to the Commissioner of Taxation in connection with the performance or exercise of any of the </w:t>
            </w:r>
            <w:r w:rsidRPr="00F30C99">
              <w:lastRenderedPageBreak/>
              <w:t>Commissioner’s functions or powers</w:t>
            </w:r>
          </w:p>
        </w:tc>
        <w:tc>
          <w:tcPr>
            <w:tcW w:w="1524" w:type="pct"/>
            <w:tcBorders>
              <w:top w:val="single" w:sz="2" w:space="0" w:color="auto"/>
              <w:bottom w:val="single" w:sz="2" w:space="0" w:color="auto"/>
            </w:tcBorders>
            <w:shd w:val="clear" w:color="auto" w:fill="auto"/>
          </w:tcPr>
          <w:p w:rsidR="00567A3A" w:rsidRPr="00F30C99" w:rsidRDefault="00567A3A" w:rsidP="00567A3A">
            <w:pPr>
              <w:pStyle w:val="Tabletext"/>
            </w:pPr>
            <w:r w:rsidRPr="00F30C99">
              <w:lastRenderedPageBreak/>
              <w:t>A person referred to in paragraph (d) of column 2 of this item</w:t>
            </w:r>
          </w:p>
        </w:tc>
      </w:tr>
      <w:tr w:rsidR="00D2190C" w:rsidRPr="00F30C99" w:rsidTr="004E3418">
        <w:tc>
          <w:tcPr>
            <w:tcW w:w="429" w:type="pct"/>
            <w:tcBorders>
              <w:top w:val="single" w:sz="2" w:space="0" w:color="auto"/>
              <w:bottom w:val="single" w:sz="12" w:space="0" w:color="auto"/>
            </w:tcBorders>
            <w:shd w:val="clear" w:color="auto" w:fill="auto"/>
          </w:tcPr>
          <w:p w:rsidR="00D2190C" w:rsidRPr="00F30C99" w:rsidRDefault="00D2190C" w:rsidP="00D2190C">
            <w:pPr>
              <w:pStyle w:val="Tabletext"/>
            </w:pPr>
            <w:r w:rsidRPr="00F30C99">
              <w:t>5</w:t>
            </w:r>
          </w:p>
        </w:tc>
        <w:tc>
          <w:tcPr>
            <w:tcW w:w="1524" w:type="pct"/>
            <w:tcBorders>
              <w:top w:val="single" w:sz="2" w:space="0" w:color="auto"/>
              <w:bottom w:val="single" w:sz="12" w:space="0" w:color="auto"/>
            </w:tcBorders>
            <w:shd w:val="clear" w:color="auto" w:fill="auto"/>
          </w:tcPr>
          <w:p w:rsidR="00D2190C" w:rsidRPr="00F30C99" w:rsidRDefault="00D2190C" w:rsidP="00D2190C">
            <w:pPr>
              <w:pStyle w:val="Tabletext"/>
            </w:pPr>
            <w:r w:rsidRPr="00F30C99">
              <w:t>Office of the Special Investigator</w:t>
            </w:r>
          </w:p>
        </w:tc>
        <w:tc>
          <w:tcPr>
            <w:tcW w:w="1524" w:type="pct"/>
            <w:tcBorders>
              <w:top w:val="single" w:sz="2" w:space="0" w:color="auto"/>
              <w:bottom w:val="single" w:sz="12" w:space="0" w:color="auto"/>
            </w:tcBorders>
            <w:shd w:val="clear" w:color="auto" w:fill="auto"/>
          </w:tcPr>
          <w:p w:rsidR="00D2190C" w:rsidRPr="00F30C99" w:rsidRDefault="00D2190C" w:rsidP="00D2190C">
            <w:pPr>
              <w:pStyle w:val="Tabletext"/>
            </w:pPr>
            <w:r w:rsidRPr="00F30C99">
              <w:t>Persons who are any of the following:</w:t>
            </w:r>
          </w:p>
          <w:p w:rsidR="00D2190C" w:rsidRPr="00F30C99" w:rsidRDefault="00D2190C" w:rsidP="00D2190C">
            <w:pPr>
              <w:pStyle w:val="Tablea"/>
            </w:pPr>
            <w:r w:rsidRPr="00F30C99">
              <w:t>(a) the Director</w:t>
            </w:r>
            <w:r w:rsidR="002B5C75">
              <w:noBreakHyphen/>
            </w:r>
            <w:r w:rsidRPr="00F30C99">
              <w:t>General of the Office of the Special Investigator;</w:t>
            </w:r>
          </w:p>
          <w:p w:rsidR="00D2190C" w:rsidRPr="00F30C99" w:rsidRDefault="00D2190C" w:rsidP="00D2190C">
            <w:pPr>
              <w:pStyle w:val="Tablea"/>
            </w:pPr>
            <w:r w:rsidRPr="00F30C99">
              <w:t>(b) the Special Investigator for the Office of the Special Investigator;</w:t>
            </w:r>
          </w:p>
          <w:p w:rsidR="00D2190C" w:rsidRPr="00F30C99" w:rsidRDefault="00D2190C" w:rsidP="00D2190C">
            <w:pPr>
              <w:pStyle w:val="Tablea"/>
            </w:pPr>
            <w:r w:rsidRPr="00F30C99">
              <w:t>(c) the Director of Investigations for the Office of the Special Investigator;</w:t>
            </w:r>
          </w:p>
          <w:p w:rsidR="00D2190C" w:rsidRPr="00F30C99" w:rsidRDefault="00D2190C" w:rsidP="00D2190C">
            <w:pPr>
              <w:pStyle w:val="Tablea"/>
            </w:pPr>
            <w:r w:rsidRPr="00F30C99">
              <w:t xml:space="preserve">(d) persons engaged under the </w:t>
            </w:r>
            <w:r w:rsidRPr="00F30C99">
              <w:rPr>
                <w:i/>
              </w:rPr>
              <w:t>Public Service Act 1999</w:t>
            </w:r>
            <w:r w:rsidRPr="00F30C99">
              <w:t xml:space="preserve"> to assist in the performance of the Office of the Special Investigator’s functions;</w:t>
            </w:r>
          </w:p>
          <w:p w:rsidR="00D2190C" w:rsidRPr="00F30C99" w:rsidRDefault="00D2190C" w:rsidP="00D2190C">
            <w:pPr>
              <w:pStyle w:val="Tablea"/>
            </w:pPr>
            <w:r w:rsidRPr="00F30C99">
              <w:t xml:space="preserve">(e) persons seconded to the Office of the Special Investigator under section 40F of the </w:t>
            </w:r>
            <w:r w:rsidRPr="00F30C99">
              <w:rPr>
                <w:i/>
              </w:rPr>
              <w:t>Australian Federal Police Act 1979</w:t>
            </w:r>
            <w:r w:rsidRPr="00F30C99">
              <w:t>;</w:t>
            </w:r>
          </w:p>
          <w:p w:rsidR="00D2190C" w:rsidRPr="00F30C99" w:rsidRDefault="00D2190C" w:rsidP="00D2190C">
            <w:pPr>
              <w:pStyle w:val="Tablea"/>
            </w:pPr>
            <w:r w:rsidRPr="00F30C99">
              <w:t>(f) persons whose services are made available to the Office of the Special Investigator, by or on behalf of the following (whether located within or outside Australia):</w:t>
            </w:r>
          </w:p>
          <w:p w:rsidR="00D2190C" w:rsidRPr="00F30C99" w:rsidRDefault="00D2190C" w:rsidP="00D2190C">
            <w:pPr>
              <w:pStyle w:val="Tablei"/>
            </w:pPr>
            <w:r w:rsidRPr="00F30C99">
              <w:t xml:space="preserve">(i) a Commonwealth entity (within the meaning of the </w:t>
            </w:r>
            <w:r w:rsidRPr="00F30C99">
              <w:rPr>
                <w:i/>
              </w:rPr>
              <w:t>Public Governance, Performance and Accountability Act 2013</w:t>
            </w:r>
            <w:r w:rsidRPr="00F30C99">
              <w:t>);</w:t>
            </w:r>
          </w:p>
          <w:p w:rsidR="00D2190C" w:rsidRPr="00F30C99" w:rsidRDefault="00D2190C" w:rsidP="00D2190C">
            <w:pPr>
              <w:pStyle w:val="Tablei"/>
            </w:pPr>
            <w:r w:rsidRPr="00F30C99">
              <w:t xml:space="preserve">(ii) a government agency (within the meaning of the </w:t>
            </w:r>
            <w:r w:rsidRPr="00F30C99">
              <w:rPr>
                <w:i/>
              </w:rPr>
              <w:t xml:space="preserve">Law Enforcement Integrity </w:t>
            </w:r>
            <w:r w:rsidRPr="00F30C99">
              <w:rPr>
                <w:i/>
              </w:rPr>
              <w:lastRenderedPageBreak/>
              <w:t>Commissioner Act 2006</w:t>
            </w:r>
            <w:r w:rsidRPr="00F30C99">
              <w:t>);</w:t>
            </w:r>
          </w:p>
          <w:p w:rsidR="00D2190C" w:rsidRPr="00F30C99" w:rsidRDefault="00D2190C" w:rsidP="00D2190C">
            <w:pPr>
              <w:pStyle w:val="Tablea"/>
              <w:rPr>
                <w:i/>
              </w:rPr>
            </w:pPr>
            <w:r w:rsidRPr="00F30C99">
              <w:tab/>
              <w:t>other than the AFP, to assist in the performance of the Office of the Special Investigator’s functions;</w:t>
            </w:r>
          </w:p>
          <w:p w:rsidR="00D2190C" w:rsidRPr="00F30C99" w:rsidRDefault="00D2190C" w:rsidP="0061340C">
            <w:pPr>
              <w:pStyle w:val="Tablea"/>
            </w:pPr>
            <w:r w:rsidRPr="00F30C99">
              <w:t>(g) persons engaged as consultants or contractors to assist in the performance of the Office of the Special Investigator’s functions.</w:t>
            </w:r>
          </w:p>
        </w:tc>
        <w:tc>
          <w:tcPr>
            <w:tcW w:w="1524" w:type="pct"/>
            <w:tcBorders>
              <w:top w:val="single" w:sz="2" w:space="0" w:color="auto"/>
              <w:bottom w:val="single" w:sz="12" w:space="0" w:color="auto"/>
            </w:tcBorders>
            <w:shd w:val="clear" w:color="auto" w:fill="auto"/>
          </w:tcPr>
          <w:p w:rsidR="00D2190C" w:rsidRPr="00F30C99" w:rsidRDefault="00D2190C" w:rsidP="00D2190C">
            <w:pPr>
              <w:pStyle w:val="Tabletext"/>
            </w:pPr>
            <w:r w:rsidRPr="00F30C99">
              <w:lastRenderedPageBreak/>
              <w:t>A person referred to in paragraph (e) or (f) of column 2 of this item</w:t>
            </w:r>
          </w:p>
        </w:tc>
      </w:tr>
    </w:tbl>
    <w:p w:rsidR="00567A3A" w:rsidRPr="00F30C99" w:rsidRDefault="00567A3A" w:rsidP="00567A3A">
      <w:pPr>
        <w:pStyle w:val="Tabletext"/>
      </w:pPr>
    </w:p>
    <w:p w:rsidR="00567A3A" w:rsidRPr="00F30C99" w:rsidRDefault="00567A3A" w:rsidP="00567A3A">
      <w:pPr>
        <w:pStyle w:val="notetext"/>
      </w:pPr>
      <w:r w:rsidRPr="00F30C99">
        <w:t>Note:</w:t>
      </w:r>
      <w:r w:rsidRPr="00F30C99">
        <w:tab/>
        <w:t xml:space="preserve">The Commonwealth government agencies mentioned in column 1 of this table are prescribed for the purposes of paragraph (d) of the definition of </w:t>
      </w:r>
      <w:r w:rsidRPr="00F30C99">
        <w:rPr>
          <w:b/>
          <w:i/>
        </w:rPr>
        <w:t>law enforcement agency</w:t>
      </w:r>
      <w:r w:rsidRPr="00F30C99">
        <w:t xml:space="preserve"> in subsection 5(1) of the Act (see section 6A of this instrument).</w:t>
      </w:r>
    </w:p>
    <w:p w:rsidR="00D2190C" w:rsidRPr="00F30C99" w:rsidRDefault="00D2190C" w:rsidP="00D2190C">
      <w:pPr>
        <w:pStyle w:val="subsection"/>
      </w:pPr>
      <w:r w:rsidRPr="00F30C99">
        <w:tab/>
        <w:t>(4)</w:t>
      </w:r>
      <w:r w:rsidRPr="00F30C99">
        <w:tab/>
        <w:t>This section is repealed at the start of 1 October 2024.</w:t>
      </w:r>
    </w:p>
    <w:p w:rsidR="006C1504" w:rsidRPr="00F30C99" w:rsidRDefault="006C1504" w:rsidP="006C1504">
      <w:pPr>
        <w:pStyle w:val="ActHead2"/>
        <w:pageBreakBefore/>
      </w:pPr>
      <w:bookmarkStart w:id="11" w:name="_Toc92895807"/>
      <w:r w:rsidRPr="002B5C75">
        <w:rPr>
          <w:rStyle w:val="CharPartNo"/>
        </w:rPr>
        <w:lastRenderedPageBreak/>
        <w:t>Part</w:t>
      </w:r>
      <w:r w:rsidR="00173C64" w:rsidRPr="002B5C75">
        <w:rPr>
          <w:rStyle w:val="CharPartNo"/>
        </w:rPr>
        <w:t> </w:t>
      </w:r>
      <w:r w:rsidRPr="002B5C75">
        <w:rPr>
          <w:rStyle w:val="CharPartNo"/>
        </w:rPr>
        <w:t>3</w:t>
      </w:r>
      <w:r w:rsidRPr="00F30C99">
        <w:t>—</w:t>
      </w:r>
      <w:r w:rsidRPr="002B5C75">
        <w:rPr>
          <w:rStyle w:val="CharPartText"/>
        </w:rPr>
        <w:t>Integrity Commissioner’s powers in conducting investigations and public inquiries</w:t>
      </w:r>
      <w:bookmarkEnd w:id="11"/>
    </w:p>
    <w:p w:rsidR="00F65961" w:rsidRPr="00F30C99" w:rsidRDefault="00F65961" w:rsidP="00F65961">
      <w:pPr>
        <w:pStyle w:val="Header"/>
      </w:pPr>
      <w:r w:rsidRPr="002B5C75">
        <w:rPr>
          <w:rStyle w:val="CharDivNo"/>
        </w:rPr>
        <w:t xml:space="preserve"> </w:t>
      </w:r>
      <w:r w:rsidRPr="002B5C75">
        <w:rPr>
          <w:rStyle w:val="CharDivText"/>
        </w:rPr>
        <w:t xml:space="preserve"> </w:t>
      </w:r>
    </w:p>
    <w:p w:rsidR="004E0F3A" w:rsidRPr="00F30C99" w:rsidRDefault="00D37EB8" w:rsidP="004E0F3A">
      <w:pPr>
        <w:pStyle w:val="ActHead5"/>
      </w:pPr>
      <w:bookmarkStart w:id="12" w:name="_Toc92895808"/>
      <w:r w:rsidRPr="002B5C75">
        <w:rPr>
          <w:rStyle w:val="CharSectno"/>
        </w:rPr>
        <w:t>8</w:t>
      </w:r>
      <w:r w:rsidR="004E0F3A" w:rsidRPr="00F30C99">
        <w:t xml:space="preserve">  Allowances for travelling and other expenses to be paid to witnesses</w:t>
      </w:r>
      <w:bookmarkEnd w:id="12"/>
    </w:p>
    <w:p w:rsidR="00531031" w:rsidRPr="00F30C99" w:rsidRDefault="00531031" w:rsidP="00531031">
      <w:pPr>
        <w:pStyle w:val="SubsectionHead"/>
      </w:pPr>
      <w:r w:rsidRPr="00F30C99">
        <w:t>Allowances</w:t>
      </w:r>
    </w:p>
    <w:p w:rsidR="00691AE8" w:rsidRPr="00F30C99" w:rsidRDefault="004E0F3A" w:rsidP="004E0F3A">
      <w:pPr>
        <w:pStyle w:val="subsection"/>
      </w:pPr>
      <w:r w:rsidRPr="00F30C99">
        <w:tab/>
      </w:r>
      <w:r w:rsidR="00103816" w:rsidRPr="00F30C99">
        <w:t>(1)</w:t>
      </w:r>
      <w:r w:rsidRPr="00F30C99">
        <w:tab/>
        <w:t xml:space="preserve">For </w:t>
      </w:r>
      <w:r w:rsidR="00AD78D5" w:rsidRPr="00F30C99">
        <w:t xml:space="preserve">the purposes of </w:t>
      </w:r>
      <w:r w:rsidRPr="00F30C99">
        <w:t>subsection</w:t>
      </w:r>
      <w:r w:rsidR="00173C64" w:rsidRPr="00F30C99">
        <w:t> </w:t>
      </w:r>
      <w:r w:rsidRPr="00F30C99">
        <w:t>83(6) of the Act, the allowances</w:t>
      </w:r>
      <w:r w:rsidR="00D0786D" w:rsidRPr="00F30C99">
        <w:t xml:space="preserve"> mentioned in an item of the following table </w:t>
      </w:r>
      <w:r w:rsidR="00AD78D5" w:rsidRPr="00F30C99">
        <w:t>are prescribed</w:t>
      </w:r>
      <w:r w:rsidR="00D0786D" w:rsidRPr="00F30C99">
        <w:t xml:space="preserve"> in relation to the witness mentioned in the item</w:t>
      </w:r>
      <w:r w:rsidR="00AD78D5" w:rsidRPr="00F30C99">
        <w:t>.</w:t>
      </w:r>
    </w:p>
    <w:p w:rsidR="00691AE8" w:rsidRPr="00F30C99" w:rsidRDefault="00691AE8" w:rsidP="00691AE8">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3898"/>
        <w:gridCol w:w="3899"/>
      </w:tblGrid>
      <w:tr w:rsidR="00691AE8" w:rsidRPr="00F30C99" w:rsidTr="004E3418">
        <w:trPr>
          <w:tblHeader/>
        </w:trPr>
        <w:tc>
          <w:tcPr>
            <w:tcW w:w="5000" w:type="pct"/>
            <w:gridSpan w:val="3"/>
            <w:tcBorders>
              <w:top w:val="single" w:sz="12" w:space="0" w:color="auto"/>
              <w:bottom w:val="single" w:sz="6" w:space="0" w:color="auto"/>
            </w:tcBorders>
            <w:shd w:val="clear" w:color="auto" w:fill="auto"/>
          </w:tcPr>
          <w:p w:rsidR="00691AE8" w:rsidRPr="00F30C99" w:rsidRDefault="00691AE8" w:rsidP="00691AE8">
            <w:pPr>
              <w:pStyle w:val="TableHeading"/>
            </w:pPr>
            <w:r w:rsidRPr="00F30C99">
              <w:t>Allowances for travelling and other expenses</w:t>
            </w:r>
          </w:p>
        </w:tc>
      </w:tr>
      <w:tr w:rsidR="00691AE8" w:rsidRPr="00F30C99" w:rsidTr="004E3418">
        <w:trPr>
          <w:tblHeader/>
        </w:trPr>
        <w:tc>
          <w:tcPr>
            <w:tcW w:w="429" w:type="pct"/>
            <w:tcBorders>
              <w:top w:val="single" w:sz="6" w:space="0" w:color="auto"/>
              <w:bottom w:val="single" w:sz="12" w:space="0" w:color="auto"/>
            </w:tcBorders>
            <w:shd w:val="clear" w:color="auto" w:fill="auto"/>
          </w:tcPr>
          <w:p w:rsidR="00691AE8" w:rsidRPr="00F30C99" w:rsidRDefault="00691AE8" w:rsidP="00691AE8">
            <w:pPr>
              <w:pStyle w:val="TableHeading"/>
            </w:pPr>
            <w:r w:rsidRPr="00F30C99">
              <w:t>Item</w:t>
            </w:r>
          </w:p>
        </w:tc>
        <w:tc>
          <w:tcPr>
            <w:tcW w:w="2285" w:type="pct"/>
            <w:tcBorders>
              <w:top w:val="single" w:sz="6" w:space="0" w:color="auto"/>
              <w:bottom w:val="single" w:sz="12" w:space="0" w:color="auto"/>
            </w:tcBorders>
            <w:shd w:val="clear" w:color="auto" w:fill="auto"/>
          </w:tcPr>
          <w:p w:rsidR="00691AE8" w:rsidRPr="00F30C99" w:rsidRDefault="00691AE8" w:rsidP="00691AE8">
            <w:pPr>
              <w:pStyle w:val="TableHeading"/>
            </w:pPr>
            <w:r w:rsidRPr="00F30C99">
              <w:t>Witness</w:t>
            </w:r>
          </w:p>
        </w:tc>
        <w:tc>
          <w:tcPr>
            <w:tcW w:w="2286" w:type="pct"/>
            <w:tcBorders>
              <w:top w:val="single" w:sz="6" w:space="0" w:color="auto"/>
              <w:bottom w:val="single" w:sz="12" w:space="0" w:color="auto"/>
            </w:tcBorders>
            <w:shd w:val="clear" w:color="auto" w:fill="auto"/>
          </w:tcPr>
          <w:p w:rsidR="00691AE8" w:rsidRPr="00F30C99" w:rsidRDefault="00D0786D" w:rsidP="00691AE8">
            <w:pPr>
              <w:pStyle w:val="TableHeading"/>
            </w:pPr>
            <w:r w:rsidRPr="00F30C99">
              <w:t>Allowance</w:t>
            </w:r>
          </w:p>
        </w:tc>
      </w:tr>
      <w:tr w:rsidR="00691AE8" w:rsidRPr="00F30C99" w:rsidTr="004E3418">
        <w:tc>
          <w:tcPr>
            <w:tcW w:w="429" w:type="pct"/>
            <w:tcBorders>
              <w:top w:val="single" w:sz="12" w:space="0" w:color="auto"/>
            </w:tcBorders>
            <w:shd w:val="clear" w:color="auto" w:fill="auto"/>
          </w:tcPr>
          <w:p w:rsidR="00691AE8" w:rsidRPr="00F30C99" w:rsidRDefault="00691AE8" w:rsidP="00691AE8">
            <w:pPr>
              <w:pStyle w:val="Tabletext"/>
            </w:pPr>
            <w:r w:rsidRPr="00F30C99">
              <w:t>1</w:t>
            </w:r>
          </w:p>
        </w:tc>
        <w:tc>
          <w:tcPr>
            <w:tcW w:w="2285" w:type="pct"/>
            <w:tcBorders>
              <w:top w:val="single" w:sz="12" w:space="0" w:color="auto"/>
            </w:tcBorders>
            <w:shd w:val="clear" w:color="auto" w:fill="auto"/>
          </w:tcPr>
          <w:p w:rsidR="00691AE8" w:rsidRPr="00F30C99" w:rsidRDefault="00D0786D" w:rsidP="00D53B93">
            <w:pPr>
              <w:pStyle w:val="Tabletext"/>
            </w:pPr>
            <w:r w:rsidRPr="00F30C99">
              <w:t>A</w:t>
            </w:r>
            <w:r w:rsidR="00DF7C1E" w:rsidRPr="00F30C99">
              <w:t xml:space="preserve"> </w:t>
            </w:r>
            <w:r w:rsidR="00D53B93" w:rsidRPr="00F30C99">
              <w:t xml:space="preserve">person </w:t>
            </w:r>
            <w:r w:rsidR="00DF7C1E" w:rsidRPr="00F30C99">
              <w:t>summoned to appear</w:t>
            </w:r>
            <w:r w:rsidR="00D53B93" w:rsidRPr="00F30C99">
              <w:t xml:space="preserve"> as a witness</w:t>
            </w:r>
            <w:r w:rsidRPr="00F30C99">
              <w:t xml:space="preserve"> at a hearing because of the person’s professional, scientific or other special skill or knowledge</w:t>
            </w:r>
          </w:p>
        </w:tc>
        <w:tc>
          <w:tcPr>
            <w:tcW w:w="2286" w:type="pct"/>
            <w:tcBorders>
              <w:top w:val="single" w:sz="12" w:space="0" w:color="auto"/>
            </w:tcBorders>
            <w:shd w:val="clear" w:color="auto" w:fill="auto"/>
          </w:tcPr>
          <w:p w:rsidR="00691AE8" w:rsidRPr="00F30C99" w:rsidRDefault="00D0786D" w:rsidP="00F41B25">
            <w:pPr>
              <w:pStyle w:val="Tabletext"/>
            </w:pPr>
            <w:r w:rsidRPr="00F30C99">
              <w:t>For each day on which the person attends as a witness</w:t>
            </w:r>
            <w:r w:rsidR="00DF7C1E" w:rsidRPr="00F30C99">
              <w:t xml:space="preserve">, the daily rate specified by the </w:t>
            </w:r>
            <w:r w:rsidR="00DF7C1E" w:rsidRPr="00F30C99">
              <w:rPr>
                <w:i/>
              </w:rPr>
              <w:t xml:space="preserve">Royal Commissions </w:t>
            </w:r>
            <w:r w:rsidR="002B5C75">
              <w:rPr>
                <w:i/>
              </w:rPr>
              <w:t>Regulations 2</w:t>
            </w:r>
            <w:r w:rsidR="00DF7C1E" w:rsidRPr="00F30C99">
              <w:rPr>
                <w:i/>
              </w:rPr>
              <w:t>001</w:t>
            </w:r>
            <w:r w:rsidR="00DF7C1E" w:rsidRPr="00F30C99">
              <w:t xml:space="preserve"> for</w:t>
            </w:r>
            <w:r w:rsidR="00A70E75" w:rsidRPr="00F30C99">
              <w:t xml:space="preserve"> expenses of a witness</w:t>
            </w:r>
            <w:r w:rsidR="00F41B25" w:rsidRPr="00F30C99">
              <w:t xml:space="preserve"> who possesses that skill or knowledge</w:t>
            </w:r>
          </w:p>
        </w:tc>
      </w:tr>
      <w:tr w:rsidR="00C4536F" w:rsidRPr="00F30C99" w:rsidTr="004E3418">
        <w:tc>
          <w:tcPr>
            <w:tcW w:w="429" w:type="pct"/>
            <w:tcBorders>
              <w:bottom w:val="single" w:sz="2" w:space="0" w:color="auto"/>
            </w:tcBorders>
            <w:shd w:val="clear" w:color="auto" w:fill="auto"/>
          </w:tcPr>
          <w:p w:rsidR="00C4536F" w:rsidRPr="00F30C99" w:rsidRDefault="00C4536F" w:rsidP="00691AE8">
            <w:pPr>
              <w:pStyle w:val="Tabletext"/>
            </w:pPr>
            <w:r w:rsidRPr="00F30C99">
              <w:t>2</w:t>
            </w:r>
          </w:p>
        </w:tc>
        <w:tc>
          <w:tcPr>
            <w:tcW w:w="2285" w:type="pct"/>
            <w:tcBorders>
              <w:bottom w:val="single" w:sz="2" w:space="0" w:color="auto"/>
            </w:tcBorders>
            <w:shd w:val="clear" w:color="auto" w:fill="auto"/>
          </w:tcPr>
          <w:p w:rsidR="00C4536F" w:rsidRPr="00F30C99" w:rsidRDefault="00C4536F" w:rsidP="00D53B93">
            <w:pPr>
              <w:pStyle w:val="Tabletext"/>
            </w:pPr>
            <w:r w:rsidRPr="00F30C99">
              <w:t xml:space="preserve">A </w:t>
            </w:r>
            <w:r w:rsidR="00D53B93" w:rsidRPr="00F30C99">
              <w:t xml:space="preserve">person </w:t>
            </w:r>
            <w:r w:rsidRPr="00F30C99">
              <w:t xml:space="preserve">summoned to appear </w:t>
            </w:r>
            <w:r w:rsidR="00D53B93" w:rsidRPr="00F30C99">
              <w:t xml:space="preserve">as a witness </w:t>
            </w:r>
            <w:r w:rsidRPr="00F30C99">
              <w:t xml:space="preserve">at a hearing </w:t>
            </w:r>
            <w:r w:rsidR="00A70E75" w:rsidRPr="00F30C99">
              <w:t>for any other reason</w:t>
            </w:r>
          </w:p>
        </w:tc>
        <w:tc>
          <w:tcPr>
            <w:tcW w:w="2286" w:type="pct"/>
            <w:tcBorders>
              <w:bottom w:val="single" w:sz="2" w:space="0" w:color="auto"/>
            </w:tcBorders>
            <w:shd w:val="clear" w:color="auto" w:fill="auto"/>
          </w:tcPr>
          <w:p w:rsidR="00C4536F" w:rsidRPr="00F30C99" w:rsidRDefault="00D53B93" w:rsidP="00F65961">
            <w:pPr>
              <w:pStyle w:val="Tabletext"/>
            </w:pPr>
            <w:r w:rsidRPr="00F30C99">
              <w:t>The following</w:t>
            </w:r>
            <w:r w:rsidR="00C4536F" w:rsidRPr="00F30C99">
              <w:t>:</w:t>
            </w:r>
          </w:p>
          <w:p w:rsidR="00C4536F" w:rsidRPr="00F30C99" w:rsidRDefault="00C4536F" w:rsidP="00F65961">
            <w:pPr>
              <w:pStyle w:val="Tablea"/>
            </w:pPr>
            <w:r w:rsidRPr="00F30C99">
              <w:t xml:space="preserve">(a) if the person is paid in his or her occupation by wages, salary or fees—an </w:t>
            </w:r>
            <w:r w:rsidR="007C75AC" w:rsidRPr="00F30C99">
              <w:t>amount</w:t>
            </w:r>
            <w:r w:rsidRPr="00F30C99">
              <w:t xml:space="preserve"> that is equal to the amount of wages, salary or fees not paid to the person because of </w:t>
            </w:r>
            <w:r w:rsidR="00D53B93" w:rsidRPr="00F30C99">
              <w:t>the person’s attendance as a witness;</w:t>
            </w:r>
          </w:p>
          <w:p w:rsidR="00C4536F" w:rsidRPr="00F30C99" w:rsidRDefault="00C4536F" w:rsidP="006F5CA7">
            <w:pPr>
              <w:pStyle w:val="Tablea"/>
            </w:pPr>
            <w:r w:rsidRPr="00F30C99">
              <w:t>(b) in any other case—</w:t>
            </w:r>
            <w:r w:rsidR="00D53B93" w:rsidRPr="00F30C99">
              <w:t xml:space="preserve">for each day on which the person attends as a witness, </w:t>
            </w:r>
            <w:r w:rsidR="007C75AC" w:rsidRPr="00F30C99">
              <w:t xml:space="preserve">the daily rate specified by the </w:t>
            </w:r>
            <w:r w:rsidR="007C75AC" w:rsidRPr="00F30C99">
              <w:rPr>
                <w:i/>
              </w:rPr>
              <w:t xml:space="preserve">Royal Commissions </w:t>
            </w:r>
            <w:r w:rsidR="002B5C75">
              <w:rPr>
                <w:i/>
              </w:rPr>
              <w:t>Regulations 2</w:t>
            </w:r>
            <w:r w:rsidR="007C75AC" w:rsidRPr="00F30C99">
              <w:rPr>
                <w:i/>
              </w:rPr>
              <w:t>001</w:t>
            </w:r>
            <w:r w:rsidR="007C75AC" w:rsidRPr="00F30C99">
              <w:t xml:space="preserve"> for expenses of a witness</w:t>
            </w:r>
            <w:r w:rsidR="00F41B25" w:rsidRPr="00F30C99">
              <w:t xml:space="preserve"> called for a reason other than that </w:t>
            </w:r>
            <w:r w:rsidR="006F5CA7" w:rsidRPr="00F30C99">
              <w:t xml:space="preserve">mentioned in </w:t>
            </w:r>
            <w:r w:rsidR="002B5C75">
              <w:t>item 1</w:t>
            </w:r>
          </w:p>
        </w:tc>
      </w:tr>
      <w:tr w:rsidR="00C4536F" w:rsidRPr="00F30C99" w:rsidTr="004E3418">
        <w:tc>
          <w:tcPr>
            <w:tcW w:w="429" w:type="pct"/>
            <w:tcBorders>
              <w:top w:val="single" w:sz="2" w:space="0" w:color="auto"/>
              <w:bottom w:val="single" w:sz="12" w:space="0" w:color="auto"/>
            </w:tcBorders>
            <w:shd w:val="clear" w:color="auto" w:fill="auto"/>
          </w:tcPr>
          <w:p w:rsidR="00C4536F" w:rsidRPr="00F30C99" w:rsidRDefault="00C4536F" w:rsidP="00691AE8">
            <w:pPr>
              <w:pStyle w:val="Tabletext"/>
            </w:pPr>
            <w:r w:rsidRPr="00F30C99">
              <w:t>3</w:t>
            </w:r>
          </w:p>
        </w:tc>
        <w:tc>
          <w:tcPr>
            <w:tcW w:w="2285" w:type="pct"/>
            <w:tcBorders>
              <w:top w:val="single" w:sz="2" w:space="0" w:color="auto"/>
              <w:bottom w:val="single" w:sz="12" w:space="0" w:color="auto"/>
            </w:tcBorders>
            <w:shd w:val="clear" w:color="auto" w:fill="auto"/>
          </w:tcPr>
          <w:p w:rsidR="00C4536F" w:rsidRPr="00F30C99" w:rsidRDefault="00C4536F" w:rsidP="00867107">
            <w:pPr>
              <w:pStyle w:val="Tabletext"/>
            </w:pPr>
            <w:r w:rsidRPr="00F30C99">
              <w:t xml:space="preserve">A </w:t>
            </w:r>
            <w:r w:rsidR="00D53B93" w:rsidRPr="00F30C99">
              <w:t xml:space="preserve">person </w:t>
            </w:r>
            <w:r w:rsidRPr="00F30C99">
              <w:t xml:space="preserve">summoned to appear </w:t>
            </w:r>
            <w:r w:rsidR="00D53B93" w:rsidRPr="00F30C99">
              <w:t xml:space="preserve">as a witness </w:t>
            </w:r>
            <w:r w:rsidRPr="00F30C99">
              <w:t>at a hearing</w:t>
            </w:r>
          </w:p>
        </w:tc>
        <w:tc>
          <w:tcPr>
            <w:tcW w:w="2286" w:type="pct"/>
            <w:tcBorders>
              <w:top w:val="single" w:sz="2" w:space="0" w:color="auto"/>
              <w:bottom w:val="single" w:sz="12" w:space="0" w:color="auto"/>
            </w:tcBorders>
            <w:shd w:val="clear" w:color="auto" w:fill="auto"/>
          </w:tcPr>
          <w:p w:rsidR="00C4536F" w:rsidRPr="00F30C99" w:rsidRDefault="00C4536F" w:rsidP="00C4536F">
            <w:pPr>
              <w:pStyle w:val="Tabletext"/>
            </w:pPr>
            <w:r w:rsidRPr="00F30C99">
              <w:t xml:space="preserve">In addition to </w:t>
            </w:r>
            <w:r w:rsidR="002B5C75">
              <w:t>item 1</w:t>
            </w:r>
            <w:r w:rsidRPr="00F30C99">
              <w:t xml:space="preserve"> or 2, </w:t>
            </w:r>
            <w:r w:rsidR="00E63261" w:rsidRPr="00F30C99">
              <w:t>the amount</w:t>
            </w:r>
            <w:r w:rsidR="00103816" w:rsidRPr="00F30C99">
              <w:t xml:space="preserve"> that </w:t>
            </w:r>
            <w:r w:rsidR="00DB07F0" w:rsidRPr="00F30C99">
              <w:t>the</w:t>
            </w:r>
            <w:r w:rsidR="00103816" w:rsidRPr="00F30C99">
              <w:t xml:space="preserve"> person </w:t>
            </w:r>
            <w:r w:rsidR="00113093" w:rsidRPr="00F30C99">
              <w:t xml:space="preserve">mentioned in </w:t>
            </w:r>
            <w:r w:rsidR="00173C64" w:rsidRPr="00F30C99">
              <w:t>paragraph (</w:t>
            </w:r>
            <w:r w:rsidR="00113093" w:rsidRPr="00F30C99">
              <w:t>2)</w:t>
            </w:r>
            <w:r w:rsidR="0030167A" w:rsidRPr="00F30C99">
              <w:t>(a)</w:t>
            </w:r>
            <w:r w:rsidR="00113093" w:rsidRPr="00F30C99">
              <w:t xml:space="preserve"> </w:t>
            </w:r>
            <w:r w:rsidR="000322C1" w:rsidRPr="00F30C99">
              <w:t xml:space="preserve">decides is </w:t>
            </w:r>
            <w:r w:rsidRPr="00F30C99">
              <w:t>reasonable for:</w:t>
            </w:r>
          </w:p>
          <w:p w:rsidR="00C4536F" w:rsidRPr="00F30C99" w:rsidRDefault="00C4536F" w:rsidP="00C4536F">
            <w:pPr>
              <w:pStyle w:val="Tablea"/>
            </w:pPr>
            <w:r w:rsidRPr="00F30C99">
              <w:t xml:space="preserve">(a) the cost of transport </w:t>
            </w:r>
            <w:r w:rsidR="00E63261" w:rsidRPr="00F30C99">
              <w:t xml:space="preserve">to </w:t>
            </w:r>
            <w:r w:rsidR="00EC77D6" w:rsidRPr="00F30C99">
              <w:t>the location</w:t>
            </w:r>
            <w:r w:rsidR="00E63261" w:rsidRPr="00F30C99">
              <w:t xml:space="preserve"> </w:t>
            </w:r>
            <w:r w:rsidR="00EC77D6" w:rsidRPr="00F30C99">
              <w:t xml:space="preserve">of </w:t>
            </w:r>
            <w:r w:rsidRPr="00F30C99">
              <w:t>the hearing; and</w:t>
            </w:r>
          </w:p>
          <w:p w:rsidR="00C4536F" w:rsidRPr="00F30C99" w:rsidRDefault="00C4536F" w:rsidP="00E63261">
            <w:pPr>
              <w:pStyle w:val="Tablea"/>
            </w:pPr>
            <w:r w:rsidRPr="00F30C99">
              <w:t xml:space="preserve">(b) </w:t>
            </w:r>
            <w:r w:rsidR="00E63261" w:rsidRPr="00F30C99">
              <w:t>meals and accommodation</w:t>
            </w:r>
          </w:p>
        </w:tc>
      </w:tr>
    </w:tbl>
    <w:p w:rsidR="00531031" w:rsidRPr="00F30C99" w:rsidRDefault="00531031" w:rsidP="00531031">
      <w:pPr>
        <w:pStyle w:val="SubsectionHead"/>
      </w:pPr>
      <w:r w:rsidRPr="00F30C99">
        <w:t>Decision made under item</w:t>
      </w:r>
      <w:r w:rsidR="00173C64" w:rsidRPr="00F30C99">
        <w:t> </w:t>
      </w:r>
      <w:r w:rsidRPr="00F30C99">
        <w:t xml:space="preserve">3 of the table in </w:t>
      </w:r>
      <w:r w:rsidR="00173C64" w:rsidRPr="00F30C99">
        <w:t>subsection (</w:t>
      </w:r>
      <w:r w:rsidRPr="00F30C99">
        <w:t>1)</w:t>
      </w:r>
    </w:p>
    <w:p w:rsidR="0030167A" w:rsidRPr="00F30C99" w:rsidRDefault="00103816" w:rsidP="00103816">
      <w:pPr>
        <w:pStyle w:val="subsection"/>
      </w:pPr>
      <w:r w:rsidRPr="00F30C99">
        <w:tab/>
        <w:t>(2)</w:t>
      </w:r>
      <w:r w:rsidRPr="00F30C99">
        <w:tab/>
      </w:r>
      <w:r w:rsidR="0030167A" w:rsidRPr="00F30C99">
        <w:t>For</w:t>
      </w:r>
      <w:r w:rsidR="006D2149" w:rsidRPr="00F30C99">
        <w:t xml:space="preserve"> the purposes of</w:t>
      </w:r>
      <w:r w:rsidR="0030167A" w:rsidRPr="00F30C99">
        <w:t xml:space="preserve"> item</w:t>
      </w:r>
      <w:r w:rsidR="00173C64" w:rsidRPr="00F30C99">
        <w:t> </w:t>
      </w:r>
      <w:r w:rsidR="0030167A" w:rsidRPr="00F30C99">
        <w:t xml:space="preserve">3 of the table in </w:t>
      </w:r>
      <w:r w:rsidR="00173C64" w:rsidRPr="00F30C99">
        <w:t>subsection (</w:t>
      </w:r>
      <w:r w:rsidR="0030167A" w:rsidRPr="00F30C99">
        <w:t>1):</w:t>
      </w:r>
    </w:p>
    <w:p w:rsidR="00103816" w:rsidRPr="00F30C99" w:rsidRDefault="0030167A" w:rsidP="00D0456A">
      <w:pPr>
        <w:pStyle w:val="paragraph"/>
      </w:pPr>
      <w:r w:rsidRPr="00F30C99">
        <w:tab/>
        <w:t>(a)</w:t>
      </w:r>
      <w:r w:rsidRPr="00F30C99">
        <w:tab/>
      </w:r>
      <w:r w:rsidR="00DB07F0" w:rsidRPr="00F30C99">
        <w:t>the</w:t>
      </w:r>
      <w:r w:rsidR="00103816" w:rsidRPr="00F30C99">
        <w:t xml:space="preserve"> person </w:t>
      </w:r>
      <w:r w:rsidR="00F97E59" w:rsidRPr="00F30C99">
        <w:t xml:space="preserve">(the </w:t>
      </w:r>
      <w:r w:rsidR="00F97E59" w:rsidRPr="00F30C99">
        <w:rPr>
          <w:b/>
          <w:i/>
        </w:rPr>
        <w:t>decision</w:t>
      </w:r>
      <w:r w:rsidR="002B5C75">
        <w:rPr>
          <w:b/>
          <w:i/>
        </w:rPr>
        <w:noBreakHyphen/>
      </w:r>
      <w:r w:rsidR="00F97E59" w:rsidRPr="00F30C99">
        <w:rPr>
          <w:b/>
          <w:i/>
        </w:rPr>
        <w:t>maker</w:t>
      </w:r>
      <w:r w:rsidR="00F97E59" w:rsidRPr="00F30C99">
        <w:t xml:space="preserve">) </w:t>
      </w:r>
      <w:r w:rsidR="00103816" w:rsidRPr="00F30C99">
        <w:t>is</w:t>
      </w:r>
      <w:r w:rsidR="00D0456A" w:rsidRPr="00F30C99">
        <w:t xml:space="preserve"> </w:t>
      </w:r>
      <w:r w:rsidR="00CA7A42" w:rsidRPr="00F30C99">
        <w:t xml:space="preserve">a staff member of ACLEI who is an SES employee </w:t>
      </w:r>
      <w:r w:rsidRPr="00F30C99">
        <w:t>or acting SES employee; and</w:t>
      </w:r>
    </w:p>
    <w:p w:rsidR="00EC77D6" w:rsidRPr="00F30C99" w:rsidRDefault="0030167A" w:rsidP="0030167A">
      <w:pPr>
        <w:pStyle w:val="paragraph"/>
      </w:pPr>
      <w:r w:rsidRPr="00F30C99">
        <w:tab/>
        <w:t>(b)</w:t>
      </w:r>
      <w:r w:rsidRPr="00F30C99">
        <w:tab/>
        <w:t>th</w:t>
      </w:r>
      <w:r w:rsidR="00F97E59" w:rsidRPr="00F30C99">
        <w:t>e decision</w:t>
      </w:r>
      <w:r w:rsidR="002B5C75">
        <w:noBreakHyphen/>
      </w:r>
      <w:r w:rsidR="00F97E59" w:rsidRPr="00F30C99">
        <w:t>maker</w:t>
      </w:r>
      <w:r w:rsidRPr="00F30C99">
        <w:t xml:space="preserve"> must</w:t>
      </w:r>
      <w:r w:rsidR="000322C1" w:rsidRPr="00F30C99">
        <w:t xml:space="preserve"> take into account </w:t>
      </w:r>
      <w:r w:rsidR="00002188" w:rsidRPr="00F30C99">
        <w:t>t</w:t>
      </w:r>
      <w:r w:rsidR="00EC77D6" w:rsidRPr="00F30C99">
        <w:t xml:space="preserve">he </w:t>
      </w:r>
      <w:r w:rsidR="000322C1" w:rsidRPr="00F30C99">
        <w:t xml:space="preserve">following </w:t>
      </w:r>
      <w:r w:rsidR="00EC77D6" w:rsidRPr="00F30C99">
        <w:t xml:space="preserve">matters </w:t>
      </w:r>
      <w:r w:rsidR="00002188" w:rsidRPr="00F30C99">
        <w:t>when de</w:t>
      </w:r>
      <w:r w:rsidR="000322C1" w:rsidRPr="00F30C99">
        <w:t>cid</w:t>
      </w:r>
      <w:r w:rsidR="00002188" w:rsidRPr="00F30C99">
        <w:t xml:space="preserve">ing the amount that is reasonable </w:t>
      </w:r>
      <w:r w:rsidR="000322C1" w:rsidRPr="00F30C99">
        <w:t>in relation to</w:t>
      </w:r>
      <w:r w:rsidR="00002188" w:rsidRPr="00F30C99">
        <w:t xml:space="preserve"> the witness</w:t>
      </w:r>
      <w:r w:rsidR="00531031" w:rsidRPr="00F30C99">
        <w:t xml:space="preserve"> (the </w:t>
      </w:r>
      <w:r w:rsidR="00531031" w:rsidRPr="00F30C99">
        <w:rPr>
          <w:b/>
          <w:i/>
        </w:rPr>
        <w:t>affected witness</w:t>
      </w:r>
      <w:r w:rsidR="00531031" w:rsidRPr="00F30C99">
        <w:t>)</w:t>
      </w:r>
      <w:r w:rsidR="00002188" w:rsidRPr="00F30C99">
        <w:t>:</w:t>
      </w:r>
    </w:p>
    <w:p w:rsidR="009C3C13" w:rsidRPr="00F30C99" w:rsidRDefault="009C3C13" w:rsidP="0030167A">
      <w:pPr>
        <w:pStyle w:val="paragraphsub"/>
      </w:pPr>
      <w:r w:rsidRPr="00F30C99">
        <w:lastRenderedPageBreak/>
        <w:tab/>
        <w:t>(i)</w:t>
      </w:r>
      <w:r w:rsidRPr="00F30C99">
        <w:tab/>
        <w:t xml:space="preserve">the distance travelled by the </w:t>
      </w:r>
      <w:r w:rsidR="00531031" w:rsidRPr="00F30C99">
        <w:t xml:space="preserve">affected </w:t>
      </w:r>
      <w:r w:rsidRPr="00F30C99">
        <w:t>witness</w:t>
      </w:r>
      <w:r w:rsidR="00531031" w:rsidRPr="00F30C99">
        <w:t xml:space="preserve"> </w:t>
      </w:r>
      <w:r w:rsidRPr="00F30C99">
        <w:t>specifically to appear at the hearing;</w:t>
      </w:r>
    </w:p>
    <w:p w:rsidR="009C3C13" w:rsidRPr="00F30C99" w:rsidRDefault="00002188" w:rsidP="0030167A">
      <w:pPr>
        <w:pStyle w:val="paragraphsub"/>
      </w:pPr>
      <w:r w:rsidRPr="00F30C99">
        <w:tab/>
        <w:t>(</w:t>
      </w:r>
      <w:r w:rsidR="0030167A" w:rsidRPr="00F30C99">
        <w:t>ii</w:t>
      </w:r>
      <w:r w:rsidRPr="00F30C99">
        <w:t>)</w:t>
      </w:r>
      <w:r w:rsidRPr="00F30C99">
        <w:tab/>
      </w:r>
      <w:r w:rsidR="009C3C13" w:rsidRPr="00F30C99">
        <w:t xml:space="preserve">whether the </w:t>
      </w:r>
      <w:r w:rsidR="00531031" w:rsidRPr="00F30C99">
        <w:t xml:space="preserve">affected </w:t>
      </w:r>
      <w:r w:rsidR="009C3C13" w:rsidRPr="00F30C99">
        <w:t xml:space="preserve">witness had to be absent overnight from the </w:t>
      </w:r>
      <w:r w:rsidR="00531031" w:rsidRPr="00F30C99">
        <w:t xml:space="preserve">affected </w:t>
      </w:r>
      <w:r w:rsidR="009C3C13" w:rsidRPr="00F30C99">
        <w:t>witness’s usual place of residence specifically to appear at the hearing;</w:t>
      </w:r>
    </w:p>
    <w:p w:rsidR="00002188" w:rsidRPr="00F30C99" w:rsidRDefault="009C3C13" w:rsidP="0030167A">
      <w:pPr>
        <w:pStyle w:val="paragraphsub"/>
      </w:pPr>
      <w:r w:rsidRPr="00F30C99">
        <w:tab/>
        <w:t>(iii)</w:t>
      </w:r>
      <w:r w:rsidRPr="00F30C99">
        <w:tab/>
      </w:r>
      <w:r w:rsidR="00002188" w:rsidRPr="00F30C99">
        <w:t xml:space="preserve">the amount paid to the </w:t>
      </w:r>
      <w:r w:rsidR="00531031" w:rsidRPr="00F30C99">
        <w:t xml:space="preserve">affected </w:t>
      </w:r>
      <w:r w:rsidR="00002188" w:rsidRPr="00F30C99">
        <w:t xml:space="preserve">witness under </w:t>
      </w:r>
      <w:r w:rsidR="002B5C75">
        <w:t>item 1</w:t>
      </w:r>
      <w:r w:rsidR="00002188" w:rsidRPr="00F30C99">
        <w:t xml:space="preserve"> or 2 of the table in </w:t>
      </w:r>
      <w:r w:rsidR="00173C64" w:rsidRPr="00F30C99">
        <w:t>subsection (</w:t>
      </w:r>
      <w:r w:rsidR="00002188" w:rsidRPr="00F30C99">
        <w:t>1);</w:t>
      </w:r>
    </w:p>
    <w:p w:rsidR="00002188" w:rsidRPr="00F30C99" w:rsidRDefault="00002188" w:rsidP="0030167A">
      <w:pPr>
        <w:pStyle w:val="paragraphsub"/>
      </w:pPr>
      <w:r w:rsidRPr="00F30C99">
        <w:tab/>
        <w:t>(</w:t>
      </w:r>
      <w:r w:rsidR="0030167A" w:rsidRPr="00F30C99">
        <w:t>i</w:t>
      </w:r>
      <w:r w:rsidR="009C3C13" w:rsidRPr="00F30C99">
        <w:t>v</w:t>
      </w:r>
      <w:r w:rsidRPr="00F30C99">
        <w:t>)</w:t>
      </w:r>
      <w:r w:rsidRPr="00F30C99">
        <w:tab/>
        <w:t xml:space="preserve">any other matter the </w:t>
      </w:r>
      <w:r w:rsidR="00F97E59" w:rsidRPr="00F30C99">
        <w:t>decision</w:t>
      </w:r>
      <w:r w:rsidR="002B5C75">
        <w:noBreakHyphen/>
      </w:r>
      <w:r w:rsidR="00F97E59" w:rsidRPr="00F30C99">
        <w:t>maker</w:t>
      </w:r>
      <w:r w:rsidRPr="00F30C99">
        <w:t xml:space="preserve"> considers relevant</w:t>
      </w:r>
      <w:r w:rsidR="00965410" w:rsidRPr="00F30C99">
        <w:t>.</w:t>
      </w:r>
    </w:p>
    <w:p w:rsidR="00F97E59" w:rsidRPr="00F30C99" w:rsidRDefault="00531031" w:rsidP="00531031">
      <w:pPr>
        <w:pStyle w:val="subsection"/>
      </w:pPr>
      <w:r w:rsidRPr="00F30C99">
        <w:tab/>
        <w:t>(3)</w:t>
      </w:r>
      <w:r w:rsidRPr="00F30C99">
        <w:tab/>
      </w:r>
      <w:r w:rsidR="00F97E59" w:rsidRPr="00F30C99">
        <w:t xml:space="preserve">As soon as practicable after making a decision </w:t>
      </w:r>
      <w:r w:rsidR="007A03D6" w:rsidRPr="00F30C99">
        <w:t xml:space="preserve">(the </w:t>
      </w:r>
      <w:r w:rsidR="007A03D6" w:rsidRPr="00F30C99">
        <w:rPr>
          <w:b/>
          <w:i/>
        </w:rPr>
        <w:t>initial decision</w:t>
      </w:r>
      <w:r w:rsidR="007A03D6" w:rsidRPr="00F30C99">
        <w:t xml:space="preserve">) </w:t>
      </w:r>
      <w:r w:rsidR="00F97E59" w:rsidRPr="00F30C99">
        <w:t>under item</w:t>
      </w:r>
      <w:r w:rsidR="00173C64" w:rsidRPr="00F30C99">
        <w:t> </w:t>
      </w:r>
      <w:r w:rsidR="00F97E59" w:rsidRPr="00F30C99">
        <w:t xml:space="preserve">3 of the table in </w:t>
      </w:r>
      <w:r w:rsidR="00173C64" w:rsidRPr="00F30C99">
        <w:t>subsection (</w:t>
      </w:r>
      <w:r w:rsidR="00F97E59" w:rsidRPr="00F30C99">
        <w:t>1), the decision</w:t>
      </w:r>
      <w:r w:rsidR="002B5C75">
        <w:noBreakHyphen/>
      </w:r>
      <w:r w:rsidR="00F97E59" w:rsidRPr="00F30C99">
        <w:t>maker must notify the affected witness, in writing, of:</w:t>
      </w:r>
    </w:p>
    <w:p w:rsidR="00F97E59" w:rsidRPr="00F30C99" w:rsidRDefault="00F97E59" w:rsidP="00F97E59">
      <w:pPr>
        <w:pStyle w:val="paragraph"/>
      </w:pPr>
      <w:r w:rsidRPr="00F30C99">
        <w:tab/>
        <w:t>(a)</w:t>
      </w:r>
      <w:r w:rsidRPr="00F30C99">
        <w:tab/>
        <w:t xml:space="preserve">the </w:t>
      </w:r>
      <w:r w:rsidR="007A03D6" w:rsidRPr="00F30C99">
        <w:t xml:space="preserve">initial </w:t>
      </w:r>
      <w:r w:rsidRPr="00F30C99">
        <w:t>decision; and</w:t>
      </w:r>
    </w:p>
    <w:p w:rsidR="00100758" w:rsidRPr="00F30C99" w:rsidRDefault="00F97E59" w:rsidP="00F97E59">
      <w:pPr>
        <w:pStyle w:val="paragraph"/>
      </w:pPr>
      <w:r w:rsidRPr="00F30C99">
        <w:tab/>
        <w:t>(b)</w:t>
      </w:r>
      <w:r w:rsidRPr="00F30C99">
        <w:tab/>
        <w:t xml:space="preserve">the reasons for the </w:t>
      </w:r>
      <w:r w:rsidR="007A03D6" w:rsidRPr="00F30C99">
        <w:t xml:space="preserve">initial </w:t>
      </w:r>
      <w:r w:rsidRPr="00F30C99">
        <w:t>decision</w:t>
      </w:r>
      <w:r w:rsidR="00100758" w:rsidRPr="00F30C99">
        <w:t>; and</w:t>
      </w:r>
    </w:p>
    <w:p w:rsidR="00F97E59" w:rsidRPr="00F30C99" w:rsidRDefault="00100758" w:rsidP="00F97E59">
      <w:pPr>
        <w:pStyle w:val="paragraph"/>
      </w:pPr>
      <w:r w:rsidRPr="00F30C99">
        <w:tab/>
        <w:t>(c)</w:t>
      </w:r>
      <w:r w:rsidRPr="00F30C99">
        <w:tab/>
        <w:t>particulars of the affected witness’s right to have the initial decision reviewed</w:t>
      </w:r>
      <w:r w:rsidR="00D0456A" w:rsidRPr="00F30C99">
        <w:t xml:space="preserve"> under this section</w:t>
      </w:r>
      <w:r w:rsidR="00F97E59" w:rsidRPr="00F30C99">
        <w:t>.</w:t>
      </w:r>
    </w:p>
    <w:p w:rsidR="00D0456A" w:rsidRPr="00F30C99" w:rsidRDefault="00D0456A" w:rsidP="00D0456A">
      <w:pPr>
        <w:pStyle w:val="SubsectionHead"/>
      </w:pPr>
      <w:r w:rsidRPr="00F30C99">
        <w:t>Internal review of initial decision</w:t>
      </w:r>
    </w:p>
    <w:p w:rsidR="00531031" w:rsidRPr="00F30C99" w:rsidRDefault="00F97E59" w:rsidP="00531031">
      <w:pPr>
        <w:pStyle w:val="subsection"/>
      </w:pPr>
      <w:r w:rsidRPr="00F30C99">
        <w:tab/>
        <w:t>(4)</w:t>
      </w:r>
      <w:r w:rsidRPr="00F30C99">
        <w:tab/>
      </w:r>
      <w:r w:rsidR="00531031" w:rsidRPr="00F30C99">
        <w:t xml:space="preserve">The affected witness may request the Integrity Commissioner, in writing, to review the </w:t>
      </w:r>
      <w:r w:rsidR="007A03D6" w:rsidRPr="00F30C99">
        <w:t xml:space="preserve">initial </w:t>
      </w:r>
      <w:r w:rsidR="00531031" w:rsidRPr="00F30C99">
        <w:t>decision</w:t>
      </w:r>
      <w:r w:rsidR="007A03D6" w:rsidRPr="00F30C99">
        <w:t>.</w:t>
      </w:r>
    </w:p>
    <w:p w:rsidR="00531031" w:rsidRPr="00F30C99" w:rsidRDefault="00531031" w:rsidP="00531031">
      <w:pPr>
        <w:pStyle w:val="subsection"/>
      </w:pPr>
      <w:r w:rsidRPr="00F30C99">
        <w:tab/>
        <w:t>(</w:t>
      </w:r>
      <w:r w:rsidR="00DB07F0" w:rsidRPr="00F30C99">
        <w:t>5</w:t>
      </w:r>
      <w:r w:rsidRPr="00F30C99">
        <w:t>)</w:t>
      </w:r>
      <w:r w:rsidRPr="00F30C99">
        <w:tab/>
        <w:t>The request must:</w:t>
      </w:r>
    </w:p>
    <w:p w:rsidR="00531031" w:rsidRPr="00F30C99" w:rsidRDefault="00531031" w:rsidP="00531031">
      <w:pPr>
        <w:pStyle w:val="paragraph"/>
      </w:pPr>
      <w:r w:rsidRPr="00F30C99">
        <w:tab/>
        <w:t>(a)</w:t>
      </w:r>
      <w:r w:rsidRPr="00F30C99">
        <w:tab/>
        <w:t xml:space="preserve">be made within </w:t>
      </w:r>
      <w:r w:rsidR="00172335" w:rsidRPr="00F30C99">
        <w:t>14</w:t>
      </w:r>
      <w:r w:rsidRPr="00F30C99">
        <w:t xml:space="preserve"> days after the day on which the affected witness is notified of the </w:t>
      </w:r>
      <w:r w:rsidR="007A03D6" w:rsidRPr="00F30C99">
        <w:t xml:space="preserve">initial </w:t>
      </w:r>
      <w:r w:rsidRPr="00F30C99">
        <w:t>decision</w:t>
      </w:r>
      <w:r w:rsidR="00D0456A" w:rsidRPr="00F30C99">
        <w:t xml:space="preserve">, or within </w:t>
      </w:r>
      <w:r w:rsidR="00321FA2" w:rsidRPr="00F30C99">
        <w:t>a longer</w:t>
      </w:r>
      <w:r w:rsidR="00D0456A" w:rsidRPr="00F30C99">
        <w:t xml:space="preserve"> period (if any) </w:t>
      </w:r>
      <w:r w:rsidR="00321FA2" w:rsidRPr="00F30C99">
        <w:t>allowed by the Integrity Commissioner</w:t>
      </w:r>
      <w:r w:rsidR="00D0456A" w:rsidRPr="00F30C99">
        <w:t xml:space="preserve"> </w:t>
      </w:r>
      <w:r w:rsidR="00321FA2" w:rsidRPr="00F30C99">
        <w:t>(whether</w:t>
      </w:r>
      <w:r w:rsidR="00D0456A" w:rsidRPr="00F30C99">
        <w:t xml:space="preserve"> before or after the end of that </w:t>
      </w:r>
      <w:r w:rsidR="00172335" w:rsidRPr="00F30C99">
        <w:t>14</w:t>
      </w:r>
      <w:r w:rsidR="00D0456A" w:rsidRPr="00F30C99">
        <w:t xml:space="preserve"> day period</w:t>
      </w:r>
      <w:r w:rsidR="00321FA2" w:rsidRPr="00F30C99">
        <w:t>)</w:t>
      </w:r>
      <w:r w:rsidRPr="00F30C99">
        <w:t>; and</w:t>
      </w:r>
    </w:p>
    <w:p w:rsidR="00531031" w:rsidRPr="00F30C99" w:rsidRDefault="00531031" w:rsidP="00531031">
      <w:pPr>
        <w:pStyle w:val="paragraph"/>
      </w:pPr>
      <w:r w:rsidRPr="00F30C99">
        <w:tab/>
        <w:t>(b)</w:t>
      </w:r>
      <w:r w:rsidRPr="00F30C99">
        <w:tab/>
      </w:r>
      <w:r w:rsidR="00F97E59" w:rsidRPr="00F30C99">
        <w:t xml:space="preserve">set out the reasons </w:t>
      </w:r>
      <w:r w:rsidR="006D2149" w:rsidRPr="00F30C99">
        <w:t>for making the request</w:t>
      </w:r>
      <w:r w:rsidR="00F97E59" w:rsidRPr="00F30C99">
        <w:t>.</w:t>
      </w:r>
    </w:p>
    <w:p w:rsidR="00F97E59" w:rsidRPr="00F30C99" w:rsidRDefault="00F97E59" w:rsidP="00D0456A">
      <w:pPr>
        <w:pStyle w:val="subsection"/>
      </w:pPr>
      <w:r w:rsidRPr="00F30C99">
        <w:tab/>
        <w:t>(</w:t>
      </w:r>
      <w:r w:rsidR="00DB07F0" w:rsidRPr="00F30C99">
        <w:t>6</w:t>
      </w:r>
      <w:r w:rsidRPr="00F30C99">
        <w:t>)</w:t>
      </w:r>
      <w:r w:rsidRPr="00F30C99">
        <w:tab/>
      </w:r>
      <w:r w:rsidR="00D0456A" w:rsidRPr="00F30C99">
        <w:t>T</w:t>
      </w:r>
      <w:r w:rsidRPr="00F30C99">
        <w:t xml:space="preserve">he Integrity Commissioner must review the </w:t>
      </w:r>
      <w:r w:rsidR="007A03D6" w:rsidRPr="00F30C99">
        <w:t xml:space="preserve">initial </w:t>
      </w:r>
      <w:r w:rsidRPr="00F30C99">
        <w:t>decision:</w:t>
      </w:r>
    </w:p>
    <w:p w:rsidR="00F97E59" w:rsidRPr="00F30C99" w:rsidRDefault="00F97E59" w:rsidP="00D0456A">
      <w:pPr>
        <w:pStyle w:val="paragraph"/>
      </w:pPr>
      <w:r w:rsidRPr="00F30C99">
        <w:tab/>
      </w:r>
      <w:r w:rsidR="00D0456A" w:rsidRPr="00F30C99">
        <w:t>(a</w:t>
      </w:r>
      <w:r w:rsidRPr="00F30C99">
        <w:t>)</w:t>
      </w:r>
      <w:r w:rsidRPr="00F30C99">
        <w:tab/>
        <w:t>personally; and</w:t>
      </w:r>
    </w:p>
    <w:p w:rsidR="00F97E59" w:rsidRPr="00F30C99" w:rsidRDefault="00F97E59" w:rsidP="00D0456A">
      <w:pPr>
        <w:pStyle w:val="paragraph"/>
      </w:pPr>
      <w:r w:rsidRPr="00F30C99">
        <w:tab/>
      </w:r>
      <w:r w:rsidR="00D0456A" w:rsidRPr="00F30C99">
        <w:t>(b</w:t>
      </w:r>
      <w:r w:rsidRPr="00F30C99">
        <w:t>)</w:t>
      </w:r>
      <w:r w:rsidRPr="00F30C99">
        <w:tab/>
        <w:t>as soon as practicable</w:t>
      </w:r>
      <w:r w:rsidR="007A03D6" w:rsidRPr="00F30C99">
        <w:t xml:space="preserve"> </w:t>
      </w:r>
      <w:r w:rsidRPr="00F30C99">
        <w:t>after receiving the request</w:t>
      </w:r>
      <w:r w:rsidR="00D0456A" w:rsidRPr="00F30C99">
        <w:t>.</w:t>
      </w:r>
    </w:p>
    <w:p w:rsidR="007A03D6" w:rsidRPr="00F30C99" w:rsidRDefault="007A03D6" w:rsidP="007A03D6">
      <w:pPr>
        <w:pStyle w:val="subsection"/>
      </w:pPr>
      <w:r w:rsidRPr="00F30C99">
        <w:tab/>
        <w:t>(</w:t>
      </w:r>
      <w:r w:rsidR="00DB07F0" w:rsidRPr="00F30C99">
        <w:t>7</w:t>
      </w:r>
      <w:r w:rsidRPr="00F30C99">
        <w:t>)</w:t>
      </w:r>
      <w:r w:rsidRPr="00F30C99">
        <w:tab/>
        <w:t xml:space="preserve">The </w:t>
      </w:r>
      <w:r w:rsidR="00D0456A" w:rsidRPr="00F30C99">
        <w:t>Integrity Commissioner</w:t>
      </w:r>
      <w:r w:rsidRPr="00F30C99">
        <w:t xml:space="preserve"> may:</w:t>
      </w:r>
    </w:p>
    <w:p w:rsidR="007A03D6" w:rsidRPr="00F30C99" w:rsidRDefault="007A03D6" w:rsidP="007A03D6">
      <w:pPr>
        <w:pStyle w:val="paragraph"/>
      </w:pPr>
      <w:r w:rsidRPr="00F30C99">
        <w:tab/>
        <w:t>(a)</w:t>
      </w:r>
      <w:r w:rsidRPr="00F30C99">
        <w:tab/>
        <w:t>affirm, vary or revoke the initial decision; and</w:t>
      </w:r>
    </w:p>
    <w:p w:rsidR="007A03D6" w:rsidRPr="00F30C99" w:rsidRDefault="007A03D6" w:rsidP="007A03D6">
      <w:pPr>
        <w:pStyle w:val="paragraph"/>
      </w:pPr>
      <w:r w:rsidRPr="00F30C99">
        <w:tab/>
        <w:t>(b)</w:t>
      </w:r>
      <w:r w:rsidRPr="00F30C99">
        <w:tab/>
        <w:t xml:space="preserve">if the initial decision is revoked, make such other decision as </w:t>
      </w:r>
      <w:r w:rsidR="00100758" w:rsidRPr="00F30C99">
        <w:t xml:space="preserve">the </w:t>
      </w:r>
      <w:r w:rsidR="00D0456A" w:rsidRPr="00F30C99">
        <w:t xml:space="preserve">Integrity Commissioner </w:t>
      </w:r>
      <w:r w:rsidRPr="00F30C99">
        <w:t>thinks appropriate.</w:t>
      </w:r>
    </w:p>
    <w:p w:rsidR="00100758" w:rsidRPr="00F30C99" w:rsidRDefault="00100758" w:rsidP="00100758">
      <w:pPr>
        <w:pStyle w:val="subsection"/>
      </w:pPr>
      <w:r w:rsidRPr="00F30C99">
        <w:tab/>
        <w:t>(</w:t>
      </w:r>
      <w:r w:rsidR="00DB07F0" w:rsidRPr="00F30C99">
        <w:t>8</w:t>
      </w:r>
      <w:r w:rsidRPr="00F30C99">
        <w:t>)</w:t>
      </w:r>
      <w:r w:rsidRPr="00F30C99">
        <w:tab/>
        <w:t xml:space="preserve">The </w:t>
      </w:r>
      <w:r w:rsidR="00D0456A" w:rsidRPr="00F30C99">
        <w:t>Integrity Commissioner</w:t>
      </w:r>
      <w:r w:rsidRPr="00F30C99">
        <w:t xml:space="preserve"> must notify the affected witness, in writing, within </w:t>
      </w:r>
      <w:r w:rsidR="00A561B0" w:rsidRPr="00F30C99">
        <w:t>30</w:t>
      </w:r>
      <w:r w:rsidRPr="00F30C99">
        <w:t xml:space="preserve"> </w:t>
      </w:r>
      <w:r w:rsidR="00DB07F0" w:rsidRPr="00F30C99">
        <w:t xml:space="preserve">days </w:t>
      </w:r>
      <w:r w:rsidRPr="00F30C99">
        <w:t>after receiving the request, of:</w:t>
      </w:r>
    </w:p>
    <w:p w:rsidR="00100758" w:rsidRPr="00F30C99" w:rsidRDefault="00100758" w:rsidP="00100758">
      <w:pPr>
        <w:pStyle w:val="paragraph"/>
      </w:pPr>
      <w:r w:rsidRPr="00F30C99">
        <w:tab/>
        <w:t>(a)</w:t>
      </w:r>
      <w:r w:rsidRPr="00F30C99">
        <w:tab/>
        <w:t xml:space="preserve">the decision under </w:t>
      </w:r>
      <w:r w:rsidR="00173C64" w:rsidRPr="00F30C99">
        <w:t>subsection (</w:t>
      </w:r>
      <w:r w:rsidR="00DB07F0" w:rsidRPr="00F30C99">
        <w:t>7</w:t>
      </w:r>
      <w:r w:rsidRPr="00F30C99">
        <w:t>); and</w:t>
      </w:r>
    </w:p>
    <w:p w:rsidR="00100758" w:rsidRPr="00F30C99" w:rsidRDefault="00100758" w:rsidP="00A561B0">
      <w:pPr>
        <w:pStyle w:val="paragraph"/>
      </w:pPr>
      <w:r w:rsidRPr="00F30C99">
        <w:tab/>
        <w:t>(b)</w:t>
      </w:r>
      <w:r w:rsidRPr="00F30C99">
        <w:tab/>
        <w:t>the reasons for that decision.</w:t>
      </w:r>
    </w:p>
    <w:p w:rsidR="004E0F3A" w:rsidRPr="00F30C99" w:rsidRDefault="00D37EB8" w:rsidP="004E0F3A">
      <w:pPr>
        <w:pStyle w:val="ActHead5"/>
      </w:pPr>
      <w:bookmarkStart w:id="13" w:name="_Toc92895809"/>
      <w:r w:rsidRPr="002B5C75">
        <w:rPr>
          <w:rStyle w:val="CharSectno"/>
        </w:rPr>
        <w:t>9</w:t>
      </w:r>
      <w:r w:rsidR="004E0F3A" w:rsidRPr="00F30C99">
        <w:t xml:space="preserve">  </w:t>
      </w:r>
      <w:r w:rsidR="00682928" w:rsidRPr="00F30C99">
        <w:t>Form of i</w:t>
      </w:r>
      <w:r w:rsidR="004E0F3A" w:rsidRPr="00F30C99">
        <w:t>dentity card</w:t>
      </w:r>
      <w:r w:rsidR="00682928" w:rsidRPr="00F30C99">
        <w:t xml:space="preserve"> for authorised officers</w:t>
      </w:r>
      <w:bookmarkEnd w:id="13"/>
    </w:p>
    <w:p w:rsidR="004E0F3A" w:rsidRPr="00F30C99" w:rsidRDefault="004E0F3A" w:rsidP="004E0F3A">
      <w:pPr>
        <w:pStyle w:val="subsection"/>
      </w:pPr>
      <w:r w:rsidRPr="00F30C99">
        <w:tab/>
      </w:r>
      <w:r w:rsidRPr="00F30C99">
        <w:tab/>
        <w:t xml:space="preserve">For </w:t>
      </w:r>
      <w:r w:rsidR="00682928" w:rsidRPr="00F30C99">
        <w:t xml:space="preserve">the purposes of </w:t>
      </w:r>
      <w:r w:rsidRPr="00F30C99">
        <w:t>paragraph</w:t>
      </w:r>
      <w:r w:rsidR="00173C64" w:rsidRPr="00F30C99">
        <w:t> </w:t>
      </w:r>
      <w:r w:rsidRPr="00F30C99">
        <w:t xml:space="preserve">141(2)(a) of the Act, </w:t>
      </w:r>
      <w:r w:rsidR="000B74C7" w:rsidRPr="00F30C99">
        <w:t>the form set out in</w:t>
      </w:r>
      <w:r w:rsidR="00682928" w:rsidRPr="00F30C99">
        <w:t xml:space="preserve"> Schedule</w:t>
      </w:r>
      <w:r w:rsidR="00173C64" w:rsidRPr="00F30C99">
        <w:t> </w:t>
      </w:r>
      <w:r w:rsidR="00682928" w:rsidRPr="00F30C99">
        <w:t xml:space="preserve">1 </w:t>
      </w:r>
      <w:r w:rsidR="000B74C7" w:rsidRPr="00F30C99">
        <w:t>is prescribed as</w:t>
      </w:r>
      <w:r w:rsidR="00682928" w:rsidRPr="00F30C99">
        <w:t xml:space="preserve"> the form for an identify card for an authorised officer</w:t>
      </w:r>
      <w:r w:rsidRPr="00F30C99">
        <w:t>.</w:t>
      </w:r>
    </w:p>
    <w:p w:rsidR="006C1504" w:rsidRPr="00F30C99" w:rsidRDefault="006C1504" w:rsidP="006C1504">
      <w:pPr>
        <w:pStyle w:val="ActHead2"/>
        <w:pageBreakBefore/>
      </w:pPr>
      <w:bookmarkStart w:id="14" w:name="_Toc92895810"/>
      <w:r w:rsidRPr="002B5C75">
        <w:rPr>
          <w:rStyle w:val="CharPartNo"/>
        </w:rPr>
        <w:lastRenderedPageBreak/>
        <w:t>Part</w:t>
      </w:r>
      <w:r w:rsidR="00173C64" w:rsidRPr="002B5C75">
        <w:rPr>
          <w:rStyle w:val="CharPartNo"/>
        </w:rPr>
        <w:t> </w:t>
      </w:r>
      <w:r w:rsidRPr="002B5C75">
        <w:rPr>
          <w:rStyle w:val="CharPartNo"/>
        </w:rPr>
        <w:t>4</w:t>
      </w:r>
      <w:r w:rsidRPr="00F30C99">
        <w:t>—</w:t>
      </w:r>
      <w:r w:rsidR="00EC0FEF" w:rsidRPr="002B5C75">
        <w:rPr>
          <w:rStyle w:val="CharPartText"/>
        </w:rPr>
        <w:t>Annual reports</w:t>
      </w:r>
      <w:bookmarkEnd w:id="14"/>
    </w:p>
    <w:p w:rsidR="00F65961" w:rsidRPr="00F30C99" w:rsidRDefault="00F65961" w:rsidP="00F65961">
      <w:pPr>
        <w:pStyle w:val="Header"/>
      </w:pPr>
      <w:r w:rsidRPr="002B5C75">
        <w:rPr>
          <w:rStyle w:val="CharDivNo"/>
        </w:rPr>
        <w:t xml:space="preserve"> </w:t>
      </w:r>
      <w:r w:rsidRPr="002B5C75">
        <w:rPr>
          <w:rStyle w:val="CharDivText"/>
        </w:rPr>
        <w:t xml:space="preserve"> </w:t>
      </w:r>
    </w:p>
    <w:p w:rsidR="00F65961" w:rsidRPr="00F30C99" w:rsidRDefault="00D37EB8" w:rsidP="00F65961">
      <w:pPr>
        <w:pStyle w:val="ActHead5"/>
      </w:pPr>
      <w:bookmarkStart w:id="15" w:name="_Toc92895811"/>
      <w:r w:rsidRPr="002B5C75">
        <w:rPr>
          <w:rStyle w:val="CharSectno"/>
        </w:rPr>
        <w:t>10</w:t>
      </w:r>
      <w:r w:rsidR="00F65961" w:rsidRPr="00F30C99">
        <w:t xml:space="preserve">  Prescribed particulars for annual report</w:t>
      </w:r>
      <w:bookmarkEnd w:id="15"/>
    </w:p>
    <w:p w:rsidR="00F65961" w:rsidRPr="00F30C99" w:rsidRDefault="00F65961" w:rsidP="00F65961">
      <w:pPr>
        <w:pStyle w:val="subsection"/>
      </w:pPr>
      <w:r w:rsidRPr="00F30C99">
        <w:tab/>
      </w:r>
      <w:r w:rsidRPr="00F30C99">
        <w:tab/>
        <w:t>For the purposes of paragrap</w:t>
      </w:r>
      <w:r w:rsidR="000C7634" w:rsidRPr="00F30C99">
        <w:t>h</w:t>
      </w:r>
      <w:r w:rsidR="00173C64" w:rsidRPr="00F30C99">
        <w:t> </w:t>
      </w:r>
      <w:r w:rsidR="000C7634" w:rsidRPr="00F30C99">
        <w:t>201(a) of the Act, this Part prescribes</w:t>
      </w:r>
      <w:r w:rsidRPr="00F30C99">
        <w:t xml:space="preserve"> the particulars to be included in </w:t>
      </w:r>
      <w:r w:rsidR="003865B5" w:rsidRPr="00F30C99">
        <w:t>an</w:t>
      </w:r>
      <w:r w:rsidRPr="00F30C99">
        <w:t xml:space="preserve"> annual report</w:t>
      </w:r>
      <w:r w:rsidR="003865B5" w:rsidRPr="00F30C99">
        <w:t xml:space="preserve"> for a period</w:t>
      </w:r>
      <w:r w:rsidRPr="00F30C99">
        <w:t>.</w:t>
      </w:r>
    </w:p>
    <w:p w:rsidR="004E0F3A" w:rsidRPr="00F30C99" w:rsidRDefault="00D37EB8" w:rsidP="004E0F3A">
      <w:pPr>
        <w:pStyle w:val="ActHead5"/>
      </w:pPr>
      <w:bookmarkStart w:id="16" w:name="_Toc92895812"/>
      <w:r w:rsidRPr="002B5C75">
        <w:rPr>
          <w:rStyle w:val="CharSectno"/>
        </w:rPr>
        <w:t>11</w:t>
      </w:r>
      <w:r w:rsidR="004E0F3A" w:rsidRPr="00F30C99">
        <w:t xml:space="preserve">  </w:t>
      </w:r>
      <w:r w:rsidR="000C7634" w:rsidRPr="00F30C99">
        <w:t>C</w:t>
      </w:r>
      <w:r w:rsidR="004E0F3A" w:rsidRPr="00F30C99">
        <w:t>orruption issues notified</w:t>
      </w:r>
      <w:r w:rsidR="000C7634" w:rsidRPr="00F30C99">
        <w:t xml:space="preserve"> to Integrity Commissioner</w:t>
      </w:r>
      <w:bookmarkEnd w:id="16"/>
    </w:p>
    <w:p w:rsidR="004E0F3A" w:rsidRPr="00F30C99" w:rsidRDefault="004E0F3A" w:rsidP="004E0F3A">
      <w:pPr>
        <w:pStyle w:val="subsection"/>
      </w:pPr>
      <w:r w:rsidRPr="00F30C99">
        <w:tab/>
      </w:r>
      <w:r w:rsidR="00662870" w:rsidRPr="00F30C99">
        <w:t>(1)</w:t>
      </w:r>
      <w:r w:rsidRPr="00F30C99">
        <w:tab/>
      </w:r>
      <w:r w:rsidR="000C7634" w:rsidRPr="00F30C99">
        <w:t>For</w:t>
      </w:r>
      <w:r w:rsidRPr="00F30C99">
        <w:t xml:space="preserve"> corruption issues </w:t>
      </w:r>
      <w:r w:rsidR="000C7634" w:rsidRPr="00F30C99">
        <w:t xml:space="preserve">notified to the Integrity Commissioner as described </w:t>
      </w:r>
      <w:r w:rsidRPr="00F30C99">
        <w:t>in subparagraph</w:t>
      </w:r>
      <w:r w:rsidR="00173C64" w:rsidRPr="00F30C99">
        <w:t> </w:t>
      </w:r>
      <w:r w:rsidRPr="00F30C99">
        <w:t xml:space="preserve">201(a)(i) of the Act, </w:t>
      </w:r>
      <w:r w:rsidR="000C7634" w:rsidRPr="00F30C99">
        <w:t xml:space="preserve">the particulars are the following </w:t>
      </w:r>
      <w:r w:rsidRPr="00F30C99">
        <w:t xml:space="preserve">for each law enforcement agency in relation to which </w:t>
      </w:r>
      <w:r w:rsidR="00F65F2E" w:rsidRPr="00F30C99">
        <w:t>a corruption issue of that kind was notified</w:t>
      </w:r>
      <w:r w:rsidRPr="00F30C99">
        <w:t>:</w:t>
      </w:r>
    </w:p>
    <w:p w:rsidR="004E0F3A" w:rsidRPr="00F30C99" w:rsidRDefault="004E0F3A" w:rsidP="004E0F3A">
      <w:pPr>
        <w:pStyle w:val="paragraph"/>
      </w:pPr>
      <w:r w:rsidRPr="00F30C99">
        <w:tab/>
        <w:t>(a)</w:t>
      </w:r>
      <w:r w:rsidRPr="00F30C99">
        <w:tab/>
        <w:t>the number of corruption issues of that kind;</w:t>
      </w:r>
    </w:p>
    <w:p w:rsidR="004E0F3A" w:rsidRPr="00F30C99" w:rsidRDefault="004E0F3A" w:rsidP="004E0F3A">
      <w:pPr>
        <w:pStyle w:val="paragraph"/>
      </w:pPr>
      <w:r w:rsidRPr="00F30C99">
        <w:tab/>
        <w:t>(b)</w:t>
      </w:r>
      <w:r w:rsidRPr="00F30C99">
        <w:tab/>
        <w:t xml:space="preserve">a description of the kinds of corrupt conduct to which the </w:t>
      </w:r>
      <w:r w:rsidR="000C7634" w:rsidRPr="00F30C99">
        <w:t>corruption issues relate;</w:t>
      </w:r>
    </w:p>
    <w:p w:rsidR="004E0F3A" w:rsidRPr="00F30C99" w:rsidRDefault="004E0F3A" w:rsidP="004E0F3A">
      <w:pPr>
        <w:pStyle w:val="paragraph"/>
      </w:pPr>
      <w:r w:rsidRPr="00F30C99">
        <w:tab/>
        <w:t>(c)</w:t>
      </w:r>
      <w:r w:rsidRPr="00F30C99">
        <w:tab/>
        <w:t>the number of the corruption issues that relate to each kind of corrupt conduct;</w:t>
      </w:r>
    </w:p>
    <w:p w:rsidR="004E0F3A" w:rsidRPr="00F30C99" w:rsidRDefault="004E0F3A" w:rsidP="004E0F3A">
      <w:pPr>
        <w:pStyle w:val="paragraph"/>
      </w:pPr>
      <w:r w:rsidRPr="00F30C99">
        <w:tab/>
        <w:t>(d)</w:t>
      </w:r>
      <w:r w:rsidRPr="00F30C99">
        <w:tab/>
        <w:t>the number of the corruption issues in relation to which the Integrity Commissioner dec</w:t>
      </w:r>
      <w:r w:rsidR="00E54FA6" w:rsidRPr="00F30C99">
        <w:t>ided to take no further action;</w:t>
      </w:r>
    </w:p>
    <w:p w:rsidR="004E0F3A" w:rsidRPr="00F30C99" w:rsidRDefault="004E0F3A" w:rsidP="004E0F3A">
      <w:pPr>
        <w:pStyle w:val="paragraph"/>
      </w:pPr>
      <w:r w:rsidRPr="00F30C99">
        <w:tab/>
        <w:t>(e)</w:t>
      </w:r>
      <w:r w:rsidRPr="00F30C99">
        <w:tab/>
        <w:t xml:space="preserve">the Integrity Commissioner’s reasons for deciding to take no further action for each corruption issue mentioned in </w:t>
      </w:r>
      <w:r w:rsidR="00173C64" w:rsidRPr="00F30C99">
        <w:t>paragraph (</w:t>
      </w:r>
      <w:r w:rsidRPr="00F30C99">
        <w:t>d);</w:t>
      </w:r>
    </w:p>
    <w:p w:rsidR="004E0F3A" w:rsidRPr="00F30C99" w:rsidRDefault="004E0F3A" w:rsidP="004E0F3A">
      <w:pPr>
        <w:pStyle w:val="paragraph"/>
      </w:pPr>
      <w:r w:rsidRPr="00F30C99">
        <w:tab/>
        <w:t>(f)</w:t>
      </w:r>
      <w:r w:rsidRPr="00F30C99">
        <w:tab/>
        <w:t xml:space="preserve">the number of the corruption issues for which the </w:t>
      </w:r>
      <w:r w:rsidR="000E6CAA" w:rsidRPr="00F30C99">
        <w:t xml:space="preserve">law enforcement </w:t>
      </w:r>
      <w:r w:rsidRPr="00F30C99">
        <w:t>agency conducted an investigation that is being, or was, managed</w:t>
      </w:r>
      <w:r w:rsidR="000C7634" w:rsidRPr="00F30C99">
        <w:t xml:space="preserve"> by the Integrity Commissioner;</w:t>
      </w:r>
    </w:p>
    <w:p w:rsidR="00D37942" w:rsidRPr="00F30C99" w:rsidRDefault="004E0F3A" w:rsidP="004E0F3A">
      <w:pPr>
        <w:pStyle w:val="paragraph"/>
      </w:pPr>
      <w:r w:rsidRPr="00F30C99">
        <w:tab/>
        <w:t>(g)</w:t>
      </w:r>
      <w:r w:rsidRPr="00F30C99">
        <w:tab/>
        <w:t xml:space="preserve">the number of the corruption issues for which the </w:t>
      </w:r>
      <w:r w:rsidR="000E6CAA" w:rsidRPr="00F30C99">
        <w:t xml:space="preserve">law enforcement </w:t>
      </w:r>
      <w:r w:rsidRPr="00F30C99">
        <w:t>agency conducted an investigation that is being, or was, overseen by the Integrity Commissioner.</w:t>
      </w:r>
    </w:p>
    <w:p w:rsidR="00662870" w:rsidRPr="00F30C99" w:rsidRDefault="00662870" w:rsidP="00662870">
      <w:pPr>
        <w:pStyle w:val="subsection"/>
      </w:pPr>
      <w:r w:rsidRPr="00F30C99">
        <w:tab/>
        <w:t>(2)</w:t>
      </w:r>
      <w:r w:rsidRPr="00F30C99">
        <w:tab/>
        <w:t xml:space="preserve">For </w:t>
      </w:r>
      <w:r w:rsidR="006D2149" w:rsidRPr="00F30C99">
        <w:t xml:space="preserve">the purposes of </w:t>
      </w:r>
      <w:r w:rsidR="00173C64" w:rsidRPr="00F30C99">
        <w:t>paragraph (</w:t>
      </w:r>
      <w:r w:rsidRPr="00F30C99">
        <w:t>1)(c), if a corruption issue relates to more than one kind of corrupt conduct, the corruption issue need only be counted in relation to one of those kinds of corrupt conduct.</w:t>
      </w:r>
    </w:p>
    <w:p w:rsidR="004E0F3A" w:rsidRPr="00F30C99" w:rsidRDefault="00D37EB8" w:rsidP="004E0F3A">
      <w:pPr>
        <w:pStyle w:val="ActHead5"/>
      </w:pPr>
      <w:bookmarkStart w:id="17" w:name="_Toc92895813"/>
      <w:r w:rsidRPr="002B5C75">
        <w:rPr>
          <w:rStyle w:val="CharSectno"/>
        </w:rPr>
        <w:t>12</w:t>
      </w:r>
      <w:r w:rsidR="004E0F3A" w:rsidRPr="00F30C99">
        <w:t xml:space="preserve">  </w:t>
      </w:r>
      <w:r w:rsidR="00E54FA6" w:rsidRPr="00F30C99">
        <w:t>C</w:t>
      </w:r>
      <w:r w:rsidR="004E0F3A" w:rsidRPr="00F30C99">
        <w:t xml:space="preserve">orruption issues </w:t>
      </w:r>
      <w:r w:rsidR="00E54FA6" w:rsidRPr="00F30C99">
        <w:t xml:space="preserve">raised by allegations or information </w:t>
      </w:r>
      <w:r w:rsidR="004E0F3A" w:rsidRPr="00F30C99">
        <w:t xml:space="preserve">referred </w:t>
      </w:r>
      <w:r w:rsidR="00E54FA6" w:rsidRPr="00F30C99">
        <w:t>to Integrity Commissioner</w:t>
      </w:r>
      <w:bookmarkEnd w:id="17"/>
    </w:p>
    <w:p w:rsidR="004E0F3A" w:rsidRPr="00F30C99" w:rsidRDefault="004E0F3A" w:rsidP="004E0F3A">
      <w:pPr>
        <w:pStyle w:val="subsection"/>
      </w:pPr>
      <w:r w:rsidRPr="00F30C99">
        <w:tab/>
      </w:r>
      <w:r w:rsidR="007A123D" w:rsidRPr="00F30C99">
        <w:t>(1)</w:t>
      </w:r>
      <w:r w:rsidRPr="00F30C99">
        <w:tab/>
        <w:t xml:space="preserve">For corruption issues </w:t>
      </w:r>
      <w:r w:rsidR="00E54FA6" w:rsidRPr="00F30C99">
        <w:t xml:space="preserve">raised by allegations or information referred to the Integrity Commissioner as described </w:t>
      </w:r>
      <w:r w:rsidRPr="00F30C99">
        <w:t>in subparagraph</w:t>
      </w:r>
      <w:r w:rsidR="00173C64" w:rsidRPr="00F30C99">
        <w:t> </w:t>
      </w:r>
      <w:r w:rsidRPr="00F30C99">
        <w:t xml:space="preserve">201(a)(ii) of the Act, </w:t>
      </w:r>
      <w:r w:rsidR="00E54FA6" w:rsidRPr="00F30C99">
        <w:t xml:space="preserve">the particulars are the following </w:t>
      </w:r>
      <w:r w:rsidRPr="00F30C99">
        <w:t>for each law enforceme</w:t>
      </w:r>
      <w:r w:rsidR="00E54FA6" w:rsidRPr="00F30C99">
        <w:t xml:space="preserve">nt agency in relation to which </w:t>
      </w:r>
      <w:r w:rsidR="00F65F2E" w:rsidRPr="00F30C99">
        <w:t>a corruption issue of that kind was raised</w:t>
      </w:r>
      <w:r w:rsidRPr="00F30C99">
        <w:t>:</w:t>
      </w:r>
    </w:p>
    <w:p w:rsidR="004E0F3A" w:rsidRPr="00F30C99" w:rsidRDefault="004E0F3A" w:rsidP="004E0F3A">
      <w:pPr>
        <w:pStyle w:val="paragraph"/>
      </w:pPr>
      <w:r w:rsidRPr="00F30C99">
        <w:tab/>
        <w:t>(a)</w:t>
      </w:r>
      <w:r w:rsidRPr="00F30C99">
        <w:tab/>
        <w:t>the number of corruption issues of that kind;</w:t>
      </w:r>
    </w:p>
    <w:p w:rsidR="004E0F3A" w:rsidRPr="00F30C99" w:rsidRDefault="004E0F3A" w:rsidP="004E0F3A">
      <w:pPr>
        <w:pStyle w:val="paragraph"/>
      </w:pPr>
      <w:r w:rsidRPr="00F30C99">
        <w:tab/>
        <w:t>(b)</w:t>
      </w:r>
      <w:r w:rsidRPr="00F30C99">
        <w:tab/>
        <w:t>a description of the kinds of corrupt conduct to which the corrup</w:t>
      </w:r>
      <w:r w:rsidR="00993D3A" w:rsidRPr="00F30C99">
        <w:t>tion issues relate;</w:t>
      </w:r>
    </w:p>
    <w:p w:rsidR="004E0F3A" w:rsidRPr="00F30C99" w:rsidRDefault="004E0F3A" w:rsidP="004E0F3A">
      <w:pPr>
        <w:pStyle w:val="paragraph"/>
      </w:pPr>
      <w:r w:rsidRPr="00F30C99">
        <w:tab/>
        <w:t>(c)</w:t>
      </w:r>
      <w:r w:rsidRPr="00F30C99">
        <w:tab/>
        <w:t>the number of the corruption issues that relate t</w:t>
      </w:r>
      <w:r w:rsidR="00993D3A" w:rsidRPr="00F30C99">
        <w:t>o each kind of corrupt conduct;</w:t>
      </w:r>
    </w:p>
    <w:p w:rsidR="004E0F3A" w:rsidRPr="00F30C99" w:rsidRDefault="004E0F3A" w:rsidP="004E0F3A">
      <w:pPr>
        <w:pStyle w:val="paragraph"/>
      </w:pPr>
      <w:r w:rsidRPr="00F30C99">
        <w:lastRenderedPageBreak/>
        <w:tab/>
        <w:t>(d)</w:t>
      </w:r>
      <w:r w:rsidRPr="00F30C99">
        <w:tab/>
        <w:t>the number of the corruption issues in relation to which the Integrity Commissioner decided to take no further action;</w:t>
      </w:r>
    </w:p>
    <w:p w:rsidR="004E0F3A" w:rsidRPr="00F30C99" w:rsidRDefault="004E0F3A" w:rsidP="004E0F3A">
      <w:pPr>
        <w:pStyle w:val="paragraph"/>
      </w:pPr>
      <w:r w:rsidRPr="00F30C99">
        <w:tab/>
        <w:t>(e)</w:t>
      </w:r>
      <w:r w:rsidRPr="00F30C99">
        <w:tab/>
        <w:t xml:space="preserve">the Integrity Commissioner’s reasons for deciding to take no further action for each corruption issue mentioned in </w:t>
      </w:r>
      <w:r w:rsidR="00173C64" w:rsidRPr="00F30C99">
        <w:t>paragraph (</w:t>
      </w:r>
      <w:r w:rsidRPr="00F30C99">
        <w:t>d).</w:t>
      </w:r>
    </w:p>
    <w:p w:rsidR="007A123D" w:rsidRPr="00F30C99" w:rsidRDefault="007A123D" w:rsidP="007A123D">
      <w:pPr>
        <w:pStyle w:val="subsection"/>
      </w:pPr>
      <w:r w:rsidRPr="00F30C99">
        <w:tab/>
        <w:t>(2)</w:t>
      </w:r>
      <w:r w:rsidRPr="00F30C99">
        <w:tab/>
        <w:t xml:space="preserve">For </w:t>
      </w:r>
      <w:r w:rsidR="006D2149" w:rsidRPr="00F30C99">
        <w:t xml:space="preserve">the purposes of </w:t>
      </w:r>
      <w:r w:rsidR="00173C64" w:rsidRPr="00F30C99">
        <w:t>paragraph (</w:t>
      </w:r>
      <w:r w:rsidRPr="00F30C99">
        <w:t>1)(c), if a corruption issue relates to more than one kind of corrupt conduct, the corruption issue need only be counted in relation to one of those kinds of corrupt conduct.</w:t>
      </w:r>
    </w:p>
    <w:p w:rsidR="004E0F3A" w:rsidRPr="00F30C99" w:rsidRDefault="00D37EB8" w:rsidP="004E0F3A">
      <w:pPr>
        <w:pStyle w:val="ActHead5"/>
      </w:pPr>
      <w:bookmarkStart w:id="18" w:name="_Toc92895814"/>
      <w:r w:rsidRPr="002B5C75">
        <w:rPr>
          <w:rStyle w:val="CharSectno"/>
        </w:rPr>
        <w:t>13</w:t>
      </w:r>
      <w:r w:rsidR="004E0F3A" w:rsidRPr="00F30C99">
        <w:t xml:space="preserve">  </w:t>
      </w:r>
      <w:r w:rsidR="00993D3A" w:rsidRPr="00F30C99">
        <w:t>C</w:t>
      </w:r>
      <w:r w:rsidR="004E0F3A" w:rsidRPr="00F30C99">
        <w:t xml:space="preserve">orruption issues dealt with by Integrity Commissioner </w:t>
      </w:r>
      <w:r w:rsidR="00993D3A" w:rsidRPr="00F30C99">
        <w:t>on own initiative</w:t>
      </w:r>
      <w:bookmarkEnd w:id="18"/>
    </w:p>
    <w:p w:rsidR="004E0F3A" w:rsidRPr="00F30C99" w:rsidRDefault="004E0F3A" w:rsidP="004E0F3A">
      <w:pPr>
        <w:pStyle w:val="subsection"/>
      </w:pPr>
      <w:r w:rsidRPr="00F30C99">
        <w:tab/>
      </w:r>
      <w:r w:rsidR="007A123D" w:rsidRPr="00F30C99">
        <w:t>(1)</w:t>
      </w:r>
      <w:r w:rsidRPr="00F30C99">
        <w:tab/>
        <w:t xml:space="preserve">For corruption issues </w:t>
      </w:r>
      <w:r w:rsidR="00993D3A" w:rsidRPr="00F30C99">
        <w:t xml:space="preserve">dealt with by the Integrity Commissioner on his or her own initiative as described </w:t>
      </w:r>
      <w:r w:rsidRPr="00F30C99">
        <w:t>in subparagraph</w:t>
      </w:r>
      <w:r w:rsidR="00173C64" w:rsidRPr="00F30C99">
        <w:t> </w:t>
      </w:r>
      <w:r w:rsidRPr="00F30C99">
        <w:t xml:space="preserve">201(a)(iii) of the Act, </w:t>
      </w:r>
      <w:r w:rsidR="00993D3A" w:rsidRPr="00F30C99">
        <w:t xml:space="preserve">the particulars are the following </w:t>
      </w:r>
      <w:r w:rsidRPr="00F30C99">
        <w:t xml:space="preserve">for each law enforcement agency in relation to which </w:t>
      </w:r>
      <w:r w:rsidR="002E686D" w:rsidRPr="00F30C99">
        <w:t>a corruption issue of that kind was dealt with</w:t>
      </w:r>
      <w:r w:rsidRPr="00F30C99">
        <w:t>:</w:t>
      </w:r>
    </w:p>
    <w:p w:rsidR="004E0F3A" w:rsidRPr="00F30C99" w:rsidRDefault="004E0F3A" w:rsidP="004E0F3A">
      <w:pPr>
        <w:pStyle w:val="paragraph"/>
      </w:pPr>
      <w:r w:rsidRPr="00F30C99">
        <w:tab/>
        <w:t>(a)</w:t>
      </w:r>
      <w:r w:rsidRPr="00F30C99">
        <w:tab/>
        <w:t>the number of corruption issues of that kind;</w:t>
      </w:r>
    </w:p>
    <w:p w:rsidR="004E0F3A" w:rsidRPr="00F30C99" w:rsidRDefault="004E0F3A" w:rsidP="004E0F3A">
      <w:pPr>
        <w:pStyle w:val="paragraph"/>
      </w:pPr>
      <w:r w:rsidRPr="00F30C99">
        <w:tab/>
        <w:t>(b)</w:t>
      </w:r>
      <w:r w:rsidRPr="00F30C99">
        <w:tab/>
        <w:t xml:space="preserve">a description of the kinds of corrupt conduct to which </w:t>
      </w:r>
      <w:r w:rsidR="007A123D" w:rsidRPr="00F30C99">
        <w:t>th</w:t>
      </w:r>
      <w:r w:rsidR="002E686D" w:rsidRPr="00F30C99">
        <w:t>e</w:t>
      </w:r>
      <w:r w:rsidRPr="00F30C99">
        <w:t xml:space="preserve"> </w:t>
      </w:r>
      <w:r w:rsidR="007A123D" w:rsidRPr="00F30C99">
        <w:t xml:space="preserve">corruption </w:t>
      </w:r>
      <w:r w:rsidRPr="00F30C99">
        <w:t>issues relate;</w:t>
      </w:r>
    </w:p>
    <w:p w:rsidR="004E0F3A" w:rsidRPr="00F30C99" w:rsidRDefault="004E0F3A" w:rsidP="004E0F3A">
      <w:pPr>
        <w:pStyle w:val="paragraph"/>
      </w:pPr>
      <w:r w:rsidRPr="00F30C99">
        <w:tab/>
        <w:t>(c)</w:t>
      </w:r>
      <w:r w:rsidRPr="00F30C99">
        <w:tab/>
        <w:t xml:space="preserve">the number of </w:t>
      </w:r>
      <w:r w:rsidR="007A123D" w:rsidRPr="00F30C99">
        <w:t>th</w:t>
      </w:r>
      <w:r w:rsidR="002E686D" w:rsidRPr="00F30C99">
        <w:t xml:space="preserve">e </w:t>
      </w:r>
      <w:r w:rsidR="007A123D" w:rsidRPr="00F30C99">
        <w:t xml:space="preserve">corruption </w:t>
      </w:r>
      <w:r w:rsidRPr="00F30C99">
        <w:t>issues that relate to each kind of corrupt conduct.</w:t>
      </w:r>
    </w:p>
    <w:p w:rsidR="007A123D" w:rsidRPr="00F30C99" w:rsidRDefault="007A123D" w:rsidP="007A123D">
      <w:pPr>
        <w:pStyle w:val="subsection"/>
      </w:pPr>
      <w:r w:rsidRPr="00F30C99">
        <w:tab/>
        <w:t>(2)</w:t>
      </w:r>
      <w:r w:rsidRPr="00F30C99">
        <w:tab/>
        <w:t xml:space="preserve">For </w:t>
      </w:r>
      <w:r w:rsidR="006D2149" w:rsidRPr="00F30C99">
        <w:t xml:space="preserve">the purposes of </w:t>
      </w:r>
      <w:r w:rsidR="00173C64" w:rsidRPr="00F30C99">
        <w:t>paragraph (</w:t>
      </w:r>
      <w:r w:rsidRPr="00F30C99">
        <w:t>1)(c), if a corruption issue relates to more than one kind of corrupt conduct, the corruption issue need only be counted in relation to one of those kinds of corrupt conduct.</w:t>
      </w:r>
    </w:p>
    <w:p w:rsidR="004E0F3A" w:rsidRPr="00F30C99" w:rsidRDefault="00D37EB8" w:rsidP="004E0F3A">
      <w:pPr>
        <w:pStyle w:val="ActHead5"/>
      </w:pPr>
      <w:bookmarkStart w:id="19" w:name="_Toc92895815"/>
      <w:r w:rsidRPr="002B5C75">
        <w:rPr>
          <w:rStyle w:val="CharSectno"/>
        </w:rPr>
        <w:t>14</w:t>
      </w:r>
      <w:r w:rsidR="004E0F3A" w:rsidRPr="00F30C99">
        <w:t xml:space="preserve">  </w:t>
      </w:r>
      <w:r w:rsidR="005E779E" w:rsidRPr="00F30C99">
        <w:t>C</w:t>
      </w:r>
      <w:r w:rsidR="004E0F3A" w:rsidRPr="00F30C99">
        <w:t>orruption issues investigated by Integrity Commissioner</w:t>
      </w:r>
      <w:bookmarkEnd w:id="19"/>
    </w:p>
    <w:p w:rsidR="004E0F3A" w:rsidRPr="00F30C99" w:rsidRDefault="004E0F3A" w:rsidP="004E0F3A">
      <w:pPr>
        <w:pStyle w:val="subsection"/>
      </w:pPr>
      <w:r w:rsidRPr="00F30C99">
        <w:tab/>
      </w:r>
      <w:r w:rsidR="00F17451" w:rsidRPr="00F30C99">
        <w:t>(1)</w:t>
      </w:r>
      <w:r w:rsidRPr="00F30C99">
        <w:tab/>
        <w:t xml:space="preserve">For corruption issues </w:t>
      </w:r>
      <w:r w:rsidR="005E779E" w:rsidRPr="00F30C99">
        <w:t xml:space="preserve">investigated by the Integrity Commissioner as described </w:t>
      </w:r>
      <w:r w:rsidRPr="00F30C99">
        <w:t>in subparagraph</w:t>
      </w:r>
      <w:r w:rsidR="00173C64" w:rsidRPr="00F30C99">
        <w:t> </w:t>
      </w:r>
      <w:r w:rsidRPr="00F30C99">
        <w:t xml:space="preserve">201(a)(iv) of the Act, </w:t>
      </w:r>
      <w:r w:rsidR="00D4614C" w:rsidRPr="00F30C99">
        <w:t xml:space="preserve">the particulars are the following </w:t>
      </w:r>
      <w:r w:rsidRPr="00F30C99">
        <w:t xml:space="preserve">for each law enforcement agency in relation to which </w:t>
      </w:r>
      <w:r w:rsidR="009E1E44" w:rsidRPr="00F30C99">
        <w:t xml:space="preserve">a </w:t>
      </w:r>
      <w:r w:rsidRPr="00F30C99">
        <w:t>corruption issue of that kind w</w:t>
      </w:r>
      <w:r w:rsidR="009E1E44" w:rsidRPr="00F30C99">
        <w:t>as</w:t>
      </w:r>
      <w:r w:rsidRPr="00F30C99">
        <w:t xml:space="preserve"> investigated:</w:t>
      </w:r>
    </w:p>
    <w:p w:rsidR="004E0F3A" w:rsidRPr="00F30C99" w:rsidRDefault="004E0F3A" w:rsidP="004E0F3A">
      <w:pPr>
        <w:pStyle w:val="paragraph"/>
      </w:pPr>
      <w:r w:rsidRPr="00F30C99">
        <w:tab/>
        <w:t>(a)</w:t>
      </w:r>
      <w:r w:rsidRPr="00F30C99">
        <w:tab/>
        <w:t>the number of corruption issues of that kind;</w:t>
      </w:r>
    </w:p>
    <w:p w:rsidR="004E0F3A" w:rsidRPr="00F30C99" w:rsidRDefault="004E0F3A" w:rsidP="004E0F3A">
      <w:pPr>
        <w:pStyle w:val="paragraph"/>
      </w:pPr>
      <w:r w:rsidRPr="00F30C99">
        <w:tab/>
      </w:r>
      <w:r w:rsidR="00E44DD4" w:rsidRPr="00F30C99">
        <w:t>(b</w:t>
      </w:r>
      <w:r w:rsidRPr="00F30C99">
        <w:t>)</w:t>
      </w:r>
      <w:r w:rsidRPr="00F30C99">
        <w:tab/>
        <w:t xml:space="preserve">a description of the kinds </w:t>
      </w:r>
      <w:r w:rsidR="00E44DD4" w:rsidRPr="00F30C99">
        <w:t>of corrupt conduct to which the</w:t>
      </w:r>
      <w:r w:rsidR="003A3009" w:rsidRPr="00F30C99">
        <w:t xml:space="preserve"> </w:t>
      </w:r>
      <w:r w:rsidR="00F75880" w:rsidRPr="00F30C99">
        <w:t>corruption issues</w:t>
      </w:r>
      <w:r w:rsidRPr="00F30C99">
        <w:t xml:space="preserve"> relate;</w:t>
      </w:r>
    </w:p>
    <w:p w:rsidR="004E0F3A" w:rsidRPr="00F30C99" w:rsidRDefault="00E44DD4" w:rsidP="004E0F3A">
      <w:pPr>
        <w:pStyle w:val="paragraph"/>
      </w:pPr>
      <w:r w:rsidRPr="00F30C99">
        <w:tab/>
        <w:t>(c</w:t>
      </w:r>
      <w:r w:rsidR="004E0F3A" w:rsidRPr="00F30C99">
        <w:t>)</w:t>
      </w:r>
      <w:r w:rsidR="004E0F3A" w:rsidRPr="00F30C99">
        <w:tab/>
        <w:t xml:space="preserve">the number of the </w:t>
      </w:r>
      <w:r w:rsidR="00CB4BF9" w:rsidRPr="00F30C99">
        <w:t>corruption issues</w:t>
      </w:r>
      <w:r w:rsidR="004E0F3A" w:rsidRPr="00F30C99">
        <w:t xml:space="preserve"> that relate t</w:t>
      </w:r>
      <w:r w:rsidR="00D4614C" w:rsidRPr="00F30C99">
        <w:t>o each kind of corrupt conduct;</w:t>
      </w:r>
    </w:p>
    <w:p w:rsidR="00CB4BF9" w:rsidRPr="00F30C99" w:rsidRDefault="00E44DD4" w:rsidP="004E0F3A">
      <w:pPr>
        <w:pStyle w:val="paragraph"/>
      </w:pPr>
      <w:r w:rsidRPr="00F30C99">
        <w:tab/>
        <w:t>(d</w:t>
      </w:r>
      <w:r w:rsidR="004E0F3A" w:rsidRPr="00F30C99">
        <w:t>)</w:t>
      </w:r>
      <w:r w:rsidR="004E0F3A" w:rsidRPr="00F30C99">
        <w:tab/>
      </w:r>
      <w:r w:rsidR="00CB4BF9" w:rsidRPr="00F30C99">
        <w:t xml:space="preserve">the number of </w:t>
      </w:r>
      <w:r w:rsidR="00DC664A" w:rsidRPr="00F30C99">
        <w:t xml:space="preserve">the </w:t>
      </w:r>
      <w:r w:rsidR="00CB4BF9" w:rsidRPr="00F30C99">
        <w:t xml:space="preserve">corruption issues for which investigations </w:t>
      </w:r>
      <w:r w:rsidR="00554FCB" w:rsidRPr="00F30C99">
        <w:t xml:space="preserve">by the Integrity Commissioner </w:t>
      </w:r>
      <w:r w:rsidR="00CB4BF9" w:rsidRPr="00F30C99">
        <w:t>were completed;</w:t>
      </w:r>
    </w:p>
    <w:p w:rsidR="004E0F3A" w:rsidRPr="00F30C99" w:rsidRDefault="00CB4BF9" w:rsidP="004E0F3A">
      <w:pPr>
        <w:pStyle w:val="paragraph"/>
      </w:pPr>
      <w:r w:rsidRPr="00F30C99">
        <w:tab/>
        <w:t>(e)</w:t>
      </w:r>
      <w:r w:rsidRPr="00F30C99">
        <w:tab/>
      </w:r>
      <w:r w:rsidR="004E0F3A" w:rsidRPr="00F30C99">
        <w:t>for the investigations that were completed—a summary of the outcomes of the investigations, including the following:</w:t>
      </w:r>
    </w:p>
    <w:p w:rsidR="004E0F3A" w:rsidRPr="00F30C99" w:rsidRDefault="004E0F3A" w:rsidP="004E0F3A">
      <w:pPr>
        <w:pStyle w:val="paragraphsub"/>
      </w:pPr>
      <w:r w:rsidRPr="00F30C99">
        <w:tab/>
        <w:t>(i)</w:t>
      </w:r>
      <w:r w:rsidRPr="00F30C99">
        <w:tab/>
        <w:t>any recommendations made by the Integrity Commissioner;</w:t>
      </w:r>
    </w:p>
    <w:p w:rsidR="004E0F3A" w:rsidRPr="00F30C99" w:rsidRDefault="004E0F3A" w:rsidP="004E0F3A">
      <w:pPr>
        <w:pStyle w:val="paragraphsub"/>
      </w:pPr>
      <w:r w:rsidRPr="00F30C99">
        <w:tab/>
        <w:t>(ii)</w:t>
      </w:r>
      <w:r w:rsidRPr="00F30C99">
        <w:tab/>
        <w:t>any action taken as a result of the investigations;</w:t>
      </w:r>
    </w:p>
    <w:p w:rsidR="004E0F3A" w:rsidRPr="00F30C99" w:rsidRDefault="004E0F3A" w:rsidP="004E0F3A">
      <w:pPr>
        <w:pStyle w:val="paragraphsub"/>
      </w:pPr>
      <w:r w:rsidRPr="00F30C99">
        <w:tab/>
        <w:t>(iii)</w:t>
      </w:r>
      <w:r w:rsidRPr="00F30C99">
        <w:tab/>
        <w:t>if any disciplinary proceedings, criminal proceedings or civil penalty proceedings resulting from the investigations were commenced—the outcomes of the proceedings.</w:t>
      </w:r>
    </w:p>
    <w:p w:rsidR="00F17451" w:rsidRPr="00F30C99" w:rsidRDefault="00F17451" w:rsidP="00F17451">
      <w:pPr>
        <w:pStyle w:val="subsection"/>
      </w:pPr>
      <w:r w:rsidRPr="00F30C99">
        <w:lastRenderedPageBreak/>
        <w:tab/>
        <w:t>(2)</w:t>
      </w:r>
      <w:r w:rsidRPr="00F30C99">
        <w:tab/>
        <w:t xml:space="preserve">For </w:t>
      </w:r>
      <w:r w:rsidR="006D2149" w:rsidRPr="00F30C99">
        <w:t xml:space="preserve">the purposes of </w:t>
      </w:r>
      <w:r w:rsidR="00173C64" w:rsidRPr="00F30C99">
        <w:t>paragraph (</w:t>
      </w:r>
      <w:r w:rsidRPr="00F30C99">
        <w:t>1)(c), if a corruption issue relates to more than one kind of corrupt conduct, the corruption issue need only be counted in relation to one of those kinds of corrupt conduct.</w:t>
      </w:r>
    </w:p>
    <w:p w:rsidR="004E0F3A" w:rsidRPr="00F30C99" w:rsidRDefault="00D37EB8" w:rsidP="004E0F3A">
      <w:pPr>
        <w:pStyle w:val="ActHead5"/>
      </w:pPr>
      <w:bookmarkStart w:id="20" w:name="_Toc92895816"/>
      <w:r w:rsidRPr="002B5C75">
        <w:rPr>
          <w:rStyle w:val="CharSectno"/>
        </w:rPr>
        <w:t>15</w:t>
      </w:r>
      <w:r w:rsidR="004E0F3A" w:rsidRPr="00F30C99">
        <w:t xml:space="preserve">  </w:t>
      </w:r>
      <w:r w:rsidR="00D4614C" w:rsidRPr="00F30C99">
        <w:t>C</w:t>
      </w:r>
      <w:r w:rsidR="004E0F3A" w:rsidRPr="00F30C99">
        <w:t xml:space="preserve">orruption issues referred </w:t>
      </w:r>
      <w:r w:rsidR="002F6AE7" w:rsidRPr="00F30C99">
        <w:t xml:space="preserve">by Integrity Commissioner </w:t>
      </w:r>
      <w:r w:rsidR="004E0F3A" w:rsidRPr="00F30C99">
        <w:t>to government agency for investigation</w:t>
      </w:r>
      <w:bookmarkEnd w:id="20"/>
    </w:p>
    <w:p w:rsidR="004E0F3A" w:rsidRPr="00F30C99" w:rsidRDefault="004E0F3A" w:rsidP="004E0F3A">
      <w:pPr>
        <w:pStyle w:val="subsection"/>
      </w:pPr>
      <w:r w:rsidRPr="00F30C99">
        <w:tab/>
      </w:r>
      <w:r w:rsidR="0050004A" w:rsidRPr="00F30C99">
        <w:t>(1)</w:t>
      </w:r>
      <w:r w:rsidRPr="00F30C99">
        <w:tab/>
        <w:t>For corruption issue</w:t>
      </w:r>
      <w:r w:rsidR="002F6AE7" w:rsidRPr="00F30C99">
        <w:t>s that the Integrity Commissioner</w:t>
      </w:r>
      <w:r w:rsidRPr="00F30C99">
        <w:t xml:space="preserve"> </w:t>
      </w:r>
      <w:r w:rsidR="002F6AE7" w:rsidRPr="00F30C99">
        <w:t xml:space="preserve">referred to a government agency for investigation as described in </w:t>
      </w:r>
      <w:r w:rsidRPr="00F30C99">
        <w:t>subparagraph</w:t>
      </w:r>
      <w:r w:rsidR="00173C64" w:rsidRPr="00F30C99">
        <w:t> </w:t>
      </w:r>
      <w:r w:rsidR="002F6AE7" w:rsidRPr="00F30C99">
        <w:t>201</w:t>
      </w:r>
      <w:r w:rsidRPr="00F30C99">
        <w:t xml:space="preserve">(a)(v) of the Act, </w:t>
      </w:r>
      <w:r w:rsidR="002F6AE7" w:rsidRPr="00F30C99">
        <w:t xml:space="preserve">the particulars are the following </w:t>
      </w:r>
      <w:r w:rsidRPr="00F30C99">
        <w:t xml:space="preserve">for each law enforcement agency in relation to which </w:t>
      </w:r>
      <w:r w:rsidR="009E1E44" w:rsidRPr="00F30C99">
        <w:t xml:space="preserve">a </w:t>
      </w:r>
      <w:r w:rsidRPr="00F30C99">
        <w:t>corruption issue of that kind w</w:t>
      </w:r>
      <w:r w:rsidR="009E1E44" w:rsidRPr="00F30C99">
        <w:t>as referred</w:t>
      </w:r>
      <w:r w:rsidRPr="00F30C99">
        <w:t>:</w:t>
      </w:r>
    </w:p>
    <w:p w:rsidR="004E0F3A" w:rsidRPr="00F30C99" w:rsidRDefault="004E0F3A" w:rsidP="004E0F3A">
      <w:pPr>
        <w:pStyle w:val="paragraph"/>
      </w:pPr>
      <w:r w:rsidRPr="00F30C99">
        <w:tab/>
        <w:t>(a)</w:t>
      </w:r>
      <w:r w:rsidRPr="00F30C99">
        <w:tab/>
        <w:t>the number of corruption issues of that kind</w:t>
      </w:r>
      <w:r w:rsidR="00776E0F" w:rsidRPr="00F30C99">
        <w:t>;</w:t>
      </w:r>
    </w:p>
    <w:p w:rsidR="004E0F3A" w:rsidRPr="00F30C99" w:rsidRDefault="004E0F3A" w:rsidP="004E0F3A">
      <w:pPr>
        <w:pStyle w:val="paragraph"/>
      </w:pPr>
      <w:r w:rsidRPr="00F30C99">
        <w:tab/>
      </w:r>
      <w:r w:rsidR="0001500D" w:rsidRPr="00F30C99">
        <w:t>(b</w:t>
      </w:r>
      <w:r w:rsidRPr="00F30C99">
        <w:t>)</w:t>
      </w:r>
      <w:r w:rsidRPr="00F30C99">
        <w:tab/>
        <w:t xml:space="preserve">a description of the kinds of corrupt conduct to which the </w:t>
      </w:r>
      <w:r w:rsidR="0050004A" w:rsidRPr="00F30C99">
        <w:t>corruption issues</w:t>
      </w:r>
      <w:r w:rsidR="00776E0F" w:rsidRPr="00F30C99">
        <w:t xml:space="preserve"> relate;</w:t>
      </w:r>
    </w:p>
    <w:p w:rsidR="00754B92" w:rsidRPr="00F30C99" w:rsidRDefault="0001500D" w:rsidP="00D4614C">
      <w:pPr>
        <w:pStyle w:val="paragraph"/>
      </w:pPr>
      <w:r w:rsidRPr="00F30C99">
        <w:tab/>
        <w:t>(c</w:t>
      </w:r>
      <w:r w:rsidR="004E0F3A" w:rsidRPr="00F30C99">
        <w:t>)</w:t>
      </w:r>
      <w:r w:rsidR="004E0F3A" w:rsidRPr="00F30C99">
        <w:tab/>
        <w:t xml:space="preserve">the number of the </w:t>
      </w:r>
      <w:r w:rsidRPr="00F30C99">
        <w:t>corruption issues</w:t>
      </w:r>
      <w:r w:rsidR="004E0F3A" w:rsidRPr="00F30C99">
        <w:t xml:space="preserve"> that relate t</w:t>
      </w:r>
      <w:r w:rsidR="00776E0F" w:rsidRPr="00F30C99">
        <w:t>o each kind of corrupt conduct;</w:t>
      </w:r>
    </w:p>
    <w:p w:rsidR="00754B92" w:rsidRPr="00F30C99" w:rsidRDefault="00754B92" w:rsidP="00754B92">
      <w:pPr>
        <w:pStyle w:val="paragraph"/>
      </w:pPr>
      <w:r w:rsidRPr="00F30C99">
        <w:tab/>
        <w:t>(d)</w:t>
      </w:r>
      <w:r w:rsidRPr="00F30C99">
        <w:tab/>
        <w:t xml:space="preserve">the number of the </w:t>
      </w:r>
      <w:r w:rsidR="004D3550" w:rsidRPr="00F30C99">
        <w:t xml:space="preserve">corruption issues for which </w:t>
      </w:r>
      <w:r w:rsidR="00C0628C" w:rsidRPr="00F30C99">
        <w:t xml:space="preserve">a government agency conducted </w:t>
      </w:r>
      <w:r w:rsidR="004D3550" w:rsidRPr="00F30C99">
        <w:t xml:space="preserve">an investigation </w:t>
      </w:r>
      <w:r w:rsidR="00C0628C" w:rsidRPr="00F30C99">
        <w:t xml:space="preserve">that </w:t>
      </w:r>
      <w:r w:rsidR="004D3550" w:rsidRPr="00F30C99">
        <w:t>is</w:t>
      </w:r>
      <w:r w:rsidRPr="00F30C99">
        <w:t xml:space="preserve"> </w:t>
      </w:r>
      <w:r w:rsidR="004D3550" w:rsidRPr="00F30C99">
        <w:t>being, or was</w:t>
      </w:r>
      <w:r w:rsidRPr="00F30C99">
        <w:t>, managed by the Integrity Commissioner;</w:t>
      </w:r>
    </w:p>
    <w:p w:rsidR="00754B92" w:rsidRPr="00F30C99" w:rsidRDefault="00754B92" w:rsidP="00754B92">
      <w:pPr>
        <w:pStyle w:val="paragraph"/>
      </w:pPr>
      <w:r w:rsidRPr="00F30C99">
        <w:tab/>
        <w:t>(e)</w:t>
      </w:r>
      <w:r w:rsidRPr="00F30C99">
        <w:tab/>
        <w:t xml:space="preserve">the number of </w:t>
      </w:r>
      <w:r w:rsidR="004D3550" w:rsidRPr="00F30C99">
        <w:t xml:space="preserve">the corruption issues </w:t>
      </w:r>
      <w:r w:rsidR="00C0628C" w:rsidRPr="00F30C99">
        <w:t xml:space="preserve">for which a government agency conducted an investigation that is </w:t>
      </w:r>
      <w:r w:rsidR="004D3550" w:rsidRPr="00F30C99">
        <w:t>being, or was,</w:t>
      </w:r>
      <w:r w:rsidRPr="00F30C99">
        <w:t xml:space="preserve"> overseen by the Integrity Commissioner;</w:t>
      </w:r>
    </w:p>
    <w:p w:rsidR="0050004A" w:rsidRPr="00F30C99" w:rsidRDefault="0001500D" w:rsidP="00D4614C">
      <w:pPr>
        <w:pStyle w:val="paragraph"/>
      </w:pPr>
      <w:r w:rsidRPr="00F30C99">
        <w:tab/>
        <w:t>(f</w:t>
      </w:r>
      <w:r w:rsidR="0050004A" w:rsidRPr="00F30C99">
        <w:t>)</w:t>
      </w:r>
      <w:r w:rsidR="0050004A" w:rsidRPr="00F30C99">
        <w:tab/>
        <w:t xml:space="preserve">the number of </w:t>
      </w:r>
      <w:r w:rsidRPr="00F30C99">
        <w:t xml:space="preserve">the corruption issues for which investigations </w:t>
      </w:r>
      <w:r w:rsidR="00554FCB" w:rsidRPr="00F30C99">
        <w:t xml:space="preserve">by a government agency </w:t>
      </w:r>
      <w:r w:rsidRPr="00F30C99">
        <w:t>were completed.</w:t>
      </w:r>
    </w:p>
    <w:p w:rsidR="00DC664A" w:rsidRPr="00F30C99" w:rsidRDefault="00DC664A" w:rsidP="00DC664A">
      <w:pPr>
        <w:pStyle w:val="notetext"/>
      </w:pPr>
      <w:r w:rsidRPr="00F30C99">
        <w:t>Note:</w:t>
      </w:r>
      <w:r w:rsidRPr="00F30C99">
        <w:tab/>
        <w:t>A government agency includes a law enforcement agency.</w:t>
      </w:r>
    </w:p>
    <w:p w:rsidR="0050004A" w:rsidRPr="00F30C99" w:rsidRDefault="0050004A" w:rsidP="0050004A">
      <w:pPr>
        <w:pStyle w:val="subsection"/>
      </w:pPr>
      <w:r w:rsidRPr="00F30C99">
        <w:tab/>
        <w:t>(2)</w:t>
      </w:r>
      <w:r w:rsidRPr="00F30C99">
        <w:tab/>
      </w:r>
      <w:r w:rsidR="0001500D" w:rsidRPr="00F30C99">
        <w:t xml:space="preserve">For </w:t>
      </w:r>
      <w:r w:rsidR="006D2149" w:rsidRPr="00F30C99">
        <w:t xml:space="preserve">the purposes of </w:t>
      </w:r>
      <w:r w:rsidR="00173C64" w:rsidRPr="00F30C99">
        <w:t>paragraph (</w:t>
      </w:r>
      <w:r w:rsidR="0001500D" w:rsidRPr="00F30C99">
        <w:t>1)(c), if a corruption issue relates to more than one kind of corrupt conduct, the corruption issue need only be counted in relation to one of those kinds of corrupt conduct.</w:t>
      </w:r>
    </w:p>
    <w:p w:rsidR="004E0F3A" w:rsidRPr="00F30C99" w:rsidRDefault="00D37EB8" w:rsidP="004E0F3A">
      <w:pPr>
        <w:pStyle w:val="ActHead5"/>
      </w:pPr>
      <w:bookmarkStart w:id="21" w:name="_Toc92895817"/>
      <w:r w:rsidRPr="002B5C75">
        <w:rPr>
          <w:rStyle w:val="CharSectno"/>
        </w:rPr>
        <w:t>16</w:t>
      </w:r>
      <w:r w:rsidR="004E0F3A" w:rsidRPr="00F30C99">
        <w:t xml:space="preserve">  ACLEI corruption issues</w:t>
      </w:r>
      <w:r w:rsidR="00337AB4" w:rsidRPr="00F30C99">
        <w:t xml:space="preserve"> investigated</w:t>
      </w:r>
      <w:bookmarkEnd w:id="21"/>
    </w:p>
    <w:p w:rsidR="00D06D85" w:rsidRPr="00F30C99" w:rsidRDefault="00D06D85" w:rsidP="004E0F3A">
      <w:pPr>
        <w:pStyle w:val="subsection"/>
      </w:pPr>
      <w:r w:rsidRPr="00F30C99">
        <w:tab/>
      </w:r>
      <w:r w:rsidRPr="00F30C99">
        <w:tab/>
        <w:t>For ACLEI corruption issues investigated as described in subparagraph</w:t>
      </w:r>
      <w:r w:rsidR="00173C64" w:rsidRPr="00F30C99">
        <w:t> </w:t>
      </w:r>
      <w:r w:rsidRPr="00F30C99">
        <w:t>201(a)(vi) of the Act, the particulars are the following for each ACLEI corruption issue of that kind for which an investigation was completed by an ACLEI investigator:</w:t>
      </w:r>
    </w:p>
    <w:p w:rsidR="004E0F3A" w:rsidRPr="00F30C99" w:rsidRDefault="004E0F3A" w:rsidP="00A34FAB">
      <w:pPr>
        <w:pStyle w:val="paragraph"/>
      </w:pPr>
      <w:r w:rsidRPr="00F30C99">
        <w:tab/>
        <w:t>(a)</w:t>
      </w:r>
      <w:r w:rsidRPr="00F30C99">
        <w:tab/>
        <w:t xml:space="preserve">a description of the kinds of corrupt conduct to which the </w:t>
      </w:r>
      <w:r w:rsidR="00C904BE" w:rsidRPr="00F30C99">
        <w:t xml:space="preserve">ACLEI </w:t>
      </w:r>
      <w:r w:rsidR="007F787E" w:rsidRPr="00F30C99">
        <w:t>corruption issue</w:t>
      </w:r>
      <w:r w:rsidRPr="00F30C99">
        <w:t xml:space="preserve"> </w:t>
      </w:r>
      <w:r w:rsidR="00F45576" w:rsidRPr="00F30C99">
        <w:t>relate</w:t>
      </w:r>
      <w:r w:rsidR="00A34FAB" w:rsidRPr="00F30C99">
        <w:t>s</w:t>
      </w:r>
      <w:r w:rsidR="00F45576" w:rsidRPr="00F30C99">
        <w:t>;</w:t>
      </w:r>
    </w:p>
    <w:p w:rsidR="004E0F3A" w:rsidRPr="00F30C99" w:rsidRDefault="004E0F3A" w:rsidP="004E0F3A">
      <w:pPr>
        <w:pStyle w:val="paragraph"/>
      </w:pPr>
      <w:r w:rsidRPr="00F30C99">
        <w:tab/>
        <w:t>(</w:t>
      </w:r>
      <w:r w:rsidR="00D06D85" w:rsidRPr="00F30C99">
        <w:t>b</w:t>
      </w:r>
      <w:r w:rsidRPr="00F30C99">
        <w:t>)</w:t>
      </w:r>
      <w:r w:rsidRPr="00F30C99">
        <w:tab/>
      </w:r>
      <w:r w:rsidR="009B5824" w:rsidRPr="00F30C99">
        <w:t>a summary of the outcome</w:t>
      </w:r>
      <w:r w:rsidRPr="00F30C99">
        <w:t xml:space="preserve"> of the </w:t>
      </w:r>
      <w:r w:rsidR="009B5824" w:rsidRPr="00F30C99">
        <w:t>investigation</w:t>
      </w:r>
      <w:r w:rsidRPr="00F30C99">
        <w:t>, including the following:</w:t>
      </w:r>
    </w:p>
    <w:p w:rsidR="004E0F3A" w:rsidRPr="00F30C99" w:rsidRDefault="004E0F3A" w:rsidP="004E0F3A">
      <w:pPr>
        <w:pStyle w:val="paragraphsub"/>
      </w:pPr>
      <w:r w:rsidRPr="00F30C99">
        <w:tab/>
        <w:t>(i)</w:t>
      </w:r>
      <w:r w:rsidRPr="00F30C99">
        <w:tab/>
        <w:t>any recommendations made by the ACLEI investigator;</w:t>
      </w:r>
    </w:p>
    <w:p w:rsidR="004E0F3A" w:rsidRPr="00F30C99" w:rsidRDefault="004E0F3A" w:rsidP="004E0F3A">
      <w:pPr>
        <w:pStyle w:val="paragraphsub"/>
      </w:pPr>
      <w:r w:rsidRPr="00F30C99">
        <w:tab/>
        <w:t>(ii)</w:t>
      </w:r>
      <w:r w:rsidRPr="00F30C99">
        <w:tab/>
        <w:t>any action taken as</w:t>
      </w:r>
      <w:r w:rsidR="009B5824" w:rsidRPr="00F30C99">
        <w:t xml:space="preserve"> a result of the investigation</w:t>
      </w:r>
      <w:r w:rsidRPr="00F30C99">
        <w:t>;</w:t>
      </w:r>
    </w:p>
    <w:p w:rsidR="009B5824" w:rsidRPr="00F30C99" w:rsidRDefault="004E0F3A" w:rsidP="009B5824">
      <w:pPr>
        <w:pStyle w:val="paragraphsub"/>
      </w:pPr>
      <w:r w:rsidRPr="00F30C99">
        <w:tab/>
        <w:t>(iii)</w:t>
      </w:r>
      <w:r w:rsidRPr="00F30C99">
        <w:tab/>
        <w:t>if any disciplinary proceedings, criminal proceedings or civil penalty proceedings r</w:t>
      </w:r>
      <w:r w:rsidR="009B5824" w:rsidRPr="00F30C99">
        <w:t>esulting from the investigation were commenced—the outcome</w:t>
      </w:r>
      <w:r w:rsidRPr="00F30C99">
        <w:t xml:space="preserve"> of the proceedings.</w:t>
      </w:r>
    </w:p>
    <w:p w:rsidR="004E0F3A" w:rsidRPr="00F30C99" w:rsidRDefault="00D37EB8" w:rsidP="004E0F3A">
      <w:pPr>
        <w:pStyle w:val="ActHead5"/>
      </w:pPr>
      <w:bookmarkStart w:id="22" w:name="_Toc92895818"/>
      <w:r w:rsidRPr="002B5C75">
        <w:rPr>
          <w:rStyle w:val="CharSectno"/>
        </w:rPr>
        <w:lastRenderedPageBreak/>
        <w:t>17</w:t>
      </w:r>
      <w:r w:rsidR="004E0F3A" w:rsidRPr="00F30C99">
        <w:t xml:space="preserve">  </w:t>
      </w:r>
      <w:r w:rsidR="00776E0F" w:rsidRPr="00F30C99">
        <w:t>C</w:t>
      </w:r>
      <w:r w:rsidR="004E0F3A" w:rsidRPr="00F30C99">
        <w:t>ertificates issued under section</w:t>
      </w:r>
      <w:r w:rsidR="00173C64" w:rsidRPr="00F30C99">
        <w:t> </w:t>
      </w:r>
      <w:r w:rsidR="004E0F3A" w:rsidRPr="00F30C99">
        <w:t>149 of the Act</w:t>
      </w:r>
      <w:bookmarkEnd w:id="22"/>
    </w:p>
    <w:p w:rsidR="004E0F3A" w:rsidRPr="00F30C99" w:rsidRDefault="004E0F3A" w:rsidP="004E0F3A">
      <w:pPr>
        <w:pStyle w:val="subsection"/>
      </w:pPr>
      <w:r w:rsidRPr="00F30C99">
        <w:tab/>
      </w:r>
      <w:r w:rsidRPr="00F30C99">
        <w:tab/>
        <w:t xml:space="preserve">For certificates </w:t>
      </w:r>
      <w:r w:rsidR="00776E0F" w:rsidRPr="00F30C99">
        <w:t>issued under section</w:t>
      </w:r>
      <w:r w:rsidR="00173C64" w:rsidRPr="00F30C99">
        <w:t> </w:t>
      </w:r>
      <w:r w:rsidR="00776E0F" w:rsidRPr="00F30C99">
        <w:t xml:space="preserve">149 of the Act as described </w:t>
      </w:r>
      <w:r w:rsidRPr="00F30C99">
        <w:t>in subparagraph</w:t>
      </w:r>
      <w:r w:rsidR="00173C64" w:rsidRPr="00F30C99">
        <w:t> </w:t>
      </w:r>
      <w:r w:rsidRPr="00F30C99">
        <w:t xml:space="preserve">201(a)(vii) of the Act, </w:t>
      </w:r>
      <w:r w:rsidR="00776E0F" w:rsidRPr="00F30C99">
        <w:t>the particulars are the following</w:t>
      </w:r>
      <w:r w:rsidRPr="00F30C99">
        <w:t>:</w:t>
      </w:r>
    </w:p>
    <w:p w:rsidR="004E0F3A" w:rsidRPr="00F30C99" w:rsidRDefault="004E0F3A" w:rsidP="004E0F3A">
      <w:pPr>
        <w:pStyle w:val="paragraph"/>
      </w:pPr>
      <w:r w:rsidRPr="00F30C99">
        <w:tab/>
        <w:t>(a)</w:t>
      </w:r>
      <w:r w:rsidRPr="00F30C99">
        <w:tab/>
        <w:t>the total number of certificates is</w:t>
      </w:r>
      <w:r w:rsidR="00776E0F" w:rsidRPr="00F30C99">
        <w:t>sued;</w:t>
      </w:r>
    </w:p>
    <w:p w:rsidR="004E0F3A" w:rsidRPr="00F30C99" w:rsidRDefault="004E0F3A" w:rsidP="004E0F3A">
      <w:pPr>
        <w:pStyle w:val="paragraph"/>
      </w:pPr>
      <w:r w:rsidRPr="00F30C99">
        <w:tab/>
        <w:t>(b)</w:t>
      </w:r>
      <w:r w:rsidRPr="00F30C99">
        <w:tab/>
      </w:r>
      <w:r w:rsidR="009347A4" w:rsidRPr="00F30C99">
        <w:t>for each certificate issued—a description of the ground or grounds mentioned in subsection</w:t>
      </w:r>
      <w:r w:rsidR="00173C64" w:rsidRPr="00F30C99">
        <w:t> </w:t>
      </w:r>
      <w:r w:rsidR="009347A4" w:rsidRPr="00F30C99">
        <w:t>149(2) of the Act on which the certificate was issued</w:t>
      </w:r>
      <w:r w:rsidRPr="00F30C99">
        <w:t>;</w:t>
      </w:r>
    </w:p>
    <w:p w:rsidR="004E0F3A" w:rsidRPr="00F30C99" w:rsidRDefault="004E0F3A" w:rsidP="004E0F3A">
      <w:pPr>
        <w:pStyle w:val="paragraph"/>
      </w:pPr>
      <w:r w:rsidRPr="00F30C99">
        <w:tab/>
        <w:t>(c)</w:t>
      </w:r>
      <w:r w:rsidRPr="00F30C99">
        <w:tab/>
        <w:t xml:space="preserve">the number of certificates </w:t>
      </w:r>
      <w:r w:rsidR="009347A4" w:rsidRPr="00F30C99">
        <w:t>issued</w:t>
      </w:r>
      <w:r w:rsidRPr="00F30C99">
        <w:t xml:space="preserve"> that, in the opinion of the Integrity Commissioner, prevented the effective investigation of </w:t>
      </w:r>
      <w:r w:rsidR="00F45576" w:rsidRPr="00F30C99">
        <w:t>a corruption issue</w:t>
      </w:r>
      <w:r w:rsidRPr="00F30C99">
        <w:t>.</w:t>
      </w:r>
    </w:p>
    <w:p w:rsidR="006C1504" w:rsidRPr="00F30C99" w:rsidRDefault="006C1504" w:rsidP="006C1504">
      <w:pPr>
        <w:pStyle w:val="ActHead2"/>
        <w:pageBreakBefore/>
      </w:pPr>
      <w:bookmarkStart w:id="23" w:name="_Toc92895819"/>
      <w:r w:rsidRPr="002B5C75">
        <w:rPr>
          <w:rStyle w:val="CharPartNo"/>
        </w:rPr>
        <w:lastRenderedPageBreak/>
        <w:t>Part</w:t>
      </w:r>
      <w:r w:rsidR="00173C64" w:rsidRPr="002B5C75">
        <w:rPr>
          <w:rStyle w:val="CharPartNo"/>
        </w:rPr>
        <w:t> </w:t>
      </w:r>
      <w:r w:rsidRPr="002B5C75">
        <w:rPr>
          <w:rStyle w:val="CharPartNo"/>
        </w:rPr>
        <w:t>5</w:t>
      </w:r>
      <w:r w:rsidRPr="00F30C99">
        <w:t>—</w:t>
      </w:r>
      <w:r w:rsidR="00E977FA" w:rsidRPr="002B5C75">
        <w:rPr>
          <w:rStyle w:val="CharPartText"/>
        </w:rPr>
        <w:t>Giving information or reports</w:t>
      </w:r>
      <w:bookmarkEnd w:id="23"/>
    </w:p>
    <w:p w:rsidR="00F65961" w:rsidRPr="00F30C99" w:rsidRDefault="00F65961" w:rsidP="00F65961">
      <w:pPr>
        <w:pStyle w:val="Header"/>
      </w:pPr>
      <w:r w:rsidRPr="002B5C75">
        <w:rPr>
          <w:rStyle w:val="CharDivNo"/>
        </w:rPr>
        <w:t xml:space="preserve"> </w:t>
      </w:r>
      <w:r w:rsidRPr="002B5C75">
        <w:rPr>
          <w:rStyle w:val="CharDivText"/>
        </w:rPr>
        <w:t xml:space="preserve"> </w:t>
      </w:r>
    </w:p>
    <w:p w:rsidR="004E0F3A" w:rsidRPr="00F30C99" w:rsidRDefault="00D37EB8" w:rsidP="004E0F3A">
      <w:pPr>
        <w:pStyle w:val="ActHead5"/>
      </w:pPr>
      <w:bookmarkStart w:id="24" w:name="_Toc92895820"/>
      <w:r w:rsidRPr="002B5C75">
        <w:rPr>
          <w:rStyle w:val="CharSectno"/>
        </w:rPr>
        <w:t>18</w:t>
      </w:r>
      <w:r w:rsidR="004E0F3A" w:rsidRPr="00F30C99">
        <w:t xml:space="preserve">  </w:t>
      </w:r>
      <w:r w:rsidR="00DF2E8A" w:rsidRPr="00F30C99">
        <w:t>Requirement to give information or reports</w:t>
      </w:r>
      <w:bookmarkEnd w:id="24"/>
    </w:p>
    <w:p w:rsidR="00CA2A51" w:rsidRPr="00F30C99" w:rsidRDefault="00F141ED" w:rsidP="00CA2A51">
      <w:pPr>
        <w:pStyle w:val="SubsectionHead"/>
      </w:pPr>
      <w:r w:rsidRPr="00F30C99">
        <w:t xml:space="preserve">Giving information or reports in </w:t>
      </w:r>
      <w:r w:rsidR="009E1E44" w:rsidRPr="00F30C99">
        <w:t>s</w:t>
      </w:r>
      <w:r w:rsidR="00CA2A51" w:rsidRPr="00F30C99">
        <w:t>pecified circumstances</w:t>
      </w:r>
    </w:p>
    <w:p w:rsidR="00CA2A51" w:rsidRPr="00F30C99" w:rsidRDefault="001A5CD7" w:rsidP="00CA2A51">
      <w:pPr>
        <w:pStyle w:val="subsection"/>
      </w:pPr>
      <w:r w:rsidRPr="00F30C99">
        <w:tab/>
        <w:t>(1)</w:t>
      </w:r>
      <w:r w:rsidRPr="00F30C99">
        <w:tab/>
        <w:t>For the purposes of subsection</w:t>
      </w:r>
      <w:r w:rsidR="00173C64" w:rsidRPr="00F30C99">
        <w:t> </w:t>
      </w:r>
      <w:r w:rsidRPr="00F30C99">
        <w:t xml:space="preserve">224(2) of the Act, information or reports </w:t>
      </w:r>
      <w:r w:rsidR="00A970E1" w:rsidRPr="00F30C99">
        <w:t xml:space="preserve">that </w:t>
      </w:r>
      <w:r w:rsidRPr="00F30C99">
        <w:t xml:space="preserve">are required to be given under a provision of the Act </w:t>
      </w:r>
      <w:r w:rsidR="00A970E1" w:rsidRPr="00F30C99">
        <w:t>prescribed</w:t>
      </w:r>
      <w:r w:rsidRPr="00F30C99">
        <w:t xml:space="preserve"> in </w:t>
      </w:r>
      <w:r w:rsidR="00173C64" w:rsidRPr="00F30C99">
        <w:t>subsection (</w:t>
      </w:r>
      <w:r w:rsidRPr="00F30C99">
        <w:t xml:space="preserve">2) </w:t>
      </w:r>
      <w:r w:rsidR="000E6CAA" w:rsidRPr="00F30C99">
        <w:t>are</w:t>
      </w:r>
      <w:r w:rsidRPr="00F30C99">
        <w:t xml:space="preserve"> also </w:t>
      </w:r>
      <w:r w:rsidR="00C0628C" w:rsidRPr="00F30C99">
        <w:t xml:space="preserve">to </w:t>
      </w:r>
      <w:r w:rsidRPr="00F30C99">
        <w:t xml:space="preserve">be given to the persons </w:t>
      </w:r>
      <w:r w:rsidR="00A970E1" w:rsidRPr="00F30C99">
        <w:t>prescrib</w:t>
      </w:r>
      <w:r w:rsidR="00CA2A51" w:rsidRPr="00F30C99">
        <w:t xml:space="preserve">ed in </w:t>
      </w:r>
      <w:r w:rsidR="00173C64" w:rsidRPr="00F30C99">
        <w:t>subsection (</w:t>
      </w:r>
      <w:r w:rsidR="00CA2A51" w:rsidRPr="00F30C99">
        <w:t>3) if:</w:t>
      </w:r>
    </w:p>
    <w:p w:rsidR="00CA2A51" w:rsidRPr="00F30C99" w:rsidRDefault="00CA2A51" w:rsidP="00CA2A51">
      <w:pPr>
        <w:pStyle w:val="paragraph"/>
      </w:pPr>
      <w:r w:rsidRPr="00F30C99">
        <w:tab/>
        <w:t>(a)</w:t>
      </w:r>
      <w:r w:rsidRPr="00F30C99">
        <w:tab/>
        <w:t>the corruption issue to which the prescribed provision relates is a relevant corruption issue in relation to the Australian Capital Territory or an External Territory; and</w:t>
      </w:r>
    </w:p>
    <w:p w:rsidR="00CA2A51" w:rsidRPr="00F30C99" w:rsidRDefault="00CA2A51" w:rsidP="00CA2A51">
      <w:pPr>
        <w:pStyle w:val="paragraph"/>
      </w:pPr>
      <w:r w:rsidRPr="00F30C99">
        <w:tab/>
        <w:t>(b)</w:t>
      </w:r>
      <w:r w:rsidRPr="00F30C99">
        <w:tab/>
        <w:t>the Integrity Commissioner:</w:t>
      </w:r>
    </w:p>
    <w:p w:rsidR="00CA2A51" w:rsidRPr="00F30C99" w:rsidRDefault="00CA2A51" w:rsidP="00CA2A51">
      <w:pPr>
        <w:pStyle w:val="paragraphsub"/>
      </w:pPr>
      <w:r w:rsidRPr="00F30C99">
        <w:tab/>
        <w:t>(i)</w:t>
      </w:r>
      <w:r w:rsidRPr="00F30C99">
        <w:tab/>
        <w:t>is investigating the corruption issue to which the prescribed provision relates; or</w:t>
      </w:r>
    </w:p>
    <w:p w:rsidR="00CA2A51" w:rsidRPr="00F30C99" w:rsidRDefault="00CA2A51" w:rsidP="00CA2A51">
      <w:pPr>
        <w:pStyle w:val="paragraphsub"/>
      </w:pPr>
      <w:r w:rsidRPr="00F30C99">
        <w:tab/>
        <w:t>(ii)</w:t>
      </w:r>
      <w:r w:rsidRPr="00F30C99">
        <w:tab/>
        <w:t>is managing or overseeing the investigation by a law enforcement agency of the corruption issue to which the prescribed provision relates.</w:t>
      </w:r>
    </w:p>
    <w:p w:rsidR="00DF2E8A" w:rsidRPr="00F30C99" w:rsidRDefault="00DF2E8A" w:rsidP="00DF2E8A">
      <w:pPr>
        <w:pStyle w:val="SubsectionHead"/>
      </w:pPr>
      <w:r w:rsidRPr="00F30C99">
        <w:t>Prescribed provisions of the Act</w:t>
      </w:r>
    </w:p>
    <w:p w:rsidR="004E0F3A" w:rsidRPr="00F30C99" w:rsidRDefault="00DF2E8A" w:rsidP="00DF2E8A">
      <w:pPr>
        <w:pStyle w:val="subsection"/>
      </w:pPr>
      <w:r w:rsidRPr="00F30C99">
        <w:tab/>
        <w:t>(2)</w:t>
      </w:r>
      <w:r w:rsidRPr="00F30C99">
        <w:tab/>
        <w:t>T</w:t>
      </w:r>
      <w:r w:rsidR="004E0F3A" w:rsidRPr="00F30C99">
        <w:t>he following provisions of the Act are prescribed:</w:t>
      </w:r>
    </w:p>
    <w:p w:rsidR="004E0F3A" w:rsidRPr="00F30C99" w:rsidRDefault="004E0F3A" w:rsidP="004E0F3A">
      <w:pPr>
        <w:pStyle w:val="paragraph"/>
      </w:pPr>
      <w:r w:rsidRPr="00F30C99">
        <w:tab/>
        <w:t>(a)</w:t>
      </w:r>
      <w:r w:rsidRPr="00F30C99">
        <w:tab/>
        <w:t>section</w:t>
      </w:r>
      <w:r w:rsidR="00173C64" w:rsidRPr="00F30C99">
        <w:t> </w:t>
      </w:r>
      <w:r w:rsidRPr="00F30C99">
        <w:t>33;</w:t>
      </w:r>
    </w:p>
    <w:p w:rsidR="004E0F3A" w:rsidRPr="00F30C99" w:rsidRDefault="004E0F3A" w:rsidP="004E0F3A">
      <w:pPr>
        <w:pStyle w:val="paragraph"/>
      </w:pPr>
      <w:r w:rsidRPr="00F30C99">
        <w:tab/>
        <w:t>(b)</w:t>
      </w:r>
      <w:r w:rsidRPr="00F30C99">
        <w:tab/>
        <w:t>subsection</w:t>
      </w:r>
      <w:r w:rsidR="00173C64" w:rsidRPr="00F30C99">
        <w:t> </w:t>
      </w:r>
      <w:r w:rsidRPr="00F30C99">
        <w:t>35(4);</w:t>
      </w:r>
    </w:p>
    <w:p w:rsidR="004E0F3A" w:rsidRPr="00F30C99" w:rsidRDefault="004E0F3A" w:rsidP="004E0F3A">
      <w:pPr>
        <w:pStyle w:val="paragraph"/>
      </w:pPr>
      <w:r w:rsidRPr="00F30C99">
        <w:tab/>
        <w:t>(c)</w:t>
      </w:r>
      <w:r w:rsidRPr="00F30C99">
        <w:tab/>
        <w:t>subsection</w:t>
      </w:r>
      <w:r w:rsidR="00173C64" w:rsidRPr="00F30C99">
        <w:t> </w:t>
      </w:r>
      <w:r w:rsidRPr="00F30C99">
        <w:t>36(6);</w:t>
      </w:r>
    </w:p>
    <w:p w:rsidR="004E0F3A" w:rsidRPr="00F30C99" w:rsidRDefault="004E0F3A" w:rsidP="004E0F3A">
      <w:pPr>
        <w:pStyle w:val="paragraph"/>
      </w:pPr>
      <w:r w:rsidRPr="00F30C99">
        <w:tab/>
        <w:t>(d)</w:t>
      </w:r>
      <w:r w:rsidRPr="00F30C99">
        <w:tab/>
        <w:t>subsection</w:t>
      </w:r>
      <w:r w:rsidR="00173C64" w:rsidRPr="00F30C99">
        <w:t> </w:t>
      </w:r>
      <w:r w:rsidRPr="00F30C99">
        <w:t>39(4);</w:t>
      </w:r>
    </w:p>
    <w:p w:rsidR="004E0F3A" w:rsidRPr="00F30C99" w:rsidRDefault="004E0F3A" w:rsidP="004E0F3A">
      <w:pPr>
        <w:pStyle w:val="paragraph"/>
      </w:pPr>
      <w:r w:rsidRPr="00F30C99">
        <w:tab/>
        <w:t>(e)</w:t>
      </w:r>
      <w:r w:rsidRPr="00F30C99">
        <w:tab/>
        <w:t>subsection</w:t>
      </w:r>
      <w:r w:rsidR="00173C64" w:rsidRPr="00F30C99">
        <w:t> </w:t>
      </w:r>
      <w:r w:rsidRPr="00F30C99">
        <w:t>40(6);</w:t>
      </w:r>
    </w:p>
    <w:p w:rsidR="004E0F3A" w:rsidRPr="00F30C99" w:rsidRDefault="004E0F3A" w:rsidP="004E0F3A">
      <w:pPr>
        <w:pStyle w:val="paragraph"/>
      </w:pPr>
      <w:r w:rsidRPr="00F30C99">
        <w:tab/>
        <w:t>(f)</w:t>
      </w:r>
      <w:r w:rsidRPr="00F30C99">
        <w:tab/>
        <w:t>subsection</w:t>
      </w:r>
      <w:r w:rsidR="00173C64" w:rsidRPr="00F30C99">
        <w:t> </w:t>
      </w:r>
      <w:r w:rsidRPr="00F30C99">
        <w:t>52(1);</w:t>
      </w:r>
    </w:p>
    <w:p w:rsidR="004E0F3A" w:rsidRPr="00F30C99" w:rsidRDefault="004E0F3A" w:rsidP="004E0F3A">
      <w:pPr>
        <w:pStyle w:val="paragraph"/>
      </w:pPr>
      <w:r w:rsidRPr="00F30C99">
        <w:tab/>
        <w:t>(g)</w:t>
      </w:r>
      <w:r w:rsidRPr="00F30C99">
        <w:tab/>
        <w:t>paragraph</w:t>
      </w:r>
      <w:r w:rsidR="00173C64" w:rsidRPr="00F30C99">
        <w:t> </w:t>
      </w:r>
      <w:r w:rsidRPr="00F30C99">
        <w:t>55(1)(a);</w:t>
      </w:r>
    </w:p>
    <w:p w:rsidR="004E0F3A" w:rsidRPr="00F30C99" w:rsidRDefault="004E0F3A" w:rsidP="004E0F3A">
      <w:pPr>
        <w:pStyle w:val="paragraph"/>
      </w:pPr>
      <w:r w:rsidRPr="00F30C99">
        <w:tab/>
        <w:t>(h)</w:t>
      </w:r>
      <w:r w:rsidRPr="00F30C99">
        <w:tab/>
        <w:t>subsection</w:t>
      </w:r>
      <w:r w:rsidR="00173C64" w:rsidRPr="00F30C99">
        <w:t> </w:t>
      </w:r>
      <w:r w:rsidRPr="00F30C99">
        <w:t>65(1);</w:t>
      </w:r>
    </w:p>
    <w:p w:rsidR="004E0F3A" w:rsidRPr="00F30C99" w:rsidRDefault="004E0F3A" w:rsidP="004E0F3A">
      <w:pPr>
        <w:pStyle w:val="paragraph"/>
      </w:pPr>
      <w:r w:rsidRPr="00F30C99">
        <w:tab/>
        <w:t>(i)</w:t>
      </w:r>
      <w:r w:rsidRPr="00F30C99">
        <w:tab/>
        <w:t>paragraph</w:t>
      </w:r>
      <w:r w:rsidR="00173C64" w:rsidRPr="00F30C99">
        <w:t> </w:t>
      </w:r>
      <w:r w:rsidRPr="00F30C99">
        <w:t>74(a)</w:t>
      </w:r>
      <w:r w:rsidR="009E1E44" w:rsidRPr="00F30C99">
        <w:t>, to the extent it relates to a corruption issue</w:t>
      </w:r>
      <w:r w:rsidRPr="00F30C99">
        <w:t>;</w:t>
      </w:r>
    </w:p>
    <w:p w:rsidR="004E0F3A" w:rsidRPr="00F30C99" w:rsidRDefault="004E0F3A" w:rsidP="004E0F3A">
      <w:pPr>
        <w:pStyle w:val="paragraph"/>
      </w:pPr>
      <w:r w:rsidRPr="00F30C99">
        <w:tab/>
        <w:t>(j)</w:t>
      </w:r>
      <w:r w:rsidRPr="00F30C99">
        <w:tab/>
        <w:t>subsection</w:t>
      </w:r>
      <w:r w:rsidR="00173C64" w:rsidRPr="00F30C99">
        <w:t> </w:t>
      </w:r>
      <w:r w:rsidRPr="00F30C99">
        <w:t>144(6);</w:t>
      </w:r>
    </w:p>
    <w:p w:rsidR="004E0F3A" w:rsidRPr="00F30C99" w:rsidRDefault="004E0F3A" w:rsidP="004E0F3A">
      <w:pPr>
        <w:pStyle w:val="paragraph"/>
      </w:pPr>
      <w:r w:rsidRPr="00F30C99">
        <w:tab/>
        <w:t>(k)</w:t>
      </w:r>
      <w:r w:rsidRPr="00F30C99">
        <w:tab/>
        <w:t>subsection</w:t>
      </w:r>
      <w:r w:rsidR="00173C64" w:rsidRPr="00F30C99">
        <w:t> </w:t>
      </w:r>
      <w:r w:rsidRPr="00F30C99">
        <w:t>145(6);</w:t>
      </w:r>
    </w:p>
    <w:p w:rsidR="004E0F3A" w:rsidRPr="00F30C99" w:rsidRDefault="004E0F3A" w:rsidP="004E0F3A">
      <w:pPr>
        <w:pStyle w:val="paragraph"/>
      </w:pPr>
      <w:r w:rsidRPr="00F30C99">
        <w:tab/>
        <w:t>(l)</w:t>
      </w:r>
      <w:r w:rsidRPr="00F30C99">
        <w:tab/>
        <w:t>subsection</w:t>
      </w:r>
      <w:r w:rsidR="00173C64" w:rsidRPr="00F30C99">
        <w:t> </w:t>
      </w:r>
      <w:r w:rsidRPr="00F30C99">
        <w:t>147(2)</w:t>
      </w:r>
      <w:r w:rsidR="009E1E44" w:rsidRPr="00F30C99">
        <w:t>, to the extent it relates to a corruption issue</w:t>
      </w:r>
      <w:r w:rsidRPr="00F30C99">
        <w:t>.</w:t>
      </w:r>
    </w:p>
    <w:p w:rsidR="00DF2E8A" w:rsidRPr="00F30C99" w:rsidRDefault="00DF2E8A" w:rsidP="00DF2E8A">
      <w:pPr>
        <w:pStyle w:val="SubsectionHead"/>
      </w:pPr>
      <w:r w:rsidRPr="00F30C99">
        <w:t>Prescribed persons</w:t>
      </w:r>
    </w:p>
    <w:p w:rsidR="004E0F3A" w:rsidRPr="00F30C99" w:rsidRDefault="004E0F3A" w:rsidP="004E0F3A">
      <w:pPr>
        <w:pStyle w:val="subsection"/>
      </w:pPr>
      <w:r w:rsidRPr="00F30C99">
        <w:tab/>
        <w:t>(</w:t>
      </w:r>
      <w:r w:rsidR="00DF2E8A" w:rsidRPr="00F30C99">
        <w:t>3</w:t>
      </w:r>
      <w:r w:rsidRPr="00F30C99">
        <w:t>)</w:t>
      </w:r>
      <w:r w:rsidRPr="00F30C99">
        <w:tab/>
      </w:r>
      <w:r w:rsidR="00DF2E8A" w:rsidRPr="00F30C99">
        <w:t>T</w:t>
      </w:r>
      <w:r w:rsidRPr="00F30C99">
        <w:t>he following persons are prescribed:</w:t>
      </w:r>
    </w:p>
    <w:p w:rsidR="004E0F3A" w:rsidRPr="00F30C99" w:rsidRDefault="004E0F3A" w:rsidP="004E0F3A">
      <w:pPr>
        <w:pStyle w:val="paragraph"/>
      </w:pPr>
      <w:r w:rsidRPr="00F30C99">
        <w:tab/>
        <w:t>(a)</w:t>
      </w:r>
      <w:r w:rsidRPr="00F30C99">
        <w:tab/>
        <w:t xml:space="preserve">for information or reports relating to a relevant corruption issue in relation to the Australian Capital Territory—the Minister, within the meaning of the </w:t>
      </w:r>
      <w:r w:rsidRPr="00F30C99">
        <w:rPr>
          <w:i/>
        </w:rPr>
        <w:t>Australian Capital Territory (Self</w:t>
      </w:r>
      <w:r w:rsidR="002B5C75">
        <w:rPr>
          <w:i/>
        </w:rPr>
        <w:noBreakHyphen/>
      </w:r>
      <w:r w:rsidRPr="00F30C99">
        <w:rPr>
          <w:i/>
        </w:rPr>
        <w:t>Government) Act 1988</w:t>
      </w:r>
      <w:r w:rsidRPr="00F30C99">
        <w:t xml:space="preserve">, who is responsible for exercising the power of the Australian Capital Territory Executive in relation to </w:t>
      </w:r>
      <w:r w:rsidR="00994C19" w:rsidRPr="00F30C99">
        <w:t>police matters</w:t>
      </w:r>
      <w:r w:rsidRPr="00F30C99">
        <w:t>;</w:t>
      </w:r>
    </w:p>
    <w:p w:rsidR="004E0F3A" w:rsidRPr="00F30C99" w:rsidRDefault="004E0F3A" w:rsidP="004E0F3A">
      <w:pPr>
        <w:pStyle w:val="paragraph"/>
      </w:pPr>
      <w:r w:rsidRPr="00F30C99">
        <w:tab/>
        <w:t>(b)</w:t>
      </w:r>
      <w:r w:rsidRPr="00F30C99">
        <w:tab/>
        <w:t>for information or reports relating to a relevant corruption issue in relation to an External Territory—the Administrator of the External Territory.</w:t>
      </w:r>
    </w:p>
    <w:p w:rsidR="00CD4F53" w:rsidRPr="00F30C99" w:rsidRDefault="00CD4F53" w:rsidP="00CD4F53">
      <w:pPr>
        <w:pStyle w:val="SubsectionHead"/>
      </w:pPr>
      <w:r w:rsidRPr="00F30C99">
        <w:lastRenderedPageBreak/>
        <w:t>Definitions</w:t>
      </w:r>
    </w:p>
    <w:p w:rsidR="004E0F3A" w:rsidRPr="00F30C99" w:rsidRDefault="004E0F3A" w:rsidP="00C904BE">
      <w:pPr>
        <w:pStyle w:val="subsection"/>
      </w:pPr>
      <w:r w:rsidRPr="00F30C99">
        <w:tab/>
        <w:t>(</w:t>
      </w:r>
      <w:r w:rsidR="00CA2A51" w:rsidRPr="00F30C99">
        <w:t>4</w:t>
      </w:r>
      <w:r w:rsidRPr="00F30C99">
        <w:t>)</w:t>
      </w:r>
      <w:r w:rsidRPr="00F30C99">
        <w:tab/>
      </w:r>
      <w:r w:rsidR="00C904BE" w:rsidRPr="00F30C99">
        <w:t xml:space="preserve">A corruption issue is a </w:t>
      </w:r>
      <w:r w:rsidRPr="00F30C99">
        <w:rPr>
          <w:b/>
          <w:i/>
        </w:rPr>
        <w:t>relevant corruption issue</w:t>
      </w:r>
      <w:r w:rsidRPr="00F30C99">
        <w:t xml:space="preserve"> in relation to the Australian Capital Ter</w:t>
      </w:r>
      <w:r w:rsidR="00F45576" w:rsidRPr="00F30C99">
        <w:t>ritory or an External Territory</w:t>
      </w:r>
      <w:r w:rsidRPr="00F30C99">
        <w:t xml:space="preserve"> </w:t>
      </w:r>
      <w:r w:rsidR="00C904BE" w:rsidRPr="00F30C99">
        <w:t>if</w:t>
      </w:r>
      <w:r w:rsidRPr="00F30C99">
        <w:t>:</w:t>
      </w:r>
    </w:p>
    <w:p w:rsidR="004E0F3A" w:rsidRPr="00F30C99" w:rsidRDefault="004E0F3A" w:rsidP="004E0F3A">
      <w:pPr>
        <w:pStyle w:val="paragraph"/>
      </w:pPr>
      <w:r w:rsidRPr="00F30C99">
        <w:tab/>
        <w:t>(a)</w:t>
      </w:r>
      <w:r w:rsidRPr="00F30C99">
        <w:tab/>
      </w:r>
      <w:r w:rsidR="00C904BE" w:rsidRPr="00F30C99">
        <w:t>the</w:t>
      </w:r>
      <w:r w:rsidRPr="00F30C99">
        <w:t xml:space="preserve"> corruption issue relates to corrupt conduct of a person while the person was a staff member of the AFP whose duties included providing police services in relation to the Australian Capital Territory or an External Territory under section</w:t>
      </w:r>
      <w:r w:rsidR="00173C64" w:rsidRPr="00F30C99">
        <w:t> </w:t>
      </w:r>
      <w:r w:rsidRPr="00F30C99">
        <w:t xml:space="preserve">8 of the </w:t>
      </w:r>
      <w:r w:rsidRPr="00F30C99">
        <w:rPr>
          <w:i/>
        </w:rPr>
        <w:t>Australian Federal Police Act</w:t>
      </w:r>
      <w:r w:rsidR="00F45576" w:rsidRPr="00F30C99">
        <w:rPr>
          <w:i/>
        </w:rPr>
        <w:t xml:space="preserve"> </w:t>
      </w:r>
      <w:r w:rsidRPr="00F30C99">
        <w:rPr>
          <w:i/>
        </w:rPr>
        <w:t>1979</w:t>
      </w:r>
      <w:r w:rsidRPr="00F30C99">
        <w:t xml:space="preserve"> (</w:t>
      </w:r>
      <w:r w:rsidRPr="00F30C99">
        <w:rPr>
          <w:b/>
          <w:i/>
        </w:rPr>
        <w:t>AFP Territory police services</w:t>
      </w:r>
      <w:r w:rsidRPr="00F30C99">
        <w:t>); or</w:t>
      </w:r>
    </w:p>
    <w:p w:rsidR="004E0F3A" w:rsidRPr="00F30C99" w:rsidRDefault="004E0F3A" w:rsidP="004E0F3A">
      <w:pPr>
        <w:pStyle w:val="paragraph"/>
      </w:pPr>
      <w:r w:rsidRPr="00F30C99">
        <w:tab/>
        <w:t>(b)</w:t>
      </w:r>
      <w:r w:rsidRPr="00F30C99">
        <w:tab/>
      </w:r>
      <w:r w:rsidR="00C904BE" w:rsidRPr="00F30C99">
        <w:t>the</w:t>
      </w:r>
      <w:r w:rsidRPr="00F30C99">
        <w:t xml:space="preserve"> corruption issue relates to corrupt conduct of a person while the person is a staff member of the AFP whose duties include AFP Territory police services; or</w:t>
      </w:r>
    </w:p>
    <w:p w:rsidR="004E0F3A" w:rsidRPr="00F30C99" w:rsidRDefault="004E0F3A" w:rsidP="004E0F3A">
      <w:pPr>
        <w:pStyle w:val="paragraph"/>
      </w:pPr>
      <w:r w:rsidRPr="00F30C99">
        <w:tab/>
        <w:t>(c)</w:t>
      </w:r>
      <w:r w:rsidRPr="00F30C99">
        <w:tab/>
      </w:r>
      <w:r w:rsidR="00C904BE" w:rsidRPr="00F30C99">
        <w:t>the</w:t>
      </w:r>
      <w:r w:rsidRPr="00F30C99">
        <w:t xml:space="preserve"> corruption issue relates to corrupt conduct that:</w:t>
      </w:r>
    </w:p>
    <w:p w:rsidR="004E0F3A" w:rsidRPr="00F30C99" w:rsidRDefault="004E0F3A" w:rsidP="004E0F3A">
      <w:pPr>
        <w:pStyle w:val="paragraphsub"/>
      </w:pPr>
      <w:r w:rsidRPr="00F30C99">
        <w:tab/>
        <w:t>(i)</w:t>
      </w:r>
      <w:r w:rsidRPr="00F30C99">
        <w:tab/>
        <w:t>is the conduct of a person who, at the time the corruption issue is being investigated, is a staff member of the AFP whose duties include AFP</w:t>
      </w:r>
      <w:r w:rsidR="00F45576" w:rsidRPr="00F30C99">
        <w:t xml:space="preserve"> </w:t>
      </w:r>
      <w:r w:rsidRPr="00F30C99">
        <w:t>Territory police services; and</w:t>
      </w:r>
    </w:p>
    <w:p w:rsidR="004E0F3A" w:rsidRPr="00F30C99" w:rsidRDefault="004E0F3A" w:rsidP="004E0F3A">
      <w:pPr>
        <w:pStyle w:val="paragraphsub"/>
      </w:pPr>
      <w:r w:rsidRPr="00F30C99">
        <w:tab/>
        <w:t>(ii)</w:t>
      </w:r>
      <w:r w:rsidRPr="00F30C99">
        <w:tab/>
        <w:t>in the opinion of the Integrity Commissioner, affects, or is likely to affect, the person’s performance of the police service functions of the agency.</w:t>
      </w:r>
    </w:p>
    <w:p w:rsidR="00E529C0" w:rsidRPr="00F30C99" w:rsidRDefault="00E529C0" w:rsidP="00E529C0">
      <w:pPr>
        <w:pStyle w:val="ActHead2"/>
        <w:pageBreakBefore/>
      </w:pPr>
      <w:bookmarkStart w:id="25" w:name="_Toc92895821"/>
      <w:r w:rsidRPr="002B5C75">
        <w:rPr>
          <w:rStyle w:val="CharPartNo"/>
        </w:rPr>
        <w:lastRenderedPageBreak/>
        <w:t>Part</w:t>
      </w:r>
      <w:r w:rsidR="00173C64" w:rsidRPr="002B5C75">
        <w:rPr>
          <w:rStyle w:val="CharPartNo"/>
        </w:rPr>
        <w:t> </w:t>
      </w:r>
      <w:r w:rsidRPr="002B5C75">
        <w:rPr>
          <w:rStyle w:val="CharPartNo"/>
        </w:rPr>
        <w:t>6</w:t>
      </w:r>
      <w:r w:rsidRPr="00F30C99">
        <w:t>—</w:t>
      </w:r>
      <w:r w:rsidR="00A37727" w:rsidRPr="002B5C75">
        <w:rPr>
          <w:rStyle w:val="CharPartText"/>
        </w:rPr>
        <w:t>Application and t</w:t>
      </w:r>
      <w:r w:rsidRPr="002B5C75">
        <w:rPr>
          <w:rStyle w:val="CharPartText"/>
        </w:rPr>
        <w:t xml:space="preserve">ransitional </w:t>
      </w:r>
      <w:r w:rsidR="00834ABD" w:rsidRPr="002B5C75">
        <w:rPr>
          <w:rStyle w:val="CharPartText"/>
        </w:rPr>
        <w:t>matter</w:t>
      </w:r>
      <w:r w:rsidRPr="002B5C75">
        <w:rPr>
          <w:rStyle w:val="CharPartText"/>
        </w:rPr>
        <w:t>s</w:t>
      </w:r>
      <w:bookmarkEnd w:id="25"/>
    </w:p>
    <w:p w:rsidR="00E529C0" w:rsidRPr="00F30C99" w:rsidRDefault="00E529C0" w:rsidP="00E529C0">
      <w:pPr>
        <w:pStyle w:val="Header"/>
      </w:pPr>
      <w:r w:rsidRPr="002B5C75">
        <w:rPr>
          <w:rStyle w:val="CharDivNo"/>
        </w:rPr>
        <w:t xml:space="preserve"> </w:t>
      </w:r>
      <w:r w:rsidRPr="002B5C75">
        <w:rPr>
          <w:rStyle w:val="CharDivText"/>
        </w:rPr>
        <w:t xml:space="preserve"> </w:t>
      </w:r>
    </w:p>
    <w:p w:rsidR="00834ABD" w:rsidRPr="00F30C99" w:rsidRDefault="00834ABD" w:rsidP="00834ABD">
      <w:pPr>
        <w:pStyle w:val="ActHead5"/>
      </w:pPr>
      <w:bookmarkStart w:id="26" w:name="_Toc92895822"/>
      <w:r w:rsidRPr="002B5C75">
        <w:rPr>
          <w:rStyle w:val="CharSectno"/>
        </w:rPr>
        <w:t>19</w:t>
      </w:r>
      <w:r w:rsidR="00C01B45" w:rsidRPr="00F30C99">
        <w:t xml:space="preserve">  Application of section</w:t>
      </w:r>
      <w:r w:rsidR="00173C64" w:rsidRPr="00F30C99">
        <w:t> </w:t>
      </w:r>
      <w:r w:rsidR="00C01B45" w:rsidRPr="00F30C99">
        <w:t>8 (Allowances for witnesses)</w:t>
      </w:r>
      <w:bookmarkEnd w:id="26"/>
    </w:p>
    <w:p w:rsidR="00CB2554" w:rsidRPr="00F30C99" w:rsidRDefault="00CB2554" w:rsidP="00CB2554">
      <w:pPr>
        <w:pStyle w:val="subsection"/>
      </w:pPr>
      <w:r w:rsidRPr="00F30C99">
        <w:tab/>
      </w:r>
      <w:r w:rsidR="00C0628C" w:rsidRPr="00F30C99">
        <w:tab/>
      </w:r>
      <w:r w:rsidRPr="00F30C99">
        <w:t>Section</w:t>
      </w:r>
      <w:r w:rsidR="00173C64" w:rsidRPr="00F30C99">
        <w:t> </w:t>
      </w:r>
      <w:r w:rsidRPr="00F30C99">
        <w:t>8 applies in relation to the attendance of a person as a witness at a hearing on or after the day that section commences, whether the hearing started before, on or after that day.</w:t>
      </w:r>
    </w:p>
    <w:p w:rsidR="00A37727" w:rsidRPr="00F30C99" w:rsidRDefault="00A37727" w:rsidP="00A37727">
      <w:pPr>
        <w:pStyle w:val="ActHead5"/>
      </w:pPr>
      <w:bookmarkStart w:id="27" w:name="_Toc92895823"/>
      <w:r w:rsidRPr="002B5C75">
        <w:rPr>
          <w:rStyle w:val="CharSectno"/>
        </w:rPr>
        <w:t>20</w:t>
      </w:r>
      <w:r w:rsidRPr="00F30C99">
        <w:t xml:space="preserve">  Application of Part</w:t>
      </w:r>
      <w:r w:rsidR="00173C64" w:rsidRPr="00F30C99">
        <w:t> </w:t>
      </w:r>
      <w:r w:rsidRPr="00F30C99">
        <w:t>4 (Annual reports)</w:t>
      </w:r>
      <w:bookmarkEnd w:id="27"/>
    </w:p>
    <w:p w:rsidR="00A37727" w:rsidRPr="00F30C99" w:rsidRDefault="00A37727" w:rsidP="00A37727">
      <w:pPr>
        <w:pStyle w:val="subsection"/>
      </w:pPr>
      <w:r w:rsidRPr="00F30C99">
        <w:tab/>
      </w:r>
      <w:r w:rsidRPr="00F30C99">
        <w:tab/>
        <w:t>Part</w:t>
      </w:r>
      <w:r w:rsidR="00173C64" w:rsidRPr="00F30C99">
        <w:t> </w:t>
      </w:r>
      <w:r w:rsidRPr="00F30C99">
        <w:t xml:space="preserve">4 applies in relation to an annual report that is required to be given on or after the day that </w:t>
      </w:r>
      <w:r w:rsidR="003C4EB0" w:rsidRPr="00F30C99">
        <w:t>Part c</w:t>
      </w:r>
      <w:r w:rsidRPr="00F30C99">
        <w:t>ommences.</w:t>
      </w:r>
    </w:p>
    <w:p w:rsidR="006A5C5C" w:rsidRPr="00F30C99" w:rsidRDefault="006A5C5C" w:rsidP="006A5C5C">
      <w:pPr>
        <w:pStyle w:val="ActHead5"/>
      </w:pPr>
      <w:bookmarkStart w:id="28" w:name="_Toc92895824"/>
      <w:r w:rsidRPr="002B5C75">
        <w:rPr>
          <w:rStyle w:val="CharSectno"/>
        </w:rPr>
        <w:t>21</w:t>
      </w:r>
      <w:r w:rsidRPr="00F30C99">
        <w:t xml:space="preserve">  Application of section 18 (Requirement to give information or reports)</w:t>
      </w:r>
      <w:bookmarkEnd w:id="28"/>
    </w:p>
    <w:p w:rsidR="006A5C5C" w:rsidRPr="00F30C99" w:rsidRDefault="006A5C5C" w:rsidP="006A5C5C">
      <w:pPr>
        <w:pStyle w:val="subsection"/>
      </w:pPr>
      <w:r w:rsidRPr="00F30C99">
        <w:tab/>
      </w:r>
      <w:r w:rsidRPr="00F30C99">
        <w:tab/>
        <w:t>Section 18 applies in relation to information or reports required to be given on or after the day that section commences.</w:t>
      </w:r>
    </w:p>
    <w:p w:rsidR="006A5C5C" w:rsidRPr="00F30C99" w:rsidRDefault="006A5C5C" w:rsidP="006A5C5C">
      <w:pPr>
        <w:sectPr w:rsidR="006A5C5C" w:rsidRPr="00F30C99" w:rsidSect="005B6C4C">
          <w:headerReference w:type="even" r:id="rId21"/>
          <w:headerReference w:type="default" r:id="rId22"/>
          <w:footerReference w:type="even" r:id="rId23"/>
          <w:footerReference w:type="default" r:id="rId24"/>
          <w:headerReference w:type="first" r:id="rId25"/>
          <w:footerReference w:type="first" r:id="rId26"/>
          <w:pgSz w:w="11907" w:h="16839"/>
          <w:pgMar w:top="2325" w:right="1797" w:bottom="1440" w:left="1797" w:header="720" w:footer="709" w:gutter="0"/>
          <w:pgNumType w:start="1"/>
          <w:cols w:space="708"/>
          <w:docGrid w:linePitch="360"/>
        </w:sectPr>
      </w:pPr>
    </w:p>
    <w:p w:rsidR="006A5C5C" w:rsidRPr="00F30C99" w:rsidRDefault="006A5C5C" w:rsidP="006A5C5C">
      <w:pPr>
        <w:pStyle w:val="ActHead1"/>
      </w:pPr>
      <w:bookmarkStart w:id="29" w:name="_Toc92895825"/>
      <w:r w:rsidRPr="002B5C75">
        <w:rPr>
          <w:rStyle w:val="CharChapNo"/>
        </w:rPr>
        <w:lastRenderedPageBreak/>
        <w:t>Schedule 1</w:t>
      </w:r>
      <w:r w:rsidRPr="00F30C99">
        <w:t>—</w:t>
      </w:r>
      <w:r w:rsidRPr="002B5C75">
        <w:rPr>
          <w:rStyle w:val="CharChapText"/>
        </w:rPr>
        <w:t>Form of identity card</w:t>
      </w:r>
      <w:bookmarkEnd w:id="29"/>
    </w:p>
    <w:p w:rsidR="006A5C5C" w:rsidRPr="00F30C99" w:rsidRDefault="006A5C5C" w:rsidP="006A5C5C">
      <w:pPr>
        <w:pStyle w:val="notemargin"/>
      </w:pPr>
      <w:r w:rsidRPr="00F30C99">
        <w:t>Note:</w:t>
      </w:r>
      <w:r w:rsidRPr="00F30C99">
        <w:tab/>
        <w:t>See section 9.</w:t>
      </w:r>
    </w:p>
    <w:p w:rsidR="006A5C5C" w:rsidRPr="00F30C99" w:rsidRDefault="006A5C5C" w:rsidP="006A5C5C">
      <w:pPr>
        <w:pStyle w:val="Header"/>
      </w:pPr>
      <w:r w:rsidRPr="002B5C75">
        <w:rPr>
          <w:rStyle w:val="CharPartNo"/>
        </w:rPr>
        <w:t xml:space="preserve"> </w:t>
      </w:r>
      <w:r w:rsidRPr="002B5C75">
        <w:rPr>
          <w:rStyle w:val="CharPartText"/>
        </w:rPr>
        <w:t xml:space="preserve"> </w:t>
      </w:r>
    </w:p>
    <w:p w:rsidR="006A5C5C" w:rsidRPr="00F30C99" w:rsidRDefault="006A5C5C" w:rsidP="006A5C5C">
      <w:pPr>
        <w:pStyle w:val="Header"/>
      </w:pPr>
      <w:r w:rsidRPr="002B5C75">
        <w:rPr>
          <w:rStyle w:val="CharDivNo"/>
        </w:rPr>
        <w:t xml:space="preserve"> </w:t>
      </w:r>
      <w:r w:rsidRPr="002B5C75">
        <w:rPr>
          <w:rStyle w:val="CharDivText"/>
        </w:rPr>
        <w:t xml:space="preserve"> </w:t>
      </w:r>
    </w:p>
    <w:p w:rsidR="00B71050" w:rsidRPr="00F30C99" w:rsidRDefault="00B71050" w:rsidP="00B71050">
      <w:pPr>
        <w:pStyle w:val="subsection"/>
      </w:pPr>
      <w:r w:rsidRPr="00F30C99">
        <w:rPr>
          <w:i/>
        </w:rPr>
        <w:t>Law Enforcement Integrity Commissioner Act 2006</w:t>
      </w:r>
    </w:p>
    <w:p w:rsidR="00B71050" w:rsidRPr="00F30C99" w:rsidRDefault="00B71050" w:rsidP="00B71050">
      <w:pPr>
        <w:pStyle w:val="subsection"/>
        <w:rPr>
          <w:caps/>
        </w:rPr>
      </w:pPr>
      <w:r w:rsidRPr="00F30C99">
        <w:rPr>
          <w:caps/>
        </w:rPr>
        <w:t>Commonwealth of Australia</w:t>
      </w:r>
    </w:p>
    <w:p w:rsidR="00B71050" w:rsidRPr="00F30C99" w:rsidRDefault="00B71050" w:rsidP="00B71050">
      <w:pPr>
        <w:pStyle w:val="subsection"/>
        <w:rPr>
          <w:b/>
          <w:bCs/>
          <w:caps/>
        </w:rPr>
      </w:pPr>
      <w:r w:rsidRPr="00F30C99">
        <w:rPr>
          <w:b/>
          <w:bCs/>
          <w:caps/>
        </w:rPr>
        <w:t>IDENTITY CARD for authorised officer</w:t>
      </w:r>
    </w:p>
    <w:p w:rsidR="00B71050" w:rsidRPr="00F30C99" w:rsidRDefault="00B71050" w:rsidP="00B71050">
      <w:pPr>
        <w:pStyle w:val="Tabletext"/>
      </w:pPr>
    </w:p>
    <w:tbl>
      <w:tblPr>
        <w:tblW w:w="5000" w:type="pct"/>
        <w:tblLook w:val="0000" w:firstRow="0" w:lastRow="0" w:firstColumn="0" w:lastColumn="0" w:noHBand="0" w:noVBand="0"/>
      </w:tblPr>
      <w:tblGrid>
        <w:gridCol w:w="4611"/>
        <w:gridCol w:w="3918"/>
      </w:tblGrid>
      <w:tr w:rsidR="00B71050" w:rsidRPr="00F30C99" w:rsidTr="004E3418">
        <w:tc>
          <w:tcPr>
            <w:tcW w:w="2703" w:type="pct"/>
            <w:shd w:val="clear" w:color="auto" w:fill="auto"/>
          </w:tcPr>
          <w:p w:rsidR="00B71050" w:rsidRPr="00F30C99" w:rsidRDefault="00B71050" w:rsidP="00EC768D">
            <w:pPr>
              <w:pStyle w:val="Tabletext"/>
            </w:pPr>
            <w:r w:rsidRPr="00F30C99">
              <w:t>The person whose name, signature and photograph appear on this card is an authorised officer for the purposes of Part</w:t>
            </w:r>
            <w:r w:rsidR="00173C64" w:rsidRPr="00F30C99">
              <w:t> </w:t>
            </w:r>
            <w:r w:rsidRPr="00F30C99">
              <w:t xml:space="preserve">9 of the </w:t>
            </w:r>
            <w:r w:rsidRPr="00F30C99">
              <w:rPr>
                <w:i/>
              </w:rPr>
              <w:t>Law Enforcement Integrity Commissioner Act 2006</w:t>
            </w:r>
            <w:r w:rsidRPr="00F30C99">
              <w:t>.</w:t>
            </w:r>
          </w:p>
          <w:p w:rsidR="00B71050" w:rsidRPr="00F30C99" w:rsidRDefault="00B71050" w:rsidP="00EC768D">
            <w:pPr>
              <w:pStyle w:val="Tabletext"/>
            </w:pPr>
          </w:p>
        </w:tc>
        <w:tc>
          <w:tcPr>
            <w:tcW w:w="2297" w:type="pct"/>
            <w:shd w:val="clear" w:color="auto" w:fill="auto"/>
          </w:tcPr>
          <w:p w:rsidR="00B71050" w:rsidRPr="00F30C99" w:rsidRDefault="00B71050" w:rsidP="00EC768D">
            <w:pPr>
              <w:pStyle w:val="Tabletext"/>
              <w:jc w:val="center"/>
            </w:pPr>
          </w:p>
          <w:p w:rsidR="00B71050" w:rsidRPr="00F30C99" w:rsidRDefault="00B71050" w:rsidP="00EC768D">
            <w:pPr>
              <w:pStyle w:val="Tabletext"/>
              <w:jc w:val="center"/>
            </w:pPr>
          </w:p>
          <w:p w:rsidR="00B71050" w:rsidRPr="00F30C99" w:rsidRDefault="00B71050" w:rsidP="00EC768D">
            <w:pPr>
              <w:pStyle w:val="Tabletext"/>
              <w:jc w:val="center"/>
            </w:pPr>
            <w:r w:rsidRPr="00F30C99">
              <w:t>[</w:t>
            </w:r>
            <w:r w:rsidRPr="00F30C99">
              <w:rPr>
                <w:i/>
              </w:rPr>
              <w:t>photograph</w:t>
            </w:r>
            <w:r w:rsidRPr="00F30C99">
              <w:t>]</w:t>
            </w:r>
          </w:p>
        </w:tc>
      </w:tr>
      <w:tr w:rsidR="00B71050" w:rsidRPr="00F30C99" w:rsidTr="004E3418">
        <w:tc>
          <w:tcPr>
            <w:tcW w:w="2703" w:type="pct"/>
            <w:shd w:val="clear" w:color="auto" w:fill="auto"/>
          </w:tcPr>
          <w:p w:rsidR="00B71050" w:rsidRPr="00F30C99" w:rsidRDefault="00B71050" w:rsidP="00EC768D">
            <w:pPr>
              <w:pStyle w:val="Tabletext"/>
            </w:pPr>
          </w:p>
        </w:tc>
        <w:tc>
          <w:tcPr>
            <w:tcW w:w="2297" w:type="pct"/>
            <w:shd w:val="clear" w:color="auto" w:fill="auto"/>
          </w:tcPr>
          <w:p w:rsidR="00B71050" w:rsidRPr="00F30C99" w:rsidRDefault="00B71050" w:rsidP="00EC768D">
            <w:pPr>
              <w:pStyle w:val="Tabletext"/>
            </w:pPr>
            <w:r w:rsidRPr="00F30C99">
              <w:t>Name:</w:t>
            </w:r>
          </w:p>
        </w:tc>
      </w:tr>
      <w:tr w:rsidR="00B71050" w:rsidRPr="00F30C99" w:rsidTr="004E3418">
        <w:tc>
          <w:tcPr>
            <w:tcW w:w="2703" w:type="pct"/>
            <w:shd w:val="clear" w:color="auto" w:fill="auto"/>
          </w:tcPr>
          <w:p w:rsidR="00B71050" w:rsidRPr="00F30C99" w:rsidRDefault="00B71050" w:rsidP="00EC768D">
            <w:pPr>
              <w:pStyle w:val="Tabletext"/>
              <w:jc w:val="center"/>
            </w:pPr>
            <w:r w:rsidRPr="00F30C99">
              <w:t>[</w:t>
            </w:r>
            <w:r w:rsidRPr="00F30C99">
              <w:rPr>
                <w:i/>
              </w:rPr>
              <w:t xml:space="preserve">signature of Integrity Commissioner </w:t>
            </w:r>
            <w:r w:rsidRPr="00F30C99">
              <w:rPr>
                <w:i/>
              </w:rPr>
              <w:br/>
              <w:t>or delegate</w:t>
            </w:r>
            <w:r w:rsidRPr="00F30C99">
              <w:t>]</w:t>
            </w:r>
          </w:p>
        </w:tc>
        <w:tc>
          <w:tcPr>
            <w:tcW w:w="2297" w:type="pct"/>
            <w:shd w:val="clear" w:color="auto" w:fill="auto"/>
          </w:tcPr>
          <w:p w:rsidR="00B71050" w:rsidRPr="00F30C99" w:rsidRDefault="00B71050" w:rsidP="00EC768D">
            <w:pPr>
              <w:pStyle w:val="Tabletext"/>
              <w:jc w:val="center"/>
            </w:pPr>
            <w:r w:rsidRPr="00F30C99">
              <w:t>[</w:t>
            </w:r>
            <w:r w:rsidRPr="00F30C99">
              <w:rPr>
                <w:i/>
              </w:rPr>
              <w:t>signature of authorised officer</w:t>
            </w:r>
            <w:r w:rsidRPr="00F30C99">
              <w:t>]</w:t>
            </w:r>
          </w:p>
        </w:tc>
      </w:tr>
      <w:tr w:rsidR="00B71050" w:rsidRPr="00F30C99" w:rsidTr="004E3418">
        <w:tc>
          <w:tcPr>
            <w:tcW w:w="2703" w:type="pct"/>
            <w:shd w:val="clear" w:color="auto" w:fill="auto"/>
          </w:tcPr>
          <w:p w:rsidR="00B71050" w:rsidRPr="00F30C99" w:rsidRDefault="00B71050" w:rsidP="00EC768D">
            <w:pPr>
              <w:pStyle w:val="Tabletext"/>
              <w:jc w:val="center"/>
            </w:pPr>
            <w:r w:rsidRPr="00F30C99">
              <w:t>[</w:t>
            </w:r>
            <w:r w:rsidRPr="00F30C99">
              <w:rPr>
                <w:i/>
              </w:rPr>
              <w:t>date</w:t>
            </w:r>
            <w:r w:rsidRPr="00F30C99">
              <w:t>]</w:t>
            </w:r>
          </w:p>
        </w:tc>
        <w:tc>
          <w:tcPr>
            <w:tcW w:w="2297" w:type="pct"/>
            <w:shd w:val="clear" w:color="auto" w:fill="auto"/>
          </w:tcPr>
          <w:p w:rsidR="00B71050" w:rsidRPr="00F30C99" w:rsidRDefault="00B71050" w:rsidP="00EC768D">
            <w:pPr>
              <w:pStyle w:val="Tabletext"/>
            </w:pPr>
          </w:p>
        </w:tc>
      </w:tr>
      <w:tr w:rsidR="00B71050" w:rsidRPr="00F30C99" w:rsidTr="004E3418">
        <w:tc>
          <w:tcPr>
            <w:tcW w:w="2703" w:type="pct"/>
            <w:shd w:val="clear" w:color="auto" w:fill="auto"/>
          </w:tcPr>
          <w:p w:rsidR="00B71050" w:rsidRPr="00F30C99" w:rsidRDefault="00B71050" w:rsidP="00EC768D">
            <w:pPr>
              <w:pStyle w:val="Tabletext"/>
              <w:jc w:val="center"/>
            </w:pPr>
            <w:r w:rsidRPr="00F30C99">
              <w:t>[</w:t>
            </w:r>
            <w:r w:rsidRPr="00F30C99">
              <w:rPr>
                <w:i/>
              </w:rPr>
              <w:t>serial number of identity card</w:t>
            </w:r>
            <w:r w:rsidRPr="00F30C99">
              <w:t>]</w:t>
            </w:r>
          </w:p>
        </w:tc>
        <w:tc>
          <w:tcPr>
            <w:tcW w:w="2297" w:type="pct"/>
            <w:shd w:val="clear" w:color="auto" w:fill="auto"/>
          </w:tcPr>
          <w:p w:rsidR="00B71050" w:rsidRPr="00F30C99" w:rsidRDefault="00B71050" w:rsidP="00EC768D">
            <w:pPr>
              <w:pStyle w:val="Tabletext"/>
            </w:pPr>
          </w:p>
        </w:tc>
      </w:tr>
    </w:tbl>
    <w:p w:rsidR="000141B7" w:rsidRPr="00F30C99" w:rsidRDefault="000141B7" w:rsidP="000141B7">
      <w:pPr>
        <w:sectPr w:rsidR="000141B7" w:rsidRPr="00F30C99" w:rsidSect="005B6C4C">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p>
    <w:p w:rsidR="006A5C5C" w:rsidRPr="00F30C99" w:rsidRDefault="006A5C5C" w:rsidP="006A5C5C">
      <w:pPr>
        <w:pStyle w:val="ENotesHeading1"/>
        <w:outlineLvl w:val="9"/>
      </w:pPr>
      <w:bookmarkStart w:id="30" w:name="_Toc92895826"/>
      <w:r w:rsidRPr="00F30C99">
        <w:lastRenderedPageBreak/>
        <w:t>Endnotes</w:t>
      </w:r>
      <w:bookmarkEnd w:id="30"/>
    </w:p>
    <w:p w:rsidR="0044290E" w:rsidRPr="00F30C99" w:rsidRDefault="0044290E" w:rsidP="0044290E">
      <w:pPr>
        <w:pStyle w:val="ENotesHeading2"/>
        <w:spacing w:line="240" w:lineRule="auto"/>
        <w:outlineLvl w:val="9"/>
      </w:pPr>
      <w:bookmarkStart w:id="31" w:name="_Toc92895827"/>
      <w:r w:rsidRPr="00F30C99">
        <w:t>Endnote 1—About the endnotes</w:t>
      </w:r>
      <w:bookmarkEnd w:id="31"/>
    </w:p>
    <w:p w:rsidR="0044290E" w:rsidRPr="00F30C99" w:rsidRDefault="0044290E" w:rsidP="0044290E">
      <w:pPr>
        <w:spacing w:after="120"/>
      </w:pPr>
      <w:r w:rsidRPr="00F30C99">
        <w:t>The endnotes provide information about this compilation and the compiled law.</w:t>
      </w:r>
    </w:p>
    <w:p w:rsidR="0044290E" w:rsidRPr="00F30C99" w:rsidRDefault="0044290E" w:rsidP="0044290E">
      <w:pPr>
        <w:spacing w:after="120"/>
      </w:pPr>
      <w:r w:rsidRPr="00F30C99">
        <w:t>The following endnotes are included in every compilation:</w:t>
      </w:r>
    </w:p>
    <w:p w:rsidR="0044290E" w:rsidRPr="00F30C99" w:rsidRDefault="0044290E" w:rsidP="0044290E">
      <w:r w:rsidRPr="00F30C99">
        <w:t>Endnote 1—About the endnotes</w:t>
      </w:r>
    </w:p>
    <w:p w:rsidR="0044290E" w:rsidRPr="00F30C99" w:rsidRDefault="0044290E" w:rsidP="0044290E">
      <w:r w:rsidRPr="00F30C99">
        <w:t>Endnote 2—Abbreviation key</w:t>
      </w:r>
    </w:p>
    <w:p w:rsidR="0044290E" w:rsidRPr="00F30C99" w:rsidRDefault="0044290E" w:rsidP="0044290E">
      <w:r w:rsidRPr="00F30C99">
        <w:t>Endnote 3—Legislation history</w:t>
      </w:r>
    </w:p>
    <w:p w:rsidR="0044290E" w:rsidRPr="00F30C99" w:rsidRDefault="0044290E" w:rsidP="0044290E">
      <w:pPr>
        <w:spacing w:after="120"/>
      </w:pPr>
      <w:r w:rsidRPr="00F30C99">
        <w:t>Endnote 4—Amendment history</w:t>
      </w:r>
    </w:p>
    <w:p w:rsidR="0044290E" w:rsidRPr="00F30C99" w:rsidRDefault="0044290E" w:rsidP="0044290E">
      <w:r w:rsidRPr="00F30C99">
        <w:rPr>
          <w:b/>
        </w:rPr>
        <w:t>Abbreviation key—Endnote 2</w:t>
      </w:r>
    </w:p>
    <w:p w:rsidR="0044290E" w:rsidRPr="00F30C99" w:rsidRDefault="0044290E" w:rsidP="0044290E">
      <w:pPr>
        <w:spacing w:after="120"/>
      </w:pPr>
      <w:r w:rsidRPr="00F30C99">
        <w:t>The abbreviation key sets out abbreviations that may be used in the endnotes.</w:t>
      </w:r>
    </w:p>
    <w:p w:rsidR="0044290E" w:rsidRPr="00F30C99" w:rsidRDefault="0044290E" w:rsidP="0044290E">
      <w:pPr>
        <w:rPr>
          <w:b/>
        </w:rPr>
      </w:pPr>
      <w:r w:rsidRPr="00F30C99">
        <w:rPr>
          <w:b/>
        </w:rPr>
        <w:t>Legislation history and amendment history—Endnotes 3 and 4</w:t>
      </w:r>
    </w:p>
    <w:p w:rsidR="0044290E" w:rsidRPr="00F30C99" w:rsidRDefault="0044290E" w:rsidP="0044290E">
      <w:pPr>
        <w:spacing w:after="120"/>
      </w:pPr>
      <w:r w:rsidRPr="00F30C99">
        <w:t>Amending laws are annotated in the legislation history and amendment history.</w:t>
      </w:r>
    </w:p>
    <w:p w:rsidR="0044290E" w:rsidRPr="00F30C99" w:rsidRDefault="0044290E" w:rsidP="0044290E">
      <w:pPr>
        <w:spacing w:after="120"/>
      </w:pPr>
      <w:r w:rsidRPr="00F30C99">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4290E" w:rsidRPr="00F30C99" w:rsidRDefault="0044290E" w:rsidP="0044290E">
      <w:pPr>
        <w:spacing w:after="120"/>
      </w:pPr>
      <w:r w:rsidRPr="00F30C99">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4290E" w:rsidRPr="00F30C99" w:rsidRDefault="0044290E" w:rsidP="0044290E">
      <w:pPr>
        <w:rPr>
          <w:b/>
        </w:rPr>
      </w:pPr>
      <w:r w:rsidRPr="00F30C99">
        <w:rPr>
          <w:b/>
        </w:rPr>
        <w:t>Editorial changes</w:t>
      </w:r>
    </w:p>
    <w:p w:rsidR="0044290E" w:rsidRPr="00F30C99" w:rsidRDefault="0044290E" w:rsidP="0044290E">
      <w:pPr>
        <w:spacing w:after="120"/>
      </w:pPr>
      <w:r w:rsidRPr="00F30C99">
        <w:t xml:space="preserve">The </w:t>
      </w:r>
      <w:r w:rsidRPr="00F30C99">
        <w:rPr>
          <w:i/>
        </w:rPr>
        <w:t>Legislation Act 2003</w:t>
      </w:r>
      <w:r w:rsidRPr="00F30C99">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44290E" w:rsidRPr="00F30C99" w:rsidRDefault="0044290E" w:rsidP="0044290E">
      <w:pPr>
        <w:spacing w:after="120"/>
      </w:pPr>
      <w:r w:rsidRPr="00F30C99">
        <w:t xml:space="preserve">If the compilation includes editorial changes, the endnotes include a brief outline of the changes in general terms. Full details of any changes can be obtained from the Office of Parliamentary Counsel. </w:t>
      </w:r>
    </w:p>
    <w:p w:rsidR="0044290E" w:rsidRPr="00F30C99" w:rsidRDefault="0044290E" w:rsidP="0044290E">
      <w:pPr>
        <w:keepNext/>
      </w:pPr>
      <w:r w:rsidRPr="00F30C99">
        <w:rPr>
          <w:b/>
        </w:rPr>
        <w:t>Misdescribed amendments</w:t>
      </w:r>
    </w:p>
    <w:p w:rsidR="0044290E" w:rsidRPr="00F30C99" w:rsidRDefault="0044290E" w:rsidP="0044290E">
      <w:pPr>
        <w:spacing w:after="120"/>
      </w:pPr>
      <w:r w:rsidRPr="00F30C99">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44290E" w:rsidRPr="00F30C99" w:rsidRDefault="0044290E" w:rsidP="0044290E">
      <w:pPr>
        <w:spacing w:before="120" w:after="240"/>
      </w:pPr>
      <w:r w:rsidRPr="00F30C99">
        <w:t>If a misdescribed amendment cannot be given effect as intended, the abbreviation “(md not incorp)” is added to the details of the amendment included in the amendment history.</w:t>
      </w:r>
    </w:p>
    <w:p w:rsidR="000B685C" w:rsidRPr="00F30C99" w:rsidRDefault="000B685C" w:rsidP="000B685C"/>
    <w:p w:rsidR="0044290E" w:rsidRPr="00F30C99" w:rsidRDefault="0044290E" w:rsidP="0044290E">
      <w:pPr>
        <w:pStyle w:val="ENotesHeading2"/>
        <w:pageBreakBefore/>
        <w:spacing w:after="240"/>
        <w:outlineLvl w:val="9"/>
      </w:pPr>
      <w:bookmarkStart w:id="32" w:name="_Toc92895828"/>
      <w:r w:rsidRPr="00F30C99">
        <w:lastRenderedPageBreak/>
        <w:t>Endnote 2—Abbreviation key</w:t>
      </w:r>
      <w:bookmarkEnd w:id="32"/>
    </w:p>
    <w:tbl>
      <w:tblPr>
        <w:tblW w:w="5000" w:type="pct"/>
        <w:tblLook w:val="0000" w:firstRow="0" w:lastRow="0" w:firstColumn="0" w:lastColumn="0" w:noHBand="0" w:noVBand="0"/>
      </w:tblPr>
      <w:tblGrid>
        <w:gridCol w:w="4570"/>
        <w:gridCol w:w="3959"/>
      </w:tblGrid>
      <w:tr w:rsidR="0044290E" w:rsidRPr="00F30C99" w:rsidTr="004E3418">
        <w:tc>
          <w:tcPr>
            <w:tcW w:w="2679" w:type="pct"/>
            <w:shd w:val="clear" w:color="auto" w:fill="auto"/>
          </w:tcPr>
          <w:p w:rsidR="0044290E" w:rsidRPr="00F30C99" w:rsidRDefault="0044290E" w:rsidP="0044290E">
            <w:pPr>
              <w:spacing w:before="60"/>
              <w:ind w:left="34"/>
              <w:rPr>
                <w:sz w:val="20"/>
              </w:rPr>
            </w:pPr>
            <w:r w:rsidRPr="00F30C99">
              <w:rPr>
                <w:sz w:val="20"/>
              </w:rPr>
              <w:t>ad = added or inserted</w:t>
            </w:r>
          </w:p>
        </w:tc>
        <w:tc>
          <w:tcPr>
            <w:tcW w:w="2321" w:type="pct"/>
            <w:shd w:val="clear" w:color="auto" w:fill="auto"/>
          </w:tcPr>
          <w:p w:rsidR="0044290E" w:rsidRPr="00F30C99" w:rsidRDefault="0044290E" w:rsidP="0044290E">
            <w:pPr>
              <w:spacing w:before="60"/>
              <w:ind w:left="34"/>
              <w:rPr>
                <w:sz w:val="20"/>
              </w:rPr>
            </w:pPr>
            <w:r w:rsidRPr="00F30C99">
              <w:rPr>
                <w:sz w:val="20"/>
              </w:rPr>
              <w:t>o = order(s)</w:t>
            </w:r>
          </w:p>
        </w:tc>
      </w:tr>
      <w:tr w:rsidR="0044290E" w:rsidRPr="00F30C99" w:rsidTr="004E3418">
        <w:tc>
          <w:tcPr>
            <w:tcW w:w="2679" w:type="pct"/>
            <w:shd w:val="clear" w:color="auto" w:fill="auto"/>
          </w:tcPr>
          <w:p w:rsidR="0044290E" w:rsidRPr="00F30C99" w:rsidRDefault="0044290E" w:rsidP="0044290E">
            <w:pPr>
              <w:spacing w:before="60"/>
              <w:ind w:left="34"/>
              <w:rPr>
                <w:sz w:val="20"/>
              </w:rPr>
            </w:pPr>
            <w:r w:rsidRPr="00F30C99">
              <w:rPr>
                <w:sz w:val="20"/>
              </w:rPr>
              <w:t>am = amended</w:t>
            </w:r>
          </w:p>
        </w:tc>
        <w:tc>
          <w:tcPr>
            <w:tcW w:w="2321" w:type="pct"/>
            <w:shd w:val="clear" w:color="auto" w:fill="auto"/>
          </w:tcPr>
          <w:p w:rsidR="0044290E" w:rsidRPr="00F30C99" w:rsidRDefault="0044290E" w:rsidP="0044290E">
            <w:pPr>
              <w:spacing w:before="60"/>
              <w:ind w:left="34"/>
              <w:rPr>
                <w:sz w:val="20"/>
              </w:rPr>
            </w:pPr>
            <w:r w:rsidRPr="00F30C99">
              <w:rPr>
                <w:sz w:val="20"/>
              </w:rPr>
              <w:t>Ord = Ordinance</w:t>
            </w:r>
          </w:p>
        </w:tc>
      </w:tr>
      <w:tr w:rsidR="0044290E" w:rsidRPr="00F30C99" w:rsidTr="004E3418">
        <w:tc>
          <w:tcPr>
            <w:tcW w:w="2679" w:type="pct"/>
            <w:shd w:val="clear" w:color="auto" w:fill="auto"/>
          </w:tcPr>
          <w:p w:rsidR="0044290E" w:rsidRPr="00F30C99" w:rsidRDefault="0044290E" w:rsidP="0044290E">
            <w:pPr>
              <w:spacing w:before="60"/>
              <w:ind w:left="34"/>
              <w:rPr>
                <w:sz w:val="20"/>
              </w:rPr>
            </w:pPr>
            <w:r w:rsidRPr="00F30C99">
              <w:rPr>
                <w:sz w:val="20"/>
              </w:rPr>
              <w:t>amdt = amendment</w:t>
            </w:r>
          </w:p>
        </w:tc>
        <w:tc>
          <w:tcPr>
            <w:tcW w:w="2321" w:type="pct"/>
            <w:shd w:val="clear" w:color="auto" w:fill="auto"/>
          </w:tcPr>
          <w:p w:rsidR="0044290E" w:rsidRPr="00F30C99" w:rsidRDefault="0044290E" w:rsidP="0044290E">
            <w:pPr>
              <w:spacing w:before="60"/>
              <w:ind w:left="34"/>
              <w:rPr>
                <w:sz w:val="20"/>
              </w:rPr>
            </w:pPr>
            <w:r w:rsidRPr="00F30C99">
              <w:rPr>
                <w:sz w:val="20"/>
              </w:rPr>
              <w:t>orig = original</w:t>
            </w:r>
          </w:p>
        </w:tc>
      </w:tr>
      <w:tr w:rsidR="0044290E" w:rsidRPr="00F30C99" w:rsidTr="004E3418">
        <w:tc>
          <w:tcPr>
            <w:tcW w:w="2679" w:type="pct"/>
            <w:shd w:val="clear" w:color="auto" w:fill="auto"/>
          </w:tcPr>
          <w:p w:rsidR="0044290E" w:rsidRPr="00F30C99" w:rsidRDefault="0044290E" w:rsidP="0044290E">
            <w:pPr>
              <w:spacing w:before="60"/>
              <w:ind w:left="34"/>
              <w:rPr>
                <w:sz w:val="20"/>
              </w:rPr>
            </w:pPr>
            <w:r w:rsidRPr="00F30C99">
              <w:rPr>
                <w:sz w:val="20"/>
              </w:rPr>
              <w:t>c = clause(s)</w:t>
            </w:r>
          </w:p>
        </w:tc>
        <w:tc>
          <w:tcPr>
            <w:tcW w:w="2321" w:type="pct"/>
            <w:shd w:val="clear" w:color="auto" w:fill="auto"/>
          </w:tcPr>
          <w:p w:rsidR="0044290E" w:rsidRPr="00F30C99" w:rsidRDefault="0044290E" w:rsidP="0044290E">
            <w:pPr>
              <w:spacing w:before="60"/>
              <w:ind w:left="34"/>
              <w:rPr>
                <w:sz w:val="20"/>
              </w:rPr>
            </w:pPr>
            <w:r w:rsidRPr="00F30C99">
              <w:rPr>
                <w:sz w:val="20"/>
              </w:rPr>
              <w:t>par = paragraph(s)/subparagraph(s)</w:t>
            </w:r>
          </w:p>
        </w:tc>
      </w:tr>
      <w:tr w:rsidR="0044290E" w:rsidRPr="00F30C99" w:rsidTr="004E3418">
        <w:tc>
          <w:tcPr>
            <w:tcW w:w="2679" w:type="pct"/>
            <w:shd w:val="clear" w:color="auto" w:fill="auto"/>
          </w:tcPr>
          <w:p w:rsidR="0044290E" w:rsidRPr="00F30C99" w:rsidRDefault="0044290E" w:rsidP="0044290E">
            <w:pPr>
              <w:spacing w:before="60"/>
              <w:ind w:left="34"/>
              <w:rPr>
                <w:sz w:val="20"/>
              </w:rPr>
            </w:pPr>
            <w:r w:rsidRPr="00F30C99">
              <w:rPr>
                <w:sz w:val="20"/>
              </w:rPr>
              <w:t>C[x] = Compilation No. x</w:t>
            </w:r>
          </w:p>
        </w:tc>
        <w:tc>
          <w:tcPr>
            <w:tcW w:w="2321" w:type="pct"/>
            <w:shd w:val="clear" w:color="auto" w:fill="auto"/>
          </w:tcPr>
          <w:p w:rsidR="0044290E" w:rsidRPr="00F30C99" w:rsidRDefault="0044290E" w:rsidP="0044290E">
            <w:pPr>
              <w:ind w:left="34" w:firstLine="249"/>
              <w:rPr>
                <w:sz w:val="20"/>
              </w:rPr>
            </w:pPr>
            <w:r w:rsidRPr="00F30C99">
              <w:rPr>
                <w:sz w:val="20"/>
              </w:rPr>
              <w:t>/sub</w:t>
            </w:r>
            <w:r w:rsidR="002B5C75">
              <w:rPr>
                <w:sz w:val="20"/>
              </w:rPr>
              <w:noBreakHyphen/>
            </w:r>
            <w:r w:rsidRPr="00F30C99">
              <w:rPr>
                <w:sz w:val="20"/>
              </w:rPr>
              <w:t>subparagraph(s)</w:t>
            </w:r>
          </w:p>
        </w:tc>
      </w:tr>
      <w:tr w:rsidR="0044290E" w:rsidRPr="00F30C99" w:rsidTr="004E3418">
        <w:tc>
          <w:tcPr>
            <w:tcW w:w="2679" w:type="pct"/>
            <w:shd w:val="clear" w:color="auto" w:fill="auto"/>
          </w:tcPr>
          <w:p w:rsidR="0044290E" w:rsidRPr="00F30C99" w:rsidRDefault="0044290E" w:rsidP="0044290E">
            <w:pPr>
              <w:spacing w:before="60"/>
              <w:ind w:left="34"/>
              <w:rPr>
                <w:sz w:val="20"/>
              </w:rPr>
            </w:pPr>
            <w:r w:rsidRPr="00F30C99">
              <w:rPr>
                <w:sz w:val="20"/>
              </w:rPr>
              <w:t>Ch = Chapter(s)</w:t>
            </w:r>
          </w:p>
        </w:tc>
        <w:tc>
          <w:tcPr>
            <w:tcW w:w="2321" w:type="pct"/>
            <w:shd w:val="clear" w:color="auto" w:fill="auto"/>
          </w:tcPr>
          <w:p w:rsidR="0044290E" w:rsidRPr="00F30C99" w:rsidRDefault="0044290E" w:rsidP="0044290E">
            <w:pPr>
              <w:spacing w:before="60"/>
              <w:ind w:left="34"/>
              <w:rPr>
                <w:sz w:val="20"/>
              </w:rPr>
            </w:pPr>
            <w:r w:rsidRPr="00F30C99">
              <w:rPr>
                <w:sz w:val="20"/>
              </w:rPr>
              <w:t>pres = present</w:t>
            </w:r>
          </w:p>
        </w:tc>
      </w:tr>
      <w:tr w:rsidR="0044290E" w:rsidRPr="00F30C99" w:rsidTr="004E3418">
        <w:tc>
          <w:tcPr>
            <w:tcW w:w="2679" w:type="pct"/>
            <w:shd w:val="clear" w:color="auto" w:fill="auto"/>
          </w:tcPr>
          <w:p w:rsidR="0044290E" w:rsidRPr="00F30C99" w:rsidRDefault="0044290E" w:rsidP="0044290E">
            <w:pPr>
              <w:spacing w:before="60"/>
              <w:ind w:left="34"/>
              <w:rPr>
                <w:sz w:val="20"/>
              </w:rPr>
            </w:pPr>
            <w:r w:rsidRPr="00F30C99">
              <w:rPr>
                <w:sz w:val="20"/>
              </w:rPr>
              <w:t>def = definition(s)</w:t>
            </w:r>
          </w:p>
        </w:tc>
        <w:tc>
          <w:tcPr>
            <w:tcW w:w="2321" w:type="pct"/>
            <w:shd w:val="clear" w:color="auto" w:fill="auto"/>
          </w:tcPr>
          <w:p w:rsidR="0044290E" w:rsidRPr="00F30C99" w:rsidRDefault="0044290E" w:rsidP="0044290E">
            <w:pPr>
              <w:spacing w:before="60"/>
              <w:ind w:left="34"/>
              <w:rPr>
                <w:sz w:val="20"/>
              </w:rPr>
            </w:pPr>
            <w:r w:rsidRPr="00F30C99">
              <w:rPr>
                <w:sz w:val="20"/>
              </w:rPr>
              <w:t>prev = previous</w:t>
            </w:r>
          </w:p>
        </w:tc>
      </w:tr>
      <w:tr w:rsidR="0044290E" w:rsidRPr="00F30C99" w:rsidTr="004E3418">
        <w:tc>
          <w:tcPr>
            <w:tcW w:w="2679" w:type="pct"/>
            <w:shd w:val="clear" w:color="auto" w:fill="auto"/>
          </w:tcPr>
          <w:p w:rsidR="0044290E" w:rsidRPr="00F30C99" w:rsidRDefault="0044290E" w:rsidP="0044290E">
            <w:pPr>
              <w:spacing w:before="60"/>
              <w:ind w:left="34"/>
              <w:rPr>
                <w:sz w:val="20"/>
              </w:rPr>
            </w:pPr>
            <w:r w:rsidRPr="00F30C99">
              <w:rPr>
                <w:sz w:val="20"/>
              </w:rPr>
              <w:t>Dict = Dictionary</w:t>
            </w:r>
          </w:p>
        </w:tc>
        <w:tc>
          <w:tcPr>
            <w:tcW w:w="2321" w:type="pct"/>
            <w:shd w:val="clear" w:color="auto" w:fill="auto"/>
          </w:tcPr>
          <w:p w:rsidR="0044290E" w:rsidRPr="00F30C99" w:rsidRDefault="0044290E" w:rsidP="0044290E">
            <w:pPr>
              <w:spacing w:before="60"/>
              <w:ind w:left="34"/>
              <w:rPr>
                <w:sz w:val="20"/>
              </w:rPr>
            </w:pPr>
            <w:r w:rsidRPr="00F30C99">
              <w:rPr>
                <w:sz w:val="20"/>
              </w:rPr>
              <w:t>(prev…) = previously</w:t>
            </w:r>
          </w:p>
        </w:tc>
      </w:tr>
      <w:tr w:rsidR="0044290E" w:rsidRPr="00F30C99" w:rsidTr="004E3418">
        <w:tc>
          <w:tcPr>
            <w:tcW w:w="2679" w:type="pct"/>
            <w:shd w:val="clear" w:color="auto" w:fill="auto"/>
          </w:tcPr>
          <w:p w:rsidR="0044290E" w:rsidRPr="00F30C99" w:rsidRDefault="0044290E" w:rsidP="0044290E">
            <w:pPr>
              <w:spacing w:before="60"/>
              <w:ind w:left="34"/>
              <w:rPr>
                <w:sz w:val="20"/>
              </w:rPr>
            </w:pPr>
            <w:r w:rsidRPr="00F30C99">
              <w:rPr>
                <w:sz w:val="20"/>
              </w:rPr>
              <w:t>disallowed = disallowed by Parliament</w:t>
            </w:r>
          </w:p>
        </w:tc>
        <w:tc>
          <w:tcPr>
            <w:tcW w:w="2321" w:type="pct"/>
            <w:shd w:val="clear" w:color="auto" w:fill="auto"/>
          </w:tcPr>
          <w:p w:rsidR="0044290E" w:rsidRPr="00F30C99" w:rsidRDefault="0044290E" w:rsidP="0044290E">
            <w:pPr>
              <w:spacing w:before="60"/>
              <w:ind w:left="34"/>
              <w:rPr>
                <w:sz w:val="20"/>
              </w:rPr>
            </w:pPr>
            <w:r w:rsidRPr="00F30C99">
              <w:rPr>
                <w:sz w:val="20"/>
              </w:rPr>
              <w:t>Pt = Part(s)</w:t>
            </w:r>
          </w:p>
        </w:tc>
      </w:tr>
      <w:tr w:rsidR="0044290E" w:rsidRPr="00F30C99" w:rsidTr="004E3418">
        <w:tc>
          <w:tcPr>
            <w:tcW w:w="2679" w:type="pct"/>
            <w:shd w:val="clear" w:color="auto" w:fill="auto"/>
          </w:tcPr>
          <w:p w:rsidR="0044290E" w:rsidRPr="00F30C99" w:rsidRDefault="0044290E" w:rsidP="0044290E">
            <w:pPr>
              <w:spacing w:before="60"/>
              <w:ind w:left="34"/>
              <w:rPr>
                <w:sz w:val="20"/>
              </w:rPr>
            </w:pPr>
            <w:r w:rsidRPr="00F30C99">
              <w:rPr>
                <w:sz w:val="20"/>
              </w:rPr>
              <w:t>Div = Division(s)</w:t>
            </w:r>
          </w:p>
        </w:tc>
        <w:tc>
          <w:tcPr>
            <w:tcW w:w="2321" w:type="pct"/>
            <w:shd w:val="clear" w:color="auto" w:fill="auto"/>
          </w:tcPr>
          <w:p w:rsidR="0044290E" w:rsidRPr="00F30C99" w:rsidRDefault="0044290E" w:rsidP="0044290E">
            <w:pPr>
              <w:spacing w:before="60"/>
              <w:ind w:left="34"/>
              <w:rPr>
                <w:sz w:val="20"/>
              </w:rPr>
            </w:pPr>
            <w:r w:rsidRPr="00F30C99">
              <w:rPr>
                <w:sz w:val="20"/>
              </w:rPr>
              <w:t>r = regulation(s)/rule(s)</w:t>
            </w:r>
          </w:p>
        </w:tc>
      </w:tr>
      <w:tr w:rsidR="0044290E" w:rsidRPr="00F30C99" w:rsidTr="004E3418">
        <w:tc>
          <w:tcPr>
            <w:tcW w:w="2679" w:type="pct"/>
            <w:shd w:val="clear" w:color="auto" w:fill="auto"/>
          </w:tcPr>
          <w:p w:rsidR="0044290E" w:rsidRPr="00F30C99" w:rsidRDefault="0044290E" w:rsidP="0044290E">
            <w:pPr>
              <w:spacing w:before="60"/>
              <w:ind w:left="34"/>
              <w:rPr>
                <w:sz w:val="20"/>
              </w:rPr>
            </w:pPr>
            <w:r w:rsidRPr="00F30C99">
              <w:rPr>
                <w:sz w:val="20"/>
              </w:rPr>
              <w:t>ed = editorial change</w:t>
            </w:r>
          </w:p>
        </w:tc>
        <w:tc>
          <w:tcPr>
            <w:tcW w:w="2321" w:type="pct"/>
            <w:shd w:val="clear" w:color="auto" w:fill="auto"/>
          </w:tcPr>
          <w:p w:rsidR="0044290E" w:rsidRPr="00F30C99" w:rsidRDefault="0044290E" w:rsidP="0044290E">
            <w:pPr>
              <w:spacing w:before="60"/>
              <w:ind w:left="34"/>
              <w:rPr>
                <w:sz w:val="20"/>
              </w:rPr>
            </w:pPr>
            <w:r w:rsidRPr="00F30C99">
              <w:rPr>
                <w:sz w:val="20"/>
              </w:rPr>
              <w:t>reloc = relocated</w:t>
            </w:r>
          </w:p>
        </w:tc>
      </w:tr>
      <w:tr w:rsidR="0044290E" w:rsidRPr="00F30C99" w:rsidTr="004E3418">
        <w:tc>
          <w:tcPr>
            <w:tcW w:w="2679" w:type="pct"/>
            <w:shd w:val="clear" w:color="auto" w:fill="auto"/>
          </w:tcPr>
          <w:p w:rsidR="0044290E" w:rsidRPr="00F30C99" w:rsidRDefault="0044290E" w:rsidP="0044290E">
            <w:pPr>
              <w:spacing w:before="60"/>
              <w:ind w:left="34"/>
              <w:rPr>
                <w:sz w:val="20"/>
              </w:rPr>
            </w:pPr>
            <w:r w:rsidRPr="00F30C99">
              <w:rPr>
                <w:sz w:val="20"/>
              </w:rPr>
              <w:t>exp = expires/expired or ceases/ceased to have</w:t>
            </w:r>
          </w:p>
        </w:tc>
        <w:tc>
          <w:tcPr>
            <w:tcW w:w="2321" w:type="pct"/>
            <w:shd w:val="clear" w:color="auto" w:fill="auto"/>
          </w:tcPr>
          <w:p w:rsidR="0044290E" w:rsidRPr="00F30C99" w:rsidRDefault="0044290E" w:rsidP="0044290E">
            <w:pPr>
              <w:spacing w:before="60"/>
              <w:ind w:left="34"/>
              <w:rPr>
                <w:sz w:val="20"/>
              </w:rPr>
            </w:pPr>
            <w:r w:rsidRPr="00F30C99">
              <w:rPr>
                <w:sz w:val="20"/>
              </w:rPr>
              <w:t>renum = renumbered</w:t>
            </w:r>
          </w:p>
        </w:tc>
      </w:tr>
      <w:tr w:rsidR="0044290E" w:rsidRPr="00F30C99" w:rsidTr="004E3418">
        <w:tc>
          <w:tcPr>
            <w:tcW w:w="2679" w:type="pct"/>
            <w:shd w:val="clear" w:color="auto" w:fill="auto"/>
          </w:tcPr>
          <w:p w:rsidR="0044290E" w:rsidRPr="00F30C99" w:rsidRDefault="0044290E" w:rsidP="0044290E">
            <w:pPr>
              <w:ind w:left="34" w:firstLine="249"/>
              <w:rPr>
                <w:sz w:val="20"/>
              </w:rPr>
            </w:pPr>
            <w:r w:rsidRPr="00F30C99">
              <w:rPr>
                <w:sz w:val="20"/>
              </w:rPr>
              <w:t>effect</w:t>
            </w:r>
          </w:p>
        </w:tc>
        <w:tc>
          <w:tcPr>
            <w:tcW w:w="2321" w:type="pct"/>
            <w:shd w:val="clear" w:color="auto" w:fill="auto"/>
          </w:tcPr>
          <w:p w:rsidR="0044290E" w:rsidRPr="00F30C99" w:rsidRDefault="0044290E" w:rsidP="0044290E">
            <w:pPr>
              <w:spacing w:before="60"/>
              <w:ind w:left="34"/>
              <w:rPr>
                <w:sz w:val="20"/>
              </w:rPr>
            </w:pPr>
            <w:r w:rsidRPr="00F30C99">
              <w:rPr>
                <w:sz w:val="20"/>
              </w:rPr>
              <w:t>rep = repealed</w:t>
            </w:r>
          </w:p>
        </w:tc>
      </w:tr>
      <w:tr w:rsidR="0044290E" w:rsidRPr="00F30C99" w:rsidTr="004E3418">
        <w:tc>
          <w:tcPr>
            <w:tcW w:w="2679" w:type="pct"/>
            <w:shd w:val="clear" w:color="auto" w:fill="auto"/>
          </w:tcPr>
          <w:p w:rsidR="0044290E" w:rsidRPr="00F30C99" w:rsidRDefault="0044290E" w:rsidP="0044290E">
            <w:pPr>
              <w:spacing w:before="60"/>
              <w:ind w:left="34"/>
              <w:rPr>
                <w:sz w:val="20"/>
              </w:rPr>
            </w:pPr>
            <w:r w:rsidRPr="00F30C99">
              <w:rPr>
                <w:sz w:val="20"/>
              </w:rPr>
              <w:t>F = Federal Register of Legislation</w:t>
            </w:r>
          </w:p>
        </w:tc>
        <w:tc>
          <w:tcPr>
            <w:tcW w:w="2321" w:type="pct"/>
            <w:shd w:val="clear" w:color="auto" w:fill="auto"/>
          </w:tcPr>
          <w:p w:rsidR="0044290E" w:rsidRPr="00F30C99" w:rsidRDefault="0044290E" w:rsidP="0044290E">
            <w:pPr>
              <w:spacing w:before="60"/>
              <w:ind w:left="34"/>
              <w:rPr>
                <w:sz w:val="20"/>
              </w:rPr>
            </w:pPr>
            <w:r w:rsidRPr="00F30C99">
              <w:rPr>
                <w:sz w:val="20"/>
              </w:rPr>
              <w:t>rs = repealed and substituted</w:t>
            </w:r>
          </w:p>
        </w:tc>
      </w:tr>
      <w:tr w:rsidR="0044290E" w:rsidRPr="00F30C99" w:rsidTr="004E3418">
        <w:tc>
          <w:tcPr>
            <w:tcW w:w="2679" w:type="pct"/>
            <w:shd w:val="clear" w:color="auto" w:fill="auto"/>
          </w:tcPr>
          <w:p w:rsidR="0044290E" w:rsidRPr="00F30C99" w:rsidRDefault="0044290E" w:rsidP="0044290E">
            <w:pPr>
              <w:spacing w:before="60"/>
              <w:ind w:left="34"/>
              <w:rPr>
                <w:sz w:val="20"/>
              </w:rPr>
            </w:pPr>
            <w:r w:rsidRPr="00F30C99">
              <w:rPr>
                <w:sz w:val="20"/>
              </w:rPr>
              <w:t>gaz = gazette</w:t>
            </w:r>
          </w:p>
        </w:tc>
        <w:tc>
          <w:tcPr>
            <w:tcW w:w="2321" w:type="pct"/>
            <w:shd w:val="clear" w:color="auto" w:fill="auto"/>
          </w:tcPr>
          <w:p w:rsidR="0044290E" w:rsidRPr="00F30C99" w:rsidRDefault="0044290E" w:rsidP="0044290E">
            <w:pPr>
              <w:spacing w:before="60"/>
              <w:ind w:left="34"/>
              <w:rPr>
                <w:sz w:val="20"/>
              </w:rPr>
            </w:pPr>
            <w:r w:rsidRPr="00F30C99">
              <w:rPr>
                <w:sz w:val="20"/>
              </w:rPr>
              <w:t>s = section(s)/subsection(s)</w:t>
            </w:r>
          </w:p>
        </w:tc>
      </w:tr>
      <w:tr w:rsidR="0044290E" w:rsidRPr="00F30C99" w:rsidTr="004E3418">
        <w:tc>
          <w:tcPr>
            <w:tcW w:w="2679" w:type="pct"/>
            <w:shd w:val="clear" w:color="auto" w:fill="auto"/>
          </w:tcPr>
          <w:p w:rsidR="0044290E" w:rsidRPr="00F30C99" w:rsidRDefault="0044290E" w:rsidP="0044290E">
            <w:pPr>
              <w:spacing w:before="60"/>
              <w:ind w:left="34"/>
              <w:rPr>
                <w:sz w:val="20"/>
              </w:rPr>
            </w:pPr>
            <w:r w:rsidRPr="00F30C99">
              <w:rPr>
                <w:sz w:val="20"/>
              </w:rPr>
              <w:t xml:space="preserve">LA = </w:t>
            </w:r>
            <w:r w:rsidRPr="00F30C99">
              <w:rPr>
                <w:i/>
                <w:sz w:val="20"/>
              </w:rPr>
              <w:t>Legislation Act 2003</w:t>
            </w:r>
          </w:p>
        </w:tc>
        <w:tc>
          <w:tcPr>
            <w:tcW w:w="2321" w:type="pct"/>
            <w:shd w:val="clear" w:color="auto" w:fill="auto"/>
          </w:tcPr>
          <w:p w:rsidR="0044290E" w:rsidRPr="00F30C99" w:rsidRDefault="0044290E" w:rsidP="0044290E">
            <w:pPr>
              <w:spacing w:before="60"/>
              <w:ind w:left="34"/>
              <w:rPr>
                <w:sz w:val="20"/>
              </w:rPr>
            </w:pPr>
            <w:r w:rsidRPr="00F30C99">
              <w:rPr>
                <w:sz w:val="20"/>
              </w:rPr>
              <w:t>Sch = Schedule(s)</w:t>
            </w:r>
          </w:p>
        </w:tc>
      </w:tr>
      <w:tr w:rsidR="0044290E" w:rsidRPr="00F30C99" w:rsidTr="004E3418">
        <w:tc>
          <w:tcPr>
            <w:tcW w:w="2679" w:type="pct"/>
            <w:shd w:val="clear" w:color="auto" w:fill="auto"/>
          </w:tcPr>
          <w:p w:rsidR="0044290E" w:rsidRPr="00F30C99" w:rsidRDefault="0044290E" w:rsidP="0044290E">
            <w:pPr>
              <w:spacing w:before="60"/>
              <w:ind w:left="34"/>
              <w:rPr>
                <w:sz w:val="20"/>
              </w:rPr>
            </w:pPr>
            <w:r w:rsidRPr="00F30C99">
              <w:rPr>
                <w:sz w:val="20"/>
              </w:rPr>
              <w:t xml:space="preserve">LIA = </w:t>
            </w:r>
            <w:r w:rsidRPr="00F30C99">
              <w:rPr>
                <w:i/>
                <w:sz w:val="20"/>
              </w:rPr>
              <w:t>Legislative Instruments Act 2003</w:t>
            </w:r>
          </w:p>
        </w:tc>
        <w:tc>
          <w:tcPr>
            <w:tcW w:w="2321" w:type="pct"/>
            <w:shd w:val="clear" w:color="auto" w:fill="auto"/>
          </w:tcPr>
          <w:p w:rsidR="0044290E" w:rsidRPr="00F30C99" w:rsidRDefault="0044290E" w:rsidP="0044290E">
            <w:pPr>
              <w:spacing w:before="60"/>
              <w:ind w:left="34"/>
              <w:rPr>
                <w:sz w:val="20"/>
              </w:rPr>
            </w:pPr>
            <w:r w:rsidRPr="00F30C99">
              <w:rPr>
                <w:sz w:val="20"/>
              </w:rPr>
              <w:t>Sdiv = Subdivision(s)</w:t>
            </w:r>
          </w:p>
        </w:tc>
      </w:tr>
      <w:tr w:rsidR="0044290E" w:rsidRPr="00F30C99" w:rsidTr="004E3418">
        <w:tc>
          <w:tcPr>
            <w:tcW w:w="2679" w:type="pct"/>
            <w:shd w:val="clear" w:color="auto" w:fill="auto"/>
          </w:tcPr>
          <w:p w:rsidR="0044290E" w:rsidRPr="00F30C99" w:rsidRDefault="0044290E" w:rsidP="0044290E">
            <w:pPr>
              <w:spacing w:before="60"/>
              <w:ind w:left="34"/>
              <w:rPr>
                <w:sz w:val="20"/>
              </w:rPr>
            </w:pPr>
            <w:r w:rsidRPr="00F30C99">
              <w:rPr>
                <w:sz w:val="20"/>
              </w:rPr>
              <w:t>(md) = misdescribed amendment can be given</w:t>
            </w:r>
          </w:p>
        </w:tc>
        <w:tc>
          <w:tcPr>
            <w:tcW w:w="2321" w:type="pct"/>
            <w:shd w:val="clear" w:color="auto" w:fill="auto"/>
          </w:tcPr>
          <w:p w:rsidR="0044290E" w:rsidRPr="00F30C99" w:rsidRDefault="0044290E" w:rsidP="0044290E">
            <w:pPr>
              <w:spacing w:before="60"/>
              <w:ind w:left="34"/>
              <w:rPr>
                <w:sz w:val="20"/>
              </w:rPr>
            </w:pPr>
            <w:r w:rsidRPr="00F30C99">
              <w:rPr>
                <w:sz w:val="20"/>
              </w:rPr>
              <w:t>SLI = Select Legislative Instrument</w:t>
            </w:r>
          </w:p>
        </w:tc>
      </w:tr>
      <w:tr w:rsidR="0044290E" w:rsidRPr="00F30C99" w:rsidTr="004E3418">
        <w:tc>
          <w:tcPr>
            <w:tcW w:w="2679" w:type="pct"/>
            <w:shd w:val="clear" w:color="auto" w:fill="auto"/>
          </w:tcPr>
          <w:p w:rsidR="0044290E" w:rsidRPr="00F30C99" w:rsidRDefault="0044290E" w:rsidP="0044290E">
            <w:pPr>
              <w:ind w:left="34" w:firstLine="249"/>
              <w:rPr>
                <w:sz w:val="20"/>
              </w:rPr>
            </w:pPr>
            <w:r w:rsidRPr="00F30C99">
              <w:rPr>
                <w:sz w:val="20"/>
              </w:rPr>
              <w:t>effect</w:t>
            </w:r>
          </w:p>
        </w:tc>
        <w:tc>
          <w:tcPr>
            <w:tcW w:w="2321" w:type="pct"/>
            <w:shd w:val="clear" w:color="auto" w:fill="auto"/>
          </w:tcPr>
          <w:p w:rsidR="0044290E" w:rsidRPr="00F30C99" w:rsidRDefault="0044290E" w:rsidP="0044290E">
            <w:pPr>
              <w:spacing w:before="60"/>
              <w:ind w:left="34"/>
              <w:rPr>
                <w:sz w:val="20"/>
              </w:rPr>
            </w:pPr>
            <w:r w:rsidRPr="00F30C99">
              <w:rPr>
                <w:sz w:val="20"/>
              </w:rPr>
              <w:t>SR = Statutory Rules</w:t>
            </w:r>
          </w:p>
        </w:tc>
      </w:tr>
      <w:tr w:rsidR="0044290E" w:rsidRPr="00F30C99" w:rsidTr="004E3418">
        <w:tc>
          <w:tcPr>
            <w:tcW w:w="2679" w:type="pct"/>
            <w:shd w:val="clear" w:color="auto" w:fill="auto"/>
          </w:tcPr>
          <w:p w:rsidR="0044290E" w:rsidRPr="00F30C99" w:rsidRDefault="0044290E" w:rsidP="0044290E">
            <w:pPr>
              <w:spacing w:before="60"/>
              <w:ind w:left="34"/>
              <w:rPr>
                <w:sz w:val="20"/>
              </w:rPr>
            </w:pPr>
            <w:r w:rsidRPr="00F30C99">
              <w:rPr>
                <w:sz w:val="20"/>
              </w:rPr>
              <w:t>(md not incorp) = misdescribed amendment</w:t>
            </w:r>
          </w:p>
        </w:tc>
        <w:tc>
          <w:tcPr>
            <w:tcW w:w="2321" w:type="pct"/>
            <w:shd w:val="clear" w:color="auto" w:fill="auto"/>
          </w:tcPr>
          <w:p w:rsidR="0044290E" w:rsidRPr="00F30C99" w:rsidRDefault="0044290E" w:rsidP="0044290E">
            <w:pPr>
              <w:spacing w:before="60"/>
              <w:ind w:left="34"/>
              <w:rPr>
                <w:sz w:val="20"/>
              </w:rPr>
            </w:pPr>
            <w:r w:rsidRPr="00F30C99">
              <w:rPr>
                <w:sz w:val="20"/>
              </w:rPr>
              <w:t>Sub</w:t>
            </w:r>
            <w:r w:rsidR="002B5C75">
              <w:rPr>
                <w:sz w:val="20"/>
              </w:rPr>
              <w:noBreakHyphen/>
            </w:r>
            <w:r w:rsidRPr="00F30C99">
              <w:rPr>
                <w:sz w:val="20"/>
              </w:rPr>
              <w:t>Ch = Sub</w:t>
            </w:r>
            <w:r w:rsidR="002B5C75">
              <w:rPr>
                <w:sz w:val="20"/>
              </w:rPr>
              <w:noBreakHyphen/>
            </w:r>
            <w:r w:rsidRPr="00F30C99">
              <w:rPr>
                <w:sz w:val="20"/>
              </w:rPr>
              <w:t>Chapter(s)</w:t>
            </w:r>
          </w:p>
        </w:tc>
      </w:tr>
      <w:tr w:rsidR="0044290E" w:rsidRPr="00F30C99" w:rsidTr="004E3418">
        <w:tc>
          <w:tcPr>
            <w:tcW w:w="2679" w:type="pct"/>
            <w:shd w:val="clear" w:color="auto" w:fill="auto"/>
          </w:tcPr>
          <w:p w:rsidR="0044290E" w:rsidRPr="00F30C99" w:rsidRDefault="0044290E" w:rsidP="0044290E">
            <w:pPr>
              <w:ind w:left="34" w:firstLine="249"/>
              <w:rPr>
                <w:sz w:val="20"/>
              </w:rPr>
            </w:pPr>
            <w:r w:rsidRPr="00F30C99">
              <w:rPr>
                <w:sz w:val="20"/>
              </w:rPr>
              <w:t>cannot be given effect</w:t>
            </w:r>
          </w:p>
        </w:tc>
        <w:tc>
          <w:tcPr>
            <w:tcW w:w="2321" w:type="pct"/>
            <w:shd w:val="clear" w:color="auto" w:fill="auto"/>
          </w:tcPr>
          <w:p w:rsidR="0044290E" w:rsidRPr="00F30C99" w:rsidRDefault="0044290E" w:rsidP="0044290E">
            <w:pPr>
              <w:spacing w:before="60"/>
              <w:ind w:left="34"/>
              <w:rPr>
                <w:sz w:val="20"/>
              </w:rPr>
            </w:pPr>
            <w:r w:rsidRPr="00F30C99">
              <w:rPr>
                <w:sz w:val="20"/>
              </w:rPr>
              <w:t>SubPt = Subpart(s)</w:t>
            </w:r>
          </w:p>
        </w:tc>
      </w:tr>
      <w:tr w:rsidR="0044290E" w:rsidRPr="00F30C99" w:rsidTr="004E3418">
        <w:tc>
          <w:tcPr>
            <w:tcW w:w="2679" w:type="pct"/>
            <w:shd w:val="clear" w:color="auto" w:fill="auto"/>
          </w:tcPr>
          <w:p w:rsidR="0044290E" w:rsidRPr="00F30C99" w:rsidRDefault="0044290E" w:rsidP="0044290E">
            <w:pPr>
              <w:spacing w:before="60"/>
              <w:ind w:left="34"/>
              <w:rPr>
                <w:sz w:val="20"/>
              </w:rPr>
            </w:pPr>
            <w:r w:rsidRPr="00F30C99">
              <w:rPr>
                <w:sz w:val="20"/>
              </w:rPr>
              <w:t>mod = modified/modification</w:t>
            </w:r>
          </w:p>
        </w:tc>
        <w:tc>
          <w:tcPr>
            <w:tcW w:w="2321" w:type="pct"/>
            <w:shd w:val="clear" w:color="auto" w:fill="auto"/>
          </w:tcPr>
          <w:p w:rsidR="0044290E" w:rsidRPr="00F30C99" w:rsidRDefault="0044290E" w:rsidP="0044290E">
            <w:pPr>
              <w:spacing w:before="60"/>
              <w:ind w:left="34"/>
              <w:rPr>
                <w:sz w:val="20"/>
              </w:rPr>
            </w:pPr>
            <w:r w:rsidRPr="00F30C99">
              <w:rPr>
                <w:sz w:val="20"/>
                <w:u w:val="single"/>
              </w:rPr>
              <w:t>underlining</w:t>
            </w:r>
            <w:r w:rsidRPr="00F30C99">
              <w:rPr>
                <w:sz w:val="20"/>
              </w:rPr>
              <w:t xml:space="preserve"> = whole or part not</w:t>
            </w:r>
          </w:p>
        </w:tc>
      </w:tr>
      <w:tr w:rsidR="0044290E" w:rsidRPr="00F30C99" w:rsidTr="004E3418">
        <w:tc>
          <w:tcPr>
            <w:tcW w:w="2679" w:type="pct"/>
            <w:shd w:val="clear" w:color="auto" w:fill="auto"/>
          </w:tcPr>
          <w:p w:rsidR="0044290E" w:rsidRPr="00F30C99" w:rsidRDefault="0044290E" w:rsidP="0044290E">
            <w:pPr>
              <w:spacing w:before="60"/>
              <w:ind w:left="34"/>
              <w:rPr>
                <w:sz w:val="20"/>
              </w:rPr>
            </w:pPr>
            <w:r w:rsidRPr="00F30C99">
              <w:rPr>
                <w:sz w:val="20"/>
              </w:rPr>
              <w:t>No. = Number(s)</w:t>
            </w:r>
          </w:p>
        </w:tc>
        <w:tc>
          <w:tcPr>
            <w:tcW w:w="2321" w:type="pct"/>
            <w:shd w:val="clear" w:color="auto" w:fill="auto"/>
          </w:tcPr>
          <w:p w:rsidR="0044290E" w:rsidRPr="00F30C99" w:rsidRDefault="0044290E" w:rsidP="0044290E">
            <w:pPr>
              <w:ind w:left="34" w:firstLine="249"/>
              <w:rPr>
                <w:sz w:val="20"/>
              </w:rPr>
            </w:pPr>
            <w:r w:rsidRPr="00F30C99">
              <w:rPr>
                <w:sz w:val="20"/>
              </w:rPr>
              <w:t>commenced or to be commenced</w:t>
            </w:r>
          </w:p>
        </w:tc>
      </w:tr>
    </w:tbl>
    <w:p w:rsidR="00D16281" w:rsidRPr="00F30C99" w:rsidRDefault="00D16281" w:rsidP="00D16281">
      <w:pPr>
        <w:pStyle w:val="Tabletext"/>
      </w:pPr>
    </w:p>
    <w:p w:rsidR="00D16281" w:rsidRPr="00F30C99" w:rsidRDefault="00D16281" w:rsidP="00B06799">
      <w:pPr>
        <w:pStyle w:val="ENotesHeading2"/>
        <w:pageBreakBefore/>
        <w:outlineLvl w:val="9"/>
      </w:pPr>
      <w:bookmarkStart w:id="33" w:name="_Toc92895829"/>
      <w:r w:rsidRPr="00F30C99">
        <w:lastRenderedPageBreak/>
        <w:t>Endnote 3—Legislation history</w:t>
      </w:r>
      <w:bookmarkEnd w:id="33"/>
    </w:p>
    <w:p w:rsidR="00D16281" w:rsidRPr="00F30C99" w:rsidRDefault="00D16281" w:rsidP="00D1628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D16281" w:rsidRPr="00F30C99" w:rsidTr="004E3418">
        <w:trPr>
          <w:cantSplit/>
          <w:tblHeader/>
        </w:trPr>
        <w:tc>
          <w:tcPr>
            <w:tcW w:w="1250" w:type="pct"/>
            <w:tcBorders>
              <w:top w:val="single" w:sz="12" w:space="0" w:color="auto"/>
              <w:bottom w:val="single" w:sz="12" w:space="0" w:color="auto"/>
            </w:tcBorders>
            <w:shd w:val="clear" w:color="auto" w:fill="auto"/>
          </w:tcPr>
          <w:p w:rsidR="00D16281" w:rsidRPr="00F30C99" w:rsidRDefault="00D16281" w:rsidP="00D16281">
            <w:pPr>
              <w:pStyle w:val="ENoteTableHeading"/>
            </w:pPr>
            <w:r w:rsidRPr="00F30C99">
              <w:t>Name</w:t>
            </w:r>
          </w:p>
        </w:tc>
        <w:tc>
          <w:tcPr>
            <w:tcW w:w="1250" w:type="pct"/>
            <w:tcBorders>
              <w:top w:val="single" w:sz="12" w:space="0" w:color="auto"/>
              <w:bottom w:val="single" w:sz="12" w:space="0" w:color="auto"/>
            </w:tcBorders>
            <w:shd w:val="clear" w:color="auto" w:fill="auto"/>
          </w:tcPr>
          <w:p w:rsidR="00D16281" w:rsidRPr="00F30C99" w:rsidRDefault="00D16281" w:rsidP="00D16281">
            <w:pPr>
              <w:pStyle w:val="ENoteTableHeading"/>
            </w:pPr>
            <w:r w:rsidRPr="00F30C99">
              <w:t>Registration</w:t>
            </w:r>
          </w:p>
        </w:tc>
        <w:tc>
          <w:tcPr>
            <w:tcW w:w="1250" w:type="pct"/>
            <w:tcBorders>
              <w:top w:val="single" w:sz="12" w:space="0" w:color="auto"/>
              <w:bottom w:val="single" w:sz="12" w:space="0" w:color="auto"/>
            </w:tcBorders>
            <w:shd w:val="clear" w:color="auto" w:fill="auto"/>
          </w:tcPr>
          <w:p w:rsidR="00D16281" w:rsidRPr="00F30C99" w:rsidRDefault="00D16281" w:rsidP="00D16281">
            <w:pPr>
              <w:pStyle w:val="ENoteTableHeading"/>
            </w:pPr>
            <w:r w:rsidRPr="00F30C99">
              <w:t>Commencement</w:t>
            </w:r>
          </w:p>
        </w:tc>
        <w:tc>
          <w:tcPr>
            <w:tcW w:w="1250" w:type="pct"/>
            <w:tcBorders>
              <w:top w:val="single" w:sz="12" w:space="0" w:color="auto"/>
              <w:bottom w:val="single" w:sz="12" w:space="0" w:color="auto"/>
            </w:tcBorders>
            <w:shd w:val="clear" w:color="auto" w:fill="auto"/>
          </w:tcPr>
          <w:p w:rsidR="00D16281" w:rsidRPr="00F30C99" w:rsidRDefault="00D16281" w:rsidP="00D16281">
            <w:pPr>
              <w:pStyle w:val="ENoteTableHeading"/>
            </w:pPr>
            <w:r w:rsidRPr="00F30C99">
              <w:t>Application, saving and transitional provisions</w:t>
            </w:r>
          </w:p>
        </w:tc>
      </w:tr>
      <w:tr w:rsidR="00D16281" w:rsidRPr="00F30C99" w:rsidTr="004E3418">
        <w:trPr>
          <w:cantSplit/>
        </w:trPr>
        <w:tc>
          <w:tcPr>
            <w:tcW w:w="1250" w:type="pct"/>
            <w:tcBorders>
              <w:top w:val="single" w:sz="12" w:space="0" w:color="auto"/>
              <w:bottom w:val="single" w:sz="4" w:space="0" w:color="auto"/>
            </w:tcBorders>
            <w:shd w:val="clear" w:color="auto" w:fill="auto"/>
          </w:tcPr>
          <w:p w:rsidR="00D16281" w:rsidRPr="00F30C99" w:rsidRDefault="00A9427F" w:rsidP="00D16281">
            <w:pPr>
              <w:pStyle w:val="ENoteTableText"/>
            </w:pPr>
            <w:r w:rsidRPr="00F30C99">
              <w:t xml:space="preserve">Law Enforcement Integrity Commissioner </w:t>
            </w:r>
            <w:r w:rsidR="002B5C75">
              <w:t>Regulations 2</w:t>
            </w:r>
            <w:r w:rsidRPr="00F30C99">
              <w:t>017</w:t>
            </w:r>
          </w:p>
        </w:tc>
        <w:tc>
          <w:tcPr>
            <w:tcW w:w="1250" w:type="pct"/>
            <w:tcBorders>
              <w:top w:val="single" w:sz="12" w:space="0" w:color="auto"/>
              <w:bottom w:val="single" w:sz="4" w:space="0" w:color="auto"/>
            </w:tcBorders>
            <w:shd w:val="clear" w:color="auto" w:fill="auto"/>
          </w:tcPr>
          <w:p w:rsidR="00D16281" w:rsidRPr="00F30C99" w:rsidRDefault="00A9427F" w:rsidP="00D16281">
            <w:pPr>
              <w:pStyle w:val="ENoteTableText"/>
            </w:pPr>
            <w:r w:rsidRPr="00F30C99">
              <w:t>24 Mar 2017 (F2017L00304)</w:t>
            </w:r>
          </w:p>
        </w:tc>
        <w:tc>
          <w:tcPr>
            <w:tcW w:w="1250" w:type="pct"/>
            <w:tcBorders>
              <w:top w:val="single" w:sz="12" w:space="0" w:color="auto"/>
              <w:bottom w:val="single" w:sz="4" w:space="0" w:color="auto"/>
            </w:tcBorders>
            <w:shd w:val="clear" w:color="auto" w:fill="auto"/>
          </w:tcPr>
          <w:p w:rsidR="00D16281" w:rsidRPr="00F30C99" w:rsidRDefault="00A9427F" w:rsidP="00D16281">
            <w:pPr>
              <w:pStyle w:val="ENoteTableText"/>
            </w:pPr>
            <w:r w:rsidRPr="00F30C99">
              <w:t>Sch 2 (</w:t>
            </w:r>
            <w:r w:rsidR="002B5C75">
              <w:t>item 1</w:t>
            </w:r>
            <w:r w:rsidRPr="00F30C99">
              <w:t>): 1</w:t>
            </w:r>
            <w:r w:rsidR="00173C64" w:rsidRPr="00F30C99">
              <w:t> </w:t>
            </w:r>
            <w:r w:rsidRPr="00F30C99">
              <w:t>July 2017 (s 2(1) item</w:t>
            </w:r>
            <w:r w:rsidR="00173C64" w:rsidRPr="00F30C99">
              <w:t> </w:t>
            </w:r>
            <w:r w:rsidRPr="00F30C99">
              <w:t>2)</w:t>
            </w:r>
            <w:r w:rsidRPr="00F30C99">
              <w:br/>
              <w:t>Remainder: 25 Mar 2017 (s 2(1) items</w:t>
            </w:r>
            <w:r w:rsidR="00173C64" w:rsidRPr="00F30C99">
              <w:t> </w:t>
            </w:r>
            <w:r w:rsidRPr="00F30C99">
              <w:t>1, 3)</w:t>
            </w:r>
          </w:p>
        </w:tc>
        <w:tc>
          <w:tcPr>
            <w:tcW w:w="1250" w:type="pct"/>
            <w:tcBorders>
              <w:top w:val="single" w:sz="12" w:space="0" w:color="auto"/>
              <w:bottom w:val="single" w:sz="4" w:space="0" w:color="auto"/>
            </w:tcBorders>
            <w:shd w:val="clear" w:color="auto" w:fill="auto"/>
          </w:tcPr>
          <w:p w:rsidR="00D16281" w:rsidRPr="00F30C99" w:rsidRDefault="00D16281" w:rsidP="00D16281">
            <w:pPr>
              <w:pStyle w:val="ENoteTableText"/>
            </w:pPr>
          </w:p>
        </w:tc>
      </w:tr>
      <w:tr w:rsidR="00567A3A" w:rsidRPr="00F30C99" w:rsidTr="00F30C99">
        <w:trPr>
          <w:cantSplit/>
        </w:trPr>
        <w:tc>
          <w:tcPr>
            <w:tcW w:w="1250" w:type="pct"/>
            <w:tcBorders>
              <w:top w:val="single" w:sz="4" w:space="0" w:color="auto"/>
              <w:bottom w:val="single" w:sz="4" w:space="0" w:color="auto"/>
            </w:tcBorders>
            <w:shd w:val="clear" w:color="auto" w:fill="auto"/>
          </w:tcPr>
          <w:p w:rsidR="00567A3A" w:rsidRPr="00F30C99" w:rsidRDefault="00567A3A" w:rsidP="00D16281">
            <w:pPr>
              <w:pStyle w:val="ENoteTableText"/>
            </w:pPr>
            <w:r w:rsidRPr="00F30C99">
              <w:t xml:space="preserve">Law Enforcement Integrity Commissioner Amendment (Law Enforcement Agencies) </w:t>
            </w:r>
            <w:r w:rsidR="002B5C75">
              <w:t>Regulations 2</w:t>
            </w:r>
            <w:r w:rsidRPr="00F30C99">
              <w:t>020</w:t>
            </w:r>
          </w:p>
        </w:tc>
        <w:tc>
          <w:tcPr>
            <w:tcW w:w="1250" w:type="pct"/>
            <w:tcBorders>
              <w:top w:val="single" w:sz="4" w:space="0" w:color="auto"/>
              <w:bottom w:val="single" w:sz="4" w:space="0" w:color="auto"/>
            </w:tcBorders>
            <w:shd w:val="clear" w:color="auto" w:fill="auto"/>
          </w:tcPr>
          <w:p w:rsidR="00567A3A" w:rsidRPr="00F30C99" w:rsidRDefault="007F2900" w:rsidP="00D16281">
            <w:pPr>
              <w:pStyle w:val="ENoteTableText"/>
            </w:pPr>
            <w:r w:rsidRPr="00F30C99">
              <w:t>27 Nov 2020 (F2020L01506)</w:t>
            </w:r>
          </w:p>
        </w:tc>
        <w:tc>
          <w:tcPr>
            <w:tcW w:w="1250" w:type="pct"/>
            <w:tcBorders>
              <w:top w:val="single" w:sz="4" w:space="0" w:color="auto"/>
              <w:bottom w:val="single" w:sz="4" w:space="0" w:color="auto"/>
            </w:tcBorders>
            <w:shd w:val="clear" w:color="auto" w:fill="auto"/>
          </w:tcPr>
          <w:p w:rsidR="00567A3A" w:rsidRPr="00F30C99" w:rsidRDefault="007F2900" w:rsidP="00D16281">
            <w:pPr>
              <w:pStyle w:val="ENoteTableText"/>
            </w:pPr>
            <w:r w:rsidRPr="00F30C99">
              <w:t xml:space="preserve">1 Jan 2021 (s 2(1) </w:t>
            </w:r>
            <w:r w:rsidR="002B5C75">
              <w:t>item 1</w:t>
            </w:r>
            <w:r w:rsidRPr="00F30C99">
              <w:t>)</w:t>
            </w:r>
          </w:p>
        </w:tc>
        <w:tc>
          <w:tcPr>
            <w:tcW w:w="1250" w:type="pct"/>
            <w:tcBorders>
              <w:top w:val="single" w:sz="4" w:space="0" w:color="auto"/>
              <w:bottom w:val="single" w:sz="4" w:space="0" w:color="auto"/>
            </w:tcBorders>
            <w:shd w:val="clear" w:color="auto" w:fill="auto"/>
          </w:tcPr>
          <w:p w:rsidR="00567A3A" w:rsidRPr="00F30C99" w:rsidRDefault="007F2900" w:rsidP="00D16281">
            <w:pPr>
              <w:pStyle w:val="ENoteTableText"/>
            </w:pPr>
            <w:r w:rsidRPr="00F30C99">
              <w:t>—</w:t>
            </w:r>
          </w:p>
        </w:tc>
      </w:tr>
      <w:tr w:rsidR="00D02D82" w:rsidRPr="00F30C99" w:rsidTr="004E3418">
        <w:trPr>
          <w:cantSplit/>
        </w:trPr>
        <w:tc>
          <w:tcPr>
            <w:tcW w:w="1250" w:type="pct"/>
            <w:tcBorders>
              <w:top w:val="single" w:sz="4" w:space="0" w:color="auto"/>
              <w:bottom w:val="single" w:sz="12" w:space="0" w:color="auto"/>
            </w:tcBorders>
            <w:shd w:val="clear" w:color="auto" w:fill="auto"/>
          </w:tcPr>
          <w:p w:rsidR="00D02D82" w:rsidRPr="00F30C99" w:rsidRDefault="00074059" w:rsidP="00D16281">
            <w:pPr>
              <w:pStyle w:val="ENoteTableText"/>
            </w:pPr>
            <w:r w:rsidRPr="00F30C99">
              <w:t xml:space="preserve">Law Enforcement Integrity Commissioner Amendment (Office of the Special Investigator and Other Measures) </w:t>
            </w:r>
            <w:r w:rsidR="002B5C75">
              <w:t>Regulations 2</w:t>
            </w:r>
            <w:r w:rsidRPr="00F30C99">
              <w:t>021</w:t>
            </w:r>
          </w:p>
        </w:tc>
        <w:tc>
          <w:tcPr>
            <w:tcW w:w="1250" w:type="pct"/>
            <w:tcBorders>
              <w:top w:val="single" w:sz="4" w:space="0" w:color="auto"/>
              <w:bottom w:val="single" w:sz="12" w:space="0" w:color="auto"/>
            </w:tcBorders>
            <w:shd w:val="clear" w:color="auto" w:fill="auto"/>
          </w:tcPr>
          <w:p w:rsidR="00D02D82" w:rsidRPr="00F30C99" w:rsidRDefault="00D02D82" w:rsidP="00D16281">
            <w:pPr>
              <w:pStyle w:val="ENoteTableText"/>
            </w:pPr>
            <w:r w:rsidRPr="00F30C99">
              <w:t>13 Dec 2021 (F2021L01765)</w:t>
            </w:r>
          </w:p>
        </w:tc>
        <w:tc>
          <w:tcPr>
            <w:tcW w:w="1250" w:type="pct"/>
            <w:tcBorders>
              <w:top w:val="single" w:sz="4" w:space="0" w:color="auto"/>
              <w:bottom w:val="single" w:sz="12" w:space="0" w:color="auto"/>
            </w:tcBorders>
            <w:shd w:val="clear" w:color="auto" w:fill="auto"/>
          </w:tcPr>
          <w:p w:rsidR="00D02D82" w:rsidRPr="00F30C99" w:rsidRDefault="00D02D82" w:rsidP="00D16281">
            <w:pPr>
              <w:pStyle w:val="ENoteTableText"/>
            </w:pPr>
            <w:r w:rsidRPr="00F30C99">
              <w:t xml:space="preserve">14 Dec 2021 (s 2(1) </w:t>
            </w:r>
            <w:r w:rsidR="002B5C75">
              <w:t>item 1</w:t>
            </w:r>
            <w:r w:rsidRPr="00F30C99">
              <w:t>)</w:t>
            </w:r>
          </w:p>
        </w:tc>
        <w:tc>
          <w:tcPr>
            <w:tcW w:w="1250" w:type="pct"/>
            <w:tcBorders>
              <w:top w:val="single" w:sz="4" w:space="0" w:color="auto"/>
              <w:bottom w:val="single" w:sz="12" w:space="0" w:color="auto"/>
            </w:tcBorders>
            <w:shd w:val="clear" w:color="auto" w:fill="auto"/>
          </w:tcPr>
          <w:p w:rsidR="00D02D82" w:rsidRPr="00F30C99" w:rsidRDefault="00D02D82" w:rsidP="00D16281">
            <w:pPr>
              <w:pStyle w:val="ENoteTableText"/>
            </w:pPr>
            <w:r w:rsidRPr="00F30C99">
              <w:t>—</w:t>
            </w:r>
          </w:p>
        </w:tc>
      </w:tr>
    </w:tbl>
    <w:p w:rsidR="000B685C" w:rsidRPr="00F30C99" w:rsidRDefault="000B685C" w:rsidP="000B685C">
      <w:pPr>
        <w:pStyle w:val="Tabletext"/>
      </w:pPr>
    </w:p>
    <w:p w:rsidR="00A9427F" w:rsidRPr="00F30C99" w:rsidRDefault="00A9427F" w:rsidP="00B06799">
      <w:pPr>
        <w:pStyle w:val="ENotesHeading2"/>
        <w:pageBreakBefore/>
        <w:outlineLvl w:val="9"/>
      </w:pPr>
      <w:bookmarkStart w:id="34" w:name="_Toc92895830"/>
      <w:r w:rsidRPr="00F30C99">
        <w:lastRenderedPageBreak/>
        <w:t>Endnote 4—Amendment history</w:t>
      </w:r>
      <w:bookmarkEnd w:id="34"/>
    </w:p>
    <w:p w:rsidR="00A9427F" w:rsidRPr="00F30C99" w:rsidRDefault="00A9427F" w:rsidP="00676F4E">
      <w:pPr>
        <w:pStyle w:val="Tabletext"/>
      </w:pPr>
    </w:p>
    <w:tbl>
      <w:tblPr>
        <w:tblW w:w="5000" w:type="pct"/>
        <w:tblLook w:val="0000" w:firstRow="0" w:lastRow="0" w:firstColumn="0" w:lastColumn="0" w:noHBand="0" w:noVBand="0"/>
      </w:tblPr>
      <w:tblGrid>
        <w:gridCol w:w="2576"/>
        <w:gridCol w:w="5953"/>
      </w:tblGrid>
      <w:tr w:rsidR="00A9427F" w:rsidRPr="00F30C99" w:rsidTr="004E3418">
        <w:trPr>
          <w:cantSplit/>
          <w:tblHeader/>
        </w:trPr>
        <w:tc>
          <w:tcPr>
            <w:tcW w:w="1510" w:type="pct"/>
            <w:tcBorders>
              <w:top w:val="single" w:sz="12" w:space="0" w:color="auto"/>
              <w:bottom w:val="single" w:sz="12" w:space="0" w:color="auto"/>
            </w:tcBorders>
            <w:shd w:val="clear" w:color="auto" w:fill="auto"/>
          </w:tcPr>
          <w:p w:rsidR="00A9427F" w:rsidRPr="00F30C99" w:rsidRDefault="00A9427F" w:rsidP="00676F4E">
            <w:pPr>
              <w:pStyle w:val="ENoteTableHeading"/>
              <w:tabs>
                <w:tab w:val="center" w:leader="dot" w:pos="2268"/>
              </w:tabs>
            </w:pPr>
            <w:r w:rsidRPr="00F30C99">
              <w:t>Provision affected</w:t>
            </w:r>
          </w:p>
        </w:tc>
        <w:tc>
          <w:tcPr>
            <w:tcW w:w="3490" w:type="pct"/>
            <w:tcBorders>
              <w:top w:val="single" w:sz="12" w:space="0" w:color="auto"/>
              <w:bottom w:val="single" w:sz="12" w:space="0" w:color="auto"/>
            </w:tcBorders>
            <w:shd w:val="clear" w:color="auto" w:fill="auto"/>
          </w:tcPr>
          <w:p w:rsidR="00A9427F" w:rsidRPr="00F30C99" w:rsidRDefault="00A9427F" w:rsidP="00676F4E">
            <w:pPr>
              <w:pStyle w:val="ENoteTableHeading"/>
              <w:tabs>
                <w:tab w:val="center" w:leader="dot" w:pos="2268"/>
              </w:tabs>
            </w:pPr>
            <w:r w:rsidRPr="00F30C99">
              <w:t>How affected</w:t>
            </w:r>
          </w:p>
        </w:tc>
      </w:tr>
      <w:tr w:rsidR="006F5D20" w:rsidRPr="00F30C99" w:rsidTr="004E3418">
        <w:trPr>
          <w:cantSplit/>
        </w:trPr>
        <w:tc>
          <w:tcPr>
            <w:tcW w:w="1510" w:type="pct"/>
            <w:tcBorders>
              <w:top w:val="single" w:sz="12" w:space="0" w:color="auto"/>
            </w:tcBorders>
            <w:shd w:val="clear" w:color="auto" w:fill="auto"/>
          </w:tcPr>
          <w:p w:rsidR="006F5D20" w:rsidRPr="00F30C99" w:rsidRDefault="002B5C75" w:rsidP="006F5D20">
            <w:pPr>
              <w:pStyle w:val="ENoteTableText"/>
              <w:tabs>
                <w:tab w:val="center" w:leader="dot" w:pos="2268"/>
              </w:tabs>
              <w:rPr>
                <w:b/>
              </w:rPr>
            </w:pPr>
            <w:r>
              <w:rPr>
                <w:b/>
              </w:rPr>
              <w:t>Part 1</w:t>
            </w:r>
          </w:p>
        </w:tc>
        <w:tc>
          <w:tcPr>
            <w:tcW w:w="3490" w:type="pct"/>
            <w:tcBorders>
              <w:top w:val="single" w:sz="12" w:space="0" w:color="auto"/>
            </w:tcBorders>
            <w:shd w:val="clear" w:color="auto" w:fill="auto"/>
          </w:tcPr>
          <w:p w:rsidR="006F5D20" w:rsidRPr="00F30C99" w:rsidRDefault="006F5D20" w:rsidP="006F5D20">
            <w:pPr>
              <w:pStyle w:val="ENoteTableText"/>
              <w:tabs>
                <w:tab w:val="center" w:leader="dot" w:pos="2268"/>
              </w:tabs>
              <w:rPr>
                <w:b/>
              </w:rPr>
            </w:pPr>
          </w:p>
        </w:tc>
      </w:tr>
      <w:tr w:rsidR="006F5D20" w:rsidRPr="00F30C99" w:rsidTr="004E3418">
        <w:trPr>
          <w:cantSplit/>
        </w:trPr>
        <w:tc>
          <w:tcPr>
            <w:tcW w:w="1510" w:type="pct"/>
            <w:shd w:val="clear" w:color="auto" w:fill="auto"/>
          </w:tcPr>
          <w:p w:rsidR="006F5D20" w:rsidRPr="00F30C99" w:rsidRDefault="006F5D20" w:rsidP="009D71C8">
            <w:pPr>
              <w:pStyle w:val="ENoteTableText"/>
              <w:tabs>
                <w:tab w:val="center" w:leader="dot" w:pos="2268"/>
              </w:tabs>
            </w:pPr>
            <w:r w:rsidRPr="00F30C99">
              <w:t>s 2</w:t>
            </w:r>
            <w:r w:rsidRPr="00F30C99">
              <w:tab/>
            </w:r>
          </w:p>
        </w:tc>
        <w:tc>
          <w:tcPr>
            <w:tcW w:w="3490" w:type="pct"/>
            <w:shd w:val="clear" w:color="auto" w:fill="auto"/>
          </w:tcPr>
          <w:p w:rsidR="006F5D20" w:rsidRPr="00F30C99" w:rsidRDefault="006F5D20" w:rsidP="009D71C8">
            <w:pPr>
              <w:pStyle w:val="ENoteTableText"/>
              <w:tabs>
                <w:tab w:val="center" w:leader="dot" w:pos="2268"/>
              </w:tabs>
            </w:pPr>
            <w:r w:rsidRPr="00F30C99">
              <w:t>rep LA s 48D</w:t>
            </w:r>
          </w:p>
        </w:tc>
      </w:tr>
      <w:tr w:rsidR="009D71C8" w:rsidRPr="00F30C99" w:rsidTr="004E3418">
        <w:trPr>
          <w:cantSplit/>
        </w:trPr>
        <w:tc>
          <w:tcPr>
            <w:tcW w:w="1510" w:type="pct"/>
            <w:shd w:val="clear" w:color="auto" w:fill="auto"/>
          </w:tcPr>
          <w:p w:rsidR="009D71C8" w:rsidRPr="00F30C99" w:rsidRDefault="009D71C8" w:rsidP="009D71C8">
            <w:pPr>
              <w:pStyle w:val="ENoteTableText"/>
              <w:tabs>
                <w:tab w:val="center" w:leader="dot" w:pos="2268"/>
              </w:tabs>
            </w:pPr>
            <w:r w:rsidRPr="00F30C99">
              <w:t>s 4</w:t>
            </w:r>
            <w:r w:rsidRPr="00F30C99">
              <w:tab/>
            </w:r>
          </w:p>
        </w:tc>
        <w:tc>
          <w:tcPr>
            <w:tcW w:w="3490" w:type="pct"/>
            <w:shd w:val="clear" w:color="auto" w:fill="auto"/>
          </w:tcPr>
          <w:p w:rsidR="009D71C8" w:rsidRPr="00F30C99" w:rsidRDefault="009D71C8" w:rsidP="009D71C8">
            <w:pPr>
              <w:pStyle w:val="ENoteTableText"/>
              <w:tabs>
                <w:tab w:val="center" w:leader="dot" w:pos="2268"/>
              </w:tabs>
            </w:pPr>
            <w:r w:rsidRPr="00F30C99">
              <w:t>rep LA s 48C</w:t>
            </w:r>
          </w:p>
        </w:tc>
      </w:tr>
      <w:tr w:rsidR="00D02D82" w:rsidRPr="00F30C99" w:rsidTr="004E3418">
        <w:trPr>
          <w:cantSplit/>
        </w:trPr>
        <w:tc>
          <w:tcPr>
            <w:tcW w:w="1510" w:type="pct"/>
            <w:shd w:val="clear" w:color="auto" w:fill="auto"/>
          </w:tcPr>
          <w:p w:rsidR="00D02D82" w:rsidRPr="00F30C99" w:rsidRDefault="00D02D82" w:rsidP="009D71C8">
            <w:pPr>
              <w:pStyle w:val="ENoteTableText"/>
              <w:tabs>
                <w:tab w:val="center" w:leader="dot" w:pos="2268"/>
              </w:tabs>
            </w:pPr>
            <w:r w:rsidRPr="00F30C99">
              <w:t>s 5</w:t>
            </w:r>
            <w:r w:rsidRPr="00F30C99">
              <w:tab/>
            </w:r>
          </w:p>
        </w:tc>
        <w:tc>
          <w:tcPr>
            <w:tcW w:w="3490" w:type="pct"/>
            <w:shd w:val="clear" w:color="auto" w:fill="auto"/>
          </w:tcPr>
          <w:p w:rsidR="00D02D82" w:rsidRPr="00F30C99" w:rsidRDefault="00D02D82" w:rsidP="009D71C8">
            <w:pPr>
              <w:pStyle w:val="ENoteTableText"/>
              <w:tabs>
                <w:tab w:val="center" w:leader="dot" w:pos="2268"/>
              </w:tabs>
            </w:pPr>
            <w:r w:rsidRPr="00F30C99">
              <w:t>am F2021L01765</w:t>
            </w:r>
          </w:p>
        </w:tc>
      </w:tr>
      <w:tr w:rsidR="006F5D20" w:rsidRPr="00F30C99" w:rsidTr="004E3418">
        <w:trPr>
          <w:cantSplit/>
        </w:trPr>
        <w:tc>
          <w:tcPr>
            <w:tcW w:w="1510" w:type="pct"/>
            <w:shd w:val="clear" w:color="auto" w:fill="auto"/>
          </w:tcPr>
          <w:p w:rsidR="006F5D20" w:rsidRPr="00F30C99" w:rsidRDefault="006F5D20" w:rsidP="00676F4E">
            <w:pPr>
              <w:pStyle w:val="ENoteTableText"/>
              <w:tabs>
                <w:tab w:val="center" w:leader="dot" w:pos="2268"/>
              </w:tabs>
              <w:rPr>
                <w:b/>
              </w:rPr>
            </w:pPr>
            <w:r w:rsidRPr="00F30C99">
              <w:rPr>
                <w:b/>
              </w:rPr>
              <w:t>Part 2</w:t>
            </w:r>
          </w:p>
        </w:tc>
        <w:tc>
          <w:tcPr>
            <w:tcW w:w="3490" w:type="pct"/>
            <w:shd w:val="clear" w:color="auto" w:fill="auto"/>
          </w:tcPr>
          <w:p w:rsidR="006F5D20" w:rsidRPr="00F30C99" w:rsidRDefault="006F5D20" w:rsidP="00676F4E">
            <w:pPr>
              <w:pStyle w:val="ENoteTableText"/>
              <w:tabs>
                <w:tab w:val="center" w:leader="dot" w:pos="2268"/>
              </w:tabs>
            </w:pPr>
          </w:p>
        </w:tc>
      </w:tr>
      <w:tr w:rsidR="006F5D20" w:rsidRPr="00F30C99" w:rsidTr="004E3418">
        <w:trPr>
          <w:cantSplit/>
        </w:trPr>
        <w:tc>
          <w:tcPr>
            <w:tcW w:w="1510" w:type="pct"/>
            <w:shd w:val="clear" w:color="auto" w:fill="auto"/>
          </w:tcPr>
          <w:p w:rsidR="006F5D20" w:rsidRPr="00F30C99" w:rsidRDefault="006F5D20" w:rsidP="00676F4E">
            <w:pPr>
              <w:pStyle w:val="ENoteTableText"/>
              <w:tabs>
                <w:tab w:val="center" w:leader="dot" w:pos="2268"/>
              </w:tabs>
            </w:pPr>
            <w:r w:rsidRPr="00F30C99">
              <w:t>s 5A</w:t>
            </w:r>
            <w:r w:rsidRPr="00F30C99">
              <w:tab/>
            </w:r>
          </w:p>
        </w:tc>
        <w:tc>
          <w:tcPr>
            <w:tcW w:w="3490" w:type="pct"/>
            <w:shd w:val="clear" w:color="auto" w:fill="auto"/>
          </w:tcPr>
          <w:p w:rsidR="006F5D20" w:rsidRPr="00F30C99" w:rsidRDefault="006F5D20" w:rsidP="00676F4E">
            <w:pPr>
              <w:pStyle w:val="ENoteTableText"/>
              <w:tabs>
                <w:tab w:val="center" w:leader="dot" w:pos="2268"/>
              </w:tabs>
            </w:pPr>
            <w:r w:rsidRPr="00F30C99">
              <w:t>ad F2020L01506</w:t>
            </w:r>
          </w:p>
        </w:tc>
      </w:tr>
      <w:tr w:rsidR="00D02D82" w:rsidRPr="00F30C99" w:rsidTr="004E3418">
        <w:trPr>
          <w:cantSplit/>
        </w:trPr>
        <w:tc>
          <w:tcPr>
            <w:tcW w:w="1510" w:type="pct"/>
            <w:shd w:val="clear" w:color="auto" w:fill="auto"/>
          </w:tcPr>
          <w:p w:rsidR="00D02D82" w:rsidRPr="00F30C99" w:rsidRDefault="00D02D82" w:rsidP="00676F4E">
            <w:pPr>
              <w:pStyle w:val="ENoteTableText"/>
              <w:tabs>
                <w:tab w:val="center" w:leader="dot" w:pos="2268"/>
              </w:tabs>
            </w:pPr>
          </w:p>
        </w:tc>
        <w:tc>
          <w:tcPr>
            <w:tcW w:w="3490" w:type="pct"/>
            <w:shd w:val="clear" w:color="auto" w:fill="auto"/>
          </w:tcPr>
          <w:p w:rsidR="00D02D82" w:rsidRPr="00F30C99" w:rsidRDefault="00D02D82" w:rsidP="00676F4E">
            <w:pPr>
              <w:pStyle w:val="ENoteTableText"/>
              <w:tabs>
                <w:tab w:val="center" w:leader="dot" w:pos="2268"/>
              </w:tabs>
            </w:pPr>
            <w:r w:rsidRPr="00F30C99">
              <w:t>am F2021L01765</w:t>
            </w:r>
          </w:p>
        </w:tc>
      </w:tr>
      <w:tr w:rsidR="00D02D82" w:rsidRPr="00F30C99" w:rsidTr="004E3418">
        <w:trPr>
          <w:cantSplit/>
        </w:trPr>
        <w:tc>
          <w:tcPr>
            <w:tcW w:w="1510" w:type="pct"/>
            <w:shd w:val="clear" w:color="auto" w:fill="auto"/>
          </w:tcPr>
          <w:p w:rsidR="00D02D82" w:rsidRPr="00F30C99" w:rsidRDefault="00D02D82" w:rsidP="00676F4E">
            <w:pPr>
              <w:pStyle w:val="ENoteTableText"/>
              <w:tabs>
                <w:tab w:val="center" w:leader="dot" w:pos="2268"/>
              </w:tabs>
            </w:pPr>
          </w:p>
        </w:tc>
        <w:tc>
          <w:tcPr>
            <w:tcW w:w="3490" w:type="pct"/>
            <w:shd w:val="clear" w:color="auto" w:fill="auto"/>
          </w:tcPr>
          <w:p w:rsidR="00D02D82" w:rsidRPr="00F30C99" w:rsidRDefault="00D02D82" w:rsidP="00676F4E">
            <w:pPr>
              <w:pStyle w:val="ENoteTableText"/>
              <w:tabs>
                <w:tab w:val="center" w:leader="dot" w:pos="2268"/>
              </w:tabs>
            </w:pPr>
            <w:r w:rsidRPr="00F30C99">
              <w:t xml:space="preserve">rep </w:t>
            </w:r>
            <w:r w:rsidRPr="00F30C99">
              <w:rPr>
                <w:u w:val="single"/>
              </w:rPr>
              <w:t>1 Oct 2024 (s 5A(2))</w:t>
            </w:r>
          </w:p>
        </w:tc>
      </w:tr>
      <w:tr w:rsidR="006F5D20" w:rsidRPr="00F30C99" w:rsidTr="004E3418">
        <w:trPr>
          <w:cantSplit/>
        </w:trPr>
        <w:tc>
          <w:tcPr>
            <w:tcW w:w="1510" w:type="pct"/>
            <w:shd w:val="clear" w:color="auto" w:fill="auto"/>
          </w:tcPr>
          <w:p w:rsidR="006F5D20" w:rsidRPr="00F30C99" w:rsidRDefault="006F5D20" w:rsidP="00676F4E">
            <w:pPr>
              <w:pStyle w:val="ENoteTableText"/>
              <w:tabs>
                <w:tab w:val="center" w:leader="dot" w:pos="2268"/>
              </w:tabs>
            </w:pPr>
            <w:r w:rsidRPr="00F30C99">
              <w:t>s 6</w:t>
            </w:r>
            <w:r w:rsidRPr="00F30C99">
              <w:tab/>
            </w:r>
          </w:p>
        </w:tc>
        <w:tc>
          <w:tcPr>
            <w:tcW w:w="3490" w:type="pct"/>
            <w:shd w:val="clear" w:color="auto" w:fill="auto"/>
          </w:tcPr>
          <w:p w:rsidR="006F5D20" w:rsidRPr="00F30C99" w:rsidRDefault="006F5D20" w:rsidP="00676F4E">
            <w:pPr>
              <w:pStyle w:val="ENoteTableText"/>
              <w:tabs>
                <w:tab w:val="center" w:leader="dot" w:pos="2268"/>
              </w:tabs>
            </w:pPr>
            <w:r w:rsidRPr="00F30C99">
              <w:t>am F2017L00304</w:t>
            </w:r>
          </w:p>
        </w:tc>
      </w:tr>
      <w:tr w:rsidR="006F5D20" w:rsidRPr="00F30C99" w:rsidTr="004E3418">
        <w:trPr>
          <w:cantSplit/>
        </w:trPr>
        <w:tc>
          <w:tcPr>
            <w:tcW w:w="1510" w:type="pct"/>
            <w:shd w:val="clear" w:color="auto" w:fill="auto"/>
          </w:tcPr>
          <w:p w:rsidR="006F5D20" w:rsidRPr="00F30C99" w:rsidRDefault="006F5D20" w:rsidP="00676F4E">
            <w:pPr>
              <w:pStyle w:val="ENoteTableText"/>
              <w:tabs>
                <w:tab w:val="center" w:leader="dot" w:pos="2268"/>
              </w:tabs>
            </w:pPr>
            <w:r w:rsidRPr="00F30C99">
              <w:t>s 6A</w:t>
            </w:r>
            <w:r w:rsidRPr="00F30C99">
              <w:tab/>
            </w:r>
          </w:p>
        </w:tc>
        <w:tc>
          <w:tcPr>
            <w:tcW w:w="3490" w:type="pct"/>
            <w:shd w:val="clear" w:color="auto" w:fill="auto"/>
          </w:tcPr>
          <w:p w:rsidR="006F5D20" w:rsidRPr="00F30C99" w:rsidRDefault="006F5D20" w:rsidP="00676F4E">
            <w:pPr>
              <w:pStyle w:val="ENoteTableText"/>
              <w:tabs>
                <w:tab w:val="center" w:leader="dot" w:pos="2268"/>
              </w:tabs>
            </w:pPr>
            <w:r w:rsidRPr="00F30C99">
              <w:t>ad F2020L01506</w:t>
            </w:r>
          </w:p>
        </w:tc>
      </w:tr>
      <w:tr w:rsidR="00D02D82" w:rsidRPr="00F30C99" w:rsidTr="004E3418">
        <w:trPr>
          <w:cantSplit/>
        </w:trPr>
        <w:tc>
          <w:tcPr>
            <w:tcW w:w="1510" w:type="pct"/>
            <w:shd w:val="clear" w:color="auto" w:fill="auto"/>
          </w:tcPr>
          <w:p w:rsidR="00D02D82" w:rsidRPr="00F30C99" w:rsidRDefault="00D02D82" w:rsidP="00676F4E">
            <w:pPr>
              <w:pStyle w:val="ENoteTableText"/>
              <w:tabs>
                <w:tab w:val="center" w:leader="dot" w:pos="2268"/>
              </w:tabs>
            </w:pPr>
          </w:p>
        </w:tc>
        <w:tc>
          <w:tcPr>
            <w:tcW w:w="3490" w:type="pct"/>
            <w:shd w:val="clear" w:color="auto" w:fill="auto"/>
          </w:tcPr>
          <w:p w:rsidR="00D02D82" w:rsidRPr="00F30C99" w:rsidRDefault="00D02D82" w:rsidP="00676F4E">
            <w:pPr>
              <w:pStyle w:val="ENoteTableText"/>
              <w:tabs>
                <w:tab w:val="center" w:leader="dot" w:pos="2268"/>
              </w:tabs>
            </w:pPr>
            <w:r w:rsidRPr="00F30C99">
              <w:t>am F2021L01765</w:t>
            </w:r>
          </w:p>
        </w:tc>
      </w:tr>
      <w:tr w:rsidR="00D02D82" w:rsidRPr="00F30C99" w:rsidTr="004E3418">
        <w:trPr>
          <w:cantSplit/>
        </w:trPr>
        <w:tc>
          <w:tcPr>
            <w:tcW w:w="1510" w:type="pct"/>
            <w:shd w:val="clear" w:color="auto" w:fill="auto"/>
          </w:tcPr>
          <w:p w:rsidR="00D02D82" w:rsidRPr="00F30C99" w:rsidRDefault="00D02D82" w:rsidP="00676F4E">
            <w:pPr>
              <w:pStyle w:val="ENoteTableText"/>
              <w:tabs>
                <w:tab w:val="center" w:leader="dot" w:pos="2268"/>
              </w:tabs>
            </w:pPr>
          </w:p>
        </w:tc>
        <w:tc>
          <w:tcPr>
            <w:tcW w:w="3490" w:type="pct"/>
            <w:shd w:val="clear" w:color="auto" w:fill="auto"/>
          </w:tcPr>
          <w:p w:rsidR="00D02D82" w:rsidRPr="00F30C99" w:rsidRDefault="00D02D82" w:rsidP="00676F4E">
            <w:pPr>
              <w:pStyle w:val="ENoteTableText"/>
              <w:tabs>
                <w:tab w:val="center" w:leader="dot" w:pos="2268"/>
              </w:tabs>
            </w:pPr>
            <w:r w:rsidRPr="00F30C99">
              <w:t xml:space="preserve">rep </w:t>
            </w:r>
            <w:r w:rsidRPr="00F30C99">
              <w:rPr>
                <w:u w:val="single"/>
              </w:rPr>
              <w:t>1 Oct 2024 (s 6A(2))</w:t>
            </w:r>
          </w:p>
        </w:tc>
      </w:tr>
      <w:tr w:rsidR="006F5D20" w:rsidRPr="00F30C99" w:rsidTr="004E3418">
        <w:trPr>
          <w:cantSplit/>
        </w:trPr>
        <w:tc>
          <w:tcPr>
            <w:tcW w:w="1510" w:type="pct"/>
            <w:shd w:val="clear" w:color="auto" w:fill="auto"/>
          </w:tcPr>
          <w:p w:rsidR="006F5D20" w:rsidRPr="00F30C99" w:rsidRDefault="006F5D20" w:rsidP="00676F4E">
            <w:pPr>
              <w:pStyle w:val="ENoteTableText"/>
              <w:tabs>
                <w:tab w:val="center" w:leader="dot" w:pos="2268"/>
              </w:tabs>
            </w:pPr>
            <w:r w:rsidRPr="00F30C99">
              <w:t>s 7A</w:t>
            </w:r>
            <w:r w:rsidRPr="00F30C99">
              <w:tab/>
            </w:r>
          </w:p>
        </w:tc>
        <w:tc>
          <w:tcPr>
            <w:tcW w:w="3490" w:type="pct"/>
            <w:shd w:val="clear" w:color="auto" w:fill="auto"/>
          </w:tcPr>
          <w:p w:rsidR="006F5D20" w:rsidRPr="00F30C99" w:rsidRDefault="006F5D20" w:rsidP="00676F4E">
            <w:pPr>
              <w:pStyle w:val="ENoteTableText"/>
              <w:tabs>
                <w:tab w:val="center" w:leader="dot" w:pos="2268"/>
              </w:tabs>
            </w:pPr>
            <w:r w:rsidRPr="00F30C99">
              <w:t>ad F2020L01506</w:t>
            </w:r>
          </w:p>
        </w:tc>
      </w:tr>
      <w:tr w:rsidR="00D02D82" w:rsidRPr="00F30C99" w:rsidTr="004E3418">
        <w:trPr>
          <w:cantSplit/>
        </w:trPr>
        <w:tc>
          <w:tcPr>
            <w:tcW w:w="1510" w:type="pct"/>
            <w:shd w:val="clear" w:color="auto" w:fill="auto"/>
          </w:tcPr>
          <w:p w:rsidR="00D02D82" w:rsidRPr="00F30C99" w:rsidRDefault="00D02D82" w:rsidP="00676F4E">
            <w:pPr>
              <w:pStyle w:val="ENoteTableText"/>
              <w:tabs>
                <w:tab w:val="center" w:leader="dot" w:pos="2268"/>
              </w:tabs>
            </w:pPr>
          </w:p>
        </w:tc>
        <w:tc>
          <w:tcPr>
            <w:tcW w:w="3490" w:type="pct"/>
            <w:shd w:val="clear" w:color="auto" w:fill="auto"/>
          </w:tcPr>
          <w:p w:rsidR="00D02D82" w:rsidRPr="00F30C99" w:rsidRDefault="00D02D82" w:rsidP="00676F4E">
            <w:pPr>
              <w:pStyle w:val="ENoteTableText"/>
              <w:tabs>
                <w:tab w:val="center" w:leader="dot" w:pos="2268"/>
              </w:tabs>
            </w:pPr>
            <w:r w:rsidRPr="00F30C99">
              <w:t>am F2021L01765</w:t>
            </w:r>
          </w:p>
        </w:tc>
      </w:tr>
      <w:tr w:rsidR="00D02D82" w:rsidRPr="00F30C99" w:rsidTr="004E3418">
        <w:trPr>
          <w:cantSplit/>
        </w:trPr>
        <w:tc>
          <w:tcPr>
            <w:tcW w:w="1510" w:type="pct"/>
            <w:shd w:val="clear" w:color="auto" w:fill="auto"/>
          </w:tcPr>
          <w:p w:rsidR="00D02D82" w:rsidRPr="00F30C99" w:rsidRDefault="00D02D82" w:rsidP="00676F4E">
            <w:pPr>
              <w:pStyle w:val="ENoteTableText"/>
              <w:tabs>
                <w:tab w:val="center" w:leader="dot" w:pos="2268"/>
              </w:tabs>
            </w:pPr>
          </w:p>
        </w:tc>
        <w:tc>
          <w:tcPr>
            <w:tcW w:w="3490" w:type="pct"/>
            <w:shd w:val="clear" w:color="auto" w:fill="auto"/>
          </w:tcPr>
          <w:p w:rsidR="00D02D82" w:rsidRPr="00F30C99" w:rsidRDefault="00D02D82" w:rsidP="00676F4E">
            <w:pPr>
              <w:pStyle w:val="ENoteTableText"/>
              <w:tabs>
                <w:tab w:val="center" w:leader="dot" w:pos="2268"/>
              </w:tabs>
              <w:rPr>
                <w:u w:val="single"/>
              </w:rPr>
            </w:pPr>
            <w:r w:rsidRPr="00F30C99">
              <w:t xml:space="preserve">rep </w:t>
            </w:r>
            <w:r w:rsidRPr="00F30C99">
              <w:rPr>
                <w:u w:val="single"/>
              </w:rPr>
              <w:t>1 Oct 2024 (s 7A(4))</w:t>
            </w:r>
          </w:p>
        </w:tc>
      </w:tr>
      <w:tr w:rsidR="006F5D20" w:rsidRPr="00F30C99" w:rsidTr="004E3418">
        <w:trPr>
          <w:cantSplit/>
        </w:trPr>
        <w:tc>
          <w:tcPr>
            <w:tcW w:w="1510" w:type="pct"/>
            <w:tcBorders>
              <w:bottom w:val="single" w:sz="12" w:space="0" w:color="auto"/>
            </w:tcBorders>
            <w:shd w:val="clear" w:color="auto" w:fill="auto"/>
          </w:tcPr>
          <w:p w:rsidR="006F5D20" w:rsidRPr="00F30C99" w:rsidRDefault="002B5C75" w:rsidP="00676F4E">
            <w:pPr>
              <w:pStyle w:val="ENoteTableText"/>
              <w:tabs>
                <w:tab w:val="center" w:leader="dot" w:pos="2268"/>
              </w:tabs>
            </w:pPr>
            <w:r>
              <w:t>Schedule 2</w:t>
            </w:r>
            <w:r w:rsidR="006F5D20" w:rsidRPr="00F30C99">
              <w:tab/>
            </w:r>
          </w:p>
        </w:tc>
        <w:tc>
          <w:tcPr>
            <w:tcW w:w="3490" w:type="pct"/>
            <w:tcBorders>
              <w:bottom w:val="single" w:sz="12" w:space="0" w:color="auto"/>
            </w:tcBorders>
            <w:shd w:val="clear" w:color="auto" w:fill="auto"/>
          </w:tcPr>
          <w:p w:rsidR="006F5D20" w:rsidRPr="00F30C99" w:rsidRDefault="006F5D20" w:rsidP="00676F4E">
            <w:pPr>
              <w:pStyle w:val="ENoteTableText"/>
            </w:pPr>
            <w:r w:rsidRPr="00F30C99">
              <w:t>rep LA s 48C</w:t>
            </w:r>
          </w:p>
        </w:tc>
      </w:tr>
    </w:tbl>
    <w:p w:rsidR="00E76E17" w:rsidRPr="00F30C99" w:rsidRDefault="00E76E17" w:rsidP="00567A3A">
      <w:pPr>
        <w:sectPr w:rsidR="00E76E17" w:rsidRPr="00F30C99" w:rsidSect="005B6C4C">
          <w:headerReference w:type="even" r:id="rId33"/>
          <w:headerReference w:type="default" r:id="rId34"/>
          <w:footerReference w:type="even" r:id="rId35"/>
          <w:footerReference w:type="default" r:id="rId36"/>
          <w:pgSz w:w="11907" w:h="16839"/>
          <w:pgMar w:top="2325" w:right="1797" w:bottom="1440" w:left="1797" w:header="720" w:footer="709" w:gutter="0"/>
          <w:cols w:space="708"/>
          <w:docGrid w:linePitch="360"/>
        </w:sectPr>
      </w:pPr>
    </w:p>
    <w:p w:rsidR="00D16281" w:rsidRPr="00F30C99" w:rsidRDefault="00D16281" w:rsidP="00D16281"/>
    <w:sectPr w:rsidR="00D16281" w:rsidRPr="00F30C99" w:rsidSect="005B6C4C">
      <w:headerReference w:type="even" r:id="rId37"/>
      <w:headerReference w:type="default" r:id="rId38"/>
      <w:footerReference w:type="even" r:id="rId39"/>
      <w:footerReference w:type="default" r:id="rId40"/>
      <w:footerReference w:type="first" r:id="rId41"/>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089" w:rsidRDefault="00DF2089" w:rsidP="00715914">
      <w:pPr>
        <w:spacing w:line="240" w:lineRule="auto"/>
      </w:pPr>
      <w:r>
        <w:separator/>
      </w:r>
    </w:p>
  </w:endnote>
  <w:endnote w:type="continuationSeparator" w:id="0">
    <w:p w:rsidR="00DF2089" w:rsidRDefault="00DF208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Default="00DF2089">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7B3B51" w:rsidRDefault="00DF2089" w:rsidP="00567A3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F2089" w:rsidRPr="007B3B51" w:rsidTr="004E3418">
      <w:tc>
        <w:tcPr>
          <w:tcW w:w="854" w:type="pct"/>
        </w:tcPr>
        <w:p w:rsidR="00DF2089" w:rsidRPr="007B3B51" w:rsidRDefault="00DF2089" w:rsidP="00567A3A">
          <w:pPr>
            <w:rPr>
              <w:i/>
              <w:sz w:val="16"/>
              <w:szCs w:val="16"/>
            </w:rPr>
          </w:pPr>
        </w:p>
      </w:tc>
      <w:tc>
        <w:tcPr>
          <w:tcW w:w="3688" w:type="pct"/>
          <w:gridSpan w:val="3"/>
        </w:tcPr>
        <w:p w:rsidR="00DF2089" w:rsidRPr="007B3B51" w:rsidRDefault="00DF2089" w:rsidP="00567A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Law Enforcement Integrity Commissioner Regulations 2017</w:t>
          </w:r>
          <w:r w:rsidRPr="007B3B51">
            <w:rPr>
              <w:i/>
              <w:sz w:val="16"/>
              <w:szCs w:val="16"/>
            </w:rPr>
            <w:fldChar w:fldCharType="end"/>
          </w:r>
        </w:p>
      </w:tc>
      <w:tc>
        <w:tcPr>
          <w:tcW w:w="458" w:type="pct"/>
        </w:tcPr>
        <w:p w:rsidR="00DF2089" w:rsidRPr="007B3B51" w:rsidRDefault="00DF2089" w:rsidP="00567A3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w:t>
          </w:r>
          <w:r w:rsidRPr="007B3B51">
            <w:rPr>
              <w:i/>
              <w:sz w:val="16"/>
              <w:szCs w:val="16"/>
            </w:rPr>
            <w:fldChar w:fldCharType="end"/>
          </w:r>
        </w:p>
      </w:tc>
    </w:tr>
    <w:tr w:rsidR="00DF2089" w:rsidRPr="00130F37" w:rsidTr="004E3418">
      <w:tc>
        <w:tcPr>
          <w:tcW w:w="1499" w:type="pct"/>
          <w:gridSpan w:val="2"/>
        </w:tcPr>
        <w:p w:rsidR="00DF2089" w:rsidRPr="00130F37" w:rsidRDefault="00DF2089" w:rsidP="00567A3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1999" w:type="pct"/>
        </w:tcPr>
        <w:p w:rsidR="00DF2089" w:rsidRPr="00130F37" w:rsidRDefault="00DF2089" w:rsidP="00567A3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14/12/2021</w:t>
          </w:r>
          <w:r w:rsidRPr="00130F37">
            <w:rPr>
              <w:sz w:val="16"/>
              <w:szCs w:val="16"/>
            </w:rPr>
            <w:fldChar w:fldCharType="end"/>
          </w:r>
        </w:p>
      </w:tc>
      <w:tc>
        <w:tcPr>
          <w:tcW w:w="1502" w:type="pct"/>
          <w:gridSpan w:val="2"/>
        </w:tcPr>
        <w:p w:rsidR="00DF2089" w:rsidRPr="00130F37" w:rsidRDefault="00DF2089" w:rsidP="00567A3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12/01/2022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12/01/2022</w:t>
          </w:r>
          <w:r w:rsidRPr="00130F37">
            <w:rPr>
              <w:sz w:val="16"/>
              <w:szCs w:val="16"/>
            </w:rPr>
            <w:fldChar w:fldCharType="end"/>
          </w:r>
        </w:p>
      </w:tc>
    </w:tr>
  </w:tbl>
  <w:p w:rsidR="00DF2089" w:rsidRPr="002B0765" w:rsidRDefault="00DF2089" w:rsidP="002B0765">
    <w:pPr>
      <w:pStyle w:val="Footer"/>
      <w:rPr>
        <w:rFonts w:eastAsia="Calibri"/>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7B3B51" w:rsidRDefault="00DF2089" w:rsidP="002B07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F2089" w:rsidRPr="007B3B51" w:rsidTr="004E3418">
      <w:tc>
        <w:tcPr>
          <w:tcW w:w="854" w:type="pct"/>
        </w:tcPr>
        <w:p w:rsidR="00DF2089" w:rsidRPr="007B3B51" w:rsidRDefault="00DF2089" w:rsidP="00567A3A">
          <w:pPr>
            <w:rPr>
              <w:i/>
              <w:sz w:val="16"/>
              <w:szCs w:val="16"/>
            </w:rPr>
          </w:pPr>
        </w:p>
      </w:tc>
      <w:tc>
        <w:tcPr>
          <w:tcW w:w="3688" w:type="pct"/>
          <w:gridSpan w:val="3"/>
        </w:tcPr>
        <w:p w:rsidR="00DF2089" w:rsidRPr="007B3B51" w:rsidRDefault="00DF2089" w:rsidP="00567A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Law Enforcement Integrity Commissioner Regulations 2017</w:t>
          </w:r>
          <w:r w:rsidRPr="007B3B51">
            <w:rPr>
              <w:i/>
              <w:sz w:val="16"/>
              <w:szCs w:val="16"/>
            </w:rPr>
            <w:fldChar w:fldCharType="end"/>
          </w:r>
        </w:p>
      </w:tc>
      <w:tc>
        <w:tcPr>
          <w:tcW w:w="458" w:type="pct"/>
        </w:tcPr>
        <w:p w:rsidR="00DF2089" w:rsidRPr="007B3B51" w:rsidRDefault="00DF2089" w:rsidP="00567A3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w:t>
          </w:r>
          <w:r w:rsidRPr="007B3B51">
            <w:rPr>
              <w:i/>
              <w:sz w:val="16"/>
              <w:szCs w:val="16"/>
            </w:rPr>
            <w:fldChar w:fldCharType="end"/>
          </w:r>
        </w:p>
      </w:tc>
    </w:tr>
    <w:tr w:rsidR="00DF2089" w:rsidRPr="00130F37" w:rsidTr="004E3418">
      <w:tc>
        <w:tcPr>
          <w:tcW w:w="1499" w:type="pct"/>
          <w:gridSpan w:val="2"/>
        </w:tcPr>
        <w:p w:rsidR="00DF2089" w:rsidRPr="00130F37" w:rsidRDefault="00DF2089" w:rsidP="00567A3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1999" w:type="pct"/>
        </w:tcPr>
        <w:p w:rsidR="00DF2089" w:rsidRPr="00130F37" w:rsidRDefault="00DF2089" w:rsidP="00567A3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14/12/2021</w:t>
          </w:r>
          <w:r w:rsidRPr="00130F37">
            <w:rPr>
              <w:sz w:val="16"/>
              <w:szCs w:val="16"/>
            </w:rPr>
            <w:fldChar w:fldCharType="end"/>
          </w:r>
        </w:p>
      </w:tc>
      <w:tc>
        <w:tcPr>
          <w:tcW w:w="1502" w:type="pct"/>
          <w:gridSpan w:val="2"/>
        </w:tcPr>
        <w:p w:rsidR="00DF2089" w:rsidRPr="00130F37" w:rsidRDefault="00DF2089" w:rsidP="00567A3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12/01/2022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12/01/2022</w:t>
          </w:r>
          <w:r w:rsidRPr="00130F37">
            <w:rPr>
              <w:sz w:val="16"/>
              <w:szCs w:val="16"/>
            </w:rPr>
            <w:fldChar w:fldCharType="end"/>
          </w:r>
        </w:p>
      </w:tc>
    </w:tr>
  </w:tbl>
  <w:p w:rsidR="00DF2089" w:rsidRPr="002B0765" w:rsidRDefault="00DF2089" w:rsidP="002B076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7B3B51" w:rsidRDefault="00DF2089" w:rsidP="00567A3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F2089" w:rsidRPr="007B3B51" w:rsidTr="004E3418">
      <w:tc>
        <w:tcPr>
          <w:tcW w:w="854" w:type="pct"/>
        </w:tcPr>
        <w:p w:rsidR="00DF2089" w:rsidRPr="007B3B51" w:rsidRDefault="00DF2089" w:rsidP="00567A3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w:t>
          </w:r>
          <w:r w:rsidRPr="007B3B51">
            <w:rPr>
              <w:i/>
              <w:sz w:val="16"/>
              <w:szCs w:val="16"/>
            </w:rPr>
            <w:fldChar w:fldCharType="end"/>
          </w:r>
        </w:p>
      </w:tc>
      <w:tc>
        <w:tcPr>
          <w:tcW w:w="3688" w:type="pct"/>
          <w:gridSpan w:val="3"/>
        </w:tcPr>
        <w:p w:rsidR="00DF2089" w:rsidRPr="007B3B51" w:rsidRDefault="00DF2089" w:rsidP="00567A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B6C4C">
            <w:rPr>
              <w:i/>
              <w:noProof/>
              <w:sz w:val="16"/>
              <w:szCs w:val="16"/>
            </w:rPr>
            <w:t>Law Enforcement Integrity Commissioner Regulations 2017</w:t>
          </w:r>
          <w:r w:rsidRPr="007B3B51">
            <w:rPr>
              <w:i/>
              <w:sz w:val="16"/>
              <w:szCs w:val="16"/>
            </w:rPr>
            <w:fldChar w:fldCharType="end"/>
          </w:r>
        </w:p>
      </w:tc>
      <w:tc>
        <w:tcPr>
          <w:tcW w:w="458" w:type="pct"/>
        </w:tcPr>
        <w:p w:rsidR="00DF2089" w:rsidRPr="007B3B51" w:rsidRDefault="00DF2089" w:rsidP="00567A3A">
          <w:pPr>
            <w:jc w:val="right"/>
            <w:rPr>
              <w:sz w:val="16"/>
              <w:szCs w:val="16"/>
            </w:rPr>
          </w:pPr>
        </w:p>
      </w:tc>
    </w:tr>
    <w:tr w:rsidR="00DF2089" w:rsidRPr="0055472E" w:rsidTr="004E3418">
      <w:tc>
        <w:tcPr>
          <w:tcW w:w="1499" w:type="pct"/>
          <w:gridSpan w:val="2"/>
        </w:tcPr>
        <w:p w:rsidR="00DF2089" w:rsidRPr="0055472E" w:rsidRDefault="00DF2089" w:rsidP="00567A3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w:t>
          </w:r>
          <w:r w:rsidRPr="0055472E">
            <w:rPr>
              <w:sz w:val="16"/>
              <w:szCs w:val="16"/>
            </w:rPr>
            <w:fldChar w:fldCharType="end"/>
          </w:r>
        </w:p>
      </w:tc>
      <w:tc>
        <w:tcPr>
          <w:tcW w:w="1999" w:type="pct"/>
        </w:tcPr>
        <w:p w:rsidR="00DF2089" w:rsidRPr="0055472E" w:rsidRDefault="00DF2089" w:rsidP="00567A3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14/12/2021</w:t>
          </w:r>
          <w:r w:rsidRPr="0055472E">
            <w:rPr>
              <w:sz w:val="16"/>
              <w:szCs w:val="16"/>
            </w:rPr>
            <w:fldChar w:fldCharType="end"/>
          </w:r>
        </w:p>
      </w:tc>
      <w:tc>
        <w:tcPr>
          <w:tcW w:w="1502" w:type="pct"/>
          <w:gridSpan w:val="2"/>
        </w:tcPr>
        <w:p w:rsidR="00DF2089" w:rsidRPr="0055472E" w:rsidRDefault="00DF2089" w:rsidP="00567A3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12/01/2022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12/01/2022</w:t>
          </w:r>
          <w:r w:rsidRPr="0055472E">
            <w:rPr>
              <w:sz w:val="16"/>
              <w:szCs w:val="16"/>
            </w:rPr>
            <w:fldChar w:fldCharType="end"/>
          </w:r>
        </w:p>
      </w:tc>
    </w:tr>
  </w:tbl>
  <w:p w:rsidR="00DF2089" w:rsidRPr="002B0765" w:rsidRDefault="00DF2089" w:rsidP="002B076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7B3B51" w:rsidRDefault="00DF2089" w:rsidP="00567A3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F2089" w:rsidRPr="007B3B51" w:rsidTr="004E3418">
      <w:tc>
        <w:tcPr>
          <w:tcW w:w="854" w:type="pct"/>
        </w:tcPr>
        <w:p w:rsidR="00DF2089" w:rsidRPr="007B3B51" w:rsidRDefault="00DF2089" w:rsidP="00567A3A">
          <w:pPr>
            <w:rPr>
              <w:i/>
              <w:sz w:val="16"/>
              <w:szCs w:val="16"/>
            </w:rPr>
          </w:pPr>
        </w:p>
      </w:tc>
      <w:tc>
        <w:tcPr>
          <w:tcW w:w="3688" w:type="pct"/>
          <w:gridSpan w:val="3"/>
        </w:tcPr>
        <w:p w:rsidR="00DF2089" w:rsidRPr="007B3B51" w:rsidRDefault="00DF2089" w:rsidP="00567A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B6C4C">
            <w:rPr>
              <w:i/>
              <w:noProof/>
              <w:sz w:val="16"/>
              <w:szCs w:val="16"/>
            </w:rPr>
            <w:t>Law Enforcement Integrity Commissioner Regulations 2017</w:t>
          </w:r>
          <w:r w:rsidRPr="007B3B51">
            <w:rPr>
              <w:i/>
              <w:sz w:val="16"/>
              <w:szCs w:val="16"/>
            </w:rPr>
            <w:fldChar w:fldCharType="end"/>
          </w:r>
        </w:p>
      </w:tc>
      <w:tc>
        <w:tcPr>
          <w:tcW w:w="458" w:type="pct"/>
        </w:tcPr>
        <w:p w:rsidR="00DF2089" w:rsidRPr="007B3B51" w:rsidRDefault="00DF2089" w:rsidP="00567A3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w:t>
          </w:r>
          <w:r w:rsidRPr="007B3B51">
            <w:rPr>
              <w:i/>
              <w:sz w:val="16"/>
              <w:szCs w:val="16"/>
            </w:rPr>
            <w:fldChar w:fldCharType="end"/>
          </w:r>
        </w:p>
      </w:tc>
    </w:tr>
    <w:tr w:rsidR="00DF2089" w:rsidRPr="00130F37" w:rsidTr="004E3418">
      <w:tc>
        <w:tcPr>
          <w:tcW w:w="1499" w:type="pct"/>
          <w:gridSpan w:val="2"/>
        </w:tcPr>
        <w:p w:rsidR="00DF2089" w:rsidRPr="00130F37" w:rsidRDefault="00DF2089" w:rsidP="00567A3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1999" w:type="pct"/>
        </w:tcPr>
        <w:p w:rsidR="00DF2089" w:rsidRPr="00130F37" w:rsidRDefault="00DF2089" w:rsidP="00567A3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14/12/2021</w:t>
          </w:r>
          <w:r w:rsidRPr="00130F37">
            <w:rPr>
              <w:sz w:val="16"/>
              <w:szCs w:val="16"/>
            </w:rPr>
            <w:fldChar w:fldCharType="end"/>
          </w:r>
        </w:p>
      </w:tc>
      <w:tc>
        <w:tcPr>
          <w:tcW w:w="1502" w:type="pct"/>
          <w:gridSpan w:val="2"/>
        </w:tcPr>
        <w:p w:rsidR="00DF2089" w:rsidRPr="00130F37" w:rsidRDefault="00DF2089" w:rsidP="00567A3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12/01/2022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12/01/2022</w:t>
          </w:r>
          <w:r w:rsidRPr="00130F37">
            <w:rPr>
              <w:sz w:val="16"/>
              <w:szCs w:val="16"/>
            </w:rPr>
            <w:fldChar w:fldCharType="end"/>
          </w:r>
        </w:p>
      </w:tc>
    </w:tr>
  </w:tbl>
  <w:p w:rsidR="00DF2089" w:rsidRPr="002B0765" w:rsidRDefault="00DF2089" w:rsidP="002B076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7B3B51" w:rsidRDefault="00DF2089" w:rsidP="00567A3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F2089" w:rsidRPr="007B3B51" w:rsidTr="004E3418">
      <w:tc>
        <w:tcPr>
          <w:tcW w:w="854" w:type="pct"/>
        </w:tcPr>
        <w:p w:rsidR="00DF2089" w:rsidRPr="007B3B51" w:rsidRDefault="00DF2089" w:rsidP="00567A3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w:t>
          </w:r>
          <w:r w:rsidRPr="007B3B51">
            <w:rPr>
              <w:i/>
              <w:sz w:val="16"/>
              <w:szCs w:val="16"/>
            </w:rPr>
            <w:fldChar w:fldCharType="end"/>
          </w:r>
        </w:p>
      </w:tc>
      <w:tc>
        <w:tcPr>
          <w:tcW w:w="3688" w:type="pct"/>
          <w:gridSpan w:val="3"/>
        </w:tcPr>
        <w:p w:rsidR="00DF2089" w:rsidRPr="007B3B51" w:rsidRDefault="00DF2089" w:rsidP="00567A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Law Enforcement Integrity Commissioner Regulations 2017</w:t>
          </w:r>
          <w:r w:rsidRPr="007B3B51">
            <w:rPr>
              <w:i/>
              <w:sz w:val="16"/>
              <w:szCs w:val="16"/>
            </w:rPr>
            <w:fldChar w:fldCharType="end"/>
          </w:r>
        </w:p>
      </w:tc>
      <w:tc>
        <w:tcPr>
          <w:tcW w:w="458" w:type="pct"/>
        </w:tcPr>
        <w:p w:rsidR="00DF2089" w:rsidRPr="007B3B51" w:rsidRDefault="00DF2089" w:rsidP="00567A3A">
          <w:pPr>
            <w:jc w:val="right"/>
            <w:rPr>
              <w:sz w:val="16"/>
              <w:szCs w:val="16"/>
            </w:rPr>
          </w:pPr>
        </w:p>
      </w:tc>
    </w:tr>
    <w:tr w:rsidR="00DF2089" w:rsidRPr="0055472E" w:rsidTr="004E3418">
      <w:tc>
        <w:tcPr>
          <w:tcW w:w="1499" w:type="pct"/>
          <w:gridSpan w:val="2"/>
        </w:tcPr>
        <w:p w:rsidR="00DF2089" w:rsidRPr="0055472E" w:rsidRDefault="00DF2089" w:rsidP="00567A3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w:t>
          </w:r>
          <w:r w:rsidRPr="0055472E">
            <w:rPr>
              <w:sz w:val="16"/>
              <w:szCs w:val="16"/>
            </w:rPr>
            <w:fldChar w:fldCharType="end"/>
          </w:r>
        </w:p>
      </w:tc>
      <w:tc>
        <w:tcPr>
          <w:tcW w:w="1999" w:type="pct"/>
        </w:tcPr>
        <w:p w:rsidR="00DF2089" w:rsidRPr="0055472E" w:rsidRDefault="00DF2089" w:rsidP="00567A3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14/12/2021</w:t>
          </w:r>
          <w:r w:rsidRPr="0055472E">
            <w:rPr>
              <w:sz w:val="16"/>
              <w:szCs w:val="16"/>
            </w:rPr>
            <w:fldChar w:fldCharType="end"/>
          </w:r>
        </w:p>
      </w:tc>
      <w:tc>
        <w:tcPr>
          <w:tcW w:w="1502" w:type="pct"/>
          <w:gridSpan w:val="2"/>
        </w:tcPr>
        <w:p w:rsidR="00DF2089" w:rsidRPr="0055472E" w:rsidRDefault="00DF2089" w:rsidP="00567A3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12/01/2022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12/01/2022</w:t>
          </w:r>
          <w:r w:rsidRPr="0055472E">
            <w:rPr>
              <w:sz w:val="16"/>
              <w:szCs w:val="16"/>
            </w:rPr>
            <w:fldChar w:fldCharType="end"/>
          </w:r>
        </w:p>
      </w:tc>
    </w:tr>
  </w:tbl>
  <w:p w:rsidR="00DF2089" w:rsidRPr="002B0765" w:rsidRDefault="00DF2089" w:rsidP="002B076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7B3B51" w:rsidRDefault="00DF2089" w:rsidP="00567A3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F2089" w:rsidRPr="007B3B51" w:rsidTr="004E3418">
      <w:tc>
        <w:tcPr>
          <w:tcW w:w="854" w:type="pct"/>
        </w:tcPr>
        <w:p w:rsidR="00DF2089" w:rsidRPr="007B3B51" w:rsidRDefault="00DF2089" w:rsidP="00567A3A">
          <w:pPr>
            <w:rPr>
              <w:i/>
              <w:sz w:val="16"/>
              <w:szCs w:val="16"/>
            </w:rPr>
          </w:pPr>
        </w:p>
      </w:tc>
      <w:tc>
        <w:tcPr>
          <w:tcW w:w="3688" w:type="pct"/>
          <w:gridSpan w:val="3"/>
        </w:tcPr>
        <w:p w:rsidR="00DF2089" w:rsidRPr="007B3B51" w:rsidRDefault="00DF2089" w:rsidP="00567A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Law Enforcement Integrity Commissioner Regulations 2017</w:t>
          </w:r>
          <w:r w:rsidRPr="007B3B51">
            <w:rPr>
              <w:i/>
              <w:sz w:val="16"/>
              <w:szCs w:val="16"/>
            </w:rPr>
            <w:fldChar w:fldCharType="end"/>
          </w:r>
        </w:p>
      </w:tc>
      <w:tc>
        <w:tcPr>
          <w:tcW w:w="458" w:type="pct"/>
        </w:tcPr>
        <w:p w:rsidR="00DF2089" w:rsidRPr="007B3B51" w:rsidRDefault="00DF2089" w:rsidP="00567A3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w:t>
          </w:r>
          <w:r w:rsidRPr="007B3B51">
            <w:rPr>
              <w:i/>
              <w:sz w:val="16"/>
              <w:szCs w:val="16"/>
            </w:rPr>
            <w:fldChar w:fldCharType="end"/>
          </w:r>
        </w:p>
      </w:tc>
    </w:tr>
    <w:tr w:rsidR="00DF2089" w:rsidRPr="00130F37" w:rsidTr="004E3418">
      <w:tc>
        <w:tcPr>
          <w:tcW w:w="1499" w:type="pct"/>
          <w:gridSpan w:val="2"/>
        </w:tcPr>
        <w:p w:rsidR="00DF2089" w:rsidRPr="00130F37" w:rsidRDefault="00DF2089" w:rsidP="00567A3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1999" w:type="pct"/>
        </w:tcPr>
        <w:p w:rsidR="00DF2089" w:rsidRPr="00130F37" w:rsidRDefault="00DF2089" w:rsidP="00567A3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14/12/2021</w:t>
          </w:r>
          <w:r w:rsidRPr="00130F37">
            <w:rPr>
              <w:sz w:val="16"/>
              <w:szCs w:val="16"/>
            </w:rPr>
            <w:fldChar w:fldCharType="end"/>
          </w:r>
        </w:p>
      </w:tc>
      <w:tc>
        <w:tcPr>
          <w:tcW w:w="1502" w:type="pct"/>
          <w:gridSpan w:val="2"/>
        </w:tcPr>
        <w:p w:rsidR="00DF2089" w:rsidRPr="00130F37" w:rsidRDefault="00DF2089" w:rsidP="00567A3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12/01/2022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12/01/2022</w:t>
          </w:r>
          <w:r w:rsidRPr="00130F37">
            <w:rPr>
              <w:sz w:val="16"/>
              <w:szCs w:val="16"/>
            </w:rPr>
            <w:fldChar w:fldCharType="end"/>
          </w:r>
        </w:p>
      </w:tc>
    </w:tr>
  </w:tbl>
  <w:p w:rsidR="00DF2089" w:rsidRPr="002B0765" w:rsidRDefault="00DF2089" w:rsidP="002B076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7A1328" w:rsidRDefault="00DF2089" w:rsidP="00676F4E">
    <w:pPr>
      <w:pBdr>
        <w:top w:val="single" w:sz="6" w:space="1" w:color="auto"/>
      </w:pBdr>
      <w:spacing w:before="120"/>
      <w:rPr>
        <w:sz w:val="18"/>
      </w:rPr>
    </w:pPr>
  </w:p>
  <w:p w:rsidR="00DF2089" w:rsidRPr="007A1328" w:rsidRDefault="00DF2089" w:rsidP="00676F4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Law Enforcement Integrity Commissioner Regulations 2017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w:t>
    </w:r>
    <w:r w:rsidRPr="007A1328">
      <w:rPr>
        <w:i/>
        <w:sz w:val="18"/>
      </w:rPr>
      <w:fldChar w:fldCharType="end"/>
    </w:r>
  </w:p>
  <w:p w:rsidR="00DF2089" w:rsidRPr="007A1328" w:rsidRDefault="00DF2089" w:rsidP="00676F4E">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Default="00DF2089" w:rsidP="0044290E">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ED79B6" w:rsidRDefault="00DF2089" w:rsidP="0044290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7B3B51" w:rsidRDefault="00DF2089" w:rsidP="00567A3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F2089" w:rsidRPr="007B3B51" w:rsidTr="004E3418">
      <w:tc>
        <w:tcPr>
          <w:tcW w:w="854" w:type="pct"/>
        </w:tcPr>
        <w:p w:rsidR="00DF2089" w:rsidRPr="007B3B51" w:rsidRDefault="00DF2089" w:rsidP="00567A3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3688" w:type="pct"/>
          <w:gridSpan w:val="3"/>
        </w:tcPr>
        <w:p w:rsidR="00DF2089" w:rsidRPr="007B3B51" w:rsidRDefault="00DF2089" w:rsidP="00567A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Law Enforcement Integrity Commissioner Regulations 2017</w:t>
          </w:r>
          <w:r w:rsidRPr="007B3B51">
            <w:rPr>
              <w:i/>
              <w:sz w:val="16"/>
              <w:szCs w:val="16"/>
            </w:rPr>
            <w:fldChar w:fldCharType="end"/>
          </w:r>
        </w:p>
      </w:tc>
      <w:tc>
        <w:tcPr>
          <w:tcW w:w="458" w:type="pct"/>
        </w:tcPr>
        <w:p w:rsidR="00DF2089" w:rsidRPr="007B3B51" w:rsidRDefault="00DF2089" w:rsidP="00567A3A">
          <w:pPr>
            <w:jc w:val="right"/>
            <w:rPr>
              <w:sz w:val="16"/>
              <w:szCs w:val="16"/>
            </w:rPr>
          </w:pPr>
        </w:p>
      </w:tc>
    </w:tr>
    <w:tr w:rsidR="00DF2089" w:rsidRPr="0055472E" w:rsidTr="004E3418">
      <w:tc>
        <w:tcPr>
          <w:tcW w:w="1499" w:type="pct"/>
          <w:gridSpan w:val="2"/>
        </w:tcPr>
        <w:p w:rsidR="00DF2089" w:rsidRPr="0055472E" w:rsidRDefault="00DF2089" w:rsidP="00567A3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w:t>
          </w:r>
          <w:r w:rsidRPr="0055472E">
            <w:rPr>
              <w:sz w:val="16"/>
              <w:szCs w:val="16"/>
            </w:rPr>
            <w:fldChar w:fldCharType="end"/>
          </w:r>
        </w:p>
      </w:tc>
      <w:tc>
        <w:tcPr>
          <w:tcW w:w="1999" w:type="pct"/>
        </w:tcPr>
        <w:p w:rsidR="00DF2089" w:rsidRPr="0055472E" w:rsidRDefault="00DF2089" w:rsidP="00567A3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14/12/2021</w:t>
          </w:r>
          <w:r w:rsidRPr="0055472E">
            <w:rPr>
              <w:sz w:val="16"/>
              <w:szCs w:val="16"/>
            </w:rPr>
            <w:fldChar w:fldCharType="end"/>
          </w:r>
        </w:p>
      </w:tc>
      <w:tc>
        <w:tcPr>
          <w:tcW w:w="1502" w:type="pct"/>
          <w:gridSpan w:val="2"/>
        </w:tcPr>
        <w:p w:rsidR="00DF2089" w:rsidRPr="0055472E" w:rsidRDefault="00DF2089" w:rsidP="00567A3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12/01/2022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12/01/2022</w:t>
          </w:r>
          <w:r w:rsidRPr="0055472E">
            <w:rPr>
              <w:sz w:val="16"/>
              <w:szCs w:val="16"/>
            </w:rPr>
            <w:fldChar w:fldCharType="end"/>
          </w:r>
        </w:p>
      </w:tc>
    </w:tr>
  </w:tbl>
  <w:p w:rsidR="00DF2089" w:rsidRPr="002B0765" w:rsidRDefault="00DF2089" w:rsidP="002B07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7B3B51" w:rsidRDefault="00DF2089" w:rsidP="00567A3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F2089" w:rsidRPr="007B3B51" w:rsidTr="004E3418">
      <w:tc>
        <w:tcPr>
          <w:tcW w:w="854" w:type="pct"/>
        </w:tcPr>
        <w:p w:rsidR="00DF2089" w:rsidRPr="007B3B51" w:rsidRDefault="00DF2089" w:rsidP="00567A3A">
          <w:pPr>
            <w:rPr>
              <w:i/>
              <w:sz w:val="16"/>
              <w:szCs w:val="16"/>
            </w:rPr>
          </w:pPr>
        </w:p>
      </w:tc>
      <w:tc>
        <w:tcPr>
          <w:tcW w:w="3688" w:type="pct"/>
          <w:gridSpan w:val="3"/>
        </w:tcPr>
        <w:p w:rsidR="00DF2089" w:rsidRPr="007B3B51" w:rsidRDefault="00DF2089" w:rsidP="00567A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B6C4C">
            <w:rPr>
              <w:i/>
              <w:noProof/>
              <w:sz w:val="16"/>
              <w:szCs w:val="16"/>
            </w:rPr>
            <w:t>Law Enforcement Integrity Commissioner Regulations 2017</w:t>
          </w:r>
          <w:r w:rsidRPr="007B3B51">
            <w:rPr>
              <w:i/>
              <w:sz w:val="16"/>
              <w:szCs w:val="16"/>
            </w:rPr>
            <w:fldChar w:fldCharType="end"/>
          </w:r>
        </w:p>
      </w:tc>
      <w:tc>
        <w:tcPr>
          <w:tcW w:w="458" w:type="pct"/>
        </w:tcPr>
        <w:p w:rsidR="00DF2089" w:rsidRPr="007B3B51" w:rsidRDefault="00DF2089" w:rsidP="00567A3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DF2089" w:rsidRPr="00130F37" w:rsidTr="004E3418">
      <w:tc>
        <w:tcPr>
          <w:tcW w:w="1499" w:type="pct"/>
          <w:gridSpan w:val="2"/>
        </w:tcPr>
        <w:p w:rsidR="00DF2089" w:rsidRPr="00130F37" w:rsidRDefault="00DF2089" w:rsidP="00567A3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1999" w:type="pct"/>
        </w:tcPr>
        <w:p w:rsidR="00DF2089" w:rsidRPr="00130F37" w:rsidRDefault="00DF2089" w:rsidP="00567A3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14/12/2021</w:t>
          </w:r>
          <w:r w:rsidRPr="00130F37">
            <w:rPr>
              <w:sz w:val="16"/>
              <w:szCs w:val="16"/>
            </w:rPr>
            <w:fldChar w:fldCharType="end"/>
          </w:r>
        </w:p>
      </w:tc>
      <w:tc>
        <w:tcPr>
          <w:tcW w:w="1502" w:type="pct"/>
          <w:gridSpan w:val="2"/>
        </w:tcPr>
        <w:p w:rsidR="00DF2089" w:rsidRPr="00130F37" w:rsidRDefault="00DF2089" w:rsidP="00567A3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12/01/2022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12/01/2022</w:t>
          </w:r>
          <w:r w:rsidRPr="00130F37">
            <w:rPr>
              <w:sz w:val="16"/>
              <w:szCs w:val="16"/>
            </w:rPr>
            <w:fldChar w:fldCharType="end"/>
          </w:r>
        </w:p>
      </w:tc>
    </w:tr>
  </w:tbl>
  <w:p w:rsidR="00DF2089" w:rsidRPr="002B0765" w:rsidRDefault="00DF2089" w:rsidP="002B076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7B3B51" w:rsidRDefault="00DF2089" w:rsidP="00567A3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F2089" w:rsidRPr="007B3B51" w:rsidTr="004E3418">
      <w:tc>
        <w:tcPr>
          <w:tcW w:w="854" w:type="pct"/>
        </w:tcPr>
        <w:p w:rsidR="00DF2089" w:rsidRPr="007B3B51" w:rsidRDefault="00DF2089" w:rsidP="00567A3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w:t>
          </w:r>
          <w:r w:rsidRPr="007B3B51">
            <w:rPr>
              <w:i/>
              <w:sz w:val="16"/>
              <w:szCs w:val="16"/>
            </w:rPr>
            <w:fldChar w:fldCharType="end"/>
          </w:r>
        </w:p>
      </w:tc>
      <w:tc>
        <w:tcPr>
          <w:tcW w:w="3688" w:type="pct"/>
          <w:gridSpan w:val="3"/>
        </w:tcPr>
        <w:p w:rsidR="00DF2089" w:rsidRPr="007B3B51" w:rsidRDefault="00DF2089" w:rsidP="00567A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B6C4C">
            <w:rPr>
              <w:i/>
              <w:noProof/>
              <w:sz w:val="16"/>
              <w:szCs w:val="16"/>
            </w:rPr>
            <w:t>Law Enforcement Integrity Commissioner Regulations 2017</w:t>
          </w:r>
          <w:r w:rsidRPr="007B3B51">
            <w:rPr>
              <w:i/>
              <w:sz w:val="16"/>
              <w:szCs w:val="16"/>
            </w:rPr>
            <w:fldChar w:fldCharType="end"/>
          </w:r>
        </w:p>
      </w:tc>
      <w:tc>
        <w:tcPr>
          <w:tcW w:w="458" w:type="pct"/>
        </w:tcPr>
        <w:p w:rsidR="00DF2089" w:rsidRPr="007B3B51" w:rsidRDefault="00DF2089" w:rsidP="00567A3A">
          <w:pPr>
            <w:jc w:val="right"/>
            <w:rPr>
              <w:sz w:val="16"/>
              <w:szCs w:val="16"/>
            </w:rPr>
          </w:pPr>
        </w:p>
      </w:tc>
    </w:tr>
    <w:tr w:rsidR="00DF2089" w:rsidRPr="0055472E" w:rsidTr="004E3418">
      <w:tc>
        <w:tcPr>
          <w:tcW w:w="1499" w:type="pct"/>
          <w:gridSpan w:val="2"/>
        </w:tcPr>
        <w:p w:rsidR="00DF2089" w:rsidRPr="0055472E" w:rsidRDefault="00DF2089" w:rsidP="00567A3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w:t>
          </w:r>
          <w:r w:rsidRPr="0055472E">
            <w:rPr>
              <w:sz w:val="16"/>
              <w:szCs w:val="16"/>
            </w:rPr>
            <w:fldChar w:fldCharType="end"/>
          </w:r>
        </w:p>
      </w:tc>
      <w:tc>
        <w:tcPr>
          <w:tcW w:w="1999" w:type="pct"/>
        </w:tcPr>
        <w:p w:rsidR="00DF2089" w:rsidRPr="0055472E" w:rsidRDefault="00DF2089" w:rsidP="00567A3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14/12/2021</w:t>
          </w:r>
          <w:r w:rsidRPr="0055472E">
            <w:rPr>
              <w:sz w:val="16"/>
              <w:szCs w:val="16"/>
            </w:rPr>
            <w:fldChar w:fldCharType="end"/>
          </w:r>
        </w:p>
      </w:tc>
      <w:tc>
        <w:tcPr>
          <w:tcW w:w="1502" w:type="pct"/>
          <w:gridSpan w:val="2"/>
        </w:tcPr>
        <w:p w:rsidR="00DF2089" w:rsidRPr="0055472E" w:rsidRDefault="00DF2089" w:rsidP="00567A3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12/01/2022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12/01/2022</w:t>
          </w:r>
          <w:r w:rsidRPr="0055472E">
            <w:rPr>
              <w:sz w:val="16"/>
              <w:szCs w:val="16"/>
            </w:rPr>
            <w:fldChar w:fldCharType="end"/>
          </w:r>
        </w:p>
      </w:tc>
    </w:tr>
  </w:tbl>
  <w:p w:rsidR="00DF2089" w:rsidRPr="002B0765" w:rsidRDefault="00DF2089" w:rsidP="002B076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7B3B51" w:rsidRDefault="00DF2089" w:rsidP="00567A3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F2089" w:rsidRPr="007B3B51" w:rsidTr="004E3418">
      <w:tc>
        <w:tcPr>
          <w:tcW w:w="854" w:type="pct"/>
        </w:tcPr>
        <w:p w:rsidR="00DF2089" w:rsidRPr="007B3B51" w:rsidRDefault="00DF2089" w:rsidP="00567A3A">
          <w:pPr>
            <w:rPr>
              <w:i/>
              <w:sz w:val="16"/>
              <w:szCs w:val="16"/>
            </w:rPr>
          </w:pPr>
        </w:p>
      </w:tc>
      <w:tc>
        <w:tcPr>
          <w:tcW w:w="3688" w:type="pct"/>
          <w:gridSpan w:val="3"/>
        </w:tcPr>
        <w:p w:rsidR="00DF2089" w:rsidRPr="007B3B51" w:rsidRDefault="00DF2089" w:rsidP="00567A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B6C4C">
            <w:rPr>
              <w:i/>
              <w:noProof/>
              <w:sz w:val="16"/>
              <w:szCs w:val="16"/>
            </w:rPr>
            <w:t>Law Enforcement Integrity Commissioner Regulations 2017</w:t>
          </w:r>
          <w:r w:rsidRPr="007B3B51">
            <w:rPr>
              <w:i/>
              <w:sz w:val="16"/>
              <w:szCs w:val="16"/>
            </w:rPr>
            <w:fldChar w:fldCharType="end"/>
          </w:r>
        </w:p>
      </w:tc>
      <w:tc>
        <w:tcPr>
          <w:tcW w:w="458" w:type="pct"/>
        </w:tcPr>
        <w:p w:rsidR="00DF2089" w:rsidRPr="007B3B51" w:rsidRDefault="00DF2089" w:rsidP="00567A3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w:t>
          </w:r>
          <w:r w:rsidRPr="007B3B51">
            <w:rPr>
              <w:i/>
              <w:sz w:val="16"/>
              <w:szCs w:val="16"/>
            </w:rPr>
            <w:fldChar w:fldCharType="end"/>
          </w:r>
        </w:p>
      </w:tc>
    </w:tr>
    <w:tr w:rsidR="00DF2089" w:rsidRPr="00130F37" w:rsidTr="004E3418">
      <w:tc>
        <w:tcPr>
          <w:tcW w:w="1499" w:type="pct"/>
          <w:gridSpan w:val="2"/>
        </w:tcPr>
        <w:p w:rsidR="00DF2089" w:rsidRPr="00130F37" w:rsidRDefault="00DF2089" w:rsidP="00567A3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1999" w:type="pct"/>
        </w:tcPr>
        <w:p w:rsidR="00DF2089" w:rsidRPr="00130F37" w:rsidRDefault="00DF2089" w:rsidP="00567A3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14/12/2021</w:t>
          </w:r>
          <w:r w:rsidRPr="00130F37">
            <w:rPr>
              <w:sz w:val="16"/>
              <w:szCs w:val="16"/>
            </w:rPr>
            <w:fldChar w:fldCharType="end"/>
          </w:r>
        </w:p>
      </w:tc>
      <w:tc>
        <w:tcPr>
          <w:tcW w:w="1502" w:type="pct"/>
          <w:gridSpan w:val="2"/>
        </w:tcPr>
        <w:p w:rsidR="00DF2089" w:rsidRPr="00130F37" w:rsidRDefault="00DF2089" w:rsidP="00567A3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12/01/2022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12/01/2022</w:t>
          </w:r>
          <w:r w:rsidRPr="00130F37">
            <w:rPr>
              <w:sz w:val="16"/>
              <w:szCs w:val="16"/>
            </w:rPr>
            <w:fldChar w:fldCharType="end"/>
          </w:r>
        </w:p>
      </w:tc>
    </w:tr>
  </w:tbl>
  <w:p w:rsidR="00DF2089" w:rsidRPr="002B0765" w:rsidRDefault="00DF2089" w:rsidP="002B076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7B3B51" w:rsidRDefault="00DF2089" w:rsidP="002B07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F2089" w:rsidRPr="007B3B51" w:rsidTr="004E3418">
      <w:tc>
        <w:tcPr>
          <w:tcW w:w="854" w:type="pct"/>
        </w:tcPr>
        <w:p w:rsidR="00DF2089" w:rsidRPr="007B3B51" w:rsidRDefault="00DF2089" w:rsidP="00567A3A">
          <w:pPr>
            <w:rPr>
              <w:i/>
              <w:sz w:val="16"/>
              <w:szCs w:val="16"/>
            </w:rPr>
          </w:pPr>
        </w:p>
      </w:tc>
      <w:tc>
        <w:tcPr>
          <w:tcW w:w="3688" w:type="pct"/>
          <w:gridSpan w:val="3"/>
        </w:tcPr>
        <w:p w:rsidR="00DF2089" w:rsidRPr="007B3B51" w:rsidRDefault="00DF2089" w:rsidP="00567A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Law Enforcement Integrity Commissioner Regulations 2017</w:t>
          </w:r>
          <w:r w:rsidRPr="007B3B51">
            <w:rPr>
              <w:i/>
              <w:sz w:val="16"/>
              <w:szCs w:val="16"/>
            </w:rPr>
            <w:fldChar w:fldCharType="end"/>
          </w:r>
        </w:p>
      </w:tc>
      <w:tc>
        <w:tcPr>
          <w:tcW w:w="458" w:type="pct"/>
        </w:tcPr>
        <w:p w:rsidR="00DF2089" w:rsidRPr="007B3B51" w:rsidRDefault="00DF2089" w:rsidP="00567A3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w:t>
          </w:r>
          <w:r w:rsidRPr="007B3B51">
            <w:rPr>
              <w:i/>
              <w:sz w:val="16"/>
              <w:szCs w:val="16"/>
            </w:rPr>
            <w:fldChar w:fldCharType="end"/>
          </w:r>
        </w:p>
      </w:tc>
    </w:tr>
    <w:tr w:rsidR="00DF2089" w:rsidRPr="00130F37" w:rsidTr="004E3418">
      <w:tc>
        <w:tcPr>
          <w:tcW w:w="1499" w:type="pct"/>
          <w:gridSpan w:val="2"/>
        </w:tcPr>
        <w:p w:rsidR="00DF2089" w:rsidRPr="00130F37" w:rsidRDefault="00DF2089" w:rsidP="00567A3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1999" w:type="pct"/>
        </w:tcPr>
        <w:p w:rsidR="00DF2089" w:rsidRPr="00130F37" w:rsidRDefault="00DF2089" w:rsidP="00567A3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14/12/2021</w:t>
          </w:r>
          <w:r w:rsidRPr="00130F37">
            <w:rPr>
              <w:sz w:val="16"/>
              <w:szCs w:val="16"/>
            </w:rPr>
            <w:fldChar w:fldCharType="end"/>
          </w:r>
        </w:p>
      </w:tc>
      <w:tc>
        <w:tcPr>
          <w:tcW w:w="1502" w:type="pct"/>
          <w:gridSpan w:val="2"/>
        </w:tcPr>
        <w:p w:rsidR="00DF2089" w:rsidRPr="00130F37" w:rsidRDefault="00DF2089" w:rsidP="00567A3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12/01/2022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12/01/2022</w:t>
          </w:r>
          <w:r w:rsidRPr="00130F37">
            <w:rPr>
              <w:sz w:val="16"/>
              <w:szCs w:val="16"/>
            </w:rPr>
            <w:fldChar w:fldCharType="end"/>
          </w:r>
        </w:p>
      </w:tc>
    </w:tr>
  </w:tbl>
  <w:p w:rsidR="00DF2089" w:rsidRPr="002B0765" w:rsidRDefault="00DF2089" w:rsidP="002B076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7B3B51" w:rsidRDefault="00DF2089" w:rsidP="00567A3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F2089" w:rsidRPr="007B3B51" w:rsidTr="004E3418">
      <w:tc>
        <w:tcPr>
          <w:tcW w:w="854" w:type="pct"/>
        </w:tcPr>
        <w:p w:rsidR="00DF2089" w:rsidRPr="007B3B51" w:rsidRDefault="00DF2089" w:rsidP="00567A3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w:t>
          </w:r>
          <w:r w:rsidRPr="007B3B51">
            <w:rPr>
              <w:i/>
              <w:sz w:val="16"/>
              <w:szCs w:val="16"/>
            </w:rPr>
            <w:fldChar w:fldCharType="end"/>
          </w:r>
        </w:p>
      </w:tc>
      <w:tc>
        <w:tcPr>
          <w:tcW w:w="3688" w:type="pct"/>
          <w:gridSpan w:val="3"/>
        </w:tcPr>
        <w:p w:rsidR="00DF2089" w:rsidRPr="007B3B51" w:rsidRDefault="00DF2089" w:rsidP="00567A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B6C4C">
            <w:rPr>
              <w:i/>
              <w:noProof/>
              <w:sz w:val="16"/>
              <w:szCs w:val="16"/>
            </w:rPr>
            <w:t>Law Enforcement Integrity Commissioner Regulations 2017</w:t>
          </w:r>
          <w:r w:rsidRPr="007B3B51">
            <w:rPr>
              <w:i/>
              <w:sz w:val="16"/>
              <w:szCs w:val="16"/>
            </w:rPr>
            <w:fldChar w:fldCharType="end"/>
          </w:r>
        </w:p>
      </w:tc>
      <w:tc>
        <w:tcPr>
          <w:tcW w:w="458" w:type="pct"/>
        </w:tcPr>
        <w:p w:rsidR="00DF2089" w:rsidRPr="007B3B51" w:rsidRDefault="00DF2089" w:rsidP="00567A3A">
          <w:pPr>
            <w:jc w:val="right"/>
            <w:rPr>
              <w:sz w:val="16"/>
              <w:szCs w:val="16"/>
            </w:rPr>
          </w:pPr>
        </w:p>
      </w:tc>
    </w:tr>
    <w:tr w:rsidR="00DF2089" w:rsidRPr="0055472E" w:rsidTr="004E3418">
      <w:tc>
        <w:tcPr>
          <w:tcW w:w="1499" w:type="pct"/>
          <w:gridSpan w:val="2"/>
        </w:tcPr>
        <w:p w:rsidR="00DF2089" w:rsidRPr="0055472E" w:rsidRDefault="00DF2089" w:rsidP="00567A3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w:t>
          </w:r>
          <w:r w:rsidRPr="0055472E">
            <w:rPr>
              <w:sz w:val="16"/>
              <w:szCs w:val="16"/>
            </w:rPr>
            <w:fldChar w:fldCharType="end"/>
          </w:r>
        </w:p>
      </w:tc>
      <w:tc>
        <w:tcPr>
          <w:tcW w:w="1999" w:type="pct"/>
        </w:tcPr>
        <w:p w:rsidR="00DF2089" w:rsidRPr="0055472E" w:rsidRDefault="00DF2089" w:rsidP="00567A3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14/12/2021</w:t>
          </w:r>
          <w:r w:rsidRPr="0055472E">
            <w:rPr>
              <w:sz w:val="16"/>
              <w:szCs w:val="16"/>
            </w:rPr>
            <w:fldChar w:fldCharType="end"/>
          </w:r>
        </w:p>
      </w:tc>
      <w:tc>
        <w:tcPr>
          <w:tcW w:w="1502" w:type="pct"/>
          <w:gridSpan w:val="2"/>
        </w:tcPr>
        <w:p w:rsidR="00DF2089" w:rsidRPr="0055472E" w:rsidRDefault="00DF2089" w:rsidP="00567A3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12/01/2022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12/01/2022</w:t>
          </w:r>
          <w:r w:rsidRPr="0055472E">
            <w:rPr>
              <w:sz w:val="16"/>
              <w:szCs w:val="16"/>
            </w:rPr>
            <w:fldChar w:fldCharType="end"/>
          </w:r>
        </w:p>
      </w:tc>
    </w:tr>
  </w:tbl>
  <w:p w:rsidR="00DF2089" w:rsidRPr="002B0765" w:rsidRDefault="00DF2089" w:rsidP="002B0765">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089" w:rsidRDefault="00DF2089" w:rsidP="00715914">
      <w:pPr>
        <w:spacing w:line="240" w:lineRule="auto"/>
      </w:pPr>
      <w:r>
        <w:separator/>
      </w:r>
    </w:p>
  </w:footnote>
  <w:footnote w:type="continuationSeparator" w:id="0">
    <w:p w:rsidR="00DF2089" w:rsidRDefault="00DF2089"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Default="00DF2089" w:rsidP="0044290E">
    <w:pPr>
      <w:pStyle w:val="Header"/>
      <w:pBdr>
        <w:bottom w:val="single" w:sz="6" w:space="1" w:color="auto"/>
      </w:pBdr>
    </w:pPr>
  </w:p>
  <w:p w:rsidR="00DF2089" w:rsidRDefault="00DF2089" w:rsidP="0044290E">
    <w:pPr>
      <w:pStyle w:val="Header"/>
      <w:pBdr>
        <w:bottom w:val="single" w:sz="6" w:space="1" w:color="auto"/>
      </w:pBdr>
    </w:pPr>
  </w:p>
  <w:p w:rsidR="00DF2089" w:rsidRPr="001E77D2" w:rsidRDefault="00DF2089" w:rsidP="0044290E">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Default="00DF2089">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DF2089" w:rsidRDefault="00DF2089">
    <w:pPr>
      <w:pBdr>
        <w:bottom w:val="single" w:sz="6" w:space="1" w:color="auto"/>
      </w:pBdr>
      <w:rPr>
        <w:sz w:val="20"/>
      </w:rPr>
    </w:pPr>
    <w:r>
      <w:rPr>
        <w:b/>
        <w:sz w:val="20"/>
      </w:rPr>
      <w:fldChar w:fldCharType="begin"/>
    </w:r>
    <w:r>
      <w:rPr>
        <w:b/>
        <w:sz w:val="20"/>
      </w:rPr>
      <w:instrText xml:space="preserve"> STYLEREF CharPartNo </w:instrText>
    </w:r>
    <w:r w:rsidR="005B6C4C">
      <w:rPr>
        <w:b/>
        <w:sz w:val="20"/>
      </w:rPr>
      <w:fldChar w:fldCharType="separate"/>
    </w:r>
    <w:r w:rsidR="005B6C4C">
      <w:rPr>
        <w:b/>
        <w:noProof/>
        <w:sz w:val="20"/>
      </w:rPr>
      <w:t>Part 6</w:t>
    </w:r>
    <w:r>
      <w:rPr>
        <w:b/>
        <w:sz w:val="20"/>
      </w:rPr>
      <w:fldChar w:fldCharType="end"/>
    </w:r>
    <w:r>
      <w:rPr>
        <w:b/>
        <w:sz w:val="20"/>
      </w:rPr>
      <w:t xml:space="preserve">  </w:t>
    </w:r>
    <w:r>
      <w:rPr>
        <w:sz w:val="20"/>
      </w:rPr>
      <w:fldChar w:fldCharType="begin"/>
    </w:r>
    <w:r>
      <w:rPr>
        <w:sz w:val="20"/>
      </w:rPr>
      <w:instrText xml:space="preserve"> STYLEREF CharPartText </w:instrText>
    </w:r>
    <w:r w:rsidR="005B6C4C">
      <w:rPr>
        <w:sz w:val="20"/>
      </w:rPr>
      <w:fldChar w:fldCharType="separate"/>
    </w:r>
    <w:r w:rsidR="005B6C4C">
      <w:rPr>
        <w:noProof/>
        <w:sz w:val="20"/>
      </w:rPr>
      <w:t>Application and transitional matters</w:t>
    </w:r>
    <w:r>
      <w:rPr>
        <w:sz w:val="20"/>
      </w:rPr>
      <w:fldChar w:fldCharType="end"/>
    </w:r>
  </w:p>
  <w:p w:rsidR="00DF2089" w:rsidRDefault="00DF2089" w:rsidP="002B0765">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8A2C51" w:rsidRDefault="00DF2089">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end"/>
    </w:r>
  </w:p>
  <w:p w:rsidR="00DF2089" w:rsidRPr="008A2C51" w:rsidRDefault="00DF2089">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Pr>
        <w:noProof/>
        <w:sz w:val="20"/>
      </w:rPr>
      <w:t>Application and transitional matters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Pr>
        <w:b/>
        <w:noProof/>
        <w:sz w:val="20"/>
      </w:rPr>
      <w:t>Part 6</w:t>
    </w:r>
    <w:r w:rsidRPr="008A2C51">
      <w:rPr>
        <w:b/>
        <w:sz w:val="20"/>
      </w:rPr>
      <w:fldChar w:fldCharType="end"/>
    </w:r>
  </w:p>
  <w:p w:rsidR="00DF2089" w:rsidRPr="008A2C51" w:rsidRDefault="00DF2089" w:rsidP="002B0765">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Default="00DF208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BE5CD2" w:rsidRDefault="00DF2089" w:rsidP="00567A3A">
    <w:pPr>
      <w:rPr>
        <w:sz w:val="26"/>
        <w:szCs w:val="26"/>
      </w:rPr>
    </w:pPr>
  </w:p>
  <w:p w:rsidR="00DF2089" w:rsidRPr="0020230A" w:rsidRDefault="00DF2089" w:rsidP="00567A3A">
    <w:pPr>
      <w:rPr>
        <w:b/>
        <w:sz w:val="20"/>
      </w:rPr>
    </w:pPr>
    <w:r w:rsidRPr="0020230A">
      <w:rPr>
        <w:b/>
        <w:sz w:val="20"/>
      </w:rPr>
      <w:t>Endnotes</w:t>
    </w:r>
  </w:p>
  <w:p w:rsidR="00DF2089" w:rsidRPr="007A1328" w:rsidRDefault="00DF2089" w:rsidP="00567A3A">
    <w:pPr>
      <w:rPr>
        <w:sz w:val="20"/>
      </w:rPr>
    </w:pPr>
  </w:p>
  <w:p w:rsidR="00DF2089" w:rsidRPr="007A1328" w:rsidRDefault="00DF2089" w:rsidP="00567A3A">
    <w:pPr>
      <w:rPr>
        <w:b/>
        <w:sz w:val="24"/>
      </w:rPr>
    </w:pPr>
  </w:p>
  <w:p w:rsidR="00DF2089" w:rsidRPr="00BE5CD2" w:rsidRDefault="00DF2089" w:rsidP="00567A3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B6C4C">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BE5CD2" w:rsidRDefault="00DF2089" w:rsidP="00567A3A">
    <w:pPr>
      <w:jc w:val="right"/>
      <w:rPr>
        <w:sz w:val="26"/>
        <w:szCs w:val="26"/>
      </w:rPr>
    </w:pPr>
  </w:p>
  <w:p w:rsidR="00DF2089" w:rsidRPr="0020230A" w:rsidRDefault="00DF2089" w:rsidP="00567A3A">
    <w:pPr>
      <w:jc w:val="right"/>
      <w:rPr>
        <w:b/>
        <w:sz w:val="20"/>
      </w:rPr>
    </w:pPr>
    <w:r w:rsidRPr="0020230A">
      <w:rPr>
        <w:b/>
        <w:sz w:val="20"/>
      </w:rPr>
      <w:t>Endnotes</w:t>
    </w:r>
  </w:p>
  <w:p w:rsidR="00DF2089" w:rsidRPr="007A1328" w:rsidRDefault="00DF2089" w:rsidP="00567A3A">
    <w:pPr>
      <w:jc w:val="right"/>
      <w:rPr>
        <w:sz w:val="20"/>
      </w:rPr>
    </w:pPr>
  </w:p>
  <w:p w:rsidR="00DF2089" w:rsidRPr="007A1328" w:rsidRDefault="00DF2089" w:rsidP="00567A3A">
    <w:pPr>
      <w:jc w:val="right"/>
      <w:rPr>
        <w:b/>
        <w:sz w:val="24"/>
      </w:rPr>
    </w:pPr>
  </w:p>
  <w:p w:rsidR="00DF2089" w:rsidRPr="00BE5CD2" w:rsidRDefault="00DF2089" w:rsidP="00567A3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B6C4C">
      <w:rPr>
        <w:noProof/>
        <w:szCs w:val="22"/>
      </w:rPr>
      <w:t>Endnote 1—About the endnotes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7E528B" w:rsidRDefault="00DF2089" w:rsidP="00D16281">
    <w:pPr>
      <w:rPr>
        <w:sz w:val="26"/>
        <w:szCs w:val="26"/>
      </w:rPr>
    </w:pPr>
  </w:p>
  <w:p w:rsidR="00DF2089" w:rsidRPr="00750516" w:rsidRDefault="00DF2089" w:rsidP="00D16281">
    <w:pPr>
      <w:rPr>
        <w:b/>
        <w:sz w:val="20"/>
      </w:rPr>
    </w:pPr>
    <w:r w:rsidRPr="00750516">
      <w:rPr>
        <w:b/>
        <w:sz w:val="20"/>
      </w:rPr>
      <w:t>Endnotes</w:t>
    </w:r>
  </w:p>
  <w:p w:rsidR="00DF2089" w:rsidRPr="007A1328" w:rsidRDefault="00DF2089" w:rsidP="00D16281">
    <w:pPr>
      <w:rPr>
        <w:sz w:val="20"/>
      </w:rPr>
    </w:pPr>
  </w:p>
  <w:p w:rsidR="00DF2089" w:rsidRPr="007A1328" w:rsidRDefault="00DF2089" w:rsidP="00D16281">
    <w:pPr>
      <w:rPr>
        <w:b/>
        <w:sz w:val="24"/>
      </w:rPr>
    </w:pPr>
  </w:p>
  <w:p w:rsidR="00DF2089" w:rsidRPr="007E528B" w:rsidRDefault="00DF2089" w:rsidP="00D1628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7E528B" w:rsidRDefault="00DF2089" w:rsidP="00D16281">
    <w:pPr>
      <w:jc w:val="right"/>
      <w:rPr>
        <w:sz w:val="26"/>
        <w:szCs w:val="26"/>
      </w:rPr>
    </w:pPr>
  </w:p>
  <w:p w:rsidR="00DF2089" w:rsidRPr="00750516" w:rsidRDefault="00DF2089" w:rsidP="00D16281">
    <w:pPr>
      <w:jc w:val="right"/>
      <w:rPr>
        <w:b/>
        <w:sz w:val="20"/>
      </w:rPr>
    </w:pPr>
    <w:r w:rsidRPr="00750516">
      <w:rPr>
        <w:b/>
        <w:sz w:val="20"/>
      </w:rPr>
      <w:t>Endnotes</w:t>
    </w:r>
  </w:p>
  <w:p w:rsidR="00DF2089" w:rsidRPr="007A1328" w:rsidRDefault="00DF2089" w:rsidP="00D16281">
    <w:pPr>
      <w:jc w:val="right"/>
      <w:rPr>
        <w:sz w:val="20"/>
      </w:rPr>
    </w:pPr>
  </w:p>
  <w:p w:rsidR="00DF2089" w:rsidRPr="007A1328" w:rsidRDefault="00DF2089" w:rsidP="00D16281">
    <w:pPr>
      <w:jc w:val="right"/>
      <w:rPr>
        <w:b/>
        <w:sz w:val="24"/>
      </w:rPr>
    </w:pPr>
  </w:p>
  <w:p w:rsidR="00DF2089" w:rsidRPr="007E528B" w:rsidRDefault="00DF2089" w:rsidP="00D1628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Default="00DF2089" w:rsidP="0044290E">
    <w:pPr>
      <w:pStyle w:val="Header"/>
      <w:pBdr>
        <w:bottom w:val="single" w:sz="4" w:space="1" w:color="auto"/>
      </w:pBdr>
    </w:pPr>
  </w:p>
  <w:p w:rsidR="00DF2089" w:rsidRDefault="00DF2089" w:rsidP="0044290E">
    <w:pPr>
      <w:pStyle w:val="Header"/>
      <w:pBdr>
        <w:bottom w:val="single" w:sz="4" w:space="1" w:color="auto"/>
      </w:pBdr>
    </w:pPr>
  </w:p>
  <w:p w:rsidR="00DF2089" w:rsidRPr="001E77D2" w:rsidRDefault="00DF2089" w:rsidP="0044290E">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5F1388" w:rsidRDefault="00DF2089" w:rsidP="0044290E">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ED79B6" w:rsidRDefault="00DF2089" w:rsidP="00567A3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ED79B6" w:rsidRDefault="00DF2089" w:rsidP="00567A3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ED79B6" w:rsidRDefault="00DF2089"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Default="00DF2089" w:rsidP="00567A3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F2089" w:rsidRDefault="00DF2089" w:rsidP="00567A3A">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DF2089" w:rsidRPr="007A1328" w:rsidRDefault="00DF2089" w:rsidP="00567A3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F2089" w:rsidRPr="007A1328" w:rsidRDefault="00DF2089" w:rsidP="00567A3A">
    <w:pPr>
      <w:rPr>
        <w:b/>
        <w:sz w:val="24"/>
      </w:rPr>
    </w:pPr>
  </w:p>
  <w:p w:rsidR="00DF2089" w:rsidRPr="007A1328" w:rsidRDefault="00DF2089" w:rsidP="002B0765">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B6C4C">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7A1328" w:rsidRDefault="00DF2089" w:rsidP="00567A3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F2089" w:rsidRPr="007A1328" w:rsidRDefault="00DF2089" w:rsidP="00567A3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DF2089" w:rsidRPr="007A1328" w:rsidRDefault="00DF2089" w:rsidP="00567A3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F2089" w:rsidRPr="007A1328" w:rsidRDefault="00DF2089" w:rsidP="00567A3A">
    <w:pPr>
      <w:jc w:val="right"/>
      <w:rPr>
        <w:b/>
        <w:sz w:val="24"/>
      </w:rPr>
    </w:pPr>
  </w:p>
  <w:p w:rsidR="00DF2089" w:rsidRPr="007A1328" w:rsidRDefault="00DF2089" w:rsidP="002B0765">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B6C4C">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89" w:rsidRPr="007A1328" w:rsidRDefault="00DF2089" w:rsidP="00567A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57"/>
    <w:rsid w:val="000019A2"/>
    <w:rsid w:val="00002093"/>
    <w:rsid w:val="00002188"/>
    <w:rsid w:val="000028C9"/>
    <w:rsid w:val="00004A73"/>
    <w:rsid w:val="00007E9A"/>
    <w:rsid w:val="00011EE9"/>
    <w:rsid w:val="000136AF"/>
    <w:rsid w:val="000141B7"/>
    <w:rsid w:val="0001500D"/>
    <w:rsid w:val="000165FE"/>
    <w:rsid w:val="000220FD"/>
    <w:rsid w:val="00030CA8"/>
    <w:rsid w:val="00031132"/>
    <w:rsid w:val="000322C1"/>
    <w:rsid w:val="00034097"/>
    <w:rsid w:val="00034C5F"/>
    <w:rsid w:val="000471F7"/>
    <w:rsid w:val="0005348C"/>
    <w:rsid w:val="00057C37"/>
    <w:rsid w:val="00061256"/>
    <w:rsid w:val="000614BF"/>
    <w:rsid w:val="000622B0"/>
    <w:rsid w:val="00066655"/>
    <w:rsid w:val="00074059"/>
    <w:rsid w:val="000763D7"/>
    <w:rsid w:val="0008209F"/>
    <w:rsid w:val="00093E00"/>
    <w:rsid w:val="0009633C"/>
    <w:rsid w:val="00097C35"/>
    <w:rsid w:val="000A26AB"/>
    <w:rsid w:val="000A5CB0"/>
    <w:rsid w:val="000A6C6A"/>
    <w:rsid w:val="000B685C"/>
    <w:rsid w:val="000B74C7"/>
    <w:rsid w:val="000B7D69"/>
    <w:rsid w:val="000C4855"/>
    <w:rsid w:val="000C7634"/>
    <w:rsid w:val="000D05EF"/>
    <w:rsid w:val="000E1FCE"/>
    <w:rsid w:val="000E2261"/>
    <w:rsid w:val="000E4706"/>
    <w:rsid w:val="000E4DF3"/>
    <w:rsid w:val="000E6CAA"/>
    <w:rsid w:val="000F21C1"/>
    <w:rsid w:val="00100758"/>
    <w:rsid w:val="00103816"/>
    <w:rsid w:val="00106DCD"/>
    <w:rsid w:val="0010745C"/>
    <w:rsid w:val="00112C34"/>
    <w:rsid w:val="00113093"/>
    <w:rsid w:val="001152F6"/>
    <w:rsid w:val="00116547"/>
    <w:rsid w:val="001209CE"/>
    <w:rsid w:val="00121963"/>
    <w:rsid w:val="00121EB8"/>
    <w:rsid w:val="00123B6C"/>
    <w:rsid w:val="001311FD"/>
    <w:rsid w:val="001409B8"/>
    <w:rsid w:val="00141D9E"/>
    <w:rsid w:val="001425C8"/>
    <w:rsid w:val="0014542C"/>
    <w:rsid w:val="001475B8"/>
    <w:rsid w:val="0016125C"/>
    <w:rsid w:val="00166C2F"/>
    <w:rsid w:val="00172335"/>
    <w:rsid w:val="00173C64"/>
    <w:rsid w:val="00180794"/>
    <w:rsid w:val="00181451"/>
    <w:rsid w:val="00185737"/>
    <w:rsid w:val="00190377"/>
    <w:rsid w:val="00192D25"/>
    <w:rsid w:val="001939E1"/>
    <w:rsid w:val="001939E7"/>
    <w:rsid w:val="00195382"/>
    <w:rsid w:val="001A3492"/>
    <w:rsid w:val="001A5CD7"/>
    <w:rsid w:val="001B39BC"/>
    <w:rsid w:val="001B693A"/>
    <w:rsid w:val="001C5F34"/>
    <w:rsid w:val="001C69C4"/>
    <w:rsid w:val="001D37EF"/>
    <w:rsid w:val="001D7DA4"/>
    <w:rsid w:val="001E3590"/>
    <w:rsid w:val="001E3E0B"/>
    <w:rsid w:val="001E7407"/>
    <w:rsid w:val="001F0697"/>
    <w:rsid w:val="001F5D5E"/>
    <w:rsid w:val="001F6219"/>
    <w:rsid w:val="00201569"/>
    <w:rsid w:val="00206D85"/>
    <w:rsid w:val="00207D47"/>
    <w:rsid w:val="002132D8"/>
    <w:rsid w:val="00214D06"/>
    <w:rsid w:val="00223F33"/>
    <w:rsid w:val="0023028C"/>
    <w:rsid w:val="002338FF"/>
    <w:rsid w:val="002348CF"/>
    <w:rsid w:val="00236857"/>
    <w:rsid w:val="0024010F"/>
    <w:rsid w:val="00240749"/>
    <w:rsid w:val="00241E2B"/>
    <w:rsid w:val="00252C06"/>
    <w:rsid w:val="002564A4"/>
    <w:rsid w:val="00261029"/>
    <w:rsid w:val="002624EB"/>
    <w:rsid w:val="00270BDA"/>
    <w:rsid w:val="00285644"/>
    <w:rsid w:val="00287C6D"/>
    <w:rsid w:val="00291234"/>
    <w:rsid w:val="0029198D"/>
    <w:rsid w:val="00297ECB"/>
    <w:rsid w:val="002A33FD"/>
    <w:rsid w:val="002A7BD9"/>
    <w:rsid w:val="002B0765"/>
    <w:rsid w:val="002B0EA5"/>
    <w:rsid w:val="002B4022"/>
    <w:rsid w:val="002B5C75"/>
    <w:rsid w:val="002B6B88"/>
    <w:rsid w:val="002B7B38"/>
    <w:rsid w:val="002C03C7"/>
    <w:rsid w:val="002C726F"/>
    <w:rsid w:val="002D043A"/>
    <w:rsid w:val="002D2F1B"/>
    <w:rsid w:val="002D6224"/>
    <w:rsid w:val="002D7037"/>
    <w:rsid w:val="002D7EDD"/>
    <w:rsid w:val="002E686D"/>
    <w:rsid w:val="002F6AE7"/>
    <w:rsid w:val="002F7C4F"/>
    <w:rsid w:val="00300681"/>
    <w:rsid w:val="0030167A"/>
    <w:rsid w:val="0030234B"/>
    <w:rsid w:val="003074B7"/>
    <w:rsid w:val="003135A5"/>
    <w:rsid w:val="00314CA9"/>
    <w:rsid w:val="00321FA2"/>
    <w:rsid w:val="003229CD"/>
    <w:rsid w:val="0032669B"/>
    <w:rsid w:val="003278F2"/>
    <w:rsid w:val="00331DAC"/>
    <w:rsid w:val="003362A0"/>
    <w:rsid w:val="00337AB4"/>
    <w:rsid w:val="003415D3"/>
    <w:rsid w:val="00343653"/>
    <w:rsid w:val="00352B0F"/>
    <w:rsid w:val="00360459"/>
    <w:rsid w:val="00372C84"/>
    <w:rsid w:val="00372FAD"/>
    <w:rsid w:val="0037356F"/>
    <w:rsid w:val="00373E92"/>
    <w:rsid w:val="00373FCC"/>
    <w:rsid w:val="003763CE"/>
    <w:rsid w:val="00380BA6"/>
    <w:rsid w:val="0038268D"/>
    <w:rsid w:val="003865B5"/>
    <w:rsid w:val="00391F32"/>
    <w:rsid w:val="00392A63"/>
    <w:rsid w:val="003A3009"/>
    <w:rsid w:val="003B3D84"/>
    <w:rsid w:val="003C3EBF"/>
    <w:rsid w:val="003C4EB0"/>
    <w:rsid w:val="003C5E1F"/>
    <w:rsid w:val="003D0BFE"/>
    <w:rsid w:val="003D0EEC"/>
    <w:rsid w:val="003D5700"/>
    <w:rsid w:val="003E340E"/>
    <w:rsid w:val="00401AEB"/>
    <w:rsid w:val="004116CD"/>
    <w:rsid w:val="00417EB9"/>
    <w:rsid w:val="004222DE"/>
    <w:rsid w:val="00422464"/>
    <w:rsid w:val="00424CA9"/>
    <w:rsid w:val="00441627"/>
    <w:rsid w:val="00441992"/>
    <w:rsid w:val="0044290E"/>
    <w:rsid w:val="0044291A"/>
    <w:rsid w:val="00444DB4"/>
    <w:rsid w:val="004532F3"/>
    <w:rsid w:val="00464A48"/>
    <w:rsid w:val="0049536B"/>
    <w:rsid w:val="00496AF5"/>
    <w:rsid w:val="00496F97"/>
    <w:rsid w:val="004B22BF"/>
    <w:rsid w:val="004D257B"/>
    <w:rsid w:val="004D3550"/>
    <w:rsid w:val="004E0F3A"/>
    <w:rsid w:val="004E3418"/>
    <w:rsid w:val="004E3FAB"/>
    <w:rsid w:val="004E7BEC"/>
    <w:rsid w:val="004F4B72"/>
    <w:rsid w:val="0050004A"/>
    <w:rsid w:val="00502C9D"/>
    <w:rsid w:val="00504DD3"/>
    <w:rsid w:val="00505259"/>
    <w:rsid w:val="0050600B"/>
    <w:rsid w:val="005110A6"/>
    <w:rsid w:val="00513598"/>
    <w:rsid w:val="00513D85"/>
    <w:rsid w:val="00516068"/>
    <w:rsid w:val="00516B8D"/>
    <w:rsid w:val="005245A2"/>
    <w:rsid w:val="005253D0"/>
    <w:rsid w:val="0052579C"/>
    <w:rsid w:val="00531031"/>
    <w:rsid w:val="00537FBC"/>
    <w:rsid w:val="00544D52"/>
    <w:rsid w:val="00551A78"/>
    <w:rsid w:val="00554FCB"/>
    <w:rsid w:val="0056187F"/>
    <w:rsid w:val="00563260"/>
    <w:rsid w:val="00563D0A"/>
    <w:rsid w:val="00567A3A"/>
    <w:rsid w:val="00576A25"/>
    <w:rsid w:val="00584811"/>
    <w:rsid w:val="00584A9F"/>
    <w:rsid w:val="00593AA6"/>
    <w:rsid w:val="00594161"/>
    <w:rsid w:val="005941BA"/>
    <w:rsid w:val="00594749"/>
    <w:rsid w:val="0059723F"/>
    <w:rsid w:val="005A027B"/>
    <w:rsid w:val="005A1135"/>
    <w:rsid w:val="005A3F82"/>
    <w:rsid w:val="005A7899"/>
    <w:rsid w:val="005B0152"/>
    <w:rsid w:val="005B2038"/>
    <w:rsid w:val="005B4067"/>
    <w:rsid w:val="005B6C4C"/>
    <w:rsid w:val="005B7CAF"/>
    <w:rsid w:val="005C0066"/>
    <w:rsid w:val="005C3F41"/>
    <w:rsid w:val="005D1AFC"/>
    <w:rsid w:val="005D2D09"/>
    <w:rsid w:val="005D4972"/>
    <w:rsid w:val="005E42B9"/>
    <w:rsid w:val="005E6593"/>
    <w:rsid w:val="005E66FD"/>
    <w:rsid w:val="005E6A8D"/>
    <w:rsid w:val="005E6AE3"/>
    <w:rsid w:val="005E779E"/>
    <w:rsid w:val="005F4AC8"/>
    <w:rsid w:val="005F61C2"/>
    <w:rsid w:val="005F6B71"/>
    <w:rsid w:val="00600219"/>
    <w:rsid w:val="00600A4C"/>
    <w:rsid w:val="00601C35"/>
    <w:rsid w:val="006065C4"/>
    <w:rsid w:val="00606B66"/>
    <w:rsid w:val="0061340C"/>
    <w:rsid w:val="00613426"/>
    <w:rsid w:val="00615633"/>
    <w:rsid w:val="00615F6F"/>
    <w:rsid w:val="0061760F"/>
    <w:rsid w:val="006246C0"/>
    <w:rsid w:val="00632D17"/>
    <w:rsid w:val="00634D61"/>
    <w:rsid w:val="00642A42"/>
    <w:rsid w:val="006442D3"/>
    <w:rsid w:val="00645F88"/>
    <w:rsid w:val="006475DA"/>
    <w:rsid w:val="00662870"/>
    <w:rsid w:val="00663001"/>
    <w:rsid w:val="00665597"/>
    <w:rsid w:val="00676F4E"/>
    <w:rsid w:val="00677CC2"/>
    <w:rsid w:val="00682928"/>
    <w:rsid w:val="00684BAF"/>
    <w:rsid w:val="00686A25"/>
    <w:rsid w:val="006905DE"/>
    <w:rsid w:val="00691AE8"/>
    <w:rsid w:val="0069207B"/>
    <w:rsid w:val="006A0B6C"/>
    <w:rsid w:val="006A5C5C"/>
    <w:rsid w:val="006B1DB4"/>
    <w:rsid w:val="006B70EB"/>
    <w:rsid w:val="006C1504"/>
    <w:rsid w:val="006C502F"/>
    <w:rsid w:val="006C6F6B"/>
    <w:rsid w:val="006C7F8C"/>
    <w:rsid w:val="006D02BD"/>
    <w:rsid w:val="006D2149"/>
    <w:rsid w:val="006D29D5"/>
    <w:rsid w:val="006E5800"/>
    <w:rsid w:val="006E59E2"/>
    <w:rsid w:val="006F01DD"/>
    <w:rsid w:val="006F318F"/>
    <w:rsid w:val="006F47C1"/>
    <w:rsid w:val="006F5CA7"/>
    <w:rsid w:val="006F5D20"/>
    <w:rsid w:val="00700B2C"/>
    <w:rsid w:val="00704CE5"/>
    <w:rsid w:val="0071014D"/>
    <w:rsid w:val="00713084"/>
    <w:rsid w:val="00715914"/>
    <w:rsid w:val="00723802"/>
    <w:rsid w:val="00731E00"/>
    <w:rsid w:val="007335E0"/>
    <w:rsid w:val="007440B7"/>
    <w:rsid w:val="00754B92"/>
    <w:rsid w:val="007553B3"/>
    <w:rsid w:val="00755EB3"/>
    <w:rsid w:val="007715C9"/>
    <w:rsid w:val="00774EDD"/>
    <w:rsid w:val="007757EC"/>
    <w:rsid w:val="00776E0F"/>
    <w:rsid w:val="00780AB4"/>
    <w:rsid w:val="007868E8"/>
    <w:rsid w:val="007923E9"/>
    <w:rsid w:val="00794AD8"/>
    <w:rsid w:val="00795E70"/>
    <w:rsid w:val="007A03D6"/>
    <w:rsid w:val="007A123D"/>
    <w:rsid w:val="007A6816"/>
    <w:rsid w:val="007A719C"/>
    <w:rsid w:val="007C75AC"/>
    <w:rsid w:val="007D0FEE"/>
    <w:rsid w:val="007D414C"/>
    <w:rsid w:val="007D4DB6"/>
    <w:rsid w:val="007D519E"/>
    <w:rsid w:val="007D5B33"/>
    <w:rsid w:val="007D7480"/>
    <w:rsid w:val="007E163D"/>
    <w:rsid w:val="007E2E67"/>
    <w:rsid w:val="007F0F24"/>
    <w:rsid w:val="007F2900"/>
    <w:rsid w:val="007F787E"/>
    <w:rsid w:val="00810F6D"/>
    <w:rsid w:val="00811AA6"/>
    <w:rsid w:val="0082610F"/>
    <w:rsid w:val="00834ABD"/>
    <w:rsid w:val="008434DF"/>
    <w:rsid w:val="00851BB5"/>
    <w:rsid w:val="00852352"/>
    <w:rsid w:val="0085365A"/>
    <w:rsid w:val="00855836"/>
    <w:rsid w:val="00856A31"/>
    <w:rsid w:val="008570C8"/>
    <w:rsid w:val="00860BC8"/>
    <w:rsid w:val="00867107"/>
    <w:rsid w:val="0087482E"/>
    <w:rsid w:val="008754D0"/>
    <w:rsid w:val="00877E19"/>
    <w:rsid w:val="00880C34"/>
    <w:rsid w:val="00884CAA"/>
    <w:rsid w:val="00884FDE"/>
    <w:rsid w:val="008861ED"/>
    <w:rsid w:val="00895449"/>
    <w:rsid w:val="008A34E8"/>
    <w:rsid w:val="008A3EE6"/>
    <w:rsid w:val="008A73F5"/>
    <w:rsid w:val="008B45EE"/>
    <w:rsid w:val="008C36F3"/>
    <w:rsid w:val="008D0EE0"/>
    <w:rsid w:val="008D23D5"/>
    <w:rsid w:val="008E11DE"/>
    <w:rsid w:val="008F54E7"/>
    <w:rsid w:val="008F6E1F"/>
    <w:rsid w:val="00903422"/>
    <w:rsid w:val="00905A37"/>
    <w:rsid w:val="00912D9A"/>
    <w:rsid w:val="009141B5"/>
    <w:rsid w:val="00931C61"/>
    <w:rsid w:val="00932377"/>
    <w:rsid w:val="009334DF"/>
    <w:rsid w:val="009347A4"/>
    <w:rsid w:val="00936A68"/>
    <w:rsid w:val="0094199E"/>
    <w:rsid w:val="00947D5A"/>
    <w:rsid w:val="00950467"/>
    <w:rsid w:val="009532A5"/>
    <w:rsid w:val="00965410"/>
    <w:rsid w:val="00967AB4"/>
    <w:rsid w:val="009753B9"/>
    <w:rsid w:val="009868E9"/>
    <w:rsid w:val="0099162E"/>
    <w:rsid w:val="00993D3A"/>
    <w:rsid w:val="00994ABA"/>
    <w:rsid w:val="00994C19"/>
    <w:rsid w:val="009972AF"/>
    <w:rsid w:val="009B2062"/>
    <w:rsid w:val="009B5824"/>
    <w:rsid w:val="009C1B97"/>
    <w:rsid w:val="009C33E2"/>
    <w:rsid w:val="009C3C13"/>
    <w:rsid w:val="009C63E9"/>
    <w:rsid w:val="009D1B3A"/>
    <w:rsid w:val="009D30D3"/>
    <w:rsid w:val="009D3214"/>
    <w:rsid w:val="009D71C8"/>
    <w:rsid w:val="009E1E44"/>
    <w:rsid w:val="009E37F4"/>
    <w:rsid w:val="009F0C09"/>
    <w:rsid w:val="009F4490"/>
    <w:rsid w:val="00A22C98"/>
    <w:rsid w:val="00A231E2"/>
    <w:rsid w:val="00A27031"/>
    <w:rsid w:val="00A31104"/>
    <w:rsid w:val="00A34FAB"/>
    <w:rsid w:val="00A37727"/>
    <w:rsid w:val="00A542B5"/>
    <w:rsid w:val="00A55861"/>
    <w:rsid w:val="00A561B0"/>
    <w:rsid w:val="00A62BB4"/>
    <w:rsid w:val="00A64912"/>
    <w:rsid w:val="00A70A74"/>
    <w:rsid w:val="00A70E75"/>
    <w:rsid w:val="00A72A44"/>
    <w:rsid w:val="00A7425D"/>
    <w:rsid w:val="00A802BC"/>
    <w:rsid w:val="00A839BF"/>
    <w:rsid w:val="00A872DC"/>
    <w:rsid w:val="00A87A0C"/>
    <w:rsid w:val="00A9162C"/>
    <w:rsid w:val="00A92158"/>
    <w:rsid w:val="00A9427F"/>
    <w:rsid w:val="00A970E1"/>
    <w:rsid w:val="00AA07A6"/>
    <w:rsid w:val="00AA0B28"/>
    <w:rsid w:val="00AA7183"/>
    <w:rsid w:val="00AB5213"/>
    <w:rsid w:val="00AC03E1"/>
    <w:rsid w:val="00AC1864"/>
    <w:rsid w:val="00AC500F"/>
    <w:rsid w:val="00AC68D5"/>
    <w:rsid w:val="00AD55E3"/>
    <w:rsid w:val="00AD5641"/>
    <w:rsid w:val="00AD78D5"/>
    <w:rsid w:val="00AE1622"/>
    <w:rsid w:val="00AF06CF"/>
    <w:rsid w:val="00AF52B2"/>
    <w:rsid w:val="00B029C2"/>
    <w:rsid w:val="00B04851"/>
    <w:rsid w:val="00B06799"/>
    <w:rsid w:val="00B10FD5"/>
    <w:rsid w:val="00B136FC"/>
    <w:rsid w:val="00B1535F"/>
    <w:rsid w:val="00B17B1F"/>
    <w:rsid w:val="00B20503"/>
    <w:rsid w:val="00B21F29"/>
    <w:rsid w:val="00B339A1"/>
    <w:rsid w:val="00B33B3C"/>
    <w:rsid w:val="00B41448"/>
    <w:rsid w:val="00B46132"/>
    <w:rsid w:val="00B52575"/>
    <w:rsid w:val="00B54457"/>
    <w:rsid w:val="00B63834"/>
    <w:rsid w:val="00B71050"/>
    <w:rsid w:val="00B80199"/>
    <w:rsid w:val="00B82125"/>
    <w:rsid w:val="00B82B60"/>
    <w:rsid w:val="00B83A45"/>
    <w:rsid w:val="00B8541A"/>
    <w:rsid w:val="00B908B3"/>
    <w:rsid w:val="00B931F7"/>
    <w:rsid w:val="00B93366"/>
    <w:rsid w:val="00BA220B"/>
    <w:rsid w:val="00BC2843"/>
    <w:rsid w:val="00BE6B71"/>
    <w:rsid w:val="00BE719A"/>
    <w:rsid w:val="00BE720A"/>
    <w:rsid w:val="00BE7FF3"/>
    <w:rsid w:val="00BF08EB"/>
    <w:rsid w:val="00BF1367"/>
    <w:rsid w:val="00BF1618"/>
    <w:rsid w:val="00BF5FAA"/>
    <w:rsid w:val="00C01B45"/>
    <w:rsid w:val="00C0628C"/>
    <w:rsid w:val="00C13098"/>
    <w:rsid w:val="00C17957"/>
    <w:rsid w:val="00C20332"/>
    <w:rsid w:val="00C235EE"/>
    <w:rsid w:val="00C23F42"/>
    <w:rsid w:val="00C246FA"/>
    <w:rsid w:val="00C31DE7"/>
    <w:rsid w:val="00C33FA4"/>
    <w:rsid w:val="00C42BF8"/>
    <w:rsid w:val="00C42E0D"/>
    <w:rsid w:val="00C4536F"/>
    <w:rsid w:val="00C50043"/>
    <w:rsid w:val="00C51789"/>
    <w:rsid w:val="00C57F1F"/>
    <w:rsid w:val="00C70B70"/>
    <w:rsid w:val="00C7573B"/>
    <w:rsid w:val="00C859C1"/>
    <w:rsid w:val="00C904BE"/>
    <w:rsid w:val="00CA2A51"/>
    <w:rsid w:val="00CA7A42"/>
    <w:rsid w:val="00CB2554"/>
    <w:rsid w:val="00CB4BF9"/>
    <w:rsid w:val="00CB50CD"/>
    <w:rsid w:val="00CD1CB1"/>
    <w:rsid w:val="00CD4F53"/>
    <w:rsid w:val="00CD61A1"/>
    <w:rsid w:val="00CE038B"/>
    <w:rsid w:val="00CE0B9E"/>
    <w:rsid w:val="00CE36EA"/>
    <w:rsid w:val="00CE493D"/>
    <w:rsid w:val="00CE494E"/>
    <w:rsid w:val="00CE51C7"/>
    <w:rsid w:val="00CE6309"/>
    <w:rsid w:val="00CF0BB2"/>
    <w:rsid w:val="00CF3EE8"/>
    <w:rsid w:val="00CF41E4"/>
    <w:rsid w:val="00D00024"/>
    <w:rsid w:val="00D00D6F"/>
    <w:rsid w:val="00D01A2B"/>
    <w:rsid w:val="00D01C99"/>
    <w:rsid w:val="00D02616"/>
    <w:rsid w:val="00D02D82"/>
    <w:rsid w:val="00D040EE"/>
    <w:rsid w:val="00D0456A"/>
    <w:rsid w:val="00D05207"/>
    <w:rsid w:val="00D06D3D"/>
    <w:rsid w:val="00D06D85"/>
    <w:rsid w:val="00D0786D"/>
    <w:rsid w:val="00D12A3D"/>
    <w:rsid w:val="00D13441"/>
    <w:rsid w:val="00D16281"/>
    <w:rsid w:val="00D20DE6"/>
    <w:rsid w:val="00D2127E"/>
    <w:rsid w:val="00D2190C"/>
    <w:rsid w:val="00D23F2B"/>
    <w:rsid w:val="00D25622"/>
    <w:rsid w:val="00D312F6"/>
    <w:rsid w:val="00D32CE3"/>
    <w:rsid w:val="00D34F2B"/>
    <w:rsid w:val="00D37942"/>
    <w:rsid w:val="00D37EB8"/>
    <w:rsid w:val="00D42962"/>
    <w:rsid w:val="00D4614C"/>
    <w:rsid w:val="00D53B93"/>
    <w:rsid w:val="00D6209C"/>
    <w:rsid w:val="00D62F3D"/>
    <w:rsid w:val="00D675E2"/>
    <w:rsid w:val="00D70DFB"/>
    <w:rsid w:val="00D764B5"/>
    <w:rsid w:val="00D766DF"/>
    <w:rsid w:val="00D8141F"/>
    <w:rsid w:val="00D93A50"/>
    <w:rsid w:val="00D97C35"/>
    <w:rsid w:val="00DA186E"/>
    <w:rsid w:val="00DA37AD"/>
    <w:rsid w:val="00DA4447"/>
    <w:rsid w:val="00DB07F0"/>
    <w:rsid w:val="00DB6179"/>
    <w:rsid w:val="00DC4F88"/>
    <w:rsid w:val="00DC664A"/>
    <w:rsid w:val="00DD29C8"/>
    <w:rsid w:val="00DF2089"/>
    <w:rsid w:val="00DF2E8A"/>
    <w:rsid w:val="00DF7C1E"/>
    <w:rsid w:val="00E01F04"/>
    <w:rsid w:val="00E05704"/>
    <w:rsid w:val="00E10719"/>
    <w:rsid w:val="00E1286D"/>
    <w:rsid w:val="00E14DAD"/>
    <w:rsid w:val="00E262AE"/>
    <w:rsid w:val="00E269AC"/>
    <w:rsid w:val="00E338EF"/>
    <w:rsid w:val="00E35332"/>
    <w:rsid w:val="00E44C17"/>
    <w:rsid w:val="00E44DD4"/>
    <w:rsid w:val="00E50A3F"/>
    <w:rsid w:val="00E50E7D"/>
    <w:rsid w:val="00E529C0"/>
    <w:rsid w:val="00E54FA6"/>
    <w:rsid w:val="00E567B9"/>
    <w:rsid w:val="00E60438"/>
    <w:rsid w:val="00E60AAA"/>
    <w:rsid w:val="00E63261"/>
    <w:rsid w:val="00E708D8"/>
    <w:rsid w:val="00E71E89"/>
    <w:rsid w:val="00E74DC7"/>
    <w:rsid w:val="00E75FF5"/>
    <w:rsid w:val="00E76E17"/>
    <w:rsid w:val="00E81591"/>
    <w:rsid w:val="00E85C54"/>
    <w:rsid w:val="00E91589"/>
    <w:rsid w:val="00E94D5E"/>
    <w:rsid w:val="00E977FA"/>
    <w:rsid w:val="00E97F31"/>
    <w:rsid w:val="00EA4541"/>
    <w:rsid w:val="00EA7100"/>
    <w:rsid w:val="00EB22CA"/>
    <w:rsid w:val="00EB50E9"/>
    <w:rsid w:val="00EC01C1"/>
    <w:rsid w:val="00EC0FEF"/>
    <w:rsid w:val="00EC6161"/>
    <w:rsid w:val="00EC768D"/>
    <w:rsid w:val="00EC77D6"/>
    <w:rsid w:val="00ED0D13"/>
    <w:rsid w:val="00EE08BA"/>
    <w:rsid w:val="00EE10E9"/>
    <w:rsid w:val="00EE67E3"/>
    <w:rsid w:val="00EF2E3A"/>
    <w:rsid w:val="00EF3217"/>
    <w:rsid w:val="00EF37A8"/>
    <w:rsid w:val="00EF7BF5"/>
    <w:rsid w:val="00F033EC"/>
    <w:rsid w:val="00F06C88"/>
    <w:rsid w:val="00F072A7"/>
    <w:rsid w:val="00F078DC"/>
    <w:rsid w:val="00F141ED"/>
    <w:rsid w:val="00F17451"/>
    <w:rsid w:val="00F30C99"/>
    <w:rsid w:val="00F312AC"/>
    <w:rsid w:val="00F41B25"/>
    <w:rsid w:val="00F44210"/>
    <w:rsid w:val="00F45576"/>
    <w:rsid w:val="00F552C2"/>
    <w:rsid w:val="00F56758"/>
    <w:rsid w:val="00F61B89"/>
    <w:rsid w:val="00F652DC"/>
    <w:rsid w:val="00F65961"/>
    <w:rsid w:val="00F65F2E"/>
    <w:rsid w:val="00F73BD6"/>
    <w:rsid w:val="00F75880"/>
    <w:rsid w:val="00F83989"/>
    <w:rsid w:val="00F90E5C"/>
    <w:rsid w:val="00F91105"/>
    <w:rsid w:val="00F9632C"/>
    <w:rsid w:val="00F97C9E"/>
    <w:rsid w:val="00F97E59"/>
    <w:rsid w:val="00FA19AA"/>
    <w:rsid w:val="00FA5392"/>
    <w:rsid w:val="00FB0C04"/>
    <w:rsid w:val="00FD4F6B"/>
    <w:rsid w:val="00FD7AED"/>
    <w:rsid w:val="00FE10E3"/>
    <w:rsid w:val="00FE42FD"/>
    <w:rsid w:val="00FE7EC5"/>
    <w:rsid w:val="00FF2995"/>
    <w:rsid w:val="00FF58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2B1B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F2089"/>
    <w:pPr>
      <w:spacing w:line="260" w:lineRule="atLeast"/>
    </w:pPr>
    <w:rPr>
      <w:sz w:val="22"/>
    </w:rPr>
  </w:style>
  <w:style w:type="paragraph" w:styleId="Heading1">
    <w:name w:val="heading 1"/>
    <w:basedOn w:val="Normal"/>
    <w:next w:val="Normal"/>
    <w:link w:val="Heading1Char"/>
    <w:qFormat/>
    <w:rsid w:val="00C179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79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79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79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179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179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179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795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1795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DF20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2089"/>
  </w:style>
  <w:style w:type="character" w:customStyle="1" w:styleId="OPCCharBase">
    <w:name w:val="OPCCharBase"/>
    <w:uiPriority w:val="1"/>
    <w:qFormat/>
    <w:rsid w:val="00DF2089"/>
  </w:style>
  <w:style w:type="paragraph" w:customStyle="1" w:styleId="OPCParaBase">
    <w:name w:val="OPCParaBase"/>
    <w:qFormat/>
    <w:rsid w:val="00DF2089"/>
    <w:pPr>
      <w:spacing w:line="260" w:lineRule="atLeast"/>
    </w:pPr>
    <w:rPr>
      <w:rFonts w:eastAsia="Times New Roman" w:cs="Times New Roman"/>
      <w:sz w:val="22"/>
      <w:lang w:eastAsia="en-AU"/>
    </w:rPr>
  </w:style>
  <w:style w:type="paragraph" w:customStyle="1" w:styleId="ShortT">
    <w:name w:val="ShortT"/>
    <w:basedOn w:val="OPCParaBase"/>
    <w:next w:val="Normal"/>
    <w:qFormat/>
    <w:rsid w:val="00DF2089"/>
    <w:pPr>
      <w:spacing w:line="240" w:lineRule="auto"/>
    </w:pPr>
    <w:rPr>
      <w:b/>
      <w:sz w:val="40"/>
    </w:rPr>
  </w:style>
  <w:style w:type="paragraph" w:customStyle="1" w:styleId="ActHead1">
    <w:name w:val="ActHead 1"/>
    <w:aliases w:val="c"/>
    <w:basedOn w:val="OPCParaBase"/>
    <w:next w:val="Normal"/>
    <w:qFormat/>
    <w:rsid w:val="00DF208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F208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F208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F208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F208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F208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F208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F208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F208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F2089"/>
  </w:style>
  <w:style w:type="paragraph" w:customStyle="1" w:styleId="Blocks">
    <w:name w:val="Blocks"/>
    <w:aliases w:val="bb"/>
    <w:basedOn w:val="OPCParaBase"/>
    <w:qFormat/>
    <w:rsid w:val="00DF2089"/>
    <w:pPr>
      <w:spacing w:line="240" w:lineRule="auto"/>
    </w:pPr>
    <w:rPr>
      <w:sz w:val="24"/>
    </w:rPr>
  </w:style>
  <w:style w:type="paragraph" w:customStyle="1" w:styleId="BoxText">
    <w:name w:val="BoxText"/>
    <w:aliases w:val="bt"/>
    <w:basedOn w:val="OPCParaBase"/>
    <w:qFormat/>
    <w:rsid w:val="00DF208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F2089"/>
    <w:rPr>
      <w:b/>
    </w:rPr>
  </w:style>
  <w:style w:type="paragraph" w:customStyle="1" w:styleId="BoxHeadItalic">
    <w:name w:val="BoxHeadItalic"/>
    <w:aliases w:val="bhi"/>
    <w:basedOn w:val="BoxText"/>
    <w:next w:val="BoxStep"/>
    <w:qFormat/>
    <w:rsid w:val="00DF2089"/>
    <w:rPr>
      <w:i/>
    </w:rPr>
  </w:style>
  <w:style w:type="paragraph" w:customStyle="1" w:styleId="BoxList">
    <w:name w:val="BoxList"/>
    <w:aliases w:val="bl"/>
    <w:basedOn w:val="BoxText"/>
    <w:qFormat/>
    <w:rsid w:val="00DF2089"/>
    <w:pPr>
      <w:ind w:left="1559" w:hanging="425"/>
    </w:pPr>
  </w:style>
  <w:style w:type="paragraph" w:customStyle="1" w:styleId="BoxNote">
    <w:name w:val="BoxNote"/>
    <w:aliases w:val="bn"/>
    <w:basedOn w:val="BoxText"/>
    <w:qFormat/>
    <w:rsid w:val="00DF2089"/>
    <w:pPr>
      <w:tabs>
        <w:tab w:val="left" w:pos="1985"/>
      </w:tabs>
      <w:spacing w:before="122" w:line="198" w:lineRule="exact"/>
      <w:ind w:left="2948" w:hanging="1814"/>
    </w:pPr>
    <w:rPr>
      <w:sz w:val="18"/>
    </w:rPr>
  </w:style>
  <w:style w:type="paragraph" w:customStyle="1" w:styleId="BoxPara">
    <w:name w:val="BoxPara"/>
    <w:aliases w:val="bp"/>
    <w:basedOn w:val="BoxText"/>
    <w:qFormat/>
    <w:rsid w:val="00DF2089"/>
    <w:pPr>
      <w:tabs>
        <w:tab w:val="right" w:pos="2268"/>
      </w:tabs>
      <w:ind w:left="2552" w:hanging="1418"/>
    </w:pPr>
  </w:style>
  <w:style w:type="paragraph" w:customStyle="1" w:styleId="BoxStep">
    <w:name w:val="BoxStep"/>
    <w:aliases w:val="bs"/>
    <w:basedOn w:val="BoxText"/>
    <w:qFormat/>
    <w:rsid w:val="00DF2089"/>
    <w:pPr>
      <w:ind w:left="1985" w:hanging="851"/>
    </w:pPr>
  </w:style>
  <w:style w:type="character" w:customStyle="1" w:styleId="CharAmPartNo">
    <w:name w:val="CharAmPartNo"/>
    <w:basedOn w:val="OPCCharBase"/>
    <w:uiPriority w:val="1"/>
    <w:qFormat/>
    <w:rsid w:val="00DF2089"/>
  </w:style>
  <w:style w:type="character" w:customStyle="1" w:styleId="CharAmPartText">
    <w:name w:val="CharAmPartText"/>
    <w:basedOn w:val="OPCCharBase"/>
    <w:uiPriority w:val="1"/>
    <w:qFormat/>
    <w:rsid w:val="00DF2089"/>
  </w:style>
  <w:style w:type="character" w:customStyle="1" w:styleId="CharAmSchNo">
    <w:name w:val="CharAmSchNo"/>
    <w:basedOn w:val="OPCCharBase"/>
    <w:uiPriority w:val="1"/>
    <w:qFormat/>
    <w:rsid w:val="00DF2089"/>
  </w:style>
  <w:style w:type="character" w:customStyle="1" w:styleId="CharAmSchText">
    <w:name w:val="CharAmSchText"/>
    <w:basedOn w:val="OPCCharBase"/>
    <w:uiPriority w:val="1"/>
    <w:qFormat/>
    <w:rsid w:val="00DF2089"/>
  </w:style>
  <w:style w:type="character" w:customStyle="1" w:styleId="CharBoldItalic">
    <w:name w:val="CharBoldItalic"/>
    <w:basedOn w:val="OPCCharBase"/>
    <w:uiPriority w:val="1"/>
    <w:qFormat/>
    <w:rsid w:val="00DF2089"/>
    <w:rPr>
      <w:b/>
      <w:i/>
    </w:rPr>
  </w:style>
  <w:style w:type="character" w:customStyle="1" w:styleId="CharChapNo">
    <w:name w:val="CharChapNo"/>
    <w:basedOn w:val="OPCCharBase"/>
    <w:qFormat/>
    <w:rsid w:val="00DF2089"/>
  </w:style>
  <w:style w:type="character" w:customStyle="1" w:styleId="CharChapText">
    <w:name w:val="CharChapText"/>
    <w:basedOn w:val="OPCCharBase"/>
    <w:qFormat/>
    <w:rsid w:val="00DF2089"/>
  </w:style>
  <w:style w:type="character" w:customStyle="1" w:styleId="CharDivNo">
    <w:name w:val="CharDivNo"/>
    <w:basedOn w:val="OPCCharBase"/>
    <w:qFormat/>
    <w:rsid w:val="00DF2089"/>
  </w:style>
  <w:style w:type="character" w:customStyle="1" w:styleId="CharDivText">
    <w:name w:val="CharDivText"/>
    <w:basedOn w:val="OPCCharBase"/>
    <w:qFormat/>
    <w:rsid w:val="00DF2089"/>
  </w:style>
  <w:style w:type="character" w:customStyle="1" w:styleId="CharItalic">
    <w:name w:val="CharItalic"/>
    <w:basedOn w:val="OPCCharBase"/>
    <w:uiPriority w:val="1"/>
    <w:qFormat/>
    <w:rsid w:val="00DF2089"/>
    <w:rPr>
      <w:i/>
    </w:rPr>
  </w:style>
  <w:style w:type="character" w:customStyle="1" w:styleId="CharPartNo">
    <w:name w:val="CharPartNo"/>
    <w:basedOn w:val="OPCCharBase"/>
    <w:qFormat/>
    <w:rsid w:val="00DF2089"/>
  </w:style>
  <w:style w:type="character" w:customStyle="1" w:styleId="CharPartText">
    <w:name w:val="CharPartText"/>
    <w:basedOn w:val="OPCCharBase"/>
    <w:qFormat/>
    <w:rsid w:val="00DF2089"/>
  </w:style>
  <w:style w:type="character" w:customStyle="1" w:styleId="CharSectno">
    <w:name w:val="CharSectno"/>
    <w:basedOn w:val="OPCCharBase"/>
    <w:qFormat/>
    <w:rsid w:val="00DF2089"/>
  </w:style>
  <w:style w:type="character" w:customStyle="1" w:styleId="CharSubdNo">
    <w:name w:val="CharSubdNo"/>
    <w:basedOn w:val="OPCCharBase"/>
    <w:uiPriority w:val="1"/>
    <w:qFormat/>
    <w:rsid w:val="00DF2089"/>
  </w:style>
  <w:style w:type="character" w:customStyle="1" w:styleId="CharSubdText">
    <w:name w:val="CharSubdText"/>
    <w:basedOn w:val="OPCCharBase"/>
    <w:uiPriority w:val="1"/>
    <w:qFormat/>
    <w:rsid w:val="00DF2089"/>
  </w:style>
  <w:style w:type="paragraph" w:customStyle="1" w:styleId="CTA--">
    <w:name w:val="CTA --"/>
    <w:basedOn w:val="OPCParaBase"/>
    <w:next w:val="Normal"/>
    <w:rsid w:val="00DF2089"/>
    <w:pPr>
      <w:spacing w:before="60" w:line="240" w:lineRule="atLeast"/>
      <w:ind w:left="142" w:hanging="142"/>
    </w:pPr>
    <w:rPr>
      <w:sz w:val="20"/>
    </w:rPr>
  </w:style>
  <w:style w:type="paragraph" w:customStyle="1" w:styleId="CTA-">
    <w:name w:val="CTA -"/>
    <w:basedOn w:val="OPCParaBase"/>
    <w:rsid w:val="00DF2089"/>
    <w:pPr>
      <w:spacing w:before="60" w:line="240" w:lineRule="atLeast"/>
      <w:ind w:left="85" w:hanging="85"/>
    </w:pPr>
    <w:rPr>
      <w:sz w:val="20"/>
    </w:rPr>
  </w:style>
  <w:style w:type="paragraph" w:customStyle="1" w:styleId="CTA---">
    <w:name w:val="CTA ---"/>
    <w:basedOn w:val="OPCParaBase"/>
    <w:next w:val="Normal"/>
    <w:rsid w:val="00DF2089"/>
    <w:pPr>
      <w:spacing w:before="60" w:line="240" w:lineRule="atLeast"/>
      <w:ind w:left="198" w:hanging="198"/>
    </w:pPr>
    <w:rPr>
      <w:sz w:val="20"/>
    </w:rPr>
  </w:style>
  <w:style w:type="paragraph" w:customStyle="1" w:styleId="CTA----">
    <w:name w:val="CTA ----"/>
    <w:basedOn w:val="OPCParaBase"/>
    <w:next w:val="Normal"/>
    <w:rsid w:val="00DF2089"/>
    <w:pPr>
      <w:spacing w:before="60" w:line="240" w:lineRule="atLeast"/>
      <w:ind w:left="255" w:hanging="255"/>
    </w:pPr>
    <w:rPr>
      <w:sz w:val="20"/>
    </w:rPr>
  </w:style>
  <w:style w:type="paragraph" w:customStyle="1" w:styleId="CTA1a">
    <w:name w:val="CTA 1(a)"/>
    <w:basedOn w:val="OPCParaBase"/>
    <w:rsid w:val="00DF2089"/>
    <w:pPr>
      <w:tabs>
        <w:tab w:val="right" w:pos="414"/>
      </w:tabs>
      <w:spacing w:before="40" w:line="240" w:lineRule="atLeast"/>
      <w:ind w:left="675" w:hanging="675"/>
    </w:pPr>
    <w:rPr>
      <w:sz w:val="20"/>
    </w:rPr>
  </w:style>
  <w:style w:type="paragraph" w:customStyle="1" w:styleId="CTA1ai">
    <w:name w:val="CTA 1(a)(i)"/>
    <w:basedOn w:val="OPCParaBase"/>
    <w:rsid w:val="00DF2089"/>
    <w:pPr>
      <w:tabs>
        <w:tab w:val="right" w:pos="1004"/>
      </w:tabs>
      <w:spacing w:before="40" w:line="240" w:lineRule="atLeast"/>
      <w:ind w:left="1253" w:hanging="1253"/>
    </w:pPr>
    <w:rPr>
      <w:sz w:val="20"/>
    </w:rPr>
  </w:style>
  <w:style w:type="paragraph" w:customStyle="1" w:styleId="CTA2a">
    <w:name w:val="CTA 2(a)"/>
    <w:basedOn w:val="OPCParaBase"/>
    <w:rsid w:val="00DF2089"/>
    <w:pPr>
      <w:tabs>
        <w:tab w:val="right" w:pos="482"/>
      </w:tabs>
      <w:spacing w:before="40" w:line="240" w:lineRule="atLeast"/>
      <w:ind w:left="748" w:hanging="748"/>
    </w:pPr>
    <w:rPr>
      <w:sz w:val="20"/>
    </w:rPr>
  </w:style>
  <w:style w:type="paragraph" w:customStyle="1" w:styleId="CTA2ai">
    <w:name w:val="CTA 2(a)(i)"/>
    <w:basedOn w:val="OPCParaBase"/>
    <w:rsid w:val="00DF2089"/>
    <w:pPr>
      <w:tabs>
        <w:tab w:val="right" w:pos="1089"/>
      </w:tabs>
      <w:spacing w:before="40" w:line="240" w:lineRule="atLeast"/>
      <w:ind w:left="1327" w:hanging="1327"/>
    </w:pPr>
    <w:rPr>
      <w:sz w:val="20"/>
    </w:rPr>
  </w:style>
  <w:style w:type="paragraph" w:customStyle="1" w:styleId="CTA3a">
    <w:name w:val="CTA 3(a)"/>
    <w:basedOn w:val="OPCParaBase"/>
    <w:rsid w:val="00DF2089"/>
    <w:pPr>
      <w:tabs>
        <w:tab w:val="right" w:pos="556"/>
      </w:tabs>
      <w:spacing w:before="40" w:line="240" w:lineRule="atLeast"/>
      <w:ind w:left="805" w:hanging="805"/>
    </w:pPr>
    <w:rPr>
      <w:sz w:val="20"/>
    </w:rPr>
  </w:style>
  <w:style w:type="paragraph" w:customStyle="1" w:styleId="CTA3ai">
    <w:name w:val="CTA 3(a)(i)"/>
    <w:basedOn w:val="OPCParaBase"/>
    <w:rsid w:val="00DF2089"/>
    <w:pPr>
      <w:tabs>
        <w:tab w:val="right" w:pos="1140"/>
      </w:tabs>
      <w:spacing w:before="40" w:line="240" w:lineRule="atLeast"/>
      <w:ind w:left="1361" w:hanging="1361"/>
    </w:pPr>
    <w:rPr>
      <w:sz w:val="20"/>
    </w:rPr>
  </w:style>
  <w:style w:type="paragraph" w:customStyle="1" w:styleId="CTA4a">
    <w:name w:val="CTA 4(a)"/>
    <w:basedOn w:val="OPCParaBase"/>
    <w:rsid w:val="00DF2089"/>
    <w:pPr>
      <w:tabs>
        <w:tab w:val="right" w:pos="624"/>
      </w:tabs>
      <w:spacing w:before="40" w:line="240" w:lineRule="atLeast"/>
      <w:ind w:left="873" w:hanging="873"/>
    </w:pPr>
    <w:rPr>
      <w:sz w:val="20"/>
    </w:rPr>
  </w:style>
  <w:style w:type="paragraph" w:customStyle="1" w:styleId="CTA4ai">
    <w:name w:val="CTA 4(a)(i)"/>
    <w:basedOn w:val="OPCParaBase"/>
    <w:rsid w:val="00DF2089"/>
    <w:pPr>
      <w:tabs>
        <w:tab w:val="right" w:pos="1213"/>
      </w:tabs>
      <w:spacing w:before="40" w:line="240" w:lineRule="atLeast"/>
      <w:ind w:left="1452" w:hanging="1452"/>
    </w:pPr>
    <w:rPr>
      <w:sz w:val="20"/>
    </w:rPr>
  </w:style>
  <w:style w:type="paragraph" w:customStyle="1" w:styleId="CTACAPS">
    <w:name w:val="CTA CAPS"/>
    <w:basedOn w:val="OPCParaBase"/>
    <w:rsid w:val="00DF2089"/>
    <w:pPr>
      <w:spacing w:before="60" w:line="240" w:lineRule="atLeast"/>
    </w:pPr>
    <w:rPr>
      <w:sz w:val="20"/>
    </w:rPr>
  </w:style>
  <w:style w:type="paragraph" w:customStyle="1" w:styleId="CTAright">
    <w:name w:val="CTA right"/>
    <w:basedOn w:val="OPCParaBase"/>
    <w:rsid w:val="00DF2089"/>
    <w:pPr>
      <w:spacing w:before="60" w:line="240" w:lineRule="auto"/>
      <w:jc w:val="right"/>
    </w:pPr>
    <w:rPr>
      <w:sz w:val="20"/>
    </w:rPr>
  </w:style>
  <w:style w:type="paragraph" w:customStyle="1" w:styleId="subsection">
    <w:name w:val="subsection"/>
    <w:aliases w:val="ss,Subsection"/>
    <w:basedOn w:val="OPCParaBase"/>
    <w:link w:val="subsectionChar"/>
    <w:rsid w:val="00DF2089"/>
    <w:pPr>
      <w:tabs>
        <w:tab w:val="right" w:pos="1021"/>
      </w:tabs>
      <w:spacing w:before="180" w:line="240" w:lineRule="auto"/>
      <w:ind w:left="1134" w:hanging="1134"/>
    </w:pPr>
  </w:style>
  <w:style w:type="paragraph" w:customStyle="1" w:styleId="Definition">
    <w:name w:val="Definition"/>
    <w:aliases w:val="dd"/>
    <w:basedOn w:val="OPCParaBase"/>
    <w:rsid w:val="00DF2089"/>
    <w:pPr>
      <w:spacing w:before="180" w:line="240" w:lineRule="auto"/>
      <w:ind w:left="1134"/>
    </w:pPr>
  </w:style>
  <w:style w:type="paragraph" w:customStyle="1" w:styleId="EndNotespara">
    <w:name w:val="EndNotes(para)"/>
    <w:aliases w:val="eta"/>
    <w:basedOn w:val="OPCParaBase"/>
    <w:next w:val="EndNotessubpara"/>
    <w:rsid w:val="00DF208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F208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F208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F2089"/>
    <w:pPr>
      <w:tabs>
        <w:tab w:val="right" w:pos="1412"/>
      </w:tabs>
      <w:spacing w:before="60" w:line="240" w:lineRule="auto"/>
      <w:ind w:left="1525" w:hanging="1525"/>
    </w:pPr>
    <w:rPr>
      <w:sz w:val="20"/>
    </w:rPr>
  </w:style>
  <w:style w:type="paragraph" w:customStyle="1" w:styleId="Formula">
    <w:name w:val="Formula"/>
    <w:basedOn w:val="OPCParaBase"/>
    <w:rsid w:val="00DF2089"/>
    <w:pPr>
      <w:spacing w:line="240" w:lineRule="auto"/>
      <w:ind w:left="1134"/>
    </w:pPr>
    <w:rPr>
      <w:sz w:val="20"/>
    </w:rPr>
  </w:style>
  <w:style w:type="paragraph" w:styleId="Header">
    <w:name w:val="header"/>
    <w:basedOn w:val="OPCParaBase"/>
    <w:link w:val="HeaderChar"/>
    <w:unhideWhenUsed/>
    <w:rsid w:val="00DF208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F2089"/>
    <w:rPr>
      <w:rFonts w:eastAsia="Times New Roman" w:cs="Times New Roman"/>
      <w:sz w:val="16"/>
      <w:lang w:eastAsia="en-AU"/>
    </w:rPr>
  </w:style>
  <w:style w:type="paragraph" w:customStyle="1" w:styleId="House">
    <w:name w:val="House"/>
    <w:basedOn w:val="OPCParaBase"/>
    <w:rsid w:val="00DF2089"/>
    <w:pPr>
      <w:spacing w:line="240" w:lineRule="auto"/>
    </w:pPr>
    <w:rPr>
      <w:sz w:val="28"/>
    </w:rPr>
  </w:style>
  <w:style w:type="paragraph" w:customStyle="1" w:styleId="Item">
    <w:name w:val="Item"/>
    <w:aliases w:val="i"/>
    <w:basedOn w:val="OPCParaBase"/>
    <w:next w:val="ItemHead"/>
    <w:rsid w:val="00DF2089"/>
    <w:pPr>
      <w:keepLines/>
      <w:spacing w:before="80" w:line="240" w:lineRule="auto"/>
      <w:ind w:left="709"/>
    </w:pPr>
  </w:style>
  <w:style w:type="paragraph" w:customStyle="1" w:styleId="ItemHead">
    <w:name w:val="ItemHead"/>
    <w:aliases w:val="ih"/>
    <w:basedOn w:val="OPCParaBase"/>
    <w:next w:val="Item"/>
    <w:rsid w:val="00DF208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F2089"/>
    <w:pPr>
      <w:spacing w:line="240" w:lineRule="auto"/>
    </w:pPr>
    <w:rPr>
      <w:b/>
      <w:sz w:val="32"/>
    </w:rPr>
  </w:style>
  <w:style w:type="paragraph" w:customStyle="1" w:styleId="notedraft">
    <w:name w:val="note(draft)"/>
    <w:aliases w:val="nd"/>
    <w:basedOn w:val="OPCParaBase"/>
    <w:rsid w:val="00DF2089"/>
    <w:pPr>
      <w:spacing w:before="240" w:line="240" w:lineRule="auto"/>
      <w:ind w:left="284" w:hanging="284"/>
    </w:pPr>
    <w:rPr>
      <w:i/>
      <w:sz w:val="24"/>
    </w:rPr>
  </w:style>
  <w:style w:type="paragraph" w:customStyle="1" w:styleId="notemargin">
    <w:name w:val="note(margin)"/>
    <w:aliases w:val="nm"/>
    <w:basedOn w:val="OPCParaBase"/>
    <w:rsid w:val="00DF2089"/>
    <w:pPr>
      <w:tabs>
        <w:tab w:val="left" w:pos="709"/>
      </w:tabs>
      <w:spacing w:before="122" w:line="198" w:lineRule="exact"/>
      <w:ind w:left="709" w:hanging="709"/>
    </w:pPr>
    <w:rPr>
      <w:sz w:val="18"/>
    </w:rPr>
  </w:style>
  <w:style w:type="paragraph" w:customStyle="1" w:styleId="noteToPara">
    <w:name w:val="noteToPara"/>
    <w:aliases w:val="ntp"/>
    <w:basedOn w:val="OPCParaBase"/>
    <w:rsid w:val="00DF2089"/>
    <w:pPr>
      <w:spacing w:before="122" w:line="198" w:lineRule="exact"/>
      <w:ind w:left="2353" w:hanging="709"/>
    </w:pPr>
    <w:rPr>
      <w:sz w:val="18"/>
    </w:rPr>
  </w:style>
  <w:style w:type="paragraph" w:customStyle="1" w:styleId="noteParlAmend">
    <w:name w:val="note(ParlAmend)"/>
    <w:aliases w:val="npp"/>
    <w:basedOn w:val="OPCParaBase"/>
    <w:next w:val="ParlAmend"/>
    <w:rsid w:val="00DF2089"/>
    <w:pPr>
      <w:spacing w:line="240" w:lineRule="auto"/>
      <w:jc w:val="right"/>
    </w:pPr>
    <w:rPr>
      <w:rFonts w:ascii="Arial" w:hAnsi="Arial"/>
      <w:b/>
      <w:i/>
    </w:rPr>
  </w:style>
  <w:style w:type="paragraph" w:customStyle="1" w:styleId="notetext">
    <w:name w:val="note(text)"/>
    <w:aliases w:val="n"/>
    <w:basedOn w:val="OPCParaBase"/>
    <w:link w:val="notetextChar"/>
    <w:rsid w:val="00DF2089"/>
    <w:pPr>
      <w:spacing w:before="122" w:line="240" w:lineRule="auto"/>
      <w:ind w:left="1985" w:hanging="851"/>
    </w:pPr>
    <w:rPr>
      <w:sz w:val="18"/>
    </w:rPr>
  </w:style>
  <w:style w:type="paragraph" w:customStyle="1" w:styleId="Page1">
    <w:name w:val="Page1"/>
    <w:basedOn w:val="OPCParaBase"/>
    <w:rsid w:val="00DF2089"/>
    <w:pPr>
      <w:spacing w:before="5600" w:line="240" w:lineRule="auto"/>
    </w:pPr>
    <w:rPr>
      <w:b/>
      <w:sz w:val="32"/>
    </w:rPr>
  </w:style>
  <w:style w:type="paragraph" w:customStyle="1" w:styleId="PageBreak">
    <w:name w:val="PageBreak"/>
    <w:aliases w:val="pb"/>
    <w:basedOn w:val="OPCParaBase"/>
    <w:rsid w:val="00DF2089"/>
    <w:pPr>
      <w:spacing w:line="240" w:lineRule="auto"/>
    </w:pPr>
    <w:rPr>
      <w:sz w:val="20"/>
    </w:rPr>
  </w:style>
  <w:style w:type="paragraph" w:customStyle="1" w:styleId="paragraphsub">
    <w:name w:val="paragraph(sub)"/>
    <w:aliases w:val="aa"/>
    <w:basedOn w:val="OPCParaBase"/>
    <w:rsid w:val="00DF2089"/>
    <w:pPr>
      <w:tabs>
        <w:tab w:val="right" w:pos="1985"/>
      </w:tabs>
      <w:spacing w:before="40" w:line="240" w:lineRule="auto"/>
      <w:ind w:left="2098" w:hanging="2098"/>
    </w:pPr>
  </w:style>
  <w:style w:type="paragraph" w:customStyle="1" w:styleId="paragraphsub-sub">
    <w:name w:val="paragraph(sub-sub)"/>
    <w:aliases w:val="aaa"/>
    <w:basedOn w:val="OPCParaBase"/>
    <w:rsid w:val="00DF2089"/>
    <w:pPr>
      <w:tabs>
        <w:tab w:val="right" w:pos="2722"/>
      </w:tabs>
      <w:spacing w:before="40" w:line="240" w:lineRule="auto"/>
      <w:ind w:left="2835" w:hanging="2835"/>
    </w:pPr>
  </w:style>
  <w:style w:type="paragraph" w:customStyle="1" w:styleId="paragraph">
    <w:name w:val="paragraph"/>
    <w:aliases w:val="a"/>
    <w:basedOn w:val="OPCParaBase"/>
    <w:rsid w:val="00DF2089"/>
    <w:pPr>
      <w:tabs>
        <w:tab w:val="right" w:pos="1531"/>
      </w:tabs>
      <w:spacing w:before="40" w:line="240" w:lineRule="auto"/>
      <w:ind w:left="1644" w:hanging="1644"/>
    </w:pPr>
  </w:style>
  <w:style w:type="paragraph" w:customStyle="1" w:styleId="ParlAmend">
    <w:name w:val="ParlAmend"/>
    <w:aliases w:val="pp"/>
    <w:basedOn w:val="OPCParaBase"/>
    <w:rsid w:val="00DF2089"/>
    <w:pPr>
      <w:spacing w:before="240" w:line="240" w:lineRule="atLeast"/>
      <w:ind w:hanging="567"/>
    </w:pPr>
    <w:rPr>
      <w:sz w:val="24"/>
    </w:rPr>
  </w:style>
  <w:style w:type="paragraph" w:customStyle="1" w:styleId="Penalty">
    <w:name w:val="Penalty"/>
    <w:basedOn w:val="OPCParaBase"/>
    <w:rsid w:val="00DF2089"/>
    <w:pPr>
      <w:tabs>
        <w:tab w:val="left" w:pos="2977"/>
      </w:tabs>
      <w:spacing w:before="180" w:line="240" w:lineRule="auto"/>
      <w:ind w:left="1985" w:hanging="851"/>
    </w:pPr>
  </w:style>
  <w:style w:type="paragraph" w:customStyle="1" w:styleId="Portfolio">
    <w:name w:val="Portfolio"/>
    <w:basedOn w:val="OPCParaBase"/>
    <w:rsid w:val="00DF2089"/>
    <w:pPr>
      <w:spacing w:line="240" w:lineRule="auto"/>
    </w:pPr>
    <w:rPr>
      <w:i/>
      <w:sz w:val="20"/>
    </w:rPr>
  </w:style>
  <w:style w:type="paragraph" w:customStyle="1" w:styleId="Preamble">
    <w:name w:val="Preamble"/>
    <w:basedOn w:val="OPCParaBase"/>
    <w:next w:val="Normal"/>
    <w:rsid w:val="00DF208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F2089"/>
    <w:pPr>
      <w:spacing w:line="240" w:lineRule="auto"/>
    </w:pPr>
    <w:rPr>
      <w:i/>
      <w:sz w:val="20"/>
    </w:rPr>
  </w:style>
  <w:style w:type="paragraph" w:customStyle="1" w:styleId="Session">
    <w:name w:val="Session"/>
    <w:basedOn w:val="OPCParaBase"/>
    <w:rsid w:val="00DF2089"/>
    <w:pPr>
      <w:spacing w:line="240" w:lineRule="auto"/>
    </w:pPr>
    <w:rPr>
      <w:sz w:val="28"/>
    </w:rPr>
  </w:style>
  <w:style w:type="paragraph" w:customStyle="1" w:styleId="Sponsor">
    <w:name w:val="Sponsor"/>
    <w:basedOn w:val="OPCParaBase"/>
    <w:rsid w:val="00DF2089"/>
    <w:pPr>
      <w:spacing w:line="240" w:lineRule="auto"/>
    </w:pPr>
    <w:rPr>
      <w:i/>
    </w:rPr>
  </w:style>
  <w:style w:type="paragraph" w:customStyle="1" w:styleId="Subitem">
    <w:name w:val="Subitem"/>
    <w:aliases w:val="iss"/>
    <w:basedOn w:val="OPCParaBase"/>
    <w:rsid w:val="00DF2089"/>
    <w:pPr>
      <w:spacing w:before="180" w:line="240" w:lineRule="auto"/>
      <w:ind w:left="709" w:hanging="709"/>
    </w:pPr>
  </w:style>
  <w:style w:type="paragraph" w:customStyle="1" w:styleId="SubitemHead">
    <w:name w:val="SubitemHead"/>
    <w:aliases w:val="issh"/>
    <w:basedOn w:val="OPCParaBase"/>
    <w:rsid w:val="00DF208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F2089"/>
    <w:pPr>
      <w:spacing w:before="40" w:line="240" w:lineRule="auto"/>
      <w:ind w:left="1134"/>
    </w:pPr>
  </w:style>
  <w:style w:type="paragraph" w:customStyle="1" w:styleId="SubsectionHead">
    <w:name w:val="SubsectionHead"/>
    <w:aliases w:val="ssh"/>
    <w:basedOn w:val="OPCParaBase"/>
    <w:next w:val="subsection"/>
    <w:rsid w:val="00DF2089"/>
    <w:pPr>
      <w:keepNext/>
      <w:keepLines/>
      <w:spacing w:before="240" w:line="240" w:lineRule="auto"/>
      <w:ind w:left="1134"/>
    </w:pPr>
    <w:rPr>
      <w:i/>
    </w:rPr>
  </w:style>
  <w:style w:type="paragraph" w:customStyle="1" w:styleId="Tablea">
    <w:name w:val="Table(a)"/>
    <w:aliases w:val="ta"/>
    <w:basedOn w:val="OPCParaBase"/>
    <w:rsid w:val="00DF2089"/>
    <w:pPr>
      <w:spacing w:before="60" w:line="240" w:lineRule="auto"/>
      <w:ind w:left="284" w:hanging="284"/>
    </w:pPr>
    <w:rPr>
      <w:sz w:val="20"/>
    </w:rPr>
  </w:style>
  <w:style w:type="paragraph" w:customStyle="1" w:styleId="TableAA">
    <w:name w:val="Table(AA)"/>
    <w:aliases w:val="taaa"/>
    <w:basedOn w:val="OPCParaBase"/>
    <w:rsid w:val="00DF208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F208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F2089"/>
    <w:pPr>
      <w:spacing w:before="60" w:line="240" w:lineRule="atLeast"/>
    </w:pPr>
    <w:rPr>
      <w:sz w:val="20"/>
    </w:rPr>
  </w:style>
  <w:style w:type="paragraph" w:customStyle="1" w:styleId="TLPBoxTextnote">
    <w:name w:val="TLPBoxText(note"/>
    <w:aliases w:val="right)"/>
    <w:basedOn w:val="OPCParaBase"/>
    <w:rsid w:val="00DF208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F208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F2089"/>
    <w:pPr>
      <w:spacing w:before="122" w:line="198" w:lineRule="exact"/>
      <w:ind w:left="1985" w:hanging="851"/>
      <w:jc w:val="right"/>
    </w:pPr>
    <w:rPr>
      <w:sz w:val="18"/>
    </w:rPr>
  </w:style>
  <w:style w:type="paragraph" w:customStyle="1" w:styleId="TLPTableBullet">
    <w:name w:val="TLPTableBullet"/>
    <w:aliases w:val="ttb"/>
    <w:basedOn w:val="OPCParaBase"/>
    <w:rsid w:val="00DF2089"/>
    <w:pPr>
      <w:spacing w:line="240" w:lineRule="exact"/>
      <w:ind w:left="284" w:hanging="284"/>
    </w:pPr>
    <w:rPr>
      <w:sz w:val="20"/>
    </w:rPr>
  </w:style>
  <w:style w:type="paragraph" w:styleId="TOC1">
    <w:name w:val="toc 1"/>
    <w:basedOn w:val="OPCParaBase"/>
    <w:next w:val="Normal"/>
    <w:uiPriority w:val="39"/>
    <w:unhideWhenUsed/>
    <w:rsid w:val="00DF20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DF20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DF20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DF20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DF208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DF20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DF20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F20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DF20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F2089"/>
    <w:pPr>
      <w:keepLines/>
      <w:spacing w:before="240" w:after="120" w:line="240" w:lineRule="auto"/>
      <w:ind w:left="794"/>
    </w:pPr>
    <w:rPr>
      <w:b/>
      <w:kern w:val="28"/>
      <w:sz w:val="20"/>
    </w:rPr>
  </w:style>
  <w:style w:type="paragraph" w:customStyle="1" w:styleId="TofSectsHeading">
    <w:name w:val="TofSects(Heading)"/>
    <w:basedOn w:val="OPCParaBase"/>
    <w:rsid w:val="00DF2089"/>
    <w:pPr>
      <w:spacing w:before="240" w:after="120" w:line="240" w:lineRule="auto"/>
    </w:pPr>
    <w:rPr>
      <w:b/>
      <w:sz w:val="24"/>
    </w:rPr>
  </w:style>
  <w:style w:type="paragraph" w:customStyle="1" w:styleId="TofSectsSection">
    <w:name w:val="TofSects(Section)"/>
    <w:basedOn w:val="OPCParaBase"/>
    <w:rsid w:val="00DF2089"/>
    <w:pPr>
      <w:keepLines/>
      <w:spacing w:before="40" w:line="240" w:lineRule="auto"/>
      <w:ind w:left="1588" w:hanging="794"/>
    </w:pPr>
    <w:rPr>
      <w:kern w:val="28"/>
      <w:sz w:val="18"/>
    </w:rPr>
  </w:style>
  <w:style w:type="paragraph" w:customStyle="1" w:styleId="TofSectsSubdiv">
    <w:name w:val="TofSects(Subdiv)"/>
    <w:basedOn w:val="OPCParaBase"/>
    <w:rsid w:val="00DF2089"/>
    <w:pPr>
      <w:keepLines/>
      <w:spacing w:before="80" w:line="240" w:lineRule="auto"/>
      <w:ind w:left="1588" w:hanging="794"/>
    </w:pPr>
    <w:rPr>
      <w:kern w:val="28"/>
    </w:rPr>
  </w:style>
  <w:style w:type="paragraph" w:customStyle="1" w:styleId="WRStyle">
    <w:name w:val="WR Style"/>
    <w:aliases w:val="WR"/>
    <w:basedOn w:val="OPCParaBase"/>
    <w:rsid w:val="00DF2089"/>
    <w:pPr>
      <w:spacing w:before="240" w:line="240" w:lineRule="auto"/>
      <w:ind w:left="284" w:hanging="284"/>
    </w:pPr>
    <w:rPr>
      <w:b/>
      <w:i/>
      <w:kern w:val="28"/>
      <w:sz w:val="24"/>
    </w:rPr>
  </w:style>
  <w:style w:type="paragraph" w:customStyle="1" w:styleId="notepara">
    <w:name w:val="note(para)"/>
    <w:aliases w:val="na"/>
    <w:basedOn w:val="OPCParaBase"/>
    <w:rsid w:val="00DF2089"/>
    <w:pPr>
      <w:spacing w:before="40" w:line="198" w:lineRule="exact"/>
      <w:ind w:left="2354" w:hanging="369"/>
    </w:pPr>
    <w:rPr>
      <w:sz w:val="18"/>
    </w:rPr>
  </w:style>
  <w:style w:type="paragraph" w:styleId="Footer">
    <w:name w:val="footer"/>
    <w:link w:val="FooterChar"/>
    <w:rsid w:val="00DF208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F2089"/>
    <w:rPr>
      <w:rFonts w:eastAsia="Times New Roman" w:cs="Times New Roman"/>
      <w:sz w:val="22"/>
      <w:szCs w:val="24"/>
      <w:lang w:eastAsia="en-AU"/>
    </w:rPr>
  </w:style>
  <w:style w:type="character" w:styleId="LineNumber">
    <w:name w:val="line number"/>
    <w:basedOn w:val="OPCCharBase"/>
    <w:uiPriority w:val="99"/>
    <w:semiHidden/>
    <w:unhideWhenUsed/>
    <w:rsid w:val="00DF2089"/>
    <w:rPr>
      <w:sz w:val="16"/>
    </w:rPr>
  </w:style>
  <w:style w:type="table" w:customStyle="1" w:styleId="CFlag">
    <w:name w:val="CFlag"/>
    <w:basedOn w:val="TableNormal"/>
    <w:uiPriority w:val="99"/>
    <w:rsid w:val="00DF2089"/>
    <w:rPr>
      <w:rFonts w:eastAsia="Times New Roman" w:cs="Times New Roman"/>
      <w:lang w:eastAsia="en-AU"/>
    </w:rPr>
    <w:tblPr/>
  </w:style>
  <w:style w:type="paragraph" w:styleId="BalloonText">
    <w:name w:val="Balloon Text"/>
    <w:basedOn w:val="Normal"/>
    <w:link w:val="BalloonTextChar"/>
    <w:uiPriority w:val="99"/>
    <w:semiHidden/>
    <w:unhideWhenUsed/>
    <w:rsid w:val="00DF20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089"/>
    <w:rPr>
      <w:rFonts w:ascii="Tahoma" w:hAnsi="Tahoma" w:cs="Tahoma"/>
      <w:sz w:val="16"/>
      <w:szCs w:val="16"/>
    </w:rPr>
  </w:style>
  <w:style w:type="table" w:styleId="TableGrid">
    <w:name w:val="Table Grid"/>
    <w:basedOn w:val="TableNormal"/>
    <w:uiPriority w:val="59"/>
    <w:rsid w:val="00DF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DF2089"/>
    <w:rPr>
      <w:b/>
      <w:sz w:val="28"/>
      <w:szCs w:val="32"/>
    </w:rPr>
  </w:style>
  <w:style w:type="paragraph" w:customStyle="1" w:styleId="TerritoryT">
    <w:name w:val="TerritoryT"/>
    <w:basedOn w:val="OPCParaBase"/>
    <w:next w:val="Normal"/>
    <w:rsid w:val="00642A42"/>
    <w:rPr>
      <w:b/>
      <w:sz w:val="32"/>
    </w:rPr>
  </w:style>
  <w:style w:type="paragraph" w:customStyle="1" w:styleId="LegislationMadeUnder">
    <w:name w:val="LegislationMadeUnder"/>
    <w:basedOn w:val="OPCParaBase"/>
    <w:next w:val="Normal"/>
    <w:rsid w:val="00DF2089"/>
    <w:rPr>
      <w:i/>
      <w:sz w:val="32"/>
      <w:szCs w:val="32"/>
    </w:rPr>
  </w:style>
  <w:style w:type="paragraph" w:customStyle="1" w:styleId="SignCoverPageEnd">
    <w:name w:val="SignCoverPageEnd"/>
    <w:basedOn w:val="OPCParaBase"/>
    <w:next w:val="Normal"/>
    <w:rsid w:val="00DF208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F2089"/>
    <w:pPr>
      <w:pBdr>
        <w:top w:val="single" w:sz="4" w:space="1" w:color="auto"/>
      </w:pBdr>
      <w:spacing w:before="360"/>
      <w:ind w:right="397"/>
      <w:jc w:val="both"/>
    </w:pPr>
  </w:style>
  <w:style w:type="paragraph" w:customStyle="1" w:styleId="NotesHeading2">
    <w:name w:val="NotesHeading 2"/>
    <w:basedOn w:val="OPCParaBase"/>
    <w:next w:val="Normal"/>
    <w:rsid w:val="00DF2089"/>
    <w:rPr>
      <w:b/>
      <w:sz w:val="28"/>
      <w:szCs w:val="28"/>
    </w:rPr>
  </w:style>
  <w:style w:type="paragraph" w:customStyle="1" w:styleId="NotesHeading1">
    <w:name w:val="NotesHeading 1"/>
    <w:basedOn w:val="OPCParaBase"/>
    <w:next w:val="Normal"/>
    <w:rsid w:val="00DF2089"/>
    <w:pPr>
      <w:outlineLvl w:val="0"/>
    </w:pPr>
    <w:rPr>
      <w:b/>
      <w:sz w:val="28"/>
      <w:szCs w:val="28"/>
    </w:rPr>
  </w:style>
  <w:style w:type="paragraph" w:customStyle="1" w:styleId="CompiledActNo">
    <w:name w:val="CompiledActNo"/>
    <w:basedOn w:val="OPCParaBase"/>
    <w:next w:val="Normal"/>
    <w:rsid w:val="00DF2089"/>
    <w:rPr>
      <w:b/>
      <w:sz w:val="24"/>
      <w:szCs w:val="24"/>
    </w:rPr>
  </w:style>
  <w:style w:type="paragraph" w:customStyle="1" w:styleId="ENotesText">
    <w:name w:val="ENotesText"/>
    <w:aliases w:val="Ent"/>
    <w:basedOn w:val="OPCParaBase"/>
    <w:next w:val="Normal"/>
    <w:rsid w:val="00DF2089"/>
    <w:pPr>
      <w:spacing w:before="120"/>
    </w:pPr>
  </w:style>
  <w:style w:type="paragraph" w:customStyle="1" w:styleId="CompiledMadeUnder">
    <w:name w:val="CompiledMadeUnder"/>
    <w:basedOn w:val="OPCParaBase"/>
    <w:next w:val="Normal"/>
    <w:rsid w:val="00DF2089"/>
    <w:rPr>
      <w:i/>
      <w:sz w:val="24"/>
      <w:szCs w:val="24"/>
    </w:rPr>
  </w:style>
  <w:style w:type="paragraph" w:customStyle="1" w:styleId="Paragraphsub-sub-sub">
    <w:name w:val="Paragraph(sub-sub-sub)"/>
    <w:aliases w:val="aaaa"/>
    <w:basedOn w:val="OPCParaBase"/>
    <w:rsid w:val="00DF2089"/>
    <w:pPr>
      <w:tabs>
        <w:tab w:val="right" w:pos="3402"/>
      </w:tabs>
      <w:spacing w:before="40" w:line="240" w:lineRule="auto"/>
      <w:ind w:left="3402" w:hanging="3402"/>
    </w:pPr>
  </w:style>
  <w:style w:type="paragraph" w:customStyle="1" w:styleId="TableTextEndNotes">
    <w:name w:val="TableTextEndNotes"/>
    <w:aliases w:val="Tten"/>
    <w:basedOn w:val="Normal"/>
    <w:rsid w:val="00DF2089"/>
    <w:pPr>
      <w:spacing w:before="60" w:line="240" w:lineRule="auto"/>
    </w:pPr>
    <w:rPr>
      <w:rFonts w:cs="Arial"/>
      <w:sz w:val="20"/>
      <w:szCs w:val="22"/>
    </w:rPr>
  </w:style>
  <w:style w:type="paragraph" w:customStyle="1" w:styleId="NoteToSubpara">
    <w:name w:val="NoteToSubpara"/>
    <w:aliases w:val="nts"/>
    <w:basedOn w:val="OPCParaBase"/>
    <w:rsid w:val="00DF2089"/>
    <w:pPr>
      <w:spacing w:before="40" w:line="198" w:lineRule="exact"/>
      <w:ind w:left="2835" w:hanging="709"/>
    </w:pPr>
    <w:rPr>
      <w:sz w:val="18"/>
    </w:rPr>
  </w:style>
  <w:style w:type="paragraph" w:customStyle="1" w:styleId="ENoteTableHeading">
    <w:name w:val="ENoteTableHeading"/>
    <w:aliases w:val="enth"/>
    <w:basedOn w:val="OPCParaBase"/>
    <w:rsid w:val="00DF2089"/>
    <w:pPr>
      <w:keepNext/>
      <w:spacing w:before="60" w:line="240" w:lineRule="atLeast"/>
    </w:pPr>
    <w:rPr>
      <w:rFonts w:ascii="Arial" w:hAnsi="Arial"/>
      <w:b/>
      <w:sz w:val="16"/>
    </w:rPr>
  </w:style>
  <w:style w:type="paragraph" w:customStyle="1" w:styleId="ENoteTTi">
    <w:name w:val="ENoteTTi"/>
    <w:aliases w:val="entti"/>
    <w:basedOn w:val="OPCParaBase"/>
    <w:rsid w:val="00DF2089"/>
    <w:pPr>
      <w:keepNext/>
      <w:spacing w:before="60" w:line="240" w:lineRule="atLeast"/>
      <w:ind w:left="170"/>
    </w:pPr>
    <w:rPr>
      <w:sz w:val="16"/>
    </w:rPr>
  </w:style>
  <w:style w:type="paragraph" w:customStyle="1" w:styleId="ENotesHeading1">
    <w:name w:val="ENotesHeading 1"/>
    <w:aliases w:val="Enh1"/>
    <w:basedOn w:val="OPCParaBase"/>
    <w:next w:val="Normal"/>
    <w:rsid w:val="00DF2089"/>
    <w:pPr>
      <w:spacing w:before="120"/>
      <w:outlineLvl w:val="1"/>
    </w:pPr>
    <w:rPr>
      <w:b/>
      <w:sz w:val="28"/>
      <w:szCs w:val="28"/>
    </w:rPr>
  </w:style>
  <w:style w:type="paragraph" w:customStyle="1" w:styleId="ENotesHeading2">
    <w:name w:val="ENotesHeading 2"/>
    <w:aliases w:val="Enh2"/>
    <w:basedOn w:val="OPCParaBase"/>
    <w:next w:val="Normal"/>
    <w:rsid w:val="00DF2089"/>
    <w:pPr>
      <w:spacing w:before="120" w:after="120"/>
      <w:outlineLvl w:val="2"/>
    </w:pPr>
    <w:rPr>
      <w:b/>
      <w:sz w:val="24"/>
      <w:szCs w:val="28"/>
    </w:rPr>
  </w:style>
  <w:style w:type="paragraph" w:customStyle="1" w:styleId="ENoteTTIndentHeading">
    <w:name w:val="ENoteTTIndentHeading"/>
    <w:aliases w:val="enTTHi"/>
    <w:basedOn w:val="OPCParaBase"/>
    <w:rsid w:val="00DF20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F2089"/>
    <w:pPr>
      <w:spacing w:before="60" w:line="240" w:lineRule="atLeast"/>
    </w:pPr>
    <w:rPr>
      <w:sz w:val="16"/>
    </w:rPr>
  </w:style>
  <w:style w:type="paragraph" w:customStyle="1" w:styleId="MadeunderText">
    <w:name w:val="MadeunderText"/>
    <w:basedOn w:val="OPCParaBase"/>
    <w:next w:val="CompiledMadeUnder"/>
    <w:rsid w:val="00DF2089"/>
    <w:pPr>
      <w:spacing w:before="240"/>
    </w:pPr>
    <w:rPr>
      <w:sz w:val="24"/>
      <w:szCs w:val="24"/>
    </w:rPr>
  </w:style>
  <w:style w:type="paragraph" w:customStyle="1" w:styleId="ENotesHeading3">
    <w:name w:val="ENotesHeading 3"/>
    <w:aliases w:val="Enh3"/>
    <w:basedOn w:val="OPCParaBase"/>
    <w:next w:val="Normal"/>
    <w:rsid w:val="00DF2089"/>
    <w:pPr>
      <w:keepNext/>
      <w:spacing w:before="120" w:line="240" w:lineRule="auto"/>
      <w:outlineLvl w:val="4"/>
    </w:pPr>
    <w:rPr>
      <w:b/>
      <w:szCs w:val="24"/>
    </w:rPr>
  </w:style>
  <w:style w:type="character" w:customStyle="1" w:styleId="CharSubPartTextCASA">
    <w:name w:val="CharSubPartText(CASA)"/>
    <w:basedOn w:val="OPCCharBase"/>
    <w:uiPriority w:val="1"/>
    <w:rsid w:val="00DF2089"/>
  </w:style>
  <w:style w:type="character" w:customStyle="1" w:styleId="CharSubPartNoCASA">
    <w:name w:val="CharSubPartNo(CASA)"/>
    <w:basedOn w:val="OPCCharBase"/>
    <w:uiPriority w:val="1"/>
    <w:rsid w:val="00DF2089"/>
  </w:style>
  <w:style w:type="paragraph" w:customStyle="1" w:styleId="ENoteTTIndentHeadingSub">
    <w:name w:val="ENoteTTIndentHeadingSub"/>
    <w:aliases w:val="enTTHis"/>
    <w:basedOn w:val="OPCParaBase"/>
    <w:rsid w:val="00DF2089"/>
    <w:pPr>
      <w:keepNext/>
      <w:spacing w:before="60" w:line="240" w:lineRule="atLeast"/>
      <w:ind w:left="340"/>
    </w:pPr>
    <w:rPr>
      <w:b/>
      <w:sz w:val="16"/>
    </w:rPr>
  </w:style>
  <w:style w:type="paragraph" w:customStyle="1" w:styleId="ENoteTTiSub">
    <w:name w:val="ENoteTTiSub"/>
    <w:aliases w:val="enttis"/>
    <w:basedOn w:val="OPCParaBase"/>
    <w:rsid w:val="00DF2089"/>
    <w:pPr>
      <w:keepNext/>
      <w:spacing w:before="60" w:line="240" w:lineRule="atLeast"/>
      <w:ind w:left="340"/>
    </w:pPr>
    <w:rPr>
      <w:sz w:val="16"/>
    </w:rPr>
  </w:style>
  <w:style w:type="paragraph" w:customStyle="1" w:styleId="SubDivisionMigration">
    <w:name w:val="SubDivisionMigration"/>
    <w:aliases w:val="sdm"/>
    <w:basedOn w:val="OPCParaBase"/>
    <w:rsid w:val="00DF208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F2089"/>
    <w:pPr>
      <w:keepNext/>
      <w:keepLines/>
      <w:spacing w:before="240" w:line="240" w:lineRule="auto"/>
      <w:ind w:left="1134" w:hanging="1134"/>
    </w:pPr>
    <w:rPr>
      <w:b/>
      <w:sz w:val="28"/>
    </w:rPr>
  </w:style>
  <w:style w:type="paragraph" w:customStyle="1" w:styleId="FreeForm">
    <w:name w:val="FreeForm"/>
    <w:rsid w:val="00DF2089"/>
    <w:rPr>
      <w:rFonts w:ascii="Arial" w:hAnsi="Arial"/>
      <w:sz w:val="22"/>
    </w:rPr>
  </w:style>
  <w:style w:type="paragraph" w:customStyle="1" w:styleId="SOText">
    <w:name w:val="SO Text"/>
    <w:aliases w:val="sot"/>
    <w:link w:val="SOTextChar"/>
    <w:rsid w:val="00DF208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F2089"/>
    <w:rPr>
      <w:sz w:val="22"/>
    </w:rPr>
  </w:style>
  <w:style w:type="paragraph" w:customStyle="1" w:styleId="SOTextNote">
    <w:name w:val="SO TextNote"/>
    <w:aliases w:val="sont"/>
    <w:basedOn w:val="SOText"/>
    <w:qFormat/>
    <w:rsid w:val="00DF2089"/>
    <w:pPr>
      <w:spacing w:before="122" w:line="198" w:lineRule="exact"/>
      <w:ind w:left="1843" w:hanging="709"/>
    </w:pPr>
    <w:rPr>
      <w:sz w:val="18"/>
    </w:rPr>
  </w:style>
  <w:style w:type="paragraph" w:customStyle="1" w:styleId="SOPara">
    <w:name w:val="SO Para"/>
    <w:aliases w:val="soa"/>
    <w:basedOn w:val="SOText"/>
    <w:link w:val="SOParaChar"/>
    <w:qFormat/>
    <w:rsid w:val="00DF2089"/>
    <w:pPr>
      <w:tabs>
        <w:tab w:val="right" w:pos="1786"/>
      </w:tabs>
      <w:spacing w:before="40"/>
      <w:ind w:left="2070" w:hanging="936"/>
    </w:pPr>
  </w:style>
  <w:style w:type="character" w:customStyle="1" w:styleId="SOParaChar">
    <w:name w:val="SO Para Char"/>
    <w:aliases w:val="soa Char"/>
    <w:basedOn w:val="DefaultParagraphFont"/>
    <w:link w:val="SOPara"/>
    <w:rsid w:val="00DF2089"/>
    <w:rPr>
      <w:sz w:val="22"/>
    </w:rPr>
  </w:style>
  <w:style w:type="paragraph" w:customStyle="1" w:styleId="FileName">
    <w:name w:val="FileName"/>
    <w:basedOn w:val="Normal"/>
    <w:rsid w:val="00DF2089"/>
  </w:style>
  <w:style w:type="paragraph" w:customStyle="1" w:styleId="TableHeading">
    <w:name w:val="TableHeading"/>
    <w:aliases w:val="th"/>
    <w:basedOn w:val="OPCParaBase"/>
    <w:next w:val="Tabletext"/>
    <w:rsid w:val="00DF2089"/>
    <w:pPr>
      <w:keepNext/>
      <w:spacing w:before="60" w:line="240" w:lineRule="atLeast"/>
    </w:pPr>
    <w:rPr>
      <w:b/>
      <w:sz w:val="20"/>
    </w:rPr>
  </w:style>
  <w:style w:type="paragraph" w:customStyle="1" w:styleId="SOHeadBold">
    <w:name w:val="SO HeadBold"/>
    <w:aliases w:val="sohb"/>
    <w:basedOn w:val="SOText"/>
    <w:next w:val="SOText"/>
    <w:link w:val="SOHeadBoldChar"/>
    <w:qFormat/>
    <w:rsid w:val="00DF2089"/>
    <w:rPr>
      <w:b/>
    </w:rPr>
  </w:style>
  <w:style w:type="character" w:customStyle="1" w:styleId="SOHeadBoldChar">
    <w:name w:val="SO HeadBold Char"/>
    <w:aliases w:val="sohb Char"/>
    <w:basedOn w:val="DefaultParagraphFont"/>
    <w:link w:val="SOHeadBold"/>
    <w:rsid w:val="00DF2089"/>
    <w:rPr>
      <w:b/>
      <w:sz w:val="22"/>
    </w:rPr>
  </w:style>
  <w:style w:type="paragraph" w:customStyle="1" w:styleId="SOHeadItalic">
    <w:name w:val="SO HeadItalic"/>
    <w:aliases w:val="sohi"/>
    <w:basedOn w:val="SOText"/>
    <w:next w:val="SOText"/>
    <w:link w:val="SOHeadItalicChar"/>
    <w:qFormat/>
    <w:rsid w:val="00DF2089"/>
    <w:rPr>
      <w:i/>
    </w:rPr>
  </w:style>
  <w:style w:type="character" w:customStyle="1" w:styleId="SOHeadItalicChar">
    <w:name w:val="SO HeadItalic Char"/>
    <w:aliases w:val="sohi Char"/>
    <w:basedOn w:val="DefaultParagraphFont"/>
    <w:link w:val="SOHeadItalic"/>
    <w:rsid w:val="00DF2089"/>
    <w:rPr>
      <w:i/>
      <w:sz w:val="22"/>
    </w:rPr>
  </w:style>
  <w:style w:type="paragraph" w:customStyle="1" w:styleId="SOBullet">
    <w:name w:val="SO Bullet"/>
    <w:aliases w:val="sotb"/>
    <w:basedOn w:val="SOText"/>
    <w:link w:val="SOBulletChar"/>
    <w:qFormat/>
    <w:rsid w:val="00DF2089"/>
    <w:pPr>
      <w:ind w:left="1559" w:hanging="425"/>
    </w:pPr>
  </w:style>
  <w:style w:type="character" w:customStyle="1" w:styleId="SOBulletChar">
    <w:name w:val="SO Bullet Char"/>
    <w:aliases w:val="sotb Char"/>
    <w:basedOn w:val="DefaultParagraphFont"/>
    <w:link w:val="SOBullet"/>
    <w:rsid w:val="00DF2089"/>
    <w:rPr>
      <w:sz w:val="22"/>
    </w:rPr>
  </w:style>
  <w:style w:type="paragraph" w:customStyle="1" w:styleId="SOBulletNote">
    <w:name w:val="SO BulletNote"/>
    <w:aliases w:val="sonb"/>
    <w:basedOn w:val="SOTextNote"/>
    <w:link w:val="SOBulletNoteChar"/>
    <w:qFormat/>
    <w:rsid w:val="00DF2089"/>
    <w:pPr>
      <w:tabs>
        <w:tab w:val="left" w:pos="1560"/>
      </w:tabs>
      <w:ind w:left="2268" w:hanging="1134"/>
    </w:pPr>
  </w:style>
  <w:style w:type="character" w:customStyle="1" w:styleId="SOBulletNoteChar">
    <w:name w:val="SO BulletNote Char"/>
    <w:aliases w:val="sonb Char"/>
    <w:basedOn w:val="DefaultParagraphFont"/>
    <w:link w:val="SOBulletNote"/>
    <w:rsid w:val="00DF2089"/>
    <w:rPr>
      <w:sz w:val="18"/>
    </w:rPr>
  </w:style>
  <w:style w:type="paragraph" w:customStyle="1" w:styleId="SubPartCASA">
    <w:name w:val="SubPart(CASA)"/>
    <w:aliases w:val="csp"/>
    <w:basedOn w:val="OPCParaBase"/>
    <w:next w:val="ActHead3"/>
    <w:rsid w:val="00DF2089"/>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C17957"/>
    <w:rPr>
      <w:rFonts w:eastAsia="Times New Roman" w:cs="Times New Roman"/>
      <w:sz w:val="22"/>
      <w:lang w:eastAsia="en-AU"/>
    </w:rPr>
  </w:style>
  <w:style w:type="character" w:customStyle="1" w:styleId="notetextChar">
    <w:name w:val="note(text) Char"/>
    <w:aliases w:val="n Char"/>
    <w:basedOn w:val="DefaultParagraphFont"/>
    <w:link w:val="notetext"/>
    <w:rsid w:val="00C17957"/>
    <w:rPr>
      <w:rFonts w:eastAsia="Times New Roman" w:cs="Times New Roman"/>
      <w:sz w:val="18"/>
      <w:lang w:eastAsia="en-AU"/>
    </w:rPr>
  </w:style>
  <w:style w:type="character" w:customStyle="1" w:styleId="Heading1Char">
    <w:name w:val="Heading 1 Char"/>
    <w:basedOn w:val="DefaultParagraphFont"/>
    <w:link w:val="Heading1"/>
    <w:rsid w:val="00C179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179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1795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1795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C1795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C1795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1795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1795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17957"/>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0B7D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7D69"/>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DF2089"/>
    <w:pPr>
      <w:keepNext/>
      <w:spacing w:before="280" w:line="240" w:lineRule="auto"/>
      <w:outlineLvl w:val="1"/>
    </w:pPr>
    <w:rPr>
      <w:b/>
      <w:sz w:val="32"/>
      <w:szCs w:val="30"/>
    </w:rPr>
  </w:style>
  <w:style w:type="character" w:customStyle="1" w:styleId="ActHead5Char">
    <w:name w:val="ActHead 5 Char"/>
    <w:aliases w:val="s Char"/>
    <w:link w:val="ActHead5"/>
    <w:rsid w:val="00567A3A"/>
    <w:rPr>
      <w:rFonts w:eastAsia="Times New Roman" w:cs="Times New Roman"/>
      <w:b/>
      <w:kern w:val="28"/>
      <w:sz w:val="24"/>
      <w:lang w:eastAsia="en-AU"/>
    </w:rPr>
  </w:style>
  <w:style w:type="paragraph" w:customStyle="1" w:styleId="EnStatement">
    <w:name w:val="EnStatement"/>
    <w:basedOn w:val="Normal"/>
    <w:rsid w:val="00DF2089"/>
    <w:pPr>
      <w:numPr>
        <w:numId w:val="13"/>
      </w:numPr>
    </w:pPr>
    <w:rPr>
      <w:rFonts w:eastAsia="Times New Roman" w:cs="Times New Roman"/>
      <w:lang w:eastAsia="en-AU"/>
    </w:rPr>
  </w:style>
  <w:style w:type="paragraph" w:customStyle="1" w:styleId="EnStatementHeading">
    <w:name w:val="EnStatementHeading"/>
    <w:basedOn w:val="Normal"/>
    <w:rsid w:val="00DF2089"/>
    <w:rPr>
      <w:rFonts w:eastAsia="Times New Roman" w:cs="Times New Roman"/>
      <w:b/>
      <w:lang w:eastAsia="en-AU"/>
    </w:rPr>
  </w:style>
  <w:style w:type="paragraph" w:customStyle="1" w:styleId="Transitional">
    <w:name w:val="Transitional"/>
    <w:aliases w:val="tr"/>
    <w:basedOn w:val="Normal"/>
    <w:next w:val="Normal"/>
    <w:rsid w:val="00DF2089"/>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48F9-E9CE-4BF7-BCD3-C9C183B7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26</Pages>
  <Words>5434</Words>
  <Characters>28546</Characters>
  <Application>Microsoft Office Word</Application>
  <DocSecurity>0</DocSecurity>
  <PresentationFormat/>
  <Lines>940</Lines>
  <Paragraphs>478</Paragraphs>
  <ScaleCrop>false</ScaleCrop>
  <HeadingPairs>
    <vt:vector size="2" baseType="variant">
      <vt:variant>
        <vt:lpstr>Title</vt:lpstr>
      </vt:variant>
      <vt:variant>
        <vt:i4>1</vt:i4>
      </vt:variant>
    </vt:vector>
  </HeadingPairs>
  <TitlesOfParts>
    <vt:vector size="1" baseType="lpstr">
      <vt:lpstr>Law Enforcement Integrity Commissioner Regulations 2017</vt:lpstr>
    </vt:vector>
  </TitlesOfParts>
  <Manager/>
  <Company/>
  <LinksUpToDate>false</LinksUpToDate>
  <CharactersWithSpaces>33656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Integrity Commissioner Regulations 2017</dc:title>
  <dc:subject/>
  <dc:creator/>
  <cp:keywords/>
  <dc:description/>
  <cp:lastModifiedBy/>
  <cp:revision>1</cp:revision>
  <cp:lastPrinted>2017-02-09T03:43:00Z</cp:lastPrinted>
  <dcterms:created xsi:type="dcterms:W3CDTF">2022-01-12T05:17:00Z</dcterms:created>
  <dcterms:modified xsi:type="dcterms:W3CDTF">2022-01-12T05:17:00Z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Law Enforcement Integrity Commissioner Regulations 2017</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LI</vt:lpwstr>
  </property>
  <property fmtid="{D5CDD505-2E9C-101B-9397-08002B2CF9AE}" pid="7" name="DocType">
    <vt:lpwstr>NEW</vt:lpwstr>
  </property>
  <property fmtid="{D5CDD505-2E9C-101B-9397-08002B2CF9AE}" pid="8" name="DateMade">
    <vt:lpwstr>2021</vt:lpwstr>
  </property>
  <property fmtid="{D5CDD505-2E9C-101B-9397-08002B2CF9AE}" pid="9" name="Exco">
    <vt:lpwstr>Yes</vt:lpwstr>
  </property>
  <property fmtid="{D5CDD505-2E9C-101B-9397-08002B2CF9AE}" pid="10" name="Authority">
    <vt:lpwstr/>
  </property>
  <property fmtid="{D5CDD505-2E9C-101B-9397-08002B2CF9AE}" pid="11" name="ID">
    <vt:lpwstr>OPC62191</vt:lpwstr>
  </property>
  <property fmtid="{D5CDD505-2E9C-101B-9397-08002B2CF9AE}" pid="12" name="Classification">
    <vt:lpwstr>OFFICIAL</vt:lpwstr>
  </property>
  <property fmtid="{D5CDD505-2E9C-101B-9397-08002B2CF9AE}" pid="13" name="DLM">
    <vt:lpwstr> </vt:lpwstr>
  </property>
  <property fmtid="{D5CDD505-2E9C-101B-9397-08002B2CF9AE}" pid="14" name="ActMadeUnder">
    <vt:lpwstr>Law Enforcement Integrity Commissioner Act 2006</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ExcoDate">
    <vt:lpwstr>23 March 2017</vt:lpwstr>
  </property>
  <property fmtid="{D5CDD505-2E9C-101B-9397-08002B2CF9AE}" pid="21" name="Converted">
    <vt:bool>false</vt:bool>
  </property>
  <property fmtid="{D5CDD505-2E9C-101B-9397-08002B2CF9AE}" pid="22" name="Compilation">
    <vt:lpwstr>Yes</vt:lpwstr>
  </property>
  <property fmtid="{D5CDD505-2E9C-101B-9397-08002B2CF9AE}" pid="23" name="CompilationNumber">
    <vt:lpwstr>3</vt:lpwstr>
  </property>
  <property fmtid="{D5CDD505-2E9C-101B-9397-08002B2CF9AE}" pid="24" name="StartDate">
    <vt:lpwstr>14 December 2021</vt:lpwstr>
  </property>
  <property fmtid="{D5CDD505-2E9C-101B-9397-08002B2CF9AE}" pid="25" name="IncludesUpTo">
    <vt:lpwstr>F2021L01765</vt:lpwstr>
  </property>
  <property fmtid="{D5CDD505-2E9C-101B-9397-08002B2CF9AE}" pid="26" name="RegisteredDate">
    <vt:lpwstr>12 January 2022</vt:lpwstr>
  </property>
  <property fmtid="{D5CDD505-2E9C-101B-9397-08002B2CF9AE}" pid="27" name="CompilationVersion">
    <vt:i4>3</vt:i4>
  </property>
</Properties>
</file>