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5B" w:rsidRPr="002F52C5" w:rsidRDefault="0003045B" w:rsidP="0003045B">
      <w:pPr>
        <w:pStyle w:val="Heading2"/>
        <w:jc w:val="center"/>
        <w:rPr>
          <w:rFonts w:ascii="Times New Roman" w:hAnsi="Times New Roman"/>
          <w:sz w:val="24"/>
          <w:szCs w:val="24"/>
        </w:rPr>
      </w:pPr>
      <w:r w:rsidRPr="002F52C5">
        <w:rPr>
          <w:rFonts w:ascii="Times New Roman" w:hAnsi="Times New Roman"/>
          <w:sz w:val="24"/>
          <w:szCs w:val="24"/>
        </w:rPr>
        <w:t>EXPLANATORY STATEMENT</w:t>
      </w:r>
    </w:p>
    <w:p w:rsidR="0003045B" w:rsidRPr="002F52C5" w:rsidRDefault="0003045B" w:rsidP="0003045B">
      <w:pPr>
        <w:pStyle w:val="Heading1"/>
        <w:spacing w:before="0" w:after="0"/>
        <w:jc w:val="center"/>
        <w:rPr>
          <w:rFonts w:ascii="Times New Roman" w:hAnsi="Times New Roman"/>
          <w:szCs w:val="24"/>
        </w:rPr>
      </w:pPr>
    </w:p>
    <w:p w:rsidR="0003045B" w:rsidRPr="002F52C5" w:rsidRDefault="00200B0D" w:rsidP="0003045B">
      <w:pPr>
        <w:pStyle w:val="Heading2"/>
        <w:spacing w:before="0"/>
        <w:jc w:val="center"/>
        <w:rPr>
          <w:rFonts w:ascii="Times New Roman" w:hAnsi="Times New Roman"/>
          <w:i/>
          <w:sz w:val="24"/>
          <w:szCs w:val="24"/>
        </w:rPr>
      </w:pPr>
      <w:r w:rsidRPr="002F52C5">
        <w:rPr>
          <w:rFonts w:ascii="Times New Roman" w:hAnsi="Times New Roman"/>
          <w:i/>
          <w:sz w:val="24"/>
          <w:szCs w:val="24"/>
        </w:rPr>
        <w:t xml:space="preserve">Private </w:t>
      </w:r>
      <w:r w:rsidR="0003045B" w:rsidRPr="002F52C5">
        <w:rPr>
          <w:rFonts w:ascii="Times New Roman" w:hAnsi="Times New Roman"/>
          <w:i/>
          <w:sz w:val="24"/>
          <w:szCs w:val="24"/>
        </w:rPr>
        <w:t xml:space="preserve">Health Insurance Act </w:t>
      </w:r>
      <w:r w:rsidR="00067FE1">
        <w:rPr>
          <w:rFonts w:ascii="Times New Roman" w:hAnsi="Times New Roman"/>
          <w:i/>
          <w:sz w:val="24"/>
          <w:szCs w:val="24"/>
        </w:rPr>
        <w:t>2007</w:t>
      </w:r>
      <w:bookmarkStart w:id="0" w:name="_GoBack"/>
      <w:bookmarkEnd w:id="0"/>
    </w:p>
    <w:p w:rsidR="0003045B" w:rsidRPr="002F52C5" w:rsidRDefault="0003045B" w:rsidP="0003045B">
      <w:pPr>
        <w:pStyle w:val="Heading1"/>
        <w:spacing w:before="0" w:after="0"/>
        <w:jc w:val="center"/>
        <w:rPr>
          <w:rFonts w:ascii="Times New Roman" w:hAnsi="Times New Roman"/>
          <w:i/>
          <w:iCs/>
          <w:color w:val="auto"/>
          <w:szCs w:val="24"/>
        </w:rPr>
      </w:pPr>
    </w:p>
    <w:p w:rsidR="0003045B" w:rsidRPr="002F52C5" w:rsidRDefault="00200B0D" w:rsidP="00B65922">
      <w:pPr>
        <w:pStyle w:val="Heading1"/>
        <w:spacing w:before="0" w:after="0"/>
        <w:jc w:val="center"/>
        <w:rPr>
          <w:rFonts w:ascii="Times New Roman" w:hAnsi="Times New Roman"/>
          <w:i/>
          <w:iCs/>
          <w:color w:val="auto"/>
          <w:szCs w:val="24"/>
        </w:rPr>
      </w:pPr>
      <w:r w:rsidRPr="002F52C5">
        <w:rPr>
          <w:rFonts w:ascii="Times New Roman" w:hAnsi="Times New Roman"/>
          <w:i/>
          <w:iCs/>
          <w:color w:val="auto"/>
          <w:szCs w:val="24"/>
        </w:rPr>
        <w:t xml:space="preserve">Private </w:t>
      </w:r>
      <w:r w:rsidR="0003045B" w:rsidRPr="002F52C5">
        <w:rPr>
          <w:rFonts w:ascii="Times New Roman" w:hAnsi="Times New Roman"/>
          <w:i/>
          <w:iCs/>
          <w:color w:val="auto"/>
          <w:szCs w:val="24"/>
        </w:rPr>
        <w:t>Health Insurance (</w:t>
      </w:r>
      <w:r w:rsidRPr="002F52C5">
        <w:rPr>
          <w:rFonts w:ascii="Times New Roman" w:hAnsi="Times New Roman"/>
          <w:i/>
          <w:iCs/>
          <w:color w:val="auto"/>
          <w:szCs w:val="24"/>
        </w:rPr>
        <w:t>Prostheses</w:t>
      </w:r>
      <w:r w:rsidR="0003045B" w:rsidRPr="002F52C5">
        <w:rPr>
          <w:rFonts w:ascii="Times New Roman" w:hAnsi="Times New Roman"/>
          <w:i/>
          <w:iCs/>
          <w:color w:val="auto"/>
          <w:szCs w:val="24"/>
        </w:rPr>
        <w:t xml:space="preserve">) Amendment </w:t>
      </w:r>
      <w:r w:rsidRPr="002F52C5">
        <w:rPr>
          <w:rFonts w:ascii="Times New Roman" w:hAnsi="Times New Roman"/>
          <w:i/>
          <w:iCs/>
          <w:color w:val="auto"/>
          <w:szCs w:val="24"/>
        </w:rPr>
        <w:t>Rules</w:t>
      </w:r>
      <w:r w:rsidR="0003045B" w:rsidRPr="002F52C5">
        <w:rPr>
          <w:rFonts w:ascii="Times New Roman" w:hAnsi="Times New Roman"/>
          <w:i/>
          <w:iCs/>
          <w:color w:val="auto"/>
          <w:szCs w:val="24"/>
        </w:rPr>
        <w:t xml:space="preserve"> </w:t>
      </w:r>
      <w:r w:rsidR="002F33E4" w:rsidRPr="002F52C5">
        <w:rPr>
          <w:rFonts w:ascii="Times New Roman" w:hAnsi="Times New Roman"/>
          <w:i/>
          <w:iCs/>
          <w:color w:val="auto"/>
          <w:szCs w:val="24"/>
        </w:rPr>
        <w:t>20</w:t>
      </w:r>
      <w:r w:rsidR="002F33E4">
        <w:rPr>
          <w:rFonts w:ascii="Times New Roman" w:hAnsi="Times New Roman"/>
          <w:i/>
          <w:iCs/>
          <w:color w:val="auto"/>
          <w:szCs w:val="24"/>
        </w:rPr>
        <w:t>17</w:t>
      </w:r>
      <w:r w:rsidR="002F33E4" w:rsidRPr="002F52C5">
        <w:rPr>
          <w:rFonts w:ascii="Times New Roman" w:hAnsi="Times New Roman"/>
          <w:i/>
          <w:iCs/>
          <w:color w:val="auto"/>
          <w:szCs w:val="24"/>
        </w:rPr>
        <w:t xml:space="preserve"> </w:t>
      </w:r>
      <w:r w:rsidR="002A7C98" w:rsidRPr="002F52C5">
        <w:rPr>
          <w:rFonts w:ascii="Times New Roman" w:hAnsi="Times New Roman"/>
          <w:i/>
          <w:iCs/>
          <w:color w:val="auto"/>
          <w:szCs w:val="24"/>
        </w:rPr>
        <w:t xml:space="preserve">(No. </w:t>
      </w:r>
      <w:r w:rsidR="000974CD">
        <w:rPr>
          <w:rFonts w:ascii="Times New Roman" w:hAnsi="Times New Roman"/>
          <w:i/>
          <w:iCs/>
          <w:color w:val="auto"/>
          <w:szCs w:val="24"/>
        </w:rPr>
        <w:t>2</w:t>
      </w:r>
      <w:r w:rsidR="00D133A8">
        <w:rPr>
          <w:rFonts w:ascii="Times New Roman" w:hAnsi="Times New Roman"/>
          <w:i/>
          <w:iCs/>
          <w:color w:val="auto"/>
          <w:szCs w:val="24"/>
        </w:rPr>
        <w:t>)</w:t>
      </w:r>
    </w:p>
    <w:p w:rsidR="0003045B" w:rsidRPr="002F52C5" w:rsidRDefault="0003045B" w:rsidP="0003045B">
      <w:pPr>
        <w:pStyle w:val="Heading1"/>
        <w:spacing w:before="0" w:after="0"/>
        <w:rPr>
          <w:rFonts w:ascii="Times New Roman" w:hAnsi="Times New Roman"/>
          <w:szCs w:val="24"/>
        </w:rPr>
      </w:pP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Section 333-20 of the </w:t>
      </w:r>
      <w:r w:rsidRPr="002F52C5">
        <w:rPr>
          <w:rFonts w:ascii="Times New Roman" w:hAnsi="Times New Roman"/>
          <w:i/>
          <w:iCs/>
          <w:color w:val="auto"/>
          <w:sz w:val="24"/>
          <w:szCs w:val="24"/>
          <w:lang w:eastAsia="en-AU"/>
        </w:rPr>
        <w:t xml:space="preserve">Private Health Insurance Act 2007 </w:t>
      </w:r>
      <w:r w:rsidRPr="002F52C5">
        <w:rPr>
          <w:rFonts w:ascii="Times New Roman" w:hAnsi="Times New Roman"/>
          <w:color w:val="auto"/>
          <w:sz w:val="24"/>
          <w:szCs w:val="24"/>
          <w:lang w:eastAsia="en-AU"/>
        </w:rPr>
        <w:t xml:space="preserve">(the Act) provides that the Minister may make </w:t>
      </w:r>
      <w:r w:rsidRPr="00C53B15">
        <w:rPr>
          <w:rFonts w:ascii="Times New Roman" w:hAnsi="Times New Roman"/>
          <w:iCs/>
          <w:color w:val="auto"/>
          <w:sz w:val="24"/>
          <w:szCs w:val="24"/>
          <w:lang w:eastAsia="en-AU"/>
        </w:rPr>
        <w:t>Private Health Insurance (Prostheses) Rules</w:t>
      </w:r>
      <w:r w:rsidRPr="00386089">
        <w:rPr>
          <w:rFonts w:ascii="Times New Roman" w:hAnsi="Times New Roman"/>
          <w:color w:val="auto"/>
          <w:sz w:val="24"/>
          <w:szCs w:val="24"/>
          <w:lang w:eastAsia="en-AU"/>
        </w:rPr>
        <w:t xml:space="preserve">, </w:t>
      </w:r>
      <w:r w:rsidRPr="002F52C5">
        <w:rPr>
          <w:rFonts w:ascii="Times New Roman" w:hAnsi="Times New Roman"/>
          <w:color w:val="auto"/>
          <w:sz w:val="24"/>
          <w:szCs w:val="24"/>
          <w:lang w:eastAsia="en-AU"/>
        </w:rPr>
        <w:t>providing for matters required or permitted by Part 3-3 of the Act, or necessary or convenient in order to carry out or give effect to Part 3-3 of the Act.</w:t>
      </w:r>
    </w:p>
    <w:p w:rsidR="00B777B0" w:rsidRDefault="008916EE"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Pr>
          <w:rFonts w:ascii="Times New Roman" w:hAnsi="Times New Roman"/>
          <w:sz w:val="24"/>
          <w:szCs w:val="24"/>
        </w:rPr>
        <w:t xml:space="preserve">The </w:t>
      </w:r>
      <w:r w:rsidRPr="00120F3D">
        <w:rPr>
          <w:rFonts w:ascii="Times New Roman" w:hAnsi="Times New Roman"/>
          <w:i/>
          <w:sz w:val="24"/>
          <w:szCs w:val="24"/>
        </w:rPr>
        <w:t>Private Health Insurance (Prostheses)</w:t>
      </w:r>
      <w:r w:rsidR="002E4CD8">
        <w:rPr>
          <w:rFonts w:ascii="Times New Roman" w:hAnsi="Times New Roman"/>
          <w:i/>
          <w:sz w:val="24"/>
          <w:szCs w:val="24"/>
        </w:rPr>
        <w:t xml:space="preserve"> </w:t>
      </w:r>
      <w:r w:rsidRPr="00120F3D">
        <w:rPr>
          <w:rFonts w:ascii="Times New Roman" w:hAnsi="Times New Roman"/>
          <w:i/>
          <w:sz w:val="24"/>
          <w:szCs w:val="24"/>
        </w:rPr>
        <w:t xml:space="preserve">Amendment Rules </w:t>
      </w:r>
      <w:r w:rsidR="002F33E4" w:rsidRPr="00120F3D">
        <w:rPr>
          <w:rFonts w:ascii="Times New Roman" w:hAnsi="Times New Roman"/>
          <w:i/>
          <w:sz w:val="24"/>
          <w:szCs w:val="24"/>
        </w:rPr>
        <w:t>201</w:t>
      </w:r>
      <w:r w:rsidR="002F33E4">
        <w:rPr>
          <w:rFonts w:ascii="Times New Roman" w:hAnsi="Times New Roman"/>
          <w:i/>
          <w:sz w:val="24"/>
          <w:szCs w:val="24"/>
        </w:rPr>
        <w:t>7</w:t>
      </w:r>
      <w:r w:rsidR="002F33E4" w:rsidRPr="00120F3D">
        <w:rPr>
          <w:rFonts w:ascii="Times New Roman" w:hAnsi="Times New Roman"/>
          <w:i/>
          <w:sz w:val="24"/>
          <w:szCs w:val="24"/>
        </w:rPr>
        <w:t xml:space="preserve"> </w:t>
      </w:r>
      <w:r w:rsidRPr="00120F3D">
        <w:rPr>
          <w:rFonts w:ascii="Times New Roman" w:hAnsi="Times New Roman"/>
          <w:i/>
          <w:sz w:val="24"/>
          <w:szCs w:val="24"/>
        </w:rPr>
        <w:t>(No.</w:t>
      </w:r>
      <w:r w:rsidR="008B4D38">
        <w:rPr>
          <w:rFonts w:ascii="Times New Roman" w:hAnsi="Times New Roman"/>
          <w:i/>
          <w:sz w:val="24"/>
          <w:szCs w:val="24"/>
        </w:rPr>
        <w:t xml:space="preserve"> </w:t>
      </w:r>
      <w:r w:rsidR="000974CD">
        <w:rPr>
          <w:rFonts w:ascii="Times New Roman" w:hAnsi="Times New Roman"/>
          <w:i/>
          <w:sz w:val="24"/>
          <w:szCs w:val="24"/>
        </w:rPr>
        <w:t>2</w:t>
      </w:r>
      <w:r w:rsidRPr="00120F3D">
        <w:rPr>
          <w:rFonts w:ascii="Times New Roman" w:hAnsi="Times New Roman"/>
          <w:i/>
          <w:sz w:val="24"/>
          <w:szCs w:val="24"/>
        </w:rPr>
        <w:t xml:space="preserve">) </w:t>
      </w:r>
      <w:r>
        <w:rPr>
          <w:rFonts w:ascii="Times New Roman" w:hAnsi="Times New Roman"/>
          <w:sz w:val="24"/>
          <w:szCs w:val="24"/>
        </w:rPr>
        <w:t xml:space="preserve">(the Amendment Rules) amend the </w:t>
      </w:r>
      <w:r w:rsidRPr="002F52C5">
        <w:rPr>
          <w:rFonts w:ascii="Times New Roman" w:hAnsi="Times New Roman"/>
          <w:i/>
          <w:sz w:val="24"/>
          <w:szCs w:val="24"/>
        </w:rPr>
        <w:t>Private Health Insurance (Prostheses) Rules 201</w:t>
      </w:r>
      <w:r w:rsidR="000974CD">
        <w:rPr>
          <w:rFonts w:ascii="Times New Roman" w:hAnsi="Times New Roman"/>
          <w:i/>
          <w:sz w:val="24"/>
          <w:szCs w:val="24"/>
        </w:rPr>
        <w:t>7</w:t>
      </w:r>
      <w:r w:rsidRPr="002F52C5">
        <w:rPr>
          <w:rFonts w:ascii="Times New Roman" w:hAnsi="Times New Roman"/>
          <w:i/>
          <w:sz w:val="24"/>
          <w:szCs w:val="24"/>
        </w:rPr>
        <w:t xml:space="preserve"> (No.</w:t>
      </w:r>
      <w:r w:rsidR="00D44B8D">
        <w:rPr>
          <w:rFonts w:ascii="Times New Roman" w:hAnsi="Times New Roman"/>
          <w:i/>
          <w:sz w:val="24"/>
          <w:szCs w:val="24"/>
        </w:rPr>
        <w:t> </w:t>
      </w:r>
      <w:r w:rsidR="000974CD">
        <w:rPr>
          <w:rFonts w:ascii="Times New Roman" w:hAnsi="Times New Roman"/>
          <w:i/>
          <w:sz w:val="24"/>
          <w:szCs w:val="24"/>
        </w:rPr>
        <w:t>1</w:t>
      </w:r>
      <w:r w:rsidRPr="002F52C5">
        <w:rPr>
          <w:rFonts w:ascii="Times New Roman" w:hAnsi="Times New Roman"/>
          <w:i/>
          <w:sz w:val="24"/>
          <w:szCs w:val="24"/>
        </w:rPr>
        <w:t>)</w:t>
      </w:r>
      <w:r w:rsidRPr="002F52C5">
        <w:rPr>
          <w:rFonts w:ascii="Times New Roman" w:hAnsi="Times New Roman"/>
          <w:sz w:val="24"/>
          <w:szCs w:val="24"/>
        </w:rPr>
        <w:t xml:space="preserve"> </w:t>
      </w:r>
      <w:r>
        <w:rPr>
          <w:rFonts w:ascii="Times New Roman" w:hAnsi="Times New Roman"/>
          <w:sz w:val="24"/>
          <w:szCs w:val="24"/>
        </w:rPr>
        <w:t>(the Principal Rules)</w:t>
      </w:r>
      <w:r w:rsidR="0035615F">
        <w:rPr>
          <w:rFonts w:ascii="Times New Roman" w:hAnsi="Times New Roman"/>
          <w:sz w:val="24"/>
          <w:szCs w:val="24"/>
        </w:rPr>
        <w:t xml:space="preserve"> </w:t>
      </w:r>
      <w:r w:rsidR="00D133A8">
        <w:rPr>
          <w:rFonts w:ascii="Times New Roman" w:hAnsi="Times New Roman"/>
          <w:sz w:val="24"/>
          <w:szCs w:val="24"/>
        </w:rPr>
        <w:t>to</w:t>
      </w:r>
      <w:r w:rsidR="00B777B0">
        <w:rPr>
          <w:rFonts w:ascii="Times New Roman" w:hAnsi="Times New Roman"/>
          <w:sz w:val="24"/>
          <w:szCs w:val="24"/>
        </w:rPr>
        <w:t xml:space="preserve"> </w:t>
      </w:r>
      <w:r w:rsidR="002E4CD8">
        <w:rPr>
          <w:rFonts w:ascii="Times New Roman" w:hAnsi="Times New Roman"/>
          <w:sz w:val="24"/>
          <w:szCs w:val="24"/>
        </w:rPr>
        <w:t>correct errors in the Principal Rules</w:t>
      </w:r>
      <w:r w:rsidR="00B777B0">
        <w:rPr>
          <w:rFonts w:ascii="Times New Roman" w:hAnsi="Times New Roman"/>
          <w:sz w:val="24"/>
          <w:szCs w:val="24"/>
        </w:rPr>
        <w:t xml:space="preserve">. </w:t>
      </w: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sz w:val="24"/>
          <w:szCs w:val="24"/>
        </w:rPr>
        <w:t xml:space="preserve">Item 4 of the table in subsection 72-1(2) of Part 3-3 of the Act provides for requirements that a complying health insurance policy that covers hospital treatment must meet.  There must be a benefit for the provision of a prosthesis, of a kind listed in the </w:t>
      </w:r>
      <w:r w:rsidR="00983B40">
        <w:rPr>
          <w:rFonts w:ascii="Times New Roman" w:hAnsi="Times New Roman"/>
          <w:sz w:val="24"/>
          <w:szCs w:val="24"/>
        </w:rPr>
        <w:t xml:space="preserve">Private Health Insurance (Prostheses) </w:t>
      </w:r>
      <w:r w:rsidR="00F75CC8">
        <w:rPr>
          <w:rFonts w:ascii="Times New Roman" w:hAnsi="Times New Roman"/>
          <w:sz w:val="24"/>
          <w:szCs w:val="24"/>
        </w:rPr>
        <w:t>Rules</w:t>
      </w:r>
      <w:r w:rsidRPr="002F52C5">
        <w:rPr>
          <w:rFonts w:ascii="Times New Roman" w:hAnsi="Times New Roman"/>
          <w:i/>
          <w:iCs/>
          <w:sz w:val="24"/>
          <w:szCs w:val="24"/>
        </w:rPr>
        <w:t xml:space="preserve"> </w:t>
      </w:r>
      <w:r w:rsidRPr="002F52C5">
        <w:rPr>
          <w:rFonts w:ascii="Times New Roman" w:hAnsi="Times New Roman"/>
          <w:sz w:val="24"/>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983B40">
        <w:rPr>
          <w:rFonts w:ascii="Times New Roman" w:hAnsi="Times New Roman"/>
          <w:sz w:val="24"/>
          <w:szCs w:val="24"/>
        </w:rPr>
        <w:t xml:space="preserve">Private Health Insurance (Prostheses) </w:t>
      </w:r>
      <w:r w:rsidR="00F75CC8">
        <w:rPr>
          <w:rFonts w:ascii="Times New Roman" w:hAnsi="Times New Roman"/>
          <w:sz w:val="24"/>
          <w:szCs w:val="24"/>
        </w:rPr>
        <w:t>Rules</w:t>
      </w:r>
      <w:r w:rsidRPr="002F52C5">
        <w:rPr>
          <w:rFonts w:ascii="Times New Roman" w:hAnsi="Times New Roman"/>
          <w:sz w:val="24"/>
          <w:szCs w:val="24"/>
        </w:rPr>
        <w:t xml:space="preserve">. </w:t>
      </w: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sz w:val="24"/>
          <w:szCs w:val="24"/>
        </w:rPr>
        <w:t>If the complying health insurance policy also covers hospital-substitute treatment, the same requirements apply.</w:t>
      </w:r>
    </w:p>
    <w:p w:rsidR="00482EA4" w:rsidRPr="002F52C5" w:rsidRDefault="000D206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color w:val="auto"/>
          <w:sz w:val="24"/>
          <w:szCs w:val="24"/>
          <w:lang w:eastAsia="en-AU"/>
        </w:rPr>
        <w:t>Listed prostheses are</w:t>
      </w:r>
      <w:r w:rsidR="00806265">
        <w:rPr>
          <w:rFonts w:ascii="Times New Roman" w:hAnsi="Times New Roman"/>
          <w:color w:val="auto"/>
          <w:sz w:val="24"/>
          <w:szCs w:val="24"/>
          <w:lang w:eastAsia="en-AU"/>
        </w:rPr>
        <w:t xml:space="preserve"> </w:t>
      </w:r>
      <w:r w:rsidRPr="002F52C5">
        <w:rPr>
          <w:rFonts w:ascii="Times New Roman" w:hAnsi="Times New Roman"/>
          <w:color w:val="auto"/>
          <w:sz w:val="24"/>
          <w:szCs w:val="24"/>
          <w:lang w:eastAsia="en-AU"/>
        </w:rPr>
        <w:t xml:space="preserve">set out in the Schedule to the </w:t>
      </w:r>
      <w:r w:rsidR="00983B40">
        <w:rPr>
          <w:rFonts w:ascii="Times New Roman" w:hAnsi="Times New Roman"/>
          <w:sz w:val="24"/>
          <w:szCs w:val="24"/>
        </w:rPr>
        <w:t>Private Health Insurance (Prostheses)</w:t>
      </w:r>
      <w:r w:rsidR="00983B40" w:rsidRPr="002F52C5">
        <w:rPr>
          <w:rFonts w:ascii="Times New Roman" w:hAnsi="Times New Roman"/>
          <w:sz w:val="24"/>
          <w:szCs w:val="24"/>
        </w:rPr>
        <w:t xml:space="preserve"> </w:t>
      </w:r>
      <w:r w:rsidRPr="002F52C5">
        <w:rPr>
          <w:rFonts w:ascii="Times New Roman" w:hAnsi="Times New Roman"/>
          <w:sz w:val="24"/>
          <w:szCs w:val="24"/>
        </w:rPr>
        <w:t xml:space="preserve">Rules.  </w:t>
      </w:r>
    </w:p>
    <w:p w:rsidR="003F3B99" w:rsidRPr="006A47F7" w:rsidRDefault="003F3B99" w:rsidP="00B777B0">
      <w:pPr>
        <w:rPr>
          <w:rFonts w:ascii="Times New Roman" w:hAnsi="Times New Roman"/>
          <w:sz w:val="24"/>
          <w:szCs w:val="24"/>
        </w:rPr>
      </w:pPr>
      <w:r>
        <w:rPr>
          <w:rFonts w:ascii="Times New Roman" w:hAnsi="Times New Roman"/>
          <w:sz w:val="24"/>
          <w:szCs w:val="24"/>
        </w:rPr>
        <w:t>The Amendment Rules vary the Principal Rules</w:t>
      </w:r>
      <w:r w:rsidR="00DA7064">
        <w:rPr>
          <w:rFonts w:ascii="Times New Roman" w:hAnsi="Times New Roman"/>
          <w:sz w:val="24"/>
          <w:szCs w:val="24"/>
        </w:rPr>
        <w:t xml:space="preserve"> by changing the listing details of 35 billing codes in Part B</w:t>
      </w:r>
      <w:r w:rsidR="00983B40">
        <w:rPr>
          <w:rFonts w:ascii="Times New Roman" w:hAnsi="Times New Roman"/>
          <w:sz w:val="24"/>
          <w:szCs w:val="24"/>
        </w:rPr>
        <w:t xml:space="preserve"> of the Schedule</w:t>
      </w:r>
      <w:r w:rsidR="00DA7064">
        <w:rPr>
          <w:rFonts w:ascii="Times New Roman" w:hAnsi="Times New Roman"/>
          <w:sz w:val="24"/>
          <w:szCs w:val="24"/>
        </w:rPr>
        <w:t xml:space="preserve"> to reflect the correct minimum benefit of the prostheses</w:t>
      </w:r>
      <w:r w:rsidR="00983B40">
        <w:rPr>
          <w:rFonts w:ascii="Times New Roman" w:hAnsi="Times New Roman"/>
          <w:sz w:val="24"/>
          <w:szCs w:val="24"/>
        </w:rPr>
        <w:t xml:space="preserve"> to apply from 28 March 2017, the date of commencement of the Principal Rules</w:t>
      </w:r>
      <w:r w:rsidR="00DA7064">
        <w:rPr>
          <w:rFonts w:ascii="Times New Roman" w:hAnsi="Times New Roman"/>
          <w:sz w:val="24"/>
          <w:szCs w:val="24"/>
        </w:rPr>
        <w:t>.</w:t>
      </w:r>
      <w:r>
        <w:rPr>
          <w:rFonts w:ascii="Times New Roman" w:hAnsi="Times New Roman"/>
          <w:sz w:val="24"/>
          <w:szCs w:val="24"/>
        </w:rPr>
        <w:t xml:space="preserve"> </w:t>
      </w:r>
    </w:p>
    <w:p w:rsidR="003F3B99" w:rsidRPr="006A47F7" w:rsidRDefault="00AF1BAE" w:rsidP="006A47F7">
      <w:pPr>
        <w:pStyle w:val="Default"/>
        <w:spacing w:after="240"/>
        <w:rPr>
          <w:rFonts w:ascii="Times New Roman" w:hAnsi="Times New Roman"/>
          <w:color w:val="222222"/>
        </w:rPr>
      </w:pPr>
      <w:r>
        <w:rPr>
          <w:rFonts w:ascii="Times New Roman" w:hAnsi="Times New Roman" w:cs="Times New Roman"/>
          <w:color w:val="222222"/>
        </w:rPr>
        <w:t>T</w:t>
      </w:r>
      <w:r w:rsidR="00553EDD" w:rsidRPr="007A7907">
        <w:rPr>
          <w:rFonts w:ascii="Times New Roman" w:hAnsi="Times New Roman" w:cs="Times New Roman"/>
          <w:color w:val="222222"/>
        </w:rPr>
        <w:t>h</w:t>
      </w:r>
      <w:r w:rsidR="00553EDD">
        <w:rPr>
          <w:rFonts w:ascii="Times New Roman" w:hAnsi="Times New Roman" w:cs="Times New Roman"/>
          <w:color w:val="222222"/>
        </w:rPr>
        <w:t>e</w:t>
      </w:r>
      <w:r w:rsidR="00553EDD" w:rsidRPr="007A7907">
        <w:rPr>
          <w:rFonts w:ascii="Times New Roman" w:hAnsi="Times New Roman" w:cs="Times New Roman"/>
          <w:color w:val="222222"/>
        </w:rPr>
        <w:t xml:space="preserve"> correction to </w:t>
      </w:r>
      <w:r w:rsidR="00553EDD">
        <w:rPr>
          <w:rFonts w:ascii="Times New Roman" w:hAnsi="Times New Roman" w:cs="Times New Roman"/>
          <w:color w:val="222222"/>
        </w:rPr>
        <w:t xml:space="preserve">the </w:t>
      </w:r>
      <w:r w:rsidR="000974CD">
        <w:rPr>
          <w:rFonts w:ascii="Times New Roman" w:hAnsi="Times New Roman" w:cs="Times New Roman"/>
          <w:color w:val="222222"/>
        </w:rPr>
        <w:t>35</w:t>
      </w:r>
      <w:r w:rsidR="00553EDD" w:rsidRPr="007A7907">
        <w:rPr>
          <w:rFonts w:ascii="Times New Roman" w:hAnsi="Times New Roman" w:cs="Times New Roman"/>
          <w:color w:val="222222"/>
        </w:rPr>
        <w:t xml:space="preserve"> </w:t>
      </w:r>
      <w:r w:rsidR="00553EDD">
        <w:rPr>
          <w:rFonts w:ascii="Times New Roman" w:hAnsi="Times New Roman" w:cs="Times New Roman"/>
          <w:color w:val="222222"/>
        </w:rPr>
        <w:t>billing codes</w:t>
      </w:r>
      <w:r w:rsidR="00553EDD" w:rsidRPr="007A7907">
        <w:rPr>
          <w:rFonts w:ascii="Times New Roman" w:hAnsi="Times New Roman" w:cs="Times New Roman"/>
          <w:color w:val="222222"/>
        </w:rPr>
        <w:t xml:space="preserve"> </w:t>
      </w:r>
      <w:r w:rsidR="00983B40">
        <w:rPr>
          <w:rFonts w:ascii="Times New Roman" w:hAnsi="Times New Roman" w:cs="Times New Roman"/>
          <w:color w:val="222222"/>
        </w:rPr>
        <w:t>will</w:t>
      </w:r>
      <w:r>
        <w:rPr>
          <w:rFonts w:ascii="Times New Roman" w:hAnsi="Times New Roman" w:cs="Times New Roman"/>
          <w:color w:val="222222"/>
        </w:rPr>
        <w:t xml:space="preserve"> be </w:t>
      </w:r>
      <w:r w:rsidR="00553EDD" w:rsidRPr="007A7907">
        <w:rPr>
          <w:rFonts w:ascii="Times New Roman" w:hAnsi="Times New Roman" w:cs="Times New Roman"/>
          <w:color w:val="222222"/>
        </w:rPr>
        <w:t xml:space="preserve">published </w:t>
      </w:r>
      <w:r w:rsidR="00F3394C">
        <w:rPr>
          <w:rFonts w:ascii="Times New Roman" w:hAnsi="Times New Roman" w:cs="Times New Roman"/>
          <w:color w:val="222222"/>
        </w:rPr>
        <w:t xml:space="preserve">by the Department </w:t>
      </w:r>
      <w:r w:rsidR="00966EAE">
        <w:rPr>
          <w:rFonts w:ascii="Times New Roman" w:hAnsi="Times New Roman" w:cs="Times New Roman"/>
          <w:color w:val="222222"/>
        </w:rPr>
        <w:t xml:space="preserve">on the Private Health Insurance website </w:t>
      </w:r>
      <w:r w:rsidR="00553EDD" w:rsidRPr="007A7907">
        <w:rPr>
          <w:rFonts w:ascii="Times New Roman" w:hAnsi="Times New Roman" w:cs="Times New Roman"/>
          <w:color w:val="222222"/>
        </w:rPr>
        <w:t xml:space="preserve">to </w:t>
      </w:r>
      <w:r w:rsidR="00E73EB7">
        <w:rPr>
          <w:rFonts w:ascii="Times New Roman" w:hAnsi="Times New Roman" w:cs="Times New Roman"/>
          <w:color w:val="222222"/>
        </w:rPr>
        <w:t>enable</w:t>
      </w:r>
      <w:r w:rsidR="00553EDD" w:rsidRPr="007A7907">
        <w:rPr>
          <w:rFonts w:ascii="Times New Roman" w:hAnsi="Times New Roman" w:cs="Times New Roman"/>
          <w:color w:val="222222"/>
        </w:rPr>
        <w:t xml:space="preserve"> hospitals and insurers to update their systems before the date</w:t>
      </w:r>
      <w:r w:rsidR="00E73EB7">
        <w:rPr>
          <w:rFonts w:ascii="Times New Roman" w:hAnsi="Times New Roman" w:cs="Times New Roman"/>
          <w:color w:val="222222"/>
        </w:rPr>
        <w:t xml:space="preserve"> of commencement</w:t>
      </w:r>
      <w:r w:rsidR="00983B40">
        <w:rPr>
          <w:rFonts w:ascii="Times New Roman" w:hAnsi="Times New Roman" w:cs="Times New Roman"/>
          <w:color w:val="222222"/>
        </w:rPr>
        <w:t xml:space="preserve"> of the Principal Rules</w:t>
      </w:r>
      <w:r w:rsidR="00553EDD" w:rsidRPr="007A7907">
        <w:rPr>
          <w:rFonts w:ascii="Times New Roman" w:hAnsi="Times New Roman" w:cs="Times New Roman"/>
          <w:color w:val="222222"/>
        </w:rPr>
        <w:t>.</w:t>
      </w:r>
    </w:p>
    <w:p w:rsidR="008916EE" w:rsidRPr="00D12434" w:rsidRDefault="002F52C5" w:rsidP="008916EE">
      <w:pPr>
        <w:rPr>
          <w:rFonts w:ascii="Times New Roman" w:hAnsi="Times New Roman"/>
          <w:sz w:val="24"/>
          <w:szCs w:val="24"/>
        </w:rPr>
      </w:pPr>
      <w:r w:rsidRPr="00D12434">
        <w:rPr>
          <w:rFonts w:ascii="Times New Roman" w:hAnsi="Times New Roman"/>
          <w:sz w:val="24"/>
          <w:szCs w:val="24"/>
        </w:rPr>
        <w:t>The Amendment Rules commence</w:t>
      </w:r>
      <w:r w:rsidR="0018701D">
        <w:rPr>
          <w:rFonts w:ascii="Times New Roman" w:hAnsi="Times New Roman"/>
          <w:sz w:val="24"/>
          <w:szCs w:val="24"/>
        </w:rPr>
        <w:t xml:space="preserve"> </w:t>
      </w:r>
      <w:r w:rsidR="005A032B">
        <w:rPr>
          <w:rFonts w:ascii="Times New Roman" w:hAnsi="Times New Roman"/>
          <w:sz w:val="24"/>
          <w:szCs w:val="24"/>
        </w:rPr>
        <w:t xml:space="preserve">immediately after the commencement of </w:t>
      </w:r>
      <w:r w:rsidR="000974CD">
        <w:rPr>
          <w:rFonts w:ascii="Times New Roman" w:hAnsi="Times New Roman"/>
          <w:sz w:val="24"/>
          <w:szCs w:val="24"/>
        </w:rPr>
        <w:t>the Principal Rules</w:t>
      </w:r>
      <w:r w:rsidR="00983B40">
        <w:rPr>
          <w:rFonts w:ascii="Times New Roman" w:hAnsi="Times New Roman"/>
          <w:sz w:val="24"/>
          <w:szCs w:val="24"/>
        </w:rPr>
        <w:t>.</w:t>
      </w:r>
    </w:p>
    <w:p w:rsidR="0058748F" w:rsidRDefault="0058748F">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b/>
          <w:sz w:val="24"/>
          <w:szCs w:val="24"/>
        </w:rPr>
      </w:pPr>
      <w:r>
        <w:rPr>
          <w:rFonts w:ascii="Times New Roman" w:hAnsi="Times New Roman"/>
          <w:b/>
          <w:sz w:val="24"/>
          <w:szCs w:val="24"/>
        </w:rPr>
        <w:br w:type="page"/>
      </w:r>
    </w:p>
    <w:p w:rsidR="004A7CCC" w:rsidRPr="002F52C5" w:rsidRDefault="004A7CCC" w:rsidP="006C2BAA">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00" w:line="240" w:lineRule="auto"/>
        <w:rPr>
          <w:rFonts w:ascii="Times New Roman" w:hAnsi="Times New Roman"/>
          <w:b/>
          <w:sz w:val="24"/>
          <w:szCs w:val="24"/>
        </w:rPr>
      </w:pPr>
      <w:r w:rsidRPr="002F52C5">
        <w:rPr>
          <w:rFonts w:ascii="Times New Roman" w:hAnsi="Times New Roman"/>
          <w:b/>
          <w:sz w:val="24"/>
          <w:szCs w:val="24"/>
        </w:rPr>
        <w:lastRenderedPageBreak/>
        <w:t>Consultation</w:t>
      </w:r>
    </w:p>
    <w:p w:rsidR="008B0CE0" w:rsidRPr="006A47F7" w:rsidRDefault="00E73EB7" w:rsidP="008A2255">
      <w:pPr>
        <w:rPr>
          <w:rFonts w:ascii="Times New Roman" w:hAnsi="Times New Roman"/>
          <w:sz w:val="24"/>
          <w:szCs w:val="24"/>
        </w:rPr>
      </w:pPr>
      <w:r>
        <w:rPr>
          <w:rFonts w:ascii="Times New Roman" w:hAnsi="Times New Roman"/>
          <w:sz w:val="24"/>
          <w:szCs w:val="24"/>
        </w:rPr>
        <w:t xml:space="preserve">As the Amendment Rules correct errors contained in </w:t>
      </w:r>
      <w:r w:rsidR="000974CD">
        <w:rPr>
          <w:rFonts w:ascii="Times New Roman" w:hAnsi="Times New Roman"/>
          <w:sz w:val="24"/>
          <w:szCs w:val="24"/>
        </w:rPr>
        <w:t>the Principal Rules</w:t>
      </w:r>
      <w:r>
        <w:rPr>
          <w:rFonts w:ascii="Times New Roman" w:hAnsi="Times New Roman"/>
          <w:sz w:val="24"/>
          <w:szCs w:val="24"/>
        </w:rPr>
        <w:t xml:space="preserve">, no </w:t>
      </w:r>
      <w:r w:rsidR="00B9740F">
        <w:rPr>
          <w:rFonts w:ascii="Times New Roman" w:hAnsi="Times New Roman"/>
          <w:sz w:val="24"/>
          <w:szCs w:val="24"/>
        </w:rPr>
        <w:t xml:space="preserve">further </w:t>
      </w:r>
      <w:r>
        <w:rPr>
          <w:rFonts w:ascii="Times New Roman" w:hAnsi="Times New Roman"/>
          <w:sz w:val="24"/>
          <w:szCs w:val="24"/>
        </w:rPr>
        <w:t>consultation was undertaken</w:t>
      </w:r>
      <w:r w:rsidR="00983B40">
        <w:rPr>
          <w:rFonts w:ascii="Times New Roman" w:hAnsi="Times New Roman"/>
          <w:sz w:val="24"/>
          <w:szCs w:val="24"/>
        </w:rPr>
        <w:t xml:space="preserve"> in relation to the Amendment Rules</w:t>
      </w:r>
      <w:r>
        <w:rPr>
          <w:rFonts w:ascii="Times New Roman" w:hAnsi="Times New Roman"/>
          <w:sz w:val="24"/>
          <w:szCs w:val="24"/>
        </w:rPr>
        <w:t>.</w:t>
      </w:r>
    </w:p>
    <w:p w:rsidR="008A2255" w:rsidRDefault="008A2255" w:rsidP="008A2255">
      <w:pPr>
        <w:rPr>
          <w:rFonts w:ascii="Times New Roman" w:hAnsi="Times New Roman"/>
          <w:sz w:val="24"/>
          <w:szCs w:val="24"/>
          <w:lang w:val="en-US"/>
        </w:rPr>
      </w:pPr>
      <w:r w:rsidRPr="0053747E">
        <w:rPr>
          <w:rFonts w:ascii="Times New Roman" w:hAnsi="Times New Roman"/>
          <w:sz w:val="24"/>
          <w:szCs w:val="24"/>
          <w:lang w:val="en-US"/>
        </w:rPr>
        <w:t>The Department has received a standing Regulatory Impact Statement exemption from the Department of Finance and Deregulation</w:t>
      </w:r>
      <w:r w:rsidRPr="002F52C5">
        <w:rPr>
          <w:rFonts w:ascii="Times New Roman" w:hAnsi="Times New Roman"/>
          <w:sz w:val="24"/>
          <w:szCs w:val="24"/>
          <w:lang w:val="en-US"/>
        </w:rPr>
        <w:t>.</w:t>
      </w:r>
    </w:p>
    <w:p w:rsidR="008916EE" w:rsidRDefault="008916EE" w:rsidP="008A2255">
      <w:pPr>
        <w:rPr>
          <w:rFonts w:ascii="Times New Roman" w:hAnsi="Times New Roman"/>
          <w:sz w:val="24"/>
          <w:szCs w:val="24"/>
          <w:lang w:val="en-US"/>
        </w:rPr>
      </w:pPr>
      <w:r>
        <w:rPr>
          <w:rFonts w:ascii="Times New Roman" w:hAnsi="Times New Roman"/>
          <w:sz w:val="24"/>
          <w:szCs w:val="24"/>
          <w:lang w:val="en-US"/>
        </w:rPr>
        <w:t xml:space="preserve">The Amendment Rules are a legislative instrument for the purposes of the </w:t>
      </w:r>
      <w:r w:rsidRPr="007A6EA0">
        <w:rPr>
          <w:rFonts w:ascii="Times New Roman" w:hAnsi="Times New Roman"/>
          <w:i/>
          <w:sz w:val="24"/>
          <w:szCs w:val="24"/>
          <w:lang w:val="en-US"/>
        </w:rPr>
        <w:t>Legislati</w:t>
      </w:r>
      <w:r w:rsidR="0018701D">
        <w:rPr>
          <w:rFonts w:ascii="Times New Roman" w:hAnsi="Times New Roman"/>
          <w:i/>
          <w:sz w:val="24"/>
          <w:szCs w:val="24"/>
          <w:lang w:val="en-US"/>
        </w:rPr>
        <w:t>on</w:t>
      </w:r>
      <w:r w:rsidRPr="007A6EA0">
        <w:rPr>
          <w:rFonts w:ascii="Times New Roman" w:hAnsi="Times New Roman"/>
          <w:i/>
          <w:sz w:val="24"/>
          <w:szCs w:val="24"/>
          <w:lang w:val="en-US"/>
        </w:rPr>
        <w:t xml:space="preserve"> Act 2003</w:t>
      </w:r>
      <w:r>
        <w:rPr>
          <w:rFonts w:ascii="Times New Roman" w:hAnsi="Times New Roman"/>
          <w:sz w:val="24"/>
          <w:szCs w:val="24"/>
          <w:lang w:val="en-US"/>
        </w:rPr>
        <w:t xml:space="preserve">. </w:t>
      </w:r>
    </w:p>
    <w:p w:rsidR="009C6DF7" w:rsidRPr="002F52C5" w:rsidRDefault="002F52C5" w:rsidP="009C6DF7">
      <w:pPr>
        <w:jc w:val="center"/>
        <w:rPr>
          <w:rFonts w:ascii="Times New Roman" w:hAnsi="Times New Roman"/>
          <w:b/>
          <w:color w:val="auto"/>
          <w:sz w:val="28"/>
          <w:szCs w:val="28"/>
          <w:lang w:eastAsia="en-AU"/>
        </w:rPr>
      </w:pPr>
      <w:r w:rsidRPr="002F52C5">
        <w:rPr>
          <w:rFonts w:ascii="Times New Roman" w:eastAsia="Calibri" w:hAnsi="Times New Roman"/>
          <w:b/>
          <w:szCs w:val="22"/>
        </w:rPr>
        <w:br w:type="page"/>
      </w:r>
      <w:r w:rsidR="003D68AE" w:rsidRPr="002F52C5" w:rsidDel="003D68AE">
        <w:rPr>
          <w:rFonts w:ascii="Times New Roman" w:eastAsia="Calibri" w:hAnsi="Times New Roman"/>
          <w:b/>
          <w:szCs w:val="22"/>
        </w:rPr>
        <w:lastRenderedPageBreak/>
        <w:t xml:space="preserve"> </w:t>
      </w:r>
      <w:r w:rsidR="009C6DF7" w:rsidRPr="002F52C5">
        <w:rPr>
          <w:rFonts w:ascii="Times New Roman" w:hAnsi="Times New Roman"/>
          <w:b/>
          <w:color w:val="auto"/>
          <w:sz w:val="28"/>
          <w:szCs w:val="28"/>
          <w:lang w:eastAsia="en-AU"/>
        </w:rPr>
        <w:t>Statement of Compatibility with Human Rights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i/>
          <w:color w:val="auto"/>
          <w:sz w:val="24"/>
          <w:szCs w:val="24"/>
          <w:lang w:eastAsia="en-AU"/>
        </w:rPr>
        <w:t>Prepared in accordance with Part 3 of the Human Rights (Parliamentary Scrutiny) Act 2011</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b/>
          <w:i/>
          <w:color w:val="auto"/>
          <w:sz w:val="24"/>
          <w:szCs w:val="24"/>
          <w:lang w:eastAsia="en-AU"/>
        </w:rPr>
      </w:pPr>
      <w:r w:rsidRPr="002F52C5">
        <w:rPr>
          <w:rFonts w:ascii="Times New Roman" w:hAnsi="Times New Roman"/>
          <w:b/>
          <w:i/>
          <w:color w:val="auto"/>
          <w:sz w:val="24"/>
          <w:szCs w:val="24"/>
          <w:lang w:eastAsia="en-AU"/>
        </w:rPr>
        <w:t xml:space="preserve">Private Health Insurance (Prostheses) Amendment Rules </w:t>
      </w:r>
      <w:r w:rsidR="00AF1BAE" w:rsidRPr="002F52C5">
        <w:rPr>
          <w:rFonts w:ascii="Times New Roman" w:hAnsi="Times New Roman"/>
          <w:b/>
          <w:i/>
          <w:color w:val="auto"/>
          <w:sz w:val="24"/>
          <w:szCs w:val="24"/>
          <w:lang w:eastAsia="en-AU"/>
        </w:rPr>
        <w:t>20</w:t>
      </w:r>
      <w:r w:rsidR="00AF1BAE">
        <w:rPr>
          <w:rFonts w:ascii="Times New Roman" w:hAnsi="Times New Roman"/>
          <w:b/>
          <w:i/>
          <w:color w:val="auto"/>
          <w:sz w:val="24"/>
          <w:szCs w:val="24"/>
          <w:lang w:eastAsia="en-AU"/>
        </w:rPr>
        <w:t>17</w:t>
      </w:r>
      <w:r w:rsidR="00AF1BAE" w:rsidRPr="002F52C5">
        <w:rPr>
          <w:rFonts w:ascii="Times New Roman" w:hAnsi="Times New Roman"/>
          <w:b/>
          <w:i/>
          <w:color w:val="auto"/>
          <w:sz w:val="24"/>
          <w:szCs w:val="24"/>
          <w:lang w:eastAsia="en-AU"/>
        </w:rPr>
        <w:t xml:space="preserve"> </w:t>
      </w:r>
      <w:r w:rsidRPr="002F52C5">
        <w:rPr>
          <w:rFonts w:ascii="Times New Roman" w:hAnsi="Times New Roman"/>
          <w:b/>
          <w:i/>
          <w:color w:val="auto"/>
          <w:sz w:val="24"/>
          <w:szCs w:val="24"/>
          <w:lang w:eastAsia="en-AU"/>
        </w:rPr>
        <w:t xml:space="preserve">(No. </w:t>
      </w:r>
      <w:r w:rsidR="000974CD">
        <w:rPr>
          <w:rFonts w:ascii="Times New Roman" w:hAnsi="Times New Roman"/>
          <w:b/>
          <w:i/>
          <w:color w:val="auto"/>
          <w:sz w:val="24"/>
          <w:szCs w:val="24"/>
          <w:lang w:eastAsia="en-AU"/>
        </w:rPr>
        <w:t>2</w:t>
      </w:r>
      <w:r w:rsidRPr="002F52C5">
        <w:rPr>
          <w:rFonts w:ascii="Times New Roman" w:hAnsi="Times New Roman"/>
          <w:b/>
          <w:i/>
          <w:color w:val="auto"/>
          <w:sz w:val="24"/>
          <w:szCs w:val="24"/>
          <w:lang w:eastAsia="en-AU"/>
        </w:rPr>
        <w:t>)</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b/>
          <w:color w:val="auto"/>
          <w:sz w:val="24"/>
          <w:szCs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This Legislative Instrument is compatible with the human rights and freedoms recognised or declared in the international instruments listed in section 3 of the </w:t>
      </w:r>
      <w:r w:rsidRPr="002F52C5">
        <w:rPr>
          <w:rFonts w:ascii="Times New Roman" w:hAnsi="Times New Roman"/>
          <w:i/>
          <w:color w:val="auto"/>
          <w:sz w:val="24"/>
          <w:szCs w:val="24"/>
          <w:lang w:eastAsia="en-AU"/>
        </w:rPr>
        <w:t>Human Rights (Parliamentary Scrutiny) Act 2011</w:t>
      </w:r>
      <w:r w:rsidRPr="002F52C5">
        <w:rPr>
          <w:rFonts w:ascii="Times New Roman" w:hAnsi="Times New Roman"/>
          <w:color w:val="auto"/>
          <w:sz w:val="24"/>
          <w:szCs w:val="24"/>
          <w:lang w:eastAsia="en-AU"/>
        </w:rPr>
        <w:t>.</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jc w:val="both"/>
        <w:rPr>
          <w:rFonts w:ascii="Times New Roman" w:hAnsi="Times New Roman"/>
          <w:b/>
          <w:color w:val="auto"/>
          <w:sz w:val="24"/>
          <w:szCs w:val="24"/>
          <w:lang w:eastAsia="en-AU"/>
        </w:rPr>
      </w:pPr>
      <w:r w:rsidRPr="002F52C5">
        <w:rPr>
          <w:rFonts w:ascii="Times New Roman" w:hAnsi="Times New Roman"/>
          <w:b/>
          <w:color w:val="auto"/>
          <w:sz w:val="24"/>
          <w:szCs w:val="24"/>
          <w:lang w:eastAsia="en-AU"/>
        </w:rPr>
        <w:t>Overview of the Legislative Instrument</w:t>
      </w:r>
    </w:p>
    <w:p w:rsidR="00C53B1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i/>
          <w:sz w:val="24"/>
          <w:szCs w:val="24"/>
        </w:rPr>
      </w:pPr>
      <w:r w:rsidRPr="00F5699A">
        <w:rPr>
          <w:rFonts w:ascii="Times New Roman" w:hAnsi="Times New Roman"/>
          <w:color w:val="auto"/>
          <w:sz w:val="24"/>
          <w:szCs w:val="24"/>
          <w:lang w:eastAsia="en-AU"/>
        </w:rPr>
        <w:t>The</w:t>
      </w:r>
      <w:r w:rsidRPr="002F52C5">
        <w:rPr>
          <w:rFonts w:ascii="Times New Roman" w:hAnsi="Times New Roman"/>
          <w:i/>
          <w:color w:val="auto"/>
          <w:sz w:val="24"/>
          <w:szCs w:val="24"/>
          <w:lang w:eastAsia="en-AU"/>
        </w:rPr>
        <w:t xml:space="preserve"> Private Health Insurance (Prostheses) Amendment Rules </w:t>
      </w:r>
      <w:r w:rsidR="002F33E4" w:rsidRPr="002F52C5">
        <w:rPr>
          <w:rFonts w:ascii="Times New Roman" w:hAnsi="Times New Roman"/>
          <w:i/>
          <w:color w:val="auto"/>
          <w:sz w:val="24"/>
          <w:szCs w:val="24"/>
          <w:lang w:eastAsia="en-AU"/>
        </w:rPr>
        <w:t>20</w:t>
      </w:r>
      <w:r w:rsidR="002F33E4">
        <w:rPr>
          <w:rFonts w:ascii="Times New Roman" w:hAnsi="Times New Roman"/>
          <w:i/>
          <w:color w:val="auto"/>
          <w:sz w:val="24"/>
          <w:szCs w:val="24"/>
          <w:lang w:eastAsia="en-AU"/>
        </w:rPr>
        <w:t>17</w:t>
      </w:r>
      <w:r w:rsidR="002F33E4" w:rsidRPr="002F52C5">
        <w:rPr>
          <w:rFonts w:ascii="Times New Roman" w:hAnsi="Times New Roman"/>
          <w:i/>
          <w:color w:val="auto"/>
          <w:sz w:val="24"/>
          <w:szCs w:val="24"/>
          <w:lang w:eastAsia="en-AU"/>
        </w:rPr>
        <w:t xml:space="preserve"> </w:t>
      </w:r>
      <w:r w:rsidRPr="002F52C5">
        <w:rPr>
          <w:rFonts w:ascii="Times New Roman" w:hAnsi="Times New Roman"/>
          <w:i/>
          <w:color w:val="auto"/>
          <w:sz w:val="24"/>
          <w:szCs w:val="24"/>
          <w:lang w:eastAsia="en-AU"/>
        </w:rPr>
        <w:t>(No.</w:t>
      </w:r>
      <w:r w:rsidR="0032440A">
        <w:rPr>
          <w:rFonts w:ascii="Times New Roman" w:hAnsi="Times New Roman"/>
          <w:i/>
          <w:color w:val="auto"/>
          <w:sz w:val="24"/>
          <w:szCs w:val="24"/>
          <w:lang w:eastAsia="en-AU"/>
        </w:rPr>
        <w:t xml:space="preserve"> </w:t>
      </w:r>
      <w:r w:rsidR="000974CD">
        <w:rPr>
          <w:rFonts w:ascii="Times New Roman" w:hAnsi="Times New Roman"/>
          <w:i/>
          <w:color w:val="auto"/>
          <w:sz w:val="24"/>
          <w:szCs w:val="24"/>
          <w:lang w:eastAsia="en-AU"/>
        </w:rPr>
        <w:t>2</w:t>
      </w:r>
      <w:r w:rsidRPr="002F52C5">
        <w:rPr>
          <w:rFonts w:ascii="Times New Roman" w:hAnsi="Times New Roman"/>
          <w:i/>
          <w:color w:val="auto"/>
          <w:sz w:val="24"/>
          <w:szCs w:val="24"/>
          <w:lang w:eastAsia="en-AU"/>
        </w:rPr>
        <w:t>)</w:t>
      </w:r>
      <w:r w:rsidRPr="002F52C5">
        <w:rPr>
          <w:rFonts w:ascii="Times New Roman" w:hAnsi="Times New Roman"/>
          <w:color w:val="auto"/>
          <w:sz w:val="24"/>
          <w:szCs w:val="24"/>
          <w:lang w:eastAsia="en-AU"/>
        </w:rPr>
        <w:t xml:space="preserve"> (the </w:t>
      </w:r>
      <w:r w:rsidR="00FB67D3">
        <w:rPr>
          <w:rFonts w:ascii="Times New Roman" w:hAnsi="Times New Roman"/>
          <w:color w:val="auto"/>
          <w:sz w:val="24"/>
          <w:szCs w:val="24"/>
          <w:lang w:eastAsia="en-AU"/>
        </w:rPr>
        <w:t xml:space="preserve">Amendment </w:t>
      </w:r>
      <w:r w:rsidRPr="002F52C5">
        <w:rPr>
          <w:rFonts w:ascii="Times New Roman" w:hAnsi="Times New Roman"/>
          <w:color w:val="auto"/>
          <w:sz w:val="24"/>
          <w:szCs w:val="24"/>
          <w:lang w:eastAsia="en-AU"/>
        </w:rPr>
        <w:t xml:space="preserve">Rules) amend the </w:t>
      </w:r>
      <w:r w:rsidRPr="002F52C5">
        <w:rPr>
          <w:rFonts w:ascii="Times New Roman" w:hAnsi="Times New Roman"/>
          <w:i/>
          <w:color w:val="auto"/>
          <w:sz w:val="24"/>
          <w:szCs w:val="24"/>
          <w:lang w:eastAsia="en-AU"/>
        </w:rPr>
        <w:t>Private Health Insurance (Prostheses) Rules 201</w:t>
      </w:r>
      <w:r w:rsidR="000974CD">
        <w:rPr>
          <w:rFonts w:ascii="Times New Roman" w:hAnsi="Times New Roman"/>
          <w:i/>
          <w:color w:val="auto"/>
          <w:sz w:val="24"/>
          <w:szCs w:val="24"/>
          <w:lang w:eastAsia="en-AU"/>
        </w:rPr>
        <w:t>7</w:t>
      </w:r>
      <w:r w:rsidRPr="002F52C5">
        <w:rPr>
          <w:rFonts w:ascii="Times New Roman" w:hAnsi="Times New Roman"/>
          <w:i/>
          <w:color w:val="auto"/>
          <w:sz w:val="24"/>
          <w:szCs w:val="24"/>
          <w:lang w:eastAsia="en-AU"/>
        </w:rPr>
        <w:t xml:space="preserve"> (No.</w:t>
      </w:r>
      <w:r w:rsidR="00966EAE">
        <w:rPr>
          <w:rFonts w:ascii="Times New Roman" w:hAnsi="Times New Roman"/>
          <w:i/>
          <w:color w:val="auto"/>
          <w:sz w:val="24"/>
          <w:szCs w:val="24"/>
          <w:lang w:eastAsia="en-AU"/>
        </w:rPr>
        <w:t> </w:t>
      </w:r>
      <w:r w:rsidR="000974CD">
        <w:rPr>
          <w:rFonts w:ascii="Times New Roman" w:hAnsi="Times New Roman"/>
          <w:i/>
          <w:color w:val="auto"/>
          <w:sz w:val="24"/>
          <w:szCs w:val="24"/>
          <w:lang w:eastAsia="en-AU"/>
        </w:rPr>
        <w:t>1</w:t>
      </w:r>
      <w:r w:rsidRPr="002F52C5">
        <w:rPr>
          <w:rFonts w:ascii="Times New Roman" w:hAnsi="Times New Roman"/>
          <w:i/>
          <w:color w:val="auto"/>
          <w:sz w:val="24"/>
          <w:szCs w:val="24"/>
          <w:lang w:eastAsia="en-AU"/>
        </w:rPr>
        <w:t>)</w:t>
      </w:r>
      <w:r w:rsidRPr="002F52C5">
        <w:rPr>
          <w:rFonts w:ascii="Times New Roman" w:hAnsi="Times New Roman"/>
          <w:color w:val="auto"/>
          <w:sz w:val="24"/>
          <w:szCs w:val="24"/>
          <w:lang w:eastAsia="en-AU"/>
        </w:rPr>
        <w:t xml:space="preserve"> (the Pr</w:t>
      </w:r>
      <w:r w:rsidR="003D68AE">
        <w:rPr>
          <w:rFonts w:ascii="Times New Roman" w:hAnsi="Times New Roman"/>
          <w:color w:val="auto"/>
          <w:sz w:val="24"/>
          <w:szCs w:val="24"/>
          <w:lang w:eastAsia="en-AU"/>
        </w:rPr>
        <w:t>incipal</w:t>
      </w:r>
      <w:r w:rsidRPr="002F52C5">
        <w:rPr>
          <w:rFonts w:ascii="Times New Roman" w:hAnsi="Times New Roman"/>
          <w:color w:val="auto"/>
          <w:sz w:val="24"/>
          <w:szCs w:val="24"/>
          <w:lang w:eastAsia="en-AU"/>
        </w:rPr>
        <w:t xml:space="preserve"> Rules)</w:t>
      </w:r>
      <w:r w:rsidR="0012478C">
        <w:rPr>
          <w:rFonts w:ascii="Times New Roman" w:hAnsi="Times New Roman"/>
          <w:color w:val="auto"/>
          <w:sz w:val="24"/>
          <w:szCs w:val="24"/>
          <w:lang w:eastAsia="en-AU"/>
        </w:rPr>
        <w:t xml:space="preserve"> </w:t>
      </w:r>
      <w:r w:rsidR="0012478C">
        <w:rPr>
          <w:rFonts w:ascii="Times New Roman" w:hAnsi="Times New Roman"/>
          <w:sz w:val="24"/>
          <w:szCs w:val="24"/>
        </w:rPr>
        <w:t xml:space="preserve">to </w:t>
      </w:r>
      <w:r w:rsidR="00B97510">
        <w:rPr>
          <w:rFonts w:ascii="Times New Roman" w:hAnsi="Times New Roman"/>
          <w:sz w:val="24"/>
          <w:szCs w:val="24"/>
        </w:rPr>
        <w:t xml:space="preserve">correct errors </w:t>
      </w:r>
      <w:r w:rsidR="00B6720B">
        <w:rPr>
          <w:rFonts w:ascii="Times New Roman" w:hAnsi="Times New Roman"/>
          <w:sz w:val="24"/>
          <w:szCs w:val="24"/>
        </w:rPr>
        <w:t>in the Principal Rules</w:t>
      </w:r>
      <w:r w:rsidR="000974CD">
        <w:rPr>
          <w:rFonts w:ascii="Times New Roman" w:hAnsi="Times New Roman"/>
          <w:i/>
          <w:sz w:val="24"/>
          <w:szCs w:val="24"/>
        </w:rPr>
        <w:t>.</w:t>
      </w:r>
    </w:p>
    <w:p w:rsidR="000974CD" w:rsidRDefault="000974CD"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3D68AE" w:rsidRPr="002F52C5"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2F52C5">
        <w:rPr>
          <w:rFonts w:ascii="Times New Roman" w:hAnsi="Times New Roman"/>
          <w:sz w:val="24"/>
          <w:szCs w:val="24"/>
        </w:rPr>
        <w:t xml:space="preserve">Item 4 of the table in subsection 72-1(2) of Part 3-3 of the </w:t>
      </w:r>
      <w:r w:rsidRPr="007A6EA0">
        <w:rPr>
          <w:rFonts w:ascii="Times New Roman" w:hAnsi="Times New Roman"/>
          <w:i/>
          <w:sz w:val="24"/>
          <w:szCs w:val="24"/>
        </w:rPr>
        <w:t>Private Health Insurance Act 2007</w:t>
      </w:r>
      <w:r>
        <w:rPr>
          <w:rFonts w:ascii="Times New Roman" w:hAnsi="Times New Roman"/>
          <w:sz w:val="24"/>
          <w:szCs w:val="24"/>
        </w:rPr>
        <w:t xml:space="preserve"> </w:t>
      </w:r>
      <w:r w:rsidRPr="002F52C5">
        <w:rPr>
          <w:rFonts w:ascii="Times New Roman" w:hAnsi="Times New Roman"/>
          <w:sz w:val="24"/>
          <w:szCs w:val="24"/>
        </w:rPr>
        <w:t>provides for requirements that a complying health insurance policy that covers hospital treatment must meet.  There must be a benefit for the provision of a prosthesis, of a kind listed in the</w:t>
      </w:r>
      <w:r w:rsidR="00F130E6">
        <w:rPr>
          <w:rFonts w:ascii="Times New Roman" w:hAnsi="Times New Roman"/>
          <w:sz w:val="24"/>
          <w:szCs w:val="24"/>
        </w:rPr>
        <w:t xml:space="preserve"> Private Health Insurance (Prostheses)</w:t>
      </w:r>
      <w:r w:rsidR="005A1B3A">
        <w:rPr>
          <w:rFonts w:ascii="Times New Roman" w:hAnsi="Times New Roman"/>
          <w:sz w:val="24"/>
          <w:szCs w:val="24"/>
        </w:rPr>
        <w:t xml:space="preserve"> Rules</w:t>
      </w:r>
      <w:r w:rsidRPr="002F52C5">
        <w:rPr>
          <w:rFonts w:ascii="Times New Roman" w:hAnsi="Times New Roman"/>
          <w:i/>
          <w:iCs/>
          <w:sz w:val="24"/>
          <w:szCs w:val="24"/>
        </w:rPr>
        <w:t xml:space="preserve"> </w:t>
      </w:r>
      <w:r w:rsidRPr="002F52C5">
        <w:rPr>
          <w:rFonts w:ascii="Times New Roman" w:hAnsi="Times New Roman"/>
          <w:sz w:val="24"/>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F130E6">
        <w:rPr>
          <w:rFonts w:ascii="Times New Roman" w:hAnsi="Times New Roman"/>
          <w:sz w:val="24"/>
          <w:szCs w:val="24"/>
        </w:rPr>
        <w:t xml:space="preserve">Private Health Insurance (Prostheses) </w:t>
      </w:r>
      <w:r w:rsidR="005A1B3A">
        <w:rPr>
          <w:rFonts w:ascii="Times New Roman" w:hAnsi="Times New Roman"/>
          <w:sz w:val="24"/>
          <w:szCs w:val="24"/>
        </w:rPr>
        <w:t>Rules</w:t>
      </w:r>
      <w:r w:rsidRPr="002F52C5">
        <w:rPr>
          <w:rFonts w:ascii="Times New Roman" w:hAnsi="Times New Roman"/>
          <w:sz w:val="24"/>
          <w:szCs w:val="24"/>
        </w:rPr>
        <w:t xml:space="preserve">. </w:t>
      </w:r>
    </w:p>
    <w:p w:rsidR="003D68AE"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p>
    <w:p w:rsidR="003D68AE" w:rsidRPr="002F52C5"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2F52C5">
        <w:rPr>
          <w:rFonts w:ascii="Times New Roman" w:hAnsi="Times New Roman"/>
          <w:sz w:val="24"/>
          <w:szCs w:val="24"/>
        </w:rPr>
        <w:t>If the complying health insurance policy also covers hospital-substitute treatment, the same requirements apply.</w:t>
      </w:r>
    </w:p>
    <w:p w:rsidR="003D68AE" w:rsidRDefault="003D68AE" w:rsidP="003D68A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9C6DF7" w:rsidRPr="002F52C5" w:rsidRDefault="003D68AE" w:rsidP="003D68A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r w:rsidRPr="002F52C5">
        <w:rPr>
          <w:rFonts w:ascii="Times New Roman" w:hAnsi="Times New Roman"/>
          <w:color w:val="auto"/>
          <w:sz w:val="24"/>
          <w:szCs w:val="24"/>
          <w:lang w:eastAsia="en-AU"/>
        </w:rPr>
        <w:t>Listed prostheses</w:t>
      </w:r>
      <w:r>
        <w:rPr>
          <w:rFonts w:ascii="Times New Roman" w:hAnsi="Times New Roman"/>
          <w:color w:val="auto"/>
          <w:sz w:val="24"/>
          <w:szCs w:val="24"/>
          <w:lang w:eastAsia="en-AU"/>
        </w:rPr>
        <w:t>, identified by billing code,</w:t>
      </w:r>
      <w:r w:rsidRPr="002F52C5">
        <w:rPr>
          <w:rFonts w:ascii="Times New Roman" w:hAnsi="Times New Roman"/>
          <w:color w:val="auto"/>
          <w:sz w:val="24"/>
          <w:szCs w:val="24"/>
          <w:lang w:eastAsia="en-AU"/>
        </w:rPr>
        <w:t xml:space="preserve"> are</w:t>
      </w:r>
      <w:r w:rsidR="00F130E6">
        <w:rPr>
          <w:rFonts w:ascii="Times New Roman" w:hAnsi="Times New Roman"/>
          <w:color w:val="auto"/>
          <w:sz w:val="24"/>
          <w:szCs w:val="24"/>
          <w:lang w:eastAsia="en-AU"/>
        </w:rPr>
        <w:t xml:space="preserve"> </w:t>
      </w:r>
      <w:r w:rsidRPr="002F52C5">
        <w:rPr>
          <w:rFonts w:ascii="Times New Roman" w:hAnsi="Times New Roman"/>
          <w:color w:val="auto"/>
          <w:sz w:val="24"/>
          <w:szCs w:val="24"/>
          <w:lang w:eastAsia="en-AU"/>
        </w:rPr>
        <w:t xml:space="preserve">set out in the Schedule to the </w:t>
      </w:r>
      <w:r w:rsidR="00F130E6">
        <w:rPr>
          <w:rFonts w:ascii="Times New Roman" w:hAnsi="Times New Roman"/>
          <w:sz w:val="24"/>
          <w:szCs w:val="24"/>
        </w:rPr>
        <w:t>Private Health Insurance (Prostheses)</w:t>
      </w:r>
      <w:r w:rsidR="00F130E6" w:rsidRPr="002F52C5">
        <w:rPr>
          <w:rFonts w:ascii="Times New Roman" w:hAnsi="Times New Roman"/>
          <w:sz w:val="24"/>
          <w:szCs w:val="24"/>
        </w:rPr>
        <w:t xml:space="preserve"> </w:t>
      </w:r>
      <w:r w:rsidRPr="002F52C5">
        <w:rPr>
          <w:rFonts w:ascii="Times New Roman" w:hAnsi="Times New Roman"/>
          <w:sz w:val="24"/>
          <w:szCs w:val="24"/>
        </w:rPr>
        <w:t xml:space="preserve">Rules.  </w:t>
      </w:r>
    </w:p>
    <w:p w:rsidR="003D68AE" w:rsidRDefault="003D68AE"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58748F" w:rsidRDefault="003D68AE" w:rsidP="006A47F7">
      <w:pPr>
        <w:spacing w:before="0" w:line="240" w:lineRule="auto"/>
        <w:rPr>
          <w:rFonts w:ascii="Times New Roman" w:hAnsi="Times New Roman"/>
          <w:sz w:val="24"/>
          <w:szCs w:val="24"/>
        </w:rPr>
      </w:pPr>
      <w:r>
        <w:rPr>
          <w:rFonts w:ascii="Times New Roman" w:hAnsi="Times New Roman"/>
          <w:color w:val="auto"/>
          <w:sz w:val="24"/>
          <w:szCs w:val="24"/>
          <w:lang w:eastAsia="en-AU"/>
        </w:rPr>
        <w:t>T</w:t>
      </w:r>
      <w:r w:rsidR="009C6DF7" w:rsidRPr="002F52C5">
        <w:rPr>
          <w:rFonts w:ascii="Times New Roman" w:hAnsi="Times New Roman"/>
          <w:color w:val="auto"/>
          <w:sz w:val="24"/>
          <w:szCs w:val="24"/>
          <w:lang w:eastAsia="en-AU"/>
        </w:rPr>
        <w:t xml:space="preserve">he </w:t>
      </w:r>
      <w:r w:rsidR="005A1B3A">
        <w:rPr>
          <w:rFonts w:ascii="Times New Roman" w:hAnsi="Times New Roman"/>
          <w:color w:val="auto"/>
          <w:sz w:val="24"/>
          <w:szCs w:val="24"/>
          <w:lang w:eastAsia="en-AU"/>
        </w:rPr>
        <w:t xml:space="preserve">Amendment </w:t>
      </w:r>
      <w:r w:rsidR="009C6DF7" w:rsidRPr="002F52C5">
        <w:rPr>
          <w:rFonts w:ascii="Times New Roman" w:hAnsi="Times New Roman"/>
          <w:color w:val="auto"/>
          <w:sz w:val="24"/>
          <w:szCs w:val="24"/>
          <w:lang w:eastAsia="en-AU"/>
        </w:rPr>
        <w:t xml:space="preserve">Rules </w:t>
      </w:r>
      <w:r>
        <w:rPr>
          <w:rFonts w:ascii="Times New Roman" w:hAnsi="Times New Roman"/>
          <w:color w:val="auto"/>
          <w:sz w:val="24"/>
          <w:szCs w:val="24"/>
          <w:lang w:eastAsia="en-AU"/>
        </w:rPr>
        <w:t>amend the Principal Rules</w:t>
      </w:r>
      <w:r w:rsidR="00DA20D8">
        <w:rPr>
          <w:rFonts w:ascii="Times New Roman" w:hAnsi="Times New Roman"/>
          <w:sz w:val="24"/>
          <w:szCs w:val="24"/>
        </w:rPr>
        <w:t xml:space="preserve"> by</w:t>
      </w:r>
      <w:r w:rsidR="002B2B46">
        <w:rPr>
          <w:rFonts w:ascii="Times New Roman" w:hAnsi="Times New Roman"/>
          <w:sz w:val="24"/>
          <w:szCs w:val="24"/>
        </w:rPr>
        <w:t xml:space="preserve"> changing the listing details of 35 billing codes in Part B to reflect the correct </w:t>
      </w:r>
      <w:r w:rsidR="00983B40">
        <w:rPr>
          <w:rFonts w:ascii="Times New Roman" w:hAnsi="Times New Roman"/>
          <w:sz w:val="24"/>
          <w:szCs w:val="24"/>
        </w:rPr>
        <w:t>minimum benefit of the prosthese</w:t>
      </w:r>
      <w:r w:rsidR="002B2B46">
        <w:rPr>
          <w:rFonts w:ascii="Times New Roman" w:hAnsi="Times New Roman"/>
          <w:sz w:val="24"/>
          <w:szCs w:val="24"/>
        </w:rPr>
        <w:t>s.</w:t>
      </w:r>
      <w:r w:rsidR="00DA20D8">
        <w:rPr>
          <w:rFonts w:ascii="Times New Roman" w:hAnsi="Times New Roman"/>
          <w:sz w:val="24"/>
          <w:szCs w:val="24"/>
        </w:rPr>
        <w:t xml:space="preserve"> </w:t>
      </w:r>
    </w:p>
    <w:p w:rsidR="009C6DF7" w:rsidRPr="002F52C5" w:rsidRDefault="009C6DF7" w:rsidP="0058748F">
      <w:pPr>
        <w:rPr>
          <w:rFonts w:ascii="Times New Roman" w:hAnsi="Times New Roman"/>
          <w:b/>
          <w:color w:val="auto"/>
          <w:sz w:val="24"/>
          <w:szCs w:val="24"/>
          <w:lang w:eastAsia="en-AU"/>
        </w:rPr>
      </w:pPr>
      <w:r w:rsidRPr="002F52C5">
        <w:rPr>
          <w:rFonts w:ascii="Times New Roman" w:hAnsi="Times New Roman"/>
          <w:b/>
          <w:color w:val="auto"/>
          <w:sz w:val="24"/>
          <w:szCs w:val="24"/>
          <w:lang w:eastAsia="en-AU"/>
        </w:rPr>
        <w:t>Human rights implications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r w:rsidRPr="002F52C5">
        <w:rPr>
          <w:rFonts w:ascii="Times New Roman" w:hAnsi="Times New Roman"/>
          <w:color w:val="262626"/>
          <w:sz w:val="24"/>
          <w:szCs w:val="24"/>
          <w:lang w:eastAsia="en-AU"/>
        </w:rPr>
        <w:t xml:space="preserve">The </w:t>
      </w:r>
      <w:r w:rsidR="00414776">
        <w:rPr>
          <w:rFonts w:ascii="Times New Roman" w:hAnsi="Times New Roman"/>
          <w:color w:val="262626"/>
          <w:sz w:val="24"/>
          <w:szCs w:val="24"/>
          <w:lang w:eastAsia="en-AU"/>
        </w:rPr>
        <w:t xml:space="preserve">Amendment </w:t>
      </w:r>
      <w:r w:rsidRPr="002F52C5">
        <w:rPr>
          <w:rFonts w:ascii="Times New Roman" w:hAnsi="Times New Roman"/>
          <w:color w:val="262626"/>
          <w:sz w:val="24"/>
          <w:szCs w:val="24"/>
          <w:lang w:eastAsia="en-AU"/>
        </w:rPr>
        <w:t>Rules engage the following human rights: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p>
    <w:p w:rsidR="009C6DF7" w:rsidRPr="002F52C5" w:rsidRDefault="009C6DF7" w:rsidP="006C2BA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i/>
          <w:color w:val="262626"/>
          <w:sz w:val="24"/>
          <w:szCs w:val="24"/>
          <w:lang w:eastAsia="en-AU"/>
        </w:rPr>
      </w:pPr>
      <w:r w:rsidRPr="002F52C5">
        <w:rPr>
          <w:rFonts w:ascii="Times New Roman" w:hAnsi="Times New Roman"/>
          <w:i/>
          <w:color w:val="262626"/>
          <w:sz w:val="24"/>
          <w:szCs w:val="24"/>
          <w:lang w:eastAsia="en-AU"/>
        </w:rPr>
        <w:t>Right to Health</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p>
    <w:p w:rsidR="009C6DF7"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sidRPr="002F52C5">
        <w:rPr>
          <w:rFonts w:ascii="Times New Roman" w:hAnsi="Times New Roman"/>
          <w:sz w:val="24"/>
          <w:szCs w:val="24"/>
          <w:lang w:val="en-US" w:eastAsia="en-AU"/>
        </w:rPr>
        <w:t>The right to health – the right to the enjoyment of the highest attainable standard of physical and mental health – is contained in article 12(1) of the International Covenant on Economic Social and Cultural Rights (ICESCR).  Whilst the UN Committee on Economic Social and Cultural Rights (the Committee) has stated that the right to health is not to be understood as a right to be healthy, it does entail a right to a system of health protection which provides equality of opportunity for people to enjoy the highest attainable level of health.</w:t>
      </w:r>
    </w:p>
    <w:p w:rsidR="00B97510" w:rsidRDefault="00B97510"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p>
    <w:p w:rsidR="00AF1BAE" w:rsidRPr="006A47F7" w:rsidRDefault="00B97510" w:rsidP="006A47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r>
        <w:rPr>
          <w:rFonts w:ascii="Times New Roman" w:hAnsi="Times New Roman"/>
          <w:sz w:val="24"/>
          <w:szCs w:val="24"/>
          <w:lang w:val="en-US" w:eastAsia="en-AU"/>
        </w:rPr>
        <w:t xml:space="preserve">The Amendment Rules correct the </w:t>
      </w:r>
      <w:r w:rsidR="002B2B46">
        <w:rPr>
          <w:rFonts w:ascii="Times New Roman" w:hAnsi="Times New Roman"/>
          <w:sz w:val="24"/>
          <w:szCs w:val="24"/>
          <w:lang w:val="en-US" w:eastAsia="en-AU"/>
        </w:rPr>
        <w:t>minimum benefit payable for</w:t>
      </w:r>
      <w:r>
        <w:rPr>
          <w:rFonts w:ascii="Times New Roman" w:hAnsi="Times New Roman"/>
          <w:sz w:val="24"/>
          <w:szCs w:val="24"/>
          <w:lang w:val="en-US" w:eastAsia="en-AU"/>
        </w:rPr>
        <w:t xml:space="preserve"> </w:t>
      </w:r>
      <w:r w:rsidR="002B2B46">
        <w:rPr>
          <w:rFonts w:ascii="Times New Roman" w:hAnsi="Times New Roman"/>
          <w:sz w:val="24"/>
          <w:szCs w:val="24"/>
          <w:lang w:val="en-US" w:eastAsia="en-AU"/>
        </w:rPr>
        <w:t xml:space="preserve">35 </w:t>
      </w:r>
      <w:r>
        <w:rPr>
          <w:rFonts w:ascii="Times New Roman" w:hAnsi="Times New Roman"/>
          <w:sz w:val="24"/>
          <w:szCs w:val="24"/>
          <w:lang w:val="en-US" w:eastAsia="en-AU"/>
        </w:rPr>
        <w:t>prosthes</w:t>
      </w:r>
      <w:r w:rsidR="007A6014">
        <w:rPr>
          <w:rFonts w:ascii="Times New Roman" w:hAnsi="Times New Roman"/>
          <w:sz w:val="24"/>
          <w:szCs w:val="24"/>
          <w:lang w:val="en-US" w:eastAsia="en-AU"/>
        </w:rPr>
        <w:t>e</w:t>
      </w:r>
      <w:r>
        <w:rPr>
          <w:rFonts w:ascii="Times New Roman" w:hAnsi="Times New Roman"/>
          <w:sz w:val="24"/>
          <w:szCs w:val="24"/>
          <w:lang w:val="en-US" w:eastAsia="en-AU"/>
        </w:rPr>
        <w:t xml:space="preserve">s. </w:t>
      </w:r>
      <w:r w:rsidR="00F3394C">
        <w:rPr>
          <w:rFonts w:ascii="Times New Roman" w:hAnsi="Times New Roman"/>
          <w:sz w:val="24"/>
          <w:szCs w:val="24"/>
          <w:lang w:val="en-US" w:eastAsia="en-AU"/>
        </w:rPr>
        <w:t xml:space="preserve">In each case, the correct minimum benefit is higher than the minimum benefit specified </w:t>
      </w:r>
      <w:r w:rsidR="00F3394C">
        <w:rPr>
          <w:rFonts w:ascii="Times New Roman" w:hAnsi="Times New Roman"/>
          <w:sz w:val="24"/>
          <w:szCs w:val="24"/>
          <w:lang w:val="en-US" w:eastAsia="en-AU"/>
        </w:rPr>
        <w:lastRenderedPageBreak/>
        <w:t>in the Principal Rules.</w:t>
      </w:r>
      <w:r>
        <w:rPr>
          <w:rFonts w:ascii="Times New Roman" w:hAnsi="Times New Roman"/>
          <w:sz w:val="24"/>
          <w:szCs w:val="24"/>
          <w:lang w:val="en-US" w:eastAsia="en-AU"/>
        </w:rPr>
        <w:t xml:space="preserve"> Each of these changes has a beneficial impact on the right to health in Australia, ensuring that </w:t>
      </w:r>
      <w:r w:rsidR="00966EAE">
        <w:rPr>
          <w:rFonts w:ascii="Times New Roman" w:hAnsi="Times New Roman"/>
          <w:sz w:val="24"/>
          <w:szCs w:val="24"/>
          <w:lang w:val="en-US" w:eastAsia="en-AU"/>
        </w:rPr>
        <w:t xml:space="preserve"> </w:t>
      </w:r>
      <w:r>
        <w:rPr>
          <w:rFonts w:ascii="Times New Roman" w:hAnsi="Times New Roman"/>
          <w:sz w:val="24"/>
          <w:szCs w:val="24"/>
          <w:lang w:val="en-US" w:eastAsia="en-AU"/>
        </w:rPr>
        <w:t xml:space="preserve">igher minimum benefits are required to be paid for the provision of these prostheses under private health insurance policies covering hospital treatment, where relevant conditions are met.   </w:t>
      </w:r>
    </w:p>
    <w:p w:rsidR="005D1F09" w:rsidRPr="00B777B0" w:rsidRDefault="005D1F09" w:rsidP="006A47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i/>
          <w:sz w:val="24"/>
          <w:szCs w:val="24"/>
          <w:lang w:val="en-US"/>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b/>
          <w:color w:val="auto"/>
          <w:sz w:val="24"/>
          <w:szCs w:val="24"/>
          <w:lang w:eastAsia="en-AU"/>
        </w:rPr>
      </w:pPr>
      <w:r w:rsidRPr="002F52C5">
        <w:rPr>
          <w:rFonts w:ascii="Times New Roman" w:hAnsi="Times New Roman"/>
          <w:b/>
          <w:color w:val="auto"/>
          <w:sz w:val="24"/>
          <w:szCs w:val="24"/>
          <w:lang w:eastAsia="en-AU"/>
        </w:rPr>
        <w:t xml:space="preserve">Conclusion </w:t>
      </w:r>
    </w:p>
    <w:p w:rsidR="00B6720B" w:rsidRPr="002F52C5" w:rsidRDefault="00B6720B" w:rsidP="00B6720B">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rPr>
          <w:rFonts w:ascii="Times New Roman" w:hAnsi="Times New Roman"/>
          <w:sz w:val="24"/>
          <w:szCs w:val="24"/>
          <w:lang w:val="en-US" w:eastAsia="en-AU"/>
        </w:rPr>
      </w:pPr>
      <w:r w:rsidRPr="002F52C5">
        <w:rPr>
          <w:rFonts w:ascii="Times New Roman" w:hAnsi="Times New Roman"/>
          <w:color w:val="auto"/>
          <w:sz w:val="24"/>
          <w:szCs w:val="24"/>
          <w:lang w:eastAsia="en-AU"/>
        </w:rPr>
        <w:t xml:space="preserve">The </w:t>
      </w:r>
      <w:r>
        <w:rPr>
          <w:rFonts w:ascii="Times New Roman" w:hAnsi="Times New Roman"/>
          <w:color w:val="auto"/>
          <w:sz w:val="24"/>
          <w:szCs w:val="24"/>
          <w:lang w:eastAsia="en-AU"/>
        </w:rPr>
        <w:t xml:space="preserve">Amendment </w:t>
      </w:r>
      <w:r w:rsidRPr="002F52C5">
        <w:rPr>
          <w:rFonts w:ascii="Times New Roman" w:hAnsi="Times New Roman"/>
          <w:color w:val="auto"/>
          <w:sz w:val="24"/>
          <w:szCs w:val="24"/>
          <w:lang w:eastAsia="en-AU"/>
        </w:rPr>
        <w:t>Rules are compatible with human rights because they advance the protection of human rights</w:t>
      </w:r>
      <w:r>
        <w:rPr>
          <w:rFonts w:ascii="Times New Roman" w:hAnsi="Times New Roman"/>
          <w:color w:val="auto"/>
          <w:sz w:val="24"/>
          <w:szCs w:val="24"/>
          <w:lang w:eastAsia="en-AU"/>
        </w:rPr>
        <w:t>, specifically the right to health</w:t>
      </w:r>
      <w:r>
        <w:rPr>
          <w:rFonts w:ascii="Times New Roman" w:hAnsi="Times New Roman"/>
          <w:i/>
          <w:color w:val="auto"/>
          <w:sz w:val="24"/>
          <w:szCs w:val="24"/>
          <w:lang w:eastAsia="en-AU"/>
        </w:rPr>
        <w:t>.</w:t>
      </w:r>
    </w:p>
    <w:p w:rsidR="00077824" w:rsidRDefault="00077824"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p>
    <w:p w:rsidR="00B97510" w:rsidRDefault="00B9740F"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Pr>
          <w:rFonts w:ascii="Times New Roman" w:hAnsi="Times New Roman"/>
          <w:color w:val="auto"/>
          <w:sz w:val="24"/>
          <w:szCs w:val="24"/>
          <w:lang w:eastAsia="en-AU"/>
        </w:rPr>
        <w:t>Tracey Duffy</w:t>
      </w:r>
    </w:p>
    <w:p w:rsidR="00B97510"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Assistant Secretary </w:t>
      </w:r>
    </w:p>
    <w:p w:rsidR="00B97510" w:rsidRPr="002F52C5"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Pr>
          <w:rFonts w:ascii="Times New Roman" w:hAnsi="Times New Roman"/>
          <w:color w:val="auto"/>
          <w:sz w:val="24"/>
          <w:szCs w:val="24"/>
          <w:lang w:eastAsia="en-AU"/>
        </w:rPr>
        <w:t>Private Health Insurance Branch</w:t>
      </w:r>
    </w:p>
    <w:p w:rsidR="00B97510" w:rsidRPr="002F52C5"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Medical Benefits Division </w:t>
      </w:r>
    </w:p>
    <w:p w:rsidR="00B97510" w:rsidRPr="002F52C5"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sz w:val="24"/>
          <w:szCs w:val="24"/>
          <w:lang w:val="en-US" w:eastAsia="en-AU"/>
        </w:rPr>
      </w:pPr>
      <w:r w:rsidRPr="002F52C5">
        <w:rPr>
          <w:rFonts w:ascii="Times New Roman" w:hAnsi="Times New Roman"/>
          <w:color w:val="auto"/>
          <w:sz w:val="24"/>
          <w:szCs w:val="24"/>
          <w:lang w:eastAsia="en-AU"/>
        </w:rPr>
        <w:t>Department of Health</w:t>
      </w:r>
    </w:p>
    <w:p w:rsidR="007D491B" w:rsidRPr="002F52C5" w:rsidRDefault="007D491B" w:rsidP="002F52C5">
      <w:pPr>
        <w:spacing w:after="0"/>
        <w:jc w:val="right"/>
        <w:rPr>
          <w:rFonts w:ascii="Times New Roman" w:eastAsia="Calibri" w:hAnsi="Times New Roman"/>
          <w:b/>
          <w:szCs w:val="22"/>
        </w:rPr>
      </w:pPr>
    </w:p>
    <w:sectPr w:rsidR="007D491B" w:rsidRPr="002F52C5">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D9" w:rsidRDefault="00EA64D9">
      <w:r>
        <w:separator/>
      </w:r>
    </w:p>
  </w:endnote>
  <w:endnote w:type="continuationSeparator" w:id="0">
    <w:p w:rsidR="00EA64D9" w:rsidRDefault="00EA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B1" w:rsidRDefault="001537B1" w:rsidP="00424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37B1" w:rsidRDefault="001537B1" w:rsidP="00BB30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B1" w:rsidRDefault="001537B1" w:rsidP="00424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8DB">
      <w:rPr>
        <w:rStyle w:val="PageNumber"/>
        <w:noProof/>
      </w:rPr>
      <w:t>1</w:t>
    </w:r>
    <w:r>
      <w:rPr>
        <w:rStyle w:val="PageNumber"/>
      </w:rPr>
      <w:fldChar w:fldCharType="end"/>
    </w:r>
  </w:p>
  <w:p w:rsidR="001537B1" w:rsidRDefault="001537B1" w:rsidP="00BB30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D9" w:rsidRDefault="00EA64D9">
      <w:r>
        <w:separator/>
      </w:r>
    </w:p>
  </w:footnote>
  <w:footnote w:type="continuationSeparator" w:id="0">
    <w:p w:rsidR="00EA64D9" w:rsidRDefault="00EA6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6F2"/>
    <w:multiLevelType w:val="hybridMultilevel"/>
    <w:tmpl w:val="6074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347333"/>
    <w:multiLevelType w:val="hybridMultilevel"/>
    <w:tmpl w:val="8BE41B52"/>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D374B"/>
    <w:multiLevelType w:val="hybridMultilevel"/>
    <w:tmpl w:val="DDCA1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460EC0"/>
    <w:multiLevelType w:val="hybridMultilevel"/>
    <w:tmpl w:val="30BC1112"/>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3A5A77"/>
    <w:multiLevelType w:val="hybridMultilevel"/>
    <w:tmpl w:val="7C86C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043D0C"/>
    <w:multiLevelType w:val="hybridMultilevel"/>
    <w:tmpl w:val="1722B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DC5675"/>
    <w:multiLevelType w:val="hybridMultilevel"/>
    <w:tmpl w:val="F730B870"/>
    <w:lvl w:ilvl="0" w:tplc="80802F18">
      <w:start w:val="1"/>
      <w:numFmt w:val="bullet"/>
      <w:lvlText w:val=""/>
      <w:lvlJc w:val="left"/>
      <w:pPr>
        <w:tabs>
          <w:tab w:val="num" w:pos="284"/>
        </w:tabs>
        <w:ind w:left="284" w:hanging="284"/>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96D2E2A"/>
    <w:multiLevelType w:val="hybridMultilevel"/>
    <w:tmpl w:val="355EA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4CA70A0"/>
    <w:multiLevelType w:val="hybridMultilevel"/>
    <w:tmpl w:val="F520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632121"/>
    <w:multiLevelType w:val="multilevel"/>
    <w:tmpl w:val="1EE8F1A6"/>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4F519F"/>
    <w:multiLevelType w:val="hybridMultilevel"/>
    <w:tmpl w:val="124A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16D28EA"/>
    <w:multiLevelType w:val="hybridMultilevel"/>
    <w:tmpl w:val="B2BC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9B2218"/>
    <w:multiLevelType w:val="hybridMultilevel"/>
    <w:tmpl w:val="83DE5A38"/>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7B2796"/>
    <w:multiLevelType w:val="hybridMultilevel"/>
    <w:tmpl w:val="AC82870E"/>
    <w:lvl w:ilvl="0" w:tplc="973441D4">
      <w:start w:val="1"/>
      <w:numFmt w:val="bullet"/>
      <w:lvlText w:val=""/>
      <w:lvlJc w:val="left"/>
      <w:pPr>
        <w:tabs>
          <w:tab w:val="num" w:pos="927"/>
        </w:tabs>
        <w:ind w:left="908" w:hanging="341"/>
      </w:pPr>
      <w:rPr>
        <w:rFonts w:ascii="Symbol" w:hAnsi="Symbol" w:hint="default"/>
        <w:sz w:val="20"/>
      </w:rPr>
    </w:lvl>
    <w:lvl w:ilvl="1" w:tplc="0C090003">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5">
    <w:nsid w:val="7FEE1B9E"/>
    <w:multiLevelType w:val="hybridMultilevel"/>
    <w:tmpl w:val="5786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12"/>
  </w:num>
  <w:num w:numId="5">
    <w:abstractNumId w:val="3"/>
  </w:num>
  <w:num w:numId="6">
    <w:abstractNumId w:val="4"/>
  </w:num>
  <w:num w:numId="7">
    <w:abstractNumId w:val="4"/>
  </w:num>
  <w:num w:numId="8">
    <w:abstractNumId w:val="6"/>
  </w:num>
  <w:num w:numId="9">
    <w:abstractNumId w:val="14"/>
  </w:num>
  <w:num w:numId="10">
    <w:abstractNumId w:val="10"/>
  </w:num>
  <w:num w:numId="11">
    <w:abstractNumId w:val="8"/>
  </w:num>
  <w:num w:numId="12">
    <w:abstractNumId w:val="11"/>
  </w:num>
  <w:num w:numId="13">
    <w:abstractNumId w:val="0"/>
  </w:num>
  <w:num w:numId="14">
    <w:abstractNumId w:val="7"/>
  </w:num>
  <w:num w:numId="15">
    <w:abstractNumId w:val="5"/>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5B"/>
    <w:rsid w:val="000003B8"/>
    <w:rsid w:val="00010608"/>
    <w:rsid w:val="00010EC7"/>
    <w:rsid w:val="000206A3"/>
    <w:rsid w:val="000212A3"/>
    <w:rsid w:val="000220DA"/>
    <w:rsid w:val="00025D19"/>
    <w:rsid w:val="00026081"/>
    <w:rsid w:val="0003045B"/>
    <w:rsid w:val="000324AF"/>
    <w:rsid w:val="00032CDA"/>
    <w:rsid w:val="00033F42"/>
    <w:rsid w:val="0003406F"/>
    <w:rsid w:val="00042E4E"/>
    <w:rsid w:val="0004307B"/>
    <w:rsid w:val="00045959"/>
    <w:rsid w:val="00052675"/>
    <w:rsid w:val="000655B8"/>
    <w:rsid w:val="0006615D"/>
    <w:rsid w:val="00067FE1"/>
    <w:rsid w:val="00071403"/>
    <w:rsid w:val="0007263F"/>
    <w:rsid w:val="000738AE"/>
    <w:rsid w:val="000743A7"/>
    <w:rsid w:val="00077824"/>
    <w:rsid w:val="00084AE2"/>
    <w:rsid w:val="000874B9"/>
    <w:rsid w:val="0009031B"/>
    <w:rsid w:val="0009276D"/>
    <w:rsid w:val="000959B4"/>
    <w:rsid w:val="000974CD"/>
    <w:rsid w:val="000A3AD9"/>
    <w:rsid w:val="000B08B8"/>
    <w:rsid w:val="000B15F3"/>
    <w:rsid w:val="000B38F3"/>
    <w:rsid w:val="000B5BDC"/>
    <w:rsid w:val="000C6101"/>
    <w:rsid w:val="000C687B"/>
    <w:rsid w:val="000D206D"/>
    <w:rsid w:val="000D2DA1"/>
    <w:rsid w:val="000D5F53"/>
    <w:rsid w:val="000E32AB"/>
    <w:rsid w:val="000E36E1"/>
    <w:rsid w:val="000E5FD4"/>
    <w:rsid w:val="000F1761"/>
    <w:rsid w:val="000F25B1"/>
    <w:rsid w:val="00101B13"/>
    <w:rsid w:val="00107C1C"/>
    <w:rsid w:val="00121DDD"/>
    <w:rsid w:val="001231A6"/>
    <w:rsid w:val="0012478C"/>
    <w:rsid w:val="00132692"/>
    <w:rsid w:val="001361F4"/>
    <w:rsid w:val="00137327"/>
    <w:rsid w:val="0014381D"/>
    <w:rsid w:val="0014421A"/>
    <w:rsid w:val="001460A9"/>
    <w:rsid w:val="00151089"/>
    <w:rsid w:val="001537B1"/>
    <w:rsid w:val="00155610"/>
    <w:rsid w:val="00155F16"/>
    <w:rsid w:val="001702F5"/>
    <w:rsid w:val="00170963"/>
    <w:rsid w:val="00171B27"/>
    <w:rsid w:val="00183659"/>
    <w:rsid w:val="0018701D"/>
    <w:rsid w:val="001A0B46"/>
    <w:rsid w:val="001A0E4B"/>
    <w:rsid w:val="001A1085"/>
    <w:rsid w:val="001A228B"/>
    <w:rsid w:val="001A322B"/>
    <w:rsid w:val="001A42E8"/>
    <w:rsid w:val="001A66A6"/>
    <w:rsid w:val="001B775D"/>
    <w:rsid w:val="001B7BCC"/>
    <w:rsid w:val="001D5A9A"/>
    <w:rsid w:val="001D6716"/>
    <w:rsid w:val="001E7D4C"/>
    <w:rsid w:val="001F58C7"/>
    <w:rsid w:val="00200B0D"/>
    <w:rsid w:val="00201823"/>
    <w:rsid w:val="00210585"/>
    <w:rsid w:val="0021147E"/>
    <w:rsid w:val="002148C8"/>
    <w:rsid w:val="00223186"/>
    <w:rsid w:val="00223D17"/>
    <w:rsid w:val="00227CA1"/>
    <w:rsid w:val="002329F3"/>
    <w:rsid w:val="0023346A"/>
    <w:rsid w:val="00233D46"/>
    <w:rsid w:val="002347EE"/>
    <w:rsid w:val="002421C0"/>
    <w:rsid w:val="002611C4"/>
    <w:rsid w:val="00265373"/>
    <w:rsid w:val="0026677A"/>
    <w:rsid w:val="002678E7"/>
    <w:rsid w:val="00267B9D"/>
    <w:rsid w:val="00270180"/>
    <w:rsid w:val="00273E54"/>
    <w:rsid w:val="00277878"/>
    <w:rsid w:val="00284EB7"/>
    <w:rsid w:val="00295A16"/>
    <w:rsid w:val="00297255"/>
    <w:rsid w:val="00297391"/>
    <w:rsid w:val="002A1DB5"/>
    <w:rsid w:val="002A470C"/>
    <w:rsid w:val="002A7C98"/>
    <w:rsid w:val="002B00DD"/>
    <w:rsid w:val="002B2B46"/>
    <w:rsid w:val="002C17ED"/>
    <w:rsid w:val="002D09CE"/>
    <w:rsid w:val="002D193B"/>
    <w:rsid w:val="002D1D61"/>
    <w:rsid w:val="002D1EB2"/>
    <w:rsid w:val="002E4CD8"/>
    <w:rsid w:val="002E6405"/>
    <w:rsid w:val="002E735E"/>
    <w:rsid w:val="002F0491"/>
    <w:rsid w:val="002F306D"/>
    <w:rsid w:val="002F33E4"/>
    <w:rsid w:val="002F3861"/>
    <w:rsid w:val="002F52C5"/>
    <w:rsid w:val="002F5EA3"/>
    <w:rsid w:val="002F6F26"/>
    <w:rsid w:val="002F70C0"/>
    <w:rsid w:val="00306C1E"/>
    <w:rsid w:val="00313F39"/>
    <w:rsid w:val="00317FAB"/>
    <w:rsid w:val="00322179"/>
    <w:rsid w:val="0032440A"/>
    <w:rsid w:val="00350593"/>
    <w:rsid w:val="003542DF"/>
    <w:rsid w:val="0035615F"/>
    <w:rsid w:val="00367CA4"/>
    <w:rsid w:val="0038301C"/>
    <w:rsid w:val="00386089"/>
    <w:rsid w:val="003860F5"/>
    <w:rsid w:val="003A4945"/>
    <w:rsid w:val="003A6E6D"/>
    <w:rsid w:val="003A7D3A"/>
    <w:rsid w:val="003B0647"/>
    <w:rsid w:val="003C5639"/>
    <w:rsid w:val="003D682C"/>
    <w:rsid w:val="003D68AE"/>
    <w:rsid w:val="003E43FE"/>
    <w:rsid w:val="003F3B99"/>
    <w:rsid w:val="003F45FC"/>
    <w:rsid w:val="003F4855"/>
    <w:rsid w:val="004010E1"/>
    <w:rsid w:val="00401F87"/>
    <w:rsid w:val="004052EF"/>
    <w:rsid w:val="0040570E"/>
    <w:rsid w:val="00413045"/>
    <w:rsid w:val="00414776"/>
    <w:rsid w:val="00416060"/>
    <w:rsid w:val="00417D61"/>
    <w:rsid w:val="0042110A"/>
    <w:rsid w:val="00424D82"/>
    <w:rsid w:val="00427B78"/>
    <w:rsid w:val="00441CE0"/>
    <w:rsid w:val="00454040"/>
    <w:rsid w:val="00455B80"/>
    <w:rsid w:val="004622A1"/>
    <w:rsid w:val="004701C4"/>
    <w:rsid w:val="00471846"/>
    <w:rsid w:val="00482EA4"/>
    <w:rsid w:val="00483619"/>
    <w:rsid w:val="0048570C"/>
    <w:rsid w:val="00491432"/>
    <w:rsid w:val="004A7CCC"/>
    <w:rsid w:val="004B4AAE"/>
    <w:rsid w:val="004B5782"/>
    <w:rsid w:val="004C1198"/>
    <w:rsid w:val="004C28B6"/>
    <w:rsid w:val="004C6C3D"/>
    <w:rsid w:val="004C7593"/>
    <w:rsid w:val="004E6E51"/>
    <w:rsid w:val="004E7AE9"/>
    <w:rsid w:val="004F3F41"/>
    <w:rsid w:val="0050272D"/>
    <w:rsid w:val="0051355F"/>
    <w:rsid w:val="00513FB8"/>
    <w:rsid w:val="00513FFD"/>
    <w:rsid w:val="00514C09"/>
    <w:rsid w:val="005247C5"/>
    <w:rsid w:val="00532632"/>
    <w:rsid w:val="0053747E"/>
    <w:rsid w:val="00540FD1"/>
    <w:rsid w:val="005503FD"/>
    <w:rsid w:val="00551FC8"/>
    <w:rsid w:val="00553EDD"/>
    <w:rsid w:val="00554929"/>
    <w:rsid w:val="00555091"/>
    <w:rsid w:val="005603F8"/>
    <w:rsid w:val="00566555"/>
    <w:rsid w:val="00572549"/>
    <w:rsid w:val="00574C24"/>
    <w:rsid w:val="0058068C"/>
    <w:rsid w:val="00584686"/>
    <w:rsid w:val="0058748F"/>
    <w:rsid w:val="00591E0E"/>
    <w:rsid w:val="005941A2"/>
    <w:rsid w:val="0059516C"/>
    <w:rsid w:val="005A032B"/>
    <w:rsid w:val="005A167A"/>
    <w:rsid w:val="005A1B3A"/>
    <w:rsid w:val="005A52CE"/>
    <w:rsid w:val="005A6AE7"/>
    <w:rsid w:val="005A7D9C"/>
    <w:rsid w:val="005B1F8C"/>
    <w:rsid w:val="005B48CD"/>
    <w:rsid w:val="005C2ACF"/>
    <w:rsid w:val="005C6E57"/>
    <w:rsid w:val="005D1F09"/>
    <w:rsid w:val="005D5B1B"/>
    <w:rsid w:val="005D7BB9"/>
    <w:rsid w:val="005D7BF7"/>
    <w:rsid w:val="005E055A"/>
    <w:rsid w:val="005E5433"/>
    <w:rsid w:val="005E61EB"/>
    <w:rsid w:val="005F3F59"/>
    <w:rsid w:val="005F4949"/>
    <w:rsid w:val="005F5217"/>
    <w:rsid w:val="0060108E"/>
    <w:rsid w:val="00604387"/>
    <w:rsid w:val="00610349"/>
    <w:rsid w:val="00613821"/>
    <w:rsid w:val="00622D74"/>
    <w:rsid w:val="006237AC"/>
    <w:rsid w:val="006244CA"/>
    <w:rsid w:val="006260C6"/>
    <w:rsid w:val="00630947"/>
    <w:rsid w:val="0064095D"/>
    <w:rsid w:val="0064247E"/>
    <w:rsid w:val="0064291E"/>
    <w:rsid w:val="006432CF"/>
    <w:rsid w:val="006461D4"/>
    <w:rsid w:val="00650FBC"/>
    <w:rsid w:val="00652DA9"/>
    <w:rsid w:val="0065775F"/>
    <w:rsid w:val="00657AF1"/>
    <w:rsid w:val="00657CDF"/>
    <w:rsid w:val="0066322B"/>
    <w:rsid w:val="00665003"/>
    <w:rsid w:val="00667AAE"/>
    <w:rsid w:val="0068047A"/>
    <w:rsid w:val="00687982"/>
    <w:rsid w:val="006904B5"/>
    <w:rsid w:val="00691523"/>
    <w:rsid w:val="00694BA5"/>
    <w:rsid w:val="00695C34"/>
    <w:rsid w:val="006A1BD2"/>
    <w:rsid w:val="006A47F7"/>
    <w:rsid w:val="006A7D68"/>
    <w:rsid w:val="006B30FC"/>
    <w:rsid w:val="006C03B9"/>
    <w:rsid w:val="006C108A"/>
    <w:rsid w:val="006C2BAA"/>
    <w:rsid w:val="006C6E44"/>
    <w:rsid w:val="006D6368"/>
    <w:rsid w:val="006D7EF3"/>
    <w:rsid w:val="006E06CB"/>
    <w:rsid w:val="006E168F"/>
    <w:rsid w:val="006F1123"/>
    <w:rsid w:val="006F2074"/>
    <w:rsid w:val="006F227C"/>
    <w:rsid w:val="006F7727"/>
    <w:rsid w:val="00704287"/>
    <w:rsid w:val="00705FF2"/>
    <w:rsid w:val="007103A4"/>
    <w:rsid w:val="00713BAF"/>
    <w:rsid w:val="00714138"/>
    <w:rsid w:val="00721EE6"/>
    <w:rsid w:val="007225FC"/>
    <w:rsid w:val="00740095"/>
    <w:rsid w:val="00742E57"/>
    <w:rsid w:val="00744C5F"/>
    <w:rsid w:val="00744D5A"/>
    <w:rsid w:val="007470B1"/>
    <w:rsid w:val="007472BF"/>
    <w:rsid w:val="00747C64"/>
    <w:rsid w:val="00752BC8"/>
    <w:rsid w:val="0075742F"/>
    <w:rsid w:val="0075758F"/>
    <w:rsid w:val="0076001B"/>
    <w:rsid w:val="00763B9C"/>
    <w:rsid w:val="007A2F53"/>
    <w:rsid w:val="007A6014"/>
    <w:rsid w:val="007A6EA0"/>
    <w:rsid w:val="007A7174"/>
    <w:rsid w:val="007B0C1F"/>
    <w:rsid w:val="007B15CD"/>
    <w:rsid w:val="007B3632"/>
    <w:rsid w:val="007B3D98"/>
    <w:rsid w:val="007B43F5"/>
    <w:rsid w:val="007B6234"/>
    <w:rsid w:val="007B6803"/>
    <w:rsid w:val="007C219C"/>
    <w:rsid w:val="007C28F1"/>
    <w:rsid w:val="007C553D"/>
    <w:rsid w:val="007D491B"/>
    <w:rsid w:val="007D526E"/>
    <w:rsid w:val="007E3865"/>
    <w:rsid w:val="007E76BC"/>
    <w:rsid w:val="007E79DD"/>
    <w:rsid w:val="007F266B"/>
    <w:rsid w:val="007F4E63"/>
    <w:rsid w:val="007F5754"/>
    <w:rsid w:val="007F6CBC"/>
    <w:rsid w:val="008022B9"/>
    <w:rsid w:val="00803979"/>
    <w:rsid w:val="00806265"/>
    <w:rsid w:val="00816E55"/>
    <w:rsid w:val="00820591"/>
    <w:rsid w:val="00822DDE"/>
    <w:rsid w:val="00830A48"/>
    <w:rsid w:val="00831624"/>
    <w:rsid w:val="00836AF8"/>
    <w:rsid w:val="0084038B"/>
    <w:rsid w:val="00843348"/>
    <w:rsid w:val="008539B2"/>
    <w:rsid w:val="00853FA9"/>
    <w:rsid w:val="00854A12"/>
    <w:rsid w:val="00860234"/>
    <w:rsid w:val="00860CF3"/>
    <w:rsid w:val="00865800"/>
    <w:rsid w:val="00870979"/>
    <w:rsid w:val="008916EE"/>
    <w:rsid w:val="00893109"/>
    <w:rsid w:val="00893236"/>
    <w:rsid w:val="0089529D"/>
    <w:rsid w:val="008A0472"/>
    <w:rsid w:val="008A165F"/>
    <w:rsid w:val="008A2255"/>
    <w:rsid w:val="008A5838"/>
    <w:rsid w:val="008A5ACD"/>
    <w:rsid w:val="008A6893"/>
    <w:rsid w:val="008B0CE0"/>
    <w:rsid w:val="008B1878"/>
    <w:rsid w:val="008B3CDA"/>
    <w:rsid w:val="008B4D38"/>
    <w:rsid w:val="008C2267"/>
    <w:rsid w:val="008C33F8"/>
    <w:rsid w:val="008E5A35"/>
    <w:rsid w:val="008F18E6"/>
    <w:rsid w:val="009016C9"/>
    <w:rsid w:val="009053A0"/>
    <w:rsid w:val="00911736"/>
    <w:rsid w:val="00916166"/>
    <w:rsid w:val="00917909"/>
    <w:rsid w:val="009209DA"/>
    <w:rsid w:val="00922780"/>
    <w:rsid w:val="009315C4"/>
    <w:rsid w:val="00932F19"/>
    <w:rsid w:val="00934F99"/>
    <w:rsid w:val="009352A2"/>
    <w:rsid w:val="00937692"/>
    <w:rsid w:val="00937E33"/>
    <w:rsid w:val="0094612B"/>
    <w:rsid w:val="00946B63"/>
    <w:rsid w:val="0095373C"/>
    <w:rsid w:val="00966EAE"/>
    <w:rsid w:val="00974761"/>
    <w:rsid w:val="00975BE9"/>
    <w:rsid w:val="009827ED"/>
    <w:rsid w:val="00982CC9"/>
    <w:rsid w:val="00983B40"/>
    <w:rsid w:val="00983F13"/>
    <w:rsid w:val="0098591A"/>
    <w:rsid w:val="00992904"/>
    <w:rsid w:val="00997269"/>
    <w:rsid w:val="009A7A23"/>
    <w:rsid w:val="009B1A20"/>
    <w:rsid w:val="009C3A2A"/>
    <w:rsid w:val="009C4445"/>
    <w:rsid w:val="009C6DF7"/>
    <w:rsid w:val="009D16D4"/>
    <w:rsid w:val="009D414B"/>
    <w:rsid w:val="009D6762"/>
    <w:rsid w:val="009D740A"/>
    <w:rsid w:val="009D76E9"/>
    <w:rsid w:val="009E3611"/>
    <w:rsid w:val="009E67F7"/>
    <w:rsid w:val="009E7888"/>
    <w:rsid w:val="009F18DC"/>
    <w:rsid w:val="009F4957"/>
    <w:rsid w:val="009F4E14"/>
    <w:rsid w:val="00A01C93"/>
    <w:rsid w:val="00A048E6"/>
    <w:rsid w:val="00A15050"/>
    <w:rsid w:val="00A152F7"/>
    <w:rsid w:val="00A20204"/>
    <w:rsid w:val="00A2457E"/>
    <w:rsid w:val="00A3028B"/>
    <w:rsid w:val="00A31416"/>
    <w:rsid w:val="00A377FB"/>
    <w:rsid w:val="00A4350F"/>
    <w:rsid w:val="00A43C60"/>
    <w:rsid w:val="00A43D69"/>
    <w:rsid w:val="00A45AE0"/>
    <w:rsid w:val="00A51125"/>
    <w:rsid w:val="00A5329A"/>
    <w:rsid w:val="00A5484B"/>
    <w:rsid w:val="00A60614"/>
    <w:rsid w:val="00A666ED"/>
    <w:rsid w:val="00A67AAD"/>
    <w:rsid w:val="00A7107B"/>
    <w:rsid w:val="00A80A02"/>
    <w:rsid w:val="00A9450C"/>
    <w:rsid w:val="00A9696A"/>
    <w:rsid w:val="00AA1F51"/>
    <w:rsid w:val="00AA4492"/>
    <w:rsid w:val="00AA62A0"/>
    <w:rsid w:val="00AB02AD"/>
    <w:rsid w:val="00AB3E8B"/>
    <w:rsid w:val="00AB6EDC"/>
    <w:rsid w:val="00AC5586"/>
    <w:rsid w:val="00AD438A"/>
    <w:rsid w:val="00AE1836"/>
    <w:rsid w:val="00AE233D"/>
    <w:rsid w:val="00AF1BAE"/>
    <w:rsid w:val="00AF3509"/>
    <w:rsid w:val="00AF6EC0"/>
    <w:rsid w:val="00B02497"/>
    <w:rsid w:val="00B038DB"/>
    <w:rsid w:val="00B06F92"/>
    <w:rsid w:val="00B17663"/>
    <w:rsid w:val="00B21F18"/>
    <w:rsid w:val="00B26BD5"/>
    <w:rsid w:val="00B279F1"/>
    <w:rsid w:val="00B3099B"/>
    <w:rsid w:val="00B31700"/>
    <w:rsid w:val="00B32985"/>
    <w:rsid w:val="00B33B98"/>
    <w:rsid w:val="00B65922"/>
    <w:rsid w:val="00B6720B"/>
    <w:rsid w:val="00B67DD9"/>
    <w:rsid w:val="00B72CFB"/>
    <w:rsid w:val="00B770BE"/>
    <w:rsid w:val="00B777B0"/>
    <w:rsid w:val="00B848BE"/>
    <w:rsid w:val="00B85177"/>
    <w:rsid w:val="00B87BC6"/>
    <w:rsid w:val="00B95874"/>
    <w:rsid w:val="00B9740F"/>
    <w:rsid w:val="00B97510"/>
    <w:rsid w:val="00BA162A"/>
    <w:rsid w:val="00BA1DB6"/>
    <w:rsid w:val="00BA3291"/>
    <w:rsid w:val="00BA458A"/>
    <w:rsid w:val="00BA6D1B"/>
    <w:rsid w:val="00BB10AB"/>
    <w:rsid w:val="00BB30C4"/>
    <w:rsid w:val="00BB6787"/>
    <w:rsid w:val="00BC12D6"/>
    <w:rsid w:val="00BC6A5E"/>
    <w:rsid w:val="00BD2F80"/>
    <w:rsid w:val="00BE18D1"/>
    <w:rsid w:val="00BF56CD"/>
    <w:rsid w:val="00C02521"/>
    <w:rsid w:val="00C02D99"/>
    <w:rsid w:val="00C21A46"/>
    <w:rsid w:val="00C21B1E"/>
    <w:rsid w:val="00C23262"/>
    <w:rsid w:val="00C24646"/>
    <w:rsid w:val="00C2589B"/>
    <w:rsid w:val="00C321C9"/>
    <w:rsid w:val="00C35CB1"/>
    <w:rsid w:val="00C36C9B"/>
    <w:rsid w:val="00C51F0C"/>
    <w:rsid w:val="00C52769"/>
    <w:rsid w:val="00C5287D"/>
    <w:rsid w:val="00C52D4A"/>
    <w:rsid w:val="00C53B15"/>
    <w:rsid w:val="00C56F82"/>
    <w:rsid w:val="00C63D9F"/>
    <w:rsid w:val="00C6460F"/>
    <w:rsid w:val="00C64984"/>
    <w:rsid w:val="00C65DAD"/>
    <w:rsid w:val="00C7550A"/>
    <w:rsid w:val="00C77EFB"/>
    <w:rsid w:val="00C8328F"/>
    <w:rsid w:val="00C86CFB"/>
    <w:rsid w:val="00C91270"/>
    <w:rsid w:val="00C9378C"/>
    <w:rsid w:val="00C961E6"/>
    <w:rsid w:val="00C968DD"/>
    <w:rsid w:val="00C9714C"/>
    <w:rsid w:val="00CA1248"/>
    <w:rsid w:val="00CB1E4D"/>
    <w:rsid w:val="00CB3520"/>
    <w:rsid w:val="00CC68B7"/>
    <w:rsid w:val="00CE2E7D"/>
    <w:rsid w:val="00CE5407"/>
    <w:rsid w:val="00CE576F"/>
    <w:rsid w:val="00CF7EA8"/>
    <w:rsid w:val="00D02615"/>
    <w:rsid w:val="00D04BC4"/>
    <w:rsid w:val="00D06856"/>
    <w:rsid w:val="00D12434"/>
    <w:rsid w:val="00D1245D"/>
    <w:rsid w:val="00D133A8"/>
    <w:rsid w:val="00D20774"/>
    <w:rsid w:val="00D212D8"/>
    <w:rsid w:val="00D22C49"/>
    <w:rsid w:val="00D23B82"/>
    <w:rsid w:val="00D3344E"/>
    <w:rsid w:val="00D35771"/>
    <w:rsid w:val="00D378AB"/>
    <w:rsid w:val="00D443C2"/>
    <w:rsid w:val="00D44B8D"/>
    <w:rsid w:val="00D550F9"/>
    <w:rsid w:val="00D66E3F"/>
    <w:rsid w:val="00D95117"/>
    <w:rsid w:val="00DA20D8"/>
    <w:rsid w:val="00DA35F8"/>
    <w:rsid w:val="00DA5C67"/>
    <w:rsid w:val="00DA7064"/>
    <w:rsid w:val="00DB0404"/>
    <w:rsid w:val="00DB24A4"/>
    <w:rsid w:val="00DB3D0C"/>
    <w:rsid w:val="00DB5220"/>
    <w:rsid w:val="00DC7F45"/>
    <w:rsid w:val="00DD261B"/>
    <w:rsid w:val="00DD7F67"/>
    <w:rsid w:val="00DD7F79"/>
    <w:rsid w:val="00DE1119"/>
    <w:rsid w:val="00DE19C3"/>
    <w:rsid w:val="00DE1CE1"/>
    <w:rsid w:val="00DE7839"/>
    <w:rsid w:val="00DE7A32"/>
    <w:rsid w:val="00DF0F18"/>
    <w:rsid w:val="00DF32D3"/>
    <w:rsid w:val="00DF37CE"/>
    <w:rsid w:val="00DF50F0"/>
    <w:rsid w:val="00E0072F"/>
    <w:rsid w:val="00E22004"/>
    <w:rsid w:val="00E35412"/>
    <w:rsid w:val="00E36F18"/>
    <w:rsid w:val="00E436C4"/>
    <w:rsid w:val="00E53DF9"/>
    <w:rsid w:val="00E553F2"/>
    <w:rsid w:val="00E56F01"/>
    <w:rsid w:val="00E73EB7"/>
    <w:rsid w:val="00E744C7"/>
    <w:rsid w:val="00E77300"/>
    <w:rsid w:val="00E81648"/>
    <w:rsid w:val="00E8472C"/>
    <w:rsid w:val="00E85CE6"/>
    <w:rsid w:val="00E86D43"/>
    <w:rsid w:val="00E91337"/>
    <w:rsid w:val="00EA3874"/>
    <w:rsid w:val="00EA4671"/>
    <w:rsid w:val="00EA64D9"/>
    <w:rsid w:val="00EB026C"/>
    <w:rsid w:val="00EB32FF"/>
    <w:rsid w:val="00EC1486"/>
    <w:rsid w:val="00ED1A29"/>
    <w:rsid w:val="00ED270C"/>
    <w:rsid w:val="00ED7FD2"/>
    <w:rsid w:val="00EE31CF"/>
    <w:rsid w:val="00EF0FE5"/>
    <w:rsid w:val="00EF2E7F"/>
    <w:rsid w:val="00EF5062"/>
    <w:rsid w:val="00F0613A"/>
    <w:rsid w:val="00F06A73"/>
    <w:rsid w:val="00F075CD"/>
    <w:rsid w:val="00F130E6"/>
    <w:rsid w:val="00F13D2C"/>
    <w:rsid w:val="00F153BD"/>
    <w:rsid w:val="00F3394C"/>
    <w:rsid w:val="00F33991"/>
    <w:rsid w:val="00F34E4E"/>
    <w:rsid w:val="00F34F23"/>
    <w:rsid w:val="00F41038"/>
    <w:rsid w:val="00F4596F"/>
    <w:rsid w:val="00F528E4"/>
    <w:rsid w:val="00F52B37"/>
    <w:rsid w:val="00F5699A"/>
    <w:rsid w:val="00F569EF"/>
    <w:rsid w:val="00F5788B"/>
    <w:rsid w:val="00F61333"/>
    <w:rsid w:val="00F6226E"/>
    <w:rsid w:val="00F624DF"/>
    <w:rsid w:val="00F70659"/>
    <w:rsid w:val="00F75CC8"/>
    <w:rsid w:val="00F86E9F"/>
    <w:rsid w:val="00F9086E"/>
    <w:rsid w:val="00F96493"/>
    <w:rsid w:val="00FA5A5A"/>
    <w:rsid w:val="00FA7E9F"/>
    <w:rsid w:val="00FB1CCE"/>
    <w:rsid w:val="00FB2070"/>
    <w:rsid w:val="00FB3636"/>
    <w:rsid w:val="00FB67D3"/>
    <w:rsid w:val="00FC37B3"/>
    <w:rsid w:val="00FD0646"/>
    <w:rsid w:val="00FE10B9"/>
    <w:rsid w:val="00FE1DC5"/>
    <w:rsid w:val="00FE421C"/>
    <w:rsid w:val="00FF1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5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basedOn w:val="Normal"/>
    <w:next w:val="Heading2"/>
    <w:qFormat/>
    <w:rsid w:val="0003045B"/>
    <w:pPr>
      <w:keepNext/>
      <w:tabs>
        <w:tab w:val="clear" w:pos="924"/>
      </w:tabs>
      <w:spacing w:before="400"/>
      <w:outlineLvl w:val="0"/>
    </w:pPr>
    <w:rPr>
      <w:b/>
      <w:kern w:val="28"/>
      <w:sz w:val="24"/>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03045B"/>
    <w:pPr>
      <w:keepNext/>
      <w:tabs>
        <w:tab w:val="clear" w:pos="924"/>
      </w:tabs>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3F8"/>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paragraph" w:styleId="Footer">
    <w:name w:val="footer"/>
    <w:basedOn w:val="Normal"/>
    <w:rsid w:val="00BB30C4"/>
    <w:pPr>
      <w:tabs>
        <w:tab w:val="clear" w:pos="924"/>
        <w:tab w:val="clear" w:pos="1848"/>
        <w:tab w:val="clear" w:pos="2773"/>
        <w:tab w:val="clear" w:pos="3697"/>
        <w:tab w:val="clear" w:pos="4621"/>
        <w:tab w:val="clear" w:pos="5545"/>
        <w:tab w:val="clear" w:pos="6469"/>
        <w:tab w:val="clear" w:pos="7394"/>
        <w:tab w:val="clear" w:pos="8318"/>
        <w:tab w:val="clear" w:pos="8930"/>
        <w:tab w:val="center" w:pos="4153"/>
        <w:tab w:val="right" w:pos="8306"/>
      </w:tabs>
    </w:pPr>
  </w:style>
  <w:style w:type="character" w:styleId="PageNumber">
    <w:name w:val="page number"/>
    <w:basedOn w:val="DefaultParagraphFont"/>
    <w:rsid w:val="00BB30C4"/>
  </w:style>
  <w:style w:type="paragraph" w:styleId="BalloonText">
    <w:name w:val="Balloon Text"/>
    <w:basedOn w:val="Normal"/>
    <w:semiHidden/>
    <w:rsid w:val="00C23262"/>
    <w:rPr>
      <w:rFonts w:ascii="Tahoma" w:hAnsi="Tahoma" w:cs="Tahoma"/>
      <w:sz w:val="16"/>
      <w:szCs w:val="16"/>
    </w:rPr>
  </w:style>
  <w:style w:type="character" w:styleId="CommentReference">
    <w:name w:val="annotation reference"/>
    <w:semiHidden/>
    <w:rsid w:val="00AB02AD"/>
    <w:rPr>
      <w:sz w:val="16"/>
      <w:szCs w:val="16"/>
    </w:rPr>
  </w:style>
  <w:style w:type="paragraph" w:styleId="CommentText">
    <w:name w:val="annotation text"/>
    <w:basedOn w:val="Normal"/>
    <w:semiHidden/>
    <w:rsid w:val="00AB02AD"/>
    <w:rPr>
      <w:sz w:val="20"/>
    </w:rPr>
  </w:style>
  <w:style w:type="paragraph" w:styleId="CommentSubject">
    <w:name w:val="annotation subject"/>
    <w:basedOn w:val="CommentText"/>
    <w:next w:val="CommentText"/>
    <w:semiHidden/>
    <w:rsid w:val="00AB02AD"/>
    <w:rPr>
      <w:b/>
      <w:bCs/>
    </w:rPr>
  </w:style>
  <w:style w:type="character" w:customStyle="1" w:styleId="HeaderChar">
    <w:name w:val="Header Char"/>
    <w:link w:val="Header"/>
    <w:rsid w:val="00514C09"/>
    <w:rPr>
      <w:rFonts w:ascii="Arial" w:hAnsi="Arial"/>
      <w:color w:val="000000"/>
      <w:sz w:val="21"/>
      <w:lang w:eastAsia="en-US"/>
    </w:rPr>
  </w:style>
  <w:style w:type="paragraph" w:styleId="ListParagraph">
    <w:name w:val="List Paragraph"/>
    <w:basedOn w:val="Normal"/>
    <w:uiPriority w:val="34"/>
    <w:qFormat/>
    <w:rsid w:val="001702F5"/>
    <w:pPr>
      <w:ind w:left="720"/>
      <w:contextualSpacing/>
    </w:pPr>
  </w:style>
  <w:style w:type="paragraph" w:customStyle="1" w:styleId="Default">
    <w:name w:val="Default"/>
    <w:rsid w:val="009D16D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5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basedOn w:val="Normal"/>
    <w:next w:val="Heading2"/>
    <w:qFormat/>
    <w:rsid w:val="0003045B"/>
    <w:pPr>
      <w:keepNext/>
      <w:tabs>
        <w:tab w:val="clear" w:pos="924"/>
      </w:tabs>
      <w:spacing w:before="400"/>
      <w:outlineLvl w:val="0"/>
    </w:pPr>
    <w:rPr>
      <w:b/>
      <w:kern w:val="28"/>
      <w:sz w:val="24"/>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03045B"/>
    <w:pPr>
      <w:keepNext/>
      <w:tabs>
        <w:tab w:val="clear" w:pos="924"/>
      </w:tabs>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3F8"/>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paragraph" w:styleId="Footer">
    <w:name w:val="footer"/>
    <w:basedOn w:val="Normal"/>
    <w:rsid w:val="00BB30C4"/>
    <w:pPr>
      <w:tabs>
        <w:tab w:val="clear" w:pos="924"/>
        <w:tab w:val="clear" w:pos="1848"/>
        <w:tab w:val="clear" w:pos="2773"/>
        <w:tab w:val="clear" w:pos="3697"/>
        <w:tab w:val="clear" w:pos="4621"/>
        <w:tab w:val="clear" w:pos="5545"/>
        <w:tab w:val="clear" w:pos="6469"/>
        <w:tab w:val="clear" w:pos="7394"/>
        <w:tab w:val="clear" w:pos="8318"/>
        <w:tab w:val="clear" w:pos="8930"/>
        <w:tab w:val="center" w:pos="4153"/>
        <w:tab w:val="right" w:pos="8306"/>
      </w:tabs>
    </w:pPr>
  </w:style>
  <w:style w:type="character" w:styleId="PageNumber">
    <w:name w:val="page number"/>
    <w:basedOn w:val="DefaultParagraphFont"/>
    <w:rsid w:val="00BB30C4"/>
  </w:style>
  <w:style w:type="paragraph" w:styleId="BalloonText">
    <w:name w:val="Balloon Text"/>
    <w:basedOn w:val="Normal"/>
    <w:semiHidden/>
    <w:rsid w:val="00C23262"/>
    <w:rPr>
      <w:rFonts w:ascii="Tahoma" w:hAnsi="Tahoma" w:cs="Tahoma"/>
      <w:sz w:val="16"/>
      <w:szCs w:val="16"/>
    </w:rPr>
  </w:style>
  <w:style w:type="character" w:styleId="CommentReference">
    <w:name w:val="annotation reference"/>
    <w:semiHidden/>
    <w:rsid w:val="00AB02AD"/>
    <w:rPr>
      <w:sz w:val="16"/>
      <w:szCs w:val="16"/>
    </w:rPr>
  </w:style>
  <w:style w:type="paragraph" w:styleId="CommentText">
    <w:name w:val="annotation text"/>
    <w:basedOn w:val="Normal"/>
    <w:semiHidden/>
    <w:rsid w:val="00AB02AD"/>
    <w:rPr>
      <w:sz w:val="20"/>
    </w:rPr>
  </w:style>
  <w:style w:type="paragraph" w:styleId="CommentSubject">
    <w:name w:val="annotation subject"/>
    <w:basedOn w:val="CommentText"/>
    <w:next w:val="CommentText"/>
    <w:semiHidden/>
    <w:rsid w:val="00AB02AD"/>
    <w:rPr>
      <w:b/>
      <w:bCs/>
    </w:rPr>
  </w:style>
  <w:style w:type="character" w:customStyle="1" w:styleId="HeaderChar">
    <w:name w:val="Header Char"/>
    <w:link w:val="Header"/>
    <w:rsid w:val="00514C09"/>
    <w:rPr>
      <w:rFonts w:ascii="Arial" w:hAnsi="Arial"/>
      <w:color w:val="000000"/>
      <w:sz w:val="21"/>
      <w:lang w:eastAsia="en-US"/>
    </w:rPr>
  </w:style>
  <w:style w:type="paragraph" w:styleId="ListParagraph">
    <w:name w:val="List Paragraph"/>
    <w:basedOn w:val="Normal"/>
    <w:uiPriority w:val="34"/>
    <w:qFormat/>
    <w:rsid w:val="001702F5"/>
    <w:pPr>
      <w:ind w:left="720"/>
      <w:contextualSpacing/>
    </w:pPr>
  </w:style>
  <w:style w:type="paragraph" w:customStyle="1" w:styleId="Default">
    <w:name w:val="Default"/>
    <w:rsid w:val="009D16D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220">
      <w:bodyDiv w:val="1"/>
      <w:marLeft w:val="0"/>
      <w:marRight w:val="0"/>
      <w:marTop w:val="0"/>
      <w:marBottom w:val="0"/>
      <w:divBdr>
        <w:top w:val="none" w:sz="0" w:space="0" w:color="auto"/>
        <w:left w:val="none" w:sz="0" w:space="0" w:color="auto"/>
        <w:bottom w:val="none" w:sz="0" w:space="0" w:color="auto"/>
        <w:right w:val="none" w:sz="0" w:space="0" w:color="auto"/>
      </w:divBdr>
    </w:div>
    <w:div w:id="195579091">
      <w:bodyDiv w:val="1"/>
      <w:marLeft w:val="0"/>
      <w:marRight w:val="0"/>
      <w:marTop w:val="0"/>
      <w:marBottom w:val="0"/>
      <w:divBdr>
        <w:top w:val="none" w:sz="0" w:space="0" w:color="auto"/>
        <w:left w:val="none" w:sz="0" w:space="0" w:color="auto"/>
        <w:bottom w:val="none" w:sz="0" w:space="0" w:color="auto"/>
        <w:right w:val="none" w:sz="0" w:space="0" w:color="auto"/>
      </w:divBdr>
    </w:div>
    <w:div w:id="458956390">
      <w:bodyDiv w:val="1"/>
      <w:marLeft w:val="0"/>
      <w:marRight w:val="0"/>
      <w:marTop w:val="0"/>
      <w:marBottom w:val="0"/>
      <w:divBdr>
        <w:top w:val="none" w:sz="0" w:space="0" w:color="auto"/>
        <w:left w:val="none" w:sz="0" w:space="0" w:color="auto"/>
        <w:bottom w:val="none" w:sz="0" w:space="0" w:color="auto"/>
        <w:right w:val="none" w:sz="0" w:space="0" w:color="auto"/>
      </w:divBdr>
    </w:div>
    <w:div w:id="610085505">
      <w:bodyDiv w:val="1"/>
      <w:marLeft w:val="0"/>
      <w:marRight w:val="0"/>
      <w:marTop w:val="0"/>
      <w:marBottom w:val="0"/>
      <w:divBdr>
        <w:top w:val="none" w:sz="0" w:space="0" w:color="auto"/>
        <w:left w:val="none" w:sz="0" w:space="0" w:color="auto"/>
        <w:bottom w:val="none" w:sz="0" w:space="0" w:color="auto"/>
        <w:right w:val="none" w:sz="0" w:space="0" w:color="auto"/>
      </w:divBdr>
      <w:divsChild>
        <w:div w:id="801995882">
          <w:marLeft w:val="0"/>
          <w:marRight w:val="0"/>
          <w:marTop w:val="0"/>
          <w:marBottom w:val="0"/>
          <w:divBdr>
            <w:top w:val="none" w:sz="0" w:space="0" w:color="auto"/>
            <w:left w:val="none" w:sz="0" w:space="0" w:color="auto"/>
            <w:bottom w:val="none" w:sz="0" w:space="0" w:color="auto"/>
            <w:right w:val="none" w:sz="0" w:space="0" w:color="auto"/>
          </w:divBdr>
          <w:divsChild>
            <w:div w:id="2103987780">
              <w:marLeft w:val="0"/>
              <w:marRight w:val="0"/>
              <w:marTop w:val="0"/>
              <w:marBottom w:val="0"/>
              <w:divBdr>
                <w:top w:val="none" w:sz="0" w:space="0" w:color="auto"/>
                <w:left w:val="none" w:sz="0" w:space="0" w:color="auto"/>
                <w:bottom w:val="none" w:sz="0" w:space="0" w:color="auto"/>
                <w:right w:val="none" w:sz="0" w:space="0" w:color="auto"/>
              </w:divBdr>
              <w:divsChild>
                <w:div w:id="881091551">
                  <w:marLeft w:val="0"/>
                  <w:marRight w:val="0"/>
                  <w:marTop w:val="0"/>
                  <w:marBottom w:val="0"/>
                  <w:divBdr>
                    <w:top w:val="none" w:sz="0" w:space="0" w:color="auto"/>
                    <w:left w:val="none" w:sz="0" w:space="0" w:color="auto"/>
                    <w:bottom w:val="none" w:sz="0" w:space="0" w:color="auto"/>
                    <w:right w:val="none" w:sz="0" w:space="0" w:color="auto"/>
                  </w:divBdr>
                  <w:divsChild>
                    <w:div w:id="1268003027">
                      <w:marLeft w:val="0"/>
                      <w:marRight w:val="0"/>
                      <w:marTop w:val="0"/>
                      <w:marBottom w:val="0"/>
                      <w:divBdr>
                        <w:top w:val="none" w:sz="0" w:space="0" w:color="auto"/>
                        <w:left w:val="none" w:sz="0" w:space="0" w:color="auto"/>
                        <w:bottom w:val="none" w:sz="0" w:space="0" w:color="auto"/>
                        <w:right w:val="none" w:sz="0" w:space="0" w:color="auto"/>
                      </w:divBdr>
                      <w:divsChild>
                        <w:div w:id="744492672">
                          <w:marLeft w:val="0"/>
                          <w:marRight w:val="0"/>
                          <w:marTop w:val="0"/>
                          <w:marBottom w:val="0"/>
                          <w:divBdr>
                            <w:top w:val="single" w:sz="6" w:space="0" w:color="828282"/>
                            <w:left w:val="single" w:sz="6" w:space="0" w:color="828282"/>
                            <w:bottom w:val="single" w:sz="6" w:space="0" w:color="828282"/>
                            <w:right w:val="single" w:sz="6" w:space="0" w:color="828282"/>
                          </w:divBdr>
                          <w:divsChild>
                            <w:div w:id="1205481356">
                              <w:marLeft w:val="0"/>
                              <w:marRight w:val="0"/>
                              <w:marTop w:val="0"/>
                              <w:marBottom w:val="0"/>
                              <w:divBdr>
                                <w:top w:val="none" w:sz="0" w:space="0" w:color="auto"/>
                                <w:left w:val="none" w:sz="0" w:space="0" w:color="auto"/>
                                <w:bottom w:val="none" w:sz="0" w:space="0" w:color="auto"/>
                                <w:right w:val="none" w:sz="0" w:space="0" w:color="auto"/>
                              </w:divBdr>
                              <w:divsChild>
                                <w:div w:id="1299456017">
                                  <w:marLeft w:val="0"/>
                                  <w:marRight w:val="0"/>
                                  <w:marTop w:val="0"/>
                                  <w:marBottom w:val="0"/>
                                  <w:divBdr>
                                    <w:top w:val="none" w:sz="0" w:space="0" w:color="auto"/>
                                    <w:left w:val="none" w:sz="0" w:space="0" w:color="auto"/>
                                    <w:bottom w:val="none" w:sz="0" w:space="0" w:color="auto"/>
                                    <w:right w:val="none" w:sz="0" w:space="0" w:color="auto"/>
                                  </w:divBdr>
                                  <w:divsChild>
                                    <w:div w:id="81415201">
                                      <w:marLeft w:val="0"/>
                                      <w:marRight w:val="0"/>
                                      <w:marTop w:val="0"/>
                                      <w:marBottom w:val="0"/>
                                      <w:divBdr>
                                        <w:top w:val="none" w:sz="0" w:space="0" w:color="auto"/>
                                        <w:left w:val="none" w:sz="0" w:space="0" w:color="auto"/>
                                        <w:bottom w:val="none" w:sz="0" w:space="0" w:color="auto"/>
                                        <w:right w:val="none" w:sz="0" w:space="0" w:color="auto"/>
                                      </w:divBdr>
                                      <w:divsChild>
                                        <w:div w:id="1721973644">
                                          <w:marLeft w:val="0"/>
                                          <w:marRight w:val="0"/>
                                          <w:marTop w:val="0"/>
                                          <w:marBottom w:val="0"/>
                                          <w:divBdr>
                                            <w:top w:val="none" w:sz="0" w:space="0" w:color="auto"/>
                                            <w:left w:val="none" w:sz="0" w:space="0" w:color="auto"/>
                                            <w:bottom w:val="none" w:sz="0" w:space="0" w:color="auto"/>
                                            <w:right w:val="none" w:sz="0" w:space="0" w:color="auto"/>
                                          </w:divBdr>
                                          <w:divsChild>
                                            <w:div w:id="419714870">
                                              <w:marLeft w:val="0"/>
                                              <w:marRight w:val="0"/>
                                              <w:marTop w:val="0"/>
                                              <w:marBottom w:val="0"/>
                                              <w:divBdr>
                                                <w:top w:val="none" w:sz="0" w:space="0" w:color="auto"/>
                                                <w:left w:val="none" w:sz="0" w:space="0" w:color="auto"/>
                                                <w:bottom w:val="none" w:sz="0" w:space="0" w:color="auto"/>
                                                <w:right w:val="none" w:sz="0" w:space="0" w:color="auto"/>
                                              </w:divBdr>
                                              <w:divsChild>
                                                <w:div w:id="11143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963837">
      <w:bodyDiv w:val="1"/>
      <w:marLeft w:val="0"/>
      <w:marRight w:val="0"/>
      <w:marTop w:val="0"/>
      <w:marBottom w:val="0"/>
      <w:divBdr>
        <w:top w:val="none" w:sz="0" w:space="0" w:color="auto"/>
        <w:left w:val="none" w:sz="0" w:space="0" w:color="auto"/>
        <w:bottom w:val="none" w:sz="0" w:space="0" w:color="auto"/>
        <w:right w:val="none" w:sz="0" w:space="0" w:color="auto"/>
      </w:divBdr>
    </w:div>
    <w:div w:id="902833452">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8">
          <w:marLeft w:val="0"/>
          <w:marRight w:val="0"/>
          <w:marTop w:val="0"/>
          <w:marBottom w:val="0"/>
          <w:divBdr>
            <w:top w:val="none" w:sz="0" w:space="0" w:color="auto"/>
            <w:left w:val="none" w:sz="0" w:space="0" w:color="auto"/>
            <w:bottom w:val="none" w:sz="0" w:space="0" w:color="auto"/>
            <w:right w:val="none" w:sz="0" w:space="0" w:color="auto"/>
          </w:divBdr>
          <w:divsChild>
            <w:div w:id="1707633043">
              <w:marLeft w:val="0"/>
              <w:marRight w:val="0"/>
              <w:marTop w:val="0"/>
              <w:marBottom w:val="0"/>
              <w:divBdr>
                <w:top w:val="none" w:sz="0" w:space="0" w:color="auto"/>
                <w:left w:val="none" w:sz="0" w:space="0" w:color="auto"/>
                <w:bottom w:val="none" w:sz="0" w:space="0" w:color="auto"/>
                <w:right w:val="none" w:sz="0" w:space="0" w:color="auto"/>
              </w:divBdr>
              <w:divsChild>
                <w:div w:id="1479571190">
                  <w:marLeft w:val="0"/>
                  <w:marRight w:val="0"/>
                  <w:marTop w:val="0"/>
                  <w:marBottom w:val="0"/>
                  <w:divBdr>
                    <w:top w:val="none" w:sz="0" w:space="0" w:color="auto"/>
                    <w:left w:val="none" w:sz="0" w:space="0" w:color="auto"/>
                    <w:bottom w:val="none" w:sz="0" w:space="0" w:color="auto"/>
                    <w:right w:val="none" w:sz="0" w:space="0" w:color="auto"/>
                  </w:divBdr>
                  <w:divsChild>
                    <w:div w:id="172426686">
                      <w:marLeft w:val="0"/>
                      <w:marRight w:val="0"/>
                      <w:marTop w:val="0"/>
                      <w:marBottom w:val="0"/>
                      <w:divBdr>
                        <w:top w:val="none" w:sz="0" w:space="0" w:color="auto"/>
                        <w:left w:val="none" w:sz="0" w:space="0" w:color="auto"/>
                        <w:bottom w:val="none" w:sz="0" w:space="0" w:color="auto"/>
                        <w:right w:val="none" w:sz="0" w:space="0" w:color="auto"/>
                      </w:divBdr>
                      <w:divsChild>
                        <w:div w:id="785465726">
                          <w:marLeft w:val="0"/>
                          <w:marRight w:val="0"/>
                          <w:marTop w:val="0"/>
                          <w:marBottom w:val="0"/>
                          <w:divBdr>
                            <w:top w:val="single" w:sz="6" w:space="0" w:color="828282"/>
                            <w:left w:val="single" w:sz="6" w:space="0" w:color="828282"/>
                            <w:bottom w:val="single" w:sz="6" w:space="0" w:color="828282"/>
                            <w:right w:val="single" w:sz="6" w:space="0" w:color="828282"/>
                          </w:divBdr>
                          <w:divsChild>
                            <w:div w:id="753817180">
                              <w:marLeft w:val="0"/>
                              <w:marRight w:val="0"/>
                              <w:marTop w:val="0"/>
                              <w:marBottom w:val="0"/>
                              <w:divBdr>
                                <w:top w:val="none" w:sz="0" w:space="0" w:color="auto"/>
                                <w:left w:val="none" w:sz="0" w:space="0" w:color="auto"/>
                                <w:bottom w:val="none" w:sz="0" w:space="0" w:color="auto"/>
                                <w:right w:val="none" w:sz="0" w:space="0" w:color="auto"/>
                              </w:divBdr>
                              <w:divsChild>
                                <w:div w:id="1590893437">
                                  <w:marLeft w:val="0"/>
                                  <w:marRight w:val="0"/>
                                  <w:marTop w:val="0"/>
                                  <w:marBottom w:val="0"/>
                                  <w:divBdr>
                                    <w:top w:val="none" w:sz="0" w:space="0" w:color="auto"/>
                                    <w:left w:val="none" w:sz="0" w:space="0" w:color="auto"/>
                                    <w:bottom w:val="none" w:sz="0" w:space="0" w:color="auto"/>
                                    <w:right w:val="none" w:sz="0" w:space="0" w:color="auto"/>
                                  </w:divBdr>
                                  <w:divsChild>
                                    <w:div w:id="847712640">
                                      <w:marLeft w:val="0"/>
                                      <w:marRight w:val="0"/>
                                      <w:marTop w:val="0"/>
                                      <w:marBottom w:val="0"/>
                                      <w:divBdr>
                                        <w:top w:val="none" w:sz="0" w:space="0" w:color="auto"/>
                                        <w:left w:val="none" w:sz="0" w:space="0" w:color="auto"/>
                                        <w:bottom w:val="none" w:sz="0" w:space="0" w:color="auto"/>
                                        <w:right w:val="none" w:sz="0" w:space="0" w:color="auto"/>
                                      </w:divBdr>
                                      <w:divsChild>
                                        <w:div w:id="327173199">
                                          <w:marLeft w:val="0"/>
                                          <w:marRight w:val="0"/>
                                          <w:marTop w:val="0"/>
                                          <w:marBottom w:val="0"/>
                                          <w:divBdr>
                                            <w:top w:val="none" w:sz="0" w:space="0" w:color="auto"/>
                                            <w:left w:val="none" w:sz="0" w:space="0" w:color="auto"/>
                                            <w:bottom w:val="none" w:sz="0" w:space="0" w:color="auto"/>
                                            <w:right w:val="none" w:sz="0" w:space="0" w:color="auto"/>
                                          </w:divBdr>
                                          <w:divsChild>
                                            <w:div w:id="649752608">
                                              <w:marLeft w:val="0"/>
                                              <w:marRight w:val="0"/>
                                              <w:marTop w:val="0"/>
                                              <w:marBottom w:val="0"/>
                                              <w:divBdr>
                                                <w:top w:val="none" w:sz="0" w:space="0" w:color="auto"/>
                                                <w:left w:val="none" w:sz="0" w:space="0" w:color="auto"/>
                                                <w:bottom w:val="none" w:sz="0" w:space="0" w:color="auto"/>
                                                <w:right w:val="none" w:sz="0" w:space="0" w:color="auto"/>
                                              </w:divBdr>
                                              <w:divsChild>
                                                <w:div w:id="1193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139353">
      <w:bodyDiv w:val="1"/>
      <w:marLeft w:val="0"/>
      <w:marRight w:val="0"/>
      <w:marTop w:val="0"/>
      <w:marBottom w:val="0"/>
      <w:divBdr>
        <w:top w:val="none" w:sz="0" w:space="0" w:color="auto"/>
        <w:left w:val="none" w:sz="0" w:space="0" w:color="auto"/>
        <w:bottom w:val="none" w:sz="0" w:space="0" w:color="auto"/>
        <w:right w:val="none" w:sz="0" w:space="0" w:color="auto"/>
      </w:divBdr>
      <w:divsChild>
        <w:div w:id="1732390420">
          <w:marLeft w:val="0"/>
          <w:marRight w:val="0"/>
          <w:marTop w:val="0"/>
          <w:marBottom w:val="0"/>
          <w:divBdr>
            <w:top w:val="none" w:sz="0" w:space="0" w:color="auto"/>
            <w:left w:val="none" w:sz="0" w:space="0" w:color="auto"/>
            <w:bottom w:val="none" w:sz="0" w:space="0" w:color="auto"/>
            <w:right w:val="none" w:sz="0" w:space="0" w:color="auto"/>
          </w:divBdr>
          <w:divsChild>
            <w:div w:id="578757377">
              <w:marLeft w:val="0"/>
              <w:marRight w:val="0"/>
              <w:marTop w:val="0"/>
              <w:marBottom w:val="0"/>
              <w:divBdr>
                <w:top w:val="none" w:sz="0" w:space="0" w:color="auto"/>
                <w:left w:val="none" w:sz="0" w:space="0" w:color="auto"/>
                <w:bottom w:val="none" w:sz="0" w:space="0" w:color="auto"/>
                <w:right w:val="none" w:sz="0" w:space="0" w:color="auto"/>
              </w:divBdr>
              <w:divsChild>
                <w:div w:id="729352497">
                  <w:marLeft w:val="0"/>
                  <w:marRight w:val="0"/>
                  <w:marTop w:val="0"/>
                  <w:marBottom w:val="0"/>
                  <w:divBdr>
                    <w:top w:val="none" w:sz="0" w:space="0" w:color="auto"/>
                    <w:left w:val="none" w:sz="0" w:space="0" w:color="auto"/>
                    <w:bottom w:val="none" w:sz="0" w:space="0" w:color="auto"/>
                    <w:right w:val="none" w:sz="0" w:space="0" w:color="auto"/>
                  </w:divBdr>
                  <w:divsChild>
                    <w:div w:id="461270392">
                      <w:marLeft w:val="0"/>
                      <w:marRight w:val="0"/>
                      <w:marTop w:val="0"/>
                      <w:marBottom w:val="0"/>
                      <w:divBdr>
                        <w:top w:val="none" w:sz="0" w:space="0" w:color="auto"/>
                        <w:left w:val="none" w:sz="0" w:space="0" w:color="auto"/>
                        <w:bottom w:val="none" w:sz="0" w:space="0" w:color="auto"/>
                        <w:right w:val="none" w:sz="0" w:space="0" w:color="auto"/>
                      </w:divBdr>
                      <w:divsChild>
                        <w:div w:id="1824852246">
                          <w:marLeft w:val="0"/>
                          <w:marRight w:val="0"/>
                          <w:marTop w:val="0"/>
                          <w:marBottom w:val="0"/>
                          <w:divBdr>
                            <w:top w:val="single" w:sz="6" w:space="0" w:color="828282"/>
                            <w:left w:val="single" w:sz="6" w:space="0" w:color="828282"/>
                            <w:bottom w:val="single" w:sz="6" w:space="0" w:color="828282"/>
                            <w:right w:val="single" w:sz="6" w:space="0" w:color="828282"/>
                          </w:divBdr>
                          <w:divsChild>
                            <w:div w:id="2046782708">
                              <w:marLeft w:val="0"/>
                              <w:marRight w:val="0"/>
                              <w:marTop w:val="0"/>
                              <w:marBottom w:val="0"/>
                              <w:divBdr>
                                <w:top w:val="none" w:sz="0" w:space="0" w:color="auto"/>
                                <w:left w:val="none" w:sz="0" w:space="0" w:color="auto"/>
                                <w:bottom w:val="none" w:sz="0" w:space="0" w:color="auto"/>
                                <w:right w:val="none" w:sz="0" w:space="0" w:color="auto"/>
                              </w:divBdr>
                              <w:divsChild>
                                <w:div w:id="978729314">
                                  <w:marLeft w:val="0"/>
                                  <w:marRight w:val="0"/>
                                  <w:marTop w:val="0"/>
                                  <w:marBottom w:val="0"/>
                                  <w:divBdr>
                                    <w:top w:val="none" w:sz="0" w:space="0" w:color="auto"/>
                                    <w:left w:val="none" w:sz="0" w:space="0" w:color="auto"/>
                                    <w:bottom w:val="none" w:sz="0" w:space="0" w:color="auto"/>
                                    <w:right w:val="none" w:sz="0" w:space="0" w:color="auto"/>
                                  </w:divBdr>
                                  <w:divsChild>
                                    <w:div w:id="712315174">
                                      <w:marLeft w:val="0"/>
                                      <w:marRight w:val="0"/>
                                      <w:marTop w:val="0"/>
                                      <w:marBottom w:val="0"/>
                                      <w:divBdr>
                                        <w:top w:val="none" w:sz="0" w:space="0" w:color="auto"/>
                                        <w:left w:val="none" w:sz="0" w:space="0" w:color="auto"/>
                                        <w:bottom w:val="none" w:sz="0" w:space="0" w:color="auto"/>
                                        <w:right w:val="none" w:sz="0" w:space="0" w:color="auto"/>
                                      </w:divBdr>
                                      <w:divsChild>
                                        <w:div w:id="1334994185">
                                          <w:marLeft w:val="0"/>
                                          <w:marRight w:val="0"/>
                                          <w:marTop w:val="0"/>
                                          <w:marBottom w:val="0"/>
                                          <w:divBdr>
                                            <w:top w:val="none" w:sz="0" w:space="0" w:color="auto"/>
                                            <w:left w:val="none" w:sz="0" w:space="0" w:color="auto"/>
                                            <w:bottom w:val="none" w:sz="0" w:space="0" w:color="auto"/>
                                            <w:right w:val="none" w:sz="0" w:space="0" w:color="auto"/>
                                          </w:divBdr>
                                          <w:divsChild>
                                            <w:div w:id="1021205132">
                                              <w:marLeft w:val="0"/>
                                              <w:marRight w:val="0"/>
                                              <w:marTop w:val="0"/>
                                              <w:marBottom w:val="0"/>
                                              <w:divBdr>
                                                <w:top w:val="none" w:sz="0" w:space="0" w:color="auto"/>
                                                <w:left w:val="none" w:sz="0" w:space="0" w:color="auto"/>
                                                <w:bottom w:val="none" w:sz="0" w:space="0" w:color="auto"/>
                                                <w:right w:val="none" w:sz="0" w:space="0" w:color="auto"/>
                                              </w:divBdr>
                                              <w:divsChild>
                                                <w:div w:id="6288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82061">
      <w:bodyDiv w:val="1"/>
      <w:marLeft w:val="0"/>
      <w:marRight w:val="0"/>
      <w:marTop w:val="0"/>
      <w:marBottom w:val="0"/>
      <w:divBdr>
        <w:top w:val="none" w:sz="0" w:space="0" w:color="auto"/>
        <w:left w:val="none" w:sz="0" w:space="0" w:color="auto"/>
        <w:bottom w:val="none" w:sz="0" w:space="0" w:color="auto"/>
        <w:right w:val="none" w:sz="0" w:space="0" w:color="auto"/>
      </w:divBdr>
      <w:divsChild>
        <w:div w:id="503590053">
          <w:marLeft w:val="0"/>
          <w:marRight w:val="0"/>
          <w:marTop w:val="0"/>
          <w:marBottom w:val="0"/>
          <w:divBdr>
            <w:top w:val="none" w:sz="0" w:space="0" w:color="auto"/>
            <w:left w:val="none" w:sz="0" w:space="0" w:color="auto"/>
            <w:bottom w:val="none" w:sz="0" w:space="0" w:color="auto"/>
            <w:right w:val="none" w:sz="0" w:space="0" w:color="auto"/>
          </w:divBdr>
          <w:divsChild>
            <w:div w:id="415370925">
              <w:marLeft w:val="0"/>
              <w:marRight w:val="0"/>
              <w:marTop w:val="0"/>
              <w:marBottom w:val="0"/>
              <w:divBdr>
                <w:top w:val="none" w:sz="0" w:space="0" w:color="auto"/>
                <w:left w:val="none" w:sz="0" w:space="0" w:color="auto"/>
                <w:bottom w:val="none" w:sz="0" w:space="0" w:color="auto"/>
                <w:right w:val="none" w:sz="0" w:space="0" w:color="auto"/>
              </w:divBdr>
              <w:divsChild>
                <w:div w:id="732238713">
                  <w:marLeft w:val="0"/>
                  <w:marRight w:val="0"/>
                  <w:marTop w:val="0"/>
                  <w:marBottom w:val="0"/>
                  <w:divBdr>
                    <w:top w:val="none" w:sz="0" w:space="0" w:color="auto"/>
                    <w:left w:val="none" w:sz="0" w:space="0" w:color="auto"/>
                    <w:bottom w:val="none" w:sz="0" w:space="0" w:color="auto"/>
                    <w:right w:val="none" w:sz="0" w:space="0" w:color="auto"/>
                  </w:divBdr>
                  <w:divsChild>
                    <w:div w:id="664630101">
                      <w:marLeft w:val="0"/>
                      <w:marRight w:val="0"/>
                      <w:marTop w:val="0"/>
                      <w:marBottom w:val="0"/>
                      <w:divBdr>
                        <w:top w:val="none" w:sz="0" w:space="0" w:color="auto"/>
                        <w:left w:val="none" w:sz="0" w:space="0" w:color="auto"/>
                        <w:bottom w:val="none" w:sz="0" w:space="0" w:color="auto"/>
                        <w:right w:val="none" w:sz="0" w:space="0" w:color="auto"/>
                      </w:divBdr>
                      <w:divsChild>
                        <w:div w:id="1061367615">
                          <w:marLeft w:val="0"/>
                          <w:marRight w:val="0"/>
                          <w:marTop w:val="0"/>
                          <w:marBottom w:val="0"/>
                          <w:divBdr>
                            <w:top w:val="single" w:sz="6" w:space="0" w:color="828282"/>
                            <w:left w:val="single" w:sz="6" w:space="0" w:color="828282"/>
                            <w:bottom w:val="single" w:sz="6" w:space="0" w:color="828282"/>
                            <w:right w:val="single" w:sz="6" w:space="0" w:color="828282"/>
                          </w:divBdr>
                          <w:divsChild>
                            <w:div w:id="477069126">
                              <w:marLeft w:val="0"/>
                              <w:marRight w:val="0"/>
                              <w:marTop w:val="0"/>
                              <w:marBottom w:val="0"/>
                              <w:divBdr>
                                <w:top w:val="none" w:sz="0" w:space="0" w:color="auto"/>
                                <w:left w:val="none" w:sz="0" w:space="0" w:color="auto"/>
                                <w:bottom w:val="none" w:sz="0" w:space="0" w:color="auto"/>
                                <w:right w:val="none" w:sz="0" w:space="0" w:color="auto"/>
                              </w:divBdr>
                              <w:divsChild>
                                <w:div w:id="1100445888">
                                  <w:marLeft w:val="0"/>
                                  <w:marRight w:val="0"/>
                                  <w:marTop w:val="0"/>
                                  <w:marBottom w:val="0"/>
                                  <w:divBdr>
                                    <w:top w:val="none" w:sz="0" w:space="0" w:color="auto"/>
                                    <w:left w:val="none" w:sz="0" w:space="0" w:color="auto"/>
                                    <w:bottom w:val="none" w:sz="0" w:space="0" w:color="auto"/>
                                    <w:right w:val="none" w:sz="0" w:space="0" w:color="auto"/>
                                  </w:divBdr>
                                  <w:divsChild>
                                    <w:div w:id="54550193">
                                      <w:marLeft w:val="0"/>
                                      <w:marRight w:val="0"/>
                                      <w:marTop w:val="0"/>
                                      <w:marBottom w:val="0"/>
                                      <w:divBdr>
                                        <w:top w:val="none" w:sz="0" w:space="0" w:color="auto"/>
                                        <w:left w:val="none" w:sz="0" w:space="0" w:color="auto"/>
                                        <w:bottom w:val="none" w:sz="0" w:space="0" w:color="auto"/>
                                        <w:right w:val="none" w:sz="0" w:space="0" w:color="auto"/>
                                      </w:divBdr>
                                      <w:divsChild>
                                        <w:div w:id="1991594090">
                                          <w:marLeft w:val="0"/>
                                          <w:marRight w:val="0"/>
                                          <w:marTop w:val="0"/>
                                          <w:marBottom w:val="0"/>
                                          <w:divBdr>
                                            <w:top w:val="none" w:sz="0" w:space="0" w:color="auto"/>
                                            <w:left w:val="none" w:sz="0" w:space="0" w:color="auto"/>
                                            <w:bottom w:val="none" w:sz="0" w:space="0" w:color="auto"/>
                                            <w:right w:val="none" w:sz="0" w:space="0" w:color="auto"/>
                                          </w:divBdr>
                                          <w:divsChild>
                                            <w:div w:id="1498499681">
                                              <w:marLeft w:val="0"/>
                                              <w:marRight w:val="0"/>
                                              <w:marTop w:val="0"/>
                                              <w:marBottom w:val="0"/>
                                              <w:divBdr>
                                                <w:top w:val="none" w:sz="0" w:space="0" w:color="auto"/>
                                                <w:left w:val="none" w:sz="0" w:space="0" w:color="auto"/>
                                                <w:bottom w:val="none" w:sz="0" w:space="0" w:color="auto"/>
                                                <w:right w:val="none" w:sz="0" w:space="0" w:color="auto"/>
                                              </w:divBdr>
                                              <w:divsChild>
                                                <w:div w:id="21384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6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1B46B602.dotm</Template>
  <TotalTime>1</TotalTime>
  <Pages>4</Pages>
  <Words>849</Words>
  <Characters>4730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kanalc</dc:creator>
  <cp:lastModifiedBy>Ryan Damien</cp:lastModifiedBy>
  <cp:revision>2</cp:revision>
  <cp:lastPrinted>2017-03-15T00:11:00Z</cp:lastPrinted>
  <dcterms:created xsi:type="dcterms:W3CDTF">2017-03-21T00:17:00Z</dcterms:created>
  <dcterms:modified xsi:type="dcterms:W3CDTF">2017-03-21T00:17:00Z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