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D1351" w14:textId="77777777" w:rsidR="00F109D4" w:rsidRPr="00503E44" w:rsidRDefault="00F109D4" w:rsidP="00E457F3">
      <w:pPr>
        <w:pStyle w:val="Heading1"/>
        <w:jc w:val="left"/>
      </w:pPr>
      <w:bookmarkStart w:id="0" w:name="_GoBack"/>
      <w:bookmarkEnd w:id="0"/>
      <w:r w:rsidRPr="00503E44">
        <w:t>EXPLANATORY STATEMENT</w:t>
      </w:r>
    </w:p>
    <w:p w14:paraId="197B0E0F" w14:textId="77777777" w:rsidR="005833BE" w:rsidRPr="00503E44" w:rsidRDefault="005833BE" w:rsidP="005833BE">
      <w:pPr>
        <w:pStyle w:val="base-text-paragraph"/>
        <w:tabs>
          <w:tab w:val="clear" w:pos="1987"/>
        </w:tabs>
        <w:ind w:left="0"/>
        <w:rPr>
          <w:b/>
          <w:u w:val="single"/>
        </w:rPr>
      </w:pPr>
    </w:p>
    <w:p w14:paraId="20D71644" w14:textId="77777777" w:rsidR="00F109D4" w:rsidRPr="00503E44" w:rsidRDefault="00F109D4" w:rsidP="00A12209">
      <w:pPr>
        <w:pStyle w:val="Heading2"/>
      </w:pPr>
      <w:r w:rsidRPr="00503E44">
        <w:t xml:space="preserve">Issued by authority of the </w:t>
      </w:r>
      <w:r w:rsidR="00577497">
        <w:t>Minister for Revenue and Financial Services</w:t>
      </w:r>
    </w:p>
    <w:p w14:paraId="767DE6BF" w14:textId="77777777" w:rsidR="00F109D4" w:rsidRPr="00503E44" w:rsidRDefault="00577497">
      <w:pPr>
        <w:jc w:val="center"/>
        <w:rPr>
          <w:i/>
        </w:rPr>
      </w:pPr>
      <w:r>
        <w:rPr>
          <w:i/>
        </w:rPr>
        <w:t>Terrorism Insurance Act 2003</w:t>
      </w:r>
    </w:p>
    <w:p w14:paraId="570A287E" w14:textId="1105F391" w:rsidR="00F109D4" w:rsidRPr="00503E44" w:rsidRDefault="00277BAF">
      <w:pPr>
        <w:tabs>
          <w:tab w:val="left" w:pos="1418"/>
        </w:tabs>
        <w:spacing w:after="240"/>
        <w:jc w:val="center"/>
        <w:rPr>
          <w:i/>
        </w:rPr>
      </w:pPr>
      <w:r>
        <w:rPr>
          <w:i/>
        </w:rPr>
        <w:t xml:space="preserve">Terrorism Insurance </w:t>
      </w:r>
      <w:r w:rsidR="00577497">
        <w:rPr>
          <w:i/>
        </w:rPr>
        <w:t>Amendment Regulation</w:t>
      </w:r>
      <w:r>
        <w:rPr>
          <w:i/>
        </w:rPr>
        <w:t>s</w:t>
      </w:r>
      <w:r w:rsidR="00577497">
        <w:rPr>
          <w:i/>
        </w:rPr>
        <w:t xml:space="preserve"> 201</w:t>
      </w:r>
      <w:r w:rsidR="00D321E9">
        <w:rPr>
          <w:i/>
        </w:rPr>
        <w:t>7</w:t>
      </w:r>
      <w:r w:rsidR="00577497">
        <w:rPr>
          <w:i/>
        </w:rPr>
        <w:t xml:space="preserve"> </w:t>
      </w:r>
    </w:p>
    <w:p w14:paraId="3C9B5538" w14:textId="77777777" w:rsidR="00C63D9B" w:rsidRDefault="00C55D29">
      <w:r w:rsidRPr="00503E44">
        <w:t xml:space="preserve">Section </w:t>
      </w:r>
      <w:r w:rsidR="00577497">
        <w:t>43</w:t>
      </w:r>
      <w:r w:rsidR="00F109D4" w:rsidRPr="00503E44">
        <w:t xml:space="preserve"> of the </w:t>
      </w:r>
      <w:r w:rsidR="00577497" w:rsidRPr="00577497">
        <w:rPr>
          <w:i/>
        </w:rPr>
        <w:t>Terrorism Insurance Act 2003</w:t>
      </w:r>
      <w:r w:rsidR="00F109D4" w:rsidRPr="00503E44">
        <w:t xml:space="preserve"> (the </w:t>
      </w:r>
      <w:r w:rsidR="00577497">
        <w:t>‘Act’) provides that the Governor</w:t>
      </w:r>
      <w:r w:rsidR="00577497">
        <w:noBreakHyphen/>
      </w:r>
      <w:r w:rsidR="00F109D4" w:rsidRPr="00503E44">
        <w:t>General may make regulations prescribing matters required or permitted by the Act to be prescribed, or necessary or convenient to be prescribed for carrying out or giving effect to the Act.</w:t>
      </w:r>
    </w:p>
    <w:p w14:paraId="2E604505" w14:textId="724FA5BD" w:rsidR="00C63D9B" w:rsidRDefault="00577497">
      <w:r>
        <w:t xml:space="preserve">The purpose of the </w:t>
      </w:r>
      <w:r w:rsidR="00277BAF">
        <w:rPr>
          <w:i/>
        </w:rPr>
        <w:t xml:space="preserve">Terrorism Insurance Amendment </w:t>
      </w:r>
      <w:r w:rsidRPr="00577497">
        <w:rPr>
          <w:i/>
        </w:rPr>
        <w:t>Regulation</w:t>
      </w:r>
      <w:r w:rsidR="00D321E9">
        <w:rPr>
          <w:i/>
        </w:rPr>
        <w:t>s</w:t>
      </w:r>
      <w:r w:rsidRPr="00577497">
        <w:rPr>
          <w:i/>
        </w:rPr>
        <w:t xml:space="preserve"> </w:t>
      </w:r>
      <w:r w:rsidR="00D321E9" w:rsidRPr="00577497">
        <w:rPr>
          <w:i/>
        </w:rPr>
        <w:t>201</w:t>
      </w:r>
      <w:r w:rsidR="00D321E9">
        <w:rPr>
          <w:i/>
        </w:rPr>
        <w:t>7</w:t>
      </w:r>
      <w:r w:rsidR="00D321E9">
        <w:t xml:space="preserve"> </w:t>
      </w:r>
      <w:r>
        <w:t>(the ‘</w:t>
      </w:r>
      <w:r w:rsidR="0029207A">
        <w:t xml:space="preserve">Amending </w:t>
      </w:r>
      <w:r>
        <w:t>Regulation</w:t>
      </w:r>
      <w:r w:rsidR="00DA16FD">
        <w:t>s</w:t>
      </w:r>
      <w:r>
        <w:t xml:space="preserve">’) is to amend the </w:t>
      </w:r>
      <w:r w:rsidRPr="00577497">
        <w:rPr>
          <w:i/>
        </w:rPr>
        <w:t>Terrorism Insurance Regulations 2003</w:t>
      </w:r>
      <w:r>
        <w:t xml:space="preserve"> </w:t>
      </w:r>
      <w:r w:rsidR="00B41BEE">
        <w:t xml:space="preserve">(the ‘Regulations’) </w:t>
      </w:r>
      <w:r>
        <w:t xml:space="preserve">to </w:t>
      </w:r>
      <w:r w:rsidR="00704B76">
        <w:t xml:space="preserve">give effect to </w:t>
      </w:r>
      <w:r w:rsidR="00D02BD9">
        <w:t xml:space="preserve">recommendation </w:t>
      </w:r>
      <w:r w:rsidR="00C63D9B">
        <w:t>nine</w:t>
      </w:r>
      <w:r w:rsidR="00D02BD9">
        <w:t xml:space="preserve"> of </w:t>
      </w:r>
      <w:r w:rsidR="00704B76">
        <w:t xml:space="preserve">the </w:t>
      </w:r>
      <w:r w:rsidR="00704B76" w:rsidRPr="006C031A">
        <w:rPr>
          <w:i/>
        </w:rPr>
        <w:t>Terrorism Insurance Act Review</w:t>
      </w:r>
      <w:r w:rsidR="00D02BD9">
        <w:rPr>
          <w:i/>
        </w:rPr>
        <w:t>: 2</w:t>
      </w:r>
      <w:r w:rsidR="00704B76" w:rsidRPr="006C031A">
        <w:rPr>
          <w:i/>
        </w:rPr>
        <w:t>015</w:t>
      </w:r>
      <w:r w:rsidR="00704B76">
        <w:t xml:space="preserve"> to </w:t>
      </w:r>
      <w:r w:rsidR="006E6AA7">
        <w:t xml:space="preserve">extend the terrorism insurance scheme </w:t>
      </w:r>
      <w:r w:rsidR="00BF110C">
        <w:t xml:space="preserve">(the ‘scheme’) </w:t>
      </w:r>
      <w:r w:rsidR="00D302C6" w:rsidRPr="00D302C6">
        <w:t xml:space="preserve">so that it applies to buildings in which at least 20 per cent of floor space is used for commercial purposes; and buildings with a sum-insured value of at least $50 million, whether </w:t>
      </w:r>
      <w:proofErr w:type="gramStart"/>
      <w:r w:rsidR="00D302C6" w:rsidRPr="00D302C6">
        <w:t>used</w:t>
      </w:r>
      <w:proofErr w:type="gramEnd"/>
      <w:r w:rsidR="00D302C6" w:rsidRPr="00D302C6">
        <w:t xml:space="preserve"> for commercial or other purposes.  </w:t>
      </w:r>
    </w:p>
    <w:p w14:paraId="42823994" w14:textId="19128C71" w:rsidR="00E93D18" w:rsidRDefault="00577497">
      <w:r>
        <w:t xml:space="preserve">The Act </w:t>
      </w:r>
      <w:r w:rsidR="00AD0CCE">
        <w:t xml:space="preserve">established </w:t>
      </w:r>
      <w:r w:rsidR="00BF110C">
        <w:t>the</w:t>
      </w:r>
      <w:r w:rsidR="00AD0CCE">
        <w:t xml:space="preserve"> scheme in 2003 </w:t>
      </w:r>
      <w:r w:rsidR="00DC6B3B">
        <w:t>which operates by overriding terrorism exclusion clauses in eligible insurances contracts to the extent that losses excluded are eligible terrorism losses arising from a declared terrorist incident. The scheme</w:t>
      </w:r>
      <w:r w:rsidR="0008474E">
        <w:t xml:space="preserve"> is operated by the Australian Reinsurance Pool Corporation (the ‘ARPC’) and</w:t>
      </w:r>
      <w:r w:rsidR="00E93D18">
        <w:t xml:space="preserve"> generally</w:t>
      </w:r>
      <w:r w:rsidR="00DC6B3B">
        <w:t xml:space="preserve"> provides for insurance cover </w:t>
      </w:r>
      <w:r w:rsidR="00E93D18">
        <w:t xml:space="preserve">for commercial property and associated business interruption losses and public liability claims. </w:t>
      </w:r>
    </w:p>
    <w:p w14:paraId="5860EBEB" w14:textId="54FA3CAC" w:rsidR="00C63D9B" w:rsidRDefault="00E93D18">
      <w:r>
        <w:t xml:space="preserve">The scheme was originally established </w:t>
      </w:r>
      <w:r w:rsidR="00BA3D1A">
        <w:t xml:space="preserve">as there was </w:t>
      </w:r>
      <w:r w:rsidR="00AD0CCE">
        <w:t xml:space="preserve">insufficient </w:t>
      </w:r>
      <w:r w:rsidR="0009683F">
        <w:t xml:space="preserve">terrorism </w:t>
      </w:r>
      <w:r w:rsidR="00AD0CCE">
        <w:t>insurance cover available in the market</w:t>
      </w:r>
      <w:r w:rsidR="00BF6ADF">
        <w:t xml:space="preserve"> for commercial buildings</w:t>
      </w:r>
      <w:r w:rsidR="002818DD">
        <w:t xml:space="preserve"> following the 2001 terrorist attacks in the United States</w:t>
      </w:r>
      <w:r w:rsidR="00BF6ADF">
        <w:t xml:space="preserve">. </w:t>
      </w:r>
      <w:r>
        <w:t xml:space="preserve">Under section 41 of the Act, the operation of the </w:t>
      </w:r>
      <w:r w:rsidR="006E6AA7">
        <w:t>scheme is reviewed every three years.</w:t>
      </w:r>
      <w:r w:rsidR="006E6AA7" w:rsidRPr="006E6AA7">
        <w:t xml:space="preserve"> </w:t>
      </w:r>
      <w:r w:rsidR="006E6AA7">
        <w:t>The most recent review</w:t>
      </w:r>
      <w:r w:rsidR="00994E4D">
        <w:t>,</w:t>
      </w:r>
      <w:r w:rsidR="006E6AA7">
        <w:t xml:space="preserve"> conducted in 2015</w:t>
      </w:r>
      <w:r w:rsidR="00994E4D">
        <w:t>,</w:t>
      </w:r>
      <w:r w:rsidR="006E6AA7">
        <w:t xml:space="preserve"> recommended that the scheme should be extended to apply to mixed-use building</w:t>
      </w:r>
      <w:r w:rsidR="00FD3782">
        <w:t>s</w:t>
      </w:r>
      <w:r w:rsidR="006E6AA7">
        <w:t xml:space="preserve"> where at least 20 per cent of floor space is used for commercial purposes and high value residential buildings that are insured for $50 million or more.</w:t>
      </w:r>
    </w:p>
    <w:p w14:paraId="4D2C1DE2" w14:textId="69530C5A" w:rsidR="00C63D9B" w:rsidRDefault="00A0783E">
      <w:r>
        <w:t xml:space="preserve">Schedule 1 to the Regulations excludes a number of insurance contracts from the scheme. </w:t>
      </w:r>
      <w:r w:rsidR="006E6AA7">
        <w:t xml:space="preserve">At present, paragraphs 2(a) and 2(b) of Schedule 1 to the </w:t>
      </w:r>
      <w:r w:rsidR="00551D2D">
        <w:t>Regulations</w:t>
      </w:r>
      <w:r w:rsidR="006E6AA7">
        <w:t xml:space="preserve"> exclude</w:t>
      </w:r>
      <w:r w:rsidR="00C63D9B">
        <w:t xml:space="preserve"> home</w:t>
      </w:r>
      <w:r w:rsidR="006E6AA7">
        <w:t xml:space="preserve"> buildings and the contents of</w:t>
      </w:r>
      <w:r w:rsidR="00C63D9B">
        <w:t xml:space="preserve"> home</w:t>
      </w:r>
      <w:r w:rsidR="006E6AA7">
        <w:t xml:space="preserve"> </w:t>
      </w:r>
      <w:r w:rsidR="00C63D9B">
        <w:t>buildings</w:t>
      </w:r>
      <w:r w:rsidR="006E6AA7">
        <w:t xml:space="preserve"> </w:t>
      </w:r>
      <w:r w:rsidR="00C63D9B">
        <w:t xml:space="preserve">(as defined in the </w:t>
      </w:r>
      <w:r w:rsidR="00C63D9B" w:rsidRPr="006C031A">
        <w:rPr>
          <w:i/>
        </w:rPr>
        <w:t>Corporations Regulations 2001</w:t>
      </w:r>
      <w:r w:rsidR="00C63D9B">
        <w:t xml:space="preserve">) from the scheme. As such, the scheme presently </w:t>
      </w:r>
      <w:r w:rsidR="00FD3782">
        <w:t xml:space="preserve">does </w:t>
      </w:r>
      <w:r w:rsidR="00C63D9B">
        <w:t>not cover</w:t>
      </w:r>
      <w:r w:rsidR="0012366C">
        <w:t xml:space="preserve"> any</w:t>
      </w:r>
      <w:r w:rsidR="00C63D9B">
        <w:t xml:space="preserve"> buildings or the contents of buildings that are primarily used as a place of residence. </w:t>
      </w:r>
    </w:p>
    <w:p w14:paraId="63E528D3" w14:textId="3DB60E79" w:rsidR="00705125" w:rsidRDefault="00C63D9B">
      <w:r>
        <w:t xml:space="preserve">To give effect to recommendation nine in the 2015 review, the </w:t>
      </w:r>
      <w:r w:rsidR="000F5202">
        <w:t xml:space="preserve">Amending </w:t>
      </w:r>
      <w:r>
        <w:t xml:space="preserve">Regulations replace paragraphs 2(a) and 2(b) of </w:t>
      </w:r>
      <w:r w:rsidR="00A0783E">
        <w:t xml:space="preserve">Schedule 1 to </w:t>
      </w:r>
      <w:r>
        <w:t xml:space="preserve">the </w:t>
      </w:r>
      <w:r w:rsidR="00551D2D">
        <w:t>Regulations</w:t>
      </w:r>
      <w:r>
        <w:t xml:space="preserve"> with</w:t>
      </w:r>
      <w:r w:rsidRPr="00C63D9B">
        <w:t xml:space="preserve"> </w:t>
      </w:r>
      <w:r>
        <w:t xml:space="preserve">a new provision that only excludes </w:t>
      </w:r>
      <w:r w:rsidR="001C251C">
        <w:t xml:space="preserve">from the scheme </w:t>
      </w:r>
      <w:r w:rsidR="00A0783E">
        <w:t xml:space="preserve">a contract of insurance that provides cover for </w:t>
      </w:r>
      <w:r>
        <w:t xml:space="preserve">a building </w:t>
      </w:r>
      <w:r w:rsidR="002C0AEC">
        <w:t xml:space="preserve">and its contents </w:t>
      </w:r>
      <w:r>
        <w:t xml:space="preserve">if more than 80% of </w:t>
      </w:r>
      <w:r w:rsidR="002C0AEC">
        <w:t>the building’s</w:t>
      </w:r>
      <w:r>
        <w:t xml:space="preserve"> floor space is used for residential purposes</w:t>
      </w:r>
      <w:r w:rsidR="00A0783E">
        <w:t>,</w:t>
      </w:r>
      <w:r>
        <w:t xml:space="preserve"> and it is insured for less than $50</w:t>
      </w:r>
      <w:r w:rsidR="00061B03">
        <w:t xml:space="preserve"> </w:t>
      </w:r>
      <w:r>
        <w:t xml:space="preserve">million. </w:t>
      </w:r>
    </w:p>
    <w:p w14:paraId="691E2B1E" w14:textId="3B059E23" w:rsidR="007165EC" w:rsidRDefault="007165EC">
      <w:r>
        <w:t xml:space="preserve">To </w:t>
      </w:r>
      <w:r w:rsidR="00A50CB5">
        <w:t>implement</w:t>
      </w:r>
      <w:r>
        <w:t xml:space="preserve"> this</w:t>
      </w:r>
      <w:r w:rsidRPr="00077188">
        <w:t xml:space="preserve"> change, the definition of ‘contents’ under regulation 7.1.13 of the </w:t>
      </w:r>
      <w:r w:rsidRPr="00077188">
        <w:rPr>
          <w:i/>
        </w:rPr>
        <w:t>Corporations Regulations 2001</w:t>
      </w:r>
      <w:r w:rsidRPr="00077188">
        <w:t xml:space="preserve"> has been</w:t>
      </w:r>
      <w:r>
        <w:t xml:space="preserve"> </w:t>
      </w:r>
      <w:r w:rsidRPr="00077188">
        <w:t xml:space="preserve">replicated in the Amending Regulations </w:t>
      </w:r>
      <w:r w:rsidRPr="00077188">
        <w:lastRenderedPageBreak/>
        <w:t>instead</w:t>
      </w:r>
      <w:r w:rsidR="00A0783E">
        <w:t>, with amendments to reflect the extension of the scheme to certain mixed</w:t>
      </w:r>
      <w:r w:rsidR="00A0783E">
        <w:noBreakHyphen/>
        <w:t>use and residential buildings</w:t>
      </w:r>
      <w:r>
        <w:t xml:space="preserve">. This is necessary as the definition within the </w:t>
      </w:r>
      <w:r w:rsidRPr="007165EC">
        <w:rPr>
          <w:i/>
        </w:rPr>
        <w:t>Corporations Regulations 2001</w:t>
      </w:r>
      <w:r>
        <w:t xml:space="preserve"> applies in relation to buildings where more than 50</w:t>
      </w:r>
      <w:r w:rsidR="0073105D">
        <w:t xml:space="preserve"> per cent</w:t>
      </w:r>
      <w:r>
        <w:t xml:space="preserve"> of the floor space is used for residential purposes and would not be appropriate given the change to the scheme to provide cover for contents of buildings where up to 80</w:t>
      </w:r>
      <w:r w:rsidR="0073105D">
        <w:t xml:space="preserve"> per cent</w:t>
      </w:r>
      <w:r>
        <w:t xml:space="preserve"> of a building may be used for residential purposes.  </w:t>
      </w:r>
    </w:p>
    <w:p w14:paraId="009AF5D5" w14:textId="33B76B16" w:rsidR="00705125" w:rsidRDefault="00705125">
      <w:r>
        <w:t xml:space="preserve">The scheme also presently does not apply in relation to any personal property under paragraph 2(d) of Schedule 1 of the </w:t>
      </w:r>
      <w:r w:rsidR="007B7908">
        <w:t>Regulations</w:t>
      </w:r>
      <w:r>
        <w:t xml:space="preserve">. This broad exclusion </w:t>
      </w:r>
      <w:r w:rsidR="00FD3782">
        <w:t xml:space="preserve">for personal property </w:t>
      </w:r>
      <w:r>
        <w:t xml:space="preserve">is no longer appropriate given the scheme is being extended to mixed use buildings where up to 80% of the floor space is used for residential purposes and high value buildings which may be used completely for residential purposes. </w:t>
      </w:r>
    </w:p>
    <w:p w14:paraId="2208CFA8" w14:textId="57370D18" w:rsidR="00DA3A21" w:rsidRPr="00077188" w:rsidRDefault="00705125">
      <w:pPr>
        <w:rPr>
          <w:highlight w:val="yellow"/>
        </w:rPr>
      </w:pPr>
      <w:r w:rsidRPr="00077188">
        <w:t xml:space="preserve">The exclusion for personal property under paragraph 2(d) of Schedule 1 </w:t>
      </w:r>
      <w:r w:rsidR="009502ED" w:rsidRPr="00077188">
        <w:t xml:space="preserve">of the </w:t>
      </w:r>
      <w:r w:rsidR="007B7908" w:rsidRPr="00077188">
        <w:t>Regulations</w:t>
      </w:r>
      <w:r w:rsidR="00A1713C" w:rsidRPr="00077188">
        <w:rPr>
          <w:i/>
        </w:rPr>
        <w:t xml:space="preserve"> </w:t>
      </w:r>
      <w:r w:rsidR="00DA3A21" w:rsidRPr="00077188">
        <w:t>is</w:t>
      </w:r>
      <w:r w:rsidRPr="00077188">
        <w:t xml:space="preserve"> therefore being narrowed so that it only applies to </w:t>
      </w:r>
      <w:r w:rsidR="00DA3A21" w:rsidRPr="00077188">
        <w:t>personal property that is not the contents of the residential part of</w:t>
      </w:r>
      <w:r w:rsidR="002C0AEC" w:rsidRPr="00077188">
        <w:t xml:space="preserve"> a</w:t>
      </w:r>
      <w:r w:rsidR="00DA3A21" w:rsidRPr="00077188">
        <w:t xml:space="preserve"> mixed use or high value</w:t>
      </w:r>
      <w:r w:rsidR="002C0AEC" w:rsidRPr="00077188">
        <w:t xml:space="preserve"> residential</w:t>
      </w:r>
      <w:r w:rsidR="00DA3A21" w:rsidRPr="00077188">
        <w:t xml:space="preserve"> building. </w:t>
      </w:r>
    </w:p>
    <w:p w14:paraId="71740120" w14:textId="5DEC962E" w:rsidR="00146B4D" w:rsidRDefault="00146B4D" w:rsidP="00146B4D">
      <w:r w:rsidRPr="00DC20AE">
        <w:t>The Act does not specify any conditions that need to be met before the power to make the Regulation</w:t>
      </w:r>
      <w:r w:rsidR="0029207A">
        <w:t>s</w:t>
      </w:r>
      <w:r w:rsidRPr="00DC20AE">
        <w:t xml:space="preserve"> may be exercised.</w:t>
      </w:r>
      <w:r w:rsidR="0012366C">
        <w:t xml:space="preserve"> However, under the ARPC </w:t>
      </w:r>
      <w:r w:rsidR="005D65F4">
        <w:t>Reinsurance Agreement for Terrorism Risks</w:t>
      </w:r>
      <w:r w:rsidR="0012366C">
        <w:t xml:space="preserve"> with insurers, all insurers must receive 3 months</w:t>
      </w:r>
      <w:r w:rsidR="00B45AF7">
        <w:t>’</w:t>
      </w:r>
      <w:r w:rsidR="0012366C">
        <w:t xml:space="preserve"> notice prior to application of these changes. To allow for this, the amendments in the</w:t>
      </w:r>
      <w:r w:rsidR="007B7908">
        <w:t xml:space="preserve"> Amending</w:t>
      </w:r>
      <w:r w:rsidR="0012366C">
        <w:t xml:space="preserve"> Regulations to extend the scheme will only apply in relation to insurance contracts executed or renewed on or after 1 July 2017. </w:t>
      </w:r>
    </w:p>
    <w:p w14:paraId="0A46F968" w14:textId="7C9B9671" w:rsidR="00146B4D" w:rsidRDefault="00146B4D" w:rsidP="00146B4D">
      <w:r w:rsidRPr="00DC20AE">
        <w:t xml:space="preserve">The </w:t>
      </w:r>
      <w:r w:rsidR="005C1D2C">
        <w:t xml:space="preserve">Amending </w:t>
      </w:r>
      <w:r w:rsidRPr="00DC20AE">
        <w:t>Regulation</w:t>
      </w:r>
      <w:r w:rsidR="0029207A">
        <w:t>s</w:t>
      </w:r>
      <w:r w:rsidRPr="00DC20AE">
        <w:t xml:space="preserve"> </w:t>
      </w:r>
      <w:r w:rsidR="0029207A">
        <w:t>are</w:t>
      </w:r>
      <w:r w:rsidRPr="00DC20AE">
        <w:t xml:space="preserve"> a legislative instrument for the purposes of the </w:t>
      </w:r>
      <w:r w:rsidRPr="00DC20AE">
        <w:rPr>
          <w:i/>
        </w:rPr>
        <w:t>Legislation Act 2003</w:t>
      </w:r>
      <w:r w:rsidRPr="00DC20AE">
        <w:t>.</w:t>
      </w:r>
    </w:p>
    <w:p w14:paraId="49E2FF9C" w14:textId="5BBDC8A2" w:rsidR="00DA4F78" w:rsidRDefault="00DA4F78" w:rsidP="00DA4F78">
      <w:r>
        <w:t xml:space="preserve">An exposure draft of the Amending Regulations and accompanying Explanatory Statement were released for public consultation from 30 January 2017 to 13 February 2017. The ARPC notified </w:t>
      </w:r>
      <w:r w:rsidR="005A4BF2">
        <w:t>around 240 stakeholders</w:t>
      </w:r>
      <w:r>
        <w:t xml:space="preserve"> about the consultation.  </w:t>
      </w:r>
      <w:r w:rsidR="00BB3712">
        <w:t xml:space="preserve">Treasury </w:t>
      </w:r>
      <w:r>
        <w:t>received</w:t>
      </w:r>
      <w:r w:rsidR="00BB3712">
        <w:t xml:space="preserve"> two submissions as part of </w:t>
      </w:r>
      <w:r>
        <w:t>the consultation process.</w:t>
      </w:r>
      <w:r w:rsidR="00BB3712">
        <w:t xml:space="preserve"> Both submissions were supportive of the amendments to the Regulation</w:t>
      </w:r>
      <w:r w:rsidR="0073105D">
        <w:t>s</w:t>
      </w:r>
      <w:r w:rsidR="00BB3712">
        <w:t xml:space="preserve">. </w:t>
      </w:r>
      <w:r>
        <w:t xml:space="preserve"> </w:t>
      </w:r>
    </w:p>
    <w:p w14:paraId="5FDAC9B8" w14:textId="52B25B22" w:rsidR="00146B4D" w:rsidRDefault="00DA4F78" w:rsidP="00146B4D">
      <w:r>
        <w:t xml:space="preserve">The </w:t>
      </w:r>
      <w:r w:rsidRPr="00DA4F78">
        <w:rPr>
          <w:i/>
        </w:rPr>
        <w:t>Terrorism Insurance Act Review: 2015</w:t>
      </w:r>
      <w:r>
        <w:t xml:space="preserve"> was certified to have undertaken a process and analysis equivalent to a Regulatory Impact Statement by the Office of Best Practice Regulation and can be found on the Treasury website at </w:t>
      </w:r>
      <w:hyperlink r:id="rId14" w:history="1">
        <w:r w:rsidRPr="00805A74">
          <w:rPr>
            <w:rStyle w:val="Hyperlink"/>
          </w:rPr>
          <w:t>http://www.treasury.gov.au/PublicationsAndMedia/Publications/2015/Terrorism-Insurance-Act-Review-2015</w:t>
        </w:r>
      </w:hyperlink>
      <w:r>
        <w:t xml:space="preserve">. </w:t>
      </w:r>
      <w:r w:rsidR="00146B4D" w:rsidRPr="00CA5DE5">
        <w:t xml:space="preserve">The </w:t>
      </w:r>
      <w:r w:rsidR="005C1D2C">
        <w:t xml:space="preserve">Amending </w:t>
      </w:r>
      <w:r w:rsidR="00146B4D" w:rsidRPr="00CA5DE5">
        <w:t>Regulation</w:t>
      </w:r>
      <w:r w:rsidR="0029207A">
        <w:t>s</w:t>
      </w:r>
      <w:r w:rsidR="00146B4D" w:rsidRPr="00CA5DE5">
        <w:t xml:space="preserve"> </w:t>
      </w:r>
      <w:r w:rsidR="00146B4D">
        <w:t xml:space="preserve">commence on </w:t>
      </w:r>
      <w:r w:rsidR="00BB3712">
        <w:t>1 July 2017</w:t>
      </w:r>
      <w:r w:rsidR="00146B4D">
        <w:t xml:space="preserve">. </w:t>
      </w:r>
    </w:p>
    <w:p w14:paraId="1D03FE6B" w14:textId="77777777" w:rsidR="00DA4F78" w:rsidRPr="00DA4F78" w:rsidRDefault="00DA4F78" w:rsidP="00DA4F78">
      <w:pPr>
        <w:pStyle w:val="Heading3"/>
        <w:rPr>
          <w:rFonts w:ascii="Times New Roman" w:hAnsi="Times New Roman"/>
        </w:rPr>
      </w:pPr>
      <w:r w:rsidRPr="00DA4F78">
        <w:rPr>
          <w:rFonts w:ascii="Times New Roman" w:hAnsi="Times New Roman"/>
        </w:rPr>
        <w:t>Statement of Compatibility with Human Rights</w:t>
      </w:r>
    </w:p>
    <w:p w14:paraId="3D4408B7" w14:textId="77777777" w:rsidR="00DA4F78" w:rsidRPr="00DA4F78" w:rsidRDefault="00DA4F78" w:rsidP="00DA4F78">
      <w:pPr>
        <w:spacing w:before="240"/>
        <w:jc w:val="center"/>
        <w:rPr>
          <w:i/>
        </w:rPr>
      </w:pPr>
      <w:r w:rsidRPr="00DA4F78">
        <w:rPr>
          <w:i/>
        </w:rPr>
        <w:t>Prepared in accordance with Part 3 of the Human Rights (Parliamentary Scrutiny) Act 2011</w:t>
      </w:r>
    </w:p>
    <w:p w14:paraId="760F3702" w14:textId="7317FF45" w:rsidR="00DA4F78" w:rsidRPr="00DA4F78" w:rsidRDefault="00DA4F78" w:rsidP="00DA4F78">
      <w:pPr>
        <w:keepNext/>
        <w:tabs>
          <w:tab w:val="left" w:pos="1987"/>
        </w:tabs>
        <w:spacing w:before="240"/>
        <w:jc w:val="center"/>
        <w:outlineLvl w:val="2"/>
        <w:rPr>
          <w:b/>
          <w:kern w:val="28"/>
        </w:rPr>
      </w:pPr>
      <w:r w:rsidRPr="00DA4F78">
        <w:rPr>
          <w:b/>
          <w:kern w:val="28"/>
        </w:rPr>
        <w:t>Terrorism Insurance Amendment Regulations 2017</w:t>
      </w:r>
    </w:p>
    <w:p w14:paraId="40BE4276" w14:textId="77777777" w:rsidR="00DA4F78" w:rsidRPr="00DA4F78" w:rsidRDefault="00DA4F78" w:rsidP="00DA4F78">
      <w:pPr>
        <w:spacing w:before="240"/>
      </w:pPr>
      <w:r w:rsidRPr="00DA4F78">
        <w:t xml:space="preserve">This Legislative Instrument is compatible with the human rights and freedoms recognised or declared in the international instruments listed in section 3 of the </w:t>
      </w:r>
      <w:r w:rsidRPr="00DA4F78">
        <w:rPr>
          <w:i/>
        </w:rPr>
        <w:t>Human Rights (Parliamentary Scrutiny) Act 2011</w:t>
      </w:r>
      <w:r w:rsidRPr="00DA4F78">
        <w:t>.</w:t>
      </w:r>
    </w:p>
    <w:p w14:paraId="5E087092" w14:textId="77777777" w:rsidR="00DA4F78" w:rsidRPr="00DA4F78" w:rsidRDefault="00DA4F78" w:rsidP="00DA4F78">
      <w:pPr>
        <w:keepNext/>
        <w:tabs>
          <w:tab w:val="left" w:pos="1987"/>
        </w:tabs>
        <w:spacing w:before="240"/>
        <w:outlineLvl w:val="2"/>
        <w:rPr>
          <w:b/>
          <w:kern w:val="28"/>
        </w:rPr>
      </w:pPr>
      <w:r w:rsidRPr="00DA4F78">
        <w:rPr>
          <w:b/>
          <w:kern w:val="28"/>
        </w:rPr>
        <w:lastRenderedPageBreak/>
        <w:t>Overview of the Legislative Instrument</w:t>
      </w:r>
    </w:p>
    <w:p w14:paraId="04D38ABA" w14:textId="5D85B7F1" w:rsidR="00DA4F78" w:rsidRPr="00DA4F78" w:rsidRDefault="00315469" w:rsidP="00DA4F78">
      <w:pPr>
        <w:spacing w:before="240"/>
      </w:pPr>
      <w:r>
        <w:t>The Amending Regulations</w:t>
      </w:r>
      <w:r w:rsidRPr="00315469">
        <w:t xml:space="preserve"> extend the terrorism insurance scheme to provide </w:t>
      </w:r>
      <w:r>
        <w:t xml:space="preserve">terrorism insurance </w:t>
      </w:r>
      <w:r w:rsidRPr="00315469">
        <w:t xml:space="preserve">cover </w:t>
      </w:r>
      <w:r w:rsidR="0041225F" w:rsidRPr="0041225F">
        <w:t>to mixed-use buildings where at least 20 per cent of floor space is used for commercial purposes and high value residential buildings that are insured for $50 million or more.</w:t>
      </w:r>
    </w:p>
    <w:p w14:paraId="427DB472" w14:textId="77777777" w:rsidR="00DA4F78" w:rsidRPr="00DA4F78" w:rsidRDefault="00DA4F78" w:rsidP="00DA4F78">
      <w:pPr>
        <w:keepNext/>
        <w:tabs>
          <w:tab w:val="left" w:pos="1987"/>
        </w:tabs>
        <w:spacing w:before="240"/>
        <w:outlineLvl w:val="2"/>
        <w:rPr>
          <w:b/>
          <w:kern w:val="28"/>
        </w:rPr>
      </w:pPr>
      <w:r w:rsidRPr="00DA4F78">
        <w:rPr>
          <w:b/>
          <w:kern w:val="28"/>
        </w:rPr>
        <w:t>Human rights implications</w:t>
      </w:r>
    </w:p>
    <w:p w14:paraId="6B806010" w14:textId="77777777" w:rsidR="00DA4F78" w:rsidRPr="00DA4F78" w:rsidRDefault="00DA4F78" w:rsidP="00DA4F78">
      <w:pPr>
        <w:spacing w:before="240"/>
      </w:pPr>
      <w:r w:rsidRPr="00DA4F78">
        <w:t>This Legislative Instrument does not engage any of the applicable rights or freedoms.</w:t>
      </w:r>
    </w:p>
    <w:p w14:paraId="36F2402C" w14:textId="77777777" w:rsidR="00DA4F78" w:rsidRPr="00DA4F78" w:rsidRDefault="00DA4F78" w:rsidP="00DA4F78">
      <w:pPr>
        <w:keepNext/>
        <w:tabs>
          <w:tab w:val="left" w:pos="1987"/>
        </w:tabs>
        <w:spacing w:before="240"/>
        <w:outlineLvl w:val="2"/>
        <w:rPr>
          <w:b/>
          <w:kern w:val="28"/>
        </w:rPr>
      </w:pPr>
      <w:r w:rsidRPr="00DA4F78">
        <w:rPr>
          <w:b/>
          <w:kern w:val="28"/>
        </w:rPr>
        <w:t>Conclusion</w:t>
      </w:r>
    </w:p>
    <w:p w14:paraId="0694A34B" w14:textId="77777777" w:rsidR="00DA4F78" w:rsidRPr="00DA4F78" w:rsidRDefault="00DA4F78" w:rsidP="00DA4F78">
      <w:pPr>
        <w:spacing w:before="240"/>
      </w:pPr>
      <w:r w:rsidRPr="00DA4F78">
        <w:t>This Legislative Instrument is compatible with human rights as it does not raise any human rights issues.</w:t>
      </w:r>
    </w:p>
    <w:p w14:paraId="3B6AEC84" w14:textId="77777777" w:rsidR="00DA4F78" w:rsidRDefault="00DA4F78" w:rsidP="00146B4D"/>
    <w:p w14:paraId="1304C3EE" w14:textId="1DC7E958" w:rsidR="00406A07" w:rsidRDefault="0049052D" w:rsidP="00406A07">
      <w:pPr>
        <w:pStyle w:val="Heading3"/>
        <w:jc w:val="center"/>
      </w:pPr>
      <w:r>
        <w:br/>
      </w:r>
    </w:p>
    <w:p w14:paraId="3F62D03B" w14:textId="509FFD1A" w:rsidR="00E4438C" w:rsidRDefault="00E4438C" w:rsidP="00E4438C"/>
    <w:sectPr w:rsidR="00E4438C"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202C8" w14:textId="77777777" w:rsidR="002B561D" w:rsidRDefault="002B561D" w:rsidP="00793829">
      <w:pPr>
        <w:spacing w:before="0" w:after="0"/>
      </w:pPr>
      <w:r>
        <w:separator/>
      </w:r>
    </w:p>
  </w:endnote>
  <w:endnote w:type="continuationSeparator" w:id="0">
    <w:p w14:paraId="7150AC70" w14:textId="77777777" w:rsidR="002B561D" w:rsidRDefault="002B561D" w:rsidP="00793829">
      <w:pPr>
        <w:spacing w:before="0" w:after="0"/>
      </w:pPr>
      <w:r>
        <w:continuationSeparator/>
      </w:r>
    </w:p>
  </w:endnote>
  <w:endnote w:type="continuationNotice" w:id="1">
    <w:p w14:paraId="3ACA5E99" w14:textId="77777777" w:rsidR="002B561D" w:rsidRDefault="002B56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C9F79" w14:textId="77777777" w:rsidR="002B561D" w:rsidRDefault="002B561D" w:rsidP="00793829">
      <w:pPr>
        <w:spacing w:before="0" w:after="0"/>
      </w:pPr>
      <w:r>
        <w:separator/>
      </w:r>
    </w:p>
  </w:footnote>
  <w:footnote w:type="continuationSeparator" w:id="0">
    <w:p w14:paraId="5EDE2D9A" w14:textId="77777777" w:rsidR="002B561D" w:rsidRDefault="002B561D" w:rsidP="00793829">
      <w:pPr>
        <w:spacing w:before="0" w:after="0"/>
      </w:pPr>
      <w:r>
        <w:continuationSeparator/>
      </w:r>
    </w:p>
  </w:footnote>
  <w:footnote w:type="continuationNotice" w:id="1">
    <w:p w14:paraId="67578D6B" w14:textId="77777777" w:rsidR="002B561D" w:rsidRDefault="002B561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33FE21E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577497"/>
    <w:rsid w:val="00000766"/>
    <w:rsid w:val="00005434"/>
    <w:rsid w:val="00016EA2"/>
    <w:rsid w:val="000359BE"/>
    <w:rsid w:val="00054E4D"/>
    <w:rsid w:val="00061B03"/>
    <w:rsid w:val="00077188"/>
    <w:rsid w:val="0008474E"/>
    <w:rsid w:val="00095211"/>
    <w:rsid w:val="0009683F"/>
    <w:rsid w:val="00096D79"/>
    <w:rsid w:val="000C10DF"/>
    <w:rsid w:val="000F5202"/>
    <w:rsid w:val="00113B45"/>
    <w:rsid w:val="0012366C"/>
    <w:rsid w:val="00146B4D"/>
    <w:rsid w:val="001C251C"/>
    <w:rsid w:val="001E6A74"/>
    <w:rsid w:val="001F41D0"/>
    <w:rsid w:val="00220F16"/>
    <w:rsid w:val="002301FC"/>
    <w:rsid w:val="00232078"/>
    <w:rsid w:val="00236A74"/>
    <w:rsid w:val="00254C5B"/>
    <w:rsid w:val="002568D2"/>
    <w:rsid w:val="00262171"/>
    <w:rsid w:val="00277BAF"/>
    <w:rsid w:val="002818DD"/>
    <w:rsid w:val="0029207A"/>
    <w:rsid w:val="002B561D"/>
    <w:rsid w:val="002C0AEC"/>
    <w:rsid w:val="002E59DA"/>
    <w:rsid w:val="00315469"/>
    <w:rsid w:val="003342CD"/>
    <w:rsid w:val="00335042"/>
    <w:rsid w:val="003651C0"/>
    <w:rsid w:val="00392BBA"/>
    <w:rsid w:val="003A6605"/>
    <w:rsid w:val="003B4101"/>
    <w:rsid w:val="003C1638"/>
    <w:rsid w:val="00406A07"/>
    <w:rsid w:val="00406D26"/>
    <w:rsid w:val="0041225F"/>
    <w:rsid w:val="00480F4A"/>
    <w:rsid w:val="0049052D"/>
    <w:rsid w:val="004B0A04"/>
    <w:rsid w:val="004D1008"/>
    <w:rsid w:val="004E39E1"/>
    <w:rsid w:val="004E6D3F"/>
    <w:rsid w:val="004E6EEC"/>
    <w:rsid w:val="00503E44"/>
    <w:rsid w:val="00505F49"/>
    <w:rsid w:val="0050702B"/>
    <w:rsid w:val="00515283"/>
    <w:rsid w:val="00515F7C"/>
    <w:rsid w:val="00530863"/>
    <w:rsid w:val="00551D2D"/>
    <w:rsid w:val="0055675D"/>
    <w:rsid w:val="005656E1"/>
    <w:rsid w:val="00567F3B"/>
    <w:rsid w:val="00570092"/>
    <w:rsid w:val="00577497"/>
    <w:rsid w:val="005833BE"/>
    <w:rsid w:val="00594255"/>
    <w:rsid w:val="005A11A8"/>
    <w:rsid w:val="005A4199"/>
    <w:rsid w:val="005A4BF2"/>
    <w:rsid w:val="005B4FD3"/>
    <w:rsid w:val="005B5096"/>
    <w:rsid w:val="005C1D2C"/>
    <w:rsid w:val="005D65F4"/>
    <w:rsid w:val="005D76DD"/>
    <w:rsid w:val="005D7D5A"/>
    <w:rsid w:val="0060130D"/>
    <w:rsid w:val="00607A4A"/>
    <w:rsid w:val="0062694F"/>
    <w:rsid w:val="0064129F"/>
    <w:rsid w:val="00643170"/>
    <w:rsid w:val="0068079D"/>
    <w:rsid w:val="00687CF7"/>
    <w:rsid w:val="00693125"/>
    <w:rsid w:val="006A0964"/>
    <w:rsid w:val="006B0616"/>
    <w:rsid w:val="006C031A"/>
    <w:rsid w:val="006C13EF"/>
    <w:rsid w:val="006D3FB9"/>
    <w:rsid w:val="006E6AA7"/>
    <w:rsid w:val="006F1967"/>
    <w:rsid w:val="00704B76"/>
    <w:rsid w:val="00705125"/>
    <w:rsid w:val="007165EC"/>
    <w:rsid w:val="00717006"/>
    <w:rsid w:val="00727BFA"/>
    <w:rsid w:val="0073105D"/>
    <w:rsid w:val="007435BF"/>
    <w:rsid w:val="00743A01"/>
    <w:rsid w:val="00760D0C"/>
    <w:rsid w:val="00793829"/>
    <w:rsid w:val="007A79A7"/>
    <w:rsid w:val="007B7908"/>
    <w:rsid w:val="007E018D"/>
    <w:rsid w:val="00807E7D"/>
    <w:rsid w:val="0082258D"/>
    <w:rsid w:val="00827CEF"/>
    <w:rsid w:val="00831675"/>
    <w:rsid w:val="00835DFF"/>
    <w:rsid w:val="0086351A"/>
    <w:rsid w:val="0088467C"/>
    <w:rsid w:val="008B4DF9"/>
    <w:rsid w:val="008C0331"/>
    <w:rsid w:val="008D16F7"/>
    <w:rsid w:val="008E23EA"/>
    <w:rsid w:val="008E46A9"/>
    <w:rsid w:val="009110E7"/>
    <w:rsid w:val="00935AA0"/>
    <w:rsid w:val="00936754"/>
    <w:rsid w:val="009502ED"/>
    <w:rsid w:val="00962390"/>
    <w:rsid w:val="00962AEE"/>
    <w:rsid w:val="00994E4D"/>
    <w:rsid w:val="009A29D3"/>
    <w:rsid w:val="009E2F86"/>
    <w:rsid w:val="00A00CFB"/>
    <w:rsid w:val="00A0783E"/>
    <w:rsid w:val="00A12209"/>
    <w:rsid w:val="00A1713C"/>
    <w:rsid w:val="00A21B44"/>
    <w:rsid w:val="00A22AE0"/>
    <w:rsid w:val="00A36DF3"/>
    <w:rsid w:val="00A40078"/>
    <w:rsid w:val="00A50CB5"/>
    <w:rsid w:val="00A532DD"/>
    <w:rsid w:val="00A56B60"/>
    <w:rsid w:val="00A80BCF"/>
    <w:rsid w:val="00AA7DD3"/>
    <w:rsid w:val="00AB6F39"/>
    <w:rsid w:val="00AC60D4"/>
    <w:rsid w:val="00AD0CCE"/>
    <w:rsid w:val="00B045F5"/>
    <w:rsid w:val="00B07B0C"/>
    <w:rsid w:val="00B10AF7"/>
    <w:rsid w:val="00B41BEE"/>
    <w:rsid w:val="00B45AF7"/>
    <w:rsid w:val="00B67B89"/>
    <w:rsid w:val="00BA3D1A"/>
    <w:rsid w:val="00BB0751"/>
    <w:rsid w:val="00BB3712"/>
    <w:rsid w:val="00BB6E1E"/>
    <w:rsid w:val="00BD3776"/>
    <w:rsid w:val="00BD4740"/>
    <w:rsid w:val="00BD61A2"/>
    <w:rsid w:val="00BE484D"/>
    <w:rsid w:val="00BF110C"/>
    <w:rsid w:val="00BF139D"/>
    <w:rsid w:val="00BF6ADF"/>
    <w:rsid w:val="00C30375"/>
    <w:rsid w:val="00C37E05"/>
    <w:rsid w:val="00C412B5"/>
    <w:rsid w:val="00C55D29"/>
    <w:rsid w:val="00C63D9B"/>
    <w:rsid w:val="00CC6DEC"/>
    <w:rsid w:val="00CF0515"/>
    <w:rsid w:val="00CF4553"/>
    <w:rsid w:val="00D02BD9"/>
    <w:rsid w:val="00D132A5"/>
    <w:rsid w:val="00D302C6"/>
    <w:rsid w:val="00D321E9"/>
    <w:rsid w:val="00D34626"/>
    <w:rsid w:val="00D4257A"/>
    <w:rsid w:val="00DA16FD"/>
    <w:rsid w:val="00DA3A21"/>
    <w:rsid w:val="00DA4F78"/>
    <w:rsid w:val="00DC0CDE"/>
    <w:rsid w:val="00DC3A27"/>
    <w:rsid w:val="00DC6B3B"/>
    <w:rsid w:val="00DE6CB4"/>
    <w:rsid w:val="00E0624D"/>
    <w:rsid w:val="00E1306E"/>
    <w:rsid w:val="00E25CE7"/>
    <w:rsid w:val="00E4438C"/>
    <w:rsid w:val="00E457F3"/>
    <w:rsid w:val="00E93D18"/>
    <w:rsid w:val="00EA2743"/>
    <w:rsid w:val="00EB7E71"/>
    <w:rsid w:val="00EE58A5"/>
    <w:rsid w:val="00EE6067"/>
    <w:rsid w:val="00F109D4"/>
    <w:rsid w:val="00FA7F2A"/>
    <w:rsid w:val="00FD3782"/>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4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CF0515"/>
    <w:rPr>
      <w:sz w:val="16"/>
      <w:szCs w:val="16"/>
    </w:rPr>
  </w:style>
  <w:style w:type="paragraph" w:styleId="CommentText">
    <w:name w:val="annotation text"/>
    <w:basedOn w:val="Normal"/>
    <w:link w:val="CommentTextChar"/>
    <w:uiPriority w:val="99"/>
    <w:semiHidden/>
    <w:unhideWhenUsed/>
    <w:rsid w:val="00CF0515"/>
    <w:rPr>
      <w:sz w:val="20"/>
    </w:rPr>
  </w:style>
  <w:style w:type="character" w:customStyle="1" w:styleId="CommentTextChar">
    <w:name w:val="Comment Text Char"/>
    <w:basedOn w:val="DefaultParagraphFont"/>
    <w:link w:val="CommentText"/>
    <w:uiPriority w:val="99"/>
    <w:semiHidden/>
    <w:rsid w:val="00CF0515"/>
  </w:style>
  <w:style w:type="paragraph" w:styleId="CommentSubject">
    <w:name w:val="annotation subject"/>
    <w:basedOn w:val="CommentText"/>
    <w:next w:val="CommentText"/>
    <w:link w:val="CommentSubjectChar"/>
    <w:uiPriority w:val="99"/>
    <w:semiHidden/>
    <w:unhideWhenUsed/>
    <w:rsid w:val="00CF0515"/>
    <w:rPr>
      <w:b/>
      <w:bCs/>
    </w:rPr>
  </w:style>
  <w:style w:type="character" w:customStyle="1" w:styleId="CommentSubjectChar">
    <w:name w:val="Comment Subject Char"/>
    <w:basedOn w:val="CommentTextChar"/>
    <w:link w:val="CommentSubject"/>
    <w:uiPriority w:val="99"/>
    <w:semiHidden/>
    <w:rsid w:val="00CF0515"/>
    <w:rPr>
      <w:b/>
      <w:bCs/>
    </w:rPr>
  </w:style>
  <w:style w:type="paragraph" w:styleId="Header">
    <w:name w:val="header"/>
    <w:basedOn w:val="Normal"/>
    <w:link w:val="HeaderChar"/>
    <w:uiPriority w:val="99"/>
    <w:unhideWhenUsed/>
    <w:rsid w:val="00793829"/>
    <w:pPr>
      <w:tabs>
        <w:tab w:val="center" w:pos="4513"/>
        <w:tab w:val="right" w:pos="9026"/>
      </w:tabs>
      <w:spacing w:before="0" w:after="0"/>
    </w:pPr>
  </w:style>
  <w:style w:type="character" w:customStyle="1" w:styleId="HeaderChar">
    <w:name w:val="Header Char"/>
    <w:basedOn w:val="DefaultParagraphFont"/>
    <w:link w:val="Header"/>
    <w:uiPriority w:val="99"/>
    <w:rsid w:val="00793829"/>
    <w:rPr>
      <w:sz w:val="24"/>
    </w:rPr>
  </w:style>
  <w:style w:type="paragraph" w:styleId="Footer">
    <w:name w:val="footer"/>
    <w:basedOn w:val="Normal"/>
    <w:link w:val="FooterChar"/>
    <w:uiPriority w:val="99"/>
    <w:unhideWhenUsed/>
    <w:rsid w:val="00793829"/>
    <w:pPr>
      <w:tabs>
        <w:tab w:val="center" w:pos="4513"/>
        <w:tab w:val="right" w:pos="9026"/>
      </w:tabs>
      <w:spacing w:before="0" w:after="0"/>
    </w:pPr>
  </w:style>
  <w:style w:type="character" w:customStyle="1" w:styleId="FooterChar">
    <w:name w:val="Footer Char"/>
    <w:basedOn w:val="DefaultParagraphFont"/>
    <w:link w:val="Footer"/>
    <w:uiPriority w:val="99"/>
    <w:rsid w:val="00793829"/>
    <w:rPr>
      <w:sz w:val="24"/>
    </w:rPr>
  </w:style>
  <w:style w:type="paragraph" w:customStyle="1" w:styleId="SecurityClassificationHeader">
    <w:name w:val="Security Classification Header"/>
    <w:link w:val="SecurityClassificationHeaderChar"/>
    <w:rsid w:val="00793829"/>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793829"/>
    <w:rPr>
      <w:b/>
      <w:caps/>
      <w:sz w:val="24"/>
    </w:rPr>
  </w:style>
  <w:style w:type="paragraph" w:customStyle="1" w:styleId="SecurityClassificationFooter">
    <w:name w:val="Security Classification Footer"/>
    <w:link w:val="SecurityClassificationFooterChar"/>
    <w:rsid w:val="00793829"/>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793829"/>
    <w:rPr>
      <w:b/>
      <w:caps/>
      <w:sz w:val="24"/>
    </w:rPr>
  </w:style>
  <w:style w:type="paragraph" w:customStyle="1" w:styleId="DLMSecurityHeader">
    <w:name w:val="DLM Security Header"/>
    <w:link w:val="DLMSecurityHeaderChar"/>
    <w:rsid w:val="00793829"/>
    <w:pPr>
      <w:spacing w:before="60" w:after="240"/>
      <w:jc w:val="center"/>
    </w:pPr>
    <w:rPr>
      <w:b/>
      <w:caps/>
      <w:sz w:val="24"/>
    </w:rPr>
  </w:style>
  <w:style w:type="character" w:customStyle="1" w:styleId="DLMSecurityHeaderChar">
    <w:name w:val="DLM Security Header Char"/>
    <w:basedOn w:val="HeaderChar"/>
    <w:link w:val="DLMSecurityHeader"/>
    <w:rsid w:val="00793829"/>
    <w:rPr>
      <w:b/>
      <w:caps/>
      <w:sz w:val="24"/>
    </w:rPr>
  </w:style>
  <w:style w:type="paragraph" w:customStyle="1" w:styleId="DLMSecurityFooter">
    <w:name w:val="DLM Security Footer"/>
    <w:link w:val="DLMSecurityFooterChar"/>
    <w:rsid w:val="00793829"/>
    <w:pPr>
      <w:spacing w:before="240" w:after="60"/>
      <w:jc w:val="center"/>
    </w:pPr>
    <w:rPr>
      <w:b/>
      <w:caps/>
      <w:sz w:val="24"/>
    </w:rPr>
  </w:style>
  <w:style w:type="character" w:customStyle="1" w:styleId="DLMSecurityFooterChar">
    <w:name w:val="DLM Security Footer Char"/>
    <w:basedOn w:val="HeaderChar"/>
    <w:link w:val="DLMSecurityFooter"/>
    <w:rsid w:val="00793829"/>
    <w:rPr>
      <w:b/>
      <w:caps/>
      <w:sz w:val="24"/>
    </w:rPr>
  </w:style>
  <w:style w:type="paragraph" w:styleId="Revision">
    <w:name w:val="Revision"/>
    <w:hidden/>
    <w:uiPriority w:val="99"/>
    <w:semiHidden/>
    <w:rsid w:val="001C251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CF0515"/>
    <w:rPr>
      <w:sz w:val="16"/>
      <w:szCs w:val="16"/>
    </w:rPr>
  </w:style>
  <w:style w:type="paragraph" w:styleId="CommentText">
    <w:name w:val="annotation text"/>
    <w:basedOn w:val="Normal"/>
    <w:link w:val="CommentTextChar"/>
    <w:uiPriority w:val="99"/>
    <w:semiHidden/>
    <w:unhideWhenUsed/>
    <w:rsid w:val="00CF0515"/>
    <w:rPr>
      <w:sz w:val="20"/>
    </w:rPr>
  </w:style>
  <w:style w:type="character" w:customStyle="1" w:styleId="CommentTextChar">
    <w:name w:val="Comment Text Char"/>
    <w:basedOn w:val="DefaultParagraphFont"/>
    <w:link w:val="CommentText"/>
    <w:uiPriority w:val="99"/>
    <w:semiHidden/>
    <w:rsid w:val="00CF0515"/>
  </w:style>
  <w:style w:type="paragraph" w:styleId="CommentSubject">
    <w:name w:val="annotation subject"/>
    <w:basedOn w:val="CommentText"/>
    <w:next w:val="CommentText"/>
    <w:link w:val="CommentSubjectChar"/>
    <w:uiPriority w:val="99"/>
    <w:semiHidden/>
    <w:unhideWhenUsed/>
    <w:rsid w:val="00CF0515"/>
    <w:rPr>
      <w:b/>
      <w:bCs/>
    </w:rPr>
  </w:style>
  <w:style w:type="character" w:customStyle="1" w:styleId="CommentSubjectChar">
    <w:name w:val="Comment Subject Char"/>
    <w:basedOn w:val="CommentTextChar"/>
    <w:link w:val="CommentSubject"/>
    <w:uiPriority w:val="99"/>
    <w:semiHidden/>
    <w:rsid w:val="00CF0515"/>
    <w:rPr>
      <w:b/>
      <w:bCs/>
    </w:rPr>
  </w:style>
  <w:style w:type="paragraph" w:styleId="Header">
    <w:name w:val="header"/>
    <w:basedOn w:val="Normal"/>
    <w:link w:val="HeaderChar"/>
    <w:uiPriority w:val="99"/>
    <w:unhideWhenUsed/>
    <w:rsid w:val="00793829"/>
    <w:pPr>
      <w:tabs>
        <w:tab w:val="center" w:pos="4513"/>
        <w:tab w:val="right" w:pos="9026"/>
      </w:tabs>
      <w:spacing w:before="0" w:after="0"/>
    </w:pPr>
  </w:style>
  <w:style w:type="character" w:customStyle="1" w:styleId="HeaderChar">
    <w:name w:val="Header Char"/>
    <w:basedOn w:val="DefaultParagraphFont"/>
    <w:link w:val="Header"/>
    <w:uiPriority w:val="99"/>
    <w:rsid w:val="00793829"/>
    <w:rPr>
      <w:sz w:val="24"/>
    </w:rPr>
  </w:style>
  <w:style w:type="paragraph" w:styleId="Footer">
    <w:name w:val="footer"/>
    <w:basedOn w:val="Normal"/>
    <w:link w:val="FooterChar"/>
    <w:uiPriority w:val="99"/>
    <w:unhideWhenUsed/>
    <w:rsid w:val="00793829"/>
    <w:pPr>
      <w:tabs>
        <w:tab w:val="center" w:pos="4513"/>
        <w:tab w:val="right" w:pos="9026"/>
      </w:tabs>
      <w:spacing w:before="0" w:after="0"/>
    </w:pPr>
  </w:style>
  <w:style w:type="character" w:customStyle="1" w:styleId="FooterChar">
    <w:name w:val="Footer Char"/>
    <w:basedOn w:val="DefaultParagraphFont"/>
    <w:link w:val="Footer"/>
    <w:uiPriority w:val="99"/>
    <w:rsid w:val="00793829"/>
    <w:rPr>
      <w:sz w:val="24"/>
    </w:rPr>
  </w:style>
  <w:style w:type="paragraph" w:customStyle="1" w:styleId="SecurityClassificationHeader">
    <w:name w:val="Security Classification Header"/>
    <w:link w:val="SecurityClassificationHeaderChar"/>
    <w:rsid w:val="00793829"/>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793829"/>
    <w:rPr>
      <w:b/>
      <w:caps/>
      <w:sz w:val="24"/>
    </w:rPr>
  </w:style>
  <w:style w:type="paragraph" w:customStyle="1" w:styleId="SecurityClassificationFooter">
    <w:name w:val="Security Classification Footer"/>
    <w:link w:val="SecurityClassificationFooterChar"/>
    <w:rsid w:val="00793829"/>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793829"/>
    <w:rPr>
      <w:b/>
      <w:caps/>
      <w:sz w:val="24"/>
    </w:rPr>
  </w:style>
  <w:style w:type="paragraph" w:customStyle="1" w:styleId="DLMSecurityHeader">
    <w:name w:val="DLM Security Header"/>
    <w:link w:val="DLMSecurityHeaderChar"/>
    <w:rsid w:val="00793829"/>
    <w:pPr>
      <w:spacing w:before="60" w:after="240"/>
      <w:jc w:val="center"/>
    </w:pPr>
    <w:rPr>
      <w:b/>
      <w:caps/>
      <w:sz w:val="24"/>
    </w:rPr>
  </w:style>
  <w:style w:type="character" w:customStyle="1" w:styleId="DLMSecurityHeaderChar">
    <w:name w:val="DLM Security Header Char"/>
    <w:basedOn w:val="HeaderChar"/>
    <w:link w:val="DLMSecurityHeader"/>
    <w:rsid w:val="00793829"/>
    <w:rPr>
      <w:b/>
      <w:caps/>
      <w:sz w:val="24"/>
    </w:rPr>
  </w:style>
  <w:style w:type="paragraph" w:customStyle="1" w:styleId="DLMSecurityFooter">
    <w:name w:val="DLM Security Footer"/>
    <w:link w:val="DLMSecurityFooterChar"/>
    <w:rsid w:val="00793829"/>
    <w:pPr>
      <w:spacing w:before="240" w:after="60"/>
      <w:jc w:val="center"/>
    </w:pPr>
    <w:rPr>
      <w:b/>
      <w:caps/>
      <w:sz w:val="24"/>
    </w:rPr>
  </w:style>
  <w:style w:type="character" w:customStyle="1" w:styleId="DLMSecurityFooterChar">
    <w:name w:val="DLM Security Footer Char"/>
    <w:basedOn w:val="HeaderChar"/>
    <w:link w:val="DLMSecurityFooter"/>
    <w:rsid w:val="00793829"/>
    <w:rPr>
      <w:b/>
      <w:caps/>
      <w:sz w:val="24"/>
    </w:rPr>
  </w:style>
  <w:style w:type="paragraph" w:styleId="Revision">
    <w:name w:val="Revision"/>
    <w:hidden/>
    <w:uiPriority w:val="99"/>
    <w:semiHidden/>
    <w:rsid w:val="001C25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easury.gov.au/PublicationsAndMedia/Publications/2015/Terrorism-Insurance-Act-Review-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702" ma:contentTypeDescription=" " ma:contentTypeScope="" ma:versionID="908f90ebab5842d23c77e7450ad63ad2">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2017RG-111-6731</_dlc_DocId>
    <_dlc_DocIdUrl xmlns="9f7bc583-7cbe-45b9-a2bd-8bbb6543b37e">
      <Url>http://tweb/sites/rg/ldp/lmu/_layouts/15/DocIdRedir.aspx?ID=2017RG-111-6731</Url>
      <Description>2017RG-111-6731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C500-CB82-4423-A187-B52806DB6AB1}">
  <ds:schemaRefs>
    <ds:schemaRef ds:uri="http://schemas.microsoft.com/sharepoint/v3/contenttype/forms"/>
  </ds:schemaRefs>
</ds:datastoreItem>
</file>

<file path=customXml/itemProps2.xml><?xml version="1.0" encoding="utf-8"?>
<ds:datastoreItem xmlns:ds="http://schemas.openxmlformats.org/officeDocument/2006/customXml" ds:itemID="{356A49ED-7F36-4187-B4A4-033E11D6038F}">
  <ds:schemaRefs>
    <ds:schemaRef ds:uri="office.server.policy"/>
  </ds:schemaRefs>
</ds:datastoreItem>
</file>

<file path=customXml/itemProps3.xml><?xml version="1.0" encoding="utf-8"?>
<ds:datastoreItem xmlns:ds="http://schemas.openxmlformats.org/officeDocument/2006/customXml" ds:itemID="{A1208255-B73D-4958-BB78-26FFF7531A90}"/>
</file>

<file path=customXml/itemProps4.xml><?xml version="1.0" encoding="utf-8"?>
<ds:datastoreItem xmlns:ds="http://schemas.openxmlformats.org/officeDocument/2006/customXml" ds:itemID="{A35CC7E2-063B-460E-9706-E518CFA10274}">
  <ds:schemaRefs>
    <ds:schemaRef ds:uri="http://schemas.microsoft.com/sharepoint/events"/>
  </ds:schemaRefs>
</ds:datastoreItem>
</file>

<file path=customXml/itemProps5.xml><?xml version="1.0" encoding="utf-8"?>
<ds:datastoreItem xmlns:ds="http://schemas.openxmlformats.org/officeDocument/2006/customXml" ds:itemID="{CA0F3084-68A2-4ED9-B654-394325A512E0}">
  <ds:schemaRefs>
    <ds:schemaRef ds:uri="http://schemas.microsoft.com/office/2006/documentManagement/types"/>
    <ds:schemaRef ds:uri="http://schemas.microsoft.com/office/2006/metadata/properties"/>
    <ds:schemaRef ds:uri="http://schemas.microsoft.com/office/infopath/2007/PartnerControls"/>
    <ds:schemaRef ds:uri="9f7bc583-7cbe-45b9-a2bd-8bbb6543b37e"/>
    <ds:schemaRef ds:uri="http://purl.org/dc/elements/1.1/"/>
    <ds:schemaRef ds:uri="http://schemas.openxmlformats.org/package/2006/metadata/core-properties"/>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EA8214DA-270D-4C4C-89D2-52C0863B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Sub-ES.dotm</Template>
  <TotalTime>0</TotalTime>
  <Pages>3</Pages>
  <Words>973</Words>
  <Characters>5548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Kavanagh, Skye</dc:creator>
  <cp:lastModifiedBy>Edwards, Sarah</cp:lastModifiedBy>
  <cp:revision>2</cp:revision>
  <cp:lastPrinted>2017-02-15T03:03:00Z</cp:lastPrinted>
  <dcterms:created xsi:type="dcterms:W3CDTF">2017-02-20T02:52:00Z</dcterms:created>
  <dcterms:modified xsi:type="dcterms:W3CDTF">2017-02-20T02:52:00Z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460606021</vt:i4>
  </property>
  <property fmtid="{D5CDD505-2E9C-101B-9397-08002B2CF9AE}" pid="3" name="_NewReviewCycle">
    <vt:lpwstr/>
  </property>
  <property fmtid="{D5CDD505-2E9C-101B-9397-08002B2CF9AE}" pid="4" name="_EmailSubject">
    <vt:lpwstr>Terrorism Insurance Regulations 2017 (TSY45/102)</vt:lpwstr>
  </property>
  <property fmtid="{D5CDD505-2E9C-101B-9397-08002B2CF9AE}" pid="5" name="_AuthorEmail">
    <vt:lpwstr>Nik.Wahi@TREASURY.GOV.AU</vt:lpwstr>
  </property>
  <property fmtid="{D5CDD505-2E9C-101B-9397-08002B2CF9AE}" pid="6" name="_AuthorEmailDisplayName">
    <vt:lpwstr>Wahi, Nik</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RecordPoint_WorkflowType">
    <vt:lpwstr>ActiveSubmitStub</vt:lpwstr>
  </property>
  <property fmtid="{D5CDD505-2E9C-101B-9397-08002B2CF9AE}" pid="10" name="RecordPoint_ActiveItemUniqueId">
    <vt:lpwstr>{60721c70-6e9e-45bb-ab7a-63ba3b3d1389}</vt:lpwstr>
  </property>
  <property fmtid="{D5CDD505-2E9C-101B-9397-08002B2CF9AE}" pid="11" name="_dlc_DocIdItemGuid">
    <vt:lpwstr>60721c70-6e9e-45bb-ab7a-63ba3b3d1389</vt:lpwstr>
  </property>
  <property fmtid="{D5CDD505-2E9C-101B-9397-08002B2CF9AE}" pid="12" name="RecordPoint_ActiveItemListId">
    <vt:lpwstr>{1a010be9-83b3-4740-abb7-452f2d1120fe}</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RecordNumberSubmitted">
    <vt:lpwstr>R0001217739</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SecurityClassification">
    <vt:lpwstr>Protected</vt:lpwstr>
  </property>
  <property fmtid="{D5CDD505-2E9C-101B-9397-08002B2CF9AE}" pid="20" name="DLMSecurityClassification">
    <vt:lpwstr>Sensitive:  Legal</vt:lpwstr>
  </property>
  <property fmtid="{D5CDD505-2E9C-101B-9397-08002B2CF9AE}" pid="21" name="RecordPoint_SubmissionCompleted">
    <vt:lpwstr>2017-02-21T12:16:55.2446868+11:00</vt:lpwstr>
  </property>
  <property fmtid="{D5CDD505-2E9C-101B-9397-08002B2CF9AE}" pid="22" name="_PreviousAdHocReviewCycleID">
    <vt:i4>-2119910230</vt:i4>
  </property>
  <property fmtid="{D5CDD505-2E9C-101B-9397-08002B2CF9AE}" pid="23" name="_ReviewingToolsShownOnce">
    <vt:lpwstr/>
  </property>
</Properties>
</file>