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F1CD0" w:rsidTr="00A22E0D">
        <w:tc>
          <w:tcPr>
            <w:tcW w:w="4661" w:type="dxa"/>
          </w:tcPr>
          <w:p w:rsidR="00090A6F" w:rsidRPr="000F1CD0" w:rsidRDefault="00364B30">
            <w:pPr>
              <w:pStyle w:val="CoverStandard"/>
            </w:pPr>
            <w:bookmarkStart w:id="0" w:name="_GoBack"/>
            <w:bookmarkEnd w:id="0"/>
            <w:r w:rsidRPr="000F1CD0">
              <w:t>AASB</w:t>
            </w:r>
            <w:r w:rsidR="00831497" w:rsidRPr="000F1CD0">
              <w:t xml:space="preserve"> Standard</w:t>
            </w:r>
          </w:p>
        </w:tc>
        <w:tc>
          <w:tcPr>
            <w:tcW w:w="4661" w:type="dxa"/>
          </w:tcPr>
          <w:p w:rsidR="00090A6F" w:rsidRPr="000F1CD0" w:rsidRDefault="00831497">
            <w:pPr>
              <w:pStyle w:val="CoverNumber"/>
            </w:pPr>
            <w:r w:rsidRPr="000F1CD0">
              <w:t>AASB</w:t>
            </w:r>
            <w:r w:rsidR="00090A6F" w:rsidRPr="000F1CD0">
              <w:t xml:space="preserve"> </w:t>
            </w:r>
            <w:bookmarkStart w:id="1" w:name="DocNo"/>
            <w:r w:rsidR="00485D3C" w:rsidRPr="000F1CD0">
              <w:t>2017-</w:t>
            </w:r>
            <w:bookmarkEnd w:id="1"/>
            <w:r w:rsidR="00584D93">
              <w:t>1</w:t>
            </w:r>
          </w:p>
          <w:p w:rsidR="00090A6F" w:rsidRPr="000F1CD0" w:rsidRDefault="00584D93">
            <w:pPr>
              <w:pStyle w:val="CoverDate"/>
            </w:pPr>
            <w:bookmarkStart w:id="2" w:name="DocDate"/>
            <w:r>
              <w:t>February</w:t>
            </w:r>
            <w:r w:rsidR="00485D3C" w:rsidRPr="000F1CD0">
              <w:t xml:space="preserve"> 2017</w:t>
            </w:r>
            <w:bookmarkEnd w:id="2"/>
          </w:p>
        </w:tc>
      </w:tr>
    </w:tbl>
    <w:p w:rsidR="00090A6F" w:rsidRPr="000F1CD0" w:rsidRDefault="00485D3C" w:rsidP="00443EE1">
      <w:pPr>
        <w:pStyle w:val="CoverTitle"/>
        <w:jc w:val="left"/>
      </w:pPr>
      <w:bookmarkStart w:id="3" w:name="DocTitle"/>
      <w:r w:rsidRPr="000F1CD0">
        <w:t xml:space="preserve">Amendments to Australian Accounting Standards </w:t>
      </w:r>
      <w:r w:rsidR="00EF26BF" w:rsidRPr="000F1CD0">
        <w:t>–</w:t>
      </w:r>
      <w:r w:rsidRPr="000F1CD0">
        <w:t xml:space="preserve"> Tr</w:t>
      </w:r>
      <w:r w:rsidR="00242D3D" w:rsidRPr="000F1CD0">
        <w:t>ansfers of Investment Property,</w:t>
      </w:r>
      <w:r w:rsidRPr="000F1CD0">
        <w:t xml:space="preserve"> Annual Improvements </w:t>
      </w:r>
      <w:r w:rsidR="00EF26BF" w:rsidRPr="000F1CD0">
        <w:t>2014–</w:t>
      </w:r>
      <w:r w:rsidRPr="000F1CD0">
        <w:t>2016 Cycle</w:t>
      </w:r>
      <w:bookmarkEnd w:id="3"/>
      <w:r w:rsidR="00443EE1" w:rsidRPr="000F1CD0">
        <w:t xml:space="preserve"> and</w:t>
      </w:r>
      <w:r w:rsidR="00242D3D" w:rsidRPr="000F1CD0">
        <w:t xml:space="preserve"> Other Amendments</w:t>
      </w:r>
    </w:p>
    <w:p w:rsidR="00C5022C" w:rsidRPr="000F1CD0" w:rsidRDefault="002B7803" w:rsidP="00C5022C">
      <w:pPr>
        <w:pStyle w:val="CoverSubtitle"/>
      </w:pPr>
      <w:r w:rsidRPr="000F1CD0">
        <w:t>[</w:t>
      </w:r>
      <w:bookmarkStart w:id="4" w:name="AmendingNos"/>
      <w:r w:rsidR="00EF26BF" w:rsidRPr="000F1CD0">
        <w:t>AASB 1, AASB </w:t>
      </w:r>
      <w:r w:rsidR="00485D3C" w:rsidRPr="000F1CD0">
        <w:t>128</w:t>
      </w:r>
      <w:bookmarkEnd w:id="4"/>
      <w:r w:rsidR="00EF26BF" w:rsidRPr="000F1CD0">
        <w:t xml:space="preserve"> &amp; AASB 140</w:t>
      </w:r>
      <w:r w:rsidRPr="000F1CD0">
        <w:t>]</w:t>
      </w:r>
    </w:p>
    <w:p w:rsidR="00737714" w:rsidRPr="000F1CD0" w:rsidRDefault="00737714" w:rsidP="00737714"/>
    <w:p w:rsidR="00090A6F" w:rsidRPr="000F1CD0" w:rsidRDefault="008B643A">
      <w:pPr>
        <w:sectPr w:rsidR="00090A6F" w:rsidRPr="000F1CD0" w:rsidSect="00D74C6A">
          <w:pgSz w:w="11907" w:h="16840" w:code="9"/>
          <w:pgMar w:top="1418" w:right="1418" w:bottom="1418" w:left="1418" w:header="709" w:footer="709" w:gutter="0"/>
          <w:paperSrc w:first="7" w:other="7"/>
          <w:cols w:space="720"/>
        </w:sectPr>
      </w:pPr>
      <w:r w:rsidRPr="000F1CD0">
        <w:rPr>
          <w:noProof/>
          <w:lang w:eastAsia="en-AU"/>
        </w:rPr>
        <w:drawing>
          <wp:anchor distT="0" distB="0" distL="114300" distR="114300" simplePos="0" relativeHeight="251657728" behindDoc="0" locked="1" layoutInCell="1" allowOverlap="1" wp14:anchorId="4404973A" wp14:editId="7F2A6AED">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F1CD0" w:rsidRDefault="00737714" w:rsidP="00F13C5A">
      <w:pPr>
        <w:pStyle w:val="Heading1"/>
      </w:pPr>
      <w:r w:rsidRPr="000F1CD0">
        <w:lastRenderedPageBreak/>
        <w:t xml:space="preserve">Obtaining a </w:t>
      </w:r>
      <w:r w:rsidR="005655CE" w:rsidRPr="000F1CD0">
        <w:t>c</w:t>
      </w:r>
      <w:r w:rsidRPr="000F1CD0">
        <w:t xml:space="preserve">opy of this </w:t>
      </w:r>
      <w:r w:rsidR="00C5022C" w:rsidRPr="000F1CD0">
        <w:t>Accounting Standard</w:t>
      </w:r>
    </w:p>
    <w:p w:rsidR="00737714" w:rsidRPr="000F1CD0" w:rsidRDefault="00737714" w:rsidP="00895809">
      <w:pPr>
        <w:spacing w:after="200"/>
      </w:pPr>
      <w:r w:rsidRPr="000F1CD0">
        <w:t xml:space="preserve">This </w:t>
      </w:r>
      <w:r w:rsidR="00C5022C" w:rsidRPr="000F1CD0">
        <w:t>Standard</w:t>
      </w:r>
      <w:r w:rsidRPr="000F1CD0">
        <w:t xml:space="preserve"> is available o</w:t>
      </w:r>
      <w:r w:rsidR="00923261" w:rsidRPr="000F1CD0">
        <w:t>n the AASB website: www.aasb.gov</w:t>
      </w:r>
      <w:r w:rsidRPr="000F1CD0">
        <w:t>.au.</w:t>
      </w:r>
    </w:p>
    <w:p w:rsidR="00895809" w:rsidRPr="000F1CD0" w:rsidRDefault="00895809" w:rsidP="00895809">
      <w:r w:rsidRPr="000F1CD0">
        <w:t>Australian Accounting Standards Board</w:t>
      </w:r>
    </w:p>
    <w:p w:rsidR="00895809" w:rsidRPr="000F1CD0" w:rsidRDefault="00895809" w:rsidP="00895809">
      <w:r w:rsidRPr="000F1CD0">
        <w:t>PO Box 204</w:t>
      </w:r>
    </w:p>
    <w:p w:rsidR="00895809" w:rsidRPr="000F1CD0" w:rsidRDefault="00895809" w:rsidP="00895809">
      <w:r w:rsidRPr="000F1CD0">
        <w:t>Collins Street West</w:t>
      </w:r>
    </w:p>
    <w:p w:rsidR="00895809" w:rsidRPr="000F1CD0" w:rsidRDefault="00895809" w:rsidP="00895809">
      <w:r w:rsidRPr="000F1CD0">
        <w:t>Victoria   8007</w:t>
      </w:r>
    </w:p>
    <w:p w:rsidR="00895809" w:rsidRPr="000F1CD0" w:rsidRDefault="00895809" w:rsidP="00895809">
      <w:pPr>
        <w:pStyle w:val="CoverContact"/>
        <w:spacing w:after="200"/>
      </w:pPr>
      <w:r w:rsidRPr="000F1CD0">
        <w:t>AUSTRALIA</w:t>
      </w:r>
    </w:p>
    <w:p w:rsidR="00737714" w:rsidRPr="000F1CD0" w:rsidRDefault="00DB00CD" w:rsidP="00B82F15">
      <w:pPr>
        <w:pStyle w:val="CoverContact"/>
      </w:pPr>
      <w:r w:rsidRPr="000F1CD0">
        <w:t>Phone:</w:t>
      </w:r>
      <w:r w:rsidRPr="000F1CD0">
        <w:tab/>
        <w:t>(03) 9617 7637</w:t>
      </w:r>
    </w:p>
    <w:p w:rsidR="00E96D45" w:rsidRPr="000F1CD0" w:rsidRDefault="00DB00CD" w:rsidP="00DB00CD">
      <w:pPr>
        <w:pStyle w:val="CoverContact"/>
      </w:pPr>
      <w:r w:rsidRPr="000F1CD0">
        <w:t>E-mail:</w:t>
      </w:r>
      <w:r w:rsidRPr="000F1CD0">
        <w:tab/>
        <w:t>publications@aasb.gov.au</w:t>
      </w:r>
    </w:p>
    <w:p w:rsidR="00E96D45" w:rsidRPr="000F1CD0" w:rsidRDefault="00DB00CD" w:rsidP="00DB00CD">
      <w:pPr>
        <w:pStyle w:val="CoverContact"/>
        <w:spacing w:after="240"/>
      </w:pPr>
      <w:r w:rsidRPr="000F1CD0">
        <w:t>Website:</w:t>
      </w:r>
      <w:r w:rsidRPr="000F1CD0">
        <w:tab/>
        <w:t>www.aasb.gov.au</w:t>
      </w:r>
    </w:p>
    <w:p w:rsidR="00090A6F" w:rsidRPr="000F1CD0" w:rsidRDefault="00090A6F" w:rsidP="00F13C5A">
      <w:pPr>
        <w:pStyle w:val="Heading1"/>
      </w:pPr>
      <w:r w:rsidRPr="000F1CD0">
        <w:t xml:space="preserve">Other </w:t>
      </w:r>
      <w:r w:rsidR="005655CE" w:rsidRPr="000F1CD0">
        <w:t>enquiries</w:t>
      </w:r>
    </w:p>
    <w:p w:rsidR="00090A6F" w:rsidRPr="000F1CD0" w:rsidRDefault="00090A6F" w:rsidP="00B82F15">
      <w:pPr>
        <w:pStyle w:val="CoverContact"/>
      </w:pPr>
      <w:r w:rsidRPr="000F1CD0">
        <w:t>Phone:</w:t>
      </w:r>
      <w:r w:rsidRPr="000F1CD0">
        <w:tab/>
        <w:t>(03) 9617 7600</w:t>
      </w:r>
    </w:p>
    <w:p w:rsidR="00090A6F" w:rsidRPr="000F1CD0" w:rsidRDefault="00923261">
      <w:pPr>
        <w:pStyle w:val="CoverContact"/>
      </w:pPr>
      <w:r w:rsidRPr="000F1CD0">
        <w:t>E-mail:</w:t>
      </w:r>
      <w:r w:rsidRPr="000F1CD0">
        <w:tab/>
        <w:t>standard@aasb.gov</w:t>
      </w:r>
      <w:r w:rsidR="00090A6F" w:rsidRPr="000F1CD0">
        <w:t>.au</w:t>
      </w:r>
    </w:p>
    <w:p w:rsidR="00276BC5" w:rsidRPr="000F1CD0" w:rsidRDefault="00276BC5" w:rsidP="00443EE1">
      <w:pPr>
        <w:pStyle w:val="NoNumPlain1"/>
        <w:spacing w:before="5760" w:after="0"/>
      </w:pPr>
      <w:r w:rsidRPr="000F1CD0">
        <w:t>COPYRIGHT</w:t>
      </w:r>
    </w:p>
    <w:p w:rsidR="00276BC5" w:rsidRPr="000F1CD0" w:rsidRDefault="00276BC5" w:rsidP="00276BC5">
      <w:pPr>
        <w:pStyle w:val="NoNumPlain1"/>
      </w:pPr>
      <w:r w:rsidRPr="000F1CD0">
        <w:t xml:space="preserve">© Commonwealth of Australia </w:t>
      </w:r>
      <w:bookmarkStart w:id="5" w:name="Year"/>
      <w:r w:rsidR="00485D3C" w:rsidRPr="000F1CD0">
        <w:t>2017</w:t>
      </w:r>
      <w:bookmarkEnd w:id="5"/>
    </w:p>
    <w:p w:rsidR="00276BC5" w:rsidRPr="000F1CD0" w:rsidRDefault="00276BC5" w:rsidP="00276BC5">
      <w:pPr>
        <w:pStyle w:val="NoNumPlain1"/>
      </w:pPr>
      <w:r w:rsidRPr="000F1CD0">
        <w:t>This AASB Standard contains IFRS Foundation copyright material.  Reproduction within Australia in unaltered form (retaining this notice) is permitted for personal and non</w:t>
      </w:r>
      <w:r w:rsidR="00895809" w:rsidRPr="000F1CD0">
        <w:t>-</w:t>
      </w:r>
      <w:r w:rsidRPr="000F1CD0">
        <w:t xml:space="preserve">commercial use subject to the inclusion of an acknowledgment of the source.  Requests and enquiries concerning reproduction and rights for commercial purposes within Australia should be addressed to The </w:t>
      </w:r>
      <w:r w:rsidR="001C4D57" w:rsidRPr="000F1CD0">
        <w:t xml:space="preserve">National </w:t>
      </w:r>
      <w:r w:rsidRPr="000F1CD0">
        <w:t xml:space="preserve">Director, Australian Accounting Standards Board, </w:t>
      </w:r>
      <w:r w:rsidR="00895809" w:rsidRPr="000F1CD0">
        <w:t>PO Box </w:t>
      </w:r>
      <w:r w:rsidRPr="000F1CD0">
        <w:t>204, Collins Street West, Victoria 8007.</w:t>
      </w:r>
    </w:p>
    <w:p w:rsidR="00276BC5" w:rsidRPr="000F1CD0" w:rsidRDefault="00276BC5" w:rsidP="00895809">
      <w:pPr>
        <w:spacing w:after="200"/>
      </w:pPr>
      <w:r w:rsidRPr="000F1CD0">
        <w:t>All existing rights in this material are reserved outside Australia.</w:t>
      </w:r>
      <w:r w:rsidR="00895809" w:rsidRPr="000F1CD0">
        <w:t xml:space="preserve">  </w:t>
      </w:r>
      <w:r w:rsidRPr="000F1CD0">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7455F0" w:rsidRPr="000F1CD0" w:rsidRDefault="006D4700" w:rsidP="006D4700">
      <w:r w:rsidRPr="000F1CD0">
        <w:t xml:space="preserve">ISSN </w:t>
      </w:r>
      <w:bookmarkStart w:id="6" w:name="ISSN"/>
      <w:r w:rsidR="00485D3C" w:rsidRPr="000F1CD0">
        <w:t>1036-4803</w:t>
      </w:r>
      <w:bookmarkEnd w:id="6"/>
    </w:p>
    <w:p w:rsidR="00090A6F" w:rsidRPr="000F1CD0" w:rsidRDefault="00090A6F">
      <w:pPr>
        <w:sectPr w:rsidR="00090A6F" w:rsidRPr="000F1CD0" w:rsidSect="00D74C6A">
          <w:footerReference w:type="default" r:id="rId10"/>
          <w:pgSz w:w="11907" w:h="16840" w:code="9"/>
          <w:pgMar w:top="1418" w:right="1418" w:bottom="1418" w:left="1418" w:header="709" w:footer="709" w:gutter="0"/>
          <w:paperSrc w:first="7" w:other="7"/>
          <w:cols w:space="720"/>
        </w:sectPr>
      </w:pPr>
    </w:p>
    <w:p w:rsidR="00090A6F" w:rsidRPr="000F1CD0" w:rsidRDefault="005655CE">
      <w:pPr>
        <w:pStyle w:val="Heading1"/>
      </w:pPr>
      <w:r w:rsidRPr="000F1CD0">
        <w:lastRenderedPageBreak/>
        <w:t>Contents</w:t>
      </w:r>
    </w:p>
    <w:p w:rsidR="00090A6F" w:rsidRPr="000F1CD0" w:rsidRDefault="00090A6F">
      <w:pPr>
        <w:pStyle w:val="ContentsCapsPlain"/>
      </w:pPr>
      <w:r w:rsidRPr="000F1CD0">
        <w:t>P</w:t>
      </w:r>
      <w:r w:rsidR="00EF26BF" w:rsidRPr="000F1CD0">
        <w:t>REFACE</w:t>
      </w:r>
    </w:p>
    <w:p w:rsidR="00090A6F" w:rsidRPr="000F1CD0" w:rsidRDefault="00090A6F">
      <w:pPr>
        <w:pStyle w:val="ContentsCapsBold"/>
      </w:pPr>
      <w:r w:rsidRPr="000F1CD0">
        <w:t>A</w:t>
      </w:r>
      <w:r w:rsidR="00EF26BF" w:rsidRPr="000F1CD0">
        <w:t>CCOUNTING STANDARD</w:t>
      </w:r>
    </w:p>
    <w:p w:rsidR="00090A6F" w:rsidRPr="000F1CD0" w:rsidRDefault="00090A6F">
      <w:pPr>
        <w:pStyle w:val="ContentsCapsBold"/>
        <w:rPr>
          <w:i/>
          <w:iCs/>
        </w:rPr>
      </w:pPr>
      <w:r w:rsidRPr="000F1CD0">
        <w:t xml:space="preserve">AASB </w:t>
      </w:r>
      <w:r w:rsidR="009C2479" w:rsidRPr="000F1CD0">
        <w:rPr>
          <w:iCs/>
        </w:rPr>
        <w:fldChar w:fldCharType="begin" w:fldLock="1"/>
      </w:r>
      <w:r w:rsidR="009C2479" w:rsidRPr="000F1CD0">
        <w:rPr>
          <w:iCs/>
        </w:rPr>
        <w:instrText xml:space="preserve"> REF DocNo \* charformat </w:instrText>
      </w:r>
      <w:r w:rsidR="009C2479" w:rsidRPr="000F1CD0">
        <w:rPr>
          <w:iCs/>
        </w:rPr>
        <w:fldChar w:fldCharType="separate"/>
      </w:r>
      <w:r w:rsidR="00485D3C" w:rsidRPr="000F1CD0">
        <w:rPr>
          <w:iCs/>
        </w:rPr>
        <w:t>2017-</w:t>
      </w:r>
      <w:r w:rsidR="009C2479" w:rsidRPr="000F1CD0">
        <w:rPr>
          <w:iCs/>
        </w:rPr>
        <w:fldChar w:fldCharType="end"/>
      </w:r>
      <w:r w:rsidR="00584D93">
        <w:rPr>
          <w:iCs/>
        </w:rPr>
        <w:t>1</w:t>
      </w:r>
      <w:r w:rsidRPr="000F1CD0">
        <w:t xml:space="preserve"> </w:t>
      </w:r>
      <w:r w:rsidR="00CC1DF4" w:rsidRPr="000F1CD0">
        <w:rPr>
          <w:i/>
        </w:rPr>
        <w:fldChar w:fldCharType="begin" w:fldLock="1"/>
      </w:r>
      <w:r w:rsidR="00CC1DF4" w:rsidRPr="000F1CD0">
        <w:rPr>
          <w:i/>
        </w:rPr>
        <w:instrText xml:space="preserve"> REF DocTitle \* charformat </w:instrText>
      </w:r>
      <w:r w:rsidR="00CC1DF4" w:rsidRPr="000F1CD0">
        <w:rPr>
          <w:i/>
        </w:rPr>
        <w:fldChar w:fldCharType="separate"/>
      </w:r>
      <w:r w:rsidR="00485D3C" w:rsidRPr="000F1CD0">
        <w:rPr>
          <w:i/>
        </w:rPr>
        <w:t>A</w:t>
      </w:r>
      <w:r w:rsidR="00EF26BF" w:rsidRPr="000F1CD0">
        <w:rPr>
          <w:i/>
        </w:rPr>
        <w:t>MENDMENTS TO AUSTRALIAN ACCOUNTING STANDARDS</w:t>
      </w:r>
      <w:r w:rsidR="00EF26BF" w:rsidRPr="000F1CD0">
        <w:t xml:space="preserve"> </w:t>
      </w:r>
      <w:r w:rsidR="00443EE1" w:rsidRPr="000F1CD0">
        <w:rPr>
          <w:rFonts w:ascii="Engravers MT" w:hAnsi="Engravers MT"/>
        </w:rPr>
        <w:t>–</w:t>
      </w:r>
      <w:r w:rsidR="00EF26BF" w:rsidRPr="000F1CD0">
        <w:t xml:space="preserve"> </w:t>
      </w:r>
      <w:r w:rsidR="00485D3C" w:rsidRPr="000F1CD0">
        <w:rPr>
          <w:i/>
        </w:rPr>
        <w:t>T</w:t>
      </w:r>
      <w:r w:rsidR="00EF26BF" w:rsidRPr="000F1CD0">
        <w:rPr>
          <w:i/>
        </w:rPr>
        <w:t>R</w:t>
      </w:r>
      <w:r w:rsidR="00443EE1" w:rsidRPr="000F1CD0">
        <w:rPr>
          <w:i/>
        </w:rPr>
        <w:t xml:space="preserve">ANSFERS OF INVESTMENT PROPERTY, </w:t>
      </w:r>
      <w:r w:rsidR="00485D3C" w:rsidRPr="000F1CD0">
        <w:rPr>
          <w:i/>
        </w:rPr>
        <w:t>A</w:t>
      </w:r>
      <w:r w:rsidR="00EF26BF" w:rsidRPr="000F1CD0">
        <w:rPr>
          <w:i/>
        </w:rPr>
        <w:t xml:space="preserve">NNUAL IMPROVEMENTS </w:t>
      </w:r>
      <w:r w:rsidR="00485D3C" w:rsidRPr="000F1CD0">
        <w:rPr>
          <w:i/>
        </w:rPr>
        <w:t>2014</w:t>
      </w:r>
      <w:r w:rsidR="00443EE1" w:rsidRPr="000F1CD0">
        <w:rPr>
          <w:rFonts w:ascii="Engravers MT" w:hAnsi="Engravers MT"/>
        </w:rPr>
        <w:t>–</w:t>
      </w:r>
      <w:r w:rsidR="00485D3C" w:rsidRPr="000F1CD0">
        <w:rPr>
          <w:i/>
        </w:rPr>
        <w:t>2016 C</w:t>
      </w:r>
      <w:r w:rsidR="00EF26BF" w:rsidRPr="000F1CD0">
        <w:rPr>
          <w:i/>
        </w:rPr>
        <w:t>YCL</w:t>
      </w:r>
      <w:r w:rsidR="00242D3D" w:rsidRPr="000F1CD0">
        <w:rPr>
          <w:i/>
        </w:rPr>
        <w:t xml:space="preserve">E </w:t>
      </w:r>
      <w:r w:rsidR="00443EE1" w:rsidRPr="000F1CD0">
        <w:rPr>
          <w:i/>
        </w:rPr>
        <w:t>AND</w:t>
      </w:r>
      <w:r w:rsidR="00242D3D" w:rsidRPr="000F1CD0">
        <w:rPr>
          <w:i/>
        </w:rPr>
        <w:t xml:space="preserve"> OTHER AMENDMENTS</w:t>
      </w:r>
      <w:r w:rsidR="00CC1DF4" w:rsidRPr="000F1CD0">
        <w:rPr>
          <w:i/>
        </w:rPr>
        <w:fldChar w:fldCharType="end"/>
      </w:r>
    </w:p>
    <w:p w:rsidR="002B7803" w:rsidRPr="000F1CD0" w:rsidRDefault="002B7803" w:rsidP="002B7803"/>
    <w:p w:rsidR="00090A6F" w:rsidRPr="000F1CD0" w:rsidRDefault="009965BA">
      <w:pPr>
        <w:pStyle w:val="ContentsParaHead"/>
      </w:pPr>
      <w:r w:rsidRPr="000F1CD0">
        <w:t>from page</w:t>
      </w:r>
    </w:p>
    <w:p w:rsidR="00090A6F" w:rsidRPr="000F1CD0" w:rsidRDefault="00090A6F">
      <w:pPr>
        <w:pStyle w:val="ContentsLevel1"/>
        <w:rPr>
          <w:b/>
        </w:rPr>
      </w:pPr>
      <w:bookmarkStart w:id="7" w:name="TOCRange"/>
      <w:r w:rsidRPr="000F1CD0">
        <w:rPr>
          <w:b/>
        </w:rPr>
        <w:t>O</w:t>
      </w:r>
      <w:r w:rsidR="00EF26BF" w:rsidRPr="000F1CD0">
        <w:rPr>
          <w:b/>
        </w:rPr>
        <w:t>BJECTIVE</w:t>
      </w:r>
      <w:r w:rsidRPr="000F1CD0">
        <w:rPr>
          <w:b/>
        </w:rPr>
        <w:tab/>
      </w:r>
      <w:r w:rsidR="005E32CA" w:rsidRPr="000F1CD0">
        <w:rPr>
          <w:b/>
        </w:rPr>
        <w:t>5</w:t>
      </w:r>
    </w:p>
    <w:p w:rsidR="00090A6F" w:rsidRPr="000F1CD0" w:rsidRDefault="00090A6F">
      <w:pPr>
        <w:pStyle w:val="ContentsLevel1"/>
        <w:rPr>
          <w:b/>
        </w:rPr>
      </w:pPr>
      <w:r w:rsidRPr="000F1CD0">
        <w:rPr>
          <w:b/>
        </w:rPr>
        <w:t>A</w:t>
      </w:r>
      <w:r w:rsidR="00EF26BF" w:rsidRPr="000F1CD0">
        <w:rPr>
          <w:b/>
        </w:rPr>
        <w:t>PPLICATION</w:t>
      </w:r>
      <w:r w:rsidRPr="000F1CD0">
        <w:rPr>
          <w:b/>
        </w:rPr>
        <w:tab/>
      </w:r>
      <w:r w:rsidR="005E32CA" w:rsidRPr="000F1CD0">
        <w:rPr>
          <w:b/>
        </w:rPr>
        <w:t>5</w:t>
      </w:r>
    </w:p>
    <w:p w:rsidR="00485D3C" w:rsidRPr="000F1CD0" w:rsidRDefault="00242D3D" w:rsidP="00485D3C">
      <w:pPr>
        <w:pStyle w:val="ContentsLevel1"/>
        <w:rPr>
          <w:b/>
        </w:rPr>
      </w:pPr>
      <w:r w:rsidRPr="000F1CD0">
        <w:rPr>
          <w:b/>
        </w:rPr>
        <w:t>AMENDMENTS</w:t>
      </w:r>
      <w:r w:rsidR="008176A8" w:rsidRPr="000F1CD0">
        <w:rPr>
          <w:b/>
        </w:rPr>
        <w:t xml:space="preserve"> </w:t>
      </w:r>
      <w:r w:rsidRPr="000F1CD0">
        <w:rPr>
          <w:b/>
        </w:rPr>
        <w:t>TO</w:t>
      </w:r>
      <w:r w:rsidR="008176A8" w:rsidRPr="000F1CD0">
        <w:rPr>
          <w:b/>
        </w:rPr>
        <w:t xml:space="preserve"> AASB 1</w:t>
      </w:r>
      <w:r w:rsidR="00485D3C" w:rsidRPr="000F1CD0">
        <w:rPr>
          <w:b/>
        </w:rPr>
        <w:tab/>
      </w:r>
    </w:p>
    <w:p w:rsidR="00061436" w:rsidRPr="000F1CD0" w:rsidRDefault="00061436" w:rsidP="00061436">
      <w:pPr>
        <w:pStyle w:val="ContentsLevel1"/>
        <w:spacing w:line="200" w:lineRule="exact"/>
        <w:ind w:left="510"/>
        <w:rPr>
          <w:b/>
        </w:rPr>
      </w:pPr>
      <w:r w:rsidRPr="000F1CD0">
        <w:rPr>
          <w:b/>
        </w:rPr>
        <w:t>Foreign currency transactions and advance consideration</w:t>
      </w:r>
      <w:r w:rsidRPr="000F1CD0">
        <w:rPr>
          <w:b/>
        </w:rPr>
        <w:tab/>
        <w:t>5</w:t>
      </w:r>
    </w:p>
    <w:p w:rsidR="00061436" w:rsidRPr="000F1CD0" w:rsidRDefault="00061436" w:rsidP="00061436">
      <w:pPr>
        <w:pStyle w:val="ContentsLevel1"/>
        <w:spacing w:line="200" w:lineRule="exact"/>
        <w:ind w:left="510"/>
        <w:rPr>
          <w:b/>
        </w:rPr>
      </w:pPr>
      <w:r w:rsidRPr="000F1CD0">
        <w:rPr>
          <w:b/>
        </w:rPr>
        <w:t>Short-term exemptions</w:t>
      </w:r>
      <w:r w:rsidRPr="000F1CD0">
        <w:rPr>
          <w:b/>
        </w:rPr>
        <w:tab/>
        <w:t>6</w:t>
      </w:r>
    </w:p>
    <w:p w:rsidR="00485D3C" w:rsidRPr="000F1CD0" w:rsidRDefault="00485D3C" w:rsidP="00485D3C">
      <w:pPr>
        <w:pStyle w:val="ContentsLevel1"/>
        <w:rPr>
          <w:b/>
        </w:rPr>
      </w:pPr>
      <w:r w:rsidRPr="000F1CD0">
        <w:rPr>
          <w:b/>
        </w:rPr>
        <w:t>A</w:t>
      </w:r>
      <w:r w:rsidR="00242D3D" w:rsidRPr="000F1CD0">
        <w:rPr>
          <w:b/>
        </w:rPr>
        <w:t>MENDMENTS TO</w:t>
      </w:r>
      <w:r w:rsidRPr="000F1CD0">
        <w:rPr>
          <w:b/>
        </w:rPr>
        <w:t xml:space="preserve"> AASB 1</w:t>
      </w:r>
      <w:r w:rsidR="008176A8" w:rsidRPr="000F1CD0">
        <w:rPr>
          <w:b/>
        </w:rPr>
        <w:t>28</w:t>
      </w:r>
      <w:r w:rsidRPr="000F1CD0">
        <w:rPr>
          <w:b/>
        </w:rPr>
        <w:tab/>
      </w:r>
      <w:r w:rsidR="005E32CA" w:rsidRPr="000F1CD0">
        <w:rPr>
          <w:b/>
        </w:rPr>
        <w:t>7</w:t>
      </w:r>
    </w:p>
    <w:p w:rsidR="00485D3C" w:rsidRPr="000F1CD0" w:rsidRDefault="008176A8" w:rsidP="00485D3C">
      <w:pPr>
        <w:pStyle w:val="ContentsLevel1"/>
        <w:rPr>
          <w:b/>
        </w:rPr>
      </w:pPr>
      <w:r w:rsidRPr="000F1CD0">
        <w:rPr>
          <w:b/>
        </w:rPr>
        <w:t>A</w:t>
      </w:r>
      <w:r w:rsidR="00242D3D" w:rsidRPr="000F1CD0">
        <w:rPr>
          <w:b/>
        </w:rPr>
        <w:t>MENDMENTS TO</w:t>
      </w:r>
      <w:r w:rsidRPr="000F1CD0">
        <w:rPr>
          <w:b/>
        </w:rPr>
        <w:t xml:space="preserve"> AASB 140</w:t>
      </w:r>
      <w:r w:rsidR="00485D3C" w:rsidRPr="000F1CD0">
        <w:rPr>
          <w:b/>
        </w:rPr>
        <w:tab/>
      </w:r>
      <w:r w:rsidR="005E32CA" w:rsidRPr="000F1CD0">
        <w:rPr>
          <w:b/>
        </w:rPr>
        <w:t>8</w:t>
      </w:r>
    </w:p>
    <w:p w:rsidR="001C4D57" w:rsidRPr="000F1CD0" w:rsidRDefault="001C4D57" w:rsidP="001C4D57">
      <w:pPr>
        <w:tabs>
          <w:tab w:val="left" w:pos="720"/>
          <w:tab w:val="left" w:pos="1440"/>
          <w:tab w:val="left" w:pos="2160"/>
          <w:tab w:val="left" w:pos="2880"/>
          <w:tab w:val="left" w:pos="3600"/>
          <w:tab w:val="left" w:pos="4320"/>
          <w:tab w:val="left" w:pos="5040"/>
          <w:tab w:val="right" w:pos="9071"/>
        </w:tabs>
        <w:rPr>
          <w:b/>
        </w:rPr>
      </w:pPr>
      <w:bookmarkStart w:id="8" w:name="ContentsMarker"/>
      <w:bookmarkEnd w:id="8"/>
      <w:r w:rsidRPr="000F1CD0">
        <w:rPr>
          <w:b/>
        </w:rPr>
        <w:t>COMMENCEMENT OF THE LEGISLATIVE INSTRUMENT</w:t>
      </w:r>
      <w:r w:rsidRPr="000F1CD0">
        <w:rPr>
          <w:b/>
        </w:rPr>
        <w:tab/>
        <w:t>9</w:t>
      </w:r>
    </w:p>
    <w:p w:rsidR="001C4D57" w:rsidRPr="000F1CD0" w:rsidRDefault="001C4D57" w:rsidP="001C4D57">
      <w:pPr>
        <w:rPr>
          <w:b/>
        </w:rPr>
      </w:pPr>
    </w:p>
    <w:p w:rsidR="001C4D57" w:rsidRPr="000F1CD0" w:rsidRDefault="001C4D57" w:rsidP="001C4D57">
      <w:pPr>
        <w:rPr>
          <w:b/>
        </w:rPr>
      </w:pPr>
      <w:r w:rsidRPr="000F1CD0">
        <w:rPr>
          <w:b/>
        </w:rPr>
        <w:t>AVAILABLE ON THE AASB WEBSITE</w:t>
      </w:r>
    </w:p>
    <w:p w:rsidR="001C4D57" w:rsidRPr="000F1CD0" w:rsidRDefault="004A1503" w:rsidP="004A1503">
      <w:pPr>
        <w:rPr>
          <w:b/>
        </w:rPr>
      </w:pPr>
      <w:r w:rsidRPr="000F1CD0">
        <w:rPr>
          <w:b/>
        </w:rPr>
        <w:t>IASB Bas</w:t>
      </w:r>
      <w:r w:rsidR="00ED4723" w:rsidRPr="000F1CD0">
        <w:rPr>
          <w:b/>
        </w:rPr>
        <w:t>e</w:t>
      </w:r>
      <w:r w:rsidRPr="000F1CD0">
        <w:rPr>
          <w:b/>
        </w:rPr>
        <w:t xml:space="preserve">s for Conclusions </w:t>
      </w:r>
      <w:r w:rsidRPr="000F1CD0">
        <w:rPr>
          <w:b/>
          <w:i/>
        </w:rPr>
        <w:t xml:space="preserve">– </w:t>
      </w:r>
      <w:r w:rsidRPr="000F1CD0">
        <w:rPr>
          <w:b/>
        </w:rPr>
        <w:t>Amendments</w:t>
      </w:r>
    </w:p>
    <w:p w:rsidR="00090A6F" w:rsidRPr="000F1CD0" w:rsidRDefault="00090A6F"/>
    <w:bookmarkEnd w:id="7"/>
    <w:p w:rsidR="00090A6F" w:rsidRPr="000F1CD0" w:rsidRDefault="00090A6F">
      <w:pPr>
        <w:pStyle w:val="ContentsBox"/>
      </w:pPr>
      <w:r w:rsidRPr="000F1CD0">
        <w:t xml:space="preserve">Australian Accounting Standard AASB </w:t>
      </w:r>
      <w:r w:rsidR="00BC0D5D" w:rsidRPr="000F1CD0">
        <w:rPr>
          <w:iCs/>
        </w:rPr>
        <w:fldChar w:fldCharType="begin" w:fldLock="1"/>
      </w:r>
      <w:r w:rsidR="00BC0D5D" w:rsidRPr="000F1CD0">
        <w:rPr>
          <w:iCs/>
        </w:rPr>
        <w:instrText xml:space="preserve"> REF </w:instrText>
      </w:r>
      <w:r w:rsidR="009C2479" w:rsidRPr="000F1CD0">
        <w:rPr>
          <w:iCs/>
        </w:rPr>
        <w:instrText>Doc</w:instrText>
      </w:r>
      <w:r w:rsidR="00BC0D5D" w:rsidRPr="000F1CD0">
        <w:rPr>
          <w:iCs/>
        </w:rPr>
        <w:instrText xml:space="preserve">No \* charformat </w:instrText>
      </w:r>
      <w:r w:rsidR="00BC0D5D" w:rsidRPr="000F1CD0">
        <w:rPr>
          <w:iCs/>
        </w:rPr>
        <w:fldChar w:fldCharType="separate"/>
      </w:r>
      <w:r w:rsidR="00485D3C" w:rsidRPr="000F1CD0">
        <w:rPr>
          <w:iCs/>
        </w:rPr>
        <w:t>2017-</w:t>
      </w:r>
      <w:r w:rsidR="00BC0D5D" w:rsidRPr="000F1CD0">
        <w:rPr>
          <w:iCs/>
        </w:rPr>
        <w:fldChar w:fldCharType="end"/>
      </w:r>
      <w:r w:rsidR="00584D93">
        <w:rPr>
          <w:iCs/>
        </w:rPr>
        <w:t>1</w:t>
      </w:r>
      <w:r w:rsidRPr="000F1CD0">
        <w:t xml:space="preserve"> </w:t>
      </w:r>
      <w:r w:rsidR="00CC1DF4" w:rsidRPr="000F1CD0">
        <w:rPr>
          <w:i/>
        </w:rPr>
        <w:fldChar w:fldCharType="begin" w:fldLock="1"/>
      </w:r>
      <w:r w:rsidR="00CC1DF4" w:rsidRPr="000F1CD0">
        <w:rPr>
          <w:i/>
        </w:rPr>
        <w:instrText xml:space="preserve"> REF DocTitle \* charformat </w:instrText>
      </w:r>
      <w:r w:rsidR="00CC1DF4" w:rsidRPr="000F1CD0">
        <w:rPr>
          <w:i/>
        </w:rPr>
        <w:fldChar w:fldCharType="separate"/>
      </w:r>
      <w:r w:rsidR="00485D3C" w:rsidRPr="000F1CD0">
        <w:rPr>
          <w:i/>
        </w:rPr>
        <w:t xml:space="preserve">Amendments to Australian Accounting Standards </w:t>
      </w:r>
      <w:r w:rsidR="00443EE1" w:rsidRPr="000F1CD0">
        <w:rPr>
          <w:rFonts w:ascii="Engravers MT" w:hAnsi="Engravers MT"/>
        </w:rPr>
        <w:t>–</w:t>
      </w:r>
      <w:r w:rsidR="00485D3C" w:rsidRPr="000F1CD0">
        <w:rPr>
          <w:i/>
        </w:rPr>
        <w:t xml:space="preserve"> Tra</w:t>
      </w:r>
      <w:r w:rsidR="00242D3D" w:rsidRPr="000F1CD0">
        <w:rPr>
          <w:i/>
        </w:rPr>
        <w:t xml:space="preserve">nsfers of Investment Property, </w:t>
      </w:r>
      <w:r w:rsidR="00485D3C" w:rsidRPr="000F1CD0">
        <w:rPr>
          <w:i/>
        </w:rPr>
        <w:t>Annual Improvements 2014</w:t>
      </w:r>
      <w:r w:rsidR="00443EE1" w:rsidRPr="000F1CD0">
        <w:rPr>
          <w:rFonts w:ascii="Engravers MT" w:hAnsi="Engravers MT"/>
        </w:rPr>
        <w:t>–</w:t>
      </w:r>
      <w:r w:rsidR="00485D3C" w:rsidRPr="000F1CD0">
        <w:rPr>
          <w:i/>
        </w:rPr>
        <w:t>2016 Cycl</w:t>
      </w:r>
      <w:r w:rsidR="009E7E47" w:rsidRPr="000F1CD0">
        <w:rPr>
          <w:i/>
        </w:rPr>
        <w:t>e and</w:t>
      </w:r>
      <w:r w:rsidR="00242D3D" w:rsidRPr="000F1CD0">
        <w:rPr>
          <w:i/>
        </w:rPr>
        <w:t xml:space="preserve"> Other Amendments</w:t>
      </w:r>
      <w:r w:rsidR="00CC1DF4" w:rsidRPr="000F1CD0">
        <w:rPr>
          <w:i/>
        </w:rPr>
        <w:fldChar w:fldCharType="end"/>
      </w:r>
      <w:r w:rsidRPr="000F1CD0">
        <w:rPr>
          <w:i/>
          <w:iCs/>
        </w:rPr>
        <w:t xml:space="preserve"> </w:t>
      </w:r>
      <w:r w:rsidRPr="000F1CD0">
        <w:t xml:space="preserve">is set out </w:t>
      </w:r>
      <w:r w:rsidR="005655CE" w:rsidRPr="000F1CD0">
        <w:t>o</w:t>
      </w:r>
      <w:r w:rsidRPr="000F1CD0">
        <w:t xml:space="preserve">n </w:t>
      </w:r>
      <w:r w:rsidR="005655CE" w:rsidRPr="000F1CD0">
        <w:t>pages</w:t>
      </w:r>
      <w:r w:rsidRPr="000F1CD0">
        <w:t xml:space="preserve"> </w:t>
      </w:r>
      <w:r w:rsidR="005E32CA" w:rsidRPr="000F1CD0">
        <w:t xml:space="preserve">5 </w:t>
      </w:r>
      <w:r w:rsidR="00443EE1" w:rsidRPr="000F1CD0">
        <w:rPr>
          <w:rFonts w:ascii="Engravers MT" w:hAnsi="Engravers MT"/>
        </w:rPr>
        <w:t>–</w:t>
      </w:r>
      <w:r w:rsidR="005E32CA" w:rsidRPr="000F1CD0">
        <w:t xml:space="preserve"> 9</w:t>
      </w:r>
      <w:r w:rsidRPr="000F1CD0">
        <w:t>. All the pa</w:t>
      </w:r>
      <w:r w:rsidR="009C2479" w:rsidRPr="000F1CD0">
        <w:t>ragraphs have equal authority.</w:t>
      </w:r>
    </w:p>
    <w:p w:rsidR="00090A6F" w:rsidRPr="000F1CD0" w:rsidRDefault="00090A6F">
      <w:pPr>
        <w:pStyle w:val="ContentsBox"/>
        <w:pBdr>
          <w:top w:val="none" w:sz="0" w:space="0" w:color="auto"/>
          <w:left w:val="none" w:sz="0" w:space="0" w:color="auto"/>
          <w:bottom w:val="none" w:sz="0" w:space="0" w:color="auto"/>
          <w:right w:val="none" w:sz="0" w:space="0" w:color="auto"/>
        </w:pBdr>
      </w:pPr>
    </w:p>
    <w:p w:rsidR="00090A6F" w:rsidRPr="000F1CD0" w:rsidRDefault="00090A6F">
      <w:pPr>
        <w:sectPr w:rsidR="00090A6F" w:rsidRPr="000F1CD0" w:rsidSect="00D74C6A">
          <w:footerReference w:type="default" r:id="rId11"/>
          <w:pgSz w:w="11907" w:h="16840" w:code="9"/>
          <w:pgMar w:top="1418" w:right="1418" w:bottom="1418" w:left="1418" w:header="709" w:footer="709" w:gutter="0"/>
          <w:paperSrc w:first="7" w:other="7"/>
          <w:cols w:space="720"/>
        </w:sectPr>
      </w:pPr>
    </w:p>
    <w:p w:rsidR="00090A6F" w:rsidRPr="000F1CD0" w:rsidRDefault="00090A6F">
      <w:pPr>
        <w:pStyle w:val="Heading1"/>
      </w:pPr>
      <w:r w:rsidRPr="000F1CD0">
        <w:lastRenderedPageBreak/>
        <w:t>Preface</w:t>
      </w:r>
    </w:p>
    <w:p w:rsidR="000F64CC" w:rsidRPr="000F1CD0" w:rsidRDefault="00CA61C5" w:rsidP="004A1503">
      <w:pPr>
        <w:pStyle w:val="IASBSectionTitle1NonInd"/>
        <w:rPr>
          <w:lang w:val="en-AU"/>
        </w:rPr>
      </w:pPr>
      <w:r w:rsidRPr="000F1CD0">
        <w:rPr>
          <w:lang w:val="en-AU"/>
        </w:rPr>
        <w:t xml:space="preserve">Standards amended by AASB </w:t>
      </w:r>
      <w:r w:rsidRPr="000F1CD0">
        <w:rPr>
          <w:lang w:val="en-AU"/>
        </w:rPr>
        <w:fldChar w:fldCharType="begin" w:fldLock="1"/>
      </w:r>
      <w:r w:rsidRPr="000F1CD0">
        <w:rPr>
          <w:lang w:val="en-AU"/>
        </w:rPr>
        <w:instrText xml:space="preserve"> REF DocNo \* charformat</w:instrText>
      </w:r>
      <w:r w:rsidRPr="000F1CD0">
        <w:rPr>
          <w:lang w:val="en-AU"/>
        </w:rPr>
        <w:fldChar w:fldCharType="separate"/>
      </w:r>
      <w:r w:rsidR="00485D3C" w:rsidRPr="000F1CD0">
        <w:rPr>
          <w:lang w:val="en-AU"/>
        </w:rPr>
        <w:t>2017-</w:t>
      </w:r>
      <w:r w:rsidRPr="000F1CD0">
        <w:rPr>
          <w:lang w:val="en-AU"/>
        </w:rPr>
        <w:fldChar w:fldCharType="end"/>
      </w:r>
      <w:r w:rsidR="00584D93">
        <w:rPr>
          <w:lang w:val="en-AU"/>
        </w:rPr>
        <w:t>1</w:t>
      </w:r>
    </w:p>
    <w:p w:rsidR="008A16EB" w:rsidRPr="000F1CD0" w:rsidRDefault="009C2479" w:rsidP="005A2514">
      <w:pPr>
        <w:pStyle w:val="NoNumPlain1"/>
      </w:pPr>
      <w:r w:rsidRPr="000F1CD0">
        <w:t xml:space="preserve">This Standard makes amendments to </w:t>
      </w:r>
      <w:r w:rsidR="00443EE1" w:rsidRPr="000F1CD0">
        <w:t xml:space="preserve">AASB 1 </w:t>
      </w:r>
      <w:r w:rsidR="00443EE1" w:rsidRPr="000F1CD0">
        <w:rPr>
          <w:i/>
        </w:rPr>
        <w:t xml:space="preserve">First-time Adoption of Australian </w:t>
      </w:r>
      <w:r w:rsidR="009E7E47" w:rsidRPr="000F1CD0">
        <w:rPr>
          <w:i/>
        </w:rPr>
        <w:t>Accounting Standards</w:t>
      </w:r>
      <w:r w:rsidR="00443EE1" w:rsidRPr="000F1CD0">
        <w:t xml:space="preserve"> (July 2015), AASB 128 </w:t>
      </w:r>
      <w:r w:rsidR="00443EE1" w:rsidRPr="000F1CD0">
        <w:rPr>
          <w:i/>
        </w:rPr>
        <w:t>Investments in Associates and Joint Ventures</w:t>
      </w:r>
      <w:r w:rsidR="00443EE1" w:rsidRPr="000F1CD0">
        <w:t xml:space="preserve"> (August 2015) and AASB 140 </w:t>
      </w:r>
      <w:r w:rsidR="00443EE1" w:rsidRPr="000F1CD0">
        <w:rPr>
          <w:i/>
        </w:rPr>
        <w:t>Investment Property</w:t>
      </w:r>
      <w:r w:rsidR="00443EE1" w:rsidRPr="000F1CD0">
        <w:t xml:space="preserve"> (August 2015)</w:t>
      </w:r>
      <w:r w:rsidR="005A2514" w:rsidRPr="000F1CD0">
        <w:t>.</w:t>
      </w:r>
    </w:p>
    <w:p w:rsidR="008A16EB" w:rsidRPr="000F1CD0" w:rsidRDefault="00401ECA" w:rsidP="00401ECA">
      <w:pPr>
        <w:pStyle w:val="NoNumPlain1"/>
      </w:pPr>
      <w:r w:rsidRPr="000F1CD0">
        <w:t xml:space="preserve">These </w:t>
      </w:r>
      <w:r w:rsidR="00460FBB" w:rsidRPr="000F1CD0">
        <w:t>a</w:t>
      </w:r>
      <w:r w:rsidRPr="000F1CD0">
        <w:t>mendments arise from</w:t>
      </w:r>
      <w:r w:rsidR="00D00FD5" w:rsidRPr="000F1CD0">
        <w:t xml:space="preserve"> the issuance of </w:t>
      </w:r>
      <w:r w:rsidR="008A16EB" w:rsidRPr="000F1CD0">
        <w:t>International Financial Reporting Standard</w:t>
      </w:r>
      <w:r w:rsidR="004A1503" w:rsidRPr="000F1CD0">
        <w:t>s</w:t>
      </w:r>
      <w:r w:rsidR="008A16EB" w:rsidRPr="000F1CD0">
        <w:t xml:space="preserve"> </w:t>
      </w:r>
      <w:bookmarkStart w:id="9" w:name="ArisingTitle"/>
      <w:r w:rsidR="00485D3C" w:rsidRPr="000F1CD0">
        <w:rPr>
          <w:i/>
        </w:rPr>
        <w:t xml:space="preserve">Transfers of Investment Property </w:t>
      </w:r>
      <w:r w:rsidR="00485D3C" w:rsidRPr="000F1CD0">
        <w:t>(Amendments to IAS 40)</w:t>
      </w:r>
      <w:r w:rsidR="003D66C0">
        <w:t xml:space="preserve"> and</w:t>
      </w:r>
      <w:r w:rsidR="00485D3C" w:rsidRPr="000F1CD0">
        <w:rPr>
          <w:i/>
        </w:rPr>
        <w:t xml:space="preserve"> Annual Improvements to IFRS Standards 2014–2016</w:t>
      </w:r>
      <w:bookmarkEnd w:id="9"/>
      <w:r w:rsidR="00443EE1" w:rsidRPr="000F1CD0">
        <w:rPr>
          <w:i/>
        </w:rPr>
        <w:t xml:space="preserve"> Cycle</w:t>
      </w:r>
      <w:r w:rsidR="008A16EB" w:rsidRPr="000F1CD0">
        <w:t xml:space="preserve"> </w:t>
      </w:r>
      <w:r w:rsidR="00242D3D" w:rsidRPr="000F1CD0">
        <w:t>and IFRIC</w:t>
      </w:r>
      <w:r w:rsidR="00443EE1" w:rsidRPr="000F1CD0">
        <w:t xml:space="preserve"> Interpretation</w:t>
      </w:r>
      <w:r w:rsidR="00242D3D" w:rsidRPr="000F1CD0">
        <w:t xml:space="preserve"> 22 </w:t>
      </w:r>
      <w:r w:rsidR="00242D3D" w:rsidRPr="000F1CD0">
        <w:rPr>
          <w:i/>
        </w:rPr>
        <w:t>Foreign Currency Transactions and Advance Consideration</w:t>
      </w:r>
      <w:r w:rsidR="00242D3D" w:rsidRPr="000F1CD0">
        <w:t xml:space="preserve"> </w:t>
      </w:r>
      <w:r w:rsidR="008A16EB" w:rsidRPr="000F1CD0">
        <w:t xml:space="preserve">by the International Accounting Standards Board (IASB) in </w:t>
      </w:r>
      <w:bookmarkStart w:id="10" w:name="ArisingDate"/>
      <w:r w:rsidR="009D4F0C" w:rsidRPr="000F1CD0">
        <w:t>December</w:t>
      </w:r>
      <w:r w:rsidR="00485D3C" w:rsidRPr="000F1CD0">
        <w:t xml:space="preserve"> 201</w:t>
      </w:r>
      <w:bookmarkEnd w:id="10"/>
      <w:r w:rsidR="009D4F0C" w:rsidRPr="000F1CD0">
        <w:t>6</w:t>
      </w:r>
      <w:r w:rsidR="008A16EB" w:rsidRPr="000F1CD0">
        <w:t>.</w:t>
      </w:r>
    </w:p>
    <w:p w:rsidR="00090A6F" w:rsidRPr="000F1CD0" w:rsidRDefault="00F22AF2" w:rsidP="004A1503">
      <w:pPr>
        <w:pStyle w:val="IASBSectionTitle1NonInd"/>
        <w:rPr>
          <w:lang w:val="en-AU"/>
        </w:rPr>
      </w:pPr>
      <w:r w:rsidRPr="000F1CD0">
        <w:rPr>
          <w:lang w:val="en-AU"/>
        </w:rPr>
        <w:t>Main features of this Standard</w:t>
      </w:r>
    </w:p>
    <w:p w:rsidR="00F22AF2" w:rsidRPr="000F1CD0" w:rsidRDefault="00F22AF2" w:rsidP="004A1503">
      <w:pPr>
        <w:pStyle w:val="IASBSectionTitle2Ind"/>
        <w:rPr>
          <w:lang w:val="en-AU"/>
        </w:rPr>
      </w:pPr>
      <w:r w:rsidRPr="000F1CD0">
        <w:rPr>
          <w:lang w:val="en-AU"/>
        </w:rPr>
        <w:t>Main requirements</w:t>
      </w:r>
    </w:p>
    <w:p w:rsidR="005B3B28" w:rsidRPr="000F1CD0" w:rsidRDefault="008176A8" w:rsidP="00F22AF2">
      <w:pPr>
        <w:pStyle w:val="NoNumPlain1"/>
      </w:pPr>
      <w:r w:rsidRPr="000F1CD0">
        <w:t>This Standard amends</w:t>
      </w:r>
      <w:r w:rsidR="005B3B28" w:rsidRPr="000F1CD0">
        <w:t>:</w:t>
      </w:r>
      <w:r w:rsidRPr="000F1CD0">
        <w:t xml:space="preserve"> </w:t>
      </w:r>
    </w:p>
    <w:p w:rsidR="00F22AF2" w:rsidRPr="000F1CD0" w:rsidRDefault="008176A8" w:rsidP="004A1503">
      <w:pPr>
        <w:pStyle w:val="NumPlainA"/>
      </w:pPr>
      <w:r w:rsidRPr="000F1CD0">
        <w:t xml:space="preserve">AASB 1 </w:t>
      </w:r>
      <w:r w:rsidR="005B3B28" w:rsidRPr="000F1CD0">
        <w:t xml:space="preserve">to delete </w:t>
      </w:r>
      <w:r w:rsidR="00443EE1" w:rsidRPr="000F1CD0">
        <w:t>some short-</w:t>
      </w:r>
      <w:r w:rsidR="005B3B28" w:rsidRPr="000F1CD0">
        <w:t>term exemption</w:t>
      </w:r>
      <w:r w:rsidR="00BB3BEE" w:rsidRPr="000F1CD0">
        <w:t>s</w:t>
      </w:r>
      <w:r w:rsidR="00443EE1" w:rsidRPr="000F1CD0">
        <w:t xml:space="preserve"> for first-time adopters that were available only for reporting periods that have passed</w:t>
      </w:r>
      <w:r w:rsidR="00242D3D" w:rsidRPr="000F1CD0">
        <w:t xml:space="preserve"> and to add </w:t>
      </w:r>
      <w:r w:rsidR="00443EE1" w:rsidRPr="000F1CD0">
        <w:t>exemptions</w:t>
      </w:r>
      <w:r w:rsidR="00242D3D" w:rsidRPr="000F1CD0">
        <w:t xml:space="preserve"> arising from </w:t>
      </w:r>
      <w:r w:rsidR="00443EE1" w:rsidRPr="000F1CD0">
        <w:t>AASB Interpretation</w:t>
      </w:r>
      <w:r w:rsidR="00242D3D" w:rsidRPr="000F1CD0">
        <w:t xml:space="preserve"> 22 </w:t>
      </w:r>
      <w:r w:rsidR="00242D3D" w:rsidRPr="000F1CD0">
        <w:rPr>
          <w:i/>
        </w:rPr>
        <w:t>Foreign Currency Transactions and Advance Consideration</w:t>
      </w:r>
      <w:r w:rsidR="00BB3BEE" w:rsidRPr="000F1CD0">
        <w:t>;</w:t>
      </w:r>
    </w:p>
    <w:p w:rsidR="00BB3BEE" w:rsidRPr="000F1CD0" w:rsidRDefault="00BB3BEE" w:rsidP="004A1503">
      <w:pPr>
        <w:pStyle w:val="NumPlainA"/>
      </w:pPr>
      <w:r w:rsidRPr="000F1CD0">
        <w:t xml:space="preserve">AASB 128 </w:t>
      </w:r>
      <w:r w:rsidR="00FD0FA3" w:rsidRPr="000F1CD0">
        <w:t>to clarify that:</w:t>
      </w:r>
    </w:p>
    <w:p w:rsidR="00FD0FA3" w:rsidRPr="000F1CD0" w:rsidRDefault="00FD0FA3" w:rsidP="004A1503">
      <w:pPr>
        <w:pStyle w:val="NumPlainA2"/>
      </w:pPr>
      <w:r w:rsidRPr="000F1CD0">
        <w:t>a venture capital organisation, or a mutual fund, unit trust and similar entities may elect, at initial recognition, to measure investments in an associate or joint venture at fair value through profit or loss separately for each associate or joint venture; and</w:t>
      </w:r>
    </w:p>
    <w:p w:rsidR="00FD0FA3" w:rsidRPr="000F1CD0" w:rsidRDefault="00FD0FA3" w:rsidP="004A1503">
      <w:pPr>
        <w:pStyle w:val="NumPlainA2"/>
      </w:pPr>
      <w:r w:rsidRPr="000F1CD0">
        <w:t>an entity that is not an investment entity may elect to retain the fair value measurement applied by its</w:t>
      </w:r>
      <w:r w:rsidR="004A1503" w:rsidRPr="000F1CD0">
        <w:t xml:space="preserve"> associates and joint ventures </w:t>
      </w:r>
      <w:r w:rsidRPr="000F1CD0">
        <w:t>that are investment entities when applying the equity method. This choice is available</w:t>
      </w:r>
      <w:r w:rsidR="004A1503" w:rsidRPr="000F1CD0">
        <w:t xml:space="preserve"> separately </w:t>
      </w:r>
      <w:r w:rsidRPr="000F1CD0">
        <w:t>for each investment entity associate or joint venture</w:t>
      </w:r>
      <w:r w:rsidR="004A1503" w:rsidRPr="000F1CD0">
        <w:t>; and</w:t>
      </w:r>
    </w:p>
    <w:p w:rsidR="00BB3BEE" w:rsidRPr="000F1CD0" w:rsidRDefault="00BB3BEE" w:rsidP="00845115">
      <w:pPr>
        <w:pStyle w:val="NumPlainA"/>
      </w:pPr>
      <w:r w:rsidRPr="000F1CD0">
        <w:t xml:space="preserve">AASB 140 </w:t>
      </w:r>
      <w:r w:rsidR="00443EE1" w:rsidRPr="000F1CD0">
        <w:t>to reflect the principle</w:t>
      </w:r>
      <w:r w:rsidRPr="000F1CD0">
        <w:t xml:space="preserve"> that an entity transfer</w:t>
      </w:r>
      <w:r w:rsidR="00443EE1" w:rsidRPr="000F1CD0">
        <w:t>s</w:t>
      </w:r>
      <w:r w:rsidRPr="000F1CD0">
        <w:t xml:space="preserve"> a property to, or from, investment property when, and only when, there is a change in use of </w:t>
      </w:r>
      <w:r w:rsidR="00443EE1" w:rsidRPr="000F1CD0">
        <w:t>the</w:t>
      </w:r>
      <w:r w:rsidRPr="000F1CD0">
        <w:t xml:space="preserve"> property support</w:t>
      </w:r>
      <w:r w:rsidR="004A1503" w:rsidRPr="000F1CD0">
        <w:t>ed</w:t>
      </w:r>
      <w:r w:rsidRPr="000F1CD0">
        <w:t xml:space="preserve"> by evidence that a change in use has occurred.</w:t>
      </w:r>
    </w:p>
    <w:p w:rsidR="00F22AF2" w:rsidRPr="000F1CD0" w:rsidRDefault="00F22AF2" w:rsidP="004A1503">
      <w:pPr>
        <w:pStyle w:val="IASBSectionTitle2Ind"/>
        <w:rPr>
          <w:lang w:val="en-AU"/>
        </w:rPr>
      </w:pPr>
      <w:r w:rsidRPr="000F1CD0">
        <w:rPr>
          <w:lang w:val="en-AU"/>
        </w:rPr>
        <w:t>Application date</w:t>
      </w:r>
    </w:p>
    <w:p w:rsidR="00F22AF2" w:rsidRPr="000F1CD0" w:rsidRDefault="00B16904" w:rsidP="00F22AF2">
      <w:pPr>
        <w:pStyle w:val="NoNumPlain1"/>
      </w:pPr>
      <w:r w:rsidRPr="000F1CD0">
        <w:t>This Standard applies to</w:t>
      </w:r>
      <w:r w:rsidR="00443EE1" w:rsidRPr="000F1CD0">
        <w:t xml:space="preserve"> for-profit entities for</w:t>
      </w:r>
      <w:r w:rsidRPr="000F1CD0">
        <w:t xml:space="preserve"> annual periods </w:t>
      </w:r>
      <w:bookmarkStart w:id="11" w:name="ApplyText"/>
      <w:r w:rsidRPr="000F1CD0">
        <w:t>beginning</w:t>
      </w:r>
      <w:bookmarkEnd w:id="11"/>
      <w:r w:rsidRPr="000F1CD0">
        <w:t xml:space="preserve"> on or after</w:t>
      </w:r>
      <w:r w:rsidR="00867FB0" w:rsidRPr="000F1CD0">
        <w:t xml:space="preserve"> </w:t>
      </w:r>
      <w:bookmarkStart w:id="12" w:name="ApplyDate"/>
      <w:r w:rsidR="00485D3C" w:rsidRPr="000F1CD0">
        <w:t>1 January 2018</w:t>
      </w:r>
      <w:bookmarkEnd w:id="12"/>
      <w:r w:rsidR="00FF44BF" w:rsidRPr="000F1CD0">
        <w:t xml:space="preserve"> and to</w:t>
      </w:r>
      <w:r w:rsidR="00443EE1" w:rsidRPr="000F1CD0">
        <w:t xml:space="preserve"> not-for-prof</w:t>
      </w:r>
      <w:r w:rsidR="00DC68C7" w:rsidRPr="000F1CD0">
        <w:t>i</w:t>
      </w:r>
      <w:r w:rsidR="00443EE1" w:rsidRPr="000F1CD0">
        <w:t>t entities for</w:t>
      </w:r>
      <w:r w:rsidR="00FF44BF" w:rsidRPr="000F1CD0">
        <w:t xml:space="preserve"> annua</w:t>
      </w:r>
      <w:r w:rsidR="00C3491B" w:rsidRPr="000F1CD0">
        <w:t>l periods beginning on or after 1 January 2019.</w:t>
      </w:r>
      <w:r w:rsidR="00443EE1" w:rsidRPr="000F1CD0">
        <w:t xml:space="preserve"> </w:t>
      </w:r>
      <w:r w:rsidRPr="000F1CD0">
        <w:t>E</w:t>
      </w:r>
      <w:r w:rsidR="00A71B45" w:rsidRPr="000F1CD0">
        <w:t>arlier application</w:t>
      </w:r>
      <w:r w:rsidR="00443EE1" w:rsidRPr="000F1CD0">
        <w:t xml:space="preserve"> of amendments to individual Standards</w:t>
      </w:r>
      <w:r w:rsidR="00A71B45" w:rsidRPr="000F1CD0">
        <w:t xml:space="preserve"> is permitted </w:t>
      </w:r>
      <w:r w:rsidR="00E43C7F" w:rsidRPr="000F1CD0">
        <w:t xml:space="preserve">where </w:t>
      </w:r>
      <w:r w:rsidR="00230186" w:rsidRPr="000F1CD0">
        <w:t>indicated</w:t>
      </w:r>
      <w:r w:rsidR="00A71B45" w:rsidRPr="000F1CD0">
        <w:t>.</w:t>
      </w:r>
    </w:p>
    <w:p w:rsidR="00F22AF2" w:rsidRPr="000F1CD0" w:rsidRDefault="00F22AF2"/>
    <w:p w:rsidR="00090A6F" w:rsidRPr="000F1CD0" w:rsidRDefault="00090A6F">
      <w:pPr>
        <w:sectPr w:rsidR="00090A6F" w:rsidRPr="000F1CD0" w:rsidSect="00D74C6A">
          <w:footerReference w:type="default" r:id="rId12"/>
          <w:pgSz w:w="11907" w:h="16840" w:code="9"/>
          <w:pgMar w:top="1418" w:right="1418" w:bottom="1418" w:left="1418" w:header="709" w:footer="709" w:gutter="0"/>
          <w:paperSrc w:first="7" w:other="7"/>
          <w:cols w:space="720"/>
        </w:sectPr>
      </w:pPr>
    </w:p>
    <w:p w:rsidR="001662B8" w:rsidRPr="000F1CD0" w:rsidRDefault="00F13C5A" w:rsidP="001662B8">
      <w:pPr>
        <w:pStyle w:val="Heading1"/>
      </w:pPr>
      <w:r w:rsidRPr="000F1CD0">
        <w:lastRenderedPageBreak/>
        <w:t xml:space="preserve">Accounting Standard </w:t>
      </w:r>
      <w:r w:rsidR="001662B8" w:rsidRPr="000F1CD0">
        <w:t xml:space="preserve">AASB </w:t>
      </w:r>
      <w:r w:rsidR="001662B8" w:rsidRPr="000F1CD0">
        <w:rPr>
          <w:iCs/>
        </w:rPr>
        <w:fldChar w:fldCharType="begin" w:fldLock="1"/>
      </w:r>
      <w:r w:rsidR="001662B8" w:rsidRPr="000F1CD0">
        <w:rPr>
          <w:iCs/>
        </w:rPr>
        <w:instrText xml:space="preserve"> REF DocNo \* charformat </w:instrText>
      </w:r>
      <w:r w:rsidR="001662B8" w:rsidRPr="000F1CD0">
        <w:rPr>
          <w:iCs/>
        </w:rPr>
        <w:fldChar w:fldCharType="separate"/>
      </w:r>
      <w:r w:rsidR="00485D3C" w:rsidRPr="000F1CD0">
        <w:rPr>
          <w:iCs/>
        </w:rPr>
        <w:t>2017-</w:t>
      </w:r>
      <w:r w:rsidR="001662B8" w:rsidRPr="000F1CD0">
        <w:rPr>
          <w:iCs/>
        </w:rPr>
        <w:fldChar w:fldCharType="end"/>
      </w:r>
      <w:r w:rsidR="00584D93">
        <w:rPr>
          <w:iCs/>
        </w:rPr>
        <w:t>1</w:t>
      </w:r>
    </w:p>
    <w:p w:rsidR="001662B8" w:rsidRPr="000F1CD0" w:rsidRDefault="001662B8" w:rsidP="003E1900">
      <w:pPr>
        <w:pStyle w:val="NoNumPlain1"/>
      </w:pPr>
      <w:r w:rsidRPr="000F1CD0">
        <w:t>The Australian Accounting Standards Board makes Accounting Standard AASB </w:t>
      </w:r>
      <w:r w:rsidR="00AF40D6">
        <w:fldChar w:fldCharType="begin" w:fldLock="1"/>
      </w:r>
      <w:r w:rsidR="00AF40D6">
        <w:instrText xml:space="preserve"> REF DocNo  \* charformat </w:instrText>
      </w:r>
      <w:r w:rsidR="00AF40D6">
        <w:fldChar w:fldCharType="separate"/>
      </w:r>
      <w:r w:rsidR="00485D3C" w:rsidRPr="000F1CD0">
        <w:t>2017-</w:t>
      </w:r>
      <w:r w:rsidR="00AF40D6">
        <w:fldChar w:fldCharType="end"/>
      </w:r>
      <w:r w:rsidR="00584D93">
        <w:t>1</w:t>
      </w:r>
      <w:r w:rsidRPr="000F1CD0">
        <w:t xml:space="preserve"> </w:t>
      </w:r>
      <w:r w:rsidR="00CC1DF4" w:rsidRPr="000F1CD0">
        <w:rPr>
          <w:i/>
        </w:rPr>
        <w:fldChar w:fldCharType="begin" w:fldLock="1"/>
      </w:r>
      <w:r w:rsidR="00CC1DF4" w:rsidRPr="000F1CD0">
        <w:rPr>
          <w:i/>
        </w:rPr>
        <w:instrText xml:space="preserve"> REF DocTitle \* charformat </w:instrText>
      </w:r>
      <w:r w:rsidR="00CC1DF4" w:rsidRPr="000F1CD0">
        <w:rPr>
          <w:i/>
        </w:rPr>
        <w:fldChar w:fldCharType="separate"/>
      </w:r>
      <w:r w:rsidR="00485D3C" w:rsidRPr="000F1CD0">
        <w:rPr>
          <w:i/>
        </w:rPr>
        <w:t>Amendments to A</w:t>
      </w:r>
      <w:r w:rsidR="00443EE1" w:rsidRPr="000F1CD0">
        <w:rPr>
          <w:i/>
        </w:rPr>
        <w:t>ustralian Accounting Standards –</w:t>
      </w:r>
      <w:r w:rsidR="00485D3C" w:rsidRPr="000F1CD0">
        <w:rPr>
          <w:i/>
        </w:rPr>
        <w:t xml:space="preserve"> T</w:t>
      </w:r>
      <w:r w:rsidR="00443EE1" w:rsidRPr="000F1CD0">
        <w:rPr>
          <w:i/>
        </w:rPr>
        <w:t>ransfers of Investment Property,</w:t>
      </w:r>
      <w:r w:rsidR="00485D3C" w:rsidRPr="000F1CD0">
        <w:rPr>
          <w:i/>
        </w:rPr>
        <w:t xml:space="preserve"> Annual Im</w:t>
      </w:r>
      <w:r w:rsidR="00443EE1" w:rsidRPr="000F1CD0">
        <w:rPr>
          <w:i/>
        </w:rPr>
        <w:t>provements 2014–</w:t>
      </w:r>
      <w:r w:rsidR="00485D3C" w:rsidRPr="000F1CD0">
        <w:rPr>
          <w:i/>
        </w:rPr>
        <w:t>2016 Cycl</w:t>
      </w:r>
      <w:r w:rsidR="009D4F0C" w:rsidRPr="000F1CD0">
        <w:rPr>
          <w:i/>
        </w:rPr>
        <w:t>e and Other Amendments</w:t>
      </w:r>
      <w:r w:rsidR="00CC1DF4" w:rsidRPr="000F1CD0">
        <w:rPr>
          <w:i/>
        </w:rPr>
        <w:fldChar w:fldCharType="end"/>
      </w:r>
      <w:bookmarkStart w:id="13" w:name="CorpsAct"/>
      <w:r w:rsidR="002B7803" w:rsidRPr="000F1CD0">
        <w:rPr>
          <w:i/>
          <w:iCs/>
        </w:rPr>
        <w:t xml:space="preserve"> </w:t>
      </w:r>
      <w:r w:rsidRPr="000F1CD0">
        <w:t xml:space="preserve">under section 334 of the </w:t>
      </w:r>
      <w:r w:rsidRPr="000F1CD0">
        <w:rPr>
          <w:i/>
          <w:iCs/>
        </w:rPr>
        <w:t>Corporations Act 2001</w:t>
      </w:r>
      <w:bookmarkEnd w:id="13"/>
      <w:r w:rsidRPr="000F1CD0">
        <w:t>.</w:t>
      </w:r>
    </w:p>
    <w:tbl>
      <w:tblPr>
        <w:tblW w:w="932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rsidRPr="000F1CD0" w:rsidTr="008C1C4A">
        <w:tc>
          <w:tcPr>
            <w:tcW w:w="4361" w:type="dxa"/>
          </w:tcPr>
          <w:p w:rsidR="00C03C7B" w:rsidRPr="000F1CD0" w:rsidRDefault="00C03C7B" w:rsidP="0048155F"/>
        </w:tc>
        <w:tc>
          <w:tcPr>
            <w:tcW w:w="4961" w:type="dxa"/>
          </w:tcPr>
          <w:p w:rsidR="00C03C7B" w:rsidRPr="000F1CD0" w:rsidRDefault="008F3EBA" w:rsidP="0048155F">
            <w:pPr>
              <w:jc w:val="right"/>
            </w:pPr>
            <w:r w:rsidRPr="000F1CD0">
              <w:t>Kris Peach</w:t>
            </w:r>
          </w:p>
        </w:tc>
      </w:tr>
      <w:tr w:rsidR="00C03C7B" w:rsidRPr="000F1CD0" w:rsidTr="008C1C4A">
        <w:tc>
          <w:tcPr>
            <w:tcW w:w="4361" w:type="dxa"/>
          </w:tcPr>
          <w:p w:rsidR="00C03C7B" w:rsidRPr="000F1CD0" w:rsidRDefault="00C03C7B" w:rsidP="00584D93">
            <w:r w:rsidRPr="000F1CD0">
              <w:t>Dated</w:t>
            </w:r>
            <w:r w:rsidR="000F1CD0">
              <w:t xml:space="preserve"> </w:t>
            </w:r>
            <w:r w:rsidR="00BA2395">
              <w:t>13 February 2017</w:t>
            </w:r>
          </w:p>
        </w:tc>
        <w:tc>
          <w:tcPr>
            <w:tcW w:w="4961" w:type="dxa"/>
          </w:tcPr>
          <w:p w:rsidR="00C03C7B" w:rsidRPr="000F1CD0" w:rsidRDefault="00C03C7B" w:rsidP="0048155F">
            <w:pPr>
              <w:jc w:val="right"/>
            </w:pPr>
            <w:r w:rsidRPr="000F1CD0">
              <w:t>Chair – AASB</w:t>
            </w:r>
          </w:p>
        </w:tc>
      </w:tr>
    </w:tbl>
    <w:p w:rsidR="00090A6F" w:rsidRPr="000F1CD0" w:rsidRDefault="00F13C5A" w:rsidP="00867FB0">
      <w:pPr>
        <w:pStyle w:val="Heading1"/>
        <w:spacing w:after="0"/>
      </w:pPr>
      <w:r w:rsidRPr="000F1CD0">
        <w:t xml:space="preserve">Accounting Standard </w:t>
      </w:r>
      <w:r w:rsidR="00090A6F" w:rsidRPr="000F1CD0">
        <w:t xml:space="preserve">AASB </w:t>
      </w:r>
      <w:r w:rsidR="00BC0D5D" w:rsidRPr="000F1CD0">
        <w:rPr>
          <w:iCs/>
        </w:rPr>
        <w:fldChar w:fldCharType="begin" w:fldLock="1"/>
      </w:r>
      <w:r w:rsidR="00BC0D5D" w:rsidRPr="000F1CD0">
        <w:rPr>
          <w:iCs/>
        </w:rPr>
        <w:instrText xml:space="preserve"> REF </w:instrText>
      </w:r>
      <w:r w:rsidR="001662B8" w:rsidRPr="000F1CD0">
        <w:rPr>
          <w:iCs/>
        </w:rPr>
        <w:instrText>Doc</w:instrText>
      </w:r>
      <w:r w:rsidR="00BC0D5D" w:rsidRPr="000F1CD0">
        <w:rPr>
          <w:iCs/>
        </w:rPr>
        <w:instrText xml:space="preserve">No \* charformat </w:instrText>
      </w:r>
      <w:r w:rsidR="00BC0D5D" w:rsidRPr="000F1CD0">
        <w:rPr>
          <w:iCs/>
        </w:rPr>
        <w:fldChar w:fldCharType="separate"/>
      </w:r>
      <w:r w:rsidR="00485D3C" w:rsidRPr="000F1CD0">
        <w:rPr>
          <w:iCs/>
        </w:rPr>
        <w:t>2017-</w:t>
      </w:r>
      <w:r w:rsidR="00BC0D5D" w:rsidRPr="000F1CD0">
        <w:rPr>
          <w:iCs/>
        </w:rPr>
        <w:fldChar w:fldCharType="end"/>
      </w:r>
      <w:r w:rsidR="00584D93">
        <w:rPr>
          <w:iCs/>
        </w:rPr>
        <w:t>1</w:t>
      </w:r>
    </w:p>
    <w:p w:rsidR="00090A6F" w:rsidRPr="000F1CD0" w:rsidRDefault="00CC1DF4" w:rsidP="003E1900">
      <w:pPr>
        <w:pStyle w:val="Heading1Italic"/>
        <w:spacing w:before="0"/>
      </w:pPr>
      <w:r w:rsidRPr="000F1CD0">
        <w:fldChar w:fldCharType="begin" w:fldLock="1"/>
      </w:r>
      <w:r w:rsidRPr="000F1CD0">
        <w:instrText xml:space="preserve"> REF DocTitle \* charformat</w:instrText>
      </w:r>
      <w:r w:rsidRPr="000F1CD0">
        <w:fldChar w:fldCharType="separate"/>
      </w:r>
      <w:r w:rsidR="00485D3C" w:rsidRPr="000F1CD0">
        <w:t xml:space="preserve">Amendments to Australian Accounting Standards </w:t>
      </w:r>
      <w:r w:rsidR="00443EE1" w:rsidRPr="000F1CD0">
        <w:t>–</w:t>
      </w:r>
      <w:r w:rsidR="00485D3C" w:rsidRPr="000F1CD0">
        <w:t xml:space="preserve"> Tr</w:t>
      </w:r>
      <w:r w:rsidR="000E01C9" w:rsidRPr="000F1CD0">
        <w:t>ansfers of Investment Property,</w:t>
      </w:r>
      <w:r w:rsidR="00485D3C" w:rsidRPr="000F1CD0">
        <w:t xml:space="preserve"> Annual Improvements 2014</w:t>
      </w:r>
      <w:r w:rsidR="008176A8" w:rsidRPr="000F1CD0">
        <w:t>–</w:t>
      </w:r>
      <w:r w:rsidR="00485D3C" w:rsidRPr="000F1CD0">
        <w:t>2016 Cycl</w:t>
      </w:r>
      <w:r w:rsidR="000E01C9" w:rsidRPr="000F1CD0">
        <w:t xml:space="preserve">e </w:t>
      </w:r>
      <w:r w:rsidR="00443EE1" w:rsidRPr="000F1CD0">
        <w:t>and</w:t>
      </w:r>
      <w:r w:rsidR="000E01C9" w:rsidRPr="000F1CD0">
        <w:t xml:space="preserve"> Other Amendments</w:t>
      </w:r>
      <w:r w:rsidRPr="000F1CD0">
        <w:fldChar w:fldCharType="end"/>
      </w:r>
    </w:p>
    <w:p w:rsidR="00090A6F" w:rsidRPr="000F1CD0" w:rsidRDefault="00090A6F" w:rsidP="004A1503">
      <w:pPr>
        <w:pStyle w:val="IASBSectionTitle1NonInd"/>
        <w:rPr>
          <w:lang w:val="en-AU"/>
        </w:rPr>
      </w:pPr>
      <w:bookmarkStart w:id="14" w:name="TOCStart"/>
      <w:bookmarkEnd w:id="14"/>
      <w:r w:rsidRPr="000F1CD0">
        <w:rPr>
          <w:lang w:val="en-AU"/>
        </w:rPr>
        <w:t>Objective</w:t>
      </w:r>
    </w:p>
    <w:p w:rsidR="00090A6F" w:rsidRPr="000F1CD0" w:rsidRDefault="00867FB0" w:rsidP="005A6AC7">
      <w:pPr>
        <w:pStyle w:val="NoNumPlain1"/>
      </w:pPr>
      <w:r w:rsidRPr="000F1CD0">
        <w:t>This</w:t>
      </w:r>
      <w:r w:rsidR="001662B8" w:rsidRPr="000F1CD0">
        <w:t xml:space="preserve"> Standard </w:t>
      </w:r>
      <w:r w:rsidRPr="000F1CD0">
        <w:t>amends</w:t>
      </w:r>
      <w:r w:rsidR="001662B8" w:rsidRPr="000F1CD0">
        <w:t>:</w:t>
      </w:r>
    </w:p>
    <w:p w:rsidR="005B3B28" w:rsidRPr="000F1CD0" w:rsidRDefault="005B3B28" w:rsidP="00ED4723">
      <w:pPr>
        <w:pStyle w:val="NumPlainA"/>
        <w:numPr>
          <w:ilvl w:val="0"/>
          <w:numId w:val="13"/>
        </w:numPr>
      </w:pPr>
      <w:r w:rsidRPr="000F1CD0">
        <w:t xml:space="preserve">AASB 1 </w:t>
      </w:r>
      <w:r w:rsidRPr="000F1CD0">
        <w:rPr>
          <w:i/>
        </w:rPr>
        <w:t xml:space="preserve">First-time </w:t>
      </w:r>
      <w:r w:rsidR="00443EE1" w:rsidRPr="000F1CD0">
        <w:rPr>
          <w:i/>
        </w:rPr>
        <w:t>A</w:t>
      </w:r>
      <w:r w:rsidRPr="000F1CD0">
        <w:rPr>
          <w:i/>
        </w:rPr>
        <w:t xml:space="preserve">doption of Australian Accounting Standards </w:t>
      </w:r>
      <w:r w:rsidRPr="000F1CD0">
        <w:t>(July 2015);</w:t>
      </w:r>
    </w:p>
    <w:p w:rsidR="005B3B28" w:rsidRPr="000F1CD0" w:rsidRDefault="005B3B28" w:rsidP="00485D3C">
      <w:pPr>
        <w:pStyle w:val="NumPlainA"/>
      </w:pPr>
      <w:r w:rsidRPr="000F1CD0">
        <w:t xml:space="preserve">AASB 128 </w:t>
      </w:r>
      <w:r w:rsidRPr="000F1CD0">
        <w:rPr>
          <w:i/>
        </w:rPr>
        <w:t xml:space="preserve">Investments in Associates and Joint Ventures </w:t>
      </w:r>
      <w:r w:rsidRPr="000F1CD0">
        <w:t>(</w:t>
      </w:r>
      <w:r w:rsidR="001C4D57" w:rsidRPr="000F1CD0">
        <w:t xml:space="preserve">August </w:t>
      </w:r>
      <w:r w:rsidRPr="000F1CD0">
        <w:t>2015); and</w:t>
      </w:r>
    </w:p>
    <w:p w:rsidR="00485D3C" w:rsidRPr="000F1CD0" w:rsidRDefault="00485D3C" w:rsidP="005B3B28">
      <w:pPr>
        <w:pStyle w:val="NumPlainA"/>
      </w:pPr>
      <w:r w:rsidRPr="000F1CD0">
        <w:t xml:space="preserve">AASB 140 </w:t>
      </w:r>
      <w:r w:rsidRPr="000F1CD0">
        <w:rPr>
          <w:i/>
        </w:rPr>
        <w:t xml:space="preserve">Investment Property </w:t>
      </w:r>
      <w:r w:rsidRPr="000F1CD0">
        <w:t>(</w:t>
      </w:r>
      <w:r w:rsidR="001C4D57" w:rsidRPr="000F1CD0">
        <w:t xml:space="preserve">August </w:t>
      </w:r>
      <w:r w:rsidRPr="000F1CD0">
        <w:t>2015)</w:t>
      </w:r>
      <w:r w:rsidR="00584D93">
        <w:t>;</w:t>
      </w:r>
    </w:p>
    <w:p w:rsidR="001662B8" w:rsidRPr="000F1CD0" w:rsidRDefault="001662B8" w:rsidP="005A6AC7">
      <w:pPr>
        <w:pStyle w:val="NoNumPlain1"/>
      </w:pPr>
      <w:r w:rsidRPr="000F1CD0">
        <w:t>a</w:t>
      </w:r>
      <w:bookmarkStart w:id="15" w:name="StndObj"/>
      <w:bookmarkEnd w:id="15"/>
      <w:r w:rsidRPr="000F1CD0">
        <w:t>s a consequence of the issuance of</w:t>
      </w:r>
      <w:r w:rsidR="00867FB0" w:rsidRPr="000F1CD0">
        <w:t xml:space="preserve"> International Financial Reporting Standard</w:t>
      </w:r>
      <w:r w:rsidR="00443EE1" w:rsidRPr="000F1CD0">
        <w:t>s</w:t>
      </w:r>
      <w:r w:rsidRPr="000F1CD0">
        <w:t xml:space="preserve"> </w:t>
      </w:r>
      <w:r w:rsidR="00867FB0" w:rsidRPr="000F1CD0">
        <w:rPr>
          <w:i/>
        </w:rPr>
        <w:fldChar w:fldCharType="begin" w:fldLock="1"/>
      </w:r>
      <w:r w:rsidR="00867FB0" w:rsidRPr="000F1CD0">
        <w:rPr>
          <w:i/>
        </w:rPr>
        <w:instrText xml:space="preserve"> REF ArisingTitle \* charformat</w:instrText>
      </w:r>
      <w:r w:rsidR="004A1503" w:rsidRPr="000F1CD0">
        <w:rPr>
          <w:i/>
        </w:rPr>
        <w:instrText xml:space="preserve"> \* MERGEFORMAT </w:instrText>
      </w:r>
      <w:r w:rsidR="00867FB0" w:rsidRPr="000F1CD0">
        <w:rPr>
          <w:i/>
        </w:rPr>
        <w:fldChar w:fldCharType="separate"/>
      </w:r>
      <w:r w:rsidR="00485D3C" w:rsidRPr="000F1CD0">
        <w:rPr>
          <w:i/>
        </w:rPr>
        <w:t>Transfers of Investment P</w:t>
      </w:r>
      <w:r w:rsidR="00B20BF8" w:rsidRPr="000F1CD0">
        <w:rPr>
          <w:i/>
        </w:rPr>
        <w:t xml:space="preserve">roperty </w:t>
      </w:r>
      <w:r w:rsidR="00B20BF8" w:rsidRPr="000F1CD0">
        <w:t>(Amendments to IAS 40</w:t>
      </w:r>
      <w:r w:rsidR="00443EE1" w:rsidRPr="000F1CD0">
        <w:t>)</w:t>
      </w:r>
      <w:r w:rsidR="003D66C0">
        <w:t xml:space="preserve"> and</w:t>
      </w:r>
      <w:r w:rsidR="00485D3C" w:rsidRPr="000F1CD0">
        <w:rPr>
          <w:i/>
        </w:rPr>
        <w:t xml:space="preserve"> Annual Improvements to IFRS Standards 2014–201</w:t>
      </w:r>
      <w:r w:rsidR="00B20BF8" w:rsidRPr="000F1CD0">
        <w:rPr>
          <w:i/>
        </w:rPr>
        <w:t xml:space="preserve">6 </w:t>
      </w:r>
      <w:r w:rsidR="00443EE1" w:rsidRPr="000F1CD0">
        <w:rPr>
          <w:i/>
        </w:rPr>
        <w:t xml:space="preserve">Cycle </w:t>
      </w:r>
      <w:r w:rsidR="00443EE1" w:rsidRPr="000F1CD0">
        <w:t>and</w:t>
      </w:r>
      <w:r w:rsidR="00B20BF8" w:rsidRPr="000F1CD0">
        <w:t xml:space="preserve"> IFRIC</w:t>
      </w:r>
      <w:r w:rsidR="00443EE1" w:rsidRPr="000F1CD0">
        <w:t xml:space="preserve"> Interpretation</w:t>
      </w:r>
      <w:r w:rsidR="00B20BF8" w:rsidRPr="000F1CD0">
        <w:t xml:space="preserve"> 22</w:t>
      </w:r>
      <w:r w:rsidR="00B20BF8" w:rsidRPr="000F1CD0">
        <w:rPr>
          <w:i/>
        </w:rPr>
        <w:t xml:space="preserve"> Foreign Currency Transactions and Advance Consideration</w:t>
      </w:r>
      <w:r w:rsidR="00867FB0" w:rsidRPr="000F1CD0">
        <w:rPr>
          <w:i/>
        </w:rPr>
        <w:fldChar w:fldCharType="end"/>
      </w:r>
      <w:r w:rsidRPr="000F1CD0">
        <w:t xml:space="preserve"> </w:t>
      </w:r>
      <w:r w:rsidR="00867FB0" w:rsidRPr="000F1CD0">
        <w:t xml:space="preserve">by the International Accounting Standards Board </w:t>
      </w:r>
      <w:r w:rsidRPr="000F1CD0">
        <w:t>in</w:t>
      </w:r>
      <w:r w:rsidR="00742E4B" w:rsidRPr="000F1CD0">
        <w:t xml:space="preserve"> </w:t>
      </w:r>
      <w:r w:rsidR="00867FB0" w:rsidRPr="000F1CD0">
        <w:fldChar w:fldCharType="begin" w:fldLock="1"/>
      </w:r>
      <w:r w:rsidR="00867FB0" w:rsidRPr="000F1CD0">
        <w:instrText xml:space="preserve"> REF ArisingDate \* charformat</w:instrText>
      </w:r>
      <w:r w:rsidR="00867FB0" w:rsidRPr="000F1CD0">
        <w:fldChar w:fldCharType="separate"/>
      </w:r>
      <w:r w:rsidR="000B2391" w:rsidRPr="000F1CD0">
        <w:t>December</w:t>
      </w:r>
      <w:r w:rsidR="00485D3C" w:rsidRPr="000F1CD0">
        <w:t xml:space="preserve"> 201</w:t>
      </w:r>
      <w:r w:rsidR="00867FB0" w:rsidRPr="000F1CD0">
        <w:fldChar w:fldCharType="end"/>
      </w:r>
      <w:r w:rsidR="000B2391" w:rsidRPr="000F1CD0">
        <w:t>6</w:t>
      </w:r>
      <w:r w:rsidRPr="000F1CD0">
        <w:t>.</w:t>
      </w:r>
    </w:p>
    <w:p w:rsidR="00090A6F" w:rsidRPr="000F1CD0" w:rsidRDefault="00090A6F" w:rsidP="004A1503">
      <w:pPr>
        <w:pStyle w:val="IASBSectionTitle1NonInd"/>
        <w:rPr>
          <w:lang w:val="en-AU"/>
        </w:rPr>
      </w:pPr>
      <w:r w:rsidRPr="000F1CD0">
        <w:rPr>
          <w:lang w:val="en-AU"/>
        </w:rPr>
        <w:t>Application</w:t>
      </w:r>
    </w:p>
    <w:p w:rsidR="005A6AC7" w:rsidRPr="000F1CD0" w:rsidRDefault="005A6AC7" w:rsidP="005A6AC7">
      <w:pPr>
        <w:pStyle w:val="NoNumPlain1"/>
        <w:rPr>
          <w:i/>
        </w:rPr>
      </w:pPr>
      <w:r w:rsidRPr="000F1CD0">
        <w:t xml:space="preserve">The amendments set out in this Standard apply to entities and financial statements in accordance with the application of the other Standards set out in AASB 1057 </w:t>
      </w:r>
      <w:r w:rsidRPr="000F1CD0">
        <w:rPr>
          <w:i/>
        </w:rPr>
        <w:t>Application of Australian Accounting Standards</w:t>
      </w:r>
      <w:r w:rsidRPr="000F1CD0">
        <w:t xml:space="preserve"> (as amended)</w:t>
      </w:r>
      <w:r w:rsidRPr="000F1CD0">
        <w:rPr>
          <w:i/>
        </w:rPr>
        <w:t>.</w:t>
      </w:r>
    </w:p>
    <w:p w:rsidR="00A71B45" w:rsidRPr="000F1CD0" w:rsidRDefault="00A71B45" w:rsidP="00A71B45">
      <w:pPr>
        <w:pStyle w:val="NoNumPlain1"/>
      </w:pPr>
      <w:r w:rsidRPr="000F1CD0">
        <w:t>T</w:t>
      </w:r>
      <w:r w:rsidR="000B2391" w:rsidRPr="000F1CD0">
        <w:t>his Standard applies to for-profit entities for</w:t>
      </w:r>
      <w:r w:rsidRPr="000F1CD0">
        <w:t xml:space="preserve"> annual periods beginning on or after 1 January 2018 and to </w:t>
      </w:r>
      <w:r w:rsidR="000B2391" w:rsidRPr="000F1CD0">
        <w:t xml:space="preserve">not-for-profit entities for </w:t>
      </w:r>
      <w:r w:rsidRPr="000F1CD0">
        <w:t>annual periods begin</w:t>
      </w:r>
      <w:r w:rsidR="000B2391" w:rsidRPr="000F1CD0">
        <w:t>ning on or after 1 January 2019</w:t>
      </w:r>
      <w:r w:rsidRPr="000F1CD0">
        <w:t>.</w:t>
      </w:r>
      <w:r w:rsidR="000B2391" w:rsidRPr="000F1CD0">
        <w:t xml:space="preserve"> The amendments to individual Standards may be applied early, separately from the amendments to the other Standards, except that the short-term exemption amendments to AASB 1 cannot be applied early.</w:t>
      </w:r>
    </w:p>
    <w:p w:rsidR="00090A6F" w:rsidRPr="000F1CD0" w:rsidRDefault="0048155F" w:rsidP="005A6AC7">
      <w:pPr>
        <w:pStyle w:val="NoNumPlain1"/>
      </w:pPr>
      <w:r w:rsidRPr="000F1CD0">
        <w:t>This Standard uses underlining, striking out and other typographical material to identify some of the amendments to a Standard, in order to make the a</w:t>
      </w:r>
      <w:r w:rsidR="006C6F7C" w:rsidRPr="000F1CD0">
        <w:t xml:space="preserve">mendments more understandable. </w:t>
      </w:r>
      <w:r w:rsidRPr="000F1CD0">
        <w:t>However, the amendments made by this Standard do not include that underlining, striking out or</w:t>
      </w:r>
      <w:r w:rsidR="003B6633" w:rsidRPr="000F1CD0">
        <w:t xml:space="preserve"> other typographical material.</w:t>
      </w:r>
      <w:r w:rsidR="00254B16" w:rsidRPr="000F1CD0">
        <w:t xml:space="preserve"> Ellipses (…) are used to help provide the context within which amendments are made and also to indicate text that is not amended.</w:t>
      </w:r>
    </w:p>
    <w:p w:rsidR="00485D3C" w:rsidRPr="000F1CD0" w:rsidRDefault="00485D3C" w:rsidP="004A1503">
      <w:pPr>
        <w:pStyle w:val="IASBSectionTitle1NonInd"/>
        <w:rPr>
          <w:lang w:val="en-AU"/>
        </w:rPr>
      </w:pPr>
      <w:r w:rsidRPr="000F1CD0">
        <w:rPr>
          <w:lang w:val="en-AU"/>
        </w:rPr>
        <w:t xml:space="preserve">Amendments to </w:t>
      </w:r>
      <w:r w:rsidR="007514B2" w:rsidRPr="000F1CD0">
        <w:rPr>
          <w:lang w:val="en-AU"/>
        </w:rPr>
        <w:t>AASB 1</w:t>
      </w:r>
    </w:p>
    <w:p w:rsidR="000B2391" w:rsidRPr="000F1CD0" w:rsidRDefault="000B2391" w:rsidP="004A1503">
      <w:pPr>
        <w:pStyle w:val="IASBSectionTitle2Ind"/>
        <w:rPr>
          <w:lang w:val="en-AU"/>
        </w:rPr>
      </w:pPr>
      <w:r w:rsidRPr="000F1CD0">
        <w:rPr>
          <w:lang w:val="en-AU"/>
        </w:rPr>
        <w:t>Foreign currency transactions and advance consideration</w:t>
      </w:r>
    </w:p>
    <w:tbl>
      <w:tblPr>
        <w:tblW w:w="0" w:type="auto"/>
        <w:tblLayout w:type="fixed"/>
        <w:tblCellMar>
          <w:top w:w="85" w:type="dxa"/>
          <w:bottom w:w="85" w:type="dxa"/>
        </w:tblCellMar>
        <w:tblLook w:val="04A0" w:firstRow="1" w:lastRow="0" w:firstColumn="1" w:lastColumn="0" w:noHBand="0" w:noVBand="1"/>
        <w:tblCaption w:val="Amendment instructions"/>
      </w:tblPr>
      <w:tblGrid>
        <w:gridCol w:w="9208"/>
      </w:tblGrid>
      <w:tr w:rsidR="000B2391" w:rsidRPr="000F1CD0" w:rsidTr="003D66C0">
        <w:trPr>
          <w:cantSplit/>
        </w:trPr>
        <w:tc>
          <w:tcPr>
            <w:tcW w:w="9208" w:type="dxa"/>
            <w:tcBorders>
              <w:top w:val="single" w:sz="4" w:space="0" w:color="auto"/>
              <w:left w:val="single" w:sz="4" w:space="0" w:color="auto"/>
              <w:bottom w:val="single" w:sz="4" w:space="0" w:color="auto"/>
              <w:right w:val="single" w:sz="4" w:space="0" w:color="auto"/>
            </w:tcBorders>
            <w:vAlign w:val="center"/>
            <w:hideMark/>
          </w:tcPr>
          <w:p w:rsidR="000B2391" w:rsidRPr="000F1CD0" w:rsidRDefault="000B2391" w:rsidP="003D66C0">
            <w:pPr>
              <w:pStyle w:val="IASBTableArial"/>
              <w:spacing w:before="0"/>
              <w:rPr>
                <w:lang w:val="en-AU"/>
              </w:rPr>
            </w:pPr>
            <w:r w:rsidRPr="000F1CD0">
              <w:rPr>
                <w:lang w:val="en-AU"/>
              </w:rPr>
              <w:t>Paragraph 39AC is added.</w:t>
            </w:r>
          </w:p>
        </w:tc>
      </w:tr>
    </w:tbl>
    <w:p w:rsidR="004A1503" w:rsidRPr="000F1CD0" w:rsidRDefault="004A1503" w:rsidP="000B2391">
      <w:pPr>
        <w:pStyle w:val="IASBNormalnpara"/>
        <w:rPr>
          <w:lang w:val="en-AU"/>
        </w:rPr>
      </w:pPr>
    </w:p>
    <w:p w:rsidR="000B2391" w:rsidRPr="000F1CD0" w:rsidRDefault="000B2391" w:rsidP="000B2391">
      <w:pPr>
        <w:pStyle w:val="IASBNormalnpara"/>
        <w:rPr>
          <w:lang w:val="en-AU"/>
        </w:rPr>
      </w:pPr>
      <w:r w:rsidRPr="000F1CD0">
        <w:rPr>
          <w:lang w:val="en-AU"/>
        </w:rPr>
        <w:t>39AC</w:t>
      </w:r>
      <w:r w:rsidRPr="000F1CD0">
        <w:rPr>
          <w:lang w:val="en-AU"/>
        </w:rPr>
        <w:tab/>
        <w:t>AASB </w:t>
      </w:r>
      <w:r w:rsidRPr="000F1CD0">
        <w:rPr>
          <w:lang w:val="en-AU"/>
        </w:rPr>
        <w:fldChar w:fldCharType="begin" w:fldLock="1"/>
      </w:r>
      <w:r w:rsidRPr="000F1CD0">
        <w:rPr>
          <w:lang w:val="en-AU"/>
        </w:rPr>
        <w:instrText xml:space="preserve"> REF DocNo  \* charformat </w:instrText>
      </w:r>
      <w:r w:rsidRPr="000F1CD0">
        <w:rPr>
          <w:lang w:val="en-AU"/>
        </w:rPr>
        <w:fldChar w:fldCharType="separate"/>
      </w:r>
      <w:r w:rsidRPr="000F1CD0">
        <w:rPr>
          <w:lang w:val="en-AU"/>
        </w:rPr>
        <w:t>2017-</w:t>
      </w:r>
      <w:r w:rsidRPr="000F1CD0">
        <w:rPr>
          <w:lang w:val="en-AU"/>
        </w:rPr>
        <w:fldChar w:fldCharType="end"/>
      </w:r>
      <w:r w:rsidR="00584D93">
        <w:rPr>
          <w:lang w:val="en-AU"/>
        </w:rPr>
        <w:t>1</w:t>
      </w:r>
      <w:r w:rsidRPr="000F1CD0">
        <w:rPr>
          <w:lang w:val="en-AU"/>
        </w:rPr>
        <w:t xml:space="preserve"> </w:t>
      </w:r>
      <w:r w:rsidRPr="000F1CD0">
        <w:rPr>
          <w:i/>
          <w:lang w:val="en-AU"/>
        </w:rPr>
        <w:fldChar w:fldCharType="begin" w:fldLock="1"/>
      </w:r>
      <w:r w:rsidRPr="000F1CD0">
        <w:rPr>
          <w:i/>
          <w:lang w:val="en-AU"/>
        </w:rPr>
        <w:instrText xml:space="preserve"> REF DocTitle \* charformat </w:instrText>
      </w:r>
      <w:r w:rsidRPr="000F1CD0">
        <w:rPr>
          <w:i/>
          <w:lang w:val="en-AU"/>
        </w:rPr>
        <w:fldChar w:fldCharType="separate"/>
      </w:r>
      <w:r w:rsidRPr="000F1CD0">
        <w:rPr>
          <w:i/>
          <w:lang w:val="en-AU"/>
        </w:rPr>
        <w:t>Amendments to Australian Accounting Standards – Transfers of Investment Property, Annual Improvements 2014–2016 Cycle and Other Amendments</w:t>
      </w:r>
      <w:r w:rsidRPr="000F1CD0">
        <w:rPr>
          <w:i/>
          <w:lang w:val="en-AU"/>
        </w:rPr>
        <w:fldChar w:fldCharType="end"/>
      </w:r>
      <w:r w:rsidRPr="000F1CD0">
        <w:rPr>
          <w:i/>
          <w:lang w:val="en-AU"/>
        </w:rPr>
        <w:t xml:space="preserve"> </w:t>
      </w:r>
      <w:r w:rsidRPr="000F1CD0">
        <w:rPr>
          <w:lang w:val="en-AU"/>
        </w:rPr>
        <w:t xml:space="preserve">added paragraph D36 and amended paragraph D1. An entity shall apply that amendment when it applies AASB Interpretation 22 </w:t>
      </w:r>
      <w:r w:rsidRPr="000F1CD0">
        <w:rPr>
          <w:i/>
          <w:lang w:val="en-AU"/>
        </w:rPr>
        <w:t>Foreign Currency Transactions and Advance Consideration</w:t>
      </w:r>
      <w:r w:rsidRPr="000F1CD0">
        <w:rPr>
          <w:lang w:val="en-AU"/>
        </w:rPr>
        <w:t xml:space="preserve">, as identified in AASB 1048 </w:t>
      </w:r>
      <w:r w:rsidRPr="000F1CD0">
        <w:rPr>
          <w:i/>
          <w:lang w:val="en-AU"/>
        </w:rPr>
        <w:t>Interpretation of Standards</w:t>
      </w:r>
      <w:r w:rsidRPr="000F1CD0">
        <w:rPr>
          <w:lang w:val="en-AU"/>
        </w:rPr>
        <w:t>.</w:t>
      </w:r>
    </w:p>
    <w:p w:rsidR="003C1AF3" w:rsidRPr="000F1CD0" w:rsidRDefault="003C1AF3" w:rsidP="003C1AF3">
      <w:pPr>
        <w:pStyle w:val="IASBSectionTitle2Ind"/>
        <w:ind w:left="0"/>
        <w:rPr>
          <w:lang w:val="en-AU"/>
        </w:rPr>
      </w:pPr>
      <w:r w:rsidRPr="000F1CD0">
        <w:rPr>
          <w:lang w:val="en-AU"/>
        </w:rPr>
        <w:lastRenderedPageBreak/>
        <w:t>Appendix D</w:t>
      </w:r>
    </w:p>
    <w:tbl>
      <w:tblPr>
        <w:tblW w:w="0" w:type="auto"/>
        <w:tblLayout w:type="fixed"/>
        <w:tblCellMar>
          <w:top w:w="85" w:type="dxa"/>
          <w:bottom w:w="85" w:type="dxa"/>
        </w:tblCellMar>
        <w:tblLook w:val="04A0" w:firstRow="1" w:lastRow="0" w:firstColumn="1" w:lastColumn="0" w:noHBand="0" w:noVBand="1"/>
        <w:tblCaption w:val="Amendment instructions"/>
      </w:tblPr>
      <w:tblGrid>
        <w:gridCol w:w="9208"/>
      </w:tblGrid>
      <w:tr w:rsidR="003C1AF3" w:rsidRPr="000F1CD0" w:rsidTr="003D66C0">
        <w:trPr>
          <w:cantSplit/>
        </w:trPr>
        <w:tc>
          <w:tcPr>
            <w:tcW w:w="9208" w:type="dxa"/>
            <w:tcBorders>
              <w:top w:val="single" w:sz="4" w:space="0" w:color="auto"/>
              <w:left w:val="single" w:sz="4" w:space="0" w:color="auto"/>
              <w:bottom w:val="single" w:sz="4" w:space="0" w:color="auto"/>
              <w:right w:val="single" w:sz="4" w:space="0" w:color="auto"/>
            </w:tcBorders>
            <w:vAlign w:val="center"/>
            <w:hideMark/>
          </w:tcPr>
          <w:p w:rsidR="003C1AF3" w:rsidRPr="000F1CD0" w:rsidRDefault="003C1AF3" w:rsidP="003D66C0">
            <w:pPr>
              <w:pStyle w:val="IASBTableArial"/>
              <w:spacing w:before="0"/>
              <w:rPr>
                <w:lang w:val="en-AU"/>
              </w:rPr>
            </w:pPr>
            <w:r w:rsidRPr="000F1CD0">
              <w:rPr>
                <w:lang w:val="en-AU"/>
              </w:rPr>
              <w:t>In Appendix D, paragraph D1 is amended. A heading and paragraph D36 are added (new text is underlined and deleted text is struck through).</w:t>
            </w:r>
          </w:p>
        </w:tc>
      </w:tr>
    </w:tbl>
    <w:p w:rsidR="003C1AF3" w:rsidRPr="000F1CD0" w:rsidRDefault="003C1AF3" w:rsidP="003C1AF3">
      <w:pPr>
        <w:pStyle w:val="IASBNormalnpara"/>
        <w:rPr>
          <w:lang w:val="en-AU"/>
        </w:rPr>
      </w:pPr>
    </w:p>
    <w:p w:rsidR="003C1AF3" w:rsidRPr="000F1CD0" w:rsidRDefault="003C1AF3" w:rsidP="003C1AF3">
      <w:pPr>
        <w:pStyle w:val="IASBNormalnpara"/>
        <w:rPr>
          <w:lang w:val="en-AU"/>
        </w:rPr>
      </w:pPr>
      <w:r w:rsidRPr="000F1CD0">
        <w:rPr>
          <w:lang w:val="en-AU"/>
        </w:rPr>
        <w:t>D1</w:t>
      </w:r>
      <w:r w:rsidRPr="000F1CD0">
        <w:rPr>
          <w:lang w:val="en-AU"/>
        </w:rPr>
        <w:tab/>
        <w:t>An entity may elect to use one or more of the following exemptions:</w:t>
      </w:r>
    </w:p>
    <w:p w:rsidR="003C1AF3" w:rsidRPr="000F1CD0" w:rsidRDefault="003C1AF3" w:rsidP="003C1AF3">
      <w:pPr>
        <w:pStyle w:val="IASBNormalnparaL1"/>
        <w:rPr>
          <w:lang w:val="en-AU"/>
        </w:rPr>
      </w:pPr>
      <w:r w:rsidRPr="000F1CD0">
        <w:rPr>
          <w:lang w:val="en-AU"/>
        </w:rPr>
        <w:t>(a)</w:t>
      </w:r>
      <w:r w:rsidRPr="000F1CD0">
        <w:rPr>
          <w:lang w:val="en-AU"/>
        </w:rPr>
        <w:tab/>
        <w:t>share-based payment transactions (paragraphs D2 and D3);</w:t>
      </w:r>
    </w:p>
    <w:p w:rsidR="003C1AF3" w:rsidRPr="000F1CD0" w:rsidRDefault="003C1AF3" w:rsidP="003C1AF3">
      <w:pPr>
        <w:pStyle w:val="IASBNormalnparaL1"/>
        <w:rPr>
          <w:lang w:val="en-AU"/>
        </w:rPr>
      </w:pPr>
      <w:r w:rsidRPr="000F1CD0">
        <w:rPr>
          <w:lang w:val="en-AU"/>
        </w:rPr>
        <w:t>(b)</w:t>
      </w:r>
      <w:r w:rsidRPr="000F1CD0">
        <w:rPr>
          <w:lang w:val="en-AU"/>
        </w:rPr>
        <w:tab/>
        <w:t>…</w:t>
      </w:r>
    </w:p>
    <w:p w:rsidR="003C1AF3" w:rsidRPr="000F1CD0" w:rsidRDefault="003C1AF3" w:rsidP="003C1AF3">
      <w:pPr>
        <w:pStyle w:val="IASBNormalnparaL1"/>
        <w:rPr>
          <w:lang w:val="en-AU"/>
        </w:rPr>
      </w:pPr>
      <w:r w:rsidRPr="000F1CD0">
        <w:rPr>
          <w:lang w:val="en-AU"/>
        </w:rPr>
        <w:t>(s)</w:t>
      </w:r>
      <w:r w:rsidRPr="000F1CD0">
        <w:rPr>
          <w:lang w:val="en-AU"/>
        </w:rPr>
        <w:tab/>
        <w:t xml:space="preserve">stripping costs in the production phase of a surface mine (paragraph D32); </w:t>
      </w:r>
      <w:r w:rsidRPr="000F1CD0">
        <w:rPr>
          <w:strike/>
          <w:lang w:val="en-AU"/>
        </w:rPr>
        <w:t>and</w:t>
      </w:r>
    </w:p>
    <w:p w:rsidR="003C1AF3" w:rsidRPr="000F1CD0" w:rsidRDefault="003C1AF3" w:rsidP="003C1AF3">
      <w:pPr>
        <w:pStyle w:val="IASBNormalnparaL1"/>
        <w:rPr>
          <w:strike/>
          <w:lang w:val="en-AU"/>
        </w:rPr>
      </w:pPr>
      <w:r w:rsidRPr="000F1CD0">
        <w:rPr>
          <w:lang w:val="en-AU"/>
        </w:rPr>
        <w:t>(t)</w:t>
      </w:r>
      <w:r w:rsidRPr="000F1CD0">
        <w:rPr>
          <w:lang w:val="en-AU"/>
        </w:rPr>
        <w:tab/>
        <w:t>designation of contracts to buy or sell a non-financial item (paragraph D33)</w:t>
      </w:r>
      <w:r w:rsidRPr="000F1CD0">
        <w:rPr>
          <w:strike/>
          <w:lang w:val="en-AU"/>
        </w:rPr>
        <w:t>.</w:t>
      </w:r>
      <w:r w:rsidRPr="000F1CD0">
        <w:rPr>
          <w:u w:val="single"/>
          <w:lang w:val="en-AU"/>
        </w:rPr>
        <w:t>;</w:t>
      </w:r>
    </w:p>
    <w:p w:rsidR="003C1AF3" w:rsidRPr="000F1CD0" w:rsidRDefault="003C1AF3" w:rsidP="003C1AF3">
      <w:pPr>
        <w:pStyle w:val="IASBNormalnparaL1"/>
        <w:rPr>
          <w:lang w:val="en-AU"/>
        </w:rPr>
      </w:pPr>
      <w:r w:rsidRPr="000F1CD0">
        <w:rPr>
          <w:u w:val="single"/>
          <w:lang w:val="en-AU"/>
        </w:rPr>
        <w:t>(u)</w:t>
      </w:r>
      <w:r w:rsidRPr="000F1CD0">
        <w:rPr>
          <w:lang w:val="en-AU"/>
        </w:rPr>
        <w:tab/>
      </w:r>
      <w:r w:rsidRPr="000F1CD0">
        <w:rPr>
          <w:u w:val="single"/>
          <w:lang w:val="en-AU"/>
        </w:rPr>
        <w:t>revenue (paragraphs D34 and D35); and</w:t>
      </w:r>
    </w:p>
    <w:p w:rsidR="003C1AF3" w:rsidRPr="000F1CD0" w:rsidRDefault="003C1AF3" w:rsidP="003C1AF3">
      <w:pPr>
        <w:pStyle w:val="IASBNormalnparaL1"/>
        <w:rPr>
          <w:u w:val="single"/>
          <w:lang w:val="en-AU"/>
        </w:rPr>
      </w:pPr>
      <w:r w:rsidRPr="000F1CD0">
        <w:rPr>
          <w:u w:val="single"/>
          <w:lang w:val="en-AU"/>
        </w:rPr>
        <w:t>(v)</w:t>
      </w:r>
      <w:r w:rsidRPr="000F1CD0">
        <w:rPr>
          <w:lang w:val="en-AU"/>
        </w:rPr>
        <w:tab/>
      </w:r>
      <w:r w:rsidRPr="000F1CD0">
        <w:rPr>
          <w:u w:val="single"/>
          <w:lang w:val="en-AU"/>
        </w:rPr>
        <w:t>foreign currency transactions and advance consideration (paragraph D36).</w:t>
      </w:r>
    </w:p>
    <w:p w:rsidR="004A1503" w:rsidRPr="000F1CD0" w:rsidRDefault="004A1503" w:rsidP="003C1AF3">
      <w:pPr>
        <w:pStyle w:val="IASBNormalnparaL1"/>
        <w:rPr>
          <w:lang w:val="en-AU"/>
        </w:rPr>
      </w:pPr>
      <w:r w:rsidRPr="000F1CD0">
        <w:rPr>
          <w:lang w:val="en-AU"/>
        </w:rPr>
        <w:t>…</w:t>
      </w:r>
    </w:p>
    <w:p w:rsidR="003C1AF3" w:rsidRPr="000F1CD0" w:rsidRDefault="003C1AF3" w:rsidP="00ED4723">
      <w:pPr>
        <w:pStyle w:val="IASBSectionTitle1Ind"/>
        <w:pBdr>
          <w:bottom w:val="none" w:sz="0" w:space="0" w:color="auto"/>
        </w:pBdr>
        <w:rPr>
          <w:u w:val="single"/>
          <w:lang w:val="en-AU"/>
        </w:rPr>
      </w:pPr>
      <w:r w:rsidRPr="000F1CD0">
        <w:rPr>
          <w:u w:val="single"/>
          <w:lang w:val="en-AU"/>
        </w:rPr>
        <w:t>Foreign currency transactions and advance consideration</w:t>
      </w:r>
    </w:p>
    <w:p w:rsidR="003C1AF3" w:rsidRPr="000F1CD0" w:rsidRDefault="003C1AF3" w:rsidP="003C1AF3">
      <w:pPr>
        <w:pStyle w:val="IASBNormalnpara"/>
        <w:rPr>
          <w:lang w:val="en-AU"/>
        </w:rPr>
      </w:pPr>
      <w:r w:rsidRPr="000F1CD0">
        <w:rPr>
          <w:u w:val="single"/>
          <w:lang w:val="en-AU"/>
        </w:rPr>
        <w:t>D36</w:t>
      </w:r>
      <w:r w:rsidRPr="000F1CD0">
        <w:rPr>
          <w:lang w:val="en-AU"/>
        </w:rPr>
        <w:tab/>
      </w:r>
      <w:r w:rsidRPr="000F1CD0">
        <w:rPr>
          <w:u w:val="single"/>
          <w:lang w:val="en-AU"/>
        </w:rPr>
        <w:t xml:space="preserve">A first-time adopter need not apply AASB Interpretation 22 </w:t>
      </w:r>
      <w:r w:rsidRPr="000F1CD0">
        <w:rPr>
          <w:i/>
          <w:u w:val="single"/>
          <w:lang w:val="en-AU"/>
        </w:rPr>
        <w:t>Foreign Currency Transactions and Advance Consideration</w:t>
      </w:r>
      <w:r w:rsidRPr="000F1CD0">
        <w:rPr>
          <w:u w:val="single"/>
          <w:lang w:val="en-AU"/>
        </w:rPr>
        <w:t xml:space="preserve">, as identified in AASB 1048 </w:t>
      </w:r>
      <w:r w:rsidRPr="000F1CD0">
        <w:rPr>
          <w:i/>
          <w:u w:val="single"/>
          <w:lang w:val="en-AU"/>
        </w:rPr>
        <w:t>Interpretation of Standards</w:t>
      </w:r>
      <w:r w:rsidRPr="000F1CD0">
        <w:rPr>
          <w:u w:val="single"/>
          <w:lang w:val="en-AU"/>
        </w:rPr>
        <w:t>, to assets, expenses and income in the scope of that Interpretation initially recognised before the date of transition to Australian Accounting Standards.</w:t>
      </w:r>
    </w:p>
    <w:p w:rsidR="000B2391" w:rsidRPr="000F1CD0" w:rsidRDefault="00C23907" w:rsidP="004A1503">
      <w:pPr>
        <w:pStyle w:val="IASBSectionTitle2Ind"/>
        <w:spacing w:before="960"/>
        <w:rPr>
          <w:lang w:val="en-AU"/>
        </w:rPr>
      </w:pPr>
      <w:r w:rsidRPr="000F1CD0">
        <w:rPr>
          <w:lang w:val="en-AU"/>
        </w:rPr>
        <w:t>Short-term ex</w:t>
      </w:r>
      <w:r w:rsidR="000B2391" w:rsidRPr="000F1CD0">
        <w:rPr>
          <w:lang w:val="en-AU"/>
        </w:rPr>
        <w:t>e</w:t>
      </w:r>
      <w:r w:rsidRPr="000F1CD0">
        <w:rPr>
          <w:lang w:val="en-AU"/>
        </w:rPr>
        <w:t>m</w:t>
      </w:r>
      <w:r w:rsidR="000B2391" w:rsidRPr="000F1CD0">
        <w:rPr>
          <w:lang w:val="en-AU"/>
        </w:rPr>
        <w:t>ptions</w:t>
      </w:r>
    </w:p>
    <w:tbl>
      <w:tblPr>
        <w:tblW w:w="0" w:type="auto"/>
        <w:tblLayout w:type="fixed"/>
        <w:tblCellMar>
          <w:top w:w="85" w:type="dxa"/>
          <w:bottom w:w="85" w:type="dxa"/>
        </w:tblCellMar>
        <w:tblLook w:val="0000" w:firstRow="0" w:lastRow="0" w:firstColumn="0" w:lastColumn="0" w:noHBand="0" w:noVBand="0"/>
        <w:tblCaption w:val="Amendment instructions"/>
      </w:tblPr>
      <w:tblGrid>
        <w:gridCol w:w="9208"/>
      </w:tblGrid>
      <w:tr w:rsidR="005B3B28" w:rsidRPr="000F1CD0" w:rsidTr="004445B5">
        <w:trPr>
          <w:cantSplit/>
        </w:trPr>
        <w:tc>
          <w:tcPr>
            <w:tcW w:w="9208" w:type="dxa"/>
            <w:tcBorders>
              <w:top w:val="single" w:sz="4" w:space="0" w:color="auto"/>
              <w:left w:val="single" w:sz="4" w:space="0" w:color="auto"/>
              <w:bottom w:val="single" w:sz="4" w:space="0" w:color="auto"/>
              <w:right w:val="single" w:sz="4" w:space="0" w:color="auto"/>
            </w:tcBorders>
            <w:vAlign w:val="center"/>
          </w:tcPr>
          <w:p w:rsidR="005B3B28" w:rsidRPr="000F1CD0" w:rsidRDefault="005B3B28" w:rsidP="00262E20">
            <w:pPr>
              <w:pStyle w:val="IASBTableArial"/>
              <w:spacing w:before="0"/>
              <w:rPr>
                <w:lang w:val="en-AU"/>
              </w:rPr>
            </w:pPr>
            <w:r w:rsidRPr="000F1CD0">
              <w:rPr>
                <w:lang w:val="en-AU"/>
              </w:rPr>
              <w:t>Paragraph</w:t>
            </w:r>
            <w:r w:rsidR="00262E20" w:rsidRPr="000F1CD0">
              <w:rPr>
                <w:lang w:val="en-AU"/>
              </w:rPr>
              <w:t xml:space="preserve"> 39AA is</w:t>
            </w:r>
            <w:r w:rsidRPr="000F1CD0">
              <w:rPr>
                <w:lang w:val="en-AU"/>
              </w:rPr>
              <w:t xml:space="preserve"> deleted and paragraph 39AD is added. Deleted text is struck through and new text is underlined.</w:t>
            </w:r>
          </w:p>
        </w:tc>
      </w:tr>
    </w:tbl>
    <w:p w:rsidR="005B3B28" w:rsidRPr="000F1CD0" w:rsidRDefault="005B3B28" w:rsidP="005B3B28">
      <w:pPr>
        <w:pStyle w:val="IASBSectionTitle1NonInd"/>
        <w:rPr>
          <w:lang w:val="en-AU"/>
        </w:rPr>
      </w:pPr>
      <w:bookmarkStart w:id="16" w:name="F53060944"/>
      <w:r w:rsidRPr="000F1CD0">
        <w:rPr>
          <w:lang w:val="en-AU"/>
        </w:rPr>
        <w:t>Effective date</w:t>
      </w:r>
      <w:bookmarkEnd w:id="16"/>
    </w:p>
    <w:p w:rsidR="005B3B28" w:rsidRPr="000F1CD0" w:rsidRDefault="005B3B28" w:rsidP="005B3B28">
      <w:pPr>
        <w:pStyle w:val="IASBNormalnpara"/>
        <w:rPr>
          <w:lang w:val="en-AU"/>
        </w:rPr>
      </w:pPr>
      <w:r w:rsidRPr="000F1CD0">
        <w:rPr>
          <w:lang w:val="en-AU"/>
        </w:rPr>
        <w:tab/>
      </w:r>
      <w:bookmarkStart w:id="17" w:name="SL53061140"/>
      <w:r w:rsidRPr="000F1CD0">
        <w:rPr>
          <w:lang w:val="en-AU"/>
        </w:rPr>
        <w:t>...</w:t>
      </w:r>
      <w:r w:rsidRPr="000F1CD0">
        <w:rPr>
          <w:rFonts w:ascii="Cambria Math" w:hAnsi="Cambria Math" w:cs="Cambria Math"/>
          <w:lang w:val="en-AU"/>
        </w:rPr>
        <w:t> </w:t>
      </w:r>
      <w:bookmarkEnd w:id="17"/>
    </w:p>
    <w:p w:rsidR="005B3B28" w:rsidRPr="000F1CD0" w:rsidRDefault="005B3B28" w:rsidP="005B3B28">
      <w:pPr>
        <w:pStyle w:val="IASBNormalnpara"/>
        <w:rPr>
          <w:lang w:val="en-AU"/>
        </w:rPr>
      </w:pPr>
      <w:r w:rsidRPr="000F1CD0">
        <w:rPr>
          <w:lang w:val="en-AU"/>
        </w:rPr>
        <w:t>39AA</w:t>
      </w:r>
      <w:r w:rsidRPr="000F1CD0">
        <w:rPr>
          <w:lang w:val="en-AU"/>
        </w:rPr>
        <w:tab/>
      </w:r>
      <w:bookmarkStart w:id="18" w:name="F53060959"/>
      <w:r w:rsidRPr="000F1CD0">
        <w:rPr>
          <w:u w:val="single"/>
          <w:lang w:val="en-AU"/>
        </w:rPr>
        <w:t>[Deleted]</w:t>
      </w:r>
      <w:r w:rsidRPr="000F1CD0">
        <w:rPr>
          <w:lang w:val="en-AU"/>
        </w:rPr>
        <w:t xml:space="preserve"> </w:t>
      </w:r>
      <w:r w:rsidRPr="000F1CD0">
        <w:rPr>
          <w:strike/>
          <w:lang w:val="en-AU"/>
        </w:rPr>
        <w:t>A</w:t>
      </w:r>
      <w:r w:rsidR="00262E20" w:rsidRPr="000F1CD0">
        <w:rPr>
          <w:strike/>
          <w:lang w:val="en-AU"/>
        </w:rPr>
        <w:t>ASB 2015</w:t>
      </w:r>
      <w:r w:rsidR="001940C7" w:rsidRPr="000F1CD0">
        <w:rPr>
          <w:strike/>
          <w:lang w:val="en-AU"/>
        </w:rPr>
        <w:t>-1</w:t>
      </w:r>
      <w:r w:rsidR="001940C7" w:rsidRPr="000F1CD0">
        <w:rPr>
          <w:i/>
          <w:strike/>
          <w:lang w:val="en-AU"/>
        </w:rPr>
        <w:t xml:space="preserve"> Amendments to Australian Accounting Standards – Annual Improvements to Australian Accounting Standards 2012</w:t>
      </w:r>
      <w:r w:rsidRPr="000F1CD0">
        <w:rPr>
          <w:i/>
          <w:strike/>
          <w:lang w:val="en-AU"/>
        </w:rPr>
        <w:t>–2014 Cycle</w:t>
      </w:r>
      <w:r w:rsidRPr="000F1CD0">
        <w:rPr>
          <w:strike/>
          <w:lang w:val="en-AU"/>
        </w:rPr>
        <w:t xml:space="preserve">, issued in </w:t>
      </w:r>
      <w:r w:rsidR="001940C7" w:rsidRPr="000F1CD0">
        <w:rPr>
          <w:strike/>
          <w:lang w:val="en-AU"/>
        </w:rPr>
        <w:t>January</w:t>
      </w:r>
      <w:r w:rsidRPr="000F1CD0">
        <w:rPr>
          <w:strike/>
          <w:lang w:val="en-AU"/>
        </w:rPr>
        <w:t xml:space="preserve"> 201</w:t>
      </w:r>
      <w:r w:rsidR="001940C7" w:rsidRPr="000F1CD0">
        <w:rPr>
          <w:strike/>
          <w:lang w:val="en-AU"/>
        </w:rPr>
        <w:t>5</w:t>
      </w:r>
      <w:r w:rsidRPr="000F1CD0">
        <w:rPr>
          <w:strike/>
          <w:lang w:val="en-AU"/>
        </w:rPr>
        <w:t>, added paragraph E4A</w:t>
      </w:r>
      <w:r w:rsidR="001940C7" w:rsidRPr="000F1CD0">
        <w:rPr>
          <w:strike/>
          <w:lang w:val="en-AU"/>
        </w:rPr>
        <w:t xml:space="preserve"> in the previous version of this Standard</w:t>
      </w:r>
      <w:r w:rsidRPr="000F1CD0">
        <w:rPr>
          <w:strike/>
          <w:lang w:val="en-AU"/>
        </w:rPr>
        <w:t>. An entity shall apply that amendment for annual periods beginning on or after 1 January 2016. Earlier application is permitted. If an entity applies that amendment for an earlier period it shall disclose that fact.</w:t>
      </w:r>
      <w:bookmarkEnd w:id="18"/>
    </w:p>
    <w:p w:rsidR="005B3B28" w:rsidRPr="000F1CD0" w:rsidRDefault="005B3B28" w:rsidP="005B3B28">
      <w:pPr>
        <w:pStyle w:val="IASBNormalnpara"/>
        <w:rPr>
          <w:lang w:val="en-AU"/>
        </w:rPr>
      </w:pPr>
      <w:r w:rsidRPr="000F1CD0">
        <w:rPr>
          <w:lang w:val="en-AU"/>
        </w:rPr>
        <w:tab/>
      </w:r>
      <w:bookmarkStart w:id="19" w:name="F53060961"/>
      <w:r w:rsidRPr="000F1CD0">
        <w:rPr>
          <w:lang w:val="en-AU"/>
        </w:rPr>
        <w:t>...</w:t>
      </w:r>
      <w:r w:rsidRPr="000F1CD0">
        <w:rPr>
          <w:rFonts w:ascii="Cambria Math" w:hAnsi="Cambria Math" w:cs="Cambria Math"/>
          <w:lang w:val="en-AU"/>
        </w:rPr>
        <w:t> </w:t>
      </w:r>
      <w:bookmarkEnd w:id="19"/>
    </w:p>
    <w:p w:rsidR="005B3B28" w:rsidRPr="000F1CD0" w:rsidRDefault="005B3B28" w:rsidP="005B3B28">
      <w:pPr>
        <w:pStyle w:val="IASBNormalnpara"/>
        <w:rPr>
          <w:u w:val="single"/>
          <w:lang w:val="en-AU"/>
        </w:rPr>
      </w:pPr>
      <w:r w:rsidRPr="000F1CD0">
        <w:rPr>
          <w:u w:val="single"/>
          <w:lang w:val="en-AU"/>
        </w:rPr>
        <w:t>39AD</w:t>
      </w:r>
      <w:r w:rsidRPr="000F1CD0">
        <w:rPr>
          <w:lang w:val="en-AU"/>
        </w:rPr>
        <w:tab/>
      </w:r>
      <w:bookmarkStart w:id="20" w:name="F53060962"/>
      <w:r w:rsidR="00D044AF" w:rsidRPr="000F1CD0">
        <w:rPr>
          <w:u w:val="single"/>
          <w:lang w:val="en-AU"/>
        </w:rPr>
        <w:t xml:space="preserve">AASB </w:t>
      </w:r>
      <w:r w:rsidR="00B20BF8" w:rsidRPr="000F1CD0">
        <w:rPr>
          <w:u w:val="single"/>
          <w:lang w:val="en-AU"/>
        </w:rPr>
        <w:t>2017-</w:t>
      </w:r>
      <w:r w:rsidR="00584D93">
        <w:rPr>
          <w:u w:val="single"/>
          <w:lang w:val="en-AU"/>
        </w:rPr>
        <w:t>1</w:t>
      </w:r>
      <w:r w:rsidR="00B20BF8" w:rsidRPr="000F1CD0">
        <w:rPr>
          <w:u w:val="single"/>
          <w:lang w:val="en-AU"/>
        </w:rPr>
        <w:t xml:space="preserve"> </w:t>
      </w:r>
      <w:r w:rsidR="00B20BF8" w:rsidRPr="000F1CD0">
        <w:rPr>
          <w:i/>
          <w:u w:val="single"/>
          <w:lang w:val="en-AU"/>
        </w:rPr>
        <w:t xml:space="preserve">Amendments to Australian Accounting Standards – Transfers of Investment Property, Annual Improvements 2014–2016 Cycle </w:t>
      </w:r>
      <w:r w:rsidR="000B2391" w:rsidRPr="000F1CD0">
        <w:rPr>
          <w:i/>
          <w:u w:val="single"/>
          <w:lang w:val="en-AU"/>
        </w:rPr>
        <w:t>and</w:t>
      </w:r>
      <w:r w:rsidR="00B20BF8" w:rsidRPr="000F1CD0">
        <w:rPr>
          <w:i/>
          <w:u w:val="single"/>
          <w:lang w:val="en-AU"/>
        </w:rPr>
        <w:t xml:space="preserve"> Other Amendments</w:t>
      </w:r>
      <w:r w:rsidRPr="000F1CD0">
        <w:rPr>
          <w:u w:val="single"/>
          <w:lang w:val="en-AU"/>
        </w:rPr>
        <w:t xml:space="preserve">, issued in </w:t>
      </w:r>
      <w:r w:rsidR="00584D93">
        <w:rPr>
          <w:u w:val="single"/>
          <w:lang w:val="en-AU"/>
        </w:rPr>
        <w:t>February</w:t>
      </w:r>
      <w:r w:rsidRPr="000F1CD0">
        <w:rPr>
          <w:u w:val="single"/>
          <w:lang w:val="en-AU"/>
        </w:rPr>
        <w:t xml:space="preserve"> 201</w:t>
      </w:r>
      <w:r w:rsidR="00D044AF" w:rsidRPr="000F1CD0">
        <w:rPr>
          <w:u w:val="single"/>
          <w:lang w:val="en-AU"/>
        </w:rPr>
        <w:t>7</w:t>
      </w:r>
      <w:r w:rsidRPr="000F1CD0">
        <w:rPr>
          <w:u w:val="single"/>
          <w:lang w:val="en-AU"/>
        </w:rPr>
        <w:t xml:space="preserve">, </w:t>
      </w:r>
      <w:r w:rsidR="005C476A" w:rsidRPr="000F1CD0">
        <w:rPr>
          <w:u w:val="single"/>
          <w:lang w:val="en-AU"/>
        </w:rPr>
        <w:t>deleted paragraph</w:t>
      </w:r>
      <w:r w:rsidRPr="000F1CD0">
        <w:rPr>
          <w:u w:val="single"/>
          <w:lang w:val="en-AU"/>
        </w:rPr>
        <w:t xml:space="preserve"> 39AA. </w:t>
      </w:r>
      <w:r w:rsidR="00E43C7F" w:rsidRPr="000F1CD0">
        <w:rPr>
          <w:u w:val="single"/>
          <w:lang w:val="en-AU"/>
        </w:rPr>
        <w:t xml:space="preserve">A for-profit entity shall apply those amendments for annual periods beginning on or after 1 January 2018. A not-for-profit entity shall apply those amendments for annual periods beginning on or after 1 January 2019. </w:t>
      </w:r>
      <w:bookmarkEnd w:id="20"/>
    </w:p>
    <w:p w:rsidR="004A1503" w:rsidRPr="000F1CD0" w:rsidRDefault="004A1503" w:rsidP="004A1503">
      <w:pPr>
        <w:pStyle w:val="IASBNormalnpara"/>
        <w:spacing w:before="240"/>
        <w:rPr>
          <w:u w:val="single"/>
          <w:lang w:val="en-AU"/>
        </w:rPr>
      </w:pPr>
    </w:p>
    <w:tbl>
      <w:tblPr>
        <w:tblW w:w="0" w:type="auto"/>
        <w:tblLayout w:type="fixed"/>
        <w:tblCellMar>
          <w:top w:w="85" w:type="dxa"/>
          <w:bottom w:w="85" w:type="dxa"/>
        </w:tblCellMar>
        <w:tblLook w:val="0000" w:firstRow="0" w:lastRow="0" w:firstColumn="0" w:lastColumn="0" w:noHBand="0" w:noVBand="0"/>
        <w:tblCaption w:val="Amendment instructions"/>
      </w:tblPr>
      <w:tblGrid>
        <w:gridCol w:w="9208"/>
      </w:tblGrid>
      <w:tr w:rsidR="00253379" w:rsidRPr="000F1CD0" w:rsidTr="00EF076B">
        <w:trPr>
          <w:cantSplit/>
        </w:trPr>
        <w:tc>
          <w:tcPr>
            <w:tcW w:w="9208" w:type="dxa"/>
            <w:tcBorders>
              <w:top w:val="single" w:sz="4" w:space="0" w:color="auto"/>
              <w:left w:val="single" w:sz="4" w:space="0" w:color="auto"/>
              <w:bottom w:val="single" w:sz="4" w:space="0" w:color="auto"/>
              <w:right w:val="single" w:sz="4" w:space="0" w:color="auto"/>
            </w:tcBorders>
            <w:vAlign w:val="center"/>
          </w:tcPr>
          <w:p w:rsidR="00253379" w:rsidRPr="000F1CD0" w:rsidRDefault="00253379" w:rsidP="003D66C0">
            <w:pPr>
              <w:pStyle w:val="IASBTableArial"/>
              <w:keepNext/>
              <w:spacing w:before="0"/>
              <w:rPr>
                <w:lang w:val="en-AU"/>
              </w:rPr>
            </w:pPr>
            <w:bookmarkStart w:id="21" w:name="F53060968"/>
            <w:r w:rsidRPr="000F1CD0">
              <w:rPr>
                <w:lang w:val="en-AU"/>
              </w:rPr>
              <w:t>In Appendix E, paragraphs E3–E7 and related headings are deleted.</w:t>
            </w:r>
          </w:p>
        </w:tc>
      </w:tr>
    </w:tbl>
    <w:p w:rsidR="005B3B28" w:rsidRPr="000F1CD0" w:rsidRDefault="005B3B28" w:rsidP="003D66C0">
      <w:pPr>
        <w:pStyle w:val="IASBSectionTitle1NonInd"/>
        <w:pBdr>
          <w:bottom w:val="none" w:sz="0" w:space="0" w:color="auto"/>
        </w:pBdr>
        <w:spacing w:before="300"/>
        <w:rPr>
          <w:lang w:val="en-AU"/>
        </w:rPr>
      </w:pPr>
      <w:r w:rsidRPr="000F1CD0">
        <w:rPr>
          <w:lang w:val="en-AU"/>
        </w:rPr>
        <w:t>Appendix E</w:t>
      </w:r>
      <w:r w:rsidRPr="000F1CD0">
        <w:rPr>
          <w:lang w:val="en-AU"/>
        </w:rPr>
        <w:br/>
      </w:r>
      <w:r w:rsidRPr="000F1CD0">
        <w:rPr>
          <w:lang w:val="en-AU"/>
        </w:rPr>
        <w:br/>
        <w:t xml:space="preserve">Short-term exemptions from </w:t>
      </w:r>
      <w:bookmarkEnd w:id="21"/>
      <w:r w:rsidR="005C476A" w:rsidRPr="000F1CD0">
        <w:rPr>
          <w:lang w:val="en-AU"/>
        </w:rPr>
        <w:t>Australian Accounting Standards</w:t>
      </w:r>
    </w:p>
    <w:p w:rsidR="005B3B28" w:rsidRPr="000F1CD0" w:rsidRDefault="005B3B28" w:rsidP="005B3B28">
      <w:pPr>
        <w:pStyle w:val="IASBNormal"/>
        <w:rPr>
          <w:lang w:val="en-AU"/>
        </w:rPr>
      </w:pPr>
      <w:bookmarkStart w:id="22" w:name="F53060969"/>
      <w:r w:rsidRPr="000F1CD0">
        <w:rPr>
          <w:i/>
          <w:lang w:val="en-AU"/>
        </w:rPr>
        <w:t xml:space="preserve">This appendix is an integral part of the </w:t>
      </w:r>
      <w:r w:rsidR="005C476A" w:rsidRPr="000F1CD0">
        <w:rPr>
          <w:i/>
          <w:lang w:val="en-AU"/>
        </w:rPr>
        <w:t>Standard</w:t>
      </w:r>
      <w:r w:rsidRPr="000F1CD0">
        <w:rPr>
          <w:i/>
          <w:lang w:val="en-AU"/>
        </w:rPr>
        <w:t>.</w:t>
      </w:r>
      <w:bookmarkEnd w:id="22"/>
    </w:p>
    <w:p w:rsidR="005B3B28" w:rsidRPr="000F1CD0" w:rsidRDefault="005B3B28" w:rsidP="005B3B28">
      <w:pPr>
        <w:pStyle w:val="IASBNormalnpara"/>
        <w:rPr>
          <w:lang w:val="en-AU"/>
        </w:rPr>
      </w:pPr>
      <w:r w:rsidRPr="000F1CD0">
        <w:rPr>
          <w:lang w:val="en-AU"/>
        </w:rPr>
        <w:lastRenderedPageBreak/>
        <w:tab/>
      </w:r>
      <w:bookmarkStart w:id="23" w:name="F53060971"/>
      <w:r w:rsidRPr="000F1CD0">
        <w:rPr>
          <w:lang w:val="en-AU"/>
        </w:rPr>
        <w:t>…</w:t>
      </w:r>
      <w:bookmarkEnd w:id="23"/>
    </w:p>
    <w:p w:rsidR="005B3B28" w:rsidRPr="000F1CD0" w:rsidRDefault="005B3B28" w:rsidP="005B3B28">
      <w:pPr>
        <w:pStyle w:val="IASBSectionTitle2Ind"/>
        <w:rPr>
          <w:lang w:val="en-AU"/>
        </w:rPr>
      </w:pPr>
      <w:bookmarkStart w:id="24" w:name="F53060973"/>
      <w:r w:rsidRPr="000F1CD0">
        <w:rPr>
          <w:strike/>
          <w:lang w:val="en-AU"/>
        </w:rPr>
        <w:t>Disclosures about financial instruments</w:t>
      </w:r>
      <w:bookmarkEnd w:id="24"/>
    </w:p>
    <w:p w:rsidR="005B3B28" w:rsidRPr="000F1CD0" w:rsidRDefault="005B3B28" w:rsidP="005B3B28">
      <w:pPr>
        <w:pStyle w:val="IASBNormalnpara"/>
        <w:rPr>
          <w:lang w:val="en-AU"/>
        </w:rPr>
      </w:pPr>
      <w:r w:rsidRPr="000F1CD0">
        <w:rPr>
          <w:lang w:val="en-AU"/>
        </w:rPr>
        <w:t>E3</w:t>
      </w:r>
      <w:r w:rsidRPr="000F1CD0">
        <w:rPr>
          <w:lang w:val="en-AU"/>
        </w:rPr>
        <w:tab/>
      </w:r>
      <w:bookmarkStart w:id="25" w:name="F53060974"/>
      <w:r w:rsidRPr="000F1CD0">
        <w:rPr>
          <w:u w:val="single"/>
          <w:lang w:val="en-AU"/>
        </w:rPr>
        <w:t>[Deleted]</w:t>
      </w:r>
      <w:r w:rsidRPr="000F1CD0">
        <w:rPr>
          <w:lang w:val="en-AU"/>
        </w:rPr>
        <w:t xml:space="preserve"> </w:t>
      </w:r>
      <w:r w:rsidR="000B2391" w:rsidRPr="000F1CD0">
        <w:rPr>
          <w:strike/>
          <w:lang w:val="en-AU"/>
        </w:rPr>
        <w:t>A first-</w:t>
      </w:r>
      <w:r w:rsidRPr="000F1CD0">
        <w:rPr>
          <w:strike/>
          <w:lang w:val="en-AU"/>
        </w:rPr>
        <w:t xml:space="preserve">time adopter may apply the transition provisions in paragraph 44G of </w:t>
      </w:r>
      <w:r w:rsidR="005C476A" w:rsidRPr="000F1CD0">
        <w:rPr>
          <w:strike/>
          <w:lang w:val="en-AU"/>
        </w:rPr>
        <w:t>AASB</w:t>
      </w:r>
      <w:r w:rsidRPr="000F1CD0">
        <w:rPr>
          <w:strike/>
          <w:lang w:val="en-AU"/>
        </w:rPr>
        <w:t xml:space="preserve"> 7</w:t>
      </w:r>
      <w:r w:rsidR="000B2391" w:rsidRPr="000F1CD0">
        <w:rPr>
          <w:strike/>
          <w:lang w:val="en-AU"/>
        </w:rPr>
        <w:t xml:space="preserve"> (issued in 2005)</w:t>
      </w:r>
      <w:r w:rsidRPr="000F1CD0">
        <w:rPr>
          <w:strike/>
          <w:lang w:val="en-AU"/>
        </w:rPr>
        <w:t>.</w:t>
      </w:r>
      <w:r w:rsidR="00142FE9" w:rsidRPr="000F1CD0">
        <w:rPr>
          <w:strike/>
          <w:vertAlign w:val="superscript"/>
          <w:lang w:val="en-AU"/>
        </w:rPr>
        <w:t>3</w:t>
      </w:r>
      <w:bookmarkEnd w:id="25"/>
    </w:p>
    <w:p w:rsidR="005B3B28" w:rsidRPr="000F1CD0" w:rsidRDefault="00142FE9" w:rsidP="005B3B28">
      <w:pPr>
        <w:pStyle w:val="IASBNormalnparaL1"/>
        <w:rPr>
          <w:lang w:val="en-AU"/>
        </w:rPr>
      </w:pPr>
      <w:r w:rsidRPr="000F1CD0">
        <w:rPr>
          <w:strike/>
          <w:lang w:val="en-AU"/>
        </w:rPr>
        <w:t>3</w:t>
      </w:r>
      <w:r w:rsidR="005B3B28" w:rsidRPr="000F1CD0">
        <w:rPr>
          <w:lang w:val="en-AU"/>
        </w:rPr>
        <w:tab/>
      </w:r>
      <w:bookmarkStart w:id="26" w:name="F53060976"/>
      <w:r w:rsidR="005B3B28" w:rsidRPr="000F1CD0">
        <w:rPr>
          <w:strike/>
          <w:lang w:val="en-AU"/>
        </w:rPr>
        <w:t xml:space="preserve">Paragraph E3 was added as a consequence </w:t>
      </w:r>
      <w:r w:rsidR="005C476A" w:rsidRPr="000F1CD0">
        <w:rPr>
          <w:strike/>
          <w:lang w:val="en-AU"/>
        </w:rPr>
        <w:t xml:space="preserve">AASB 2010-1 </w:t>
      </w:r>
      <w:r w:rsidR="005C476A" w:rsidRPr="000F1CD0">
        <w:rPr>
          <w:i/>
          <w:strike/>
          <w:lang w:val="en-AU"/>
        </w:rPr>
        <w:t>Amendments to Australian Accounting Standards – Limited Exemption from Comparative AASB 7 Disclosures for First-time Adopters</w:t>
      </w:r>
      <w:r w:rsidR="005C476A" w:rsidRPr="000F1CD0">
        <w:rPr>
          <w:strike/>
          <w:lang w:val="en-AU"/>
        </w:rPr>
        <w:t xml:space="preserve"> issued in February 2010</w:t>
      </w:r>
      <w:r w:rsidR="005B3B28" w:rsidRPr="000F1CD0">
        <w:rPr>
          <w:strike/>
          <w:lang w:val="en-AU"/>
        </w:rPr>
        <w:t xml:space="preserve">. To avoid the potential use of hindsight and to ensure that first-time adopters are not disadvantaged as compared with current </w:t>
      </w:r>
      <w:r w:rsidR="005C476A" w:rsidRPr="000F1CD0">
        <w:rPr>
          <w:strike/>
          <w:lang w:val="en-AU"/>
        </w:rPr>
        <w:t xml:space="preserve">Australian-Accounting-Standards </w:t>
      </w:r>
      <w:r w:rsidR="005B3B28" w:rsidRPr="000F1CD0">
        <w:rPr>
          <w:strike/>
          <w:lang w:val="en-AU"/>
        </w:rPr>
        <w:t xml:space="preserve"> preparers, the Board decided that first-time adopters should be permitted to use the same transition provisions permitted for existing preparers of financial statements prepared in accordance with </w:t>
      </w:r>
      <w:r w:rsidR="005C476A" w:rsidRPr="000F1CD0">
        <w:rPr>
          <w:strike/>
          <w:lang w:val="en-AU"/>
        </w:rPr>
        <w:t>Australian Accounting Standards</w:t>
      </w:r>
      <w:r w:rsidR="005B3B28" w:rsidRPr="000F1CD0">
        <w:rPr>
          <w:strike/>
          <w:lang w:val="en-AU"/>
        </w:rPr>
        <w:t xml:space="preserve"> that are included in </w:t>
      </w:r>
      <w:r w:rsidR="005C476A" w:rsidRPr="000F1CD0">
        <w:rPr>
          <w:strike/>
          <w:lang w:val="en-AU"/>
        </w:rPr>
        <w:t xml:space="preserve">AASB 2009-2 </w:t>
      </w:r>
      <w:r w:rsidR="005C476A" w:rsidRPr="000F1CD0">
        <w:rPr>
          <w:i/>
          <w:strike/>
          <w:lang w:val="en-AU"/>
        </w:rPr>
        <w:t>Amendments to Australian Accounting Standards – Improving Disclosures about Financial Instruments</w:t>
      </w:r>
      <w:r w:rsidR="005B3B28" w:rsidRPr="000F1CD0">
        <w:rPr>
          <w:strike/>
          <w:lang w:val="en-AU"/>
        </w:rPr>
        <w:t>.</w:t>
      </w:r>
      <w:bookmarkEnd w:id="26"/>
    </w:p>
    <w:p w:rsidR="005B3B28" w:rsidRPr="000F1CD0" w:rsidRDefault="005B3B28" w:rsidP="005B3B28">
      <w:pPr>
        <w:pStyle w:val="IASBNormalnpara"/>
        <w:rPr>
          <w:lang w:val="en-AU"/>
        </w:rPr>
      </w:pPr>
      <w:r w:rsidRPr="000F1CD0">
        <w:rPr>
          <w:lang w:val="en-AU"/>
        </w:rPr>
        <w:t>E4</w:t>
      </w:r>
      <w:r w:rsidRPr="000F1CD0">
        <w:rPr>
          <w:lang w:val="en-AU"/>
        </w:rPr>
        <w:tab/>
      </w:r>
      <w:bookmarkStart w:id="27" w:name="F53060980"/>
      <w:r w:rsidRPr="000F1CD0">
        <w:rPr>
          <w:u w:val="single"/>
          <w:lang w:val="en-AU"/>
        </w:rPr>
        <w:t>[Deleted]</w:t>
      </w:r>
      <w:r w:rsidRPr="000F1CD0">
        <w:rPr>
          <w:lang w:val="en-AU"/>
        </w:rPr>
        <w:t xml:space="preserve"> </w:t>
      </w:r>
      <w:r w:rsidRPr="000F1CD0">
        <w:rPr>
          <w:strike/>
          <w:lang w:val="en-AU"/>
        </w:rPr>
        <w:t xml:space="preserve">A first-time adopter may apply the transition provisions in paragraph 44M of </w:t>
      </w:r>
      <w:r w:rsidR="005C476A" w:rsidRPr="000F1CD0">
        <w:rPr>
          <w:strike/>
          <w:lang w:val="en-AU"/>
        </w:rPr>
        <w:t>AASB</w:t>
      </w:r>
      <w:r w:rsidRPr="000F1CD0">
        <w:rPr>
          <w:strike/>
          <w:lang w:val="en-AU"/>
        </w:rPr>
        <w:t xml:space="preserve"> 7</w:t>
      </w:r>
      <w:r w:rsidR="000B2391" w:rsidRPr="000F1CD0">
        <w:rPr>
          <w:strike/>
          <w:lang w:val="en-AU"/>
        </w:rPr>
        <w:t xml:space="preserve"> (issued in 2005)</w:t>
      </w:r>
      <w:r w:rsidRPr="000F1CD0">
        <w:rPr>
          <w:strike/>
          <w:lang w:val="en-AU"/>
        </w:rPr>
        <w:t>.</w:t>
      </w:r>
      <w:bookmarkEnd w:id="27"/>
      <w:r w:rsidR="000B2391" w:rsidRPr="000F1CD0">
        <w:rPr>
          <w:strike/>
          <w:vertAlign w:val="superscript"/>
          <w:lang w:val="en-AU"/>
        </w:rPr>
        <w:t>4</w:t>
      </w:r>
    </w:p>
    <w:p w:rsidR="005B3B28" w:rsidRPr="000F1CD0" w:rsidRDefault="00F7179D" w:rsidP="005B3B28">
      <w:pPr>
        <w:pStyle w:val="IASBNormalnparaL1"/>
        <w:rPr>
          <w:lang w:val="en-AU"/>
        </w:rPr>
      </w:pPr>
      <w:r w:rsidRPr="000F1CD0">
        <w:rPr>
          <w:strike/>
          <w:lang w:val="en-AU"/>
        </w:rPr>
        <w:t>4</w:t>
      </w:r>
      <w:r w:rsidR="005B3B28" w:rsidRPr="000F1CD0">
        <w:rPr>
          <w:lang w:val="en-AU"/>
        </w:rPr>
        <w:tab/>
      </w:r>
      <w:bookmarkStart w:id="28" w:name="F53060982"/>
      <w:r w:rsidR="005B3B28" w:rsidRPr="000F1CD0">
        <w:rPr>
          <w:strike/>
          <w:lang w:val="en-AU"/>
        </w:rPr>
        <w:t xml:space="preserve">Paragraph E4 was added as a consequence of </w:t>
      </w:r>
      <w:r w:rsidR="005C476A" w:rsidRPr="000F1CD0">
        <w:rPr>
          <w:strike/>
          <w:lang w:val="en-AU"/>
        </w:rPr>
        <w:t xml:space="preserve">AASB 2010-6 </w:t>
      </w:r>
      <w:r w:rsidR="005C476A" w:rsidRPr="000F1CD0">
        <w:rPr>
          <w:i/>
          <w:strike/>
          <w:lang w:val="en-AU"/>
        </w:rPr>
        <w:t>Amendments to Australian Accounting Standards – Disclosures on Transfers of Financial Assets</w:t>
      </w:r>
      <w:r w:rsidR="005C476A" w:rsidRPr="000F1CD0">
        <w:rPr>
          <w:strike/>
          <w:lang w:val="en-AU"/>
        </w:rPr>
        <w:t xml:space="preserve"> issued in November 2010</w:t>
      </w:r>
      <w:r w:rsidR="005B3B28" w:rsidRPr="000F1CD0">
        <w:rPr>
          <w:strike/>
          <w:lang w:val="en-AU"/>
        </w:rPr>
        <w:t>. To avoid the potential use of hindsight and to ensure that first-time adopters are not disadvantag</w:t>
      </w:r>
      <w:r w:rsidR="000B2391" w:rsidRPr="000F1CD0">
        <w:rPr>
          <w:strike/>
          <w:lang w:val="en-AU"/>
        </w:rPr>
        <w:t>ed as compared with current Australian-Accounting-Standards</w:t>
      </w:r>
      <w:r w:rsidR="005B3B28" w:rsidRPr="000F1CD0">
        <w:rPr>
          <w:strike/>
          <w:lang w:val="en-AU"/>
        </w:rPr>
        <w:t xml:space="preserve"> </w:t>
      </w:r>
      <w:r w:rsidR="004A1503" w:rsidRPr="000F1CD0">
        <w:rPr>
          <w:strike/>
          <w:lang w:val="en-AU"/>
        </w:rPr>
        <w:t xml:space="preserve">financial statements </w:t>
      </w:r>
      <w:r w:rsidR="005B3B28" w:rsidRPr="000F1CD0">
        <w:rPr>
          <w:strike/>
          <w:lang w:val="en-AU"/>
        </w:rPr>
        <w:t xml:space="preserve">preparers, the Board decided that first-time adopters should be permitted to use the same transition provisions permitted for existing preparers of financial statements prepared in accordance with </w:t>
      </w:r>
      <w:r w:rsidR="005C476A" w:rsidRPr="000F1CD0">
        <w:rPr>
          <w:strike/>
          <w:lang w:val="en-AU"/>
        </w:rPr>
        <w:t xml:space="preserve">Australian Accounting Standards that are included in AASB 2010-6 </w:t>
      </w:r>
      <w:r w:rsidR="005C476A" w:rsidRPr="000F1CD0">
        <w:rPr>
          <w:i/>
          <w:strike/>
          <w:lang w:val="en-AU"/>
        </w:rPr>
        <w:t>Amendments to Australian Accounting Standards – Disclosures on Transfers of Financial Assets</w:t>
      </w:r>
      <w:r w:rsidR="005B3B28" w:rsidRPr="000F1CD0">
        <w:rPr>
          <w:strike/>
          <w:lang w:val="en-AU"/>
        </w:rPr>
        <w:t>.</w:t>
      </w:r>
      <w:bookmarkEnd w:id="28"/>
    </w:p>
    <w:p w:rsidR="005B3B28" w:rsidRPr="000F1CD0" w:rsidRDefault="005B3B28" w:rsidP="005B3B28">
      <w:pPr>
        <w:pStyle w:val="IASBNormalnpara"/>
        <w:rPr>
          <w:lang w:val="en-AU"/>
        </w:rPr>
      </w:pPr>
      <w:r w:rsidRPr="000F1CD0">
        <w:rPr>
          <w:lang w:val="en-AU"/>
        </w:rPr>
        <w:t>E4A</w:t>
      </w:r>
      <w:r w:rsidRPr="000F1CD0">
        <w:rPr>
          <w:lang w:val="en-AU"/>
        </w:rPr>
        <w:tab/>
      </w:r>
      <w:bookmarkStart w:id="29" w:name="F53060986"/>
      <w:r w:rsidRPr="000F1CD0">
        <w:rPr>
          <w:u w:val="single"/>
          <w:lang w:val="en-AU"/>
        </w:rPr>
        <w:t>[Deleted]</w:t>
      </w:r>
      <w:r w:rsidRPr="000F1CD0">
        <w:rPr>
          <w:lang w:val="en-AU"/>
        </w:rPr>
        <w:t xml:space="preserve"> </w:t>
      </w:r>
      <w:r w:rsidRPr="000F1CD0">
        <w:rPr>
          <w:strike/>
          <w:lang w:val="en-AU"/>
        </w:rPr>
        <w:t xml:space="preserve">A first-time adopter may apply the transition provisions in paragraph 44AA of </w:t>
      </w:r>
      <w:r w:rsidR="005C476A" w:rsidRPr="000F1CD0">
        <w:rPr>
          <w:strike/>
          <w:lang w:val="en-AU"/>
        </w:rPr>
        <w:t>AASB</w:t>
      </w:r>
      <w:r w:rsidRPr="000F1CD0">
        <w:rPr>
          <w:strike/>
          <w:lang w:val="en-AU"/>
        </w:rPr>
        <w:t xml:space="preserve"> 7.</w:t>
      </w:r>
      <w:bookmarkEnd w:id="29"/>
    </w:p>
    <w:p w:rsidR="005B3B28" w:rsidRPr="000F1CD0" w:rsidRDefault="005B3B28" w:rsidP="005B3B28">
      <w:pPr>
        <w:pStyle w:val="IASBSectionTitle2Ind"/>
        <w:rPr>
          <w:lang w:val="en-AU"/>
        </w:rPr>
      </w:pPr>
      <w:bookmarkStart w:id="30" w:name="F53060988"/>
      <w:r w:rsidRPr="000F1CD0">
        <w:rPr>
          <w:strike/>
          <w:lang w:val="en-AU"/>
        </w:rPr>
        <w:t>Employee benefits</w:t>
      </w:r>
      <w:bookmarkEnd w:id="30"/>
    </w:p>
    <w:p w:rsidR="005B3B28" w:rsidRPr="000F1CD0" w:rsidRDefault="005B3B28" w:rsidP="005B3B28">
      <w:pPr>
        <w:pStyle w:val="IASBNormalnpara"/>
        <w:rPr>
          <w:lang w:val="en-AU"/>
        </w:rPr>
      </w:pPr>
      <w:r w:rsidRPr="000F1CD0">
        <w:rPr>
          <w:lang w:val="en-AU"/>
        </w:rPr>
        <w:t>E5</w:t>
      </w:r>
      <w:r w:rsidRPr="000F1CD0">
        <w:rPr>
          <w:lang w:val="en-AU"/>
        </w:rPr>
        <w:tab/>
      </w:r>
      <w:bookmarkStart w:id="31" w:name="F53060989"/>
      <w:r w:rsidRPr="000F1CD0">
        <w:rPr>
          <w:u w:val="single"/>
          <w:lang w:val="en-AU"/>
        </w:rPr>
        <w:t>[Deleted]</w:t>
      </w:r>
      <w:r w:rsidRPr="000F1CD0">
        <w:rPr>
          <w:lang w:val="en-AU"/>
        </w:rPr>
        <w:t xml:space="preserve"> </w:t>
      </w:r>
      <w:r w:rsidRPr="000F1CD0">
        <w:rPr>
          <w:strike/>
          <w:lang w:val="en-AU"/>
        </w:rPr>
        <w:t xml:space="preserve">A first-time adopter may apply the transition provisions in paragraph 173(b) of </w:t>
      </w:r>
      <w:r w:rsidR="005C476A" w:rsidRPr="000F1CD0">
        <w:rPr>
          <w:strike/>
          <w:lang w:val="en-AU"/>
        </w:rPr>
        <w:t>AASB</w:t>
      </w:r>
      <w:r w:rsidRPr="000F1CD0">
        <w:rPr>
          <w:strike/>
          <w:lang w:val="en-AU"/>
        </w:rPr>
        <w:t xml:space="preserve"> </w:t>
      </w:r>
      <w:r w:rsidR="005C476A" w:rsidRPr="000F1CD0">
        <w:rPr>
          <w:strike/>
          <w:lang w:val="en-AU"/>
        </w:rPr>
        <w:t>1</w:t>
      </w:r>
      <w:r w:rsidRPr="000F1CD0">
        <w:rPr>
          <w:strike/>
          <w:lang w:val="en-AU"/>
        </w:rPr>
        <w:t>19.</w:t>
      </w:r>
      <w:bookmarkEnd w:id="31"/>
    </w:p>
    <w:p w:rsidR="005B3B28" w:rsidRPr="000F1CD0" w:rsidRDefault="005B3B28" w:rsidP="005B3B28">
      <w:pPr>
        <w:pStyle w:val="IASBSectionTitle2Ind"/>
        <w:rPr>
          <w:lang w:val="en-AU"/>
        </w:rPr>
      </w:pPr>
      <w:bookmarkStart w:id="32" w:name="F53060991"/>
      <w:r w:rsidRPr="000F1CD0">
        <w:rPr>
          <w:strike/>
          <w:lang w:val="en-AU"/>
        </w:rPr>
        <w:t>Investment entities</w:t>
      </w:r>
      <w:bookmarkEnd w:id="32"/>
    </w:p>
    <w:p w:rsidR="005B3B28" w:rsidRPr="000F1CD0" w:rsidRDefault="005B3B28" w:rsidP="005B3B28">
      <w:pPr>
        <w:pStyle w:val="IASBNormalnpara"/>
        <w:rPr>
          <w:lang w:val="en-AU"/>
        </w:rPr>
      </w:pPr>
      <w:r w:rsidRPr="000F1CD0">
        <w:rPr>
          <w:lang w:val="en-AU"/>
        </w:rPr>
        <w:t>E6</w:t>
      </w:r>
      <w:r w:rsidRPr="000F1CD0">
        <w:rPr>
          <w:lang w:val="en-AU"/>
        </w:rPr>
        <w:tab/>
      </w:r>
      <w:bookmarkStart w:id="33" w:name="F53060992"/>
      <w:r w:rsidRPr="000F1CD0">
        <w:rPr>
          <w:u w:val="single"/>
          <w:lang w:val="en-AU"/>
        </w:rPr>
        <w:t>[Deleted]</w:t>
      </w:r>
      <w:r w:rsidRPr="000F1CD0">
        <w:rPr>
          <w:lang w:val="en-AU"/>
        </w:rPr>
        <w:t xml:space="preserve"> </w:t>
      </w:r>
      <w:r w:rsidRPr="000F1CD0">
        <w:rPr>
          <w:strike/>
          <w:lang w:val="en-AU"/>
        </w:rPr>
        <w:t xml:space="preserve">A first-time adopter that is a parent shall assess whether it is an investment entity, as defined in </w:t>
      </w:r>
      <w:r w:rsidR="005C476A" w:rsidRPr="000F1CD0">
        <w:rPr>
          <w:strike/>
          <w:lang w:val="en-AU"/>
        </w:rPr>
        <w:t>AASB</w:t>
      </w:r>
      <w:r w:rsidRPr="000F1CD0">
        <w:rPr>
          <w:strike/>
          <w:lang w:val="en-AU"/>
        </w:rPr>
        <w:t xml:space="preserve"> 10, on the basis of the facts and circumstances that exist at the date of transition to </w:t>
      </w:r>
      <w:r w:rsidR="005C476A" w:rsidRPr="000F1CD0">
        <w:rPr>
          <w:strike/>
          <w:lang w:val="en-AU"/>
        </w:rPr>
        <w:t>Australian Accounting Standards</w:t>
      </w:r>
      <w:r w:rsidRPr="000F1CD0">
        <w:rPr>
          <w:strike/>
          <w:lang w:val="en-AU"/>
        </w:rPr>
        <w:t>.</w:t>
      </w:r>
      <w:bookmarkEnd w:id="33"/>
    </w:p>
    <w:p w:rsidR="00B20BF8" w:rsidRPr="000F1CD0" w:rsidRDefault="005B3B28" w:rsidP="005B3B28">
      <w:pPr>
        <w:pStyle w:val="IASBNormalnpara"/>
        <w:rPr>
          <w:strike/>
          <w:lang w:val="en-AU"/>
        </w:rPr>
      </w:pPr>
      <w:r w:rsidRPr="000F1CD0">
        <w:rPr>
          <w:lang w:val="en-AU"/>
        </w:rPr>
        <w:t>E7</w:t>
      </w:r>
      <w:r w:rsidRPr="000F1CD0">
        <w:rPr>
          <w:lang w:val="en-AU"/>
        </w:rPr>
        <w:tab/>
      </w:r>
      <w:bookmarkStart w:id="34" w:name="F53060993"/>
      <w:r w:rsidRPr="000F1CD0">
        <w:rPr>
          <w:u w:val="single"/>
          <w:lang w:val="en-AU"/>
        </w:rPr>
        <w:t>[Deleted]</w:t>
      </w:r>
      <w:r w:rsidRPr="000F1CD0">
        <w:rPr>
          <w:lang w:val="en-AU"/>
        </w:rPr>
        <w:t xml:space="preserve"> </w:t>
      </w:r>
      <w:r w:rsidRPr="000F1CD0">
        <w:rPr>
          <w:strike/>
          <w:lang w:val="en-AU"/>
        </w:rPr>
        <w:t xml:space="preserve">A first-time adopter that is an investment entity, as defined in </w:t>
      </w:r>
      <w:r w:rsidR="005C476A" w:rsidRPr="000F1CD0">
        <w:rPr>
          <w:strike/>
          <w:lang w:val="en-AU"/>
        </w:rPr>
        <w:t>AASB</w:t>
      </w:r>
      <w:r w:rsidRPr="000F1CD0">
        <w:rPr>
          <w:strike/>
          <w:lang w:val="en-AU"/>
        </w:rPr>
        <w:t xml:space="preserve"> 10, may apply the transition provisions in paragraphs C3C–C3D of </w:t>
      </w:r>
      <w:r w:rsidR="005C476A" w:rsidRPr="000F1CD0">
        <w:rPr>
          <w:strike/>
          <w:lang w:val="en-AU"/>
        </w:rPr>
        <w:t>AASB</w:t>
      </w:r>
      <w:r w:rsidRPr="000F1CD0">
        <w:rPr>
          <w:strike/>
          <w:lang w:val="en-AU"/>
        </w:rPr>
        <w:t xml:space="preserve"> 10 and paragraphs 18C–18G of </w:t>
      </w:r>
      <w:r w:rsidR="005C476A" w:rsidRPr="000F1CD0">
        <w:rPr>
          <w:strike/>
          <w:lang w:val="en-AU"/>
        </w:rPr>
        <w:t>AASB</w:t>
      </w:r>
      <w:r w:rsidRPr="000F1CD0">
        <w:rPr>
          <w:strike/>
          <w:lang w:val="en-AU"/>
        </w:rPr>
        <w:t xml:space="preserve"> </w:t>
      </w:r>
      <w:r w:rsidR="005C476A" w:rsidRPr="000F1CD0">
        <w:rPr>
          <w:strike/>
          <w:lang w:val="en-AU"/>
        </w:rPr>
        <w:t>1</w:t>
      </w:r>
      <w:r w:rsidRPr="000F1CD0">
        <w:rPr>
          <w:strike/>
          <w:lang w:val="en-AU"/>
        </w:rPr>
        <w:t xml:space="preserve">27 if its first </w:t>
      </w:r>
      <w:r w:rsidR="005C476A" w:rsidRPr="000F1CD0">
        <w:rPr>
          <w:strike/>
          <w:lang w:val="en-AU"/>
        </w:rPr>
        <w:t>Australian-Accounting-Standards</w:t>
      </w:r>
      <w:r w:rsidRPr="000F1CD0">
        <w:rPr>
          <w:strike/>
          <w:lang w:val="en-AU"/>
        </w:rPr>
        <w:t xml:space="preserve"> financial statements are for an annual period ending on or before 31 December 2014. The references in those paragraphs to the annual period that immediately precedes the date of initial application shall be read as the earliest annual period presented. Consequently, the references in those paragraphs shall be read as the date of transition to </w:t>
      </w:r>
      <w:r w:rsidR="005C476A" w:rsidRPr="000F1CD0">
        <w:rPr>
          <w:strike/>
          <w:lang w:val="en-AU"/>
        </w:rPr>
        <w:t>Australian Accounting Standards</w:t>
      </w:r>
      <w:r w:rsidRPr="000F1CD0">
        <w:rPr>
          <w:strike/>
          <w:lang w:val="en-AU"/>
        </w:rPr>
        <w:t>.</w:t>
      </w:r>
      <w:bookmarkEnd w:id="34"/>
    </w:p>
    <w:p w:rsidR="00485D3C" w:rsidRPr="000F1CD0" w:rsidRDefault="00485D3C" w:rsidP="004A1503">
      <w:pPr>
        <w:pStyle w:val="IASBSectionTitle1NonInd"/>
        <w:rPr>
          <w:lang w:val="en-AU"/>
        </w:rPr>
      </w:pPr>
      <w:r w:rsidRPr="000F1CD0">
        <w:rPr>
          <w:lang w:val="en-AU"/>
        </w:rPr>
        <w:t>Amendments to AASB 1</w:t>
      </w:r>
      <w:r w:rsidR="005B3B28" w:rsidRPr="000F1CD0">
        <w:rPr>
          <w:lang w:val="en-AU"/>
        </w:rPr>
        <w:t>28</w:t>
      </w:r>
    </w:p>
    <w:tbl>
      <w:tblPr>
        <w:tblW w:w="0" w:type="auto"/>
        <w:tblLayout w:type="fixed"/>
        <w:tblCellMar>
          <w:top w:w="85" w:type="dxa"/>
          <w:bottom w:w="85" w:type="dxa"/>
        </w:tblCellMar>
        <w:tblLook w:val="0000" w:firstRow="0" w:lastRow="0" w:firstColumn="0" w:lastColumn="0" w:noHBand="0" w:noVBand="0"/>
        <w:tblCaption w:val="Amendment instructions"/>
      </w:tblPr>
      <w:tblGrid>
        <w:gridCol w:w="9208"/>
      </w:tblGrid>
      <w:tr w:rsidR="003C6090" w:rsidRPr="000F1CD0" w:rsidTr="003D66C0">
        <w:trPr>
          <w:cantSplit/>
        </w:trPr>
        <w:tc>
          <w:tcPr>
            <w:tcW w:w="9208" w:type="dxa"/>
            <w:tcBorders>
              <w:top w:val="single" w:sz="4" w:space="0" w:color="auto"/>
              <w:left w:val="single" w:sz="4" w:space="0" w:color="auto"/>
              <w:bottom w:val="single" w:sz="4" w:space="0" w:color="auto"/>
              <w:right w:val="single" w:sz="4" w:space="0" w:color="auto"/>
            </w:tcBorders>
            <w:vAlign w:val="center"/>
          </w:tcPr>
          <w:p w:rsidR="003C6090" w:rsidRPr="000F1CD0" w:rsidRDefault="003C6090" w:rsidP="003D66C0">
            <w:pPr>
              <w:pStyle w:val="IASBTableArial"/>
              <w:spacing w:before="0"/>
              <w:rPr>
                <w:lang w:val="en-AU"/>
              </w:rPr>
            </w:pPr>
            <w:r w:rsidRPr="000F1CD0">
              <w:rPr>
                <w:lang w:val="en-AU"/>
              </w:rPr>
              <w:t>Paragraphs 18 and 36A are amended and paragraph 45E is added. Deleted text is struck through and new text is underlined.</w:t>
            </w:r>
          </w:p>
        </w:tc>
      </w:tr>
    </w:tbl>
    <w:p w:rsidR="003C6090" w:rsidRPr="000F1CD0" w:rsidRDefault="003C6090" w:rsidP="003C6090">
      <w:pPr>
        <w:pStyle w:val="IASBSectionTitle2Ind"/>
        <w:rPr>
          <w:lang w:val="en-AU"/>
        </w:rPr>
      </w:pPr>
      <w:bookmarkStart w:id="35" w:name="F53061073"/>
      <w:r w:rsidRPr="000F1CD0">
        <w:rPr>
          <w:lang w:val="en-AU"/>
        </w:rPr>
        <w:t>Exemptions from applying the equity method</w:t>
      </w:r>
      <w:bookmarkEnd w:id="35"/>
    </w:p>
    <w:p w:rsidR="003C6090" w:rsidRPr="000F1CD0" w:rsidRDefault="003C6090" w:rsidP="003C6090">
      <w:pPr>
        <w:pStyle w:val="IASBNormalnpara"/>
        <w:rPr>
          <w:lang w:val="en-AU"/>
        </w:rPr>
      </w:pPr>
      <w:r w:rsidRPr="000F1CD0">
        <w:rPr>
          <w:lang w:val="en-AU"/>
        </w:rPr>
        <w:tab/>
      </w:r>
      <w:bookmarkStart w:id="36" w:name="F53061074"/>
      <w:r w:rsidRPr="000F1CD0">
        <w:rPr>
          <w:lang w:val="en-AU"/>
        </w:rPr>
        <w:t>...</w:t>
      </w:r>
      <w:r w:rsidRPr="000F1CD0">
        <w:rPr>
          <w:rFonts w:ascii="Cambria Math" w:hAnsi="Cambria Math" w:cs="Cambria Math"/>
          <w:lang w:val="en-AU"/>
        </w:rPr>
        <w:t> </w:t>
      </w:r>
      <w:bookmarkEnd w:id="36"/>
    </w:p>
    <w:p w:rsidR="003C6090" w:rsidRPr="000F1CD0" w:rsidRDefault="003C6090" w:rsidP="003C6090">
      <w:pPr>
        <w:pStyle w:val="IASBNormalnpara"/>
        <w:rPr>
          <w:lang w:val="en-AU"/>
        </w:rPr>
      </w:pPr>
      <w:r w:rsidRPr="000F1CD0">
        <w:rPr>
          <w:lang w:val="en-AU"/>
        </w:rPr>
        <w:t>18</w:t>
      </w:r>
      <w:r w:rsidRPr="000F1CD0">
        <w:rPr>
          <w:lang w:val="en-AU"/>
        </w:rPr>
        <w:tab/>
      </w:r>
      <w:bookmarkStart w:id="37" w:name="F53061075"/>
      <w:r w:rsidRPr="000F1CD0">
        <w:rPr>
          <w:lang w:val="en-AU"/>
        </w:rPr>
        <w:t xml:space="preserve">When an investment in an associate or a joint venture is held by, or is held indirectly through, an entity that is a venture capital organisation, or a mutual fund, unit trust and similar entities including investment-linked insurance funds, the entity may elect to measure </w:t>
      </w:r>
      <w:r w:rsidRPr="000F1CD0">
        <w:rPr>
          <w:u w:val="single"/>
          <w:lang w:val="en-AU"/>
        </w:rPr>
        <w:t>that</w:t>
      </w:r>
      <w:r w:rsidRPr="000F1CD0">
        <w:rPr>
          <w:lang w:val="en-AU"/>
        </w:rPr>
        <w:t xml:space="preserve"> investment</w:t>
      </w:r>
      <w:r w:rsidRPr="000F1CD0">
        <w:rPr>
          <w:strike/>
          <w:lang w:val="en-AU"/>
        </w:rPr>
        <w:t>s in those associates and joint ventures</w:t>
      </w:r>
      <w:r w:rsidRPr="000F1CD0">
        <w:rPr>
          <w:lang w:val="en-AU"/>
        </w:rPr>
        <w:t xml:space="preserve"> at fair value through profit or loss in accordance with </w:t>
      </w:r>
      <w:r w:rsidR="00D044AF" w:rsidRPr="000F1CD0">
        <w:rPr>
          <w:lang w:val="en-AU"/>
        </w:rPr>
        <w:t>AASB</w:t>
      </w:r>
      <w:r w:rsidRPr="000F1CD0">
        <w:rPr>
          <w:lang w:val="en-AU"/>
        </w:rPr>
        <w:t xml:space="preserve"> 9. </w:t>
      </w:r>
      <w:r w:rsidRPr="000F1CD0">
        <w:rPr>
          <w:u w:val="single"/>
          <w:lang w:val="en-AU"/>
        </w:rPr>
        <w:t>An entity shall make this election separately for each associate or joint venture, at initial recognition of the associate or joint venture.</w:t>
      </w:r>
      <w:bookmarkEnd w:id="37"/>
    </w:p>
    <w:p w:rsidR="003C6090" w:rsidRPr="000F1CD0" w:rsidRDefault="003C6090" w:rsidP="003C6090">
      <w:pPr>
        <w:pStyle w:val="IASBNormalnpara"/>
        <w:rPr>
          <w:lang w:val="en-AU"/>
        </w:rPr>
      </w:pPr>
      <w:r w:rsidRPr="000F1CD0">
        <w:rPr>
          <w:lang w:val="en-AU"/>
        </w:rPr>
        <w:tab/>
      </w:r>
      <w:bookmarkStart w:id="38" w:name="F53061076"/>
      <w:r w:rsidRPr="000F1CD0">
        <w:rPr>
          <w:lang w:val="en-AU"/>
        </w:rPr>
        <w:t>…</w:t>
      </w:r>
      <w:bookmarkEnd w:id="38"/>
    </w:p>
    <w:p w:rsidR="003C6090" w:rsidRPr="000F1CD0" w:rsidRDefault="003C6090" w:rsidP="003C6090">
      <w:pPr>
        <w:pStyle w:val="IASBSectionTitle2Ind"/>
        <w:rPr>
          <w:lang w:val="en-AU"/>
        </w:rPr>
      </w:pPr>
      <w:bookmarkStart w:id="39" w:name="F53061078"/>
      <w:r w:rsidRPr="000F1CD0">
        <w:rPr>
          <w:lang w:val="en-AU"/>
        </w:rPr>
        <w:lastRenderedPageBreak/>
        <w:t>Equity method procedures</w:t>
      </w:r>
      <w:bookmarkEnd w:id="39"/>
    </w:p>
    <w:p w:rsidR="003C6090" w:rsidRPr="000F1CD0" w:rsidRDefault="003C6090" w:rsidP="003C6090">
      <w:pPr>
        <w:pStyle w:val="IASBNormalnpara"/>
        <w:rPr>
          <w:lang w:val="en-AU"/>
        </w:rPr>
      </w:pPr>
      <w:r w:rsidRPr="000F1CD0">
        <w:rPr>
          <w:lang w:val="en-AU"/>
        </w:rPr>
        <w:tab/>
      </w:r>
      <w:bookmarkStart w:id="40" w:name="F53061079"/>
      <w:r w:rsidRPr="000F1CD0">
        <w:rPr>
          <w:lang w:val="en-AU"/>
        </w:rPr>
        <w:t>…</w:t>
      </w:r>
      <w:bookmarkEnd w:id="40"/>
    </w:p>
    <w:p w:rsidR="003C6090" w:rsidRPr="000F1CD0" w:rsidRDefault="003C6090" w:rsidP="003C6090">
      <w:pPr>
        <w:pStyle w:val="IASBNormalnpara"/>
        <w:rPr>
          <w:lang w:val="en-AU"/>
        </w:rPr>
      </w:pPr>
      <w:r w:rsidRPr="000F1CD0">
        <w:rPr>
          <w:lang w:val="en-AU"/>
        </w:rPr>
        <w:t>36A</w:t>
      </w:r>
      <w:r w:rsidRPr="000F1CD0">
        <w:rPr>
          <w:lang w:val="en-AU"/>
        </w:rPr>
        <w:tab/>
      </w:r>
      <w:bookmarkStart w:id="41" w:name="F53061080"/>
      <w:r w:rsidRPr="000F1CD0">
        <w:rPr>
          <w:lang w:val="en-AU"/>
        </w:rPr>
        <w:t xml:space="preserve">Notwithstanding the requirement in paragraph 36, if an entity that is not itself an investment entity has an interest in an associate or joint venture that is an investment entity, the entity may, when applying the equity method, </w:t>
      </w:r>
      <w:r w:rsidRPr="000F1CD0">
        <w:rPr>
          <w:u w:val="single"/>
          <w:lang w:val="en-AU"/>
        </w:rPr>
        <w:t>elect to</w:t>
      </w:r>
      <w:r w:rsidRPr="000F1CD0">
        <w:rPr>
          <w:lang w:val="en-AU"/>
        </w:rPr>
        <w:t xml:space="preserve"> retain the fair value measurement applied by that investment entity associate or joint venture to the investment entity associate’s or joint venture’s interests in subsidiaries. </w:t>
      </w:r>
      <w:r w:rsidRPr="000F1CD0">
        <w:rPr>
          <w:u w:val="single"/>
          <w:lang w:val="en-AU"/>
        </w:rPr>
        <w:t>This election is made separately for each investment entity associate or joint venture, at the later of the date on which (a) the investment entity associate or joint venture is initially recognised; (b) the associate or joint venture becomes an investment entity; and (c) the investment entity associate or joint venture first becomes a parent.</w:t>
      </w:r>
      <w:bookmarkEnd w:id="41"/>
    </w:p>
    <w:p w:rsidR="003C6090" w:rsidRPr="000F1CD0" w:rsidRDefault="003C6090" w:rsidP="003C6090">
      <w:pPr>
        <w:pStyle w:val="IASBNormalnpara"/>
        <w:rPr>
          <w:lang w:val="en-AU"/>
        </w:rPr>
      </w:pPr>
      <w:r w:rsidRPr="000F1CD0">
        <w:rPr>
          <w:lang w:val="en-AU"/>
        </w:rPr>
        <w:tab/>
      </w:r>
      <w:bookmarkStart w:id="42" w:name="F53061081"/>
      <w:r w:rsidRPr="000F1CD0">
        <w:rPr>
          <w:lang w:val="en-AU"/>
        </w:rPr>
        <w:t>...</w:t>
      </w:r>
      <w:r w:rsidRPr="000F1CD0">
        <w:rPr>
          <w:rFonts w:ascii="Cambria Math" w:hAnsi="Cambria Math" w:cs="Cambria Math"/>
          <w:lang w:val="en-AU"/>
        </w:rPr>
        <w:t> </w:t>
      </w:r>
      <w:bookmarkEnd w:id="42"/>
    </w:p>
    <w:p w:rsidR="003C6090" w:rsidRPr="000F1CD0" w:rsidRDefault="003C6090" w:rsidP="003C6090">
      <w:pPr>
        <w:pStyle w:val="IASBSectionTitle1NonInd"/>
        <w:rPr>
          <w:lang w:val="en-AU"/>
        </w:rPr>
      </w:pPr>
      <w:bookmarkStart w:id="43" w:name="F53061083"/>
      <w:r w:rsidRPr="000F1CD0">
        <w:rPr>
          <w:lang w:val="en-AU"/>
        </w:rPr>
        <w:t>Effective date and transition</w:t>
      </w:r>
      <w:bookmarkEnd w:id="43"/>
    </w:p>
    <w:p w:rsidR="003C6090" w:rsidRPr="000F1CD0" w:rsidRDefault="003C6090" w:rsidP="003C6090">
      <w:pPr>
        <w:pStyle w:val="IASBNormalnpara"/>
        <w:rPr>
          <w:lang w:val="en-AU"/>
        </w:rPr>
      </w:pPr>
      <w:r w:rsidRPr="000F1CD0">
        <w:rPr>
          <w:lang w:val="en-AU"/>
        </w:rPr>
        <w:tab/>
      </w:r>
      <w:bookmarkStart w:id="44" w:name="F53061084"/>
      <w:r w:rsidRPr="000F1CD0">
        <w:rPr>
          <w:lang w:val="en-AU"/>
        </w:rPr>
        <w:t>...</w:t>
      </w:r>
      <w:r w:rsidRPr="000F1CD0">
        <w:rPr>
          <w:rFonts w:ascii="Cambria Math" w:hAnsi="Cambria Math" w:cs="Cambria Math"/>
          <w:lang w:val="en-AU"/>
        </w:rPr>
        <w:t> </w:t>
      </w:r>
      <w:bookmarkEnd w:id="44"/>
    </w:p>
    <w:p w:rsidR="003C6090" w:rsidRPr="000F1CD0" w:rsidRDefault="003C6090" w:rsidP="003C6090">
      <w:pPr>
        <w:pStyle w:val="IASBNormalnpara"/>
        <w:rPr>
          <w:u w:val="single"/>
          <w:lang w:val="en-AU"/>
        </w:rPr>
      </w:pPr>
      <w:r w:rsidRPr="000F1CD0">
        <w:rPr>
          <w:u w:val="single"/>
          <w:lang w:val="en-AU"/>
        </w:rPr>
        <w:t>45E</w:t>
      </w:r>
      <w:r w:rsidRPr="000F1CD0">
        <w:rPr>
          <w:lang w:val="en-AU"/>
        </w:rPr>
        <w:tab/>
      </w:r>
      <w:bookmarkStart w:id="45" w:name="F53061085"/>
      <w:r w:rsidR="00584D93">
        <w:rPr>
          <w:u w:val="single"/>
          <w:lang w:val="en-AU"/>
        </w:rPr>
        <w:t>AASB 2017-1</w:t>
      </w:r>
      <w:r w:rsidR="00D044AF" w:rsidRPr="000F1CD0">
        <w:rPr>
          <w:i/>
          <w:u w:val="single"/>
          <w:lang w:val="en-AU"/>
        </w:rPr>
        <w:t xml:space="preserve"> Amendments to Australian Accounting Standards – Transfers of Investment Property, Annual Improvements 2014–2016 Cycle </w:t>
      </w:r>
      <w:r w:rsidR="000B2391" w:rsidRPr="000F1CD0">
        <w:rPr>
          <w:i/>
          <w:u w:val="single"/>
          <w:lang w:val="en-AU"/>
        </w:rPr>
        <w:t>and</w:t>
      </w:r>
      <w:r w:rsidR="00D044AF" w:rsidRPr="000F1CD0">
        <w:rPr>
          <w:i/>
          <w:u w:val="single"/>
          <w:lang w:val="en-AU"/>
        </w:rPr>
        <w:t xml:space="preserve"> Other Amendments</w:t>
      </w:r>
      <w:r w:rsidRPr="000F1CD0">
        <w:rPr>
          <w:u w:val="single"/>
          <w:lang w:val="en-AU"/>
        </w:rPr>
        <w:t xml:space="preserve">, issued in </w:t>
      </w:r>
      <w:r w:rsidR="00584D93">
        <w:rPr>
          <w:u w:val="single"/>
          <w:lang w:val="en-AU"/>
        </w:rPr>
        <w:t xml:space="preserve">February </w:t>
      </w:r>
      <w:r w:rsidRPr="000F1CD0">
        <w:rPr>
          <w:u w:val="single"/>
          <w:lang w:val="en-AU"/>
        </w:rPr>
        <w:t>201</w:t>
      </w:r>
      <w:r w:rsidR="00D044AF" w:rsidRPr="000F1CD0">
        <w:rPr>
          <w:u w:val="single"/>
          <w:lang w:val="en-AU"/>
        </w:rPr>
        <w:t>7</w:t>
      </w:r>
      <w:r w:rsidRPr="000F1CD0">
        <w:rPr>
          <w:u w:val="single"/>
          <w:lang w:val="en-AU"/>
        </w:rPr>
        <w:t>, amended paragraphs 18 and 36A. A</w:t>
      </w:r>
      <w:r w:rsidR="00C72BE2" w:rsidRPr="000F1CD0">
        <w:rPr>
          <w:u w:val="single"/>
          <w:lang w:val="en-AU"/>
        </w:rPr>
        <w:t xml:space="preserve"> for-profit</w:t>
      </w:r>
      <w:r w:rsidRPr="000F1CD0">
        <w:rPr>
          <w:u w:val="single"/>
          <w:lang w:val="en-AU"/>
        </w:rPr>
        <w:t xml:space="preserve"> entity shall apply those amendments retrospectively in accordance with </w:t>
      </w:r>
      <w:r w:rsidR="00D044AF" w:rsidRPr="000F1CD0">
        <w:rPr>
          <w:u w:val="single"/>
          <w:lang w:val="en-AU"/>
        </w:rPr>
        <w:t>AASB</w:t>
      </w:r>
      <w:r w:rsidRPr="000F1CD0">
        <w:rPr>
          <w:u w:val="single"/>
          <w:lang w:val="en-AU"/>
        </w:rPr>
        <w:t xml:space="preserve"> </w:t>
      </w:r>
      <w:r w:rsidR="00D044AF" w:rsidRPr="000F1CD0">
        <w:rPr>
          <w:u w:val="single"/>
          <w:lang w:val="en-AU"/>
        </w:rPr>
        <w:t>10</w:t>
      </w:r>
      <w:r w:rsidRPr="000F1CD0">
        <w:rPr>
          <w:u w:val="single"/>
          <w:lang w:val="en-AU"/>
        </w:rPr>
        <w:t xml:space="preserve">8 for annual periods beginning on or after 1 January 2018. </w:t>
      </w:r>
      <w:r w:rsidR="00E43C7F" w:rsidRPr="000F1CD0">
        <w:rPr>
          <w:u w:val="single"/>
          <w:lang w:val="en-AU"/>
        </w:rPr>
        <w:t xml:space="preserve">A not-for-profit entity shall apply those amendments retrospectively in accordance with AASB 108 for annual periods beginning on or after 1 January 2019. </w:t>
      </w:r>
      <w:r w:rsidRPr="000F1CD0">
        <w:rPr>
          <w:u w:val="single"/>
          <w:lang w:val="en-AU"/>
        </w:rPr>
        <w:t>Earlier application is permitted. If an entity applies those amendments for an earlier period, it shall disclose that fact.</w:t>
      </w:r>
      <w:bookmarkEnd w:id="45"/>
    </w:p>
    <w:p w:rsidR="00485D3C" w:rsidRPr="000F1CD0" w:rsidRDefault="00485D3C" w:rsidP="004A1503">
      <w:pPr>
        <w:pStyle w:val="IASBSectionTitle1NonInd"/>
        <w:rPr>
          <w:lang w:val="en-AU"/>
        </w:rPr>
      </w:pPr>
      <w:r w:rsidRPr="000F1CD0">
        <w:rPr>
          <w:lang w:val="en-AU"/>
        </w:rPr>
        <w:t xml:space="preserve">Amendments to </w:t>
      </w:r>
      <w:bookmarkStart w:id="46" w:name="StndNo2"/>
      <w:r w:rsidRPr="000F1CD0">
        <w:rPr>
          <w:lang w:val="en-AU"/>
        </w:rPr>
        <w:t>AASB 1</w:t>
      </w:r>
      <w:bookmarkEnd w:id="46"/>
      <w:r w:rsidR="005B3B28" w:rsidRPr="000F1CD0">
        <w:rPr>
          <w:lang w:val="en-AU"/>
        </w:rPr>
        <w:t>40</w:t>
      </w:r>
    </w:p>
    <w:tbl>
      <w:tblPr>
        <w:tblW w:w="0" w:type="auto"/>
        <w:tblLayout w:type="fixed"/>
        <w:tblCellMar>
          <w:top w:w="85" w:type="dxa"/>
          <w:bottom w:w="85" w:type="dxa"/>
        </w:tblCellMar>
        <w:tblLook w:val="04A0" w:firstRow="1" w:lastRow="0" w:firstColumn="1" w:lastColumn="0" w:noHBand="0" w:noVBand="1"/>
        <w:tblCaption w:val="Amendment instructions"/>
      </w:tblPr>
      <w:tblGrid>
        <w:gridCol w:w="9208"/>
      </w:tblGrid>
      <w:tr w:rsidR="003C6090" w:rsidRPr="000F1CD0" w:rsidTr="003D66C0">
        <w:trPr>
          <w:cantSplit/>
        </w:trPr>
        <w:tc>
          <w:tcPr>
            <w:tcW w:w="9208" w:type="dxa"/>
            <w:tcBorders>
              <w:top w:val="single" w:sz="4" w:space="0" w:color="auto"/>
              <w:left w:val="single" w:sz="4" w:space="0" w:color="auto"/>
              <w:bottom w:val="single" w:sz="4" w:space="0" w:color="auto"/>
              <w:right w:val="single" w:sz="4" w:space="0" w:color="auto"/>
            </w:tcBorders>
            <w:vAlign w:val="center"/>
            <w:hideMark/>
          </w:tcPr>
          <w:p w:rsidR="003C6090" w:rsidRPr="000F1CD0" w:rsidRDefault="003C6090" w:rsidP="003D66C0">
            <w:pPr>
              <w:pStyle w:val="IASBTableArial"/>
              <w:spacing w:before="0"/>
              <w:rPr>
                <w:lang w:val="en-AU"/>
              </w:rPr>
            </w:pPr>
            <w:r w:rsidRPr="000F1CD0">
              <w:rPr>
                <w:lang w:val="en-AU"/>
              </w:rPr>
              <w:t>Paragraphs 57–58 are amended. Deleted text is struck through and new text is underlined.</w:t>
            </w:r>
          </w:p>
        </w:tc>
      </w:tr>
    </w:tbl>
    <w:p w:rsidR="003C6090" w:rsidRPr="000F1CD0" w:rsidRDefault="003C6090" w:rsidP="003C6090">
      <w:pPr>
        <w:pStyle w:val="IASBSectionTitle1NonInd"/>
        <w:rPr>
          <w:lang w:val="en-AU"/>
        </w:rPr>
      </w:pPr>
      <w:bookmarkStart w:id="47" w:name="F53063877"/>
      <w:r w:rsidRPr="000F1CD0">
        <w:rPr>
          <w:lang w:val="en-AU"/>
        </w:rPr>
        <w:t>Transfers</w:t>
      </w:r>
      <w:bookmarkEnd w:id="47"/>
    </w:p>
    <w:p w:rsidR="003C6090" w:rsidRPr="000F1CD0" w:rsidRDefault="003C6090" w:rsidP="003C6090">
      <w:pPr>
        <w:pStyle w:val="IASBNormalnpara"/>
        <w:rPr>
          <w:b/>
          <w:lang w:val="en-AU"/>
        </w:rPr>
      </w:pPr>
      <w:r w:rsidRPr="000F1CD0">
        <w:rPr>
          <w:b/>
          <w:lang w:val="en-AU"/>
        </w:rPr>
        <w:t>57</w:t>
      </w:r>
      <w:r w:rsidRPr="000F1CD0">
        <w:rPr>
          <w:b/>
          <w:lang w:val="en-AU"/>
        </w:rPr>
        <w:tab/>
      </w:r>
      <w:bookmarkStart w:id="48" w:name="F53063878"/>
      <w:r w:rsidRPr="000F1CD0">
        <w:rPr>
          <w:b/>
          <w:strike/>
          <w:lang w:val="en-AU"/>
        </w:rPr>
        <w:t>Transfers</w:t>
      </w:r>
      <w:r w:rsidRPr="000F1CD0">
        <w:rPr>
          <w:b/>
          <w:lang w:val="en-AU"/>
        </w:rPr>
        <w:t xml:space="preserve"> </w:t>
      </w:r>
      <w:r w:rsidRPr="000F1CD0">
        <w:rPr>
          <w:b/>
          <w:u w:val="single"/>
          <w:lang w:val="en-AU"/>
        </w:rPr>
        <w:t>An entity shall transfer a property</w:t>
      </w:r>
      <w:r w:rsidRPr="000F1CD0">
        <w:rPr>
          <w:b/>
          <w:lang w:val="en-AU"/>
        </w:rPr>
        <w:t xml:space="preserve"> to, or from, investment property </w:t>
      </w:r>
      <w:r w:rsidRPr="000F1CD0">
        <w:rPr>
          <w:b/>
          <w:strike/>
          <w:lang w:val="en-AU"/>
        </w:rPr>
        <w:t>shall be made</w:t>
      </w:r>
      <w:r w:rsidRPr="000F1CD0">
        <w:rPr>
          <w:b/>
          <w:lang w:val="en-AU"/>
        </w:rPr>
        <w:t xml:space="preserve"> when, and only when, there is a change in use</w:t>
      </w:r>
      <w:r w:rsidRPr="000F1CD0">
        <w:rPr>
          <w:b/>
          <w:strike/>
          <w:lang w:val="en-AU"/>
        </w:rPr>
        <w:t>, evidenced by</w:t>
      </w:r>
      <w:r w:rsidRPr="000F1CD0">
        <w:rPr>
          <w:b/>
          <w:u w:val="single"/>
          <w:lang w:val="en-AU"/>
        </w:rPr>
        <w:t>. A change in use occurs when the property meets, or ceases to meet, the definition of investment property and there is evidence of the change in use. In isolation, a change in management’s intentions for the use of a property does not provide evidence of a change in use. Examples of evidence of a change in use include</w:t>
      </w:r>
      <w:r w:rsidRPr="000F1CD0">
        <w:rPr>
          <w:b/>
          <w:lang w:val="en-AU"/>
        </w:rPr>
        <w:t>:</w:t>
      </w:r>
      <w:bookmarkEnd w:id="48"/>
    </w:p>
    <w:p w:rsidR="003C6090" w:rsidRPr="000F1CD0" w:rsidRDefault="003C6090" w:rsidP="003C6090">
      <w:pPr>
        <w:pStyle w:val="IASBNormalnparaL1"/>
        <w:rPr>
          <w:b/>
          <w:lang w:val="en-AU"/>
        </w:rPr>
      </w:pPr>
      <w:r w:rsidRPr="000F1CD0">
        <w:rPr>
          <w:b/>
          <w:lang w:val="en-AU"/>
        </w:rPr>
        <w:t>(a)</w:t>
      </w:r>
      <w:r w:rsidRPr="000F1CD0">
        <w:rPr>
          <w:b/>
          <w:lang w:val="en-AU"/>
        </w:rPr>
        <w:tab/>
      </w:r>
      <w:bookmarkStart w:id="49" w:name="F53063881"/>
      <w:r w:rsidRPr="000F1CD0">
        <w:rPr>
          <w:b/>
          <w:lang w:val="en-AU"/>
        </w:rPr>
        <w:t xml:space="preserve">commencement of owner-occupation, </w:t>
      </w:r>
      <w:r w:rsidRPr="000F1CD0">
        <w:rPr>
          <w:b/>
          <w:u w:val="single"/>
          <w:lang w:val="en-AU"/>
        </w:rPr>
        <w:t>or of development with a view to owner-occupation,</w:t>
      </w:r>
      <w:r w:rsidRPr="000F1CD0">
        <w:rPr>
          <w:b/>
          <w:lang w:val="en-AU"/>
        </w:rPr>
        <w:t xml:space="preserve"> for a transfer from investment property to owner-occupied property;</w:t>
      </w:r>
      <w:bookmarkEnd w:id="49"/>
    </w:p>
    <w:p w:rsidR="003C6090" w:rsidRPr="000F1CD0" w:rsidRDefault="003C6090" w:rsidP="003C6090">
      <w:pPr>
        <w:pStyle w:val="IASBNormalnparaL1"/>
        <w:rPr>
          <w:b/>
          <w:lang w:val="en-AU"/>
        </w:rPr>
      </w:pPr>
      <w:r w:rsidRPr="000F1CD0">
        <w:rPr>
          <w:b/>
          <w:lang w:val="en-AU"/>
        </w:rPr>
        <w:t>(b)</w:t>
      </w:r>
      <w:r w:rsidRPr="000F1CD0">
        <w:rPr>
          <w:b/>
          <w:lang w:val="en-AU"/>
        </w:rPr>
        <w:tab/>
      </w:r>
      <w:bookmarkStart w:id="50" w:name="F53063883"/>
      <w:r w:rsidRPr="000F1CD0">
        <w:rPr>
          <w:b/>
          <w:lang w:val="en-AU"/>
        </w:rPr>
        <w:t>commencement of development with a view to sale, for a transfer from investment property to inventories;</w:t>
      </w:r>
      <w:bookmarkEnd w:id="50"/>
    </w:p>
    <w:p w:rsidR="003C6090" w:rsidRPr="000F1CD0" w:rsidRDefault="003C6090" w:rsidP="003C6090">
      <w:pPr>
        <w:pStyle w:val="IASBNormalnparaL1"/>
        <w:rPr>
          <w:b/>
          <w:lang w:val="en-AU"/>
        </w:rPr>
      </w:pPr>
      <w:r w:rsidRPr="000F1CD0">
        <w:rPr>
          <w:b/>
          <w:lang w:val="en-AU"/>
        </w:rPr>
        <w:t>(c)</w:t>
      </w:r>
      <w:r w:rsidRPr="000F1CD0">
        <w:rPr>
          <w:b/>
          <w:lang w:val="en-AU"/>
        </w:rPr>
        <w:tab/>
      </w:r>
      <w:bookmarkStart w:id="51" w:name="F53063885"/>
      <w:r w:rsidRPr="000F1CD0">
        <w:rPr>
          <w:b/>
          <w:lang w:val="en-AU"/>
        </w:rPr>
        <w:t xml:space="preserve">end of owner-occupation, for a transfer from owner-occupied property to investment property; </w:t>
      </w:r>
      <w:r w:rsidRPr="000F1CD0">
        <w:rPr>
          <w:b/>
          <w:strike/>
          <w:lang w:val="en-AU"/>
        </w:rPr>
        <w:t>or</w:t>
      </w:r>
      <w:r w:rsidRPr="000F1CD0">
        <w:rPr>
          <w:b/>
          <w:lang w:val="en-AU"/>
        </w:rPr>
        <w:t xml:space="preserve"> </w:t>
      </w:r>
      <w:r w:rsidRPr="000F1CD0">
        <w:rPr>
          <w:b/>
          <w:u w:val="single"/>
          <w:lang w:val="en-AU"/>
        </w:rPr>
        <w:t>and</w:t>
      </w:r>
      <w:bookmarkEnd w:id="51"/>
    </w:p>
    <w:p w:rsidR="003C6090" w:rsidRPr="000F1CD0" w:rsidRDefault="003C6090" w:rsidP="003C6090">
      <w:pPr>
        <w:pStyle w:val="IASBNormalnparaL1"/>
        <w:rPr>
          <w:b/>
          <w:lang w:val="en-AU"/>
        </w:rPr>
      </w:pPr>
      <w:r w:rsidRPr="000F1CD0">
        <w:rPr>
          <w:b/>
          <w:lang w:val="en-AU"/>
        </w:rPr>
        <w:t>(d)</w:t>
      </w:r>
      <w:r w:rsidRPr="000F1CD0">
        <w:rPr>
          <w:b/>
          <w:lang w:val="en-AU"/>
        </w:rPr>
        <w:tab/>
      </w:r>
      <w:bookmarkStart w:id="52" w:name="F53063887"/>
      <w:r w:rsidRPr="000F1CD0">
        <w:rPr>
          <w:b/>
          <w:strike/>
          <w:lang w:val="en-AU"/>
        </w:rPr>
        <w:t>commencement</w:t>
      </w:r>
      <w:r w:rsidRPr="000F1CD0">
        <w:rPr>
          <w:b/>
          <w:lang w:val="en-AU"/>
        </w:rPr>
        <w:t xml:space="preserve"> </w:t>
      </w:r>
      <w:r w:rsidRPr="000F1CD0">
        <w:rPr>
          <w:b/>
          <w:u w:val="single"/>
          <w:lang w:val="en-AU"/>
        </w:rPr>
        <w:t>inception</w:t>
      </w:r>
      <w:r w:rsidRPr="000F1CD0">
        <w:rPr>
          <w:b/>
          <w:lang w:val="en-AU"/>
        </w:rPr>
        <w:t xml:space="preserve"> of an operating lease to another party, for a transfer from inventories to investment property.</w:t>
      </w:r>
      <w:bookmarkEnd w:id="52"/>
    </w:p>
    <w:p w:rsidR="003C6090" w:rsidRPr="000F1CD0" w:rsidRDefault="003C6090" w:rsidP="003C6090">
      <w:pPr>
        <w:pStyle w:val="IASBNormalnparaL1"/>
        <w:rPr>
          <w:lang w:val="en-AU"/>
        </w:rPr>
      </w:pPr>
      <w:r w:rsidRPr="000F1CD0">
        <w:rPr>
          <w:b/>
          <w:lang w:val="en-AU"/>
        </w:rPr>
        <w:t>(e)</w:t>
      </w:r>
      <w:r w:rsidRPr="000F1CD0">
        <w:rPr>
          <w:lang w:val="en-AU"/>
        </w:rPr>
        <w:tab/>
      </w:r>
      <w:bookmarkStart w:id="53" w:name="F53063889"/>
      <w:r w:rsidRPr="000F1CD0">
        <w:rPr>
          <w:lang w:val="en-AU"/>
        </w:rPr>
        <w:t>[deleted]</w:t>
      </w:r>
      <w:bookmarkEnd w:id="53"/>
    </w:p>
    <w:p w:rsidR="003C6090" w:rsidRPr="000F1CD0" w:rsidRDefault="003C6090" w:rsidP="003C6090">
      <w:pPr>
        <w:pStyle w:val="IASBNormalnpara"/>
        <w:rPr>
          <w:lang w:val="en-AU"/>
        </w:rPr>
      </w:pPr>
      <w:r w:rsidRPr="000F1CD0">
        <w:rPr>
          <w:lang w:val="en-AU"/>
        </w:rPr>
        <w:t>58</w:t>
      </w:r>
      <w:r w:rsidRPr="000F1CD0">
        <w:rPr>
          <w:lang w:val="en-AU"/>
        </w:rPr>
        <w:tab/>
      </w:r>
      <w:bookmarkStart w:id="54" w:name="F53063890"/>
      <w:r w:rsidRPr="000F1CD0">
        <w:rPr>
          <w:strike/>
          <w:lang w:val="en-AU"/>
        </w:rPr>
        <w:t>Paragraph 57(b) requires an entity to transfer a property from investment property to inventories when, and only when, there is a change in use, evidenced by commencement of development with a view to sale.</w:t>
      </w:r>
      <w:r w:rsidRPr="000F1CD0">
        <w:rPr>
          <w:lang w:val="en-AU"/>
        </w:rPr>
        <w:t xml:space="preserve"> When an entity decides to dispose of an investment property without development, it continues to treat the property as an investment property until it is derecognised (eliminated from the statement of financial position) and does not </w:t>
      </w:r>
      <w:r w:rsidRPr="000F1CD0">
        <w:rPr>
          <w:strike/>
          <w:lang w:val="en-AU"/>
        </w:rPr>
        <w:t>treat</w:t>
      </w:r>
      <w:r w:rsidRPr="000F1CD0">
        <w:rPr>
          <w:lang w:val="en-AU"/>
        </w:rPr>
        <w:t xml:space="preserve"> </w:t>
      </w:r>
      <w:r w:rsidRPr="000F1CD0">
        <w:rPr>
          <w:u w:val="single"/>
          <w:lang w:val="en-AU"/>
        </w:rPr>
        <w:t>reclassify</w:t>
      </w:r>
      <w:r w:rsidRPr="000F1CD0">
        <w:rPr>
          <w:lang w:val="en-AU"/>
        </w:rPr>
        <w:t xml:space="preserve"> it as inventory. Similarly, if an entity begins to redevelop an existing investment property for continued future use as investment property, the property remains an investment property and is not reclassified as owner-occupied property during the redevelopment.</w:t>
      </w:r>
      <w:bookmarkEnd w:id="54"/>
    </w:p>
    <w:p w:rsidR="003C6090" w:rsidRPr="000F1CD0" w:rsidRDefault="003C6090" w:rsidP="003C6090">
      <w:pPr>
        <w:pStyle w:val="IASBNormalnpara"/>
        <w:rPr>
          <w:lang w:val="en-AU"/>
        </w:rPr>
      </w:pPr>
      <w:r w:rsidRPr="000F1CD0">
        <w:rPr>
          <w:lang w:val="en-AU"/>
        </w:rPr>
        <w:tab/>
      </w:r>
      <w:bookmarkStart w:id="55" w:name="F53063891"/>
      <w:r w:rsidRPr="000F1CD0">
        <w:rPr>
          <w:lang w:val="en-AU"/>
        </w:rPr>
        <w:t>...</w:t>
      </w:r>
      <w:r w:rsidRPr="000F1CD0">
        <w:rPr>
          <w:rFonts w:ascii="Cambria Math" w:hAnsi="Cambria Math" w:cs="Cambria Math"/>
          <w:lang w:val="en-AU"/>
        </w:rPr>
        <w:t> </w:t>
      </w:r>
      <w:bookmarkEnd w:id="55"/>
    </w:p>
    <w:p w:rsidR="003C6090" w:rsidRPr="000F1CD0" w:rsidRDefault="003C6090" w:rsidP="000718F7">
      <w:pPr>
        <w:pStyle w:val="IASBNormalnpara"/>
        <w:spacing w:before="360"/>
        <w:rPr>
          <w:lang w:val="en-AU"/>
        </w:rPr>
      </w:pPr>
    </w:p>
    <w:tbl>
      <w:tblPr>
        <w:tblW w:w="0" w:type="auto"/>
        <w:tblLayout w:type="fixed"/>
        <w:tblCellMar>
          <w:top w:w="85" w:type="dxa"/>
          <w:bottom w:w="85" w:type="dxa"/>
        </w:tblCellMar>
        <w:tblLook w:val="04A0" w:firstRow="1" w:lastRow="0" w:firstColumn="1" w:lastColumn="0" w:noHBand="0" w:noVBand="1"/>
        <w:tblCaption w:val="Amendment instructions"/>
      </w:tblPr>
      <w:tblGrid>
        <w:gridCol w:w="9208"/>
      </w:tblGrid>
      <w:tr w:rsidR="003C6090" w:rsidRPr="000F1CD0" w:rsidTr="003D66C0">
        <w:trPr>
          <w:cantSplit/>
        </w:trPr>
        <w:tc>
          <w:tcPr>
            <w:tcW w:w="9208" w:type="dxa"/>
            <w:tcBorders>
              <w:top w:val="single" w:sz="4" w:space="0" w:color="auto"/>
              <w:left w:val="single" w:sz="4" w:space="0" w:color="auto"/>
              <w:bottom w:val="single" w:sz="4" w:space="0" w:color="auto"/>
              <w:right w:val="single" w:sz="4" w:space="0" w:color="auto"/>
            </w:tcBorders>
            <w:vAlign w:val="center"/>
            <w:hideMark/>
          </w:tcPr>
          <w:p w:rsidR="003C6090" w:rsidRPr="000F1CD0" w:rsidRDefault="003C6090" w:rsidP="003D66C0">
            <w:pPr>
              <w:pStyle w:val="IASBTableArial"/>
              <w:spacing w:before="0"/>
              <w:rPr>
                <w:lang w:val="en-AU"/>
              </w:rPr>
            </w:pPr>
            <w:r w:rsidRPr="000F1CD0">
              <w:rPr>
                <w:lang w:val="en-AU"/>
              </w:rPr>
              <w:lastRenderedPageBreak/>
              <w:t>Paragraphs 84C–84E and their related heading, and paragraph 85G, are added.</w:t>
            </w:r>
          </w:p>
        </w:tc>
      </w:tr>
    </w:tbl>
    <w:p w:rsidR="003C6090" w:rsidRPr="000F1CD0" w:rsidRDefault="003C6090" w:rsidP="003C6090">
      <w:pPr>
        <w:pStyle w:val="IASBSectionTitle1NonInd"/>
        <w:rPr>
          <w:lang w:val="en-AU"/>
        </w:rPr>
      </w:pPr>
      <w:bookmarkStart w:id="56" w:name="F53063896"/>
      <w:r w:rsidRPr="000F1CD0">
        <w:rPr>
          <w:lang w:val="en-AU"/>
        </w:rPr>
        <w:t>Transitional provisions</w:t>
      </w:r>
      <w:bookmarkEnd w:id="56"/>
    </w:p>
    <w:p w:rsidR="003C6090" w:rsidRPr="000F1CD0" w:rsidRDefault="003C6090" w:rsidP="003C6090">
      <w:pPr>
        <w:pStyle w:val="IASBNormalnpara"/>
        <w:rPr>
          <w:lang w:val="en-AU"/>
        </w:rPr>
      </w:pPr>
      <w:r w:rsidRPr="000F1CD0">
        <w:rPr>
          <w:lang w:val="en-AU"/>
        </w:rPr>
        <w:tab/>
      </w:r>
      <w:bookmarkStart w:id="57" w:name="F53063897"/>
      <w:r w:rsidRPr="000F1CD0">
        <w:rPr>
          <w:lang w:val="en-AU"/>
        </w:rPr>
        <w:t>...</w:t>
      </w:r>
      <w:r w:rsidRPr="000F1CD0">
        <w:rPr>
          <w:rFonts w:ascii="Cambria Math" w:hAnsi="Cambria Math" w:cs="Cambria Math"/>
          <w:lang w:val="en-AU"/>
        </w:rPr>
        <w:t> </w:t>
      </w:r>
      <w:bookmarkEnd w:id="57"/>
    </w:p>
    <w:p w:rsidR="003C6090" w:rsidRPr="000F1CD0" w:rsidRDefault="003C6090" w:rsidP="003C6090">
      <w:pPr>
        <w:pStyle w:val="IASBSectionTitle2Ind"/>
        <w:rPr>
          <w:lang w:val="en-AU"/>
        </w:rPr>
      </w:pPr>
      <w:bookmarkStart w:id="58" w:name="F53063899"/>
      <w:r w:rsidRPr="000F1CD0">
        <w:rPr>
          <w:lang w:val="en-AU"/>
        </w:rPr>
        <w:t>Transfers of investment property</w:t>
      </w:r>
      <w:bookmarkEnd w:id="58"/>
    </w:p>
    <w:p w:rsidR="003C6090" w:rsidRPr="000F1CD0" w:rsidRDefault="003C6090" w:rsidP="003C6090">
      <w:pPr>
        <w:pStyle w:val="IASBNormalnpara"/>
        <w:rPr>
          <w:lang w:val="en-AU"/>
        </w:rPr>
      </w:pPr>
      <w:r w:rsidRPr="000F1CD0">
        <w:rPr>
          <w:lang w:val="en-AU"/>
        </w:rPr>
        <w:t>84C</w:t>
      </w:r>
      <w:r w:rsidRPr="000F1CD0">
        <w:rPr>
          <w:lang w:val="en-AU"/>
        </w:rPr>
        <w:tab/>
      </w:r>
      <w:bookmarkStart w:id="59" w:name="F53063900"/>
      <w:r w:rsidR="00D044AF" w:rsidRPr="000F1CD0">
        <w:rPr>
          <w:lang w:val="en-AU"/>
        </w:rPr>
        <w:t>AASB 2017-</w:t>
      </w:r>
      <w:r w:rsidR="00584D93">
        <w:rPr>
          <w:lang w:val="en-AU"/>
        </w:rPr>
        <w:t>1</w:t>
      </w:r>
      <w:r w:rsidR="00D044AF" w:rsidRPr="000F1CD0">
        <w:rPr>
          <w:i/>
          <w:lang w:val="en-AU"/>
        </w:rPr>
        <w:t xml:space="preserve"> Amendments to Australian Accounting Standards – Transfers of Investment Property, Annual Improvements 2014–2016 Cycle </w:t>
      </w:r>
      <w:r w:rsidR="00645553" w:rsidRPr="000F1CD0">
        <w:rPr>
          <w:i/>
          <w:lang w:val="en-AU"/>
        </w:rPr>
        <w:t>and</w:t>
      </w:r>
      <w:r w:rsidR="00D044AF" w:rsidRPr="000F1CD0">
        <w:rPr>
          <w:i/>
          <w:lang w:val="en-AU"/>
        </w:rPr>
        <w:t xml:space="preserve"> Other Amendments</w:t>
      </w:r>
      <w:r w:rsidR="00D044AF" w:rsidRPr="000F1CD0">
        <w:rPr>
          <w:lang w:val="en-AU"/>
        </w:rPr>
        <w:t xml:space="preserve">, issued in </w:t>
      </w:r>
      <w:r w:rsidR="00584D93">
        <w:rPr>
          <w:lang w:val="en-AU"/>
        </w:rPr>
        <w:t>February</w:t>
      </w:r>
      <w:r w:rsidR="00D044AF" w:rsidRPr="000F1CD0">
        <w:rPr>
          <w:lang w:val="en-AU"/>
        </w:rPr>
        <w:t xml:space="preserve"> 2017</w:t>
      </w:r>
      <w:r w:rsidRPr="000F1CD0">
        <w:rPr>
          <w:lang w:val="en-AU"/>
        </w:rPr>
        <w:t>, amended paragraphs 57–58. An entity shall apply those amendments to changes in use that occur on or after the beginning of the annual reporting period in which the entity first applies the amendments (the date of initial application). At the date of initial application, an entity shall reassess the classification of property held at that date and, if applicable, reclassify property applying paragraphs 7–14 to reflect the conditions that exist at that date.</w:t>
      </w:r>
      <w:bookmarkEnd w:id="59"/>
    </w:p>
    <w:p w:rsidR="003C6090" w:rsidRPr="000F1CD0" w:rsidRDefault="003C6090" w:rsidP="003C6090">
      <w:pPr>
        <w:pStyle w:val="IASBNormalnpara"/>
        <w:rPr>
          <w:lang w:val="en-AU"/>
        </w:rPr>
      </w:pPr>
      <w:r w:rsidRPr="000F1CD0">
        <w:rPr>
          <w:lang w:val="en-AU"/>
        </w:rPr>
        <w:t>84D</w:t>
      </w:r>
      <w:r w:rsidRPr="000F1CD0">
        <w:rPr>
          <w:lang w:val="en-AU"/>
        </w:rPr>
        <w:tab/>
      </w:r>
      <w:bookmarkStart w:id="60" w:name="F53063902"/>
      <w:r w:rsidRPr="000F1CD0">
        <w:rPr>
          <w:lang w:val="en-AU"/>
        </w:rPr>
        <w:t xml:space="preserve">Notwithstanding the requirements in paragraph 84C, an entity is permitted to apply the amendments to paragraphs 57–58 retrospectively in accordance with </w:t>
      </w:r>
      <w:r w:rsidR="009568D3" w:rsidRPr="000F1CD0">
        <w:rPr>
          <w:lang w:val="en-AU"/>
        </w:rPr>
        <w:t>AASB 10</w:t>
      </w:r>
      <w:r w:rsidRPr="000F1CD0">
        <w:rPr>
          <w:lang w:val="en-AU"/>
        </w:rPr>
        <w:t>8 if, and only if, that is possible without the use of hindsight.</w:t>
      </w:r>
      <w:bookmarkEnd w:id="60"/>
    </w:p>
    <w:p w:rsidR="003C6090" w:rsidRPr="000F1CD0" w:rsidRDefault="003C6090" w:rsidP="003C6090">
      <w:pPr>
        <w:pStyle w:val="IASBNormalnpara"/>
        <w:rPr>
          <w:lang w:val="en-AU"/>
        </w:rPr>
      </w:pPr>
      <w:r w:rsidRPr="000F1CD0">
        <w:rPr>
          <w:lang w:val="en-AU"/>
        </w:rPr>
        <w:t>84E</w:t>
      </w:r>
      <w:r w:rsidRPr="000F1CD0">
        <w:rPr>
          <w:lang w:val="en-AU"/>
        </w:rPr>
        <w:tab/>
      </w:r>
      <w:bookmarkStart w:id="61" w:name="F53063903"/>
      <w:r w:rsidRPr="000F1CD0">
        <w:rPr>
          <w:lang w:val="en-AU"/>
        </w:rPr>
        <w:t>If, in accordance with paragraph 84C, an entity reclassifies property at the date of initial application, the entity shall:</w:t>
      </w:r>
      <w:bookmarkEnd w:id="61"/>
    </w:p>
    <w:p w:rsidR="003C6090" w:rsidRPr="000F1CD0" w:rsidRDefault="003C6090" w:rsidP="003C6090">
      <w:pPr>
        <w:pStyle w:val="IASBNormalnparaL1"/>
        <w:rPr>
          <w:lang w:val="en-AU"/>
        </w:rPr>
      </w:pPr>
      <w:r w:rsidRPr="000F1CD0">
        <w:rPr>
          <w:lang w:val="en-AU"/>
        </w:rPr>
        <w:t>(a)</w:t>
      </w:r>
      <w:r w:rsidRPr="000F1CD0">
        <w:rPr>
          <w:lang w:val="en-AU"/>
        </w:rPr>
        <w:tab/>
      </w:r>
      <w:bookmarkStart w:id="62" w:name="F53063906"/>
      <w:r w:rsidRPr="000F1CD0">
        <w:rPr>
          <w:lang w:val="en-AU"/>
        </w:rPr>
        <w:t>account for the reclassification applying the requirements in paragraphs 59–64. In applying paragraphs 59–64, an entity shall:</w:t>
      </w:r>
      <w:bookmarkEnd w:id="62"/>
    </w:p>
    <w:p w:rsidR="003C6090" w:rsidRPr="000F1CD0" w:rsidRDefault="003C6090" w:rsidP="003C6090">
      <w:pPr>
        <w:pStyle w:val="IASBNormalnparaL2"/>
        <w:rPr>
          <w:lang w:val="en-AU"/>
        </w:rPr>
      </w:pPr>
      <w:r w:rsidRPr="000F1CD0">
        <w:rPr>
          <w:lang w:val="en-AU"/>
        </w:rPr>
        <w:t>(i)</w:t>
      </w:r>
      <w:r w:rsidRPr="000F1CD0">
        <w:rPr>
          <w:lang w:val="en-AU"/>
        </w:rPr>
        <w:tab/>
      </w:r>
      <w:bookmarkStart w:id="63" w:name="F53063909"/>
      <w:r w:rsidRPr="000F1CD0">
        <w:rPr>
          <w:lang w:val="en-AU"/>
        </w:rPr>
        <w:t>read any reference to the date of change in use as the date of initial application; and</w:t>
      </w:r>
      <w:bookmarkEnd w:id="63"/>
    </w:p>
    <w:p w:rsidR="003C6090" w:rsidRPr="000F1CD0" w:rsidRDefault="003C6090" w:rsidP="003C6090">
      <w:pPr>
        <w:pStyle w:val="IASBNormalnparaL2"/>
        <w:rPr>
          <w:lang w:val="en-AU"/>
        </w:rPr>
      </w:pPr>
      <w:r w:rsidRPr="000F1CD0">
        <w:rPr>
          <w:lang w:val="en-AU"/>
        </w:rPr>
        <w:t>(ii)</w:t>
      </w:r>
      <w:r w:rsidRPr="000F1CD0">
        <w:rPr>
          <w:lang w:val="en-AU"/>
        </w:rPr>
        <w:tab/>
      </w:r>
      <w:bookmarkStart w:id="64" w:name="F53063911"/>
      <w:r w:rsidRPr="000F1CD0">
        <w:rPr>
          <w:lang w:val="en-AU"/>
        </w:rPr>
        <w:t>recognise any amount that, in accordance with paragraphs 59–64, would have been recognised in profit or loss as an adjustment to the opening balance of retained earnings at the date of initial application.</w:t>
      </w:r>
      <w:bookmarkEnd w:id="64"/>
    </w:p>
    <w:p w:rsidR="003C6090" w:rsidRPr="000F1CD0" w:rsidRDefault="003C6090" w:rsidP="003C6090">
      <w:pPr>
        <w:pStyle w:val="IASBNormalnparaL1"/>
        <w:rPr>
          <w:lang w:val="en-AU"/>
        </w:rPr>
      </w:pPr>
      <w:r w:rsidRPr="000F1CD0">
        <w:rPr>
          <w:lang w:val="en-AU"/>
        </w:rPr>
        <w:t>(b)</w:t>
      </w:r>
      <w:r w:rsidRPr="000F1CD0">
        <w:rPr>
          <w:lang w:val="en-AU"/>
        </w:rPr>
        <w:tab/>
      </w:r>
      <w:bookmarkStart w:id="65" w:name="F53063913"/>
      <w:r w:rsidRPr="000F1CD0">
        <w:rPr>
          <w:lang w:val="en-AU"/>
        </w:rPr>
        <w:t>disclose the amounts reclassified to, or from, investment property in accordance with paragraph 84C. The entity shall disclose those amounts reclassified as part of the reconciliation of the carrying amount of investment property at the beginning and end of the period as required by paragraphs 76 and 79.</w:t>
      </w:r>
      <w:bookmarkEnd w:id="65"/>
    </w:p>
    <w:p w:rsidR="003C6090" w:rsidRPr="000F1CD0" w:rsidRDefault="003C6090" w:rsidP="003C6090">
      <w:pPr>
        <w:pStyle w:val="IASBSectionTitle1NonInd"/>
        <w:rPr>
          <w:lang w:val="en-AU"/>
        </w:rPr>
      </w:pPr>
      <w:bookmarkStart w:id="66" w:name="F53063916"/>
      <w:r w:rsidRPr="000F1CD0">
        <w:rPr>
          <w:lang w:val="en-AU"/>
        </w:rPr>
        <w:t>Effective date</w:t>
      </w:r>
      <w:bookmarkEnd w:id="66"/>
    </w:p>
    <w:p w:rsidR="003C6090" w:rsidRPr="000F1CD0" w:rsidRDefault="003C6090" w:rsidP="003C6090">
      <w:pPr>
        <w:pStyle w:val="IASBNormal"/>
        <w:rPr>
          <w:lang w:val="en-AU"/>
        </w:rPr>
      </w:pPr>
      <w:bookmarkStart w:id="67" w:name="SL53063996"/>
      <w:r w:rsidRPr="000F1CD0">
        <w:rPr>
          <w:lang w:val="en-AU"/>
        </w:rPr>
        <w:t>...</w:t>
      </w:r>
      <w:r w:rsidRPr="000F1CD0">
        <w:rPr>
          <w:rFonts w:ascii="Cambria Math" w:hAnsi="Cambria Math" w:cs="Cambria Math"/>
          <w:lang w:val="en-AU"/>
        </w:rPr>
        <w:t> </w:t>
      </w:r>
      <w:bookmarkEnd w:id="67"/>
    </w:p>
    <w:p w:rsidR="003C6090" w:rsidRPr="000F1CD0" w:rsidRDefault="003C6090" w:rsidP="003C6090">
      <w:pPr>
        <w:pStyle w:val="IASBNormalnpara"/>
        <w:rPr>
          <w:lang w:val="en-AU"/>
        </w:rPr>
      </w:pPr>
      <w:r w:rsidRPr="000F1CD0">
        <w:rPr>
          <w:lang w:val="en-AU"/>
        </w:rPr>
        <w:t>85G</w:t>
      </w:r>
      <w:r w:rsidRPr="000F1CD0">
        <w:rPr>
          <w:lang w:val="en-AU"/>
        </w:rPr>
        <w:tab/>
      </w:r>
      <w:bookmarkStart w:id="68" w:name="F53063917"/>
      <w:r w:rsidR="00584D93">
        <w:rPr>
          <w:lang w:val="en-AU"/>
        </w:rPr>
        <w:t>AASB 2017-1</w:t>
      </w:r>
      <w:r w:rsidR="00D044AF" w:rsidRPr="000F1CD0">
        <w:rPr>
          <w:i/>
          <w:lang w:val="en-AU"/>
        </w:rPr>
        <w:t xml:space="preserve"> Amendments to Australian Accounting Standards – Transfers of Investment Property, Annual Improvements 2014–2016 Cycle </w:t>
      </w:r>
      <w:r w:rsidR="000B2391" w:rsidRPr="000F1CD0">
        <w:rPr>
          <w:i/>
          <w:lang w:val="en-AU"/>
        </w:rPr>
        <w:t>and</w:t>
      </w:r>
      <w:r w:rsidR="00D044AF" w:rsidRPr="000F1CD0">
        <w:rPr>
          <w:i/>
          <w:lang w:val="en-AU"/>
        </w:rPr>
        <w:t xml:space="preserve"> Other Amendments</w:t>
      </w:r>
      <w:r w:rsidRPr="000F1CD0">
        <w:rPr>
          <w:lang w:val="en-AU"/>
        </w:rPr>
        <w:t xml:space="preserve">, issued in </w:t>
      </w:r>
      <w:r w:rsidR="00584D93">
        <w:rPr>
          <w:lang w:val="en-AU"/>
        </w:rPr>
        <w:t>February</w:t>
      </w:r>
      <w:r w:rsidRPr="000F1CD0">
        <w:rPr>
          <w:lang w:val="en-AU"/>
        </w:rPr>
        <w:t xml:space="preserve"> 201</w:t>
      </w:r>
      <w:r w:rsidR="00D044AF" w:rsidRPr="000F1CD0">
        <w:rPr>
          <w:lang w:val="en-AU"/>
        </w:rPr>
        <w:t>7</w:t>
      </w:r>
      <w:r w:rsidRPr="000F1CD0">
        <w:rPr>
          <w:lang w:val="en-AU"/>
        </w:rPr>
        <w:t>, amended paragraphs 57–58 and added paragraphs 84C–84E</w:t>
      </w:r>
      <w:r w:rsidR="00E43C7F" w:rsidRPr="000F1CD0">
        <w:rPr>
          <w:lang w:val="en-AU"/>
        </w:rPr>
        <w:t>. A for-profit enti</w:t>
      </w:r>
      <w:r w:rsidR="000B2391" w:rsidRPr="000F1CD0">
        <w:rPr>
          <w:lang w:val="en-AU"/>
        </w:rPr>
        <w:t xml:space="preserve">ty shall apply those amendments </w:t>
      </w:r>
      <w:r w:rsidR="00E43C7F" w:rsidRPr="000F1CD0">
        <w:rPr>
          <w:lang w:val="en-AU"/>
        </w:rPr>
        <w:t xml:space="preserve">for annual periods beginning on or after 1 January 2018. A not-for-profit entity shall apply those </w:t>
      </w:r>
      <w:r w:rsidR="000B2391" w:rsidRPr="000F1CD0">
        <w:rPr>
          <w:lang w:val="en-AU"/>
        </w:rPr>
        <w:t>amendment</w:t>
      </w:r>
      <w:r w:rsidR="004A1503" w:rsidRPr="000F1CD0">
        <w:rPr>
          <w:lang w:val="en-AU"/>
        </w:rPr>
        <w:t>s</w:t>
      </w:r>
      <w:r w:rsidR="000B2391" w:rsidRPr="000F1CD0">
        <w:rPr>
          <w:lang w:val="en-AU"/>
        </w:rPr>
        <w:t xml:space="preserve"> </w:t>
      </w:r>
      <w:r w:rsidR="00E43C7F" w:rsidRPr="000F1CD0">
        <w:rPr>
          <w:lang w:val="en-AU"/>
        </w:rPr>
        <w:t>for annual periods beginn</w:t>
      </w:r>
      <w:r w:rsidR="00F75D5E">
        <w:rPr>
          <w:lang w:val="en-AU"/>
        </w:rPr>
        <w:t>ing on or after 1 January 2019.</w:t>
      </w:r>
      <w:r w:rsidRPr="000F1CD0">
        <w:rPr>
          <w:lang w:val="en-AU"/>
        </w:rPr>
        <w:t xml:space="preserve"> Earlier application is permitted. If an entity applies those amendments for an earlier period, it shall disclose that fact.</w:t>
      </w:r>
      <w:bookmarkEnd w:id="68"/>
    </w:p>
    <w:p w:rsidR="00485D3C" w:rsidRPr="000F1CD0" w:rsidRDefault="00485D3C" w:rsidP="00960DA8">
      <w:pPr>
        <w:pStyle w:val="IASBSectionTitle1NonInd"/>
        <w:rPr>
          <w:lang w:val="en-AU"/>
        </w:rPr>
      </w:pPr>
      <w:r w:rsidRPr="000F1CD0">
        <w:rPr>
          <w:lang w:val="en-AU"/>
        </w:rPr>
        <w:t>Commencement of the legislative instrument</w:t>
      </w:r>
    </w:p>
    <w:p w:rsidR="00485D3C" w:rsidRPr="000F1CD0" w:rsidRDefault="00485D3C" w:rsidP="000812F8">
      <w:pPr>
        <w:pStyle w:val="NoNumPlain1"/>
      </w:pPr>
      <w:r w:rsidRPr="000F1CD0">
        <w:t xml:space="preserve">For legal purposes, this legislative instrument commences on </w:t>
      </w:r>
      <w:bookmarkStart w:id="69" w:name="CommenceDate"/>
      <w:r w:rsidRPr="000F1CD0">
        <w:t>31 December 2017</w:t>
      </w:r>
      <w:bookmarkEnd w:id="69"/>
      <w:r w:rsidRPr="000F1CD0">
        <w:t>.</w:t>
      </w:r>
    </w:p>
    <w:sectPr w:rsidR="00485D3C" w:rsidRPr="000F1CD0" w:rsidSect="00D74C6A">
      <w:footerReference w:type="default" r:id="rId13"/>
      <w:headerReference w:type="first" r:id="rId14"/>
      <w:footerReference w:type="first" r:id="rId15"/>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D3C" w:rsidRDefault="00485D3C">
      <w:r>
        <w:separator/>
      </w:r>
    </w:p>
  </w:endnote>
  <w:endnote w:type="continuationSeparator" w:id="0">
    <w:p w:rsidR="00485D3C" w:rsidRDefault="0048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485D3C" w:rsidRPr="00485D3C">
      <w:rPr>
        <w:b/>
      </w:rPr>
      <w:t>2017-</w:t>
    </w:r>
    <w:r>
      <w:rPr>
        <w:b/>
      </w:rPr>
      <w:fldChar w:fldCharType="end"/>
    </w:r>
    <w:r w:rsidR="00584D93">
      <w:rPr>
        <w:b/>
      </w:rPr>
      <w:t>1</w:t>
    </w:r>
    <w:r>
      <w:rPr>
        <w:b/>
      </w:rPr>
      <w:tab/>
    </w:r>
    <w:r>
      <w:fldChar w:fldCharType="begin"/>
    </w:r>
    <w:r>
      <w:instrText>PAGE</w:instrText>
    </w:r>
    <w:r>
      <w:fldChar w:fldCharType="separate"/>
    </w:r>
    <w:r w:rsidR="00AF40D6">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485D3C" w:rsidRPr="00485D3C">
      <w:rPr>
        <w:b/>
      </w:rPr>
      <w:t>2017-</w:t>
    </w:r>
    <w:r>
      <w:rPr>
        <w:b/>
      </w:rPr>
      <w:fldChar w:fldCharType="end"/>
    </w:r>
    <w:r w:rsidR="00584D93">
      <w:rPr>
        <w:b/>
      </w:rPr>
      <w:t>1</w:t>
    </w:r>
    <w:r>
      <w:rPr>
        <w:b/>
      </w:rPr>
      <w:tab/>
    </w:r>
    <w:r>
      <w:fldChar w:fldCharType="begin"/>
    </w:r>
    <w:r>
      <w:instrText>PAGE</w:instrText>
    </w:r>
    <w:r>
      <w:fldChar w:fldCharType="separate"/>
    </w:r>
    <w:r w:rsidR="00AF40D6">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485D3C" w:rsidRPr="00485D3C">
      <w:rPr>
        <w:b/>
      </w:rPr>
      <w:t>2017-</w:t>
    </w:r>
    <w:r>
      <w:rPr>
        <w:b/>
      </w:rPr>
      <w:fldChar w:fldCharType="end"/>
    </w:r>
    <w:r w:rsidR="00584D93">
      <w:rPr>
        <w:b/>
      </w:rPr>
      <w:t>1</w:t>
    </w:r>
    <w:r>
      <w:rPr>
        <w:b/>
      </w:rPr>
      <w:tab/>
    </w:r>
    <w:r>
      <w:fldChar w:fldCharType="begin"/>
    </w:r>
    <w:r>
      <w:instrText>PAGE</w:instrText>
    </w:r>
    <w:r>
      <w:fldChar w:fldCharType="separate"/>
    </w:r>
    <w:r w:rsidR="00AF40D6">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485D3C" w:rsidRPr="00485D3C">
      <w:rPr>
        <w:b/>
      </w:rPr>
      <w:t>2017-</w:t>
    </w:r>
    <w:r>
      <w:rPr>
        <w:b/>
      </w:rPr>
      <w:fldChar w:fldCharType="end"/>
    </w:r>
    <w:r w:rsidR="00584D93">
      <w:rPr>
        <w:b/>
      </w:rPr>
      <w:t>1</w:t>
    </w:r>
    <w:r>
      <w:rPr>
        <w:b/>
      </w:rPr>
      <w:tab/>
    </w:r>
    <w:r>
      <w:fldChar w:fldCharType="begin"/>
    </w:r>
    <w:r>
      <w:instrText>PAGE</w:instrText>
    </w:r>
    <w:r>
      <w:fldChar w:fldCharType="separate"/>
    </w:r>
    <w:r w:rsidR="00AF40D6">
      <w:rPr>
        <w:noProof/>
      </w:rPr>
      <w:t>9</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D3C" w:rsidRDefault="00485D3C">
      <w:r>
        <w:separator/>
      </w:r>
    </w:p>
  </w:footnote>
  <w:footnote w:type="continuationSeparator" w:id="0">
    <w:p w:rsidR="00485D3C" w:rsidRDefault="00485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20FF7CDA"/>
    <w:multiLevelType w:val="hybridMultilevel"/>
    <w:tmpl w:val="2F342EAE"/>
    <w:lvl w:ilvl="0" w:tplc="AC14F13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9"/>
  </w:num>
  <w:num w:numId="7">
    <w:abstractNumId w:val="5"/>
  </w:num>
  <w:num w:numId="8">
    <w:abstractNumId w:val="6"/>
  </w:num>
  <w:num w:numId="9">
    <w:abstractNumId w:val="1"/>
  </w:num>
  <w:num w:numId="10">
    <w:abstractNumId w:val="0"/>
  </w:num>
  <w:num w:numId="11">
    <w:abstractNumId w:val="7"/>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40961">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wNDWytLQwMDMyMDZU0lEKTi0uzszPAykwNKoFAMuF3qwtAAAA"/>
  </w:docVars>
  <w:rsids>
    <w:rsidRoot w:val="00485D3C"/>
    <w:rsid w:val="0000292B"/>
    <w:rsid w:val="00015BDD"/>
    <w:rsid w:val="00027E8B"/>
    <w:rsid w:val="0004455B"/>
    <w:rsid w:val="00061436"/>
    <w:rsid w:val="000625F2"/>
    <w:rsid w:val="000718F7"/>
    <w:rsid w:val="00074133"/>
    <w:rsid w:val="000812F8"/>
    <w:rsid w:val="00085CE3"/>
    <w:rsid w:val="00090A6F"/>
    <w:rsid w:val="00096027"/>
    <w:rsid w:val="000B2391"/>
    <w:rsid w:val="000B4767"/>
    <w:rsid w:val="000B733C"/>
    <w:rsid w:val="000C3EB0"/>
    <w:rsid w:val="000D7B40"/>
    <w:rsid w:val="000E01C9"/>
    <w:rsid w:val="000F1CD0"/>
    <w:rsid w:val="000F64CC"/>
    <w:rsid w:val="00110B96"/>
    <w:rsid w:val="001162C5"/>
    <w:rsid w:val="001206CF"/>
    <w:rsid w:val="001368BD"/>
    <w:rsid w:val="00142FE9"/>
    <w:rsid w:val="001662B8"/>
    <w:rsid w:val="00171F51"/>
    <w:rsid w:val="001761C6"/>
    <w:rsid w:val="001864D4"/>
    <w:rsid w:val="0019286F"/>
    <w:rsid w:val="001940C7"/>
    <w:rsid w:val="001B33A5"/>
    <w:rsid w:val="001C0FA6"/>
    <w:rsid w:val="001C225F"/>
    <w:rsid w:val="001C4D57"/>
    <w:rsid w:val="001F78DF"/>
    <w:rsid w:val="0022022E"/>
    <w:rsid w:val="00230186"/>
    <w:rsid w:val="00242D3D"/>
    <w:rsid w:val="00253379"/>
    <w:rsid w:val="00254B16"/>
    <w:rsid w:val="00262E20"/>
    <w:rsid w:val="00276BC5"/>
    <w:rsid w:val="0028086D"/>
    <w:rsid w:val="00283482"/>
    <w:rsid w:val="0029647E"/>
    <w:rsid w:val="002A201D"/>
    <w:rsid w:val="002B7803"/>
    <w:rsid w:val="002F13B7"/>
    <w:rsid w:val="002F1CD0"/>
    <w:rsid w:val="00307F26"/>
    <w:rsid w:val="003251D8"/>
    <w:rsid w:val="0033581C"/>
    <w:rsid w:val="00364B30"/>
    <w:rsid w:val="00367DC9"/>
    <w:rsid w:val="00377B8D"/>
    <w:rsid w:val="00382796"/>
    <w:rsid w:val="0039009E"/>
    <w:rsid w:val="003A488F"/>
    <w:rsid w:val="003B0CAA"/>
    <w:rsid w:val="003B0E71"/>
    <w:rsid w:val="003B6633"/>
    <w:rsid w:val="003C1AF3"/>
    <w:rsid w:val="003C6090"/>
    <w:rsid w:val="003D1DD4"/>
    <w:rsid w:val="003D66C0"/>
    <w:rsid w:val="003E0A68"/>
    <w:rsid w:val="003E1900"/>
    <w:rsid w:val="00401ECA"/>
    <w:rsid w:val="004150BD"/>
    <w:rsid w:val="00422E4D"/>
    <w:rsid w:val="00426876"/>
    <w:rsid w:val="00434D86"/>
    <w:rsid w:val="00436A2D"/>
    <w:rsid w:val="00443EE1"/>
    <w:rsid w:val="0044702C"/>
    <w:rsid w:val="00460FBB"/>
    <w:rsid w:val="00470CE9"/>
    <w:rsid w:val="0047683E"/>
    <w:rsid w:val="0048155F"/>
    <w:rsid w:val="00485D3C"/>
    <w:rsid w:val="00487CF6"/>
    <w:rsid w:val="004961F8"/>
    <w:rsid w:val="004A1503"/>
    <w:rsid w:val="004A417F"/>
    <w:rsid w:val="004B038C"/>
    <w:rsid w:val="004B736C"/>
    <w:rsid w:val="004C1FD8"/>
    <w:rsid w:val="004C5BDE"/>
    <w:rsid w:val="004D3809"/>
    <w:rsid w:val="004D4D1C"/>
    <w:rsid w:val="004E2890"/>
    <w:rsid w:val="004F55FE"/>
    <w:rsid w:val="00500E80"/>
    <w:rsid w:val="00511C34"/>
    <w:rsid w:val="005166B2"/>
    <w:rsid w:val="0053452C"/>
    <w:rsid w:val="00535EC5"/>
    <w:rsid w:val="0056274D"/>
    <w:rsid w:val="005655CE"/>
    <w:rsid w:val="00566FB9"/>
    <w:rsid w:val="00577065"/>
    <w:rsid w:val="0058004D"/>
    <w:rsid w:val="00580BC4"/>
    <w:rsid w:val="00584D93"/>
    <w:rsid w:val="00590051"/>
    <w:rsid w:val="005A2514"/>
    <w:rsid w:val="005A6AC7"/>
    <w:rsid w:val="005B146F"/>
    <w:rsid w:val="005B3B28"/>
    <w:rsid w:val="005B7A3D"/>
    <w:rsid w:val="005C476A"/>
    <w:rsid w:val="005E32CA"/>
    <w:rsid w:val="005E6BE4"/>
    <w:rsid w:val="00602261"/>
    <w:rsid w:val="006318C1"/>
    <w:rsid w:val="00641282"/>
    <w:rsid w:val="00645553"/>
    <w:rsid w:val="00652DF8"/>
    <w:rsid w:val="00670EE6"/>
    <w:rsid w:val="006A3AE9"/>
    <w:rsid w:val="006A40E5"/>
    <w:rsid w:val="006B0CD6"/>
    <w:rsid w:val="006C2E37"/>
    <w:rsid w:val="006C6F7C"/>
    <w:rsid w:val="006D055E"/>
    <w:rsid w:val="006D134A"/>
    <w:rsid w:val="006D4700"/>
    <w:rsid w:val="006D7679"/>
    <w:rsid w:val="006E2C39"/>
    <w:rsid w:val="00714340"/>
    <w:rsid w:val="007219F7"/>
    <w:rsid w:val="007333C2"/>
    <w:rsid w:val="00737714"/>
    <w:rsid w:val="00742E4B"/>
    <w:rsid w:val="007455F0"/>
    <w:rsid w:val="007514B2"/>
    <w:rsid w:val="00751F6A"/>
    <w:rsid w:val="007554ED"/>
    <w:rsid w:val="00755E40"/>
    <w:rsid w:val="00756FF6"/>
    <w:rsid w:val="0076127E"/>
    <w:rsid w:val="0078116B"/>
    <w:rsid w:val="007A6BC3"/>
    <w:rsid w:val="007F1D3D"/>
    <w:rsid w:val="00804715"/>
    <w:rsid w:val="00812637"/>
    <w:rsid w:val="00813227"/>
    <w:rsid w:val="008176A8"/>
    <w:rsid w:val="00820794"/>
    <w:rsid w:val="00831497"/>
    <w:rsid w:val="00845115"/>
    <w:rsid w:val="008459E8"/>
    <w:rsid w:val="00864ADE"/>
    <w:rsid w:val="00867FB0"/>
    <w:rsid w:val="00871A12"/>
    <w:rsid w:val="00881BBE"/>
    <w:rsid w:val="00895809"/>
    <w:rsid w:val="008A16EB"/>
    <w:rsid w:val="008A6182"/>
    <w:rsid w:val="008B1D94"/>
    <w:rsid w:val="008B4C8D"/>
    <w:rsid w:val="008B643A"/>
    <w:rsid w:val="008C1C4A"/>
    <w:rsid w:val="008C60B1"/>
    <w:rsid w:val="008C6BD0"/>
    <w:rsid w:val="008D2EBD"/>
    <w:rsid w:val="008F0A81"/>
    <w:rsid w:val="008F3EBA"/>
    <w:rsid w:val="008F4AC5"/>
    <w:rsid w:val="008F5963"/>
    <w:rsid w:val="00923261"/>
    <w:rsid w:val="009256B7"/>
    <w:rsid w:val="009512F0"/>
    <w:rsid w:val="009568D3"/>
    <w:rsid w:val="00960DA8"/>
    <w:rsid w:val="00970C7A"/>
    <w:rsid w:val="009721DB"/>
    <w:rsid w:val="00972BFA"/>
    <w:rsid w:val="009765E9"/>
    <w:rsid w:val="009965BA"/>
    <w:rsid w:val="009B6535"/>
    <w:rsid w:val="009C2479"/>
    <w:rsid w:val="009D06F8"/>
    <w:rsid w:val="009D32BE"/>
    <w:rsid w:val="009D4F0C"/>
    <w:rsid w:val="009D73F1"/>
    <w:rsid w:val="009E7E47"/>
    <w:rsid w:val="009F2AC5"/>
    <w:rsid w:val="00A05041"/>
    <w:rsid w:val="00A13F82"/>
    <w:rsid w:val="00A16664"/>
    <w:rsid w:val="00A22E0D"/>
    <w:rsid w:val="00A41ED3"/>
    <w:rsid w:val="00A47FA2"/>
    <w:rsid w:val="00A51A7E"/>
    <w:rsid w:val="00A55F4F"/>
    <w:rsid w:val="00A71B45"/>
    <w:rsid w:val="00A748BA"/>
    <w:rsid w:val="00A83862"/>
    <w:rsid w:val="00A8486C"/>
    <w:rsid w:val="00A96702"/>
    <w:rsid w:val="00A97EB2"/>
    <w:rsid w:val="00AA14A9"/>
    <w:rsid w:val="00AB780A"/>
    <w:rsid w:val="00AC4315"/>
    <w:rsid w:val="00AD42DA"/>
    <w:rsid w:val="00AF2474"/>
    <w:rsid w:val="00AF40D6"/>
    <w:rsid w:val="00AF61B8"/>
    <w:rsid w:val="00B110AD"/>
    <w:rsid w:val="00B16904"/>
    <w:rsid w:val="00B20BF8"/>
    <w:rsid w:val="00B271BA"/>
    <w:rsid w:val="00B3301A"/>
    <w:rsid w:val="00B3429E"/>
    <w:rsid w:val="00B67BB7"/>
    <w:rsid w:val="00B74237"/>
    <w:rsid w:val="00B82F15"/>
    <w:rsid w:val="00B83CDF"/>
    <w:rsid w:val="00BA2395"/>
    <w:rsid w:val="00BA3AB4"/>
    <w:rsid w:val="00BA4622"/>
    <w:rsid w:val="00BB3BEE"/>
    <w:rsid w:val="00BB4C9F"/>
    <w:rsid w:val="00BC0794"/>
    <w:rsid w:val="00BC0D5D"/>
    <w:rsid w:val="00BE2F68"/>
    <w:rsid w:val="00BE38FC"/>
    <w:rsid w:val="00C03C7B"/>
    <w:rsid w:val="00C23907"/>
    <w:rsid w:val="00C3491B"/>
    <w:rsid w:val="00C3493B"/>
    <w:rsid w:val="00C37458"/>
    <w:rsid w:val="00C438DD"/>
    <w:rsid w:val="00C43CD1"/>
    <w:rsid w:val="00C45020"/>
    <w:rsid w:val="00C5022C"/>
    <w:rsid w:val="00C552FD"/>
    <w:rsid w:val="00C61CB2"/>
    <w:rsid w:val="00C63573"/>
    <w:rsid w:val="00C72BE2"/>
    <w:rsid w:val="00C95D8A"/>
    <w:rsid w:val="00CA61C5"/>
    <w:rsid w:val="00CB719A"/>
    <w:rsid w:val="00CC1DF4"/>
    <w:rsid w:val="00CC6FCD"/>
    <w:rsid w:val="00CD5D1C"/>
    <w:rsid w:val="00CE2F8C"/>
    <w:rsid w:val="00CF75CA"/>
    <w:rsid w:val="00CF7B67"/>
    <w:rsid w:val="00D00FD5"/>
    <w:rsid w:val="00D044AF"/>
    <w:rsid w:val="00D3235D"/>
    <w:rsid w:val="00D52086"/>
    <w:rsid w:val="00D54F5C"/>
    <w:rsid w:val="00D67336"/>
    <w:rsid w:val="00D74038"/>
    <w:rsid w:val="00D74C6A"/>
    <w:rsid w:val="00D942EB"/>
    <w:rsid w:val="00D96A64"/>
    <w:rsid w:val="00DA2A7B"/>
    <w:rsid w:val="00DB00CD"/>
    <w:rsid w:val="00DC68C7"/>
    <w:rsid w:val="00DC7E1B"/>
    <w:rsid w:val="00DD1DDC"/>
    <w:rsid w:val="00DD7E7A"/>
    <w:rsid w:val="00DE2C67"/>
    <w:rsid w:val="00DF39E3"/>
    <w:rsid w:val="00E033B7"/>
    <w:rsid w:val="00E06C2F"/>
    <w:rsid w:val="00E24399"/>
    <w:rsid w:val="00E274C6"/>
    <w:rsid w:val="00E41399"/>
    <w:rsid w:val="00E43C7F"/>
    <w:rsid w:val="00E63279"/>
    <w:rsid w:val="00E74BD5"/>
    <w:rsid w:val="00E7592A"/>
    <w:rsid w:val="00E839DA"/>
    <w:rsid w:val="00E90B4F"/>
    <w:rsid w:val="00E9116B"/>
    <w:rsid w:val="00E915E3"/>
    <w:rsid w:val="00E94DA2"/>
    <w:rsid w:val="00E96D45"/>
    <w:rsid w:val="00E97B4B"/>
    <w:rsid w:val="00EB4197"/>
    <w:rsid w:val="00EB4756"/>
    <w:rsid w:val="00EC33BC"/>
    <w:rsid w:val="00EC4AFD"/>
    <w:rsid w:val="00ED0067"/>
    <w:rsid w:val="00ED06E4"/>
    <w:rsid w:val="00ED4723"/>
    <w:rsid w:val="00EE2509"/>
    <w:rsid w:val="00EE3D03"/>
    <w:rsid w:val="00EE740D"/>
    <w:rsid w:val="00EF26BF"/>
    <w:rsid w:val="00F13C5A"/>
    <w:rsid w:val="00F14BDB"/>
    <w:rsid w:val="00F22AF2"/>
    <w:rsid w:val="00F2677A"/>
    <w:rsid w:val="00F27D29"/>
    <w:rsid w:val="00F424C9"/>
    <w:rsid w:val="00F503AD"/>
    <w:rsid w:val="00F66B41"/>
    <w:rsid w:val="00F70811"/>
    <w:rsid w:val="00F7179D"/>
    <w:rsid w:val="00F75D5E"/>
    <w:rsid w:val="00F82A0E"/>
    <w:rsid w:val="00F970FB"/>
    <w:rsid w:val="00FB39CB"/>
    <w:rsid w:val="00FC2254"/>
    <w:rsid w:val="00FC30DA"/>
    <w:rsid w:val="00FC64EE"/>
    <w:rsid w:val="00FD0FA3"/>
    <w:rsid w:val="00FF44B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
    <w:name w:val="IASB Normal"/>
    <w:rsid w:val="005B3B28"/>
    <w:pPr>
      <w:tabs>
        <w:tab w:val="left" w:pos="4253"/>
      </w:tabs>
      <w:spacing w:before="100" w:after="100"/>
      <w:jc w:val="both"/>
    </w:pPr>
    <w:rPr>
      <w:sz w:val="19"/>
      <w:lang w:val="en-US" w:eastAsia="en-US"/>
    </w:rPr>
  </w:style>
  <w:style w:type="paragraph" w:customStyle="1" w:styleId="IASBNormalnpara">
    <w:name w:val="IASB Normal npara"/>
    <w:basedOn w:val="IASBNormal"/>
    <w:rsid w:val="005B3B28"/>
    <w:pPr>
      <w:tabs>
        <w:tab w:val="clear" w:pos="4253"/>
      </w:tabs>
      <w:spacing w:after="0"/>
      <w:ind w:left="782" w:hanging="782"/>
    </w:pPr>
  </w:style>
  <w:style w:type="paragraph" w:customStyle="1" w:styleId="IASBSectionTitle1NonInd">
    <w:name w:val="IASB Section Title 1 NonInd"/>
    <w:basedOn w:val="Normal"/>
    <w:rsid w:val="005B3B28"/>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5B3B28"/>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5B3B28"/>
    <w:pPr>
      <w:ind w:left="1564"/>
    </w:pPr>
  </w:style>
  <w:style w:type="paragraph" w:customStyle="1" w:styleId="IASBNormalnparaP">
    <w:name w:val="IASB Normal nparaP"/>
    <w:basedOn w:val="IASBNormal"/>
    <w:rsid w:val="005B3B28"/>
    <w:pPr>
      <w:ind w:left="782"/>
    </w:pPr>
  </w:style>
  <w:style w:type="paragraph" w:customStyle="1" w:styleId="IASBNormalnparaL1P">
    <w:name w:val="IASB Normal nparaL1P"/>
    <w:basedOn w:val="Normal"/>
    <w:rsid w:val="005B3B28"/>
    <w:pPr>
      <w:spacing w:before="100"/>
      <w:ind w:left="1565"/>
    </w:pPr>
    <w:rPr>
      <w:lang w:val="en-US"/>
    </w:rPr>
  </w:style>
  <w:style w:type="paragraph" w:customStyle="1" w:styleId="IASBNormalnparaL2P">
    <w:name w:val="IASB Normal nparaL2P"/>
    <w:basedOn w:val="IASBNormalnparaL1P"/>
    <w:rsid w:val="005B3B28"/>
    <w:pPr>
      <w:ind w:left="2347"/>
    </w:pPr>
  </w:style>
  <w:style w:type="paragraph" w:customStyle="1" w:styleId="IASBTableArial">
    <w:name w:val="IASB Table Arial"/>
    <w:basedOn w:val="Normal"/>
    <w:rsid w:val="005B3B28"/>
    <w:pPr>
      <w:spacing w:before="120"/>
      <w:jc w:val="left"/>
    </w:pPr>
    <w:rPr>
      <w:rFonts w:ascii="Arial" w:hAnsi="Arial"/>
      <w:sz w:val="18"/>
      <w:lang w:val="en-GB" w:eastAsia="en-GB"/>
    </w:rPr>
  </w:style>
  <w:style w:type="paragraph" w:customStyle="1" w:styleId="IASBNormalnparaL2">
    <w:name w:val="IASB Normal nparaL2"/>
    <w:basedOn w:val="IASBNormalnparaL1"/>
    <w:rsid w:val="003C6090"/>
    <w:pPr>
      <w:ind w:left="2347"/>
    </w:pPr>
  </w:style>
  <w:style w:type="paragraph" w:customStyle="1" w:styleId="IASBSectionTitle1Ind">
    <w:name w:val="IASB Section Title 1 Ind"/>
    <w:basedOn w:val="Normal"/>
    <w:rsid w:val="00B20BF8"/>
    <w:pPr>
      <w:keepNext/>
      <w:keepLines/>
      <w:pBdr>
        <w:bottom w:val="single" w:sz="4" w:space="0" w:color="auto"/>
      </w:pBdr>
      <w:spacing w:before="400" w:after="200"/>
      <w:ind w:left="782"/>
      <w:jc w:val="left"/>
    </w:pPr>
    <w:rPr>
      <w:rFonts w:ascii="Arial" w:hAnsi="Arial" w:cs="Arial"/>
      <w:b/>
      <w:sz w:val="26"/>
      <w:lang w:val="en-US"/>
    </w:rPr>
  </w:style>
  <w:style w:type="paragraph" w:styleId="BalloonText">
    <w:name w:val="Balloon Text"/>
    <w:basedOn w:val="Normal"/>
    <w:link w:val="BalloonTextChar"/>
    <w:rsid w:val="001C0FA6"/>
    <w:rPr>
      <w:rFonts w:ascii="Tahoma" w:hAnsi="Tahoma" w:cs="Tahoma"/>
      <w:sz w:val="16"/>
      <w:szCs w:val="16"/>
    </w:rPr>
  </w:style>
  <w:style w:type="character" w:customStyle="1" w:styleId="BalloonTextChar">
    <w:name w:val="Balloon Text Char"/>
    <w:basedOn w:val="DefaultParagraphFont"/>
    <w:link w:val="BalloonText"/>
    <w:rsid w:val="001C0FA6"/>
    <w:rPr>
      <w:rFonts w:ascii="Tahoma" w:hAnsi="Tahoma" w:cs="Tahoma"/>
      <w:sz w:val="16"/>
      <w:szCs w:val="16"/>
      <w:lang w:eastAsia="en-US"/>
    </w:rPr>
  </w:style>
  <w:style w:type="character" w:styleId="CommentReference">
    <w:name w:val="annotation reference"/>
    <w:basedOn w:val="DefaultParagraphFont"/>
    <w:rsid w:val="001368BD"/>
    <w:rPr>
      <w:sz w:val="16"/>
      <w:szCs w:val="16"/>
    </w:rPr>
  </w:style>
  <w:style w:type="paragraph" w:styleId="CommentText">
    <w:name w:val="annotation text"/>
    <w:basedOn w:val="Normal"/>
    <w:link w:val="CommentTextChar"/>
    <w:rsid w:val="001368BD"/>
    <w:rPr>
      <w:sz w:val="20"/>
    </w:rPr>
  </w:style>
  <w:style w:type="character" w:customStyle="1" w:styleId="CommentTextChar">
    <w:name w:val="Comment Text Char"/>
    <w:basedOn w:val="DefaultParagraphFont"/>
    <w:link w:val="CommentText"/>
    <w:rsid w:val="001368BD"/>
    <w:rPr>
      <w:lang w:eastAsia="en-US"/>
    </w:rPr>
  </w:style>
  <w:style w:type="paragraph" w:styleId="CommentSubject">
    <w:name w:val="annotation subject"/>
    <w:basedOn w:val="CommentText"/>
    <w:next w:val="CommentText"/>
    <w:link w:val="CommentSubjectChar"/>
    <w:rsid w:val="001368BD"/>
    <w:rPr>
      <w:b/>
      <w:bCs/>
    </w:rPr>
  </w:style>
  <w:style w:type="character" w:customStyle="1" w:styleId="CommentSubjectChar">
    <w:name w:val="Comment Subject Char"/>
    <w:basedOn w:val="CommentTextChar"/>
    <w:link w:val="CommentSubject"/>
    <w:rsid w:val="001368BD"/>
    <w:rPr>
      <w:b/>
      <w:bCs/>
      <w:lang w:eastAsia="en-US"/>
    </w:rPr>
  </w:style>
  <w:style w:type="paragraph" w:styleId="Revision">
    <w:name w:val="Revision"/>
    <w:hidden/>
    <w:uiPriority w:val="99"/>
    <w:semiHidden/>
    <w:rsid w:val="00230186"/>
    <w:rPr>
      <w:sz w:val="19"/>
      <w:lang w:eastAsia="en-US"/>
    </w:rPr>
  </w:style>
  <w:style w:type="paragraph" w:customStyle="1" w:styleId="AASBBase">
    <w:name w:val="AASB Base"/>
    <w:qFormat/>
    <w:rsid w:val="00443EE1"/>
    <w:pPr>
      <w:jc w:val="both"/>
    </w:pPr>
    <w:rPr>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
    <w:name w:val="IASB Normal"/>
    <w:rsid w:val="005B3B28"/>
    <w:pPr>
      <w:tabs>
        <w:tab w:val="left" w:pos="4253"/>
      </w:tabs>
      <w:spacing w:before="100" w:after="100"/>
      <w:jc w:val="both"/>
    </w:pPr>
    <w:rPr>
      <w:sz w:val="19"/>
      <w:lang w:val="en-US" w:eastAsia="en-US"/>
    </w:rPr>
  </w:style>
  <w:style w:type="paragraph" w:customStyle="1" w:styleId="IASBNormalnpara">
    <w:name w:val="IASB Normal npara"/>
    <w:basedOn w:val="IASBNormal"/>
    <w:rsid w:val="005B3B28"/>
    <w:pPr>
      <w:tabs>
        <w:tab w:val="clear" w:pos="4253"/>
      </w:tabs>
      <w:spacing w:after="0"/>
      <w:ind w:left="782" w:hanging="782"/>
    </w:pPr>
  </w:style>
  <w:style w:type="paragraph" w:customStyle="1" w:styleId="IASBSectionTitle1NonInd">
    <w:name w:val="IASB Section Title 1 NonInd"/>
    <w:basedOn w:val="Normal"/>
    <w:rsid w:val="005B3B28"/>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5B3B28"/>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5B3B28"/>
    <w:pPr>
      <w:ind w:left="1564"/>
    </w:pPr>
  </w:style>
  <w:style w:type="paragraph" w:customStyle="1" w:styleId="IASBNormalnparaP">
    <w:name w:val="IASB Normal nparaP"/>
    <w:basedOn w:val="IASBNormal"/>
    <w:rsid w:val="005B3B28"/>
    <w:pPr>
      <w:ind w:left="782"/>
    </w:pPr>
  </w:style>
  <w:style w:type="paragraph" w:customStyle="1" w:styleId="IASBNormalnparaL1P">
    <w:name w:val="IASB Normal nparaL1P"/>
    <w:basedOn w:val="Normal"/>
    <w:rsid w:val="005B3B28"/>
    <w:pPr>
      <w:spacing w:before="100"/>
      <w:ind w:left="1565"/>
    </w:pPr>
    <w:rPr>
      <w:lang w:val="en-US"/>
    </w:rPr>
  </w:style>
  <w:style w:type="paragraph" w:customStyle="1" w:styleId="IASBNormalnparaL2P">
    <w:name w:val="IASB Normal nparaL2P"/>
    <w:basedOn w:val="IASBNormalnparaL1P"/>
    <w:rsid w:val="005B3B28"/>
    <w:pPr>
      <w:ind w:left="2347"/>
    </w:pPr>
  </w:style>
  <w:style w:type="paragraph" w:customStyle="1" w:styleId="IASBTableArial">
    <w:name w:val="IASB Table Arial"/>
    <w:basedOn w:val="Normal"/>
    <w:rsid w:val="005B3B28"/>
    <w:pPr>
      <w:spacing w:before="120"/>
      <w:jc w:val="left"/>
    </w:pPr>
    <w:rPr>
      <w:rFonts w:ascii="Arial" w:hAnsi="Arial"/>
      <w:sz w:val="18"/>
      <w:lang w:val="en-GB" w:eastAsia="en-GB"/>
    </w:rPr>
  </w:style>
  <w:style w:type="paragraph" w:customStyle="1" w:styleId="IASBNormalnparaL2">
    <w:name w:val="IASB Normal nparaL2"/>
    <w:basedOn w:val="IASBNormalnparaL1"/>
    <w:rsid w:val="003C6090"/>
    <w:pPr>
      <w:ind w:left="2347"/>
    </w:pPr>
  </w:style>
  <w:style w:type="paragraph" w:customStyle="1" w:styleId="IASBSectionTitle1Ind">
    <w:name w:val="IASB Section Title 1 Ind"/>
    <w:basedOn w:val="Normal"/>
    <w:rsid w:val="00B20BF8"/>
    <w:pPr>
      <w:keepNext/>
      <w:keepLines/>
      <w:pBdr>
        <w:bottom w:val="single" w:sz="4" w:space="0" w:color="auto"/>
      </w:pBdr>
      <w:spacing w:before="400" w:after="200"/>
      <w:ind w:left="782"/>
      <w:jc w:val="left"/>
    </w:pPr>
    <w:rPr>
      <w:rFonts w:ascii="Arial" w:hAnsi="Arial" w:cs="Arial"/>
      <w:b/>
      <w:sz w:val="26"/>
      <w:lang w:val="en-US"/>
    </w:rPr>
  </w:style>
  <w:style w:type="paragraph" w:styleId="BalloonText">
    <w:name w:val="Balloon Text"/>
    <w:basedOn w:val="Normal"/>
    <w:link w:val="BalloonTextChar"/>
    <w:rsid w:val="001C0FA6"/>
    <w:rPr>
      <w:rFonts w:ascii="Tahoma" w:hAnsi="Tahoma" w:cs="Tahoma"/>
      <w:sz w:val="16"/>
      <w:szCs w:val="16"/>
    </w:rPr>
  </w:style>
  <w:style w:type="character" w:customStyle="1" w:styleId="BalloonTextChar">
    <w:name w:val="Balloon Text Char"/>
    <w:basedOn w:val="DefaultParagraphFont"/>
    <w:link w:val="BalloonText"/>
    <w:rsid w:val="001C0FA6"/>
    <w:rPr>
      <w:rFonts w:ascii="Tahoma" w:hAnsi="Tahoma" w:cs="Tahoma"/>
      <w:sz w:val="16"/>
      <w:szCs w:val="16"/>
      <w:lang w:eastAsia="en-US"/>
    </w:rPr>
  </w:style>
  <w:style w:type="character" w:styleId="CommentReference">
    <w:name w:val="annotation reference"/>
    <w:basedOn w:val="DefaultParagraphFont"/>
    <w:rsid w:val="001368BD"/>
    <w:rPr>
      <w:sz w:val="16"/>
      <w:szCs w:val="16"/>
    </w:rPr>
  </w:style>
  <w:style w:type="paragraph" w:styleId="CommentText">
    <w:name w:val="annotation text"/>
    <w:basedOn w:val="Normal"/>
    <w:link w:val="CommentTextChar"/>
    <w:rsid w:val="001368BD"/>
    <w:rPr>
      <w:sz w:val="20"/>
    </w:rPr>
  </w:style>
  <w:style w:type="character" w:customStyle="1" w:styleId="CommentTextChar">
    <w:name w:val="Comment Text Char"/>
    <w:basedOn w:val="DefaultParagraphFont"/>
    <w:link w:val="CommentText"/>
    <w:rsid w:val="001368BD"/>
    <w:rPr>
      <w:lang w:eastAsia="en-US"/>
    </w:rPr>
  </w:style>
  <w:style w:type="paragraph" w:styleId="CommentSubject">
    <w:name w:val="annotation subject"/>
    <w:basedOn w:val="CommentText"/>
    <w:next w:val="CommentText"/>
    <w:link w:val="CommentSubjectChar"/>
    <w:rsid w:val="001368BD"/>
    <w:rPr>
      <w:b/>
      <w:bCs/>
    </w:rPr>
  </w:style>
  <w:style w:type="character" w:customStyle="1" w:styleId="CommentSubjectChar">
    <w:name w:val="Comment Subject Char"/>
    <w:basedOn w:val="CommentTextChar"/>
    <w:link w:val="CommentSubject"/>
    <w:rsid w:val="001368BD"/>
    <w:rPr>
      <w:b/>
      <w:bCs/>
      <w:lang w:eastAsia="en-US"/>
    </w:rPr>
  </w:style>
  <w:style w:type="paragraph" w:styleId="Revision">
    <w:name w:val="Revision"/>
    <w:hidden/>
    <w:uiPriority w:val="99"/>
    <w:semiHidden/>
    <w:rsid w:val="00230186"/>
    <w:rPr>
      <w:sz w:val="19"/>
      <w:lang w:eastAsia="en-US"/>
    </w:rPr>
  </w:style>
  <w:style w:type="paragraph" w:customStyle="1" w:styleId="AASBBase">
    <w:name w:val="AASB Base"/>
    <w:qFormat/>
    <w:rsid w:val="00443EE1"/>
    <w:pPr>
      <w:jc w:val="both"/>
    </w:pPr>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5426">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19851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0\WordGlobal\AmendingIF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BD90-6DD8-46CE-8727-6F4D162E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AmendingIFRS</Template>
  <TotalTime>0</TotalTime>
  <Pages>9</Pages>
  <Words>2765</Words>
  <Characters>16215</Characters>
  <Application>Microsoft Office Word</Application>
  <DocSecurity>0</DocSecurity>
  <Lines>305</Lines>
  <Paragraphs>177</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dc:creator>
  <cp:lastModifiedBy>Lee, Eric</cp:lastModifiedBy>
  <cp:revision>3</cp:revision>
  <cp:lastPrinted>2017-02-14T01:36:00Z</cp:lastPrinted>
  <dcterms:created xsi:type="dcterms:W3CDTF">2017-02-14T03:34:00Z</dcterms:created>
  <dcterms:modified xsi:type="dcterms:W3CDTF">2017-02-14T04:43:00Z</dcterms:modified>
</cp:coreProperties>
</file>