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A2BD0" w14:textId="77777777" w:rsidR="0088082C" w:rsidRPr="0080765E" w:rsidRDefault="0088082C" w:rsidP="0088082C">
      <w:pPr>
        <w:jc w:val="center"/>
        <w:rPr>
          <w:b/>
          <w:sz w:val="28"/>
          <w:szCs w:val="28"/>
        </w:rPr>
      </w:pPr>
      <w:r w:rsidRPr="0080765E">
        <w:rPr>
          <w:b/>
          <w:sz w:val="28"/>
          <w:szCs w:val="28"/>
        </w:rPr>
        <w:t>INSTRUMENT REGULATING FISHING</w:t>
      </w:r>
    </w:p>
    <w:p w14:paraId="429FA9DF" w14:textId="77777777" w:rsidR="0088082C" w:rsidRDefault="0088082C" w:rsidP="0088082C">
      <w:pPr>
        <w:jc w:val="center"/>
      </w:pPr>
    </w:p>
    <w:p w14:paraId="0244ABA7" w14:textId="77777777" w:rsidR="0088082C" w:rsidRPr="0080765E" w:rsidRDefault="0088082C" w:rsidP="0088082C">
      <w:pPr>
        <w:jc w:val="center"/>
        <w:rPr>
          <w:b/>
          <w:i/>
        </w:rPr>
      </w:pPr>
      <w:smartTag w:uri="urn:schemas-microsoft-com:office:smarttags" w:element="place">
        <w:r w:rsidRPr="0080765E">
          <w:rPr>
            <w:b/>
            <w:i/>
          </w:rPr>
          <w:t>Torres Strait</w:t>
        </w:r>
      </w:smartTag>
      <w:r w:rsidRPr="0080765E">
        <w:rPr>
          <w:b/>
          <w:i/>
        </w:rPr>
        <w:t xml:space="preserve"> Fisheries Act 1984</w:t>
      </w:r>
    </w:p>
    <w:p w14:paraId="1F79DEC4" w14:textId="77777777" w:rsidR="0088082C" w:rsidRDefault="0088082C" w:rsidP="0088082C">
      <w:pPr>
        <w:jc w:val="center"/>
      </w:pPr>
      <w:r>
        <w:t>Section 16</w:t>
      </w:r>
    </w:p>
    <w:p w14:paraId="2163C86B" w14:textId="77777777" w:rsidR="0088082C" w:rsidRDefault="0088082C" w:rsidP="0088082C">
      <w:pPr>
        <w:jc w:val="center"/>
        <w:rPr>
          <w:b/>
        </w:rPr>
      </w:pPr>
      <w:r w:rsidRPr="0080765E">
        <w:rPr>
          <w:b/>
        </w:rPr>
        <w:t xml:space="preserve">Torres Strait </w:t>
      </w:r>
      <w:r>
        <w:rPr>
          <w:b/>
        </w:rPr>
        <w:t>Prawn</w:t>
      </w:r>
      <w:r w:rsidRPr="0080765E">
        <w:rPr>
          <w:b/>
        </w:rPr>
        <w:t xml:space="preserve"> Fishery</w:t>
      </w:r>
    </w:p>
    <w:p w14:paraId="0C0C78BB" w14:textId="77777777" w:rsidR="0088082C" w:rsidRDefault="0088082C" w:rsidP="0088082C">
      <w:pPr>
        <w:jc w:val="center"/>
        <w:rPr>
          <w:b/>
        </w:rPr>
      </w:pPr>
    </w:p>
    <w:p w14:paraId="558058D4" w14:textId="77777777" w:rsidR="0088082C" w:rsidRDefault="0088082C" w:rsidP="0088082C">
      <w:pPr>
        <w:jc w:val="center"/>
        <w:rPr>
          <w:b/>
        </w:rPr>
      </w:pPr>
      <w:r>
        <w:rPr>
          <w:b/>
        </w:rPr>
        <w:t>TORRES STRAIT FISHERIES MANAGEMENT INSTRUMENT NO. 12</w:t>
      </w:r>
    </w:p>
    <w:p w14:paraId="37DC8E04" w14:textId="77777777" w:rsidR="0088082C" w:rsidRDefault="0088082C" w:rsidP="0088082C">
      <w:pPr>
        <w:tabs>
          <w:tab w:val="left" w:pos="8100"/>
        </w:tabs>
        <w:rPr>
          <w:b/>
          <w:u w:val="single"/>
        </w:rPr>
      </w:pPr>
      <w:r>
        <w:rPr>
          <w:b/>
          <w:u w:val="single"/>
        </w:rPr>
        <w:tab/>
      </w:r>
    </w:p>
    <w:p w14:paraId="2340F07E" w14:textId="77777777" w:rsidR="0088082C" w:rsidRPr="00783F3B" w:rsidRDefault="0088082C" w:rsidP="00783F3B">
      <w:pPr>
        <w:autoSpaceDE w:val="0"/>
        <w:autoSpaceDN w:val="0"/>
        <w:adjustRightInd w:val="0"/>
        <w:ind w:left="1560" w:hanging="284"/>
        <w:rPr>
          <w:sz w:val="18"/>
          <w:szCs w:val="18"/>
          <w:lang w:val="en-US"/>
        </w:rPr>
      </w:pPr>
    </w:p>
    <w:p w14:paraId="0D56DEBA" w14:textId="702E7431" w:rsidR="0088082C" w:rsidRDefault="0088082C" w:rsidP="0088082C">
      <w:pPr>
        <w:tabs>
          <w:tab w:val="left" w:pos="8100"/>
        </w:tabs>
        <w:jc w:val="both"/>
      </w:pPr>
      <w:r>
        <w:t xml:space="preserve">The </w:t>
      </w:r>
      <w:r w:rsidRPr="0080765E">
        <w:rPr>
          <w:b/>
        </w:rPr>
        <w:t>PROTECTED ZONE JOINT AUTHORITY</w:t>
      </w:r>
      <w:r>
        <w:t xml:space="preserve"> </w:t>
      </w:r>
      <w:r w:rsidR="00EE0460">
        <w:t>exercising jurisdiction under Commonwealth law over commercial fishing in the Protected Zone pursuant to the arrangement between the Commonwealth and the State of Queensland published on 19</w:t>
      </w:r>
      <w:r w:rsidR="00EE0460" w:rsidRPr="00E3510B">
        <w:rPr>
          <w:vertAlign w:val="superscript"/>
        </w:rPr>
        <w:t>th</w:t>
      </w:r>
      <w:r w:rsidR="00EE0460">
        <w:t xml:space="preserve"> March 1999 in the Commonwealth Gazette No. S125 and </w:t>
      </w:r>
      <w:r w:rsidR="00EE0460" w:rsidRPr="00041C6D">
        <w:t xml:space="preserve">acting in accordance with the powers conferred on the Authority by paragraph 35(1)(a) of the </w:t>
      </w:r>
      <w:r w:rsidR="00EE0460" w:rsidRPr="00041C6D">
        <w:rPr>
          <w:i/>
        </w:rPr>
        <w:t>Torres Strait Fisheries Act 1984</w:t>
      </w:r>
      <w:r w:rsidR="00EE0460" w:rsidRPr="00041C6D">
        <w:t xml:space="preserve">, </w:t>
      </w:r>
      <w:r w:rsidR="00EE0460" w:rsidRPr="00A41907">
        <w:t xml:space="preserve">under section 16 of the </w:t>
      </w:r>
      <w:r w:rsidR="00EE0460" w:rsidRPr="00A41907">
        <w:rPr>
          <w:i/>
        </w:rPr>
        <w:t xml:space="preserve">Torres Strait Fisheries Act 1984, </w:t>
      </w:r>
      <w:r w:rsidR="00EE0460" w:rsidRPr="00A41907">
        <w:t>makes the</w:t>
      </w:r>
      <w:r w:rsidR="00EE0460" w:rsidRPr="00041C6D">
        <w:t xml:space="preserve"> following </w:t>
      </w:r>
      <w:r w:rsidR="00EE0460">
        <w:t>Instrument</w:t>
      </w:r>
      <w:r w:rsidR="00EE0460" w:rsidRPr="00041C6D">
        <w:t>.</w:t>
      </w:r>
    </w:p>
    <w:p w14:paraId="58AB4DF3" w14:textId="77777777" w:rsidR="0088082C" w:rsidRDefault="0088082C" w:rsidP="0088082C">
      <w:pPr>
        <w:tabs>
          <w:tab w:val="left" w:pos="8100"/>
        </w:tabs>
        <w:jc w:val="both"/>
      </w:pPr>
    </w:p>
    <w:p w14:paraId="3EDA4EF3" w14:textId="77777777" w:rsidR="0088082C" w:rsidRDefault="0088082C" w:rsidP="0088082C">
      <w:pPr>
        <w:tabs>
          <w:tab w:val="left" w:pos="8100"/>
        </w:tabs>
        <w:jc w:val="both"/>
      </w:pPr>
    </w:p>
    <w:p w14:paraId="58139ACA" w14:textId="15DC677A" w:rsidR="0088082C" w:rsidRDefault="0088082C" w:rsidP="0088082C">
      <w:pPr>
        <w:tabs>
          <w:tab w:val="left" w:pos="8100"/>
        </w:tabs>
        <w:jc w:val="both"/>
        <w:rPr>
          <w:b/>
        </w:rPr>
      </w:pPr>
      <w:r w:rsidRPr="0080765E">
        <w:rPr>
          <w:b/>
        </w:rPr>
        <w:t>Dated</w:t>
      </w:r>
      <w:bookmarkStart w:id="0" w:name="_GoBack"/>
      <w:bookmarkEnd w:id="0"/>
      <w:r w:rsidR="00C35730" w:rsidRPr="0080765E">
        <w:rPr>
          <w:b/>
        </w:rPr>
        <w:t>:</w:t>
      </w:r>
      <w:r w:rsidR="00C35730">
        <w:rPr>
          <w:b/>
        </w:rPr>
        <w:t xml:space="preserve">    </w:t>
      </w:r>
      <w:r w:rsidR="00C35730" w:rsidRPr="00255924">
        <w:t>22</w:t>
      </w:r>
      <w:r w:rsidR="00C35730" w:rsidRPr="00255924">
        <w:rPr>
          <w:vertAlign w:val="superscript"/>
        </w:rPr>
        <w:t>nd</w:t>
      </w:r>
      <w:r w:rsidR="00C35730" w:rsidRPr="00255924">
        <w:t xml:space="preserve"> Feb</w:t>
      </w:r>
      <w:r w:rsidR="00C35730">
        <w:rPr>
          <w:b/>
        </w:rPr>
        <w:t xml:space="preserve">    </w:t>
      </w:r>
      <w:r w:rsidR="00EE0460">
        <w:rPr>
          <w:b/>
        </w:rPr>
        <w:t>2017</w:t>
      </w:r>
    </w:p>
    <w:p w14:paraId="03262169" w14:textId="77777777" w:rsidR="0088082C" w:rsidRDefault="0088082C" w:rsidP="0088082C">
      <w:pPr>
        <w:tabs>
          <w:tab w:val="left" w:pos="8100"/>
        </w:tabs>
        <w:jc w:val="both"/>
        <w:rPr>
          <w:b/>
        </w:rPr>
      </w:pPr>
    </w:p>
    <w:p w14:paraId="68DC6D71" w14:textId="77777777" w:rsidR="0088082C" w:rsidRDefault="0088082C" w:rsidP="0088082C">
      <w:pPr>
        <w:tabs>
          <w:tab w:val="left" w:pos="8100"/>
        </w:tabs>
        <w:jc w:val="both"/>
        <w:rPr>
          <w:b/>
        </w:rPr>
      </w:pPr>
    </w:p>
    <w:p w14:paraId="6B5F8003" w14:textId="77777777" w:rsidR="0088082C" w:rsidRDefault="0088082C" w:rsidP="0088082C">
      <w:pPr>
        <w:tabs>
          <w:tab w:val="left" w:pos="8100"/>
        </w:tabs>
        <w:jc w:val="both"/>
        <w:rPr>
          <w:b/>
        </w:rPr>
      </w:pPr>
    </w:p>
    <w:p w14:paraId="49BEDC84" w14:textId="77777777" w:rsidR="0088082C" w:rsidRDefault="0088082C" w:rsidP="0088082C">
      <w:pPr>
        <w:tabs>
          <w:tab w:val="left" w:pos="8100"/>
        </w:tabs>
        <w:jc w:val="both"/>
        <w:rPr>
          <w:b/>
        </w:rPr>
      </w:pPr>
    </w:p>
    <w:p w14:paraId="3A1E7D4F" w14:textId="77777777" w:rsidR="0088082C" w:rsidRDefault="0088082C" w:rsidP="0088082C">
      <w:pPr>
        <w:tabs>
          <w:tab w:val="left" w:pos="8100"/>
        </w:tabs>
        <w:jc w:val="both"/>
        <w:rPr>
          <w:b/>
        </w:rPr>
      </w:pPr>
    </w:p>
    <w:p w14:paraId="3EBA12DF" w14:textId="77777777" w:rsidR="0088082C" w:rsidRPr="00480691" w:rsidRDefault="0088082C" w:rsidP="0088082C">
      <w:pPr>
        <w:tabs>
          <w:tab w:val="left" w:pos="8100"/>
        </w:tabs>
        <w:rPr>
          <w:b/>
        </w:rPr>
      </w:pPr>
      <w:r w:rsidRPr="00480691">
        <w:rPr>
          <w:b/>
        </w:rPr>
        <w:t>Senator the Hon. Anne Ruston</w:t>
      </w:r>
    </w:p>
    <w:p w14:paraId="0372C052" w14:textId="77777777" w:rsidR="00EE0460" w:rsidRPr="00480691" w:rsidRDefault="00EE0460" w:rsidP="00EE0460">
      <w:pPr>
        <w:tabs>
          <w:tab w:val="left" w:pos="8100"/>
        </w:tabs>
      </w:pPr>
      <w:r w:rsidRPr="00480691">
        <w:t xml:space="preserve">Parliamentary Secretary to the </w:t>
      </w:r>
      <w:r>
        <w:t xml:space="preserve">Deputy Prime Minister and </w:t>
      </w:r>
      <w:r w:rsidRPr="00480691">
        <w:t xml:space="preserve">Minister for Agriculture and Water Resources </w:t>
      </w:r>
    </w:p>
    <w:p w14:paraId="6448ABF4" w14:textId="77777777" w:rsidR="00EE0460" w:rsidRDefault="00EE0460" w:rsidP="00EE0460">
      <w:pPr>
        <w:tabs>
          <w:tab w:val="left" w:pos="8100"/>
        </w:tabs>
      </w:pPr>
      <w:r>
        <w:t>Chair</w:t>
      </w:r>
      <w:r w:rsidRPr="00480691">
        <w:t xml:space="preserve"> of the Torres Strait Protected Zone Joint Authority</w:t>
      </w:r>
    </w:p>
    <w:p w14:paraId="54A5AF17" w14:textId="77777777" w:rsidR="0088082C" w:rsidRPr="00783F3B" w:rsidRDefault="0088082C" w:rsidP="00783F3B">
      <w:pPr>
        <w:autoSpaceDE w:val="0"/>
        <w:autoSpaceDN w:val="0"/>
        <w:adjustRightInd w:val="0"/>
        <w:ind w:left="1560" w:hanging="284"/>
        <w:rPr>
          <w:sz w:val="18"/>
          <w:szCs w:val="18"/>
          <w:lang w:val="en-US"/>
        </w:rPr>
      </w:pPr>
    </w:p>
    <w:p w14:paraId="733AD8F9" w14:textId="77777777" w:rsidR="0088082C" w:rsidRDefault="0088082C" w:rsidP="0088082C">
      <w:pPr>
        <w:tabs>
          <w:tab w:val="left" w:pos="8100"/>
        </w:tabs>
        <w:jc w:val="both"/>
        <w:rPr>
          <w:b/>
          <w:u w:val="single"/>
        </w:rPr>
      </w:pPr>
      <w:r>
        <w:rPr>
          <w:b/>
          <w:u w:val="single"/>
        </w:rPr>
        <w:tab/>
      </w:r>
    </w:p>
    <w:p w14:paraId="33A2BD92" w14:textId="77777777" w:rsidR="0088082C" w:rsidRPr="00783F3B" w:rsidRDefault="0088082C" w:rsidP="00783F3B">
      <w:pPr>
        <w:autoSpaceDE w:val="0"/>
        <w:autoSpaceDN w:val="0"/>
        <w:adjustRightInd w:val="0"/>
        <w:ind w:left="1560" w:hanging="284"/>
        <w:rPr>
          <w:sz w:val="18"/>
          <w:szCs w:val="18"/>
          <w:lang w:val="en-US"/>
        </w:rPr>
      </w:pPr>
    </w:p>
    <w:p w14:paraId="054F6049" w14:textId="77777777" w:rsidR="0088082C" w:rsidRDefault="0088082C" w:rsidP="0088082C">
      <w:pPr>
        <w:tabs>
          <w:tab w:val="left" w:pos="720"/>
          <w:tab w:val="left" w:pos="8100"/>
        </w:tabs>
        <w:rPr>
          <w:b/>
        </w:rPr>
      </w:pPr>
      <w:r w:rsidRPr="009B58E2">
        <w:rPr>
          <w:b/>
        </w:rPr>
        <w:t>Citation</w:t>
      </w:r>
    </w:p>
    <w:p w14:paraId="512D869E" w14:textId="77777777" w:rsidR="0088082C" w:rsidRDefault="0088082C" w:rsidP="0088082C">
      <w:pPr>
        <w:pStyle w:val="AFMANormal"/>
        <w:ind w:left="360" w:hanging="360"/>
      </w:pPr>
      <w:r>
        <w:t>1.</w:t>
      </w:r>
      <w:r>
        <w:tab/>
        <w:t xml:space="preserve">This Instrument may be cited as the </w:t>
      </w:r>
      <w:r w:rsidRPr="00131539">
        <w:rPr>
          <w:i/>
        </w:rPr>
        <w:t>Torres Strait Fisheries Management Instrument No.</w:t>
      </w:r>
      <w:r>
        <w:rPr>
          <w:i/>
        </w:rPr>
        <w:t> 12</w:t>
      </w:r>
      <w:r>
        <w:t>.</w:t>
      </w:r>
    </w:p>
    <w:p w14:paraId="5A923AC8" w14:textId="77777777" w:rsidR="0088082C" w:rsidRPr="00783F3B" w:rsidRDefault="0088082C" w:rsidP="00783F3B">
      <w:pPr>
        <w:autoSpaceDE w:val="0"/>
        <w:autoSpaceDN w:val="0"/>
        <w:adjustRightInd w:val="0"/>
        <w:ind w:left="1560" w:hanging="284"/>
        <w:rPr>
          <w:sz w:val="18"/>
          <w:szCs w:val="18"/>
          <w:lang w:val="en-US"/>
        </w:rPr>
      </w:pPr>
    </w:p>
    <w:p w14:paraId="36E5ED43" w14:textId="77777777" w:rsidR="0088082C" w:rsidRDefault="0088082C" w:rsidP="0088082C">
      <w:pPr>
        <w:widowControl w:val="0"/>
        <w:autoSpaceDE w:val="0"/>
        <w:autoSpaceDN w:val="0"/>
        <w:adjustRightInd w:val="0"/>
        <w:jc w:val="both"/>
        <w:rPr>
          <w:b/>
        </w:rPr>
      </w:pPr>
      <w:r w:rsidRPr="00041C6D">
        <w:rPr>
          <w:b/>
        </w:rPr>
        <w:t>C</w:t>
      </w:r>
      <w:r>
        <w:rPr>
          <w:b/>
        </w:rPr>
        <w:t xml:space="preserve">ommencement </w:t>
      </w:r>
    </w:p>
    <w:p w14:paraId="2DCBFEAE" w14:textId="77777777" w:rsidR="0088082C" w:rsidRPr="00783F3B" w:rsidRDefault="0088082C" w:rsidP="00783F3B">
      <w:pPr>
        <w:autoSpaceDE w:val="0"/>
        <w:autoSpaceDN w:val="0"/>
        <w:adjustRightInd w:val="0"/>
        <w:ind w:left="1560" w:hanging="284"/>
        <w:rPr>
          <w:sz w:val="18"/>
          <w:szCs w:val="18"/>
          <w:lang w:val="en-US"/>
        </w:rPr>
      </w:pPr>
    </w:p>
    <w:p w14:paraId="05F61CCD" w14:textId="352BA1B8" w:rsidR="0088082C" w:rsidRPr="00041C6D" w:rsidRDefault="0088082C" w:rsidP="0088082C">
      <w:pPr>
        <w:widowControl w:val="0"/>
        <w:autoSpaceDE w:val="0"/>
        <w:autoSpaceDN w:val="0"/>
        <w:adjustRightInd w:val="0"/>
        <w:ind w:left="426" w:hanging="426"/>
        <w:jc w:val="both"/>
      </w:pPr>
      <w:r w:rsidRPr="00041C6D">
        <w:t>2.</w:t>
      </w:r>
      <w:r w:rsidRPr="00041C6D">
        <w:tab/>
      </w:r>
      <w:r w:rsidR="00EE0460" w:rsidRPr="00041C6D">
        <w:t xml:space="preserve">This </w:t>
      </w:r>
      <w:r w:rsidR="00EE0460">
        <w:t>Instrument</w:t>
      </w:r>
      <w:r w:rsidR="00EE0460" w:rsidRPr="00041C6D">
        <w:t xml:space="preserve"> commences on </w:t>
      </w:r>
      <w:r w:rsidR="00EE0460">
        <w:t>the day after it is registered on the Federal Register of Legislative Instruments</w:t>
      </w:r>
      <w:r w:rsidR="00EE0460" w:rsidRPr="00041C6D">
        <w:t>.</w:t>
      </w:r>
      <w:r w:rsidRPr="00041C6D">
        <w:t>.</w:t>
      </w:r>
    </w:p>
    <w:p w14:paraId="4DBB91CE" w14:textId="77777777" w:rsidR="0088082C" w:rsidRPr="00783F3B" w:rsidRDefault="0088082C" w:rsidP="00783F3B">
      <w:pPr>
        <w:autoSpaceDE w:val="0"/>
        <w:autoSpaceDN w:val="0"/>
        <w:adjustRightInd w:val="0"/>
        <w:ind w:left="1560" w:hanging="284"/>
        <w:rPr>
          <w:sz w:val="18"/>
          <w:szCs w:val="18"/>
          <w:lang w:val="en-US"/>
        </w:rPr>
      </w:pPr>
    </w:p>
    <w:p w14:paraId="2FD5618E" w14:textId="77777777" w:rsidR="0088082C" w:rsidRPr="00480691" w:rsidRDefault="0088082C" w:rsidP="0088082C">
      <w:pPr>
        <w:widowControl w:val="0"/>
        <w:autoSpaceDE w:val="0"/>
        <w:autoSpaceDN w:val="0"/>
        <w:adjustRightInd w:val="0"/>
        <w:jc w:val="both"/>
        <w:rPr>
          <w:b/>
        </w:rPr>
      </w:pPr>
      <w:r w:rsidRPr="00480691">
        <w:rPr>
          <w:b/>
        </w:rPr>
        <w:t>Cessation</w:t>
      </w:r>
    </w:p>
    <w:p w14:paraId="280C56A2" w14:textId="77777777" w:rsidR="0088082C" w:rsidRPr="00783F3B" w:rsidRDefault="0088082C" w:rsidP="00783F3B">
      <w:pPr>
        <w:autoSpaceDE w:val="0"/>
        <w:autoSpaceDN w:val="0"/>
        <w:adjustRightInd w:val="0"/>
        <w:ind w:left="1560" w:hanging="284"/>
        <w:rPr>
          <w:sz w:val="18"/>
          <w:szCs w:val="18"/>
          <w:lang w:val="en-US"/>
        </w:rPr>
      </w:pPr>
    </w:p>
    <w:p w14:paraId="7C645AB7" w14:textId="3E950010" w:rsidR="0088082C" w:rsidRDefault="0088082C" w:rsidP="0088082C">
      <w:pPr>
        <w:widowControl w:val="0"/>
        <w:autoSpaceDE w:val="0"/>
        <w:autoSpaceDN w:val="0"/>
        <w:adjustRightInd w:val="0"/>
        <w:ind w:left="426" w:hanging="426"/>
        <w:jc w:val="both"/>
      </w:pPr>
      <w:r w:rsidRPr="00480691">
        <w:t>3.</w:t>
      </w:r>
      <w:r w:rsidRPr="00480691">
        <w:tab/>
        <w:t>This Instrument</w:t>
      </w:r>
      <w:r>
        <w:t xml:space="preserve"> is repealed on 31 December </w:t>
      </w:r>
      <w:r w:rsidR="009B3210">
        <w:t>2026</w:t>
      </w:r>
      <w:r w:rsidR="009B3210" w:rsidRPr="00480691">
        <w:t xml:space="preserve"> </w:t>
      </w:r>
      <w:r w:rsidRPr="00480691">
        <w:t>unless earlier revoked.</w:t>
      </w:r>
    </w:p>
    <w:p w14:paraId="30F924D4" w14:textId="77777777" w:rsidR="0088082C" w:rsidRPr="00783F3B" w:rsidRDefault="0088082C" w:rsidP="00783F3B">
      <w:pPr>
        <w:autoSpaceDE w:val="0"/>
        <w:autoSpaceDN w:val="0"/>
        <w:adjustRightInd w:val="0"/>
        <w:ind w:left="1560" w:hanging="284"/>
        <w:rPr>
          <w:sz w:val="18"/>
          <w:szCs w:val="18"/>
          <w:lang w:val="en-US"/>
        </w:rPr>
      </w:pPr>
    </w:p>
    <w:p w14:paraId="6106A6B7" w14:textId="77777777" w:rsidR="0088082C" w:rsidRDefault="0088082C" w:rsidP="0088082C">
      <w:pPr>
        <w:widowControl w:val="0"/>
        <w:autoSpaceDE w:val="0"/>
        <w:autoSpaceDN w:val="0"/>
        <w:adjustRightInd w:val="0"/>
        <w:jc w:val="both"/>
        <w:rPr>
          <w:b/>
        </w:rPr>
      </w:pPr>
      <w:r w:rsidRPr="00041C6D">
        <w:rPr>
          <w:b/>
        </w:rPr>
        <w:t>R</w:t>
      </w:r>
      <w:r>
        <w:rPr>
          <w:b/>
        </w:rPr>
        <w:t>evocation</w:t>
      </w:r>
    </w:p>
    <w:p w14:paraId="5736A22E" w14:textId="77777777" w:rsidR="0088082C" w:rsidRPr="00783F3B" w:rsidRDefault="0088082C" w:rsidP="00783F3B">
      <w:pPr>
        <w:autoSpaceDE w:val="0"/>
        <w:autoSpaceDN w:val="0"/>
        <w:adjustRightInd w:val="0"/>
        <w:ind w:left="1560" w:hanging="284"/>
        <w:rPr>
          <w:sz w:val="18"/>
          <w:szCs w:val="18"/>
          <w:lang w:val="en-US"/>
        </w:rPr>
      </w:pPr>
    </w:p>
    <w:p w14:paraId="65F8A789" w14:textId="77777777" w:rsidR="0088082C" w:rsidRPr="00041C6D" w:rsidRDefault="0088082C" w:rsidP="0088082C">
      <w:pPr>
        <w:widowControl w:val="0"/>
        <w:autoSpaceDE w:val="0"/>
        <w:autoSpaceDN w:val="0"/>
        <w:adjustRightInd w:val="0"/>
        <w:ind w:left="426" w:hanging="426"/>
        <w:jc w:val="both"/>
      </w:pPr>
      <w:r w:rsidRPr="00041C6D">
        <w:t>4.</w:t>
      </w:r>
      <w:r w:rsidRPr="00041C6D">
        <w:tab/>
      </w:r>
      <w:r>
        <w:t xml:space="preserve">This Instrument repeals the </w:t>
      </w:r>
      <w:r w:rsidRPr="008B2569">
        <w:rPr>
          <w:i/>
        </w:rPr>
        <w:t xml:space="preserve">Torres Strait Fisheries Management Instrument No. </w:t>
      </w:r>
      <w:r>
        <w:rPr>
          <w:i/>
        </w:rPr>
        <w:t>81</w:t>
      </w:r>
      <w:r>
        <w:t xml:space="preserve"> from the date of commencement of this Instrument.  </w:t>
      </w:r>
    </w:p>
    <w:p w14:paraId="0F401108" w14:textId="77777777" w:rsidR="0088082C" w:rsidRPr="00783F3B" w:rsidRDefault="0088082C" w:rsidP="00783F3B">
      <w:pPr>
        <w:autoSpaceDE w:val="0"/>
        <w:autoSpaceDN w:val="0"/>
        <w:adjustRightInd w:val="0"/>
        <w:ind w:left="1560" w:hanging="284"/>
        <w:rPr>
          <w:sz w:val="18"/>
          <w:szCs w:val="18"/>
          <w:lang w:val="en-US"/>
        </w:rPr>
      </w:pPr>
    </w:p>
    <w:p w14:paraId="27DA26B7" w14:textId="77777777" w:rsidR="0088082C" w:rsidRDefault="0088082C" w:rsidP="0088082C">
      <w:pPr>
        <w:widowControl w:val="0"/>
        <w:autoSpaceDE w:val="0"/>
        <w:autoSpaceDN w:val="0"/>
        <w:adjustRightInd w:val="0"/>
        <w:jc w:val="both"/>
        <w:rPr>
          <w:b/>
        </w:rPr>
      </w:pPr>
      <w:r w:rsidRPr="00041C6D">
        <w:rPr>
          <w:b/>
        </w:rPr>
        <w:t>I</w:t>
      </w:r>
      <w:r>
        <w:rPr>
          <w:b/>
        </w:rPr>
        <w:t>nterpretation</w:t>
      </w:r>
    </w:p>
    <w:p w14:paraId="770C06E7" w14:textId="77777777" w:rsidR="0088082C" w:rsidRPr="00783F3B" w:rsidRDefault="0088082C" w:rsidP="00783F3B">
      <w:pPr>
        <w:autoSpaceDE w:val="0"/>
        <w:autoSpaceDN w:val="0"/>
        <w:adjustRightInd w:val="0"/>
        <w:ind w:left="1560" w:hanging="284"/>
        <w:rPr>
          <w:sz w:val="18"/>
          <w:szCs w:val="18"/>
          <w:lang w:val="en-US"/>
        </w:rPr>
      </w:pPr>
    </w:p>
    <w:p w14:paraId="2371D69D" w14:textId="77777777" w:rsidR="0088082C" w:rsidRPr="00041C6D" w:rsidRDefault="0088082C" w:rsidP="0088082C">
      <w:pPr>
        <w:widowControl w:val="0"/>
        <w:autoSpaceDE w:val="0"/>
        <w:autoSpaceDN w:val="0"/>
        <w:adjustRightInd w:val="0"/>
        <w:ind w:left="426" w:hanging="426"/>
        <w:jc w:val="both"/>
      </w:pPr>
      <w:r w:rsidRPr="00041C6D">
        <w:t>5.1</w:t>
      </w:r>
      <w:r w:rsidRPr="00041C6D">
        <w:tab/>
        <w:t xml:space="preserve">In this </w:t>
      </w:r>
      <w:r>
        <w:t>Instrument</w:t>
      </w:r>
      <w:r w:rsidRPr="00041C6D">
        <w:t xml:space="preserve">, unless the contrary intention appears “the Act” means the </w:t>
      </w:r>
      <w:r w:rsidRPr="00041C6D">
        <w:rPr>
          <w:i/>
        </w:rPr>
        <w:t>Torres Strait Fisheries Act 1984</w:t>
      </w:r>
      <w:r w:rsidRPr="00041C6D">
        <w:t>, and:</w:t>
      </w:r>
    </w:p>
    <w:p w14:paraId="614300E7" w14:textId="77777777" w:rsidR="0088082C" w:rsidRPr="00783F3B" w:rsidRDefault="0088082C" w:rsidP="00783F3B">
      <w:pPr>
        <w:autoSpaceDE w:val="0"/>
        <w:autoSpaceDN w:val="0"/>
        <w:adjustRightInd w:val="0"/>
        <w:ind w:left="1560" w:hanging="284"/>
        <w:rPr>
          <w:sz w:val="18"/>
          <w:szCs w:val="18"/>
          <w:lang w:val="en-US"/>
        </w:rPr>
      </w:pPr>
    </w:p>
    <w:p w14:paraId="62867CC7" w14:textId="77777777" w:rsidR="0088082C" w:rsidRPr="00041C6D" w:rsidRDefault="0088082C" w:rsidP="0088082C">
      <w:pPr>
        <w:widowControl w:val="0"/>
        <w:autoSpaceDE w:val="0"/>
        <w:autoSpaceDN w:val="0"/>
        <w:adjustRightInd w:val="0"/>
        <w:ind w:left="426" w:hanging="426"/>
        <w:jc w:val="both"/>
      </w:pPr>
      <w:r w:rsidRPr="00041C6D">
        <w:t>5.2</w:t>
      </w:r>
      <w:r w:rsidRPr="00041C6D">
        <w:tab/>
        <w:t xml:space="preserve">Terms used but not defined in this </w:t>
      </w:r>
      <w:r>
        <w:t>Instrument</w:t>
      </w:r>
      <w:r w:rsidRPr="00041C6D">
        <w:t xml:space="preserve"> have the same meaning as in the Act and the </w:t>
      </w:r>
      <w:smartTag w:uri="urn:schemas-microsoft-com:office:smarttags" w:element="place">
        <w:r w:rsidRPr="00041C6D">
          <w:rPr>
            <w:i/>
          </w:rPr>
          <w:t>Torres Strait</w:t>
        </w:r>
      </w:smartTag>
      <w:r w:rsidRPr="00041C6D">
        <w:rPr>
          <w:i/>
        </w:rPr>
        <w:t xml:space="preserve"> Fisheries Regulations</w:t>
      </w:r>
      <w:r>
        <w:rPr>
          <w:i/>
        </w:rPr>
        <w:t xml:space="preserve"> 1985</w:t>
      </w:r>
      <w:r w:rsidRPr="00041C6D">
        <w:t>; and</w:t>
      </w:r>
    </w:p>
    <w:p w14:paraId="5C6DB67B" w14:textId="77777777" w:rsidR="0088082C" w:rsidRPr="00783F3B" w:rsidRDefault="0088082C" w:rsidP="00783F3B">
      <w:pPr>
        <w:autoSpaceDE w:val="0"/>
        <w:autoSpaceDN w:val="0"/>
        <w:adjustRightInd w:val="0"/>
        <w:ind w:left="1560" w:hanging="284"/>
        <w:rPr>
          <w:sz w:val="18"/>
          <w:szCs w:val="18"/>
          <w:lang w:val="en-US"/>
        </w:rPr>
      </w:pPr>
    </w:p>
    <w:p w14:paraId="77FE84DE" w14:textId="77777777" w:rsidR="0088082C" w:rsidRDefault="0088082C" w:rsidP="0088082C">
      <w:pPr>
        <w:spacing w:after="240"/>
        <w:ind w:left="426" w:hanging="426"/>
        <w:jc w:val="both"/>
        <w:rPr>
          <w:iCs/>
          <w:color w:val="000000"/>
        </w:rPr>
      </w:pPr>
      <w:r>
        <w:t xml:space="preserve">5.3 </w:t>
      </w:r>
      <w:r>
        <w:rPr>
          <w:b/>
          <w:i/>
        </w:rPr>
        <w:t>“prawns”</w:t>
      </w:r>
      <w:r>
        <w:t xml:space="preserve"> means</w:t>
      </w:r>
      <w:r>
        <w:rPr>
          <w:i/>
          <w:iCs/>
          <w:color w:val="000000"/>
        </w:rPr>
        <w:t xml:space="preserve"> </w:t>
      </w:r>
      <w:proofErr w:type="spellStart"/>
      <w:r>
        <w:rPr>
          <w:i/>
          <w:iCs/>
          <w:color w:val="000000"/>
        </w:rPr>
        <w:t>Metapenaeus</w:t>
      </w:r>
      <w:proofErr w:type="spellEnd"/>
      <w:r>
        <w:rPr>
          <w:i/>
          <w:iCs/>
          <w:color w:val="000000"/>
        </w:rPr>
        <w:t xml:space="preserve"> </w:t>
      </w:r>
      <w:proofErr w:type="spellStart"/>
      <w:r>
        <w:rPr>
          <w:i/>
          <w:iCs/>
          <w:color w:val="000000"/>
        </w:rPr>
        <w:t>endeavouri</w:t>
      </w:r>
      <w:proofErr w:type="spellEnd"/>
      <w:r>
        <w:rPr>
          <w:i/>
          <w:iCs/>
          <w:color w:val="000000"/>
        </w:rPr>
        <w:t xml:space="preserve"> </w:t>
      </w:r>
      <w:r>
        <w:rPr>
          <w:iCs/>
          <w:color w:val="000000"/>
        </w:rPr>
        <w:t xml:space="preserve">(blue endeavour prawn), </w:t>
      </w:r>
      <w:proofErr w:type="spellStart"/>
      <w:r>
        <w:rPr>
          <w:i/>
          <w:iCs/>
          <w:color w:val="000000"/>
        </w:rPr>
        <w:t>Penaeus</w:t>
      </w:r>
      <w:proofErr w:type="spellEnd"/>
      <w:r>
        <w:rPr>
          <w:i/>
          <w:iCs/>
          <w:color w:val="000000"/>
        </w:rPr>
        <w:t xml:space="preserve"> </w:t>
      </w:r>
      <w:proofErr w:type="spellStart"/>
      <w:r>
        <w:rPr>
          <w:i/>
          <w:iCs/>
          <w:color w:val="000000"/>
        </w:rPr>
        <w:t>esculentus</w:t>
      </w:r>
      <w:proofErr w:type="spellEnd"/>
      <w:r>
        <w:rPr>
          <w:i/>
          <w:iCs/>
          <w:color w:val="000000"/>
        </w:rPr>
        <w:t xml:space="preserve"> </w:t>
      </w:r>
      <w:r>
        <w:rPr>
          <w:iCs/>
          <w:color w:val="000000"/>
        </w:rPr>
        <w:t xml:space="preserve">(brown tiger prawn) and </w:t>
      </w:r>
      <w:proofErr w:type="spellStart"/>
      <w:r>
        <w:rPr>
          <w:i/>
          <w:color w:val="000000"/>
        </w:rPr>
        <w:t>Melicertus</w:t>
      </w:r>
      <w:proofErr w:type="spellEnd"/>
      <w:r>
        <w:rPr>
          <w:i/>
          <w:iCs/>
          <w:color w:val="000000"/>
        </w:rPr>
        <w:t xml:space="preserve"> </w:t>
      </w:r>
      <w:proofErr w:type="spellStart"/>
      <w:r>
        <w:rPr>
          <w:i/>
          <w:iCs/>
          <w:color w:val="000000"/>
        </w:rPr>
        <w:t>longistylus</w:t>
      </w:r>
      <w:proofErr w:type="spellEnd"/>
      <w:r>
        <w:rPr>
          <w:i/>
          <w:iCs/>
          <w:color w:val="000000"/>
        </w:rPr>
        <w:t xml:space="preserve"> </w:t>
      </w:r>
      <w:r>
        <w:rPr>
          <w:iCs/>
          <w:color w:val="000000"/>
        </w:rPr>
        <w:t>(red spot king prawn).</w:t>
      </w:r>
    </w:p>
    <w:p w14:paraId="7A3C1FF9" w14:textId="77777777" w:rsidR="0088082C" w:rsidRDefault="0088082C" w:rsidP="0088082C">
      <w:pPr>
        <w:spacing w:after="240"/>
        <w:ind w:left="426"/>
      </w:pPr>
      <w:r>
        <w:rPr>
          <w:b/>
          <w:i/>
        </w:rPr>
        <w:t>“the Act”</w:t>
      </w:r>
      <w:r>
        <w:t xml:space="preserve"> means the </w:t>
      </w:r>
      <w:smartTag w:uri="urn:schemas-microsoft-com:office:smarttags" w:element="place">
        <w:r>
          <w:rPr>
            <w:i/>
          </w:rPr>
          <w:t>Torres Strait</w:t>
        </w:r>
      </w:smartTag>
      <w:r>
        <w:rPr>
          <w:i/>
        </w:rPr>
        <w:t xml:space="preserve"> Fisheries Act 1984</w:t>
      </w:r>
      <w:r>
        <w:t>.</w:t>
      </w:r>
    </w:p>
    <w:p w14:paraId="6FA37FE0" w14:textId="77777777" w:rsidR="0088082C" w:rsidRPr="00577C30" w:rsidRDefault="0088082C" w:rsidP="0088082C">
      <w:pPr>
        <w:spacing w:before="120" w:after="120"/>
        <w:ind w:left="426"/>
        <w:rPr>
          <w:lang w:val="en-US"/>
        </w:rPr>
      </w:pPr>
      <w:r w:rsidRPr="0088082C">
        <w:rPr>
          <w:b/>
          <w:i/>
          <w:lang w:val="en-US"/>
        </w:rPr>
        <w:t>“Turtle Excluder Device”</w:t>
      </w:r>
      <w:r w:rsidRPr="00577C30">
        <w:rPr>
          <w:lang w:val="en-US"/>
        </w:rPr>
        <w:t xml:space="preserve"> means a device fitted to a net, and modification made to a net, that allows turtles to escape immediately after being taken in the net, and which has: </w:t>
      </w:r>
    </w:p>
    <w:p w14:paraId="6E6DAE48" w14:textId="77777777" w:rsidR="0088082C" w:rsidRPr="00577C30" w:rsidRDefault="0088082C" w:rsidP="0088082C">
      <w:pPr>
        <w:numPr>
          <w:ilvl w:val="0"/>
          <w:numId w:val="2"/>
        </w:numPr>
        <w:autoSpaceDE w:val="0"/>
        <w:autoSpaceDN w:val="0"/>
        <w:adjustRightInd w:val="0"/>
        <w:spacing w:before="120" w:after="120"/>
        <w:ind w:left="920" w:hanging="360"/>
        <w:rPr>
          <w:lang w:val="en-US"/>
        </w:rPr>
      </w:pPr>
      <w:r w:rsidRPr="00577C30">
        <w:rPr>
          <w:lang w:val="en-US"/>
        </w:rPr>
        <w:t xml:space="preserve">(a) a rigid or semi rigid inclined barrier structure comprised of bars extending from the foot to the head of the net that is attached to the circumference of the net which must guide turtles towards an escape hole immediately forward of the grid. The minimum dimensions of this structure to be at least 80cm by 80cm. This structure is to be set within an angle range of 30 – 55 degrees in relation to the horizontal plane of water through the net; </w:t>
      </w:r>
    </w:p>
    <w:p w14:paraId="00C3EE61" w14:textId="77777777" w:rsidR="0088082C" w:rsidRPr="00577C30" w:rsidRDefault="0088082C" w:rsidP="0088082C">
      <w:pPr>
        <w:numPr>
          <w:ilvl w:val="0"/>
          <w:numId w:val="2"/>
        </w:numPr>
        <w:autoSpaceDE w:val="0"/>
        <w:autoSpaceDN w:val="0"/>
        <w:adjustRightInd w:val="0"/>
        <w:spacing w:after="120"/>
        <w:ind w:left="920" w:hanging="360"/>
        <w:rPr>
          <w:lang w:val="en-US"/>
        </w:rPr>
      </w:pPr>
      <w:r w:rsidRPr="00577C30">
        <w:rPr>
          <w:lang w:val="en-US"/>
        </w:rPr>
        <w:t xml:space="preserve">(b) an escape hole which must be either </w:t>
      </w:r>
    </w:p>
    <w:p w14:paraId="779CBA34" w14:textId="77777777" w:rsidR="00B5092F" w:rsidRDefault="0088082C" w:rsidP="006F0A80">
      <w:pPr>
        <w:ind w:left="1440"/>
      </w:pPr>
      <w:r w:rsidRPr="00577C30">
        <w:rPr>
          <w:lang w:val="en-US"/>
        </w:rPr>
        <w:t>(</w:t>
      </w:r>
      <w:proofErr w:type="spellStart"/>
      <w:r w:rsidRPr="00577C30">
        <w:rPr>
          <w:lang w:val="en-US"/>
        </w:rPr>
        <w:t>i</w:t>
      </w:r>
      <w:proofErr w:type="spellEnd"/>
      <w:r w:rsidRPr="00577C30">
        <w:rPr>
          <w:lang w:val="en-US"/>
        </w:rPr>
        <w:t xml:space="preserve">) </w:t>
      </w:r>
      <w:r w:rsidR="00CF4B04" w:rsidRPr="000270DC">
        <w:rPr>
          <w:lang w:val="en-US"/>
        </w:rPr>
        <w:t>a double flap rectangular net opening where the cut immediately forward of the TED must</w:t>
      </w:r>
      <w:r w:rsidR="00CF4B04">
        <w:rPr>
          <w:lang w:val="en-US"/>
        </w:rPr>
        <w:t xml:space="preserve"> allow</w:t>
      </w:r>
      <w:r w:rsidR="00CF4B04" w:rsidRPr="000270DC">
        <w:rPr>
          <w:lang w:val="en-US"/>
        </w:rPr>
        <w:t xml:space="preserve">  a minimum </w:t>
      </w:r>
      <w:r w:rsidR="00CF4B04">
        <w:rPr>
          <w:lang w:val="en-US"/>
        </w:rPr>
        <w:t xml:space="preserve">opening </w:t>
      </w:r>
      <w:r w:rsidR="00CF4B04" w:rsidRPr="000270DC">
        <w:rPr>
          <w:lang w:val="en-US"/>
        </w:rPr>
        <w:t>of 61 cm</w:t>
      </w:r>
      <w:r w:rsidR="00CF4B04">
        <w:rPr>
          <w:lang w:val="en-US"/>
        </w:rPr>
        <w:t xml:space="preserve"> when attached to the frame</w:t>
      </w:r>
      <w:r w:rsidR="00CF4B04" w:rsidRPr="000270DC">
        <w:rPr>
          <w:lang w:val="en-US"/>
        </w:rPr>
        <w:t xml:space="preserve"> and t</w:t>
      </w:r>
      <w:r w:rsidR="00CF4B04" w:rsidRPr="000270DC">
        <w:t xml:space="preserve">he two forward cuts of the escape opening must not be less than 51 cm long from the points of the cut immediately forward of the TED frame. The resultant length of the leading edge of the escape opening cut must be no less than 142 cm stretched, or a </w:t>
      </w:r>
      <w:r w:rsidR="00CF4B04" w:rsidRPr="000270DC">
        <w:rPr>
          <w:lang w:val="en-US"/>
        </w:rPr>
        <w:t xml:space="preserve">double flap net </w:t>
      </w:r>
      <w:r w:rsidR="00CF4B04" w:rsidRPr="000270DC">
        <w:t xml:space="preserve">triangular </w:t>
      </w:r>
      <w:r w:rsidR="00CF4B04" w:rsidRPr="000270DC">
        <w:rPr>
          <w:lang w:val="en-US"/>
        </w:rPr>
        <w:t xml:space="preserve">opening where the cut immediately forward of the TED must </w:t>
      </w:r>
      <w:r w:rsidR="00CF4B04">
        <w:rPr>
          <w:lang w:val="en-US"/>
        </w:rPr>
        <w:t>allow</w:t>
      </w:r>
      <w:r w:rsidR="00CF4B04" w:rsidRPr="000270DC">
        <w:rPr>
          <w:lang w:val="en-US"/>
        </w:rPr>
        <w:t xml:space="preserve"> a minimum </w:t>
      </w:r>
      <w:r w:rsidR="00CF4B04">
        <w:rPr>
          <w:lang w:val="en-US"/>
        </w:rPr>
        <w:t xml:space="preserve">opening </w:t>
      </w:r>
      <w:r w:rsidR="00CF4B04" w:rsidRPr="000270DC">
        <w:rPr>
          <w:lang w:val="en-US"/>
        </w:rPr>
        <w:t>of 102 cm</w:t>
      </w:r>
      <w:r w:rsidR="00CF4B04">
        <w:rPr>
          <w:lang w:val="en-US"/>
        </w:rPr>
        <w:t xml:space="preserve"> when attached to the frame</w:t>
      </w:r>
      <w:r w:rsidR="00CF4B04" w:rsidRPr="000270DC">
        <w:rPr>
          <w:lang w:val="en-US"/>
        </w:rPr>
        <w:t xml:space="preserve"> with minimum forward cuts of 101 cm.</w:t>
      </w:r>
      <w:r w:rsidR="00CF4B04">
        <w:rPr>
          <w:lang w:val="en-US"/>
        </w:rPr>
        <w:t xml:space="preserve"> </w:t>
      </w:r>
      <w:r w:rsidR="00CF4B04" w:rsidRPr="000270DC">
        <w:t xml:space="preserve">The flaps must be composed of two </w:t>
      </w:r>
      <w:r w:rsidR="00CF4B04">
        <w:t xml:space="preserve">mesh </w:t>
      </w:r>
      <w:r w:rsidR="00CF4B04" w:rsidRPr="000270DC">
        <w:t>panels. Each panel must be a minimum of 147 cm wide and may overlap each other no more than 38 cm</w:t>
      </w:r>
      <w:r w:rsidR="00CF4B04">
        <w:t xml:space="preserve"> along the leading edge when stretched</w:t>
      </w:r>
      <w:r w:rsidR="00CF4B04" w:rsidRPr="000270DC">
        <w:t xml:space="preserve">. </w:t>
      </w:r>
      <w:r w:rsidR="00CF4B04" w:rsidRPr="000E3471">
        <w:t>The panels can be tapered two bar, one point so the flap overlap increases as</w:t>
      </w:r>
      <w:r w:rsidR="00CF4B04">
        <w:t xml:space="preserve"> they </w:t>
      </w:r>
      <w:r w:rsidR="00CF4B04" w:rsidRPr="008162B2">
        <w:t>get closer to the bottom of</w:t>
      </w:r>
      <w:r w:rsidR="00CF4B04">
        <w:t xml:space="preserve"> the TED frame. </w:t>
      </w:r>
      <w:r w:rsidR="00CF4B04" w:rsidRPr="000270DC">
        <w:t>The panels may only be sewn together along the leading edge of the cut</w:t>
      </w:r>
      <w:r w:rsidR="00CF4B04" w:rsidRPr="00D26C86">
        <w:t xml:space="preserve"> </w:t>
      </w:r>
      <w:r w:rsidR="00CF4B04">
        <w:t xml:space="preserve">and </w:t>
      </w:r>
      <w:r w:rsidR="00CF4B04" w:rsidRPr="000270DC">
        <w:t>down the entire length of the outside edge of each panel. The trailing edge of each panel must not extend more than 61 cm past the posterior edge of the TED frame.</w:t>
      </w:r>
    </w:p>
    <w:p w14:paraId="52A05B38" w14:textId="77777777" w:rsidR="0088082C" w:rsidRPr="00783F3B" w:rsidRDefault="0088082C" w:rsidP="00783F3B">
      <w:pPr>
        <w:autoSpaceDE w:val="0"/>
        <w:autoSpaceDN w:val="0"/>
        <w:adjustRightInd w:val="0"/>
        <w:ind w:left="1560" w:hanging="284"/>
        <w:rPr>
          <w:sz w:val="18"/>
          <w:szCs w:val="18"/>
          <w:lang w:val="en-US"/>
        </w:rPr>
      </w:pPr>
    </w:p>
    <w:p w14:paraId="6CD86229" w14:textId="77777777" w:rsidR="0088082C" w:rsidRPr="00577C30" w:rsidRDefault="0088082C" w:rsidP="0088082C">
      <w:pPr>
        <w:autoSpaceDE w:val="0"/>
        <w:autoSpaceDN w:val="0"/>
        <w:adjustRightInd w:val="0"/>
        <w:spacing w:after="120"/>
        <w:ind w:left="1560" w:hanging="284"/>
        <w:rPr>
          <w:lang w:val="en-US"/>
        </w:rPr>
      </w:pPr>
      <w:r w:rsidRPr="00577C30">
        <w:rPr>
          <w:lang w:val="en-US"/>
        </w:rPr>
        <w:t xml:space="preserve">(ii) </w:t>
      </w:r>
      <w:proofErr w:type="gramStart"/>
      <w:r w:rsidRPr="00577C30">
        <w:rPr>
          <w:lang w:val="en-US"/>
        </w:rPr>
        <w:t>a</w:t>
      </w:r>
      <w:proofErr w:type="gramEnd"/>
      <w:r w:rsidRPr="00577C30">
        <w:rPr>
          <w:lang w:val="en-US"/>
        </w:rPr>
        <w:t xml:space="preserve"> single flap rectangular net opening where the cut immediately forward of the TED must allow a minimum opening of 61 cm when attached to the frame and the two forward cuts of the escape opening must not be less than 66 cm long from the points of the cut immediately forward of the TED frame. The resultant length of the leading edge of the escape opening cut must be no less than 181 cm stretched, or a single flap triangular net opening where the cut immediately forward of the TED must be a minimum of 102 cm with minimum forward cuts of 136 cm. The flap must be a minimum of 338</w:t>
      </w:r>
      <w:r w:rsidR="00EE0460">
        <w:rPr>
          <w:lang w:val="en-US"/>
        </w:rPr>
        <w:t xml:space="preserve"> </w:t>
      </w:r>
      <w:r w:rsidRPr="00577C30">
        <w:rPr>
          <w:lang w:val="en-US"/>
        </w:rPr>
        <w:t xml:space="preserve">cm by 132 cm piece of mesh. The 132 cm edge of the flap is attached to the leading edge of the escape opening cut. The flap may extend no more than 61 cm behind the posterior edge of the TED frame; </w:t>
      </w:r>
    </w:p>
    <w:p w14:paraId="443AB189" w14:textId="77777777" w:rsidR="0088082C" w:rsidRPr="00577C30" w:rsidRDefault="0088082C" w:rsidP="0088082C">
      <w:pPr>
        <w:numPr>
          <w:ilvl w:val="0"/>
          <w:numId w:val="2"/>
        </w:numPr>
        <w:autoSpaceDE w:val="0"/>
        <w:autoSpaceDN w:val="0"/>
        <w:adjustRightInd w:val="0"/>
        <w:spacing w:before="120" w:after="120"/>
        <w:ind w:left="980" w:hanging="420"/>
        <w:rPr>
          <w:lang w:val="en-US"/>
        </w:rPr>
      </w:pPr>
      <w:r w:rsidRPr="00577C30">
        <w:rPr>
          <w:lang w:val="en-US"/>
        </w:rPr>
        <w:t xml:space="preserve">(c) a maximum bar spacing of 120mm between bars; </w:t>
      </w:r>
      <w:r>
        <w:rPr>
          <w:lang w:val="en-US"/>
        </w:rPr>
        <w:t>and</w:t>
      </w:r>
    </w:p>
    <w:p w14:paraId="1AB9AB50" w14:textId="77777777" w:rsidR="0088082C" w:rsidRDefault="0088082C" w:rsidP="0088082C">
      <w:pPr>
        <w:numPr>
          <w:ilvl w:val="0"/>
          <w:numId w:val="2"/>
        </w:numPr>
        <w:autoSpaceDE w:val="0"/>
        <w:autoSpaceDN w:val="0"/>
        <w:adjustRightInd w:val="0"/>
        <w:spacing w:before="120" w:after="120"/>
        <w:ind w:left="851" w:hanging="291"/>
        <w:rPr>
          <w:lang w:val="en-US"/>
        </w:rPr>
      </w:pPr>
      <w:r w:rsidRPr="00577C30">
        <w:rPr>
          <w:lang w:val="en-US"/>
        </w:rPr>
        <w:lastRenderedPageBreak/>
        <w:t>(</w:t>
      </w:r>
      <w:r>
        <w:rPr>
          <w:lang w:val="en-US"/>
        </w:rPr>
        <w:t>d</w:t>
      </w:r>
      <w:r w:rsidRPr="00577C30">
        <w:rPr>
          <w:lang w:val="en-US"/>
        </w:rPr>
        <w:t>) it is not permitted to attach any weights, chains or other devices on the escape flap which may prevent the flap from opening</w:t>
      </w:r>
      <w:r>
        <w:rPr>
          <w:lang w:val="en-US"/>
        </w:rPr>
        <w:t xml:space="preserve"> and</w:t>
      </w:r>
    </w:p>
    <w:p w14:paraId="5FEDEE08" w14:textId="77777777" w:rsidR="0088082C" w:rsidRDefault="0088082C" w:rsidP="0088082C">
      <w:pPr>
        <w:ind w:left="851" w:hanging="291"/>
        <w:rPr>
          <w:rFonts w:ascii="Times-Roman" w:hAnsi="Times-Roman" w:cs="Times-Roman"/>
        </w:rPr>
      </w:pPr>
      <w:r>
        <w:rPr>
          <w:rFonts w:ascii="Times-Roman" w:hAnsi="Times-Roman" w:cs="Times-Roman"/>
        </w:rPr>
        <w:t>(e) If the escape hole is in the bottom of the net, the following floats must be attached to the grid—</w:t>
      </w:r>
    </w:p>
    <w:p w14:paraId="45D19E2B" w14:textId="77777777" w:rsidR="0088082C" w:rsidRDefault="0088082C" w:rsidP="0088082C">
      <w:pPr>
        <w:ind w:left="1280" w:firstLine="160"/>
        <w:rPr>
          <w:rFonts w:ascii="Times-Roman" w:hAnsi="Times-Roman" w:cs="Times-Roman"/>
        </w:rPr>
      </w:pPr>
      <w:r>
        <w:rPr>
          <w:rFonts w:ascii="Times-Roman" w:hAnsi="Times-Roman" w:cs="Times-Roman"/>
        </w:rPr>
        <w:t>(</w:t>
      </w:r>
      <w:proofErr w:type="spellStart"/>
      <w:r>
        <w:rPr>
          <w:rFonts w:ascii="Times-Roman" w:hAnsi="Times-Roman" w:cs="Times-Roman"/>
        </w:rPr>
        <w:t>i</w:t>
      </w:r>
      <w:proofErr w:type="spellEnd"/>
      <w:r>
        <w:rPr>
          <w:rFonts w:ascii="Times-Roman" w:hAnsi="Times-Roman" w:cs="Times-Roman"/>
        </w:rPr>
        <w:t>) if the grid has a circumference of no more than 3050mm, at least—</w:t>
      </w:r>
    </w:p>
    <w:p w14:paraId="15ADBBBA" w14:textId="77777777" w:rsidR="0088082C" w:rsidRPr="0088082C" w:rsidRDefault="0088082C" w:rsidP="0088082C">
      <w:pPr>
        <w:pStyle w:val="ListParagraph"/>
        <w:numPr>
          <w:ilvl w:val="0"/>
          <w:numId w:val="3"/>
        </w:numPr>
        <w:ind w:firstLine="1407"/>
        <w:rPr>
          <w:rFonts w:ascii="Times-Roman" w:hAnsi="Times-Roman" w:cs="Times-Roman"/>
        </w:rPr>
      </w:pPr>
      <w:r w:rsidRPr="0088082C">
        <w:rPr>
          <w:rFonts w:ascii="Times-Roman" w:hAnsi="Times-Roman" w:cs="Times-Roman"/>
        </w:rPr>
        <w:t>2 small floats; or</w:t>
      </w:r>
    </w:p>
    <w:p w14:paraId="45079BD2" w14:textId="77777777" w:rsidR="0088082C" w:rsidRPr="0088082C" w:rsidRDefault="0088082C" w:rsidP="0088082C">
      <w:pPr>
        <w:pStyle w:val="ListParagraph"/>
        <w:numPr>
          <w:ilvl w:val="0"/>
          <w:numId w:val="3"/>
        </w:numPr>
        <w:ind w:firstLine="1407"/>
        <w:rPr>
          <w:rFonts w:ascii="Times-Roman" w:hAnsi="Times-Roman" w:cs="Times-Roman"/>
        </w:rPr>
      </w:pPr>
      <w:r w:rsidRPr="0088082C">
        <w:rPr>
          <w:rFonts w:ascii="Times-Roman" w:hAnsi="Times-Roman" w:cs="Times-Roman"/>
        </w:rPr>
        <w:t>1 medium float;</w:t>
      </w:r>
    </w:p>
    <w:p w14:paraId="4FF1AB8B" w14:textId="77777777" w:rsidR="0088082C" w:rsidRDefault="0088082C" w:rsidP="0088082C">
      <w:pPr>
        <w:ind w:left="1280" w:firstLine="160"/>
        <w:rPr>
          <w:rFonts w:ascii="Times-Roman" w:hAnsi="Times-Roman" w:cs="Times-Roman"/>
        </w:rPr>
      </w:pPr>
      <w:r>
        <w:rPr>
          <w:rFonts w:ascii="Times-Roman" w:hAnsi="Times-Roman" w:cs="Times-Roman"/>
        </w:rPr>
        <w:t>(ii) if the grid has a circumference of more than 3050mm, at least—</w:t>
      </w:r>
    </w:p>
    <w:p w14:paraId="054ECEB0" w14:textId="77777777" w:rsidR="0088082C" w:rsidRDefault="0088082C" w:rsidP="0088082C">
      <w:pPr>
        <w:pStyle w:val="ListParagraph"/>
        <w:numPr>
          <w:ilvl w:val="0"/>
          <w:numId w:val="5"/>
        </w:numPr>
        <w:ind w:firstLine="1407"/>
        <w:rPr>
          <w:rFonts w:ascii="Times-Roman" w:hAnsi="Times-Roman" w:cs="Times-Roman"/>
        </w:rPr>
      </w:pPr>
      <w:r>
        <w:rPr>
          <w:rFonts w:ascii="Times-Roman" w:hAnsi="Times-Roman" w:cs="Times-Roman"/>
        </w:rPr>
        <w:t>4 small floats; or</w:t>
      </w:r>
    </w:p>
    <w:p w14:paraId="3B5BEB96" w14:textId="77777777" w:rsidR="0088082C" w:rsidRDefault="0088082C" w:rsidP="0088082C">
      <w:pPr>
        <w:pStyle w:val="ListParagraph"/>
        <w:numPr>
          <w:ilvl w:val="0"/>
          <w:numId w:val="5"/>
        </w:numPr>
        <w:ind w:firstLine="1407"/>
        <w:rPr>
          <w:rFonts w:ascii="Times-Roman" w:hAnsi="Times-Roman" w:cs="Times-Roman"/>
        </w:rPr>
      </w:pPr>
      <w:r>
        <w:rPr>
          <w:rFonts w:ascii="Times-Roman" w:hAnsi="Times-Roman" w:cs="Times-Roman"/>
        </w:rPr>
        <w:t>2 medium floats;</w:t>
      </w:r>
    </w:p>
    <w:p w14:paraId="5069B56E" w14:textId="77777777" w:rsidR="0088082C" w:rsidRDefault="0088082C" w:rsidP="0088082C">
      <w:pPr>
        <w:ind w:left="1280" w:firstLine="160"/>
        <w:rPr>
          <w:rFonts w:ascii="Times-Roman" w:hAnsi="Times-Roman" w:cs="Times-Roman"/>
        </w:rPr>
      </w:pPr>
      <w:r>
        <w:rPr>
          <w:rFonts w:ascii="Times-Roman" w:hAnsi="Times-Roman" w:cs="Times-Roman"/>
        </w:rPr>
        <w:t xml:space="preserve">(iii) </w:t>
      </w:r>
      <w:r w:rsidR="00716F28">
        <w:rPr>
          <w:rFonts w:ascii="Times-Roman" w:hAnsi="Times-Roman" w:cs="Times-Roman"/>
        </w:rPr>
        <w:t>if plastic floats are to be used</w:t>
      </w:r>
      <w:r w:rsidR="003F60E0">
        <w:rPr>
          <w:rFonts w:ascii="Times-Roman" w:hAnsi="Times-Roman" w:cs="Times-Roman"/>
        </w:rPr>
        <w:t>, regardless of the grid circumference</w:t>
      </w:r>
      <w:r w:rsidR="00716F28">
        <w:rPr>
          <w:rFonts w:ascii="Times-Roman" w:hAnsi="Times-Roman" w:cs="Times-Roman"/>
        </w:rPr>
        <w:t xml:space="preserve"> </w:t>
      </w:r>
      <w:r>
        <w:rPr>
          <w:rFonts w:ascii="Times-Roman" w:hAnsi="Times-Roman" w:cs="Times-Roman"/>
        </w:rPr>
        <w:t>—</w:t>
      </w:r>
    </w:p>
    <w:p w14:paraId="026211EF" w14:textId="77777777" w:rsidR="0088082C" w:rsidRDefault="0088082C" w:rsidP="0088082C">
      <w:pPr>
        <w:pStyle w:val="ListParagraph"/>
        <w:numPr>
          <w:ilvl w:val="0"/>
          <w:numId w:val="6"/>
        </w:numPr>
        <w:ind w:firstLine="1407"/>
        <w:rPr>
          <w:rFonts w:ascii="Times-Roman" w:hAnsi="Times-Roman" w:cs="Times-Roman"/>
        </w:rPr>
      </w:pPr>
      <w:r>
        <w:rPr>
          <w:rFonts w:ascii="Times-Roman" w:hAnsi="Times-Roman" w:cs="Times-Roman"/>
        </w:rPr>
        <w:t>3 small plastic floats; or</w:t>
      </w:r>
    </w:p>
    <w:p w14:paraId="0756B08E" w14:textId="77777777" w:rsidR="0088082C" w:rsidRDefault="0088082C" w:rsidP="0088082C">
      <w:pPr>
        <w:pStyle w:val="ListParagraph"/>
        <w:numPr>
          <w:ilvl w:val="0"/>
          <w:numId w:val="6"/>
        </w:numPr>
        <w:ind w:firstLine="1407"/>
        <w:rPr>
          <w:rFonts w:ascii="Times-Roman" w:hAnsi="Times-Roman" w:cs="Times-Roman"/>
        </w:rPr>
      </w:pPr>
      <w:r>
        <w:rPr>
          <w:rFonts w:ascii="Times-Roman" w:hAnsi="Times-Roman" w:cs="Times-Roman"/>
        </w:rPr>
        <w:t>2 medium plastic floats; or</w:t>
      </w:r>
    </w:p>
    <w:p w14:paraId="23BFE9F1" w14:textId="77777777" w:rsidR="0088082C" w:rsidRDefault="0088082C" w:rsidP="0088082C">
      <w:pPr>
        <w:pStyle w:val="ListParagraph"/>
        <w:numPr>
          <w:ilvl w:val="0"/>
          <w:numId w:val="6"/>
        </w:numPr>
        <w:ind w:firstLine="1407"/>
        <w:rPr>
          <w:rFonts w:ascii="Times-Roman" w:hAnsi="Times-Roman" w:cs="Times-Roman"/>
        </w:rPr>
      </w:pPr>
      <w:r>
        <w:rPr>
          <w:rFonts w:ascii="Times-Roman" w:hAnsi="Times-Roman" w:cs="Times-Roman"/>
        </w:rPr>
        <w:t>1 large plastic float.</w:t>
      </w:r>
    </w:p>
    <w:p w14:paraId="147E8F6C" w14:textId="77777777" w:rsidR="0088082C" w:rsidRPr="00783F3B" w:rsidRDefault="0088082C" w:rsidP="00783F3B">
      <w:pPr>
        <w:autoSpaceDE w:val="0"/>
        <w:autoSpaceDN w:val="0"/>
        <w:adjustRightInd w:val="0"/>
        <w:ind w:left="1560" w:hanging="284"/>
        <w:rPr>
          <w:sz w:val="18"/>
          <w:szCs w:val="18"/>
          <w:lang w:val="en-US"/>
        </w:rPr>
      </w:pPr>
    </w:p>
    <w:p w14:paraId="5650D466" w14:textId="77777777" w:rsidR="0088082C" w:rsidRDefault="0088082C" w:rsidP="0088082C">
      <w:pPr>
        <w:ind w:left="560"/>
        <w:rPr>
          <w:rFonts w:ascii="Times-Roman" w:hAnsi="Times-Roman" w:cs="Times-Roman"/>
        </w:rPr>
      </w:pPr>
      <w:r>
        <w:rPr>
          <w:rFonts w:ascii="Times-Roman" w:hAnsi="Times-Roman" w:cs="Times-Roman"/>
        </w:rPr>
        <w:t xml:space="preserve">(f) In </w:t>
      </w:r>
      <w:r w:rsidR="00090823">
        <w:rPr>
          <w:rFonts w:ascii="Times-Roman" w:hAnsi="Times-Roman" w:cs="Times-Roman"/>
        </w:rPr>
        <w:t>subclause</w:t>
      </w:r>
      <w:r>
        <w:rPr>
          <w:rFonts w:ascii="Times-Roman" w:hAnsi="Times-Roman" w:cs="Times-Roman"/>
        </w:rPr>
        <w:t xml:space="preserve"> (e) — </w:t>
      </w:r>
    </w:p>
    <w:p w14:paraId="75F12B0D" w14:textId="77777777" w:rsidR="0088082C" w:rsidRPr="00783F3B" w:rsidRDefault="0088082C" w:rsidP="00783F3B">
      <w:pPr>
        <w:autoSpaceDE w:val="0"/>
        <w:autoSpaceDN w:val="0"/>
        <w:adjustRightInd w:val="0"/>
        <w:ind w:left="1560" w:hanging="284"/>
        <w:rPr>
          <w:sz w:val="18"/>
          <w:szCs w:val="18"/>
          <w:lang w:val="en-US"/>
        </w:rPr>
      </w:pPr>
    </w:p>
    <w:p w14:paraId="400D79B9" w14:textId="77777777" w:rsidR="0088082C" w:rsidRDefault="0088082C" w:rsidP="0088082C">
      <w:pPr>
        <w:ind w:left="560" w:firstLine="291"/>
        <w:rPr>
          <w:rFonts w:ascii="Times-Roman" w:hAnsi="Times-Roman" w:cs="Times-Roman"/>
        </w:rPr>
      </w:pPr>
      <w:r>
        <w:rPr>
          <w:rFonts w:ascii="Times-BoldItalic" w:hAnsi="Times-BoldItalic" w:cs="Times-BoldItalic"/>
          <w:b/>
          <w:bCs/>
          <w:i/>
          <w:iCs/>
        </w:rPr>
        <w:t xml:space="preserve">“attached” </w:t>
      </w:r>
      <w:r>
        <w:rPr>
          <w:rFonts w:ascii="Times-Roman" w:hAnsi="Times-Roman" w:cs="Times-Roman"/>
        </w:rPr>
        <w:t>means secured to the top half of the grid—</w:t>
      </w:r>
    </w:p>
    <w:p w14:paraId="60038C8A" w14:textId="77777777" w:rsidR="0088082C" w:rsidRDefault="0088082C" w:rsidP="0088082C">
      <w:pPr>
        <w:ind w:left="1280" w:firstLine="160"/>
        <w:rPr>
          <w:rFonts w:ascii="Times-Roman" w:hAnsi="Times-Roman" w:cs="Times-Roman"/>
        </w:rPr>
      </w:pPr>
      <w:r>
        <w:rPr>
          <w:rFonts w:ascii="Times-Roman" w:hAnsi="Times-Roman" w:cs="Times-Roman"/>
        </w:rPr>
        <w:t>(</w:t>
      </w:r>
      <w:proofErr w:type="spellStart"/>
      <w:r>
        <w:rPr>
          <w:rFonts w:ascii="Times-Roman" w:hAnsi="Times-Roman" w:cs="Times-Roman"/>
        </w:rPr>
        <w:t>i</w:t>
      </w:r>
      <w:proofErr w:type="spellEnd"/>
      <w:r>
        <w:rPr>
          <w:rFonts w:ascii="Times-Roman" w:hAnsi="Times-Roman" w:cs="Times-Roman"/>
        </w:rPr>
        <w:t>) inside the net and behind the grid; or</w:t>
      </w:r>
    </w:p>
    <w:p w14:paraId="03337E47" w14:textId="77777777" w:rsidR="0088082C" w:rsidRDefault="0088082C" w:rsidP="0088082C">
      <w:pPr>
        <w:ind w:left="1120" w:firstLine="320"/>
        <w:rPr>
          <w:rFonts w:ascii="Times-Roman" w:hAnsi="Times-Roman" w:cs="Times-Roman"/>
        </w:rPr>
      </w:pPr>
      <w:r>
        <w:rPr>
          <w:rFonts w:ascii="Times-Roman" w:hAnsi="Times-Roman" w:cs="Times-Roman"/>
        </w:rPr>
        <w:t>(ii) outside the net but not secured to a flap.</w:t>
      </w:r>
    </w:p>
    <w:p w14:paraId="69800BBC" w14:textId="77777777" w:rsidR="0088082C" w:rsidRPr="00783F3B" w:rsidRDefault="0088082C" w:rsidP="00783F3B">
      <w:pPr>
        <w:autoSpaceDE w:val="0"/>
        <w:autoSpaceDN w:val="0"/>
        <w:adjustRightInd w:val="0"/>
        <w:ind w:left="1560" w:hanging="284"/>
        <w:rPr>
          <w:sz w:val="18"/>
          <w:szCs w:val="18"/>
          <w:lang w:val="en-US"/>
        </w:rPr>
      </w:pPr>
    </w:p>
    <w:p w14:paraId="704F1000" w14:textId="77777777" w:rsidR="0088082C" w:rsidRPr="00343302" w:rsidRDefault="0088082C" w:rsidP="0088082C">
      <w:pPr>
        <w:ind w:left="851"/>
        <w:rPr>
          <w:rFonts w:ascii="Times-Roman" w:hAnsi="Times-Roman" w:cs="Times-Roman"/>
        </w:rPr>
      </w:pPr>
      <w:r>
        <w:rPr>
          <w:rFonts w:ascii="Times-BoldItalic" w:hAnsi="Times-BoldItalic" w:cs="Times-BoldItalic"/>
          <w:b/>
          <w:bCs/>
          <w:i/>
          <w:iCs/>
        </w:rPr>
        <w:t xml:space="preserve">“large plastic float” </w:t>
      </w:r>
      <w:r>
        <w:rPr>
          <w:rFonts w:ascii="Times-Roman" w:hAnsi="Times-Roman" w:cs="Times-Roman"/>
        </w:rPr>
        <w:t>means a float made of hard plastic that is at least 250mm in diameter.</w:t>
      </w:r>
      <w:r w:rsidRPr="00E91688">
        <w:rPr>
          <w:rFonts w:ascii="Times-BoldItalic" w:hAnsi="Times-BoldItalic" w:cs="Times-BoldItalic"/>
          <w:b/>
          <w:bCs/>
          <w:i/>
          <w:iCs/>
        </w:rPr>
        <w:t xml:space="preserve"> </w:t>
      </w:r>
    </w:p>
    <w:p w14:paraId="2425C5A4" w14:textId="77777777" w:rsidR="0088082C" w:rsidRPr="00783F3B" w:rsidRDefault="0088082C" w:rsidP="00783F3B">
      <w:pPr>
        <w:autoSpaceDE w:val="0"/>
        <w:autoSpaceDN w:val="0"/>
        <w:adjustRightInd w:val="0"/>
        <w:ind w:left="1560" w:hanging="284"/>
        <w:rPr>
          <w:sz w:val="18"/>
          <w:szCs w:val="18"/>
          <w:lang w:val="en-US"/>
        </w:rPr>
      </w:pPr>
    </w:p>
    <w:p w14:paraId="581BDEF2" w14:textId="77777777" w:rsidR="0088082C" w:rsidRDefault="0088082C" w:rsidP="0088082C">
      <w:pPr>
        <w:ind w:left="851"/>
        <w:rPr>
          <w:rFonts w:ascii="Times-Roman" w:hAnsi="Times-Roman" w:cs="Times-Roman"/>
        </w:rPr>
      </w:pPr>
      <w:r>
        <w:rPr>
          <w:rFonts w:ascii="Times-BoldItalic" w:hAnsi="Times-BoldItalic" w:cs="Times-BoldItalic"/>
          <w:b/>
          <w:bCs/>
          <w:i/>
          <w:iCs/>
        </w:rPr>
        <w:t xml:space="preserve">“medium float” </w:t>
      </w:r>
      <w:r>
        <w:rPr>
          <w:rFonts w:ascii="Times-Roman" w:hAnsi="Times-Roman" w:cs="Times-Roman"/>
        </w:rPr>
        <w:t>means a float made of ethylene vinyl acetate or polyvinyl chloride that is at least—</w:t>
      </w:r>
    </w:p>
    <w:p w14:paraId="4044D6DC" w14:textId="77777777" w:rsidR="0088082C" w:rsidRDefault="0088082C" w:rsidP="0088082C">
      <w:pPr>
        <w:ind w:left="560" w:firstLine="858"/>
        <w:rPr>
          <w:rFonts w:ascii="Times-Roman" w:hAnsi="Times-Roman" w:cs="Times-Roman"/>
        </w:rPr>
      </w:pPr>
      <w:r>
        <w:rPr>
          <w:rFonts w:ascii="Times-Roman" w:hAnsi="Times-Roman" w:cs="Times-Roman"/>
        </w:rPr>
        <w:t>(a) 222mm long; and</w:t>
      </w:r>
    </w:p>
    <w:p w14:paraId="2BF393CF" w14:textId="77777777" w:rsidR="0088082C" w:rsidRDefault="0088082C" w:rsidP="0088082C">
      <w:pPr>
        <w:ind w:left="560" w:firstLine="858"/>
        <w:rPr>
          <w:rFonts w:ascii="Times-Roman" w:hAnsi="Times-Roman" w:cs="Times-Roman"/>
        </w:rPr>
      </w:pPr>
      <w:r>
        <w:rPr>
          <w:rFonts w:ascii="Times-Roman" w:hAnsi="Times-Roman" w:cs="Times-Roman"/>
        </w:rPr>
        <w:t>(b) 172mm in diameter.</w:t>
      </w:r>
    </w:p>
    <w:p w14:paraId="3A7A3687" w14:textId="77777777" w:rsidR="0088082C" w:rsidRPr="00783F3B" w:rsidRDefault="0088082C" w:rsidP="00783F3B">
      <w:pPr>
        <w:autoSpaceDE w:val="0"/>
        <w:autoSpaceDN w:val="0"/>
        <w:adjustRightInd w:val="0"/>
        <w:ind w:left="1560" w:hanging="284"/>
        <w:rPr>
          <w:sz w:val="18"/>
          <w:szCs w:val="18"/>
          <w:lang w:val="en-US"/>
        </w:rPr>
      </w:pPr>
    </w:p>
    <w:p w14:paraId="7D8ABA12" w14:textId="77777777" w:rsidR="0088082C" w:rsidRDefault="0088082C" w:rsidP="0088082C">
      <w:pPr>
        <w:ind w:left="851"/>
        <w:rPr>
          <w:rFonts w:ascii="Times-Roman" w:hAnsi="Times-Roman" w:cs="Times-Roman"/>
        </w:rPr>
      </w:pPr>
      <w:r>
        <w:rPr>
          <w:rFonts w:ascii="Times-BoldItalic" w:hAnsi="Times-BoldItalic" w:cs="Times-BoldItalic"/>
          <w:b/>
          <w:bCs/>
          <w:i/>
          <w:iCs/>
        </w:rPr>
        <w:t xml:space="preserve">“medium plastic float” </w:t>
      </w:r>
      <w:r>
        <w:rPr>
          <w:rFonts w:ascii="Times-Roman" w:hAnsi="Times-Roman" w:cs="Times-Roman"/>
        </w:rPr>
        <w:t>means a float made of hard plastic that is at least 200mm, but less than 250mm, in diameter.</w:t>
      </w:r>
    </w:p>
    <w:p w14:paraId="4E114D5C" w14:textId="77777777" w:rsidR="0088082C" w:rsidRPr="00783F3B" w:rsidRDefault="0088082C" w:rsidP="00783F3B">
      <w:pPr>
        <w:autoSpaceDE w:val="0"/>
        <w:autoSpaceDN w:val="0"/>
        <w:adjustRightInd w:val="0"/>
        <w:ind w:left="1560" w:hanging="284"/>
        <w:rPr>
          <w:sz w:val="18"/>
          <w:szCs w:val="18"/>
          <w:lang w:val="en-US"/>
        </w:rPr>
      </w:pPr>
    </w:p>
    <w:p w14:paraId="08D18FFA" w14:textId="77777777" w:rsidR="0088082C" w:rsidRDefault="0088082C" w:rsidP="007F1FE4">
      <w:pPr>
        <w:ind w:left="851"/>
        <w:rPr>
          <w:rFonts w:ascii="Times-Roman" w:hAnsi="Times-Roman" w:cs="Times-Roman"/>
        </w:rPr>
      </w:pPr>
      <w:r>
        <w:rPr>
          <w:rFonts w:ascii="Times-BoldItalic" w:hAnsi="Times-BoldItalic" w:cs="Times-BoldItalic"/>
          <w:b/>
          <w:bCs/>
          <w:i/>
          <w:iCs/>
        </w:rPr>
        <w:t xml:space="preserve">“small float” </w:t>
      </w:r>
      <w:r>
        <w:rPr>
          <w:rFonts w:ascii="Times-Roman" w:hAnsi="Times-Roman" w:cs="Times-Roman"/>
        </w:rPr>
        <w:t>means a float made of ethylene vinyl acetate or polyvinyl chloride that is at least—</w:t>
      </w:r>
    </w:p>
    <w:p w14:paraId="6A8D1D38" w14:textId="77777777" w:rsidR="0088082C" w:rsidRDefault="0088082C" w:rsidP="007F1FE4">
      <w:pPr>
        <w:ind w:left="560" w:firstLine="858"/>
        <w:rPr>
          <w:rFonts w:ascii="Times-Roman" w:hAnsi="Times-Roman" w:cs="Times-Roman"/>
        </w:rPr>
      </w:pPr>
      <w:r>
        <w:rPr>
          <w:rFonts w:ascii="Times-Roman" w:hAnsi="Times-Roman" w:cs="Times-Roman"/>
        </w:rPr>
        <w:t>(a) 180</w:t>
      </w:r>
      <w:r w:rsidR="00EE0460">
        <w:rPr>
          <w:rFonts w:ascii="Times-Roman" w:hAnsi="Times-Roman" w:cs="Times-Roman"/>
        </w:rPr>
        <w:t xml:space="preserve"> </w:t>
      </w:r>
      <w:r>
        <w:rPr>
          <w:rFonts w:ascii="Times-Roman" w:hAnsi="Times-Roman" w:cs="Times-Roman"/>
        </w:rPr>
        <w:t>mm, but less than 222</w:t>
      </w:r>
      <w:r w:rsidR="00EE0460">
        <w:rPr>
          <w:rFonts w:ascii="Times-Roman" w:hAnsi="Times-Roman" w:cs="Times-Roman"/>
        </w:rPr>
        <w:t xml:space="preserve"> </w:t>
      </w:r>
      <w:r>
        <w:rPr>
          <w:rFonts w:ascii="Times-Roman" w:hAnsi="Times-Roman" w:cs="Times-Roman"/>
        </w:rPr>
        <w:t>mm, long; and</w:t>
      </w:r>
    </w:p>
    <w:p w14:paraId="42A6DE69" w14:textId="77777777" w:rsidR="0088082C" w:rsidRDefault="0088082C" w:rsidP="007F1FE4">
      <w:pPr>
        <w:ind w:left="560" w:firstLine="858"/>
        <w:rPr>
          <w:rFonts w:ascii="Times-Roman" w:hAnsi="Times-Roman" w:cs="Times-Roman"/>
        </w:rPr>
      </w:pPr>
      <w:r>
        <w:rPr>
          <w:rFonts w:ascii="Times-Roman" w:hAnsi="Times-Roman" w:cs="Times-Roman"/>
        </w:rPr>
        <w:t>(b) 147</w:t>
      </w:r>
      <w:r w:rsidR="00EE0460">
        <w:rPr>
          <w:rFonts w:ascii="Times-Roman" w:hAnsi="Times-Roman" w:cs="Times-Roman"/>
        </w:rPr>
        <w:t xml:space="preserve"> </w:t>
      </w:r>
      <w:r>
        <w:rPr>
          <w:rFonts w:ascii="Times-Roman" w:hAnsi="Times-Roman" w:cs="Times-Roman"/>
        </w:rPr>
        <w:t>mm, but less than 172</w:t>
      </w:r>
      <w:r w:rsidR="00EE0460">
        <w:rPr>
          <w:rFonts w:ascii="Times-Roman" w:hAnsi="Times-Roman" w:cs="Times-Roman"/>
        </w:rPr>
        <w:t xml:space="preserve"> </w:t>
      </w:r>
      <w:r>
        <w:rPr>
          <w:rFonts w:ascii="Times-Roman" w:hAnsi="Times-Roman" w:cs="Times-Roman"/>
        </w:rPr>
        <w:t>mm, in diameter.</w:t>
      </w:r>
    </w:p>
    <w:p w14:paraId="16AF3FA8" w14:textId="77777777" w:rsidR="0088082C" w:rsidRPr="00783F3B" w:rsidRDefault="0088082C" w:rsidP="00783F3B">
      <w:pPr>
        <w:autoSpaceDE w:val="0"/>
        <w:autoSpaceDN w:val="0"/>
        <w:adjustRightInd w:val="0"/>
        <w:ind w:left="1560" w:hanging="284"/>
        <w:rPr>
          <w:sz w:val="18"/>
          <w:szCs w:val="18"/>
          <w:lang w:val="en-US"/>
        </w:rPr>
      </w:pPr>
    </w:p>
    <w:p w14:paraId="5C29DDE1" w14:textId="77777777" w:rsidR="0088082C" w:rsidRDefault="007F1FE4" w:rsidP="007F1FE4">
      <w:pPr>
        <w:ind w:left="851"/>
        <w:rPr>
          <w:rFonts w:ascii="Times-Roman" w:hAnsi="Times-Roman" w:cs="Times-Roman"/>
        </w:rPr>
      </w:pPr>
      <w:r>
        <w:rPr>
          <w:rFonts w:ascii="Times-BoldItalic" w:hAnsi="Times-BoldItalic" w:cs="Times-BoldItalic"/>
          <w:b/>
          <w:bCs/>
          <w:i/>
          <w:iCs/>
        </w:rPr>
        <w:t>“</w:t>
      </w:r>
      <w:r w:rsidR="0088082C">
        <w:rPr>
          <w:rFonts w:ascii="Times-BoldItalic" w:hAnsi="Times-BoldItalic" w:cs="Times-BoldItalic"/>
          <w:b/>
          <w:bCs/>
          <w:i/>
          <w:iCs/>
        </w:rPr>
        <w:t>small plastic float</w:t>
      </w:r>
      <w:r>
        <w:rPr>
          <w:rFonts w:ascii="Times-BoldItalic" w:hAnsi="Times-BoldItalic" w:cs="Times-BoldItalic"/>
          <w:b/>
          <w:bCs/>
          <w:i/>
          <w:iCs/>
        </w:rPr>
        <w:t>”</w:t>
      </w:r>
      <w:r w:rsidR="0088082C">
        <w:rPr>
          <w:rFonts w:ascii="Times-BoldItalic" w:hAnsi="Times-BoldItalic" w:cs="Times-BoldItalic"/>
          <w:b/>
          <w:bCs/>
          <w:i/>
          <w:iCs/>
        </w:rPr>
        <w:t xml:space="preserve"> </w:t>
      </w:r>
      <w:r w:rsidR="0088082C">
        <w:rPr>
          <w:rFonts w:ascii="Times-Roman" w:hAnsi="Times-Roman" w:cs="Times-Roman"/>
        </w:rPr>
        <w:t>means a float made of hard plastic that is at least 150</w:t>
      </w:r>
      <w:r w:rsidR="00EE0460">
        <w:rPr>
          <w:rFonts w:ascii="Times-Roman" w:hAnsi="Times-Roman" w:cs="Times-Roman"/>
        </w:rPr>
        <w:t xml:space="preserve"> </w:t>
      </w:r>
      <w:r w:rsidR="0088082C">
        <w:rPr>
          <w:rFonts w:ascii="Times-Roman" w:hAnsi="Times-Roman" w:cs="Times-Roman"/>
        </w:rPr>
        <w:t>mm, but less than 200mm, in diameter.</w:t>
      </w:r>
    </w:p>
    <w:p w14:paraId="4D31F660" w14:textId="77777777" w:rsidR="0088082C" w:rsidRPr="00577C30" w:rsidRDefault="007F1FE4" w:rsidP="007F1FE4">
      <w:pPr>
        <w:spacing w:before="120" w:after="120"/>
        <w:ind w:left="560" w:firstLine="291"/>
        <w:rPr>
          <w:lang w:val="en-US"/>
        </w:rPr>
      </w:pPr>
      <w:r>
        <w:rPr>
          <w:rFonts w:ascii="Times-BoldItalic" w:hAnsi="Times-BoldItalic" w:cs="Times-BoldItalic"/>
          <w:b/>
          <w:bCs/>
          <w:i/>
          <w:iCs/>
        </w:rPr>
        <w:t>“</w:t>
      </w:r>
      <w:r w:rsidR="0088082C">
        <w:rPr>
          <w:rFonts w:ascii="Times-BoldItalic" w:hAnsi="Times-BoldItalic" w:cs="Times-BoldItalic"/>
          <w:b/>
          <w:bCs/>
          <w:i/>
          <w:iCs/>
        </w:rPr>
        <w:t>weight</w:t>
      </w:r>
      <w:r>
        <w:rPr>
          <w:rFonts w:ascii="Times-BoldItalic" w:hAnsi="Times-BoldItalic" w:cs="Times-BoldItalic"/>
          <w:b/>
          <w:bCs/>
          <w:i/>
          <w:iCs/>
        </w:rPr>
        <w:t>”</w:t>
      </w:r>
      <w:r w:rsidR="0088082C">
        <w:rPr>
          <w:rFonts w:ascii="Times-BoldItalic" w:hAnsi="Times-BoldItalic" w:cs="Times-BoldItalic"/>
          <w:b/>
          <w:bCs/>
          <w:i/>
          <w:iCs/>
        </w:rPr>
        <w:t xml:space="preserve"> </w:t>
      </w:r>
      <w:r w:rsidR="0088082C">
        <w:rPr>
          <w:rFonts w:ascii="Times-Roman" w:hAnsi="Times-Roman" w:cs="Times-Roman"/>
        </w:rPr>
        <w:t>means weight expressed in grams or kilograms.</w:t>
      </w:r>
    </w:p>
    <w:p w14:paraId="10C5A176" w14:textId="77777777" w:rsidR="0088082C" w:rsidRDefault="0088082C" w:rsidP="0088082C">
      <w:pPr>
        <w:pStyle w:val="Heading3"/>
        <w:tabs>
          <w:tab w:val="left" w:pos="720"/>
        </w:tabs>
        <w:rPr>
          <w:rFonts w:ascii="Times New Roman" w:hAnsi="Times New Roman" w:cs="Times New Roman"/>
          <w:sz w:val="24"/>
          <w:szCs w:val="24"/>
        </w:rPr>
      </w:pPr>
      <w:r>
        <w:rPr>
          <w:rFonts w:ascii="Times New Roman" w:hAnsi="Times New Roman" w:cs="Times New Roman"/>
          <w:sz w:val="24"/>
          <w:szCs w:val="24"/>
        </w:rPr>
        <w:t>Prohibitions</w:t>
      </w:r>
    </w:p>
    <w:p w14:paraId="07848DA2" w14:textId="77777777" w:rsidR="00367707" w:rsidRPr="00783F3B" w:rsidRDefault="00367707" w:rsidP="00783F3B">
      <w:pPr>
        <w:autoSpaceDE w:val="0"/>
        <w:autoSpaceDN w:val="0"/>
        <w:adjustRightInd w:val="0"/>
        <w:ind w:left="1560" w:hanging="284"/>
        <w:rPr>
          <w:sz w:val="18"/>
          <w:szCs w:val="18"/>
          <w:lang w:val="en-US"/>
        </w:rPr>
      </w:pPr>
    </w:p>
    <w:p w14:paraId="08CFE484" w14:textId="77777777" w:rsidR="007F1FE4" w:rsidRPr="007F1FE4" w:rsidRDefault="007F1FE4" w:rsidP="007F1FE4">
      <w:pPr>
        <w:autoSpaceDE w:val="0"/>
        <w:autoSpaceDN w:val="0"/>
        <w:adjustRightInd w:val="0"/>
        <w:spacing w:after="120"/>
        <w:ind w:left="426" w:hanging="426"/>
        <w:jc w:val="both"/>
        <w:rPr>
          <w:lang w:val="en-US" w:eastAsia="en-US"/>
        </w:rPr>
      </w:pPr>
      <w:r w:rsidRPr="007F1FE4">
        <w:rPr>
          <w:lang w:val="en-US" w:eastAsia="en-US"/>
        </w:rPr>
        <w:t xml:space="preserve">6.1 </w:t>
      </w:r>
      <w:r w:rsidRPr="007F1FE4">
        <w:rPr>
          <w:lang w:val="en-US" w:eastAsia="en-US"/>
        </w:rPr>
        <w:tab/>
        <w:t xml:space="preserve">Pursuant to paragraph 16(1)(c) of the Act, the use or possession of otter trawl equipment in the area of the Torres Strait Prawn Fishery is prohibited unless each net that is used is fitted with a Turtle Excluder Device. </w:t>
      </w:r>
    </w:p>
    <w:p w14:paraId="01D2F650" w14:textId="25E84044" w:rsidR="0015591E" w:rsidRDefault="007F1FE4" w:rsidP="00F05D97">
      <w:pPr>
        <w:autoSpaceDE w:val="0"/>
        <w:autoSpaceDN w:val="0"/>
        <w:adjustRightInd w:val="0"/>
        <w:spacing w:after="120"/>
        <w:ind w:left="426" w:hanging="426"/>
        <w:jc w:val="both"/>
      </w:pPr>
      <w:r w:rsidRPr="007F1FE4">
        <w:rPr>
          <w:lang w:val="en-US" w:eastAsia="en-US"/>
        </w:rPr>
        <w:t xml:space="preserve">6.2 </w:t>
      </w:r>
      <w:r w:rsidRPr="007F1FE4">
        <w:rPr>
          <w:lang w:val="en-US" w:eastAsia="en-US"/>
        </w:rPr>
        <w:tab/>
        <w:t>However, if a try-net is used, it does not need to be fitted with a Turtle Excluder Device.</w:t>
      </w:r>
    </w:p>
    <w:sectPr w:rsidR="0015591E">
      <w:pgSz w:w="11906" w:h="16838"/>
      <w:pgMar w:top="1440" w:right="1286"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997"/>
    <w:multiLevelType w:val="hybridMultilevel"/>
    <w:tmpl w:val="41C23E0C"/>
    <w:lvl w:ilvl="0" w:tplc="F8A0ACAE">
      <w:start w:val="1"/>
      <w:numFmt w:val="lowerRoman"/>
      <w:lvlText w:val="(%1)"/>
      <w:lvlJc w:val="left"/>
      <w:pPr>
        <w:ind w:left="2880" w:hanging="720"/>
      </w:pPr>
      <w:rPr>
        <w:rFonts w:ascii="TimesNewRoman" w:hAnsi="TimesNewRoman" w:cs="TimesNewRoman"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2C58617"/>
    <w:multiLevelType w:val="hybridMultilevel"/>
    <w:tmpl w:val="8C39E0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D57AED"/>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C0144"/>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740E0E"/>
    <w:multiLevelType w:val="multilevel"/>
    <w:tmpl w:val="49C46740"/>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5DDC1DC3"/>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2C"/>
    <w:rsid w:val="00090823"/>
    <w:rsid w:val="0015591E"/>
    <w:rsid w:val="001E23DB"/>
    <w:rsid w:val="00255924"/>
    <w:rsid w:val="002D1BEA"/>
    <w:rsid w:val="00367707"/>
    <w:rsid w:val="003F60E0"/>
    <w:rsid w:val="00447099"/>
    <w:rsid w:val="006C069E"/>
    <w:rsid w:val="006F0A80"/>
    <w:rsid w:val="00716F28"/>
    <w:rsid w:val="00732146"/>
    <w:rsid w:val="00783F3B"/>
    <w:rsid w:val="007F1FE4"/>
    <w:rsid w:val="0088082C"/>
    <w:rsid w:val="00901EC5"/>
    <w:rsid w:val="00923B76"/>
    <w:rsid w:val="009B3210"/>
    <w:rsid w:val="00B5092F"/>
    <w:rsid w:val="00C35730"/>
    <w:rsid w:val="00C7114B"/>
    <w:rsid w:val="00CF4B04"/>
    <w:rsid w:val="00E30771"/>
    <w:rsid w:val="00EE0460"/>
    <w:rsid w:val="00F05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1379298"/>
  <w15:docId w15:val="{D81764D1-909F-47B9-B4C9-4776D227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2C"/>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88082C"/>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082C"/>
    <w:rPr>
      <w:rFonts w:ascii="Arial" w:eastAsia="Times New Roman" w:hAnsi="Arial" w:cs="Arial"/>
      <w:b/>
      <w:bCs/>
      <w:sz w:val="26"/>
      <w:szCs w:val="26"/>
    </w:rPr>
  </w:style>
  <w:style w:type="paragraph" w:customStyle="1" w:styleId="MELegal1">
    <w:name w:val="ME Legal 1"/>
    <w:basedOn w:val="Normal"/>
    <w:next w:val="Normal"/>
    <w:rsid w:val="0088082C"/>
    <w:pPr>
      <w:numPr>
        <w:numId w:val="1"/>
      </w:numPr>
      <w:spacing w:after="240"/>
      <w:outlineLvl w:val="0"/>
    </w:pPr>
    <w:rPr>
      <w:szCs w:val="20"/>
      <w:lang w:eastAsia="zh-CN"/>
    </w:rPr>
  </w:style>
  <w:style w:type="paragraph" w:customStyle="1" w:styleId="MELegal2">
    <w:name w:val="ME Legal 2"/>
    <w:basedOn w:val="Normal"/>
    <w:next w:val="Normal"/>
    <w:rsid w:val="0088082C"/>
    <w:pPr>
      <w:numPr>
        <w:ilvl w:val="1"/>
        <w:numId w:val="1"/>
      </w:numPr>
      <w:spacing w:after="240"/>
      <w:outlineLvl w:val="1"/>
    </w:pPr>
    <w:rPr>
      <w:szCs w:val="20"/>
      <w:lang w:eastAsia="zh-CN"/>
    </w:rPr>
  </w:style>
  <w:style w:type="paragraph" w:customStyle="1" w:styleId="MELegal3">
    <w:name w:val="ME Legal 3"/>
    <w:basedOn w:val="Normal"/>
    <w:next w:val="Normal"/>
    <w:rsid w:val="0088082C"/>
    <w:pPr>
      <w:numPr>
        <w:ilvl w:val="2"/>
        <w:numId w:val="1"/>
      </w:numPr>
      <w:spacing w:after="240"/>
      <w:outlineLvl w:val="2"/>
    </w:pPr>
    <w:rPr>
      <w:szCs w:val="20"/>
      <w:lang w:eastAsia="zh-CN"/>
    </w:rPr>
  </w:style>
  <w:style w:type="paragraph" w:customStyle="1" w:styleId="MELegal4">
    <w:name w:val="ME Legal 4"/>
    <w:basedOn w:val="Normal"/>
    <w:next w:val="Normal"/>
    <w:rsid w:val="0088082C"/>
    <w:pPr>
      <w:numPr>
        <w:ilvl w:val="3"/>
        <w:numId w:val="1"/>
      </w:numPr>
      <w:spacing w:after="240"/>
      <w:outlineLvl w:val="3"/>
    </w:pPr>
    <w:rPr>
      <w:szCs w:val="20"/>
      <w:lang w:eastAsia="zh-CN"/>
    </w:rPr>
  </w:style>
  <w:style w:type="paragraph" w:customStyle="1" w:styleId="MELegal5">
    <w:name w:val="ME Legal 5"/>
    <w:basedOn w:val="Normal"/>
    <w:next w:val="Normal"/>
    <w:rsid w:val="0088082C"/>
    <w:pPr>
      <w:numPr>
        <w:ilvl w:val="4"/>
        <w:numId w:val="1"/>
      </w:numPr>
      <w:spacing w:after="240"/>
      <w:outlineLvl w:val="4"/>
    </w:pPr>
    <w:rPr>
      <w:szCs w:val="20"/>
      <w:lang w:eastAsia="zh-CN"/>
    </w:rPr>
  </w:style>
  <w:style w:type="paragraph" w:customStyle="1" w:styleId="MELegal6">
    <w:name w:val="ME Legal 6"/>
    <w:basedOn w:val="Normal"/>
    <w:next w:val="Normal"/>
    <w:rsid w:val="0088082C"/>
    <w:pPr>
      <w:numPr>
        <w:ilvl w:val="5"/>
        <w:numId w:val="1"/>
      </w:numPr>
      <w:spacing w:after="240"/>
      <w:outlineLvl w:val="5"/>
    </w:pPr>
    <w:rPr>
      <w:szCs w:val="20"/>
      <w:lang w:eastAsia="zh-CN"/>
    </w:rPr>
  </w:style>
  <w:style w:type="paragraph" w:customStyle="1" w:styleId="MELegal7">
    <w:name w:val="ME Legal 7"/>
    <w:basedOn w:val="Normal"/>
    <w:next w:val="Normal"/>
    <w:rsid w:val="0088082C"/>
    <w:pPr>
      <w:numPr>
        <w:ilvl w:val="6"/>
        <w:numId w:val="1"/>
      </w:numPr>
      <w:spacing w:after="240"/>
      <w:outlineLvl w:val="6"/>
    </w:pPr>
    <w:rPr>
      <w:szCs w:val="20"/>
      <w:lang w:eastAsia="zh-CN"/>
    </w:rPr>
  </w:style>
  <w:style w:type="paragraph" w:customStyle="1" w:styleId="AFMANormal">
    <w:name w:val="AFMA Normal"/>
    <w:rsid w:val="0088082C"/>
    <w:pPr>
      <w:spacing w:before="240" w:after="0" w:line="240" w:lineRule="auto"/>
      <w:jc w:val="both"/>
    </w:pPr>
    <w:rPr>
      <w:rFonts w:ascii="Times New Roman" w:eastAsia="Times New Roman" w:hAnsi="Times New Roman" w:cs="Times New Roman"/>
      <w:kern w:val="20"/>
      <w:sz w:val="24"/>
      <w:szCs w:val="20"/>
    </w:rPr>
  </w:style>
  <w:style w:type="paragraph" w:styleId="ListParagraph">
    <w:name w:val="List Paragraph"/>
    <w:basedOn w:val="Normal"/>
    <w:uiPriority w:val="34"/>
    <w:qFormat/>
    <w:rsid w:val="0088082C"/>
    <w:pPr>
      <w:ind w:left="720"/>
      <w:contextualSpacing/>
    </w:pPr>
  </w:style>
  <w:style w:type="character" w:styleId="CommentReference">
    <w:name w:val="annotation reference"/>
    <w:basedOn w:val="DefaultParagraphFont"/>
    <w:uiPriority w:val="99"/>
    <w:semiHidden/>
    <w:unhideWhenUsed/>
    <w:rsid w:val="007F1FE4"/>
    <w:rPr>
      <w:sz w:val="16"/>
      <w:szCs w:val="16"/>
    </w:rPr>
  </w:style>
  <w:style w:type="paragraph" w:styleId="CommentText">
    <w:name w:val="annotation text"/>
    <w:basedOn w:val="Normal"/>
    <w:link w:val="CommentTextChar"/>
    <w:uiPriority w:val="99"/>
    <w:semiHidden/>
    <w:unhideWhenUsed/>
    <w:rsid w:val="007F1FE4"/>
    <w:rPr>
      <w:sz w:val="20"/>
      <w:szCs w:val="20"/>
    </w:rPr>
  </w:style>
  <w:style w:type="character" w:customStyle="1" w:styleId="CommentTextChar">
    <w:name w:val="Comment Text Char"/>
    <w:basedOn w:val="DefaultParagraphFont"/>
    <w:link w:val="CommentText"/>
    <w:uiPriority w:val="99"/>
    <w:semiHidden/>
    <w:rsid w:val="007F1FE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F1FE4"/>
    <w:rPr>
      <w:b/>
      <w:bCs/>
    </w:rPr>
  </w:style>
  <w:style w:type="character" w:customStyle="1" w:styleId="CommentSubjectChar">
    <w:name w:val="Comment Subject Char"/>
    <w:basedOn w:val="CommentTextChar"/>
    <w:link w:val="CommentSubject"/>
    <w:uiPriority w:val="99"/>
    <w:semiHidden/>
    <w:rsid w:val="007F1FE4"/>
    <w:rPr>
      <w:rFonts w:ascii="Times New Roman" w:eastAsia="Times New Roman" w:hAnsi="Times New Roman" w:cs="Times New Roman"/>
      <w:b/>
      <w:bCs/>
      <w:sz w:val="20"/>
      <w:szCs w:val="20"/>
      <w:lang w:eastAsia="en-AU"/>
    </w:rPr>
  </w:style>
  <w:style w:type="paragraph" w:styleId="Revision">
    <w:name w:val="Revision"/>
    <w:hidden/>
    <w:uiPriority w:val="99"/>
    <w:semiHidden/>
    <w:rsid w:val="007F1FE4"/>
    <w:pPr>
      <w:spacing w:after="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1FE4"/>
    <w:rPr>
      <w:rFonts w:ascii="Tahoma" w:hAnsi="Tahoma" w:cs="Tahoma"/>
      <w:sz w:val="16"/>
      <w:szCs w:val="16"/>
    </w:rPr>
  </w:style>
  <w:style w:type="character" w:customStyle="1" w:styleId="BalloonTextChar">
    <w:name w:val="Balloon Text Char"/>
    <w:basedOn w:val="DefaultParagraphFont"/>
    <w:link w:val="BalloonText"/>
    <w:uiPriority w:val="99"/>
    <w:semiHidden/>
    <w:rsid w:val="007F1FE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1676">
      <w:bodyDiv w:val="1"/>
      <w:marLeft w:val="0"/>
      <w:marRight w:val="0"/>
      <w:marTop w:val="0"/>
      <w:marBottom w:val="0"/>
      <w:divBdr>
        <w:top w:val="none" w:sz="0" w:space="0" w:color="auto"/>
        <w:left w:val="none" w:sz="0" w:space="0" w:color="auto"/>
        <w:bottom w:val="none" w:sz="0" w:space="0" w:color="auto"/>
        <w:right w:val="none" w:sz="0" w:space="0" w:color="auto"/>
      </w:divBdr>
    </w:div>
    <w:div w:id="484930978">
      <w:bodyDiv w:val="1"/>
      <w:marLeft w:val="0"/>
      <w:marRight w:val="0"/>
      <w:marTop w:val="0"/>
      <w:marBottom w:val="0"/>
      <w:divBdr>
        <w:top w:val="none" w:sz="0" w:space="0" w:color="auto"/>
        <w:left w:val="none" w:sz="0" w:space="0" w:color="auto"/>
        <w:bottom w:val="none" w:sz="0" w:space="0" w:color="auto"/>
        <w:right w:val="none" w:sz="0" w:space="0" w:color="auto"/>
      </w:divBdr>
    </w:div>
    <w:div w:id="578490366">
      <w:bodyDiv w:val="1"/>
      <w:marLeft w:val="0"/>
      <w:marRight w:val="0"/>
      <w:marTop w:val="0"/>
      <w:marBottom w:val="0"/>
      <w:divBdr>
        <w:top w:val="none" w:sz="0" w:space="0" w:color="auto"/>
        <w:left w:val="none" w:sz="0" w:space="0" w:color="auto"/>
        <w:bottom w:val="none" w:sz="0" w:space="0" w:color="auto"/>
        <w:right w:val="none" w:sz="0" w:space="0" w:color="auto"/>
      </w:divBdr>
    </w:div>
    <w:div w:id="727655402">
      <w:bodyDiv w:val="1"/>
      <w:marLeft w:val="0"/>
      <w:marRight w:val="0"/>
      <w:marTop w:val="0"/>
      <w:marBottom w:val="0"/>
      <w:divBdr>
        <w:top w:val="none" w:sz="0" w:space="0" w:color="auto"/>
        <w:left w:val="none" w:sz="0" w:space="0" w:color="auto"/>
        <w:bottom w:val="none" w:sz="0" w:space="0" w:color="auto"/>
        <w:right w:val="none" w:sz="0" w:space="0" w:color="auto"/>
      </w:divBdr>
    </w:div>
    <w:div w:id="9216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KILDEA, Brian</cp:lastModifiedBy>
  <cp:revision>3</cp:revision>
  <dcterms:created xsi:type="dcterms:W3CDTF">2017-02-27T05:13:00Z</dcterms:created>
  <dcterms:modified xsi:type="dcterms:W3CDTF">2017-02-27T05:16:00Z</dcterms:modified>
</cp:coreProperties>
</file>